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FC" w:rsidRPr="00D903FC" w:rsidRDefault="00D903FC" w:rsidP="00D903FC">
      <w:pPr>
        <w:jc w:val="right"/>
        <w:rPr>
          <w:rFonts w:ascii="Times New Roman Bold" w:hAnsi="Times New Roman Bold"/>
          <w:b/>
          <w:i/>
          <w:sz w:val="32"/>
          <w:szCs w:val="32"/>
        </w:rPr>
      </w:pPr>
    </w:p>
    <w:p w:rsidR="002B79F3" w:rsidRPr="00B703A3" w:rsidRDefault="002B79F3" w:rsidP="002B79F3">
      <w:pPr>
        <w:spacing w:line="480" w:lineRule="auto"/>
        <w:jc w:val="center"/>
        <w:rPr>
          <w:rFonts w:ascii="Times New Roman Bold" w:hAnsi="Times New Roman Bold"/>
          <w:b/>
          <w:smallCaps/>
          <w:sz w:val="40"/>
          <w:szCs w:val="36"/>
        </w:rPr>
      </w:pPr>
    </w:p>
    <w:p w:rsidR="002B79F3" w:rsidRPr="00B703A3" w:rsidRDefault="002B79F3" w:rsidP="002B79F3">
      <w:pPr>
        <w:spacing w:line="480" w:lineRule="auto"/>
        <w:jc w:val="center"/>
        <w:rPr>
          <w:rFonts w:ascii="Times New Roman Bold" w:hAnsi="Times New Roman Bold"/>
          <w:b/>
          <w:smallCaps/>
          <w:sz w:val="40"/>
          <w:szCs w:val="36"/>
        </w:rPr>
      </w:pPr>
    </w:p>
    <w:p w:rsidR="002B79F3" w:rsidRPr="00B703A3" w:rsidRDefault="002B79F3" w:rsidP="002B79F3">
      <w:pPr>
        <w:spacing w:line="480" w:lineRule="auto"/>
        <w:jc w:val="center"/>
        <w:rPr>
          <w:rFonts w:ascii="Times New Roman Bold" w:hAnsi="Times New Roman Bold"/>
          <w:b/>
          <w:smallCaps/>
          <w:sz w:val="40"/>
          <w:szCs w:val="36"/>
        </w:rPr>
      </w:pPr>
    </w:p>
    <w:p w:rsidR="002B79F3" w:rsidRPr="00B703A3" w:rsidRDefault="002B79F3" w:rsidP="002B79F3">
      <w:pPr>
        <w:spacing w:line="360" w:lineRule="auto"/>
        <w:jc w:val="center"/>
        <w:rPr>
          <w:rFonts w:ascii="Times New Roman Bold" w:hAnsi="Times New Roman Bold"/>
          <w:b/>
          <w:smallCaps/>
          <w:sz w:val="40"/>
          <w:szCs w:val="36"/>
        </w:rPr>
      </w:pPr>
    </w:p>
    <w:p w:rsidR="002B79F3" w:rsidRPr="00B703A3" w:rsidRDefault="002B79F3" w:rsidP="002B79F3">
      <w:pPr>
        <w:spacing w:line="360" w:lineRule="auto"/>
        <w:jc w:val="center"/>
        <w:rPr>
          <w:rFonts w:ascii="Times New Roman Bold" w:hAnsi="Times New Roman Bold"/>
          <w:b/>
          <w:smallCaps/>
          <w:sz w:val="40"/>
          <w:szCs w:val="36"/>
        </w:rPr>
      </w:pPr>
    </w:p>
    <w:p w:rsidR="002B79F3" w:rsidRPr="00B703A3" w:rsidRDefault="002B79F3" w:rsidP="002B79F3">
      <w:pPr>
        <w:spacing w:line="360" w:lineRule="auto"/>
        <w:jc w:val="center"/>
        <w:rPr>
          <w:rFonts w:ascii="Times New Roman Bold" w:hAnsi="Times New Roman Bold"/>
          <w:b/>
          <w:smallCaps/>
          <w:sz w:val="40"/>
          <w:szCs w:val="36"/>
        </w:rPr>
      </w:pPr>
      <w:r w:rsidRPr="00B703A3">
        <w:rPr>
          <w:rFonts w:ascii="Times New Roman Bold" w:hAnsi="Times New Roman Bold"/>
          <w:b/>
          <w:smallCaps/>
          <w:sz w:val="40"/>
          <w:szCs w:val="36"/>
        </w:rPr>
        <w:t>Progresa ziņojums</w:t>
      </w:r>
    </w:p>
    <w:p w:rsidR="002B79F3" w:rsidRPr="00B703A3" w:rsidRDefault="002B79F3" w:rsidP="002B79F3">
      <w:pPr>
        <w:spacing w:line="360" w:lineRule="auto"/>
        <w:jc w:val="center"/>
        <w:rPr>
          <w:rFonts w:ascii="Times New Roman Bold" w:hAnsi="Times New Roman Bold"/>
          <w:b/>
          <w:smallCaps/>
          <w:sz w:val="40"/>
          <w:szCs w:val="36"/>
        </w:rPr>
      </w:pPr>
      <w:r w:rsidRPr="00B703A3">
        <w:rPr>
          <w:rFonts w:ascii="Times New Roman Bold" w:hAnsi="Times New Roman Bold"/>
          <w:b/>
          <w:smallCaps/>
          <w:sz w:val="40"/>
          <w:szCs w:val="36"/>
        </w:rPr>
        <w:t xml:space="preserve">par </w:t>
      </w:r>
      <w:r w:rsidR="000844DE" w:rsidRPr="00B703A3">
        <w:rPr>
          <w:rFonts w:ascii="Times New Roman Bold" w:hAnsi="Times New Roman Bold"/>
          <w:b/>
          <w:smallCaps/>
          <w:sz w:val="40"/>
          <w:szCs w:val="36"/>
        </w:rPr>
        <w:t>Latvijas nacionālās reformu programmas</w:t>
      </w:r>
    </w:p>
    <w:p w:rsidR="002B79F3" w:rsidRPr="00B703A3" w:rsidRDefault="002B79F3" w:rsidP="002B79F3">
      <w:pPr>
        <w:spacing w:line="360" w:lineRule="auto"/>
        <w:jc w:val="center"/>
        <w:rPr>
          <w:rFonts w:ascii="Times New Roman Bold" w:hAnsi="Times New Roman Bold"/>
          <w:b/>
          <w:smallCaps/>
          <w:sz w:val="40"/>
          <w:szCs w:val="36"/>
        </w:rPr>
      </w:pPr>
      <w:r w:rsidRPr="00B703A3">
        <w:rPr>
          <w:rFonts w:ascii="Times New Roman Bold" w:hAnsi="Times New Roman Bold" w:hint="eastAsia"/>
          <w:b/>
          <w:smallCaps/>
          <w:sz w:val="40"/>
          <w:szCs w:val="36"/>
        </w:rPr>
        <w:t>„</w:t>
      </w:r>
      <w:r w:rsidRPr="00B703A3">
        <w:rPr>
          <w:rFonts w:ascii="Times New Roman Bold" w:hAnsi="Times New Roman Bold"/>
          <w:b/>
          <w:smallCaps/>
          <w:sz w:val="40"/>
          <w:szCs w:val="36"/>
        </w:rPr>
        <w:t>Eiropa 2020</w:t>
      </w:r>
      <w:r w:rsidRPr="00B703A3">
        <w:rPr>
          <w:rFonts w:ascii="Times New Roman Bold" w:hAnsi="Times New Roman Bold" w:hint="eastAsia"/>
          <w:b/>
          <w:smallCaps/>
          <w:sz w:val="40"/>
          <w:szCs w:val="36"/>
        </w:rPr>
        <w:t>”</w:t>
      </w:r>
      <w:r w:rsidRPr="00B703A3">
        <w:rPr>
          <w:rFonts w:ascii="Times New Roman Bold" w:hAnsi="Times New Roman Bold"/>
          <w:b/>
          <w:smallCaps/>
          <w:sz w:val="40"/>
          <w:szCs w:val="36"/>
        </w:rPr>
        <w:t>stratēģijas</w:t>
      </w:r>
      <w:r w:rsidR="008E6DF3" w:rsidRPr="00B703A3">
        <w:rPr>
          <w:rFonts w:ascii="Times New Roman Bold" w:hAnsi="Times New Roman Bold"/>
          <w:b/>
          <w:smallCaps/>
          <w:sz w:val="40"/>
          <w:szCs w:val="36"/>
        </w:rPr>
        <w:t xml:space="preserve"> kontekstā</w:t>
      </w:r>
    </w:p>
    <w:p w:rsidR="000844DE" w:rsidRPr="00B703A3" w:rsidRDefault="000844DE" w:rsidP="002B79F3">
      <w:pPr>
        <w:spacing w:line="360" w:lineRule="auto"/>
        <w:jc w:val="center"/>
        <w:rPr>
          <w:rFonts w:ascii="Times New Roman Bold" w:hAnsi="Times New Roman Bold"/>
          <w:b/>
          <w:smallCaps/>
          <w:sz w:val="40"/>
          <w:szCs w:val="36"/>
        </w:rPr>
      </w:pPr>
      <w:r w:rsidRPr="00B703A3">
        <w:rPr>
          <w:rFonts w:ascii="Times New Roman Bold" w:hAnsi="Times New Roman Bold"/>
          <w:b/>
          <w:smallCaps/>
          <w:sz w:val="40"/>
          <w:szCs w:val="36"/>
        </w:rPr>
        <w:t>īstenošanu</w:t>
      </w:r>
    </w:p>
    <w:p w:rsidR="000844DE" w:rsidRPr="00C43284" w:rsidRDefault="000844DE" w:rsidP="000844DE">
      <w:pPr>
        <w:jc w:val="left"/>
        <w:rPr>
          <w:rFonts w:ascii="Times New Roman Bold" w:hAnsi="Times New Roman Bold"/>
          <w:b/>
          <w:sz w:val="32"/>
          <w:szCs w:val="32"/>
        </w:rPr>
      </w:pPr>
    </w:p>
    <w:p w:rsidR="000844DE" w:rsidRPr="00C43284" w:rsidRDefault="000844DE" w:rsidP="000844DE">
      <w:pPr>
        <w:jc w:val="left"/>
        <w:rPr>
          <w:rFonts w:ascii="Times New Roman Bold" w:hAnsi="Times New Roman Bold"/>
          <w:b/>
          <w:sz w:val="32"/>
          <w:szCs w:val="32"/>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Default="002B79F3" w:rsidP="002B79F3">
      <w:pPr>
        <w:jc w:val="center"/>
        <w:rPr>
          <w:rFonts w:ascii="Times New Roman Bold" w:hAnsi="Times New Roman Bold"/>
          <w:b/>
        </w:rPr>
      </w:pPr>
    </w:p>
    <w:p w:rsidR="00D86D3A" w:rsidRDefault="00D86D3A" w:rsidP="002B79F3">
      <w:pPr>
        <w:jc w:val="center"/>
        <w:rPr>
          <w:rFonts w:ascii="Times New Roman Bold" w:hAnsi="Times New Roman Bold"/>
          <w:b/>
        </w:rPr>
      </w:pPr>
    </w:p>
    <w:p w:rsidR="00D86D3A" w:rsidRDefault="00D86D3A" w:rsidP="002B79F3">
      <w:pPr>
        <w:jc w:val="center"/>
        <w:rPr>
          <w:rFonts w:ascii="Times New Roman Bold" w:hAnsi="Times New Roman Bold"/>
          <w:b/>
        </w:rPr>
      </w:pPr>
    </w:p>
    <w:p w:rsidR="00D86D3A" w:rsidRDefault="00D86D3A" w:rsidP="002B79F3">
      <w:pPr>
        <w:jc w:val="center"/>
        <w:rPr>
          <w:rFonts w:ascii="Times New Roman Bold" w:hAnsi="Times New Roman Bold"/>
          <w:b/>
        </w:rPr>
      </w:pPr>
    </w:p>
    <w:p w:rsidR="00D86D3A" w:rsidRDefault="00D86D3A" w:rsidP="002B79F3">
      <w:pPr>
        <w:jc w:val="center"/>
        <w:rPr>
          <w:rFonts w:ascii="Times New Roman Bold" w:hAnsi="Times New Roman Bold"/>
          <w:b/>
        </w:rPr>
      </w:pPr>
    </w:p>
    <w:p w:rsidR="00D86D3A" w:rsidRDefault="00D86D3A" w:rsidP="002B79F3">
      <w:pPr>
        <w:jc w:val="center"/>
        <w:rPr>
          <w:rFonts w:ascii="Times New Roman Bold" w:hAnsi="Times New Roman Bold"/>
          <w:b/>
        </w:rPr>
      </w:pPr>
    </w:p>
    <w:p w:rsidR="00D86D3A" w:rsidRDefault="00D86D3A" w:rsidP="002B79F3">
      <w:pPr>
        <w:jc w:val="center"/>
        <w:rPr>
          <w:rFonts w:ascii="Times New Roman Bold" w:hAnsi="Times New Roman Bold"/>
          <w:b/>
        </w:rPr>
      </w:pPr>
    </w:p>
    <w:p w:rsidR="00D86D3A" w:rsidRDefault="00D86D3A" w:rsidP="002B79F3">
      <w:pPr>
        <w:jc w:val="center"/>
        <w:rPr>
          <w:rFonts w:ascii="Times New Roman Bold" w:hAnsi="Times New Roman Bold"/>
          <w:b/>
        </w:rPr>
      </w:pPr>
    </w:p>
    <w:p w:rsidR="00D86D3A" w:rsidRDefault="00D86D3A" w:rsidP="002B79F3">
      <w:pPr>
        <w:jc w:val="center"/>
        <w:rPr>
          <w:rFonts w:ascii="Times New Roman Bold" w:hAnsi="Times New Roman Bold"/>
          <w:b/>
        </w:rPr>
      </w:pPr>
    </w:p>
    <w:p w:rsidR="00D86D3A" w:rsidRPr="00C43284" w:rsidRDefault="00D86D3A"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0844DE" w:rsidRPr="00C43284" w:rsidRDefault="000844DE" w:rsidP="002B79F3">
      <w:pPr>
        <w:jc w:val="center"/>
        <w:rPr>
          <w:rFonts w:ascii="Times New Roman Bold" w:hAnsi="Times New Roman Bold"/>
          <w:b/>
        </w:rPr>
      </w:pPr>
      <w:r w:rsidRPr="00C43284">
        <w:rPr>
          <w:rFonts w:ascii="Times New Roman Bold" w:hAnsi="Times New Roman Bold"/>
          <w:b/>
        </w:rPr>
        <w:t>Rīga</w:t>
      </w:r>
    </w:p>
    <w:p w:rsidR="0050285A" w:rsidRPr="00C43284" w:rsidRDefault="000844DE" w:rsidP="002B79F3">
      <w:pPr>
        <w:jc w:val="center"/>
        <w:rPr>
          <w:rFonts w:ascii="Times New Roman Bold" w:hAnsi="Times New Roman Bold"/>
          <w:b/>
        </w:rPr>
      </w:pPr>
      <w:r w:rsidRPr="00C43284">
        <w:rPr>
          <w:rFonts w:ascii="Times New Roman Bold" w:hAnsi="Times New Roman Bold"/>
          <w:b/>
        </w:rPr>
        <w:t>201</w:t>
      </w:r>
      <w:r w:rsidR="001A0C25">
        <w:rPr>
          <w:rFonts w:ascii="Times New Roman Bold" w:hAnsi="Times New Roman Bold"/>
          <w:b/>
        </w:rPr>
        <w:t>3</w:t>
      </w:r>
      <w:r w:rsidRPr="00C43284">
        <w:rPr>
          <w:rFonts w:ascii="Times New Roman Bold" w:hAnsi="Times New Roman Bold"/>
          <w:b/>
        </w:rPr>
        <w:t>.gada aprīlis</w:t>
      </w:r>
    </w:p>
    <w:p w:rsidR="0050285A" w:rsidRPr="00C43284" w:rsidRDefault="0050285A">
      <w:pPr>
        <w:jc w:val="left"/>
        <w:rPr>
          <w:rFonts w:ascii="Times New Roman Bold" w:hAnsi="Times New Roman Bold"/>
          <w:b/>
        </w:rPr>
      </w:pPr>
      <w:r w:rsidRPr="00C43284">
        <w:rPr>
          <w:rFonts w:ascii="Times New Roman Bold" w:hAnsi="Times New Roman Bold"/>
          <w:b/>
        </w:rPr>
        <w:br w:type="page"/>
      </w:r>
    </w:p>
    <w:p w:rsidR="00C23E60" w:rsidRPr="00B703A3" w:rsidRDefault="00C23E60" w:rsidP="001B751E">
      <w:pPr>
        <w:spacing w:after="240"/>
        <w:jc w:val="center"/>
        <w:rPr>
          <w:rFonts w:ascii="Times New Roman Bold" w:hAnsi="Times New Roman Bold"/>
          <w:b/>
          <w:smallCaps/>
          <w:sz w:val="28"/>
          <w:szCs w:val="28"/>
        </w:rPr>
      </w:pPr>
      <w:r w:rsidRPr="00B703A3">
        <w:rPr>
          <w:rFonts w:ascii="Times New Roman Bold" w:hAnsi="Times New Roman Bold"/>
          <w:b/>
          <w:smallCaps/>
          <w:sz w:val="28"/>
          <w:szCs w:val="28"/>
        </w:rPr>
        <w:lastRenderedPageBreak/>
        <w:t>Satura rādītājs</w:t>
      </w:r>
    </w:p>
    <w:p w:rsidR="008D2E29" w:rsidRPr="008D2E29" w:rsidRDefault="00465E0C" w:rsidP="008D2E29">
      <w:pPr>
        <w:pStyle w:val="TOC1"/>
        <w:tabs>
          <w:tab w:val="right" w:leader="dot" w:pos="9061"/>
        </w:tabs>
        <w:spacing w:before="60" w:after="60"/>
        <w:rPr>
          <w:rFonts w:ascii="Times New Roman" w:eastAsiaTheme="minorEastAsia" w:hAnsi="Times New Roman"/>
          <w:b w:val="0"/>
          <w:bCs w:val="0"/>
          <w:caps w:val="0"/>
          <w:noProof/>
          <w:sz w:val="24"/>
          <w:szCs w:val="24"/>
          <w:lang w:eastAsia="lv-LV"/>
        </w:rPr>
      </w:pPr>
      <w:r w:rsidRPr="008D2E29">
        <w:rPr>
          <w:rFonts w:ascii="Times New Roman" w:hAnsi="Times New Roman"/>
          <w:b w:val="0"/>
          <w:sz w:val="24"/>
          <w:szCs w:val="24"/>
        </w:rPr>
        <w:fldChar w:fldCharType="begin"/>
      </w:r>
      <w:r w:rsidR="0050285A" w:rsidRPr="008D2E29">
        <w:rPr>
          <w:rFonts w:ascii="Times New Roman" w:hAnsi="Times New Roman"/>
          <w:b w:val="0"/>
          <w:sz w:val="24"/>
          <w:szCs w:val="24"/>
        </w:rPr>
        <w:instrText xml:space="preserve"> TOC \o "1-3" \h \z \u </w:instrText>
      </w:r>
      <w:r w:rsidRPr="008D2E29">
        <w:rPr>
          <w:rFonts w:ascii="Times New Roman" w:hAnsi="Times New Roman"/>
          <w:b w:val="0"/>
          <w:sz w:val="24"/>
          <w:szCs w:val="24"/>
        </w:rPr>
        <w:fldChar w:fldCharType="separate"/>
      </w:r>
      <w:hyperlink w:anchor="_Toc354384918" w:history="1">
        <w:r w:rsidR="008D2E29" w:rsidRPr="008D2E29">
          <w:rPr>
            <w:rStyle w:val="Hyperlink"/>
            <w:rFonts w:ascii="Times New Roman" w:eastAsia="Times New Roman" w:hAnsi="Times New Roman"/>
            <w:smallCaps/>
            <w:noProof/>
            <w:sz w:val="24"/>
            <w:szCs w:val="24"/>
          </w:rPr>
          <w:t>Saīsinājumi, mērvienības un nosacītie apzīmējumi</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_Toc354384918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3</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1"/>
        <w:tabs>
          <w:tab w:val="right" w:leader="dot" w:pos="9061"/>
        </w:tabs>
        <w:spacing w:before="60" w:after="60"/>
        <w:rPr>
          <w:rFonts w:ascii="Times New Roman" w:eastAsiaTheme="minorEastAsia" w:hAnsi="Times New Roman"/>
          <w:b w:val="0"/>
          <w:bCs w:val="0"/>
          <w:caps w:val="0"/>
          <w:noProof/>
          <w:sz w:val="24"/>
          <w:szCs w:val="24"/>
          <w:lang w:eastAsia="lv-LV"/>
        </w:rPr>
      </w:pPr>
      <w:hyperlink w:anchor="_Toc354384919" w:history="1">
        <w:r w:rsidR="008D2E29" w:rsidRPr="008D2E29">
          <w:rPr>
            <w:rStyle w:val="Hyperlink"/>
            <w:rFonts w:ascii="Times New Roman" w:hAnsi="Times New Roman"/>
            <w:smallCaps/>
            <w:noProof/>
            <w:sz w:val="24"/>
            <w:szCs w:val="24"/>
          </w:rPr>
          <w:t>Ievads</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_Toc354384919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4</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1"/>
        <w:tabs>
          <w:tab w:val="right" w:leader="dot" w:pos="9061"/>
        </w:tabs>
        <w:spacing w:before="60" w:after="60"/>
        <w:rPr>
          <w:rFonts w:ascii="Times New Roman" w:eastAsiaTheme="minorEastAsia" w:hAnsi="Times New Roman"/>
          <w:b w:val="0"/>
          <w:bCs w:val="0"/>
          <w:caps w:val="0"/>
          <w:noProof/>
          <w:sz w:val="24"/>
          <w:szCs w:val="24"/>
          <w:lang w:eastAsia="lv-LV"/>
        </w:rPr>
      </w:pPr>
      <w:hyperlink w:anchor="_Toc354384920" w:history="1">
        <w:r w:rsidR="008D2E29" w:rsidRPr="008D2E29">
          <w:rPr>
            <w:rStyle w:val="Hyperlink"/>
            <w:rFonts w:ascii="Times New Roman" w:hAnsi="Times New Roman"/>
            <w:smallCaps/>
            <w:noProof/>
            <w:sz w:val="24"/>
            <w:szCs w:val="24"/>
          </w:rPr>
          <w:t>1. Vidēja termiņa makroekonomiskais scenārijs</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_Toc354384920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6</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1"/>
        <w:tabs>
          <w:tab w:val="right" w:leader="dot" w:pos="9061"/>
        </w:tabs>
        <w:spacing w:before="60" w:after="60"/>
        <w:rPr>
          <w:rFonts w:ascii="Times New Roman" w:eastAsiaTheme="minorEastAsia" w:hAnsi="Times New Roman"/>
          <w:b w:val="0"/>
          <w:bCs w:val="0"/>
          <w:caps w:val="0"/>
          <w:noProof/>
          <w:sz w:val="24"/>
          <w:szCs w:val="24"/>
          <w:lang w:eastAsia="lv-LV"/>
        </w:rPr>
      </w:pPr>
      <w:hyperlink w:anchor="_Toc354384921" w:history="1">
        <w:r w:rsidR="008D2E29" w:rsidRPr="008D2E29">
          <w:rPr>
            <w:rStyle w:val="Hyperlink"/>
            <w:rFonts w:ascii="Times New Roman" w:hAnsi="Times New Roman"/>
            <w:smallCaps/>
            <w:noProof/>
            <w:sz w:val="24"/>
            <w:szCs w:val="24"/>
          </w:rPr>
          <w:t>2. ES Padomes rekomendāciju izpilde</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_Toc354384921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9</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2"/>
        <w:tabs>
          <w:tab w:val="right" w:leader="dot" w:pos="9061"/>
        </w:tabs>
        <w:spacing w:before="60" w:after="60"/>
        <w:rPr>
          <w:rFonts w:ascii="Times New Roman" w:eastAsiaTheme="minorEastAsia" w:hAnsi="Times New Roman"/>
          <w:smallCaps w:val="0"/>
          <w:noProof/>
          <w:sz w:val="24"/>
          <w:szCs w:val="24"/>
          <w:lang w:eastAsia="lv-LV"/>
        </w:rPr>
      </w:pPr>
      <w:hyperlink w:anchor="_Toc354384922" w:history="1">
        <w:r w:rsidR="008D2E29" w:rsidRPr="008D2E29">
          <w:rPr>
            <w:rStyle w:val="Hyperlink"/>
            <w:rFonts w:ascii="Times New Roman" w:hAnsi="Times New Roman"/>
            <w:noProof/>
            <w:sz w:val="24"/>
            <w:szCs w:val="24"/>
          </w:rPr>
          <w:t>2.1. Pārmērīgā budžeta deficīta novēršana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_Toc354384922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9</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2"/>
        <w:tabs>
          <w:tab w:val="right" w:leader="dot" w:pos="9061"/>
        </w:tabs>
        <w:spacing w:before="60" w:after="60"/>
        <w:rPr>
          <w:rFonts w:ascii="Times New Roman" w:eastAsiaTheme="minorEastAsia" w:hAnsi="Times New Roman"/>
          <w:smallCaps w:val="0"/>
          <w:noProof/>
          <w:sz w:val="24"/>
          <w:szCs w:val="24"/>
          <w:lang w:eastAsia="lv-LV"/>
        </w:rPr>
      </w:pPr>
      <w:hyperlink w:anchor="_Toc354384923" w:history="1">
        <w:r w:rsidR="008D2E29" w:rsidRPr="008D2E29">
          <w:rPr>
            <w:rStyle w:val="Hyperlink"/>
            <w:rFonts w:ascii="Times New Roman" w:hAnsi="Times New Roman"/>
            <w:noProof/>
            <w:sz w:val="24"/>
            <w:szCs w:val="24"/>
          </w:rPr>
          <w:t>2.2. Nodokļu politika un fiskālā disciplīna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_Toc354384923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10</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2"/>
        <w:tabs>
          <w:tab w:val="right" w:leader="dot" w:pos="9061"/>
        </w:tabs>
        <w:spacing w:before="60" w:after="60"/>
        <w:rPr>
          <w:rFonts w:ascii="Times New Roman" w:eastAsiaTheme="minorEastAsia" w:hAnsi="Times New Roman"/>
          <w:smallCaps w:val="0"/>
          <w:noProof/>
          <w:sz w:val="24"/>
          <w:szCs w:val="24"/>
          <w:lang w:eastAsia="lv-LV"/>
        </w:rPr>
      </w:pPr>
      <w:hyperlink w:anchor="_Toc354384924" w:history="1">
        <w:r w:rsidR="008D2E29" w:rsidRPr="008D2E29">
          <w:rPr>
            <w:rStyle w:val="Hyperlink"/>
            <w:rFonts w:ascii="Times New Roman" w:hAnsi="Times New Roman"/>
            <w:noProof/>
            <w:sz w:val="24"/>
            <w:szCs w:val="24"/>
          </w:rPr>
          <w:t>2.3. Ilgstošā un jauniešu bezdarba mazināšana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_Toc354384924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11</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2"/>
        <w:tabs>
          <w:tab w:val="right" w:leader="dot" w:pos="9061"/>
        </w:tabs>
        <w:spacing w:before="60" w:after="60"/>
        <w:rPr>
          <w:rFonts w:ascii="Times New Roman" w:eastAsiaTheme="minorEastAsia" w:hAnsi="Times New Roman"/>
          <w:smallCaps w:val="0"/>
          <w:noProof/>
          <w:sz w:val="24"/>
          <w:szCs w:val="24"/>
          <w:lang w:eastAsia="lv-LV"/>
        </w:rPr>
      </w:pPr>
      <w:hyperlink w:anchor="_Toc354384925" w:history="1">
        <w:r w:rsidR="008D2E29" w:rsidRPr="008D2E29">
          <w:rPr>
            <w:rStyle w:val="Hyperlink"/>
            <w:rFonts w:ascii="Times New Roman" w:hAnsi="Times New Roman"/>
            <w:noProof/>
            <w:sz w:val="24"/>
            <w:szCs w:val="24"/>
          </w:rPr>
          <w:t>2.4. Augstā nabadzības un sociālās atstumtības līmeņa mazināšana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_Toc354384925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13</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2"/>
        <w:tabs>
          <w:tab w:val="right" w:leader="dot" w:pos="9061"/>
        </w:tabs>
        <w:spacing w:before="60" w:after="60"/>
        <w:rPr>
          <w:rFonts w:ascii="Times New Roman" w:eastAsiaTheme="minorEastAsia" w:hAnsi="Times New Roman"/>
          <w:smallCaps w:val="0"/>
          <w:noProof/>
          <w:sz w:val="24"/>
          <w:szCs w:val="24"/>
          <w:lang w:eastAsia="lv-LV"/>
        </w:rPr>
      </w:pPr>
      <w:hyperlink w:anchor="_Toc354384926" w:history="1">
        <w:r w:rsidR="008D2E29" w:rsidRPr="008D2E29">
          <w:rPr>
            <w:rStyle w:val="Hyperlink"/>
            <w:rFonts w:ascii="Times New Roman" w:hAnsi="Times New Roman"/>
            <w:noProof/>
            <w:sz w:val="24"/>
            <w:szCs w:val="24"/>
          </w:rPr>
          <w:t>2.5. Energoefektivitāte un konkurence lielākajos enerģētikas tīklos</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_Toc354384926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15</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2"/>
        <w:tabs>
          <w:tab w:val="right" w:leader="dot" w:pos="9061"/>
        </w:tabs>
        <w:spacing w:before="60" w:after="60"/>
        <w:rPr>
          <w:rFonts w:ascii="Times New Roman" w:eastAsiaTheme="minorEastAsia" w:hAnsi="Times New Roman"/>
          <w:smallCaps w:val="0"/>
          <w:noProof/>
          <w:sz w:val="24"/>
          <w:szCs w:val="24"/>
          <w:lang w:eastAsia="lv-LV"/>
        </w:rPr>
      </w:pPr>
      <w:hyperlink w:anchor="_Toc354384927" w:history="1">
        <w:r w:rsidR="008D2E29" w:rsidRPr="008D2E29">
          <w:rPr>
            <w:rStyle w:val="Hyperlink"/>
            <w:rFonts w:ascii="Times New Roman" w:hAnsi="Times New Roman"/>
            <w:noProof/>
            <w:sz w:val="24"/>
            <w:szCs w:val="24"/>
          </w:rPr>
          <w:t>2.6. Tiesu sistēmas pārvaldība un efektivitāte, maksātnespējas regulējums un mediācijas tiesības</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_Toc354384927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17</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2"/>
        <w:tabs>
          <w:tab w:val="right" w:leader="dot" w:pos="9061"/>
        </w:tabs>
        <w:spacing w:before="60" w:after="60"/>
        <w:rPr>
          <w:rFonts w:ascii="Times New Roman" w:eastAsiaTheme="minorEastAsia" w:hAnsi="Times New Roman"/>
          <w:smallCaps w:val="0"/>
          <w:noProof/>
          <w:sz w:val="24"/>
          <w:szCs w:val="24"/>
          <w:lang w:eastAsia="lv-LV"/>
        </w:rPr>
      </w:pPr>
      <w:hyperlink w:anchor="_Toc354384928" w:history="1">
        <w:r w:rsidR="008D2E29" w:rsidRPr="008D2E29">
          <w:rPr>
            <w:rStyle w:val="Hyperlink"/>
            <w:rFonts w:ascii="Times New Roman" w:hAnsi="Times New Roman"/>
            <w:noProof/>
            <w:sz w:val="24"/>
            <w:szCs w:val="24"/>
          </w:rPr>
          <w:t>2.7. Augstākās izglītības reforma, pētniecības un inovācijas politika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_Toc354384928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19</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1"/>
        <w:tabs>
          <w:tab w:val="right" w:leader="dot" w:pos="9061"/>
        </w:tabs>
        <w:spacing w:before="60" w:after="60"/>
        <w:rPr>
          <w:rFonts w:ascii="Times New Roman" w:eastAsiaTheme="minorEastAsia" w:hAnsi="Times New Roman"/>
          <w:b w:val="0"/>
          <w:bCs w:val="0"/>
          <w:caps w:val="0"/>
          <w:noProof/>
          <w:sz w:val="24"/>
          <w:szCs w:val="24"/>
          <w:lang w:eastAsia="lv-LV"/>
        </w:rPr>
      </w:pPr>
      <w:hyperlink w:anchor="_Toc354384929" w:history="1">
        <w:r w:rsidR="008D2E29" w:rsidRPr="008D2E29">
          <w:rPr>
            <w:rStyle w:val="Hyperlink"/>
            <w:rFonts w:ascii="Times New Roman" w:hAnsi="Times New Roman"/>
            <w:smallCaps/>
            <w:noProof/>
            <w:sz w:val="24"/>
            <w:szCs w:val="24"/>
          </w:rPr>
          <w:t>3. Politikas virzieni</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_Toc354384929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24</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2"/>
        <w:tabs>
          <w:tab w:val="right" w:leader="dot" w:pos="9061"/>
        </w:tabs>
        <w:spacing w:before="60" w:after="60"/>
        <w:rPr>
          <w:rFonts w:ascii="Times New Roman" w:eastAsiaTheme="minorEastAsia" w:hAnsi="Times New Roman"/>
          <w:smallCaps w:val="0"/>
          <w:noProof/>
          <w:sz w:val="24"/>
          <w:szCs w:val="24"/>
          <w:lang w:eastAsia="lv-LV"/>
        </w:rPr>
      </w:pPr>
      <w:hyperlink w:anchor="_Toc354384930" w:history="1">
        <w:r w:rsidR="008D2E29" w:rsidRPr="008D2E29">
          <w:rPr>
            <w:rStyle w:val="Hyperlink"/>
            <w:rFonts w:ascii="Times New Roman" w:hAnsi="Times New Roman"/>
            <w:noProof/>
            <w:sz w:val="24"/>
            <w:szCs w:val="24"/>
          </w:rPr>
          <w:t>3.1. Finanšu stabilitāte</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_Toc354384930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24</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31" w:history="1">
        <w:r w:rsidR="008D2E29" w:rsidRPr="008D2E29">
          <w:rPr>
            <w:rStyle w:val="Hyperlink"/>
            <w:rFonts w:ascii="Times New Roman" w:hAnsi="Times New Roman"/>
            <w:noProof/>
            <w:sz w:val="24"/>
            <w:szCs w:val="24"/>
          </w:rPr>
          <w:t>3.1.1. Ilgtspējīga budžeta veidošana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_Toc354384931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24</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32" w:history="1">
        <w:r w:rsidR="008D2E29" w:rsidRPr="008D2E29">
          <w:rPr>
            <w:rStyle w:val="Hyperlink"/>
            <w:rFonts w:ascii="Times New Roman" w:hAnsi="Times New Roman"/>
            <w:noProof/>
            <w:sz w:val="24"/>
            <w:szCs w:val="24"/>
          </w:rPr>
          <w:t>3.1.2. Banku sektora stabilitātes nodrošināšana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_Toc354384932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25</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2"/>
        <w:tabs>
          <w:tab w:val="right" w:leader="dot" w:pos="9061"/>
        </w:tabs>
        <w:spacing w:before="60" w:after="60"/>
        <w:rPr>
          <w:rFonts w:ascii="Times New Roman" w:eastAsiaTheme="minorEastAsia" w:hAnsi="Times New Roman"/>
          <w:smallCaps w:val="0"/>
          <w:noProof/>
          <w:sz w:val="24"/>
          <w:szCs w:val="24"/>
          <w:lang w:eastAsia="lv-LV"/>
        </w:rPr>
      </w:pPr>
      <w:hyperlink w:anchor="_Toc354384933" w:history="1">
        <w:r w:rsidR="008D2E29" w:rsidRPr="008D2E29">
          <w:rPr>
            <w:rStyle w:val="Hyperlink"/>
            <w:rFonts w:ascii="Times New Roman" w:hAnsi="Times New Roman"/>
            <w:noProof/>
            <w:sz w:val="24"/>
            <w:szCs w:val="24"/>
          </w:rPr>
          <w:t>3.2. Konkurētspējas veicināšana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_Toc354384933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27</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34" w:history="1">
        <w:r w:rsidR="008D2E29" w:rsidRPr="008D2E29">
          <w:rPr>
            <w:rStyle w:val="Hyperlink"/>
            <w:rFonts w:ascii="Times New Roman" w:hAnsi="Times New Roman"/>
            <w:noProof/>
            <w:sz w:val="24"/>
            <w:szCs w:val="24"/>
          </w:rPr>
          <w:t>3.2.1. Uzņēmējdarbības vide un valsts pārvaldes modernizācija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_Toc354384934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27</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35" w:history="1">
        <w:r w:rsidR="008D2E29" w:rsidRPr="008D2E29">
          <w:rPr>
            <w:rStyle w:val="Hyperlink"/>
            <w:rFonts w:ascii="Times New Roman" w:hAnsi="Times New Roman"/>
            <w:noProof/>
            <w:sz w:val="24"/>
            <w:szCs w:val="24"/>
          </w:rPr>
          <w:t>3.2.2. Produktīvo investīciju un eksporta veicināšana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_Toc354384935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34</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36" w:history="1">
        <w:r w:rsidR="008D2E29" w:rsidRPr="008D2E29">
          <w:rPr>
            <w:rStyle w:val="Hyperlink"/>
            <w:rFonts w:ascii="Times New Roman" w:hAnsi="Times New Roman"/>
            <w:noProof/>
            <w:sz w:val="24"/>
            <w:szCs w:val="24"/>
          </w:rPr>
          <w:t>3.2.3. Inovācijas, pētniecība un attīstība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_Toc354384936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38</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37" w:history="1">
        <w:r w:rsidR="008D2E29" w:rsidRPr="008D2E29">
          <w:rPr>
            <w:rStyle w:val="Hyperlink"/>
            <w:rFonts w:ascii="Times New Roman" w:hAnsi="Times New Roman"/>
            <w:noProof/>
            <w:sz w:val="24"/>
            <w:szCs w:val="24"/>
          </w:rPr>
          <w:t>3.2.4. Informācijas un komunikāciju tehnoloģijas</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_Toc354384937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42</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38" w:history="1">
        <w:r w:rsidR="008D2E29" w:rsidRPr="008D2E29">
          <w:rPr>
            <w:rStyle w:val="Hyperlink"/>
            <w:rFonts w:ascii="Times New Roman" w:hAnsi="Times New Roman"/>
            <w:noProof/>
            <w:sz w:val="24"/>
            <w:szCs w:val="24"/>
          </w:rPr>
          <w:t>3.2.5. Transporta un vides infrastruktūra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_Toc354384938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45</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2"/>
        <w:tabs>
          <w:tab w:val="right" w:leader="dot" w:pos="9061"/>
        </w:tabs>
        <w:spacing w:before="60" w:after="60"/>
        <w:rPr>
          <w:rFonts w:ascii="Times New Roman" w:eastAsiaTheme="minorEastAsia" w:hAnsi="Times New Roman"/>
          <w:smallCaps w:val="0"/>
          <w:noProof/>
          <w:sz w:val="24"/>
          <w:szCs w:val="24"/>
          <w:lang w:eastAsia="lv-LV"/>
        </w:rPr>
      </w:pPr>
      <w:hyperlink w:anchor="_Toc354384939" w:history="1">
        <w:r w:rsidR="008D2E29" w:rsidRPr="008D2E29">
          <w:rPr>
            <w:rStyle w:val="Hyperlink"/>
            <w:rFonts w:ascii="Times New Roman" w:hAnsi="Times New Roman"/>
            <w:noProof/>
            <w:sz w:val="24"/>
            <w:szCs w:val="24"/>
          </w:rPr>
          <w:t>3.3. Nodarbinātība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_Toc354384939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47</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2"/>
        <w:tabs>
          <w:tab w:val="right" w:leader="dot" w:pos="9061"/>
        </w:tabs>
        <w:spacing w:before="60" w:after="60"/>
        <w:rPr>
          <w:rFonts w:ascii="Times New Roman" w:eastAsiaTheme="minorEastAsia" w:hAnsi="Times New Roman"/>
          <w:smallCaps w:val="0"/>
          <w:noProof/>
          <w:sz w:val="24"/>
          <w:szCs w:val="24"/>
          <w:lang w:eastAsia="lv-LV"/>
        </w:rPr>
      </w:pPr>
      <w:hyperlink w:anchor="_Toc354384940" w:history="1">
        <w:r w:rsidR="008D2E29" w:rsidRPr="008D2E29">
          <w:rPr>
            <w:rStyle w:val="Hyperlink"/>
            <w:rFonts w:ascii="Times New Roman" w:hAnsi="Times New Roman"/>
            <w:noProof/>
            <w:sz w:val="24"/>
            <w:szCs w:val="24"/>
          </w:rPr>
          <w:t>3.4. Izglītība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_Toc354384940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52</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41" w:history="1">
        <w:r w:rsidR="008D2E29" w:rsidRPr="008D2E29">
          <w:rPr>
            <w:rStyle w:val="Hyperlink"/>
            <w:rFonts w:ascii="Times New Roman" w:hAnsi="Times New Roman"/>
            <w:noProof/>
            <w:sz w:val="24"/>
            <w:szCs w:val="24"/>
          </w:rPr>
          <w:t>3.4.1. Vispārējā izglītība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_Toc354384941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52</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42" w:history="1">
        <w:r w:rsidR="008D2E29" w:rsidRPr="008D2E29">
          <w:rPr>
            <w:rStyle w:val="Hyperlink"/>
            <w:rFonts w:ascii="Times New Roman" w:hAnsi="Times New Roman"/>
            <w:noProof/>
            <w:sz w:val="24"/>
            <w:szCs w:val="24"/>
          </w:rPr>
          <w:t>3.4.2. Vidējā profesionālā izglītība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_Toc354384942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54</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43" w:history="1">
        <w:r w:rsidR="008D2E29" w:rsidRPr="008D2E29">
          <w:rPr>
            <w:rStyle w:val="Hyperlink"/>
            <w:rFonts w:ascii="Times New Roman" w:hAnsi="Times New Roman"/>
            <w:noProof/>
            <w:sz w:val="24"/>
            <w:szCs w:val="24"/>
          </w:rPr>
          <w:t>3.4.3. Augstākā izglītība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_Toc354384943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56</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44" w:history="1">
        <w:r w:rsidR="008D2E29" w:rsidRPr="008D2E29">
          <w:rPr>
            <w:rStyle w:val="Hyperlink"/>
            <w:rFonts w:ascii="Times New Roman" w:hAnsi="Times New Roman"/>
            <w:noProof/>
            <w:sz w:val="24"/>
            <w:szCs w:val="24"/>
          </w:rPr>
          <w:t>3.4.4. Mūžizglītība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_Toc354384944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60</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2"/>
        <w:tabs>
          <w:tab w:val="right" w:leader="dot" w:pos="9061"/>
        </w:tabs>
        <w:spacing w:before="60" w:after="60"/>
        <w:rPr>
          <w:rFonts w:ascii="Times New Roman" w:eastAsiaTheme="minorEastAsia" w:hAnsi="Times New Roman"/>
          <w:smallCaps w:val="0"/>
          <w:noProof/>
          <w:sz w:val="24"/>
          <w:szCs w:val="24"/>
          <w:lang w:eastAsia="lv-LV"/>
        </w:rPr>
      </w:pPr>
      <w:hyperlink w:anchor="_Toc354384945" w:history="1">
        <w:r w:rsidR="008D2E29" w:rsidRPr="008D2E29">
          <w:rPr>
            <w:rStyle w:val="Hyperlink"/>
            <w:rFonts w:ascii="Times New Roman" w:hAnsi="Times New Roman"/>
            <w:noProof/>
            <w:sz w:val="24"/>
            <w:szCs w:val="24"/>
          </w:rPr>
          <w:t>3.5. Cīņa ar nabadzību, demogrāfijas izaicinājumi un veselības aizsardzība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_Toc354384945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62</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46" w:history="1">
        <w:r w:rsidR="008D2E29" w:rsidRPr="008D2E29">
          <w:rPr>
            <w:rStyle w:val="Hyperlink"/>
            <w:rFonts w:ascii="Times New Roman" w:hAnsi="Times New Roman"/>
            <w:noProof/>
            <w:sz w:val="24"/>
            <w:szCs w:val="24"/>
          </w:rPr>
          <w:t>3.5.1. Nabadzības līmeņa mazināšana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_Toc354384946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62</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47" w:history="1">
        <w:r w:rsidR="008D2E29" w:rsidRPr="008D2E29">
          <w:rPr>
            <w:rStyle w:val="Hyperlink"/>
            <w:rFonts w:ascii="Times New Roman" w:hAnsi="Times New Roman"/>
            <w:noProof/>
            <w:sz w:val="24"/>
            <w:szCs w:val="24"/>
          </w:rPr>
          <w:t>3.5.2. Demogrāfijas izaicinājumi un veselības aizsardzība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_Toc354384947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64</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2"/>
        <w:tabs>
          <w:tab w:val="right" w:leader="dot" w:pos="9061"/>
        </w:tabs>
        <w:spacing w:before="60" w:after="60"/>
        <w:rPr>
          <w:rFonts w:ascii="Times New Roman" w:eastAsiaTheme="minorEastAsia" w:hAnsi="Times New Roman"/>
          <w:smallCaps w:val="0"/>
          <w:noProof/>
          <w:sz w:val="24"/>
          <w:szCs w:val="24"/>
          <w:lang w:eastAsia="lv-LV"/>
        </w:rPr>
      </w:pPr>
      <w:hyperlink w:anchor="_Toc354384948" w:history="1">
        <w:r w:rsidR="008D2E29" w:rsidRPr="008D2E29">
          <w:rPr>
            <w:rStyle w:val="Hyperlink"/>
            <w:rFonts w:ascii="Times New Roman" w:hAnsi="Times New Roman"/>
            <w:noProof/>
            <w:sz w:val="24"/>
            <w:szCs w:val="24"/>
          </w:rPr>
          <w:t>3.6. Enerģētika un klimata pārmaiņas</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_Toc354384948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67</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49" w:history="1">
        <w:r w:rsidR="008D2E29" w:rsidRPr="008D2E29">
          <w:rPr>
            <w:rStyle w:val="Hyperlink"/>
            <w:rFonts w:ascii="Times New Roman" w:hAnsi="Times New Roman"/>
            <w:noProof/>
            <w:sz w:val="24"/>
            <w:szCs w:val="24"/>
          </w:rPr>
          <w:t>3.6.1. Energoefektivitātes veicināšana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_Toc354384949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67</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50" w:history="1">
        <w:r w:rsidR="008D2E29" w:rsidRPr="008D2E29">
          <w:rPr>
            <w:rStyle w:val="Hyperlink"/>
            <w:rFonts w:ascii="Times New Roman" w:hAnsi="Times New Roman"/>
            <w:noProof/>
            <w:sz w:val="24"/>
            <w:szCs w:val="24"/>
          </w:rPr>
          <w:t>3.6.2. Atjaunojamās enerģijas īpatsvara palielināšana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_Toc354384950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70</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3"/>
        <w:tabs>
          <w:tab w:val="right" w:leader="dot" w:pos="9061"/>
        </w:tabs>
        <w:spacing w:before="60" w:after="60"/>
        <w:rPr>
          <w:rFonts w:ascii="Times New Roman" w:eastAsiaTheme="minorEastAsia" w:hAnsi="Times New Roman"/>
          <w:i w:val="0"/>
          <w:iCs w:val="0"/>
          <w:noProof/>
          <w:sz w:val="24"/>
          <w:szCs w:val="24"/>
          <w:lang w:eastAsia="lv-LV"/>
        </w:rPr>
      </w:pPr>
      <w:hyperlink w:anchor="_Toc354384951" w:history="1">
        <w:r w:rsidR="008D2E29" w:rsidRPr="008D2E29">
          <w:rPr>
            <w:rStyle w:val="Hyperlink"/>
            <w:rFonts w:ascii="Times New Roman" w:hAnsi="Times New Roman"/>
            <w:noProof/>
            <w:sz w:val="24"/>
            <w:szCs w:val="24"/>
          </w:rPr>
          <w:t>3.6.3. Siltumnīcefekta gāzu emisiju samazināšana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_Toc354384951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73</w:t>
        </w:r>
        <w:r w:rsidR="008D2E29" w:rsidRPr="008D2E29">
          <w:rPr>
            <w:rFonts w:ascii="Times New Roman" w:hAnsi="Times New Roman"/>
            <w:noProof/>
            <w:webHidden/>
            <w:sz w:val="24"/>
            <w:szCs w:val="24"/>
          </w:rPr>
          <w:fldChar w:fldCharType="end"/>
        </w:r>
      </w:hyperlink>
    </w:p>
    <w:p w:rsidR="008D2E29" w:rsidRPr="008D2E29" w:rsidRDefault="00E8036E" w:rsidP="008D2E29">
      <w:pPr>
        <w:pStyle w:val="TOC1"/>
        <w:tabs>
          <w:tab w:val="right" w:leader="dot" w:pos="9061"/>
        </w:tabs>
        <w:spacing w:before="60" w:after="60"/>
        <w:rPr>
          <w:rFonts w:ascii="Times New Roman" w:eastAsiaTheme="minorEastAsia" w:hAnsi="Times New Roman"/>
          <w:b w:val="0"/>
          <w:bCs w:val="0"/>
          <w:caps w:val="0"/>
          <w:noProof/>
          <w:sz w:val="24"/>
          <w:szCs w:val="24"/>
          <w:lang w:eastAsia="lv-LV"/>
        </w:rPr>
      </w:pPr>
      <w:hyperlink w:anchor="_Toc354384952" w:history="1">
        <w:r w:rsidR="008D2E29" w:rsidRPr="008D2E29">
          <w:rPr>
            <w:rStyle w:val="Hyperlink"/>
            <w:rFonts w:ascii="Times New Roman" w:hAnsi="Times New Roman"/>
            <w:smallCaps/>
            <w:noProof/>
            <w:sz w:val="24"/>
            <w:szCs w:val="24"/>
          </w:rPr>
          <w:t>4. Struktūrfondu izmantošana</w:t>
        </w:r>
        <w:r w:rsidR="008D2E29" w:rsidRPr="008D2E29">
          <w:rPr>
            <w:rFonts w:ascii="Times New Roman" w:hAnsi="Times New Roman"/>
            <w:noProof/>
            <w:webHidden/>
            <w:sz w:val="24"/>
            <w:szCs w:val="24"/>
          </w:rPr>
          <w:tab/>
        </w:r>
        <w:r w:rsidR="008D2E29" w:rsidRPr="008D2E29">
          <w:rPr>
            <w:rFonts w:ascii="Times New Roman" w:hAnsi="Times New Roman"/>
            <w:noProof/>
            <w:webHidden/>
            <w:sz w:val="24"/>
            <w:szCs w:val="24"/>
          </w:rPr>
          <w:fldChar w:fldCharType="begin"/>
        </w:r>
        <w:r w:rsidR="008D2E29" w:rsidRPr="008D2E29">
          <w:rPr>
            <w:rFonts w:ascii="Times New Roman" w:hAnsi="Times New Roman"/>
            <w:noProof/>
            <w:webHidden/>
            <w:sz w:val="24"/>
            <w:szCs w:val="24"/>
          </w:rPr>
          <w:instrText xml:space="preserve"> PAGEREF _Toc354384952 \h </w:instrText>
        </w:r>
        <w:r w:rsidR="008D2E29" w:rsidRPr="008D2E29">
          <w:rPr>
            <w:rFonts w:ascii="Times New Roman" w:hAnsi="Times New Roman"/>
            <w:noProof/>
            <w:webHidden/>
            <w:sz w:val="24"/>
            <w:szCs w:val="24"/>
          </w:rPr>
        </w:r>
        <w:r w:rsidR="008D2E29" w:rsidRPr="008D2E29">
          <w:rPr>
            <w:rFonts w:ascii="Times New Roman" w:hAnsi="Times New Roman"/>
            <w:noProof/>
            <w:webHidden/>
            <w:sz w:val="24"/>
            <w:szCs w:val="24"/>
          </w:rPr>
          <w:fldChar w:fldCharType="separate"/>
        </w:r>
        <w:r w:rsidR="00CE08DF">
          <w:rPr>
            <w:rFonts w:ascii="Times New Roman" w:hAnsi="Times New Roman"/>
            <w:noProof/>
            <w:webHidden/>
            <w:sz w:val="24"/>
            <w:szCs w:val="24"/>
          </w:rPr>
          <w:t>75</w:t>
        </w:r>
        <w:r w:rsidR="008D2E29" w:rsidRPr="008D2E29">
          <w:rPr>
            <w:rFonts w:ascii="Times New Roman" w:hAnsi="Times New Roman"/>
            <w:noProof/>
            <w:webHidden/>
            <w:sz w:val="24"/>
            <w:szCs w:val="24"/>
          </w:rPr>
          <w:fldChar w:fldCharType="end"/>
        </w:r>
      </w:hyperlink>
    </w:p>
    <w:p w:rsidR="00C23E60" w:rsidRPr="00C43284" w:rsidRDefault="00465E0C" w:rsidP="008D2E29">
      <w:pPr>
        <w:spacing w:before="60" w:after="60"/>
        <w:rPr>
          <w:rFonts w:ascii="Times New Roman Bold" w:hAnsi="Times New Roman Bold"/>
          <w:b/>
          <w:sz w:val="32"/>
          <w:szCs w:val="32"/>
        </w:rPr>
      </w:pPr>
      <w:r w:rsidRPr="008D2E29">
        <w:rPr>
          <w:b/>
        </w:rPr>
        <w:fldChar w:fldCharType="end"/>
      </w:r>
      <w:r w:rsidR="00C23E60" w:rsidRPr="00C43284">
        <w:rPr>
          <w:rFonts w:ascii="Times New Roman Bold" w:hAnsi="Times New Roman Bold"/>
          <w:b/>
          <w:sz w:val="32"/>
          <w:szCs w:val="32"/>
        </w:rPr>
        <w:br w:type="page"/>
      </w:r>
    </w:p>
    <w:p w:rsidR="00C23E60" w:rsidRPr="00B703A3" w:rsidRDefault="00C23E60" w:rsidP="00697D9B">
      <w:pPr>
        <w:pStyle w:val="Heading1"/>
        <w:spacing w:after="120"/>
        <w:jc w:val="center"/>
        <w:rPr>
          <w:rFonts w:ascii="Times New Roman Bold" w:hAnsi="Times New Roman Bold" w:cs="Times New Roman"/>
          <w:smallCaps/>
          <w:color w:val="auto"/>
        </w:rPr>
      </w:pPr>
      <w:bookmarkStart w:id="0" w:name="_Toc291595960"/>
      <w:bookmarkStart w:id="1" w:name="_Toc354384918"/>
      <w:r w:rsidRPr="00B703A3">
        <w:rPr>
          <w:rFonts w:ascii="Times New Roman Bold" w:eastAsia="Times New Roman" w:hAnsi="Times New Roman Bold" w:cs="Times New Roman"/>
          <w:smallCaps/>
          <w:color w:val="auto"/>
        </w:rPr>
        <w:lastRenderedPageBreak/>
        <w:t>Saīsinājumi, mērvienības un nosacītie apzīmējumi</w:t>
      </w:r>
      <w:bookmarkEnd w:id="0"/>
      <w:bookmarkEnd w:id="1"/>
    </w:p>
    <w:p w:rsidR="00885B2F" w:rsidRPr="00C43284" w:rsidRDefault="00885B2F" w:rsidP="00697D9B">
      <w:pPr>
        <w:spacing w:after="120"/>
        <w:jc w:val="left"/>
        <w:rPr>
          <w:rFonts w:eastAsia="Times New Roman"/>
          <w:color w:val="000000"/>
          <w:lang w:eastAsia="lv-LV"/>
        </w:rPr>
        <w:sectPr w:rsidR="00885B2F" w:rsidRPr="00C43284" w:rsidSect="0001696A">
          <w:footerReference w:type="default" r:id="rId9"/>
          <w:footerReference w:type="first" r:id="rId10"/>
          <w:pgSz w:w="11906" w:h="16838" w:code="9"/>
          <w:pgMar w:top="1134" w:right="1134" w:bottom="1134" w:left="1701" w:header="709" w:footer="709" w:gutter="0"/>
          <w:cols w:space="708"/>
          <w:titlePg/>
          <w:docGrid w:linePitch="360"/>
        </w:sectPr>
      </w:pPr>
    </w:p>
    <w:tbl>
      <w:tblPr>
        <w:tblW w:w="5118" w:type="pct"/>
        <w:jc w:val="right"/>
        <w:tblInd w:w="-318" w:type="dxa"/>
        <w:tblLayout w:type="fixed"/>
        <w:tblLook w:val="04A0" w:firstRow="1" w:lastRow="0" w:firstColumn="1" w:lastColumn="0" w:noHBand="0" w:noVBand="1"/>
      </w:tblPr>
      <w:tblGrid>
        <w:gridCol w:w="1135"/>
        <w:gridCol w:w="3366"/>
      </w:tblGrid>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lastRenderedPageBreak/>
              <w:t>AE</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atjaunojamā enerģija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AER</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atjaunojamie energoresursi</w:t>
            </w:r>
          </w:p>
        </w:tc>
      </w:tr>
      <w:tr w:rsidR="003C1193" w:rsidRPr="009B11CF" w:rsidTr="00D45640">
        <w:trPr>
          <w:trHeight w:val="306"/>
          <w:jc w:val="right"/>
        </w:trPr>
        <w:tc>
          <w:tcPr>
            <w:tcW w:w="1261" w:type="pct"/>
            <w:shd w:val="clear" w:color="auto" w:fill="auto"/>
            <w:noWrap/>
          </w:tcPr>
          <w:p w:rsidR="003C1193" w:rsidRPr="009B11CF" w:rsidRDefault="003C1193"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AFI</w:t>
            </w:r>
          </w:p>
        </w:tc>
        <w:tc>
          <w:tcPr>
            <w:tcW w:w="3739" w:type="pct"/>
            <w:shd w:val="clear" w:color="auto" w:fill="auto"/>
            <w:noWrap/>
          </w:tcPr>
          <w:p w:rsidR="003C1193" w:rsidRPr="009B11CF" w:rsidRDefault="003C1193"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Attīstības finanšu institūcija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AII</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augstākās izglītības institūcija</w:t>
            </w:r>
          </w:p>
        </w:tc>
      </w:tr>
      <w:tr w:rsidR="002F2148" w:rsidRPr="009B11CF" w:rsidTr="00D45640">
        <w:trPr>
          <w:trHeight w:val="306"/>
          <w:jc w:val="right"/>
        </w:trPr>
        <w:tc>
          <w:tcPr>
            <w:tcW w:w="1261" w:type="pct"/>
            <w:shd w:val="clear" w:color="auto" w:fill="auto"/>
            <w:noWrap/>
            <w:hideMark/>
          </w:tcPr>
          <w:p w:rsidR="002F2148" w:rsidRPr="009B11CF" w:rsidRDefault="002F2148"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ARTEMIS</w:t>
            </w:r>
          </w:p>
        </w:tc>
        <w:tc>
          <w:tcPr>
            <w:tcW w:w="3739" w:type="pct"/>
            <w:shd w:val="clear" w:color="auto" w:fill="auto"/>
            <w:noWrap/>
            <w:hideMark/>
          </w:tcPr>
          <w:p w:rsidR="002F2148" w:rsidRPr="009B11CF" w:rsidRDefault="002F2148" w:rsidP="00D45640">
            <w:pPr>
              <w:jc w:val="left"/>
              <w:rPr>
                <w:rFonts w:eastAsia="Times New Roman"/>
                <w:color w:val="000000"/>
                <w:sz w:val="19"/>
                <w:szCs w:val="19"/>
                <w:lang w:eastAsia="lv-LV"/>
              </w:rPr>
            </w:pPr>
            <w:r w:rsidRPr="009B11CF">
              <w:rPr>
                <w:rFonts w:eastAsia="Times New Roman"/>
                <w:color w:val="000000"/>
                <w:sz w:val="19"/>
                <w:szCs w:val="19"/>
                <w:lang w:eastAsia="lv-LV"/>
              </w:rPr>
              <w:t>kopuzņēmuma programma</w:t>
            </w:r>
          </w:p>
          <w:p w:rsidR="002F2148" w:rsidRPr="009B11CF" w:rsidRDefault="002F2148" w:rsidP="00D45640">
            <w:pPr>
              <w:jc w:val="left"/>
              <w:rPr>
                <w:rFonts w:eastAsia="Times New Roman"/>
                <w:color w:val="000000"/>
                <w:sz w:val="19"/>
                <w:szCs w:val="19"/>
                <w:lang w:eastAsia="lv-LV"/>
              </w:rPr>
            </w:pPr>
            <w:r w:rsidRPr="009B11CF">
              <w:rPr>
                <w:rFonts w:eastAsia="Times New Roman"/>
                <w:color w:val="000000"/>
                <w:sz w:val="19"/>
                <w:szCs w:val="19"/>
                <w:lang w:eastAsia="lv-LV"/>
              </w:rPr>
              <w:t>progresīvās pētniecības un</w:t>
            </w:r>
          </w:p>
          <w:p w:rsidR="002F2148" w:rsidRPr="009B11CF" w:rsidRDefault="002F2148" w:rsidP="00D45640">
            <w:pPr>
              <w:jc w:val="left"/>
              <w:rPr>
                <w:rFonts w:eastAsia="Times New Roman"/>
                <w:color w:val="000000"/>
                <w:sz w:val="19"/>
                <w:szCs w:val="19"/>
                <w:lang w:eastAsia="lv-LV"/>
              </w:rPr>
            </w:pPr>
            <w:r w:rsidRPr="009B11CF">
              <w:rPr>
                <w:rFonts w:eastAsia="Times New Roman"/>
                <w:color w:val="000000"/>
                <w:sz w:val="19"/>
                <w:szCs w:val="19"/>
                <w:lang w:eastAsia="lv-LV"/>
              </w:rPr>
              <w:t>tehnoloģijas iegultās inteliģences un</w:t>
            </w:r>
          </w:p>
          <w:p w:rsidR="002F2148" w:rsidRPr="009B11CF" w:rsidRDefault="002F2148" w:rsidP="00D45640">
            <w:pPr>
              <w:jc w:val="left"/>
              <w:rPr>
                <w:rFonts w:eastAsia="Times New Roman"/>
                <w:color w:val="000000"/>
                <w:sz w:val="19"/>
                <w:szCs w:val="19"/>
                <w:lang w:eastAsia="lv-LV"/>
              </w:rPr>
            </w:pPr>
            <w:r w:rsidRPr="009B11CF">
              <w:rPr>
                <w:rFonts w:eastAsia="Times New Roman"/>
                <w:color w:val="000000"/>
                <w:sz w:val="19"/>
                <w:szCs w:val="19"/>
                <w:lang w:eastAsia="lv-LV"/>
              </w:rPr>
              <w:t>si</w:t>
            </w:r>
            <w:r w:rsidRPr="009B11CF">
              <w:rPr>
                <w:color w:val="000000"/>
                <w:sz w:val="19"/>
                <w:szCs w:val="19"/>
              </w:rPr>
              <w:t>stēmu jomā</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AS</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akciju sabiedrība</w:t>
            </w:r>
          </w:p>
        </w:tc>
      </w:tr>
      <w:tr w:rsidR="007F65A0" w:rsidRPr="009B11CF" w:rsidTr="00D45640">
        <w:trPr>
          <w:trHeight w:val="306"/>
          <w:jc w:val="right"/>
        </w:trPr>
        <w:tc>
          <w:tcPr>
            <w:tcW w:w="1261" w:type="pct"/>
            <w:shd w:val="clear" w:color="auto" w:fill="auto"/>
            <w:noWrap/>
          </w:tcPr>
          <w:p w:rsidR="007F65A0" w:rsidRPr="009B11CF" w:rsidRDefault="007F65A0" w:rsidP="00D45640">
            <w:pPr>
              <w:spacing w:before="60" w:after="60"/>
              <w:jc w:val="left"/>
              <w:rPr>
                <w:rFonts w:eastAsia="Times New Roman"/>
                <w:color w:val="000000"/>
                <w:sz w:val="19"/>
                <w:szCs w:val="19"/>
                <w:lang w:eastAsia="lv-LV"/>
              </w:rPr>
            </w:pPr>
            <w:r w:rsidRPr="009B11CF">
              <w:rPr>
                <w:sz w:val="19"/>
                <w:szCs w:val="19"/>
              </w:rPr>
              <w:t xml:space="preserve">ASIIN </w:t>
            </w:r>
            <w:proofErr w:type="spellStart"/>
            <w:r w:rsidRPr="009B11CF">
              <w:rPr>
                <w:sz w:val="19"/>
                <w:szCs w:val="19"/>
              </w:rPr>
              <w:t>e.V</w:t>
            </w:r>
            <w:proofErr w:type="spellEnd"/>
            <w:r w:rsidRPr="009B11CF">
              <w:rPr>
                <w:sz w:val="19"/>
                <w:szCs w:val="19"/>
              </w:rPr>
              <w:t>.</w:t>
            </w:r>
          </w:p>
        </w:tc>
        <w:tc>
          <w:tcPr>
            <w:tcW w:w="3739" w:type="pct"/>
            <w:shd w:val="clear" w:color="auto" w:fill="auto"/>
            <w:noWrap/>
          </w:tcPr>
          <w:p w:rsidR="007F65A0" w:rsidRPr="009B11CF" w:rsidRDefault="007F65A0" w:rsidP="00D45640">
            <w:pPr>
              <w:spacing w:before="60" w:after="60"/>
              <w:jc w:val="left"/>
              <w:rPr>
                <w:rFonts w:eastAsia="Times New Roman"/>
                <w:color w:val="000000"/>
                <w:sz w:val="19"/>
                <w:szCs w:val="19"/>
                <w:lang w:eastAsia="lv-LV"/>
              </w:rPr>
            </w:pPr>
            <w:r w:rsidRPr="009B11CF">
              <w:rPr>
                <w:sz w:val="19"/>
                <w:szCs w:val="19"/>
              </w:rPr>
              <w:t>Vācijas augstākās izglītības kvalitātes novērtēšanas aģentūra</w:t>
            </w:r>
          </w:p>
        </w:tc>
      </w:tr>
      <w:tr w:rsidR="0060629B" w:rsidRPr="009B11CF" w:rsidTr="00D45640">
        <w:trPr>
          <w:trHeight w:val="306"/>
          <w:jc w:val="right"/>
        </w:trPr>
        <w:tc>
          <w:tcPr>
            <w:tcW w:w="1261" w:type="pct"/>
            <w:shd w:val="clear" w:color="auto" w:fill="auto"/>
            <w:noWrap/>
            <w:hideMark/>
          </w:tcPr>
          <w:p w:rsidR="0060629B" w:rsidRPr="009B11CF" w:rsidRDefault="0060629B"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ĀM</w:t>
            </w:r>
          </w:p>
        </w:tc>
        <w:tc>
          <w:tcPr>
            <w:tcW w:w="3739" w:type="pct"/>
            <w:shd w:val="clear" w:color="auto" w:fill="auto"/>
            <w:noWrap/>
            <w:hideMark/>
          </w:tcPr>
          <w:p w:rsidR="0060629B" w:rsidRPr="009B11CF" w:rsidRDefault="0060629B"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Ārlietu ministrija</w:t>
            </w:r>
          </w:p>
        </w:tc>
      </w:tr>
      <w:tr w:rsidR="0060629B" w:rsidRPr="009B11CF" w:rsidTr="00D45640">
        <w:trPr>
          <w:trHeight w:val="306"/>
          <w:jc w:val="right"/>
        </w:trPr>
        <w:tc>
          <w:tcPr>
            <w:tcW w:w="1261" w:type="pct"/>
            <w:shd w:val="clear" w:color="auto" w:fill="auto"/>
            <w:noWrap/>
            <w:hideMark/>
          </w:tcPr>
          <w:p w:rsidR="0060629B" w:rsidRPr="009B11CF" w:rsidRDefault="0060629B"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ĀTI</w:t>
            </w:r>
          </w:p>
        </w:tc>
        <w:tc>
          <w:tcPr>
            <w:tcW w:w="3739" w:type="pct"/>
            <w:shd w:val="clear" w:color="auto" w:fill="auto"/>
            <w:noWrap/>
            <w:hideMark/>
          </w:tcPr>
          <w:p w:rsidR="0060629B" w:rsidRPr="009B11CF" w:rsidRDefault="0060629B"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ārvalstu tiešās investīcijas</w:t>
            </w:r>
          </w:p>
        </w:tc>
      </w:tr>
      <w:tr w:rsidR="0081626E" w:rsidRPr="009B11CF" w:rsidTr="00D45640">
        <w:trPr>
          <w:trHeight w:val="306"/>
          <w:jc w:val="right"/>
        </w:trPr>
        <w:tc>
          <w:tcPr>
            <w:tcW w:w="1261" w:type="pct"/>
            <w:shd w:val="clear" w:color="auto" w:fill="auto"/>
            <w:noWrap/>
          </w:tcPr>
          <w:p w:rsidR="0081626E" w:rsidRPr="009B11CF" w:rsidRDefault="0081626E"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BIRTI</w:t>
            </w:r>
          </w:p>
        </w:tc>
        <w:tc>
          <w:tcPr>
            <w:tcW w:w="3739" w:type="pct"/>
            <w:shd w:val="clear" w:color="auto" w:fill="auto"/>
            <w:noWrap/>
          </w:tcPr>
          <w:p w:rsidR="0081626E" w:rsidRPr="009B11CF" w:rsidRDefault="0081626E" w:rsidP="00D45640">
            <w:pPr>
              <w:spacing w:before="60" w:after="60"/>
              <w:jc w:val="left"/>
              <w:rPr>
                <w:rFonts w:eastAsia="Times New Roman"/>
                <w:color w:val="000000"/>
                <w:sz w:val="19"/>
                <w:szCs w:val="19"/>
                <w:lang w:eastAsia="lv-LV"/>
              </w:rPr>
            </w:pPr>
            <w:r w:rsidRPr="009B11CF">
              <w:rPr>
                <w:sz w:val="19"/>
                <w:szCs w:val="19"/>
              </w:rPr>
              <w:t xml:space="preserve">Baltijas Inovatīvās pētniecības un </w:t>
            </w:r>
            <w:r w:rsidRPr="009B11CF">
              <w:rPr>
                <w:sz w:val="19"/>
                <w:szCs w:val="19"/>
              </w:rPr>
              <w:br/>
              <w:t>tehnoloģiju infrastruktūra</w:t>
            </w:r>
          </w:p>
        </w:tc>
      </w:tr>
      <w:tr w:rsidR="006963CB" w:rsidRPr="009B11CF" w:rsidTr="00D45640">
        <w:trPr>
          <w:trHeight w:val="306"/>
          <w:jc w:val="right"/>
        </w:trPr>
        <w:tc>
          <w:tcPr>
            <w:tcW w:w="1261" w:type="pct"/>
            <w:shd w:val="clear" w:color="auto" w:fill="auto"/>
            <w:noWrap/>
          </w:tcPr>
          <w:p w:rsidR="006963CB" w:rsidRPr="009B11CF" w:rsidRDefault="006963CB"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BIS</w:t>
            </w:r>
          </w:p>
        </w:tc>
        <w:tc>
          <w:tcPr>
            <w:tcW w:w="3739" w:type="pct"/>
            <w:shd w:val="clear" w:color="auto" w:fill="auto"/>
            <w:noWrap/>
          </w:tcPr>
          <w:p w:rsidR="006963CB" w:rsidRPr="009B11CF" w:rsidRDefault="006963CB" w:rsidP="00D45640">
            <w:pPr>
              <w:spacing w:before="60" w:after="60"/>
              <w:jc w:val="left"/>
              <w:rPr>
                <w:sz w:val="19"/>
                <w:szCs w:val="19"/>
              </w:rPr>
            </w:pPr>
            <w:r w:rsidRPr="009B11CF">
              <w:rPr>
                <w:sz w:val="19"/>
                <w:szCs w:val="19"/>
              </w:rPr>
              <w:t>Būvniecības informācijas sistēma</w:t>
            </w:r>
          </w:p>
        </w:tc>
      </w:tr>
      <w:tr w:rsidR="00763A88" w:rsidRPr="009B11CF" w:rsidTr="00D45640">
        <w:trPr>
          <w:trHeight w:val="306"/>
          <w:jc w:val="right"/>
        </w:trPr>
        <w:tc>
          <w:tcPr>
            <w:tcW w:w="1261" w:type="pct"/>
            <w:shd w:val="clear" w:color="auto" w:fill="auto"/>
            <w:noWrap/>
            <w:hideMark/>
          </w:tcPr>
          <w:p w:rsidR="00763A88" w:rsidRPr="009B11CF" w:rsidRDefault="00763A88" w:rsidP="00D45640">
            <w:pPr>
              <w:spacing w:before="60" w:after="60"/>
              <w:jc w:val="left"/>
              <w:rPr>
                <w:rFonts w:eastAsia="Times New Roman"/>
                <w:color w:val="000000"/>
                <w:sz w:val="19"/>
                <w:szCs w:val="19"/>
                <w:lang w:eastAsia="lv-LV"/>
              </w:rPr>
            </w:pPr>
            <w:r w:rsidRPr="009B11CF">
              <w:rPr>
                <w:sz w:val="19"/>
                <w:szCs w:val="19"/>
              </w:rPr>
              <w:t>CERT.LV</w:t>
            </w:r>
          </w:p>
        </w:tc>
        <w:tc>
          <w:tcPr>
            <w:tcW w:w="3739" w:type="pct"/>
            <w:shd w:val="clear" w:color="auto" w:fill="auto"/>
            <w:noWrap/>
            <w:hideMark/>
          </w:tcPr>
          <w:p w:rsidR="00763A88" w:rsidRPr="009B11CF" w:rsidRDefault="00763A88"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Informācijas tehnoloģiju drošības</w:t>
            </w:r>
            <w:r w:rsidRPr="009B11CF">
              <w:rPr>
                <w:rFonts w:eastAsia="Times New Roman"/>
                <w:color w:val="000000"/>
                <w:sz w:val="19"/>
                <w:szCs w:val="19"/>
                <w:lang w:eastAsia="lv-LV"/>
              </w:rPr>
              <w:br/>
              <w:t>incidentu novēršanas institūcija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CO</w:t>
            </w:r>
            <w:r w:rsidRPr="009B11CF">
              <w:rPr>
                <w:rFonts w:eastAsia="Times New Roman"/>
                <w:color w:val="000000"/>
                <w:sz w:val="19"/>
                <w:szCs w:val="19"/>
                <w:vertAlign w:val="subscript"/>
                <w:lang w:eastAsia="lv-LV"/>
              </w:rPr>
              <w:t>2</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oglekļa dioksīds</w:t>
            </w:r>
          </w:p>
        </w:tc>
      </w:tr>
      <w:tr w:rsidR="00F15AAA" w:rsidRPr="009B11CF" w:rsidTr="00D45640">
        <w:trPr>
          <w:trHeight w:val="306"/>
          <w:jc w:val="right"/>
        </w:trPr>
        <w:tc>
          <w:tcPr>
            <w:tcW w:w="1261" w:type="pct"/>
            <w:shd w:val="clear" w:color="auto" w:fill="auto"/>
            <w:noWrap/>
          </w:tcPr>
          <w:p w:rsidR="00F15AAA" w:rsidRPr="009B11CF" w:rsidRDefault="00F15AAA"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COST</w:t>
            </w:r>
          </w:p>
        </w:tc>
        <w:tc>
          <w:tcPr>
            <w:tcW w:w="3739" w:type="pct"/>
            <w:shd w:val="clear" w:color="auto" w:fill="auto"/>
            <w:noWrap/>
          </w:tcPr>
          <w:p w:rsidR="00F15AAA" w:rsidRPr="009B11CF" w:rsidRDefault="00F15AAA"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 xml:space="preserve">Eiropas starpvaldību sistēma </w:t>
            </w:r>
            <w:r w:rsidRPr="009B11CF">
              <w:rPr>
                <w:rFonts w:eastAsia="Times New Roman"/>
                <w:color w:val="000000"/>
                <w:sz w:val="19"/>
                <w:szCs w:val="19"/>
                <w:lang w:eastAsia="lv-LV"/>
              </w:rPr>
              <w:br/>
              <w:t xml:space="preserve">starptautiskai sadarbībai starp valstu </w:t>
            </w:r>
            <w:r w:rsidRPr="009B11CF">
              <w:rPr>
                <w:rFonts w:eastAsia="Times New Roman"/>
                <w:color w:val="000000"/>
                <w:sz w:val="19"/>
                <w:szCs w:val="19"/>
                <w:lang w:eastAsia="lv-LV"/>
              </w:rPr>
              <w:br/>
              <w:t>finansētajiem projektiem pētniecības</w:t>
            </w:r>
            <w:r w:rsidRPr="009B11CF">
              <w:rPr>
                <w:rFonts w:eastAsia="Times New Roman"/>
                <w:color w:val="000000"/>
                <w:sz w:val="19"/>
                <w:szCs w:val="19"/>
                <w:lang w:eastAsia="lv-LV"/>
              </w:rPr>
              <w:br/>
              <w:t>jomā</w:t>
            </w:r>
          </w:p>
        </w:tc>
      </w:tr>
      <w:tr w:rsidR="008C7DFB" w:rsidRPr="009B11CF" w:rsidTr="00D45640">
        <w:trPr>
          <w:trHeight w:val="306"/>
          <w:jc w:val="right"/>
        </w:trPr>
        <w:tc>
          <w:tcPr>
            <w:tcW w:w="1261" w:type="pct"/>
            <w:shd w:val="clear" w:color="auto" w:fill="auto"/>
            <w:noWrap/>
          </w:tcPr>
          <w:p w:rsidR="008C7DFB" w:rsidRPr="009B11CF" w:rsidRDefault="008C7DFB"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CSP</w:t>
            </w:r>
          </w:p>
        </w:tc>
        <w:tc>
          <w:tcPr>
            <w:tcW w:w="3739" w:type="pct"/>
            <w:shd w:val="clear" w:color="auto" w:fill="auto"/>
            <w:noWrap/>
          </w:tcPr>
          <w:p w:rsidR="008C7DFB" w:rsidRPr="009B11CF" w:rsidRDefault="008C7DFB"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Centrālā statistikas pārvalde</w:t>
            </w:r>
          </w:p>
        </w:tc>
      </w:tr>
      <w:tr w:rsidR="00324C3C" w:rsidRPr="009B11CF" w:rsidTr="00D45640">
        <w:trPr>
          <w:trHeight w:val="306"/>
          <w:jc w:val="right"/>
        </w:trPr>
        <w:tc>
          <w:tcPr>
            <w:tcW w:w="1261" w:type="pct"/>
            <w:shd w:val="clear" w:color="auto" w:fill="auto"/>
            <w:noWrap/>
          </w:tcPr>
          <w:p w:rsidR="00324C3C" w:rsidRPr="009B11CF" w:rsidRDefault="00324C3C"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ECB</w:t>
            </w:r>
          </w:p>
        </w:tc>
        <w:tc>
          <w:tcPr>
            <w:tcW w:w="3739" w:type="pct"/>
            <w:shd w:val="clear" w:color="auto" w:fill="auto"/>
            <w:noWrap/>
          </w:tcPr>
          <w:p w:rsidR="00324C3C" w:rsidRPr="009B11CF" w:rsidRDefault="00324C3C"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Eiropas Centrālā banka</w:t>
            </w:r>
          </w:p>
        </w:tc>
      </w:tr>
      <w:tr w:rsidR="00D331B6" w:rsidRPr="009B11CF" w:rsidTr="00D45640">
        <w:trPr>
          <w:trHeight w:val="306"/>
          <w:jc w:val="right"/>
        </w:trPr>
        <w:tc>
          <w:tcPr>
            <w:tcW w:w="1261" w:type="pct"/>
            <w:shd w:val="clear" w:color="auto" w:fill="auto"/>
            <w:noWrap/>
            <w:hideMark/>
          </w:tcPr>
          <w:p w:rsidR="00D331B6" w:rsidRPr="009B11CF" w:rsidRDefault="00D331B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EK</w:t>
            </w:r>
          </w:p>
        </w:tc>
        <w:tc>
          <w:tcPr>
            <w:tcW w:w="3739" w:type="pct"/>
            <w:shd w:val="clear" w:color="auto" w:fill="auto"/>
            <w:noWrap/>
            <w:hideMark/>
          </w:tcPr>
          <w:p w:rsidR="00D331B6" w:rsidRPr="009B11CF" w:rsidRDefault="00D331B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Eiropas Komisija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EKS</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Eiropas kontu sistēma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EM</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Ekonomikas ministrija</w:t>
            </w:r>
          </w:p>
        </w:tc>
      </w:tr>
      <w:tr w:rsidR="007F65A0" w:rsidRPr="009B11CF" w:rsidTr="00D45640">
        <w:trPr>
          <w:trHeight w:val="306"/>
          <w:jc w:val="right"/>
        </w:trPr>
        <w:tc>
          <w:tcPr>
            <w:tcW w:w="1261" w:type="pct"/>
            <w:shd w:val="clear" w:color="auto" w:fill="auto"/>
            <w:noWrap/>
          </w:tcPr>
          <w:p w:rsidR="007F65A0" w:rsidRPr="009B11CF" w:rsidRDefault="007F65A0"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EQAR</w:t>
            </w:r>
          </w:p>
        </w:tc>
        <w:tc>
          <w:tcPr>
            <w:tcW w:w="3739" w:type="pct"/>
            <w:shd w:val="clear" w:color="auto" w:fill="auto"/>
            <w:noWrap/>
          </w:tcPr>
          <w:p w:rsidR="007F65A0" w:rsidRPr="009B11CF" w:rsidRDefault="007F65A0" w:rsidP="00D45640">
            <w:pPr>
              <w:jc w:val="left"/>
              <w:rPr>
                <w:rFonts w:eastAsia="Times New Roman"/>
                <w:sz w:val="19"/>
                <w:szCs w:val="19"/>
                <w:lang w:eastAsia="lv-LV"/>
              </w:rPr>
            </w:pPr>
            <w:r w:rsidRPr="009B11CF">
              <w:rPr>
                <w:rStyle w:val="st1"/>
                <w:sz w:val="19"/>
                <w:szCs w:val="19"/>
              </w:rPr>
              <w:t xml:space="preserve">Eiropas augstākās izglītības </w:t>
            </w:r>
            <w:r w:rsidR="0081626E" w:rsidRPr="009B11CF">
              <w:rPr>
                <w:rStyle w:val="st1"/>
                <w:sz w:val="19"/>
                <w:szCs w:val="19"/>
              </w:rPr>
              <w:br/>
            </w:r>
            <w:r w:rsidRPr="009B11CF">
              <w:rPr>
                <w:rStyle w:val="st1"/>
                <w:sz w:val="19"/>
                <w:szCs w:val="19"/>
              </w:rPr>
              <w:t>kvalitātes nodrošināšanas reģistrs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ERAF</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Eiropas Reģionālās attīstības fonds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ES</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Eiropas Savienība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ESF</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Eiropas Sociālais fonds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ETS</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Emisijas kvotu tirdzniecības sistēma</w:t>
            </w:r>
          </w:p>
        </w:tc>
      </w:tr>
      <w:tr w:rsidR="00DE4708" w:rsidRPr="009B11CF" w:rsidTr="00D45640">
        <w:trPr>
          <w:trHeight w:val="306"/>
          <w:jc w:val="right"/>
        </w:trPr>
        <w:tc>
          <w:tcPr>
            <w:tcW w:w="1261" w:type="pct"/>
            <w:shd w:val="clear" w:color="auto" w:fill="auto"/>
            <w:noWrap/>
            <w:hideMark/>
          </w:tcPr>
          <w:p w:rsidR="00DE4708" w:rsidRPr="009B11CF" w:rsidRDefault="00DE4708"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EUREKA</w:t>
            </w:r>
          </w:p>
        </w:tc>
        <w:tc>
          <w:tcPr>
            <w:tcW w:w="3739" w:type="pct"/>
            <w:shd w:val="clear" w:color="auto" w:fill="auto"/>
            <w:noWrap/>
            <w:hideMark/>
          </w:tcPr>
          <w:p w:rsidR="00DE4708" w:rsidRPr="009B11CF" w:rsidRDefault="00DE4708"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Eiropas mēroga programma tirgus</w:t>
            </w:r>
          </w:p>
          <w:p w:rsidR="00DE4708" w:rsidRPr="009B11CF" w:rsidRDefault="00DE4708"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orientēto rūpniecisko pētījumu</w:t>
            </w:r>
          </w:p>
          <w:p w:rsidR="00DE4708" w:rsidRPr="009B11CF" w:rsidRDefault="00DE4708"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veikšanai un inovācijām</w:t>
            </w:r>
          </w:p>
        </w:tc>
      </w:tr>
      <w:tr w:rsidR="003256A7" w:rsidRPr="009B11CF" w:rsidTr="00D45640">
        <w:trPr>
          <w:trHeight w:val="306"/>
          <w:jc w:val="right"/>
        </w:trPr>
        <w:tc>
          <w:tcPr>
            <w:tcW w:w="1261" w:type="pct"/>
            <w:shd w:val="clear" w:color="auto" w:fill="auto"/>
            <w:noWrap/>
            <w:hideMark/>
          </w:tcPr>
          <w:p w:rsidR="003256A7" w:rsidRPr="009B11CF" w:rsidRDefault="003256A7"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EUROSTARS</w:t>
            </w:r>
          </w:p>
        </w:tc>
        <w:tc>
          <w:tcPr>
            <w:tcW w:w="3739" w:type="pct"/>
            <w:shd w:val="clear" w:color="auto" w:fill="auto"/>
            <w:noWrap/>
            <w:hideMark/>
          </w:tcPr>
          <w:p w:rsidR="003256A7" w:rsidRPr="009B11CF" w:rsidRDefault="003256A7" w:rsidP="00D45640">
            <w:pPr>
              <w:pStyle w:val="NormalWeb"/>
              <w:spacing w:after="0"/>
              <w:rPr>
                <w:rStyle w:val="Strong"/>
                <w:b w:val="0"/>
                <w:color w:val="000000"/>
                <w:sz w:val="19"/>
                <w:szCs w:val="19"/>
              </w:rPr>
            </w:pPr>
            <w:r w:rsidRPr="009B11CF">
              <w:rPr>
                <w:rStyle w:val="Strong"/>
                <w:b w:val="0"/>
                <w:color w:val="000000"/>
                <w:sz w:val="19"/>
                <w:szCs w:val="19"/>
              </w:rPr>
              <w:t xml:space="preserve">starptautiska programma pētniecības </w:t>
            </w:r>
          </w:p>
          <w:p w:rsidR="003256A7" w:rsidRPr="009B11CF" w:rsidRDefault="003256A7" w:rsidP="00D45640">
            <w:pPr>
              <w:pStyle w:val="NormalWeb"/>
              <w:spacing w:after="0"/>
              <w:rPr>
                <w:rStyle w:val="Strong"/>
                <w:b w:val="0"/>
                <w:color w:val="000000"/>
                <w:sz w:val="19"/>
                <w:szCs w:val="19"/>
              </w:rPr>
            </w:pPr>
            <w:r w:rsidRPr="009B11CF">
              <w:rPr>
                <w:rStyle w:val="Strong"/>
                <w:b w:val="0"/>
                <w:color w:val="000000"/>
                <w:sz w:val="19"/>
                <w:szCs w:val="19"/>
              </w:rPr>
              <w:t>darbu veicošo</w:t>
            </w:r>
            <w:r w:rsidRPr="009B11CF">
              <w:rPr>
                <w:b/>
                <w:bCs/>
                <w:color w:val="000000"/>
                <w:sz w:val="19"/>
                <w:szCs w:val="19"/>
              </w:rPr>
              <w:t xml:space="preserve"> </w:t>
            </w:r>
            <w:r w:rsidRPr="009B11CF">
              <w:rPr>
                <w:rStyle w:val="Strong"/>
                <w:b w:val="0"/>
                <w:color w:val="000000"/>
                <w:sz w:val="19"/>
                <w:szCs w:val="19"/>
              </w:rPr>
              <w:t>mazo un vidējo</w:t>
            </w:r>
          </w:p>
          <w:p w:rsidR="003256A7" w:rsidRPr="009B11CF" w:rsidRDefault="003256A7" w:rsidP="00D45640">
            <w:pPr>
              <w:pStyle w:val="NormalWeb"/>
              <w:spacing w:after="0"/>
              <w:rPr>
                <w:b/>
                <w:color w:val="000000"/>
                <w:sz w:val="19"/>
                <w:szCs w:val="19"/>
              </w:rPr>
            </w:pPr>
            <w:r w:rsidRPr="009B11CF">
              <w:rPr>
                <w:rStyle w:val="Strong"/>
                <w:b w:val="0"/>
                <w:color w:val="000000"/>
                <w:sz w:val="19"/>
                <w:szCs w:val="19"/>
              </w:rPr>
              <w:t>uzņēmumu atbalstam</w:t>
            </w:r>
          </w:p>
        </w:tc>
      </w:tr>
      <w:tr w:rsidR="00B471E9" w:rsidRPr="009B11CF" w:rsidTr="00D45640">
        <w:trPr>
          <w:trHeight w:val="306"/>
          <w:jc w:val="right"/>
        </w:trPr>
        <w:tc>
          <w:tcPr>
            <w:tcW w:w="1261" w:type="pct"/>
            <w:shd w:val="clear" w:color="auto" w:fill="auto"/>
            <w:noWrap/>
            <w:vAlign w:val="center"/>
            <w:hideMark/>
          </w:tcPr>
          <w:p w:rsidR="00B471E9" w:rsidRPr="009B11CF" w:rsidRDefault="00B471E9" w:rsidP="00D45640">
            <w:pPr>
              <w:spacing w:before="60" w:after="60"/>
              <w:jc w:val="left"/>
              <w:rPr>
                <w:rFonts w:eastAsia="Times New Roman"/>
                <w:color w:val="000000"/>
                <w:sz w:val="19"/>
                <w:szCs w:val="19"/>
                <w:lang w:eastAsia="lv-LV"/>
              </w:rPr>
            </w:pPr>
            <w:proofErr w:type="spellStart"/>
            <w:r w:rsidRPr="009B11CF">
              <w:rPr>
                <w:rFonts w:eastAsia="Times New Roman"/>
                <w:color w:val="000000"/>
                <w:sz w:val="19"/>
                <w:szCs w:val="19"/>
                <w:lang w:eastAsia="lv-LV"/>
              </w:rPr>
              <w:t>Eurostat</w:t>
            </w:r>
            <w:proofErr w:type="spellEnd"/>
          </w:p>
        </w:tc>
        <w:tc>
          <w:tcPr>
            <w:tcW w:w="3739" w:type="pct"/>
            <w:shd w:val="clear" w:color="auto" w:fill="auto"/>
            <w:noWrap/>
            <w:vAlign w:val="center"/>
            <w:hideMark/>
          </w:tcPr>
          <w:p w:rsidR="00B471E9" w:rsidRPr="009B11CF" w:rsidRDefault="00B471E9" w:rsidP="00D45640">
            <w:pPr>
              <w:pStyle w:val="NormalWeb"/>
              <w:spacing w:after="0"/>
              <w:rPr>
                <w:rStyle w:val="Strong"/>
                <w:b w:val="0"/>
                <w:color w:val="000000"/>
                <w:sz w:val="19"/>
                <w:szCs w:val="19"/>
              </w:rPr>
            </w:pPr>
            <w:r w:rsidRPr="009B11CF">
              <w:rPr>
                <w:rStyle w:val="Strong"/>
                <w:b w:val="0"/>
                <w:color w:val="000000"/>
                <w:sz w:val="19"/>
                <w:szCs w:val="19"/>
              </w:rPr>
              <w:t>ES statistikas birojs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FDL</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Fiskālās disciplīnas likums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FKTK</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Finanšu un Kapitāla tirgus komisija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FM</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Finanšu ministrija</w:t>
            </w:r>
          </w:p>
        </w:tc>
      </w:tr>
      <w:tr w:rsidR="00FC553D" w:rsidRPr="009B11CF" w:rsidTr="00D45640">
        <w:trPr>
          <w:trHeight w:val="306"/>
          <w:jc w:val="right"/>
        </w:trPr>
        <w:tc>
          <w:tcPr>
            <w:tcW w:w="1261" w:type="pct"/>
            <w:shd w:val="clear" w:color="auto" w:fill="auto"/>
            <w:noWrap/>
            <w:hideMark/>
          </w:tcPr>
          <w:p w:rsidR="00FC553D" w:rsidRPr="009B11CF" w:rsidRDefault="00FC553D"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GMI</w:t>
            </w:r>
          </w:p>
        </w:tc>
        <w:tc>
          <w:tcPr>
            <w:tcW w:w="3739" w:type="pct"/>
            <w:shd w:val="clear" w:color="auto" w:fill="auto"/>
            <w:noWrap/>
            <w:hideMark/>
          </w:tcPr>
          <w:p w:rsidR="00FC553D" w:rsidRPr="009B11CF" w:rsidRDefault="00FC553D"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garantētais minimālais ienākums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IKP</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iekšzemes kopprodukts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IKT</w:t>
            </w:r>
          </w:p>
        </w:tc>
        <w:tc>
          <w:tcPr>
            <w:tcW w:w="3739" w:type="pct"/>
            <w:shd w:val="clear" w:color="auto" w:fill="auto"/>
            <w:noWrap/>
            <w:hideMark/>
          </w:tcPr>
          <w:p w:rsidR="003D2946" w:rsidRPr="009B11CF" w:rsidRDefault="00885B2F"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informācijas un komunikāciju</w:t>
            </w:r>
            <w:r w:rsidRPr="009B11CF">
              <w:rPr>
                <w:rFonts w:eastAsia="Times New Roman"/>
                <w:color w:val="000000"/>
                <w:sz w:val="19"/>
                <w:szCs w:val="19"/>
                <w:lang w:eastAsia="lv-LV"/>
              </w:rPr>
              <w:br/>
            </w:r>
            <w:r w:rsidR="003D2946" w:rsidRPr="009B11CF">
              <w:rPr>
                <w:rFonts w:eastAsia="Times New Roman"/>
                <w:color w:val="000000"/>
                <w:sz w:val="19"/>
                <w:szCs w:val="19"/>
                <w:lang w:eastAsia="lv-LV"/>
              </w:rPr>
              <w:lastRenderedPageBreak/>
              <w:t>tehnoloģijas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IT</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informācijas tehnoloģijas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IZM</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Izglītības un zinātnes ministrija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KM</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Kultūras ministrija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KPFI</w:t>
            </w:r>
          </w:p>
        </w:tc>
        <w:tc>
          <w:tcPr>
            <w:tcW w:w="3739" w:type="pct"/>
            <w:shd w:val="clear" w:color="auto" w:fill="auto"/>
            <w:noWrap/>
            <w:hideMark/>
          </w:tcPr>
          <w:p w:rsidR="003D2946" w:rsidRPr="009B11CF" w:rsidRDefault="00885B2F"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Klimata pārmaiņu finanšu</w:t>
            </w:r>
            <w:r w:rsidRPr="009B11CF">
              <w:rPr>
                <w:rFonts w:eastAsia="Times New Roman"/>
                <w:color w:val="000000"/>
                <w:sz w:val="19"/>
                <w:szCs w:val="19"/>
                <w:lang w:eastAsia="lv-LV"/>
              </w:rPr>
              <w:br/>
            </w:r>
            <w:r w:rsidR="003D2946" w:rsidRPr="009B11CF">
              <w:rPr>
                <w:rFonts w:eastAsia="Times New Roman"/>
                <w:color w:val="000000"/>
                <w:sz w:val="19"/>
                <w:szCs w:val="19"/>
                <w:lang w:eastAsia="lv-LV"/>
              </w:rPr>
              <w:t>instruments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LBAS</w:t>
            </w:r>
          </w:p>
        </w:tc>
        <w:tc>
          <w:tcPr>
            <w:tcW w:w="3739" w:type="pct"/>
            <w:shd w:val="clear" w:color="auto" w:fill="auto"/>
            <w:noWrap/>
            <w:hideMark/>
          </w:tcPr>
          <w:p w:rsidR="003D2946" w:rsidRPr="009B11CF" w:rsidRDefault="00885B2F"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Latvijas Brīvo arodbiedrību</w:t>
            </w:r>
            <w:r w:rsidRPr="009B11CF">
              <w:rPr>
                <w:rFonts w:eastAsia="Times New Roman"/>
                <w:color w:val="000000"/>
                <w:sz w:val="19"/>
                <w:szCs w:val="19"/>
                <w:lang w:eastAsia="lv-LV"/>
              </w:rPr>
              <w:br/>
            </w:r>
            <w:r w:rsidR="003D2946" w:rsidRPr="009B11CF">
              <w:rPr>
                <w:rFonts w:eastAsia="Times New Roman"/>
                <w:color w:val="000000"/>
                <w:sz w:val="19"/>
                <w:szCs w:val="19"/>
                <w:lang w:eastAsia="lv-LV"/>
              </w:rPr>
              <w:t>savienība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LDDK</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Latvijas Darba devēju konfederācija</w:t>
            </w:r>
          </w:p>
        </w:tc>
      </w:tr>
      <w:tr w:rsidR="00A54447" w:rsidRPr="009B11CF" w:rsidTr="00D45640">
        <w:trPr>
          <w:trHeight w:val="306"/>
          <w:jc w:val="right"/>
        </w:trPr>
        <w:tc>
          <w:tcPr>
            <w:tcW w:w="1261" w:type="pct"/>
            <w:shd w:val="clear" w:color="auto" w:fill="auto"/>
            <w:noWrap/>
          </w:tcPr>
          <w:p w:rsidR="00A54447" w:rsidRPr="009B11CF" w:rsidRDefault="00A54447"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LIAA</w:t>
            </w:r>
          </w:p>
        </w:tc>
        <w:tc>
          <w:tcPr>
            <w:tcW w:w="3739" w:type="pct"/>
            <w:shd w:val="clear" w:color="auto" w:fill="auto"/>
            <w:noWrap/>
          </w:tcPr>
          <w:p w:rsidR="00A54447" w:rsidRPr="009B11CF" w:rsidRDefault="00A54447"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Latvijas Investīciju un attīstības aģentūra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LM</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Labklājības ministrija</w:t>
            </w:r>
          </w:p>
        </w:tc>
      </w:tr>
      <w:tr w:rsidR="004A5F60" w:rsidRPr="009B11CF" w:rsidTr="00D45640">
        <w:trPr>
          <w:trHeight w:val="306"/>
          <w:jc w:val="right"/>
        </w:trPr>
        <w:tc>
          <w:tcPr>
            <w:tcW w:w="1261" w:type="pct"/>
            <w:shd w:val="clear" w:color="auto" w:fill="auto"/>
            <w:noWrap/>
          </w:tcPr>
          <w:p w:rsidR="004A5F60" w:rsidRPr="009B11CF" w:rsidRDefault="004A5F60"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LPS</w:t>
            </w:r>
          </w:p>
        </w:tc>
        <w:tc>
          <w:tcPr>
            <w:tcW w:w="3739" w:type="pct"/>
            <w:shd w:val="clear" w:color="auto" w:fill="auto"/>
            <w:noWrap/>
          </w:tcPr>
          <w:p w:rsidR="004A5F60" w:rsidRPr="009B11CF" w:rsidRDefault="004A5F60"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Latvijas Pašvaldību savienība</w:t>
            </w:r>
          </w:p>
        </w:tc>
      </w:tr>
      <w:tr w:rsidR="006519F8" w:rsidRPr="009B11CF" w:rsidTr="00D45640">
        <w:trPr>
          <w:trHeight w:val="306"/>
          <w:jc w:val="right"/>
        </w:trPr>
        <w:tc>
          <w:tcPr>
            <w:tcW w:w="1261" w:type="pct"/>
            <w:shd w:val="clear" w:color="auto" w:fill="auto"/>
            <w:noWrap/>
          </w:tcPr>
          <w:p w:rsidR="006519F8" w:rsidRPr="009B11CF" w:rsidRDefault="006519F8"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LTRK</w:t>
            </w:r>
          </w:p>
        </w:tc>
        <w:tc>
          <w:tcPr>
            <w:tcW w:w="3739" w:type="pct"/>
            <w:shd w:val="clear" w:color="auto" w:fill="auto"/>
            <w:noWrap/>
          </w:tcPr>
          <w:p w:rsidR="006519F8" w:rsidRPr="009B11CF" w:rsidRDefault="006519F8" w:rsidP="00D45640">
            <w:pPr>
              <w:spacing w:before="60" w:after="60"/>
              <w:ind w:right="1013"/>
              <w:jc w:val="left"/>
              <w:rPr>
                <w:rFonts w:eastAsia="Times New Roman"/>
                <w:color w:val="000000"/>
                <w:sz w:val="19"/>
                <w:szCs w:val="19"/>
                <w:lang w:eastAsia="lv-LV"/>
              </w:rPr>
            </w:pPr>
            <w:r w:rsidRPr="009B11CF">
              <w:rPr>
                <w:rFonts w:eastAsia="Times New Roman"/>
                <w:color w:val="000000"/>
                <w:sz w:val="19"/>
                <w:szCs w:val="19"/>
                <w:lang w:eastAsia="lv-LV"/>
              </w:rPr>
              <w:t>Latvijas Tirdzniecības un rūpniecības kamera</w:t>
            </w:r>
          </w:p>
        </w:tc>
      </w:tr>
      <w:tr w:rsidR="00E97388" w:rsidRPr="009B11CF" w:rsidTr="00D45640">
        <w:trPr>
          <w:trHeight w:val="306"/>
          <w:jc w:val="right"/>
        </w:trPr>
        <w:tc>
          <w:tcPr>
            <w:tcW w:w="1261" w:type="pct"/>
            <w:shd w:val="clear" w:color="auto" w:fill="auto"/>
            <w:noWrap/>
          </w:tcPr>
          <w:p w:rsidR="00E97388" w:rsidRPr="009B11CF" w:rsidRDefault="00E97388"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LVL</w:t>
            </w:r>
          </w:p>
        </w:tc>
        <w:tc>
          <w:tcPr>
            <w:tcW w:w="3739" w:type="pct"/>
            <w:shd w:val="clear" w:color="auto" w:fill="auto"/>
            <w:noWrap/>
          </w:tcPr>
          <w:p w:rsidR="00E97388" w:rsidRPr="009B11CF" w:rsidRDefault="00E97388" w:rsidP="00D45640">
            <w:pPr>
              <w:spacing w:before="60" w:after="60"/>
              <w:ind w:right="1013"/>
              <w:jc w:val="left"/>
              <w:rPr>
                <w:rFonts w:eastAsia="Times New Roman"/>
                <w:color w:val="000000"/>
                <w:sz w:val="19"/>
                <w:szCs w:val="19"/>
                <w:lang w:eastAsia="lv-LV"/>
              </w:rPr>
            </w:pPr>
            <w:r w:rsidRPr="009B11CF">
              <w:rPr>
                <w:rFonts w:eastAsia="Times New Roman"/>
                <w:color w:val="000000"/>
                <w:sz w:val="19"/>
                <w:szCs w:val="19"/>
                <w:lang w:eastAsia="lv-LV"/>
              </w:rPr>
              <w:t>Latvijas nacionālā valūta - lats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MK</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Ministru kabinets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proofErr w:type="spellStart"/>
            <w:r w:rsidRPr="009B11CF">
              <w:rPr>
                <w:rFonts w:eastAsia="Times New Roman"/>
                <w:color w:val="000000"/>
                <w:sz w:val="19"/>
                <w:szCs w:val="19"/>
                <w:lang w:eastAsia="lv-LV"/>
              </w:rPr>
              <w:t>Mt</w:t>
            </w:r>
            <w:proofErr w:type="spellEnd"/>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megatonna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proofErr w:type="spellStart"/>
            <w:r w:rsidRPr="009B11CF">
              <w:rPr>
                <w:rFonts w:eastAsia="Times New Roman"/>
                <w:color w:val="000000"/>
                <w:sz w:val="19"/>
                <w:szCs w:val="19"/>
                <w:lang w:eastAsia="lv-LV"/>
              </w:rPr>
              <w:t>Mtoe</w:t>
            </w:r>
            <w:proofErr w:type="spellEnd"/>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megatonna naftas ekvivalenta</w:t>
            </w:r>
          </w:p>
        </w:tc>
      </w:tr>
      <w:tr w:rsidR="00097ECB" w:rsidRPr="009B11CF" w:rsidTr="00D45640">
        <w:trPr>
          <w:trHeight w:val="306"/>
          <w:jc w:val="right"/>
        </w:trPr>
        <w:tc>
          <w:tcPr>
            <w:tcW w:w="1261" w:type="pct"/>
            <w:shd w:val="clear" w:color="auto" w:fill="auto"/>
            <w:noWrap/>
            <w:hideMark/>
          </w:tcPr>
          <w:p w:rsidR="00097ECB" w:rsidRPr="009B11CF" w:rsidRDefault="00097ECB"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NAP</w:t>
            </w:r>
            <w:r w:rsidR="006F290F" w:rsidRPr="009B11CF">
              <w:rPr>
                <w:rFonts w:eastAsia="Times New Roman"/>
                <w:color w:val="000000"/>
                <w:sz w:val="19"/>
                <w:szCs w:val="19"/>
                <w:lang w:eastAsia="lv-LV"/>
              </w:rPr>
              <w:t>2020</w:t>
            </w:r>
          </w:p>
        </w:tc>
        <w:tc>
          <w:tcPr>
            <w:tcW w:w="3739" w:type="pct"/>
            <w:shd w:val="clear" w:color="auto" w:fill="auto"/>
            <w:noWrap/>
            <w:hideMark/>
          </w:tcPr>
          <w:p w:rsidR="00097ECB" w:rsidRPr="009B11CF" w:rsidRDefault="00097ECB" w:rsidP="00D45640">
            <w:pPr>
              <w:spacing w:before="60" w:after="60"/>
              <w:ind w:right="871"/>
              <w:jc w:val="left"/>
              <w:rPr>
                <w:rFonts w:eastAsia="Times New Roman"/>
                <w:color w:val="000000"/>
                <w:sz w:val="19"/>
                <w:szCs w:val="19"/>
                <w:lang w:eastAsia="lv-LV"/>
              </w:rPr>
            </w:pPr>
            <w:r w:rsidRPr="009B11CF">
              <w:rPr>
                <w:rFonts w:eastAsia="Times New Roman"/>
                <w:color w:val="000000"/>
                <w:sz w:val="19"/>
                <w:szCs w:val="19"/>
                <w:lang w:eastAsia="lv-LV"/>
              </w:rPr>
              <w:t>Nacionālais attīstības plāns</w:t>
            </w:r>
            <w:r w:rsidR="006F290F" w:rsidRPr="009B11CF">
              <w:rPr>
                <w:rFonts w:eastAsia="Times New Roman"/>
                <w:color w:val="000000"/>
                <w:sz w:val="19"/>
                <w:szCs w:val="19"/>
                <w:lang w:eastAsia="lv-LV"/>
              </w:rPr>
              <w:t xml:space="preserve"> 2014.-2020.gadam</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NRP</w:t>
            </w:r>
          </w:p>
        </w:tc>
        <w:tc>
          <w:tcPr>
            <w:tcW w:w="3739" w:type="pct"/>
            <w:shd w:val="clear" w:color="auto" w:fill="auto"/>
            <w:noWrap/>
            <w:hideMark/>
          </w:tcPr>
          <w:p w:rsidR="003D2946" w:rsidRPr="009B11CF" w:rsidRDefault="009B11CF"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N</w:t>
            </w:r>
            <w:r w:rsidR="003D2946" w:rsidRPr="009B11CF">
              <w:rPr>
                <w:rFonts w:eastAsia="Times New Roman"/>
                <w:color w:val="000000"/>
                <w:sz w:val="19"/>
                <w:szCs w:val="19"/>
                <w:lang w:eastAsia="lv-LV"/>
              </w:rPr>
              <w:t>acionālā reformu programma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NVA</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Nodarbinātības valsts aģentūra</w:t>
            </w:r>
          </w:p>
        </w:tc>
      </w:tr>
      <w:tr w:rsidR="00C05EC8" w:rsidRPr="009B11CF" w:rsidTr="00D45640">
        <w:trPr>
          <w:trHeight w:val="306"/>
          <w:jc w:val="right"/>
        </w:trPr>
        <w:tc>
          <w:tcPr>
            <w:tcW w:w="1261" w:type="pct"/>
            <w:shd w:val="clear" w:color="auto" w:fill="auto"/>
            <w:noWrap/>
          </w:tcPr>
          <w:p w:rsidR="00C05EC8" w:rsidRPr="009B11CF" w:rsidRDefault="00C05EC8" w:rsidP="00D45640">
            <w:pPr>
              <w:spacing w:before="60" w:after="60"/>
              <w:jc w:val="left"/>
              <w:rPr>
                <w:rFonts w:eastAsia="Times New Roman"/>
                <w:color w:val="000000"/>
                <w:sz w:val="19"/>
                <w:szCs w:val="19"/>
                <w:lang w:eastAsia="lv-LV"/>
              </w:rPr>
            </w:pPr>
            <w:r>
              <w:rPr>
                <w:rFonts w:eastAsia="Times New Roman"/>
                <w:color w:val="000000"/>
                <w:sz w:val="19"/>
                <w:szCs w:val="19"/>
                <w:lang w:eastAsia="lv-LV"/>
              </w:rPr>
              <w:t>PIKC</w:t>
            </w:r>
          </w:p>
        </w:tc>
        <w:tc>
          <w:tcPr>
            <w:tcW w:w="3739" w:type="pct"/>
            <w:shd w:val="clear" w:color="auto" w:fill="auto"/>
            <w:noWrap/>
          </w:tcPr>
          <w:p w:rsidR="00C05EC8" w:rsidRPr="009B11CF" w:rsidRDefault="00C05EC8" w:rsidP="00D45640">
            <w:pPr>
              <w:spacing w:before="60" w:after="60"/>
              <w:jc w:val="left"/>
              <w:rPr>
                <w:rFonts w:eastAsia="Times New Roman"/>
                <w:color w:val="000000"/>
                <w:sz w:val="19"/>
                <w:szCs w:val="19"/>
                <w:lang w:eastAsia="lv-LV"/>
              </w:rPr>
            </w:pPr>
            <w:r w:rsidRPr="00AB5746">
              <w:rPr>
                <w:sz w:val="19"/>
                <w:szCs w:val="19"/>
              </w:rPr>
              <w:t>Profesionālās izglītības kompetences centrs</w:t>
            </w:r>
          </w:p>
        </w:tc>
      </w:tr>
      <w:tr w:rsidR="006519F8" w:rsidRPr="009B11CF" w:rsidTr="00D45640">
        <w:trPr>
          <w:trHeight w:val="306"/>
          <w:jc w:val="right"/>
        </w:trPr>
        <w:tc>
          <w:tcPr>
            <w:tcW w:w="1261" w:type="pct"/>
            <w:shd w:val="clear" w:color="auto" w:fill="auto"/>
            <w:noWrap/>
          </w:tcPr>
          <w:p w:rsidR="006519F8" w:rsidRPr="009B11CF" w:rsidRDefault="006519F8"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PKC</w:t>
            </w:r>
          </w:p>
        </w:tc>
        <w:tc>
          <w:tcPr>
            <w:tcW w:w="3739" w:type="pct"/>
            <w:shd w:val="clear" w:color="auto" w:fill="auto"/>
            <w:noWrap/>
          </w:tcPr>
          <w:p w:rsidR="006519F8" w:rsidRPr="009B11CF" w:rsidRDefault="006519F8" w:rsidP="00D45640">
            <w:pPr>
              <w:spacing w:before="60" w:after="60"/>
              <w:jc w:val="left"/>
              <w:rPr>
                <w:rFonts w:eastAsia="Times New Roman"/>
                <w:color w:val="000000"/>
                <w:sz w:val="19"/>
                <w:szCs w:val="19"/>
                <w:lang w:eastAsia="lv-LV"/>
              </w:rPr>
            </w:pPr>
            <w:proofErr w:type="spellStart"/>
            <w:r w:rsidRPr="009B11CF">
              <w:rPr>
                <w:rFonts w:eastAsia="Times New Roman"/>
                <w:color w:val="000000"/>
                <w:sz w:val="19"/>
                <w:szCs w:val="19"/>
                <w:lang w:eastAsia="lv-LV"/>
              </w:rPr>
              <w:t>Pārresoru</w:t>
            </w:r>
            <w:proofErr w:type="spellEnd"/>
            <w:r w:rsidRPr="009B11CF">
              <w:rPr>
                <w:rFonts w:eastAsia="Times New Roman"/>
                <w:color w:val="000000"/>
                <w:sz w:val="19"/>
                <w:szCs w:val="19"/>
                <w:lang w:eastAsia="lv-LV"/>
              </w:rPr>
              <w:t xml:space="preserve"> koordinācijas centrs</w:t>
            </w:r>
          </w:p>
        </w:tc>
      </w:tr>
      <w:tr w:rsidR="00E65B4E" w:rsidRPr="009B11CF" w:rsidTr="00D45640">
        <w:trPr>
          <w:trHeight w:val="306"/>
          <w:jc w:val="right"/>
        </w:trPr>
        <w:tc>
          <w:tcPr>
            <w:tcW w:w="1261" w:type="pct"/>
            <w:shd w:val="clear" w:color="auto" w:fill="auto"/>
            <w:noWrap/>
            <w:hideMark/>
          </w:tcPr>
          <w:p w:rsidR="00E65B4E" w:rsidRPr="009B11CF" w:rsidRDefault="00E65B4E"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PVN</w:t>
            </w:r>
          </w:p>
        </w:tc>
        <w:tc>
          <w:tcPr>
            <w:tcW w:w="3739" w:type="pct"/>
            <w:shd w:val="clear" w:color="auto" w:fill="auto"/>
            <w:noWrap/>
            <w:hideMark/>
          </w:tcPr>
          <w:p w:rsidR="00E65B4E" w:rsidRPr="009B11CF" w:rsidRDefault="00E65B4E"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pievienotās vērtības nodoklis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R&amp;D</w:t>
            </w:r>
          </w:p>
        </w:tc>
        <w:tc>
          <w:tcPr>
            <w:tcW w:w="3739" w:type="pct"/>
            <w:shd w:val="clear" w:color="auto" w:fill="auto"/>
            <w:noWrap/>
            <w:hideMark/>
          </w:tcPr>
          <w:p w:rsidR="003256A7" w:rsidRPr="009B11CF" w:rsidRDefault="003D2946" w:rsidP="00D45640">
            <w:pPr>
              <w:spacing w:before="60" w:after="60"/>
              <w:jc w:val="left"/>
              <w:rPr>
                <w:rFonts w:eastAsia="Times New Roman"/>
                <w:i/>
                <w:color w:val="000000"/>
                <w:sz w:val="19"/>
                <w:szCs w:val="19"/>
                <w:lang w:eastAsia="lv-LV"/>
              </w:rPr>
            </w:pPr>
            <w:r w:rsidRPr="009B11CF">
              <w:rPr>
                <w:rFonts w:eastAsia="Times New Roman"/>
                <w:color w:val="000000"/>
                <w:sz w:val="19"/>
                <w:szCs w:val="19"/>
                <w:lang w:eastAsia="lv-LV"/>
              </w:rPr>
              <w:t xml:space="preserve">pētniecība un attīstība </w:t>
            </w:r>
            <w:r w:rsidRPr="009B11CF">
              <w:rPr>
                <w:rFonts w:eastAsia="Times New Roman"/>
                <w:i/>
                <w:color w:val="000000"/>
                <w:sz w:val="19"/>
                <w:szCs w:val="19"/>
                <w:lang w:eastAsia="lv-LV"/>
              </w:rPr>
              <w:t>(</w:t>
            </w:r>
            <w:proofErr w:type="spellStart"/>
            <w:r w:rsidRPr="009B11CF">
              <w:rPr>
                <w:rFonts w:eastAsia="Times New Roman"/>
                <w:i/>
                <w:color w:val="000000"/>
                <w:sz w:val="19"/>
                <w:szCs w:val="19"/>
                <w:lang w:eastAsia="lv-LV"/>
              </w:rPr>
              <w:t>research</w:t>
            </w:r>
            <w:proofErr w:type="spellEnd"/>
            <w:r w:rsidRPr="009B11CF">
              <w:rPr>
                <w:rFonts w:eastAsia="Times New Roman"/>
                <w:i/>
                <w:color w:val="000000"/>
                <w:sz w:val="19"/>
                <w:szCs w:val="19"/>
                <w:lang w:eastAsia="lv-LV"/>
              </w:rPr>
              <w:t xml:space="preserve"> </w:t>
            </w:r>
            <w:proofErr w:type="spellStart"/>
            <w:r w:rsidRPr="009B11CF">
              <w:rPr>
                <w:rFonts w:eastAsia="Times New Roman"/>
                <w:i/>
                <w:color w:val="000000"/>
                <w:sz w:val="19"/>
                <w:szCs w:val="19"/>
                <w:lang w:eastAsia="lv-LV"/>
              </w:rPr>
              <w:t>and</w:t>
            </w:r>
            <w:proofErr w:type="spellEnd"/>
            <w:r w:rsidRPr="009B11CF">
              <w:rPr>
                <w:rFonts w:eastAsia="Times New Roman"/>
                <w:i/>
                <w:color w:val="000000"/>
                <w:sz w:val="19"/>
                <w:szCs w:val="19"/>
                <w:lang w:eastAsia="lv-LV"/>
              </w:rPr>
              <w:t xml:space="preserve"> </w:t>
            </w:r>
          </w:p>
          <w:p w:rsidR="003D2946" w:rsidRPr="009B11CF" w:rsidRDefault="003D2946" w:rsidP="00D45640">
            <w:pPr>
              <w:spacing w:before="60" w:after="60"/>
              <w:jc w:val="left"/>
              <w:rPr>
                <w:rFonts w:eastAsia="Times New Roman"/>
                <w:color w:val="000000"/>
                <w:sz w:val="19"/>
                <w:szCs w:val="19"/>
                <w:lang w:eastAsia="lv-LV"/>
              </w:rPr>
            </w:pPr>
            <w:proofErr w:type="spellStart"/>
            <w:r w:rsidRPr="009B11CF">
              <w:rPr>
                <w:rFonts w:eastAsia="Times New Roman"/>
                <w:i/>
                <w:color w:val="000000"/>
                <w:sz w:val="19"/>
                <w:szCs w:val="19"/>
                <w:lang w:eastAsia="lv-LV"/>
              </w:rPr>
              <w:t>development</w:t>
            </w:r>
            <w:proofErr w:type="spellEnd"/>
            <w:r w:rsidRPr="009B11CF">
              <w:rPr>
                <w:rFonts w:eastAsia="Times New Roman"/>
                <w:i/>
                <w:color w:val="000000"/>
                <w:sz w:val="19"/>
                <w:szCs w:val="19"/>
                <w:lang w:eastAsia="lv-LV"/>
              </w:rPr>
              <w:t>)</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SEG</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siltumnīcefekta gāzes</w:t>
            </w:r>
          </w:p>
        </w:tc>
      </w:tr>
      <w:tr w:rsidR="00E65B4E" w:rsidRPr="009B11CF" w:rsidTr="00D45640">
        <w:trPr>
          <w:trHeight w:val="306"/>
          <w:jc w:val="right"/>
        </w:trPr>
        <w:tc>
          <w:tcPr>
            <w:tcW w:w="1261" w:type="pct"/>
            <w:shd w:val="clear" w:color="auto" w:fill="auto"/>
            <w:noWrap/>
            <w:hideMark/>
          </w:tcPr>
          <w:p w:rsidR="00E65B4E" w:rsidRPr="009B11CF" w:rsidRDefault="00E65B4E"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SIA</w:t>
            </w:r>
          </w:p>
        </w:tc>
        <w:tc>
          <w:tcPr>
            <w:tcW w:w="3739" w:type="pct"/>
            <w:shd w:val="clear" w:color="auto" w:fill="auto"/>
            <w:noWrap/>
            <w:hideMark/>
          </w:tcPr>
          <w:p w:rsidR="00E65B4E" w:rsidRPr="009B11CF" w:rsidRDefault="00E65B4E"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sabiedrība ar ierobežotu atbildību</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SM</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Satiksmes ministrija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TEN-T</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Trans-Eiropas transporta tīkls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TM</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Tieslietu ministrija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VARAM</w:t>
            </w:r>
          </w:p>
        </w:tc>
        <w:tc>
          <w:tcPr>
            <w:tcW w:w="3739" w:type="pct"/>
            <w:shd w:val="clear" w:color="auto" w:fill="auto"/>
            <w:noWrap/>
            <w:hideMark/>
          </w:tcPr>
          <w:p w:rsidR="003256A7"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Vides aizsar</w:t>
            </w:r>
            <w:r w:rsidR="003256A7" w:rsidRPr="009B11CF">
              <w:rPr>
                <w:rFonts w:eastAsia="Times New Roman"/>
                <w:color w:val="000000"/>
                <w:sz w:val="19"/>
                <w:szCs w:val="19"/>
                <w:lang w:eastAsia="lv-LV"/>
              </w:rPr>
              <w:t>dzības un reģionālās attīstības</w:t>
            </w:r>
          </w:p>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ministrija</w:t>
            </w:r>
          </w:p>
        </w:tc>
      </w:tr>
      <w:tr w:rsidR="00636C00" w:rsidRPr="009B11CF" w:rsidTr="00D45640">
        <w:trPr>
          <w:trHeight w:val="306"/>
          <w:jc w:val="right"/>
        </w:trPr>
        <w:tc>
          <w:tcPr>
            <w:tcW w:w="1261" w:type="pct"/>
            <w:shd w:val="clear" w:color="auto" w:fill="auto"/>
            <w:noWrap/>
            <w:hideMark/>
          </w:tcPr>
          <w:p w:rsidR="00636C00" w:rsidRPr="009B11CF" w:rsidRDefault="00636C00"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VAS</w:t>
            </w:r>
          </w:p>
        </w:tc>
        <w:tc>
          <w:tcPr>
            <w:tcW w:w="3739" w:type="pct"/>
            <w:shd w:val="clear" w:color="auto" w:fill="auto"/>
            <w:noWrap/>
            <w:hideMark/>
          </w:tcPr>
          <w:p w:rsidR="00636C00" w:rsidRPr="009B11CF" w:rsidRDefault="00636C00"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valsts akciju sabiedrība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VDI</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Valsts darba inspekcija</w:t>
            </w:r>
          </w:p>
        </w:tc>
      </w:tr>
      <w:tr w:rsidR="00097ECB" w:rsidRPr="009B11CF" w:rsidTr="00D45640">
        <w:trPr>
          <w:trHeight w:val="306"/>
          <w:jc w:val="right"/>
        </w:trPr>
        <w:tc>
          <w:tcPr>
            <w:tcW w:w="1261" w:type="pct"/>
            <w:shd w:val="clear" w:color="auto" w:fill="auto"/>
            <w:noWrap/>
            <w:hideMark/>
          </w:tcPr>
          <w:p w:rsidR="00097ECB" w:rsidRPr="009B11CF" w:rsidRDefault="00097ECB"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VID</w:t>
            </w:r>
          </w:p>
        </w:tc>
        <w:tc>
          <w:tcPr>
            <w:tcW w:w="3739" w:type="pct"/>
            <w:shd w:val="clear" w:color="auto" w:fill="auto"/>
            <w:noWrap/>
            <w:hideMark/>
          </w:tcPr>
          <w:p w:rsidR="00097ECB" w:rsidRPr="009B11CF" w:rsidRDefault="00097ECB"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Valsts ieņēmumu dienests</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VK</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Valsts kanceleja</w:t>
            </w:r>
          </w:p>
        </w:tc>
      </w:tr>
      <w:tr w:rsidR="005229E1" w:rsidRPr="009B11CF" w:rsidTr="00D45640">
        <w:trPr>
          <w:trHeight w:val="306"/>
          <w:jc w:val="right"/>
        </w:trPr>
        <w:tc>
          <w:tcPr>
            <w:tcW w:w="1261" w:type="pct"/>
            <w:shd w:val="clear" w:color="auto" w:fill="auto"/>
            <w:noWrap/>
            <w:hideMark/>
          </w:tcPr>
          <w:p w:rsidR="005229E1" w:rsidRPr="009B11CF" w:rsidRDefault="005229E1"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VM</w:t>
            </w:r>
          </w:p>
        </w:tc>
        <w:tc>
          <w:tcPr>
            <w:tcW w:w="3739" w:type="pct"/>
            <w:shd w:val="clear" w:color="auto" w:fill="auto"/>
            <w:noWrap/>
            <w:hideMark/>
          </w:tcPr>
          <w:p w:rsidR="005229E1" w:rsidRPr="009B11CF" w:rsidRDefault="005229E1"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Veselības ministrija</w:t>
            </w:r>
          </w:p>
        </w:tc>
      </w:tr>
      <w:tr w:rsidR="00771592" w:rsidRPr="009B11CF" w:rsidTr="00D45640">
        <w:trPr>
          <w:trHeight w:val="306"/>
          <w:jc w:val="right"/>
        </w:trPr>
        <w:tc>
          <w:tcPr>
            <w:tcW w:w="1261" w:type="pct"/>
            <w:shd w:val="clear" w:color="auto" w:fill="auto"/>
            <w:noWrap/>
          </w:tcPr>
          <w:p w:rsidR="00771592" w:rsidRPr="009B11CF" w:rsidRDefault="00771592"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VPA</w:t>
            </w:r>
          </w:p>
        </w:tc>
        <w:tc>
          <w:tcPr>
            <w:tcW w:w="3739" w:type="pct"/>
            <w:shd w:val="clear" w:color="auto" w:fill="auto"/>
            <w:noWrap/>
          </w:tcPr>
          <w:p w:rsidR="00771592" w:rsidRPr="009B11CF" w:rsidRDefault="00771592"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vienas pieturas aģentūra</w:t>
            </w:r>
          </w:p>
        </w:tc>
      </w:tr>
      <w:tr w:rsidR="00885B2F" w:rsidRPr="009B11CF" w:rsidTr="00D45640">
        <w:trPr>
          <w:trHeight w:val="306"/>
          <w:jc w:val="right"/>
        </w:trPr>
        <w:tc>
          <w:tcPr>
            <w:tcW w:w="1261"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ZM</w:t>
            </w:r>
          </w:p>
        </w:tc>
        <w:tc>
          <w:tcPr>
            <w:tcW w:w="3739" w:type="pct"/>
            <w:shd w:val="clear" w:color="auto" w:fill="auto"/>
            <w:noWrap/>
            <w:hideMark/>
          </w:tcPr>
          <w:p w:rsidR="003D2946" w:rsidRPr="009B11CF" w:rsidRDefault="003D2946" w:rsidP="00D45640">
            <w:pPr>
              <w:spacing w:before="60" w:after="60"/>
              <w:jc w:val="left"/>
              <w:rPr>
                <w:rFonts w:eastAsia="Times New Roman"/>
                <w:color w:val="000000"/>
                <w:sz w:val="19"/>
                <w:szCs w:val="19"/>
                <w:lang w:eastAsia="lv-LV"/>
              </w:rPr>
            </w:pPr>
            <w:r w:rsidRPr="009B11CF">
              <w:rPr>
                <w:rFonts w:eastAsia="Times New Roman"/>
                <w:color w:val="000000"/>
                <w:sz w:val="19"/>
                <w:szCs w:val="19"/>
                <w:lang w:eastAsia="lv-LV"/>
              </w:rPr>
              <w:t>Zemkopības ministrija</w:t>
            </w:r>
          </w:p>
        </w:tc>
      </w:tr>
    </w:tbl>
    <w:p w:rsidR="00885B2F" w:rsidRPr="00C43284" w:rsidRDefault="00885B2F" w:rsidP="003D2946">
      <w:pPr>
        <w:jc w:val="center"/>
        <w:rPr>
          <w:rFonts w:ascii="Times New Roman Bold" w:hAnsi="Times New Roman Bold"/>
          <w:b/>
          <w:sz w:val="32"/>
          <w:szCs w:val="32"/>
        </w:rPr>
        <w:sectPr w:rsidR="00885B2F" w:rsidRPr="00C43284" w:rsidSect="00885B2F">
          <w:type w:val="continuous"/>
          <w:pgSz w:w="11906" w:h="16838"/>
          <w:pgMar w:top="1134" w:right="1134" w:bottom="1134" w:left="1701" w:header="709" w:footer="709" w:gutter="0"/>
          <w:cols w:num="2" w:space="708"/>
          <w:titlePg/>
          <w:docGrid w:linePitch="360"/>
        </w:sectPr>
      </w:pPr>
    </w:p>
    <w:p w:rsidR="00746FF6" w:rsidRPr="00B703A3" w:rsidRDefault="00746FF6" w:rsidP="00C23E60">
      <w:pPr>
        <w:pStyle w:val="Heading1"/>
        <w:jc w:val="center"/>
        <w:rPr>
          <w:rFonts w:ascii="Times New Roman Bold" w:hAnsi="Times New Roman Bold" w:cs="Times New Roman"/>
          <w:smallCaps/>
          <w:color w:val="auto"/>
        </w:rPr>
      </w:pPr>
      <w:bookmarkStart w:id="2" w:name="_Toc354384919"/>
      <w:r w:rsidRPr="00B703A3">
        <w:rPr>
          <w:rFonts w:ascii="Times New Roman Bold" w:hAnsi="Times New Roman Bold" w:cs="Times New Roman"/>
          <w:smallCaps/>
          <w:color w:val="auto"/>
        </w:rPr>
        <w:lastRenderedPageBreak/>
        <w:t>Ievads</w:t>
      </w:r>
      <w:bookmarkEnd w:id="2"/>
    </w:p>
    <w:p w:rsidR="00BF1559" w:rsidRPr="00BF1559" w:rsidRDefault="00BF1559" w:rsidP="004C383B">
      <w:pPr>
        <w:tabs>
          <w:tab w:val="left" w:pos="567"/>
        </w:tabs>
        <w:spacing w:before="120"/>
        <w:ind w:firstLine="567"/>
      </w:pPr>
      <w:r>
        <w:t xml:space="preserve">Latvija ir sagatavojusi otro </w:t>
      </w:r>
      <w:r w:rsidRPr="00BF1559">
        <w:rPr>
          <w:i/>
        </w:rPr>
        <w:t>Progresa ziņojumu par Latvijas nacionālās reformu programmas „Eiropa 2020” stratēģijas kontekstā īstenošanu</w:t>
      </w:r>
      <w:r>
        <w:rPr>
          <w:rStyle w:val="FootnoteReference"/>
          <w:i/>
        </w:rPr>
        <w:footnoteReference w:id="1"/>
      </w:r>
      <w:r>
        <w:t xml:space="preserve"> </w:t>
      </w:r>
      <w:r w:rsidRPr="00C43284">
        <w:t>(turpmāk tekstā – Progresa ziņojums par Latvijas NRP īstenošanu)</w:t>
      </w:r>
      <w:r>
        <w:t xml:space="preserve">, kas ir cieši saistīts ar </w:t>
      </w:r>
      <w:r w:rsidRPr="00BF1559">
        <w:rPr>
          <w:i/>
        </w:rPr>
        <w:t>Latvijas Konverģences programmu 2013.-2016.gadam</w:t>
      </w:r>
      <w:r>
        <w:t>.</w:t>
      </w:r>
    </w:p>
    <w:p w:rsidR="00E67868" w:rsidRDefault="00E67868" w:rsidP="00E67868">
      <w:pPr>
        <w:ind w:firstLine="567"/>
      </w:pPr>
      <w:r w:rsidRPr="00217F80">
        <w:rPr>
          <w:i/>
        </w:rPr>
        <w:t xml:space="preserve">Latvijas </w:t>
      </w:r>
      <w:r w:rsidR="00217F80" w:rsidRPr="00217F80">
        <w:rPr>
          <w:i/>
        </w:rPr>
        <w:t>nacionālā reformu programma „Eiropa 2020” stratēģijas īstenošanai</w:t>
      </w:r>
      <w:r w:rsidR="00217F80">
        <w:t xml:space="preserve"> (turpmāk tekstā – Latvijas NRP) </w:t>
      </w:r>
      <w:r w:rsidRPr="00C43284">
        <w:t xml:space="preserve">un </w:t>
      </w:r>
      <w:r w:rsidRPr="00C43284">
        <w:rPr>
          <w:i/>
        </w:rPr>
        <w:t>Latvijas Konverģences programma</w:t>
      </w:r>
      <w:r w:rsidRPr="00C43284">
        <w:t xml:space="preserve"> saskaņā ar Līgum</w:t>
      </w:r>
      <w:r w:rsidR="00217F80">
        <w:t>a</w:t>
      </w:r>
      <w:r w:rsidRPr="00C43284">
        <w:t xml:space="preserve"> par Eiropas Savienības (turpmāk tekstā – ES) darbību</w:t>
      </w:r>
      <w:r w:rsidR="004C383B">
        <w:t xml:space="preserve"> 121. u</w:t>
      </w:r>
      <w:r w:rsidR="00217F80">
        <w:t>n 148.pantu</w:t>
      </w:r>
      <w:r w:rsidRPr="00C43284">
        <w:t xml:space="preserve">, ir ES līmeņa ekonomiskās politikas koordinācijas un uzraudzības instrumenta sastāvdaļas (tā saucamā </w:t>
      </w:r>
      <w:r w:rsidRPr="00C43284">
        <w:rPr>
          <w:i/>
        </w:rPr>
        <w:t>Eiropas Semestra</w:t>
      </w:r>
      <w:r w:rsidRPr="00C43284">
        <w:t xml:space="preserve"> ietvaros). </w:t>
      </w:r>
      <w:r w:rsidR="00217F80">
        <w:t xml:space="preserve">Eiropas Komisija (turpmāk tekstā – EK) </w:t>
      </w:r>
      <w:r w:rsidR="004C383B">
        <w:t>vērtē abu programmu īstenošanu, un uz tā pamata nāk klajā ar</w:t>
      </w:r>
      <w:r w:rsidR="00217F80">
        <w:t xml:space="preserve"> priekšlikumiem </w:t>
      </w:r>
      <w:r w:rsidR="004C383B">
        <w:t xml:space="preserve">par </w:t>
      </w:r>
      <w:r w:rsidR="00217F80">
        <w:t>ES Padomes rekomendācijām.</w:t>
      </w:r>
    </w:p>
    <w:p w:rsidR="00035AC2" w:rsidRDefault="00217F80" w:rsidP="00217F80">
      <w:pPr>
        <w:ind w:firstLine="567"/>
      </w:pPr>
      <w:r>
        <w:t xml:space="preserve">Izstrādājot otro </w:t>
      </w:r>
      <w:r w:rsidRPr="00C43284">
        <w:t>Progresa ziņojum</w:t>
      </w:r>
      <w:r>
        <w:t>u</w:t>
      </w:r>
      <w:r w:rsidRPr="00C43284">
        <w:t xml:space="preserve"> par Latvijas NRP īstenošanu</w:t>
      </w:r>
      <w:r>
        <w:t xml:space="preserve">, tika ņemts vērā 2012.gada 20.decembrī Saeimā apstiprinātais Latvijas </w:t>
      </w:r>
      <w:r w:rsidRPr="00B76868">
        <w:rPr>
          <w:i/>
        </w:rPr>
        <w:t>Nacionāl</w:t>
      </w:r>
      <w:r>
        <w:rPr>
          <w:i/>
        </w:rPr>
        <w:t>ais</w:t>
      </w:r>
      <w:r w:rsidRPr="00B76868">
        <w:rPr>
          <w:i/>
        </w:rPr>
        <w:t xml:space="preserve"> attīstības plān</w:t>
      </w:r>
      <w:r>
        <w:rPr>
          <w:i/>
        </w:rPr>
        <w:t>s</w:t>
      </w:r>
      <w:r w:rsidRPr="00B76868">
        <w:rPr>
          <w:i/>
        </w:rPr>
        <w:t xml:space="preserve"> 2014.-2020.gadam</w:t>
      </w:r>
      <w:r>
        <w:t xml:space="preserve"> (turpmāk – NAP2020), </w:t>
      </w:r>
      <w:r w:rsidRPr="00C43284">
        <w:t xml:space="preserve">ES </w:t>
      </w:r>
      <w:r w:rsidRPr="00C43284">
        <w:rPr>
          <w:i/>
        </w:rPr>
        <w:t>Integrētās vadlīnijas</w:t>
      </w:r>
      <w:r w:rsidRPr="00C43284">
        <w:rPr>
          <w:rStyle w:val="FootnoteReference"/>
          <w:i/>
          <w:color w:val="000000"/>
        </w:rPr>
        <w:footnoteReference w:id="2"/>
      </w:r>
      <w:r w:rsidRPr="00C43284">
        <w:t xml:space="preserve">, Latvijas saistības 2011.gada 24.-25.marta Eiropadomē apstiprinātā Eiro Plus pakta </w:t>
      </w:r>
      <w:r w:rsidRPr="00C43284">
        <w:rPr>
          <w:i/>
        </w:rPr>
        <w:t>(</w:t>
      </w:r>
      <w:proofErr w:type="spellStart"/>
      <w:r w:rsidRPr="00C43284">
        <w:rPr>
          <w:i/>
        </w:rPr>
        <w:t>Euro</w:t>
      </w:r>
      <w:proofErr w:type="spellEnd"/>
      <w:r w:rsidRPr="00C43284">
        <w:rPr>
          <w:i/>
        </w:rPr>
        <w:t xml:space="preserve"> Plus </w:t>
      </w:r>
      <w:proofErr w:type="spellStart"/>
      <w:r w:rsidRPr="00C43284">
        <w:rPr>
          <w:i/>
        </w:rPr>
        <w:t>Pact</w:t>
      </w:r>
      <w:proofErr w:type="spellEnd"/>
      <w:r w:rsidRPr="00C43284">
        <w:rPr>
          <w:i/>
        </w:rPr>
        <w:t>)</w:t>
      </w:r>
      <w:r w:rsidRPr="00C43284">
        <w:rPr>
          <w:rStyle w:val="FootnoteReference"/>
          <w:i/>
        </w:rPr>
        <w:footnoteReference w:id="3"/>
      </w:r>
      <w:r w:rsidRPr="00C43284">
        <w:t xml:space="preserve"> ietvaros, ES Padomes rekomendācijas Latvijai</w:t>
      </w:r>
      <w:r w:rsidRPr="00C43284">
        <w:rPr>
          <w:rStyle w:val="FootnoteReference"/>
        </w:rPr>
        <w:footnoteReference w:id="4"/>
      </w:r>
      <w:r w:rsidRPr="00C43284">
        <w:t>, 201</w:t>
      </w:r>
      <w:r>
        <w:t>2</w:t>
      </w:r>
      <w:r w:rsidRPr="00C43284">
        <w:t>.gada 2</w:t>
      </w:r>
      <w:r>
        <w:t>8</w:t>
      </w:r>
      <w:r w:rsidRPr="00C43284">
        <w:t>.novembrī EK publicēt</w:t>
      </w:r>
      <w:r>
        <w:t>ais</w:t>
      </w:r>
      <w:r w:rsidRPr="00C43284">
        <w:t xml:space="preserve"> </w:t>
      </w:r>
      <w:r w:rsidRPr="00353580">
        <w:rPr>
          <w:i/>
        </w:rPr>
        <w:t>2013.gada izaugsmes ziņojums</w:t>
      </w:r>
      <w:r w:rsidRPr="00C43284">
        <w:t xml:space="preserve"> </w:t>
      </w:r>
      <w:r w:rsidRPr="00C43284">
        <w:rPr>
          <w:i/>
        </w:rPr>
        <w:t>(201</w:t>
      </w:r>
      <w:r>
        <w:rPr>
          <w:i/>
        </w:rPr>
        <w:t>3</w:t>
      </w:r>
      <w:r w:rsidRPr="00C43284">
        <w:rPr>
          <w:i/>
        </w:rPr>
        <w:t xml:space="preserve"> </w:t>
      </w:r>
      <w:proofErr w:type="spellStart"/>
      <w:r w:rsidRPr="00C43284">
        <w:rPr>
          <w:i/>
        </w:rPr>
        <w:t>Annual</w:t>
      </w:r>
      <w:proofErr w:type="spellEnd"/>
      <w:r w:rsidRPr="00C43284">
        <w:rPr>
          <w:i/>
        </w:rPr>
        <w:t xml:space="preserve"> </w:t>
      </w:r>
      <w:proofErr w:type="spellStart"/>
      <w:r w:rsidRPr="00C43284">
        <w:rPr>
          <w:i/>
        </w:rPr>
        <w:t>Growth</w:t>
      </w:r>
      <w:proofErr w:type="spellEnd"/>
      <w:r w:rsidRPr="00C43284">
        <w:rPr>
          <w:i/>
        </w:rPr>
        <w:t xml:space="preserve"> </w:t>
      </w:r>
      <w:proofErr w:type="spellStart"/>
      <w:r w:rsidRPr="00C43284">
        <w:rPr>
          <w:i/>
        </w:rPr>
        <w:t>Survey</w:t>
      </w:r>
      <w:proofErr w:type="spellEnd"/>
      <w:r w:rsidRPr="00C43284">
        <w:rPr>
          <w:i/>
        </w:rPr>
        <w:t>)</w:t>
      </w:r>
      <w:r w:rsidRPr="00C43284">
        <w:rPr>
          <w:rStyle w:val="FootnoteReference"/>
          <w:i/>
        </w:rPr>
        <w:footnoteReference w:id="5"/>
      </w:r>
      <w:r w:rsidRPr="00C43284">
        <w:t xml:space="preserve">, </w:t>
      </w:r>
      <w:r w:rsidRPr="00C66457">
        <w:t>2013.gada 14.-15.marta Eiropadomes secinājumi</w:t>
      </w:r>
      <w:r w:rsidRPr="00C66457">
        <w:rPr>
          <w:rStyle w:val="FootnoteReference"/>
        </w:rPr>
        <w:footnoteReference w:id="6"/>
      </w:r>
      <w:r w:rsidRPr="00C43284">
        <w:t xml:space="preserve">, EK prasības </w:t>
      </w:r>
      <w:r>
        <w:t xml:space="preserve">un pamatnostādnes </w:t>
      </w:r>
      <w:r w:rsidRPr="00C43284">
        <w:t>attiecībā uz ES dalībvalstu nacionālo reformu programmu sagatavošanu</w:t>
      </w:r>
      <w:r w:rsidRPr="00C43284">
        <w:rPr>
          <w:rStyle w:val="FootnoteReference"/>
        </w:rPr>
        <w:footnoteReference w:id="7"/>
      </w:r>
      <w:r>
        <w:t>.</w:t>
      </w:r>
    </w:p>
    <w:p w:rsidR="00E67868" w:rsidRPr="00C43284" w:rsidRDefault="00E67868" w:rsidP="00F41073">
      <w:pPr>
        <w:spacing w:before="120"/>
        <w:ind w:firstLine="567"/>
        <w:rPr>
          <w:color w:val="000000"/>
        </w:rPr>
      </w:pPr>
      <w:bookmarkStart w:id="5" w:name="OLE_LINK16"/>
      <w:r w:rsidRPr="00C43284">
        <w:rPr>
          <w:color w:val="000000"/>
        </w:rPr>
        <w:t>Progresa ziņojumu par Latvijas NRP īstenošanu sagatavoja darba grupa, kuras sastāvā darbojās Ārlietu ministrijas (</w:t>
      </w:r>
      <w:r>
        <w:rPr>
          <w:color w:val="000000"/>
        </w:rPr>
        <w:t xml:space="preserve">turpmāk tekstā – </w:t>
      </w:r>
      <w:r w:rsidRPr="00C43284">
        <w:rPr>
          <w:color w:val="000000"/>
        </w:rPr>
        <w:t>ĀM), Ekonomikas ministrijas (</w:t>
      </w:r>
      <w:r>
        <w:rPr>
          <w:color w:val="000000"/>
        </w:rPr>
        <w:t>turpmāk tekstā –</w:t>
      </w:r>
      <w:r w:rsidRPr="00C43284">
        <w:rPr>
          <w:color w:val="000000"/>
        </w:rPr>
        <w:t>EM), Finanšu ministrijas (</w:t>
      </w:r>
      <w:r>
        <w:rPr>
          <w:color w:val="000000"/>
        </w:rPr>
        <w:t xml:space="preserve">turpmāk tekstā – </w:t>
      </w:r>
      <w:r w:rsidRPr="00C43284">
        <w:rPr>
          <w:color w:val="000000"/>
        </w:rPr>
        <w:t>FM), Izglītības un zinātnes ministrijas (</w:t>
      </w:r>
      <w:r>
        <w:rPr>
          <w:color w:val="000000"/>
        </w:rPr>
        <w:t xml:space="preserve">turpmāk tekstā – </w:t>
      </w:r>
      <w:r w:rsidRPr="00C43284">
        <w:rPr>
          <w:color w:val="000000"/>
        </w:rPr>
        <w:t>IZM), Kultūras ministrijas (</w:t>
      </w:r>
      <w:r>
        <w:rPr>
          <w:color w:val="000000"/>
        </w:rPr>
        <w:t xml:space="preserve">turpmāk tekstā – </w:t>
      </w:r>
      <w:r w:rsidRPr="00C43284">
        <w:rPr>
          <w:color w:val="000000"/>
        </w:rPr>
        <w:t>KM), Labklājības ministrijas (</w:t>
      </w:r>
      <w:r>
        <w:rPr>
          <w:color w:val="000000"/>
        </w:rPr>
        <w:t xml:space="preserve">turpmāk tekstā – </w:t>
      </w:r>
      <w:r w:rsidRPr="00C43284">
        <w:rPr>
          <w:color w:val="000000"/>
        </w:rPr>
        <w:t>LM), Satiksmes ministrijas (</w:t>
      </w:r>
      <w:r>
        <w:rPr>
          <w:color w:val="000000"/>
        </w:rPr>
        <w:t xml:space="preserve">turpmāk tekstā – </w:t>
      </w:r>
      <w:r w:rsidRPr="00C43284">
        <w:rPr>
          <w:color w:val="000000"/>
        </w:rPr>
        <w:t>SM), Tieslietu ministrijas (</w:t>
      </w:r>
      <w:r>
        <w:rPr>
          <w:color w:val="000000"/>
        </w:rPr>
        <w:t xml:space="preserve">turpmāk tekstā – </w:t>
      </w:r>
      <w:r w:rsidRPr="00C43284">
        <w:rPr>
          <w:color w:val="000000"/>
        </w:rPr>
        <w:t>TM), Vides aizsardzības un reģionālās attīstības ministrijas (</w:t>
      </w:r>
      <w:r>
        <w:rPr>
          <w:color w:val="000000"/>
        </w:rPr>
        <w:t xml:space="preserve">turpmāk tekstā – </w:t>
      </w:r>
      <w:r w:rsidRPr="00C43284">
        <w:rPr>
          <w:color w:val="000000"/>
        </w:rPr>
        <w:t>VARAM), Zemkopības ministrijas (</w:t>
      </w:r>
      <w:r>
        <w:rPr>
          <w:color w:val="000000"/>
        </w:rPr>
        <w:t xml:space="preserve">turpmāk tekstā – </w:t>
      </w:r>
      <w:r w:rsidRPr="00C43284">
        <w:rPr>
          <w:color w:val="000000"/>
        </w:rPr>
        <w:t xml:space="preserve">ZM), </w:t>
      </w:r>
      <w:proofErr w:type="spellStart"/>
      <w:r w:rsidRPr="00C43284">
        <w:rPr>
          <w:color w:val="000000"/>
        </w:rPr>
        <w:t>Pārresoru</w:t>
      </w:r>
      <w:proofErr w:type="spellEnd"/>
      <w:r w:rsidRPr="00C43284">
        <w:rPr>
          <w:color w:val="000000"/>
        </w:rPr>
        <w:t xml:space="preserve"> koordinācijas centra (</w:t>
      </w:r>
      <w:r>
        <w:rPr>
          <w:color w:val="000000"/>
        </w:rPr>
        <w:t xml:space="preserve">turpmāk tekstā – </w:t>
      </w:r>
      <w:r w:rsidRPr="00C43284">
        <w:rPr>
          <w:color w:val="000000"/>
        </w:rPr>
        <w:t>PKC), Latvijas Darba devēju konfederācijas (</w:t>
      </w:r>
      <w:r>
        <w:rPr>
          <w:color w:val="000000"/>
        </w:rPr>
        <w:t xml:space="preserve">turpmāk tekstā – </w:t>
      </w:r>
      <w:r w:rsidRPr="00C43284">
        <w:rPr>
          <w:color w:val="000000"/>
        </w:rPr>
        <w:t>LDDK), Latvijas Brīvo arodbiedrību savienības (</w:t>
      </w:r>
      <w:r>
        <w:rPr>
          <w:color w:val="000000"/>
        </w:rPr>
        <w:t xml:space="preserve">turpmāk tekstā – </w:t>
      </w:r>
      <w:r w:rsidRPr="00C43284">
        <w:rPr>
          <w:color w:val="000000"/>
        </w:rPr>
        <w:t>LBAS), Latvijas Tirdzniecības un rūpniecības kameras (</w:t>
      </w:r>
      <w:r>
        <w:rPr>
          <w:color w:val="000000"/>
        </w:rPr>
        <w:t xml:space="preserve">turpmāk tekstā – </w:t>
      </w:r>
      <w:r w:rsidRPr="00C43284">
        <w:rPr>
          <w:color w:val="000000"/>
        </w:rPr>
        <w:t>LTRK) un Latvijas Pašvaldību savienības (</w:t>
      </w:r>
      <w:r>
        <w:rPr>
          <w:color w:val="000000"/>
        </w:rPr>
        <w:t xml:space="preserve">turpmāk tekstā – </w:t>
      </w:r>
      <w:r w:rsidRPr="00C43284">
        <w:rPr>
          <w:color w:val="000000"/>
        </w:rPr>
        <w:t>LPS) pārstāvji. Progresa ziņojuma par Latvijas NRP īstenošanu sagatavošanā tika saņemta informācija arī no Veselības ministrijas (</w:t>
      </w:r>
      <w:r>
        <w:rPr>
          <w:color w:val="000000"/>
        </w:rPr>
        <w:t xml:space="preserve">turpmāk tekstā – </w:t>
      </w:r>
      <w:r w:rsidRPr="00C43284">
        <w:rPr>
          <w:color w:val="000000"/>
        </w:rPr>
        <w:t>VM), Valsts kancelejas (</w:t>
      </w:r>
      <w:r>
        <w:rPr>
          <w:color w:val="000000"/>
        </w:rPr>
        <w:t xml:space="preserve">turpmāk tekstā – </w:t>
      </w:r>
      <w:r w:rsidRPr="00C43284">
        <w:rPr>
          <w:color w:val="000000"/>
        </w:rPr>
        <w:t>VK), Finanšu un Kapitāla tirgus komisijas (</w:t>
      </w:r>
      <w:r>
        <w:rPr>
          <w:color w:val="000000"/>
        </w:rPr>
        <w:t xml:space="preserve">turpmāk tekstā – </w:t>
      </w:r>
      <w:r w:rsidRPr="00C43284">
        <w:rPr>
          <w:color w:val="000000"/>
        </w:rPr>
        <w:t>FKTK).</w:t>
      </w:r>
    </w:p>
    <w:p w:rsidR="00E67868" w:rsidRPr="00C43284" w:rsidRDefault="00E67868" w:rsidP="00E67868">
      <w:pPr>
        <w:ind w:firstLine="567"/>
        <w:rPr>
          <w:sz w:val="12"/>
          <w:szCs w:val="12"/>
        </w:rPr>
      </w:pPr>
    </w:p>
    <w:p w:rsidR="008C5FE7" w:rsidRDefault="00E67868" w:rsidP="00E67868">
      <w:pPr>
        <w:ind w:firstLine="567"/>
      </w:pPr>
      <w:r w:rsidRPr="00C43284">
        <w:t xml:space="preserve">Jāatzīmē, ka </w:t>
      </w:r>
      <w:r w:rsidR="00217F80">
        <w:t xml:space="preserve">ar Latvijas NRP un </w:t>
      </w:r>
      <w:r w:rsidR="00217F80" w:rsidRPr="00217F80">
        <w:rPr>
          <w:i/>
        </w:rPr>
        <w:t>Latvijas Konverģences programmas</w:t>
      </w:r>
      <w:r w:rsidR="00217F80">
        <w:t xml:space="preserve"> īstenošanu saistītie jautājumi, </w:t>
      </w:r>
      <w:proofErr w:type="spellStart"/>
      <w:r w:rsidR="00217F80">
        <w:t>t.sk</w:t>
      </w:r>
      <w:proofErr w:type="spellEnd"/>
      <w:r w:rsidR="00217F80">
        <w:t>. ES Padomes rekomendāciju izpilde, tiek regulāri apspriest</w:t>
      </w:r>
      <w:r w:rsidR="004C383B">
        <w:t>i</w:t>
      </w:r>
      <w:r w:rsidR="008C5FE7">
        <w:t xml:space="preserve"> Ministru kabinetā</w:t>
      </w:r>
      <w:r w:rsidR="004A5F60">
        <w:t xml:space="preserve"> (turpmāk tekstā – MK)</w:t>
      </w:r>
      <w:r w:rsidR="004C383B">
        <w:t>.</w:t>
      </w:r>
      <w:r w:rsidR="008C5FE7">
        <w:t xml:space="preserve"> </w:t>
      </w:r>
      <w:r w:rsidR="004C383B">
        <w:t xml:space="preserve">Ir notikušas arī trīs </w:t>
      </w:r>
      <w:r w:rsidR="008C5FE7">
        <w:t>divpusējās sarun</w:t>
      </w:r>
      <w:r w:rsidR="004C383B">
        <w:t>a</w:t>
      </w:r>
      <w:r w:rsidR="008C5FE7">
        <w:t>s</w:t>
      </w:r>
      <w:r w:rsidR="00217F80">
        <w:t xml:space="preserve"> ar EK</w:t>
      </w:r>
      <w:r w:rsidR="004C383B">
        <w:t xml:space="preserve">, </w:t>
      </w:r>
      <w:r w:rsidR="00217F80">
        <w:t xml:space="preserve">kurās tika apspriests </w:t>
      </w:r>
      <w:r w:rsidR="004C383B">
        <w:t xml:space="preserve">galvenokārt </w:t>
      </w:r>
      <w:r w:rsidR="00217F80">
        <w:t>Latvijas progress ES Padomes rekomendāciju izpildē.</w:t>
      </w:r>
    </w:p>
    <w:p w:rsidR="00E67868" w:rsidRPr="00C43284" w:rsidRDefault="008C5FE7" w:rsidP="00E67868">
      <w:pPr>
        <w:ind w:firstLine="567"/>
      </w:pPr>
      <w:r>
        <w:t>J</w:t>
      </w:r>
      <w:r w:rsidR="00E67868" w:rsidRPr="00C43284">
        <w:t>autājumi, kas ir saistīti ar Latvijas NRP kontekstā plānotām reformām</w:t>
      </w:r>
      <w:r w:rsidR="00E67868">
        <w:t>,</w:t>
      </w:r>
      <w:r w:rsidR="00E67868" w:rsidRPr="00C43284">
        <w:t xml:space="preserve"> ar </w:t>
      </w:r>
      <w:r w:rsidR="00E67868" w:rsidRPr="00FF5C3A">
        <w:rPr>
          <w:i/>
        </w:rPr>
        <w:t>„Eiropa 2020”</w:t>
      </w:r>
      <w:r w:rsidR="00E67868" w:rsidRPr="00C43284">
        <w:t xml:space="preserve"> stratēģiju saistītiem jautājumiem</w:t>
      </w:r>
      <w:r w:rsidR="00E67868">
        <w:t xml:space="preserve"> un Eiropas semestra virzību</w:t>
      </w:r>
      <w:r w:rsidR="00E67868" w:rsidRPr="00C43284">
        <w:t xml:space="preserve">, tiek regulāri apspriesti, iesaistot arī </w:t>
      </w:r>
      <w:r w:rsidR="00E67868">
        <w:t xml:space="preserve">Saeimas, </w:t>
      </w:r>
      <w:r w:rsidR="00E67868" w:rsidRPr="00C43284">
        <w:t>sociālo partneru</w:t>
      </w:r>
      <w:r w:rsidR="00E67868">
        <w:t>,</w:t>
      </w:r>
      <w:r w:rsidR="00E67868" w:rsidRPr="00C43284">
        <w:t xml:space="preserve"> nevalstisko organizāciju</w:t>
      </w:r>
      <w:r w:rsidR="00E67868">
        <w:t xml:space="preserve"> un pilsoniskās sabiedrības</w:t>
      </w:r>
      <w:r w:rsidR="00E67868" w:rsidRPr="00C43284">
        <w:t xml:space="preserve"> </w:t>
      </w:r>
      <w:r w:rsidR="00E67868" w:rsidRPr="00C43284">
        <w:lastRenderedPageBreak/>
        <w:t xml:space="preserve">pārstāvjus, piemēram, Ministru prezidenta vadītajā Reformu vadības grupā, Nacionālajā trīspusējās sadarbības padomē, </w:t>
      </w:r>
      <w:r w:rsidR="00E67868">
        <w:t>Saeimas Eiropas lietu komisijā</w:t>
      </w:r>
      <w:r w:rsidR="004C383B">
        <w:t xml:space="preserve"> </w:t>
      </w:r>
      <w:proofErr w:type="spellStart"/>
      <w:r w:rsidR="004C383B">
        <w:t>u.c</w:t>
      </w:r>
      <w:proofErr w:type="spellEnd"/>
      <w:r w:rsidR="00E67868">
        <w:t>.</w:t>
      </w:r>
      <w:r w:rsidR="00E67868" w:rsidRPr="00C43284">
        <w:t xml:space="preserve"> </w:t>
      </w:r>
    </w:p>
    <w:bookmarkEnd w:id="5"/>
    <w:p w:rsidR="00E67868" w:rsidRPr="00C43284" w:rsidRDefault="00E67868" w:rsidP="00E67868">
      <w:pPr>
        <w:ind w:left="927"/>
        <w:rPr>
          <w:sz w:val="12"/>
          <w:szCs w:val="12"/>
        </w:rPr>
      </w:pPr>
    </w:p>
    <w:p w:rsidR="00E67868" w:rsidRPr="00C43284" w:rsidRDefault="00E67868" w:rsidP="00E67868">
      <w:pPr>
        <w:ind w:firstLine="567"/>
      </w:pPr>
      <w:r w:rsidRPr="00C43284">
        <w:t xml:space="preserve">Progresa ziņojums par Latvijas NRP īstenošanu sastāv no </w:t>
      </w:r>
      <w:r>
        <w:t>4</w:t>
      </w:r>
      <w:r w:rsidRPr="00C43284">
        <w:t xml:space="preserve"> daļām. 1.daļā ir atjaunots Latvijas NRP aprakstītais vidēja termiņa makroekonomiskais scenārijs. 2.daļā – izvērtēts Latvijas progress</w:t>
      </w:r>
      <w:r>
        <w:t xml:space="preserve"> </w:t>
      </w:r>
      <w:r w:rsidR="008C7DFB">
        <w:t xml:space="preserve">2012.gada </w:t>
      </w:r>
      <w:r>
        <w:t>ES Padomes rekomendāciju izpildē.</w:t>
      </w:r>
      <w:r w:rsidRPr="00C43284">
        <w:t xml:space="preserve"> 3.daļā ir dots detalizētāks Latvijas NRP politikas virzienu apraksts</w:t>
      </w:r>
      <w:r w:rsidR="005E6CFD">
        <w:t xml:space="preserve">, </w:t>
      </w:r>
      <w:proofErr w:type="spellStart"/>
      <w:r w:rsidR="005E6CFD">
        <w:t>t.sk</w:t>
      </w:r>
      <w:proofErr w:type="spellEnd"/>
      <w:r w:rsidR="005E6CFD">
        <w:t xml:space="preserve">. progress Latvijas kvantitatīvo mērķu </w:t>
      </w:r>
      <w:r w:rsidR="005E6CFD" w:rsidRPr="00FF5C3A">
        <w:rPr>
          <w:i/>
        </w:rPr>
        <w:t>„Eiropa 2020”</w:t>
      </w:r>
      <w:r w:rsidR="005E6CFD">
        <w:t xml:space="preserve"> stratēģijas kontekstā sasniegšanā</w:t>
      </w:r>
      <w:r w:rsidR="004C383B">
        <w:t>.</w:t>
      </w:r>
      <w:r w:rsidRPr="00C43284">
        <w:t xml:space="preserve"> </w:t>
      </w:r>
      <w:r>
        <w:t>4.daļā ir atspoguļota informācija par ES fondu izmantošanu esošajā un 2014.-2020.gadu periodā.</w:t>
      </w:r>
      <w:r w:rsidRPr="00C43284">
        <w:t xml:space="preserve"> </w:t>
      </w:r>
    </w:p>
    <w:p w:rsidR="00E67868" w:rsidRPr="00C43284" w:rsidRDefault="00E67868" w:rsidP="00E67868">
      <w:pPr>
        <w:ind w:firstLine="567"/>
        <w:rPr>
          <w:sz w:val="12"/>
          <w:szCs w:val="12"/>
        </w:rPr>
      </w:pPr>
    </w:p>
    <w:p w:rsidR="00E67868" w:rsidRDefault="00E67868" w:rsidP="00E67868">
      <w:pPr>
        <w:ind w:firstLine="567"/>
      </w:pPr>
      <w:r w:rsidRPr="00C43284">
        <w:t xml:space="preserve">Visa skaitliskā informācija un dati, izņemot īpaši norādītos gadījumos, ir saņemti no Centrālās statistikas pārvaldes (turpmāk tekstā – CSP) vai ES statistikas biroja </w:t>
      </w:r>
      <w:r w:rsidRPr="00C43284">
        <w:rPr>
          <w:i/>
        </w:rPr>
        <w:t>(</w:t>
      </w:r>
      <w:proofErr w:type="spellStart"/>
      <w:r w:rsidRPr="00C43284">
        <w:rPr>
          <w:i/>
        </w:rPr>
        <w:t>Eurostat</w:t>
      </w:r>
      <w:proofErr w:type="spellEnd"/>
      <w:r w:rsidRPr="00C43284">
        <w:rPr>
          <w:i/>
        </w:rPr>
        <w:t>)</w:t>
      </w:r>
      <w:r w:rsidRPr="00C43284">
        <w:t>.</w:t>
      </w:r>
    </w:p>
    <w:p w:rsidR="00B77132" w:rsidRDefault="00B77132" w:rsidP="004F76EB">
      <w:pPr>
        <w:ind w:firstLine="567"/>
      </w:pPr>
    </w:p>
    <w:p w:rsidR="00B77132" w:rsidRDefault="00B77132">
      <w:pPr>
        <w:jc w:val="left"/>
      </w:pPr>
      <w:r>
        <w:br w:type="page"/>
      </w:r>
    </w:p>
    <w:p w:rsidR="00746FF6" w:rsidRPr="00B703A3" w:rsidRDefault="00450688" w:rsidP="00B77132">
      <w:pPr>
        <w:pStyle w:val="Heading1"/>
        <w:jc w:val="center"/>
        <w:rPr>
          <w:rFonts w:ascii="Times New Roman Bold" w:hAnsi="Times New Roman Bold" w:cs="Times New Roman"/>
          <w:smallCaps/>
          <w:color w:val="auto"/>
        </w:rPr>
      </w:pPr>
      <w:r w:rsidRPr="00B703A3">
        <w:rPr>
          <w:rFonts w:ascii="Times New Roman Bold" w:hAnsi="Times New Roman Bold" w:cs="Times New Roman"/>
          <w:smallCaps/>
          <w:color w:val="auto"/>
        </w:rPr>
        <w:lastRenderedPageBreak/>
        <w:t xml:space="preserve"> </w:t>
      </w:r>
      <w:bookmarkStart w:id="6" w:name="_Toc354384920"/>
      <w:r w:rsidR="008F2EE4" w:rsidRPr="00B703A3">
        <w:rPr>
          <w:rFonts w:ascii="Times New Roman Bold" w:hAnsi="Times New Roman Bold" w:cs="Times New Roman"/>
          <w:smallCaps/>
          <w:color w:val="auto"/>
        </w:rPr>
        <w:t>1. Vidēja termiņa makroekonomiskais scenārijs</w:t>
      </w:r>
      <w:bookmarkEnd w:id="6"/>
    </w:p>
    <w:p w:rsidR="007E7E9C" w:rsidRDefault="007E7E9C" w:rsidP="00406D7B">
      <w:pPr>
        <w:spacing w:before="120" w:after="40"/>
        <w:ind w:firstLine="567"/>
        <w:rPr>
          <w:rFonts w:eastAsia="Times New Roman"/>
          <w:spacing w:val="-4"/>
          <w:lang w:eastAsia="lv-LV"/>
        </w:rPr>
      </w:pPr>
      <w:r>
        <w:rPr>
          <w:rFonts w:eastAsia="Times New Roman"/>
          <w:spacing w:val="-4"/>
          <w:lang w:eastAsia="lv-LV"/>
        </w:rPr>
        <w:t>2012.gadā turpinājās strauja Latvijas ekonomikas izaugsme un i</w:t>
      </w:r>
      <w:r w:rsidRPr="00C43284">
        <w:rPr>
          <w:rFonts w:eastAsia="Times New Roman"/>
          <w:spacing w:val="-4"/>
          <w:lang w:eastAsia="lv-LV"/>
        </w:rPr>
        <w:t>ekšzemes kopprodukts (turpmāk tekstā – IKP)</w:t>
      </w:r>
      <w:r>
        <w:rPr>
          <w:rFonts w:eastAsia="Times New Roman"/>
          <w:spacing w:val="-4"/>
          <w:lang w:eastAsia="lv-LV"/>
        </w:rPr>
        <w:t>, salīdzinot ar iepriekšējo gadu, palielinājās par 5,</w:t>
      </w:r>
      <w:r w:rsidR="00016DA4">
        <w:rPr>
          <w:rFonts w:eastAsia="Times New Roman"/>
          <w:spacing w:val="-4"/>
          <w:lang w:eastAsia="lv-LV"/>
        </w:rPr>
        <w:t>6</w:t>
      </w:r>
      <w:r>
        <w:rPr>
          <w:rFonts w:eastAsia="Times New Roman"/>
          <w:spacing w:val="-4"/>
          <w:lang w:eastAsia="lv-LV"/>
        </w:rPr>
        <w:t xml:space="preserve">%. Tas ir straujākais kāpums starp visām ES </w:t>
      </w:r>
      <w:r w:rsidR="008C7DFB">
        <w:rPr>
          <w:rFonts w:eastAsia="Times New Roman"/>
          <w:spacing w:val="-4"/>
          <w:lang w:eastAsia="lv-LV"/>
        </w:rPr>
        <w:t>dalīb</w:t>
      </w:r>
      <w:r>
        <w:rPr>
          <w:rFonts w:eastAsia="Times New Roman"/>
          <w:spacing w:val="-4"/>
          <w:lang w:eastAsia="lv-LV"/>
        </w:rPr>
        <w:t>valstīm. Neskatoties uz nelabvēlīgo situāciju ārējos tirgos, strauji izaugsmes tempi saglabājās visa</w:t>
      </w:r>
      <w:r w:rsidR="00D45640">
        <w:rPr>
          <w:rFonts w:eastAsia="Times New Roman"/>
          <w:spacing w:val="-4"/>
          <w:lang w:eastAsia="lv-LV"/>
        </w:rPr>
        <w:t xml:space="preserve"> </w:t>
      </w:r>
      <w:r>
        <w:rPr>
          <w:rFonts w:eastAsia="Times New Roman"/>
          <w:spacing w:val="-4"/>
          <w:lang w:eastAsia="lv-LV"/>
        </w:rPr>
        <w:t xml:space="preserve">2012.gada garumā – </w:t>
      </w:r>
      <w:r w:rsidRPr="000901D6">
        <w:rPr>
          <w:rFonts w:eastAsia="Times New Roman"/>
          <w:spacing w:val="-4"/>
          <w:lang w:eastAsia="lv-LV"/>
        </w:rPr>
        <w:t>caurmērā par 1,</w:t>
      </w:r>
      <w:r w:rsidR="00D15014">
        <w:rPr>
          <w:rFonts w:eastAsia="Times New Roman"/>
          <w:spacing w:val="-4"/>
          <w:lang w:eastAsia="lv-LV"/>
        </w:rPr>
        <w:t>4</w:t>
      </w:r>
      <w:r w:rsidRPr="000901D6">
        <w:rPr>
          <w:rFonts w:eastAsia="Times New Roman"/>
          <w:spacing w:val="-4"/>
          <w:lang w:eastAsia="lv-LV"/>
        </w:rPr>
        <w:t>% ik ceturksni</w:t>
      </w:r>
      <w:r>
        <w:rPr>
          <w:rFonts w:eastAsia="Times New Roman"/>
          <w:spacing w:val="-4"/>
          <w:lang w:eastAsia="lv-LV"/>
        </w:rPr>
        <w:t>.</w:t>
      </w:r>
    </w:p>
    <w:p w:rsidR="007E7E9C" w:rsidRDefault="007E7E9C" w:rsidP="00406D7B">
      <w:pPr>
        <w:spacing w:after="40"/>
        <w:ind w:firstLine="567"/>
      </w:pPr>
      <w:r>
        <w:t xml:space="preserve">Spēcīgo ekonomikas izaugsmi 2012.gadā </w:t>
      </w:r>
      <w:r w:rsidRPr="006202E5">
        <w:t>nodrošināja gan ārēj</w:t>
      </w:r>
      <w:r>
        <w:t xml:space="preserve">ais, gan iekšējais pieprasījums, un lielāko </w:t>
      </w:r>
      <w:r w:rsidRPr="006202E5">
        <w:t>ieguldījumu izaugsmē dev</w:t>
      </w:r>
      <w:r>
        <w:t xml:space="preserve">a </w:t>
      </w:r>
      <w:r w:rsidRPr="006202E5">
        <w:t>tirdzniecība</w:t>
      </w:r>
      <w:r>
        <w:t>s</w:t>
      </w:r>
      <w:r w:rsidRPr="006202E5">
        <w:t>, apstrādes rūpni</w:t>
      </w:r>
      <w:r>
        <w:t xml:space="preserve">ecības, būvniecības un transporta nozares. </w:t>
      </w:r>
      <w:r>
        <w:rPr>
          <w:rFonts w:eastAsia="Times New Roman"/>
        </w:rPr>
        <w:t xml:space="preserve">Savukārt </w:t>
      </w:r>
      <w:r w:rsidRPr="006202E5">
        <w:t>sabiedrisk</w:t>
      </w:r>
      <w:r>
        <w:t xml:space="preserve">o pakalpojumu nozarēs sniegto pakalpojumu apjomi saglabājās iepriekšējā gada līmenī. To ietekmēja īstenotie </w:t>
      </w:r>
      <w:r w:rsidRPr="006202E5">
        <w:t>budžeta izdevumu ierobežošan</w:t>
      </w:r>
      <w:r>
        <w:t>as pasākumi.</w:t>
      </w:r>
    </w:p>
    <w:p w:rsidR="007E7E9C" w:rsidRDefault="007E7E9C" w:rsidP="00406D7B">
      <w:pPr>
        <w:spacing w:after="40"/>
        <w:ind w:firstLine="567"/>
        <w:rPr>
          <w:rFonts w:eastAsia="Times New Roman"/>
          <w:spacing w:val="-4"/>
          <w:lang w:eastAsia="lv-LV"/>
        </w:rPr>
      </w:pPr>
      <w:r>
        <w:rPr>
          <w:rFonts w:eastAsia="Times New Roman"/>
          <w:spacing w:val="-4"/>
          <w:lang w:eastAsia="lv-LV"/>
        </w:rPr>
        <w:t xml:space="preserve">Kā galvenais izaugsmes virzītājs 2012.gadā saglabājās preču un pakalpojumu eksports. </w:t>
      </w:r>
      <w:r w:rsidRPr="004B4B81">
        <w:rPr>
          <w:rFonts w:eastAsia="Times New Roman"/>
          <w:spacing w:val="-4"/>
          <w:lang w:eastAsia="lv-LV"/>
        </w:rPr>
        <w:t xml:space="preserve">Pateicoties vietējo ražotāju konkurētspējas pieaugumam un eksporta tirgu diversifikācijai, Latvijas preču </w:t>
      </w:r>
      <w:r>
        <w:rPr>
          <w:rFonts w:eastAsia="Times New Roman"/>
          <w:spacing w:val="-4"/>
          <w:lang w:eastAsia="lv-LV"/>
        </w:rPr>
        <w:t xml:space="preserve">eksporta vērtība 2012.gadā </w:t>
      </w:r>
      <w:r w:rsidRPr="004B4B81">
        <w:rPr>
          <w:rFonts w:eastAsia="Times New Roman"/>
          <w:spacing w:val="-4"/>
          <w:lang w:eastAsia="lv-LV"/>
        </w:rPr>
        <w:t xml:space="preserve">palielinājās </w:t>
      </w:r>
      <w:r w:rsidRPr="00351905">
        <w:rPr>
          <w:rFonts w:eastAsia="Times New Roman"/>
          <w:spacing w:val="-4"/>
          <w:lang w:eastAsia="lv-LV"/>
        </w:rPr>
        <w:t>par 15%, kas, ņemot vērā sarežģīto situāciju ārējā vidē, vērtējams kā ļoti atzīstams sniegums.</w:t>
      </w:r>
      <w:r w:rsidRPr="00351905">
        <w:rPr>
          <w:lang w:eastAsia="lv-LV"/>
        </w:rPr>
        <w:t xml:space="preserve"> </w:t>
      </w:r>
      <w:r w:rsidRPr="00351905">
        <w:rPr>
          <w:rFonts w:eastAsia="Times New Roman"/>
          <w:spacing w:val="-4"/>
          <w:lang w:eastAsia="lv-LV"/>
        </w:rPr>
        <w:t>Lielāko</w:t>
      </w:r>
      <w:r w:rsidRPr="004B4B81">
        <w:rPr>
          <w:rFonts w:eastAsia="Times New Roman"/>
          <w:spacing w:val="-4"/>
          <w:lang w:eastAsia="lv-LV"/>
        </w:rPr>
        <w:t xml:space="preserve"> devumu kopējā eksporta pieaugumā nodrošināja lauksaimniecības un pārtikas produktu eksports, kas salīdzinājumā ar 2011.gadu palielinājās par 43,</w:t>
      </w:r>
      <w:r w:rsidR="00D15014">
        <w:rPr>
          <w:rFonts w:eastAsia="Times New Roman"/>
          <w:spacing w:val="-4"/>
          <w:lang w:eastAsia="lv-LV"/>
        </w:rPr>
        <w:t>3</w:t>
      </w:r>
      <w:r w:rsidRPr="004B4B81">
        <w:rPr>
          <w:rFonts w:eastAsia="Times New Roman"/>
          <w:spacing w:val="-4"/>
          <w:lang w:eastAsia="lv-LV"/>
        </w:rPr>
        <w:t>%</w:t>
      </w:r>
      <w:r>
        <w:rPr>
          <w:rFonts w:eastAsia="Times New Roman"/>
          <w:spacing w:val="-4"/>
          <w:lang w:eastAsia="lv-LV"/>
        </w:rPr>
        <w:t>. M</w:t>
      </w:r>
      <w:r w:rsidRPr="004B4B81">
        <w:rPr>
          <w:rFonts w:eastAsia="Times New Roman"/>
          <w:spacing w:val="-4"/>
          <w:lang w:eastAsia="lv-LV"/>
        </w:rPr>
        <w:t xml:space="preserve">etāla un tā izstrādājumu eksports </w:t>
      </w:r>
      <w:r>
        <w:rPr>
          <w:rFonts w:eastAsia="Times New Roman"/>
          <w:spacing w:val="-4"/>
          <w:lang w:eastAsia="lv-LV"/>
        </w:rPr>
        <w:t>auga</w:t>
      </w:r>
      <w:r w:rsidRPr="004B4B81">
        <w:rPr>
          <w:rFonts w:eastAsia="Times New Roman"/>
          <w:spacing w:val="-4"/>
          <w:lang w:eastAsia="lv-LV"/>
        </w:rPr>
        <w:t xml:space="preserve"> par 11,4%, bet koksnes un koksnes izstrādājumu eksports </w:t>
      </w:r>
      <w:r>
        <w:rPr>
          <w:rFonts w:eastAsia="Times New Roman"/>
          <w:spacing w:val="-4"/>
          <w:lang w:eastAsia="lv-LV"/>
        </w:rPr>
        <w:t>– par 3,</w:t>
      </w:r>
      <w:r w:rsidR="00D15014">
        <w:rPr>
          <w:rFonts w:eastAsia="Times New Roman"/>
          <w:spacing w:val="-4"/>
          <w:lang w:eastAsia="lv-LV"/>
        </w:rPr>
        <w:t xml:space="preserve">1 </w:t>
      </w:r>
      <w:r>
        <w:rPr>
          <w:rFonts w:eastAsia="Times New Roman"/>
          <w:spacing w:val="-4"/>
          <w:lang w:eastAsia="lv-LV"/>
        </w:rPr>
        <w:t>procentiem.</w:t>
      </w:r>
    </w:p>
    <w:p w:rsidR="007E7E9C" w:rsidRDefault="007E7E9C" w:rsidP="00406D7B">
      <w:pPr>
        <w:spacing w:after="40"/>
        <w:ind w:firstLine="567"/>
        <w:rPr>
          <w:rFonts w:eastAsia="Times New Roman"/>
          <w:spacing w:val="-4"/>
          <w:lang w:eastAsia="lv-LV"/>
        </w:rPr>
      </w:pPr>
      <w:r>
        <w:rPr>
          <w:rFonts w:eastAsia="Times New Roman"/>
          <w:spacing w:val="-4"/>
          <w:lang w:eastAsia="lv-LV"/>
        </w:rPr>
        <w:t xml:space="preserve">Līdz ar ekonomikas izaugsmi turpina uzlaboties situācija darba tirgū. </w:t>
      </w:r>
      <w:r w:rsidRPr="002C6C95">
        <w:rPr>
          <w:rFonts w:eastAsia="Times New Roman"/>
          <w:spacing w:val="-4"/>
          <w:lang w:eastAsia="lv-LV"/>
        </w:rPr>
        <w:t>2012.gadā</w:t>
      </w:r>
      <w:r w:rsidR="00D45640">
        <w:rPr>
          <w:rFonts w:eastAsia="Times New Roman"/>
          <w:spacing w:val="-4"/>
          <w:lang w:eastAsia="lv-LV"/>
        </w:rPr>
        <w:t xml:space="preserve"> </w:t>
      </w:r>
      <w:r w:rsidRPr="002C6C95">
        <w:rPr>
          <w:rFonts w:eastAsia="Times New Roman"/>
          <w:spacing w:val="-4"/>
          <w:lang w:eastAsia="lv-LV"/>
        </w:rPr>
        <w:t xml:space="preserve">nodarbināto skaits </w:t>
      </w:r>
      <w:r w:rsidR="00D15014">
        <w:rPr>
          <w:rFonts w:eastAsia="Times New Roman"/>
          <w:spacing w:val="-4"/>
          <w:lang w:eastAsia="lv-LV"/>
        </w:rPr>
        <w:t xml:space="preserve">15-74 gadu vecumā </w:t>
      </w:r>
      <w:r w:rsidRPr="002C6C95">
        <w:rPr>
          <w:rFonts w:eastAsia="Times New Roman"/>
          <w:spacing w:val="-4"/>
          <w:lang w:eastAsia="lv-LV"/>
        </w:rPr>
        <w:t xml:space="preserve">sasniedza </w:t>
      </w:r>
      <w:r w:rsidR="00D15014" w:rsidRPr="002C6C95">
        <w:rPr>
          <w:rFonts w:eastAsia="Times New Roman"/>
          <w:spacing w:val="-4"/>
          <w:lang w:eastAsia="lv-LV"/>
        </w:rPr>
        <w:t>88</w:t>
      </w:r>
      <w:r w:rsidR="00D15014">
        <w:rPr>
          <w:rFonts w:eastAsia="Times New Roman"/>
          <w:spacing w:val="-4"/>
          <w:lang w:eastAsia="lv-LV"/>
        </w:rPr>
        <w:t>6</w:t>
      </w:r>
      <w:r w:rsidR="00D15014" w:rsidRPr="002C6C95">
        <w:rPr>
          <w:rFonts w:eastAsia="Times New Roman"/>
          <w:spacing w:val="-4"/>
          <w:lang w:eastAsia="lv-LV"/>
        </w:rPr>
        <w:t xml:space="preserve"> </w:t>
      </w:r>
      <w:r w:rsidRPr="002C6C95">
        <w:rPr>
          <w:rFonts w:eastAsia="Times New Roman"/>
          <w:spacing w:val="-4"/>
          <w:lang w:eastAsia="lv-LV"/>
        </w:rPr>
        <w:t>tūkst</w:t>
      </w:r>
      <w:r>
        <w:rPr>
          <w:rFonts w:eastAsia="Times New Roman"/>
          <w:spacing w:val="-4"/>
          <w:lang w:eastAsia="lv-LV"/>
        </w:rPr>
        <w:t>ošus</w:t>
      </w:r>
      <w:r w:rsidRPr="002C6C95">
        <w:rPr>
          <w:rFonts w:eastAsia="Times New Roman"/>
          <w:spacing w:val="-4"/>
          <w:lang w:eastAsia="lv-LV"/>
        </w:rPr>
        <w:t>, kas bija par 2,8%</w:t>
      </w:r>
      <w:r>
        <w:rPr>
          <w:rFonts w:eastAsia="Times New Roman"/>
          <w:spacing w:val="-4"/>
          <w:lang w:eastAsia="lv-LV"/>
        </w:rPr>
        <w:t>,</w:t>
      </w:r>
      <w:r w:rsidRPr="002C6C95">
        <w:rPr>
          <w:rFonts w:eastAsia="Times New Roman"/>
          <w:spacing w:val="-4"/>
          <w:lang w:eastAsia="lv-LV"/>
        </w:rPr>
        <w:t xml:space="preserve"> jeb gandrīz </w:t>
      </w:r>
      <w:r w:rsidR="00D15014" w:rsidRPr="002C6C95">
        <w:rPr>
          <w:rFonts w:eastAsia="Times New Roman"/>
          <w:spacing w:val="-4"/>
          <w:lang w:eastAsia="lv-LV"/>
        </w:rPr>
        <w:t>2</w:t>
      </w:r>
      <w:r w:rsidR="00D15014">
        <w:rPr>
          <w:rFonts w:eastAsia="Times New Roman"/>
          <w:spacing w:val="-4"/>
          <w:lang w:eastAsia="lv-LV"/>
        </w:rPr>
        <w:t>4</w:t>
      </w:r>
      <w:r w:rsidR="00D15014" w:rsidRPr="002C6C95">
        <w:rPr>
          <w:rFonts w:eastAsia="Times New Roman"/>
          <w:spacing w:val="-4"/>
          <w:lang w:eastAsia="lv-LV"/>
        </w:rPr>
        <w:t xml:space="preserve"> </w:t>
      </w:r>
      <w:r w:rsidRPr="002C6C95">
        <w:rPr>
          <w:rFonts w:eastAsia="Times New Roman"/>
          <w:spacing w:val="-4"/>
          <w:lang w:eastAsia="lv-LV"/>
        </w:rPr>
        <w:t>tūkst</w:t>
      </w:r>
      <w:r>
        <w:rPr>
          <w:rFonts w:eastAsia="Times New Roman"/>
          <w:spacing w:val="-4"/>
          <w:lang w:eastAsia="lv-LV"/>
        </w:rPr>
        <w:t xml:space="preserve">ošiem </w:t>
      </w:r>
      <w:r w:rsidRPr="002C6C95">
        <w:rPr>
          <w:rFonts w:eastAsia="Times New Roman"/>
          <w:spacing w:val="-4"/>
          <w:lang w:eastAsia="lv-LV"/>
        </w:rPr>
        <w:t xml:space="preserve">vairāk nekā 2011.gadā. </w:t>
      </w:r>
      <w:r w:rsidR="00D15014">
        <w:rPr>
          <w:rFonts w:eastAsia="Times New Roman"/>
          <w:spacing w:val="-4"/>
          <w:lang w:eastAsia="lv-LV"/>
        </w:rPr>
        <w:t>Darba meklētāju īpatsvars</w:t>
      </w:r>
      <w:r w:rsidRPr="002C6C95">
        <w:rPr>
          <w:rFonts w:eastAsia="Times New Roman"/>
          <w:spacing w:val="-4"/>
          <w:lang w:eastAsia="lv-LV"/>
        </w:rPr>
        <w:t xml:space="preserve"> 2012.gadā saruka līdz 14,9%</w:t>
      </w:r>
      <w:r>
        <w:rPr>
          <w:rFonts w:eastAsia="Times New Roman"/>
          <w:spacing w:val="-4"/>
          <w:lang w:eastAsia="lv-LV"/>
        </w:rPr>
        <w:t xml:space="preserve"> un </w:t>
      </w:r>
      <w:r w:rsidRPr="002C6C95">
        <w:rPr>
          <w:rFonts w:eastAsia="Times New Roman"/>
          <w:spacing w:val="-4"/>
          <w:lang w:eastAsia="lv-LV"/>
        </w:rPr>
        <w:t>bija par 1,3 procentpunktiem mazāk</w:t>
      </w:r>
      <w:r>
        <w:rPr>
          <w:rFonts w:eastAsia="Times New Roman"/>
          <w:spacing w:val="-4"/>
          <w:lang w:eastAsia="lv-LV"/>
        </w:rPr>
        <w:t>s</w:t>
      </w:r>
      <w:r w:rsidRPr="002C6C95">
        <w:rPr>
          <w:rFonts w:eastAsia="Times New Roman"/>
          <w:spacing w:val="-4"/>
          <w:lang w:eastAsia="lv-LV"/>
        </w:rPr>
        <w:t xml:space="preserve"> nekā pirms gada.</w:t>
      </w:r>
      <w:r w:rsidRPr="003B525F">
        <w:rPr>
          <w:rFonts w:eastAsia="Times New Roman"/>
          <w:spacing w:val="-4"/>
          <w:lang w:eastAsia="lv-LV"/>
        </w:rPr>
        <w:t xml:space="preserve"> </w:t>
      </w:r>
      <w:r w:rsidRPr="002C6C95">
        <w:rPr>
          <w:rFonts w:eastAsia="Times New Roman"/>
          <w:spacing w:val="-4"/>
          <w:lang w:eastAsia="lv-LV"/>
        </w:rPr>
        <w:t>Reģistrētā bezdarba līmenis 2012.gada decembra beigās sasniedza zemāko līmeni kopš 2009.gada aprīļa un bija 10,5</w:t>
      </w:r>
      <w:r>
        <w:rPr>
          <w:rFonts w:eastAsia="Times New Roman"/>
          <w:spacing w:val="-4"/>
          <w:lang w:eastAsia="lv-LV"/>
        </w:rPr>
        <w:t xml:space="preserve"> procenti.</w:t>
      </w:r>
    </w:p>
    <w:p w:rsidR="007E7E9C" w:rsidRDefault="007E7E9C" w:rsidP="00406D7B">
      <w:pPr>
        <w:spacing w:after="40"/>
        <w:ind w:firstLine="567"/>
      </w:pPr>
      <w:r w:rsidRPr="00020411">
        <w:t xml:space="preserve">Lai gan ekonomikā saglabājās </w:t>
      </w:r>
      <w:r>
        <w:t>augsti</w:t>
      </w:r>
      <w:r w:rsidRPr="00020411">
        <w:t xml:space="preserve"> izaugsmes tempi, </w:t>
      </w:r>
      <w:r>
        <w:t>i</w:t>
      </w:r>
      <w:r w:rsidRPr="006202E5">
        <w:t xml:space="preserve">nflācijas dinamika 2012.gadā bija ar ievērojamu samazināšanās tendenci – </w:t>
      </w:r>
      <w:r>
        <w:t>ga</w:t>
      </w:r>
      <w:r w:rsidR="002D6824">
        <w:t xml:space="preserve">da inflācija samazinājās no 3,6% </w:t>
      </w:r>
      <w:r>
        <w:t xml:space="preserve">2012.gada janvārī līdz </w:t>
      </w:r>
      <w:r w:rsidRPr="006202E5">
        <w:t>1,6</w:t>
      </w:r>
      <w:r w:rsidR="002D6824">
        <w:t xml:space="preserve">% </w:t>
      </w:r>
      <w:r>
        <w:t xml:space="preserve">2012.gada decembrī. Līdzīga dinamika bija arī gada vidējai inflācijai, kas gada laikā saruka no 4,4% līdz 2,3%. </w:t>
      </w:r>
      <w:r w:rsidRPr="00020411">
        <w:t xml:space="preserve">Latvija </w:t>
      </w:r>
      <w:r>
        <w:t xml:space="preserve">kopš </w:t>
      </w:r>
      <w:r w:rsidRPr="00020411">
        <w:t>2012.gada septembra izpilda Māstrihtas inflācijas kritēriju eiro ieviešanai.</w:t>
      </w:r>
      <w:r>
        <w:t xml:space="preserve"> </w:t>
      </w:r>
      <w:r w:rsidRPr="00020411">
        <w:t>Lielāko ietekmi uz patēriņa cenām 2012.gadā radīja importētā inflācija, k</w:t>
      </w:r>
      <w:r>
        <w:t xml:space="preserve">o </w:t>
      </w:r>
      <w:r w:rsidRPr="00020411">
        <w:t>noteica energoresursu un neapstrādātās pārtikas cen</w:t>
      </w:r>
      <w:r>
        <w:t>u izmaiņas, kamēr pamatinflācija saglabājās zemā līmenī.</w:t>
      </w:r>
    </w:p>
    <w:p w:rsidR="007E7E9C" w:rsidRPr="00C43284" w:rsidRDefault="007E7E9C" w:rsidP="007E7E9C">
      <w:pPr>
        <w:pStyle w:val="ListParagraph"/>
        <w:tabs>
          <w:tab w:val="left" w:pos="426"/>
        </w:tabs>
        <w:ind w:left="0"/>
        <w:jc w:val="right"/>
      </w:pPr>
      <w:r w:rsidRPr="00C43284">
        <w:t>1.tabula</w:t>
      </w:r>
    </w:p>
    <w:p w:rsidR="007E7E9C" w:rsidRDefault="007E7E9C" w:rsidP="007E7E9C">
      <w:pPr>
        <w:pStyle w:val="ListParagraph"/>
        <w:tabs>
          <w:tab w:val="left" w:pos="426"/>
        </w:tabs>
        <w:ind w:left="0"/>
        <w:jc w:val="center"/>
      </w:pPr>
      <w:r w:rsidRPr="00DC13C3">
        <w:t>Makroekonomiskais scenārijs vidējam termiņam</w:t>
      </w:r>
    </w:p>
    <w:tbl>
      <w:tblPr>
        <w:tblW w:w="5250" w:type="pct"/>
        <w:tblInd w:w="-318" w:type="dxa"/>
        <w:tblBorders>
          <w:top w:val="single" w:sz="8" w:space="0" w:color="000000"/>
          <w:bottom w:val="single" w:sz="8" w:space="0" w:color="000000"/>
        </w:tblBorders>
        <w:tblLook w:val="04A0" w:firstRow="1" w:lastRow="0" w:firstColumn="1" w:lastColumn="0" w:noHBand="0" w:noVBand="1"/>
      </w:tblPr>
      <w:tblGrid>
        <w:gridCol w:w="5365"/>
        <w:gridCol w:w="759"/>
        <w:gridCol w:w="759"/>
        <w:gridCol w:w="759"/>
        <w:gridCol w:w="759"/>
        <w:gridCol w:w="759"/>
        <w:gridCol w:w="759"/>
      </w:tblGrid>
      <w:tr w:rsidR="00AD4C6A" w:rsidTr="00AD4C6A">
        <w:trPr>
          <w:trHeight w:val="180"/>
        </w:trPr>
        <w:tc>
          <w:tcPr>
            <w:tcW w:w="2246" w:type="pct"/>
            <w:tcBorders>
              <w:top w:val="single" w:sz="8" w:space="0" w:color="000000"/>
              <w:left w:val="nil"/>
              <w:bottom w:val="single" w:sz="8" w:space="0" w:color="000000"/>
              <w:right w:val="nil"/>
            </w:tcBorders>
            <w:noWrap/>
            <w:hideMark/>
          </w:tcPr>
          <w:p w:rsidR="00AD4C6A" w:rsidRDefault="00AD4C6A">
            <w:pPr>
              <w:jc w:val="left"/>
              <w:rPr>
                <w:sz w:val="20"/>
                <w:szCs w:val="20"/>
                <w:lang w:eastAsia="lv-LV"/>
              </w:rPr>
            </w:pPr>
          </w:p>
        </w:tc>
        <w:tc>
          <w:tcPr>
            <w:tcW w:w="459" w:type="pct"/>
            <w:tcBorders>
              <w:top w:val="single" w:sz="8" w:space="0" w:color="000000"/>
              <w:left w:val="nil"/>
              <w:bottom w:val="single" w:sz="8" w:space="0" w:color="000000"/>
              <w:right w:val="nil"/>
            </w:tcBorders>
            <w:noWrap/>
            <w:vAlign w:val="bottom"/>
            <w:hideMark/>
          </w:tcPr>
          <w:p w:rsidR="00AD4C6A" w:rsidRDefault="00AD4C6A">
            <w:pPr>
              <w:jc w:val="center"/>
              <w:rPr>
                <w:b/>
                <w:sz w:val="20"/>
                <w:szCs w:val="20"/>
              </w:rPr>
            </w:pPr>
            <w:r>
              <w:rPr>
                <w:b/>
                <w:sz w:val="20"/>
                <w:szCs w:val="20"/>
              </w:rPr>
              <w:t>2011</w:t>
            </w:r>
          </w:p>
        </w:tc>
        <w:tc>
          <w:tcPr>
            <w:tcW w:w="459" w:type="pct"/>
            <w:tcBorders>
              <w:top w:val="single" w:sz="8" w:space="0" w:color="000000"/>
              <w:left w:val="nil"/>
              <w:bottom w:val="single" w:sz="8" w:space="0" w:color="000000"/>
              <w:right w:val="nil"/>
            </w:tcBorders>
            <w:noWrap/>
            <w:vAlign w:val="bottom"/>
            <w:hideMark/>
          </w:tcPr>
          <w:p w:rsidR="00AD4C6A" w:rsidRDefault="00AD4C6A">
            <w:pPr>
              <w:jc w:val="center"/>
              <w:rPr>
                <w:b/>
                <w:sz w:val="20"/>
                <w:szCs w:val="20"/>
              </w:rPr>
            </w:pPr>
            <w:r>
              <w:rPr>
                <w:b/>
                <w:sz w:val="20"/>
                <w:szCs w:val="20"/>
              </w:rPr>
              <w:t>2012</w:t>
            </w:r>
          </w:p>
        </w:tc>
        <w:tc>
          <w:tcPr>
            <w:tcW w:w="459" w:type="pct"/>
            <w:tcBorders>
              <w:top w:val="single" w:sz="8" w:space="0" w:color="000000"/>
              <w:left w:val="nil"/>
              <w:bottom w:val="single" w:sz="8" w:space="0" w:color="000000"/>
              <w:right w:val="nil"/>
            </w:tcBorders>
            <w:noWrap/>
            <w:vAlign w:val="bottom"/>
            <w:hideMark/>
          </w:tcPr>
          <w:p w:rsidR="00AD4C6A" w:rsidRDefault="00AD4C6A">
            <w:pPr>
              <w:jc w:val="center"/>
              <w:rPr>
                <w:b/>
                <w:sz w:val="20"/>
                <w:szCs w:val="20"/>
              </w:rPr>
            </w:pPr>
            <w:r>
              <w:rPr>
                <w:b/>
                <w:sz w:val="20"/>
                <w:szCs w:val="20"/>
              </w:rPr>
              <w:t>2013</w:t>
            </w:r>
          </w:p>
        </w:tc>
        <w:tc>
          <w:tcPr>
            <w:tcW w:w="459" w:type="pct"/>
            <w:tcBorders>
              <w:top w:val="single" w:sz="8" w:space="0" w:color="000000"/>
              <w:left w:val="nil"/>
              <w:bottom w:val="single" w:sz="8" w:space="0" w:color="000000"/>
              <w:right w:val="nil"/>
            </w:tcBorders>
            <w:noWrap/>
            <w:vAlign w:val="bottom"/>
            <w:hideMark/>
          </w:tcPr>
          <w:p w:rsidR="00AD4C6A" w:rsidRDefault="00AD4C6A">
            <w:pPr>
              <w:jc w:val="center"/>
              <w:rPr>
                <w:b/>
                <w:sz w:val="20"/>
                <w:szCs w:val="20"/>
              </w:rPr>
            </w:pPr>
            <w:r>
              <w:rPr>
                <w:b/>
                <w:sz w:val="20"/>
                <w:szCs w:val="20"/>
              </w:rPr>
              <w:t>2014</w:t>
            </w:r>
          </w:p>
        </w:tc>
        <w:tc>
          <w:tcPr>
            <w:tcW w:w="459" w:type="pct"/>
            <w:tcBorders>
              <w:top w:val="single" w:sz="8" w:space="0" w:color="000000"/>
              <w:left w:val="nil"/>
              <w:bottom w:val="single" w:sz="8" w:space="0" w:color="000000"/>
              <w:right w:val="nil"/>
            </w:tcBorders>
            <w:noWrap/>
            <w:vAlign w:val="bottom"/>
            <w:hideMark/>
          </w:tcPr>
          <w:p w:rsidR="00AD4C6A" w:rsidRDefault="00AD4C6A">
            <w:pPr>
              <w:jc w:val="center"/>
              <w:rPr>
                <w:b/>
                <w:sz w:val="20"/>
                <w:szCs w:val="20"/>
              </w:rPr>
            </w:pPr>
            <w:r>
              <w:rPr>
                <w:b/>
                <w:sz w:val="20"/>
                <w:szCs w:val="20"/>
              </w:rPr>
              <w:t>2015</w:t>
            </w:r>
          </w:p>
        </w:tc>
        <w:tc>
          <w:tcPr>
            <w:tcW w:w="459" w:type="pct"/>
            <w:tcBorders>
              <w:top w:val="single" w:sz="8" w:space="0" w:color="000000"/>
              <w:left w:val="nil"/>
              <w:bottom w:val="single" w:sz="8" w:space="0" w:color="000000"/>
              <w:right w:val="nil"/>
            </w:tcBorders>
            <w:noWrap/>
            <w:vAlign w:val="bottom"/>
            <w:hideMark/>
          </w:tcPr>
          <w:p w:rsidR="00AD4C6A" w:rsidRDefault="00AD4C6A">
            <w:pPr>
              <w:jc w:val="center"/>
              <w:rPr>
                <w:b/>
                <w:sz w:val="20"/>
                <w:szCs w:val="20"/>
              </w:rPr>
            </w:pPr>
            <w:r>
              <w:rPr>
                <w:b/>
                <w:sz w:val="20"/>
                <w:szCs w:val="20"/>
              </w:rPr>
              <w:t>2016</w:t>
            </w:r>
          </w:p>
        </w:tc>
      </w:tr>
      <w:tr w:rsidR="00AD4C6A" w:rsidTr="00AD4C6A">
        <w:trPr>
          <w:trHeight w:val="53"/>
        </w:trPr>
        <w:tc>
          <w:tcPr>
            <w:tcW w:w="2246" w:type="pct"/>
            <w:tcBorders>
              <w:top w:val="nil"/>
              <w:left w:val="nil"/>
              <w:bottom w:val="nil"/>
              <w:right w:val="nil"/>
            </w:tcBorders>
            <w:shd w:val="clear" w:color="auto" w:fill="D9D9D9"/>
            <w:noWrap/>
            <w:vAlign w:val="center"/>
            <w:hideMark/>
          </w:tcPr>
          <w:p w:rsidR="00AD4C6A" w:rsidRDefault="00AD4C6A" w:rsidP="002D6824">
            <w:pPr>
              <w:spacing w:before="20"/>
              <w:jc w:val="left"/>
              <w:rPr>
                <w:b/>
                <w:bCs/>
                <w:color w:val="000000"/>
                <w:sz w:val="20"/>
                <w:szCs w:val="20"/>
              </w:rPr>
            </w:pPr>
            <w:r>
              <w:rPr>
                <w:bCs/>
                <w:color w:val="000000"/>
                <w:sz w:val="20"/>
                <w:szCs w:val="20"/>
              </w:rPr>
              <w:t xml:space="preserve">IKP, faktiskajās cenās, </w:t>
            </w:r>
            <w:proofErr w:type="spellStart"/>
            <w:r>
              <w:rPr>
                <w:bCs/>
                <w:color w:val="000000"/>
                <w:sz w:val="20"/>
                <w:szCs w:val="20"/>
              </w:rPr>
              <w:t>milj</w:t>
            </w:r>
            <w:proofErr w:type="spellEnd"/>
            <w:r>
              <w:rPr>
                <w:bCs/>
                <w:color w:val="000000"/>
                <w:sz w:val="20"/>
                <w:szCs w:val="20"/>
              </w:rPr>
              <w:t>. latu</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14275</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15520</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16382</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17426</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18520</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19651</w:t>
            </w:r>
          </w:p>
        </w:tc>
      </w:tr>
      <w:tr w:rsidR="00AD4C6A" w:rsidTr="00AD4C6A">
        <w:trPr>
          <w:trHeight w:val="72"/>
        </w:trPr>
        <w:tc>
          <w:tcPr>
            <w:tcW w:w="2246" w:type="pct"/>
            <w:tcBorders>
              <w:top w:val="nil"/>
              <w:left w:val="nil"/>
              <w:bottom w:val="nil"/>
              <w:right w:val="nil"/>
            </w:tcBorders>
            <w:noWrap/>
            <w:vAlign w:val="center"/>
            <w:hideMark/>
          </w:tcPr>
          <w:p w:rsidR="00AD4C6A" w:rsidRDefault="00AD4C6A">
            <w:pPr>
              <w:spacing w:before="20"/>
              <w:ind w:firstLineChars="100" w:firstLine="200"/>
              <w:jc w:val="left"/>
              <w:rPr>
                <w:b/>
                <w:bCs/>
                <w:color w:val="000000"/>
                <w:sz w:val="20"/>
                <w:szCs w:val="20"/>
              </w:rPr>
            </w:pPr>
            <w:r>
              <w:rPr>
                <w:bCs/>
                <w:color w:val="000000"/>
                <w:sz w:val="20"/>
                <w:szCs w:val="20"/>
              </w:rPr>
              <w:t>pieaugums faktiskajās cenās , %</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11,7</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8,7</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5,6</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6,4</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6,3</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6,1</w:t>
            </w:r>
          </w:p>
        </w:tc>
      </w:tr>
      <w:tr w:rsidR="00AD4C6A" w:rsidTr="00AD4C6A">
        <w:trPr>
          <w:trHeight w:val="119"/>
        </w:trPr>
        <w:tc>
          <w:tcPr>
            <w:tcW w:w="2246" w:type="pct"/>
            <w:tcBorders>
              <w:top w:val="nil"/>
              <w:left w:val="nil"/>
              <w:bottom w:val="nil"/>
              <w:right w:val="nil"/>
            </w:tcBorders>
            <w:shd w:val="clear" w:color="auto" w:fill="D9D9D9"/>
            <w:noWrap/>
            <w:vAlign w:val="center"/>
            <w:hideMark/>
          </w:tcPr>
          <w:p w:rsidR="00AD4C6A" w:rsidRDefault="00AD4C6A">
            <w:pPr>
              <w:spacing w:before="20"/>
              <w:ind w:firstLineChars="100" w:firstLine="200"/>
              <w:jc w:val="left"/>
              <w:rPr>
                <w:b/>
                <w:bCs/>
                <w:color w:val="000000"/>
                <w:sz w:val="20"/>
                <w:szCs w:val="20"/>
              </w:rPr>
            </w:pPr>
            <w:r>
              <w:rPr>
                <w:bCs/>
                <w:color w:val="000000"/>
                <w:sz w:val="20"/>
                <w:szCs w:val="20"/>
              </w:rPr>
              <w:t>pieaugums salīdzināmās cenās, %</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5,5</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5,6</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4,0</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4,0</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4,0</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4,0</w:t>
            </w:r>
          </w:p>
        </w:tc>
      </w:tr>
      <w:tr w:rsidR="00AD4C6A" w:rsidTr="00AD4C6A">
        <w:trPr>
          <w:trHeight w:val="53"/>
        </w:trPr>
        <w:tc>
          <w:tcPr>
            <w:tcW w:w="2246" w:type="pct"/>
            <w:tcBorders>
              <w:top w:val="nil"/>
              <w:left w:val="nil"/>
              <w:bottom w:val="nil"/>
              <w:right w:val="nil"/>
            </w:tcBorders>
            <w:noWrap/>
            <w:vAlign w:val="center"/>
            <w:hideMark/>
          </w:tcPr>
          <w:p w:rsidR="00AD4C6A" w:rsidRDefault="00AD4C6A">
            <w:pPr>
              <w:spacing w:before="20"/>
              <w:jc w:val="left"/>
              <w:rPr>
                <w:b/>
                <w:bCs/>
                <w:color w:val="000000"/>
                <w:sz w:val="20"/>
                <w:szCs w:val="20"/>
              </w:rPr>
            </w:pPr>
            <w:r>
              <w:rPr>
                <w:bCs/>
                <w:color w:val="000000"/>
                <w:sz w:val="20"/>
                <w:szCs w:val="20"/>
              </w:rPr>
              <w:t xml:space="preserve">IKP </w:t>
            </w:r>
            <w:proofErr w:type="spellStart"/>
            <w:r>
              <w:rPr>
                <w:bCs/>
                <w:color w:val="000000"/>
                <w:sz w:val="20"/>
                <w:szCs w:val="20"/>
              </w:rPr>
              <w:t>deflators</w:t>
            </w:r>
            <w:proofErr w:type="spellEnd"/>
            <w:r>
              <w:rPr>
                <w:bCs/>
                <w:color w:val="000000"/>
                <w:sz w:val="20"/>
                <w:szCs w:val="20"/>
              </w:rPr>
              <w:t xml:space="preserve"> (gads pret gadu), %</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5,9</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3,0</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1,5</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2,3</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2,2</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2,0</w:t>
            </w:r>
          </w:p>
        </w:tc>
      </w:tr>
      <w:tr w:rsidR="00AD4C6A" w:rsidTr="00AD4C6A">
        <w:trPr>
          <w:trHeight w:val="69"/>
        </w:trPr>
        <w:tc>
          <w:tcPr>
            <w:tcW w:w="2246" w:type="pct"/>
            <w:tcBorders>
              <w:top w:val="nil"/>
              <w:left w:val="nil"/>
              <w:bottom w:val="nil"/>
              <w:right w:val="nil"/>
            </w:tcBorders>
            <w:shd w:val="clear" w:color="auto" w:fill="D9D9D9"/>
            <w:noWrap/>
            <w:vAlign w:val="center"/>
            <w:hideMark/>
          </w:tcPr>
          <w:p w:rsidR="00AD4C6A" w:rsidRDefault="00AD4C6A">
            <w:pPr>
              <w:spacing w:before="20"/>
              <w:jc w:val="left"/>
              <w:rPr>
                <w:b/>
                <w:bCs/>
                <w:color w:val="000000"/>
                <w:sz w:val="20"/>
                <w:szCs w:val="20"/>
              </w:rPr>
            </w:pPr>
            <w:r>
              <w:rPr>
                <w:bCs/>
                <w:color w:val="000000"/>
                <w:sz w:val="20"/>
                <w:szCs w:val="20"/>
              </w:rPr>
              <w:t>Patēriņa cenu indekss (gads pret gadu), %</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4,4</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2,3</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1,5</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2,3</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2,2</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2,0</w:t>
            </w:r>
          </w:p>
        </w:tc>
      </w:tr>
      <w:tr w:rsidR="00AD4C6A" w:rsidTr="00AD4C6A">
        <w:trPr>
          <w:trHeight w:val="115"/>
        </w:trPr>
        <w:tc>
          <w:tcPr>
            <w:tcW w:w="2246" w:type="pct"/>
            <w:tcBorders>
              <w:top w:val="nil"/>
              <w:left w:val="nil"/>
              <w:bottom w:val="nil"/>
              <w:right w:val="nil"/>
            </w:tcBorders>
            <w:noWrap/>
            <w:vAlign w:val="center"/>
            <w:hideMark/>
          </w:tcPr>
          <w:p w:rsidR="00AD4C6A" w:rsidRDefault="00AD4C6A">
            <w:pPr>
              <w:spacing w:before="20"/>
              <w:jc w:val="left"/>
              <w:rPr>
                <w:b/>
                <w:bCs/>
                <w:color w:val="000000"/>
                <w:sz w:val="20"/>
                <w:szCs w:val="20"/>
              </w:rPr>
            </w:pPr>
            <w:r>
              <w:rPr>
                <w:bCs/>
                <w:color w:val="000000"/>
                <w:sz w:val="20"/>
                <w:szCs w:val="20"/>
              </w:rPr>
              <w:t xml:space="preserve">Nodarbinātība, </w:t>
            </w:r>
            <w:proofErr w:type="spellStart"/>
            <w:r>
              <w:rPr>
                <w:bCs/>
                <w:color w:val="000000"/>
                <w:sz w:val="20"/>
                <w:szCs w:val="20"/>
              </w:rPr>
              <w:t>tūkst</w:t>
            </w:r>
            <w:proofErr w:type="spellEnd"/>
            <w:r>
              <w:rPr>
                <w:bCs/>
                <w:color w:val="000000"/>
                <w:sz w:val="20"/>
                <w:szCs w:val="20"/>
              </w:rPr>
              <w:t>. iedzīvotāju</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861,6</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885,6</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898,3</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909,0</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920,8</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933,2</w:t>
            </w:r>
          </w:p>
        </w:tc>
      </w:tr>
      <w:tr w:rsidR="00AD4C6A" w:rsidTr="00AD4C6A">
        <w:trPr>
          <w:trHeight w:val="347"/>
        </w:trPr>
        <w:tc>
          <w:tcPr>
            <w:tcW w:w="2246" w:type="pct"/>
            <w:tcBorders>
              <w:top w:val="nil"/>
              <w:left w:val="nil"/>
              <w:bottom w:val="nil"/>
              <w:right w:val="nil"/>
            </w:tcBorders>
            <w:shd w:val="clear" w:color="auto" w:fill="D9D9D9"/>
            <w:noWrap/>
            <w:vAlign w:val="center"/>
            <w:hideMark/>
          </w:tcPr>
          <w:p w:rsidR="00AD4C6A" w:rsidRDefault="00AD4C6A">
            <w:pPr>
              <w:spacing w:before="20"/>
              <w:jc w:val="left"/>
              <w:rPr>
                <w:b/>
                <w:bCs/>
                <w:color w:val="000000"/>
                <w:sz w:val="20"/>
                <w:szCs w:val="20"/>
              </w:rPr>
            </w:pPr>
            <w:r>
              <w:rPr>
                <w:bCs/>
                <w:color w:val="000000"/>
                <w:sz w:val="20"/>
                <w:szCs w:val="20"/>
              </w:rPr>
              <w:t>Bezdarba līmenis, % (15-74 gadu vecuma grupā )</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16,2</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14,9</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12,6</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11,3</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9,9</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8,7</w:t>
            </w:r>
          </w:p>
        </w:tc>
      </w:tr>
      <w:tr w:rsidR="00AD4C6A" w:rsidTr="00AD4C6A">
        <w:trPr>
          <w:trHeight w:val="156"/>
        </w:trPr>
        <w:tc>
          <w:tcPr>
            <w:tcW w:w="2246" w:type="pct"/>
            <w:tcBorders>
              <w:top w:val="nil"/>
              <w:left w:val="nil"/>
              <w:bottom w:val="nil"/>
              <w:right w:val="nil"/>
            </w:tcBorders>
            <w:noWrap/>
            <w:vAlign w:val="center"/>
            <w:hideMark/>
          </w:tcPr>
          <w:p w:rsidR="00AD4C6A" w:rsidRDefault="00AD4C6A">
            <w:pPr>
              <w:spacing w:before="20"/>
              <w:jc w:val="left"/>
              <w:rPr>
                <w:b/>
                <w:bCs/>
                <w:color w:val="000000"/>
                <w:sz w:val="20"/>
                <w:szCs w:val="20"/>
              </w:rPr>
            </w:pPr>
            <w:r>
              <w:rPr>
                <w:bCs/>
                <w:color w:val="000000"/>
                <w:sz w:val="20"/>
                <w:szCs w:val="20"/>
              </w:rPr>
              <w:t xml:space="preserve">Preču un pakalpojumu eksports, faktiskajās cenās, </w:t>
            </w:r>
            <w:proofErr w:type="spellStart"/>
            <w:r>
              <w:rPr>
                <w:bCs/>
                <w:color w:val="000000"/>
                <w:sz w:val="20"/>
                <w:szCs w:val="20"/>
              </w:rPr>
              <w:t>milj</w:t>
            </w:r>
            <w:proofErr w:type="spellEnd"/>
            <w:r>
              <w:rPr>
                <w:bCs/>
                <w:color w:val="000000"/>
                <w:sz w:val="20"/>
                <w:szCs w:val="20"/>
              </w:rPr>
              <w:t>. latu</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8392</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9490</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10093</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10800</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11545</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12347</w:t>
            </w:r>
          </w:p>
        </w:tc>
      </w:tr>
      <w:tr w:rsidR="00AD4C6A" w:rsidTr="00AD4C6A">
        <w:trPr>
          <w:trHeight w:val="60"/>
        </w:trPr>
        <w:tc>
          <w:tcPr>
            <w:tcW w:w="2246" w:type="pct"/>
            <w:tcBorders>
              <w:top w:val="nil"/>
              <w:left w:val="nil"/>
              <w:bottom w:val="nil"/>
              <w:right w:val="nil"/>
            </w:tcBorders>
            <w:shd w:val="clear" w:color="auto" w:fill="D9D9D9"/>
            <w:noWrap/>
            <w:vAlign w:val="center"/>
            <w:hideMark/>
          </w:tcPr>
          <w:p w:rsidR="00AD4C6A" w:rsidRDefault="00AD4C6A">
            <w:pPr>
              <w:spacing w:before="20"/>
              <w:ind w:firstLine="187"/>
              <w:jc w:val="left"/>
              <w:rPr>
                <w:b/>
                <w:bCs/>
                <w:color w:val="000000"/>
                <w:sz w:val="20"/>
                <w:szCs w:val="20"/>
              </w:rPr>
            </w:pPr>
            <w:r>
              <w:rPr>
                <w:bCs/>
                <w:color w:val="000000"/>
                <w:sz w:val="20"/>
                <w:szCs w:val="20"/>
              </w:rPr>
              <w:t>pieaugums salīdzināmās cenās, %</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12,7</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7,1</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5,3</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5,9</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5,8</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5,9</w:t>
            </w:r>
          </w:p>
        </w:tc>
      </w:tr>
      <w:tr w:rsidR="00AD4C6A" w:rsidTr="00AD4C6A">
        <w:trPr>
          <w:trHeight w:val="106"/>
        </w:trPr>
        <w:tc>
          <w:tcPr>
            <w:tcW w:w="2246" w:type="pct"/>
            <w:tcBorders>
              <w:top w:val="nil"/>
              <w:left w:val="nil"/>
              <w:bottom w:val="nil"/>
              <w:right w:val="nil"/>
            </w:tcBorders>
            <w:noWrap/>
            <w:vAlign w:val="center"/>
            <w:hideMark/>
          </w:tcPr>
          <w:p w:rsidR="00AD4C6A" w:rsidRDefault="00AD4C6A">
            <w:pPr>
              <w:spacing w:before="20"/>
              <w:jc w:val="left"/>
              <w:rPr>
                <w:b/>
                <w:bCs/>
                <w:color w:val="000000"/>
                <w:sz w:val="20"/>
                <w:szCs w:val="20"/>
              </w:rPr>
            </w:pPr>
            <w:r>
              <w:rPr>
                <w:bCs/>
                <w:color w:val="000000"/>
                <w:sz w:val="20"/>
                <w:szCs w:val="20"/>
              </w:rPr>
              <w:t xml:space="preserve">Preču un pakalpojumu imports, faktiskajās cenās, </w:t>
            </w:r>
            <w:proofErr w:type="spellStart"/>
            <w:r>
              <w:rPr>
                <w:bCs/>
                <w:color w:val="000000"/>
                <w:sz w:val="20"/>
                <w:szCs w:val="20"/>
              </w:rPr>
              <w:t>milj</w:t>
            </w:r>
            <w:proofErr w:type="spellEnd"/>
            <w:r>
              <w:rPr>
                <w:bCs/>
                <w:color w:val="000000"/>
                <w:sz w:val="20"/>
                <w:szCs w:val="20"/>
              </w:rPr>
              <w:t>. latu</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9081</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10002</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10627</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11375</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12183</w:t>
            </w:r>
          </w:p>
        </w:tc>
        <w:tc>
          <w:tcPr>
            <w:tcW w:w="459" w:type="pct"/>
            <w:tcBorders>
              <w:top w:val="nil"/>
              <w:left w:val="nil"/>
              <w:bottom w:val="nil"/>
              <w:right w:val="nil"/>
            </w:tcBorders>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13047</w:t>
            </w:r>
          </w:p>
        </w:tc>
      </w:tr>
      <w:tr w:rsidR="00AD4C6A" w:rsidTr="00AD4C6A">
        <w:trPr>
          <w:trHeight w:val="152"/>
        </w:trPr>
        <w:tc>
          <w:tcPr>
            <w:tcW w:w="2246" w:type="pct"/>
            <w:tcBorders>
              <w:top w:val="nil"/>
              <w:left w:val="nil"/>
              <w:bottom w:val="nil"/>
              <w:right w:val="nil"/>
            </w:tcBorders>
            <w:shd w:val="clear" w:color="auto" w:fill="D9D9D9"/>
            <w:noWrap/>
            <w:vAlign w:val="center"/>
            <w:hideMark/>
          </w:tcPr>
          <w:p w:rsidR="00AD4C6A" w:rsidRDefault="00AD4C6A">
            <w:pPr>
              <w:spacing w:before="20"/>
              <w:ind w:firstLine="187"/>
              <w:jc w:val="left"/>
              <w:rPr>
                <w:b/>
                <w:bCs/>
                <w:color w:val="000000"/>
                <w:sz w:val="20"/>
                <w:szCs w:val="20"/>
              </w:rPr>
            </w:pPr>
            <w:r>
              <w:rPr>
                <w:bCs/>
                <w:color w:val="000000"/>
                <w:sz w:val="20"/>
                <w:szCs w:val="20"/>
              </w:rPr>
              <w:t>pieaugums salīdzināmās cenās, %</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22,7</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3,1</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5,2</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6,0</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6,0</w:t>
            </w:r>
          </w:p>
        </w:tc>
        <w:tc>
          <w:tcPr>
            <w:tcW w:w="459" w:type="pct"/>
            <w:tcBorders>
              <w:top w:val="nil"/>
              <w:left w:val="nil"/>
              <w:bottom w:val="nil"/>
              <w:right w:val="nil"/>
            </w:tcBorders>
            <w:shd w:val="clear" w:color="auto" w:fill="D9D9D9"/>
            <w:noWrap/>
            <w:vAlign w:val="bottom"/>
            <w:hideMark/>
          </w:tcPr>
          <w:p w:rsidR="00AD4C6A" w:rsidRDefault="00AD4C6A">
            <w:pPr>
              <w:tabs>
                <w:tab w:val="decimal" w:pos="393"/>
              </w:tabs>
              <w:spacing w:before="20"/>
              <w:jc w:val="center"/>
              <w:rPr>
                <w:bCs/>
                <w:color w:val="000000"/>
                <w:sz w:val="20"/>
                <w:szCs w:val="20"/>
              </w:rPr>
            </w:pPr>
            <w:r>
              <w:rPr>
                <w:bCs/>
                <w:color w:val="000000"/>
                <w:sz w:val="20"/>
                <w:szCs w:val="20"/>
              </w:rPr>
              <w:t>6,0</w:t>
            </w:r>
          </w:p>
        </w:tc>
      </w:tr>
      <w:tr w:rsidR="00AD4C6A" w:rsidTr="00AD4C6A">
        <w:trPr>
          <w:trHeight w:val="152"/>
        </w:trPr>
        <w:tc>
          <w:tcPr>
            <w:tcW w:w="2246" w:type="pct"/>
            <w:tcBorders>
              <w:top w:val="nil"/>
              <w:left w:val="nil"/>
              <w:bottom w:val="nil"/>
              <w:right w:val="nil"/>
            </w:tcBorders>
            <w:noWrap/>
            <w:vAlign w:val="center"/>
            <w:hideMark/>
          </w:tcPr>
          <w:p w:rsidR="00AD4C6A" w:rsidRDefault="00AD4C6A">
            <w:pPr>
              <w:spacing w:before="20"/>
              <w:jc w:val="left"/>
              <w:rPr>
                <w:bCs/>
                <w:color w:val="000000"/>
                <w:sz w:val="20"/>
                <w:szCs w:val="20"/>
              </w:rPr>
            </w:pPr>
            <w:r>
              <w:rPr>
                <w:bCs/>
                <w:color w:val="000000"/>
                <w:sz w:val="20"/>
                <w:szCs w:val="20"/>
              </w:rPr>
              <w:t>Potenciālā IKP pieaugums</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-0,2</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1,6</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3,0</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3,7</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4,1</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4,1</w:t>
            </w:r>
          </w:p>
        </w:tc>
      </w:tr>
      <w:tr w:rsidR="00AD4C6A" w:rsidTr="00AD4C6A">
        <w:trPr>
          <w:trHeight w:val="152"/>
        </w:trPr>
        <w:tc>
          <w:tcPr>
            <w:tcW w:w="2246" w:type="pct"/>
            <w:tcBorders>
              <w:top w:val="nil"/>
              <w:left w:val="nil"/>
              <w:bottom w:val="nil"/>
              <w:right w:val="nil"/>
            </w:tcBorders>
            <w:shd w:val="clear" w:color="auto" w:fill="D9D9D9"/>
            <w:noWrap/>
            <w:vAlign w:val="center"/>
            <w:hideMark/>
          </w:tcPr>
          <w:p w:rsidR="00AD4C6A" w:rsidRDefault="00AD4C6A">
            <w:pPr>
              <w:spacing w:before="20"/>
              <w:jc w:val="left"/>
              <w:rPr>
                <w:bCs/>
                <w:color w:val="000000"/>
                <w:sz w:val="20"/>
                <w:szCs w:val="20"/>
              </w:rPr>
            </w:pPr>
            <w:r>
              <w:rPr>
                <w:bCs/>
                <w:color w:val="000000"/>
                <w:sz w:val="20"/>
                <w:szCs w:val="20"/>
              </w:rPr>
              <w:t>ieguldījums:</w:t>
            </w:r>
          </w:p>
        </w:tc>
        <w:tc>
          <w:tcPr>
            <w:tcW w:w="459" w:type="pct"/>
            <w:tcBorders>
              <w:top w:val="nil"/>
              <w:left w:val="nil"/>
              <w:bottom w:val="nil"/>
              <w:right w:val="nil"/>
            </w:tcBorders>
            <w:shd w:val="clear" w:color="auto" w:fill="D9D9D9"/>
            <w:noWrap/>
            <w:vAlign w:val="center"/>
          </w:tcPr>
          <w:p w:rsidR="00AD4C6A" w:rsidRDefault="00AD4C6A">
            <w:pPr>
              <w:tabs>
                <w:tab w:val="decimal" w:pos="393"/>
              </w:tabs>
              <w:spacing w:before="20"/>
              <w:jc w:val="center"/>
              <w:rPr>
                <w:bCs/>
                <w:color w:val="000000"/>
                <w:sz w:val="20"/>
                <w:szCs w:val="20"/>
              </w:rPr>
            </w:pPr>
          </w:p>
        </w:tc>
        <w:tc>
          <w:tcPr>
            <w:tcW w:w="459" w:type="pct"/>
            <w:tcBorders>
              <w:top w:val="nil"/>
              <w:left w:val="nil"/>
              <w:bottom w:val="nil"/>
              <w:right w:val="nil"/>
            </w:tcBorders>
            <w:shd w:val="clear" w:color="auto" w:fill="D9D9D9"/>
            <w:noWrap/>
            <w:vAlign w:val="center"/>
          </w:tcPr>
          <w:p w:rsidR="00AD4C6A" w:rsidRDefault="00AD4C6A">
            <w:pPr>
              <w:tabs>
                <w:tab w:val="decimal" w:pos="393"/>
              </w:tabs>
              <w:spacing w:before="20"/>
              <w:jc w:val="center"/>
              <w:rPr>
                <w:bCs/>
                <w:color w:val="000000"/>
                <w:sz w:val="20"/>
                <w:szCs w:val="20"/>
              </w:rPr>
            </w:pPr>
          </w:p>
        </w:tc>
        <w:tc>
          <w:tcPr>
            <w:tcW w:w="459" w:type="pct"/>
            <w:tcBorders>
              <w:top w:val="nil"/>
              <w:left w:val="nil"/>
              <w:bottom w:val="nil"/>
              <w:right w:val="nil"/>
            </w:tcBorders>
            <w:shd w:val="clear" w:color="auto" w:fill="D9D9D9"/>
            <w:noWrap/>
            <w:vAlign w:val="center"/>
          </w:tcPr>
          <w:p w:rsidR="00AD4C6A" w:rsidRDefault="00AD4C6A">
            <w:pPr>
              <w:tabs>
                <w:tab w:val="decimal" w:pos="393"/>
              </w:tabs>
              <w:spacing w:before="20"/>
              <w:jc w:val="center"/>
              <w:rPr>
                <w:bCs/>
                <w:color w:val="000000"/>
                <w:sz w:val="20"/>
                <w:szCs w:val="20"/>
              </w:rPr>
            </w:pPr>
          </w:p>
        </w:tc>
        <w:tc>
          <w:tcPr>
            <w:tcW w:w="459" w:type="pct"/>
            <w:tcBorders>
              <w:top w:val="nil"/>
              <w:left w:val="nil"/>
              <w:bottom w:val="nil"/>
              <w:right w:val="nil"/>
            </w:tcBorders>
            <w:shd w:val="clear" w:color="auto" w:fill="D9D9D9"/>
            <w:noWrap/>
            <w:vAlign w:val="center"/>
          </w:tcPr>
          <w:p w:rsidR="00AD4C6A" w:rsidRDefault="00AD4C6A">
            <w:pPr>
              <w:tabs>
                <w:tab w:val="decimal" w:pos="393"/>
              </w:tabs>
              <w:spacing w:before="20"/>
              <w:jc w:val="center"/>
              <w:rPr>
                <w:bCs/>
                <w:color w:val="000000"/>
                <w:sz w:val="20"/>
                <w:szCs w:val="20"/>
              </w:rPr>
            </w:pPr>
          </w:p>
        </w:tc>
        <w:tc>
          <w:tcPr>
            <w:tcW w:w="459" w:type="pct"/>
            <w:tcBorders>
              <w:top w:val="nil"/>
              <w:left w:val="nil"/>
              <w:bottom w:val="nil"/>
              <w:right w:val="nil"/>
            </w:tcBorders>
            <w:shd w:val="clear" w:color="auto" w:fill="D9D9D9"/>
            <w:noWrap/>
            <w:vAlign w:val="center"/>
          </w:tcPr>
          <w:p w:rsidR="00AD4C6A" w:rsidRDefault="00AD4C6A">
            <w:pPr>
              <w:tabs>
                <w:tab w:val="decimal" w:pos="393"/>
              </w:tabs>
              <w:spacing w:before="20"/>
              <w:jc w:val="center"/>
              <w:rPr>
                <w:bCs/>
                <w:color w:val="000000"/>
                <w:sz w:val="20"/>
                <w:szCs w:val="20"/>
              </w:rPr>
            </w:pPr>
          </w:p>
        </w:tc>
        <w:tc>
          <w:tcPr>
            <w:tcW w:w="459" w:type="pct"/>
            <w:tcBorders>
              <w:top w:val="nil"/>
              <w:left w:val="nil"/>
              <w:bottom w:val="nil"/>
              <w:right w:val="nil"/>
            </w:tcBorders>
            <w:shd w:val="clear" w:color="auto" w:fill="D9D9D9"/>
            <w:noWrap/>
            <w:vAlign w:val="center"/>
          </w:tcPr>
          <w:p w:rsidR="00AD4C6A" w:rsidRDefault="00AD4C6A">
            <w:pPr>
              <w:tabs>
                <w:tab w:val="decimal" w:pos="393"/>
              </w:tabs>
              <w:spacing w:before="20"/>
              <w:jc w:val="center"/>
              <w:rPr>
                <w:bCs/>
                <w:color w:val="000000"/>
                <w:sz w:val="20"/>
                <w:szCs w:val="20"/>
              </w:rPr>
            </w:pPr>
          </w:p>
        </w:tc>
      </w:tr>
      <w:tr w:rsidR="00AD4C6A" w:rsidTr="00AD4C6A">
        <w:trPr>
          <w:trHeight w:val="152"/>
        </w:trPr>
        <w:tc>
          <w:tcPr>
            <w:tcW w:w="2246" w:type="pct"/>
            <w:tcBorders>
              <w:top w:val="nil"/>
              <w:left w:val="nil"/>
              <w:bottom w:val="nil"/>
              <w:right w:val="nil"/>
            </w:tcBorders>
            <w:noWrap/>
            <w:vAlign w:val="center"/>
            <w:hideMark/>
          </w:tcPr>
          <w:p w:rsidR="00AD4C6A" w:rsidRDefault="00AD4C6A">
            <w:pPr>
              <w:spacing w:before="20"/>
              <w:jc w:val="left"/>
              <w:rPr>
                <w:bCs/>
                <w:color w:val="000000"/>
                <w:sz w:val="20"/>
                <w:szCs w:val="20"/>
              </w:rPr>
            </w:pPr>
            <w:r>
              <w:rPr>
                <w:bCs/>
                <w:color w:val="000000"/>
                <w:sz w:val="20"/>
                <w:szCs w:val="20"/>
              </w:rPr>
              <w:t>- nodarbinātības</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-0,9</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-0,3</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0,5</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0,7</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0,7</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0,5</w:t>
            </w:r>
          </w:p>
        </w:tc>
      </w:tr>
      <w:tr w:rsidR="00AD4C6A" w:rsidTr="00AD4C6A">
        <w:trPr>
          <w:trHeight w:val="152"/>
        </w:trPr>
        <w:tc>
          <w:tcPr>
            <w:tcW w:w="2246" w:type="pct"/>
            <w:tcBorders>
              <w:top w:val="nil"/>
              <w:left w:val="nil"/>
              <w:bottom w:val="nil"/>
              <w:right w:val="nil"/>
            </w:tcBorders>
            <w:shd w:val="clear" w:color="auto" w:fill="D9D9D9"/>
            <w:noWrap/>
            <w:vAlign w:val="center"/>
            <w:hideMark/>
          </w:tcPr>
          <w:p w:rsidR="00AD4C6A" w:rsidRDefault="00AD4C6A">
            <w:pPr>
              <w:spacing w:before="20"/>
              <w:jc w:val="left"/>
              <w:rPr>
                <w:bCs/>
                <w:color w:val="000000"/>
                <w:sz w:val="20"/>
                <w:szCs w:val="20"/>
              </w:rPr>
            </w:pPr>
            <w:r>
              <w:rPr>
                <w:bCs/>
                <w:color w:val="000000"/>
                <w:sz w:val="20"/>
                <w:szCs w:val="20"/>
              </w:rPr>
              <w:t>- kapitāla</w:t>
            </w:r>
          </w:p>
        </w:tc>
        <w:tc>
          <w:tcPr>
            <w:tcW w:w="459" w:type="pct"/>
            <w:tcBorders>
              <w:top w:val="nil"/>
              <w:left w:val="nil"/>
              <w:bottom w:val="nil"/>
              <w:right w:val="nil"/>
            </w:tcBorders>
            <w:shd w:val="clear" w:color="auto" w:fill="D9D9D9"/>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1,0</w:t>
            </w:r>
          </w:p>
        </w:tc>
        <w:tc>
          <w:tcPr>
            <w:tcW w:w="459" w:type="pct"/>
            <w:tcBorders>
              <w:top w:val="nil"/>
              <w:left w:val="nil"/>
              <w:bottom w:val="nil"/>
              <w:right w:val="nil"/>
            </w:tcBorders>
            <w:shd w:val="clear" w:color="auto" w:fill="D9D9D9"/>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1,2</w:t>
            </w:r>
          </w:p>
        </w:tc>
        <w:tc>
          <w:tcPr>
            <w:tcW w:w="459" w:type="pct"/>
            <w:tcBorders>
              <w:top w:val="nil"/>
              <w:left w:val="nil"/>
              <w:bottom w:val="nil"/>
              <w:right w:val="nil"/>
            </w:tcBorders>
            <w:shd w:val="clear" w:color="auto" w:fill="D9D9D9"/>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1,3</w:t>
            </w:r>
          </w:p>
        </w:tc>
        <w:tc>
          <w:tcPr>
            <w:tcW w:w="459" w:type="pct"/>
            <w:tcBorders>
              <w:top w:val="nil"/>
              <w:left w:val="nil"/>
              <w:bottom w:val="nil"/>
              <w:right w:val="nil"/>
            </w:tcBorders>
            <w:shd w:val="clear" w:color="auto" w:fill="D9D9D9"/>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1,3</w:t>
            </w:r>
          </w:p>
        </w:tc>
        <w:tc>
          <w:tcPr>
            <w:tcW w:w="459" w:type="pct"/>
            <w:tcBorders>
              <w:top w:val="nil"/>
              <w:left w:val="nil"/>
              <w:bottom w:val="nil"/>
              <w:right w:val="nil"/>
            </w:tcBorders>
            <w:shd w:val="clear" w:color="auto" w:fill="D9D9D9"/>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1,4</w:t>
            </w:r>
          </w:p>
        </w:tc>
        <w:tc>
          <w:tcPr>
            <w:tcW w:w="459" w:type="pct"/>
            <w:tcBorders>
              <w:top w:val="nil"/>
              <w:left w:val="nil"/>
              <w:bottom w:val="nil"/>
              <w:right w:val="nil"/>
            </w:tcBorders>
            <w:shd w:val="clear" w:color="auto" w:fill="D9D9D9"/>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1,5</w:t>
            </w:r>
          </w:p>
        </w:tc>
      </w:tr>
      <w:tr w:rsidR="00AD4C6A" w:rsidTr="00AD4C6A">
        <w:trPr>
          <w:trHeight w:val="152"/>
        </w:trPr>
        <w:tc>
          <w:tcPr>
            <w:tcW w:w="2246" w:type="pct"/>
            <w:tcBorders>
              <w:top w:val="nil"/>
              <w:left w:val="nil"/>
              <w:bottom w:val="nil"/>
              <w:right w:val="nil"/>
            </w:tcBorders>
            <w:noWrap/>
            <w:vAlign w:val="center"/>
            <w:hideMark/>
          </w:tcPr>
          <w:p w:rsidR="00AD4C6A" w:rsidRDefault="00AD4C6A">
            <w:pPr>
              <w:spacing w:before="20"/>
              <w:jc w:val="left"/>
              <w:rPr>
                <w:bCs/>
                <w:color w:val="000000"/>
                <w:sz w:val="20"/>
                <w:szCs w:val="20"/>
              </w:rPr>
            </w:pPr>
            <w:r>
              <w:rPr>
                <w:bCs/>
                <w:color w:val="000000"/>
                <w:sz w:val="20"/>
                <w:szCs w:val="20"/>
              </w:rPr>
              <w:t>- kopējās ražošanas faktoru produktivitātes</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-0,2</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0,6</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1,3</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1,7</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2,0</w:t>
            </w:r>
          </w:p>
        </w:tc>
        <w:tc>
          <w:tcPr>
            <w:tcW w:w="459" w:type="pct"/>
            <w:tcBorders>
              <w:top w:val="nil"/>
              <w:left w:val="nil"/>
              <w:bottom w:val="nil"/>
              <w:right w:val="nil"/>
            </w:tcBorders>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2,1</w:t>
            </w:r>
          </w:p>
        </w:tc>
      </w:tr>
      <w:tr w:rsidR="00AD4C6A" w:rsidTr="00AD4C6A">
        <w:trPr>
          <w:trHeight w:val="152"/>
        </w:trPr>
        <w:tc>
          <w:tcPr>
            <w:tcW w:w="2246" w:type="pct"/>
            <w:tcBorders>
              <w:top w:val="nil"/>
              <w:left w:val="nil"/>
              <w:bottom w:val="single" w:sz="8" w:space="0" w:color="000000"/>
              <w:right w:val="nil"/>
            </w:tcBorders>
            <w:shd w:val="clear" w:color="auto" w:fill="D9D9D9"/>
            <w:noWrap/>
            <w:vAlign w:val="center"/>
            <w:hideMark/>
          </w:tcPr>
          <w:p w:rsidR="00AD4C6A" w:rsidRDefault="00AD4C6A">
            <w:pPr>
              <w:spacing w:before="20"/>
              <w:jc w:val="left"/>
              <w:rPr>
                <w:bCs/>
                <w:color w:val="000000"/>
                <w:sz w:val="20"/>
                <w:szCs w:val="20"/>
              </w:rPr>
            </w:pPr>
            <w:r>
              <w:rPr>
                <w:bCs/>
                <w:color w:val="000000"/>
                <w:sz w:val="20"/>
                <w:szCs w:val="20"/>
              </w:rPr>
              <w:t>Starpība starp faktisko un potenciālo IKP (% no potenciālā IKP)</w:t>
            </w:r>
          </w:p>
        </w:tc>
        <w:tc>
          <w:tcPr>
            <w:tcW w:w="459" w:type="pct"/>
            <w:tcBorders>
              <w:top w:val="nil"/>
              <w:left w:val="nil"/>
              <w:bottom w:val="single" w:sz="8" w:space="0" w:color="000000"/>
              <w:right w:val="nil"/>
            </w:tcBorders>
            <w:shd w:val="clear" w:color="auto" w:fill="D9D9D9"/>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-4,4</w:t>
            </w:r>
          </w:p>
        </w:tc>
        <w:tc>
          <w:tcPr>
            <w:tcW w:w="459" w:type="pct"/>
            <w:tcBorders>
              <w:top w:val="nil"/>
              <w:left w:val="nil"/>
              <w:bottom w:val="single" w:sz="8" w:space="0" w:color="000000"/>
              <w:right w:val="nil"/>
            </w:tcBorders>
            <w:shd w:val="clear" w:color="auto" w:fill="D9D9D9"/>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-0,7</w:t>
            </w:r>
          </w:p>
        </w:tc>
        <w:tc>
          <w:tcPr>
            <w:tcW w:w="459" w:type="pct"/>
            <w:tcBorders>
              <w:top w:val="nil"/>
              <w:left w:val="nil"/>
              <w:bottom w:val="single" w:sz="8" w:space="0" w:color="000000"/>
              <w:right w:val="nil"/>
            </w:tcBorders>
            <w:shd w:val="clear" w:color="auto" w:fill="D9D9D9"/>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0,2</w:t>
            </w:r>
          </w:p>
        </w:tc>
        <w:tc>
          <w:tcPr>
            <w:tcW w:w="459" w:type="pct"/>
            <w:tcBorders>
              <w:top w:val="nil"/>
              <w:left w:val="nil"/>
              <w:bottom w:val="single" w:sz="8" w:space="0" w:color="000000"/>
              <w:right w:val="nil"/>
            </w:tcBorders>
            <w:shd w:val="clear" w:color="auto" w:fill="D9D9D9"/>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0,4</w:t>
            </w:r>
          </w:p>
        </w:tc>
        <w:tc>
          <w:tcPr>
            <w:tcW w:w="459" w:type="pct"/>
            <w:tcBorders>
              <w:top w:val="nil"/>
              <w:left w:val="nil"/>
              <w:bottom w:val="single" w:sz="8" w:space="0" w:color="000000"/>
              <w:right w:val="nil"/>
            </w:tcBorders>
            <w:shd w:val="clear" w:color="auto" w:fill="D9D9D9"/>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0,3</w:t>
            </w:r>
          </w:p>
        </w:tc>
        <w:tc>
          <w:tcPr>
            <w:tcW w:w="459" w:type="pct"/>
            <w:tcBorders>
              <w:top w:val="nil"/>
              <w:left w:val="nil"/>
              <w:bottom w:val="single" w:sz="8" w:space="0" w:color="000000"/>
              <w:right w:val="nil"/>
            </w:tcBorders>
            <w:shd w:val="clear" w:color="auto" w:fill="D9D9D9"/>
            <w:noWrap/>
            <w:vAlign w:val="center"/>
            <w:hideMark/>
          </w:tcPr>
          <w:p w:rsidR="00AD4C6A" w:rsidRDefault="00AD4C6A">
            <w:pPr>
              <w:tabs>
                <w:tab w:val="decimal" w:pos="393"/>
              </w:tabs>
              <w:spacing w:before="20"/>
              <w:jc w:val="center"/>
              <w:rPr>
                <w:bCs/>
                <w:color w:val="000000"/>
                <w:sz w:val="20"/>
                <w:szCs w:val="20"/>
              </w:rPr>
            </w:pPr>
            <w:r>
              <w:rPr>
                <w:bCs/>
                <w:color w:val="000000"/>
                <w:sz w:val="20"/>
                <w:szCs w:val="20"/>
              </w:rPr>
              <w:t>0,2</w:t>
            </w:r>
          </w:p>
        </w:tc>
      </w:tr>
    </w:tbl>
    <w:p w:rsidR="00AD4C6A" w:rsidRPr="00DC13C3" w:rsidRDefault="00AD4C6A" w:rsidP="007E7E9C">
      <w:pPr>
        <w:pStyle w:val="ListParagraph"/>
        <w:tabs>
          <w:tab w:val="left" w:pos="426"/>
        </w:tabs>
        <w:ind w:left="0"/>
        <w:jc w:val="center"/>
      </w:pPr>
    </w:p>
    <w:p w:rsidR="007E7E9C" w:rsidRPr="00022A6C" w:rsidRDefault="007E7E9C" w:rsidP="007E7E9C">
      <w:pPr>
        <w:pStyle w:val="ListParagraph"/>
        <w:tabs>
          <w:tab w:val="left" w:pos="426"/>
        </w:tabs>
        <w:ind w:left="0"/>
        <w:jc w:val="center"/>
        <w:rPr>
          <w:sz w:val="6"/>
          <w:szCs w:val="6"/>
          <w:highlight w:val="yellow"/>
        </w:rPr>
      </w:pPr>
    </w:p>
    <w:p w:rsidR="007E7E9C" w:rsidRPr="00D0758A" w:rsidRDefault="007E7E9C" w:rsidP="00406D7B">
      <w:pPr>
        <w:spacing w:before="120" w:after="40"/>
        <w:ind w:firstLine="567"/>
      </w:pPr>
      <w:r w:rsidRPr="00D0758A">
        <w:lastRenderedPageBreak/>
        <w:t>Latvijas tautsaimniecības turpmākā attīstība joprojām būs cieši saistīta ar eksporta iespējām, tāpēc lielākais Latvijas izaugsmes risks saistīts ar globālās ekonomikas attīstību. 2012.gada nogalē</w:t>
      </w:r>
      <w:r w:rsidR="00D45640">
        <w:t xml:space="preserve"> </w:t>
      </w:r>
      <w:r w:rsidRPr="00D0758A">
        <w:t xml:space="preserve">pieauguma tempi samazinājās tādās Latvijas ekonomikai būtiskās valstīs kā Vācija un Zviedrija, tādēļ </w:t>
      </w:r>
      <w:r w:rsidRPr="00330B80">
        <w:t xml:space="preserve">attiecībā </w:t>
      </w:r>
      <w:r>
        <w:t xml:space="preserve">uz Latvijas ekonomikas </w:t>
      </w:r>
      <w:r w:rsidRPr="00330B80">
        <w:t>izaugsmes p</w:t>
      </w:r>
      <w:r>
        <w:t xml:space="preserve">erspektīvām </w:t>
      </w:r>
      <w:r w:rsidRPr="00330B80">
        <w:t>2013.gadā ir nepieciešams saglabāt piesardzību.</w:t>
      </w:r>
      <w:r w:rsidRPr="00D0758A">
        <w:t xml:space="preserve"> </w:t>
      </w:r>
    </w:p>
    <w:p w:rsidR="007E7E9C" w:rsidRPr="00D0758A" w:rsidRDefault="007E7E9C" w:rsidP="00406D7B">
      <w:pPr>
        <w:spacing w:after="40"/>
        <w:ind w:firstLine="567"/>
      </w:pPr>
      <w:r w:rsidRPr="00D0758A">
        <w:t xml:space="preserve">Lai gan pieauguma tempi </w:t>
      </w:r>
      <w:proofErr w:type="spellStart"/>
      <w:r w:rsidRPr="00D0758A">
        <w:t>eirozonā</w:t>
      </w:r>
      <w:proofErr w:type="spellEnd"/>
      <w:r w:rsidRPr="00D0758A">
        <w:t xml:space="preserve"> saglabājas negatīvi, kopš </w:t>
      </w:r>
      <w:r w:rsidR="00016DA4">
        <w:t xml:space="preserve">Eiropas Centrālā banka (turpmāk tekstā – </w:t>
      </w:r>
      <w:r w:rsidRPr="00D0758A">
        <w:t>ECB</w:t>
      </w:r>
      <w:r w:rsidR="00016DA4">
        <w:t>)</w:t>
      </w:r>
      <w:r w:rsidRPr="00D0758A">
        <w:t xml:space="preserve"> paziņoja par gatavību pie noteiktiem nosacījumiem iegādāties grūtībās nonākušo </w:t>
      </w:r>
      <w:r w:rsidR="00EA3761">
        <w:t xml:space="preserve">ES </w:t>
      </w:r>
      <w:r w:rsidRPr="00D0758A">
        <w:t>dalībvalstu parādzīmes ne</w:t>
      </w:r>
      <w:r>
        <w:t>ie</w:t>
      </w:r>
      <w:r w:rsidRPr="00D0758A">
        <w:t xml:space="preserve">robežotā apjomā, būtiski mazinājusies spriedze finanšu tirgos. Krīzē nonākušo </w:t>
      </w:r>
      <w:r w:rsidR="00EA3761">
        <w:t>ES dalīb</w:t>
      </w:r>
      <w:r w:rsidRPr="00D0758A">
        <w:t xml:space="preserve">valstu parādzīmju procentu likmes būtiski sarukušas, savukārt pēdējo mēnešu laikā vērojami uzlabojumi ES </w:t>
      </w:r>
      <w:r w:rsidR="00EA3761">
        <w:t>dalīb</w:t>
      </w:r>
      <w:r w:rsidRPr="00D0758A">
        <w:t xml:space="preserve">valstu konfidences rādītājos, kas norāda uz pozitīvām tendencēm arī reālajā ekonomikā. Tādējādi Eiropā būtiski mazinājušies īstermiņa riski, kas saistīti ar </w:t>
      </w:r>
      <w:proofErr w:type="spellStart"/>
      <w:r w:rsidRPr="00D0758A">
        <w:t>eirozonas</w:t>
      </w:r>
      <w:proofErr w:type="spellEnd"/>
      <w:r w:rsidRPr="00D0758A">
        <w:t xml:space="preserve"> parādu krīzi</w:t>
      </w:r>
      <w:r w:rsidR="00EA3761">
        <w:t>,</w:t>
      </w:r>
      <w:r w:rsidRPr="00D0758A">
        <w:t xml:space="preserve"> tomēr turpmākā notikumu attīstība būs atkarīga no valstu spējas īstenot nepieciešamās strukturālās reformas un mazināt budžeta deficītus. </w:t>
      </w:r>
    </w:p>
    <w:p w:rsidR="007E7E9C" w:rsidRDefault="007E7E9C" w:rsidP="00406D7B">
      <w:pPr>
        <w:spacing w:after="40"/>
        <w:ind w:firstLine="567"/>
      </w:pPr>
      <w:r w:rsidRPr="00CD783F">
        <w:t xml:space="preserve">Vidēja termiņa makroekonomiskās attīstības scenārijs veidots uz konservatīviem pieņēmumiem par ārējās vides attīstību. Makroekonomiskās attīstības scenārijs ir balstīts uz pieņēmumu, ka situācija </w:t>
      </w:r>
      <w:proofErr w:type="spellStart"/>
      <w:r w:rsidRPr="00CD783F">
        <w:t>eirozonā</w:t>
      </w:r>
      <w:proofErr w:type="spellEnd"/>
      <w:r w:rsidRPr="00CD783F">
        <w:t xml:space="preserve"> turpinās stabilizēties un </w:t>
      </w:r>
      <w:r>
        <w:t>kopš 2013.</w:t>
      </w:r>
      <w:r w:rsidRPr="00564B94">
        <w:t>gada otr</w:t>
      </w:r>
      <w:r>
        <w:t xml:space="preserve">ās puses </w:t>
      </w:r>
      <w:r w:rsidRPr="00CD783F">
        <w:t xml:space="preserve">izaugsme </w:t>
      </w:r>
      <w:proofErr w:type="spellStart"/>
      <w:r w:rsidRPr="00CD783F">
        <w:t>eirozonā</w:t>
      </w:r>
      <w:proofErr w:type="spellEnd"/>
      <w:r w:rsidRPr="00CD783F">
        <w:t xml:space="preserve"> </w:t>
      </w:r>
      <w:r>
        <w:t xml:space="preserve">pakāpeniski atjaunosies. </w:t>
      </w:r>
      <w:proofErr w:type="spellStart"/>
      <w:r>
        <w:t>Eirozonai</w:t>
      </w:r>
      <w:proofErr w:type="spellEnd"/>
      <w:r>
        <w:t xml:space="preserve"> atgriežoties pie izaugsmes, sagaidāms ārējā pieprasījuma pieaugums pēc Latvijas eksporta precēm un pakalpojumiem, kas veicinās arī Latvijas ekonomikas turpmāku attīstību. </w:t>
      </w:r>
      <w:r w:rsidRPr="00B4010D">
        <w:t>Sagaidāms, ka vidējā termiņā Latvijas IKP pieaugums būs līdzvērtīgs Latvijas potenciālajam pieaugumam. Makroekonomisk</w:t>
      </w:r>
      <w:r>
        <w:t>aj</w:t>
      </w:r>
      <w:r w:rsidRPr="00B4010D">
        <w:t>ā attīstības scenārijā ir izmantoti EK ārējās vides pieņēmumi.</w:t>
      </w:r>
    </w:p>
    <w:p w:rsidR="007E7E9C" w:rsidRPr="00171BF2" w:rsidRDefault="007E7E9C" w:rsidP="00C364FA">
      <w:pPr>
        <w:spacing w:before="120" w:after="120"/>
        <w:ind w:firstLine="567"/>
      </w:pPr>
      <w:r>
        <w:t xml:space="preserve">Vidēja termiņa makroekonomiskā </w:t>
      </w:r>
      <w:r w:rsidRPr="00171BF2">
        <w:t>scenārija galvenie pieņēmumi:</w:t>
      </w:r>
    </w:p>
    <w:p w:rsidR="007E7E9C" w:rsidRDefault="007E7E9C" w:rsidP="00E84407">
      <w:pPr>
        <w:pStyle w:val="ListParagraph"/>
        <w:numPr>
          <w:ilvl w:val="0"/>
          <w:numId w:val="7"/>
        </w:numPr>
        <w:suppressAutoHyphens/>
        <w:spacing w:before="60" w:after="60"/>
        <w:ind w:left="567" w:hanging="283"/>
        <w:contextualSpacing w:val="0"/>
      </w:pPr>
      <w:r>
        <w:t xml:space="preserve">Latvijas ekonomikas galvenais dzinulis joprojām būs eksports, tomēr </w:t>
      </w:r>
      <w:r w:rsidRPr="00112E15">
        <w:t>pieaugum</w:t>
      </w:r>
      <w:r>
        <w:t>a tempi</w:t>
      </w:r>
      <w:r w:rsidRPr="00112E15">
        <w:t xml:space="preserve"> būs </w:t>
      </w:r>
      <w:r>
        <w:t>mērenāki</w:t>
      </w:r>
      <w:r w:rsidRPr="00112E15">
        <w:t xml:space="preserve"> nekā iepriekšējos gados.</w:t>
      </w:r>
      <w:r w:rsidRPr="00D0758A">
        <w:t xml:space="preserve"> </w:t>
      </w:r>
      <w:r>
        <w:t>To galvenokārt ietekmēs joprojām vājais ārējais pieprasījums. Vienlaikus a</w:t>
      </w:r>
      <w:r w:rsidRPr="004C6AD6">
        <w:t>ugsti</w:t>
      </w:r>
      <w:r>
        <w:t xml:space="preserve"> eksporta apjomi pērn sasniegti arī vairākās būtiskās apstrādes rūpniecības apakšnozarēs, piemēram, koka un koksnes izstrādājumu, kā arī metālu ražošanā.</w:t>
      </w:r>
      <w:r w:rsidRPr="00D0758A">
        <w:t xml:space="preserve"> </w:t>
      </w:r>
      <w:r>
        <w:t>Sagaidāms, ka šo bāzes efektu ietekmē eksporta pieauguma tempi kļūs mērenāki. Vidējā termiņā eksporta pieaugumu noteiks Latvijas ražotāju konkurētspējas pieaugums un turpmāka eksporta tirgu diversifikācija, veicinot eksporta tirgus daļas pieaugumu pasaules tirdzniecībā</w:t>
      </w:r>
      <w:r w:rsidR="00016DA4">
        <w:t>;</w:t>
      </w:r>
    </w:p>
    <w:p w:rsidR="007E7E9C" w:rsidRPr="00112E15" w:rsidRDefault="00016DA4" w:rsidP="00E84407">
      <w:pPr>
        <w:pStyle w:val="ListParagraph"/>
        <w:numPr>
          <w:ilvl w:val="0"/>
          <w:numId w:val="7"/>
        </w:numPr>
        <w:suppressAutoHyphens/>
        <w:spacing w:before="60" w:after="60"/>
        <w:ind w:left="567" w:hanging="283"/>
        <w:contextualSpacing w:val="0"/>
      </w:pPr>
      <w:r>
        <w:t>s</w:t>
      </w:r>
      <w:r w:rsidR="007E7E9C" w:rsidRPr="00112E15">
        <w:t xml:space="preserve">ituācija darba tirgū turpinās uzlaboties. Vienlaikus nodarbinātības pieaugums būs lēnāks nekā ekonomikas izaugsme, jo izlaide vairāk balstīsies uz produktivitātes kāpumu. </w:t>
      </w:r>
      <w:r w:rsidR="007E7E9C">
        <w:t>Vidējā termiņā galvenais</w:t>
      </w:r>
      <w:r w:rsidR="007E7E9C" w:rsidRPr="00112E15">
        <w:t xml:space="preserve"> izaicinājum</w:t>
      </w:r>
      <w:r w:rsidR="007E7E9C">
        <w:t xml:space="preserve">s ir </w:t>
      </w:r>
      <w:r w:rsidR="007E7E9C" w:rsidRPr="00112E15">
        <w:t>iedzīvotāju skaita samazi</w:t>
      </w:r>
      <w:r w:rsidR="007E7E9C" w:rsidRPr="00112E15">
        <w:softHyphen/>
        <w:t>nāšan</w:t>
      </w:r>
      <w:r w:rsidR="007E7E9C">
        <w:t>ā</w:t>
      </w:r>
      <w:r w:rsidR="007E7E9C" w:rsidRPr="00112E15">
        <w:t>s</w:t>
      </w:r>
      <w:r w:rsidR="007E7E9C">
        <w:t xml:space="preserve">, </w:t>
      </w:r>
      <w:r w:rsidR="007E7E9C" w:rsidRPr="00112E15">
        <w:t>īpaši darbspējas vec</w:t>
      </w:r>
      <w:r w:rsidR="007E7E9C">
        <w:t>umā</w:t>
      </w:r>
      <w:r w:rsidR="007E7E9C" w:rsidRPr="00112E15">
        <w:t>, kā arī darbaspēka novecošanās</w:t>
      </w:r>
      <w:r>
        <w:t>;</w:t>
      </w:r>
    </w:p>
    <w:p w:rsidR="007E7E9C" w:rsidRPr="008937F3" w:rsidRDefault="00016DA4" w:rsidP="00E84407">
      <w:pPr>
        <w:pStyle w:val="ListParagraph"/>
        <w:numPr>
          <w:ilvl w:val="0"/>
          <w:numId w:val="7"/>
        </w:numPr>
        <w:suppressAutoHyphens/>
        <w:spacing w:before="60" w:after="60"/>
        <w:ind w:left="567" w:hanging="284"/>
        <w:contextualSpacing w:val="0"/>
      </w:pPr>
      <w:r>
        <w:t>p</w:t>
      </w:r>
      <w:r w:rsidR="007E7E9C" w:rsidRPr="008937F3">
        <w:t xml:space="preserve">rivātā patēriņa pieaugums būs atkarīgs no iedzīvotāju ienākumu izmaiņām. </w:t>
      </w:r>
      <w:r w:rsidR="007E7E9C">
        <w:t xml:space="preserve">Ar 2013. gadu Latvijā pakāpeniski tiks mazināts iedzīvotāju ienākumu nodoklis, kas palielinās iedzīvotāju ienākumus un sekmēs privātā patēriņa pieaugumu. Savukārt </w:t>
      </w:r>
      <w:r w:rsidR="007E7E9C" w:rsidRPr="00016940">
        <w:t>joprojām augstais bezdarba līmeni</w:t>
      </w:r>
      <w:r w:rsidR="00911FEC" w:rsidRPr="00016940">
        <w:t>s</w:t>
      </w:r>
      <w:r w:rsidR="007E7E9C" w:rsidRPr="00016940">
        <w:t xml:space="preserve"> ierobežos algu pieaugumu</w:t>
      </w:r>
      <w:r w:rsidR="007E7E9C">
        <w:t>, un sagaidāms, ka</w:t>
      </w:r>
      <w:r w:rsidR="007E7E9C" w:rsidRPr="008937F3">
        <w:t xml:space="preserve"> darba algas </w:t>
      </w:r>
      <w:r w:rsidR="007E7E9C">
        <w:t xml:space="preserve">izmaiņas </w:t>
      </w:r>
      <w:r w:rsidR="007E7E9C" w:rsidRPr="008937F3">
        <w:t xml:space="preserve">vidējā termiņā </w:t>
      </w:r>
      <w:r w:rsidR="007E7E9C">
        <w:t>nepārsniegs</w:t>
      </w:r>
      <w:r w:rsidR="007E7E9C" w:rsidRPr="008937F3">
        <w:t xml:space="preserve"> produktivitātes</w:t>
      </w:r>
      <w:r w:rsidR="007E7E9C">
        <w:t xml:space="preserve"> pieaugumu</w:t>
      </w:r>
      <w:r>
        <w:t>;</w:t>
      </w:r>
      <w:r w:rsidR="007E7E9C">
        <w:t xml:space="preserve"> </w:t>
      </w:r>
    </w:p>
    <w:p w:rsidR="007E7E9C" w:rsidRDefault="00016DA4" w:rsidP="00E84407">
      <w:pPr>
        <w:pStyle w:val="ListParagraph"/>
        <w:numPr>
          <w:ilvl w:val="0"/>
          <w:numId w:val="7"/>
        </w:numPr>
        <w:suppressAutoHyphens/>
        <w:spacing w:before="60" w:after="60"/>
        <w:ind w:left="567" w:hanging="284"/>
        <w:contextualSpacing w:val="0"/>
      </w:pPr>
      <w:r>
        <w:t>i</w:t>
      </w:r>
      <w:r w:rsidR="007E7E9C" w:rsidRPr="00DC13C3">
        <w:t xml:space="preserve">nvestīciju pieaugumu noteiks augošais iekšējais un ārējais pieprasījums, kā arī augstie jaudu noslodzes līmeņi atsevišķās apstrādes rūpniecības apakšnozarēs. Paredzams, ka investīciju īpatsvars IKP turpinās palielināties, tomēr tas joprojām </w:t>
      </w:r>
      <w:r w:rsidR="007E7E9C">
        <w:t xml:space="preserve">atpaliks no </w:t>
      </w:r>
      <w:r w:rsidR="007E7E9C" w:rsidRPr="00DC13C3">
        <w:t>pirmskrīzes līmeņa</w:t>
      </w:r>
      <w:r>
        <w:t>;</w:t>
      </w:r>
    </w:p>
    <w:p w:rsidR="007E7E9C" w:rsidRPr="003D44C4" w:rsidRDefault="00016DA4" w:rsidP="00E84407">
      <w:pPr>
        <w:pStyle w:val="ListParagraph"/>
        <w:numPr>
          <w:ilvl w:val="0"/>
          <w:numId w:val="7"/>
        </w:numPr>
        <w:suppressAutoHyphens/>
        <w:spacing w:before="60" w:after="60"/>
        <w:ind w:left="567" w:hanging="284"/>
        <w:contextualSpacing w:val="0"/>
      </w:pPr>
      <w:r>
        <w:t>p</w:t>
      </w:r>
      <w:r w:rsidR="007E7E9C" w:rsidRPr="00DC13C3">
        <w:t>atēriņa cenu pieaugum</w:t>
      </w:r>
      <w:r w:rsidR="007E7E9C">
        <w:t>u</w:t>
      </w:r>
      <w:r w:rsidR="008C1EAB">
        <w:t xml:space="preserve"> 2013.</w:t>
      </w:r>
      <w:r w:rsidR="007E7E9C" w:rsidRPr="00DC13C3">
        <w:t>gadā note</w:t>
      </w:r>
      <w:r w:rsidR="008C1EAB">
        <w:t>iks zemā mēneša inflācija 2012.</w:t>
      </w:r>
      <w:r w:rsidR="007E7E9C" w:rsidRPr="00DC13C3">
        <w:t xml:space="preserve">gada pēdējos mēnešos un apkures tarifu samazinājums 2013.gada pirmajos divos mēnešos. </w:t>
      </w:r>
      <w:r w:rsidR="007E7E9C">
        <w:t>Neliels patēriņu cenu pieaugums</w:t>
      </w:r>
      <w:r w:rsidR="007E7E9C" w:rsidRPr="00DC13C3">
        <w:t xml:space="preserve"> 2013. un 2014.gadā gaidām</w:t>
      </w:r>
      <w:r w:rsidR="007E7E9C">
        <w:t>s</w:t>
      </w:r>
      <w:r w:rsidR="007E7E9C" w:rsidRPr="00DC13C3">
        <w:t xml:space="preserve"> no elektroenerģijas cenu </w:t>
      </w:r>
      <w:r w:rsidR="007E7E9C">
        <w:t>palielinājuma</w:t>
      </w:r>
      <w:r w:rsidR="007E7E9C" w:rsidRPr="00DC13C3">
        <w:t xml:space="preserve">, kas saistīts ar pieaugošo obligātā iepirkuma komponenti kopējā elektroenerģijas tarifā. Vidējā termiņā nav sagaidāms būtisks inflācijas pieaugums. </w:t>
      </w:r>
      <w:r w:rsidR="007E7E9C">
        <w:lastRenderedPageBreak/>
        <w:t>Mazā s</w:t>
      </w:r>
      <w:r w:rsidR="007E7E9C" w:rsidRPr="00DC60E1">
        <w:t>tarpība starp faktisko un potenciālo IKP</w:t>
      </w:r>
      <w:r w:rsidR="007E7E9C" w:rsidRPr="00DC13C3">
        <w:t xml:space="preserve"> noteiks mērenu pamatinflācijas pieaugumu, savukārt EK ārējās vides pieņēmumi paredz nelielu izejvielu un energoresursu cenu kritumu tuvākajos gados.</w:t>
      </w:r>
    </w:p>
    <w:p w:rsidR="007E7E9C" w:rsidRPr="00C43284" w:rsidRDefault="007E7E9C" w:rsidP="00BC6EB2">
      <w:pPr>
        <w:spacing w:before="240" w:after="120"/>
        <w:ind w:firstLine="567"/>
        <w:rPr>
          <w:b/>
        </w:rPr>
      </w:pPr>
      <w:r w:rsidRPr="00C43284">
        <w:rPr>
          <w:b/>
        </w:rPr>
        <w:t xml:space="preserve">Latvijas </w:t>
      </w:r>
      <w:r w:rsidR="00BC6EB2">
        <w:rPr>
          <w:b/>
        </w:rPr>
        <w:t>NRP</w:t>
      </w:r>
      <w:r w:rsidRPr="00C43284">
        <w:rPr>
          <w:b/>
        </w:rPr>
        <w:t xml:space="preserve"> ietekmes izvērtējums vidējam termiņam</w:t>
      </w:r>
    </w:p>
    <w:p w:rsidR="007E7E9C" w:rsidRPr="00C43284" w:rsidRDefault="007E7E9C" w:rsidP="007E7E9C">
      <w:pPr>
        <w:ind w:firstLine="567"/>
      </w:pPr>
      <w:r w:rsidRPr="00C43284">
        <w:t>Laika periodā no 201</w:t>
      </w:r>
      <w:r>
        <w:t>3</w:t>
      </w:r>
      <w:r w:rsidRPr="00C43284">
        <w:t>.gada līdz 201</w:t>
      </w:r>
      <w:r>
        <w:t>6</w:t>
      </w:r>
      <w:r w:rsidRPr="00C43284">
        <w:t xml:space="preserve">.gadam Latvijas NRP iekļautajiem pasākumiem būs tieša ietekme uz Latvijas tautsaimniecību. To noteiks publiskais finansējums, kas galvenokārt saistīts ar valsts investīcijām infrastruktūrā, </w:t>
      </w:r>
      <w:r w:rsidRPr="004E40F5">
        <w:t>nodarbinātības veicināšanā</w:t>
      </w:r>
      <w:r>
        <w:t>,</w:t>
      </w:r>
      <w:r w:rsidRPr="004E40F5">
        <w:t xml:space="preserve"> </w:t>
      </w:r>
      <w:r w:rsidRPr="00C43284">
        <w:t xml:space="preserve">kā arī tiešo atbalstu uzņēmējiem (pamatā ar ES fondu izmantošanu). </w:t>
      </w:r>
    </w:p>
    <w:p w:rsidR="007E7E9C" w:rsidRPr="00C43284" w:rsidRDefault="00B554B8" w:rsidP="007E7E9C">
      <w:pPr>
        <w:ind w:firstLine="567"/>
      </w:pPr>
      <w:r>
        <w:t>Latvijas NRP</w:t>
      </w:r>
      <w:r w:rsidR="007E7E9C" w:rsidRPr="00C43284">
        <w:t xml:space="preserve"> iekļauto pasākumu kopējais finansējums 201</w:t>
      </w:r>
      <w:r w:rsidR="007E7E9C">
        <w:t>3</w:t>
      </w:r>
      <w:r w:rsidR="007E7E9C" w:rsidRPr="00C43284">
        <w:t>.-201</w:t>
      </w:r>
      <w:r w:rsidR="007E7E9C">
        <w:t>6</w:t>
      </w:r>
      <w:r w:rsidR="007E7E9C" w:rsidRPr="00C43284">
        <w:t xml:space="preserve">.gadam ir nedaudz </w:t>
      </w:r>
      <w:r w:rsidR="007E7E9C" w:rsidRPr="00016DA4">
        <w:t>vairāk par 2 miljardiem latu</w:t>
      </w:r>
      <w:r w:rsidR="007E7E9C" w:rsidRPr="00C43284">
        <w:t>. Valsts īstenotā politika veicinās investīciju un privātā patēriņa palielinājumu, kas ietekmēs IKP pieaugumu ik gadu par 1,5 procentiem.</w:t>
      </w:r>
    </w:p>
    <w:p w:rsidR="007E7E9C" w:rsidRPr="00C43284" w:rsidRDefault="007E7E9C" w:rsidP="00B554B8">
      <w:pPr>
        <w:spacing w:before="120"/>
        <w:ind w:firstLine="284"/>
        <w:jc w:val="right"/>
      </w:pPr>
      <w:r w:rsidRPr="00C43284">
        <w:t>1.attēls</w:t>
      </w:r>
    </w:p>
    <w:p w:rsidR="007E7E9C" w:rsidRPr="00C43284" w:rsidRDefault="007E7E9C" w:rsidP="007E7E9C">
      <w:pPr>
        <w:ind w:firstLine="284"/>
        <w:jc w:val="right"/>
        <w:rPr>
          <w:sz w:val="12"/>
          <w:szCs w:val="12"/>
        </w:rPr>
      </w:pPr>
    </w:p>
    <w:p w:rsidR="003C7671" w:rsidRPr="00C43284" w:rsidRDefault="003C7671" w:rsidP="003C7671">
      <w:pPr>
        <w:ind w:firstLine="284"/>
        <w:jc w:val="center"/>
      </w:pPr>
      <w:r w:rsidRPr="00C43284">
        <w:t>Latvijas NRP ieviešanas makroekonomiskā ietekme</w:t>
      </w:r>
    </w:p>
    <w:p w:rsidR="007E7E9C" w:rsidRPr="00C43284" w:rsidRDefault="003C7671" w:rsidP="003C7671">
      <w:pPr>
        <w:spacing w:after="60"/>
        <w:ind w:firstLine="284"/>
        <w:jc w:val="center"/>
        <w:rPr>
          <w:sz w:val="20"/>
          <w:szCs w:val="20"/>
        </w:rPr>
      </w:pPr>
      <w:r w:rsidRPr="00C43284">
        <w:rPr>
          <w:sz w:val="20"/>
          <w:szCs w:val="20"/>
        </w:rPr>
        <w:t>Latvijas IKP prognoze (2005.g. = 100)</w:t>
      </w:r>
    </w:p>
    <w:p w:rsidR="007E7E9C" w:rsidRPr="00C43284" w:rsidRDefault="003C7671" w:rsidP="007E7E9C">
      <w:pPr>
        <w:jc w:val="center"/>
        <w:rPr>
          <w:sz w:val="28"/>
          <w:szCs w:val="28"/>
        </w:rPr>
      </w:pPr>
      <w:r w:rsidRPr="00C43284">
        <w:rPr>
          <w:noProof/>
          <w:sz w:val="28"/>
          <w:szCs w:val="28"/>
          <w:lang w:eastAsia="lv-LV"/>
        </w:rPr>
        <w:drawing>
          <wp:inline distT="0" distB="0" distL="0" distR="0" wp14:anchorId="66AEAF74" wp14:editId="568DDB1E">
            <wp:extent cx="3848100" cy="168275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7E9C" w:rsidRPr="00C43284" w:rsidRDefault="007E7E9C" w:rsidP="007E7E9C">
      <w:pPr>
        <w:ind w:firstLine="567"/>
      </w:pPr>
    </w:p>
    <w:p w:rsidR="00B77132" w:rsidRDefault="007E7E9C" w:rsidP="00406D7B">
      <w:pPr>
        <w:ind w:firstLine="567"/>
      </w:pPr>
      <w:r w:rsidRPr="00C43284">
        <w:t>Vidējā termiņā ietekme uz IKP ir saistāma ar atbilstošu potenciālā IKP izmaiņām.</w:t>
      </w:r>
      <w:r w:rsidR="00B77132">
        <w:br w:type="page"/>
      </w:r>
    </w:p>
    <w:p w:rsidR="008F2EE4" w:rsidRPr="00B703A3" w:rsidRDefault="008F2EE4" w:rsidP="00044B3C">
      <w:pPr>
        <w:pStyle w:val="Heading1"/>
        <w:jc w:val="center"/>
        <w:rPr>
          <w:rFonts w:ascii="Times New Roman Bold" w:hAnsi="Times New Roman Bold" w:cs="Times New Roman"/>
          <w:smallCaps/>
          <w:color w:val="auto"/>
        </w:rPr>
      </w:pPr>
      <w:bookmarkStart w:id="7" w:name="_Toc354384921"/>
      <w:r w:rsidRPr="00B703A3">
        <w:rPr>
          <w:rFonts w:ascii="Times New Roman Bold" w:hAnsi="Times New Roman Bold" w:cs="Times New Roman"/>
          <w:smallCaps/>
          <w:color w:val="auto"/>
        </w:rPr>
        <w:lastRenderedPageBreak/>
        <w:t xml:space="preserve">2. </w:t>
      </w:r>
      <w:r w:rsidR="00263F5F" w:rsidRPr="00B703A3">
        <w:rPr>
          <w:rFonts w:ascii="Times New Roman Bold" w:hAnsi="Times New Roman Bold" w:cs="Times New Roman"/>
          <w:smallCaps/>
          <w:color w:val="auto"/>
        </w:rPr>
        <w:t>ES Padomes rekomendāciju izpilde</w:t>
      </w:r>
      <w:bookmarkEnd w:id="7"/>
    </w:p>
    <w:p w:rsidR="00755A34" w:rsidRPr="00B703A3" w:rsidRDefault="00755A34" w:rsidP="006E5BD6">
      <w:pPr>
        <w:pStyle w:val="Heading2"/>
        <w:spacing w:after="120"/>
        <w:jc w:val="center"/>
        <w:rPr>
          <w:rFonts w:ascii="Times New Roman Bold" w:hAnsi="Times New Roman Bold"/>
          <w:smallCaps/>
          <w:sz w:val="24"/>
          <w:szCs w:val="24"/>
        </w:rPr>
      </w:pPr>
      <w:bookmarkStart w:id="8" w:name="_Toc354384922"/>
      <w:r w:rsidRPr="00B703A3">
        <w:rPr>
          <w:rFonts w:ascii="Times New Roman Bold" w:hAnsi="Times New Roman Bold"/>
          <w:smallCaps/>
          <w:sz w:val="24"/>
          <w:szCs w:val="24"/>
        </w:rPr>
        <w:t xml:space="preserve">2.1. </w:t>
      </w:r>
      <w:r w:rsidR="00263F5F" w:rsidRPr="00B703A3">
        <w:rPr>
          <w:rFonts w:ascii="Times New Roman Bold" w:hAnsi="Times New Roman Bold"/>
          <w:smallCaps/>
          <w:sz w:val="24"/>
          <w:szCs w:val="24"/>
        </w:rPr>
        <w:t>Pārmērīgā budžeta deficīta novēršana</w:t>
      </w:r>
      <w:bookmarkEnd w:id="8"/>
    </w:p>
    <w:p w:rsidR="000551C0" w:rsidRDefault="00263F5F" w:rsidP="00263F5F">
      <w:pPr>
        <w:ind w:firstLine="567"/>
        <w:rPr>
          <w:b/>
        </w:rPr>
      </w:pPr>
      <w:r w:rsidRPr="00263F5F">
        <w:rPr>
          <w:b/>
        </w:rPr>
        <w:t>ES Padome rekomendē Latvijai nodrošināt plānoto virzību, lai paredzētajā laikā novērstu pārmērīgu budžeta deficītu. Lai to panāktu, izpildīt 2012.gada budžetu, kā plānots, un nodrošināt fiskālos pasākumus, kas norādīti Padomes ieteikumā saskaņā ar pārmērīga budžeta deficīta novēršanas procedūru. Pēc tam 2013.gadā un turpmāk īstenot budžeta stratēģiju, kuras pamatā ir pietiekami konkrēti strukturālie pasākumi, panākt pietiekamu virzību uz vidējā termiņa mērķa sasniegšanu un ievērot izdevumu kritēriju. Cikliskos ieņēmumus, kas lielāki par plānotajiem, izmantot valdības parāda samazināšanai.</w:t>
      </w:r>
    </w:p>
    <w:p w:rsidR="00420C46" w:rsidRDefault="00420C46" w:rsidP="00420C46">
      <w:pPr>
        <w:spacing w:before="120"/>
        <w:ind w:firstLine="567"/>
      </w:pPr>
      <w:r>
        <w:t xml:space="preserve">Vispārējās valdības budžeta deficīts 2012.gadā Latvijā bija </w:t>
      </w:r>
      <w:r w:rsidRPr="00DF7F7F">
        <w:t xml:space="preserve">1,2% </w:t>
      </w:r>
      <w:r>
        <w:t xml:space="preserve">apmērā </w:t>
      </w:r>
      <w:r>
        <w:rPr>
          <w:iCs/>
        </w:rPr>
        <w:t xml:space="preserve">no IKP atbilstoši Eiropas kontu sistēmas’95 (turpmāk tekstā – EKS) metodoloģijai. Tas ir būtiski zem Māstrihtas budžeta deficīta kritērija, tādējādi Latvija izpilda </w:t>
      </w:r>
      <w:r>
        <w:rPr>
          <w:i/>
          <w:iCs/>
        </w:rPr>
        <w:t>Stabilitātes un izaugsmes pakta</w:t>
      </w:r>
      <w:r>
        <w:rPr>
          <w:iCs/>
        </w:rPr>
        <w:t xml:space="preserve"> un ES Padomes 2009.gada 7.jūlija lēmuma nosacījumus </w:t>
      </w:r>
      <w:r>
        <w:rPr>
          <w:color w:val="000000"/>
        </w:rPr>
        <w:t xml:space="preserve">pārmērīgas budžeta deficīta </w:t>
      </w:r>
      <w:r>
        <w:rPr>
          <w:iCs/>
        </w:rPr>
        <w:t>novēršanas</w:t>
      </w:r>
      <w:r>
        <w:rPr>
          <w:color w:val="000000"/>
        </w:rPr>
        <w:t xml:space="preserve"> procedūras izbeigšanai.</w:t>
      </w:r>
    </w:p>
    <w:p w:rsidR="002A4E8C" w:rsidRDefault="002A4E8C" w:rsidP="002A4E8C">
      <w:pPr>
        <w:ind w:firstLine="567"/>
      </w:pPr>
      <w:r>
        <w:t>2012.gadā Latvija sasniedza nosprausto vidēja termiņa budžeta mērķi – 0,5% no IKP.</w:t>
      </w:r>
      <w:r>
        <w:rPr>
          <w:b/>
        </w:rPr>
        <w:t xml:space="preserve"> </w:t>
      </w:r>
      <w:r>
        <w:t>Turpmākos</w:t>
      </w:r>
      <w:r>
        <w:rPr>
          <w:b/>
        </w:rPr>
        <w:t xml:space="preserve"> </w:t>
      </w:r>
      <w:r>
        <w:t xml:space="preserve">gados paredzama īstermiņa nobīde no vidēja termiņa budžeta mērķa, ko, galvenokārt, ietekmēs pakāpeniskās obligāto iemaksu likmes palielināšana valsts fondēto pensiju shēmā līdz 6%, kopumā nodrošinot atgriešanos pie vidēja termiņa budžeta mērķa saskaņā ar </w:t>
      </w:r>
      <w:r>
        <w:rPr>
          <w:i/>
        </w:rPr>
        <w:t>Stabilitātes un izaugsmes pakta</w:t>
      </w:r>
      <w:r>
        <w:t xml:space="preserve"> nosacījumiem. </w:t>
      </w:r>
    </w:p>
    <w:p w:rsidR="002A4E8C" w:rsidRDefault="002A4E8C" w:rsidP="002A4E8C">
      <w:pPr>
        <w:ind w:firstLine="567"/>
        <w:rPr>
          <w:color w:val="000000"/>
        </w:rPr>
      </w:pPr>
      <w:r>
        <w:t>Fiskālās politikas principi un nosacījumi, kas</w:t>
      </w:r>
      <w:r>
        <w:rPr>
          <w:color w:val="000000"/>
        </w:rPr>
        <w:t xml:space="preserve"> nodrošina ekonomiskā ciklā sabalansētu budžetu (vispārējās valdības budžeta bilance nedrīkst būt mazāka par -0.5% no IKP) ir noteikti </w:t>
      </w:r>
      <w:r>
        <w:rPr>
          <w:i/>
          <w:color w:val="000000"/>
        </w:rPr>
        <w:t xml:space="preserve">Fiskālās disciplīnas likumā. </w:t>
      </w:r>
      <w:r>
        <w:t xml:space="preserve">Šajā likumā ir </w:t>
      </w:r>
      <w:r>
        <w:rPr>
          <w:lang w:eastAsia="lv-LV"/>
        </w:rPr>
        <w:t xml:space="preserve">iestrādāti arī jaunie ES fiskālās disciplīnas nosacījumi, kas ir ietverti </w:t>
      </w:r>
      <w:r>
        <w:rPr>
          <w:i/>
        </w:rPr>
        <w:t>Līgumā par stabilitāti, koordināciju un pārvaldību ekonomiskajā un monetārajā savienībā</w:t>
      </w:r>
      <w:r>
        <w:t xml:space="preserve">, kā arī tas atbilst Stabilitātes un izaugsmes pakta nosacījumiem (bilances nosacījuma, izdevumu pieauguma nosacījuma, parāda nosacījuma ievērošana </w:t>
      </w:r>
      <w:proofErr w:type="spellStart"/>
      <w:r>
        <w:t>u.c</w:t>
      </w:r>
      <w:proofErr w:type="spellEnd"/>
      <w:r>
        <w:t>. prasības).</w:t>
      </w:r>
    </w:p>
    <w:p w:rsidR="00420C46" w:rsidRDefault="00420C46" w:rsidP="00420C46">
      <w:pPr>
        <w:ind w:firstLine="567"/>
        <w:rPr>
          <w:color w:val="000000"/>
        </w:rPr>
      </w:pPr>
    </w:p>
    <w:p w:rsidR="00420C46" w:rsidRDefault="00420C46" w:rsidP="00420C46">
      <w:pPr>
        <w:spacing w:before="120"/>
        <w:ind w:firstLine="567"/>
      </w:pPr>
      <w:r>
        <w:t xml:space="preserve">Latvijas fiskālā politika balstās uzskatā, ka ilgtspējīgas ekonomiskās izaugsmes nosacījums ir </w:t>
      </w:r>
      <w:proofErr w:type="spellStart"/>
      <w:r>
        <w:t>pretcikliskas</w:t>
      </w:r>
      <w:proofErr w:type="spellEnd"/>
      <w:r>
        <w:t xml:space="preserve"> fiskālās politikas īstenošana – periodā, kad IKP pārsniedz potenciālo līmeni, ir jāveic ierobežojoša fiskālā politika, bet periodā, kad valsts IKP ir zemāks par potenciālo līmeni – ir jāveic stimulējoša ekonomiskā politika.</w:t>
      </w:r>
    </w:p>
    <w:p w:rsidR="00420C46" w:rsidRPr="00DF7F7F" w:rsidRDefault="00420C46" w:rsidP="00420C46">
      <w:pPr>
        <w:ind w:firstLine="567"/>
      </w:pPr>
      <w:r>
        <w:t>Saskaņā ar 2012.gada vasaras makroekonomiskajām prognozēm Latvijas IKP 2012.gadā atradās zem sava potenciālā līmeņa</w:t>
      </w:r>
      <w:r w:rsidRPr="00DF7F7F">
        <w:t>. Jaunāk</w:t>
      </w:r>
      <w:r>
        <w:t>ās 2013.</w:t>
      </w:r>
      <w:r w:rsidRPr="00DF7F7F">
        <w:t>gada februāra prognozes liecina, ka līdz šim negatīvā i</w:t>
      </w:r>
      <w:r>
        <w:t>zlaižu starpība noslēdzas 2013.</w:t>
      </w:r>
      <w:r w:rsidRPr="00DF7F7F">
        <w:t xml:space="preserve">gadā un turpmākajos gados </w:t>
      </w:r>
      <w:r w:rsidR="004904BA" w:rsidRPr="00B4010D">
        <w:t>Latvijas IKP pieaugums būs līdzvērtīgs potenciāl</w:t>
      </w:r>
      <w:r w:rsidR="004904BA">
        <w:t xml:space="preserve">ā IKP </w:t>
      </w:r>
      <w:r w:rsidR="004904BA" w:rsidRPr="00B4010D">
        <w:t>pieaugumam</w:t>
      </w:r>
      <w:r w:rsidR="004904BA">
        <w:t>. Lai</w:t>
      </w:r>
      <w:r w:rsidRPr="00DF7F7F">
        <w:t xml:space="preserve"> gan izlaižu starpība ir noslēgusies, turpmāko gadu fiskālā politika būs ar stimulējošu ievirzi </w:t>
      </w:r>
      <w:r>
        <w:t>–</w:t>
      </w:r>
      <w:r w:rsidRPr="00DF7F7F">
        <w:t xml:space="preserve"> specifiski mērķēta uz ekonomikas potenciālās izaugsmes ilgtermiņā nodrošināšanu. </w:t>
      </w:r>
      <w:r>
        <w:t>A</w:t>
      </w:r>
      <w:r w:rsidRPr="00DF7F7F">
        <w:t xml:space="preserve">prēķini par potenciālo IKP jau vidējā termiņā norāda uz nepieciešamību pievērst pastiprinātu uzmanību situācijai darba tirgū, ieviešot pasākumus, kas veicinās efektīvāku iekļaušanu darba tirgū, ceļot darbaspējas vecuma iedzīvotāju aktivitāti un sabalansējot darba tirgus pieprasījumu ar piedāvājumu. </w:t>
      </w:r>
    </w:p>
    <w:p w:rsidR="00420C46" w:rsidRDefault="00420C46" w:rsidP="00420C46">
      <w:pPr>
        <w:ind w:firstLine="567"/>
      </w:pPr>
      <w:r w:rsidRPr="00DF7F7F">
        <w:t xml:space="preserve">Tāpat būtisks pamatojums stimulējošas fiskālās politikas pielietošanai ir valsts atrašanās </w:t>
      </w:r>
      <w:proofErr w:type="spellStart"/>
      <w:r w:rsidRPr="00DF7F7F">
        <w:t>pēckrīzes</w:t>
      </w:r>
      <w:proofErr w:type="spellEnd"/>
      <w:r w:rsidRPr="00DF7F7F">
        <w:t xml:space="preserve"> periodā, kas </w:t>
      </w:r>
      <w:r>
        <w:t xml:space="preserve">noteica nepieciešamību gan 2012.gadā, gan tuvākajos gados fiskālajā politikā ietvert kompensējošus pasākumus, kas mazinātu krīzes laika negatīvo ietekmi, dodot iespēju pašlaik finansēt visvairāk nepieciešamos pasākumus, kuru atlikšana nav iespējama, vai arī ilgtermiņā izmaksās dārgāk. Tādēļ tika nolemts 2012.gadā veikt budžeta grozījumus, nedaudz palielinot finansējumu jomās, kurās tas bija visnepieciešamākais. Tomēr, vienlaikus, tika saglabāta fiskālā disciplīna un 2012.gada vispārējās valdības budžeta deficīta mērķis, ieskaitot 2012.gada budžeta grozījumus, tika noteikts 1,9% apmērā no IKP (zemāk nekā sākotnējais 2012.gada vispārējās valdības budžeta deficīta mērķis – 2,1% no IKP). Tas </w:t>
      </w:r>
      <w:r>
        <w:lastRenderedPageBreak/>
        <w:t>nozīmē, ka tikai daļa no fiskālās telpas tika izmantota izdevumu palielināšanai, savukārt pārējie līdzekļi tika novirzīti budžeta deficīta un valsts parāda samazināšanai.</w:t>
      </w:r>
    </w:p>
    <w:p w:rsidR="009B7B0D" w:rsidRPr="009B7B0D" w:rsidRDefault="00420C46" w:rsidP="00420C46">
      <w:pPr>
        <w:ind w:firstLine="567"/>
      </w:pPr>
      <w:r>
        <w:rPr>
          <w:color w:val="000000" w:themeColor="text1"/>
        </w:rPr>
        <w:t>2012.</w:t>
      </w:r>
      <w:r>
        <w:rPr>
          <w:rFonts w:eastAsia="Times New Roman"/>
          <w:color w:val="000000" w:themeColor="text1"/>
          <w:szCs w:val="18"/>
          <w:lang w:eastAsia="lv-LV"/>
        </w:rPr>
        <w:t xml:space="preserve">gadā, nodrošinot vispārējās valdības budžeta deficītu zem </w:t>
      </w:r>
      <w:r>
        <w:rPr>
          <w:iCs/>
        </w:rPr>
        <w:t xml:space="preserve">Māstrihtas budžeta deficīta kritērija, kā arī turpmākos gados </w:t>
      </w:r>
      <w:r w:rsidR="002A4E8C">
        <w:rPr>
          <w:iCs/>
        </w:rPr>
        <w:t xml:space="preserve">definējot </w:t>
      </w:r>
      <w:r w:rsidR="002A4E8C">
        <w:t xml:space="preserve">vispārējās valdības budžeta bilanci, ievērojot Fiskālās disciplīnas likuma nosacījumus, </w:t>
      </w:r>
      <w:r>
        <w:rPr>
          <w:rFonts w:eastAsia="Times New Roman"/>
          <w:color w:val="000000" w:themeColor="text1"/>
          <w:szCs w:val="18"/>
          <w:lang w:eastAsia="lv-LV"/>
        </w:rPr>
        <w:t xml:space="preserve">tiek pildīta arī </w:t>
      </w:r>
      <w:r w:rsidRPr="00353580">
        <w:rPr>
          <w:rFonts w:eastAsia="Times New Roman"/>
          <w:i/>
          <w:color w:val="000000" w:themeColor="text1"/>
          <w:szCs w:val="18"/>
          <w:lang w:eastAsia="lv-LV"/>
        </w:rPr>
        <w:t>2013.gada izaugsmes ziņojuma</w:t>
      </w:r>
      <w:r>
        <w:rPr>
          <w:rFonts w:eastAsia="Times New Roman"/>
          <w:color w:val="000000" w:themeColor="text1"/>
          <w:szCs w:val="18"/>
          <w:lang w:eastAsia="lv-LV"/>
        </w:rPr>
        <w:t xml:space="preserve"> prioritāte attiecībā uz izaugsmei draudzīgās fiskālās konsolidācijas īstenošanu un </w:t>
      </w:r>
      <w:r>
        <w:rPr>
          <w:rFonts w:eastAsia="Times New Roman"/>
          <w:i/>
          <w:color w:val="000000" w:themeColor="text1"/>
          <w:szCs w:val="18"/>
          <w:lang w:eastAsia="lv-LV"/>
        </w:rPr>
        <w:t>Eiro Plus paktā</w:t>
      </w:r>
      <w:r>
        <w:rPr>
          <w:rFonts w:eastAsia="Times New Roman"/>
          <w:color w:val="000000" w:themeColor="text1"/>
          <w:szCs w:val="18"/>
          <w:lang w:eastAsia="lv-LV"/>
        </w:rPr>
        <w:t xml:space="preserve"> esošās saistības valsts finanšu ilgtspējas nodrošināšanai (Latvijas </w:t>
      </w:r>
      <w:r>
        <w:rPr>
          <w:rFonts w:eastAsia="Times New Roman"/>
          <w:i/>
          <w:color w:val="000000" w:themeColor="text1"/>
          <w:szCs w:val="18"/>
          <w:lang w:eastAsia="lv-LV"/>
        </w:rPr>
        <w:t>Eiro Plus pakta</w:t>
      </w:r>
      <w:r>
        <w:rPr>
          <w:rFonts w:eastAsia="Times New Roman"/>
          <w:color w:val="000000" w:themeColor="text1"/>
          <w:szCs w:val="18"/>
          <w:lang w:eastAsia="lv-LV"/>
        </w:rPr>
        <w:t xml:space="preserve"> 3.1.pasākums).</w:t>
      </w:r>
    </w:p>
    <w:p w:rsidR="00755A34" w:rsidRPr="00B703A3" w:rsidRDefault="00755A34" w:rsidP="001458EF">
      <w:pPr>
        <w:pStyle w:val="Heading2"/>
        <w:spacing w:before="360" w:after="120"/>
        <w:jc w:val="center"/>
        <w:rPr>
          <w:rFonts w:ascii="Times New Roman Bold" w:hAnsi="Times New Roman Bold"/>
          <w:smallCaps/>
          <w:sz w:val="24"/>
          <w:szCs w:val="24"/>
        </w:rPr>
      </w:pPr>
      <w:bookmarkStart w:id="9" w:name="_Toc354384923"/>
      <w:r w:rsidRPr="00B703A3">
        <w:rPr>
          <w:rFonts w:ascii="Times New Roman Bold" w:hAnsi="Times New Roman Bold"/>
          <w:smallCaps/>
          <w:sz w:val="24"/>
          <w:szCs w:val="24"/>
        </w:rPr>
        <w:t xml:space="preserve">2.2. </w:t>
      </w:r>
      <w:r w:rsidR="00263F5F" w:rsidRPr="00B703A3">
        <w:rPr>
          <w:rFonts w:ascii="Times New Roman Bold" w:hAnsi="Times New Roman Bold"/>
          <w:smallCaps/>
          <w:sz w:val="24"/>
          <w:szCs w:val="24"/>
        </w:rPr>
        <w:t>Nodokļu politika un fiskālā disciplīna</w:t>
      </w:r>
      <w:bookmarkEnd w:id="9"/>
    </w:p>
    <w:p w:rsidR="004711E0" w:rsidRDefault="00263F5F" w:rsidP="00263F5F">
      <w:pPr>
        <w:ind w:firstLine="567"/>
        <w:rPr>
          <w:b/>
        </w:rPr>
      </w:pPr>
      <w:r w:rsidRPr="00366CF8">
        <w:rPr>
          <w:b/>
        </w:rPr>
        <w:t xml:space="preserve">ES Padome rekomendē Latvijai </w:t>
      </w:r>
      <w:r w:rsidRPr="00263F5F">
        <w:rPr>
          <w:b/>
        </w:rPr>
        <w:t xml:space="preserve">īstenot pasākumus nodokļu sloga novirzīšanai no darbaspēka uz patēriņu, īpašumiem un dabas un citu resursu izmantojumu, līdztekus uzlabojot strukturālo bilanci. Nodrošināt </w:t>
      </w:r>
      <w:r w:rsidRPr="00263F5F">
        <w:rPr>
          <w:b/>
          <w:i/>
        </w:rPr>
        <w:t>Fiskālās disciplīnas likuma</w:t>
      </w:r>
      <w:r w:rsidRPr="00263F5F">
        <w:rPr>
          <w:b/>
        </w:rPr>
        <w:t xml:space="preserve"> pieņemšanu un izstrādāt vidēja termiņa budžeta pamatlikumu, kas sekmētu valsts finanšu </w:t>
      </w:r>
      <w:proofErr w:type="spellStart"/>
      <w:r w:rsidRPr="00263F5F">
        <w:rPr>
          <w:b/>
        </w:rPr>
        <w:t>ilgstpējību</w:t>
      </w:r>
      <w:proofErr w:type="spellEnd"/>
      <w:r w:rsidRPr="00263F5F">
        <w:rPr>
          <w:b/>
        </w:rPr>
        <w:t xml:space="preserve"> ilgtermiņā. Obligāto maksājumu privātajā pensiju shēmā no 2013.gada atgriezties pie iemaksām 6% apmērā no bruto algas.</w:t>
      </w:r>
    </w:p>
    <w:p w:rsidR="00CB5533" w:rsidRDefault="00CB5533" w:rsidP="00CB5533">
      <w:pPr>
        <w:spacing w:before="120"/>
        <w:ind w:firstLine="567"/>
      </w:pPr>
      <w:r>
        <w:rPr>
          <w:i/>
          <w:iCs/>
        </w:rPr>
        <w:t>Fiskālās disciplīnas likums</w:t>
      </w:r>
      <w:r>
        <w:rPr>
          <w:iCs/>
        </w:rPr>
        <w:t xml:space="preserve"> </w:t>
      </w:r>
      <w:r>
        <w:rPr>
          <w:color w:val="000000"/>
        </w:rPr>
        <w:t xml:space="preserve">(turpmāk tekstā – FDL) </w:t>
      </w:r>
      <w:r>
        <w:rPr>
          <w:iCs/>
        </w:rPr>
        <w:t xml:space="preserve">ir stājies spēkā 2013.gada 6.martā. </w:t>
      </w:r>
      <w:r>
        <w:rPr>
          <w:rFonts w:eastAsia="Times New Roman"/>
          <w:iCs/>
          <w:color w:val="000000" w:themeColor="text1"/>
          <w:szCs w:val="18"/>
          <w:lang w:eastAsia="lv-LV"/>
        </w:rPr>
        <w:t xml:space="preserve">FDL pamatideja ir nodrošināt ekonomiskā ciklā sabalansētu budžetu, tādā izpratnē, kā to nosaka ratificētais </w:t>
      </w:r>
      <w:r>
        <w:rPr>
          <w:rFonts w:eastAsia="Times New Roman"/>
          <w:i/>
          <w:color w:val="000000" w:themeColor="text1"/>
          <w:szCs w:val="18"/>
          <w:lang w:eastAsia="lv-LV"/>
        </w:rPr>
        <w:t>Līgums par stabilitāti, koordināciju un pārvaldību ekonomiskajā un monetārajā savienībā</w:t>
      </w:r>
      <w:r>
        <w:rPr>
          <w:rFonts w:eastAsia="Times New Roman"/>
          <w:i/>
          <w:iCs/>
          <w:color w:val="000000" w:themeColor="text1"/>
          <w:szCs w:val="18"/>
          <w:lang w:eastAsia="lv-LV"/>
        </w:rPr>
        <w:t xml:space="preserve"> (Fiskālais līgums). </w:t>
      </w:r>
      <w:r>
        <w:rPr>
          <w:rFonts w:eastAsia="Times New Roman"/>
          <w:iCs/>
          <w:color w:val="000000" w:themeColor="text1"/>
          <w:szCs w:val="18"/>
          <w:lang w:eastAsia="lv-LV"/>
        </w:rPr>
        <w:t>Tas nozīmē – strukturālais deficīts nedrīkst būt lielāks par 0,5% no IKP un izdevumi nedrīkst augt ātrāk nekā desmit gadu vidējais potenciālā IKP pieaugums.</w:t>
      </w:r>
      <w:r>
        <w:rPr>
          <w:rFonts w:eastAsia="Times New Roman"/>
          <w:color w:val="000000" w:themeColor="text1"/>
          <w:szCs w:val="18"/>
          <w:lang w:eastAsia="lv-LV"/>
        </w:rPr>
        <w:t xml:space="preserve"> Kā galvenais instruments fiskālās disciplīnas ievērošanā ir paredzēts </w:t>
      </w:r>
      <w:r>
        <w:rPr>
          <w:rFonts w:eastAsia="Times New Roman"/>
          <w:i/>
          <w:color w:val="000000" w:themeColor="text1"/>
          <w:szCs w:val="18"/>
          <w:lang w:eastAsia="lv-LV"/>
        </w:rPr>
        <w:t>Vidēja termiņa budžeta ietvara likums</w:t>
      </w:r>
      <w:r>
        <w:rPr>
          <w:rFonts w:eastAsia="Times New Roman"/>
          <w:color w:val="000000" w:themeColor="text1"/>
          <w:szCs w:val="18"/>
          <w:lang w:eastAsia="lv-LV"/>
        </w:rPr>
        <w:t>, ko ikgadēji sagatavo turpmāko trīs gadu periodam.</w:t>
      </w:r>
    </w:p>
    <w:p w:rsidR="00CB5533" w:rsidRDefault="00CB5533" w:rsidP="00CB5533">
      <w:pPr>
        <w:pStyle w:val="ListParagraph"/>
        <w:ind w:left="0" w:firstLine="567"/>
        <w:rPr>
          <w:rFonts w:eastAsia="Times New Roman"/>
          <w:color w:val="000000" w:themeColor="text1"/>
          <w:szCs w:val="18"/>
          <w:lang w:eastAsia="lv-LV"/>
        </w:rPr>
      </w:pPr>
      <w:r>
        <w:t xml:space="preserve">2012.gadā pirmo reizi tika izstrādāts likums </w:t>
      </w:r>
      <w:r w:rsidRPr="00CB5533">
        <w:rPr>
          <w:i/>
        </w:rPr>
        <w:t>„Par vidēja termiņa budžeta ietvaru 2013., 2014. un 2015.gadam”</w:t>
      </w:r>
      <w:r>
        <w:t xml:space="preserve">, kurš tika apstiprināts Saeimā 2012.gada 15.novembrī. </w:t>
      </w:r>
      <w:r>
        <w:rPr>
          <w:i/>
          <w:color w:val="000000"/>
        </w:rPr>
        <w:t>Vidēja termiņa budžeta ietvara likums 2014.-2016.gadam</w:t>
      </w:r>
      <w:r>
        <w:rPr>
          <w:color w:val="000000"/>
        </w:rPr>
        <w:t xml:space="preserve"> tiks izstrādāts 2013.gada rudenī, vienlaikus ar likumprojekta </w:t>
      </w:r>
      <w:r w:rsidRPr="00CB5533">
        <w:rPr>
          <w:i/>
          <w:color w:val="000000"/>
        </w:rPr>
        <w:t>„</w:t>
      </w:r>
      <w:r w:rsidRPr="00CB5533">
        <w:rPr>
          <w:bCs/>
          <w:i/>
        </w:rPr>
        <w:t>Par valsts budžetu 2014.gadam”</w:t>
      </w:r>
      <w:r>
        <w:rPr>
          <w:color w:val="000000"/>
        </w:rPr>
        <w:t xml:space="preserve"> izstrādi. </w:t>
      </w:r>
    </w:p>
    <w:p w:rsidR="00CB5533" w:rsidRDefault="00CB5533" w:rsidP="00CB5533">
      <w:pPr>
        <w:ind w:firstLine="567"/>
      </w:pPr>
      <w:r>
        <w:rPr>
          <w:rFonts w:eastAsia="Times New Roman"/>
          <w:color w:val="000000" w:themeColor="text1"/>
          <w:szCs w:val="18"/>
          <w:lang w:eastAsia="lv-LV"/>
        </w:rPr>
        <w:t xml:space="preserve">Līdz ar FDL apstiprināšanu, ir nostiprināti tādi fiskālās politikas principi kā taupības princips, uzkrājuma princips, </w:t>
      </w:r>
      <w:proofErr w:type="spellStart"/>
      <w:r>
        <w:rPr>
          <w:rFonts w:eastAsia="Times New Roman"/>
          <w:color w:val="000000" w:themeColor="text1"/>
          <w:szCs w:val="18"/>
          <w:lang w:eastAsia="lv-LV"/>
        </w:rPr>
        <w:t>pretcikliskas</w:t>
      </w:r>
      <w:proofErr w:type="spellEnd"/>
      <w:r>
        <w:rPr>
          <w:rFonts w:eastAsia="Times New Roman"/>
          <w:color w:val="000000" w:themeColor="text1"/>
          <w:szCs w:val="18"/>
          <w:lang w:eastAsia="lv-LV"/>
        </w:rPr>
        <w:t xml:space="preserve"> fiskālās politikas princips </w:t>
      </w:r>
      <w:proofErr w:type="spellStart"/>
      <w:r>
        <w:rPr>
          <w:rFonts w:eastAsia="Times New Roman"/>
          <w:color w:val="000000" w:themeColor="text1"/>
          <w:szCs w:val="18"/>
          <w:lang w:eastAsia="lv-LV"/>
        </w:rPr>
        <w:t>u.c</w:t>
      </w:r>
      <w:proofErr w:type="spellEnd"/>
      <w:r>
        <w:rPr>
          <w:rFonts w:eastAsia="Times New Roman"/>
          <w:color w:val="000000" w:themeColor="text1"/>
          <w:szCs w:val="18"/>
          <w:lang w:eastAsia="lv-LV"/>
        </w:rPr>
        <w:t xml:space="preserve">. FDL ir iestrādāti arī jaunie ES fiskālās disciplīnas nosacījumi, kas ir ietverti </w:t>
      </w:r>
      <w:r>
        <w:rPr>
          <w:rFonts w:eastAsia="Times New Roman"/>
          <w:i/>
          <w:iCs/>
          <w:color w:val="000000" w:themeColor="text1"/>
          <w:szCs w:val="18"/>
          <w:lang w:eastAsia="lv-LV"/>
        </w:rPr>
        <w:t>Fiskālā līgumā</w:t>
      </w:r>
      <w:r>
        <w:rPr>
          <w:rFonts w:eastAsia="Times New Roman"/>
          <w:color w:val="000000" w:themeColor="text1"/>
          <w:szCs w:val="18"/>
          <w:lang w:eastAsia="lv-LV"/>
        </w:rPr>
        <w:t xml:space="preserve">, tādējādi </w:t>
      </w:r>
      <w:r>
        <w:t>Latvija ir viena no pirmajām ES dalībvalstīm, kas nodrošinās nacionālās likumdošanas atbilstību ES līmeņa fiskālās disciplīnas principiem.</w:t>
      </w:r>
    </w:p>
    <w:p w:rsidR="00CB5533" w:rsidRDefault="00CB5533" w:rsidP="00CB5533">
      <w:pPr>
        <w:ind w:firstLine="567"/>
        <w:rPr>
          <w:rFonts w:eastAsia="Times New Roman"/>
          <w:color w:val="000000" w:themeColor="text1"/>
          <w:szCs w:val="18"/>
          <w:lang w:eastAsia="lv-LV"/>
        </w:rPr>
      </w:pPr>
      <w:r>
        <w:rPr>
          <w:rFonts w:eastAsia="Times New Roman"/>
          <w:color w:val="000000" w:themeColor="text1"/>
          <w:szCs w:val="18"/>
          <w:lang w:eastAsia="lv-LV"/>
        </w:rPr>
        <w:t xml:space="preserve">Apstiprinot FDL un izstrādājot vidēja termiņu budžeta ietvara likumu, tiek pildītas arī </w:t>
      </w:r>
      <w:r>
        <w:rPr>
          <w:rFonts w:eastAsia="Times New Roman"/>
          <w:i/>
          <w:color w:val="000000" w:themeColor="text1"/>
          <w:szCs w:val="18"/>
          <w:lang w:eastAsia="lv-LV"/>
        </w:rPr>
        <w:t>Eiro Plus paktā</w:t>
      </w:r>
      <w:r>
        <w:rPr>
          <w:rFonts w:eastAsia="Times New Roman"/>
          <w:color w:val="000000" w:themeColor="text1"/>
          <w:szCs w:val="18"/>
          <w:lang w:eastAsia="lv-LV"/>
        </w:rPr>
        <w:t xml:space="preserve"> esošās saistības valsts finanšu ilgtspējas nodrošināšanai (Latvijas </w:t>
      </w:r>
      <w:r>
        <w:rPr>
          <w:rFonts w:eastAsia="Times New Roman"/>
          <w:i/>
          <w:color w:val="000000" w:themeColor="text1"/>
          <w:szCs w:val="18"/>
          <w:lang w:eastAsia="lv-LV"/>
        </w:rPr>
        <w:t>Eiro Plus pakta</w:t>
      </w:r>
      <w:r>
        <w:rPr>
          <w:rFonts w:eastAsia="Times New Roman"/>
          <w:color w:val="000000" w:themeColor="text1"/>
          <w:szCs w:val="18"/>
          <w:lang w:eastAsia="lv-LV"/>
        </w:rPr>
        <w:t xml:space="preserve"> 3.1. un 3.2.pasākums) un </w:t>
      </w:r>
      <w:r w:rsidRPr="00353580">
        <w:rPr>
          <w:rFonts w:eastAsia="Times New Roman"/>
          <w:i/>
          <w:color w:val="000000" w:themeColor="text1"/>
          <w:szCs w:val="18"/>
          <w:lang w:eastAsia="lv-LV"/>
        </w:rPr>
        <w:t>2013.gada izaugsmes ziņojuma</w:t>
      </w:r>
      <w:r>
        <w:rPr>
          <w:rFonts w:eastAsia="Times New Roman"/>
          <w:color w:val="000000" w:themeColor="text1"/>
          <w:szCs w:val="18"/>
          <w:lang w:eastAsia="lv-LV"/>
        </w:rPr>
        <w:t xml:space="preserve"> prioritāte attiecībā uz izaugsmei draudzīgās fiskālās konsolidācijas īstenošanu.</w:t>
      </w:r>
    </w:p>
    <w:p w:rsidR="00CB5533" w:rsidRDefault="00CB5533" w:rsidP="00CB5533">
      <w:pPr>
        <w:ind w:firstLine="567"/>
        <w:rPr>
          <w:lang w:eastAsia="lv-LV"/>
        </w:rPr>
      </w:pPr>
    </w:p>
    <w:p w:rsidR="00CB5533" w:rsidRDefault="00CB5533" w:rsidP="00CB5533">
      <w:pPr>
        <w:ind w:firstLine="567"/>
        <w:rPr>
          <w:lang w:eastAsia="lv-LV"/>
        </w:rPr>
      </w:pPr>
      <w:r>
        <w:rPr>
          <w:lang w:eastAsia="lv-LV"/>
        </w:rPr>
        <w:t xml:space="preserve">Saeima 2012. gada 24.maijā pieņēma grozījumus likumā </w:t>
      </w:r>
      <w:r w:rsidRPr="00CB5533">
        <w:rPr>
          <w:i/>
          <w:lang w:eastAsia="lv-LV"/>
        </w:rPr>
        <w:t>„Par iedzīvotāju ienākuma nodokli”</w:t>
      </w:r>
      <w:r>
        <w:rPr>
          <w:lang w:eastAsia="lv-LV"/>
        </w:rPr>
        <w:t xml:space="preserve">, kas paredz, ka trīs gadu laikā iedzīvotāju ienākumu nodokļa likme tiks samazināta par 5 procentpunktiem – no pašreizējiem 25% līdz 20%. Paredzēts, ka no 1.janvāra 2013. gadā iedzīvotāju ienākumu nodokļa likme ir 24%, 2014. gadā – 22%, bet 2015. gadā – 20%. 2012. gada </w:t>
      </w:r>
      <w:r>
        <w:t xml:space="preserve">6.novembrī MK ir pieņēmis </w:t>
      </w:r>
      <w:r w:rsidRPr="00CB5533">
        <w:rPr>
          <w:i/>
        </w:rPr>
        <w:t>„Noteikumus par mēneša neapliekamā minimuma un nodokļa atvieglojuma apmēru iedzīvotāju ienākuma nodokļa aprēķināšanai”</w:t>
      </w:r>
      <w:r>
        <w:t xml:space="preserve">, kuros paredzēts, ka ar 2013.gada 1.jūliju </w:t>
      </w:r>
      <w:r>
        <w:rPr>
          <w:lang w:eastAsia="lv-LV"/>
        </w:rPr>
        <w:t>iedzīvotāju ienākuma nodokļa atvieglojuma par apgādībā esošu personu apmērs ir 80 lati mēnesī.</w:t>
      </w:r>
    </w:p>
    <w:p w:rsidR="00CB5533" w:rsidRDefault="00CB5533" w:rsidP="00CB5533">
      <w:pPr>
        <w:ind w:firstLine="567"/>
        <w:rPr>
          <w:rFonts w:eastAsia="Times New Roman"/>
          <w:color w:val="000000" w:themeColor="text1"/>
          <w:szCs w:val="18"/>
          <w:lang w:eastAsia="lv-LV"/>
        </w:rPr>
      </w:pPr>
    </w:p>
    <w:p w:rsidR="00CB5533" w:rsidRDefault="00CB5533" w:rsidP="00CB5533">
      <w:pPr>
        <w:ind w:firstLine="567"/>
      </w:pPr>
      <w:r>
        <w:t>ES Padomes rekomendācija</w:t>
      </w:r>
      <w:r>
        <w:rPr>
          <w:b/>
        </w:rPr>
        <w:t xml:space="preserve"> </w:t>
      </w:r>
      <w:r>
        <w:t xml:space="preserve">„Obligāto maksājumu privātajā pensiju shēmā no 2013.gada atgriezties pie iemaksām 6% apmērā no bruto algas” ir izpildīta daļēji. Atbilstoši 2012.gada 15.novembrī pieņemtajam likumam </w:t>
      </w:r>
      <w:r w:rsidRPr="00CB5533">
        <w:rPr>
          <w:i/>
        </w:rPr>
        <w:t>„Grozījumi Valsts fondēto pensiju likumā”</w:t>
      </w:r>
      <w:r>
        <w:t xml:space="preserve"> no 2013.gada ir paredzēta pakāpeniska obligāto iemaksu likmes palielināšana valsts fondēto </w:t>
      </w:r>
      <w:r>
        <w:lastRenderedPageBreak/>
        <w:t xml:space="preserve">pensiju shēmā </w:t>
      </w:r>
      <w:r>
        <w:rPr>
          <w:lang w:eastAsia="lv-LV"/>
        </w:rPr>
        <w:t>–</w:t>
      </w:r>
      <w:r>
        <w:t xml:space="preserve"> no 2% 2012.gadā līdz 4%</w:t>
      </w:r>
      <w:r>
        <w:rPr>
          <w:lang w:eastAsia="lv-LV"/>
        </w:rPr>
        <w:t xml:space="preserve"> </w:t>
      </w:r>
      <w:r>
        <w:t>2013. un 2014.gadā, 5% – 2015.gadā un 6% – 2016.gadā un turpmāk.</w:t>
      </w:r>
    </w:p>
    <w:p w:rsidR="00CB5533" w:rsidRDefault="00CB5533" w:rsidP="00CB5533">
      <w:pPr>
        <w:ind w:firstLine="567"/>
      </w:pPr>
      <w:r>
        <w:rPr>
          <w:lang w:eastAsia="lv-LV"/>
        </w:rPr>
        <w:t xml:space="preserve">Ieviešot pensiju sistēmas 2.līmeni, likumdevējs lēma, ka ar 2010.gadu sociālās iemaksas vienlīdzīgās daļās (10% un 10%) sadalīsies starp valsts obligāto nefondēto pensiju shēmu (1.līmeni) un valsts obligāto fondēto pensiju shēmu (2.līmeni). Līdzekļu pieaugums speciālajā budžetā un ilgtermiņa prognozes liecināja, ka no 2010.gada Latvija varēs atļauties 2.līmenim novirzīt 10% no sociālajām iemaksām. Tomēr situācija 2009.gada budžetā pierādīja, ka noteiktā iemaksu likme ir par augstu (2008.gadā – 8%), tādejādi apgrūtinot saistību izpildi solidaritātes līmenī. Tādēļ tika veikti grozījumi </w:t>
      </w:r>
      <w:r>
        <w:rPr>
          <w:i/>
          <w:lang w:eastAsia="lv-LV"/>
        </w:rPr>
        <w:t>Valsts fondēto pensiju likumā</w:t>
      </w:r>
      <w:r>
        <w:rPr>
          <w:lang w:eastAsia="lv-LV"/>
        </w:rPr>
        <w:t xml:space="preserve">, sākotnēji paredzot iemaksu likmi 6% apmērā no 2012.gada, tad ar 2013.gadu, bet saskaņā ar šobrīd spēkā esošo likumdošanu </w:t>
      </w:r>
      <w:r>
        <w:t>–</w:t>
      </w:r>
      <w:r>
        <w:rPr>
          <w:lang w:eastAsia="lv-LV"/>
        </w:rPr>
        <w:t xml:space="preserve"> no 2016.gada.</w:t>
      </w:r>
    </w:p>
    <w:p w:rsidR="00CB5533" w:rsidRDefault="00CB5533" w:rsidP="00CB5533">
      <w:pPr>
        <w:autoSpaceDE w:val="0"/>
        <w:autoSpaceDN w:val="0"/>
        <w:adjustRightInd w:val="0"/>
        <w:ind w:firstLine="567"/>
      </w:pPr>
      <w:r>
        <w:rPr>
          <w:lang w:eastAsia="lv-LV"/>
        </w:rPr>
        <w:t xml:space="preserve">Sākot no 2009.gada, speciālā budžeta ikgadējā finansiālā bilance ir negatīva, arī 2013.gadam speciālajā budžetā ir prognozēts deficīts. Lai veicinātu speciālā budžeta ātrāku stabilizēšanos, 2012.gadā tika veikti grozījumi likumdošanā, paredzot iemaksu likmes 2.pensiju līmenī (2%) pakāpeniskāku paaugstināšanu, kas dotu iespēju līdzekļiem speciālajā budžetā ieplūst straujāk nekā, ja likme tiktu paaugstināta uzreiz par 4 procentpunktiem. Pensiju apdrošināšanas iemaksu likmes daļa, kas netiek novirzīta 2.pensiju līmenim, nepazūd, bet tiek attiecīgi novirzīta 1.līmenim, tādējādi palielinot 1.līmeņa kapitālu un līdz ar to arī nākotnes vecuma pensijas apmēru. Līdz ar to nav pamata uzskatīt, ka iemaksu likmes pakāpeniskāka pārdale negatīvi ietekmētu nākotnes pensiju adekvātumu. Dalība valsts fondēto pensiju shēmā ir ilgtermiņa ieguldījums, kā rezultātā iespēja uzkrāt lielāku nākotnes pensiju par pensiju, kāda tā būtu bijusi piedaloties tikai 1.līmenī, būs tikai tad, ja 2.līmeņa ieguldījumu plānu ienesīgums būs bijis augstāks par 1.līmeņa pensijas kapitālam piemērojamiem indeksiem. Sociālās apdrošināšanas budžeta stabilitāte ir pamats turpmākai sistēmas attīstībai un izaicinājumiem saistībā ar pensiju </w:t>
      </w:r>
      <w:proofErr w:type="spellStart"/>
      <w:r>
        <w:rPr>
          <w:lang w:eastAsia="lv-LV"/>
        </w:rPr>
        <w:t>atvietojamības</w:t>
      </w:r>
      <w:proofErr w:type="spellEnd"/>
      <w:r>
        <w:rPr>
          <w:lang w:eastAsia="lv-LV"/>
        </w:rPr>
        <w:t xml:space="preserve"> jautājumu nākotnē.</w:t>
      </w:r>
    </w:p>
    <w:p w:rsidR="005436F5" w:rsidRDefault="00CB5533" w:rsidP="00CB5533">
      <w:pPr>
        <w:autoSpaceDE w:val="0"/>
        <w:autoSpaceDN w:val="0"/>
        <w:adjustRightInd w:val="0"/>
        <w:ind w:firstLine="567"/>
      </w:pPr>
      <w:r>
        <w:rPr>
          <w:szCs w:val="20"/>
        </w:rPr>
        <w:t>Izvērtējot valsts fondēto pensiju shēmas darbību</w:t>
      </w:r>
      <w:r>
        <w:rPr>
          <w:rStyle w:val="FootnoteReference"/>
          <w:szCs w:val="20"/>
        </w:rPr>
        <w:footnoteReference w:id="8"/>
      </w:r>
      <w:r>
        <w:rPr>
          <w:szCs w:val="20"/>
        </w:rPr>
        <w:t>, pieņemts lēmums paplašināt pensiju plānu investēšanas iespējas Latvijas finanšu tirgū, palielināt ieguldījumu īpatsvaru riska kapitālā un plašākas iespējas ieguldīt biržā netirgotās kapitālsabiedrībās. I</w:t>
      </w:r>
      <w:r>
        <w:t xml:space="preserve">zstrādājot attīstības finanšu institūcijas darbības modeli (skatīt arī 3.1.2.nodaļu), kā viena no tās funkcijām tiks noteikta tādu instrumentu izveides veicināšana, kuros var tikt ieguldīti pensiju fondu līdzekļi. </w:t>
      </w:r>
      <w:r>
        <w:rPr>
          <w:szCs w:val="20"/>
        </w:rPr>
        <w:t xml:space="preserve">Nolemts pārskatīt arī shēmas administrēšanas principu līdzekļu pārvaldītājiem, sasaistot to ar ieguldījumu plānu rezultātiem, un paredzēt papildus risku samazināšanas mehānismus valsts fondēto pensiju shēmas dalībnieku interešu aizsardzībai. </w:t>
      </w:r>
      <w:r w:rsidR="004904BA">
        <w:rPr>
          <w:szCs w:val="20"/>
        </w:rPr>
        <w:t xml:space="preserve">Tiek </w:t>
      </w:r>
      <w:r>
        <w:rPr>
          <w:szCs w:val="20"/>
        </w:rPr>
        <w:t>strādā</w:t>
      </w:r>
      <w:r w:rsidR="004904BA">
        <w:rPr>
          <w:szCs w:val="20"/>
        </w:rPr>
        <w:t>ts</w:t>
      </w:r>
      <w:r>
        <w:rPr>
          <w:szCs w:val="20"/>
        </w:rPr>
        <w:t xml:space="preserve"> pie konkrētiem risinājumiem</w:t>
      </w:r>
      <w:r>
        <w:rPr>
          <w:rStyle w:val="FootnoteReference"/>
          <w:szCs w:val="20"/>
        </w:rPr>
        <w:footnoteReference w:id="9"/>
      </w:r>
      <w:r>
        <w:rPr>
          <w:szCs w:val="20"/>
        </w:rPr>
        <w:t xml:space="preserve">. Savukārt, lai shēmas esošie un topošie dalībnieki arī paši pieņemtu izsvērtākus lēmumus, </w:t>
      </w:r>
      <w:r>
        <w:t>tiks īstenoti</w:t>
      </w:r>
      <w:r>
        <w:rPr>
          <w:color w:val="000000"/>
        </w:rPr>
        <w:t xml:space="preserve"> </w:t>
      </w:r>
      <w:r>
        <w:t xml:space="preserve">sabiedrības informēšanas pasākumi, pievēršot uzmanību ieguldījumu plāna izvēles riskiem, piemēram, shēmas dalībnieki tiks aicināti 10 gadus pirms pensionēšanās vecuma sasniegšanas apsvērt iespēju mainīt aktīvo ieguldījumu plānu uz konservatīvo. Izvērstākas informācijas nolūkā tiks uzlabots saturs speciālajai interneta vietnei par pensijām – </w:t>
      </w:r>
      <w:proofErr w:type="spellStart"/>
      <w:r>
        <w:rPr>
          <w:i/>
        </w:rPr>
        <w:t>www.manapensija.lv</w:t>
      </w:r>
      <w:proofErr w:type="spellEnd"/>
      <w:r>
        <w:t>.</w:t>
      </w:r>
      <w:r w:rsidR="005436F5">
        <w:rPr>
          <w:lang w:eastAsia="lv-LV"/>
        </w:rPr>
        <w:t xml:space="preserve"> </w:t>
      </w:r>
    </w:p>
    <w:p w:rsidR="00F60D02" w:rsidRPr="00B703A3" w:rsidRDefault="00F60D02" w:rsidP="00F60D02">
      <w:pPr>
        <w:pStyle w:val="Heading2"/>
        <w:spacing w:before="360" w:after="120"/>
        <w:jc w:val="center"/>
        <w:rPr>
          <w:rFonts w:ascii="Times New Roman Bold" w:hAnsi="Times New Roman Bold"/>
          <w:smallCaps/>
          <w:sz w:val="24"/>
          <w:szCs w:val="24"/>
        </w:rPr>
      </w:pPr>
      <w:bookmarkStart w:id="10" w:name="_Toc318881788"/>
      <w:bookmarkStart w:id="11" w:name="_Toc354384924"/>
      <w:r w:rsidRPr="00B703A3">
        <w:rPr>
          <w:rFonts w:ascii="Times New Roman Bold" w:hAnsi="Times New Roman Bold"/>
          <w:smallCaps/>
          <w:sz w:val="24"/>
          <w:szCs w:val="24"/>
        </w:rPr>
        <w:t xml:space="preserve">2.3. </w:t>
      </w:r>
      <w:bookmarkEnd w:id="10"/>
      <w:r w:rsidR="00263F5F" w:rsidRPr="00B703A3">
        <w:rPr>
          <w:rFonts w:ascii="Times New Roman Bold" w:hAnsi="Times New Roman Bold"/>
          <w:smallCaps/>
          <w:sz w:val="24"/>
          <w:szCs w:val="24"/>
        </w:rPr>
        <w:t>Ilgstošā un jauniešu bezdarba mazināšana</w:t>
      </w:r>
      <w:bookmarkEnd w:id="11"/>
    </w:p>
    <w:p w:rsidR="00F60D02" w:rsidRDefault="00263F5F" w:rsidP="00263F5F">
      <w:pPr>
        <w:ind w:firstLine="567"/>
        <w:rPr>
          <w:b/>
        </w:rPr>
      </w:pPr>
      <w:r w:rsidRPr="00157356">
        <w:rPr>
          <w:b/>
        </w:rPr>
        <w:t xml:space="preserve">ES Padome rekomendē Latvijai </w:t>
      </w:r>
      <w:r w:rsidRPr="00263F5F">
        <w:rPr>
          <w:b/>
        </w:rPr>
        <w:t>veikt pasākumus ilgstošā bezdarba un jauniešu bezdarba samazināšanai, novēršot mācību priekšlaicīgu pārtraukšanu, veicinot efektīvāku profesionālo izglītību un apmācību un ar to saistīto mācekļa laika elementu, palielinot aktīvās darba tirgus politikas un tās apmācību sadaļas kvalitāti, darbības jomu un efektivitāti un nodrošinot efektīvu algu subsīdiju shēmu.</w:t>
      </w:r>
    </w:p>
    <w:p w:rsidR="007242B4" w:rsidRDefault="007242B4" w:rsidP="004961C3">
      <w:pPr>
        <w:spacing w:before="120"/>
        <w:ind w:firstLine="567"/>
      </w:pPr>
      <w:r>
        <w:t xml:space="preserve">2012.gadā vidējais reģistrētā bezdarba līmenis bija 11,5%, kas ir par 1,3 procentpunktiem mazāk nekā 2011.gadā. 2012.gada decembrī Nodarbinātības valsts aģentūras </w:t>
      </w:r>
      <w:r>
        <w:lastRenderedPageBreak/>
        <w:t xml:space="preserve">(turpmāk tekstā – NVA) uzskaitē bija 104 tūkstoši bezdarbnieku. </w:t>
      </w:r>
      <w:r w:rsidR="004961C3">
        <w:t>2012.gada beigās bija 46 tūkstoši ilgstošo bezdarbnieku jeb 44% no kopējā reģistrēto bezdarbnieku skaita.</w:t>
      </w:r>
      <w:r w:rsidR="004961C3" w:rsidRPr="004961C3">
        <w:t xml:space="preserve"> </w:t>
      </w:r>
      <w:r w:rsidR="004961C3">
        <w:t xml:space="preserve">Ilgstošo bezdarbnieku skaits 2012.gada laikā samazinājās par 19%. </w:t>
      </w:r>
      <w:r>
        <w:t>Jauniešu skaits reģistrēto bezdarbnieku kopskaitā ir samazinājies par 33% salīdzinājumā ar 2011.gadu un 2012.gada gada beigās NVA uzskaitē bija 10 tūkstoši jauniešu (gada sākumā – 16 tūkstoši).</w:t>
      </w:r>
    </w:p>
    <w:p w:rsidR="007242B4" w:rsidRDefault="007242B4" w:rsidP="00CD129D">
      <w:pPr>
        <w:spacing w:before="120"/>
        <w:ind w:firstLine="567"/>
      </w:pPr>
      <w:r>
        <w:t>Lai sekmētu ilgstošā bezdarba un jauniešu bezdarba samazināšanos, 2012.gadā un 2013.gadā tiek attīstīti un pilnveidoti gan esošie aktīvās darba tirgus politikas pasākumi, gan ieviesti jauni pasākumi ilgstošajiem bezdarbniekiem un jauniešiem (skatīt arī 3.3.nodaļu).</w:t>
      </w:r>
    </w:p>
    <w:p w:rsidR="007242B4" w:rsidRDefault="007242B4" w:rsidP="007242B4">
      <w:pPr>
        <w:ind w:firstLine="567"/>
      </w:pPr>
      <w:r>
        <w:t xml:space="preserve">Ņemot vērā augstu ilgstošā bezdarba līmeni, ilgstošie bezdarbnieki ir viena no galvenajām aktīvās darba tirgus politikas pasākumu mērķa grupām. 2012.gadā 64% no visiem aktīvās darba tirgus politikas pasākumos iesaistītajiem bezdarbniekiem bija ilgstošie bezdarbnieki. </w:t>
      </w:r>
      <w:r w:rsidR="00EC3349">
        <w:t xml:space="preserve">Eiropas Sociālā fonda (turpmāk tekstā – </w:t>
      </w:r>
      <w:r>
        <w:t>ESF</w:t>
      </w:r>
      <w:r w:rsidR="00EC3349">
        <w:t>)</w:t>
      </w:r>
      <w:r>
        <w:t xml:space="preserve"> līdzfinansētajos </w:t>
      </w:r>
      <w:r w:rsidRPr="00036DBD">
        <w:t>algotajos pagaidu sabiedriskajos darbos, kas īpaši mērķēti ilgstošo bezdarbnieku atbalstam, kopā 2012.gadā tika iesaistīti 31 155 bezdarbnieki, no kuriem i</w:t>
      </w:r>
      <w:r>
        <w:t>lgstošie bezdarbnieki bija 82,5</w:t>
      </w:r>
      <w:r w:rsidRPr="00036DBD">
        <w:t>% jeb 25 692.</w:t>
      </w:r>
    </w:p>
    <w:p w:rsidR="007242B4" w:rsidRDefault="00865AD0" w:rsidP="007242B4">
      <w:pPr>
        <w:ind w:firstLine="567"/>
      </w:pPr>
      <w:r>
        <w:t xml:space="preserve">Tāpat kā 2012.gadā, arī 2013.gadā tiks turpināta algoto pagaidu sabiedrisko darbu dalībnieku aktivizēšana, piedāvājot un motivējot iesaistīties īsajās </w:t>
      </w:r>
      <w:r>
        <w:br/>
        <w:t>apmācībās – motivācijas un prasmju apguves kursos vai darba meklēšanā, tādējādi, mudinot bezdarbniekus, meklēt darbu jau pasākuma laikā vai pēc dalības pagaidu darba pasākumā iesaistīties vēl citos aktīvās darba tirgus politikas pasākumos</w:t>
      </w:r>
      <w:r w:rsidR="007242B4">
        <w:t>.</w:t>
      </w:r>
    </w:p>
    <w:p w:rsidR="007242B4" w:rsidRDefault="00411E4C" w:rsidP="007242B4">
      <w:pPr>
        <w:ind w:firstLine="567"/>
      </w:pPr>
      <w:r>
        <w:t xml:space="preserve">Daļa no ļoti ilgstoši bez darba esošajiem saskaras ar atkarības problēmām, kādēļ sākotnēji nepieciešams risināt šo problēmu. Tādēļ </w:t>
      </w:r>
      <w:r w:rsidR="007242B4" w:rsidRPr="00036DBD">
        <w:t xml:space="preserve">2012.gada beigās uzsākta ESF līdzfinansēta programma ilgstošajiem bezdarbniekiem ar atkarības problēmām – </w:t>
      </w:r>
      <w:r w:rsidR="007242B4" w:rsidRPr="007242B4">
        <w:rPr>
          <w:i/>
        </w:rPr>
        <w:t>„Minesotas 12 soļu programma”</w:t>
      </w:r>
      <w:r w:rsidR="007242B4" w:rsidRPr="00036DBD">
        <w:t>, kas ļaus ārstēt alkohola, narkotisko un psihotropo vielu atkarību, lai veicinātu atkarības radīto seku novēršanu un palīdzētu šai bezdarbnieku grupai iekļauties darba tirgū.</w:t>
      </w:r>
      <w:r w:rsidR="007242B4">
        <w:t xml:space="preserve"> Kopumā šajā pasākumā laikā no 2012.gadam līdz 2014.gadam plānots iesaistīt ap 800 bezdarbnieku ar atkarības problēmām. </w:t>
      </w:r>
    </w:p>
    <w:p w:rsidR="007242B4" w:rsidRDefault="007242B4" w:rsidP="007242B4">
      <w:pPr>
        <w:ind w:firstLine="567"/>
      </w:pPr>
      <w:r>
        <w:t>Lai risinātu bezdarba reģionālās problēmas un tuvinātu bezdarbniekus darba vietām, kas ir izveidotas reģionos ārpus šo bezdarbnieku dzīves vietām, 2012.gadā sagatavota normatīvā bāze un 2013.gadā tiks ieviesti reģionālās mobilitātes granti ilgstošajiem bezdarbniekiem, kuri gatavi pieņemt darbu, kas atrodas ne mazāk kā 20 kilometru attālumā no deklarētās dzīvesvietas. Reģionālās mobilitātes pilotprojektā 2013.gadā plānots iesaistīt 350 personas.</w:t>
      </w:r>
    </w:p>
    <w:p w:rsidR="007242B4" w:rsidRPr="00036DBD" w:rsidRDefault="007242B4" w:rsidP="007242B4">
      <w:pPr>
        <w:ind w:firstLine="567"/>
      </w:pPr>
      <w:r w:rsidRPr="00036DBD">
        <w:t xml:space="preserve">Lai mazinātu jauniešu bezdarbu, 2012.gadā tika turpināti uz jauniešiem mērķēti pasākumi – atbalsts darba vietu izveidei pie darba devēja, kas tiek līdzfinansēts no ESF, un brīvprātīgajam darbam nevalstiskajās organizācijās. Kopumā šajos pasākumos 2012.gadā tika iesaistīti 2,4 tūkstoši jauniešu. Jaunieši varēja iesaistīties arī citos aktīvās darba tirgus politikas pasākumos un pagājušajā gadā kopumā atbalstu saņēma aptuveni 11 tūkstoši jauniešu. </w:t>
      </w:r>
    </w:p>
    <w:p w:rsidR="007242B4" w:rsidRDefault="007242B4" w:rsidP="007242B4">
      <w:pPr>
        <w:ind w:firstLine="567"/>
      </w:pPr>
      <w:r w:rsidRPr="00036DBD">
        <w:t xml:space="preserve">2013.gadā plānots ieviest ESF līdzfinansētu pasākumu </w:t>
      </w:r>
      <w:r w:rsidRPr="007242B4">
        <w:rPr>
          <w:i/>
        </w:rPr>
        <w:t>„Darbnīcas jauniešiem”</w:t>
      </w:r>
      <w:r w:rsidRPr="00036DBD">
        <w:t>, lai jauniešiem vecumā no 15 līdz 24 gadiem, kuriem nav iepriekšējās profesionālās ievirzes izglītības iestādēs, palīdzētu izdarīt apzinātāku izvēli par savu nākamo profesiju un veicinātu darbā iekārtošanos. Pasākuma ietvaros jaunietim tiks dota iespēja izmēģināt trīs profesionālās jomas izglītības iestādē, katrā no jomām darboties trīs nedēļas, lai iepazītos ar to specifiku</w:t>
      </w:r>
      <w:r w:rsidR="00D45640">
        <w:t xml:space="preserve"> </w:t>
      </w:r>
      <w:r w:rsidRPr="00036DBD">
        <w:t>(plānotais iesaistāmo skaits – 500 jaunieši).</w:t>
      </w:r>
      <w:r>
        <w:t xml:space="preserve"> </w:t>
      </w:r>
    </w:p>
    <w:p w:rsidR="007242B4" w:rsidRDefault="007242B4" w:rsidP="007242B4">
      <w:pPr>
        <w:ind w:firstLine="567"/>
      </w:pPr>
      <w:r>
        <w:t xml:space="preserve">Sākot ar 2013.gadu, ir paredzēts īstenot mērķētāku pieeju dažādu bezdarbnieku </w:t>
      </w:r>
      <w:proofErr w:type="spellStart"/>
      <w:r>
        <w:t>mērķgrupu</w:t>
      </w:r>
      <w:proofErr w:type="spellEnd"/>
      <w:r>
        <w:t xml:space="preserve"> atgriešanai darba tirgū – </w:t>
      </w:r>
      <w:r w:rsidR="00411E4C">
        <w:t>pilnveidojot</w:t>
      </w:r>
      <w:r w:rsidR="00411E4C" w:rsidDel="00411E4C">
        <w:t xml:space="preserve"> </w:t>
      </w:r>
      <w:r>
        <w:t xml:space="preserve">profilēšanas sistēmu, lai efektīvi un ātri aizpildītu vakances un piedāvātu konkrētai personai piemērotākos darba tirgus politikas pasākumus. </w:t>
      </w:r>
    </w:p>
    <w:p w:rsidR="007242B4" w:rsidRDefault="007242B4" w:rsidP="007242B4">
      <w:pPr>
        <w:autoSpaceDE w:val="0"/>
        <w:autoSpaceDN w:val="0"/>
        <w:adjustRightInd w:val="0"/>
        <w:ind w:firstLine="567"/>
        <w:rPr>
          <w:sz w:val="28"/>
          <w:szCs w:val="28"/>
        </w:rPr>
      </w:pPr>
    </w:p>
    <w:p w:rsidR="007242B4" w:rsidRDefault="007242B4" w:rsidP="007242B4">
      <w:pPr>
        <w:ind w:firstLine="567"/>
      </w:pPr>
      <w:r>
        <w:t xml:space="preserve">Ar EK atbalstu 2012.gadā sākts un 2013.gadā turpinās Pasaules Bankas pētījums par ilgstošā bezdarba iemesliem un risinājumiem, kura secinājumi un priekšlikumi tiks izmantoti aktīvo darba tirgus politikas pasākumu pilnveidošanai un ciešākai sasaistei ar sociālās </w:t>
      </w:r>
      <w:r>
        <w:lastRenderedPageBreak/>
        <w:t xml:space="preserve">drošības sistēmu, izstrādājot </w:t>
      </w:r>
      <w:r>
        <w:rPr>
          <w:i/>
        </w:rPr>
        <w:t>Pamatnostādnes nodarbinātības un iekļaujošas izaugsmes veicināšanai 2014.-2020.gadam</w:t>
      </w:r>
      <w:r w:rsidR="002F5E1C">
        <w:t>,</w:t>
      </w:r>
      <w:r w:rsidR="00FE09AD">
        <w:t xml:space="preserve"> kurās viena no sadaļām būs vērsta uz jauniešu nodarbinātības veicināšanu un nepieciešamā atbalsta plānošanu viņu bezdarba līmeņa samazināšanai</w:t>
      </w:r>
      <w:r w:rsidR="002F5E1C">
        <w:t>.</w:t>
      </w:r>
    </w:p>
    <w:p w:rsidR="0089241C" w:rsidRDefault="0089241C" w:rsidP="00CD129D">
      <w:pPr>
        <w:spacing w:before="120"/>
        <w:ind w:firstLine="567"/>
      </w:pPr>
      <w:r>
        <w:t>Vienlaikus, jauniešu bezdarba samazināšanos veicina</w:t>
      </w:r>
      <w:r w:rsidR="00D45640">
        <w:t xml:space="preserve"> </w:t>
      </w:r>
      <w:r>
        <w:t>arī jauniešu atgriešanās izglītības procesā, īpaši profesionālajās izglītības programmās.</w:t>
      </w:r>
    </w:p>
    <w:p w:rsidR="007242B4" w:rsidRDefault="005B03AE" w:rsidP="007242B4">
      <w:pPr>
        <w:ind w:firstLine="567"/>
      </w:pPr>
      <w:r>
        <w:t xml:space="preserve">Kopš 2010.gada ar ESF atbalstu tiek īstenotas viengadīgās un </w:t>
      </w:r>
      <w:proofErr w:type="spellStart"/>
      <w:r>
        <w:t>pusotrgadīgās</w:t>
      </w:r>
      <w:proofErr w:type="spellEnd"/>
      <w:r>
        <w:t xml:space="preserve"> profesionālās izglītības programmas, lai nodrošinātu iespēju jauniešiem, </w:t>
      </w:r>
      <w:r w:rsidRPr="00A11C28">
        <w:t>kuri pēc pamatizglītības vai vidējās izglītības iegūšanas</w:t>
      </w:r>
      <w:r>
        <w:t xml:space="preserve"> neturpina mācības un nespēj iekļauties darba tirgū, tādējādi sekmējot viņu ātrāku iekļaušanos darba tirgū, </w:t>
      </w:r>
      <w:r w:rsidRPr="00C015A4">
        <w:t>mazinot jauniešu bezdarba risku</w:t>
      </w:r>
      <w:r w:rsidR="007242B4">
        <w:t>.</w:t>
      </w:r>
    </w:p>
    <w:p w:rsidR="007242B4" w:rsidRDefault="007242B4" w:rsidP="007242B4">
      <w:pPr>
        <w:ind w:firstLine="567"/>
      </w:pPr>
      <w:r>
        <w:t>2012.gadā nodrošināta sociālā atbalsta pasākumu īstenošana profesionālās izglītības iestāžu audzēkņiem. No kopējā profesionālā izglītības sistēmā esošo audzēkņu skaita</w:t>
      </w:r>
      <w:r w:rsidR="005D51C5">
        <w:t xml:space="preserve"> (42 058)</w:t>
      </w:r>
      <w:r w:rsidR="005D51C5">
        <w:rPr>
          <w:color w:val="00B050"/>
        </w:rPr>
        <w:t xml:space="preserve"> </w:t>
      </w:r>
      <w:r>
        <w:t xml:space="preserve"> līdz 80% </w:t>
      </w:r>
      <w:r w:rsidR="005D51C5">
        <w:t xml:space="preserve">(33 521) vismaz 1 mēnesi </w:t>
      </w:r>
      <w:r>
        <w:t xml:space="preserve">ir saņēmuši ESF stipendiju projekta </w:t>
      </w:r>
      <w:r w:rsidRPr="007242B4">
        <w:rPr>
          <w:i/>
        </w:rPr>
        <w:t>„Sākotnējās profesionālās izglītības pievilcības veicināšana”</w:t>
      </w:r>
      <w:r>
        <w:t xml:space="preserve"> ietvaros.</w:t>
      </w:r>
    </w:p>
    <w:p w:rsidR="007242B4" w:rsidRDefault="007242B4" w:rsidP="00CD129D">
      <w:pPr>
        <w:autoSpaceDE w:val="0"/>
        <w:autoSpaceDN w:val="0"/>
        <w:adjustRightInd w:val="0"/>
        <w:spacing w:before="120"/>
        <w:ind w:firstLine="567"/>
        <w:rPr>
          <w:color w:val="000000"/>
          <w:lang w:eastAsia="lv-LV"/>
        </w:rPr>
      </w:pPr>
      <w:r>
        <w:rPr>
          <w:color w:val="000000"/>
          <w:lang w:eastAsia="lv-LV"/>
        </w:rPr>
        <w:t xml:space="preserve">Ņemot vērā ekonomikas attīstības tendences, kā arī augstākminēto pasākumu rezultātā jauniešu un ilgstošo bezdarbnieku īpatsvars kopējā reģistrēto kopskaitā 2013.gadā varētu samazināties </w:t>
      </w:r>
      <w:r w:rsidR="004961C3">
        <w:rPr>
          <w:color w:val="000000"/>
          <w:lang w:eastAsia="lv-LV"/>
        </w:rPr>
        <w:t xml:space="preserve">attiecīgi </w:t>
      </w:r>
      <w:r>
        <w:rPr>
          <w:color w:val="000000"/>
          <w:lang w:eastAsia="lv-LV"/>
        </w:rPr>
        <w:t>par 12% un 30%</w:t>
      </w:r>
      <w:r>
        <w:rPr>
          <w:rStyle w:val="FootnoteReference"/>
          <w:color w:val="000000"/>
          <w:lang w:eastAsia="lv-LV"/>
        </w:rPr>
        <w:footnoteReference w:id="10"/>
      </w:r>
      <w:r>
        <w:rPr>
          <w:color w:val="000000"/>
          <w:lang w:eastAsia="lv-LV"/>
        </w:rPr>
        <w:t xml:space="preserve">. </w:t>
      </w:r>
    </w:p>
    <w:p w:rsidR="00A52DB7" w:rsidRPr="00657DA6" w:rsidRDefault="007242B4" w:rsidP="007242B4">
      <w:pPr>
        <w:autoSpaceDE w:val="0"/>
        <w:autoSpaceDN w:val="0"/>
        <w:adjustRightInd w:val="0"/>
        <w:spacing w:before="120"/>
        <w:ind w:firstLine="567"/>
        <w:rPr>
          <w:color w:val="000000"/>
          <w:lang w:eastAsia="lv-LV"/>
        </w:rPr>
      </w:pPr>
      <w:r>
        <w:t xml:space="preserve">Iepriekšminētie pasākumi, kas nodrošina ES Padomes rekomendācijas ieviešanu, pozitīvi ietekmē </w:t>
      </w:r>
      <w:r w:rsidRPr="00FF5C3A">
        <w:rPr>
          <w:i/>
        </w:rPr>
        <w:t>„Eiropa 2020”</w:t>
      </w:r>
      <w:r>
        <w:t xml:space="preserve"> stratēģijas nodarbinātības mērķu sasniegšanu un netiešā </w:t>
      </w:r>
      <w:r w:rsidR="00A44D80">
        <w:br/>
      </w:r>
      <w:r>
        <w:t xml:space="preserve">veidā – arī nabadzības mazināšanas mērķu sasniegšanu. Tie veicina arī </w:t>
      </w:r>
      <w:r>
        <w:rPr>
          <w:rFonts w:eastAsia="Times New Roman"/>
          <w:i/>
          <w:color w:val="000000" w:themeColor="text1"/>
          <w:szCs w:val="18"/>
          <w:lang w:eastAsia="lv-LV"/>
        </w:rPr>
        <w:t>Eiro Plus paktā</w:t>
      </w:r>
      <w:r>
        <w:rPr>
          <w:rFonts w:eastAsia="Times New Roman"/>
          <w:color w:val="000000" w:themeColor="text1"/>
          <w:szCs w:val="18"/>
          <w:lang w:eastAsia="lv-LV"/>
        </w:rPr>
        <w:t xml:space="preserve"> esoš</w:t>
      </w:r>
      <w:r w:rsidR="006866CD">
        <w:rPr>
          <w:rFonts w:eastAsia="Times New Roman"/>
          <w:color w:val="000000" w:themeColor="text1"/>
          <w:szCs w:val="18"/>
          <w:lang w:eastAsia="lv-LV"/>
        </w:rPr>
        <w:t>o</w:t>
      </w:r>
      <w:r>
        <w:rPr>
          <w:rFonts w:eastAsia="Times New Roman"/>
          <w:color w:val="000000" w:themeColor="text1"/>
          <w:szCs w:val="18"/>
          <w:lang w:eastAsia="lv-LV"/>
        </w:rPr>
        <w:t xml:space="preserve"> saistību izpildi (Latvijas </w:t>
      </w:r>
      <w:r>
        <w:rPr>
          <w:rFonts w:eastAsia="Times New Roman"/>
          <w:i/>
          <w:color w:val="000000" w:themeColor="text1"/>
          <w:szCs w:val="18"/>
          <w:lang w:eastAsia="lv-LV"/>
        </w:rPr>
        <w:t>Eiro Plus pakta</w:t>
      </w:r>
      <w:r w:rsidR="006866CD">
        <w:rPr>
          <w:rFonts w:eastAsia="Times New Roman"/>
          <w:color w:val="000000" w:themeColor="text1"/>
          <w:szCs w:val="18"/>
          <w:lang w:eastAsia="lv-LV"/>
        </w:rPr>
        <w:t xml:space="preserve"> 2.3.</w:t>
      </w:r>
      <w:r>
        <w:rPr>
          <w:rFonts w:eastAsia="Times New Roman"/>
          <w:color w:val="000000" w:themeColor="text1"/>
          <w:szCs w:val="18"/>
          <w:lang w:eastAsia="lv-LV"/>
        </w:rPr>
        <w:t>pasākums)</w:t>
      </w:r>
      <w:r w:rsidR="006866CD">
        <w:rPr>
          <w:rFonts w:eastAsia="Times New Roman"/>
          <w:color w:val="000000" w:themeColor="text1"/>
          <w:szCs w:val="18"/>
          <w:lang w:eastAsia="lv-LV"/>
        </w:rPr>
        <w:t>,</w:t>
      </w:r>
      <w:r>
        <w:rPr>
          <w:rFonts w:eastAsia="Times New Roman"/>
          <w:color w:val="000000" w:themeColor="text1"/>
          <w:szCs w:val="18"/>
          <w:lang w:eastAsia="lv-LV"/>
        </w:rPr>
        <w:t xml:space="preserve"> </w:t>
      </w:r>
      <w:r w:rsidRPr="00353580">
        <w:rPr>
          <w:rFonts w:eastAsia="Times New Roman"/>
          <w:i/>
          <w:color w:val="000000" w:themeColor="text1"/>
          <w:szCs w:val="18"/>
          <w:lang w:eastAsia="lv-LV"/>
        </w:rPr>
        <w:t>2013.gada izaugsmes ziņojuma</w:t>
      </w:r>
      <w:r>
        <w:rPr>
          <w:rFonts w:eastAsia="Times New Roman"/>
          <w:color w:val="000000" w:themeColor="text1"/>
          <w:szCs w:val="18"/>
          <w:lang w:eastAsia="lv-LV"/>
        </w:rPr>
        <w:t xml:space="preserve"> prioritātes attiecībā uz bezdarba un sociālo problēmu risināšanu izpildi</w:t>
      </w:r>
      <w:r w:rsidR="006866CD">
        <w:rPr>
          <w:rFonts w:eastAsia="Times New Roman"/>
          <w:color w:val="000000" w:themeColor="text1"/>
          <w:szCs w:val="18"/>
          <w:lang w:eastAsia="lv-LV"/>
        </w:rPr>
        <w:t xml:space="preserve">, kā arī </w:t>
      </w:r>
      <w:r w:rsidR="006866CD" w:rsidRPr="00FF5C3A">
        <w:rPr>
          <w:rFonts w:eastAsia="Times New Roman"/>
          <w:i/>
          <w:color w:val="000000" w:themeColor="text1"/>
          <w:szCs w:val="18"/>
          <w:lang w:eastAsia="lv-LV"/>
        </w:rPr>
        <w:t>„Eiropa 2020”</w:t>
      </w:r>
      <w:r w:rsidR="006866CD">
        <w:rPr>
          <w:rFonts w:eastAsia="Times New Roman"/>
          <w:color w:val="000000" w:themeColor="text1"/>
          <w:szCs w:val="18"/>
          <w:lang w:eastAsia="lv-LV"/>
        </w:rPr>
        <w:t xml:space="preserve"> stratēģijas vadošo iniciatīvu </w:t>
      </w:r>
      <w:r w:rsidR="006866CD" w:rsidRPr="006866CD">
        <w:rPr>
          <w:rFonts w:eastAsia="Times New Roman"/>
          <w:i/>
          <w:color w:val="000000" w:themeColor="text1"/>
          <w:szCs w:val="18"/>
          <w:lang w:eastAsia="lv-LV"/>
        </w:rPr>
        <w:t>„Jaunu prasmju un darbavietu programma”</w:t>
      </w:r>
      <w:r w:rsidR="006866CD">
        <w:rPr>
          <w:rFonts w:eastAsia="Times New Roman"/>
          <w:color w:val="000000" w:themeColor="text1"/>
          <w:szCs w:val="18"/>
          <w:lang w:eastAsia="lv-LV"/>
        </w:rPr>
        <w:t xml:space="preserve">, </w:t>
      </w:r>
      <w:r w:rsidR="006866CD" w:rsidRPr="006866CD">
        <w:rPr>
          <w:rFonts w:eastAsia="Times New Roman"/>
          <w:i/>
          <w:color w:val="000000" w:themeColor="text1"/>
          <w:szCs w:val="18"/>
          <w:lang w:eastAsia="lv-LV"/>
        </w:rPr>
        <w:t>„Eiropas platforma cīņai pret nabadzību”</w:t>
      </w:r>
      <w:r w:rsidR="006866CD">
        <w:rPr>
          <w:rFonts w:eastAsia="Times New Roman"/>
          <w:color w:val="000000" w:themeColor="text1"/>
          <w:szCs w:val="18"/>
          <w:lang w:eastAsia="lv-LV"/>
        </w:rPr>
        <w:t xml:space="preserve"> īstenošanu</w:t>
      </w:r>
      <w:r>
        <w:rPr>
          <w:rFonts w:eastAsia="Times New Roman"/>
          <w:color w:val="000000" w:themeColor="text1"/>
          <w:szCs w:val="18"/>
          <w:lang w:eastAsia="lv-LV"/>
        </w:rPr>
        <w:t>.</w:t>
      </w:r>
    </w:p>
    <w:p w:rsidR="00755A34" w:rsidRPr="00B703A3" w:rsidRDefault="00CE41EF" w:rsidP="00AD5C09">
      <w:pPr>
        <w:pStyle w:val="Heading2"/>
        <w:spacing w:before="360" w:after="120"/>
        <w:jc w:val="center"/>
        <w:rPr>
          <w:rFonts w:ascii="Times New Roman Bold" w:hAnsi="Times New Roman Bold"/>
          <w:smallCaps/>
          <w:sz w:val="24"/>
          <w:szCs w:val="24"/>
        </w:rPr>
      </w:pPr>
      <w:bookmarkStart w:id="12" w:name="_Toc354384925"/>
      <w:r w:rsidRPr="00B703A3">
        <w:rPr>
          <w:rFonts w:ascii="Times New Roman Bold" w:hAnsi="Times New Roman Bold"/>
          <w:smallCaps/>
          <w:sz w:val="24"/>
          <w:szCs w:val="24"/>
        </w:rPr>
        <w:t>2</w:t>
      </w:r>
      <w:r w:rsidR="00755A34" w:rsidRPr="00B703A3">
        <w:rPr>
          <w:rFonts w:ascii="Times New Roman Bold" w:hAnsi="Times New Roman Bold"/>
          <w:smallCaps/>
          <w:sz w:val="24"/>
          <w:szCs w:val="24"/>
        </w:rPr>
        <w:t>.</w:t>
      </w:r>
      <w:r w:rsidR="00F60D02" w:rsidRPr="00B703A3">
        <w:rPr>
          <w:rFonts w:ascii="Times New Roman Bold" w:hAnsi="Times New Roman Bold"/>
          <w:smallCaps/>
          <w:sz w:val="24"/>
          <w:szCs w:val="24"/>
        </w:rPr>
        <w:t>4</w:t>
      </w:r>
      <w:r w:rsidR="00755A34" w:rsidRPr="00B703A3">
        <w:rPr>
          <w:rFonts w:ascii="Times New Roman Bold" w:hAnsi="Times New Roman Bold"/>
          <w:smallCaps/>
          <w:sz w:val="24"/>
          <w:szCs w:val="24"/>
        </w:rPr>
        <w:t xml:space="preserve">. </w:t>
      </w:r>
      <w:r w:rsidR="00263F5F" w:rsidRPr="00B703A3">
        <w:rPr>
          <w:rFonts w:ascii="Times New Roman Bold" w:hAnsi="Times New Roman Bold"/>
          <w:smallCaps/>
          <w:sz w:val="24"/>
          <w:szCs w:val="24"/>
        </w:rPr>
        <w:t>Augstā nabadzības un sociālās atstumtības līmeņa mazināšana</w:t>
      </w:r>
      <w:bookmarkEnd w:id="12"/>
    </w:p>
    <w:p w:rsidR="00FA5C6D" w:rsidRDefault="00FA5C6D" w:rsidP="00FA5C6D">
      <w:pPr>
        <w:ind w:firstLine="567"/>
        <w:rPr>
          <w:b/>
          <w:color w:val="000000"/>
          <w:shd w:val="clear" w:color="auto" w:fill="FFFFFF"/>
        </w:rPr>
      </w:pPr>
      <w:r w:rsidRPr="00093316">
        <w:rPr>
          <w:b/>
        </w:rPr>
        <w:t xml:space="preserve">ES Padome rekomendē Latvijai </w:t>
      </w:r>
      <w:r w:rsidRPr="00093316">
        <w:rPr>
          <w:b/>
          <w:color w:val="000000"/>
          <w:shd w:val="clear" w:color="auto" w:fill="FFFFFF"/>
        </w:rPr>
        <w:t xml:space="preserve">risināt augsto nabadzības un sociālās atstumtības līmeni, reformējot sociālās </w:t>
      </w:r>
      <w:r w:rsidR="00CB7784">
        <w:rPr>
          <w:b/>
          <w:color w:val="000000"/>
          <w:shd w:val="clear" w:color="auto" w:fill="FFFFFF"/>
        </w:rPr>
        <w:t>drošības</w:t>
      </w:r>
      <w:r w:rsidR="00CB7784" w:rsidRPr="00093316">
        <w:rPr>
          <w:b/>
          <w:color w:val="000000"/>
          <w:shd w:val="clear" w:color="auto" w:fill="FFFFFF"/>
        </w:rPr>
        <w:t xml:space="preserve"> </w:t>
      </w:r>
      <w:r w:rsidRPr="00093316">
        <w:rPr>
          <w:b/>
          <w:color w:val="000000"/>
          <w:shd w:val="clear" w:color="auto" w:fill="FFFFFF"/>
        </w:rPr>
        <w:t xml:space="preserve">sistēmu, lai tā kļūtu efektīvāka un vienlaikus labāk aizsargātu </w:t>
      </w:r>
      <w:r w:rsidR="00CB7784">
        <w:rPr>
          <w:b/>
          <w:color w:val="000000"/>
          <w:shd w:val="clear" w:color="auto" w:fill="FFFFFF"/>
        </w:rPr>
        <w:t>nabadzīgos</w:t>
      </w:r>
      <w:r w:rsidR="00CB7784" w:rsidRPr="00093316">
        <w:rPr>
          <w:b/>
          <w:color w:val="000000"/>
          <w:shd w:val="clear" w:color="auto" w:fill="FFFFFF"/>
        </w:rPr>
        <w:t xml:space="preserve"> </w:t>
      </w:r>
      <w:r w:rsidRPr="00093316">
        <w:rPr>
          <w:b/>
          <w:color w:val="000000"/>
          <w:shd w:val="clear" w:color="auto" w:fill="FFFFFF"/>
        </w:rPr>
        <w:t>iedzīvotājus. Mērķtiecīgāk organizēt un palielināt motivāciju strādāt.</w:t>
      </w:r>
    </w:p>
    <w:p w:rsidR="00FA5C6D" w:rsidRDefault="00FA5C6D" w:rsidP="00476EA3">
      <w:pPr>
        <w:spacing w:before="120"/>
        <w:ind w:firstLine="567"/>
      </w:pPr>
      <w:r w:rsidRPr="0039062B">
        <w:t>2012.gad</w:t>
      </w:r>
      <w:r>
        <w:t xml:space="preserve">ā </w:t>
      </w:r>
      <w:r w:rsidRPr="0039062B">
        <w:t xml:space="preserve">noslēdzās </w:t>
      </w:r>
      <w:r w:rsidRPr="0039062B">
        <w:rPr>
          <w:i/>
        </w:rPr>
        <w:t>Sociālās drošības tīkla stratēģijas</w:t>
      </w:r>
      <w:r w:rsidRPr="0039062B">
        <w:t xml:space="preserve"> pasākumu īstenošana, kuru mērķis bija sniegt atbalstu visneaizsargātākajām iedzīvotāju grupām ekonomiskās krīzes situācijā.</w:t>
      </w:r>
      <w:r>
        <w:t xml:space="preserve"> S</w:t>
      </w:r>
      <w:r w:rsidRPr="0039062B">
        <w:t>ociāl</w:t>
      </w:r>
      <w:r>
        <w:t>ekonomisk</w:t>
      </w:r>
      <w:r w:rsidRPr="0039062B">
        <w:t>ā situācija pakāpenisk</w:t>
      </w:r>
      <w:r>
        <w:t>i</w:t>
      </w:r>
      <w:r w:rsidRPr="0039062B">
        <w:t xml:space="preserve"> uzlabo</w:t>
      </w:r>
      <w:r>
        <w:t>jas. Sociāli apdrošināto personu skaits</w:t>
      </w:r>
      <w:r w:rsidRPr="0039062B">
        <w:t xml:space="preserve"> pieau</w:t>
      </w:r>
      <w:r>
        <w:t>dzis no</w:t>
      </w:r>
      <w:r w:rsidRPr="0039062B">
        <w:t xml:space="preserve"> 902,6 </w:t>
      </w:r>
      <w:proofErr w:type="spellStart"/>
      <w:r w:rsidRPr="0039062B">
        <w:t>tūkst</w:t>
      </w:r>
      <w:proofErr w:type="spellEnd"/>
      <w:r w:rsidRPr="0039062B">
        <w:t xml:space="preserve">. 2010.gadā līdz </w:t>
      </w:r>
      <w:r w:rsidRPr="00406D7B">
        <w:t xml:space="preserve">945,6 </w:t>
      </w:r>
      <w:proofErr w:type="spellStart"/>
      <w:r w:rsidRPr="00406D7B">
        <w:t>tūkst</w:t>
      </w:r>
      <w:proofErr w:type="spellEnd"/>
      <w:r w:rsidRPr="00406D7B">
        <w:t>. 2012.gadā</w:t>
      </w:r>
      <w:r w:rsidRPr="0039062B">
        <w:t>,</w:t>
      </w:r>
      <w:r>
        <w:t xml:space="preserve"> v</w:t>
      </w:r>
      <w:r>
        <w:rPr>
          <w:rFonts w:eastAsiaTheme="minorHAnsi"/>
        </w:rPr>
        <w:t>idējā apdrošināšanas iemaksu alga bezdarbnieka pabalsta apmēra noteikšanai</w:t>
      </w:r>
      <w:r w:rsidRPr="0039062B">
        <w:t xml:space="preserve"> palielinā</w:t>
      </w:r>
      <w:r>
        <w:t xml:space="preserve">jusies </w:t>
      </w:r>
      <w:r w:rsidRPr="0039062B">
        <w:t xml:space="preserve">no 403,37 </w:t>
      </w:r>
      <w:r w:rsidR="001071D5">
        <w:t>latiem</w:t>
      </w:r>
      <w:r w:rsidRPr="0039062B">
        <w:t xml:space="preserve"> mēnesī 2010.gadā līdz </w:t>
      </w:r>
      <w:r>
        <w:t xml:space="preserve">421,43 </w:t>
      </w:r>
      <w:r w:rsidR="001071D5">
        <w:t>latiem</w:t>
      </w:r>
      <w:r w:rsidRPr="0039062B">
        <w:t xml:space="preserve"> mēnesī 2012.gad</w:t>
      </w:r>
      <w:r>
        <w:t>ā.</w:t>
      </w:r>
      <w:r w:rsidRPr="0039062B">
        <w:t xml:space="preserve"> </w:t>
      </w:r>
      <w:r w:rsidR="00CB7784">
        <w:t>Pabalsta g</w:t>
      </w:r>
      <w:r>
        <w:t xml:space="preserve">arantētā minimālā ienākuma </w:t>
      </w:r>
      <w:r w:rsidR="00CB7784">
        <w:t>līmeņa nodrošināšanai (turpmāk tekstā – GMI pabalsts)</w:t>
      </w:r>
      <w:r w:rsidR="00CB7784" w:rsidDel="00CB7784">
        <w:t xml:space="preserve"> </w:t>
      </w:r>
      <w:r w:rsidRPr="0039062B">
        <w:t>saņēmēju skait</w:t>
      </w:r>
      <w:r>
        <w:t>s</w:t>
      </w:r>
      <w:r w:rsidRPr="0039062B">
        <w:t xml:space="preserve"> </w:t>
      </w:r>
      <w:r>
        <w:t>2012.gada beigās bija 41 </w:t>
      </w:r>
      <w:proofErr w:type="spellStart"/>
      <w:r w:rsidRPr="0039062B">
        <w:t>tūkst</w:t>
      </w:r>
      <w:proofErr w:type="spellEnd"/>
      <w:r w:rsidRPr="0039062B">
        <w:t>.</w:t>
      </w:r>
      <w:r>
        <w:t xml:space="preserve">, kas ir par 1/3 mazāk nekā gada sākumā, </w:t>
      </w:r>
      <w:r w:rsidRPr="00E35822">
        <w:t>trūcīgo iedzīvotāju skaits</w:t>
      </w:r>
      <w:r w:rsidRPr="00E35822">
        <w:rPr>
          <w:rStyle w:val="FootnoteReference"/>
        </w:rPr>
        <w:footnoteReference w:id="11"/>
      </w:r>
      <w:r w:rsidRPr="00E35822">
        <w:t xml:space="preserve"> ir sarucis no 160 </w:t>
      </w:r>
      <w:proofErr w:type="spellStart"/>
      <w:r w:rsidRPr="00E35822">
        <w:t>tūkst</w:t>
      </w:r>
      <w:proofErr w:type="spellEnd"/>
      <w:r w:rsidRPr="00E35822">
        <w:t>. 2012.gada jan</w:t>
      </w:r>
      <w:r>
        <w:t xml:space="preserve">vārī līdz </w:t>
      </w:r>
      <w:r w:rsidR="00CB7784">
        <w:t>109,6</w:t>
      </w:r>
      <w:r>
        <w:t xml:space="preserve"> </w:t>
      </w:r>
      <w:proofErr w:type="spellStart"/>
      <w:r>
        <w:t>tūkst</w:t>
      </w:r>
      <w:proofErr w:type="spellEnd"/>
      <w:r>
        <w:t>. decembrī).</w:t>
      </w:r>
    </w:p>
    <w:p w:rsidR="00FA5C6D" w:rsidRPr="002B3331" w:rsidRDefault="00FA5C6D" w:rsidP="00FA5C6D">
      <w:pPr>
        <w:pStyle w:val="ListParagraph"/>
        <w:ind w:left="0" w:firstLine="426"/>
        <w:rPr>
          <w:sz w:val="8"/>
          <w:szCs w:val="8"/>
        </w:rPr>
      </w:pPr>
    </w:p>
    <w:p w:rsidR="00FA5C6D" w:rsidRDefault="00FA5C6D" w:rsidP="00076AE0">
      <w:pPr>
        <w:pStyle w:val="ListParagraph"/>
        <w:ind w:left="0" w:firstLine="567"/>
      </w:pPr>
      <w:r>
        <w:t xml:space="preserve">Kopš 2013.gada ir pārtraukts </w:t>
      </w:r>
      <w:r w:rsidR="00CB7784">
        <w:t xml:space="preserve">(par periodu </w:t>
      </w:r>
      <w:r>
        <w:t>no 2009.gada 1.oktobra līdz 2012.gada 31.decembrim</w:t>
      </w:r>
      <w:r w:rsidR="00CB7784">
        <w:t>)</w:t>
      </w:r>
      <w:r>
        <w:t xml:space="preserve"> piešķirtais valsts līdzfinansējums pašvaldībām GMI un dzīvokļa pabalsta izmaksai un atjaunota</w:t>
      </w:r>
      <w:r w:rsidR="00CB7784">
        <w:t>,</w:t>
      </w:r>
      <w:r>
        <w:t xml:space="preserve"> kopš 2003.gada esošā, pirmskrīzes perioda sociālās palīdzības sistēmas finansēšanas kārtība – sociālās palīdzības pabalstu finansēšanu trūcīgiem </w:t>
      </w:r>
      <w:r w:rsidR="00CB7784">
        <w:t xml:space="preserve">un maznodrošinātiem </w:t>
      </w:r>
      <w:r>
        <w:t xml:space="preserve">iedzīvotājiem pilnā apmērā nodrošina vietējās pašvaldības. </w:t>
      </w:r>
      <w:r>
        <w:rPr>
          <w:color w:val="000000"/>
          <w:lang w:eastAsia="lv-LV"/>
        </w:rPr>
        <w:t xml:space="preserve">Sociālās </w:t>
      </w:r>
      <w:r>
        <w:rPr>
          <w:color w:val="000000"/>
          <w:lang w:eastAsia="lv-LV"/>
        </w:rPr>
        <w:lastRenderedPageBreak/>
        <w:t>palīdzības</w:t>
      </w:r>
      <w:r>
        <w:rPr>
          <w:bCs/>
        </w:rPr>
        <w:t xml:space="preserve"> sistēmas darbības pamatprincipos līdz ar valsts finansējuma pašvaldībās terminētu ieviešanu (no 2009.gada oktobra līdz 2012.gada 31.janvārim) nekas netika mainīts – galvenais pabalsta administrators joprojām bija pašvaldības (pirms pabalst</w:t>
      </w:r>
      <w:r w:rsidR="00076AE0">
        <w:rPr>
          <w:bCs/>
        </w:rPr>
        <w:t>a</w:t>
      </w:r>
      <w:r>
        <w:rPr>
          <w:bCs/>
        </w:rPr>
        <w:t xml:space="preserve"> piešķiršanas pašvaldības </w:t>
      </w:r>
      <w:r w:rsidR="00CB7784">
        <w:rPr>
          <w:bCs/>
        </w:rPr>
        <w:t xml:space="preserve">sociālais dienests </w:t>
      </w:r>
      <w:r>
        <w:rPr>
          <w:bCs/>
        </w:rPr>
        <w:t xml:space="preserve">veic personas/mājsaimniecības </w:t>
      </w:r>
      <w:r w:rsidR="00CB7784">
        <w:rPr>
          <w:bCs/>
        </w:rPr>
        <w:t>materiālo resursu un sociālās situācijas iz</w:t>
      </w:r>
      <w:r>
        <w:rPr>
          <w:bCs/>
        </w:rPr>
        <w:t>vērtēšanu)</w:t>
      </w:r>
      <w:r>
        <w:t xml:space="preserve">, kā arī pamatā primārais sistēmas finansētājs palika pašvaldība (pēc </w:t>
      </w:r>
      <w:r w:rsidR="00CB7784">
        <w:t xml:space="preserve">pašvaldību pieprasījuma </w:t>
      </w:r>
      <w:r>
        <w:t xml:space="preserve">valsts budžeta </w:t>
      </w:r>
      <w:r w:rsidR="00CB7784">
        <w:t>tika līdzfinansēti attiecīgi 50% un 20% no pašvaldību ielietotajiem līdzekļiem GMI un dzīvokļa pabalstam</w:t>
      </w:r>
      <w:r>
        <w:t>). Līdz ar to var apgalvot, ka Latvijā īstenotajā sociālās palīdzības sistēmā līdz ar valsts terminēta līdzfinansējuma ieviešanu</w:t>
      </w:r>
      <w:r w:rsidR="00CB7784">
        <w:t>,</w:t>
      </w:r>
      <w:r>
        <w:t xml:space="preserve"> netika ieviests neviens centralizācijas elements. Sociālās palīdzības administrēšanas un finansēšanas sistēma ir decentralizēta kopš tās pirmsākumiem, nemainot šo uzstādījumu arī ekonomiskās un sociālās krīzes ietekmē. Vienlīdzīgi nosacījumi GMI pabalsta izmaksai tiek nodrošināti, nacionālā līmenī definējot pamatprincipus sociālās palīdzības piešķiršanai</w:t>
      </w:r>
      <w:r w:rsidR="00CB7784">
        <w:t xml:space="preserve"> un zemāko atbalsta slieksni</w:t>
      </w:r>
      <w:r>
        <w:t>.</w:t>
      </w:r>
    </w:p>
    <w:p w:rsidR="00FA5C6D" w:rsidRPr="0039062B" w:rsidRDefault="00FA5C6D" w:rsidP="00FA5C6D">
      <w:pPr>
        <w:pStyle w:val="ListParagraph"/>
        <w:ind w:left="0" w:firstLine="567"/>
      </w:pPr>
      <w:r w:rsidRPr="0039062B">
        <w:t xml:space="preserve">2013.gadā GMI līmenis ir samazināts no 40 </w:t>
      </w:r>
      <w:r w:rsidR="00C03A4E">
        <w:t xml:space="preserve">latiem </w:t>
      </w:r>
      <w:r w:rsidRPr="0039062B">
        <w:t>mēnesī pilngadīgai personai</w:t>
      </w:r>
      <w:r>
        <w:t xml:space="preserve"> (</w:t>
      </w:r>
      <w:r w:rsidRPr="0039062B">
        <w:t xml:space="preserve">45 </w:t>
      </w:r>
      <w:r w:rsidR="00C03A4E">
        <w:t>lati</w:t>
      </w:r>
      <w:r w:rsidRPr="0039062B">
        <w:t xml:space="preserve"> bērnam</w:t>
      </w:r>
      <w:r>
        <w:t>)</w:t>
      </w:r>
      <w:r w:rsidRPr="0039062B">
        <w:t xml:space="preserve"> </w:t>
      </w:r>
      <w:r>
        <w:t>līdz</w:t>
      </w:r>
      <w:r w:rsidRPr="0039062B">
        <w:t xml:space="preserve"> 35 </w:t>
      </w:r>
      <w:r w:rsidR="00C03A4E">
        <w:t xml:space="preserve">latiem </w:t>
      </w:r>
      <w:r w:rsidRPr="0039062B">
        <w:t xml:space="preserve">mēnesī. </w:t>
      </w:r>
      <w:r>
        <w:t>Vienlaikus a</w:t>
      </w:r>
      <w:r w:rsidRPr="0039062B">
        <w:t xml:space="preserve">r 2013.gadu pašvaldībām ir tiesības noteikt augstāku GMI līmeni (nepārsniedzot trūcīgas personas ienākumu līmeni jeb 90 </w:t>
      </w:r>
      <w:r w:rsidR="00C03A4E">
        <w:t>latus</w:t>
      </w:r>
      <w:r w:rsidRPr="0039062B">
        <w:t xml:space="preserve"> mēnesī) </w:t>
      </w:r>
      <w:r>
        <w:t>ikvienai mērķa grupai</w:t>
      </w:r>
      <w:r w:rsidR="00CB7784">
        <w:t>, nosakot to pašvaldības saistošajos noteikumos</w:t>
      </w:r>
      <w:r w:rsidRPr="0039062B">
        <w:t>.</w:t>
      </w:r>
      <w:r w:rsidRPr="00862FF7">
        <w:t xml:space="preserve"> </w:t>
      </w:r>
      <w:r w:rsidRPr="0039062B">
        <w:t>Kopumā, tiesības noteikt augstāku GMI līmeni ir izmantojušas 2</w:t>
      </w:r>
      <w:r>
        <w:t>8</w:t>
      </w:r>
      <w:r w:rsidRPr="0039062B">
        <w:t xml:space="preserve"> pašvaldības jeb 2</w:t>
      </w:r>
      <w:r>
        <w:t>4</w:t>
      </w:r>
      <w:r w:rsidRPr="0039062B">
        <w:t>% no kopējā pašvaldību skaita. Augstāks GMI līmenis ir noteikts dažādām mērķa grupām, bet visvairāk – cilvēkiem ar invaliditāti</w:t>
      </w:r>
      <w:r w:rsidR="00CB7784">
        <w:t xml:space="preserve"> (17%)</w:t>
      </w:r>
      <w:r w:rsidRPr="0039062B">
        <w:t>, bērniem</w:t>
      </w:r>
      <w:r w:rsidR="00CB7784">
        <w:t xml:space="preserve"> (15%)</w:t>
      </w:r>
      <w:r w:rsidRPr="0039062B">
        <w:t xml:space="preserve"> un pensionāriem</w:t>
      </w:r>
      <w:r w:rsidR="00CB7784">
        <w:t xml:space="preserve"> (11%)</w:t>
      </w:r>
      <w:r w:rsidRPr="0039062B">
        <w:t xml:space="preserve">. </w:t>
      </w:r>
    </w:p>
    <w:p w:rsidR="00FA5C6D" w:rsidRPr="00981C0B" w:rsidRDefault="00FA5C6D" w:rsidP="00FA5C6D">
      <w:pPr>
        <w:pStyle w:val="ListParagraph"/>
        <w:ind w:left="0" w:firstLine="567"/>
      </w:pPr>
      <w:r w:rsidRPr="00981C0B">
        <w:rPr>
          <w:color w:val="000000"/>
        </w:rPr>
        <w:t xml:space="preserve">2013.gadā tiek </w:t>
      </w:r>
      <w:r w:rsidRPr="00981C0B">
        <w:t>sniegts papildu</w:t>
      </w:r>
      <w:r>
        <w:t>s</w:t>
      </w:r>
      <w:r w:rsidRPr="00981C0B">
        <w:t xml:space="preserve"> valsts budžeta atbalsts tām novadu pašvaldībām, kurām ir v</w:t>
      </w:r>
      <w:r>
        <w:t>isierobežotākie finanšu resursi</w:t>
      </w:r>
      <w:r w:rsidRPr="00981C0B">
        <w:t xml:space="preserve">. No valsts budžeta tiek piešķirtas </w:t>
      </w:r>
      <w:r w:rsidRPr="00981C0B">
        <w:rPr>
          <w:color w:val="000000"/>
        </w:rPr>
        <w:t xml:space="preserve">dotācijas </w:t>
      </w:r>
      <w:r w:rsidRPr="00981C0B">
        <w:rPr>
          <w:bCs/>
          <w:color w:val="000000"/>
        </w:rPr>
        <w:t xml:space="preserve">11,5 </w:t>
      </w:r>
      <w:proofErr w:type="spellStart"/>
      <w:r w:rsidRPr="00981C0B">
        <w:rPr>
          <w:bCs/>
          <w:color w:val="000000"/>
        </w:rPr>
        <w:t>milj</w:t>
      </w:r>
      <w:proofErr w:type="spellEnd"/>
      <w:r w:rsidRPr="00981C0B">
        <w:rPr>
          <w:bCs/>
          <w:color w:val="000000"/>
        </w:rPr>
        <w:t xml:space="preserve">. latu apmērā </w:t>
      </w:r>
      <w:r w:rsidRPr="00981C0B">
        <w:rPr>
          <w:color w:val="000000"/>
        </w:rPr>
        <w:t xml:space="preserve">89 novada pašvaldībām un 4 republikas pilsētu (Daugavpils, Rēzekne, Jēkabpils, Liepāja) pašvaldībām. </w:t>
      </w:r>
    </w:p>
    <w:p w:rsidR="00FA5C6D" w:rsidRPr="0039062B" w:rsidRDefault="00FA5C6D" w:rsidP="00FA5C6D">
      <w:pPr>
        <w:ind w:firstLine="567"/>
      </w:pPr>
      <w:r>
        <w:t xml:space="preserve">Latvijā bezdarbnieki ir viena no nabadzības riskam visvairāk pakļautajām iedzīvotāju grupām. Lai daļēji atslogotu pašvaldību budžetus, no 2013.gada pagarināta bezdarbnieka pabalsta izmaksa neatkarīgi no darba stāža – </w:t>
      </w:r>
      <w:r w:rsidRPr="00970404">
        <w:t xml:space="preserve">bezdarbnieka pabalstu sociāli apdrošinātas personas varēs saņemt 9 mēnešus, vienlaikus veicinot bezdarbnieku </w:t>
      </w:r>
      <w:proofErr w:type="spellStart"/>
      <w:r w:rsidRPr="00970404">
        <w:t>pašaktivizāciju</w:t>
      </w:r>
      <w:proofErr w:type="spellEnd"/>
      <w:r w:rsidRPr="00970404">
        <w:t xml:space="preserve"> darba meklēšanā un savas situācijas uzlabošanā.</w:t>
      </w:r>
      <w:r w:rsidRPr="00017E32">
        <w:rPr>
          <w:highlight w:val="yellow"/>
        </w:rPr>
        <w:t xml:space="preserve"> </w:t>
      </w:r>
    </w:p>
    <w:p w:rsidR="00FA5C6D" w:rsidRDefault="00FA5C6D" w:rsidP="00FA5C6D">
      <w:pPr>
        <w:pStyle w:val="WW-Standard"/>
        <w:spacing w:before="120"/>
        <w:ind w:firstLine="567"/>
        <w:jc w:val="both"/>
        <w:rPr>
          <w:color w:val="000000"/>
        </w:rPr>
      </w:pPr>
      <w:r w:rsidRPr="0039062B">
        <w:t xml:space="preserve">Spēkā esošais regulējums, īstenotie un plānotie politikas pasākumi lielā mērā </w:t>
      </w:r>
      <w:r>
        <w:t xml:space="preserve">ir </w:t>
      </w:r>
      <w:r w:rsidRPr="0039062B">
        <w:t>vērsti uz to, lai palielinātu cilvēku motivāciju strādāt</w:t>
      </w:r>
      <w:r>
        <w:t xml:space="preserve">, piemēram, </w:t>
      </w:r>
      <w:r w:rsidRPr="002B3331">
        <w:rPr>
          <w:i/>
        </w:rPr>
        <w:t>Sociālo pakalpojumu un sociālās palīdzības likumā</w:t>
      </w:r>
      <w:r>
        <w:t xml:space="preserve"> iekļautais nosacījums par </w:t>
      </w:r>
      <w:r w:rsidRPr="0039062B">
        <w:t>sociālās palīdzības saņēmēju līdzdarbības pienākum</w:t>
      </w:r>
      <w:r>
        <w:t>u veikšanu</w:t>
      </w:r>
      <w:r w:rsidRPr="0039062B">
        <w:t xml:space="preserve">, plānotā bezdarbnieku profilēšanas pasākuma ieviešana </w:t>
      </w:r>
      <w:r w:rsidRPr="00104C24">
        <w:t>no 2014.gada</w:t>
      </w:r>
      <w:r w:rsidRPr="00104C24">
        <w:rPr>
          <w:rStyle w:val="st"/>
        </w:rPr>
        <w:t>.</w:t>
      </w:r>
      <w:r>
        <w:rPr>
          <w:rStyle w:val="st"/>
        </w:rPr>
        <w:t xml:space="preserve"> </w:t>
      </w:r>
      <w:r w:rsidR="000844C7">
        <w:rPr>
          <w:rStyle w:val="st"/>
        </w:rPr>
        <w:t>Turklāt</w:t>
      </w:r>
      <w:r w:rsidR="000844C7" w:rsidDel="000844C7">
        <w:rPr>
          <w:rStyle w:val="st"/>
        </w:rPr>
        <w:t xml:space="preserve"> </w:t>
      </w:r>
      <w:r>
        <w:rPr>
          <w:rStyle w:val="st"/>
        </w:rPr>
        <w:t>tiek veikti g</w:t>
      </w:r>
      <w:r>
        <w:t xml:space="preserve">rozījumi </w:t>
      </w:r>
      <w:r w:rsidRPr="002B3331">
        <w:rPr>
          <w:i/>
        </w:rPr>
        <w:t>Bezdarbnieku un darba meklētāju atbalsta likumā</w:t>
      </w:r>
      <w:r>
        <w:t>, lai p</w:t>
      </w:r>
      <w:r>
        <w:rPr>
          <w:color w:val="000000"/>
        </w:rPr>
        <w:t>adarītu efektīvāku bezdarbnieku un darba meklētāju darba meklēšanas pienākuma izpildi. B</w:t>
      </w:r>
      <w:r w:rsidRPr="00AE5748">
        <w:rPr>
          <w:color w:val="000000"/>
        </w:rPr>
        <w:t xml:space="preserve">ezdarbniekiem tiks noteikts pienākums iesaistīties darba meklēšanas </w:t>
      </w:r>
      <w:r>
        <w:rPr>
          <w:color w:val="000000"/>
        </w:rPr>
        <w:t xml:space="preserve">atbalsta </w:t>
      </w:r>
      <w:r w:rsidRPr="00AE5748">
        <w:rPr>
          <w:color w:val="000000"/>
        </w:rPr>
        <w:t>pas</w:t>
      </w:r>
      <w:r>
        <w:rPr>
          <w:color w:val="000000"/>
        </w:rPr>
        <w:t>ākumos.</w:t>
      </w:r>
    </w:p>
    <w:p w:rsidR="00FA5C6D" w:rsidRDefault="00FA5C6D" w:rsidP="00FA5C6D">
      <w:pPr>
        <w:suppressAutoHyphens/>
        <w:spacing w:before="120"/>
        <w:ind w:firstLine="567"/>
        <w:textAlignment w:val="baseline"/>
      </w:pPr>
      <w:r w:rsidRPr="0039062B">
        <w:t xml:space="preserve">Lai sekmētu sociālās </w:t>
      </w:r>
      <w:r w:rsidR="000844C7">
        <w:t>drošības</w:t>
      </w:r>
      <w:r w:rsidR="000844C7" w:rsidRPr="0039062B" w:rsidDel="000844C7">
        <w:t xml:space="preserve"> </w:t>
      </w:r>
      <w:r w:rsidRPr="0039062B">
        <w:t xml:space="preserve">sistēmas efektivitātes uzlabošanos un padarītu to </w:t>
      </w:r>
      <w:r w:rsidRPr="00017E32">
        <w:t>mērķtiecīgāku, 2012.gadā un 2013.gadā paredzēta vairāku izvērtējumu veikšana. 2012.gadā noslēdzās ESF līdzfinansēts p</w:t>
      </w:r>
      <w:r w:rsidRPr="00017E32">
        <w:rPr>
          <w:bCs/>
        </w:rPr>
        <w:t>ētījums</w:t>
      </w:r>
      <w:r w:rsidRPr="00017E32">
        <w:rPr>
          <w:bCs/>
          <w:i/>
        </w:rPr>
        <w:t xml:space="preserve"> „Sākotnējās ietekmes novērtējums (</w:t>
      </w:r>
      <w:proofErr w:type="spellStart"/>
      <w:r w:rsidRPr="00017E32">
        <w:rPr>
          <w:bCs/>
          <w:i/>
        </w:rPr>
        <w:t>Ex-ante)</w:t>
      </w:r>
      <w:proofErr w:type="spellEnd"/>
      <w:r w:rsidRPr="00017E32">
        <w:rPr>
          <w:bCs/>
          <w:i/>
        </w:rPr>
        <w:t xml:space="preserve"> par iecerētajām strukturālajām reformām profesionāla sociālā darba politikas jomā”, </w:t>
      </w:r>
      <w:r w:rsidRPr="00017E32">
        <w:rPr>
          <w:bCs/>
        </w:rPr>
        <w:t>balstoties uz kurā</w:t>
      </w:r>
      <w:r w:rsidRPr="00017E32">
        <w:t xml:space="preserve"> sniegtajām rekomendācijām, tiek izstrādātas </w:t>
      </w:r>
      <w:r w:rsidRPr="00017E32">
        <w:rPr>
          <w:i/>
        </w:rPr>
        <w:t>„</w:t>
      </w:r>
      <w:r w:rsidRPr="00017E32">
        <w:rPr>
          <w:bCs/>
          <w:i/>
        </w:rPr>
        <w:t>Pamatnostādnes profesionāla sociālā darba attīstībai 2014.–2020</w:t>
      </w:r>
      <w:r w:rsidRPr="00017E32">
        <w:rPr>
          <w:i/>
        </w:rPr>
        <w:t>.</w:t>
      </w:r>
      <w:r w:rsidRPr="00017E32">
        <w:rPr>
          <w:bCs/>
          <w:i/>
        </w:rPr>
        <w:t>gadam”</w:t>
      </w:r>
      <w:r w:rsidRPr="00017E32">
        <w:rPr>
          <w:bCs/>
        </w:rPr>
        <w:t>.</w:t>
      </w:r>
      <w:r>
        <w:t xml:space="preserve"> </w:t>
      </w:r>
      <w:r w:rsidRPr="0039062B">
        <w:t xml:space="preserve">2013.gadā ir uzsākts </w:t>
      </w:r>
      <w:r w:rsidRPr="0039062B">
        <w:rPr>
          <w:bCs/>
        </w:rPr>
        <w:t xml:space="preserve">pētījums </w:t>
      </w:r>
      <w:r w:rsidRPr="0039062B">
        <w:rPr>
          <w:bCs/>
          <w:i/>
        </w:rPr>
        <w:t>„Sākotnējās ietekmes novērtējums (</w:t>
      </w:r>
      <w:proofErr w:type="spellStart"/>
      <w:r w:rsidRPr="0039062B">
        <w:rPr>
          <w:bCs/>
          <w:i/>
        </w:rPr>
        <w:t>Ex-ante)</w:t>
      </w:r>
      <w:proofErr w:type="spellEnd"/>
      <w:r w:rsidRPr="0039062B">
        <w:rPr>
          <w:bCs/>
          <w:i/>
        </w:rPr>
        <w:t xml:space="preserve"> par iecerētajām strukturālajām reformām sociālās palīdzības politikas jomā”.</w:t>
      </w:r>
      <w:r w:rsidRPr="0039062B">
        <w:rPr>
          <w:bCs/>
        </w:rPr>
        <w:t xml:space="preserve"> Pētījuma mērķis ir novērtēt</w:t>
      </w:r>
      <w:r w:rsidRPr="0039062B">
        <w:t xml:space="preserve">, kādas izmaiņas nepieciešamas sociālās palīdzības sistēmā un kā šīs izmaiņas efektīvāk realizēt. Balstoties uz </w:t>
      </w:r>
      <w:r>
        <w:t xml:space="preserve">šajā </w:t>
      </w:r>
      <w:r w:rsidRPr="0039062B">
        <w:t xml:space="preserve">pētījumā </w:t>
      </w:r>
      <w:r>
        <w:t xml:space="preserve">un Pasaules </w:t>
      </w:r>
      <w:r w:rsidR="000844C7">
        <w:t xml:space="preserve">Bankas </w:t>
      </w:r>
      <w:r>
        <w:t xml:space="preserve">veiktajā pētījumā </w:t>
      </w:r>
      <w:r w:rsidRPr="00076AE0">
        <w:rPr>
          <w:i/>
        </w:rPr>
        <w:t xml:space="preserve">„Latvija: kurš ir bezdarbnieks </w:t>
      </w:r>
      <w:r w:rsidR="00076AE0">
        <w:rPr>
          <w:i/>
        </w:rPr>
        <w:t>–</w:t>
      </w:r>
      <w:r w:rsidRPr="00076AE0">
        <w:rPr>
          <w:i/>
        </w:rPr>
        <w:t xml:space="preserve"> ekonomiski neaktīvais vai trūcīgais?”</w:t>
      </w:r>
      <w:r w:rsidRPr="00EB7AB9">
        <w:t xml:space="preserve"> iegūtajiem secinājumiem un rekomendācijām, 2013.gad</w:t>
      </w:r>
      <w:r>
        <w:t xml:space="preserve">ā tiks </w:t>
      </w:r>
      <w:r w:rsidRPr="0039062B">
        <w:t>izstrādāt</w:t>
      </w:r>
      <w:r>
        <w:t>i</w:t>
      </w:r>
      <w:r w:rsidRPr="0039062B">
        <w:t xml:space="preserve"> priekšlikum</w:t>
      </w:r>
      <w:r>
        <w:t>i</w:t>
      </w:r>
      <w:r w:rsidRPr="0039062B">
        <w:t xml:space="preserve"> sociālās </w:t>
      </w:r>
      <w:r w:rsidR="000844C7">
        <w:t xml:space="preserve">drošības </w:t>
      </w:r>
      <w:r w:rsidRPr="0039062B">
        <w:t>sistēmas reformai</w:t>
      </w:r>
      <w:r>
        <w:t>.</w:t>
      </w:r>
    </w:p>
    <w:p w:rsidR="00FA5C6D" w:rsidRDefault="00FA5C6D" w:rsidP="00FA5C6D">
      <w:pPr>
        <w:ind w:firstLine="567"/>
      </w:pPr>
      <w:r w:rsidRPr="00406D7B">
        <w:t xml:space="preserve">2013.gadā turpinās darbs pie </w:t>
      </w:r>
      <w:proofErr w:type="spellStart"/>
      <w:r w:rsidRPr="00406D7B">
        <w:t>rīcībpolitikas</w:t>
      </w:r>
      <w:proofErr w:type="spellEnd"/>
      <w:r w:rsidRPr="00406D7B">
        <w:t xml:space="preserve"> dokumenta sociālo pakalpojumu attīstībai.</w:t>
      </w:r>
      <w:r w:rsidRPr="00406D7B">
        <w:rPr>
          <w:b/>
        </w:rPr>
        <w:t xml:space="preserve"> </w:t>
      </w:r>
      <w:r w:rsidRPr="00406D7B">
        <w:t>Sociālo pakalpojumu jomā</w:t>
      </w:r>
      <w:r w:rsidRPr="00406D7B">
        <w:rPr>
          <w:b/>
        </w:rPr>
        <w:t xml:space="preserve"> </w:t>
      </w:r>
      <w:r w:rsidRPr="00406D7B">
        <w:t xml:space="preserve">uzsvars būs uz pakalpojumu dažādošanu un institūcijām alternatīvu pakalpojumu attīstību ar mērķi aktivizēt tā saucamos „kopienā balstītos </w:t>
      </w:r>
      <w:r w:rsidRPr="00406D7B">
        <w:lastRenderedPageBreak/>
        <w:t>pakalpojumus”, kas ļauj pakalpojuma saņēmējam būt savā ierastajā vidē vai maksimāli tuvu tai.</w:t>
      </w:r>
      <w:r w:rsidRPr="00C26BB1">
        <w:t xml:space="preserve"> </w:t>
      </w:r>
    </w:p>
    <w:p w:rsidR="00FA5C6D" w:rsidRPr="00EB7AB9" w:rsidRDefault="00076AE0" w:rsidP="00FA5C6D">
      <w:pPr>
        <w:ind w:firstLine="567"/>
      </w:pPr>
      <w:r>
        <w:t>V</w:t>
      </w:r>
      <w:r w:rsidRPr="00EB7AB9">
        <w:t xml:space="preserve">iens no </w:t>
      </w:r>
      <w:r>
        <w:t>s</w:t>
      </w:r>
      <w:r w:rsidR="00FA5C6D" w:rsidRPr="00EB7AB9">
        <w:t xml:space="preserve">ociālās </w:t>
      </w:r>
      <w:r w:rsidR="00E75B45">
        <w:t>drošības</w:t>
      </w:r>
      <w:r w:rsidR="00E75B45" w:rsidRPr="00EB7AB9" w:rsidDel="00E75B45">
        <w:t xml:space="preserve"> </w:t>
      </w:r>
      <w:r w:rsidR="00FA5C6D" w:rsidRPr="00EB7AB9">
        <w:t xml:space="preserve">sistēmas efektivitātes uzlabošanas elementiem ir veiksmīga politikas uzraudzības mehānisma izveide, nodrošinot nepieciešamo aktuālo informāciju lēmumu pieņemšanai, finanšu līdzekļu caurskatāmu izlietojumu, sociālās palīdzības </w:t>
      </w:r>
      <w:proofErr w:type="spellStart"/>
      <w:r w:rsidR="00FA5C6D" w:rsidRPr="00EB7AB9">
        <w:t>mērķētību</w:t>
      </w:r>
      <w:proofErr w:type="spellEnd"/>
      <w:r w:rsidR="00FA5C6D" w:rsidRPr="00EB7AB9">
        <w:t xml:space="preserve">. Lai to nodrošinātu, </w:t>
      </w:r>
      <w:r w:rsidR="00FA5C6D">
        <w:t xml:space="preserve">tiek pilnveidota </w:t>
      </w:r>
      <w:r w:rsidR="00FA5C6D" w:rsidRPr="00EB7AB9">
        <w:t>sociālā</w:t>
      </w:r>
      <w:r w:rsidR="00FA5C6D">
        <w:t xml:space="preserve">s </w:t>
      </w:r>
      <w:r w:rsidR="00E75B45">
        <w:t xml:space="preserve">drošības </w:t>
      </w:r>
      <w:r w:rsidR="00FA5C6D">
        <w:t xml:space="preserve">sistēmas datu bāze </w:t>
      </w:r>
      <w:r w:rsidR="00FA5C6D" w:rsidRPr="00EB7AB9">
        <w:t xml:space="preserve">un uzsākta sadarbība ar pašvaldībām, lai vienotos par optimālākajiem risinājumiem attiecībā uz sociālās palīdzības dienestu uzkrāto personalizēto datu apmaiņu </w:t>
      </w:r>
      <w:r w:rsidR="00FA5C6D" w:rsidRPr="00406D7B">
        <w:t>ar Labklājības ministriju</w:t>
      </w:r>
      <w:r w:rsidR="00C03A4E">
        <w:t xml:space="preserve"> (turpmāk tekstā – LM)</w:t>
      </w:r>
      <w:r w:rsidR="00FA5C6D" w:rsidRPr="00EB7AB9">
        <w:t>. 2012.gad</w:t>
      </w:r>
      <w:r w:rsidR="00FA5C6D">
        <w:t xml:space="preserve">ā </w:t>
      </w:r>
      <w:r w:rsidR="00FA5C6D" w:rsidRPr="00EB7AB9">
        <w:t xml:space="preserve">uzsākts darbs pie Vienotās Labklājības informācijas sistēmas izveides, lai nodrošinātu labklājības nozares institūciju uzkrāto datu savstarpējo savietojamību, pieejamību un analīzes iespējas personalizētu datu </w:t>
      </w:r>
      <w:r w:rsidR="00FA5C6D" w:rsidRPr="00D06166">
        <w:t>līmenī. Tā rezultātā politikas plānotāju rīcībā būs informācija par dažādu sociālo pakalpojumu un pabalstu savstarpējo korelāciju personas datu līmenī, kas ļaus objektīvāk analizēt dažādu politiku ietekmi uz iedzīvotājiem.</w:t>
      </w:r>
    </w:p>
    <w:p w:rsidR="00FA5C6D" w:rsidRPr="0039062B" w:rsidRDefault="00F0647F" w:rsidP="00FA5C6D">
      <w:pPr>
        <w:ind w:firstLine="567"/>
        <w:rPr>
          <w:b/>
          <w:color w:val="000000"/>
          <w:shd w:val="clear" w:color="auto" w:fill="FFFFFF"/>
        </w:rPr>
      </w:pPr>
      <w:r w:rsidRPr="00EB7AB9">
        <w:t xml:space="preserve">Lai izstrādātu priekšlikumus nabadzības risku mazināšanai, uzlabotu nabadzības un sociālās atstumtības politikas plānošanu un iesaistīto pušu sadarbību, </w:t>
      </w:r>
      <w:r w:rsidRPr="00127B3E">
        <w:rPr>
          <w:color w:val="000000"/>
          <w:lang w:eastAsia="lv-LV"/>
        </w:rPr>
        <w:t>ir izveidota darba grupa</w:t>
      </w:r>
      <w:r>
        <w:rPr>
          <w:rStyle w:val="FootnoteReference"/>
          <w:color w:val="000000"/>
          <w:lang w:eastAsia="lv-LV"/>
        </w:rPr>
        <w:footnoteReference w:id="12"/>
      </w:r>
      <w:r w:rsidRPr="00127B3E">
        <w:t>.</w:t>
      </w:r>
      <w:r w:rsidRPr="00EB7AB9">
        <w:t xml:space="preserve"> </w:t>
      </w:r>
      <w:r>
        <w:t xml:space="preserve">Tās galvenais uzdevums </w:t>
      </w:r>
      <w:r>
        <w:rPr>
          <w:color w:val="000000"/>
          <w:lang w:eastAsia="lv-LV"/>
        </w:rPr>
        <w:t xml:space="preserve">identificēt būtiskākos nabadzības un sociālās atstumtības pieauguma cēloņus un politikas jomas, kurās veicami pasākumi nabadzības un sociālās atstumtības mazināšanai, izvērtēt plānoto pasākumu iespējamo ietekmi uz nabadzību un sociālo atstumtību, kā arī izstrādāt priekšlikumus par pasākumiem, lai mazinātu nabadzību un sociālo atstumtību un sasniegtu Latvijas NRP noteikto nabadzības līmeņa samazināšanas mērķi. </w:t>
      </w:r>
      <w:r w:rsidRPr="00EB7AB9">
        <w:rPr>
          <w:rFonts w:ascii="Tms Rmn" w:hAnsi="Tms Rmn" w:cs="Tms Rmn"/>
          <w:color w:val="000000"/>
          <w:lang w:eastAsia="lv-LV"/>
        </w:rPr>
        <w:t>2013</w:t>
      </w:r>
      <w:r w:rsidRPr="0039062B">
        <w:rPr>
          <w:rFonts w:ascii="Tms Rmn" w:hAnsi="Tms Rmn" w:cs="Tms Rmn"/>
          <w:color w:val="000000"/>
          <w:lang w:eastAsia="lv-LV"/>
        </w:rPr>
        <w:t xml:space="preserve">.gada februārī Saeima pieņēma likumprojektu </w:t>
      </w:r>
      <w:r w:rsidRPr="00463D67">
        <w:rPr>
          <w:rFonts w:ascii="Tms Rmn" w:hAnsi="Tms Rmn" w:cs="Tms Rmn"/>
          <w:i/>
          <w:color w:val="000000"/>
          <w:lang w:eastAsia="lv-LV"/>
        </w:rPr>
        <w:t>„Par Pārskatīto Eiropas Sociālo hartu</w:t>
      </w:r>
      <w:r w:rsidRPr="00463D67">
        <w:rPr>
          <w:i/>
        </w:rPr>
        <w:t>”</w:t>
      </w:r>
      <w:r w:rsidRPr="0039062B">
        <w:t>, līdz ar to Latvijai kļūst saistoša virkne hartas pantu, tostarp 30.pants par iedzīvotāju tiesībām uz</w:t>
      </w:r>
      <w:r w:rsidRPr="0039062B">
        <w:rPr>
          <w:rFonts w:ascii="Tms Rmn" w:hAnsi="Tms Rmn" w:cs="Tms Rmn"/>
          <w:color w:val="000000"/>
          <w:lang w:eastAsia="lv-LV"/>
        </w:rPr>
        <w:t xml:space="preserve"> aizsardzību pret trūkumu un sociālo nevienlīdzību</w:t>
      </w:r>
      <w:r w:rsidR="00FA5C6D" w:rsidRPr="0039062B">
        <w:rPr>
          <w:rFonts w:ascii="Tms Rmn" w:hAnsi="Tms Rmn" w:cs="Tms Rmn"/>
          <w:color w:val="000000"/>
          <w:lang w:eastAsia="lv-LV"/>
        </w:rPr>
        <w:t>.</w:t>
      </w:r>
    </w:p>
    <w:p w:rsidR="007C22CF" w:rsidRDefault="00FA5C6D" w:rsidP="00FA5C6D">
      <w:pPr>
        <w:ind w:firstLine="567"/>
        <w:rPr>
          <w:lang w:eastAsia="lv-LV"/>
        </w:rPr>
      </w:pPr>
      <w:r w:rsidRPr="0039062B">
        <w:t xml:space="preserve">Kopumā augstākminētie pasākumi veicinās ES Padomes rekomendācijas izpildi – nodrošināt mērķētākas sociālās </w:t>
      </w:r>
      <w:r w:rsidR="007E71E7">
        <w:t xml:space="preserve">drošības sistēmas izveidi </w:t>
      </w:r>
      <w:r w:rsidRPr="0039062B">
        <w:t xml:space="preserve">un </w:t>
      </w:r>
      <w:r w:rsidR="007E71E7">
        <w:t>personu</w:t>
      </w:r>
      <w:r w:rsidR="007E71E7" w:rsidRPr="0039062B">
        <w:t xml:space="preserve"> </w:t>
      </w:r>
      <w:r w:rsidRPr="0039062B">
        <w:t>stimulus strādāt</w:t>
      </w:r>
      <w:r w:rsidR="007E71E7">
        <w:t>,</w:t>
      </w:r>
      <w:r w:rsidR="00463D67">
        <w:t xml:space="preserve"> un atbilst </w:t>
      </w:r>
      <w:r w:rsidR="00463D67" w:rsidRPr="00353580">
        <w:rPr>
          <w:i/>
        </w:rPr>
        <w:t>2013.gada izaugsmes ziņojuma</w:t>
      </w:r>
      <w:r w:rsidR="00463D67">
        <w:t xml:space="preserve"> prioritātes attiecībā uz bezdarba un sociālo problēmu risināšanu izpildei</w:t>
      </w:r>
      <w:r w:rsidR="006866CD">
        <w:t xml:space="preserve">, kā arī </w:t>
      </w:r>
      <w:r w:rsidR="006866CD" w:rsidRPr="00FF5C3A">
        <w:rPr>
          <w:i/>
        </w:rPr>
        <w:t>„Eiropa 2020”</w:t>
      </w:r>
      <w:r w:rsidR="006866CD">
        <w:t xml:space="preserve"> stratēģijas vadošās iniciatīvas </w:t>
      </w:r>
      <w:r w:rsidR="006866CD" w:rsidRPr="006866CD">
        <w:rPr>
          <w:i/>
        </w:rPr>
        <w:t>„Eiropas platforma cīņai pret nabadzību”</w:t>
      </w:r>
      <w:r w:rsidR="006866CD">
        <w:t xml:space="preserve"> īstenošanu</w:t>
      </w:r>
      <w:r w:rsidRPr="0039062B">
        <w:t>.</w:t>
      </w:r>
    </w:p>
    <w:p w:rsidR="001458EF" w:rsidRPr="00B703A3" w:rsidRDefault="001458EF" w:rsidP="001458EF">
      <w:pPr>
        <w:pStyle w:val="Heading2"/>
        <w:spacing w:before="360" w:after="120"/>
        <w:jc w:val="center"/>
        <w:rPr>
          <w:rFonts w:ascii="Times New Roman Bold" w:hAnsi="Times New Roman Bold"/>
          <w:smallCaps/>
          <w:sz w:val="24"/>
          <w:szCs w:val="24"/>
        </w:rPr>
      </w:pPr>
      <w:bookmarkStart w:id="13" w:name="_Toc354384926"/>
      <w:r w:rsidRPr="00B703A3">
        <w:rPr>
          <w:rFonts w:ascii="Times New Roman Bold" w:hAnsi="Times New Roman Bold"/>
          <w:smallCaps/>
          <w:sz w:val="24"/>
          <w:szCs w:val="24"/>
        </w:rPr>
        <w:t>2.5. Energoefektivitāte un konkurence lielākajos enerģētikas tīklos</w:t>
      </w:r>
      <w:bookmarkEnd w:id="13"/>
    </w:p>
    <w:p w:rsidR="00830767" w:rsidRDefault="00830767" w:rsidP="00830767">
      <w:pPr>
        <w:ind w:firstLine="567"/>
        <w:rPr>
          <w:b/>
        </w:rPr>
      </w:pPr>
      <w:r w:rsidRPr="00962F19">
        <w:rPr>
          <w:b/>
        </w:rPr>
        <w:t xml:space="preserve">ES Padome rekomendē Latvijai </w:t>
      </w:r>
      <w:r w:rsidRPr="001458EF">
        <w:rPr>
          <w:b/>
        </w:rPr>
        <w:t xml:space="preserve">turpināt veicināt energoefektivitāti, īstenojot pasākumus un radot stimulus samazināt enerģijas izmaksas un pārorientēt patēriņu uz </w:t>
      </w:r>
      <w:proofErr w:type="spellStart"/>
      <w:r w:rsidRPr="001458EF">
        <w:rPr>
          <w:b/>
        </w:rPr>
        <w:t>energoefektīviem</w:t>
      </w:r>
      <w:proofErr w:type="spellEnd"/>
      <w:r w:rsidRPr="001458EF">
        <w:rPr>
          <w:b/>
        </w:rPr>
        <w:t xml:space="preserve"> produktiem, tostarp attiecībā uz transportlīdzekļiem, ēkām un apkures sistēmām. Veicināt konkurenci lielākajos enerģētikas tīklos un uzlabot savienojamību ar ES enerģētikas tīkliem.</w:t>
      </w:r>
    </w:p>
    <w:p w:rsidR="00830767" w:rsidRPr="0010428A" w:rsidRDefault="00830767" w:rsidP="00830767">
      <w:pPr>
        <w:spacing w:before="240"/>
        <w:ind w:firstLine="567"/>
        <w:rPr>
          <w:b/>
        </w:rPr>
      </w:pPr>
      <w:r w:rsidRPr="006E59F2">
        <w:t>Latvijas īstenotie pasākumi</w:t>
      </w:r>
      <w:r>
        <w:rPr>
          <w:b/>
        </w:rPr>
        <w:t xml:space="preserve"> </w:t>
      </w:r>
      <w:r w:rsidRPr="006E59F2">
        <w:rPr>
          <w:b/>
          <w:i/>
        </w:rPr>
        <w:t>energoefektivitātes veicināšanas</w:t>
      </w:r>
      <w:r>
        <w:rPr>
          <w:b/>
        </w:rPr>
        <w:t xml:space="preserve"> </w:t>
      </w:r>
      <w:r w:rsidRPr="006E59F2">
        <w:t>jomā:</w:t>
      </w:r>
    </w:p>
    <w:p w:rsidR="00317482" w:rsidRDefault="00317482" w:rsidP="00E84407">
      <w:pPr>
        <w:pStyle w:val="ListParagraph"/>
        <w:numPr>
          <w:ilvl w:val="0"/>
          <w:numId w:val="40"/>
        </w:numPr>
        <w:ind w:left="851"/>
      </w:pPr>
      <w:r>
        <w:t>2012.</w:t>
      </w:r>
      <w:r w:rsidRPr="00F07FBC">
        <w:t>gad</w:t>
      </w:r>
      <w:r>
        <w:t xml:space="preserve">ā </w:t>
      </w:r>
      <w:r w:rsidRPr="00F07FBC">
        <w:t xml:space="preserve">pieņemts jauns </w:t>
      </w:r>
      <w:r w:rsidRPr="00516275">
        <w:rPr>
          <w:i/>
        </w:rPr>
        <w:t>Ēku energoefektivitātes likums</w:t>
      </w:r>
      <w:r w:rsidRPr="00F07FBC">
        <w:t>, ar ko pārņemtas pārstrādātās direktīvas 2010/31/ES par ēku energoefektivitāti prasības un ieviestas jaunas normas attiecībā uz paaugstinātas energoefektivitātes prasīb</w:t>
      </w:r>
      <w:r>
        <w:t>ām</w:t>
      </w:r>
      <w:r w:rsidRPr="00F07FBC">
        <w:t xml:space="preserve"> ēkām, valstij piederošu ēku un atsevišķu ēku daļu </w:t>
      </w:r>
      <w:proofErr w:type="spellStart"/>
      <w:r w:rsidRPr="00F07FBC">
        <w:t>energosertificēšanu</w:t>
      </w:r>
      <w:proofErr w:type="spellEnd"/>
      <w:r w:rsidRPr="00F07FBC">
        <w:t>, ēku īpašnieku tiesībām un pienākumiem, uzdevumiem gandrīz nulles enerģijas ēku būvniecības veicināšanai</w:t>
      </w:r>
      <w:r>
        <w:t>;</w:t>
      </w:r>
    </w:p>
    <w:p w:rsidR="00317482" w:rsidRDefault="00317482" w:rsidP="00E84407">
      <w:pPr>
        <w:pStyle w:val="ListParagraph"/>
        <w:numPr>
          <w:ilvl w:val="0"/>
          <w:numId w:val="40"/>
        </w:numPr>
        <w:ind w:left="851"/>
      </w:pPr>
      <w:r>
        <w:t>mājokļu siltināšanas, kā arī energoefektivitātes paaugstināšanas pasākumi sabiedriskās un ražošanas ēkās;</w:t>
      </w:r>
    </w:p>
    <w:p w:rsidR="00830767" w:rsidRPr="002A2619" w:rsidRDefault="00830767" w:rsidP="00E84407">
      <w:pPr>
        <w:pStyle w:val="ListParagraph"/>
        <w:numPr>
          <w:ilvl w:val="0"/>
          <w:numId w:val="40"/>
        </w:numPr>
        <w:spacing w:before="120" w:after="120"/>
        <w:ind w:left="851"/>
      </w:pPr>
      <w:r w:rsidRPr="002A2619">
        <w:t>pasākum</w:t>
      </w:r>
      <w:r>
        <w:t>i</w:t>
      </w:r>
      <w:r w:rsidRPr="002A2619">
        <w:t xml:space="preserve"> centralizētās siltumapgādes sistēmu efektivitātes paaugstināšanai ar mērķi būtiski paaugstināt siltumenerģijas ražošanas efektivitāti, samazināt siltumenerģijas </w:t>
      </w:r>
      <w:r w:rsidRPr="002A2619">
        <w:lastRenderedPageBreak/>
        <w:t>zudumus pārvades un sadales sistēmās un sekmēt fosilā kurināmā veidu aizvietošanu ar atjaunojamiem kurināmiem;</w:t>
      </w:r>
    </w:p>
    <w:p w:rsidR="00830767" w:rsidRPr="002A2619" w:rsidRDefault="00830767" w:rsidP="00E84407">
      <w:pPr>
        <w:pStyle w:val="ListParagraph"/>
        <w:numPr>
          <w:ilvl w:val="0"/>
          <w:numId w:val="40"/>
        </w:numPr>
        <w:spacing w:before="120" w:after="120"/>
        <w:ind w:left="851"/>
      </w:pPr>
      <w:r w:rsidRPr="002A2619">
        <w:t>ēku energoefektivitātes minimāl</w:t>
      </w:r>
      <w:r>
        <w:t>o</w:t>
      </w:r>
      <w:r w:rsidRPr="002A2619">
        <w:t xml:space="preserve"> prasīb</w:t>
      </w:r>
      <w:r>
        <w:t xml:space="preserve">u pārskatīšana </w:t>
      </w:r>
      <w:r w:rsidRPr="002A2619">
        <w:t xml:space="preserve">(ēkas ārējo norobežojošo konstrukciju </w:t>
      </w:r>
      <w:proofErr w:type="spellStart"/>
      <w:r w:rsidRPr="002A2619">
        <w:t>būvelementiem</w:t>
      </w:r>
      <w:proofErr w:type="spellEnd"/>
      <w:r w:rsidRPr="002A2619">
        <w:t xml:space="preserve"> un ēku inženiertehniskajām sistēmām);</w:t>
      </w:r>
    </w:p>
    <w:p w:rsidR="00830767" w:rsidRPr="002A2619" w:rsidRDefault="00830767" w:rsidP="00E84407">
      <w:pPr>
        <w:pStyle w:val="ListParagraph"/>
        <w:numPr>
          <w:ilvl w:val="0"/>
          <w:numId w:val="40"/>
        </w:numPr>
        <w:spacing w:before="120" w:after="120"/>
        <w:ind w:left="851"/>
      </w:pPr>
      <w:r w:rsidRPr="002A2619">
        <w:t>noteikt</w:t>
      </w:r>
      <w:r>
        <w:t>as</w:t>
      </w:r>
      <w:r w:rsidRPr="002A2619">
        <w:t xml:space="preserve"> prasības gala enerģijas patēriņam (kWh/m</w:t>
      </w:r>
      <w:r w:rsidRPr="002A2619">
        <w:rPr>
          <w:vertAlign w:val="superscript"/>
        </w:rPr>
        <w:t>2</w:t>
      </w:r>
      <w:r w:rsidRPr="002A2619">
        <w:t xml:space="preserve"> gadā) jaunām, rekonstruējamām un renovējamām ēkām, kā arī ekspluatācijā esošām ēkām.</w:t>
      </w:r>
    </w:p>
    <w:p w:rsidR="00830767" w:rsidRPr="00317482" w:rsidRDefault="00830767" w:rsidP="00830767">
      <w:pPr>
        <w:ind w:firstLine="567"/>
      </w:pPr>
      <w:r w:rsidRPr="00317482">
        <w:t>Klimata pārmaiņu finanšu instrumenta (</w:t>
      </w:r>
      <w:r w:rsidR="00FB6AE6" w:rsidRPr="00317482">
        <w:t xml:space="preserve">turpmāk tekstā – </w:t>
      </w:r>
      <w:r w:rsidRPr="00317482">
        <w:t xml:space="preserve">KPFI) ietvaros īstenoti projekti, kuru rezultātā </w:t>
      </w:r>
      <w:r w:rsidR="00317482">
        <w:t xml:space="preserve">veicināta energoefektivitāte, </w:t>
      </w:r>
      <w:r w:rsidRPr="00317482">
        <w:t xml:space="preserve">palielināta atjaunojamo energoresursu izmantošana siltumenerģijas un elektroenerģijas ražošanā komersantiem un pašvaldībām. Kopā īstenoti 49 projekti, </w:t>
      </w:r>
      <w:proofErr w:type="spellStart"/>
      <w:r w:rsidRPr="00317482">
        <w:t>t.sk</w:t>
      </w:r>
      <w:proofErr w:type="spellEnd"/>
      <w:r w:rsidRPr="00317482">
        <w:t xml:space="preserve">., 2012.gadā – 44 projekti. Dati par faktiskajiem siltumenerģijas un elektroenerģijas apjomiem būs iegūstami monitoringa periodā no 2013.gada </w:t>
      </w:r>
      <w:r w:rsidR="004000C9" w:rsidRPr="00317482">
        <w:t xml:space="preserve">līdz </w:t>
      </w:r>
      <w:r w:rsidRPr="00317482">
        <w:t>2018.gadam.</w:t>
      </w:r>
    </w:p>
    <w:p w:rsidR="00830767" w:rsidRPr="00317482" w:rsidRDefault="00830767" w:rsidP="00830767">
      <w:pPr>
        <w:ind w:firstLine="491"/>
        <w:rPr>
          <w:sz w:val="12"/>
        </w:rPr>
      </w:pPr>
    </w:p>
    <w:p w:rsidR="00830767" w:rsidRPr="00317482" w:rsidRDefault="00830767" w:rsidP="00830767">
      <w:pPr>
        <w:ind w:firstLine="567"/>
      </w:pPr>
      <w:r w:rsidRPr="00317482">
        <w:t xml:space="preserve">2013.gadā konkursā </w:t>
      </w:r>
      <w:r w:rsidRPr="00317482">
        <w:rPr>
          <w:i/>
        </w:rPr>
        <w:t>„Kompleksi risinājumi siltumnīcefekta gāzu emisiju samazināšanai”</w:t>
      </w:r>
      <w:r w:rsidRPr="00317482">
        <w:t xml:space="preserve"> tiek plānots: </w:t>
      </w:r>
    </w:p>
    <w:p w:rsidR="00830767" w:rsidRPr="00317482" w:rsidRDefault="00830767" w:rsidP="00E84407">
      <w:pPr>
        <w:pStyle w:val="ListParagraph"/>
        <w:numPr>
          <w:ilvl w:val="0"/>
          <w:numId w:val="38"/>
        </w:numPr>
        <w:ind w:left="851"/>
      </w:pPr>
      <w:r w:rsidRPr="00317482">
        <w:t>īstenot 33 KPFI finansētos projektus, kuros tiks veikti ieguldījumi ražošanas tehnoloģiskajās iekārtās un ražošanas ēku energoefektivitātes uzlabošanai, tostarp 19</w:t>
      </w:r>
      <w:r w:rsidRPr="00317482">
        <w:rPr>
          <w:b/>
        </w:rPr>
        <w:t xml:space="preserve"> </w:t>
      </w:r>
      <w:r w:rsidRPr="00317482">
        <w:t xml:space="preserve">projektos plānots palielināt atjaunojamo energoresursu izmantošanu siltumenerģijas un elektroenerģijas ražošanā komersantiem; </w:t>
      </w:r>
    </w:p>
    <w:p w:rsidR="00830767" w:rsidRPr="00317482" w:rsidRDefault="00830767" w:rsidP="00E84407">
      <w:pPr>
        <w:pStyle w:val="ListParagraph"/>
        <w:numPr>
          <w:ilvl w:val="0"/>
          <w:numId w:val="38"/>
        </w:numPr>
        <w:ind w:left="851"/>
      </w:pPr>
      <w:r w:rsidRPr="00317482">
        <w:t>īstenot vismaz 36 investīciju projektus kompleksajiem risinājumiem siltumnīcefekta gāzu emisiju samazināšanai un energoefektivitātes uzlabošanai valsts, pašvaldību un privātajās izglītības iestāžu ēkās, tostarp 9 projektos plānots palielināt atjaunojamo energoresursu izmantošanu siltumenerģijas nodrošināšanai izglītības iestādēs.</w:t>
      </w:r>
    </w:p>
    <w:p w:rsidR="00830767" w:rsidRDefault="00830767" w:rsidP="00830767">
      <w:pPr>
        <w:spacing w:before="120" w:after="120"/>
        <w:ind w:firstLine="567"/>
      </w:pPr>
      <w:r w:rsidRPr="00317482">
        <w:t xml:space="preserve">Projektiem piešķirts KPFI finansējums 9,93 </w:t>
      </w:r>
      <w:proofErr w:type="spellStart"/>
      <w:r w:rsidRPr="00317482">
        <w:t>milj</w:t>
      </w:r>
      <w:proofErr w:type="spellEnd"/>
      <w:r w:rsidRPr="00317482">
        <w:t xml:space="preserve">. latu un 39,31 </w:t>
      </w:r>
      <w:proofErr w:type="spellStart"/>
      <w:r w:rsidRPr="00317482">
        <w:t>milj</w:t>
      </w:r>
      <w:proofErr w:type="spellEnd"/>
      <w:r w:rsidRPr="00317482">
        <w:t>. latu finansējums tiks piešķirs konkursa turpmākajās kārtās, kuras plānotas 2013.gadā.</w:t>
      </w:r>
    </w:p>
    <w:p w:rsidR="00317482" w:rsidRDefault="00317482" w:rsidP="00830767">
      <w:pPr>
        <w:spacing w:before="120" w:after="120"/>
        <w:ind w:firstLine="567"/>
      </w:pPr>
      <w:r>
        <w:t>Detalizētāka informācija par energoefektivitātes pasākumu īstenošanu ir atspoguļota 3.6.1.nodaļā.</w:t>
      </w:r>
    </w:p>
    <w:p w:rsidR="00830767" w:rsidRPr="006E59F2" w:rsidRDefault="00830767" w:rsidP="00830767">
      <w:pPr>
        <w:spacing w:before="240"/>
        <w:ind w:firstLine="567"/>
      </w:pPr>
      <w:r w:rsidRPr="006E59F2">
        <w:rPr>
          <w:b/>
          <w:i/>
        </w:rPr>
        <w:t>Konkurences veicināšanai lielākajos enerģētikas tīklos un savienojamības uzlabošanai ar ES enerģētikas tīkliem</w:t>
      </w:r>
      <w:r>
        <w:rPr>
          <w:b/>
        </w:rPr>
        <w:t xml:space="preserve"> </w:t>
      </w:r>
      <w:r w:rsidRPr="006E59F2">
        <w:t>tiek:</w:t>
      </w:r>
    </w:p>
    <w:p w:rsidR="00830767" w:rsidRDefault="00830767" w:rsidP="00E84407">
      <w:pPr>
        <w:numPr>
          <w:ilvl w:val="0"/>
          <w:numId w:val="39"/>
        </w:numPr>
        <w:spacing w:after="40"/>
        <w:ind w:left="850" w:hanging="357"/>
      </w:pPr>
      <w:r>
        <w:t>uzsākta Elektroenerģijas biržas darbība</w:t>
      </w:r>
      <w:r w:rsidRPr="0010428A">
        <w:t xml:space="preserve"> Latvijā</w:t>
      </w:r>
      <w:r>
        <w:t xml:space="preserve">. Elektroenerģijas biržas </w:t>
      </w:r>
      <w:proofErr w:type="spellStart"/>
      <w:r>
        <w:t>NordPool</w:t>
      </w:r>
      <w:proofErr w:type="spellEnd"/>
      <w:r>
        <w:t xml:space="preserve"> </w:t>
      </w:r>
      <w:proofErr w:type="spellStart"/>
      <w:r>
        <w:t>Spot</w:t>
      </w:r>
      <w:proofErr w:type="spellEnd"/>
      <w:r>
        <w:t xml:space="preserve"> Latvijas cenu zonu (</w:t>
      </w:r>
      <w:proofErr w:type="spellStart"/>
      <w:r w:rsidRPr="0010428A">
        <w:rPr>
          <w:i/>
        </w:rPr>
        <w:t>bidding</w:t>
      </w:r>
      <w:proofErr w:type="spellEnd"/>
      <w:r w:rsidRPr="0010428A">
        <w:rPr>
          <w:i/>
        </w:rPr>
        <w:t xml:space="preserve"> </w:t>
      </w:r>
      <w:proofErr w:type="spellStart"/>
      <w:r w:rsidRPr="0010428A">
        <w:rPr>
          <w:i/>
        </w:rPr>
        <w:t>area</w:t>
      </w:r>
      <w:proofErr w:type="spellEnd"/>
      <w:r>
        <w:t xml:space="preserve">) plānots atvērt līdz 2013.gada jūnijam ar mērķi veicināt </w:t>
      </w:r>
      <w:r w:rsidRPr="0087213C">
        <w:t>Baltijas valstu elektroenerģijas tirgus integrācij</w:t>
      </w:r>
      <w:r>
        <w:t>u Skandināvijas reģionā;</w:t>
      </w:r>
    </w:p>
    <w:p w:rsidR="00830767" w:rsidRDefault="00830767" w:rsidP="00E84407">
      <w:pPr>
        <w:numPr>
          <w:ilvl w:val="0"/>
          <w:numId w:val="39"/>
        </w:numPr>
        <w:spacing w:after="40"/>
        <w:ind w:left="850" w:hanging="357"/>
      </w:pPr>
      <w:r>
        <w:t>īstenots p</w:t>
      </w:r>
      <w:r w:rsidRPr="0087213C">
        <w:t>rojekt</w:t>
      </w:r>
      <w:r>
        <w:t>s</w:t>
      </w:r>
      <w:r w:rsidRPr="0087213C">
        <w:t xml:space="preserve"> </w:t>
      </w:r>
      <w:r w:rsidRPr="0010428A">
        <w:rPr>
          <w:i/>
        </w:rPr>
        <w:t>„Kurzemes loks 2.etaps: 330kV līnijas Grobiņa-Ventspils izbūve”</w:t>
      </w:r>
      <w:r>
        <w:t xml:space="preserve"> ar mērķi stiprināt </w:t>
      </w:r>
      <w:r w:rsidRPr="0087213C">
        <w:t>Latvijas rietumu reģiona pārvades tīkl</w:t>
      </w:r>
      <w:r>
        <w:t>u (Kurzemes loks);</w:t>
      </w:r>
    </w:p>
    <w:p w:rsidR="00830767" w:rsidRDefault="00830767" w:rsidP="00E84407">
      <w:pPr>
        <w:numPr>
          <w:ilvl w:val="0"/>
          <w:numId w:val="39"/>
        </w:numPr>
        <w:spacing w:after="40"/>
        <w:ind w:left="850" w:hanging="357"/>
      </w:pPr>
      <w:r w:rsidRPr="00F03A33">
        <w:t>uzlabot</w:t>
      </w:r>
      <w:r>
        <w:t>a</w:t>
      </w:r>
      <w:r w:rsidRPr="00F03A33">
        <w:t xml:space="preserve"> </w:t>
      </w:r>
      <w:r w:rsidRPr="0010428A">
        <w:rPr>
          <w:i/>
        </w:rPr>
        <w:t>savienojamīb</w:t>
      </w:r>
      <w:r w:rsidR="00426BAD">
        <w:rPr>
          <w:i/>
        </w:rPr>
        <w:t>a</w:t>
      </w:r>
      <w:r w:rsidRPr="0010428A">
        <w:rPr>
          <w:i/>
        </w:rPr>
        <w:t xml:space="preserve"> ar ES enerģētikas tīkliem,</w:t>
      </w:r>
      <w:r>
        <w:t xml:space="preserve"> </w:t>
      </w:r>
      <w:r w:rsidRPr="00937919">
        <w:t xml:space="preserve">aktīvi iesaistoties jaunā Eiropas </w:t>
      </w:r>
      <w:r w:rsidR="00426BAD">
        <w:t>i</w:t>
      </w:r>
      <w:r w:rsidRPr="00937919">
        <w:t xml:space="preserve">nfrastruktūras </w:t>
      </w:r>
      <w:r w:rsidR="00426BAD">
        <w:t>s</w:t>
      </w:r>
      <w:r w:rsidRPr="00937919">
        <w:t xml:space="preserve">avienojumu instrumenta </w:t>
      </w:r>
      <w:r w:rsidR="00ED4BB2">
        <w:t>izveidē</w:t>
      </w:r>
      <w:r>
        <w:t>, v</w:t>
      </w:r>
      <w:r w:rsidRPr="00937919">
        <w:t>ienlaikus veicināt reģionālu sadarbību, lai pēc iespējas ātrāk vienotos par kopīgiem reģionālajiem projektiem</w:t>
      </w:r>
      <w:r w:rsidR="00426BAD">
        <w:t>,</w:t>
      </w:r>
      <w:r w:rsidRPr="00937919">
        <w:t xml:space="preserve"> kas vērsti uz visa Baltijas</w:t>
      </w:r>
      <w:r>
        <w:t xml:space="preserve"> </w:t>
      </w:r>
      <w:r w:rsidR="00426BAD">
        <w:t xml:space="preserve">jūras </w:t>
      </w:r>
      <w:r>
        <w:t>reģiona tirgus integrāciju ES;</w:t>
      </w:r>
    </w:p>
    <w:p w:rsidR="00830767" w:rsidRDefault="00C247D4" w:rsidP="00E84407">
      <w:pPr>
        <w:pStyle w:val="ListParagraph"/>
        <w:numPr>
          <w:ilvl w:val="0"/>
          <w:numId w:val="39"/>
        </w:numPr>
        <w:spacing w:after="40"/>
        <w:ind w:left="850" w:hanging="357"/>
        <w:contextualSpacing w:val="0"/>
      </w:pPr>
      <w:r w:rsidRPr="00685173">
        <w:t>t</w:t>
      </w:r>
      <w:r w:rsidR="00830767" w:rsidRPr="00685173">
        <w:t>u</w:t>
      </w:r>
      <w:r w:rsidRPr="00685173">
        <w:t>r</w:t>
      </w:r>
      <w:r w:rsidR="00830767" w:rsidRPr="00685173">
        <w:t>pinātas nepieciešamās darbības</w:t>
      </w:r>
      <w:r w:rsidR="00830767" w:rsidRPr="00B06290">
        <w:t xml:space="preserve"> Eiropas Parlamenta un Padomes 2009.gada 13.jūlija </w:t>
      </w:r>
      <w:r w:rsidR="00830767" w:rsidRPr="00B06290">
        <w:rPr>
          <w:i/>
        </w:rPr>
        <w:t>Direktīvas 2009/73/EK par kopīgiem noteikumiem attiecībā uz dabasgāzes iekšējo tirgu</w:t>
      </w:r>
      <w:r w:rsidR="00830767">
        <w:t xml:space="preserve"> </w:t>
      </w:r>
      <w:r w:rsidR="00830767" w:rsidRPr="00B06290">
        <w:t xml:space="preserve">un par </w:t>
      </w:r>
      <w:r w:rsidR="00830767" w:rsidRPr="00B06290">
        <w:rPr>
          <w:i/>
        </w:rPr>
        <w:t>Direktīvas 2003/55/EK</w:t>
      </w:r>
      <w:r w:rsidR="00830767" w:rsidRPr="00B06290">
        <w:t xml:space="preserve"> atcelšanu pilnīgai ieviešanai Latvijā.</w:t>
      </w:r>
      <w:r w:rsidR="00830767">
        <w:t xml:space="preserve"> </w:t>
      </w:r>
      <w:r w:rsidR="00685173">
        <w:rPr>
          <w:color w:val="000000"/>
        </w:rPr>
        <w:t xml:space="preserve">2013.gada 19.marta MK sēdē tika atbalstīts </w:t>
      </w:r>
      <w:r w:rsidR="00685173" w:rsidRPr="00685173">
        <w:rPr>
          <w:i/>
          <w:color w:val="000000"/>
        </w:rPr>
        <w:t>Informatīvais ziņojums par</w:t>
      </w:r>
      <w:r w:rsidR="00D45640">
        <w:rPr>
          <w:i/>
          <w:color w:val="000000"/>
        </w:rPr>
        <w:t xml:space="preserve"> </w:t>
      </w:r>
      <w:r w:rsidR="00685173" w:rsidRPr="00685173">
        <w:rPr>
          <w:i/>
          <w:color w:val="000000"/>
        </w:rPr>
        <w:t>dabasgāzes tirgus liberalizācijas turpmākajiem soļiem un iespējamajiem modeļiem</w:t>
      </w:r>
      <w:r w:rsidR="00685173">
        <w:rPr>
          <w:color w:val="000000"/>
        </w:rPr>
        <w:t>. EM tika uzdots turpināt padziļināti analizēt gāzes tirgus liberalizācijas modeļu priekšrocības un trūkumus, ka arī gatavoties sarunām ar AS „Latvijas Gāze” akcionāriem par virzību uz tirgus atvēršanu.</w:t>
      </w:r>
    </w:p>
    <w:p w:rsidR="00830767" w:rsidRDefault="00830767" w:rsidP="00830767">
      <w:pPr>
        <w:spacing w:before="120"/>
        <w:ind w:firstLine="567"/>
      </w:pPr>
      <w:r>
        <w:t>Kopumā augstākminēti pasākumi atbilst šīs rekomendācijas izpildei</w:t>
      </w:r>
      <w:r w:rsidR="002E328F">
        <w:t xml:space="preserve"> un </w:t>
      </w:r>
      <w:r w:rsidR="002E328F" w:rsidRPr="00353580">
        <w:rPr>
          <w:i/>
        </w:rPr>
        <w:t>2013.gada izaugsmes ziņojuma</w:t>
      </w:r>
      <w:r w:rsidR="002E328F">
        <w:t xml:space="preserve"> prioritātei attiecībā uz izaugsmes un konkurētspējas veicināšanu</w:t>
      </w:r>
      <w:r>
        <w:t xml:space="preserve">, taču </w:t>
      </w:r>
      <w:r>
        <w:lastRenderedPageBreak/>
        <w:t>pagaidām ir grūti novērtēt šo pasākumu ietekmi uz energoefektivitātes palielināšanu, kas būs redzama vidējā termiņā.</w:t>
      </w:r>
      <w:r w:rsidR="00327B14">
        <w:t xml:space="preserve"> Šie pasākumi veicina arī </w:t>
      </w:r>
      <w:r w:rsidR="00327B14" w:rsidRPr="00FF5C3A">
        <w:rPr>
          <w:i/>
        </w:rPr>
        <w:t>„Eiropa 2020”</w:t>
      </w:r>
      <w:r w:rsidR="00327B14">
        <w:t xml:space="preserve"> stratēģijas vadošās iniciatīvas </w:t>
      </w:r>
      <w:r w:rsidR="00327B14" w:rsidRPr="00327B14">
        <w:rPr>
          <w:i/>
        </w:rPr>
        <w:t>„Resursu ziņā efektīva Eiropa”</w:t>
      </w:r>
      <w:r w:rsidR="00327B14">
        <w:t xml:space="preserve"> īstenošanu. </w:t>
      </w:r>
    </w:p>
    <w:p w:rsidR="00830767" w:rsidRDefault="00830767" w:rsidP="00830767">
      <w:pPr>
        <w:ind w:firstLine="567"/>
        <w:rPr>
          <w:color w:val="000000"/>
          <w:shd w:val="clear" w:color="auto" w:fill="FFFFFF"/>
        </w:rPr>
      </w:pPr>
      <w:r>
        <w:t xml:space="preserve">Pastāv arī riski saistībā ar ieplānoto tirgus liberalizāciju lielākajos </w:t>
      </w:r>
      <w:r w:rsidRPr="00FF2198">
        <w:rPr>
          <w:color w:val="000000"/>
          <w:shd w:val="clear" w:color="auto" w:fill="FFFFFF"/>
        </w:rPr>
        <w:t>enerģētikas tīklos</w:t>
      </w:r>
      <w:r>
        <w:rPr>
          <w:color w:val="000000"/>
          <w:shd w:val="clear" w:color="auto" w:fill="FFFFFF"/>
        </w:rPr>
        <w:t xml:space="preserve">, kur </w:t>
      </w:r>
      <w:r w:rsidRPr="00307744">
        <w:rPr>
          <w:color w:val="000000"/>
          <w:shd w:val="clear" w:color="auto" w:fill="FFFFFF"/>
        </w:rPr>
        <w:t xml:space="preserve">situācija katrā no šīm sektoriem ir ļoti atšķirīga. </w:t>
      </w:r>
      <w:r>
        <w:rPr>
          <w:color w:val="000000"/>
          <w:shd w:val="clear" w:color="auto" w:fill="FFFFFF"/>
        </w:rPr>
        <w:t>D</w:t>
      </w:r>
      <w:r w:rsidRPr="00307744">
        <w:rPr>
          <w:color w:val="000000"/>
          <w:shd w:val="clear" w:color="auto" w:fill="FFFFFF"/>
        </w:rPr>
        <w:t xml:space="preserve">abasgāzes tirgū joprojām pastāv ierobežojumi attiecībā uz liberalizāciju, kas ir arī atrunāti </w:t>
      </w:r>
      <w:r w:rsidRPr="00B95D83">
        <w:rPr>
          <w:i/>
          <w:color w:val="000000"/>
          <w:shd w:val="clear" w:color="auto" w:fill="FFFFFF"/>
        </w:rPr>
        <w:t>Trešās enerģētikas paketes</w:t>
      </w:r>
      <w:r w:rsidRPr="00307744">
        <w:rPr>
          <w:color w:val="000000"/>
          <w:shd w:val="clear" w:color="auto" w:fill="FFFFFF"/>
        </w:rPr>
        <w:t xml:space="preserve"> ietvaros. Tāpēc šajā sektorā konkurence ir pakārtota nepieciešamībai attīstīt dabasgāzes infrastruktūru un jaunus piegādes avotus. Elektroenerģijas tirgus ir samērā labi attīstīts un darbojas atbilstoši </w:t>
      </w:r>
      <w:r w:rsidRPr="00B95D83">
        <w:rPr>
          <w:i/>
          <w:color w:val="000000"/>
          <w:shd w:val="clear" w:color="auto" w:fill="FFFFFF"/>
        </w:rPr>
        <w:t>Trešās enerģētikas paketes</w:t>
      </w:r>
      <w:r>
        <w:rPr>
          <w:color w:val="000000"/>
          <w:shd w:val="clear" w:color="auto" w:fill="FFFFFF"/>
        </w:rPr>
        <w:t xml:space="preserve"> prasībām.</w:t>
      </w:r>
    </w:p>
    <w:p w:rsidR="00FB2516" w:rsidRPr="00FB2516" w:rsidRDefault="00830767" w:rsidP="00830767">
      <w:pPr>
        <w:ind w:firstLine="567"/>
      </w:pPr>
      <w:r w:rsidRPr="00B06290">
        <w:rPr>
          <w:color w:val="000000"/>
          <w:shd w:val="clear" w:color="auto" w:fill="FFFFFF"/>
        </w:rPr>
        <w:t>Lai veicinātu konkurenci siltumapgādes sektorā, nepieciešamas apjomīgas investīcijas, pateicoties šī sektora specifikai</w:t>
      </w:r>
      <w:r>
        <w:rPr>
          <w:color w:val="000000"/>
          <w:shd w:val="clear" w:color="auto" w:fill="FFFFFF"/>
        </w:rPr>
        <w:t xml:space="preserve">. </w:t>
      </w:r>
      <w:r w:rsidRPr="00307744">
        <w:rPr>
          <w:color w:val="000000"/>
          <w:shd w:val="clear" w:color="auto" w:fill="FFFFFF"/>
        </w:rPr>
        <w:t>Līdz ar to konkurence siltumapgādē tiks nodrošināta tur, kur tā ir ekonomiski pamatota un iespējama.</w:t>
      </w:r>
      <w:r w:rsidRPr="00FF2198">
        <w:rPr>
          <w:color w:val="000000"/>
          <w:shd w:val="clear" w:color="auto" w:fill="FFFFFF"/>
        </w:rPr>
        <w:t xml:space="preserve"> </w:t>
      </w:r>
      <w:r>
        <w:rPr>
          <w:color w:val="000000"/>
          <w:shd w:val="clear" w:color="auto" w:fill="FFFFFF"/>
        </w:rPr>
        <w:t xml:space="preserve">Tāpat riski var būt saistīti ar </w:t>
      </w:r>
      <w:r w:rsidRPr="00FF2198">
        <w:rPr>
          <w:color w:val="000000"/>
          <w:shd w:val="clear" w:color="auto" w:fill="FFFFFF"/>
        </w:rPr>
        <w:t>savienojamīb</w:t>
      </w:r>
      <w:r>
        <w:rPr>
          <w:color w:val="000000"/>
          <w:shd w:val="clear" w:color="auto" w:fill="FFFFFF"/>
        </w:rPr>
        <w:t>as uzlabošanas</w:t>
      </w:r>
      <w:r w:rsidRPr="00FF2198">
        <w:rPr>
          <w:color w:val="000000"/>
          <w:shd w:val="clear" w:color="auto" w:fill="FFFFFF"/>
        </w:rPr>
        <w:t xml:space="preserve"> ar ES enerģētikas tīkliem</w:t>
      </w:r>
      <w:r>
        <w:t xml:space="preserve"> nobīdi no ieplānotā laika grafika. </w:t>
      </w:r>
      <w:r w:rsidRPr="00962F19">
        <w:t>Ņemot vērā augstākminēto, šo ES Padomes rekomendāciju Latvija</w:t>
      </w:r>
      <w:r w:rsidR="00DA7387">
        <w:t>,</w:t>
      </w:r>
      <w:r w:rsidRPr="00962F19">
        <w:t xml:space="preserve"> visticamāk</w:t>
      </w:r>
      <w:r w:rsidR="00DA7387">
        <w:t>,</w:t>
      </w:r>
      <w:r w:rsidRPr="00962F19">
        <w:t xml:space="preserve"> izpildīs daļēji.</w:t>
      </w:r>
    </w:p>
    <w:p w:rsidR="001458EF" w:rsidRPr="00B703A3" w:rsidRDefault="001458EF" w:rsidP="001458EF">
      <w:pPr>
        <w:pStyle w:val="Heading2"/>
        <w:spacing w:before="360" w:after="120"/>
        <w:jc w:val="center"/>
        <w:rPr>
          <w:rFonts w:ascii="Times New Roman Bold" w:hAnsi="Times New Roman Bold"/>
          <w:smallCaps/>
          <w:sz w:val="24"/>
          <w:szCs w:val="24"/>
        </w:rPr>
      </w:pPr>
      <w:bookmarkStart w:id="14" w:name="_Toc354384927"/>
      <w:r w:rsidRPr="00B703A3">
        <w:rPr>
          <w:rFonts w:ascii="Times New Roman Bold" w:hAnsi="Times New Roman Bold"/>
          <w:smallCaps/>
          <w:sz w:val="24"/>
          <w:szCs w:val="24"/>
        </w:rPr>
        <w:t>2.6. Tiesu sistēmas pārvaldība un efektivitāte</w:t>
      </w:r>
      <w:r w:rsidR="00574E20" w:rsidRPr="00B703A3">
        <w:rPr>
          <w:rFonts w:ascii="Times New Roman Bold" w:hAnsi="Times New Roman Bold"/>
          <w:smallCaps/>
          <w:sz w:val="24"/>
          <w:szCs w:val="24"/>
        </w:rPr>
        <w:t xml:space="preserve">, maksātnespējas regulējums un </w:t>
      </w:r>
      <w:proofErr w:type="spellStart"/>
      <w:r w:rsidR="00574E20" w:rsidRPr="00B703A3">
        <w:rPr>
          <w:rFonts w:ascii="Times New Roman Bold" w:hAnsi="Times New Roman Bold"/>
          <w:smallCaps/>
          <w:sz w:val="24"/>
          <w:szCs w:val="24"/>
        </w:rPr>
        <w:t>mediācijas</w:t>
      </w:r>
      <w:proofErr w:type="spellEnd"/>
      <w:r w:rsidR="00574E20" w:rsidRPr="00B703A3">
        <w:rPr>
          <w:rFonts w:ascii="Times New Roman Bold" w:hAnsi="Times New Roman Bold"/>
          <w:smallCaps/>
          <w:sz w:val="24"/>
          <w:szCs w:val="24"/>
        </w:rPr>
        <w:t xml:space="preserve"> tiesības</w:t>
      </w:r>
      <w:bookmarkEnd w:id="14"/>
    </w:p>
    <w:p w:rsidR="00FB3A61" w:rsidRDefault="00FB3A61" w:rsidP="00FB3A61">
      <w:pPr>
        <w:ind w:firstLine="567"/>
        <w:rPr>
          <w:b/>
        </w:rPr>
      </w:pPr>
      <w:r w:rsidRPr="00962F19">
        <w:rPr>
          <w:b/>
        </w:rPr>
        <w:t xml:space="preserve">ES Padome rekomendē Latvijai </w:t>
      </w:r>
      <w:r w:rsidRPr="001458EF">
        <w:rPr>
          <w:b/>
        </w:rPr>
        <w:t xml:space="preserve">veikt pasākumus tiesu sistēmas pārvaldības un efektivitātes uzlabošanai, jo īpaši lai samazinātu neiztiesāto lietu skaitu un tiesvedības ilgumu. Strādāt pie tā, lai uzlabotu maksātnespējas regulējumu un </w:t>
      </w:r>
      <w:proofErr w:type="spellStart"/>
      <w:r w:rsidRPr="001458EF">
        <w:rPr>
          <w:b/>
        </w:rPr>
        <w:t>mediācijas</w:t>
      </w:r>
      <w:proofErr w:type="spellEnd"/>
      <w:r w:rsidRPr="001458EF">
        <w:rPr>
          <w:b/>
        </w:rPr>
        <w:t xml:space="preserve"> tiesības.</w:t>
      </w:r>
    </w:p>
    <w:p w:rsidR="00FB3A61" w:rsidRPr="00937939" w:rsidRDefault="00FB3A61" w:rsidP="00FB3A61">
      <w:pPr>
        <w:pStyle w:val="ListParagraph"/>
        <w:suppressAutoHyphens/>
        <w:spacing w:before="120"/>
        <w:ind w:left="0" w:firstLine="567"/>
        <w:contextualSpacing w:val="0"/>
      </w:pPr>
      <w:r>
        <w:t xml:space="preserve">Lai uzlabotu </w:t>
      </w:r>
      <w:r w:rsidRPr="00854CF4">
        <w:rPr>
          <w:b/>
          <w:i/>
        </w:rPr>
        <w:t>tiesu sistēmas pārvaldību un efektivitāti</w:t>
      </w:r>
      <w:r>
        <w:t xml:space="preserve"> Latvijā</w:t>
      </w:r>
      <w:r w:rsidR="00616C1E">
        <w:t>, ir veikti šādi grozījumi likumos</w:t>
      </w:r>
      <w:r>
        <w:t>:</w:t>
      </w:r>
    </w:p>
    <w:p w:rsidR="00FB3A61" w:rsidRPr="00591081" w:rsidRDefault="00616C1E" w:rsidP="00E84407">
      <w:pPr>
        <w:numPr>
          <w:ilvl w:val="0"/>
          <w:numId w:val="28"/>
        </w:numPr>
      </w:pPr>
      <w:r>
        <w:t xml:space="preserve">ar </w:t>
      </w:r>
      <w:r w:rsidR="00FB3A61" w:rsidRPr="00591081">
        <w:t>2012.gada 1.jūlij</w:t>
      </w:r>
      <w:r>
        <w:t>u</w:t>
      </w:r>
      <w:r w:rsidR="00FB3A61" w:rsidRPr="00591081">
        <w:t xml:space="preserve"> stājās spēkā </w:t>
      </w:r>
      <w:r w:rsidR="00FB3A61" w:rsidRPr="00854CF4">
        <w:rPr>
          <w:i/>
        </w:rPr>
        <w:t>Grozījumi Kriminālprocesa likumā</w:t>
      </w:r>
      <w:r w:rsidR="00FB3A61" w:rsidRPr="00591081">
        <w:t>, kuri paredz būtiski samazināt krimināllietu iztiesāšanas termiņus, tādējādi samazinot tiesvedības ilgumu kopumā;</w:t>
      </w:r>
    </w:p>
    <w:p w:rsidR="00FB3A61" w:rsidRDefault="00616C1E" w:rsidP="00E84407">
      <w:pPr>
        <w:pStyle w:val="ListParagraph"/>
        <w:numPr>
          <w:ilvl w:val="0"/>
          <w:numId w:val="28"/>
        </w:numPr>
        <w:suppressAutoHyphens/>
        <w:contextualSpacing w:val="0"/>
      </w:pPr>
      <w:r>
        <w:t xml:space="preserve">ar </w:t>
      </w:r>
      <w:r w:rsidR="00FB3A61" w:rsidRPr="00591081">
        <w:t>2013.gada 1.janvār</w:t>
      </w:r>
      <w:r>
        <w:t>i</w:t>
      </w:r>
      <w:r w:rsidR="00FB3A61" w:rsidRPr="00591081">
        <w:t xml:space="preserve"> </w:t>
      </w:r>
      <w:r w:rsidR="00FB3A61">
        <w:t xml:space="preserve">stājās spēkā </w:t>
      </w:r>
      <w:r w:rsidR="00FB3A61" w:rsidRPr="00854CF4">
        <w:rPr>
          <w:i/>
        </w:rPr>
        <w:t>Grozījumi</w:t>
      </w:r>
      <w:r w:rsidR="00FB3A61" w:rsidRPr="00854CF4">
        <w:t xml:space="preserve"> </w:t>
      </w:r>
      <w:r w:rsidR="00FB3A61" w:rsidRPr="00854CF4">
        <w:rPr>
          <w:i/>
        </w:rPr>
        <w:t>tiesu var</w:t>
      </w:r>
      <w:r w:rsidR="00FB3A61">
        <w:rPr>
          <w:i/>
        </w:rPr>
        <w:t>as likumā</w:t>
      </w:r>
      <w:r w:rsidR="00FB3A61" w:rsidRPr="00591081">
        <w:t>, kuri paredz ieviest tiesnešu profesionālās darbības novērtēšanas procesu ar mērķi veicināt tiesneša nepārtrauktu profesionālo izaugsmi visā karjeras laikā, tādējādi uzlabojot tiesneša un tiesas darba kvalitāti</w:t>
      </w:r>
      <w:r w:rsidR="00FB3A61">
        <w:t xml:space="preserve">. </w:t>
      </w:r>
    </w:p>
    <w:p w:rsidR="00FB3A61" w:rsidRPr="00591081" w:rsidRDefault="00FB3A61" w:rsidP="00FB3A61">
      <w:pPr>
        <w:pStyle w:val="ListParagraph"/>
        <w:suppressAutoHyphens/>
        <w:contextualSpacing w:val="0"/>
      </w:pPr>
      <w:r>
        <w:t>G</w:t>
      </w:r>
      <w:r w:rsidRPr="00591081">
        <w:t>rozījumu ietvaros tika ieviesta „tīro tiesu instanču sistēma”, paredzot pakāpenisku (kriminālprocesā pabeigt līdz 2015.gadam, bet civilprocesā – līdz 2019.gadam) Augstākās tiesas palātu likvidāciju un visu lietu nodošanu izskatīšanai pirmajā instancē rajona (pilsētas) tiesām</w:t>
      </w:r>
      <w:r>
        <w:t>.</w:t>
      </w:r>
      <w:r w:rsidRPr="00591081">
        <w:t xml:space="preserve"> </w:t>
      </w:r>
      <w:r>
        <w:t>R</w:t>
      </w:r>
      <w:r w:rsidRPr="00591081">
        <w:t xml:space="preserve">ezultātā </w:t>
      </w:r>
      <w:r>
        <w:t xml:space="preserve">paredzams, ka </w:t>
      </w:r>
      <w:r w:rsidRPr="00591081">
        <w:t>lietu izskatīšana kļūs efektīvāka un kvalitatīvāka, kā arī tiks novērsta tiesu instanču kompetenču sadrumstalotība, tiks panākta pieejamo tiesu sistēmas resursu izmantošana pēc iespējas racionālāk, efektīvāk un ekonomiskāk, kā arī tiks veicināta tiesu pieejamība;</w:t>
      </w:r>
    </w:p>
    <w:p w:rsidR="00FB3A61" w:rsidRPr="00591081" w:rsidRDefault="00616C1E" w:rsidP="00E84407">
      <w:pPr>
        <w:numPr>
          <w:ilvl w:val="0"/>
          <w:numId w:val="28"/>
        </w:numPr>
      </w:pPr>
      <w:r>
        <w:t xml:space="preserve">ar </w:t>
      </w:r>
      <w:r w:rsidR="00FB3A61" w:rsidRPr="00591081">
        <w:t>2013.gada 1.janvār</w:t>
      </w:r>
      <w:r>
        <w:t>i</w:t>
      </w:r>
      <w:r w:rsidR="00FB3A61" w:rsidRPr="00591081">
        <w:t xml:space="preserve"> </w:t>
      </w:r>
      <w:r w:rsidR="00FB3A61">
        <w:t xml:space="preserve">stājās spēkā </w:t>
      </w:r>
      <w:r w:rsidR="00FB3A61" w:rsidRPr="00854CF4">
        <w:rPr>
          <w:i/>
        </w:rPr>
        <w:t>Grozījumi Administratīvā procesa likumā</w:t>
      </w:r>
      <w:r w:rsidR="00FB3A61" w:rsidRPr="00591081">
        <w:t>, kuri nodrošina pāreju uz rakstveida procesu kā pamata procesu administratīvajās lietās, samazinot jautājumu loku, kuru kontekstā var iesniegt blakus sūdzību;</w:t>
      </w:r>
    </w:p>
    <w:p w:rsidR="00FB3A61" w:rsidRPr="00591081" w:rsidRDefault="00616C1E" w:rsidP="00E84407">
      <w:pPr>
        <w:numPr>
          <w:ilvl w:val="0"/>
          <w:numId w:val="28"/>
        </w:numPr>
      </w:pPr>
      <w:r>
        <w:rPr>
          <w:bCs/>
        </w:rPr>
        <w:t xml:space="preserve">ar </w:t>
      </w:r>
      <w:r w:rsidR="00FB3A61" w:rsidRPr="00854CF4">
        <w:rPr>
          <w:bCs/>
        </w:rPr>
        <w:t>2013.gada 1.janvār</w:t>
      </w:r>
      <w:r>
        <w:rPr>
          <w:bCs/>
        </w:rPr>
        <w:t>i</w:t>
      </w:r>
      <w:r w:rsidR="00FB3A61">
        <w:rPr>
          <w:bCs/>
        </w:rPr>
        <w:t xml:space="preserve"> </w:t>
      </w:r>
      <w:r w:rsidR="00FB3A61" w:rsidRPr="00854CF4">
        <w:rPr>
          <w:bCs/>
        </w:rPr>
        <w:t>stājās spēkā</w:t>
      </w:r>
      <w:r w:rsidR="00FB3A61">
        <w:rPr>
          <w:bCs/>
        </w:rPr>
        <w:t xml:space="preserve"> </w:t>
      </w:r>
      <w:r w:rsidR="00FB3A61" w:rsidRPr="00521D7F">
        <w:rPr>
          <w:rStyle w:val="st"/>
          <w:i/>
        </w:rPr>
        <w:t>Grozījumi Civilprocesa likumā</w:t>
      </w:r>
      <w:r w:rsidR="00FB3A61">
        <w:rPr>
          <w:rFonts w:eastAsia="Times New Roman"/>
        </w:rPr>
        <w:t xml:space="preserve">, kuru </w:t>
      </w:r>
      <w:r w:rsidR="00FB3A61" w:rsidRPr="00521D7F">
        <w:rPr>
          <w:bCs/>
        </w:rPr>
        <w:t>mērķi</w:t>
      </w:r>
      <w:r w:rsidR="00FB3A61">
        <w:rPr>
          <w:bCs/>
        </w:rPr>
        <w:t>s ir</w:t>
      </w:r>
      <w:r w:rsidR="00FB3A61" w:rsidRPr="00521D7F">
        <w:rPr>
          <w:bCs/>
        </w:rPr>
        <w:t xml:space="preserve"> mazināt lietu izskatīšanas skaitu un nodrošināt personu sasniedzamību. Tika nostiprināta deklarētās dzīvesvietas nozīme, proti, </w:t>
      </w:r>
      <w:r w:rsidR="00FB3A61" w:rsidRPr="00591081">
        <w:t>paredzot deklarēto dzīvesvietu kā jurisdikcijas pamatu un to, ka, ja tiesas dokumenti tiek sūtīti uz deklarēto dzīvesvietu, tie ir uzskatāmi par izsniegtiem</w:t>
      </w:r>
      <w:r w:rsidR="00FB3A61" w:rsidRPr="00521D7F">
        <w:rPr>
          <w:bCs/>
        </w:rPr>
        <w:t>. Lai izlīdzinātu apvērsuma prasību skaitu starp visām Latvijas tiesām (lielākais skaits šādu apvērsuma prasību tiek celts pret kredītiestādēm, kuru juridiskās adreses pārsvarā gadījumu reģistrētas Rīgā un tai pieguļošajos novados), apvērsuma prasība ceļama tajā tiesā, kura izskatīja attiecīgo pieteikumu</w:t>
      </w:r>
      <w:r>
        <w:rPr>
          <w:bCs/>
        </w:rPr>
        <w:t>.</w:t>
      </w:r>
    </w:p>
    <w:p w:rsidR="00FB3A61" w:rsidRPr="00591081" w:rsidRDefault="00FB3A61" w:rsidP="00616C1E">
      <w:pPr>
        <w:spacing w:before="120"/>
        <w:ind w:firstLine="567"/>
      </w:pPr>
      <w:r w:rsidRPr="00591081">
        <w:t xml:space="preserve">Īstenojot Latvijas un Šveices sadarbības programmas individuālo projektu </w:t>
      </w:r>
      <w:r w:rsidRPr="006F0615">
        <w:rPr>
          <w:i/>
        </w:rPr>
        <w:t>„Tiesu modernizācija Latvijā”</w:t>
      </w:r>
      <w:r w:rsidRPr="00591081">
        <w:t xml:space="preserve">, kas ir vērsts gan uz tiesas pieejamības veicināšanu, gan tiesas procesa </w:t>
      </w:r>
      <w:r w:rsidRPr="00591081">
        <w:lastRenderedPageBreak/>
        <w:t xml:space="preserve">un tiesas darba </w:t>
      </w:r>
      <w:proofErr w:type="spellStart"/>
      <w:r w:rsidRPr="00591081">
        <w:t>efektivizēšanu</w:t>
      </w:r>
      <w:proofErr w:type="spellEnd"/>
      <w:r w:rsidRPr="00591081">
        <w:t>, tostarp neiztiesāto lietu un tiesvedības ilguma samazināšanu, ir īstenoti šādi pasākumi:</w:t>
      </w:r>
    </w:p>
    <w:p w:rsidR="00FB3A61" w:rsidRPr="00591081" w:rsidRDefault="00FB3A61" w:rsidP="00E84407">
      <w:pPr>
        <w:pStyle w:val="ListParagraph"/>
        <w:numPr>
          <w:ilvl w:val="1"/>
          <w:numId w:val="41"/>
        </w:numPr>
        <w:suppressAutoHyphens/>
        <w:ind w:left="709"/>
        <w:contextualSpacing w:val="0"/>
      </w:pPr>
      <w:r>
        <w:t xml:space="preserve">tiesu </w:t>
      </w:r>
      <w:r w:rsidRPr="00591081">
        <w:t>un ieslodzījuma viet</w:t>
      </w:r>
      <w:r>
        <w:t>as</w:t>
      </w:r>
      <w:r w:rsidRPr="00591081">
        <w:t xml:space="preserve"> aprīko</w:t>
      </w:r>
      <w:r>
        <w:t>tas</w:t>
      </w:r>
      <w:r w:rsidRPr="00591081">
        <w:t xml:space="preserve"> ar audio</w:t>
      </w:r>
      <w:r>
        <w:t>, skaņas ieraksta</w:t>
      </w:r>
      <w:r w:rsidRPr="00591081">
        <w:t xml:space="preserve"> un videokonferenču iekārtām, samazinot lietas dalībnieku ceļa izdevumus un patērējamo laiku</w:t>
      </w:r>
      <w:r>
        <w:t>,</w:t>
      </w:r>
      <w:r w:rsidRPr="00591081">
        <w:t xml:space="preserve"> atlikto tiesas sēžu skait</w:t>
      </w:r>
      <w:r>
        <w:t>u</w:t>
      </w:r>
      <w:r w:rsidRPr="00591081">
        <w:t xml:space="preserve"> un nepieciešamīb</w:t>
      </w:r>
      <w:r>
        <w:t>u</w:t>
      </w:r>
      <w:r w:rsidRPr="00591081">
        <w:t xml:space="preserve"> pārvietot (konvojēt) apcietināto personu no ieslodzījuma vietas uz tiesu</w:t>
      </w:r>
      <w:r>
        <w:t xml:space="preserve">, </w:t>
      </w:r>
      <w:r w:rsidRPr="00591081">
        <w:t>tiesu darba apjomu atti</w:t>
      </w:r>
      <w:r>
        <w:t>ecībā uz dokumentu sagatavošanu</w:t>
      </w:r>
      <w:r w:rsidRPr="00591081">
        <w:t>;</w:t>
      </w:r>
    </w:p>
    <w:p w:rsidR="00FB3A61" w:rsidRPr="00591081" w:rsidRDefault="00FB3A61" w:rsidP="00E84407">
      <w:pPr>
        <w:pStyle w:val="ListParagraph"/>
        <w:numPr>
          <w:ilvl w:val="1"/>
          <w:numId w:val="41"/>
        </w:numPr>
        <w:suppressAutoHyphens/>
        <w:ind w:left="709"/>
        <w:contextualSpacing w:val="0"/>
      </w:pPr>
      <w:r w:rsidRPr="00591081">
        <w:t>pilnveidot</w:t>
      </w:r>
      <w:r>
        <w:t>a</w:t>
      </w:r>
      <w:r w:rsidRPr="00591081">
        <w:t xml:space="preserve"> </w:t>
      </w:r>
      <w:r w:rsidRPr="006F0615">
        <w:t>Tiesu informatīvās sistēmas</w:t>
      </w:r>
      <w:r w:rsidRPr="00591081">
        <w:t xml:space="preserve"> funkcionalitāt</w:t>
      </w:r>
      <w:r>
        <w:t>e</w:t>
      </w:r>
      <w:r w:rsidRPr="00591081">
        <w:t>, nodrošinot elektro</w:t>
      </w:r>
      <w:r>
        <w:t>nisko dokumentu apstrādi tiesās</w:t>
      </w:r>
      <w:r w:rsidRPr="00591081">
        <w:t xml:space="preserve">; </w:t>
      </w:r>
    </w:p>
    <w:p w:rsidR="00FB3A61" w:rsidRPr="00591081" w:rsidRDefault="00FB3A61" w:rsidP="00E84407">
      <w:pPr>
        <w:pStyle w:val="ListParagraph"/>
        <w:numPr>
          <w:ilvl w:val="1"/>
          <w:numId w:val="41"/>
        </w:numPr>
        <w:suppressAutoHyphens/>
        <w:ind w:left="709"/>
        <w:contextualSpacing w:val="0"/>
      </w:pPr>
      <w:r w:rsidRPr="00591081">
        <w:t>izstrādāt</w:t>
      </w:r>
      <w:r>
        <w:t>s</w:t>
      </w:r>
      <w:r w:rsidRPr="00591081">
        <w:t xml:space="preserve"> datu izplatīšanas risinājum</w:t>
      </w:r>
      <w:r>
        <w:t>s</w:t>
      </w:r>
      <w:r w:rsidRPr="00591081">
        <w:t>, nodrošinot tiesas nolēmumu apstrādi (</w:t>
      </w:r>
      <w:proofErr w:type="spellStart"/>
      <w:r w:rsidRPr="00591081">
        <w:t>anonimizāciju</w:t>
      </w:r>
      <w:proofErr w:type="spellEnd"/>
      <w:r w:rsidRPr="00591081">
        <w:t>) un pieejamību interneta vidē, radot platformu tiesu elektronisko pakalpojumu izveidei</w:t>
      </w:r>
      <w:r>
        <w:t xml:space="preserve">, </w:t>
      </w:r>
      <w:proofErr w:type="spellStart"/>
      <w:r>
        <w:t>t.sk</w:t>
      </w:r>
      <w:proofErr w:type="spellEnd"/>
      <w:r>
        <w:t>., ieviešot elektronisko advokātu kalendāru</w:t>
      </w:r>
      <w:r w:rsidRPr="00591081">
        <w:t xml:space="preserve">. Projekta ietvaros izstrādāts arī tiesas nolēmumu </w:t>
      </w:r>
      <w:proofErr w:type="spellStart"/>
      <w:r w:rsidRPr="00591081">
        <w:t>anonimizācijas</w:t>
      </w:r>
      <w:proofErr w:type="spellEnd"/>
      <w:r w:rsidRPr="00591081">
        <w:t xml:space="preserve"> risinājums, kurš paredz visu atklātā tiesas sēdē pieņemtu tiesas nolēmumu automātisku </w:t>
      </w:r>
      <w:proofErr w:type="spellStart"/>
      <w:r w:rsidRPr="00591081">
        <w:t>anonimizāciju</w:t>
      </w:r>
      <w:proofErr w:type="spellEnd"/>
      <w:r w:rsidRPr="00591081">
        <w:t xml:space="preserve"> un publicēšanu tiesu portālā </w:t>
      </w:r>
      <w:proofErr w:type="spellStart"/>
      <w:r w:rsidRPr="00E22E44">
        <w:rPr>
          <w:u w:val="single"/>
        </w:rPr>
        <w:t>www.tiesas.lv</w:t>
      </w:r>
      <w:proofErr w:type="spellEnd"/>
      <w:r w:rsidRPr="00591081">
        <w:t>;</w:t>
      </w:r>
    </w:p>
    <w:p w:rsidR="00FB3A61" w:rsidRDefault="00FB3A61" w:rsidP="00E84407">
      <w:pPr>
        <w:pStyle w:val="ListParagraph"/>
        <w:numPr>
          <w:ilvl w:val="1"/>
          <w:numId w:val="41"/>
        </w:numPr>
        <w:suppressAutoHyphens/>
        <w:ind w:left="709"/>
        <w:contextualSpacing w:val="0"/>
      </w:pPr>
      <w:r w:rsidRPr="00591081">
        <w:t>veikta tiesvedības procesu efektivitātes izvērtēšana un izstrādāta tiesas procedūru pašizmaksu noteikšanas metodika, kas vērsta uz to, lai uzlabotu tiesu sistēmas pārvaldību, nodrošinot atbilstoš</w:t>
      </w:r>
      <w:r>
        <w:t>u un efektīvu resursu plānošanu</w:t>
      </w:r>
      <w:r w:rsidR="007C0F98">
        <w:t>;</w:t>
      </w:r>
    </w:p>
    <w:p w:rsidR="007C0F98" w:rsidRDefault="007C0F98" w:rsidP="00E84407">
      <w:pPr>
        <w:pStyle w:val="ListParagraph"/>
        <w:numPr>
          <w:ilvl w:val="1"/>
          <w:numId w:val="41"/>
        </w:numPr>
        <w:suppressAutoHyphens/>
        <w:ind w:left="709"/>
        <w:contextualSpacing w:val="0"/>
      </w:pPr>
      <w:r>
        <w:t>ir izstrādāta tiesnešu specializācijas pamatprincipu un lietas slodzes rādītāju noteikšanas kārtība, kuras mērķis ir nostiprināt tiesnešu specializācijas principus un lietas slodzes rādītājus, to noteikšanas kvalitāti, caurspīdīgumu un vienotību. Ar minētās kārtības pieņemšanu lietu slodzes rādītāji līdzīgās lietās tiks noteikti līdzīgi, tādējādi nodrošinot vienmērīgu un salīdzināmu tiesnešu noslodzi;</w:t>
      </w:r>
    </w:p>
    <w:p w:rsidR="007C0F98" w:rsidRDefault="007C0F98" w:rsidP="00E84407">
      <w:pPr>
        <w:pStyle w:val="ListParagraph"/>
        <w:numPr>
          <w:ilvl w:val="1"/>
          <w:numId w:val="41"/>
        </w:numPr>
        <w:suppressAutoHyphens/>
        <w:ind w:left="709"/>
        <w:contextualSpacing w:val="0"/>
      </w:pPr>
      <w:r>
        <w:t>ir plānots īstenot reformu, kurā kā viena no galvenajām prioritātēm minēta tiesībaizsardzības iestāžu darbinieku apmācības un kvalifikācijas celšana, ko paredzēts īstenot, veidojot jaunas apmācību programmas, izstrādājot rokasgrāmatas un mācību materiālus, veicot starpdisciplinārās apmācības, kā arī veicinot moderno tehnoloģiju izmantošanu apmācību procesā.</w:t>
      </w:r>
    </w:p>
    <w:p w:rsidR="00340B31" w:rsidRPr="00340B31" w:rsidRDefault="00340B31" w:rsidP="00340B31">
      <w:pPr>
        <w:suppressAutoHyphens/>
        <w:spacing w:before="120"/>
        <w:ind w:firstLine="567"/>
      </w:pPr>
      <w:r w:rsidRPr="00340B31">
        <w:rPr>
          <w:rFonts w:eastAsia="Times New Roman"/>
          <w:iCs/>
          <w:color w:val="000000"/>
        </w:rPr>
        <w:t xml:space="preserve">Īstenojot </w:t>
      </w:r>
      <w:r w:rsidRPr="00340B31">
        <w:rPr>
          <w:rFonts w:eastAsia="Times New Roman"/>
          <w:i/>
          <w:iCs/>
          <w:color w:val="000000"/>
        </w:rPr>
        <w:t>Kriminālsodu politikas koncepciju</w:t>
      </w:r>
      <w:r w:rsidR="001A6446">
        <w:rPr>
          <w:rFonts w:eastAsia="Times New Roman"/>
          <w:i/>
          <w:iCs/>
          <w:color w:val="000000"/>
        </w:rPr>
        <w:t>,</w:t>
      </w:r>
      <w:r w:rsidRPr="00340B31">
        <w:rPr>
          <w:rFonts w:eastAsia="Times New Roman"/>
          <w:iCs/>
          <w:color w:val="000000"/>
        </w:rPr>
        <w:t xml:space="preserve"> 2013.gada 1.aprīlī </w:t>
      </w:r>
      <w:r w:rsidRPr="00A4040B">
        <w:rPr>
          <w:rFonts w:eastAsia="Times New Roman"/>
          <w:iCs/>
          <w:color w:val="000000"/>
        </w:rPr>
        <w:t>stā</w:t>
      </w:r>
      <w:r w:rsidR="00A4040B" w:rsidRPr="00A4040B">
        <w:rPr>
          <w:rFonts w:eastAsia="Times New Roman"/>
          <w:iCs/>
          <w:color w:val="000000"/>
        </w:rPr>
        <w:t>jās</w:t>
      </w:r>
      <w:r w:rsidR="00A4040B">
        <w:rPr>
          <w:rFonts w:eastAsia="Times New Roman"/>
          <w:iCs/>
          <w:color w:val="000000"/>
        </w:rPr>
        <w:t xml:space="preserve"> spēkā</w:t>
      </w:r>
      <w:r w:rsidRPr="00340B31">
        <w:rPr>
          <w:rFonts w:eastAsia="Times New Roman"/>
          <w:iCs/>
          <w:color w:val="000000"/>
        </w:rPr>
        <w:t xml:space="preserve"> grozījumi </w:t>
      </w:r>
      <w:r w:rsidRPr="00340B31">
        <w:rPr>
          <w:rFonts w:eastAsia="Times New Roman"/>
          <w:i/>
          <w:iCs/>
          <w:color w:val="000000"/>
        </w:rPr>
        <w:t>Krimināllikumā</w:t>
      </w:r>
      <w:r w:rsidRPr="00340B31">
        <w:rPr>
          <w:rFonts w:eastAsia="Times New Roman"/>
          <w:iCs/>
          <w:color w:val="000000"/>
        </w:rPr>
        <w:t xml:space="preserve">, </w:t>
      </w:r>
      <w:r w:rsidRPr="00340B31">
        <w:rPr>
          <w:rFonts w:eastAsia="Times New Roman"/>
          <w:i/>
          <w:iCs/>
          <w:color w:val="000000"/>
        </w:rPr>
        <w:t>Kriminālprocesa likumā</w:t>
      </w:r>
      <w:r w:rsidRPr="00340B31">
        <w:rPr>
          <w:rFonts w:eastAsia="Times New Roman"/>
          <w:iCs/>
          <w:color w:val="000000"/>
        </w:rPr>
        <w:t xml:space="preserve">, </w:t>
      </w:r>
      <w:r w:rsidRPr="00340B31">
        <w:rPr>
          <w:rFonts w:eastAsia="Times New Roman"/>
          <w:i/>
          <w:iCs/>
          <w:color w:val="000000"/>
        </w:rPr>
        <w:t>Latvijas Administratīvo pārkāpumu kodeksā</w:t>
      </w:r>
      <w:r w:rsidRPr="00340B31">
        <w:rPr>
          <w:rFonts w:eastAsia="Times New Roman"/>
          <w:iCs/>
          <w:color w:val="000000"/>
        </w:rPr>
        <w:t xml:space="preserve"> un </w:t>
      </w:r>
      <w:r w:rsidRPr="00340B31">
        <w:rPr>
          <w:rFonts w:eastAsia="Times New Roman"/>
          <w:i/>
          <w:iCs/>
          <w:color w:val="000000"/>
        </w:rPr>
        <w:t>Latvijas Sodu izpildes kodeksā</w:t>
      </w:r>
      <w:r w:rsidRPr="00340B31">
        <w:rPr>
          <w:rFonts w:eastAsia="Times New Roman"/>
          <w:iCs/>
          <w:color w:val="000000"/>
        </w:rPr>
        <w:t>, kas sekmē efektīvāku tiesisko līdzekļu piemērošanu kriminālsodu politikas mērķu sasniegšanai</w:t>
      </w:r>
      <w:r w:rsidRPr="00340B31">
        <w:rPr>
          <w:rFonts w:eastAsia="Times New Roman"/>
          <w:iCs/>
        </w:rPr>
        <w:t xml:space="preserve">. </w:t>
      </w:r>
      <w:r w:rsidR="00E85B3A">
        <w:rPr>
          <w:rFonts w:eastAsia="Times New Roman"/>
          <w:iCs/>
          <w:color w:val="000000"/>
        </w:rPr>
        <w:t>Ar grozījumiem ti</w:t>
      </w:r>
      <w:r w:rsidRPr="00340B31">
        <w:rPr>
          <w:rFonts w:eastAsia="Times New Roman"/>
          <w:iCs/>
          <w:color w:val="000000"/>
        </w:rPr>
        <w:t>k</w:t>
      </w:r>
      <w:r w:rsidR="00E85B3A">
        <w:rPr>
          <w:rFonts w:eastAsia="Times New Roman"/>
          <w:iCs/>
          <w:color w:val="000000"/>
        </w:rPr>
        <w:t>a</w:t>
      </w:r>
      <w:r w:rsidRPr="00340B31">
        <w:rPr>
          <w:rFonts w:eastAsia="Times New Roman"/>
          <w:iCs/>
          <w:color w:val="000000"/>
        </w:rPr>
        <w:t xml:space="preserve"> konkretizēti soda noteikšanas principi un kritēriji un</w:t>
      </w:r>
      <w:r w:rsidRPr="00340B31">
        <w:rPr>
          <w:rFonts w:eastAsia="Times New Roman"/>
          <w:iCs/>
        </w:rPr>
        <w:t xml:space="preserve"> palielinātas brīvības atņemšanai alternatīvu sodu piemērošanas iespējas, ļaujot sodu personai noteikt arī prokuroram, nenododot krimināllietu izskatīšanai tiesā</w:t>
      </w:r>
      <w:r>
        <w:rPr>
          <w:rFonts w:eastAsia="Times New Roman"/>
          <w:iCs/>
        </w:rPr>
        <w:t>.</w:t>
      </w:r>
    </w:p>
    <w:p w:rsidR="00FB3A61" w:rsidRPr="000A6534" w:rsidRDefault="00FB3A61" w:rsidP="00FB3A61">
      <w:pPr>
        <w:pStyle w:val="ListParagraph"/>
        <w:autoSpaceDE w:val="0"/>
        <w:autoSpaceDN w:val="0"/>
        <w:adjustRightInd w:val="0"/>
        <w:spacing w:before="120"/>
        <w:ind w:left="0" w:firstLine="567"/>
        <w:contextualSpacing w:val="0"/>
        <w:rPr>
          <w:iCs/>
        </w:rPr>
      </w:pPr>
      <w:r w:rsidRPr="000A6534">
        <w:rPr>
          <w:iCs/>
        </w:rPr>
        <w:t xml:space="preserve">Nolūkā uzlabot </w:t>
      </w:r>
      <w:r w:rsidRPr="00B52670">
        <w:rPr>
          <w:b/>
          <w:i/>
          <w:iCs/>
        </w:rPr>
        <w:t>maksātnespējas</w:t>
      </w:r>
      <w:r w:rsidRPr="000A6534">
        <w:rPr>
          <w:iCs/>
        </w:rPr>
        <w:t xml:space="preserve"> procesa regulējumu Saeima 2012.</w:t>
      </w:r>
      <w:r>
        <w:rPr>
          <w:iCs/>
        </w:rPr>
        <w:t>gada 8.</w:t>
      </w:r>
      <w:r w:rsidRPr="000A6534">
        <w:rPr>
          <w:iCs/>
        </w:rPr>
        <w:t xml:space="preserve">novembrī atbalstīja pirmajā lasījumā </w:t>
      </w:r>
      <w:r w:rsidRPr="00B52670">
        <w:rPr>
          <w:i/>
          <w:iCs/>
        </w:rPr>
        <w:t>Grozījumus Maksātnespējas likumā</w:t>
      </w:r>
      <w:r w:rsidRPr="000A6534">
        <w:rPr>
          <w:iCs/>
        </w:rPr>
        <w:t>, ar kur</w:t>
      </w:r>
      <w:r>
        <w:rPr>
          <w:iCs/>
        </w:rPr>
        <w:t>iem</w:t>
      </w:r>
      <w:r w:rsidRPr="000A6534">
        <w:rPr>
          <w:iCs/>
        </w:rPr>
        <w:t xml:space="preserve"> paredzēts padarīt fiziskās personas maksātnespējas procesu vēl izdevīgāku parādniekam</w:t>
      </w:r>
      <w:r>
        <w:rPr>
          <w:iCs/>
        </w:rPr>
        <w:t xml:space="preserve">. Šobrīd </w:t>
      </w:r>
      <w:r w:rsidRPr="000A6534">
        <w:rPr>
          <w:iCs/>
        </w:rPr>
        <w:t>Saeimas Tautsaimniecības, agrārās, vides un reģionālās politikas komisija</w:t>
      </w:r>
      <w:r>
        <w:rPr>
          <w:iCs/>
        </w:rPr>
        <w:t xml:space="preserve"> vērtē priekšlikumus </w:t>
      </w:r>
      <w:r w:rsidRPr="00B52670">
        <w:rPr>
          <w:i/>
          <w:iCs/>
        </w:rPr>
        <w:t>Grozījumu Maksātnespējas likumā</w:t>
      </w:r>
      <w:r>
        <w:rPr>
          <w:iCs/>
        </w:rPr>
        <w:t xml:space="preserve"> </w:t>
      </w:r>
      <w:r w:rsidRPr="000A6534">
        <w:rPr>
          <w:iCs/>
        </w:rPr>
        <w:t>precizēšanai</w:t>
      </w:r>
      <w:r>
        <w:rPr>
          <w:iCs/>
        </w:rPr>
        <w:t>, kuru</w:t>
      </w:r>
      <w:r w:rsidRPr="007E26AA">
        <w:rPr>
          <w:iCs/>
        </w:rPr>
        <w:t xml:space="preserve"> </w:t>
      </w:r>
      <w:r w:rsidRPr="000A6534">
        <w:rPr>
          <w:iCs/>
        </w:rPr>
        <w:t>mērķis ir:</w:t>
      </w:r>
    </w:p>
    <w:p w:rsidR="00FB3A61" w:rsidRPr="000A6534" w:rsidRDefault="00FB3A61" w:rsidP="00E84407">
      <w:pPr>
        <w:pStyle w:val="ListParagraph"/>
        <w:numPr>
          <w:ilvl w:val="1"/>
          <w:numId w:val="25"/>
        </w:numPr>
        <w:autoSpaceDE w:val="0"/>
        <w:autoSpaceDN w:val="0"/>
        <w:adjustRightInd w:val="0"/>
        <w:ind w:left="709"/>
        <w:rPr>
          <w:iCs/>
        </w:rPr>
      </w:pPr>
      <w:r w:rsidRPr="000A6534">
        <w:rPr>
          <w:iCs/>
        </w:rPr>
        <w:t>novērst ar likuma piemērošanu saistītās praktiskās problēmas, tādējādi nodrošinot raitu maksātnespējas procesu un tiesiskās aizsardzības procesu gaitu un ātrāku finansiālo grūtību risinājumu;</w:t>
      </w:r>
    </w:p>
    <w:p w:rsidR="00FB3A61" w:rsidRPr="000A6534" w:rsidRDefault="00FB3A61" w:rsidP="00E84407">
      <w:pPr>
        <w:pStyle w:val="ListParagraph"/>
        <w:numPr>
          <w:ilvl w:val="1"/>
          <w:numId w:val="25"/>
        </w:numPr>
        <w:autoSpaceDE w:val="0"/>
        <w:autoSpaceDN w:val="0"/>
        <w:adjustRightInd w:val="0"/>
        <w:ind w:left="709"/>
        <w:rPr>
          <w:iCs/>
        </w:rPr>
      </w:pPr>
      <w:r w:rsidRPr="000A6534">
        <w:rPr>
          <w:iCs/>
        </w:rPr>
        <w:t>padarīt skaidrāku maksātnespējas procesa regulējumu, tādējādi nodrošinot, ka maksātnespējas procesa regulējumā paredzētās procedūras ir skaidras, maksātnespējas process un tiesiskās aizsardzības process ir paredzams;</w:t>
      </w:r>
    </w:p>
    <w:p w:rsidR="00FB3A61" w:rsidRDefault="00FB3A61" w:rsidP="00E84407">
      <w:pPr>
        <w:pStyle w:val="ListParagraph"/>
        <w:numPr>
          <w:ilvl w:val="1"/>
          <w:numId w:val="25"/>
        </w:numPr>
        <w:autoSpaceDE w:val="0"/>
        <w:autoSpaceDN w:val="0"/>
        <w:adjustRightInd w:val="0"/>
        <w:ind w:left="709"/>
        <w:rPr>
          <w:iCs/>
        </w:rPr>
      </w:pPr>
      <w:r w:rsidRPr="000A6534">
        <w:rPr>
          <w:iCs/>
        </w:rPr>
        <w:t xml:space="preserve">veicināt, ka </w:t>
      </w:r>
      <w:r w:rsidRPr="007E26AA">
        <w:rPr>
          <w:i/>
          <w:iCs/>
        </w:rPr>
        <w:t>Maksātnespējas likumā</w:t>
      </w:r>
      <w:r w:rsidRPr="000A6534">
        <w:rPr>
          <w:iCs/>
        </w:rPr>
        <w:t xml:space="preserve"> paredzētās procedūras tiek izmantotas atbilstoši šo procedūru mērķim, tādējādi sekmējot veiksmīgu reorganizācijas (tiesiskās aizsardzības procesu) īstenošanu;</w:t>
      </w:r>
    </w:p>
    <w:p w:rsidR="00FB3A61" w:rsidRPr="007E26AA" w:rsidRDefault="00FB3A61" w:rsidP="00E84407">
      <w:pPr>
        <w:pStyle w:val="ListParagraph"/>
        <w:numPr>
          <w:ilvl w:val="1"/>
          <w:numId w:val="25"/>
        </w:numPr>
        <w:autoSpaceDE w:val="0"/>
        <w:autoSpaceDN w:val="0"/>
        <w:adjustRightInd w:val="0"/>
        <w:ind w:left="709"/>
        <w:rPr>
          <w:iCs/>
        </w:rPr>
      </w:pPr>
      <w:r w:rsidRPr="007E26AA">
        <w:rPr>
          <w:iCs/>
        </w:rPr>
        <w:t>pastiprināt parādnieka un kreditoru tiesību aizsardzību</w:t>
      </w:r>
      <w:r>
        <w:rPr>
          <w:iCs/>
        </w:rPr>
        <w:t>.</w:t>
      </w:r>
    </w:p>
    <w:p w:rsidR="00FB3A61" w:rsidRPr="000A6534" w:rsidRDefault="007C0F98" w:rsidP="00FB3A61">
      <w:pPr>
        <w:pStyle w:val="ListParagraph"/>
        <w:autoSpaceDE w:val="0"/>
        <w:autoSpaceDN w:val="0"/>
        <w:adjustRightInd w:val="0"/>
        <w:ind w:left="0" w:firstLine="567"/>
        <w:rPr>
          <w:iCs/>
        </w:rPr>
      </w:pPr>
      <w:r>
        <w:rPr>
          <w:iCs/>
        </w:rPr>
        <w:t xml:space="preserve">Papildus tam, Saeimā apspriešanā šobrīd atrodas </w:t>
      </w:r>
      <w:r>
        <w:rPr>
          <w:i/>
          <w:iCs/>
        </w:rPr>
        <w:t>Grozījumi Civilprocesa likumā</w:t>
      </w:r>
      <w:r>
        <w:rPr>
          <w:iCs/>
        </w:rPr>
        <w:t xml:space="preserve">, kuru mērķis ir novērst praksē novērotās problēmas, un ir paredzams, ka tie saturēs atsevišķus </w:t>
      </w:r>
      <w:r>
        <w:rPr>
          <w:iCs/>
        </w:rPr>
        <w:lastRenderedPageBreak/>
        <w:t xml:space="preserve">maksātnespējas procesa regulējuma uzlabojumus, piemēram, paredzēts precizēt parādnieka pienākumus pirms juridiskās personas maksātnespējas procesa pieteikuma iesniegšanas tiesā, paredzēts stiprināt parādnieka tiesību aizsardzību gadījumā, kad tiesā nepamatoti tiek iesniegts juridiskās personas maksātnespējas procesa pieteikums, paredzēts precizēt juridiskās personas maksātnespējas procesa pieteikuma izskatīšanas kārtību, konkretizēts to personu loks, kuri ir tiesīgi iesniegt fiziskās personas maksātnespējas procesa pieteikumu tiesā </w:t>
      </w:r>
      <w:proofErr w:type="spellStart"/>
      <w:r>
        <w:rPr>
          <w:iCs/>
        </w:rPr>
        <w:t>u.c</w:t>
      </w:r>
      <w:proofErr w:type="spellEnd"/>
      <w:r w:rsidR="00152EEF">
        <w:t>.</w:t>
      </w:r>
    </w:p>
    <w:p w:rsidR="00FB3A61" w:rsidRDefault="00FB3A61" w:rsidP="00FB3A61">
      <w:pPr>
        <w:spacing w:before="120"/>
        <w:ind w:firstLine="567"/>
      </w:pPr>
      <w:r>
        <w:t xml:space="preserve">Latvijā pakāpeniski </w:t>
      </w:r>
      <w:r w:rsidRPr="00591081">
        <w:t xml:space="preserve">tiek ieviests </w:t>
      </w:r>
      <w:proofErr w:type="spellStart"/>
      <w:r w:rsidRPr="0071310B">
        <w:rPr>
          <w:b/>
          <w:i/>
        </w:rPr>
        <w:t>mediācijas</w:t>
      </w:r>
      <w:proofErr w:type="spellEnd"/>
      <w:r>
        <w:t xml:space="preserve"> process. </w:t>
      </w:r>
      <w:proofErr w:type="spellStart"/>
      <w:r w:rsidRPr="0071310B">
        <w:rPr>
          <w:i/>
        </w:rPr>
        <w:t>Mediācijas</w:t>
      </w:r>
      <w:proofErr w:type="spellEnd"/>
      <w:r w:rsidRPr="0071310B">
        <w:rPr>
          <w:i/>
        </w:rPr>
        <w:t xml:space="preserve"> likum</w:t>
      </w:r>
      <w:r>
        <w:rPr>
          <w:i/>
        </w:rPr>
        <w:t>projekta</w:t>
      </w:r>
      <w:r w:rsidRPr="00591081">
        <w:t xml:space="preserve"> mērķis ir alternatīvo strīdu izšķiršanas mehānisma nostiprināšana un kvalitatīva </w:t>
      </w:r>
      <w:proofErr w:type="spellStart"/>
      <w:r w:rsidRPr="00591081">
        <w:t>mediācijas</w:t>
      </w:r>
      <w:proofErr w:type="spellEnd"/>
      <w:r w:rsidRPr="00591081">
        <w:t xml:space="preserve"> procesa nodrošināšana, tādējādi padarot efektīvāku ārpustiesas strīdu risināšanas mehānismu, kas veicinās arī </w:t>
      </w:r>
      <w:proofErr w:type="spellStart"/>
      <w:r w:rsidRPr="00591081">
        <w:t>komerclietu</w:t>
      </w:r>
      <w:proofErr w:type="spellEnd"/>
      <w:r w:rsidRPr="00591081">
        <w:t xml:space="preserve"> un civillietu procesu tiesā, sama</w:t>
      </w:r>
      <w:r>
        <w:t>zinot neiztiesāto lietu skaitu.</w:t>
      </w:r>
    </w:p>
    <w:p w:rsidR="00FB3A61" w:rsidRDefault="00FB3A61" w:rsidP="00FB3A61">
      <w:pPr>
        <w:ind w:firstLine="567"/>
      </w:pPr>
      <w:r w:rsidRPr="00591081">
        <w:t>Ti</w:t>
      </w:r>
      <w:r>
        <w:t>e</w:t>
      </w:r>
      <w:r w:rsidRPr="00591081">
        <w:t xml:space="preserve">k ieviesta arī tiesas ieteikta </w:t>
      </w:r>
      <w:proofErr w:type="spellStart"/>
      <w:r w:rsidRPr="00591081">
        <w:t>mediācija</w:t>
      </w:r>
      <w:proofErr w:type="spellEnd"/>
      <w:r w:rsidRPr="00591081">
        <w:t xml:space="preserve">, veicinot pušu domstarpību atrisināšanu ar minimālu tiesas iesaisti. </w:t>
      </w:r>
      <w:proofErr w:type="spellStart"/>
      <w:r w:rsidRPr="0071310B">
        <w:rPr>
          <w:i/>
        </w:rPr>
        <w:t>Mediācijas</w:t>
      </w:r>
      <w:proofErr w:type="spellEnd"/>
      <w:r w:rsidRPr="0071310B">
        <w:rPr>
          <w:i/>
        </w:rPr>
        <w:t xml:space="preserve"> likum</w:t>
      </w:r>
      <w:r>
        <w:rPr>
          <w:i/>
        </w:rPr>
        <w:t>projekts</w:t>
      </w:r>
      <w:r w:rsidRPr="00591081">
        <w:t xml:space="preserve"> vienlaikus </w:t>
      </w:r>
      <w:r>
        <w:t>nosaka</w:t>
      </w:r>
      <w:r w:rsidRPr="00591081">
        <w:t xml:space="preserve"> vienotus </w:t>
      </w:r>
      <w:proofErr w:type="spellStart"/>
      <w:r w:rsidRPr="00591081">
        <w:t>mediācijas</w:t>
      </w:r>
      <w:proofErr w:type="spellEnd"/>
      <w:r w:rsidRPr="00591081">
        <w:t xml:space="preserve"> procesa pamatprincipus, prasības sertificētam mediatoram un mediatoru pro</w:t>
      </w:r>
      <w:r>
        <w:t>fesionālās darbības uzraudzību.</w:t>
      </w:r>
    </w:p>
    <w:p w:rsidR="00A52DB7" w:rsidRDefault="00FB3A61" w:rsidP="00FB3A61">
      <w:pPr>
        <w:ind w:firstLine="567"/>
      </w:pPr>
      <w:r w:rsidRPr="00591081">
        <w:t xml:space="preserve">2013.gada 17.janvārī </w:t>
      </w:r>
      <w:proofErr w:type="spellStart"/>
      <w:r w:rsidRPr="0071310B">
        <w:rPr>
          <w:i/>
        </w:rPr>
        <w:t>Mediācijas</w:t>
      </w:r>
      <w:proofErr w:type="spellEnd"/>
      <w:r w:rsidRPr="0071310B">
        <w:rPr>
          <w:i/>
        </w:rPr>
        <w:t xml:space="preserve"> likumprojekts</w:t>
      </w:r>
      <w:r w:rsidRPr="00591081">
        <w:t xml:space="preserve"> atba</w:t>
      </w:r>
      <w:r>
        <w:t>lstīts Saeimā pirmajā lasījumā un p</w:t>
      </w:r>
      <w:r w:rsidRPr="00591081">
        <w:t xml:space="preserve">rognozējams, ka </w:t>
      </w:r>
      <w:r>
        <w:t>tas</w:t>
      </w:r>
      <w:r w:rsidRPr="00591081">
        <w:t xml:space="preserve"> tiks pieņemts Saeimā līdz 2013.gada</w:t>
      </w:r>
      <w:r w:rsidRPr="00591081">
        <w:rPr>
          <w:b/>
        </w:rPr>
        <w:t xml:space="preserve"> </w:t>
      </w:r>
      <w:r w:rsidRPr="00591081">
        <w:t>1.jūlijam.</w:t>
      </w:r>
    </w:p>
    <w:p w:rsidR="00D503EF" w:rsidRDefault="00D503EF" w:rsidP="00AB1297">
      <w:pPr>
        <w:spacing w:before="120"/>
        <w:ind w:firstLine="567"/>
      </w:pPr>
      <w:r>
        <w:t xml:space="preserve">Pēc provizoriskās informācijas 2012.gadā plānotā neizskatīto lietu skaita proporcija pret gada laikā rajona (pilsētas) tiesās izskatīto lietu skaitu civillietās ir 68% (2022.gadā vēlamā – 34%) un krimināllietās – 56% (2022.gadā vēlamā – 28%). Šī proporcija ir lielā mērā saistīta ar tiesu noslodzes samazinājumu un tiesvedības </w:t>
      </w:r>
      <w:proofErr w:type="spellStart"/>
      <w:r>
        <w:t>efektivizāciju</w:t>
      </w:r>
      <w:proofErr w:type="spellEnd"/>
      <w:r>
        <w:t>.</w:t>
      </w:r>
    </w:p>
    <w:p w:rsidR="00225450" w:rsidRDefault="00225450" w:rsidP="00AB1297">
      <w:pPr>
        <w:spacing w:before="120"/>
        <w:ind w:firstLine="567"/>
      </w:pPr>
      <w:r>
        <w:t>Kopumā augstākminēti pasākumi šīs ES Padomes rekomendācijas izpildei saistās ar</w:t>
      </w:r>
      <w:r w:rsidR="007A6CDA">
        <w:t>ī ar</w:t>
      </w:r>
      <w:r>
        <w:t xml:space="preserve"> </w:t>
      </w:r>
      <w:r w:rsidRPr="00353580">
        <w:rPr>
          <w:i/>
        </w:rPr>
        <w:t>2013.gada izaugsmes ziņojuma</w:t>
      </w:r>
      <w:r>
        <w:t xml:space="preserve"> prioritāti attiecībā uz valsts pārvaldes modernizāciju.</w:t>
      </w:r>
    </w:p>
    <w:p w:rsidR="00EA4EA2" w:rsidRDefault="00EA4EA2" w:rsidP="00AB1297">
      <w:pPr>
        <w:spacing w:before="120"/>
        <w:ind w:firstLine="567"/>
      </w:pPr>
      <w:r w:rsidRPr="00EA4EA2">
        <w:t xml:space="preserve">Papildus augstākminētajam, NAP2020 ir iekļauti uzdevumi un darbības tiesu sistēmas </w:t>
      </w:r>
      <w:proofErr w:type="spellStart"/>
      <w:r w:rsidRPr="00EA4EA2">
        <w:t>efektivizācijai</w:t>
      </w:r>
      <w:proofErr w:type="spellEnd"/>
      <w:r w:rsidRPr="00EA4EA2">
        <w:t xml:space="preserve"> un pārvaldības kapacitāte</w:t>
      </w:r>
      <w:r w:rsidR="00AB1297">
        <w:t>s</w:t>
      </w:r>
      <w:r w:rsidRPr="00EA4EA2">
        <w:t xml:space="preserve"> stiprināšanai</w:t>
      </w:r>
      <w:r w:rsidR="00AB1297">
        <w:t>, piemēram,</w:t>
      </w:r>
      <w:r w:rsidRPr="00EA4EA2">
        <w:t xml:space="preserve"> </w:t>
      </w:r>
      <w:r w:rsidR="00AB1297">
        <w:t>e</w:t>
      </w:r>
      <w:r w:rsidRPr="00EA4EA2">
        <w:t xml:space="preserve">-pakalpojumu izstrāde un </w:t>
      </w:r>
      <w:r w:rsidR="00AB1297">
        <w:t>informācijas sistēmas</w:t>
      </w:r>
      <w:r w:rsidRPr="00EA4EA2">
        <w:t xml:space="preserve"> darbības modernizēšana Valsts zemes dienestā, Uzņēmumu reģistrā, Tiesu administrācijā (Valsts vienotā datorizētā zemesgrāmata), Maksātnespējas administrācijā un Datu valsts inspekcijā</w:t>
      </w:r>
      <w:r w:rsidR="00AB1297">
        <w:t>, informācijas tehnoloģiju</w:t>
      </w:r>
      <w:r w:rsidR="00AC4EBD">
        <w:t xml:space="preserve"> (turpmāk tekstā – IT)</w:t>
      </w:r>
      <w:r w:rsidR="00AB1297">
        <w:t xml:space="preserve"> risinājumu ieviešana un pilnveidošana </w:t>
      </w:r>
      <w:r w:rsidRPr="00EA4EA2">
        <w:t xml:space="preserve">tiesībaizsardzības iestādēs un </w:t>
      </w:r>
      <w:r w:rsidR="00AB1297" w:rsidRPr="00EA4EA2">
        <w:t>Maksātnespējas administrācijā</w:t>
      </w:r>
      <w:r w:rsidRPr="00EA4EA2">
        <w:t>, optimizējot lietu vešanas procesu un nodrošinot pēc iespējas pilnīgāku prasītāju un kreditoru interešu apmierināšanu</w:t>
      </w:r>
      <w:r w:rsidR="00B156D7">
        <w:t xml:space="preserve">, </w:t>
      </w:r>
      <w:r w:rsidR="00B156D7" w:rsidRPr="00EA4EA2">
        <w:t>elektroniskās izsoles mode</w:t>
      </w:r>
      <w:r w:rsidR="00B156D7">
        <w:t>ļa</w:t>
      </w:r>
      <w:r w:rsidR="00B156D7" w:rsidRPr="00EA4EA2">
        <w:t xml:space="preserve"> </w:t>
      </w:r>
      <w:r w:rsidR="00B156D7">
        <w:t>ieviešana</w:t>
      </w:r>
      <w:r w:rsidRPr="00EA4EA2">
        <w:t xml:space="preserve"> maksātnespējas procesā, nodrošinot pēc iespējas pilnīgāku prasītāju un kreditoru interešu apmierināšanu</w:t>
      </w:r>
      <w:r w:rsidR="00B156D7">
        <w:t xml:space="preserve">, </w:t>
      </w:r>
      <w:r w:rsidR="00B156D7" w:rsidRPr="00EA4EA2">
        <w:t>vienot</w:t>
      </w:r>
      <w:r w:rsidR="00B156D7">
        <w:t>as</w:t>
      </w:r>
      <w:r w:rsidR="00B156D7" w:rsidRPr="00EA4EA2">
        <w:t xml:space="preserve"> tiesībaizsardzības iestāžu darbinieku kvalifikācijas celšanas sistēm</w:t>
      </w:r>
      <w:r w:rsidR="00B156D7">
        <w:t>as</w:t>
      </w:r>
      <w:r w:rsidRPr="00EA4EA2">
        <w:t xml:space="preserve"> </w:t>
      </w:r>
      <w:r w:rsidR="00B156D7">
        <w:t>i</w:t>
      </w:r>
      <w:r w:rsidRPr="00EA4EA2">
        <w:t>zstrād</w:t>
      </w:r>
      <w:r w:rsidR="00B156D7">
        <w:t>e</w:t>
      </w:r>
      <w:r w:rsidRPr="00EA4EA2">
        <w:t>, radot pamatu kvalitatīvai un savlaicīgai lietu izmeklēšanai un iztiesāšanai, tādējādi veicinot tautsaimniecības attīstību atbalstošu uzņēmējdarbības vidi, mazinot korupcijas riskus un nodrošinot ES finanšu līdzekļu likumīgu izmantoš</w:t>
      </w:r>
      <w:r w:rsidR="00AC4EBD">
        <w:t>anu.</w:t>
      </w:r>
    </w:p>
    <w:p w:rsidR="00CF52A7" w:rsidRPr="00B703A3" w:rsidRDefault="00CF52A7" w:rsidP="00CF52A7">
      <w:pPr>
        <w:pStyle w:val="Heading2"/>
        <w:spacing w:before="360" w:after="120"/>
        <w:jc w:val="center"/>
        <w:rPr>
          <w:rFonts w:ascii="Times New Roman Bold" w:hAnsi="Times New Roman Bold"/>
          <w:smallCaps/>
          <w:sz w:val="24"/>
          <w:szCs w:val="24"/>
        </w:rPr>
      </w:pPr>
      <w:bookmarkStart w:id="15" w:name="_Toc354384928"/>
      <w:r w:rsidRPr="00B703A3">
        <w:rPr>
          <w:rFonts w:ascii="Times New Roman Bold" w:hAnsi="Times New Roman Bold"/>
          <w:smallCaps/>
          <w:sz w:val="24"/>
          <w:szCs w:val="24"/>
        </w:rPr>
        <w:t>2.7. Augstākās izglītības reforma, pētniecības un inovācijas politika</w:t>
      </w:r>
      <w:bookmarkEnd w:id="15"/>
    </w:p>
    <w:p w:rsidR="00CF52A7" w:rsidRDefault="00CF52A7" w:rsidP="001458EF">
      <w:pPr>
        <w:ind w:firstLine="567"/>
        <w:rPr>
          <w:b/>
        </w:rPr>
      </w:pPr>
      <w:r w:rsidRPr="0086715D">
        <w:rPr>
          <w:b/>
        </w:rPr>
        <w:t xml:space="preserve">ES Padome rekomendē Latvijai </w:t>
      </w:r>
      <w:r w:rsidRPr="00CF52A7">
        <w:rPr>
          <w:b/>
        </w:rPr>
        <w:t xml:space="preserve">turpināt augstākās izglītības reformu, </w:t>
      </w:r>
      <w:proofErr w:type="spellStart"/>
      <w:r w:rsidRPr="00CF52A7">
        <w:rPr>
          <w:b/>
        </w:rPr>
        <w:t>t.sk</w:t>
      </w:r>
      <w:proofErr w:type="spellEnd"/>
      <w:r w:rsidRPr="00CF52A7">
        <w:rPr>
          <w:b/>
        </w:rPr>
        <w:t>. ieviešot jaunu finansēšanas modeli, kas stimulētu kvalitāti, stiprinātu saikni ar tirgus vajadzībām un ar pētniecības iestādēm un novērstu budžeta līdzekļu sadrumstalotību. Izstrādāt un īstenot efektīvu pētniecības un inovācijas politiku, kas paredz veicināt uzņēmumu inovācijas, tostarp izmantojot nodokļu atvieglojumus, modernizēt infrastruktūru un racionalizēt pētniecības iestādes.</w:t>
      </w:r>
    </w:p>
    <w:p w:rsidR="00D34289" w:rsidRPr="00F72B9D" w:rsidRDefault="00D34289" w:rsidP="00D34289">
      <w:pPr>
        <w:spacing w:before="240"/>
        <w:ind w:firstLine="567"/>
        <w:rPr>
          <w:b/>
          <w:i/>
        </w:rPr>
      </w:pPr>
      <w:r w:rsidRPr="00F72B9D">
        <w:rPr>
          <w:b/>
          <w:i/>
        </w:rPr>
        <w:t>Augstākās izglītības reforma</w:t>
      </w:r>
    </w:p>
    <w:p w:rsidR="00832055" w:rsidRDefault="00FC3FC2" w:rsidP="003A059D">
      <w:pPr>
        <w:spacing w:before="120"/>
        <w:ind w:firstLine="567"/>
      </w:pPr>
      <w:r>
        <w:t xml:space="preserve">2013.gadā plānots veikt pētījumu (sadarbībā ar Pasaules Bankas ekspertiem) par  </w:t>
      </w:r>
      <w:r>
        <w:rPr>
          <w:b/>
          <w:i/>
        </w:rPr>
        <w:t xml:space="preserve">jauno augstākās izglītības finansēšanas modeli, </w:t>
      </w:r>
      <w:r>
        <w:t xml:space="preserve">kas veicinātu augstākās izglītības pieejamību, taisnīgumu, tās starptautiskās konkurētspējas objektīvi novērtējamu kāpumu.  Pētījums paredz </w:t>
      </w:r>
      <w:r>
        <w:lastRenderedPageBreak/>
        <w:t>arī  juridisko, ekonomisko, finanšu, sociālo un citu risku izvērtēšanu, kā arī modeļa ieviešanas scenāriju izstrādi.</w:t>
      </w:r>
    </w:p>
    <w:p w:rsidR="005B03AE" w:rsidRPr="006415D3" w:rsidRDefault="005B03AE" w:rsidP="009E274F">
      <w:pPr>
        <w:ind w:firstLine="567"/>
      </w:pPr>
      <w:r w:rsidRPr="008F4136">
        <w:t>Līdz 2013.gada beigām</w:t>
      </w:r>
      <w:r w:rsidR="00EE32E2">
        <w:t>,</w:t>
      </w:r>
      <w:r w:rsidRPr="008F4136">
        <w:t xml:space="preserve"> </w:t>
      </w:r>
      <w:r w:rsidR="00EE32E2">
        <w:t xml:space="preserve">balstoties uz </w:t>
      </w:r>
      <w:r w:rsidR="005D51C5">
        <w:t xml:space="preserve">izpētes </w:t>
      </w:r>
      <w:r w:rsidR="00EE32E2">
        <w:t xml:space="preserve">rezultātiem, </w:t>
      </w:r>
      <w:r w:rsidRPr="008F4136">
        <w:t xml:space="preserve">tiks sagatavoti priekšlikumi </w:t>
      </w:r>
      <w:r>
        <w:t xml:space="preserve">sabiedriskai apspriešanai par </w:t>
      </w:r>
      <w:r w:rsidRPr="008F4136">
        <w:t>optimāl</w:t>
      </w:r>
      <w:r>
        <w:t>ā</w:t>
      </w:r>
      <w:r w:rsidRPr="008F4136">
        <w:t xml:space="preserve"> augstākās izglītības finansēšanas modeļa izveidi, izvērtēti tā ieviešanas riski, veikts detalizēts sākotnējās ietekmes novērtējums un apkopots sabiedrības, sociālo partneru viedoklis par šo modeli un sagatavota normatīvā bāze tā ieviešanai. </w:t>
      </w:r>
    </w:p>
    <w:p w:rsidR="00272A15" w:rsidRDefault="005B03AE" w:rsidP="0077627E">
      <w:pPr>
        <w:spacing w:before="120"/>
        <w:ind w:firstLine="567"/>
      </w:pPr>
      <w:r w:rsidRPr="006415D3">
        <w:t xml:space="preserve">2012.gadā tika uzsākts darbs pie </w:t>
      </w:r>
      <w:r w:rsidRPr="00272A15">
        <w:rPr>
          <w:b/>
          <w:i/>
        </w:rPr>
        <w:t>jauna augstākās izglītības akreditācijas un kvalitātes vadības modeļa</w:t>
      </w:r>
      <w:r w:rsidRPr="006415D3">
        <w:t xml:space="preserve"> ieviešanas, kas paredz stingru akreditācijas kārtību, izmērāmus akreditācijas kritērijus, līdzsvarotu komisijas sastāvu un caurspīdīgu ekspertu atlasi. </w:t>
      </w:r>
    </w:p>
    <w:p w:rsidR="00272A15" w:rsidRDefault="00F330B6" w:rsidP="005B03AE">
      <w:pPr>
        <w:ind w:firstLine="567"/>
      </w:pPr>
      <w:r>
        <w:t xml:space="preserve">ESF projekta ietvaros </w:t>
      </w:r>
      <w:r w:rsidR="005D51C5">
        <w:t xml:space="preserve">pirmo reizi Latvijā </w:t>
      </w:r>
      <w:r w:rsidRPr="006415D3">
        <w:t>notika vienlaicīgs visu atbilstošā studiju virzienā iekļauto studiju programmu</w:t>
      </w:r>
      <w:r>
        <w:t xml:space="preserve"> </w:t>
      </w:r>
      <w:r w:rsidRPr="006415D3">
        <w:t>kvalitāt</w:t>
      </w:r>
      <w:r>
        <w:t>es</w:t>
      </w:r>
      <w:r w:rsidRPr="006415D3">
        <w:t>, resursu pietiekamīb</w:t>
      </w:r>
      <w:r>
        <w:t>as,</w:t>
      </w:r>
      <w:r w:rsidRPr="006415D3">
        <w:t xml:space="preserve"> ilgtspēju, sadarbīb</w:t>
      </w:r>
      <w:r>
        <w:t>as</w:t>
      </w:r>
      <w:r w:rsidRPr="006415D3">
        <w:t xml:space="preserve"> un pārklāšan</w:t>
      </w:r>
      <w:r>
        <w:t>ās izvērtējums</w:t>
      </w:r>
      <w:r w:rsidRPr="006415D3">
        <w:t xml:space="preserve">. Studiju programmu izvērtēšanā tika iesaistīti starptautiskie un neatkarīgie eksperti no Latvijas. </w:t>
      </w:r>
      <w:r>
        <w:t>L</w:t>
      </w:r>
      <w:r w:rsidRPr="006415D3">
        <w:t xml:space="preserve">īdz </w:t>
      </w:r>
      <w:r>
        <w:t xml:space="preserve">2013.gada </w:t>
      </w:r>
      <w:r w:rsidRPr="006415D3">
        <w:t xml:space="preserve">1.jūlijam turpinās darbs pie gala ziņojuma, </w:t>
      </w:r>
      <w:r>
        <w:t>kas paredz</w:t>
      </w:r>
      <w:r w:rsidRPr="006415D3">
        <w:t xml:space="preserve"> ieteikumus turpmākai studiju programmu uzlabošanai, attīstībai, konsolidācijai, slēgšanai, starptautiskās konkurētspējas veicināšanai, resursu efektīvai izmantošanai un finansēšanai no valsts budžeta līdzekļiem</w:t>
      </w:r>
      <w:r w:rsidR="005D51C5">
        <w:t>.</w:t>
      </w:r>
      <w:r w:rsidRPr="006415D3">
        <w:t xml:space="preserve"> </w:t>
      </w:r>
      <w:r w:rsidR="005D51C5">
        <w:t>ESF projektā iegūtie studiju programmu  izvērtēšanas  rezultāti tiks izmantoti arī studiju</w:t>
      </w:r>
      <w:r w:rsidR="00E35648">
        <w:t xml:space="preserve"> virzienu akreditācijas procesā</w:t>
      </w:r>
      <w:r>
        <w:t>.</w:t>
      </w:r>
    </w:p>
    <w:p w:rsidR="005B03AE" w:rsidRDefault="005B03AE" w:rsidP="005D51C5">
      <w:pPr>
        <w:rPr>
          <w:lang w:eastAsia="lv-LV"/>
        </w:rPr>
      </w:pPr>
      <w:r w:rsidRPr="006415D3">
        <w:t xml:space="preserve">2012.gada rudenī tika apstiprināta jaunā Akreditācijas komisija, kura darbosies atbilstoši </w:t>
      </w:r>
      <w:r w:rsidR="005D51C5">
        <w:t xml:space="preserve">2012.gada apstiprinātajiem </w:t>
      </w:r>
      <w:r w:rsidRPr="006415D3">
        <w:t xml:space="preserve"> akreditācijas noteikumiem</w:t>
      </w:r>
      <w:r w:rsidR="00F330B6">
        <w:t xml:space="preserve">. </w:t>
      </w:r>
      <w:r w:rsidRPr="006415D3">
        <w:t>Akreditācijas un licencēšanas procesu turpmāk organizēs Eiropas augstākās izglītības kvalitātes nodrošināšanas reģistrā</w:t>
      </w:r>
      <w:r w:rsidR="005D51C5">
        <w:t xml:space="preserve"> (turpmāk – EQAR)</w:t>
      </w:r>
      <w:r w:rsidR="005D51C5">
        <w:rPr>
          <w:rStyle w:val="FootnoteReference"/>
        </w:rPr>
        <w:footnoteReference w:id="13"/>
      </w:r>
      <w:r w:rsidR="005D51C5">
        <w:rPr>
          <w:lang w:eastAsia="lv-LV"/>
        </w:rPr>
        <w:t xml:space="preserve"> </w:t>
      </w:r>
      <w:r w:rsidRPr="006415D3">
        <w:t xml:space="preserve">iekļauta </w:t>
      </w:r>
      <w:r w:rsidR="005D51C5">
        <w:t xml:space="preserve">aģentūra. Atklātā konkursa rezultātā tika izvēlēta </w:t>
      </w:r>
      <w:r w:rsidRPr="006415D3">
        <w:t xml:space="preserve">Vācijas augstākās izglītības kvalitātes novērtēšanas aģentūra </w:t>
      </w:r>
      <w:r w:rsidR="00DE0FA1">
        <w:t xml:space="preserve">(turpmāk tekstā – </w:t>
      </w:r>
      <w:r w:rsidRPr="006415D3">
        <w:t xml:space="preserve">ASIIN </w:t>
      </w:r>
      <w:proofErr w:type="spellStart"/>
      <w:r w:rsidRPr="006415D3">
        <w:t>e.V</w:t>
      </w:r>
      <w:proofErr w:type="spellEnd"/>
      <w:r w:rsidR="00DE0FA1">
        <w:t>.)</w:t>
      </w:r>
      <w:r w:rsidRPr="006415D3">
        <w:t xml:space="preserve">. Paredzēts, ka ASIIN </w:t>
      </w:r>
      <w:proofErr w:type="spellStart"/>
      <w:r w:rsidRPr="006415D3">
        <w:t>e.V</w:t>
      </w:r>
      <w:proofErr w:type="spellEnd"/>
      <w:r w:rsidRPr="006415D3">
        <w:t xml:space="preserve">. </w:t>
      </w:r>
      <w:r w:rsidR="005D51C5">
        <w:t xml:space="preserve">cita starpā </w:t>
      </w:r>
      <w:r w:rsidRPr="006415D3">
        <w:t>sniegs atbalstu Latvijas nacionālās aģentūras izveidei un nostiprināšanai, lai tās kapacitāte būtu pietiekoša EQAR triju gadu laikā</w:t>
      </w:r>
      <w:r>
        <w:t xml:space="preserve">. </w:t>
      </w:r>
    </w:p>
    <w:p w:rsidR="00701E47" w:rsidRDefault="00701E47" w:rsidP="005B03AE">
      <w:pPr>
        <w:ind w:firstLine="567"/>
      </w:pPr>
    </w:p>
    <w:p w:rsidR="005B03AE" w:rsidRPr="006415D3" w:rsidRDefault="00F330B6" w:rsidP="005B03AE">
      <w:pPr>
        <w:ind w:firstLine="567"/>
        <w:rPr>
          <w:rFonts w:ascii="Times New Roman Bold" w:hAnsi="Times New Roman Bold"/>
        </w:rPr>
      </w:pPr>
      <w:r>
        <w:t>L</w:t>
      </w:r>
      <w:r w:rsidR="005B03AE">
        <w:t>ai veicinātu</w:t>
      </w:r>
      <w:r w:rsidR="005B03AE" w:rsidRPr="006415D3">
        <w:t xml:space="preserve"> augstākās izglītības </w:t>
      </w:r>
      <w:r w:rsidR="005D51C5">
        <w:t xml:space="preserve">kvalitāti, resursu efektīvu izmantošanu un </w:t>
      </w:r>
      <w:r w:rsidR="005B03AE" w:rsidRPr="006415D3">
        <w:t>konsolidācij</w:t>
      </w:r>
      <w:r w:rsidR="005B03AE">
        <w:t>u</w:t>
      </w:r>
      <w:r w:rsidR="005B03AE" w:rsidRPr="006415D3">
        <w:t xml:space="preserve">, </w:t>
      </w:r>
      <w:r w:rsidR="005D51C5">
        <w:t xml:space="preserve">kā arī augstākās izglītības ciešāku sasaisti ar darba tirgu un zinātni, </w:t>
      </w:r>
      <w:r w:rsidR="005B03AE" w:rsidRPr="006415D3">
        <w:t xml:space="preserve">koncentrējot </w:t>
      </w:r>
      <w:r w:rsidR="005B03AE">
        <w:t>resursus</w:t>
      </w:r>
      <w:r w:rsidR="005B03AE" w:rsidRPr="006415D3">
        <w:t xml:space="preserve"> tajās augstākās izglītības institūcijās, k</w:t>
      </w:r>
      <w:r w:rsidR="005B03AE">
        <w:t>urā</w:t>
      </w:r>
      <w:r w:rsidR="005B03AE" w:rsidRPr="006415D3">
        <w:t>m ir atb</w:t>
      </w:r>
      <w:r>
        <w:t>ilstoša kapacitāte un kvalitāte, 2012.gadā</w:t>
      </w:r>
      <w:r w:rsidR="00D45640">
        <w:t xml:space="preserve"> </w:t>
      </w:r>
      <w:r>
        <w:t>t</w:t>
      </w:r>
      <w:r w:rsidR="00DE0FA1">
        <w:t>ika</w:t>
      </w:r>
      <w:r w:rsidR="005B03AE" w:rsidRPr="006415D3">
        <w:t xml:space="preserve"> sagatavo</w:t>
      </w:r>
      <w:r w:rsidR="00DE0FA1">
        <w:t>ts</w:t>
      </w:r>
      <w:r w:rsidR="005B03AE" w:rsidRPr="006415D3">
        <w:t xml:space="preserve"> </w:t>
      </w:r>
      <w:r w:rsidR="005B03AE" w:rsidRPr="00DE0FA1">
        <w:rPr>
          <w:i/>
        </w:rPr>
        <w:t>„Augstākās izglītības un zinātnes reformu īs</w:t>
      </w:r>
      <w:r w:rsidR="00DE0FA1">
        <w:rPr>
          <w:i/>
        </w:rPr>
        <w:t>tenošanas rīcības plāna 2013.–</w:t>
      </w:r>
      <w:r w:rsidR="005B03AE" w:rsidRPr="00DE0FA1">
        <w:rPr>
          <w:i/>
        </w:rPr>
        <w:t>2014.gadam”</w:t>
      </w:r>
      <w:r w:rsidR="005B03AE" w:rsidRPr="006415D3">
        <w:t xml:space="preserve"> projekt</w:t>
      </w:r>
      <w:r w:rsidR="00DE0FA1">
        <w:t>s</w:t>
      </w:r>
      <w:r w:rsidR="005B03AE" w:rsidRPr="006415D3">
        <w:t>.</w:t>
      </w:r>
      <w:r w:rsidR="005B03AE" w:rsidRPr="006415D3">
        <w:rPr>
          <w:rFonts w:ascii="Times New Roman Bold" w:hAnsi="Times New Roman Bold"/>
        </w:rPr>
        <w:t xml:space="preserve"> </w:t>
      </w:r>
    </w:p>
    <w:p w:rsidR="005B03AE" w:rsidRDefault="005B03AE" w:rsidP="005B03AE">
      <w:pPr>
        <w:ind w:firstLine="567"/>
        <w:rPr>
          <w:rFonts w:ascii="Times New Roman Bold" w:hAnsi="Times New Roman Bold"/>
        </w:rPr>
      </w:pPr>
      <w:r w:rsidRPr="006415D3">
        <w:t xml:space="preserve">Vienlaikus ir uzsākts darbs pie </w:t>
      </w:r>
      <w:r w:rsidRPr="00DE0FA1">
        <w:rPr>
          <w:i/>
        </w:rPr>
        <w:t>Izglītības attīstības pamatnostādnēm 2014.</w:t>
      </w:r>
      <w:r w:rsidR="00DE0FA1">
        <w:rPr>
          <w:i/>
        </w:rPr>
        <w:t>–</w:t>
      </w:r>
      <w:r w:rsidRPr="00DE0FA1">
        <w:rPr>
          <w:i/>
        </w:rPr>
        <w:t>2020.gadam</w:t>
      </w:r>
      <w:r w:rsidR="00F330B6">
        <w:t xml:space="preserve"> (turpmāk – pamatnostādnes)</w:t>
      </w:r>
      <w:r w:rsidRPr="006415D3">
        <w:t xml:space="preserve">. Plānots, ka pamatnostādnes tiks </w:t>
      </w:r>
      <w:r w:rsidR="005D51C5">
        <w:t>iesniegtas MK</w:t>
      </w:r>
      <w:r w:rsidRPr="006415D3">
        <w:t xml:space="preserve"> 2013.gada jūnija beigās.</w:t>
      </w:r>
      <w:r w:rsidRPr="006415D3">
        <w:rPr>
          <w:rFonts w:ascii="Times New Roman Bold" w:hAnsi="Times New Roman Bold"/>
        </w:rPr>
        <w:t xml:space="preserve"> </w:t>
      </w:r>
    </w:p>
    <w:p w:rsidR="005B03AE" w:rsidRDefault="00984568" w:rsidP="00984568">
      <w:pPr>
        <w:spacing w:before="120"/>
        <w:ind w:firstLine="567"/>
      </w:pPr>
      <w:r w:rsidRPr="00701E47">
        <w:rPr>
          <w:b/>
          <w:i/>
        </w:rPr>
        <w:t>Labākai a</w:t>
      </w:r>
      <w:r w:rsidR="005B03AE" w:rsidRPr="00701E47">
        <w:rPr>
          <w:b/>
          <w:i/>
        </w:rPr>
        <w:t>ugstākās izglītības sasaistei ar darba tirgu</w:t>
      </w:r>
      <w:r w:rsidR="005B03AE" w:rsidRPr="006E1CE4">
        <w:t xml:space="preserve"> tiek pilnveidot</w:t>
      </w:r>
      <w:r>
        <w:t>a</w:t>
      </w:r>
      <w:r w:rsidR="005B03AE" w:rsidRPr="006E1CE4">
        <w:t xml:space="preserve"> absolventu monitoringa sistēm</w:t>
      </w:r>
      <w:r>
        <w:t>a</w:t>
      </w:r>
      <w:r w:rsidR="005B03AE" w:rsidRPr="006E1CE4">
        <w:t>, kā arī pakāpeniski main</w:t>
      </w:r>
      <w:r>
        <w:t>īts</w:t>
      </w:r>
      <w:r w:rsidR="005B03AE" w:rsidRPr="006E1CE4">
        <w:t xml:space="preserve"> no</w:t>
      </w:r>
      <w:r w:rsidR="005B03AE" w:rsidRPr="00C43284">
        <w:t xml:space="preserve"> valsts budžeta finansēt</w:t>
      </w:r>
      <w:r w:rsidR="005B03AE">
        <w:t>o</w:t>
      </w:r>
      <w:r w:rsidR="005B03AE" w:rsidRPr="00C43284">
        <w:t xml:space="preserve"> studiju viet</w:t>
      </w:r>
      <w:r w:rsidR="005B03AE">
        <w:t>u sadalījum</w:t>
      </w:r>
      <w:r w:rsidR="00EB2B8A">
        <w:t>s</w:t>
      </w:r>
      <w:r w:rsidR="005B03AE">
        <w:t xml:space="preserve"> </w:t>
      </w:r>
      <w:r w:rsidR="00EB2B8A">
        <w:t>–</w:t>
      </w:r>
      <w:r w:rsidR="005B03AE">
        <w:t xml:space="preserve"> tiek ņemtas vērā darba tirgus vidēja un ilgtermiņa prognozes</w:t>
      </w:r>
      <w:r w:rsidR="003F132A">
        <w:rPr>
          <w:rStyle w:val="FootnoteReference"/>
        </w:rPr>
        <w:footnoteReference w:id="14"/>
      </w:r>
      <w:r w:rsidR="005B03AE">
        <w:t>,</w:t>
      </w:r>
      <w:r w:rsidR="005B03AE" w:rsidRPr="00C43284">
        <w:t xml:space="preserve"> </w:t>
      </w:r>
      <w:r w:rsidR="005B03AE">
        <w:t xml:space="preserve">tai skaitā speciālistu trūkums </w:t>
      </w:r>
      <w:r w:rsidR="005B03AE" w:rsidRPr="00C43284">
        <w:t>valstij prioritār</w:t>
      </w:r>
      <w:r w:rsidR="005B03AE">
        <w:t>ās</w:t>
      </w:r>
      <w:r w:rsidR="005B03AE" w:rsidRPr="00C43284">
        <w:t xml:space="preserve">, augstu pievienoto vērtību radošās un </w:t>
      </w:r>
      <w:r w:rsidR="005D51C5">
        <w:t>dārgās</w:t>
      </w:r>
      <w:r w:rsidR="005B03AE" w:rsidRPr="00C43284">
        <w:t xml:space="preserve"> </w:t>
      </w:r>
      <w:r w:rsidR="005D51C5">
        <w:t xml:space="preserve">(studiju </w:t>
      </w:r>
      <w:r w:rsidR="005B03AE" w:rsidRPr="00C43284">
        <w:t>izmaksu</w:t>
      </w:r>
      <w:r w:rsidR="00701E47">
        <w:t xml:space="preserve"> </w:t>
      </w:r>
      <w:r w:rsidR="005D51C5">
        <w:t>ziņā) nozarēs</w:t>
      </w:r>
      <w:r w:rsidR="005B03AE" w:rsidRPr="00C43284">
        <w:t xml:space="preserve"> – dabaszinātnēs, inženierzinātnēs, veselības aprūpē</w:t>
      </w:r>
      <w:r w:rsidR="005B03AE">
        <w:t>.</w:t>
      </w:r>
    </w:p>
    <w:p w:rsidR="005D51C5" w:rsidRPr="00995DF0" w:rsidRDefault="005D51C5" w:rsidP="00984568">
      <w:pPr>
        <w:spacing w:before="120"/>
        <w:ind w:firstLine="567"/>
        <w:rPr>
          <w:u w:val="single"/>
        </w:rPr>
      </w:pPr>
      <w:r w:rsidRPr="00671A0A">
        <w:rPr>
          <w:b/>
          <w:i/>
        </w:rPr>
        <w:t xml:space="preserve">Lai veicinātu augstākās izglītības internacionalizāciju un </w:t>
      </w:r>
      <w:proofErr w:type="spellStart"/>
      <w:r w:rsidRPr="00671A0A">
        <w:rPr>
          <w:b/>
          <w:i/>
        </w:rPr>
        <w:t>eksportspējas</w:t>
      </w:r>
      <w:proofErr w:type="spellEnd"/>
      <w:r w:rsidRPr="00A12AAA">
        <w:rPr>
          <w:b/>
          <w:i/>
        </w:rPr>
        <w:t xml:space="preserve"> </w:t>
      </w:r>
      <w:r>
        <w:t>2012.gadā ir veikti pasākumi, atvieglojot augstskolu iespējas piesaistīt ārvalstu studentus, piemēram, augstskolām ir likumdošanā noteiktas tiesības veidot un īstenot kopīgas studiju programmas ar citu valstu augstskolām un izsniegt kopīgus diplomus, kā arī piedāvāt valsts budžeta stipendijas ārzemnieku studijām. 2013.gadā sagatavoti un izsludināti grozījumi Augstskolu likumā, lai paplašinātu studiju programmu īstenošanas iespējas ES oficiālajās valodās valsts dibinātās augstākās izglītības iestādēs.</w:t>
      </w:r>
    </w:p>
    <w:p w:rsidR="00D34289" w:rsidRPr="00E362B8" w:rsidRDefault="005B03AE" w:rsidP="006A6185">
      <w:pPr>
        <w:spacing w:before="120"/>
        <w:ind w:firstLine="567"/>
        <w:rPr>
          <w:b/>
          <w:i/>
          <w:highlight w:val="yellow"/>
        </w:rPr>
      </w:pPr>
      <w:r w:rsidRPr="00701E47">
        <w:rPr>
          <w:b/>
          <w:i/>
        </w:rPr>
        <w:lastRenderedPageBreak/>
        <w:t>Studiju un zinātnes ciešākai savstarpējai sasaistei</w:t>
      </w:r>
      <w:r w:rsidRPr="001F6556">
        <w:t xml:space="preserve"> ir uzsākta Baltijas valstu augstākās izglītības, zinātnes un privātā sektora sadarbības platformas (</w:t>
      </w:r>
      <w:r w:rsidR="006A6185">
        <w:t xml:space="preserve">turpmāk – </w:t>
      </w:r>
      <w:r w:rsidRPr="001F6556">
        <w:t xml:space="preserve">BIRTI) izveide un attīstība šādās jomās: </w:t>
      </w:r>
      <w:proofErr w:type="spellStart"/>
      <w:r w:rsidRPr="001F6556">
        <w:t>biofarmācija</w:t>
      </w:r>
      <w:proofErr w:type="spellEnd"/>
      <w:r w:rsidRPr="001F6556">
        <w:t xml:space="preserve"> un organiskā ķīmija, </w:t>
      </w:r>
      <w:proofErr w:type="spellStart"/>
      <w:r w:rsidRPr="001F6556">
        <w:t>nanostrukturētie</w:t>
      </w:r>
      <w:proofErr w:type="spellEnd"/>
      <w:r w:rsidRPr="001F6556">
        <w:t xml:space="preserve"> materiāli un augstas enerģijas starojums, viedās tehnoloģijas un inženierija.</w:t>
      </w:r>
      <w:r w:rsidR="00D45640">
        <w:t xml:space="preserve"> </w:t>
      </w:r>
      <w:r w:rsidRPr="001F6556">
        <w:t>2013.gadā plānoti pasākumi, lai šajās jomās veicinātu universitāšu, augstskolu un zinātnisko institūtu kopīgo doktorantūras studiju programmu izveid</w:t>
      </w:r>
      <w:r>
        <w:t xml:space="preserve">i un attīstību, tādējādi sekmējot kvalitāti, ciešāku savstarpēju sadarbību, un resursu koncentrēšanu, tajā skaitā kopīgo doktorantūras studiju programmu </w:t>
      </w:r>
      <w:r w:rsidRPr="006A6185">
        <w:rPr>
          <w:i/>
        </w:rPr>
        <w:t>(</w:t>
      </w:r>
      <w:proofErr w:type="spellStart"/>
      <w:r w:rsidR="006A6185" w:rsidRPr="006A6185">
        <w:rPr>
          <w:i/>
        </w:rPr>
        <w:t>Super</w:t>
      </w:r>
      <w:proofErr w:type="spellEnd"/>
      <w:r w:rsidR="006A6185" w:rsidRPr="006A6185">
        <w:rPr>
          <w:i/>
        </w:rPr>
        <w:t xml:space="preserve"> Doktorantūra</w:t>
      </w:r>
      <w:r w:rsidRPr="006A6185">
        <w:rPr>
          <w:i/>
        </w:rPr>
        <w:t>)</w:t>
      </w:r>
      <w:r>
        <w:t xml:space="preserve"> attīstību.</w:t>
      </w:r>
    </w:p>
    <w:p w:rsidR="00D34289" w:rsidRDefault="00D34289" w:rsidP="00D34289">
      <w:pPr>
        <w:spacing w:before="120"/>
        <w:ind w:firstLine="567"/>
      </w:pPr>
      <w:r>
        <w:t>Augstāk</w:t>
      </w:r>
      <w:r w:rsidR="003F132A">
        <w:t xml:space="preserve"> </w:t>
      </w:r>
      <w:r>
        <w:t xml:space="preserve">minēti pasākumi sekmē Latvijas </w:t>
      </w:r>
      <w:r w:rsidRPr="00D218E8">
        <w:rPr>
          <w:i/>
        </w:rPr>
        <w:t>Eiro Plus pakta</w:t>
      </w:r>
      <w:r>
        <w:t xml:space="preserve"> saistību izpildi (1.3.pasākums)</w:t>
      </w:r>
      <w:r w:rsidR="00D218E8">
        <w:t xml:space="preserve"> un atbilst </w:t>
      </w:r>
      <w:r w:rsidR="00D218E8" w:rsidRPr="00353580">
        <w:rPr>
          <w:i/>
        </w:rPr>
        <w:t>2013.gada izaugsmes ziņojuma</w:t>
      </w:r>
      <w:r w:rsidR="00D218E8">
        <w:t xml:space="preserve"> prioritātei attiecībā uz izaugsmes un konkurētspējas veicināšanu</w:t>
      </w:r>
      <w:r w:rsidR="008E1737">
        <w:t xml:space="preserve">, kā arī </w:t>
      </w:r>
      <w:r w:rsidR="008E1737" w:rsidRPr="00FF5C3A">
        <w:rPr>
          <w:i/>
        </w:rPr>
        <w:t>„Eiropa 2020”</w:t>
      </w:r>
      <w:r w:rsidR="008E1737">
        <w:t xml:space="preserve"> stratēģijas vadošās iniciatīvas </w:t>
      </w:r>
      <w:r w:rsidR="008E1737" w:rsidRPr="008E1737">
        <w:rPr>
          <w:i/>
        </w:rPr>
        <w:t>„Jaunu prasmju un darbavietu programma”</w:t>
      </w:r>
      <w:r w:rsidR="008E1737">
        <w:t xml:space="preserve"> īstenošanai</w:t>
      </w:r>
      <w:r>
        <w:t xml:space="preserve">. </w:t>
      </w:r>
    </w:p>
    <w:p w:rsidR="00D34289" w:rsidRPr="00F72B9D" w:rsidRDefault="00D34289" w:rsidP="00477F1F">
      <w:pPr>
        <w:spacing w:before="360"/>
        <w:ind w:firstLine="567"/>
        <w:rPr>
          <w:b/>
          <w:i/>
        </w:rPr>
      </w:pPr>
      <w:r w:rsidRPr="00F72B9D">
        <w:rPr>
          <w:b/>
          <w:i/>
        </w:rPr>
        <w:t>Pētniecības un inovācijas politika</w:t>
      </w:r>
    </w:p>
    <w:p w:rsidR="00995CE3" w:rsidRDefault="00995CE3" w:rsidP="0077627E">
      <w:pPr>
        <w:spacing w:before="120"/>
        <w:ind w:firstLine="567"/>
      </w:pPr>
      <w:r>
        <w:t xml:space="preserve">2013.gadā plānots izstrādāt </w:t>
      </w:r>
      <w:r w:rsidRPr="00900E5E">
        <w:rPr>
          <w:i/>
        </w:rPr>
        <w:t>Zinātnes, tehnoloģiju attīstības un inovācijas pamatnostādnes 2014.</w:t>
      </w:r>
      <w:r>
        <w:rPr>
          <w:i/>
        </w:rPr>
        <w:t>–</w:t>
      </w:r>
      <w:r w:rsidRPr="00900E5E">
        <w:rPr>
          <w:i/>
        </w:rPr>
        <w:t>2020.gadam</w:t>
      </w:r>
      <w:r w:rsidRPr="00900E5E">
        <w:t xml:space="preserve">, </w:t>
      </w:r>
      <w:r>
        <w:t>kurās tiks</w:t>
      </w:r>
      <w:r w:rsidRPr="00900E5E">
        <w:t xml:space="preserve"> identificētas zinātniskās darbības problēmas, noteikti valdības politikas mērķi, darbības pamatprincipi un prioritātes zinātnes, tehnoloģijas un inovācijas attīstībā, kā arī tiks sagatavota</w:t>
      </w:r>
      <w:r>
        <w:t xml:space="preserve"> </w:t>
      </w:r>
      <w:r>
        <w:rPr>
          <w:i/>
        </w:rPr>
        <w:t>Lietpratīgās specializācijas stratēģija (</w:t>
      </w:r>
      <w:proofErr w:type="spellStart"/>
      <w:r w:rsidR="003F132A">
        <w:rPr>
          <w:i/>
        </w:rPr>
        <w:t>Smart</w:t>
      </w:r>
      <w:proofErr w:type="spellEnd"/>
      <w:r w:rsidR="003F132A">
        <w:rPr>
          <w:i/>
        </w:rPr>
        <w:t xml:space="preserve"> </w:t>
      </w:r>
      <w:proofErr w:type="spellStart"/>
      <w:r w:rsidR="003F132A">
        <w:rPr>
          <w:i/>
        </w:rPr>
        <w:t>Specialization</w:t>
      </w:r>
      <w:proofErr w:type="spellEnd"/>
      <w:r w:rsidR="003F132A">
        <w:rPr>
          <w:i/>
        </w:rPr>
        <w:t xml:space="preserve"> </w:t>
      </w:r>
      <w:proofErr w:type="spellStart"/>
      <w:r w:rsidR="003F132A">
        <w:rPr>
          <w:i/>
        </w:rPr>
        <w:t>Strategies</w:t>
      </w:r>
      <w:proofErr w:type="spellEnd"/>
      <w:r w:rsidR="003F132A">
        <w:rPr>
          <w:i/>
        </w:rPr>
        <w:t>)</w:t>
      </w:r>
      <w:r>
        <w:t>, kas ietvers arī nozīmīgu pārrobežu un starptautiskās sadarbības komponentu pētniecībā un inovācijās.</w:t>
      </w:r>
    </w:p>
    <w:p w:rsidR="00995CE3" w:rsidRDefault="00995CE3" w:rsidP="00995CE3">
      <w:pPr>
        <w:ind w:firstLine="567"/>
      </w:pPr>
      <w:r>
        <w:t xml:space="preserve">2013.gadā veikti grozījumi </w:t>
      </w:r>
      <w:r w:rsidRPr="002F1169">
        <w:rPr>
          <w:i/>
        </w:rPr>
        <w:t>Zinātniskās darbības likumā</w:t>
      </w:r>
      <w:r>
        <w:t xml:space="preserve">, kas sekmēs efektīvāku izgudrojumu tiesisko aizsardzību valsts budžeta finansētas zinātniskās darbības (it īpaši valsts pētījumu programmu) radītiem izgudrojumiem, </w:t>
      </w:r>
      <w:proofErr w:type="spellStart"/>
      <w:r>
        <w:t>komercializāciju</w:t>
      </w:r>
      <w:proofErr w:type="spellEnd"/>
      <w:r>
        <w:t xml:space="preserve"> un zināšanu pārnesi, radot priekšnoteikumus privāt</w:t>
      </w:r>
      <w:r w:rsidR="00AD7E2F">
        <w:t>o</w:t>
      </w:r>
      <w:r>
        <w:t xml:space="preserve"> investīciju pieaugumu ar pētniecību saistītās aktivitātēs.</w:t>
      </w:r>
    </w:p>
    <w:p w:rsidR="00995CE3" w:rsidRDefault="00995CE3" w:rsidP="00614151">
      <w:pPr>
        <w:spacing w:before="120"/>
        <w:ind w:firstLine="567"/>
      </w:pPr>
      <w:r>
        <w:t xml:space="preserve">Lai nodrošinātu nacionālā līmeņa zinātniskās ekselences sekmēšanu un stiprināšanu un zinātnisko resursu koncentrēšanu, ir izveidoti 9 valsts nozīmes pētniecības centri. Plānots ieviest jaunus valsts budžeta līdzekļu sadales principus, veicinot ekselences un cilvēkresursu koncentrāciju, sekmējot sadarbību ar </w:t>
      </w:r>
      <w:r w:rsidR="00AD7E2F">
        <w:t>ražošanu</w:t>
      </w:r>
      <w:r>
        <w:t xml:space="preserve"> un nacionālās identitātes nostiprināšanu. </w:t>
      </w:r>
    </w:p>
    <w:p w:rsidR="002F1169" w:rsidRDefault="00AD7E2F" w:rsidP="00995CE3">
      <w:pPr>
        <w:ind w:firstLine="567"/>
      </w:pPr>
      <w:r>
        <w:t>I</w:t>
      </w:r>
      <w:r w:rsidR="002F1169">
        <w:t xml:space="preserve">r izstrādāta </w:t>
      </w:r>
      <w:r w:rsidR="00133EAD">
        <w:t xml:space="preserve">valsts un privāto zinātnisko institūciju starptautiskās izvērtēšanas </w:t>
      </w:r>
      <w:r w:rsidR="002F1169">
        <w:t xml:space="preserve">vienota metodoloģija un kritēriji. Zinātniskās institūcijas ir sagatavojušas pašnovērtējuma ziņojumus, tie ir tulkoti angļu valodā un ievadīti vienotā informācijas sistēmā. </w:t>
      </w:r>
    </w:p>
    <w:p w:rsidR="002F1169" w:rsidRDefault="002F1169" w:rsidP="00995CE3">
      <w:pPr>
        <w:ind w:firstLine="567"/>
      </w:pPr>
      <w:r>
        <w:t xml:space="preserve">2013.gada 5.februārī tika parakstīts sadarbības līgums ar Ziemeļu Ministru padomi. Sadarbības ietvaros ir paredzēts veikt zinātnisko institūciju zinātniskās darbības kvalitātes izvērtējumu, kā arī organizēt un nodrošināt zinātnes un inovāciju politikas starptautiskās ekspertīzes veikšanu un izstrādāt rekomendācijas Latvijas zinātnes un tehnoloģiju politikas attīstībai. Plānots, ka </w:t>
      </w:r>
      <w:r w:rsidRPr="002F1169">
        <w:rPr>
          <w:i/>
        </w:rPr>
        <w:t>Kvalitātes novērtējuma gala ziņojums</w:t>
      </w:r>
      <w:r>
        <w:t xml:space="preserve"> tiks sagatavots līdz 2013.gada 30.septembrim.</w:t>
      </w:r>
    </w:p>
    <w:p w:rsidR="00645456" w:rsidRDefault="00AD7E2F" w:rsidP="00614151">
      <w:pPr>
        <w:spacing w:before="120"/>
        <w:ind w:firstLine="567"/>
      </w:pPr>
      <w:r>
        <w:t>Tiek turpināts darbs</w:t>
      </w:r>
      <w:r w:rsidR="00645456">
        <w:t xml:space="preserve"> pie Eiropas līmeņa pētniecības infrastruktūras –</w:t>
      </w:r>
      <w:r w:rsidR="005D51C5">
        <w:t xml:space="preserve"> </w:t>
      </w:r>
      <w:r w:rsidR="00645456">
        <w:t xml:space="preserve">BIRTI </w:t>
      </w:r>
      <w:r w:rsidR="005D51C5">
        <w:t xml:space="preserve">platformas </w:t>
      </w:r>
      <w:r w:rsidR="00645456">
        <w:t xml:space="preserve">izveides konkurētspējīgu tehnoloģiju attīstībai Baltijas reģionā. </w:t>
      </w:r>
      <w:r>
        <w:t>Darbā</w:t>
      </w:r>
      <w:r w:rsidR="00645456">
        <w:t xml:space="preserve"> plānots piesaistīt EK institūciju finansēto tehniskā atbalsta instrumentu </w:t>
      </w:r>
      <w:r w:rsidR="00645456" w:rsidRPr="00645456">
        <w:rPr>
          <w:i/>
        </w:rPr>
        <w:t>„Kopējā palīdzība projekta sagatavošanai Eiropas reģionos”</w:t>
      </w:r>
      <w:r w:rsidR="00645456">
        <w:t>. BIRTI plānots īstenot laikposmā no 2014.gada līdz 2020.gadam.</w:t>
      </w:r>
    </w:p>
    <w:p w:rsidR="00645456" w:rsidRDefault="00645456" w:rsidP="00995CE3">
      <w:pPr>
        <w:ind w:firstLine="567"/>
      </w:pPr>
      <w:r>
        <w:t xml:space="preserve">Ir nodrošināta Latvijas dalība pētniecības programmās ARTEMIS un </w:t>
      </w:r>
      <w:proofErr w:type="spellStart"/>
      <w:r>
        <w:t>Eurostars</w:t>
      </w:r>
      <w:proofErr w:type="spellEnd"/>
      <w:r>
        <w:t>. Tiek atbalstīta Latvijas dalība Eiropas pētniecības un tehnoloģiju attīstības programmās (COST, 7.Ietvara</w:t>
      </w:r>
      <w:r w:rsidR="001D34C1">
        <w:t xml:space="preserve"> programma</w:t>
      </w:r>
      <w:r w:rsidR="00D45640">
        <w:t xml:space="preserve"> </w:t>
      </w:r>
      <w:r>
        <w:t>un</w:t>
      </w:r>
      <w:r w:rsidR="00D45640">
        <w:t xml:space="preserve"> </w:t>
      </w:r>
      <w:r>
        <w:t>EUREKA),</w:t>
      </w:r>
      <w:r w:rsidR="00D45640">
        <w:t xml:space="preserve"> </w:t>
      </w:r>
      <w:r>
        <w:t>divpusējās</w:t>
      </w:r>
      <w:r w:rsidR="00D45640">
        <w:t xml:space="preserve"> </w:t>
      </w:r>
      <w:r>
        <w:t>sadarbības</w:t>
      </w:r>
      <w:r w:rsidR="00D45640">
        <w:t xml:space="preserve"> </w:t>
      </w:r>
      <w:r>
        <w:t>programmās</w:t>
      </w:r>
      <w:r w:rsidR="00D45640">
        <w:t xml:space="preserve"> </w:t>
      </w:r>
      <w:r>
        <w:t>ar Baltkrieviju,</w:t>
      </w:r>
      <w:r w:rsidR="00D45640">
        <w:t xml:space="preserve"> </w:t>
      </w:r>
      <w:r>
        <w:t>Franciju</w:t>
      </w:r>
      <w:r w:rsidR="00D45640">
        <w:t xml:space="preserve"> </w:t>
      </w:r>
      <w:r>
        <w:t>un</w:t>
      </w:r>
      <w:r w:rsidR="00D45640">
        <w:t xml:space="preserve"> </w:t>
      </w:r>
      <w:r>
        <w:t>trīspusējās</w:t>
      </w:r>
      <w:r w:rsidR="00D45640">
        <w:t xml:space="preserve"> </w:t>
      </w:r>
      <w:r>
        <w:t>sadarbības</w:t>
      </w:r>
      <w:r w:rsidR="00D45640">
        <w:t xml:space="preserve"> </w:t>
      </w:r>
      <w:r>
        <w:t>programmās</w:t>
      </w:r>
      <w:r w:rsidR="00D45640">
        <w:t xml:space="preserve"> </w:t>
      </w:r>
      <w:r>
        <w:t>ar Lietuvu</w:t>
      </w:r>
      <w:r w:rsidR="00D45640">
        <w:t xml:space="preserve"> </w:t>
      </w:r>
      <w:r>
        <w:t>un</w:t>
      </w:r>
      <w:r w:rsidR="00D45640">
        <w:t xml:space="preserve"> </w:t>
      </w:r>
      <w:r>
        <w:t>Taivānu,</w:t>
      </w:r>
      <w:r w:rsidR="00D45640">
        <w:t xml:space="preserve"> </w:t>
      </w:r>
      <w:r>
        <w:t>kuru</w:t>
      </w:r>
      <w:r w:rsidR="00D45640">
        <w:t xml:space="preserve"> </w:t>
      </w:r>
      <w:r>
        <w:t>mērķis</w:t>
      </w:r>
      <w:r w:rsidR="00D45640">
        <w:t xml:space="preserve"> </w:t>
      </w:r>
      <w:r>
        <w:t>ir</w:t>
      </w:r>
      <w:r w:rsidR="00D45640">
        <w:t xml:space="preserve"> </w:t>
      </w:r>
      <w:r>
        <w:t>Eiropas</w:t>
      </w:r>
      <w:r w:rsidR="00D45640">
        <w:t xml:space="preserve"> </w:t>
      </w:r>
      <w:r>
        <w:t>līmenī</w:t>
      </w:r>
      <w:r w:rsidR="00D45640">
        <w:t xml:space="preserve"> </w:t>
      </w:r>
      <w:r>
        <w:t>atbalstīt zinātnieku un pētnieku sadarbību dažādās zinātnes un tehnoloģijas attīstības</w:t>
      </w:r>
      <w:r w:rsidR="00D45640">
        <w:t xml:space="preserve"> </w:t>
      </w:r>
      <w:r>
        <w:t>jomās,</w:t>
      </w:r>
      <w:r w:rsidR="00D45640">
        <w:t xml:space="preserve"> </w:t>
      </w:r>
      <w:r>
        <w:t>veicināt</w:t>
      </w:r>
      <w:r w:rsidR="00D45640">
        <w:t xml:space="preserve"> </w:t>
      </w:r>
      <w:r>
        <w:t>inovatīvu</w:t>
      </w:r>
      <w:r w:rsidR="00D45640">
        <w:t xml:space="preserve"> </w:t>
      </w:r>
      <w:r>
        <w:t>civilo</w:t>
      </w:r>
      <w:r w:rsidR="00D45640">
        <w:t xml:space="preserve"> </w:t>
      </w:r>
      <w:r>
        <w:t>tehnoloģiju</w:t>
      </w:r>
      <w:r w:rsidR="00D45640">
        <w:t xml:space="preserve"> </w:t>
      </w:r>
      <w:r>
        <w:t>pētīšanu, izstrādi un ieviešanu, galvenokārt mazajos un vidējos uzņēmumos.</w:t>
      </w:r>
    </w:p>
    <w:p w:rsidR="00645456" w:rsidRDefault="00645456" w:rsidP="00995CE3">
      <w:pPr>
        <w:ind w:firstLine="567"/>
      </w:pPr>
      <w:r>
        <w:t xml:space="preserve">Zinātniskās darbības potenciāla attīstīšanai 2012.gadā no ES struktūrfondiem tika finansēti vairāku aktivitāšu projekti – </w:t>
      </w:r>
      <w:r w:rsidR="001D34C1" w:rsidRPr="001D34C1">
        <w:rPr>
          <w:i/>
        </w:rPr>
        <w:t>„</w:t>
      </w:r>
      <w:r w:rsidRPr="001D34C1">
        <w:rPr>
          <w:i/>
        </w:rPr>
        <w:t>Cilvēkresursu piesaiste zinātnei</w:t>
      </w:r>
      <w:r w:rsidR="001D34C1" w:rsidRPr="001D34C1">
        <w:rPr>
          <w:i/>
        </w:rPr>
        <w:t>”</w:t>
      </w:r>
      <w:r>
        <w:t xml:space="preserve">, </w:t>
      </w:r>
      <w:r w:rsidR="001D34C1" w:rsidRPr="001D34C1">
        <w:rPr>
          <w:i/>
        </w:rPr>
        <w:t>„</w:t>
      </w:r>
      <w:r w:rsidRPr="001D34C1">
        <w:rPr>
          <w:i/>
        </w:rPr>
        <w:t xml:space="preserve">Atbalsts zinātnei </w:t>
      </w:r>
      <w:r w:rsidRPr="001D34C1">
        <w:rPr>
          <w:i/>
        </w:rPr>
        <w:lastRenderedPageBreak/>
        <w:t>un pētniecībai</w:t>
      </w:r>
      <w:r w:rsidR="001D34C1" w:rsidRPr="001D34C1">
        <w:rPr>
          <w:i/>
        </w:rPr>
        <w:t>”</w:t>
      </w:r>
      <w:r w:rsidR="001D34C1">
        <w:t>,</w:t>
      </w:r>
      <w:r>
        <w:t xml:space="preserve"> </w:t>
      </w:r>
      <w:r w:rsidR="001D34C1" w:rsidRPr="001D34C1">
        <w:rPr>
          <w:i/>
        </w:rPr>
        <w:t>„</w:t>
      </w:r>
      <w:r w:rsidRPr="001D34C1">
        <w:rPr>
          <w:i/>
        </w:rPr>
        <w:t>Atbalsts starptautiskās sadarbības projektiem zinātnē un tehnoloģijās</w:t>
      </w:r>
      <w:r>
        <w:t xml:space="preserve"> </w:t>
      </w:r>
      <w:r w:rsidRPr="001D34C1">
        <w:rPr>
          <w:i/>
        </w:rPr>
        <w:t>(EUREKA, 7.I</w:t>
      </w:r>
      <w:r w:rsidR="001D34C1" w:rsidRPr="001D34C1">
        <w:rPr>
          <w:i/>
        </w:rPr>
        <w:t>etvara programma</w:t>
      </w:r>
      <w:r w:rsidRPr="001D34C1">
        <w:rPr>
          <w:i/>
        </w:rPr>
        <w:t xml:space="preserve"> un citi)</w:t>
      </w:r>
      <w:r w:rsidR="001D34C1" w:rsidRPr="001D34C1">
        <w:rPr>
          <w:i/>
        </w:rPr>
        <w:t>”</w:t>
      </w:r>
      <w:r>
        <w:t xml:space="preserve">, </w:t>
      </w:r>
      <w:r w:rsidR="001D34C1" w:rsidRPr="001D34C1">
        <w:rPr>
          <w:i/>
        </w:rPr>
        <w:t>„</w:t>
      </w:r>
      <w:r w:rsidRPr="001D34C1">
        <w:rPr>
          <w:i/>
        </w:rPr>
        <w:t>Zinātnes infrastruktūras attīstība</w:t>
      </w:r>
      <w:r w:rsidR="001D34C1" w:rsidRPr="001D34C1">
        <w:rPr>
          <w:i/>
        </w:rPr>
        <w:t>”</w:t>
      </w:r>
      <w:r>
        <w:t xml:space="preserve">, </w:t>
      </w:r>
      <w:r w:rsidR="001D34C1" w:rsidRPr="001D34C1">
        <w:rPr>
          <w:i/>
        </w:rPr>
        <w:t>„</w:t>
      </w:r>
      <w:r w:rsidRPr="001D34C1">
        <w:rPr>
          <w:i/>
        </w:rPr>
        <w:t>Informācijas tehnoloģiju infrastruktūras un informācijas sistēmu uzlabošana zinātniskajai darbībai</w:t>
      </w:r>
      <w:r w:rsidR="001D34C1" w:rsidRPr="001D34C1">
        <w:rPr>
          <w:i/>
        </w:rPr>
        <w:t>”</w:t>
      </w:r>
      <w:r>
        <w:t>.</w:t>
      </w:r>
    </w:p>
    <w:p w:rsidR="00DB2BB3" w:rsidRPr="00DB2BB3" w:rsidRDefault="00DB2BB3" w:rsidP="008E1737">
      <w:pPr>
        <w:spacing w:before="120"/>
        <w:ind w:firstLine="567"/>
        <w:rPr>
          <w:b/>
          <w:lang w:eastAsia="lv-LV"/>
        </w:rPr>
      </w:pPr>
      <w:r>
        <w:rPr>
          <w:lang w:eastAsia="lv-LV"/>
        </w:rPr>
        <w:t xml:space="preserve">Lai sniegtu atbalstu inovatīviem komersantiem jaunu produktu un tehnoloģiju izstrādei un ieviešanai ražošanā un palielinātu inovatīvo uzņēmumu skaitu, tiek plānots pagarināt atsevišķus esošos </w:t>
      </w:r>
      <w:r w:rsidRPr="00DB2BB3">
        <w:rPr>
          <w:i/>
          <w:lang w:eastAsia="lv-LV"/>
        </w:rPr>
        <w:t>uzņēmumu ienākuma nodokļa atbalsta pasākumus</w:t>
      </w:r>
      <w:r>
        <w:rPr>
          <w:lang w:eastAsia="lv-LV"/>
        </w:rPr>
        <w:t xml:space="preserve">, kas orientēti uz ilgtermiņa investīciju veikšanu uzņēmumu konkurētspējas paaugstināšanai, </w:t>
      </w:r>
      <w:proofErr w:type="spellStart"/>
      <w:r>
        <w:rPr>
          <w:lang w:eastAsia="lv-LV"/>
        </w:rPr>
        <w:t>t.sk</w:t>
      </w:r>
      <w:proofErr w:type="spellEnd"/>
      <w:r>
        <w:rPr>
          <w:lang w:eastAsia="lv-LV"/>
        </w:rPr>
        <w:t>., jaunu produktu un pakalpojumu izstrādei. Vienlaikus paredzēts pilnveidot jaunu uzņēmumu ienākuma nodokļa stimulu privātā sektora ieguldījumu veicināšanai pētniecībā un attīstībā, nosakot, ka noteiktas uzņēmumu pētniecības un attīstības izmaksas tiek norakstītas tajā gadā, kad tās radušās, piemērojot vērtību palielinošu koeficientu – 3.</w:t>
      </w:r>
    </w:p>
    <w:p w:rsidR="00DB2BB3" w:rsidRPr="00C40862" w:rsidRDefault="00DB2BB3" w:rsidP="00614151">
      <w:pPr>
        <w:spacing w:before="120"/>
        <w:ind w:firstLine="567"/>
      </w:pPr>
      <w:r>
        <w:t xml:space="preserve">Inovatīvo uzņēmēju atbalstam 2012.gadā tika turpināta projektu īstenošana ES struktūrfondu programmās – </w:t>
      </w:r>
      <w:r w:rsidRPr="00DB2BB3">
        <w:rPr>
          <w:i/>
        </w:rPr>
        <w:t>„Jaunu produktu un tehnoloģiju izstrāde”</w:t>
      </w:r>
      <w:r w:rsidRPr="00C40862">
        <w:t xml:space="preserve">, </w:t>
      </w:r>
      <w:r w:rsidRPr="00DB2BB3">
        <w:rPr>
          <w:i/>
        </w:rPr>
        <w:t>„Jaunu produktu un tehnoloģiju ieviešana ražošanā”</w:t>
      </w:r>
      <w:r w:rsidRPr="00C40862">
        <w:t xml:space="preserve">, </w:t>
      </w:r>
      <w:r w:rsidRPr="00DB2BB3">
        <w:rPr>
          <w:i/>
        </w:rPr>
        <w:t>„Augstas pievienotās vērtības investīcijas”</w:t>
      </w:r>
      <w:r w:rsidRPr="00C40862">
        <w:t xml:space="preserve">, kā arī uzsākta </w:t>
      </w:r>
      <w:r w:rsidRPr="00DB2BB3">
        <w:rPr>
          <w:i/>
        </w:rPr>
        <w:t>„</w:t>
      </w:r>
      <w:proofErr w:type="spellStart"/>
      <w:r w:rsidRPr="00DB2BB3">
        <w:rPr>
          <w:i/>
        </w:rPr>
        <w:t>Mikro</w:t>
      </w:r>
      <w:proofErr w:type="spellEnd"/>
      <w:r w:rsidRPr="00DB2BB3">
        <w:rPr>
          <w:i/>
        </w:rPr>
        <w:t>, mazo un vidējo komersantu jaunu produktu un tehnoloģiju attīstības programmas</w:t>
      </w:r>
      <w:r>
        <w:rPr>
          <w:i/>
        </w:rPr>
        <w:t>”</w:t>
      </w:r>
      <w:r w:rsidRPr="00C40862">
        <w:t xml:space="preserve"> īstenošana. Minēto aktivitāšu īstenošanai līdz 2015.gada beigām plānots ieguldīt 115 </w:t>
      </w:r>
      <w:proofErr w:type="spellStart"/>
      <w:r w:rsidRPr="00C40862">
        <w:t>milj</w:t>
      </w:r>
      <w:proofErr w:type="spellEnd"/>
      <w:r w:rsidRPr="00C40862">
        <w:t xml:space="preserve">. latu, kas varētu piesaistīt 143,6 </w:t>
      </w:r>
      <w:proofErr w:type="spellStart"/>
      <w:r w:rsidRPr="00C40862">
        <w:t>milj</w:t>
      </w:r>
      <w:proofErr w:type="spellEnd"/>
      <w:r w:rsidRPr="00C40862">
        <w:t xml:space="preserve">. latu privātā sektora līdzfinansējuma. </w:t>
      </w:r>
    </w:p>
    <w:p w:rsidR="00DB2BB3" w:rsidRDefault="00DB2BB3" w:rsidP="00995CE3">
      <w:pPr>
        <w:ind w:firstLine="567"/>
      </w:pPr>
      <w:r w:rsidRPr="00F032B1">
        <w:t xml:space="preserve">2012.gadā </w:t>
      </w:r>
      <w:r>
        <w:t>j</w:t>
      </w:r>
      <w:r w:rsidRPr="00C40862">
        <w:t>aunu produktu un tehnoloģiju izstrāde</w:t>
      </w:r>
      <w:r>
        <w:t>s un ieviešanas ražošanā programmu</w:t>
      </w:r>
      <w:r w:rsidRPr="00F032B1">
        <w:t xml:space="preserve"> </w:t>
      </w:r>
      <w:r>
        <w:t xml:space="preserve">ietvaros </w:t>
      </w:r>
      <w:r w:rsidRPr="00F032B1">
        <w:t>ir noslēgti 208 līgumi par kopējo ES struktūrfondu</w:t>
      </w:r>
      <w:r>
        <w:t xml:space="preserve"> finansējumu 37,9 </w:t>
      </w:r>
      <w:proofErr w:type="spellStart"/>
      <w:r>
        <w:t>milj</w:t>
      </w:r>
      <w:proofErr w:type="spellEnd"/>
      <w:r>
        <w:t>. latu. 2012.gadā</w:t>
      </w:r>
      <w:r w:rsidRPr="00F032B1">
        <w:t xml:space="preserve"> ir pabeigti 160 projekti par 19,8 </w:t>
      </w:r>
      <w:proofErr w:type="spellStart"/>
      <w:r w:rsidRPr="00F032B1">
        <w:t>milj</w:t>
      </w:r>
      <w:proofErr w:type="spellEnd"/>
      <w:r w:rsidRPr="00F032B1">
        <w:t xml:space="preserve">. latu. Plānots, ka atbalstīto projektu īstenošanas rezultātā tiks piesaistīts privātā sektora līdzfinansējums 72,7 </w:t>
      </w:r>
      <w:proofErr w:type="spellStart"/>
      <w:r w:rsidRPr="00F032B1">
        <w:t>milj</w:t>
      </w:r>
      <w:proofErr w:type="spellEnd"/>
      <w:r w:rsidRPr="00F032B1">
        <w:t xml:space="preserve">. latu apmērā. 2013.gadā paredzēts izmaksāt 10,7 </w:t>
      </w:r>
      <w:proofErr w:type="spellStart"/>
      <w:r w:rsidRPr="00F032B1">
        <w:t>milj</w:t>
      </w:r>
      <w:proofErr w:type="spellEnd"/>
      <w:r w:rsidRPr="00F032B1">
        <w:t>. latu ES fondu finansējuma abu programmu ietvaros atbalstīto projektu tālākai īstenošanai.</w:t>
      </w:r>
    </w:p>
    <w:p w:rsidR="00DB2BB3" w:rsidRDefault="00DB2BB3" w:rsidP="00995CE3">
      <w:pPr>
        <w:ind w:firstLine="567"/>
      </w:pPr>
      <w:r w:rsidRPr="002F06C1">
        <w:t>2012.gada nogalē tik</w:t>
      </w:r>
      <w:r>
        <w:t>a uzsāka projektu pieņemšana ES struktūrfondu</w:t>
      </w:r>
      <w:r w:rsidRPr="002F06C1">
        <w:t xml:space="preserve"> </w:t>
      </w:r>
      <w:proofErr w:type="spellStart"/>
      <w:r w:rsidRPr="00DB2BB3">
        <w:rPr>
          <w:i/>
        </w:rPr>
        <w:t>Mikro</w:t>
      </w:r>
      <w:proofErr w:type="spellEnd"/>
      <w:r w:rsidRPr="00DB2BB3">
        <w:rPr>
          <w:i/>
        </w:rPr>
        <w:t>, mazo un vidējo komersantu jaunu produktu un tehnoloģiju attīstības programm</w:t>
      </w:r>
      <w:r>
        <w:rPr>
          <w:i/>
        </w:rPr>
        <w:t>ā</w:t>
      </w:r>
      <w:r>
        <w:t xml:space="preserve"> ar mērķi</w:t>
      </w:r>
      <w:r w:rsidRPr="002F06C1">
        <w:t xml:space="preserve"> veicināt </w:t>
      </w:r>
      <w:proofErr w:type="spellStart"/>
      <w:r w:rsidRPr="002F06C1">
        <w:t>mikro</w:t>
      </w:r>
      <w:proofErr w:type="spellEnd"/>
      <w:r w:rsidRPr="002F06C1">
        <w:t xml:space="preserve"> (sīko), mazo un vidējo uzņēmumu inovācijas, jaunu produktu vai tehnoloģiju attīstības, tehnoloģiju pārneses konkurētspējas stiprināšanas aktivitātes. Kopējais programmā pieejamais ES struktūrfondu finansējums </w:t>
      </w:r>
      <w:r>
        <w:t xml:space="preserve">līdz 2013.gada beigām </w:t>
      </w:r>
      <w:r w:rsidRPr="002F06C1">
        <w:t xml:space="preserve">ir 2 </w:t>
      </w:r>
      <w:proofErr w:type="spellStart"/>
      <w:r w:rsidRPr="002F06C1">
        <w:t>milj</w:t>
      </w:r>
      <w:proofErr w:type="spellEnd"/>
      <w:r w:rsidRPr="002F06C1">
        <w:t xml:space="preserve">. latu. Plānots, ka kopumā programmā tiks atbalstīti vismaz 200 </w:t>
      </w:r>
      <w:proofErr w:type="spellStart"/>
      <w:r w:rsidRPr="002F06C1">
        <w:t>mikro</w:t>
      </w:r>
      <w:proofErr w:type="spellEnd"/>
      <w:r w:rsidRPr="002F06C1">
        <w:t>, mazie un vidējie uzņēmumi, piesaistot privātā sektora līdzfinansējum</w:t>
      </w:r>
      <w:r>
        <w:t>u</w:t>
      </w:r>
      <w:r w:rsidRPr="002F06C1">
        <w:t xml:space="preserve"> 1,2 </w:t>
      </w:r>
      <w:proofErr w:type="spellStart"/>
      <w:r w:rsidRPr="002F06C1">
        <w:t>milj</w:t>
      </w:r>
      <w:proofErr w:type="spellEnd"/>
      <w:r w:rsidRPr="002F06C1">
        <w:t>. latu apmērā.</w:t>
      </w:r>
    </w:p>
    <w:p w:rsidR="00DB2BB3" w:rsidRDefault="00DB2BB3" w:rsidP="00995CE3">
      <w:pPr>
        <w:ind w:firstLine="567"/>
      </w:pPr>
      <w:r>
        <w:t>Lai</w:t>
      </w:r>
      <w:r w:rsidRPr="00516CF7">
        <w:t xml:space="preserve"> atbalst</w:t>
      </w:r>
      <w:r>
        <w:t xml:space="preserve">ītu </w:t>
      </w:r>
      <w:r w:rsidRPr="00516CF7">
        <w:t xml:space="preserve">ražotņu modernizāciju </w:t>
      </w:r>
      <w:r w:rsidRPr="009F3E77">
        <w:t xml:space="preserve">2012.gadā tika īstenota projektu pieteikumu atlases otrā kārta ES struktūrfondu </w:t>
      </w:r>
      <w:r w:rsidRPr="00516CF7">
        <w:t xml:space="preserve">programmā </w:t>
      </w:r>
      <w:r w:rsidRPr="00DB2BB3">
        <w:rPr>
          <w:i/>
        </w:rPr>
        <w:t>„Augstas pievienotās vērtības investīcijas”</w:t>
      </w:r>
      <w:r w:rsidRPr="00516CF7">
        <w:t xml:space="preserve"> par kopējo pieejamo ES struktūrfondu finansējumu </w:t>
      </w:r>
      <w:r w:rsidRPr="009F3E77">
        <w:t xml:space="preserve">26 </w:t>
      </w:r>
      <w:proofErr w:type="spellStart"/>
      <w:r w:rsidRPr="009F3E77">
        <w:t>milj</w:t>
      </w:r>
      <w:proofErr w:type="spellEnd"/>
      <w:r w:rsidRPr="009F3E77">
        <w:t xml:space="preserve">. latu. Projektu atlases otrajā kārtā atbalstīti 16 komersantu projekta pieteikumi par pieprasīto atbalsta apjomu 32,4 </w:t>
      </w:r>
      <w:proofErr w:type="spellStart"/>
      <w:r w:rsidRPr="009F3E77">
        <w:t>milj</w:t>
      </w:r>
      <w:proofErr w:type="spellEnd"/>
      <w:r w:rsidRPr="009F3E77">
        <w:t>. latu. Vienlaikus 2012.gadā tika turpināta programmas pirmajā projektu ie</w:t>
      </w:r>
      <w:r w:rsidRPr="00516CF7">
        <w:t xml:space="preserve">sniegumu atlases kārtā atbalstīto 20 projektu īstenošana par kopējo finansējumu 42,8 </w:t>
      </w:r>
      <w:proofErr w:type="spellStart"/>
      <w:r w:rsidRPr="00516CF7">
        <w:t>milj</w:t>
      </w:r>
      <w:proofErr w:type="spellEnd"/>
      <w:r w:rsidRPr="00516CF7">
        <w:t xml:space="preserve">. latu, kas varētu piesaistīt vēl papildus 69,7 </w:t>
      </w:r>
      <w:proofErr w:type="spellStart"/>
      <w:r w:rsidRPr="00516CF7">
        <w:t>milj</w:t>
      </w:r>
      <w:proofErr w:type="spellEnd"/>
      <w:r w:rsidRPr="00516CF7">
        <w:t xml:space="preserve">. latu privātā līdzfinansējuma. Līdz 2012.gada beigām abās programmas atlases kārtās atbalstīto projektu īstenotājiem tika izmaksāti 25,5 </w:t>
      </w:r>
      <w:proofErr w:type="spellStart"/>
      <w:r w:rsidRPr="00516CF7">
        <w:t>milj</w:t>
      </w:r>
      <w:proofErr w:type="spellEnd"/>
      <w:r w:rsidRPr="00516CF7">
        <w:t xml:space="preserve">. latu, savukārt 2013.gadā programmā plānots izmaksāt 12,7 </w:t>
      </w:r>
      <w:proofErr w:type="spellStart"/>
      <w:r w:rsidRPr="00516CF7">
        <w:t>milj</w:t>
      </w:r>
      <w:proofErr w:type="spellEnd"/>
      <w:r w:rsidRPr="00516CF7">
        <w:t>. latu.</w:t>
      </w:r>
    </w:p>
    <w:p w:rsidR="00DB2BB3" w:rsidRDefault="00DB2BB3" w:rsidP="00995CE3">
      <w:pPr>
        <w:ind w:firstLine="567"/>
      </w:pPr>
      <w:r>
        <w:t>2012.gada 20.</w:t>
      </w:r>
      <w:r w:rsidRPr="009F3E77">
        <w:t xml:space="preserve">augustā </w:t>
      </w:r>
      <w:r>
        <w:t>tika</w:t>
      </w:r>
      <w:r w:rsidRPr="009F3E77">
        <w:t xml:space="preserve"> apstiprinā</w:t>
      </w:r>
      <w:r>
        <w:t>t</w:t>
      </w:r>
      <w:r w:rsidRPr="009F3E77">
        <w:t>a Norvēģijas finanšu instrumenta programm</w:t>
      </w:r>
      <w:r>
        <w:t>a</w:t>
      </w:r>
      <w:r w:rsidRPr="009F3E77">
        <w:t xml:space="preserve"> </w:t>
      </w:r>
      <w:r w:rsidRPr="00DB2BB3">
        <w:rPr>
          <w:i/>
        </w:rPr>
        <w:t>„Inovācijas „zaļās” ražošanas jomā”</w:t>
      </w:r>
      <w:r w:rsidRPr="009F3E77">
        <w:t xml:space="preserve">. </w:t>
      </w:r>
      <w:r>
        <w:t>Tās</w:t>
      </w:r>
      <w:r w:rsidRPr="009F3E77">
        <w:t xml:space="preserve"> ietvaros paredzēts izveidot Tehnoloģiju inkubatoru</w:t>
      </w:r>
      <w:r>
        <w:t xml:space="preserve">, </w:t>
      </w:r>
      <w:r w:rsidRPr="009F3E77">
        <w:t>kurā „zaļajiem” komersantiem būs pieejams atbalsts inovatīvu pr</w:t>
      </w:r>
      <w:r>
        <w:t>oduktu un tehnoloģiju izstrādei.</w:t>
      </w:r>
      <w:r w:rsidRPr="009F3E77">
        <w:t xml:space="preserve"> Kopējais programmas finansējums ir 8,8 </w:t>
      </w:r>
      <w:proofErr w:type="spellStart"/>
      <w:r w:rsidRPr="009F3E77">
        <w:t>milj</w:t>
      </w:r>
      <w:proofErr w:type="spellEnd"/>
      <w:r w:rsidRPr="009F3E77">
        <w:t xml:space="preserve">. latu, no kuriem 7,9 </w:t>
      </w:r>
      <w:proofErr w:type="spellStart"/>
      <w:r w:rsidRPr="009F3E77">
        <w:t>milj</w:t>
      </w:r>
      <w:proofErr w:type="spellEnd"/>
      <w:r w:rsidRPr="009F3E77">
        <w:t xml:space="preserve">. latu ir Norvēģijas finanšu instrumenta līdzfinansējums un 0,9 </w:t>
      </w:r>
      <w:proofErr w:type="spellStart"/>
      <w:r w:rsidRPr="009F3E77">
        <w:t>milj</w:t>
      </w:r>
      <w:proofErr w:type="spellEnd"/>
      <w:r w:rsidRPr="009F3E77">
        <w:t>. latu Latvijas valsts finansējums. Plānots, ka programmas ietvaros paredzēto aktivitāšu (Tehnoloģiju inkubatora darbības uzsākšana; atklāts projektu iesniegumu atlases konkurss) īst</w:t>
      </w:r>
      <w:r>
        <w:t>enošana tiks uzsākta līdz 2013.</w:t>
      </w:r>
      <w:r w:rsidRPr="009F3E77">
        <w:t>gada vidum.</w:t>
      </w:r>
    </w:p>
    <w:p w:rsidR="00DB2BB3" w:rsidRDefault="00DB2BB3" w:rsidP="008E1737">
      <w:pPr>
        <w:spacing w:before="120"/>
        <w:ind w:firstLine="567"/>
      </w:pPr>
      <w:r w:rsidRPr="00D536E4">
        <w:t xml:space="preserve">Zinātnieku un komersantu sadarbības sekmēšanai kopīgu liela mēroga rūpniecisko pētījumu veikšanai tiek īstenota </w:t>
      </w:r>
      <w:r>
        <w:t>ES</w:t>
      </w:r>
      <w:r w:rsidRPr="00D536E4">
        <w:t xml:space="preserve"> struktūrfond</w:t>
      </w:r>
      <w:r>
        <w:t>u</w:t>
      </w:r>
      <w:r w:rsidRPr="00D536E4">
        <w:t xml:space="preserve"> programma </w:t>
      </w:r>
      <w:r w:rsidRPr="000278F1">
        <w:rPr>
          <w:i/>
        </w:rPr>
        <w:t>„Kompetences centri”</w:t>
      </w:r>
      <w:r w:rsidRPr="00D536E4">
        <w:t xml:space="preserve">. Programma tiks īstenota līdz 2015.gadam un tās kopējais publiskais finansējums ir 37,4 </w:t>
      </w:r>
      <w:proofErr w:type="spellStart"/>
      <w:r w:rsidRPr="00D536E4">
        <w:t>milj</w:t>
      </w:r>
      <w:proofErr w:type="spellEnd"/>
      <w:r w:rsidRPr="00D536E4">
        <w:t xml:space="preserve">. </w:t>
      </w:r>
      <w:r w:rsidRPr="00D536E4">
        <w:lastRenderedPageBreak/>
        <w:t xml:space="preserve">latu, tostarp paredzams, ka </w:t>
      </w:r>
      <w:r w:rsidR="000278F1">
        <w:t>6</w:t>
      </w:r>
      <w:r w:rsidRPr="00D536E4">
        <w:t xml:space="preserve"> kompetences centru darbības rezultātā tiks piesaistīts papildus vismaz 20 </w:t>
      </w:r>
      <w:proofErr w:type="spellStart"/>
      <w:r w:rsidRPr="00D536E4">
        <w:t>milj</w:t>
      </w:r>
      <w:proofErr w:type="spellEnd"/>
      <w:r w:rsidRPr="00D536E4">
        <w:t>. latu privātā sektora līdzfinansējuma. Kompetences centros kopumā ir iesaistīti vismaz 72 uzņēmumi un 17 zinātniskās institūcij</w:t>
      </w:r>
      <w:r>
        <w:t xml:space="preserve">as. </w:t>
      </w:r>
      <w:r w:rsidRPr="00D536E4">
        <w:t xml:space="preserve">Līdz 2012.gada beigām finansējuma saņēmējiem tika izmaksāti 11,8 </w:t>
      </w:r>
      <w:proofErr w:type="spellStart"/>
      <w:r w:rsidRPr="00D536E4">
        <w:t>milj</w:t>
      </w:r>
      <w:proofErr w:type="spellEnd"/>
      <w:r w:rsidRPr="00D536E4">
        <w:t xml:space="preserve">. latu, savukārt 2013.gadā programmā plānots izmaksāt </w:t>
      </w:r>
      <w:r w:rsidR="000278F1">
        <w:br/>
      </w:r>
      <w:r w:rsidRPr="00D536E4">
        <w:t xml:space="preserve">8 </w:t>
      </w:r>
      <w:proofErr w:type="spellStart"/>
      <w:r w:rsidRPr="00D536E4">
        <w:t>milj</w:t>
      </w:r>
      <w:proofErr w:type="spellEnd"/>
      <w:r w:rsidRPr="00D536E4">
        <w:t>. latu.</w:t>
      </w:r>
    </w:p>
    <w:p w:rsidR="00DB2BB3" w:rsidRDefault="00DB2BB3" w:rsidP="00995CE3">
      <w:pPr>
        <w:ind w:firstLine="567"/>
      </w:pPr>
      <w:r>
        <w:t>A</w:t>
      </w:r>
      <w:r w:rsidRPr="00262E24">
        <w:t xml:space="preserve">tbalsts tiek sniegts </w:t>
      </w:r>
      <w:r w:rsidRPr="000278F1">
        <w:rPr>
          <w:i/>
        </w:rPr>
        <w:t>Tehnoloģiju pārneses kontaktpunktu programmas</w:t>
      </w:r>
      <w:r>
        <w:t xml:space="preserve"> ietvaros izveidoto tehnoloģiju pārneses struktūrvienību</w:t>
      </w:r>
      <w:r w:rsidRPr="00262E24">
        <w:t xml:space="preserve"> </w:t>
      </w:r>
      <w:r>
        <w:t xml:space="preserve">darbības nodrošināšanai </w:t>
      </w:r>
      <w:r w:rsidR="000278F1">
        <w:t>8</w:t>
      </w:r>
      <w:r w:rsidRPr="00262E24">
        <w:t xml:space="preserve"> </w:t>
      </w:r>
      <w:r>
        <w:t>Latvijas augstākās izglītības iestādēs</w:t>
      </w:r>
      <w:r w:rsidRPr="00262E24">
        <w:t xml:space="preserve">. Programmā kopējais pieejamais ES struktūrfondu finansējums līdz 2013.gadam ir 1,7 </w:t>
      </w:r>
      <w:proofErr w:type="spellStart"/>
      <w:r w:rsidRPr="00262E24">
        <w:t>milj</w:t>
      </w:r>
      <w:proofErr w:type="spellEnd"/>
      <w:r w:rsidRPr="00262E24">
        <w:t xml:space="preserve">. latu. Līdz 2012.gada beigām visu tehnoloģiju pārneses kontaktpunktu darbības nodrošināšanai tika izlietoti 1,3 </w:t>
      </w:r>
      <w:proofErr w:type="spellStart"/>
      <w:r w:rsidRPr="00262E24">
        <w:t>milj</w:t>
      </w:r>
      <w:proofErr w:type="spellEnd"/>
      <w:r w:rsidRPr="00262E24">
        <w:t xml:space="preserve">. latu, bet 2013.gadā plānots izmaksāt </w:t>
      </w:r>
      <w:r>
        <w:t>0,3</w:t>
      </w:r>
      <w:r w:rsidRPr="00262E24">
        <w:t xml:space="preserve">5 </w:t>
      </w:r>
      <w:proofErr w:type="spellStart"/>
      <w:r>
        <w:t>milj</w:t>
      </w:r>
      <w:proofErr w:type="spellEnd"/>
      <w:r w:rsidRPr="00262E24">
        <w:t>. latu.</w:t>
      </w:r>
    </w:p>
    <w:p w:rsidR="00F10E63" w:rsidRDefault="00DB2BB3" w:rsidP="00614151">
      <w:pPr>
        <w:spacing w:before="120"/>
        <w:ind w:firstLine="567"/>
      </w:pPr>
      <w:r>
        <w:t xml:space="preserve">Kopumā pētniecības un inovācijas politika ir vērsta uz Latvijas sekmīgu iekļaušanos Eiropas Pētniecības telpā </w:t>
      </w:r>
      <w:r w:rsidRPr="00166ED3">
        <w:rPr>
          <w:i/>
        </w:rPr>
        <w:t>(</w:t>
      </w:r>
      <w:r>
        <w:rPr>
          <w:i/>
        </w:rPr>
        <w:t>ERA)</w:t>
      </w:r>
      <w:r>
        <w:rPr>
          <w:i/>
        </w:rPr>
        <w:softHyphen/>
      </w:r>
      <w:r>
        <w:t>, efektīvas pētniecības un inovācijas politikas īstenošanu, veicinot uzņēmumu inovācijas, izmantojot nodokļu atvieglojumus, modernizējot infrastruktūru un zinātnisko resursu koncentrēšanu konkurētspējīgās pētniecības iestādes.</w:t>
      </w:r>
      <w:r w:rsidR="00AC3C87">
        <w:t xml:space="preserve"> </w:t>
      </w:r>
      <w:r w:rsidR="00D34289">
        <w:t xml:space="preserve">Augstākminēti pasākumi sekmē arī Latvijas </w:t>
      </w:r>
      <w:r w:rsidR="00D34289" w:rsidRPr="009D3853">
        <w:rPr>
          <w:i/>
        </w:rPr>
        <w:t>Eiro Plus pakta</w:t>
      </w:r>
      <w:r w:rsidR="00D34289">
        <w:t xml:space="preserve"> saistību izpildi </w:t>
      </w:r>
      <w:r w:rsidR="00AC3C87">
        <w:t>(1.2. un 1.6.pasākums)</w:t>
      </w:r>
      <w:r w:rsidR="009D3853">
        <w:t xml:space="preserve"> un atbilst </w:t>
      </w:r>
      <w:r w:rsidR="009D3853" w:rsidRPr="00353580">
        <w:rPr>
          <w:i/>
        </w:rPr>
        <w:t>2013.gada izaugsmes ziņojuma</w:t>
      </w:r>
      <w:r w:rsidR="009D3853">
        <w:t xml:space="preserve"> prioritātei attiecībā uz izaugsmes un konkurētspējas veicināšanu</w:t>
      </w:r>
      <w:r w:rsidR="008E1737">
        <w:t xml:space="preserve">, kā arī </w:t>
      </w:r>
      <w:r w:rsidR="008E1737" w:rsidRPr="00FF5C3A">
        <w:rPr>
          <w:i/>
        </w:rPr>
        <w:t>„Eiropa 2020”</w:t>
      </w:r>
      <w:r w:rsidR="008E1737">
        <w:t xml:space="preserve"> stratēģijas vadošās iniciatīvas </w:t>
      </w:r>
      <w:r w:rsidR="008E1737" w:rsidRPr="008E1737">
        <w:rPr>
          <w:i/>
        </w:rPr>
        <w:t>„Inovācijas Savienība”</w:t>
      </w:r>
      <w:r w:rsidR="008E1737">
        <w:t xml:space="preserve"> īstenošanai</w:t>
      </w:r>
      <w:r w:rsidR="00D34289">
        <w:t>.</w:t>
      </w:r>
    </w:p>
    <w:p w:rsidR="00614151" w:rsidRDefault="00614151">
      <w:pPr>
        <w:jc w:val="left"/>
      </w:pPr>
      <w:r>
        <w:br w:type="page"/>
      </w:r>
    </w:p>
    <w:p w:rsidR="008F2EE4" w:rsidRPr="00B703A3" w:rsidRDefault="008F2EE4" w:rsidP="00995CE3">
      <w:pPr>
        <w:pStyle w:val="Heading1"/>
        <w:spacing w:before="0"/>
        <w:jc w:val="center"/>
        <w:rPr>
          <w:rFonts w:ascii="Times New Roman Bold" w:hAnsi="Times New Roman Bold" w:cs="Times New Roman"/>
          <w:smallCaps/>
          <w:color w:val="auto"/>
        </w:rPr>
      </w:pPr>
      <w:bookmarkStart w:id="16" w:name="_Toc354384929"/>
      <w:r w:rsidRPr="00B703A3">
        <w:rPr>
          <w:rFonts w:ascii="Times New Roman Bold" w:hAnsi="Times New Roman Bold" w:cs="Times New Roman"/>
          <w:smallCaps/>
          <w:color w:val="auto"/>
        </w:rPr>
        <w:lastRenderedPageBreak/>
        <w:t>3. Politikas virzieni</w:t>
      </w:r>
      <w:bookmarkEnd w:id="16"/>
    </w:p>
    <w:p w:rsidR="008F2EE4" w:rsidRPr="00B703A3" w:rsidRDefault="008F2EE4" w:rsidP="00D3600B">
      <w:pPr>
        <w:pStyle w:val="Heading2"/>
        <w:spacing w:after="120"/>
        <w:jc w:val="center"/>
        <w:rPr>
          <w:rFonts w:ascii="Times New Roman Bold" w:hAnsi="Times New Roman Bold"/>
          <w:smallCaps/>
          <w:sz w:val="24"/>
          <w:szCs w:val="24"/>
        </w:rPr>
      </w:pPr>
      <w:bookmarkStart w:id="17" w:name="_Toc354384930"/>
      <w:r w:rsidRPr="00B703A3">
        <w:rPr>
          <w:rFonts w:ascii="Times New Roman Bold" w:hAnsi="Times New Roman Bold"/>
          <w:smallCaps/>
          <w:sz w:val="24"/>
          <w:szCs w:val="24"/>
        </w:rPr>
        <w:t>3.1. Finanšu stabilitāte</w:t>
      </w:r>
      <w:bookmarkEnd w:id="17"/>
    </w:p>
    <w:p w:rsidR="00314BD1" w:rsidRPr="00C43284" w:rsidRDefault="00EF0DA1" w:rsidP="00C04A37">
      <w:pPr>
        <w:pStyle w:val="Heading3"/>
        <w:spacing w:before="240" w:after="120"/>
        <w:ind w:left="567"/>
        <w:rPr>
          <w:rFonts w:ascii="Times New Roman" w:hAnsi="Times New Roman" w:cs="Times New Roman"/>
          <w:color w:val="auto"/>
        </w:rPr>
      </w:pPr>
      <w:bookmarkStart w:id="18" w:name="_Toc354384931"/>
      <w:r w:rsidRPr="00C43284">
        <w:rPr>
          <w:rFonts w:ascii="Times New Roman" w:hAnsi="Times New Roman" w:cs="Times New Roman"/>
          <w:color w:val="auto"/>
        </w:rPr>
        <w:t xml:space="preserve">3.1.1. </w:t>
      </w:r>
      <w:r w:rsidR="00F07E1D" w:rsidRPr="00C43284">
        <w:rPr>
          <w:rFonts w:ascii="Times New Roman" w:hAnsi="Times New Roman" w:cs="Times New Roman"/>
          <w:color w:val="auto"/>
        </w:rPr>
        <w:t>I</w:t>
      </w:r>
      <w:r w:rsidR="00314BD1" w:rsidRPr="00C43284">
        <w:rPr>
          <w:rFonts w:ascii="Times New Roman" w:hAnsi="Times New Roman" w:cs="Times New Roman"/>
          <w:color w:val="auto"/>
        </w:rPr>
        <w:t>lgtspējīga budžeta veidošana</w:t>
      </w:r>
      <w:bookmarkEnd w:id="18"/>
      <w:r w:rsidR="002F1C42">
        <w:rPr>
          <w:rFonts w:ascii="Times New Roman" w:hAnsi="Times New Roman" w:cs="Times New Roman"/>
          <w:color w:val="auto"/>
        </w:rPr>
        <w:t xml:space="preserve"> </w:t>
      </w:r>
    </w:p>
    <w:p w:rsidR="0000540D" w:rsidRDefault="0000540D" w:rsidP="0000540D">
      <w:pPr>
        <w:ind w:firstLine="567"/>
      </w:pPr>
      <w:r>
        <w:rPr>
          <w:noProof/>
        </w:rPr>
        <w:t xml:space="preserve">Valsts finanšu stabilitātes nodrošināšana ir būtisks aspekts ekonomikas veicināšanai. Ir </w:t>
      </w:r>
      <w:r>
        <w:t xml:space="preserve">svarīgi nodrošināt ilgtspējīgas un </w:t>
      </w:r>
      <w:proofErr w:type="spellStart"/>
      <w:r>
        <w:t>pretcikliskas</w:t>
      </w:r>
      <w:proofErr w:type="spellEnd"/>
      <w:r>
        <w:t xml:space="preserve"> fiskālās politikas veidošanu</w:t>
      </w:r>
      <w:r>
        <w:rPr>
          <w:noProof/>
        </w:rPr>
        <w:t xml:space="preserve"> ilgtermiņā un sekmēt vispārējās valdības budžeta deficīta un valsts parāda apmēra atbilstību Māstrihtas kritērijiem un </w:t>
      </w:r>
      <w:r w:rsidRPr="00D73C5E">
        <w:rPr>
          <w:i/>
          <w:noProof/>
        </w:rPr>
        <w:t>Stabilitātes un izaugsmes pakta</w:t>
      </w:r>
      <w:r>
        <w:rPr>
          <w:noProof/>
        </w:rPr>
        <w:t xml:space="preserve"> nosacījumiem</w:t>
      </w:r>
      <w:r>
        <w:t xml:space="preserve">. </w:t>
      </w:r>
    </w:p>
    <w:p w:rsidR="0000540D" w:rsidRDefault="0000540D" w:rsidP="0000540D">
      <w:pPr>
        <w:ind w:firstLine="567"/>
        <w:rPr>
          <w:iCs/>
        </w:rPr>
      </w:pPr>
      <w:r>
        <w:t>Valdības īstenoto budžeta konsolidācijas pasākumu rezultātā budžeta deficīts 2011. un 2012.gadā samazinājās attiecīgi līdz 3,</w:t>
      </w:r>
      <w:r w:rsidR="007E7ACE">
        <w:t>6</w:t>
      </w:r>
      <w:r>
        <w:t xml:space="preserve">% un </w:t>
      </w:r>
      <w:r w:rsidRPr="00D73C5E">
        <w:t>1,2%</w:t>
      </w:r>
      <w:r>
        <w:t xml:space="preserve"> no IKP atbilstoši EKS’95 metodoloģijai. </w:t>
      </w:r>
      <w:r w:rsidR="007E7ACE">
        <w:t xml:space="preserve">Turpmākos gados vispārējās valdības budžeta bilance tiks definēta, ievērojot Fiskālās disciplīnas likuma nosacījumus, kas paredz nodrošināt </w:t>
      </w:r>
      <w:r w:rsidR="007E7ACE">
        <w:rPr>
          <w:color w:val="000000"/>
        </w:rPr>
        <w:t xml:space="preserve">ekonomiskā ciklā sabalansētu budžetu (vispārējās valdības budžeta bilance nedrīkst būt mazāka par -0.5% no IKP), kā arī ievērojot </w:t>
      </w:r>
      <w:r w:rsidR="007E7ACE">
        <w:rPr>
          <w:i/>
        </w:rPr>
        <w:t>Stabilitātes un izaugsmes pakta</w:t>
      </w:r>
      <w:r w:rsidR="00E35648">
        <w:t xml:space="preserve"> nosacījumus</w:t>
      </w:r>
      <w:r>
        <w:rPr>
          <w:iCs/>
        </w:rPr>
        <w:t>.</w:t>
      </w:r>
    </w:p>
    <w:p w:rsidR="00D06451" w:rsidRPr="0000540D" w:rsidRDefault="0000540D" w:rsidP="0000540D">
      <w:pPr>
        <w:ind w:firstLine="567"/>
        <w:rPr>
          <w:iCs/>
        </w:rPr>
      </w:pPr>
      <w:r>
        <w:rPr>
          <w:rFonts w:eastAsia="Times New Roman"/>
          <w:color w:val="000000" w:themeColor="text1"/>
          <w:szCs w:val="18"/>
          <w:lang w:eastAsia="lv-LV"/>
        </w:rPr>
        <w:t xml:space="preserve">Nodrošinot vispārējās valdības budžeta deficītu zem </w:t>
      </w:r>
      <w:r>
        <w:rPr>
          <w:iCs/>
        </w:rPr>
        <w:t xml:space="preserve">Māstrihtas budžeta deficīta kritērija, kā arī </w:t>
      </w:r>
      <w:r w:rsidR="007E7ACE">
        <w:rPr>
          <w:iCs/>
        </w:rPr>
        <w:t xml:space="preserve">definējot </w:t>
      </w:r>
      <w:r w:rsidR="007E7ACE">
        <w:t>vispārējās valdības budžeta bilanci, ievērojot Fiskālās disciplīnas likuma nosacījumus,</w:t>
      </w:r>
      <w:r w:rsidR="007E7ACE">
        <w:rPr>
          <w:iCs/>
        </w:rPr>
        <w:t xml:space="preserve"> </w:t>
      </w:r>
      <w:r>
        <w:rPr>
          <w:rFonts w:eastAsia="Times New Roman"/>
          <w:color w:val="000000" w:themeColor="text1"/>
          <w:szCs w:val="18"/>
          <w:lang w:eastAsia="lv-LV"/>
        </w:rPr>
        <w:t xml:space="preserve">tiek pildītas arī </w:t>
      </w:r>
      <w:r>
        <w:rPr>
          <w:rFonts w:eastAsia="Times New Roman"/>
          <w:i/>
          <w:color w:val="000000" w:themeColor="text1"/>
          <w:szCs w:val="18"/>
          <w:lang w:eastAsia="lv-LV"/>
        </w:rPr>
        <w:t>Eiro Plus paktā</w:t>
      </w:r>
      <w:r>
        <w:rPr>
          <w:rFonts w:eastAsia="Times New Roman"/>
          <w:color w:val="000000" w:themeColor="text1"/>
          <w:szCs w:val="18"/>
          <w:lang w:eastAsia="lv-LV"/>
        </w:rPr>
        <w:t xml:space="preserve"> esošās saistības valsts finanšu ilgtspējas nodrošināšanai (Latvijas </w:t>
      </w:r>
      <w:r>
        <w:rPr>
          <w:rFonts w:eastAsia="Times New Roman"/>
          <w:i/>
          <w:color w:val="000000" w:themeColor="text1"/>
          <w:szCs w:val="18"/>
          <w:lang w:eastAsia="lv-LV"/>
        </w:rPr>
        <w:t>Eiro Plus pakta</w:t>
      </w:r>
      <w:r>
        <w:rPr>
          <w:rFonts w:eastAsia="Times New Roman"/>
          <w:color w:val="000000" w:themeColor="text1"/>
          <w:szCs w:val="18"/>
          <w:lang w:eastAsia="lv-LV"/>
        </w:rPr>
        <w:t xml:space="preserve"> 3.1.pasākums) un </w:t>
      </w:r>
      <w:r w:rsidRPr="00353580">
        <w:rPr>
          <w:rFonts w:eastAsia="Times New Roman"/>
          <w:i/>
          <w:color w:val="000000" w:themeColor="text1"/>
          <w:szCs w:val="18"/>
          <w:lang w:eastAsia="lv-LV"/>
        </w:rPr>
        <w:t>2013.gada izaugsmes ziņojuma</w:t>
      </w:r>
      <w:r>
        <w:rPr>
          <w:rFonts w:eastAsia="Times New Roman"/>
          <w:color w:val="000000" w:themeColor="text1"/>
          <w:szCs w:val="18"/>
          <w:lang w:eastAsia="lv-LV"/>
        </w:rPr>
        <w:t xml:space="preserve"> prioritāte attiecībā uz izaugsmei draudzīgās fiskālās konsolidācijas īstenošanu izpildi.</w:t>
      </w:r>
    </w:p>
    <w:p w:rsidR="00D06451" w:rsidRPr="00C43284" w:rsidRDefault="00D06451" w:rsidP="00D06451">
      <w:pPr>
        <w:ind w:firstLine="426"/>
      </w:pPr>
    </w:p>
    <w:p w:rsidR="00D06451" w:rsidRPr="00C43284" w:rsidRDefault="00D06451" w:rsidP="00D06451">
      <w:pPr>
        <w:ind w:firstLine="426"/>
        <w:rPr>
          <w:u w:val="single"/>
        </w:rPr>
      </w:pPr>
      <w:r w:rsidRPr="00C43284">
        <w:rPr>
          <w:u w:val="single"/>
        </w:rPr>
        <w:t>Galvenie politikas virzieni un pasākumi ilgtspējīga budžeta nodrošināšanai:</w:t>
      </w:r>
    </w:p>
    <w:p w:rsidR="007134B8" w:rsidRPr="00C43284" w:rsidRDefault="007134B8" w:rsidP="00942255">
      <w:pPr>
        <w:pStyle w:val="ListParagraph"/>
        <w:numPr>
          <w:ilvl w:val="0"/>
          <w:numId w:val="1"/>
        </w:numPr>
        <w:spacing w:before="240" w:after="120"/>
        <w:ind w:left="284" w:hanging="284"/>
        <w:contextualSpacing w:val="0"/>
        <w:rPr>
          <w:rFonts w:eastAsia="+mn-ea"/>
          <w:b/>
          <w:i/>
        </w:rPr>
      </w:pPr>
      <w:r w:rsidRPr="00C43284">
        <w:rPr>
          <w:rFonts w:eastAsia="+mn-ea"/>
          <w:b/>
          <w:i/>
        </w:rPr>
        <w:t xml:space="preserve">Fiskālās disciplīnas stiprināšana </w:t>
      </w:r>
      <w:r w:rsidRPr="00C43284">
        <w:rPr>
          <w:rFonts w:eastAsia="+mn-ea"/>
        </w:rPr>
        <w:t>(atbildīgā institūcija – FM)</w:t>
      </w:r>
    </w:p>
    <w:p w:rsidR="0000540D" w:rsidRDefault="0000540D" w:rsidP="0000540D">
      <w:pPr>
        <w:autoSpaceDE w:val="0"/>
        <w:autoSpaceDN w:val="0"/>
        <w:adjustRightInd w:val="0"/>
        <w:ind w:firstLine="567"/>
      </w:pPr>
      <w:r>
        <w:t xml:space="preserve">Mērķis ir nacionālā tiesiskā regulējuma stiprināšana, lai nodrošinātu ilgtspējīgas, </w:t>
      </w:r>
      <w:proofErr w:type="spellStart"/>
      <w:r>
        <w:t>pretcikliskas</w:t>
      </w:r>
      <w:proofErr w:type="spellEnd"/>
      <w:r>
        <w:t xml:space="preserve"> fiskālās politikas veidošanu, stiprinot vidēja termiņa budžeta plānošanu, kā arī paredzot skaidrus nosacījumus fiskālo mērķu definēšanai.</w:t>
      </w:r>
    </w:p>
    <w:p w:rsidR="0000540D" w:rsidRDefault="0000540D" w:rsidP="0000540D">
      <w:pPr>
        <w:ind w:firstLine="567"/>
      </w:pPr>
      <w:r w:rsidRPr="0000540D">
        <w:rPr>
          <w:i/>
          <w:iCs/>
        </w:rPr>
        <w:t>Fiskālās disciplīnas likums</w:t>
      </w:r>
      <w:r w:rsidRPr="0000540D">
        <w:rPr>
          <w:iCs/>
        </w:rPr>
        <w:t xml:space="preserve"> ir stājies spēkā 2013.gada 6.martā. </w:t>
      </w:r>
      <w:r>
        <w:t xml:space="preserve">FDL ir noteikti saistoši fiskālie nosacījumi gan gadskārtējam valsts budžetam, gan vidēja termiņa budžetam. Likumā ir nostiprināti fiskālās politikas veidošanas pamatprincipi, instrumenti un fiskālie nosacījumi. </w:t>
      </w:r>
    </w:p>
    <w:p w:rsidR="00E721A2" w:rsidRPr="00C43284" w:rsidRDefault="0000540D" w:rsidP="0000540D">
      <w:pPr>
        <w:ind w:firstLine="567"/>
      </w:pPr>
      <w:r>
        <w:t xml:space="preserve">Ir arī sagatavoti grozījumi </w:t>
      </w:r>
      <w:r w:rsidRPr="0000540D">
        <w:rPr>
          <w:i/>
        </w:rPr>
        <w:t>Satversmē</w:t>
      </w:r>
      <w:r>
        <w:t>, kas Saeimā tika iesniegti 2011.gada 6.decembrī un tos turpina skatīt Saeimas komisijās.</w:t>
      </w:r>
    </w:p>
    <w:p w:rsidR="007134B8" w:rsidRPr="00C43284" w:rsidRDefault="007134B8" w:rsidP="00942255">
      <w:pPr>
        <w:pStyle w:val="ListParagraph"/>
        <w:numPr>
          <w:ilvl w:val="0"/>
          <w:numId w:val="1"/>
        </w:numPr>
        <w:spacing w:before="240" w:after="120"/>
        <w:ind w:left="284" w:hanging="284"/>
        <w:contextualSpacing w:val="0"/>
        <w:rPr>
          <w:rFonts w:eastAsia="+mn-ea"/>
          <w:b/>
          <w:i/>
        </w:rPr>
      </w:pPr>
      <w:r w:rsidRPr="00C43284">
        <w:rPr>
          <w:rFonts w:eastAsia="+mn-ea"/>
          <w:b/>
          <w:i/>
        </w:rPr>
        <w:t xml:space="preserve">Pensiju sistēmas ilgtspējas nodrošināšana </w:t>
      </w:r>
      <w:r w:rsidRPr="00C43284">
        <w:rPr>
          <w:rFonts w:eastAsia="+mn-ea"/>
        </w:rPr>
        <w:t>(atbildīgā institūcija – LM)</w:t>
      </w:r>
    </w:p>
    <w:p w:rsidR="0000540D" w:rsidRDefault="0000540D" w:rsidP="0000540D">
      <w:pPr>
        <w:ind w:firstLine="567"/>
        <w:rPr>
          <w:shd w:val="clear" w:color="auto" w:fill="FFFFFF"/>
        </w:rPr>
      </w:pPr>
      <w:r>
        <w:t xml:space="preserve">Mērķis ir veicināt sistēmas ilgtermiņa stabilitāti. </w:t>
      </w:r>
      <w:r>
        <w:rPr>
          <w:shd w:val="clear" w:color="auto" w:fill="FFFFFF"/>
        </w:rPr>
        <w:t>Sabiedrības novecošanās ir nopietns risks valsts sociālās apdrošināšanas sistēmas stabilitātei ne tikai pašlaik, bet arī turpmākajos gados.</w:t>
      </w:r>
    </w:p>
    <w:p w:rsidR="0000540D" w:rsidRDefault="0000540D" w:rsidP="0000540D">
      <w:pPr>
        <w:autoSpaceDE w:val="0"/>
        <w:autoSpaceDN w:val="0"/>
        <w:adjustRightInd w:val="0"/>
        <w:ind w:firstLine="567"/>
        <w:rPr>
          <w:color w:val="000000"/>
        </w:rPr>
      </w:pPr>
      <w:r>
        <w:rPr>
          <w:color w:val="000000"/>
        </w:rPr>
        <w:t xml:space="preserve">Turpinot pensiju sistēmas ilgtspējas nodrošināšanu, likumā </w:t>
      </w:r>
      <w:r w:rsidRPr="0000540D">
        <w:rPr>
          <w:i/>
          <w:color w:val="000000"/>
        </w:rPr>
        <w:t>„Par valsts pensijām”</w:t>
      </w:r>
      <w:r>
        <w:rPr>
          <w:color w:val="000000"/>
        </w:rPr>
        <w:t xml:space="preserve"> </w:t>
      </w:r>
      <w:r w:rsidR="003F132A">
        <w:rPr>
          <w:color w:val="000000"/>
        </w:rPr>
        <w:t xml:space="preserve">2012.gada jūnijā </w:t>
      </w:r>
      <w:r>
        <w:rPr>
          <w:color w:val="000000"/>
        </w:rPr>
        <w:t>veikti grozījumi, kas paredz:</w:t>
      </w:r>
    </w:p>
    <w:p w:rsidR="0000540D" w:rsidRDefault="0000540D" w:rsidP="00E84407">
      <w:pPr>
        <w:pStyle w:val="ListParagraph"/>
        <w:numPr>
          <w:ilvl w:val="0"/>
          <w:numId w:val="29"/>
        </w:numPr>
        <w:autoSpaceDE w:val="0"/>
        <w:autoSpaceDN w:val="0"/>
        <w:adjustRightInd w:val="0"/>
        <w:ind w:left="709" w:hanging="283"/>
        <w:rPr>
          <w:color w:val="000000"/>
        </w:rPr>
      </w:pPr>
      <w:r>
        <w:rPr>
          <w:rFonts w:ascii="Symbol" w:hAnsi="Symbol" w:cs="Symbol"/>
          <w:color w:val="000000"/>
        </w:rPr>
        <w:tab/>
      </w:r>
      <w:r>
        <w:rPr>
          <w:color w:val="000000"/>
        </w:rPr>
        <w:t>sākot ar 2014.gadu, pakāpeniski pa</w:t>
      </w:r>
      <w:r w:rsidR="003F132A">
        <w:rPr>
          <w:color w:val="000000"/>
        </w:rPr>
        <w:t>r</w:t>
      </w:r>
      <w:r>
        <w:rPr>
          <w:color w:val="000000"/>
        </w:rPr>
        <w:t xml:space="preserve"> trīs mēnešiem katru gadu pieaugs pensionēšanās vecums, līdz 2025.gadā tas sasniegs 65 gadus. Vienlaikus ir saglabāta iespēja pieprasīt vecuma pensiju priekšlaicīgi divus gadus pirms vispārējā pensionēšanās vecuma;</w:t>
      </w:r>
    </w:p>
    <w:p w:rsidR="0000540D" w:rsidRDefault="0000540D" w:rsidP="00E84407">
      <w:pPr>
        <w:pStyle w:val="ListParagraph"/>
        <w:numPr>
          <w:ilvl w:val="0"/>
          <w:numId w:val="29"/>
        </w:numPr>
        <w:autoSpaceDE w:val="0"/>
        <w:autoSpaceDN w:val="0"/>
        <w:adjustRightInd w:val="0"/>
        <w:ind w:left="709" w:hanging="283"/>
        <w:rPr>
          <w:color w:val="000000"/>
          <w:lang w:eastAsia="lv-LV"/>
        </w:rPr>
      </w:pPr>
      <w:r>
        <w:rPr>
          <w:rFonts w:ascii="Symbol" w:hAnsi="Symbol" w:cs="Symbol"/>
          <w:color w:val="000000"/>
        </w:rPr>
        <w:tab/>
      </w:r>
      <w:r>
        <w:rPr>
          <w:color w:val="000000"/>
        </w:rPr>
        <w:t>sākot ar</w:t>
      </w:r>
      <w:r>
        <w:rPr>
          <w:color w:val="000000"/>
          <w:lang w:eastAsia="lv-LV"/>
        </w:rPr>
        <w:t xml:space="preserve"> 2014.gadu, pieaugs minimālais nepieciešamais apdrošināšanas stāžs, kas ļauj kvalificēties vecuma pensijas saņemšanai, no 10 uz 15 gadiem, un, sākot ar 2025.gadu </w:t>
      </w:r>
      <w:r>
        <w:t>–</w:t>
      </w:r>
      <w:r>
        <w:rPr>
          <w:color w:val="000000"/>
          <w:lang w:eastAsia="lv-LV"/>
        </w:rPr>
        <w:t xml:space="preserve"> no 15 uz 20 gadiem;</w:t>
      </w:r>
    </w:p>
    <w:p w:rsidR="00EE56E0" w:rsidRPr="008D2774" w:rsidRDefault="0000540D" w:rsidP="00E84407">
      <w:pPr>
        <w:pStyle w:val="ListParagraph"/>
        <w:numPr>
          <w:ilvl w:val="0"/>
          <w:numId w:val="29"/>
        </w:numPr>
        <w:autoSpaceDE w:val="0"/>
        <w:autoSpaceDN w:val="0"/>
        <w:adjustRightInd w:val="0"/>
        <w:ind w:left="709" w:hanging="283"/>
        <w:rPr>
          <w:color w:val="000000"/>
          <w:lang w:eastAsia="lv-LV"/>
        </w:rPr>
      </w:pPr>
      <w:r w:rsidRPr="008D2774">
        <w:rPr>
          <w:color w:val="000000"/>
        </w:rPr>
        <w:t>sākot ar 2014.gadu, piemaksu pie vecuma un invaliditātes pensijām izmaksa tiks nodrošināta no valsts pamatbudžet</w:t>
      </w:r>
      <w:r>
        <w:rPr>
          <w:color w:val="000000"/>
        </w:rPr>
        <w:t>a</w:t>
      </w:r>
      <w:r w:rsidRPr="008D2774">
        <w:rPr>
          <w:color w:val="000000"/>
        </w:rPr>
        <w:t>, tādējādi atslogojot sociālās apdrošināšanas speciālo budžetu.</w:t>
      </w:r>
    </w:p>
    <w:p w:rsidR="00605ED7" w:rsidRDefault="00EF0DA1" w:rsidP="003D6A5A">
      <w:pPr>
        <w:pStyle w:val="Heading3"/>
        <w:spacing w:before="360" w:after="120"/>
        <w:ind w:left="567"/>
        <w:rPr>
          <w:color w:val="000000"/>
        </w:rPr>
      </w:pPr>
      <w:bookmarkStart w:id="19" w:name="_Toc354384932"/>
      <w:r w:rsidRPr="00C43284">
        <w:rPr>
          <w:rFonts w:ascii="Times New Roman" w:hAnsi="Times New Roman" w:cs="Times New Roman"/>
          <w:color w:val="auto"/>
        </w:rPr>
        <w:lastRenderedPageBreak/>
        <w:t xml:space="preserve">3.1.2. </w:t>
      </w:r>
      <w:r w:rsidR="0086327A" w:rsidRPr="00C43284">
        <w:rPr>
          <w:rFonts w:ascii="Times New Roman" w:hAnsi="Times New Roman" w:cs="Times New Roman"/>
          <w:color w:val="auto"/>
        </w:rPr>
        <w:t xml:space="preserve">Banku sektora </w:t>
      </w:r>
      <w:r w:rsidR="00974A72" w:rsidRPr="00C43284">
        <w:rPr>
          <w:rFonts w:ascii="Times New Roman" w:hAnsi="Times New Roman" w:cs="Times New Roman"/>
          <w:color w:val="auto"/>
        </w:rPr>
        <w:t>stabilitātes nodrošināšana</w:t>
      </w:r>
      <w:bookmarkEnd w:id="19"/>
    </w:p>
    <w:p w:rsidR="00B0669F" w:rsidRDefault="00B0669F" w:rsidP="00B0669F">
      <w:pPr>
        <w:ind w:firstLine="567"/>
        <w:rPr>
          <w:rFonts w:eastAsia="Times New Roman"/>
          <w:color w:val="000000" w:themeColor="text1"/>
          <w:szCs w:val="18"/>
          <w:lang w:eastAsia="lv-LV"/>
        </w:rPr>
      </w:pPr>
      <w:r>
        <w:rPr>
          <w:rFonts w:eastAsia="Times New Roman"/>
          <w:i/>
          <w:color w:val="000000" w:themeColor="text1"/>
          <w:szCs w:val="18"/>
          <w:lang w:eastAsia="lv-LV"/>
        </w:rPr>
        <w:t>Eiro Plus paktā</w:t>
      </w:r>
      <w:r>
        <w:rPr>
          <w:rFonts w:eastAsia="Times New Roman"/>
          <w:color w:val="000000" w:themeColor="text1"/>
          <w:szCs w:val="18"/>
          <w:lang w:eastAsia="lv-LV"/>
        </w:rPr>
        <w:t xml:space="preserve"> esošās saistības paredz finanšu sektora stabilitātes nodrošināšanu (Latvijas </w:t>
      </w:r>
      <w:r>
        <w:rPr>
          <w:rFonts w:eastAsia="Times New Roman"/>
          <w:i/>
          <w:color w:val="000000" w:themeColor="text1"/>
          <w:szCs w:val="18"/>
          <w:lang w:eastAsia="lv-LV"/>
        </w:rPr>
        <w:t>Eiro Plus pakta</w:t>
      </w:r>
      <w:r>
        <w:rPr>
          <w:rFonts w:eastAsia="Times New Roman"/>
          <w:color w:val="000000" w:themeColor="text1"/>
          <w:szCs w:val="18"/>
          <w:lang w:eastAsia="lv-LV"/>
        </w:rPr>
        <w:t xml:space="preserve"> 4.pasākumu grupa).</w:t>
      </w:r>
    </w:p>
    <w:p w:rsidR="00B0669F" w:rsidRDefault="00B0669F" w:rsidP="00B0669F">
      <w:pPr>
        <w:spacing w:before="120"/>
        <w:ind w:firstLine="567"/>
        <w:rPr>
          <w:color w:val="000000"/>
        </w:rPr>
      </w:pPr>
      <w:r>
        <w:rPr>
          <w:color w:val="000000"/>
        </w:rPr>
        <w:t xml:space="preserve">Latvijas bankas iepriekšējo </w:t>
      </w:r>
      <w:r w:rsidR="003F132A">
        <w:rPr>
          <w:color w:val="000000"/>
        </w:rPr>
        <w:t>4</w:t>
      </w:r>
      <w:r>
        <w:rPr>
          <w:color w:val="000000"/>
        </w:rPr>
        <w:t xml:space="preserve"> gadu laikā veica būtiskus pasākumus kapitāla stiprināšanai 1,6 </w:t>
      </w:r>
      <w:proofErr w:type="spellStart"/>
      <w:r>
        <w:rPr>
          <w:color w:val="000000"/>
        </w:rPr>
        <w:t>mljrd</w:t>
      </w:r>
      <w:proofErr w:type="spellEnd"/>
      <w:r>
        <w:rPr>
          <w:color w:val="000000"/>
        </w:rPr>
        <w:t>. latu apmērā. Tādējādi tās varēja segt zaudējumus kredītportfeļa kvalitātes pasliktināšanās dēļ un uzturēt savai darbībai piemītošo un varbūtējo risku segšanai pietiekamu kapitālu. Banku sektors kopumā ir pietiekami kapitalizēts. Banku sektora kapitāla pietiekamības rādītājs</w:t>
      </w:r>
      <w:r w:rsidR="00D45640">
        <w:rPr>
          <w:color w:val="000000"/>
        </w:rPr>
        <w:t xml:space="preserve"> </w:t>
      </w:r>
      <w:r>
        <w:rPr>
          <w:color w:val="000000"/>
        </w:rPr>
        <w:t>2012.gadā saglabājās augstā līmenī un gada beigās sasniedza 17,6% (minimālā kapitāla prasība – 8%), savukārt 1.līmeņa pašu kapitāla rādītājs bija 15,2%. Vairākas bankas ir izmantojušas iespēju stiprināt kapitāla bāzi, tajā iekļaujot pārskata gada (</w:t>
      </w:r>
      <w:proofErr w:type="spellStart"/>
      <w:r>
        <w:rPr>
          <w:color w:val="000000"/>
        </w:rPr>
        <w:t>t.i</w:t>
      </w:r>
      <w:proofErr w:type="spellEnd"/>
      <w:r>
        <w:rPr>
          <w:color w:val="000000"/>
        </w:rPr>
        <w:t xml:space="preserve">., pusgada vai deviņu mēnešu) auditēto peļņu, savukārt, kredītu amortizācijas apjomiem pārsniedzot no jauna izsniegto kredītu apjomu, turpina sarukt riska svērto aktīvu apmērs. </w:t>
      </w:r>
    </w:p>
    <w:p w:rsidR="00B0669F" w:rsidRDefault="00B0669F" w:rsidP="00B0669F">
      <w:pPr>
        <w:ind w:firstLine="567"/>
        <w:rPr>
          <w:color w:val="000000"/>
        </w:rPr>
      </w:pPr>
      <w:r>
        <w:rPr>
          <w:color w:val="000000"/>
        </w:rPr>
        <w:t>Banku sektora likviditātes rādītājs saglabājās augstā līmenī un 2012.gada decembra beigās bija 59,8%, krietni pārsniedzot noteikto minimālo prasību. Joprojām pastāvot zemiem kreditēšanas apmēriem, bankām ir uzkrājušies samērā lieli līdzekļi likvīdos aktīvos.</w:t>
      </w:r>
    </w:p>
    <w:p w:rsidR="00B0669F" w:rsidRDefault="00B0669F" w:rsidP="00B0669F">
      <w:pPr>
        <w:ind w:firstLine="567"/>
        <w:rPr>
          <w:color w:val="000000"/>
        </w:rPr>
      </w:pPr>
      <w:r>
        <w:rPr>
          <w:color w:val="000000"/>
        </w:rPr>
        <w:t>Kopš 2010.gada otrā pusgada vērojama pakāpeniska kredītu kvalitātes uzlabošanās. Neiekļaujot 2012.gadā licenci zaudējušo banku rādītājus, k</w:t>
      </w:r>
      <w:r w:rsidR="003F132A">
        <w:rPr>
          <w:color w:val="000000"/>
        </w:rPr>
        <w:t>redītu ar kavējumu ilgāk par 90 </w:t>
      </w:r>
      <w:r>
        <w:rPr>
          <w:color w:val="000000"/>
        </w:rPr>
        <w:t xml:space="preserve">dienām īpatsvars banku sektora kredītportfelī gada laikā saruka no 13,3% līdz 11,1%, ko galvenokārt veicināja ilgāk par 90 dienām kavēto kredītu apmēra būtisks sarukums uzņēmumu rezidentu kredītportfelī (2012.gada laikā – par 28,7%). </w:t>
      </w:r>
    </w:p>
    <w:p w:rsidR="00685D75" w:rsidRPr="00C43284" w:rsidRDefault="00B0669F" w:rsidP="00B0669F">
      <w:pPr>
        <w:ind w:firstLine="567"/>
        <w:rPr>
          <w:color w:val="000000"/>
        </w:rPr>
      </w:pPr>
      <w:r>
        <w:rPr>
          <w:color w:val="000000"/>
        </w:rPr>
        <w:t>Pakāpeniski samazinoties ārvalstu banku, pārsvarā mātes banku, finansējumam, banku finansējuma struktūrā pieaug klientu noguldījumu loma. Gan rezidentu, gan nerezidentu noguldījumu apmērs šobrīd pārsniedz pirmskrīzes līmeni.</w:t>
      </w:r>
    </w:p>
    <w:p w:rsidR="00EB383F" w:rsidRPr="00C43284" w:rsidRDefault="00EB383F" w:rsidP="00B77132">
      <w:pPr>
        <w:spacing w:before="240" w:after="120"/>
        <w:ind w:firstLine="567"/>
        <w:rPr>
          <w:u w:val="single"/>
        </w:rPr>
      </w:pPr>
      <w:r w:rsidRPr="00C43284">
        <w:rPr>
          <w:u w:val="single"/>
        </w:rPr>
        <w:t>Galvenie politikas virzieni un pasākumi banku sektora attīstības nodrošināšanai:</w:t>
      </w:r>
    </w:p>
    <w:p w:rsidR="00EB383F" w:rsidRPr="00C43284" w:rsidRDefault="009856B6" w:rsidP="00E84407">
      <w:pPr>
        <w:pStyle w:val="ListParagraph"/>
        <w:numPr>
          <w:ilvl w:val="0"/>
          <w:numId w:val="12"/>
        </w:numPr>
        <w:suppressAutoHyphens/>
        <w:spacing w:after="200" w:line="276" w:lineRule="auto"/>
        <w:ind w:left="284" w:hanging="283"/>
        <w:contextualSpacing w:val="0"/>
      </w:pPr>
      <w:r w:rsidRPr="00C43284">
        <w:rPr>
          <w:b/>
          <w:i/>
        </w:rPr>
        <w:t>B</w:t>
      </w:r>
      <w:r w:rsidR="00EB383F" w:rsidRPr="00C43284">
        <w:rPr>
          <w:b/>
          <w:i/>
        </w:rPr>
        <w:t xml:space="preserve">anku kapitāla bāzes stiprināšana un stingrāku likviditātes prasību noteikšana </w:t>
      </w:r>
      <w:r w:rsidR="00EB383F" w:rsidRPr="00C43284">
        <w:t>(atbildīgā institūcija – FKTK)</w:t>
      </w:r>
    </w:p>
    <w:p w:rsidR="00B0669F" w:rsidRPr="00B0669F" w:rsidRDefault="00B0669F" w:rsidP="00B0669F">
      <w:pPr>
        <w:suppressAutoHyphens/>
        <w:ind w:firstLine="567"/>
        <w:rPr>
          <w:color w:val="000000"/>
          <w:sz w:val="23"/>
          <w:szCs w:val="23"/>
          <w:lang w:eastAsia="lv-LV"/>
        </w:rPr>
      </w:pPr>
      <w:r>
        <w:t xml:space="preserve">2012.gada 21.decembrī tika apstiprināti grozījumi </w:t>
      </w:r>
      <w:r w:rsidRPr="00B0669F">
        <w:rPr>
          <w:i/>
        </w:rPr>
        <w:t>Kredītriska pārvaldīšanas normatīvajos noteikumos</w:t>
      </w:r>
      <w:r>
        <w:t xml:space="preserve"> ar mērķi stiprināt prasības aizņēmēja kredītspējas izvērtēšanai pirms kredīta izsniegšanas un precizēt klientam atklājamo informāciju par riskiem, kas saistīti ar kredītu.</w:t>
      </w:r>
    </w:p>
    <w:p w:rsidR="00EB383F" w:rsidRPr="00B0669F" w:rsidRDefault="00B0669F" w:rsidP="00B0669F">
      <w:pPr>
        <w:spacing w:before="120"/>
        <w:ind w:firstLine="567"/>
        <w:rPr>
          <w:b/>
          <w:i/>
        </w:rPr>
      </w:pPr>
      <w:r w:rsidRPr="00B0669F">
        <w:rPr>
          <w:color w:val="000000"/>
          <w:sz w:val="23"/>
          <w:szCs w:val="23"/>
          <w:lang w:eastAsia="lv-LV"/>
        </w:rPr>
        <w:t xml:space="preserve">Šobrīd tiek izstrādāti grozījumi </w:t>
      </w:r>
      <w:r w:rsidRPr="00B0669F">
        <w:rPr>
          <w:i/>
          <w:iCs/>
          <w:color w:val="000000"/>
          <w:sz w:val="23"/>
          <w:szCs w:val="23"/>
          <w:lang w:eastAsia="lv-LV"/>
        </w:rPr>
        <w:t xml:space="preserve">Kredītiestāžu likumā </w:t>
      </w:r>
      <w:r w:rsidRPr="00B0669F">
        <w:rPr>
          <w:color w:val="000000"/>
          <w:sz w:val="23"/>
          <w:szCs w:val="23"/>
          <w:lang w:eastAsia="lv-LV"/>
        </w:rPr>
        <w:t xml:space="preserve">un tam pakārtotajos FKTK normatīvajos noteikumos saistībā ar jauno ES ietvaru banku kapitāla prasību un likviditātes jautājumos. Grozījumu </w:t>
      </w:r>
      <w:r w:rsidRPr="00B0669F">
        <w:rPr>
          <w:i/>
          <w:iCs/>
          <w:color w:val="000000"/>
          <w:sz w:val="23"/>
          <w:szCs w:val="23"/>
          <w:lang w:eastAsia="lv-LV"/>
        </w:rPr>
        <w:t xml:space="preserve">Kredītiestāžu likumā </w:t>
      </w:r>
      <w:r w:rsidRPr="00B0669F">
        <w:rPr>
          <w:color w:val="000000"/>
          <w:sz w:val="23"/>
          <w:szCs w:val="23"/>
          <w:lang w:eastAsia="lv-LV"/>
        </w:rPr>
        <w:t>un tam pakārtotajos FKTK normatīvajos noteikumos apstiprināšanas termiņi būs cieši saistīti ar attiecīgās direktīvas un regulas apstiprināšanas gaitu.</w:t>
      </w:r>
    </w:p>
    <w:p w:rsidR="00EB383F" w:rsidRPr="00C43284" w:rsidRDefault="00EB383F" w:rsidP="00E84407">
      <w:pPr>
        <w:pStyle w:val="ListParagraph"/>
        <w:numPr>
          <w:ilvl w:val="0"/>
          <w:numId w:val="12"/>
        </w:numPr>
        <w:suppressAutoHyphens/>
        <w:spacing w:before="240" w:after="120"/>
        <w:ind w:left="284" w:hanging="284"/>
        <w:contextualSpacing w:val="0"/>
        <w:jc w:val="left"/>
      </w:pPr>
      <w:r w:rsidRPr="00C43284">
        <w:rPr>
          <w:b/>
          <w:i/>
        </w:rPr>
        <w:t>Valstij piederošo banku pārveide/pārdošana</w:t>
      </w:r>
      <w:r w:rsidRPr="00C43284">
        <w:rPr>
          <w:i/>
        </w:rPr>
        <w:t xml:space="preserve"> </w:t>
      </w:r>
      <w:r w:rsidRPr="00C43284">
        <w:t>(atbildīgā institūcija – FM, EM)</w:t>
      </w:r>
    </w:p>
    <w:p w:rsidR="009B0F22" w:rsidRPr="00EA75CA" w:rsidRDefault="009B0F22" w:rsidP="009B0F22">
      <w:pPr>
        <w:pStyle w:val="NoSpacing"/>
        <w:ind w:firstLine="567"/>
        <w:jc w:val="both"/>
        <w:rPr>
          <w:rFonts w:ascii="Times New Roman" w:hAnsi="Times New Roman" w:cs="Times New Roman"/>
          <w:sz w:val="24"/>
          <w:szCs w:val="24"/>
        </w:rPr>
      </w:pPr>
      <w:r w:rsidRPr="00EA75CA">
        <w:rPr>
          <w:rFonts w:ascii="Times New Roman" w:hAnsi="Times New Roman" w:cs="Times New Roman"/>
          <w:sz w:val="24"/>
          <w:szCs w:val="24"/>
        </w:rPr>
        <w:t xml:space="preserve">Mērķis ir valsts ieguldīto līdzekļu atgūšana maksimāli efektīvā veidā, augstas kvalitātes banku pakalpojumu sniegšana, valsts finanšu sistēmas stabilitātes nodrošināšana, kā arī atbilstība EK apstiprinātajam valsts atbalsta restrukturizācijas plānam. </w:t>
      </w:r>
      <w:r w:rsidRPr="00EA75CA">
        <w:rPr>
          <w:rFonts w:ascii="Times New Roman" w:hAnsi="Times New Roman" w:cs="Times New Roman"/>
          <w:bCs/>
          <w:iCs/>
          <w:sz w:val="24"/>
          <w:szCs w:val="24"/>
        </w:rPr>
        <w:t>Mērķa sasniegšanai tiek veikti šādi pasākumi:</w:t>
      </w:r>
    </w:p>
    <w:p w:rsidR="009B0F22" w:rsidRPr="00EA75CA" w:rsidRDefault="009B0F22" w:rsidP="00E84407">
      <w:pPr>
        <w:pStyle w:val="ListParagraph"/>
        <w:numPr>
          <w:ilvl w:val="0"/>
          <w:numId w:val="30"/>
        </w:numPr>
        <w:suppressAutoHyphens/>
        <w:autoSpaceDE w:val="0"/>
        <w:autoSpaceDN w:val="0"/>
        <w:adjustRightInd w:val="0"/>
      </w:pPr>
      <w:r w:rsidRPr="00EA75CA">
        <w:rPr>
          <w:bCs/>
          <w:iCs/>
          <w:color w:val="000000"/>
          <w:u w:val="single"/>
          <w:lang w:eastAsia="lv-LV"/>
        </w:rPr>
        <w:t>par Latvijas Hipotēku un zemes banku</w:t>
      </w:r>
      <w:r w:rsidRPr="00EA75CA">
        <w:rPr>
          <w:b/>
          <w:bCs/>
          <w:i/>
          <w:iCs/>
          <w:color w:val="000000"/>
          <w:lang w:eastAsia="lv-LV"/>
        </w:rPr>
        <w:t xml:space="preserve"> </w:t>
      </w:r>
      <w:r w:rsidRPr="00EA75CA">
        <w:rPr>
          <w:color w:val="000000"/>
          <w:lang w:eastAsia="lv-LV"/>
        </w:rPr>
        <w:t xml:space="preserve">(turpmāk tekstā – Hipotēku banka). </w:t>
      </w:r>
      <w:r w:rsidRPr="00EA75CA">
        <w:t xml:space="preserve">MK 2011.gadā apstiprināja </w:t>
      </w:r>
      <w:r w:rsidRPr="00EA75CA">
        <w:rPr>
          <w:i/>
        </w:rPr>
        <w:t xml:space="preserve">Hipotēku bankas </w:t>
      </w:r>
      <w:proofErr w:type="spellStart"/>
      <w:r w:rsidRPr="00EA75CA">
        <w:rPr>
          <w:i/>
        </w:rPr>
        <w:t>komercdaļas</w:t>
      </w:r>
      <w:proofErr w:type="spellEnd"/>
      <w:r w:rsidRPr="00EA75CA">
        <w:rPr>
          <w:i/>
        </w:rPr>
        <w:t xml:space="preserve"> pārdošanas stratēģij</w:t>
      </w:r>
      <w:r>
        <w:rPr>
          <w:i/>
        </w:rPr>
        <w:t>u</w:t>
      </w:r>
      <w:r w:rsidRPr="00EA75CA">
        <w:rPr>
          <w:i/>
        </w:rPr>
        <w:t>.</w:t>
      </w:r>
      <w:r w:rsidRPr="00EA75CA">
        <w:t xml:space="preserve"> 2012.gadā Hipotēku bankas pirmās, otrās, piektās un sestās paketes pārdošanas darījumi ir veiksmīgi pabeigti atbilstoši noslēgtajiem līgumiem. </w:t>
      </w:r>
      <w:r w:rsidR="00196C67" w:rsidRPr="00196C67">
        <w:t xml:space="preserve">2013.gada 2.aprīlī MK atbalstīja tālāko rīcību attiecībā uz Hipotēku bankas </w:t>
      </w:r>
      <w:proofErr w:type="spellStart"/>
      <w:r w:rsidR="00196C67" w:rsidRPr="00196C67">
        <w:t>komercdaļas</w:t>
      </w:r>
      <w:proofErr w:type="spellEnd"/>
      <w:r w:rsidR="00196C67" w:rsidRPr="00196C67">
        <w:t xml:space="preserve"> trešo un ceturto paketi, vienlaikus tika uzdots iesniegt MK būtiskākos darījuma līguma nosacījumus Hipotēku bankas </w:t>
      </w:r>
      <w:proofErr w:type="spellStart"/>
      <w:r w:rsidR="00196C67" w:rsidRPr="00196C67">
        <w:t>komercdaļas</w:t>
      </w:r>
      <w:proofErr w:type="spellEnd"/>
      <w:r w:rsidR="00196C67" w:rsidRPr="00196C67">
        <w:t xml:space="preserve"> 3</w:t>
      </w:r>
      <w:r w:rsidR="00196C67">
        <w:t>.</w:t>
      </w:r>
      <w:r w:rsidR="00196C67" w:rsidRPr="00196C67">
        <w:t>a</w:t>
      </w:r>
      <w:r w:rsidR="00196C67">
        <w:t xml:space="preserve"> paketes kontekstā</w:t>
      </w:r>
      <w:r w:rsidR="00196C67" w:rsidRPr="00196C67">
        <w:t xml:space="preserve">. Tiek plānots, ka </w:t>
      </w:r>
      <w:proofErr w:type="spellStart"/>
      <w:r w:rsidR="00196C67" w:rsidRPr="00196C67">
        <w:t>komercdaļas</w:t>
      </w:r>
      <w:proofErr w:type="spellEnd"/>
      <w:r w:rsidR="00196C67" w:rsidRPr="00196C67">
        <w:t xml:space="preserve"> aktīvu atsavināšanas process pilnībā tiks noslēgts 2013.gada pirmajā pusē</w:t>
      </w:r>
      <w:r w:rsidRPr="00EA75CA">
        <w:t>;</w:t>
      </w:r>
    </w:p>
    <w:p w:rsidR="003A22C5" w:rsidRPr="003A22C5" w:rsidRDefault="009B0F22" w:rsidP="00E84407">
      <w:pPr>
        <w:pStyle w:val="ListParagraph"/>
        <w:numPr>
          <w:ilvl w:val="0"/>
          <w:numId w:val="30"/>
        </w:numPr>
        <w:suppressAutoHyphens/>
        <w:ind w:left="709"/>
        <w:rPr>
          <w:color w:val="000000"/>
        </w:rPr>
      </w:pPr>
      <w:r w:rsidRPr="00EA75CA">
        <w:rPr>
          <w:color w:val="000000"/>
          <w:u w:val="single"/>
        </w:rPr>
        <w:lastRenderedPageBreak/>
        <w:t>par attīstības finanšu institūciju</w:t>
      </w:r>
      <w:r w:rsidRPr="009B0F22">
        <w:rPr>
          <w:color w:val="000000"/>
        </w:rPr>
        <w:t xml:space="preserve"> (turpmāk tekstā – AFI).</w:t>
      </w:r>
      <w:r w:rsidRPr="00EA75CA">
        <w:rPr>
          <w:color w:val="000000"/>
        </w:rPr>
        <w:t xml:space="preserve"> MK 2012.gada 2.oktobra sēdē atbalstīja informatīvo ziņojumu </w:t>
      </w:r>
      <w:r w:rsidRPr="009B0F22">
        <w:rPr>
          <w:i/>
          <w:color w:val="000000"/>
        </w:rPr>
        <w:t>„Par vienotas attīstības finanšu institūcijas izveidi un valsts atbalsta programmām, kas tiek īstenotas finanšu instrumentu veidā”</w:t>
      </w:r>
      <w:r w:rsidRPr="00EA75CA">
        <w:rPr>
          <w:color w:val="000000"/>
        </w:rPr>
        <w:t xml:space="preserve">, kurā iekļautas vadlīnijas AFI izveidei. </w:t>
      </w:r>
      <w:r>
        <w:rPr>
          <w:color w:val="000000"/>
        </w:rPr>
        <w:t>Tika</w:t>
      </w:r>
      <w:r w:rsidRPr="00EA75CA">
        <w:rPr>
          <w:color w:val="000000"/>
        </w:rPr>
        <w:t xml:space="preserve"> noslēg</w:t>
      </w:r>
      <w:r>
        <w:rPr>
          <w:color w:val="000000"/>
        </w:rPr>
        <w:t>t</w:t>
      </w:r>
      <w:r w:rsidRPr="00EA75CA">
        <w:rPr>
          <w:color w:val="000000"/>
        </w:rPr>
        <w:t>s iepirkum</w:t>
      </w:r>
      <w:r>
        <w:rPr>
          <w:color w:val="000000"/>
        </w:rPr>
        <w:t>s</w:t>
      </w:r>
      <w:r w:rsidRPr="00EA75CA">
        <w:rPr>
          <w:color w:val="000000"/>
        </w:rPr>
        <w:t xml:space="preserve"> </w:t>
      </w:r>
      <w:r w:rsidRPr="009B0F22">
        <w:rPr>
          <w:i/>
          <w:color w:val="000000"/>
        </w:rPr>
        <w:t>„Izvērtējums un konsultācijas vienotas attīstības finanšu institūcijas izveidei”</w:t>
      </w:r>
      <w:r w:rsidRPr="00EA75CA">
        <w:rPr>
          <w:color w:val="000000"/>
        </w:rPr>
        <w:t>. Līgums ar iepirkuma uzvarētāju tika parakstīts 2012.gada 20.novembrī</w:t>
      </w:r>
      <w:r w:rsidR="00E2290D">
        <w:rPr>
          <w:color w:val="000000"/>
        </w:rPr>
        <w:t xml:space="preserve">, </w:t>
      </w:r>
      <w:r w:rsidR="00E2290D" w:rsidRPr="00E2290D">
        <w:t>un 2013.gada 18.janvārī tika iesniegts izvērtējums par iespējamajām AFI izveides alternatīvām, par kuru tika organizētas vairākas starpinstitūciju sanāksmes</w:t>
      </w:r>
      <w:r w:rsidR="003A22C5">
        <w:t>.</w:t>
      </w:r>
      <w:r w:rsidR="00E2290D" w:rsidRPr="00E2290D">
        <w:t xml:space="preserve"> MK 2013.gada 4.aprīlī tika atbalstīts </w:t>
      </w:r>
      <w:r w:rsidR="003A22C5" w:rsidRPr="003A22C5">
        <w:rPr>
          <w:i/>
        </w:rPr>
        <w:t>I</w:t>
      </w:r>
      <w:r w:rsidR="00E2290D" w:rsidRPr="003A22C5">
        <w:rPr>
          <w:i/>
        </w:rPr>
        <w:t xml:space="preserve">nformatīvais ziņojums </w:t>
      </w:r>
      <w:r w:rsidR="003A22C5" w:rsidRPr="003A22C5">
        <w:rPr>
          <w:i/>
        </w:rPr>
        <w:t>p</w:t>
      </w:r>
      <w:r w:rsidR="00E2290D" w:rsidRPr="003A22C5">
        <w:rPr>
          <w:i/>
        </w:rPr>
        <w:t>ar vienotās attīstības finanšu institūcijas izveidi</w:t>
      </w:r>
      <w:r w:rsidR="00E2290D" w:rsidRPr="00E2290D">
        <w:t>, vienlaikus tika lemts</w:t>
      </w:r>
      <w:r w:rsidR="003A22C5">
        <w:t>:</w:t>
      </w:r>
    </w:p>
    <w:p w:rsidR="003A22C5" w:rsidRPr="0009772C" w:rsidRDefault="003A22C5" w:rsidP="003A22C5">
      <w:pPr>
        <w:pStyle w:val="ListParagraph"/>
        <w:numPr>
          <w:ilvl w:val="0"/>
          <w:numId w:val="60"/>
        </w:numPr>
        <w:ind w:left="1276"/>
      </w:pPr>
      <w:r w:rsidRPr="0009772C">
        <w:t xml:space="preserve">AFI veidot kā holdinga sabiedrību, apvienojot Hipotēku banku, </w:t>
      </w:r>
      <w:r w:rsidR="0073086A">
        <w:t>Latvijas Garantiju aģentūru</w:t>
      </w:r>
      <w:r w:rsidRPr="0009772C">
        <w:t>, Lauku attīstības fondu un dibinot jaunu holdinga vadošo sabiedrību;</w:t>
      </w:r>
    </w:p>
    <w:p w:rsidR="003A22C5" w:rsidRPr="0009772C" w:rsidRDefault="003A22C5" w:rsidP="003A22C5">
      <w:pPr>
        <w:pStyle w:val="ListParagraph"/>
        <w:numPr>
          <w:ilvl w:val="0"/>
          <w:numId w:val="60"/>
        </w:numPr>
        <w:ind w:left="1276"/>
      </w:pPr>
      <w:r w:rsidRPr="0009772C">
        <w:t>četru mēnešu laikā iesniegt izskatīšanai MK izstrādātu rīcības plānu AFI holdinga izveidošanai</w:t>
      </w:r>
      <w:r>
        <w:t xml:space="preserve">, </w:t>
      </w:r>
      <w:proofErr w:type="spellStart"/>
      <w:r>
        <w:t>t.sk</w:t>
      </w:r>
      <w:proofErr w:type="spellEnd"/>
      <w:r>
        <w:t>., lēmuma projektu par jauna komersanta dibināšanu, kā arī AFI ietilpstošo sabiedrību optimizēšanas un funkciju integrēšanas plānu</w:t>
      </w:r>
      <w:r w:rsidRPr="0009772C">
        <w:t>;</w:t>
      </w:r>
    </w:p>
    <w:p w:rsidR="003A22C5" w:rsidRPr="0009772C" w:rsidRDefault="003A22C5" w:rsidP="003A22C5">
      <w:pPr>
        <w:pStyle w:val="ListParagraph"/>
        <w:numPr>
          <w:ilvl w:val="0"/>
          <w:numId w:val="60"/>
        </w:numPr>
        <w:ind w:left="1276"/>
      </w:pPr>
      <w:r w:rsidRPr="0009772C">
        <w:t>Hipotēku bankai veikt nepieciešamos sagatavošanas un īstenošanas pasākumus, lai atteiktos no kredītiestādes licences;</w:t>
      </w:r>
    </w:p>
    <w:p w:rsidR="003A22C5" w:rsidRPr="0009772C" w:rsidRDefault="003A22C5" w:rsidP="003A22C5">
      <w:pPr>
        <w:pStyle w:val="ListParagraph"/>
        <w:numPr>
          <w:ilvl w:val="0"/>
          <w:numId w:val="60"/>
        </w:numPr>
        <w:ind w:left="1276"/>
      </w:pPr>
      <w:r w:rsidRPr="0009772C">
        <w:t>Vides investīciju fondu neiekļaut AFI;</w:t>
      </w:r>
    </w:p>
    <w:p w:rsidR="003A22C5" w:rsidRPr="0009772C" w:rsidRDefault="003A22C5" w:rsidP="003A22C5">
      <w:pPr>
        <w:pStyle w:val="ListParagraph"/>
        <w:numPr>
          <w:ilvl w:val="0"/>
          <w:numId w:val="60"/>
        </w:numPr>
        <w:ind w:left="1276"/>
      </w:pPr>
      <w:r w:rsidRPr="0009772C">
        <w:t xml:space="preserve">noteikt </w:t>
      </w:r>
      <w:r>
        <w:t>FM</w:t>
      </w:r>
      <w:r w:rsidRPr="0009772C">
        <w:t xml:space="preserve"> par AFI kapitāla daļu turētāju ar pienākumu AFI padomē iekļaut pārstāvjus no EM, VARAM un ZM, kā arī izvērtēt nepieciešamību aicināt starptautisku finanšu institūciju deleģēt pārstāvi dalībai AFI padomē;</w:t>
      </w:r>
    </w:p>
    <w:p w:rsidR="003A22C5" w:rsidRPr="003A22C5" w:rsidRDefault="003A22C5" w:rsidP="003A22C5">
      <w:pPr>
        <w:pStyle w:val="ListParagraph"/>
        <w:numPr>
          <w:ilvl w:val="0"/>
          <w:numId w:val="60"/>
        </w:numPr>
        <w:ind w:left="1276"/>
        <w:rPr>
          <w:color w:val="000000"/>
        </w:rPr>
      </w:pPr>
      <w:r w:rsidRPr="0009772C">
        <w:t>ka Konsultatīvā padome turpina darbu pie valsts atbalsta programmu izvērtēšanas un pilnveidošanas, kā arī sniedz rekomendācijas par vienotās attīstības finanšu institūcijas turpmāko darbību,</w:t>
      </w:r>
      <w:r>
        <w:t xml:space="preserve"> </w:t>
      </w:r>
      <w:proofErr w:type="spellStart"/>
      <w:r w:rsidRPr="0009772C">
        <w:t>u.c</w:t>
      </w:r>
      <w:proofErr w:type="spellEnd"/>
      <w:r w:rsidRPr="0009772C">
        <w:t>.</w:t>
      </w:r>
    </w:p>
    <w:p w:rsidR="009B0F22" w:rsidRPr="00EA75CA" w:rsidRDefault="003A22C5" w:rsidP="003A22C5">
      <w:pPr>
        <w:pStyle w:val="ListParagraph"/>
        <w:suppressAutoHyphens/>
        <w:ind w:left="709"/>
        <w:rPr>
          <w:color w:val="000000"/>
        </w:rPr>
      </w:pPr>
      <w:r>
        <w:rPr>
          <w:color w:val="000000"/>
        </w:rPr>
        <w:t>AFI paredzēts izveidot līdz 2013.gada beigām</w:t>
      </w:r>
      <w:r w:rsidR="002C3047">
        <w:rPr>
          <w:color w:val="000000"/>
        </w:rPr>
        <w:t>.</w:t>
      </w:r>
    </w:p>
    <w:p w:rsidR="009B0F22" w:rsidRPr="00EA75CA" w:rsidRDefault="002C3047" w:rsidP="00E84407">
      <w:pPr>
        <w:pStyle w:val="ListParagraph"/>
        <w:numPr>
          <w:ilvl w:val="0"/>
          <w:numId w:val="19"/>
        </w:numPr>
        <w:suppressAutoHyphens/>
      </w:pPr>
      <w:r>
        <w:rPr>
          <w:u w:val="single"/>
        </w:rPr>
        <w:t>P</w:t>
      </w:r>
      <w:r w:rsidR="009B0F22" w:rsidRPr="00EA75CA">
        <w:rPr>
          <w:u w:val="single"/>
        </w:rPr>
        <w:t>ar AS „Citadele banka” un AS „Parex banka”.</w:t>
      </w:r>
      <w:r w:rsidR="009B0F22" w:rsidRPr="00EA75CA">
        <w:t xml:space="preserve"> MK 2011.gadā atbalstīja AS „Citadele banka” un AS „Parex banka” pārdošanas stratēģijas, kas paredz savstarpēji nesaistītu pārdošanas procesu, katrai bankai piemērojot atbilstošāko risinājumu. </w:t>
      </w:r>
    </w:p>
    <w:p w:rsidR="009B0F22" w:rsidRPr="00EA75CA" w:rsidRDefault="009B0F22" w:rsidP="009B0F22">
      <w:pPr>
        <w:pStyle w:val="ListParagraph"/>
        <w:suppressAutoHyphens/>
      </w:pPr>
      <w:r w:rsidRPr="00EA75CA">
        <w:t xml:space="preserve">Saskaņā ar pārdošanas stratēģiju </w:t>
      </w:r>
      <w:r w:rsidRPr="00EA75CA">
        <w:rPr>
          <w:u w:val="single"/>
        </w:rPr>
        <w:t>AS „Citadele banka”</w:t>
      </w:r>
      <w:r w:rsidRPr="00EA75CA">
        <w:t xml:space="preserve"> tiks pārdota izsolē. Tomēr, ņemot vērā situāciju Baltijas banku tirgū un nestabilitāti Eiropas finanšu tirgos, MK 2011.gada beigās pieņēma lēmumu atlikt AS „Citadele banka” pārdošanas procesu. Pie AS „Citadele banka” pārdošanas jautājuma ir plānots atgriezties vēlāk, kad situācija finanšu tirgos būs uzlabojusies. Saskaņā ar restrukturizācijas plānu AS „Citadele banka” kopumā ir paredzēts pārdot līdz 2014.gada beigām. </w:t>
      </w:r>
    </w:p>
    <w:p w:rsidR="00EB383F" w:rsidRPr="00EA75CA" w:rsidRDefault="009B0F22" w:rsidP="009B0F22">
      <w:pPr>
        <w:pStyle w:val="PlainText"/>
        <w:ind w:left="720"/>
        <w:jc w:val="both"/>
        <w:rPr>
          <w:rFonts w:ascii="Times New Roman" w:hAnsi="Times New Roman"/>
          <w:sz w:val="24"/>
          <w:szCs w:val="24"/>
        </w:rPr>
      </w:pPr>
      <w:r w:rsidRPr="00EA75CA">
        <w:rPr>
          <w:rFonts w:ascii="Times New Roman" w:hAnsi="Times New Roman"/>
          <w:sz w:val="24"/>
          <w:szCs w:val="24"/>
          <w:u w:val="single"/>
        </w:rPr>
        <w:t>AS „Parex banka”</w:t>
      </w:r>
      <w:r w:rsidRPr="00EA75CA">
        <w:rPr>
          <w:rFonts w:ascii="Times New Roman" w:hAnsi="Times New Roman"/>
          <w:sz w:val="24"/>
          <w:szCs w:val="24"/>
        </w:rPr>
        <w:t xml:space="preserve"> piemērota kombinēta pārdošanas stratēģija, kas paredz banku kopumā nepārdot, bet veikt darbības aktīvu vērtības paaugstināšanai vai saglabāšanai. 2012.gadā ir ieviests AS „Parex banka” turpmākās darbības modelis, kas paredz bankas statusa maiņu un atteikšanos no kredītiestādes licences. FKTK padome 2012.gada 15.marta sēdē pieņēma lēmumu anulēt AS „Parex banka” izsniegto licenci kredītiestādes darbībai. 2012.gada 8.maijā pēc statusa un nosaukuma maiņas banka uzsāka darbu kā profesionāls problemātisko aktīvu pārvaldīšanas uzņēmums </w:t>
      </w:r>
      <w:r>
        <w:rPr>
          <w:rFonts w:ascii="Times New Roman" w:hAnsi="Times New Roman"/>
          <w:sz w:val="24"/>
          <w:szCs w:val="24"/>
        </w:rPr>
        <w:t>–</w:t>
      </w:r>
      <w:r w:rsidRPr="00EA75CA">
        <w:rPr>
          <w:rFonts w:ascii="Times New Roman" w:hAnsi="Times New Roman"/>
          <w:sz w:val="24"/>
          <w:szCs w:val="24"/>
        </w:rPr>
        <w:t xml:space="preserve"> </w:t>
      </w:r>
      <w:r>
        <w:rPr>
          <w:rFonts w:ascii="Times New Roman" w:hAnsi="Times New Roman"/>
          <w:sz w:val="24"/>
          <w:szCs w:val="24"/>
        </w:rPr>
        <w:br/>
      </w:r>
      <w:r w:rsidRPr="00EA75CA">
        <w:rPr>
          <w:rFonts w:ascii="Times New Roman" w:hAnsi="Times New Roman"/>
          <w:sz w:val="24"/>
          <w:szCs w:val="24"/>
        </w:rPr>
        <w:t>AS „</w:t>
      </w:r>
      <w:proofErr w:type="spellStart"/>
      <w:r w:rsidRPr="00EA75CA">
        <w:rPr>
          <w:rFonts w:ascii="Times New Roman" w:hAnsi="Times New Roman"/>
          <w:sz w:val="24"/>
          <w:szCs w:val="24"/>
        </w:rPr>
        <w:t>Reverta</w:t>
      </w:r>
      <w:proofErr w:type="spellEnd"/>
      <w:r w:rsidRPr="00EA75CA">
        <w:rPr>
          <w:rFonts w:ascii="Times New Roman" w:hAnsi="Times New Roman"/>
          <w:sz w:val="24"/>
          <w:szCs w:val="24"/>
        </w:rPr>
        <w:t>”. 2012.gada 4.decembrī MK nolēma turpināt iepriekš atbalstītās pārdošanas stratēģijas ieviešanas īstenošanu un atgriezties pie pārdošanas stratēģijas ieviešanas gaitas izvērtēšanas 2013.gada oktobrī. Saskaņā ar EK apstiprināto restrukturizācijas plānu AS „</w:t>
      </w:r>
      <w:proofErr w:type="spellStart"/>
      <w:r w:rsidRPr="00EA75CA">
        <w:rPr>
          <w:rFonts w:ascii="Times New Roman" w:hAnsi="Times New Roman"/>
          <w:sz w:val="24"/>
          <w:szCs w:val="24"/>
        </w:rPr>
        <w:t>Reverta</w:t>
      </w:r>
      <w:proofErr w:type="spellEnd"/>
      <w:r w:rsidRPr="00EA75CA">
        <w:rPr>
          <w:rFonts w:ascii="Times New Roman" w:hAnsi="Times New Roman"/>
          <w:sz w:val="24"/>
          <w:szCs w:val="24"/>
        </w:rPr>
        <w:t xml:space="preserve">” turpinās aktīvu izstrādi, </w:t>
      </w:r>
      <w:proofErr w:type="spellStart"/>
      <w:r w:rsidRPr="00EA75CA">
        <w:rPr>
          <w:rFonts w:ascii="Times New Roman" w:hAnsi="Times New Roman"/>
          <w:sz w:val="24"/>
          <w:szCs w:val="24"/>
        </w:rPr>
        <w:t>t.i</w:t>
      </w:r>
      <w:proofErr w:type="spellEnd"/>
      <w:r w:rsidRPr="00EA75CA">
        <w:rPr>
          <w:rFonts w:ascii="Times New Roman" w:hAnsi="Times New Roman"/>
          <w:sz w:val="24"/>
          <w:szCs w:val="24"/>
        </w:rPr>
        <w:t>., kredītu piedziņu un ķīlu pārņemšanu, lai maksimāli atgūtu ieguldītos valsts līdzekļus. AS „Parex banka” darbības periods ir noteikts līdz 2017.gadam.</w:t>
      </w:r>
    </w:p>
    <w:p w:rsidR="00EB383F" w:rsidRPr="00C43284" w:rsidRDefault="00EB383F" w:rsidP="00E84407">
      <w:pPr>
        <w:pStyle w:val="ListParagraph"/>
        <w:numPr>
          <w:ilvl w:val="0"/>
          <w:numId w:val="12"/>
        </w:numPr>
        <w:suppressAutoHyphens/>
        <w:spacing w:before="240" w:after="120"/>
        <w:ind w:left="284" w:hanging="283"/>
        <w:contextualSpacing w:val="0"/>
        <w:rPr>
          <w:b/>
        </w:rPr>
      </w:pPr>
      <w:r w:rsidRPr="00C43284">
        <w:rPr>
          <w:b/>
          <w:i/>
        </w:rPr>
        <w:t xml:space="preserve">Sabiedrības informēšana finanšu pakalpojumu jautājumos un </w:t>
      </w:r>
      <w:r w:rsidRPr="00C43284">
        <w:rPr>
          <w:b/>
          <w:bCs/>
          <w:i/>
        </w:rPr>
        <w:t>patērētāju tiesību aizsardzības regulējuma pilnveidošana patērētāju kreditēšanas jomā</w:t>
      </w:r>
      <w:r w:rsidRPr="00C43284">
        <w:t xml:space="preserve"> (atbildīgā </w:t>
      </w:r>
      <w:r w:rsidR="00942255" w:rsidRPr="00C43284">
        <w:br/>
      </w:r>
      <w:r w:rsidRPr="00C43284">
        <w:t>institūcija – FKTK, EM)</w:t>
      </w:r>
    </w:p>
    <w:p w:rsidR="009B0F22" w:rsidRDefault="009B0F22" w:rsidP="009B0F22">
      <w:pPr>
        <w:pStyle w:val="Default"/>
        <w:ind w:firstLine="567"/>
        <w:jc w:val="both"/>
        <w:rPr>
          <w:rFonts w:ascii="Times New Roman" w:hAnsi="Times New Roman" w:cs="Times New Roman"/>
        </w:rPr>
      </w:pPr>
      <w:r>
        <w:rPr>
          <w:rFonts w:ascii="Times New Roman" w:hAnsi="Times New Roman" w:cs="Times New Roman"/>
        </w:rPr>
        <w:lastRenderedPageBreak/>
        <w:t>Mērķis ir sniegt potenciālajiem finanšu pakalpojumu saņēmējiem vispārēju priekšstatu par finanšu sektoru, tā attīstības tendencēm un pastiprināt finanšu pakalpojumu sektora uzraudzību, lai nodrošinātu patērētājiem pieejamus un viņu vajadzībām un iespējām atbilstošus finanšu pakalpojumus. Mērķa sasniegšanai tiek veikti šādi pasākumi:</w:t>
      </w:r>
    </w:p>
    <w:p w:rsidR="009B0F22" w:rsidRDefault="009B0F22" w:rsidP="00E84407">
      <w:pPr>
        <w:pStyle w:val="Default"/>
        <w:numPr>
          <w:ilvl w:val="1"/>
          <w:numId w:val="31"/>
        </w:numPr>
        <w:ind w:left="709" w:hanging="283"/>
        <w:jc w:val="both"/>
        <w:rPr>
          <w:rFonts w:ascii="Times New Roman" w:hAnsi="Times New Roman" w:cs="Times New Roman"/>
        </w:rPr>
      </w:pPr>
      <w:r>
        <w:rPr>
          <w:rFonts w:ascii="Times New Roman" w:hAnsi="Times New Roman" w:cs="Times New Roman"/>
        </w:rPr>
        <w:t xml:space="preserve">FKTK ir izveidojis (2011.gadā) un pastāvīgi atjaunina interneta mājas lapa </w:t>
      </w:r>
      <w:r w:rsidRPr="009B0F22">
        <w:rPr>
          <w:rFonts w:ascii="Times New Roman" w:hAnsi="Times New Roman" w:cs="Times New Roman"/>
          <w:i/>
        </w:rPr>
        <w:t>„Klientu skola”</w:t>
      </w:r>
      <w:r>
        <w:rPr>
          <w:rFonts w:ascii="Times New Roman" w:hAnsi="Times New Roman" w:cs="Times New Roman"/>
        </w:rPr>
        <w:t xml:space="preserve"> (</w:t>
      </w:r>
      <w:proofErr w:type="spellStart"/>
      <w:r>
        <w:rPr>
          <w:rFonts w:ascii="Times New Roman" w:hAnsi="Times New Roman" w:cs="Times New Roman"/>
        </w:rPr>
        <w:t>www.klientuskola.lv</w:t>
      </w:r>
      <w:proofErr w:type="spellEnd"/>
      <w:r>
        <w:rPr>
          <w:rFonts w:ascii="Times New Roman" w:hAnsi="Times New Roman" w:cs="Times New Roman"/>
        </w:rPr>
        <w:t xml:space="preserve">), nodrošinot iedzīvotājiem informāciju par Latvijas finanšu sistēmas sniegtajiem pakalpojumiem un to būtiskākajiem riskiem. Turpmāk plānots "Klientu skolu" pārveidot par plašu izglītojošu vortālu, kā arī, izstrādājot FKTK </w:t>
      </w:r>
      <w:r w:rsidRPr="009B0F22">
        <w:rPr>
          <w:rFonts w:ascii="Times New Roman" w:hAnsi="Times New Roman" w:cs="Times New Roman"/>
          <w:i/>
        </w:rPr>
        <w:t xml:space="preserve">Sabiedrības finanšu </w:t>
      </w:r>
      <w:proofErr w:type="spellStart"/>
      <w:r w:rsidRPr="009B0F22">
        <w:rPr>
          <w:rFonts w:ascii="Times New Roman" w:hAnsi="Times New Roman" w:cs="Times New Roman"/>
          <w:i/>
        </w:rPr>
        <w:t>pratības</w:t>
      </w:r>
      <w:proofErr w:type="spellEnd"/>
      <w:r w:rsidRPr="009B0F22">
        <w:rPr>
          <w:rFonts w:ascii="Times New Roman" w:hAnsi="Times New Roman" w:cs="Times New Roman"/>
          <w:i/>
        </w:rPr>
        <w:t xml:space="preserve"> indeksu</w:t>
      </w:r>
      <w:r>
        <w:rPr>
          <w:rFonts w:ascii="Times New Roman" w:hAnsi="Times New Roman" w:cs="Times New Roman"/>
        </w:rPr>
        <w:t>, ik gadu fiksēt izmaiņas sabiedrības izpratnē par finanšu jautājumiem;</w:t>
      </w:r>
    </w:p>
    <w:p w:rsidR="005B149F" w:rsidRDefault="005B149F" w:rsidP="005B149F">
      <w:pPr>
        <w:pStyle w:val="ListParagraph"/>
        <w:numPr>
          <w:ilvl w:val="0"/>
          <w:numId w:val="61"/>
        </w:numPr>
      </w:pPr>
      <w:r w:rsidRPr="005B149F">
        <w:t xml:space="preserve">No 2012.gada 6.septembra FKTK mājas lapā izveidots informatīvs rīks </w:t>
      </w:r>
      <w:r w:rsidRPr="005B149F">
        <w:rPr>
          <w:i/>
        </w:rPr>
        <w:t>„Banku kompass”</w:t>
      </w:r>
      <w:r w:rsidRPr="005B149F">
        <w:t>, kas ļauj ērtā un pārskatāmā veidā iepazīties ar svarīgākajiem Latvijas banku darbības ceturkšņa rādītājiem un to skaidrojumiem. Šo rādītāju analīze var būt viens no apsvērumiem, klientam pieņemot lēmumu par to, ar kuru banku sadarboties</w:t>
      </w:r>
      <w:r>
        <w:t>;</w:t>
      </w:r>
    </w:p>
    <w:p w:rsidR="009B0F22" w:rsidRDefault="009B0F22" w:rsidP="00E84407">
      <w:pPr>
        <w:pStyle w:val="Default"/>
        <w:numPr>
          <w:ilvl w:val="1"/>
          <w:numId w:val="31"/>
        </w:numPr>
        <w:ind w:left="709" w:hanging="283"/>
        <w:jc w:val="both"/>
        <w:rPr>
          <w:rFonts w:ascii="Times New Roman" w:hAnsi="Times New Roman" w:cs="Times New Roman"/>
        </w:rPr>
      </w:pPr>
      <w:r>
        <w:rPr>
          <w:rFonts w:ascii="Times New Roman" w:hAnsi="Times New Roman" w:cs="Times New Roman"/>
        </w:rPr>
        <w:t>2013.gada 29.</w:t>
      </w:r>
      <w:r w:rsidRPr="001F70F4">
        <w:rPr>
          <w:rFonts w:ascii="Times New Roman" w:hAnsi="Times New Roman" w:cs="Times New Roman"/>
        </w:rPr>
        <w:t xml:space="preserve">janvārī FKTK pievienojās starptautiskajai kustībai </w:t>
      </w:r>
      <w:proofErr w:type="spellStart"/>
      <w:r w:rsidRPr="001F70F4">
        <w:rPr>
          <w:rFonts w:ascii="Times New Roman" w:hAnsi="Times New Roman" w:cs="Times New Roman"/>
          <w:i/>
        </w:rPr>
        <w:t>Child</w:t>
      </w:r>
      <w:proofErr w:type="spellEnd"/>
      <w:r w:rsidRPr="001F70F4">
        <w:rPr>
          <w:rFonts w:ascii="Times New Roman" w:hAnsi="Times New Roman" w:cs="Times New Roman"/>
          <w:i/>
        </w:rPr>
        <w:t xml:space="preserve"> </w:t>
      </w:r>
      <w:proofErr w:type="spellStart"/>
      <w:r w:rsidRPr="001F70F4">
        <w:rPr>
          <w:rFonts w:ascii="Times New Roman" w:hAnsi="Times New Roman" w:cs="Times New Roman"/>
          <w:i/>
        </w:rPr>
        <w:t>and</w:t>
      </w:r>
      <w:proofErr w:type="spellEnd"/>
      <w:r w:rsidRPr="001F70F4">
        <w:rPr>
          <w:rFonts w:ascii="Times New Roman" w:hAnsi="Times New Roman" w:cs="Times New Roman"/>
          <w:i/>
        </w:rPr>
        <w:t xml:space="preserve"> </w:t>
      </w:r>
      <w:proofErr w:type="spellStart"/>
      <w:r w:rsidRPr="001F70F4">
        <w:rPr>
          <w:rFonts w:ascii="Times New Roman" w:hAnsi="Times New Roman" w:cs="Times New Roman"/>
          <w:i/>
        </w:rPr>
        <w:t>Youth</w:t>
      </w:r>
      <w:proofErr w:type="spellEnd"/>
      <w:r w:rsidRPr="001F70F4">
        <w:rPr>
          <w:rFonts w:ascii="Times New Roman" w:hAnsi="Times New Roman" w:cs="Times New Roman"/>
          <w:i/>
        </w:rPr>
        <w:t xml:space="preserve"> </w:t>
      </w:r>
      <w:proofErr w:type="spellStart"/>
      <w:r w:rsidRPr="001F70F4">
        <w:rPr>
          <w:rFonts w:ascii="Times New Roman" w:hAnsi="Times New Roman" w:cs="Times New Roman"/>
          <w:i/>
        </w:rPr>
        <w:t>Finance</w:t>
      </w:r>
      <w:proofErr w:type="spellEnd"/>
      <w:r w:rsidRPr="001F70F4">
        <w:rPr>
          <w:rFonts w:ascii="Times New Roman" w:hAnsi="Times New Roman" w:cs="Times New Roman"/>
          <w:i/>
        </w:rPr>
        <w:t xml:space="preserve"> </w:t>
      </w:r>
      <w:proofErr w:type="spellStart"/>
      <w:r w:rsidRPr="001F70F4">
        <w:rPr>
          <w:rFonts w:ascii="Times New Roman" w:hAnsi="Times New Roman" w:cs="Times New Roman"/>
          <w:i/>
        </w:rPr>
        <w:t>International</w:t>
      </w:r>
      <w:proofErr w:type="spellEnd"/>
      <w:r w:rsidRPr="001F70F4">
        <w:rPr>
          <w:rFonts w:ascii="Times New Roman" w:hAnsi="Times New Roman" w:cs="Times New Roman"/>
        </w:rPr>
        <w:t xml:space="preserve">, apņemoties turpmāk nodrošināt bērnu un jauniešu </w:t>
      </w:r>
      <w:r w:rsidRPr="001F70F4">
        <w:rPr>
          <w:rFonts w:ascii="Times New Roman" w:hAnsi="Times New Roman" w:cs="Times New Roman"/>
          <w:i/>
        </w:rPr>
        <w:t>Finanšu izglītības nedēļas</w:t>
      </w:r>
      <w:r w:rsidRPr="001F70F4">
        <w:rPr>
          <w:rFonts w:ascii="Times New Roman" w:hAnsi="Times New Roman" w:cs="Times New Roman"/>
        </w:rPr>
        <w:t xml:space="preserve"> pasākumu koordinēšanu Latvijā</w:t>
      </w:r>
      <w:r w:rsidR="002C6DF4">
        <w:rPr>
          <w:rFonts w:ascii="Times New Roman" w:hAnsi="Times New Roman" w:cs="Times New Roman"/>
        </w:rPr>
        <w:t>.</w:t>
      </w:r>
      <w:r w:rsidRPr="001F70F4">
        <w:rPr>
          <w:rFonts w:ascii="Times New Roman" w:hAnsi="Times New Roman" w:cs="Times New Roman"/>
        </w:rPr>
        <w:t xml:space="preserve"> </w:t>
      </w:r>
      <w:r w:rsidR="002C6DF4" w:rsidRPr="002C6DF4">
        <w:rPr>
          <w:rFonts w:ascii="Times New Roman" w:hAnsi="Times New Roman" w:cs="Times New Roman"/>
        </w:rPr>
        <w:t>Pirmā šāda nedēļa ar labiem panā</w:t>
      </w:r>
      <w:r w:rsidR="002C6DF4">
        <w:rPr>
          <w:rFonts w:ascii="Times New Roman" w:hAnsi="Times New Roman" w:cs="Times New Roman"/>
        </w:rPr>
        <w:t>kumiem notika 2013.gada 18.-22.</w:t>
      </w:r>
      <w:r w:rsidR="002C6DF4" w:rsidRPr="002C6DF4">
        <w:rPr>
          <w:rFonts w:ascii="Times New Roman" w:hAnsi="Times New Roman" w:cs="Times New Roman"/>
        </w:rPr>
        <w:t>martā</w:t>
      </w:r>
      <w:r w:rsidRPr="002C6DF4">
        <w:rPr>
          <w:rFonts w:ascii="Times New Roman" w:hAnsi="Times New Roman" w:cs="Times New Roman"/>
        </w:rPr>
        <w:t>.</w:t>
      </w:r>
      <w:r w:rsidRPr="001F70F4">
        <w:rPr>
          <w:rFonts w:ascii="Times New Roman" w:hAnsi="Times New Roman" w:cs="Times New Roman"/>
        </w:rPr>
        <w:t xml:space="preserve"> FKTK partneri šīs kustības ietvaros ir IZM, </w:t>
      </w:r>
      <w:r>
        <w:rPr>
          <w:rFonts w:ascii="Times New Roman" w:hAnsi="Times New Roman" w:cs="Times New Roman"/>
        </w:rPr>
        <w:t>Valsts izglītības satura centrs</w:t>
      </w:r>
      <w:r w:rsidRPr="001F70F4">
        <w:rPr>
          <w:rFonts w:ascii="Times New Roman" w:hAnsi="Times New Roman" w:cs="Times New Roman"/>
        </w:rPr>
        <w:t xml:space="preserve">, Latvijas Banka, Banku augstskola, Latvijas Komercbanku asociācija, </w:t>
      </w:r>
      <w:r>
        <w:rPr>
          <w:rFonts w:ascii="Times New Roman" w:hAnsi="Times New Roman" w:cs="Times New Roman"/>
        </w:rPr>
        <w:t>Patērētāju tiesību aizsardzības centrs</w:t>
      </w:r>
      <w:r w:rsidRPr="001F70F4">
        <w:rPr>
          <w:rFonts w:ascii="Times New Roman" w:hAnsi="Times New Roman" w:cs="Times New Roman"/>
        </w:rPr>
        <w:t xml:space="preserve">, Junior </w:t>
      </w:r>
      <w:proofErr w:type="spellStart"/>
      <w:r w:rsidRPr="001F70F4">
        <w:rPr>
          <w:rFonts w:ascii="Times New Roman" w:hAnsi="Times New Roman" w:cs="Times New Roman"/>
        </w:rPr>
        <w:t>Achievement</w:t>
      </w:r>
      <w:proofErr w:type="spellEnd"/>
      <w:r w:rsidRPr="001F70F4">
        <w:rPr>
          <w:rFonts w:ascii="Times New Roman" w:hAnsi="Times New Roman" w:cs="Times New Roman"/>
        </w:rPr>
        <w:t xml:space="preserve">, kā arī 7 komercbankas. </w:t>
      </w:r>
      <w:r w:rsidR="00882A12" w:rsidRPr="00882A12">
        <w:rPr>
          <w:rFonts w:ascii="Times New Roman" w:hAnsi="Times New Roman" w:cs="Times New Roman"/>
        </w:rPr>
        <w:t xml:space="preserve">Visi dalībnieki šajā nedēļā katru dienu piedāvāja kādas izglītojošas aktivitātes un aicināja ikvienu izpildīt testus un izmantot citus finanšu zināšanu pārbaudes rīkus, lai noskaidrotu savu finanšu zināšanu līmeni un papildinātu to, izmantojot pieejamos uzziņas materiālus. </w:t>
      </w:r>
      <w:r w:rsidR="00882A12" w:rsidRPr="00882A12">
        <w:rPr>
          <w:rFonts w:ascii="Times New Roman" w:hAnsi="Times New Roman" w:cs="Times New Roman"/>
          <w:i/>
        </w:rPr>
        <w:t>Finanšu izglītības nedēļas</w:t>
      </w:r>
      <w:r w:rsidR="00882A12" w:rsidRPr="00882A12">
        <w:rPr>
          <w:rFonts w:ascii="Times New Roman" w:hAnsi="Times New Roman" w:cs="Times New Roman"/>
        </w:rPr>
        <w:t xml:space="preserve"> laikā tika nolasītas 40 lekcijas, notika divi semināri skolotājiem, tika prezentēti trīs pētījumu rezultāti un interneta aktivitātēs iesaistījušies kopumā vairāk nekā 5 000 interesentu. FKTK vadības pārstāvji viesojās ar lekcijām savās dzimtajās skolās Liepājā, Rīgā un Limbažos, bet vairāk nekā 26 citās skolās gan Rīgā, gan Latvijas reģionos komercbanku nodrošināti lektori jauniešus iepazīstināja ar finanšu lietpratības pamatjautājumiem un banku darbību</w:t>
      </w:r>
      <w:r w:rsidR="00882A12" w:rsidRPr="00882A12">
        <w:rPr>
          <w:rFonts w:ascii="Times New Roman" w:hAnsi="Times New Roman" w:cs="Times New Roman"/>
        </w:rPr>
        <w:tab/>
        <w:t>ikdienā</w:t>
      </w:r>
      <w:r w:rsidRPr="00882A12">
        <w:rPr>
          <w:rFonts w:ascii="Times New Roman" w:hAnsi="Times New Roman" w:cs="Times New Roman"/>
        </w:rPr>
        <w:t>;</w:t>
      </w:r>
    </w:p>
    <w:p w:rsidR="00B10E48" w:rsidRDefault="009B0F22" w:rsidP="00E84407">
      <w:pPr>
        <w:pStyle w:val="Default"/>
        <w:numPr>
          <w:ilvl w:val="1"/>
          <w:numId w:val="31"/>
        </w:numPr>
        <w:ind w:left="709" w:hanging="283"/>
        <w:jc w:val="both"/>
        <w:rPr>
          <w:rFonts w:ascii="Times New Roman" w:hAnsi="Times New Roman" w:cs="Times New Roman"/>
        </w:rPr>
      </w:pPr>
      <w:r>
        <w:rPr>
          <w:rFonts w:ascii="Times New Roman" w:hAnsi="Times New Roman" w:cs="Times New Roman"/>
        </w:rPr>
        <w:t xml:space="preserve">no 2011.gada 1.novembra ir ieviesta </w:t>
      </w:r>
      <w:proofErr w:type="spellStart"/>
      <w:r>
        <w:rPr>
          <w:rFonts w:ascii="Times New Roman" w:hAnsi="Times New Roman" w:cs="Times New Roman"/>
        </w:rPr>
        <w:t>nebanku</w:t>
      </w:r>
      <w:proofErr w:type="spellEnd"/>
      <w:r>
        <w:rPr>
          <w:rFonts w:ascii="Times New Roman" w:hAnsi="Times New Roman" w:cs="Times New Roman"/>
        </w:rPr>
        <w:t xml:space="preserve"> kredītu devēju licencēšanas sistēma, garantējot patērētājam ilgtermiņā finansiāli stabilu kredītu devēju esamību tirgū. Licencēšanas sistēmas ieviešana ļāvusi kopumā paaugstināt patērētāju aizsardzības līmeni </w:t>
      </w:r>
      <w:proofErr w:type="spellStart"/>
      <w:r>
        <w:rPr>
          <w:rFonts w:ascii="Times New Roman" w:hAnsi="Times New Roman" w:cs="Times New Roman"/>
        </w:rPr>
        <w:t>nebanku</w:t>
      </w:r>
      <w:proofErr w:type="spellEnd"/>
      <w:r>
        <w:rPr>
          <w:rFonts w:ascii="Times New Roman" w:hAnsi="Times New Roman" w:cs="Times New Roman"/>
        </w:rPr>
        <w:t xml:space="preserve"> kreditēšanas jomā, nodrošinot, ka šajā tirgū darbojas tikai pakalpojumu sniedzēji ar stabilu finansiālo situāciju, mazinot iespējamos finanšu riskus un kopumā uzlabojot arī kompetento iestāžu kontroles un uzraudzības darbu </w:t>
      </w:r>
      <w:proofErr w:type="spellStart"/>
      <w:r>
        <w:rPr>
          <w:rFonts w:ascii="Times New Roman" w:hAnsi="Times New Roman" w:cs="Times New Roman"/>
        </w:rPr>
        <w:t>nebanku</w:t>
      </w:r>
      <w:proofErr w:type="spellEnd"/>
      <w:r>
        <w:rPr>
          <w:rFonts w:ascii="Times New Roman" w:hAnsi="Times New Roman" w:cs="Times New Roman"/>
        </w:rPr>
        <w:t xml:space="preserve"> kreditēšanas tirgū.</w:t>
      </w:r>
    </w:p>
    <w:p w:rsidR="00EB383F" w:rsidRPr="00B10E48" w:rsidRDefault="009B0F22" w:rsidP="00B321DA">
      <w:pPr>
        <w:spacing w:before="120"/>
        <w:ind w:firstLine="567"/>
      </w:pPr>
      <w:r w:rsidRPr="00B10E48">
        <w:t xml:space="preserve">Lai arī turpmāk nodrošinātu patērētāju aizsardzību un informētību finanšu pakalpojumu jautājumos, līdz 2013.gada beigām ir paredzēts pilnveidot attiecīgo likumdošanu, aptverot visu kreditēšanas jomu vienā tiesību aktā. Šobrīd pasākums ir agrīnas sagatavošanas stadijā, jo izstrādes procesā atrodas ES direktīvas par hipotekāro kreditēšanu. Pēc šīs direktīvas pieņemšanas tiks izstrādāti attiecīgi normatīvo aktu projekti, </w:t>
      </w:r>
      <w:proofErr w:type="spellStart"/>
      <w:r w:rsidRPr="00B10E48">
        <w:t>t.sk</w:t>
      </w:r>
      <w:proofErr w:type="spellEnd"/>
      <w:r w:rsidRPr="00B10E48">
        <w:t xml:space="preserve">., lai pārņemtu minēto direktīvu, ja tā tiks pieņemta. </w:t>
      </w:r>
      <w:r w:rsidRPr="00B90749">
        <w:t>Šobrīd ir izstrādāti priekšlikumi saistībā ar kreditēšanas reklāmas stingrāku regulēšanu, atbildīgas aizdošanas veicināšanu, kā arī procentu likmju ierobežojumiem, kur tuvākajā laikā tiks virzīti saskaņošanai.</w:t>
      </w:r>
    </w:p>
    <w:p w:rsidR="008F2EE4" w:rsidRPr="00B703A3" w:rsidRDefault="008F2EE4" w:rsidP="001F2E7A">
      <w:pPr>
        <w:pStyle w:val="Heading2"/>
        <w:spacing w:before="360" w:after="120"/>
        <w:jc w:val="center"/>
        <w:rPr>
          <w:rFonts w:ascii="Times New Roman Bold" w:hAnsi="Times New Roman Bold"/>
          <w:smallCaps/>
          <w:sz w:val="24"/>
          <w:szCs w:val="24"/>
        </w:rPr>
      </w:pPr>
      <w:bookmarkStart w:id="20" w:name="_Toc354384933"/>
      <w:r w:rsidRPr="00B703A3">
        <w:rPr>
          <w:rFonts w:ascii="Times New Roman Bold" w:hAnsi="Times New Roman Bold"/>
          <w:smallCaps/>
          <w:sz w:val="24"/>
          <w:szCs w:val="24"/>
        </w:rPr>
        <w:t>3.2. Konkurētspējas veicināšana</w:t>
      </w:r>
      <w:bookmarkEnd w:id="20"/>
    </w:p>
    <w:p w:rsidR="00EF0DA1" w:rsidRPr="00C43284" w:rsidRDefault="00EF0DA1" w:rsidP="00572B08">
      <w:pPr>
        <w:pStyle w:val="Heading3"/>
        <w:spacing w:before="240" w:after="120"/>
        <w:ind w:left="567"/>
        <w:rPr>
          <w:rFonts w:ascii="Times New Roman" w:hAnsi="Times New Roman" w:cs="Times New Roman"/>
          <w:color w:val="auto"/>
        </w:rPr>
      </w:pPr>
      <w:bookmarkStart w:id="21" w:name="_Toc354384934"/>
      <w:r w:rsidRPr="00C43284">
        <w:rPr>
          <w:rFonts w:ascii="Times New Roman" w:hAnsi="Times New Roman" w:cs="Times New Roman"/>
          <w:color w:val="auto"/>
        </w:rPr>
        <w:t xml:space="preserve">3.2.1. Uzņēmējdarbības vide </w:t>
      </w:r>
      <w:r w:rsidR="00AE15FF" w:rsidRPr="00C43284">
        <w:rPr>
          <w:rFonts w:ascii="Times New Roman" w:hAnsi="Times New Roman" w:cs="Times New Roman"/>
          <w:color w:val="auto"/>
        </w:rPr>
        <w:t>un</w:t>
      </w:r>
      <w:r w:rsidRPr="00C43284">
        <w:rPr>
          <w:rFonts w:ascii="Times New Roman" w:hAnsi="Times New Roman" w:cs="Times New Roman"/>
          <w:color w:val="auto"/>
        </w:rPr>
        <w:t xml:space="preserve"> valsts pārvaldes modernizācija</w:t>
      </w:r>
      <w:bookmarkEnd w:id="21"/>
    </w:p>
    <w:p w:rsidR="005B0BAD" w:rsidRDefault="005B0BAD" w:rsidP="005B0BAD">
      <w:pPr>
        <w:ind w:firstLine="567"/>
      </w:pPr>
      <w:r w:rsidRPr="00C43284">
        <w:t xml:space="preserve">Pasaulē pieaug konkurence par investīcijām, kur izšķiroša loma ir uzņēmējdarbības videi. Pasaules Bankas </w:t>
      </w:r>
      <w:proofErr w:type="spellStart"/>
      <w:r w:rsidRPr="00C43284">
        <w:rPr>
          <w:i/>
        </w:rPr>
        <w:t>Doing</w:t>
      </w:r>
      <w:proofErr w:type="spellEnd"/>
      <w:r w:rsidRPr="00C43284">
        <w:rPr>
          <w:i/>
        </w:rPr>
        <w:t xml:space="preserve"> </w:t>
      </w:r>
      <w:proofErr w:type="spellStart"/>
      <w:r w:rsidRPr="00C43284">
        <w:rPr>
          <w:i/>
        </w:rPr>
        <w:t>Business</w:t>
      </w:r>
      <w:proofErr w:type="spellEnd"/>
      <w:r w:rsidRPr="00C43284">
        <w:t xml:space="preserve"> 201</w:t>
      </w:r>
      <w:r>
        <w:t>3</w:t>
      </w:r>
      <w:r w:rsidRPr="00C43284">
        <w:t xml:space="preserve">.gada pētījumā </w:t>
      </w:r>
      <w:r w:rsidRPr="008D26B5">
        <w:rPr>
          <w:lang w:bidi="lo-LA"/>
        </w:rPr>
        <w:t>uzņēmējd</w:t>
      </w:r>
      <w:r>
        <w:rPr>
          <w:lang w:bidi="lo-LA"/>
        </w:rPr>
        <w:t xml:space="preserve">arbības veikšanas </w:t>
      </w:r>
      <w:r>
        <w:rPr>
          <w:lang w:bidi="lo-LA"/>
        </w:rPr>
        <w:lastRenderedPageBreak/>
        <w:t>viegluma ziņā</w:t>
      </w:r>
      <w:r w:rsidRPr="008D26B5">
        <w:rPr>
          <w:lang w:bidi="lo-LA"/>
        </w:rPr>
        <w:t xml:space="preserve"> </w:t>
      </w:r>
      <w:r w:rsidRPr="00C43284">
        <w:t>Latvija ierindota 2</w:t>
      </w:r>
      <w:r>
        <w:t>5</w:t>
      </w:r>
      <w:r w:rsidRPr="00C43284">
        <w:t>.vietā starp 18</w:t>
      </w:r>
      <w:r>
        <w:t>5 pasaules valstīm. Progress ir 8 rādītāju novērtējumā (no 39), bet vienā ir pasliktinājums (saistīts ar līgumsaistību izpildi).</w:t>
      </w:r>
      <w:r w:rsidR="00D45640">
        <w:t xml:space="preserve"> </w:t>
      </w:r>
      <w:r>
        <w:t>N</w:t>
      </w:r>
      <w:r w:rsidRPr="00C43284">
        <w:t xml:space="preserve">ovērtējumā starp ES dalībvalstīm Latvija atrodas </w:t>
      </w:r>
      <w:r>
        <w:t>8</w:t>
      </w:r>
      <w:r w:rsidRPr="00C43284">
        <w:t>.vietā</w:t>
      </w:r>
      <w:r>
        <w:t xml:space="preserve">. </w:t>
      </w:r>
      <w:r w:rsidRPr="001B7233">
        <w:t>Salīdzinoši ar Igauniju un Lietuvu, Latvija atpaliek uzņēmē</w:t>
      </w:r>
      <w:r>
        <w:t>jdarbības uzsākšanas, būvniecības regulējuma un īpašuma reģistrācijas jomās</w:t>
      </w:r>
      <w:r w:rsidRPr="001B7233">
        <w:t>, kā arī vērojamas problēmas līgumsaistību izpildē.</w:t>
      </w:r>
    </w:p>
    <w:p w:rsidR="005B0BAD" w:rsidRDefault="005B0BAD" w:rsidP="005B0BAD">
      <w:pPr>
        <w:ind w:firstLine="567"/>
      </w:pPr>
      <w:r>
        <w:t xml:space="preserve">Uzlabojot uzņēmējdarbības vidi, tiek pildītas </w:t>
      </w:r>
      <w:r w:rsidRPr="00937549">
        <w:rPr>
          <w:i/>
        </w:rPr>
        <w:t>Eiro Plus paktā</w:t>
      </w:r>
      <w:r>
        <w:t xml:space="preserve"> esošās saistības (Latvijas </w:t>
      </w:r>
      <w:r w:rsidRPr="00937549">
        <w:rPr>
          <w:i/>
        </w:rPr>
        <w:t>Eiro Plus pakta</w:t>
      </w:r>
      <w:r>
        <w:t xml:space="preserve"> izpildes 1.5., 2.1. un 2.2.pasākums)</w:t>
      </w:r>
      <w:r w:rsidR="00937549">
        <w:t xml:space="preserve">, kā arī </w:t>
      </w:r>
      <w:r w:rsidR="00937549" w:rsidRPr="00353580">
        <w:rPr>
          <w:i/>
        </w:rPr>
        <w:t>2013.gada izaugsmes ziņojuma</w:t>
      </w:r>
      <w:r w:rsidR="00937549">
        <w:t xml:space="preserve"> prioritāte attiecībā uz izaugsmes un konkurētspējas veicināšanu</w:t>
      </w:r>
      <w:r w:rsidR="00A26805">
        <w:t>, un valsts pārvaldes modernizāciju</w:t>
      </w:r>
      <w:r>
        <w:t>.</w:t>
      </w:r>
    </w:p>
    <w:p w:rsidR="005B0BAD" w:rsidRDefault="005B0BAD" w:rsidP="005B0BAD">
      <w:pPr>
        <w:ind w:firstLine="567"/>
        <w:rPr>
          <w:color w:val="000000"/>
        </w:rPr>
      </w:pPr>
    </w:p>
    <w:p w:rsidR="005B0BAD" w:rsidRPr="00C43284" w:rsidRDefault="005B0BAD" w:rsidP="005B0BAD">
      <w:pPr>
        <w:ind w:firstLine="567"/>
      </w:pPr>
      <w:r w:rsidRPr="00C43284">
        <w:rPr>
          <w:u w:val="single"/>
        </w:rPr>
        <w:t>Galvenie politikas virzieni un pasākumi uzņēmējdarbības vides uzlabošanai</w:t>
      </w:r>
      <w:r w:rsidRPr="00C43284">
        <w:t>:</w:t>
      </w:r>
    </w:p>
    <w:p w:rsidR="005B0BAD" w:rsidRPr="00C43284" w:rsidRDefault="005B0BAD" w:rsidP="005B0BAD">
      <w:pPr>
        <w:pStyle w:val="ListParagraph"/>
        <w:numPr>
          <w:ilvl w:val="0"/>
          <w:numId w:val="1"/>
        </w:numPr>
        <w:spacing w:before="240" w:after="120"/>
        <w:ind w:left="284" w:hanging="284"/>
        <w:contextualSpacing w:val="0"/>
      </w:pPr>
      <w:r w:rsidRPr="00B2628B">
        <w:rPr>
          <w:rFonts w:eastAsia="+mn-ea"/>
          <w:b/>
          <w:i/>
        </w:rPr>
        <w:t>Administratīvo šķēršļu mazināšana</w:t>
      </w:r>
      <w:r w:rsidRPr="00C43284">
        <w:rPr>
          <w:rFonts w:eastAsia="+mn-ea"/>
          <w:i/>
        </w:rPr>
        <w:t xml:space="preserve"> </w:t>
      </w:r>
      <w:r w:rsidRPr="00C43284">
        <w:t>(atbildīgā institūcija – EM, TM, VARAM, VK)</w:t>
      </w:r>
    </w:p>
    <w:p w:rsidR="005B0BAD" w:rsidRPr="00C43284" w:rsidRDefault="005B0BAD" w:rsidP="005B0BAD">
      <w:pPr>
        <w:ind w:firstLine="567"/>
      </w:pPr>
      <w:r w:rsidRPr="00C43284">
        <w:t>Mērķis ir pastāvīgi sadarbībā ar uzņēmējiem pilnveidot uzņēmējdarbības vides regulējošo normatīvo aktu bāzi un attīstīt uzņēmēju vajadzībām atbilstošus elektroniskos pakalpojumus.</w:t>
      </w:r>
    </w:p>
    <w:p w:rsidR="005B0BAD" w:rsidRPr="00C43284" w:rsidRDefault="005B0BAD" w:rsidP="005B0BAD">
      <w:pPr>
        <w:ind w:firstLine="567"/>
      </w:pPr>
      <w:r w:rsidRPr="00C43284">
        <w:t xml:space="preserve">Progress uzņēmējdarbības vides uzlabošanā tiek veicināts ar ikgadēji izstrādāta </w:t>
      </w:r>
      <w:r w:rsidRPr="00C43284">
        <w:rPr>
          <w:i/>
        </w:rPr>
        <w:t>Uzņēmējdarbības vides uzlabošanas pasākumu plāna</w:t>
      </w:r>
      <w:r w:rsidRPr="00C43284">
        <w:t xml:space="preserve"> īstenotajām aktivitātēm, kur</w:t>
      </w:r>
      <w:r w:rsidR="00D45640">
        <w:t xml:space="preserve"> </w:t>
      </w:r>
      <w:r w:rsidRPr="00C43284">
        <w:t xml:space="preserve">nozīmīgākie pasākumi </w:t>
      </w:r>
      <w:r w:rsidRPr="001B5491">
        <w:rPr>
          <w:u w:val="single"/>
        </w:rPr>
        <w:t>2012.gadā</w:t>
      </w:r>
      <w:r w:rsidRPr="00C43284">
        <w:t xml:space="preserve"> bija:</w:t>
      </w:r>
    </w:p>
    <w:p w:rsidR="005B0BAD" w:rsidRPr="003F10CE" w:rsidRDefault="005B0BAD" w:rsidP="00E84407">
      <w:pPr>
        <w:numPr>
          <w:ilvl w:val="0"/>
          <w:numId w:val="22"/>
        </w:numPr>
        <w:snapToGrid w:val="0"/>
        <w:spacing w:before="60"/>
        <w:ind w:left="709" w:hanging="284"/>
        <w:rPr>
          <w:rStyle w:val="Hyperlink"/>
          <w:rFonts w:ascii="Arial" w:hAnsi="Arial" w:cs="Arial"/>
          <w:lang w:eastAsia="lv-LV"/>
        </w:rPr>
      </w:pPr>
      <w:r w:rsidRPr="003F10CE">
        <w:rPr>
          <w:i/>
        </w:rPr>
        <w:t>uzņēmējdarbības uzsākšanā</w:t>
      </w:r>
      <w:r>
        <w:rPr>
          <w:i/>
        </w:rPr>
        <w:t xml:space="preserve"> </w:t>
      </w:r>
      <w:r>
        <w:t>–</w:t>
      </w:r>
      <w:r w:rsidRPr="003F10CE">
        <w:t xml:space="preserve"> ar 2012.gada 29.novembri ieviesta uzņēmumu elektroniskā reģistrēšana Komercreģistrā portālā </w:t>
      </w:r>
      <w:proofErr w:type="spellStart"/>
      <w:r w:rsidRPr="00083545">
        <w:rPr>
          <w:u w:val="single"/>
        </w:rPr>
        <w:t>www.latvija.lv</w:t>
      </w:r>
      <w:proofErr w:type="spellEnd"/>
      <w:r w:rsidRPr="00E359DA">
        <w:rPr>
          <w:rStyle w:val="Hyperlink"/>
          <w:color w:val="auto"/>
          <w:u w:val="none"/>
        </w:rPr>
        <w:t>;</w:t>
      </w:r>
      <w:r w:rsidRPr="003F10CE">
        <w:rPr>
          <w:rStyle w:val="Hyperlink"/>
        </w:rPr>
        <w:t xml:space="preserve"> </w:t>
      </w:r>
    </w:p>
    <w:p w:rsidR="005B0BAD" w:rsidRPr="003F10CE" w:rsidRDefault="005B0BAD" w:rsidP="00E84407">
      <w:pPr>
        <w:numPr>
          <w:ilvl w:val="0"/>
          <w:numId w:val="22"/>
        </w:numPr>
        <w:snapToGrid w:val="0"/>
        <w:spacing w:before="60"/>
        <w:ind w:left="709" w:hanging="284"/>
      </w:pPr>
      <w:r w:rsidRPr="00E359DA">
        <w:rPr>
          <w:rStyle w:val="Hyperlink"/>
          <w:i/>
          <w:color w:val="auto"/>
          <w:u w:val="none"/>
        </w:rPr>
        <w:t>investoru aizsardzībā</w:t>
      </w:r>
      <w:r w:rsidRPr="00E359DA">
        <w:rPr>
          <w:rStyle w:val="Hyperlink"/>
          <w:u w:val="none"/>
        </w:rPr>
        <w:t xml:space="preserve"> </w:t>
      </w:r>
      <w:r w:rsidRPr="00670FDF">
        <w:rPr>
          <w:rStyle w:val="Hyperlink"/>
          <w:color w:val="auto"/>
          <w:u w:val="none"/>
        </w:rPr>
        <w:t>–</w:t>
      </w:r>
      <w:r>
        <w:rPr>
          <w:rStyle w:val="Hyperlink"/>
          <w:u w:val="none"/>
        </w:rPr>
        <w:t xml:space="preserve"> </w:t>
      </w:r>
      <w:r w:rsidRPr="003F10CE">
        <w:t xml:space="preserve">2012.gada 10.jūlijā ir stājušies spēkā </w:t>
      </w:r>
      <w:r w:rsidRPr="008B2081">
        <w:rPr>
          <w:i/>
        </w:rPr>
        <w:t>Komerclikuma grozījumi</w:t>
      </w:r>
      <w:r w:rsidRPr="003F10CE">
        <w:t xml:space="preserve">, kas paredz </w:t>
      </w:r>
      <w:r w:rsidRPr="003F10CE">
        <w:rPr>
          <w:bCs/>
        </w:rPr>
        <w:t xml:space="preserve">valdes un padomes locekļu un dalībnieku interešu konfliktu novēršanu darījumu slēgšanā; </w:t>
      </w:r>
    </w:p>
    <w:p w:rsidR="005B0BAD" w:rsidRPr="003F10CE" w:rsidRDefault="005B0BAD" w:rsidP="00E84407">
      <w:pPr>
        <w:numPr>
          <w:ilvl w:val="0"/>
          <w:numId w:val="22"/>
        </w:numPr>
        <w:snapToGrid w:val="0"/>
        <w:spacing w:before="60"/>
        <w:ind w:left="709" w:hanging="284"/>
      </w:pPr>
      <w:r w:rsidRPr="003F10CE">
        <w:rPr>
          <w:bCs/>
          <w:i/>
        </w:rPr>
        <w:t>nodokļu jomā</w:t>
      </w:r>
      <w:r w:rsidRPr="003F10CE">
        <w:rPr>
          <w:bCs/>
        </w:rPr>
        <w:t xml:space="preserve"> </w:t>
      </w:r>
      <w:r>
        <w:rPr>
          <w:bCs/>
        </w:rPr>
        <w:t xml:space="preserve">– ar 2013.gada 1.janvāri stājās spēkā jauns </w:t>
      </w:r>
      <w:r w:rsidRPr="001B5491">
        <w:rPr>
          <w:bCs/>
          <w:i/>
        </w:rPr>
        <w:t>P</w:t>
      </w:r>
      <w:r w:rsidR="000C3B33">
        <w:rPr>
          <w:bCs/>
          <w:i/>
        </w:rPr>
        <w:t xml:space="preserve">ievienotās vērtības nodokļa </w:t>
      </w:r>
      <w:r w:rsidRPr="001B5491">
        <w:rPr>
          <w:bCs/>
          <w:i/>
        </w:rPr>
        <w:t>likums</w:t>
      </w:r>
      <w:r w:rsidR="001B5491">
        <w:rPr>
          <w:bCs/>
        </w:rPr>
        <w:t>,</w:t>
      </w:r>
      <w:r>
        <w:t xml:space="preserve"> kurā ir</w:t>
      </w:r>
      <w:r>
        <w:rPr>
          <w:lang w:eastAsia="lv-LV"/>
        </w:rPr>
        <w:t xml:space="preserve"> ietverts regulējums, kas saīsina uzņēmuma reģistrēšanas laiku </w:t>
      </w:r>
      <w:r>
        <w:t>Valsts ieņēmumu dienesta</w:t>
      </w:r>
      <w:r>
        <w:rPr>
          <w:lang w:eastAsia="lv-LV"/>
        </w:rPr>
        <w:t xml:space="preserve"> </w:t>
      </w:r>
      <w:r w:rsidR="000C3B33">
        <w:rPr>
          <w:lang w:eastAsia="lv-LV"/>
        </w:rPr>
        <w:t xml:space="preserve">pievienotās vērtības nodokļa (turpmāk tekstā – </w:t>
      </w:r>
      <w:r>
        <w:rPr>
          <w:lang w:eastAsia="lv-LV"/>
        </w:rPr>
        <w:t>PVN</w:t>
      </w:r>
      <w:r w:rsidR="000C3B33">
        <w:rPr>
          <w:lang w:eastAsia="lv-LV"/>
        </w:rPr>
        <w:t>)</w:t>
      </w:r>
      <w:r>
        <w:rPr>
          <w:lang w:eastAsia="lv-LV"/>
        </w:rPr>
        <w:t xml:space="preserve"> maksātāju reģistrā no 10 darbdienām uz 5 darbdienām</w:t>
      </w:r>
      <w:r>
        <w:rPr>
          <w:bCs/>
        </w:rPr>
        <w:t xml:space="preserve">. Tāpat ir </w:t>
      </w:r>
      <w:r w:rsidRPr="003F10CE">
        <w:rPr>
          <w:bCs/>
        </w:rPr>
        <w:t>uzlabota Elektroniskās deklarēšanas sistēmas funkcionalitāte;</w:t>
      </w:r>
    </w:p>
    <w:p w:rsidR="005B0BAD" w:rsidRPr="003F10CE" w:rsidRDefault="005B0BAD" w:rsidP="00E84407">
      <w:pPr>
        <w:numPr>
          <w:ilvl w:val="0"/>
          <w:numId w:val="22"/>
        </w:numPr>
        <w:snapToGrid w:val="0"/>
        <w:spacing w:before="60"/>
        <w:ind w:left="709" w:hanging="284"/>
      </w:pPr>
      <w:r w:rsidRPr="003F10CE">
        <w:rPr>
          <w:i/>
        </w:rPr>
        <w:t xml:space="preserve">būvniecības </w:t>
      </w:r>
      <w:r>
        <w:rPr>
          <w:i/>
        </w:rPr>
        <w:t>jomā</w:t>
      </w:r>
      <w:r w:rsidRPr="003F10CE">
        <w:rPr>
          <w:i/>
        </w:rPr>
        <w:t xml:space="preserve"> </w:t>
      </w:r>
      <w:r>
        <w:t xml:space="preserve">– </w:t>
      </w:r>
      <w:r w:rsidRPr="003F10CE">
        <w:rPr>
          <w:bCs/>
        </w:rPr>
        <w:t>Saeimā</w:t>
      </w:r>
      <w:r>
        <w:rPr>
          <w:bCs/>
        </w:rPr>
        <w:t xml:space="preserve"> iesniegts </w:t>
      </w:r>
      <w:r w:rsidRPr="00C36169">
        <w:rPr>
          <w:bCs/>
          <w:i/>
        </w:rPr>
        <w:t>Būvniecības likuma</w:t>
      </w:r>
      <w:r>
        <w:rPr>
          <w:bCs/>
        </w:rPr>
        <w:t xml:space="preserve"> projekts</w:t>
      </w:r>
      <w:r w:rsidRPr="003F10CE">
        <w:rPr>
          <w:bCs/>
        </w:rPr>
        <w:t xml:space="preserve">, </w:t>
      </w:r>
      <w:r w:rsidRPr="003F10CE">
        <w:t xml:space="preserve">kas paredz samazināt būvniecības saskaņošanas procedūru ilgumu līdz 69 dienām un 6 procedūrām </w:t>
      </w:r>
      <w:r>
        <w:t xml:space="preserve">(atbilstoši </w:t>
      </w:r>
      <w:proofErr w:type="spellStart"/>
      <w:r w:rsidRPr="003F10CE">
        <w:rPr>
          <w:i/>
        </w:rPr>
        <w:t>Doing</w:t>
      </w:r>
      <w:proofErr w:type="spellEnd"/>
      <w:r w:rsidRPr="003F10CE">
        <w:rPr>
          <w:i/>
        </w:rPr>
        <w:t xml:space="preserve"> </w:t>
      </w:r>
      <w:proofErr w:type="spellStart"/>
      <w:r w:rsidRPr="003F10CE">
        <w:rPr>
          <w:i/>
        </w:rPr>
        <w:t>Business</w:t>
      </w:r>
      <w:proofErr w:type="spellEnd"/>
      <w:r w:rsidRPr="003F10CE">
        <w:rPr>
          <w:i/>
        </w:rPr>
        <w:t xml:space="preserve"> </w:t>
      </w:r>
      <w:r w:rsidRPr="003F10CE">
        <w:t>rādītāj</w:t>
      </w:r>
      <w:r>
        <w:t>u definīcijām)</w:t>
      </w:r>
      <w:r w:rsidRPr="003F10CE">
        <w:t xml:space="preserve">. </w:t>
      </w:r>
      <w:r w:rsidRPr="00670FDF">
        <w:rPr>
          <w:i/>
        </w:rPr>
        <w:t>Būvniecības likuma</w:t>
      </w:r>
      <w:r>
        <w:t xml:space="preserve"> </w:t>
      </w:r>
      <w:r w:rsidRPr="003F10CE">
        <w:t>apstiprināšana galīgajā lasījumā paredzēta līdz 2013.gada rudenim un tas stāsies spēkā ar 2014.gadu;</w:t>
      </w:r>
    </w:p>
    <w:p w:rsidR="005B0BAD" w:rsidRPr="003F10CE" w:rsidRDefault="005B0BAD" w:rsidP="00E84407">
      <w:pPr>
        <w:numPr>
          <w:ilvl w:val="0"/>
          <w:numId w:val="22"/>
        </w:numPr>
        <w:snapToGrid w:val="0"/>
        <w:spacing w:before="60"/>
        <w:ind w:left="709" w:hanging="284"/>
      </w:pPr>
      <w:r w:rsidRPr="003F10CE">
        <w:rPr>
          <w:i/>
        </w:rPr>
        <w:t>nekustamā īpašuma jomā</w:t>
      </w:r>
      <w:r w:rsidRPr="003F10CE">
        <w:t xml:space="preserve"> </w:t>
      </w:r>
      <w:r>
        <w:t xml:space="preserve">– </w:t>
      </w:r>
      <w:r w:rsidRPr="003F10CE">
        <w:t>izstrādāts regulējums vienas pieturas aģentūras principa ieviešanai īpašuma datu reģistrēšanā un īpašumtiesību nostiprināšanā</w:t>
      </w:r>
      <w:r>
        <w:t xml:space="preserve">. Plānots nepieciešamos grozījumus vairākos ar regulējumu saistītos likumos </w:t>
      </w:r>
      <w:r w:rsidRPr="003F10CE">
        <w:t>izskatī</w:t>
      </w:r>
      <w:r>
        <w:t>t</w:t>
      </w:r>
      <w:r w:rsidRPr="003F10CE" w:rsidDel="005A438F">
        <w:t xml:space="preserve"> </w:t>
      </w:r>
      <w:r w:rsidRPr="003F10CE">
        <w:t>MK līdz 2013.</w:t>
      </w:r>
      <w:r>
        <w:t>gada 1.aprīlim;</w:t>
      </w:r>
    </w:p>
    <w:p w:rsidR="005B0BAD" w:rsidRPr="003F10CE" w:rsidRDefault="005B0BAD" w:rsidP="00E84407">
      <w:pPr>
        <w:numPr>
          <w:ilvl w:val="0"/>
          <w:numId w:val="23"/>
        </w:numPr>
        <w:snapToGrid w:val="0"/>
        <w:spacing w:before="60"/>
        <w:ind w:left="709" w:hanging="284"/>
      </w:pPr>
      <w:r w:rsidRPr="003F10CE">
        <w:rPr>
          <w:i/>
        </w:rPr>
        <w:t>līgumu izpildē</w:t>
      </w:r>
      <w:r w:rsidRPr="003F10CE">
        <w:t xml:space="preserve"> </w:t>
      </w:r>
      <w:r>
        <w:t>– 2013.gada janvār</w:t>
      </w:r>
      <w:r w:rsidR="001B5491">
        <w:t>ī</w:t>
      </w:r>
      <w:r>
        <w:t xml:space="preserve"> valdībā ir iesniegts </w:t>
      </w:r>
      <w:r w:rsidRPr="005A438F">
        <w:rPr>
          <w:i/>
        </w:rPr>
        <w:t>Šķīrējtiesu likumprojekts</w:t>
      </w:r>
      <w:r w:rsidRPr="00CB253B">
        <w:t xml:space="preserve"> un ar to saistītie grozījumi </w:t>
      </w:r>
      <w:r w:rsidRPr="005A438F">
        <w:rPr>
          <w:i/>
        </w:rPr>
        <w:t>Civilprocesa likumā</w:t>
      </w:r>
      <w:r>
        <w:t>. Izmaiņas normatīvos aktos, mazinās</w:t>
      </w:r>
      <w:r w:rsidRPr="00CB253B">
        <w:t xml:space="preserve"> tiesu n</w:t>
      </w:r>
      <w:r>
        <w:t>oslodzi un potenciāli atbrīvos</w:t>
      </w:r>
      <w:r w:rsidRPr="00CB253B">
        <w:t xml:space="preserve"> tiesas no jaunu lietu izskatīšanas, kā arī </w:t>
      </w:r>
      <w:r>
        <w:t>noteiks nepieciešamību ieviest</w:t>
      </w:r>
      <w:r w:rsidRPr="00CB253B">
        <w:t xml:space="preserve"> </w:t>
      </w:r>
      <w:r w:rsidRPr="00CB253B">
        <w:rPr>
          <w:bCs/>
          <w:color w:val="000000"/>
        </w:rPr>
        <w:t>elektronisko dokumentu apriti tiesu iestādēs</w:t>
      </w:r>
      <w:r w:rsidR="001B5491">
        <w:rPr>
          <w:bCs/>
          <w:color w:val="000000"/>
        </w:rPr>
        <w:t>;</w:t>
      </w:r>
    </w:p>
    <w:p w:rsidR="005B0BAD" w:rsidRPr="00C43284" w:rsidRDefault="005B0BAD" w:rsidP="005B0BAD">
      <w:pPr>
        <w:pStyle w:val="ListParagraph"/>
        <w:numPr>
          <w:ilvl w:val="0"/>
          <w:numId w:val="2"/>
        </w:numPr>
        <w:spacing w:before="120"/>
        <w:ind w:left="709" w:hanging="288"/>
      </w:pPr>
      <w:r w:rsidRPr="003F10CE">
        <w:rPr>
          <w:i/>
        </w:rPr>
        <w:t>e-pakalpojumu attīstībā</w:t>
      </w:r>
      <w:r w:rsidRPr="003F10CE">
        <w:t xml:space="preserve"> </w:t>
      </w:r>
      <w:r>
        <w:t xml:space="preserve">– </w:t>
      </w:r>
      <w:r w:rsidRPr="003F10CE">
        <w:t xml:space="preserve">ieviesta </w:t>
      </w:r>
      <w:proofErr w:type="spellStart"/>
      <w:r w:rsidRPr="003F10CE">
        <w:t>eKase</w:t>
      </w:r>
      <w:proofErr w:type="spellEnd"/>
      <w:r>
        <w:t>. U</w:t>
      </w:r>
      <w:r w:rsidRPr="003F10CE">
        <w:t>zņēmējiem vairs nav jāiesniedz izziņa kā apliecinājumu par veiktajiem maksas pakalpojumiem, valsts nodevām un nodokļu maksājumiem</w:t>
      </w:r>
      <w:r w:rsidRPr="00C43284">
        <w:t>.</w:t>
      </w:r>
    </w:p>
    <w:p w:rsidR="005B0BAD" w:rsidRPr="00C43284" w:rsidRDefault="005B0BAD" w:rsidP="005B0BAD">
      <w:pPr>
        <w:spacing w:before="120"/>
        <w:ind w:firstLine="567"/>
      </w:pPr>
      <w:r w:rsidRPr="001B5491">
        <w:rPr>
          <w:u w:val="single"/>
        </w:rPr>
        <w:t>2013.gadam</w:t>
      </w:r>
      <w:r w:rsidRPr="00C43284">
        <w:t xml:space="preserve"> izstrādātā </w:t>
      </w:r>
      <w:r w:rsidRPr="00C43284">
        <w:rPr>
          <w:i/>
        </w:rPr>
        <w:t>Uzņēmējdarbības vides uzlabošanas pasākumu plāna</w:t>
      </w:r>
      <w:r w:rsidRPr="00C43284">
        <w:t xml:space="preserve"> mērķis ir </w:t>
      </w:r>
      <w:r w:rsidRPr="00C43284">
        <w:rPr>
          <w:rFonts w:eastAsia="Times New Roman"/>
          <w:iCs/>
          <w:color w:val="000000"/>
          <w:lang w:eastAsia="lv-LV"/>
        </w:rPr>
        <w:t>vienkārši un kvalitat</w:t>
      </w:r>
      <w:r w:rsidRPr="00C43284">
        <w:rPr>
          <w:color w:val="000000"/>
        </w:rPr>
        <w:t>īvi pakalpojumi uzņēmējdarbībā, vairāk e-pakalpojumu. B</w:t>
      </w:r>
      <w:r w:rsidRPr="00C43284">
        <w:t>ūtiskākie no tiem paredz:</w:t>
      </w:r>
    </w:p>
    <w:p w:rsidR="005B0BAD" w:rsidRPr="00C43284" w:rsidRDefault="005B0BAD" w:rsidP="005B0BAD">
      <w:pPr>
        <w:pStyle w:val="ListParagraph"/>
        <w:numPr>
          <w:ilvl w:val="0"/>
          <w:numId w:val="2"/>
        </w:numPr>
        <w:contextualSpacing w:val="0"/>
      </w:pPr>
      <w:r w:rsidRPr="00670FDF">
        <w:rPr>
          <w:i/>
        </w:rPr>
        <w:lastRenderedPageBreak/>
        <w:t>uzņēmumu reģistrācijā</w:t>
      </w:r>
      <w:r w:rsidRPr="00A454F2">
        <w:rPr>
          <w:sz w:val="28"/>
          <w:szCs w:val="28"/>
        </w:rPr>
        <w:t xml:space="preserve"> </w:t>
      </w:r>
      <w:r>
        <w:t>pārskatīt</w:t>
      </w:r>
      <w:r w:rsidRPr="00C14F6B">
        <w:t xml:space="preserve"> iespēju uzņēmuma reģistrēšanas brīdī Komercreģistrā reģistrēt arī darbiniekus,</w:t>
      </w:r>
      <w:r>
        <w:t xml:space="preserve"> turpināt darbu pie regulējuma izstrādes oficiālās elektroniskās adreses ieviešanai</w:t>
      </w:r>
      <w:r w:rsidRPr="00C14F6B">
        <w:t>;</w:t>
      </w:r>
    </w:p>
    <w:p w:rsidR="005B0BAD" w:rsidRPr="00C43284" w:rsidRDefault="005B0BAD" w:rsidP="003C215F">
      <w:pPr>
        <w:pStyle w:val="ListParagraph"/>
        <w:numPr>
          <w:ilvl w:val="0"/>
          <w:numId w:val="2"/>
        </w:numPr>
        <w:spacing w:before="120"/>
      </w:pPr>
      <w:r>
        <w:t>u</w:t>
      </w:r>
      <w:r w:rsidRPr="00FC14F3">
        <w:t>zsākt Būvniecības informācijas sistēmas (</w:t>
      </w:r>
      <w:r w:rsidR="00F065DF">
        <w:t xml:space="preserve">turpmāk tekstā – </w:t>
      </w:r>
      <w:r w:rsidRPr="00FC14F3">
        <w:t xml:space="preserve">BIS) darbību, tā nodrošinot elektronisku būvniecības dokumentācijas apriti. BIS garantēs, ka pasūtītājiem un būvniecības uzraudzības iestādēm – pašvaldību būvvaldēm, </w:t>
      </w:r>
      <w:r w:rsidR="00825310">
        <w:t>EM</w:t>
      </w:r>
      <w:r w:rsidRPr="00FC14F3">
        <w:t xml:space="preserve"> – būs pieejami visi nepieciešamie dokumenti un ziņas no valsts informācijas sistēmām, kas attiecas uz konkrēto būvi. BIS paredz, ka dokumenti būs elektroniskā formā un arī komunikāciju starp uzraudzības iestādēm, pasūtītāju un </w:t>
      </w:r>
      <w:proofErr w:type="spellStart"/>
      <w:r w:rsidRPr="00FC14F3">
        <w:t>būvkomersantu</w:t>
      </w:r>
      <w:proofErr w:type="spellEnd"/>
      <w:r w:rsidRPr="00FC14F3">
        <w:t xml:space="preserve"> varēs veikt elektroniski. </w:t>
      </w:r>
      <w:r w:rsidR="00C53EAF">
        <w:t>BIS</w:t>
      </w:r>
      <w:r w:rsidRPr="00FC14F3">
        <w:t xml:space="preserve"> izstrādi un ieviešanu plānots pabeigt līdz 2013.gada 6.septembrim</w:t>
      </w:r>
      <w:r>
        <w:t xml:space="preserve"> (projekta izmaksas 2,1 </w:t>
      </w:r>
      <w:proofErr w:type="spellStart"/>
      <w:r>
        <w:t>milj</w:t>
      </w:r>
      <w:proofErr w:type="spellEnd"/>
      <w:r>
        <w:t xml:space="preserve">. latu, </w:t>
      </w:r>
      <w:proofErr w:type="spellStart"/>
      <w:r>
        <w:t>t.sk</w:t>
      </w:r>
      <w:proofErr w:type="spellEnd"/>
      <w:r>
        <w:t xml:space="preserve">. </w:t>
      </w:r>
      <w:r w:rsidR="003C215F" w:rsidRPr="003C215F">
        <w:t>Eiropas Reģionālās attīstības fond</w:t>
      </w:r>
      <w:r w:rsidR="003C215F">
        <w:t>a</w:t>
      </w:r>
      <w:r w:rsidR="003C215F" w:rsidRPr="003C215F">
        <w:t xml:space="preserve"> </w:t>
      </w:r>
      <w:r w:rsidR="003C215F">
        <w:t xml:space="preserve">(turpmāk tekstā – </w:t>
      </w:r>
      <w:r>
        <w:t>ERAF</w:t>
      </w:r>
      <w:r w:rsidR="003C215F">
        <w:t>)</w:t>
      </w:r>
      <w:r>
        <w:t xml:space="preserve"> finansējums 1</w:t>
      </w:r>
      <w:r w:rsidR="00C53EAF">
        <w:t>,</w:t>
      </w:r>
      <w:r>
        <w:t xml:space="preserve">9 </w:t>
      </w:r>
      <w:proofErr w:type="spellStart"/>
      <w:r>
        <w:t>milj</w:t>
      </w:r>
      <w:proofErr w:type="spellEnd"/>
      <w:r>
        <w:t>. latu)</w:t>
      </w:r>
      <w:r w:rsidRPr="00C43284">
        <w:t xml:space="preserve">; </w:t>
      </w:r>
    </w:p>
    <w:p w:rsidR="005B0BAD" w:rsidRPr="00A454F2" w:rsidRDefault="005B0BAD" w:rsidP="005B0BAD">
      <w:pPr>
        <w:pStyle w:val="ListParagraph"/>
        <w:numPr>
          <w:ilvl w:val="0"/>
          <w:numId w:val="2"/>
        </w:numPr>
        <w:spacing w:before="120"/>
        <w:ind w:hanging="288"/>
      </w:pPr>
      <w:r w:rsidRPr="00670FDF">
        <w:rPr>
          <w:rFonts w:eastAsia="Times New Roman"/>
          <w:i/>
          <w:color w:val="000000"/>
          <w:lang w:eastAsia="lv-LV"/>
        </w:rPr>
        <w:t>nekustamā īpašuma reģistrācijā</w:t>
      </w:r>
      <w:r w:rsidRPr="00A454F2">
        <w:rPr>
          <w:rFonts w:eastAsia="Times New Roman"/>
          <w:color w:val="000000"/>
          <w:lang w:eastAsia="lv-LV"/>
        </w:rPr>
        <w:t xml:space="preserve"> ieviest nekustamā īpašuma reģistrēšanu elektroniski;</w:t>
      </w:r>
    </w:p>
    <w:p w:rsidR="005B0BAD" w:rsidRPr="00E359DA" w:rsidRDefault="005B0BAD" w:rsidP="005B0BAD">
      <w:pPr>
        <w:pStyle w:val="ListParagraph"/>
        <w:numPr>
          <w:ilvl w:val="0"/>
          <w:numId w:val="2"/>
        </w:numPr>
        <w:spacing w:before="120"/>
        <w:ind w:hanging="288"/>
      </w:pPr>
      <w:r w:rsidRPr="00CB253B">
        <w:rPr>
          <w:i/>
        </w:rPr>
        <w:t>līgumu izpildē</w:t>
      </w:r>
      <w:r>
        <w:t xml:space="preserve"> </w:t>
      </w:r>
      <w:r w:rsidRPr="00A454F2">
        <w:t>izstrādāt grozījumus attiecīgos normatīvajos aktos, kas paredz pilnīgu e-pakalpojumu izmantošanu tiesvedības jomā,</w:t>
      </w:r>
      <w:r w:rsidRPr="00A454F2">
        <w:rPr>
          <w:color w:val="000000"/>
        </w:rPr>
        <w:t xml:space="preserve"> pieņemt </w:t>
      </w:r>
      <w:r w:rsidRPr="00D55A1A">
        <w:rPr>
          <w:i/>
          <w:color w:val="000000"/>
        </w:rPr>
        <w:t>Šķīrējtiesu likumprojektu</w:t>
      </w:r>
      <w:r w:rsidRPr="00A454F2">
        <w:rPr>
          <w:color w:val="000000"/>
        </w:rPr>
        <w:t>,</w:t>
      </w:r>
      <w:r>
        <w:rPr>
          <w:color w:val="000000"/>
        </w:rPr>
        <w:t xml:space="preserve"> </w:t>
      </w:r>
      <w:r w:rsidRPr="00A454F2">
        <w:t xml:space="preserve">kas ļaus samazināt </w:t>
      </w:r>
      <w:proofErr w:type="spellStart"/>
      <w:r w:rsidRPr="00A454F2">
        <w:t>komercstrīdu</w:t>
      </w:r>
      <w:proofErr w:type="spellEnd"/>
      <w:r w:rsidRPr="00C43284">
        <w:t xml:space="preserve"> risināšanai nepieciešamo l</w:t>
      </w:r>
      <w:r>
        <w:t>aiku un sekmēs tiesu pieejamību</w:t>
      </w:r>
      <w:r w:rsidRPr="00C43284">
        <w:t>.</w:t>
      </w:r>
      <w:r>
        <w:t xml:space="preserve"> </w:t>
      </w:r>
    </w:p>
    <w:p w:rsidR="005B0BAD" w:rsidRPr="00C43284" w:rsidRDefault="005B0BAD" w:rsidP="005B0BAD">
      <w:pPr>
        <w:pStyle w:val="ListParagraph"/>
        <w:numPr>
          <w:ilvl w:val="0"/>
          <w:numId w:val="1"/>
        </w:numPr>
        <w:spacing w:before="240" w:after="120"/>
        <w:ind w:left="284" w:hanging="284"/>
        <w:contextualSpacing w:val="0"/>
        <w:rPr>
          <w:rFonts w:eastAsia="+mn-ea"/>
          <w:b/>
          <w:i/>
        </w:rPr>
      </w:pPr>
      <w:r w:rsidRPr="00C43284">
        <w:rPr>
          <w:rFonts w:eastAsia="+mn-ea"/>
          <w:b/>
          <w:i/>
        </w:rPr>
        <w:t xml:space="preserve">Darbaspēka nodokļu mazināšana </w:t>
      </w:r>
      <w:r w:rsidRPr="00C43284">
        <w:rPr>
          <w:rFonts w:eastAsia="+mn-ea"/>
        </w:rPr>
        <w:t>(atbildīgā institūcija – FM)</w:t>
      </w:r>
    </w:p>
    <w:p w:rsidR="005B0BAD" w:rsidRPr="00C43284" w:rsidRDefault="005B0BAD" w:rsidP="005B0BAD">
      <w:pPr>
        <w:ind w:firstLine="567"/>
        <w:rPr>
          <w:color w:val="000000"/>
        </w:rPr>
      </w:pPr>
      <w:r w:rsidRPr="00C43284">
        <w:rPr>
          <w:color w:val="000000"/>
        </w:rPr>
        <w:t>Mērķis – paaugstināt Latvijas uzņēmēju konkurētspēju, samazinot darbaspēka nodokļu slogu līdz pārējo Baltijas valstu līmenim.</w:t>
      </w:r>
    </w:p>
    <w:p w:rsidR="005B0BAD" w:rsidRPr="00110F85" w:rsidRDefault="005B0BAD" w:rsidP="005B0BAD">
      <w:pPr>
        <w:ind w:firstLine="567"/>
      </w:pPr>
      <w:r w:rsidRPr="00C43284">
        <w:rPr>
          <w:color w:val="000000"/>
        </w:rPr>
        <w:t>2012.gadā tik</w:t>
      </w:r>
      <w:r>
        <w:rPr>
          <w:color w:val="000000"/>
        </w:rPr>
        <w:t>a</w:t>
      </w:r>
      <w:r w:rsidRPr="00C43284">
        <w:rPr>
          <w:color w:val="000000"/>
        </w:rPr>
        <w:t xml:space="preserve"> izstrādāts grafiks darbasp</w:t>
      </w:r>
      <w:r>
        <w:rPr>
          <w:color w:val="000000"/>
        </w:rPr>
        <w:t>ēka nodokļu samazināšanai nākamajos 3 gados</w:t>
      </w:r>
      <w:r w:rsidRPr="00C43284">
        <w:rPr>
          <w:color w:val="000000"/>
        </w:rPr>
        <w:t xml:space="preserve">, fiskāli neitrālā veidā nodrošinot konkurētspējīgas darbaspēka izmaksas, </w:t>
      </w:r>
      <w:r>
        <w:rPr>
          <w:color w:val="000000"/>
        </w:rPr>
        <w:t>kas veicinā</w:t>
      </w:r>
      <w:r w:rsidRPr="00C43284">
        <w:rPr>
          <w:color w:val="000000"/>
        </w:rPr>
        <w:t>t</w:t>
      </w:r>
      <w:r>
        <w:rPr>
          <w:color w:val="000000"/>
        </w:rPr>
        <w:t>u</w:t>
      </w:r>
      <w:r w:rsidRPr="00C43284">
        <w:rPr>
          <w:color w:val="000000"/>
        </w:rPr>
        <w:t xml:space="preserve"> ekonomisko aktivitāti un nodarbinātību, </w:t>
      </w:r>
      <w:r>
        <w:rPr>
          <w:color w:val="000000"/>
        </w:rPr>
        <w:t>kā arī mazinā</w:t>
      </w:r>
      <w:r w:rsidRPr="00C43284">
        <w:rPr>
          <w:color w:val="000000"/>
        </w:rPr>
        <w:t>t</w:t>
      </w:r>
      <w:r>
        <w:rPr>
          <w:color w:val="000000"/>
        </w:rPr>
        <w:t>u</w:t>
      </w:r>
      <w:r w:rsidRPr="00C43284">
        <w:rPr>
          <w:color w:val="000000"/>
        </w:rPr>
        <w:t xml:space="preserve"> ēnu ekonomiku.</w:t>
      </w:r>
      <w:r>
        <w:rPr>
          <w:color w:val="000000"/>
        </w:rPr>
        <w:t xml:space="preserve"> Minētā reforma</w:t>
      </w:r>
      <w:r w:rsidRPr="00C43284">
        <w:rPr>
          <w:color w:val="000000"/>
        </w:rPr>
        <w:t xml:space="preserve"> </w:t>
      </w:r>
      <w:r>
        <w:rPr>
          <w:color w:val="000000"/>
        </w:rPr>
        <w:t>paredz</w:t>
      </w:r>
      <w:r w:rsidRPr="00C43284">
        <w:rPr>
          <w:color w:val="000000"/>
        </w:rPr>
        <w:t xml:space="preserve"> </w:t>
      </w:r>
      <w:r>
        <w:rPr>
          <w:color w:val="000000"/>
        </w:rPr>
        <w:t xml:space="preserve">iedzīvotāju ienākuma nodokļa likmes </w:t>
      </w:r>
      <w:r w:rsidRPr="00C43284">
        <w:rPr>
          <w:color w:val="000000"/>
        </w:rPr>
        <w:t xml:space="preserve">samazināšanu un neapliekamā minimuma un atvieglojumu par apgādājamajiem palielināšanu. </w:t>
      </w:r>
      <w:r>
        <w:rPr>
          <w:lang w:eastAsia="lv-LV"/>
        </w:rPr>
        <w:t xml:space="preserve">Saeima 2012. gada 24.maijā pieņēma grozījumus likumā </w:t>
      </w:r>
      <w:r w:rsidRPr="007E1FFD">
        <w:rPr>
          <w:i/>
          <w:lang w:eastAsia="lv-LV"/>
        </w:rPr>
        <w:t>„Par iedzīvotāju ienākuma nodokli”</w:t>
      </w:r>
      <w:r>
        <w:rPr>
          <w:lang w:eastAsia="lv-LV"/>
        </w:rPr>
        <w:t xml:space="preserve">, kas paredz, ka </w:t>
      </w:r>
      <w:r w:rsidR="007E1FFD">
        <w:rPr>
          <w:lang w:eastAsia="lv-LV"/>
        </w:rPr>
        <w:t>3</w:t>
      </w:r>
      <w:r>
        <w:rPr>
          <w:lang w:eastAsia="lv-LV"/>
        </w:rPr>
        <w:t xml:space="preserve"> gadu laikā iedzīvotāju ienākumu nodokļa likme tiks samazināta par </w:t>
      </w:r>
      <w:r w:rsidR="007E1FFD">
        <w:rPr>
          <w:lang w:eastAsia="lv-LV"/>
        </w:rPr>
        <w:t>5</w:t>
      </w:r>
      <w:r>
        <w:rPr>
          <w:lang w:eastAsia="lv-LV"/>
        </w:rPr>
        <w:t xml:space="preserve"> procentpunktiem – no pašreizējiem 25% līdz 20%. </w:t>
      </w:r>
    </w:p>
    <w:p w:rsidR="005B0BAD" w:rsidRDefault="005B0BAD" w:rsidP="005B0BAD">
      <w:pPr>
        <w:ind w:firstLine="567"/>
        <w:rPr>
          <w:lang w:eastAsia="lv-LV"/>
        </w:rPr>
      </w:pPr>
      <w:r>
        <w:t xml:space="preserve">Paredzēts, ka no 2013.gada 1.jūlija </w:t>
      </w:r>
      <w:r>
        <w:rPr>
          <w:lang w:eastAsia="lv-LV"/>
        </w:rPr>
        <w:t>iedzīvotāju ienākuma nodokļa atvieglojuma par apgādībā esošu personu apmērs būs 80 lati mēnesī (līdzšinējo 70 latu vietā).</w:t>
      </w:r>
    </w:p>
    <w:p w:rsidR="005B0BAD" w:rsidRPr="006E01EE" w:rsidRDefault="005B0BAD" w:rsidP="005B0BAD">
      <w:pPr>
        <w:ind w:firstLine="567"/>
        <w:rPr>
          <w:rFonts w:eastAsia="+mn-ea"/>
        </w:rPr>
      </w:pPr>
      <w:r>
        <w:rPr>
          <w:color w:val="000000"/>
        </w:rPr>
        <w:t xml:space="preserve">Izstrādājot 2014.gada </w:t>
      </w:r>
      <w:r>
        <w:t>budžeta projektu un ņemot vērā valsts budžeta fiskālās iespējas, ir paredzamas diskusijas par minimālās algas, strādājošo neapliekamā minimuma un atvieglojuma par apgādībā esošām personām paaugstināšanu.</w:t>
      </w:r>
    </w:p>
    <w:p w:rsidR="005B0BAD" w:rsidRPr="00C43284" w:rsidRDefault="005B0BAD" w:rsidP="005B0BAD">
      <w:pPr>
        <w:pStyle w:val="ListParagraph"/>
        <w:numPr>
          <w:ilvl w:val="0"/>
          <w:numId w:val="1"/>
        </w:numPr>
        <w:spacing w:before="240" w:after="120"/>
        <w:ind w:left="284" w:hanging="284"/>
        <w:contextualSpacing w:val="0"/>
        <w:rPr>
          <w:rFonts w:eastAsia="+mn-ea"/>
          <w:b/>
          <w:i/>
        </w:rPr>
      </w:pPr>
      <w:r w:rsidRPr="0063715F">
        <w:rPr>
          <w:rFonts w:eastAsia="+mn-ea"/>
          <w:b/>
          <w:i/>
        </w:rPr>
        <w:t>Valsts pārvaldes modernizācij</w:t>
      </w:r>
      <w:r w:rsidR="0063715F" w:rsidRPr="0063715F">
        <w:rPr>
          <w:rFonts w:eastAsia="+mn-ea"/>
          <w:b/>
          <w:i/>
        </w:rPr>
        <w:t>a</w:t>
      </w:r>
      <w:r>
        <w:rPr>
          <w:rFonts w:eastAsia="+mn-ea"/>
          <w:b/>
          <w:i/>
        </w:rPr>
        <w:t xml:space="preserve"> </w:t>
      </w:r>
      <w:r w:rsidRPr="00C43284">
        <w:rPr>
          <w:rFonts w:eastAsia="+mn-ea"/>
        </w:rPr>
        <w:t>(atbildīgā institūcija – FM, VARAM, EM, VK)</w:t>
      </w:r>
    </w:p>
    <w:p w:rsidR="005B0BAD" w:rsidRPr="00C43284" w:rsidRDefault="005B0BAD" w:rsidP="005B0BAD">
      <w:pPr>
        <w:ind w:firstLine="567"/>
        <w:rPr>
          <w:lang w:bidi="lo-LA"/>
        </w:rPr>
      </w:pPr>
      <w:r w:rsidRPr="00C43284">
        <w:rPr>
          <w:lang w:bidi="lo-LA"/>
        </w:rPr>
        <w:t>Mērķis ir veidot efektīvāku un ekonomiskāku valsts pārvaldi. Galvenie rīcības virzieni ir:</w:t>
      </w:r>
    </w:p>
    <w:p w:rsidR="005B0BAD" w:rsidRDefault="005B0BAD" w:rsidP="005B0BAD">
      <w:pPr>
        <w:pStyle w:val="ListParagraph"/>
        <w:numPr>
          <w:ilvl w:val="0"/>
          <w:numId w:val="2"/>
        </w:numPr>
      </w:pPr>
      <w:r w:rsidRPr="00C43284">
        <w:rPr>
          <w:u w:val="single"/>
        </w:rPr>
        <w:t>administratīvo procedūru vienkāršošana uzņēmējiem un iedzīvotājiem</w:t>
      </w:r>
      <w:r w:rsidRPr="00C43284">
        <w:t xml:space="preserve">. </w:t>
      </w:r>
      <w:r w:rsidRPr="00C43284">
        <w:rPr>
          <w:lang w:bidi="lo-LA"/>
        </w:rPr>
        <w:t xml:space="preserve">2011.gada augustā MK tika apstiprināts </w:t>
      </w:r>
      <w:r w:rsidRPr="00C43284">
        <w:rPr>
          <w:i/>
          <w:lang w:bidi="lo-LA"/>
        </w:rPr>
        <w:t>Pasākumu plāns administratīvā sloga samazināšanai, administratīvo procedūru vienkāršošanai un publisko pakalpojumu kvalitātes uzlabošanai uzņēmējiem un iedzīvotājiem</w:t>
      </w:r>
      <w:r w:rsidRPr="00C43284">
        <w:rPr>
          <w:lang w:bidi="lo-LA"/>
        </w:rPr>
        <w:t xml:space="preserve">, kas </w:t>
      </w:r>
      <w:r w:rsidRPr="00C43284">
        <w:t xml:space="preserve">paredz īstenot 25 pasākumus (galvenokārt grozījumus tiesību aktos, kontrolējošo institūciju funkciju optimizēšanu </w:t>
      </w:r>
      <w:proofErr w:type="spellStart"/>
      <w:r w:rsidRPr="00C43284">
        <w:t>u.c</w:t>
      </w:r>
      <w:proofErr w:type="spellEnd"/>
      <w:r w:rsidRPr="00C43284">
        <w:t>.). Pasākumu plāns saistīts arī ar Eiropadomes 2007.gadā pieņemto uzstādījumu – līdz 2013.gadam samazināt administratīvo slogu par 25%.</w:t>
      </w:r>
      <w:r>
        <w:t xml:space="preserve"> </w:t>
      </w:r>
    </w:p>
    <w:p w:rsidR="005B0BAD" w:rsidRDefault="005B0BAD" w:rsidP="005B0BAD">
      <w:pPr>
        <w:ind w:left="709"/>
        <w:rPr>
          <w:lang w:bidi="lo-LA"/>
        </w:rPr>
      </w:pPr>
      <w:r w:rsidRPr="00CA5CD3">
        <w:rPr>
          <w:lang w:bidi="lo-LA"/>
        </w:rPr>
        <w:t xml:space="preserve">Līdz </w:t>
      </w:r>
      <w:r>
        <w:rPr>
          <w:lang w:bidi="lo-LA"/>
        </w:rPr>
        <w:t>2013.gadam</w:t>
      </w:r>
      <w:r w:rsidRPr="00CA5CD3">
        <w:rPr>
          <w:lang w:bidi="lo-LA"/>
        </w:rPr>
        <w:t xml:space="preserve"> ir īstenoti 15 </w:t>
      </w:r>
      <w:r>
        <w:rPr>
          <w:lang w:bidi="lo-LA"/>
        </w:rPr>
        <w:t xml:space="preserve">plāna pasākumi un 2013.gadā turpinās darbs pie pārējo pasākumu īstenošanas. </w:t>
      </w:r>
    </w:p>
    <w:p w:rsidR="005B0BAD" w:rsidRPr="00C43284" w:rsidRDefault="005B0BAD" w:rsidP="005B0BAD">
      <w:pPr>
        <w:ind w:left="709"/>
      </w:pPr>
      <w:r>
        <w:rPr>
          <w:lang w:bidi="lo-LA"/>
        </w:rPr>
        <w:t>2012</w:t>
      </w:r>
      <w:r w:rsidRPr="00CA5CD3">
        <w:rPr>
          <w:lang w:bidi="lo-LA"/>
        </w:rPr>
        <w:t xml:space="preserve">.gadā tika īstenoti </w:t>
      </w:r>
      <w:r>
        <w:rPr>
          <w:lang w:bidi="lo-LA"/>
        </w:rPr>
        <w:t xml:space="preserve">divi </w:t>
      </w:r>
      <w:r w:rsidRPr="00CA5CD3">
        <w:rPr>
          <w:lang w:bidi="lo-LA"/>
        </w:rPr>
        <w:t>pētījumi</w:t>
      </w:r>
      <w:r w:rsidR="00D45640">
        <w:rPr>
          <w:lang w:bidi="lo-LA"/>
        </w:rPr>
        <w:t xml:space="preserve"> </w:t>
      </w:r>
      <w:r w:rsidR="000264C8" w:rsidRPr="000264C8">
        <w:rPr>
          <w:i/>
          <w:lang w:bidi="lo-LA"/>
        </w:rPr>
        <w:t>„</w:t>
      </w:r>
      <w:r w:rsidRPr="002701BC">
        <w:rPr>
          <w:i/>
          <w:lang w:bidi="lo-LA"/>
        </w:rPr>
        <w:t>Administratīvo prasību analīze un kontrolējošo institūciju darbības novērtējums veselības aprūpes pakalpojumu jomā</w:t>
      </w:r>
      <w:r w:rsidR="000264C8" w:rsidRPr="000264C8">
        <w:rPr>
          <w:i/>
          <w:lang w:bidi="lo-LA"/>
        </w:rPr>
        <w:t>”</w:t>
      </w:r>
      <w:r w:rsidRPr="00CA5CD3">
        <w:rPr>
          <w:lang w:bidi="lo-LA"/>
        </w:rPr>
        <w:t xml:space="preserve"> </w:t>
      </w:r>
      <w:r>
        <w:rPr>
          <w:lang w:bidi="lo-LA"/>
        </w:rPr>
        <w:t>un</w:t>
      </w:r>
      <w:r w:rsidRPr="00CA5CD3">
        <w:rPr>
          <w:lang w:bidi="lo-LA"/>
        </w:rPr>
        <w:t xml:space="preserve"> </w:t>
      </w:r>
      <w:r w:rsidR="000264C8" w:rsidRPr="000264C8">
        <w:rPr>
          <w:i/>
          <w:lang w:bidi="lo-LA"/>
        </w:rPr>
        <w:t>„</w:t>
      </w:r>
      <w:r w:rsidRPr="002701BC">
        <w:rPr>
          <w:i/>
          <w:lang w:bidi="lo-LA"/>
        </w:rPr>
        <w:t>Administratīvā sloga samazināšanas iespēju izpēte privātajam sekto</w:t>
      </w:r>
      <w:r w:rsidRPr="002701BC">
        <w:rPr>
          <w:i/>
          <w:lang w:bidi="lo-LA"/>
        </w:rPr>
        <w:softHyphen/>
        <w:t>ram darbības dokumentēšanas un dokumentu glabāšanas jomā</w:t>
      </w:r>
      <w:r w:rsidR="000264C8" w:rsidRPr="000264C8">
        <w:rPr>
          <w:i/>
          <w:lang w:bidi="lo-LA"/>
        </w:rPr>
        <w:t>”</w:t>
      </w:r>
      <w:r>
        <w:rPr>
          <w:lang w:bidi="lo-LA"/>
        </w:rPr>
        <w:t xml:space="preserve"> (</w:t>
      </w:r>
      <w:r w:rsidR="00FA2B17">
        <w:rPr>
          <w:lang w:bidi="lo-LA"/>
        </w:rPr>
        <w:t xml:space="preserve">pētījumi īstenoti ESF projekta </w:t>
      </w:r>
      <w:r w:rsidR="00FA2B17" w:rsidRPr="00FA2B17">
        <w:rPr>
          <w:i/>
          <w:lang w:bidi="lo-LA"/>
        </w:rPr>
        <w:lastRenderedPageBreak/>
        <w:t>„Administratīvā sloga samazināšana un administratīvo procedūru vienkāršošana”</w:t>
      </w:r>
      <w:r w:rsidR="00FA2B17" w:rsidRPr="00FA2B17">
        <w:rPr>
          <w:lang w:bidi="lo-LA"/>
        </w:rPr>
        <w:t xml:space="preserve"> ietvaros, projekta</w:t>
      </w:r>
      <w:r w:rsidR="00FA2B17">
        <w:rPr>
          <w:lang w:bidi="lo-LA"/>
        </w:rPr>
        <w:t xml:space="preserve"> </w:t>
      </w:r>
      <w:r>
        <w:rPr>
          <w:lang w:bidi="lo-LA"/>
        </w:rPr>
        <w:t xml:space="preserve">kopējais publiskais finansējums 1,1 </w:t>
      </w:r>
      <w:proofErr w:type="spellStart"/>
      <w:r>
        <w:rPr>
          <w:lang w:bidi="lo-LA"/>
        </w:rPr>
        <w:t>milj</w:t>
      </w:r>
      <w:proofErr w:type="spellEnd"/>
      <w:r>
        <w:rPr>
          <w:lang w:bidi="lo-LA"/>
        </w:rPr>
        <w:t>.</w:t>
      </w:r>
      <w:r w:rsidR="000264C8">
        <w:rPr>
          <w:lang w:bidi="lo-LA"/>
        </w:rPr>
        <w:t xml:space="preserve"> </w:t>
      </w:r>
      <w:r>
        <w:rPr>
          <w:lang w:bidi="lo-LA"/>
        </w:rPr>
        <w:t xml:space="preserve">latu, </w:t>
      </w:r>
      <w:proofErr w:type="spellStart"/>
      <w:r>
        <w:rPr>
          <w:lang w:bidi="lo-LA"/>
        </w:rPr>
        <w:t>t.sk</w:t>
      </w:r>
      <w:proofErr w:type="spellEnd"/>
      <w:r>
        <w:rPr>
          <w:lang w:bidi="lo-LA"/>
        </w:rPr>
        <w:t xml:space="preserve">. </w:t>
      </w:r>
      <w:r w:rsidR="000264C8">
        <w:rPr>
          <w:lang w:bidi="lo-LA"/>
        </w:rPr>
        <w:t>ESF</w:t>
      </w:r>
      <w:r>
        <w:rPr>
          <w:lang w:bidi="lo-LA"/>
        </w:rPr>
        <w:t xml:space="preserve"> finansējums 0,9 </w:t>
      </w:r>
      <w:proofErr w:type="spellStart"/>
      <w:r>
        <w:rPr>
          <w:lang w:bidi="lo-LA"/>
        </w:rPr>
        <w:t>milj</w:t>
      </w:r>
      <w:proofErr w:type="spellEnd"/>
      <w:r>
        <w:rPr>
          <w:lang w:bidi="lo-LA"/>
        </w:rPr>
        <w:t>. latu).</w:t>
      </w:r>
      <w:r w:rsidRPr="00CA5CD3">
        <w:rPr>
          <w:lang w:bidi="lo-LA"/>
        </w:rPr>
        <w:t xml:space="preserve"> </w:t>
      </w:r>
      <w:r>
        <w:rPr>
          <w:lang w:bidi="lo-LA"/>
        </w:rPr>
        <w:t>Balstoties uz pētījumu rezultātiem</w:t>
      </w:r>
      <w:r w:rsidR="000264C8">
        <w:rPr>
          <w:lang w:bidi="lo-LA"/>
        </w:rPr>
        <w:t>,</w:t>
      </w:r>
      <w:r>
        <w:rPr>
          <w:lang w:bidi="lo-LA"/>
        </w:rPr>
        <w:t xml:space="preserve"> tiks izstrādāti jauni </w:t>
      </w:r>
      <w:r w:rsidRPr="00CA5CD3">
        <w:rPr>
          <w:lang w:bidi="lo-LA"/>
        </w:rPr>
        <w:t>pasākumu plāni administratīvā sloga samazināšanai, administratīvo procedūru vienkāršošanai un publisko pakalpojumu kvalitātes uzlabošanai. Papildus</w:t>
      </w:r>
      <w:r w:rsidRPr="006B0BA7">
        <w:t xml:space="preserve"> </w:t>
      </w:r>
      <w:r w:rsidR="000264C8">
        <w:t>VK</w:t>
      </w:r>
      <w:r w:rsidRPr="006B0BA7">
        <w:t xml:space="preserve"> mājas</w:t>
      </w:r>
      <w:r w:rsidR="000264C8">
        <w:t xml:space="preserve"> </w:t>
      </w:r>
      <w:r w:rsidRPr="006B0BA7">
        <w:t>lapā internetā ir izveidota vietne, ar kuras starpniecību iedzīvotāji var sniegt konkrētus priekšlikumus administratīvā sloga mazināšanai, gan aprakstot problēmas, gan piedāvājot risinājumus tām</w:t>
      </w:r>
      <w:r w:rsidRPr="00C43284">
        <w:t>;</w:t>
      </w:r>
      <w:r w:rsidRPr="00C43284">
        <w:rPr>
          <w:lang w:bidi="lo-LA"/>
        </w:rPr>
        <w:t xml:space="preserve"> </w:t>
      </w:r>
    </w:p>
    <w:p w:rsidR="005B0BAD" w:rsidRDefault="005B0BAD" w:rsidP="005B0BAD">
      <w:pPr>
        <w:pStyle w:val="ListParagraph"/>
        <w:numPr>
          <w:ilvl w:val="0"/>
          <w:numId w:val="2"/>
        </w:numPr>
      </w:pPr>
      <w:r w:rsidRPr="00C43284">
        <w:rPr>
          <w:u w:val="single"/>
        </w:rPr>
        <w:t>e-pārvaldes un e-pakalpojumu attīstība</w:t>
      </w:r>
      <w:r w:rsidRPr="00C43284">
        <w:t>. Pasākumu mērķis ir padarīt efektīvākus valsts pārvaldes procesus, nodrošinot pieejamākus valsts pakalpojumu</w:t>
      </w:r>
      <w:r>
        <w:t>s iedzīvotājiem un komersantiem</w:t>
      </w:r>
      <w:r w:rsidRPr="00C43284">
        <w:t>.</w:t>
      </w:r>
      <w:r>
        <w:t xml:space="preserve"> </w:t>
      </w:r>
    </w:p>
    <w:p w:rsidR="005B0BAD" w:rsidRPr="00C43284" w:rsidRDefault="005B0BAD" w:rsidP="005B0BAD">
      <w:pPr>
        <w:ind w:left="709"/>
      </w:pPr>
      <w:r>
        <w:t>2013.gada janvārī apstiprināta</w:t>
      </w:r>
      <w:r w:rsidRPr="008D17FD">
        <w:t xml:space="preserve"> koncepcija </w:t>
      </w:r>
      <w:r w:rsidRPr="004E1FE4">
        <w:rPr>
          <w:i/>
        </w:rPr>
        <w:t xml:space="preserve">„Valsts </w:t>
      </w:r>
      <w:r w:rsidR="00592454">
        <w:rPr>
          <w:i/>
        </w:rPr>
        <w:t>informācijas un komunikācij</w:t>
      </w:r>
      <w:r w:rsidR="00674B33">
        <w:rPr>
          <w:i/>
        </w:rPr>
        <w:t>u</w:t>
      </w:r>
      <w:r w:rsidR="00592454">
        <w:rPr>
          <w:i/>
        </w:rPr>
        <w:t xml:space="preserve"> tehnoloģiju </w:t>
      </w:r>
      <w:r w:rsidRPr="004E1FE4">
        <w:rPr>
          <w:i/>
        </w:rPr>
        <w:t>pārvaldības organizatoriskais modelis”</w:t>
      </w:r>
      <w:r>
        <w:rPr>
          <w:i/>
        </w:rPr>
        <w:t>,</w:t>
      </w:r>
      <w:r w:rsidRPr="008D17FD">
        <w:t xml:space="preserve"> </w:t>
      </w:r>
      <w:r>
        <w:t>kurā</w:t>
      </w:r>
      <w:r w:rsidRPr="008D17FD">
        <w:t xml:space="preserve"> noteikti valsts </w:t>
      </w:r>
      <w:r w:rsidR="00592454" w:rsidRPr="00592454">
        <w:t>informācijas un komunikācij</w:t>
      </w:r>
      <w:r w:rsidR="00674B33">
        <w:t>u</w:t>
      </w:r>
      <w:r w:rsidR="00592454" w:rsidRPr="00592454">
        <w:t xml:space="preserve"> tehnoloģiju </w:t>
      </w:r>
      <w:r w:rsidR="00592454">
        <w:t xml:space="preserve">(turpmāk tekstā – </w:t>
      </w:r>
      <w:r w:rsidRPr="008D17FD">
        <w:t>IKT</w:t>
      </w:r>
      <w:r w:rsidR="00592454">
        <w:t>)</w:t>
      </w:r>
      <w:r w:rsidRPr="008D17FD">
        <w:t xml:space="preserve"> pārvaldības mērķi un uzdevumi</w:t>
      </w:r>
      <w:r>
        <w:t xml:space="preserve"> (skatīt 3.2.4. sadaļu)</w:t>
      </w:r>
      <w:r w:rsidR="00592454">
        <w:t>.</w:t>
      </w:r>
    </w:p>
    <w:p w:rsidR="005B0BAD" w:rsidRPr="00136938" w:rsidRDefault="005B0BAD" w:rsidP="005B0BAD">
      <w:pPr>
        <w:ind w:left="709"/>
      </w:pPr>
      <w:r>
        <w:t xml:space="preserve">Līdz 2014.gadam paredzēts ieviest </w:t>
      </w:r>
      <w:r w:rsidRPr="00136938">
        <w:t>vi</w:t>
      </w:r>
      <w:r>
        <w:t>enas pieturas aģentūras (</w:t>
      </w:r>
      <w:r w:rsidR="00771592">
        <w:t xml:space="preserve">turpmāk tekstā – </w:t>
      </w:r>
      <w:r>
        <w:t xml:space="preserve">VPA) principu. 2012.gadā turpinājās </w:t>
      </w:r>
      <w:r w:rsidRPr="00EC756C">
        <w:t xml:space="preserve">VPA principa ieviešana elektroniskajā vidē vienotajā valsts un pašvaldību pakalpojumu portālā </w:t>
      </w:r>
      <w:hyperlink r:id="rId12" w:tooltip="blocked::http://www.latvija.lv/" w:history="1">
        <w:r w:rsidRPr="00670FDF">
          <w:rPr>
            <w:u w:val="single"/>
          </w:rPr>
          <w:t>www.latvija.lv</w:t>
        </w:r>
      </w:hyperlink>
      <w:r w:rsidRPr="00EC756C">
        <w:t>, nodrošinot pieeju 52 e-pakalpojumiem un sniedzot informāciju par vairāk kā 2073 valsts un pašvaldību pakalpo</w:t>
      </w:r>
      <w:r w:rsidR="00E80139">
        <w:t>jumu saņemšanas iespējām. 2012.</w:t>
      </w:r>
      <w:r w:rsidRPr="00EC756C">
        <w:t>gadā</w:t>
      </w:r>
      <w:r>
        <w:t xml:space="preserve"> tika</w:t>
      </w:r>
      <w:r w:rsidRPr="00EC756C">
        <w:t xml:space="preserve"> ieviesti 11 jauni e-pakalpojumi</w:t>
      </w:r>
      <w:r>
        <w:t>. 2013.gadā tiks gatavota</w:t>
      </w:r>
      <w:r w:rsidRPr="00D83A40">
        <w:t xml:space="preserve"> </w:t>
      </w:r>
      <w:r>
        <w:t>jauna</w:t>
      </w:r>
      <w:r w:rsidRPr="00D83A40">
        <w:t xml:space="preserve"> </w:t>
      </w:r>
      <w:r>
        <w:t xml:space="preserve">portāla </w:t>
      </w:r>
      <w:r w:rsidRPr="00D83A40">
        <w:t>versij</w:t>
      </w:r>
      <w:r>
        <w:t xml:space="preserve">a, </w:t>
      </w:r>
      <w:r w:rsidRPr="00D83A40">
        <w:t>lai ikvienam iedzīvotājam būtu ērti izmantot pieejamos e-pakalpojumus</w:t>
      </w:r>
      <w:r>
        <w:t>;</w:t>
      </w:r>
    </w:p>
    <w:p w:rsidR="005B0BAD" w:rsidRPr="00C43284" w:rsidRDefault="005B0BAD" w:rsidP="005B0BAD">
      <w:pPr>
        <w:pStyle w:val="ListParagraph"/>
        <w:numPr>
          <w:ilvl w:val="0"/>
          <w:numId w:val="2"/>
        </w:numPr>
        <w:ind w:left="714" w:hanging="357"/>
        <w:contextualSpacing w:val="0"/>
        <w:rPr>
          <w:b/>
          <w:i/>
        </w:rPr>
      </w:pPr>
      <w:r w:rsidRPr="00C43284">
        <w:rPr>
          <w:u w:val="single"/>
        </w:rPr>
        <w:t>valsts pārvaldes iestāžu funkciju tālākā optimizācija</w:t>
      </w:r>
      <w:r w:rsidRPr="00C43284">
        <w:t xml:space="preserve">. Pasākuma mērķis ir valsts pārvaldes efektivitātes palielināšana, pārskatot iestāžu funkcijas. Darbs pie funkciju audita tika uzsākts 2009.gadā un to plānots turpināt līdz 2014.gadam. Funkciju audita rezultātā tiek veikta valsts pārvaldes iestāžu atbalsta funkciju centralizēšana (grāmatvedības, personāla, </w:t>
      </w:r>
      <w:r w:rsidR="00AC4EBD">
        <w:t>IT</w:t>
      </w:r>
      <w:r w:rsidRPr="00C43284">
        <w:t>), funkciju nodošana citai iestādei vai iestādes likvidācija. Kopumā vidējā termiņā tiks samazināts valsts pārvaldē nodarbināto skaits un atbilstoši valsts budžeta izdevumi;</w:t>
      </w:r>
    </w:p>
    <w:p w:rsidR="005B0BAD" w:rsidRPr="00C43284" w:rsidRDefault="005B0BAD" w:rsidP="005B0BAD">
      <w:pPr>
        <w:pStyle w:val="ListParagraph"/>
        <w:numPr>
          <w:ilvl w:val="0"/>
          <w:numId w:val="2"/>
        </w:numPr>
        <w:ind w:left="714" w:hanging="357"/>
        <w:contextualSpacing w:val="0"/>
        <w:rPr>
          <w:b/>
          <w:i/>
        </w:rPr>
      </w:pPr>
      <w:r w:rsidRPr="003D499A">
        <w:rPr>
          <w:u w:val="single"/>
        </w:rPr>
        <w:t>publisko personu kapitāla daļu un kapitālsabiedrību pārvaldības un publisko personu komercdarbības reforma</w:t>
      </w:r>
      <w:r w:rsidRPr="00C43284">
        <w:t xml:space="preserve">. Pasākuma mērķis ir nodrošināt efektīvāku </w:t>
      </w:r>
      <w:r>
        <w:t>un labas korporatīvās pārvaldības principiem atbilstošu publisko personu</w:t>
      </w:r>
      <w:r w:rsidRPr="00C43284">
        <w:t xml:space="preserve"> kapitāla daļu</w:t>
      </w:r>
      <w:r>
        <w:t xml:space="preserve"> un kapitālsabiedrību</w:t>
      </w:r>
      <w:r w:rsidRPr="00C43284">
        <w:t xml:space="preserve"> pārvaldi, kā arī </w:t>
      </w:r>
      <w:r>
        <w:t>pārvērtēt publiskas personas līdzdalības kapitālsabiedrībās nepieciešamību</w:t>
      </w:r>
      <w:r w:rsidRPr="00C43284">
        <w:t xml:space="preserve">. </w:t>
      </w:r>
      <w:r>
        <w:t xml:space="preserve">2012.gadā ir sagatavota un atbalstīta </w:t>
      </w:r>
      <w:r w:rsidRPr="00136938">
        <w:rPr>
          <w:i/>
        </w:rPr>
        <w:t>Publisko personu komercdarbības koncepcija</w:t>
      </w:r>
      <w:r w:rsidRPr="003D499A">
        <w:t xml:space="preserve"> un </w:t>
      </w:r>
      <w:r w:rsidRPr="00136938">
        <w:rPr>
          <w:i/>
        </w:rPr>
        <w:t>Valsts kapitāla daļu pārvaldības koncepcija</w:t>
      </w:r>
      <w:r>
        <w:t>.</w:t>
      </w:r>
      <w:r w:rsidRPr="003D499A" w:rsidDel="003D499A">
        <w:t xml:space="preserve"> </w:t>
      </w:r>
      <w:r w:rsidRPr="00C43284">
        <w:t xml:space="preserve">Plānots, ka līdz 2013.gada </w:t>
      </w:r>
      <w:r>
        <w:t>beigām</w:t>
      </w:r>
      <w:r w:rsidRPr="00C43284">
        <w:t xml:space="preserve"> tiks sakārtota sistēma</w:t>
      </w:r>
      <w:r>
        <w:t xml:space="preserve"> (atbilstošie tiesību akti)</w:t>
      </w:r>
      <w:r w:rsidRPr="00C43284">
        <w:t xml:space="preserve"> </w:t>
      </w:r>
      <w:r>
        <w:t>publisko personu</w:t>
      </w:r>
      <w:r w:rsidRPr="00C43284">
        <w:t xml:space="preserve"> kapitāla daļu pārvaldībai</w:t>
      </w:r>
      <w:r>
        <w:t>.</w:t>
      </w:r>
    </w:p>
    <w:p w:rsidR="005B0BAD" w:rsidRPr="0062745F" w:rsidRDefault="005B0BAD" w:rsidP="00E84407">
      <w:pPr>
        <w:pStyle w:val="ListParagraph"/>
        <w:numPr>
          <w:ilvl w:val="0"/>
          <w:numId w:val="9"/>
        </w:numPr>
        <w:spacing w:before="240" w:after="120"/>
        <w:ind w:left="284" w:hanging="284"/>
        <w:contextualSpacing w:val="0"/>
      </w:pPr>
      <w:r w:rsidRPr="0062745F">
        <w:rPr>
          <w:b/>
          <w:bCs/>
          <w:i/>
          <w:iCs/>
        </w:rPr>
        <w:t>Darba tiesisko attiecību un darba aizsardzības normatīvā regulējuma u</w:t>
      </w:r>
      <w:r w:rsidR="0062745F" w:rsidRPr="0062745F">
        <w:rPr>
          <w:b/>
          <w:bCs/>
          <w:i/>
          <w:iCs/>
        </w:rPr>
        <w:t>n tā piemērošanas pilnveidošana</w:t>
      </w:r>
      <w:r w:rsidRPr="0062745F">
        <w:rPr>
          <w:b/>
          <w:bCs/>
          <w:i/>
          <w:iCs/>
        </w:rPr>
        <w:t xml:space="preserve"> </w:t>
      </w:r>
      <w:r w:rsidRPr="0062745F">
        <w:t>(atbildīgā institūcija – LM)</w:t>
      </w:r>
    </w:p>
    <w:p w:rsidR="005B0BAD" w:rsidRPr="0039062B" w:rsidRDefault="005B0BAD" w:rsidP="005B0BAD">
      <w:pPr>
        <w:pStyle w:val="ListParagraph"/>
        <w:spacing w:before="120" w:after="120"/>
        <w:ind w:left="0" w:firstLine="567"/>
      </w:pPr>
      <w:r>
        <w:t>Lai sasniegtu nosprausto m</w:t>
      </w:r>
      <w:r w:rsidRPr="0039062B">
        <w:t xml:space="preserve">ērķi </w:t>
      </w:r>
      <w:r>
        <w:t xml:space="preserve">– </w:t>
      </w:r>
      <w:r w:rsidRPr="0039062B">
        <w:t>nodrošināt priekšnoteikumus kvalitatīvākām darba vietām</w:t>
      </w:r>
      <w:r>
        <w:t>, 2012.gadā tika izdarīti vairāki grozījumi normatīvajos aktos:</w:t>
      </w:r>
    </w:p>
    <w:p w:rsidR="005B0BAD" w:rsidRDefault="005B0BAD" w:rsidP="00E84407">
      <w:pPr>
        <w:pStyle w:val="ListParagraph"/>
        <w:numPr>
          <w:ilvl w:val="0"/>
          <w:numId w:val="17"/>
        </w:numPr>
        <w:tabs>
          <w:tab w:val="left" w:pos="426"/>
        </w:tabs>
        <w:contextualSpacing w:val="0"/>
        <w:rPr>
          <w:rFonts w:eastAsia="MS Mincho"/>
          <w:lang w:eastAsia="ja-JP"/>
        </w:rPr>
      </w:pPr>
      <w:r>
        <w:rPr>
          <w:rFonts w:eastAsia="MS Mincho"/>
          <w:lang w:eastAsia="ja-JP"/>
        </w:rPr>
        <w:t>MK noteikumos, kas no</w:t>
      </w:r>
      <w:r w:rsidR="003F132A">
        <w:rPr>
          <w:rFonts w:eastAsia="MS Mincho"/>
          <w:lang w:eastAsia="ja-JP"/>
        </w:rPr>
        <w:t xml:space="preserve">saka </w:t>
      </w:r>
      <w:r>
        <w:rPr>
          <w:rFonts w:eastAsia="MS Mincho"/>
          <w:lang w:eastAsia="ja-JP"/>
        </w:rPr>
        <w:t xml:space="preserve">prasības kompetentām institūcijām un kompetentiem speciālistiem darba aizsardzības jautājumos, kā arī kompetences novērtēšanas kārtību. Šie grozījumi pilnveidoja darba aizsardzības pakalpojumu sistēmu, vienkāršojot kompetento institūciju izvērtēšanas procesu, kā arī precizēja prasības kompetento speciālistu sertifikācijas procesam; </w:t>
      </w:r>
    </w:p>
    <w:p w:rsidR="005B0BAD" w:rsidRDefault="005B0BAD" w:rsidP="00E84407">
      <w:pPr>
        <w:pStyle w:val="ListParagraph"/>
        <w:numPr>
          <w:ilvl w:val="0"/>
          <w:numId w:val="17"/>
        </w:numPr>
        <w:tabs>
          <w:tab w:val="left" w:pos="426"/>
        </w:tabs>
        <w:contextualSpacing w:val="0"/>
        <w:rPr>
          <w:rFonts w:eastAsia="MS Mincho"/>
          <w:lang w:eastAsia="ja-JP"/>
        </w:rPr>
      </w:pPr>
      <w:r>
        <w:rPr>
          <w:rFonts w:eastAsia="MS Mincho"/>
          <w:lang w:eastAsia="ja-JP"/>
        </w:rPr>
        <w:t xml:space="preserve">vairākos MK noteikumos, kuru mērķis bija mazināt administratīvo slogu darba aizsardzības jomā un līdz ar to arī samazinot izmaksas darba devējiem. Šie grozījumi skāra tādus jautājumus, kā apmācību kārtība darba aizsardzības jautājumos, </w:t>
      </w:r>
      <w:r w:rsidRPr="00E058AB">
        <w:rPr>
          <w:rFonts w:eastAsia="MS Mincho"/>
          <w:color w:val="000000"/>
          <w:lang w:eastAsia="ja-JP"/>
        </w:rPr>
        <w:t>samazinot profesionālās pilnveides izglītības programmas apjomu</w:t>
      </w:r>
      <w:r w:rsidRPr="00E058AB">
        <w:rPr>
          <w:rFonts w:eastAsia="MS Mincho"/>
          <w:color w:val="000000"/>
          <w:sz w:val="28"/>
          <w:szCs w:val="28"/>
          <w:lang w:eastAsia="ja-JP"/>
        </w:rPr>
        <w:t xml:space="preserve"> </w:t>
      </w:r>
      <w:r>
        <w:rPr>
          <w:rFonts w:eastAsia="MS Mincho"/>
          <w:lang w:eastAsia="ja-JP"/>
        </w:rPr>
        <w:t xml:space="preserve">darba aizsardzības </w:t>
      </w:r>
      <w:r>
        <w:rPr>
          <w:rFonts w:eastAsia="MS Mincho"/>
          <w:lang w:eastAsia="ja-JP"/>
        </w:rPr>
        <w:lastRenderedPageBreak/>
        <w:t xml:space="preserve">speciālistiem un </w:t>
      </w:r>
      <w:r w:rsidRPr="00E058AB">
        <w:rPr>
          <w:rFonts w:eastAsia="MS Mincho"/>
          <w:color w:val="000000"/>
          <w:lang w:eastAsia="ja-JP"/>
        </w:rPr>
        <w:t>precizējot</w:t>
      </w:r>
      <w:r>
        <w:rPr>
          <w:rFonts w:eastAsia="MS Mincho"/>
          <w:color w:val="000000"/>
          <w:lang w:eastAsia="ja-JP"/>
        </w:rPr>
        <w:t>, kā arī</w:t>
      </w:r>
      <w:r w:rsidRPr="00E058AB">
        <w:rPr>
          <w:rFonts w:eastAsia="MS Mincho"/>
          <w:color w:val="000000"/>
          <w:lang w:eastAsia="ja-JP"/>
        </w:rPr>
        <w:t xml:space="preserve"> atvieglojot prasības darba aizsardzības speciālistu apmācībai bīstamo nozaru uzņēmumos</w:t>
      </w:r>
      <w:r>
        <w:rPr>
          <w:rFonts w:eastAsia="MS Mincho"/>
          <w:lang w:eastAsia="ja-JP"/>
        </w:rPr>
        <w:t>. Turklāt tika veikti grozījumi attiecībā uz trokšņa mērīšanas biežuma samazināšanu darba vietās.</w:t>
      </w:r>
    </w:p>
    <w:p w:rsidR="005B0BAD" w:rsidRPr="00EB76EE" w:rsidRDefault="005B0BAD" w:rsidP="00EA3C8A">
      <w:pPr>
        <w:pStyle w:val="ListParagraph"/>
        <w:tabs>
          <w:tab w:val="left" w:pos="0"/>
        </w:tabs>
        <w:spacing w:before="120"/>
        <w:ind w:left="0" w:firstLine="567"/>
        <w:contextualSpacing w:val="0"/>
        <w:rPr>
          <w:rFonts w:eastAsia="MS Mincho"/>
          <w:lang w:eastAsia="ja-JP"/>
        </w:rPr>
      </w:pPr>
      <w:r>
        <w:rPr>
          <w:rFonts w:eastAsia="MS Mincho"/>
          <w:lang w:eastAsia="ja-JP"/>
        </w:rPr>
        <w:t>Lai turpinātu pilnveidot regulējumu darba tiesisko attiecību un darba aizsardzības jomā,</w:t>
      </w:r>
      <w:r w:rsidR="001534F6">
        <w:rPr>
          <w:rFonts w:eastAsia="MS Mincho"/>
          <w:lang w:eastAsia="ja-JP"/>
        </w:rPr>
        <w:t xml:space="preserve"> sadarbībā ar sociālajiem partneriem</w:t>
      </w:r>
      <w:r>
        <w:rPr>
          <w:rFonts w:eastAsia="MS Mincho"/>
          <w:lang w:eastAsia="ja-JP"/>
        </w:rPr>
        <w:t xml:space="preserve"> 2013.gadā ir paredzēts:</w:t>
      </w:r>
    </w:p>
    <w:p w:rsidR="005B0BAD" w:rsidRPr="003B2D2A" w:rsidRDefault="005B0BAD" w:rsidP="00E84407">
      <w:pPr>
        <w:pStyle w:val="ListParagraph"/>
        <w:numPr>
          <w:ilvl w:val="0"/>
          <w:numId w:val="17"/>
        </w:numPr>
        <w:tabs>
          <w:tab w:val="left" w:pos="426"/>
        </w:tabs>
        <w:ind w:left="714" w:hanging="357"/>
        <w:contextualSpacing w:val="0"/>
        <w:rPr>
          <w:rFonts w:eastAsia="MS Mincho"/>
          <w:lang w:eastAsia="ja-JP"/>
        </w:rPr>
      </w:pPr>
      <w:r w:rsidRPr="00AC2969">
        <w:t xml:space="preserve">izstrādāt priekšlikumus grozījumiem </w:t>
      </w:r>
      <w:r w:rsidRPr="003B2D2A">
        <w:rPr>
          <w:i/>
        </w:rPr>
        <w:t>Darba likumā</w:t>
      </w:r>
      <w:r>
        <w:t xml:space="preserve">. Lai veicinātu </w:t>
      </w:r>
      <w:proofErr w:type="spellStart"/>
      <w:r>
        <w:t>elastdrošības</w:t>
      </w:r>
      <w:proofErr w:type="spellEnd"/>
      <w:r>
        <w:t xml:space="preserve"> principu stiprināšanu darba tiesiskajās attiecībās, kā arī uzlabotu uzņēmējdarbības vides kvalitāti, ir plānots pārskatīt jautājumus par darba līgumu slēgšanu uz noteiktu laiku un piemaksām. Tāpat likumprojektā ir paredzēts mazināt administratīvo slogu darba devējam kolektīvās atlaišanas gadījumā (samazinot paziņošanas </w:t>
      </w:r>
      <w:r w:rsidR="003F132A">
        <w:t xml:space="preserve">termiņu </w:t>
      </w:r>
      <w:r>
        <w:t>valsts iestādēm par plānoto kolektīvo atlaišanu). Lai veicinātu juridisko noteiktību tiks precizēti jautājumi, kas skar uzteikuma paziņošanu, darba tiesisko attiecību izbeigšanu, darba un atpūtas laiku, kā arī darba samaksu.</w:t>
      </w:r>
    </w:p>
    <w:p w:rsidR="005B0BAD" w:rsidRDefault="005B0BAD" w:rsidP="005B0BAD">
      <w:pPr>
        <w:pStyle w:val="ListParagraph"/>
        <w:tabs>
          <w:tab w:val="left" w:pos="426"/>
        </w:tabs>
        <w:ind w:left="714"/>
        <w:rPr>
          <w:color w:val="000000"/>
        </w:rPr>
      </w:pPr>
      <w:r>
        <w:t>Likumprojektā tiks ietvertas arī normas, kas vērstas uz nereģistrētās nodarbinātības mazināšanu, nodrošinot iespēju kontrolējošām institūcijām pārbaužu laikā nekavējoties iegūt informāciju no darba devēja par noslēgtajiem darba līgumiem, kā arī iestrādājot deleģējumu MK nepieciešamības gadījumā noteikt komercdarbības veidus, kuros darba devējam ir pienākums, noslēdzot darba līgumu, izsniegt darbiniekam darbinieka apliecību, kā arī noteikt darbinieka apliecībā ietveramo informāciju un tās izsniegšanas noteikumus</w:t>
      </w:r>
      <w:r w:rsidRPr="0039062B">
        <w:rPr>
          <w:color w:val="000000"/>
        </w:rPr>
        <w:t>;</w:t>
      </w:r>
    </w:p>
    <w:p w:rsidR="005B0BAD" w:rsidRDefault="005B0BAD" w:rsidP="00E84407">
      <w:pPr>
        <w:pStyle w:val="ListParagraph"/>
        <w:numPr>
          <w:ilvl w:val="0"/>
          <w:numId w:val="17"/>
        </w:numPr>
        <w:tabs>
          <w:tab w:val="left" w:pos="426"/>
        </w:tabs>
        <w:contextualSpacing w:val="0"/>
        <w:rPr>
          <w:rFonts w:eastAsia="MS Mincho"/>
          <w:lang w:eastAsia="ja-JP"/>
        </w:rPr>
      </w:pPr>
      <w:r>
        <w:rPr>
          <w:rFonts w:eastAsia="MS Mincho"/>
          <w:lang w:eastAsia="ja-JP"/>
        </w:rPr>
        <w:t xml:space="preserve">pilnveidot nelaimes gadījumu darbā izmeklēšanas kārtību, nosakot precīzākas un skaidrākas prasības dažāda veida nelaimes gadījumu darbā izmeklēšanai, atvieglojot gan darba devējiem, gan Valsts darba inspekcijai </w:t>
      </w:r>
      <w:r w:rsidR="00A02743">
        <w:rPr>
          <w:rFonts w:eastAsia="MS Mincho"/>
          <w:lang w:eastAsia="ja-JP"/>
        </w:rPr>
        <w:t xml:space="preserve">(turpmāk tekstā – VDI) </w:t>
      </w:r>
      <w:r>
        <w:rPr>
          <w:rFonts w:eastAsia="MS Mincho"/>
          <w:lang w:eastAsia="ja-JP"/>
        </w:rPr>
        <w:t>nelaimes gadījuma izmeklēšanas procesu un izpratni par to;</w:t>
      </w:r>
    </w:p>
    <w:p w:rsidR="00E815BF" w:rsidRDefault="00E815BF" w:rsidP="00E84407">
      <w:pPr>
        <w:pStyle w:val="ListParagraph"/>
        <w:numPr>
          <w:ilvl w:val="0"/>
          <w:numId w:val="17"/>
        </w:numPr>
        <w:tabs>
          <w:tab w:val="left" w:pos="426"/>
        </w:tabs>
        <w:contextualSpacing w:val="0"/>
        <w:rPr>
          <w:rFonts w:eastAsia="MS Mincho"/>
          <w:lang w:eastAsia="ja-JP"/>
        </w:rPr>
      </w:pPr>
      <w:r>
        <w:rPr>
          <w:rFonts w:eastAsia="MS Mincho"/>
          <w:lang w:eastAsia="ja-JP"/>
        </w:rPr>
        <w:t>papildināt tiesisko regulējumu nodarbināto, kas strādā augstumā, aizsardzībai, nosakot precīzākas prasības darbam augstumā, palielinot darba devēju un nodarbināto izpratni par nepieciešamību nodrošināt nodarbināto aizsardzību pret kritieniem no augstuma;</w:t>
      </w:r>
    </w:p>
    <w:p w:rsidR="005B0BAD" w:rsidRPr="00201457" w:rsidRDefault="00216BAB" w:rsidP="00E84407">
      <w:pPr>
        <w:pStyle w:val="ListParagraph"/>
        <w:numPr>
          <w:ilvl w:val="0"/>
          <w:numId w:val="17"/>
        </w:numPr>
        <w:tabs>
          <w:tab w:val="left" w:pos="426"/>
        </w:tabs>
        <w:contextualSpacing w:val="0"/>
        <w:rPr>
          <w:sz w:val="28"/>
          <w:szCs w:val="28"/>
        </w:rPr>
      </w:pPr>
      <w:r>
        <w:t xml:space="preserve">ar ES fondu atbalstu </w:t>
      </w:r>
      <w:r w:rsidR="005B0BAD" w:rsidRPr="00201457">
        <w:t>ievie</w:t>
      </w:r>
      <w:r w:rsidR="005B0BAD">
        <w:t>s</w:t>
      </w:r>
      <w:r w:rsidR="005B0BAD" w:rsidRPr="00201457">
        <w:t>t jaunus e-pakalpojumus</w:t>
      </w:r>
      <w:r w:rsidR="005B0BAD" w:rsidRPr="0039062B">
        <w:t xml:space="preserve"> VDI. </w:t>
      </w:r>
      <w:r w:rsidR="005B0BAD" w:rsidRPr="0039062B">
        <w:rPr>
          <w:kern w:val="1"/>
        </w:rPr>
        <w:t>201</w:t>
      </w:r>
      <w:r w:rsidR="005B0BAD">
        <w:rPr>
          <w:kern w:val="1"/>
        </w:rPr>
        <w:t>2</w:t>
      </w:r>
      <w:r w:rsidR="005B0BAD" w:rsidRPr="0039062B">
        <w:rPr>
          <w:kern w:val="1"/>
        </w:rPr>
        <w:t xml:space="preserve">.gadā VDI </w:t>
      </w:r>
      <w:r w:rsidR="005B0BAD">
        <w:rPr>
          <w:kern w:val="1"/>
        </w:rPr>
        <w:t>bija</w:t>
      </w:r>
      <w:r w:rsidR="005B0BAD" w:rsidRPr="0039062B">
        <w:rPr>
          <w:kern w:val="1"/>
        </w:rPr>
        <w:t xml:space="preserve"> izstrādāti </w:t>
      </w:r>
      <w:r w:rsidR="005B0BAD">
        <w:rPr>
          <w:kern w:val="1"/>
        </w:rPr>
        <w:t>14</w:t>
      </w:r>
      <w:r w:rsidR="005B0BAD" w:rsidRPr="0039062B">
        <w:rPr>
          <w:kern w:val="1"/>
        </w:rPr>
        <w:t xml:space="preserve"> e-pakalpojumu prototipi un</w:t>
      </w:r>
      <w:r w:rsidR="005B0BAD" w:rsidRPr="0039062B">
        <w:rPr>
          <w:rFonts w:eastAsia="MS Mincho"/>
          <w:lang w:eastAsia="ja-JP"/>
        </w:rPr>
        <w:t xml:space="preserve"> plānots, ka </w:t>
      </w:r>
      <w:r w:rsidR="005B0BAD" w:rsidRPr="00FD05FB">
        <w:t>2013.gadā</w:t>
      </w:r>
      <w:r w:rsidR="005B0BAD">
        <w:t xml:space="preserve"> </w:t>
      </w:r>
      <w:r w:rsidR="005B0BAD" w:rsidRPr="0039062B">
        <w:t xml:space="preserve">VDI būs </w:t>
      </w:r>
      <w:r w:rsidR="005B0BAD" w:rsidRPr="00FD05FB">
        <w:t>pieejami 16 e</w:t>
      </w:r>
      <w:r w:rsidR="005B0BAD">
        <w:t>-pakalpojumi.</w:t>
      </w:r>
    </w:p>
    <w:p w:rsidR="005B0BAD" w:rsidRPr="00C43284" w:rsidRDefault="005B0BAD" w:rsidP="005B0BAD">
      <w:pPr>
        <w:pStyle w:val="ListParagraph"/>
        <w:numPr>
          <w:ilvl w:val="0"/>
          <w:numId w:val="1"/>
        </w:numPr>
        <w:spacing w:before="240" w:after="120"/>
        <w:ind w:left="284" w:hanging="284"/>
        <w:contextualSpacing w:val="0"/>
        <w:rPr>
          <w:rFonts w:eastAsia="+mn-ea"/>
          <w:b/>
          <w:i/>
        </w:rPr>
      </w:pPr>
      <w:r w:rsidRPr="00C43284">
        <w:rPr>
          <w:rFonts w:eastAsia="+mn-ea"/>
          <w:b/>
          <w:i/>
        </w:rPr>
        <w:t xml:space="preserve">Ēnu ekonomikas apkarošana </w:t>
      </w:r>
      <w:r w:rsidRPr="00C43284">
        <w:rPr>
          <w:rFonts w:eastAsia="+mn-ea"/>
        </w:rPr>
        <w:t>(atbildīgā institūcija – FM)</w:t>
      </w:r>
    </w:p>
    <w:p w:rsidR="005B0BAD" w:rsidRPr="00C43284" w:rsidRDefault="005B0BAD" w:rsidP="005B0BAD">
      <w:pPr>
        <w:ind w:firstLine="567"/>
      </w:pPr>
      <w:r w:rsidRPr="00C43284">
        <w:t>Ēnu ekonomika ietekmē ne tikai valsts budžeta ieņēmumus, bet arī kropļo uzņēmējdarbības vidi, galvenokārt, radot nevienlīdzīgus konkurences apstākļus uzņēmēju starpā. Attiecīgi šīs problēmas risināšana ir jāpastiprina, izstrādājot arvien jaunus priekšlikumus ēnu ekonomikas apkarošanai.</w:t>
      </w:r>
    </w:p>
    <w:p w:rsidR="005B0BAD" w:rsidRPr="00C43284" w:rsidRDefault="005B0BAD" w:rsidP="005B0BAD">
      <w:pPr>
        <w:ind w:firstLine="567"/>
      </w:pPr>
      <w:r w:rsidRPr="00C43284">
        <w:t xml:space="preserve">2010.gadā tika sagatavots </w:t>
      </w:r>
      <w:r w:rsidRPr="00C43284">
        <w:rPr>
          <w:i/>
        </w:rPr>
        <w:t>Pasākumu plāns ēnu ekonomikas apkarošanai un godīgas konkurences nodrošināšanai 2010.–2013.gadam</w:t>
      </w:r>
      <w:r w:rsidRPr="00C43284">
        <w:t xml:space="preserve"> (turpmāk tekstā – Plāns). Plāns vairakkārt ir precizēts un pap</w:t>
      </w:r>
      <w:r>
        <w:t>ildināts ar jauniem pasākumiem.</w:t>
      </w:r>
    </w:p>
    <w:p w:rsidR="005B0BAD" w:rsidRPr="00C43284" w:rsidRDefault="005B0BAD" w:rsidP="005B0BAD">
      <w:pPr>
        <w:ind w:firstLine="567"/>
      </w:pPr>
      <w:r w:rsidRPr="00C43284">
        <w:t xml:space="preserve">Kopā Plānā šobrīd ir iekļauti 66 pasākumi, no kuriem </w:t>
      </w:r>
      <w:r>
        <w:t>līdz 2013.gadam</w:t>
      </w:r>
      <w:r w:rsidR="00D45640">
        <w:t xml:space="preserve"> </w:t>
      </w:r>
      <w:r>
        <w:t>63</w:t>
      </w:r>
      <w:r w:rsidRPr="00C43284">
        <w:t xml:space="preserve"> pasākumi ir izpildīti pilnībā un </w:t>
      </w:r>
      <w:r>
        <w:t>3</w:t>
      </w:r>
      <w:r w:rsidRPr="00C43284">
        <w:t xml:space="preserve"> pasākumu izpilde turpinās. 2012.gada laikā veikt</w:t>
      </w:r>
      <w:r>
        <w:t>i</w:t>
      </w:r>
      <w:r w:rsidRPr="00C43284">
        <w:t xml:space="preserve"> vairāk</w:t>
      </w:r>
      <w:r>
        <w:t>i</w:t>
      </w:r>
      <w:r w:rsidRPr="00C43284">
        <w:t xml:space="preserve"> svarīg</w:t>
      </w:r>
      <w:r>
        <w:t>i</w:t>
      </w:r>
      <w:r w:rsidRPr="00C43284">
        <w:t xml:space="preserve"> pasākum</w:t>
      </w:r>
      <w:r>
        <w:t>i</w:t>
      </w:r>
      <w:r w:rsidRPr="00C43284">
        <w:t>:</w:t>
      </w:r>
    </w:p>
    <w:p w:rsidR="005B0BAD" w:rsidRPr="00C43284" w:rsidRDefault="005B0BAD" w:rsidP="00E84407">
      <w:pPr>
        <w:pStyle w:val="ListParagraph"/>
        <w:numPr>
          <w:ilvl w:val="1"/>
          <w:numId w:val="20"/>
        </w:numPr>
        <w:ind w:left="709" w:hanging="283"/>
      </w:pPr>
      <w:r w:rsidRPr="00C43284">
        <w:t>pieņemt</w:t>
      </w:r>
      <w:r>
        <w:t xml:space="preserve">s </w:t>
      </w:r>
      <w:r w:rsidRPr="003506CC">
        <w:rPr>
          <w:i/>
        </w:rPr>
        <w:t>Nodokļu atbalsta pasākuma likums</w:t>
      </w:r>
      <w:r>
        <w:t>, kas</w:t>
      </w:r>
      <w:r w:rsidR="00D45640">
        <w:t xml:space="preserve"> </w:t>
      </w:r>
      <w:r>
        <w:t xml:space="preserve">paredz </w:t>
      </w:r>
      <w:r w:rsidRPr="00C43284">
        <w:t>vienreiz veicam</w:t>
      </w:r>
      <w:r>
        <w:t>u</w:t>
      </w:r>
      <w:r w:rsidRPr="00C43284">
        <w:t xml:space="preserve"> pasākum</w:t>
      </w:r>
      <w:r>
        <w:t>u</w:t>
      </w:r>
      <w:r w:rsidRPr="00C43284">
        <w:t xml:space="preserve"> nokavējuma naudas un daļējas soda naudas dzēšanai tiem nodokļu maksātājiem, kas līdz noteiktam brīdim samaksās nodokļu pamatparādu;</w:t>
      </w:r>
    </w:p>
    <w:p w:rsidR="005B0BAD" w:rsidRPr="00C43284" w:rsidRDefault="005B0BAD" w:rsidP="00E84407">
      <w:pPr>
        <w:pStyle w:val="ListParagraph"/>
        <w:numPr>
          <w:ilvl w:val="1"/>
          <w:numId w:val="20"/>
        </w:numPr>
        <w:ind w:left="709" w:hanging="283"/>
      </w:pPr>
      <w:r>
        <w:t xml:space="preserve">MK apstiprināta </w:t>
      </w:r>
      <w:r w:rsidRPr="00033E32">
        <w:rPr>
          <w:i/>
        </w:rPr>
        <w:t>„</w:t>
      </w:r>
      <w:r w:rsidRPr="00E8060A">
        <w:rPr>
          <w:i/>
        </w:rPr>
        <w:t>Koncepcija par mazo uzņēmumu nodokļa maksāšanas režīmu konsolidāciju un vienkāršošanu</w:t>
      </w:r>
      <w:r w:rsidRPr="00033E32">
        <w:rPr>
          <w:i/>
        </w:rPr>
        <w:t>”</w:t>
      </w:r>
      <w:r>
        <w:t>. Tajā aplūkoti iespējamie mazo uzņēmumu nodokļa maksāšanas režīmu konsolidācijas un vienkāršošanas pasākumu varianti un iespējamo risinājumu īstenošanas termiņi</w:t>
      </w:r>
      <w:r w:rsidRPr="00C43284">
        <w:t>;</w:t>
      </w:r>
    </w:p>
    <w:p w:rsidR="005B0BAD" w:rsidRDefault="005B0BAD" w:rsidP="00E84407">
      <w:pPr>
        <w:pStyle w:val="ListParagraph"/>
        <w:numPr>
          <w:ilvl w:val="1"/>
          <w:numId w:val="20"/>
        </w:numPr>
        <w:ind w:left="709" w:hanging="283"/>
      </w:pPr>
      <w:r>
        <w:t xml:space="preserve">papildināts </w:t>
      </w:r>
      <w:r>
        <w:rPr>
          <w:i/>
        </w:rPr>
        <w:t xml:space="preserve">Likums par nodokļiem un nodevām </w:t>
      </w:r>
      <w:r>
        <w:t xml:space="preserve">ar normu, kuras mērķis ir novērst </w:t>
      </w:r>
      <w:proofErr w:type="spellStart"/>
      <w:r>
        <w:t>mikrouzņēmumu</w:t>
      </w:r>
      <w:proofErr w:type="spellEnd"/>
      <w:r>
        <w:t xml:space="preserve"> nodokļa režīma izmantošanu nodokļu plānošanai. Paredzot, ka </w:t>
      </w:r>
      <w:r>
        <w:lastRenderedPageBreak/>
        <w:t>turpmāk darījumi tiks vērtēti kopumā, neskatoties uz to, ka katrs atsevišķs darījums neliecina par izvairīšanos no nodokļu nomaksas;</w:t>
      </w:r>
    </w:p>
    <w:p w:rsidR="005B0BAD" w:rsidRDefault="005B0BAD" w:rsidP="00E84407">
      <w:pPr>
        <w:pStyle w:val="ListParagraph"/>
        <w:numPr>
          <w:ilvl w:val="1"/>
          <w:numId w:val="20"/>
        </w:numPr>
        <w:ind w:left="709"/>
      </w:pPr>
      <w:r>
        <w:t>s</w:t>
      </w:r>
      <w:r w:rsidRPr="00DD03C9">
        <w:t xml:space="preserve">agatavoti grozījumi </w:t>
      </w:r>
      <w:r w:rsidRPr="00E8060A">
        <w:rPr>
          <w:i/>
        </w:rPr>
        <w:t>Latvijas Administratīvo pārkāpumu kodeksā</w:t>
      </w:r>
      <w:r w:rsidRPr="00DD03C9">
        <w:t xml:space="preserve">, kas paredz </w:t>
      </w:r>
      <w:r>
        <w:br/>
      </w:r>
      <w:r w:rsidRPr="00DD03C9">
        <w:t>personai</w:t>
      </w:r>
      <w:r w:rsidR="00033E32">
        <w:t>-</w:t>
      </w:r>
      <w:r w:rsidRPr="00DD03C9">
        <w:t>valdes loceklim noteikt papildsoda „tiesību atņemšana ieņemt noteiktus amatus komercsabiedrībās” piemērošanas iespēju par būtiskiem pārkāpumiem finanšu jomā, kas liegtu iespēju pārkāpējam turpināt darboties citā komercsabiedrībā</w:t>
      </w:r>
      <w:r>
        <w:t>;</w:t>
      </w:r>
    </w:p>
    <w:p w:rsidR="005B0BAD" w:rsidRDefault="005B0BAD" w:rsidP="00E84407">
      <w:pPr>
        <w:pStyle w:val="ListParagraph"/>
        <w:numPr>
          <w:ilvl w:val="1"/>
          <w:numId w:val="20"/>
        </w:numPr>
        <w:ind w:left="709"/>
      </w:pPr>
      <w:r>
        <w:t>pieņemti</w:t>
      </w:r>
      <w:r w:rsidRPr="00DD03C9">
        <w:t xml:space="preserve"> grozījumi likumā </w:t>
      </w:r>
      <w:r w:rsidRPr="00033E32">
        <w:rPr>
          <w:i/>
        </w:rPr>
        <w:t>„</w:t>
      </w:r>
      <w:r w:rsidRPr="00E8060A">
        <w:rPr>
          <w:i/>
        </w:rPr>
        <w:t>Par nodokļiem un nodevām</w:t>
      </w:r>
      <w:r w:rsidRPr="00033E32">
        <w:rPr>
          <w:i/>
        </w:rPr>
        <w:t>”</w:t>
      </w:r>
      <w:r w:rsidRPr="00DD03C9">
        <w:t xml:space="preserve">, kas paredz </w:t>
      </w:r>
      <w:r w:rsidR="00E546FF">
        <w:t xml:space="preserve">Valsts ieņēmumu dienestam (turpmāk tekstā – </w:t>
      </w:r>
      <w:r>
        <w:t>VID</w:t>
      </w:r>
      <w:r w:rsidR="00E546FF">
        <w:t>)</w:t>
      </w:r>
      <w:r w:rsidRPr="00DD03C9">
        <w:t xml:space="preserve"> tiesības apturēt nodokļu maksātāja saimniecisko darbību. Minētā regulējuma mērķis liegt ar saimniecisko darbību nodarboties tiem nodokļu maksātājiem, kuri pieļauj būtisku normatīvo aktu pārkāpumus un neizpilda nodokļu administrācijas prasības;</w:t>
      </w:r>
    </w:p>
    <w:p w:rsidR="005B0BAD" w:rsidRDefault="005B0BAD" w:rsidP="00E84407">
      <w:pPr>
        <w:pStyle w:val="ListParagraph"/>
        <w:numPr>
          <w:ilvl w:val="1"/>
          <w:numId w:val="20"/>
        </w:numPr>
        <w:ind w:left="709"/>
      </w:pPr>
      <w:r>
        <w:t xml:space="preserve">uzsākta </w:t>
      </w:r>
      <w:r w:rsidRPr="00B94DF2">
        <w:t xml:space="preserve">nodokļu maksātāju pieteikšanās </w:t>
      </w:r>
      <w:r w:rsidRPr="00E8060A">
        <w:rPr>
          <w:i/>
        </w:rPr>
        <w:t>Padziļinātās sadarbības programmas</w:t>
      </w:r>
      <w:r w:rsidR="00D45640">
        <w:t xml:space="preserve"> </w:t>
      </w:r>
      <w:r w:rsidRPr="00B94DF2">
        <w:t>dalībnieka statusam, lai saņemtu programmas dalībniekiem paredzētās valsts piedāvātās priekšrocības un atvieglojumus. Programmas mērķis ir veicināt ciešāku un efektīvāku sadarbību starp nodokļu maksātāju un nodokļu administrācij</w:t>
      </w:r>
      <w:r>
        <w:t>u, mazinot administratīvo slogu;</w:t>
      </w:r>
    </w:p>
    <w:p w:rsidR="005B0BAD" w:rsidRDefault="005B0BAD" w:rsidP="00E84407">
      <w:pPr>
        <w:pStyle w:val="ListParagraph"/>
        <w:numPr>
          <w:ilvl w:val="1"/>
          <w:numId w:val="20"/>
        </w:numPr>
        <w:ind w:left="709"/>
      </w:pPr>
      <w:r w:rsidRPr="00C0309F">
        <w:t xml:space="preserve">precizēti likumā </w:t>
      </w:r>
      <w:r w:rsidRPr="00E546FF">
        <w:rPr>
          <w:i/>
        </w:rPr>
        <w:t>„</w:t>
      </w:r>
      <w:r w:rsidRPr="00E8060A">
        <w:rPr>
          <w:i/>
        </w:rPr>
        <w:t>Par nodokļiem un nodevām</w:t>
      </w:r>
      <w:r w:rsidRPr="00E546FF">
        <w:rPr>
          <w:i/>
        </w:rPr>
        <w:t>”</w:t>
      </w:r>
      <w:r w:rsidRPr="00C0309F">
        <w:t xml:space="preserve"> paredzētie skaidras naudas lietošanas ierobežojumi</w:t>
      </w:r>
      <w:r>
        <w:t>. Grozījumi paredz</w:t>
      </w:r>
      <w:r w:rsidRPr="00C0309F">
        <w:t xml:space="preserve"> efektīvāk</w:t>
      </w:r>
      <w:r>
        <w:t xml:space="preserve">u kontroli </w:t>
      </w:r>
      <w:r w:rsidRPr="00C0309F">
        <w:t>skaidrā</w:t>
      </w:r>
      <w:r>
        <w:t>s</w:t>
      </w:r>
      <w:r w:rsidRPr="00C0309F">
        <w:t xml:space="preserve"> naud</w:t>
      </w:r>
      <w:r>
        <w:t>as</w:t>
      </w:r>
      <w:r w:rsidRPr="00C0309F">
        <w:t xml:space="preserve"> darījum</w:t>
      </w:r>
      <w:r>
        <w:t>os</w:t>
      </w:r>
      <w:r w:rsidRPr="00C0309F">
        <w:t xml:space="preserve">, </w:t>
      </w:r>
      <w:r>
        <w:t xml:space="preserve">tādējādi </w:t>
      </w:r>
      <w:r w:rsidRPr="00C0309F">
        <w:t>ierobežo</w:t>
      </w:r>
      <w:r>
        <w:t>jot</w:t>
      </w:r>
      <w:r w:rsidRPr="00C0309F">
        <w:t xml:space="preserve"> skaidras naudas lielā apmērā apriti un izvairīšanās no nodokļu maksāšanas iespējas</w:t>
      </w:r>
      <w:r>
        <w:t>.</w:t>
      </w:r>
    </w:p>
    <w:p w:rsidR="00D10697" w:rsidRDefault="00D10697" w:rsidP="00D10697">
      <w:pPr>
        <w:spacing w:before="120"/>
        <w:ind w:firstLine="567"/>
      </w:pPr>
      <w:r>
        <w:t xml:space="preserve">Plānā iekļauto uzdevumu mērķis ir ar tiešu vai netiešu ietekmi uz valsts budžeta ieņēmumiem, tādejādi daļa uzdevumu Plānā tika iekļauti ar mērķi samazināt administratīvo slogu uzņēmējiem, veicināt godīgu konkurenci, kā arī atbalstīt uzņēmējdarbības vides sakārtošanu. Kā viens no pasākumiem, kas tieši ietekmēja budžeta ieņēmumus 2012.gadā, bija fizisko personu mantiskā stāvokļa un nedeklarēto ienākumu deklarēšanas pasākums. Īstenojot iepriekš minēto pasākumu, līdz 2012.gada 31.decembrim VID bija iesniegtas 132 033 mantiskā stāvokļa deklarācijas. Par iepriekš nedeklarētiem ienākumiem aprēķināts maksājamais iedzīvotāju ienākuma nodoklis 675,2 </w:t>
      </w:r>
      <w:proofErr w:type="spellStart"/>
      <w:r>
        <w:t>tūkst</w:t>
      </w:r>
      <w:proofErr w:type="spellEnd"/>
      <w:r>
        <w:t xml:space="preserve">. latu apmērā, no kuriem maksājumi budžetā ir veikti 672,2 </w:t>
      </w:r>
      <w:proofErr w:type="spellStart"/>
      <w:r>
        <w:t>tūkst</w:t>
      </w:r>
      <w:proofErr w:type="spellEnd"/>
      <w:r>
        <w:t xml:space="preserve">. latu apmērā. Papildu ieņēmumus valsts budžetam 2012.gadā sniedza arī Nodokļu atbalsta pasākums. Tā mērķis bija atvieglot uzņēmējiem ekonomiskās krīzes rezultātā radušos nodokļu parādu slogu. Šo iespēju izmantoja 3 285 nodokļu maksātāji attiecībā uz VID administrētajiem nodokļu veidiem (iedzīvotāju ienākuma nodoklis; uzņēmumu ienākuma nodoklis; pievienotās vērtības nodoklis; akcīzes nodoklis; muitas nodoklis; valsts sociālās apdrošināšanas obligātās iemaksas un dabas resursu nodoklis) un </w:t>
      </w:r>
      <w:r>
        <w:br/>
        <w:t xml:space="preserve">6 502 nodokļu maksātāji attiecībā uz nekustamā īpašuma nodokļa parādiem. Līdz 2013.gada 15.februārim VID administrēto nodokļu veidos atmaksāti parādi 803 </w:t>
      </w:r>
      <w:proofErr w:type="spellStart"/>
      <w:r>
        <w:t>tūkst</w:t>
      </w:r>
      <w:proofErr w:type="spellEnd"/>
      <w:r>
        <w:t>. latu vērtībā.</w:t>
      </w:r>
    </w:p>
    <w:p w:rsidR="005B0BAD" w:rsidRDefault="005B0BAD" w:rsidP="005B0BAD">
      <w:pPr>
        <w:spacing w:before="120"/>
        <w:ind w:firstLine="567"/>
      </w:pPr>
      <w:r>
        <w:t xml:space="preserve">2013.gadā turpinās darbs pie </w:t>
      </w:r>
      <w:r w:rsidR="00DA1905">
        <w:t>3</w:t>
      </w:r>
      <w:r>
        <w:t xml:space="preserve"> uzdevumu izpildes:</w:t>
      </w:r>
    </w:p>
    <w:p w:rsidR="005B0BAD" w:rsidRDefault="005B0BAD" w:rsidP="00E84407">
      <w:pPr>
        <w:pStyle w:val="ListParagraph"/>
        <w:numPr>
          <w:ilvl w:val="0"/>
          <w:numId w:val="20"/>
        </w:numPr>
        <w:ind w:left="709"/>
      </w:pPr>
      <w:r>
        <w:t>izvērtēt iespējas pilnveidot nodokļu samaksas un uzskaites sistēmu</w:t>
      </w:r>
      <w:r w:rsidR="00C91BC4">
        <w:t>,</w:t>
      </w:r>
      <w:r>
        <w:t xml:space="preserve"> </w:t>
      </w:r>
      <w:proofErr w:type="spellStart"/>
      <w:r w:rsidR="00C91BC4">
        <w:t>t.</w:t>
      </w:r>
      <w:r>
        <w:t>sk</w:t>
      </w:r>
      <w:proofErr w:type="spellEnd"/>
      <w:r w:rsidR="00C91BC4">
        <w:t>.</w:t>
      </w:r>
      <w:r>
        <w:t xml:space="preserve"> iespēju izveidot sistēmu, kurā katram nodokļu maksātājam tiktu izveidots vienotais nodokļu konts, no kura tiek maksāti visi nodokļi un citi valsts obligātie maksājumi, kā arī uz kuru tiek pārskaitītas visas nodokļu pārmaksas. Uz šo brīdi secināts, ka tuvākajā laikā nav iespējams ieviest vienotu kontu nodokļu maksājumu samaksai un atmaksai, ņemot vērā būtiskās izmaksas IT sistēmu pielāgošanai, kā arī komplicētību normatīvo aktu saskaņošanai. Savukārt tiek izskatīta iespēja līdz minimumam samazināt akcīzes nodokļa maksājumu kontu skaitu, </w:t>
      </w:r>
      <w:proofErr w:type="spellStart"/>
      <w:r>
        <w:t>t.i</w:t>
      </w:r>
      <w:proofErr w:type="spellEnd"/>
      <w:r>
        <w:t>., no pašreiz esošajiem 58 kontiem pāriet uz 12 kontiem (6 konti – iekšzemes maksājumiem un 6 konti – maksājumiem</w:t>
      </w:r>
      <w:r w:rsidR="006B7A36">
        <w:t>,</w:t>
      </w:r>
      <w:r>
        <w:t xml:space="preserve"> importējot preces); </w:t>
      </w:r>
    </w:p>
    <w:p w:rsidR="005B0BAD" w:rsidRDefault="005B0BAD" w:rsidP="00E84407">
      <w:pPr>
        <w:pStyle w:val="ListParagraph"/>
        <w:numPr>
          <w:ilvl w:val="0"/>
          <w:numId w:val="20"/>
        </w:numPr>
        <w:ind w:left="709"/>
      </w:pPr>
      <w:r>
        <w:t>sagatavot vadlīnijas, kas noteiktu pamatprincipus normatīvo aktu izstrādāšanā, nodrošinot to pakāpenisku vienkāršošanu. Ministru prezidents ar 2012.gada 28.decembra rezolūcij</w:t>
      </w:r>
      <w:r w:rsidR="00747248">
        <w:t>u</w:t>
      </w:r>
      <w:r>
        <w:t xml:space="preserve"> ir devis uzdevumu, kā vienu no sasniedzamajiem mērķiem 2013.gadā ministriju un to padotības iestāžu darbībai</w:t>
      </w:r>
      <w:r w:rsidR="00747248">
        <w:t>,</w:t>
      </w:r>
      <w:r>
        <w:t xml:space="preserve"> izvirzīt nozares regulējošo </w:t>
      </w:r>
      <w:r>
        <w:lastRenderedPageBreak/>
        <w:t>normatīvo aktu vienkāršošanu un administratīvā sloga mazināšanu, tādējādi Plānā pasākumu plānots realizēt 2013.gadā;</w:t>
      </w:r>
    </w:p>
    <w:p w:rsidR="00DA7F43" w:rsidRDefault="005B0BAD" w:rsidP="00DA7F43">
      <w:pPr>
        <w:pStyle w:val="ListParagraph"/>
        <w:numPr>
          <w:ilvl w:val="0"/>
          <w:numId w:val="20"/>
        </w:numPr>
        <w:ind w:left="709"/>
      </w:pPr>
      <w:r>
        <w:t>paredzēt kontrolējošo iestāžu konfiscēto nelegālo tabakas izstrādājumu, alkoholisko dzērienu vai naftas produktu ražošanai izmantoto iekārtu utilizāciju vai iznīcināšanu, lai mazinātu risku, ka šādas iekārtas tiek atkārtoti izmantotas nelegālu produktu ražošanā. Saeimā tiek izskatīti vairāki likumprojekti saistībā ar darbībām par bezmantinieka mantas uzskaiti, novērtēšanu, realizāciju, nodošanu bez maksas, iznīcināšanu un realizācijas ieņēmumu ieskaitīšana valsts budžetā, kuros iekļautās normas radīs izmaiņas FM izstrādātajā MK noteikumu projektā. Lai nodrošinātu efektīvu valsts pārvaldi un administratīvo resursu izmantošanu, no likumprojektiem izrietošais regulējums tiks iekļauts jau sagatavotajā noteikumu projektā, kuru paredzēts iesniegt MK līdz 2013.gada 30.jūnijam.</w:t>
      </w:r>
    </w:p>
    <w:p w:rsidR="005B0BAD" w:rsidRPr="00C43284" w:rsidRDefault="005B0BAD" w:rsidP="005B0BAD">
      <w:pPr>
        <w:pStyle w:val="ListParagraph"/>
        <w:numPr>
          <w:ilvl w:val="0"/>
          <w:numId w:val="1"/>
        </w:numPr>
        <w:spacing w:before="360" w:after="120"/>
        <w:ind w:left="284" w:hanging="284"/>
        <w:contextualSpacing w:val="0"/>
        <w:rPr>
          <w:rFonts w:eastAsia="+mn-ea"/>
          <w:b/>
          <w:i/>
        </w:rPr>
      </w:pPr>
      <w:r w:rsidRPr="00C43284">
        <w:rPr>
          <w:rFonts w:eastAsia="+mn-ea"/>
          <w:b/>
          <w:i/>
        </w:rPr>
        <w:t xml:space="preserve">Pakalpojumu direktīvas ieviešana Latvijā </w:t>
      </w:r>
      <w:r w:rsidRPr="00C43284">
        <w:rPr>
          <w:rFonts w:eastAsia="+mn-ea"/>
        </w:rPr>
        <w:t>(atbildīgā institūcija – EM)</w:t>
      </w:r>
    </w:p>
    <w:p w:rsidR="005B0BAD" w:rsidRPr="00C43284" w:rsidRDefault="005B0BAD" w:rsidP="005B0BAD">
      <w:pPr>
        <w:ind w:firstLine="567"/>
      </w:pPr>
      <w:r w:rsidRPr="00C43284">
        <w:t xml:space="preserve">Pakalpojumu tirgus stiprināšanai Latvija ir pilnībā ieviesusi </w:t>
      </w:r>
      <w:hyperlink r:id="rId13" w:tooltip="http://eur-lex.europa.eu/LexUriServ/LexUriServ.do?uri=OJ:L:2006:376:0036:0068:LV:PDF" w:history="1">
        <w:r w:rsidRPr="00C43284">
          <w:rPr>
            <w:lang w:bidi="lo-LA"/>
          </w:rPr>
          <w:t xml:space="preserve">Eiropas Parlamenta un Padomes </w:t>
        </w:r>
        <w:r w:rsidRPr="00C43284">
          <w:rPr>
            <w:i/>
            <w:lang w:bidi="lo-LA"/>
          </w:rPr>
          <w:t>Direktīvas 2006/123/EK par pakalpojumiem iekšējā tirgū</w:t>
        </w:r>
      </w:hyperlink>
      <w:r w:rsidRPr="00C43284">
        <w:t xml:space="preserve"> (turpmāk tekstā – </w:t>
      </w:r>
      <w:r w:rsidRPr="00C43284">
        <w:rPr>
          <w:i/>
        </w:rPr>
        <w:t>Pakalpojumu direktīva</w:t>
      </w:r>
      <w:r w:rsidRPr="00C43284">
        <w:t xml:space="preserve">) prasības, gan pieņemot un ieviešot attiecīgus normatīvos aktus, gan veicot visaptverošu pakalpojumu regulējošo nacionālo normatīvo aktu </w:t>
      </w:r>
      <w:proofErr w:type="spellStart"/>
      <w:r w:rsidRPr="00C43284">
        <w:t>skrīningu</w:t>
      </w:r>
      <w:proofErr w:type="spellEnd"/>
      <w:r w:rsidRPr="00C43284">
        <w:t xml:space="preserve">, gan izveidojot vienoto kontaktpunktu administratīvo procedūru veikšanai. </w:t>
      </w:r>
    </w:p>
    <w:p w:rsidR="005B0BAD" w:rsidRPr="00C43284" w:rsidRDefault="005B0BAD" w:rsidP="005B0BAD">
      <w:pPr>
        <w:ind w:firstLine="567"/>
      </w:pPr>
      <w:r w:rsidRPr="00C43284">
        <w:t>Latvija ir nodrošinājusi ES noteikto 20 pamatpakalpojumu elektronizēšanu pilnā apmērā. Ir nodrošināta praktiski visu pakalpojumu, kas attiecināmi uz</w:t>
      </w:r>
      <w:r w:rsidRPr="00C43284">
        <w:rPr>
          <w:i/>
        </w:rPr>
        <w:t xml:space="preserve"> Pakalpojumu direktīvu</w:t>
      </w:r>
      <w:r w:rsidRPr="00C43284">
        <w:t>, pieprasīšana vai saņemšana elektroniskā veidā (</w:t>
      </w:r>
      <w:r w:rsidRPr="00C43284">
        <w:rPr>
          <w:i/>
          <w:lang w:bidi="lo-LA"/>
        </w:rPr>
        <w:t>Vienotajā elektroniskajā kontaktpunktā</w:t>
      </w:r>
      <w:r w:rsidRPr="00C43284">
        <w:rPr>
          <w:lang w:bidi="lo-LA"/>
        </w:rPr>
        <w:t xml:space="preserve">, kas pieejams vienotajā valsts un pašvaldību pakalpojumu portālā </w:t>
      </w:r>
      <w:hyperlink r:id="rId14" w:tooltip="http://www.latvija.lv/" w:history="1">
        <w:r w:rsidRPr="00C43284">
          <w:rPr>
            <w:u w:val="single"/>
            <w:lang w:bidi="lo-LA"/>
          </w:rPr>
          <w:t>www.latvija.lv</w:t>
        </w:r>
      </w:hyperlink>
      <w:r w:rsidRPr="00C43284">
        <w:rPr>
          <w:u w:val="single"/>
        </w:rPr>
        <w:t>,</w:t>
      </w:r>
      <w:r w:rsidR="00D45640">
        <w:rPr>
          <w:lang w:bidi="lo-LA"/>
        </w:rPr>
        <w:t xml:space="preserve"> </w:t>
      </w:r>
      <w:r w:rsidRPr="00C43284">
        <w:rPr>
          <w:lang w:bidi="lo-LA"/>
        </w:rPr>
        <w:t xml:space="preserve">kurā ir pieejami uz </w:t>
      </w:r>
      <w:r w:rsidRPr="00C43284">
        <w:rPr>
          <w:i/>
          <w:lang w:bidi="lo-LA"/>
        </w:rPr>
        <w:t>Pakalpojumu direktīvu</w:t>
      </w:r>
      <w:r w:rsidRPr="00C43284">
        <w:rPr>
          <w:lang w:bidi="lo-LA"/>
        </w:rPr>
        <w:t xml:space="preserve"> attiecināmo pakalpojumu apraksti)</w:t>
      </w:r>
      <w:r w:rsidRPr="00C43284">
        <w:t>, nodrošinot attiecīgas normas attiecīgajos reglamentējošos aktos, kas ļauj personai pieprasīt pakalpojumu elektroniski, sūtot uz kontaktinformācijā norādīto oficiālo e-pastu ar drošu elektronisko parakstu parakstītu iesniegumu un pievienojamos dokumentus, vai saņemt pakalpojumu elektroniski.</w:t>
      </w:r>
    </w:p>
    <w:p w:rsidR="005B0BAD" w:rsidRDefault="005B0BAD" w:rsidP="005B0BAD">
      <w:pPr>
        <w:ind w:firstLine="567"/>
      </w:pPr>
      <w:r>
        <w:t xml:space="preserve">2012.gadā tika pieņemts </w:t>
      </w:r>
      <w:r w:rsidRPr="00C52A2A">
        <w:rPr>
          <w:i/>
        </w:rPr>
        <w:t xml:space="preserve">Pasākumu plāns </w:t>
      </w:r>
      <w:r w:rsidR="00DE79FB">
        <w:rPr>
          <w:i/>
        </w:rPr>
        <w:t>„</w:t>
      </w:r>
      <w:r w:rsidRPr="00C52A2A">
        <w:rPr>
          <w:i/>
        </w:rPr>
        <w:t>klusēšanas</w:t>
      </w:r>
      <w:r w:rsidR="00DE79FB">
        <w:rPr>
          <w:i/>
        </w:rPr>
        <w:t>-</w:t>
      </w:r>
      <w:r w:rsidRPr="00C52A2A">
        <w:rPr>
          <w:i/>
        </w:rPr>
        <w:t>piekrišanas</w:t>
      </w:r>
      <w:r w:rsidR="00DE79FB">
        <w:rPr>
          <w:i/>
        </w:rPr>
        <w:t>”</w:t>
      </w:r>
      <w:r w:rsidRPr="00C52A2A">
        <w:rPr>
          <w:i/>
        </w:rPr>
        <w:t xml:space="preserve"> principa ieviešanai un piemērošanai atbildīgo institūciju administratīvajā praksē</w:t>
      </w:r>
      <w:r>
        <w:t xml:space="preserve">, kurā paredzēts, ka </w:t>
      </w:r>
      <w:r w:rsidR="00DE79FB">
        <w:t>„klusēšanas-</w:t>
      </w:r>
      <w:r w:rsidRPr="0091035C">
        <w:t>piekrišanas</w:t>
      </w:r>
      <w:r w:rsidR="00DE79FB">
        <w:t>”</w:t>
      </w:r>
      <w:r>
        <w:rPr>
          <w:rStyle w:val="FootnoteReference"/>
        </w:rPr>
        <w:footnoteReference w:id="15"/>
      </w:r>
      <w:r w:rsidRPr="0091035C">
        <w:t xml:space="preserve"> princip</w:t>
      </w:r>
      <w:r>
        <w:t>s sākotnēji tiks ieviests 15 pakalpojumiem.</w:t>
      </w:r>
    </w:p>
    <w:p w:rsidR="005B0BAD" w:rsidRPr="0091035C" w:rsidRDefault="005B0BAD" w:rsidP="005B0BAD">
      <w:pPr>
        <w:ind w:firstLine="567"/>
      </w:pPr>
      <w:r>
        <w:t xml:space="preserve">Latvija šobrīd ir uzsākusi darbu pie </w:t>
      </w:r>
      <w:r w:rsidR="00DE79FB">
        <w:t>„klusēšanas-</w:t>
      </w:r>
      <w:r w:rsidRPr="0091035C">
        <w:t>piekrišanas</w:t>
      </w:r>
      <w:r w:rsidR="00DE79FB">
        <w:t>”</w:t>
      </w:r>
      <w:r>
        <w:t xml:space="preserve"> principa ieviešanas arī tiem pakalpojumiem, kurus neaptver </w:t>
      </w:r>
      <w:r w:rsidRPr="00DE79FB">
        <w:rPr>
          <w:i/>
        </w:rPr>
        <w:t>Pakalpojumu direktīva</w:t>
      </w:r>
      <w:r w:rsidRPr="00AC3E9B">
        <w:t>.</w:t>
      </w:r>
      <w:r>
        <w:t xml:space="preserve"> </w:t>
      </w:r>
    </w:p>
    <w:p w:rsidR="005B0BAD" w:rsidRPr="00C43284" w:rsidRDefault="005B0BAD" w:rsidP="005B0BAD">
      <w:pPr>
        <w:pStyle w:val="ListParagraph"/>
        <w:numPr>
          <w:ilvl w:val="0"/>
          <w:numId w:val="1"/>
        </w:numPr>
        <w:spacing w:before="240" w:after="120"/>
        <w:ind w:left="284" w:hanging="284"/>
        <w:contextualSpacing w:val="0"/>
        <w:rPr>
          <w:rFonts w:eastAsia="+mn-ea"/>
          <w:b/>
          <w:i/>
        </w:rPr>
      </w:pPr>
      <w:r w:rsidRPr="00C43284">
        <w:rPr>
          <w:rFonts w:eastAsia="+mn-ea"/>
          <w:b/>
          <w:i/>
        </w:rPr>
        <w:t xml:space="preserve">ES fondu apguves uzlabošana </w:t>
      </w:r>
      <w:r w:rsidRPr="00C43284">
        <w:rPr>
          <w:rFonts w:eastAsia="+mn-ea"/>
        </w:rPr>
        <w:t>(atbildīgā institūcija – FM)</w:t>
      </w:r>
    </w:p>
    <w:p w:rsidR="005B0BAD" w:rsidRDefault="005B0BAD" w:rsidP="005B0BAD">
      <w:pPr>
        <w:ind w:firstLine="567"/>
        <w:rPr>
          <w:sz w:val="23"/>
          <w:szCs w:val="23"/>
        </w:rPr>
      </w:pPr>
      <w:r>
        <w:rPr>
          <w:sz w:val="23"/>
          <w:szCs w:val="23"/>
        </w:rPr>
        <w:t xml:space="preserve">2012.gadā paveiktie pasākumi ES fondu apguves uzlabošanai saistīti ar vadības un kontroles sistēmas pilnveidošanu, ņemot vērā arī EK norādes par nepieciešamajiem uzlabojumiem. </w:t>
      </w:r>
    </w:p>
    <w:p w:rsidR="005B0BAD" w:rsidRDefault="00233F43" w:rsidP="005B0BAD">
      <w:pPr>
        <w:ind w:firstLine="567"/>
        <w:rPr>
          <w:rFonts w:eastAsia="Times New Roman"/>
        </w:rPr>
      </w:pPr>
      <w:r>
        <w:rPr>
          <w:sz w:val="23"/>
          <w:szCs w:val="23"/>
        </w:rPr>
        <w:t xml:space="preserve">Uzlabojumi ir </w:t>
      </w:r>
      <w:r w:rsidR="005B0BAD">
        <w:t>ES fondu vadībā iesaistīto institūciju deleģēto funkciju uzraudzības pārbaudes jomā, procedūru izvērtējumā, finanšu pārvaldībā (</w:t>
      </w:r>
      <w:r w:rsidR="005B0BAD">
        <w:rPr>
          <w:rFonts w:eastAsia="Times New Roman"/>
        </w:rPr>
        <w:t>n</w:t>
      </w:r>
      <w:r w:rsidR="005B0BAD" w:rsidRPr="003A3686">
        <w:rPr>
          <w:rFonts w:eastAsia="Times New Roman"/>
        </w:rPr>
        <w:t>oteikta nacionālā procedūra maksājumu apturēšanai, ja konstatēti būtiski trūkumi</w:t>
      </w:r>
      <w:r w:rsidR="005B0BAD">
        <w:rPr>
          <w:rFonts w:eastAsia="Times New Roman"/>
        </w:rPr>
        <w:t xml:space="preserve"> </w:t>
      </w:r>
      <w:r w:rsidR="005B0BAD">
        <w:rPr>
          <w:bCs/>
          <w:iCs/>
          <w:lang w:eastAsia="lv-LV"/>
        </w:rPr>
        <w:t>uz laiku līdz attiecīgo trūkumu novēršanai, kā arī uzlabojumi finanšu korekcijas piemērošanā</w:t>
      </w:r>
      <w:r w:rsidR="005B0BAD">
        <w:rPr>
          <w:rFonts w:eastAsia="Times New Roman"/>
        </w:rPr>
        <w:t>).</w:t>
      </w:r>
    </w:p>
    <w:p w:rsidR="009478A1" w:rsidRDefault="005B0BAD" w:rsidP="005B0BAD">
      <w:pPr>
        <w:spacing w:before="120"/>
        <w:ind w:firstLine="567"/>
        <w:rPr>
          <w:rFonts w:eastAsia="Times New Roman"/>
        </w:rPr>
      </w:pPr>
      <w:r w:rsidRPr="00CF68B3">
        <w:rPr>
          <w:rFonts w:eastAsia="Times New Roman"/>
        </w:rPr>
        <w:t xml:space="preserve">Lai uzlabotu ES fondu vadības sistēmu 2014.–2020.gada plānošanas periodam, </w:t>
      </w:r>
      <w:r w:rsidR="0013609B">
        <w:rPr>
          <w:rFonts w:eastAsia="Times New Roman"/>
        </w:rPr>
        <w:t>tika</w:t>
      </w:r>
      <w:r w:rsidRPr="00CF68B3">
        <w:rPr>
          <w:rFonts w:eastAsia="Times New Roman"/>
        </w:rPr>
        <w:t xml:space="preserve"> izstrādā</w:t>
      </w:r>
      <w:r w:rsidR="0013609B">
        <w:rPr>
          <w:rFonts w:eastAsia="Times New Roman"/>
        </w:rPr>
        <w:t>ts</w:t>
      </w:r>
      <w:r w:rsidRPr="00CF68B3">
        <w:rPr>
          <w:rFonts w:eastAsia="Times New Roman"/>
        </w:rPr>
        <w:t xml:space="preserve"> </w:t>
      </w:r>
      <w:r w:rsidRPr="0013609B">
        <w:rPr>
          <w:rFonts w:eastAsia="Times New Roman"/>
          <w:i/>
        </w:rPr>
        <w:t>Koncepcija</w:t>
      </w:r>
      <w:r w:rsidR="0013609B" w:rsidRPr="0013609B">
        <w:rPr>
          <w:rFonts w:eastAsia="Times New Roman"/>
          <w:i/>
        </w:rPr>
        <w:t>s projekts</w:t>
      </w:r>
      <w:r w:rsidRPr="0013609B">
        <w:rPr>
          <w:rFonts w:eastAsia="Times New Roman"/>
          <w:i/>
        </w:rPr>
        <w:t xml:space="preserve"> par Eiropas Reģionālās attīstības fonda, Eiropas Sociālā fonda, Kohēzijas fonda, Eiropas Lauksaimniecības fonda lauku attīstībai un Eiropas Jūrlietu un zivsaimniecības fonda ieviešanu 2014.–</w:t>
      </w:r>
      <w:r w:rsidR="0013609B" w:rsidRPr="0013609B">
        <w:rPr>
          <w:rFonts w:eastAsia="Times New Roman"/>
          <w:i/>
        </w:rPr>
        <w:t>2020.</w:t>
      </w:r>
      <w:r w:rsidRPr="0013609B">
        <w:rPr>
          <w:rFonts w:eastAsia="Times New Roman"/>
          <w:i/>
        </w:rPr>
        <w:t>gadā Latvijā</w:t>
      </w:r>
      <w:r w:rsidRPr="00CF68B3">
        <w:rPr>
          <w:rFonts w:eastAsia="Times New Roman"/>
        </w:rPr>
        <w:t xml:space="preserve">, </w:t>
      </w:r>
      <w:r>
        <w:t>kas izsludināts sask</w:t>
      </w:r>
      <w:r w:rsidR="0013609B">
        <w:t>aņošanai valsts sekretāru 2013.</w:t>
      </w:r>
      <w:r>
        <w:t>gada 14.februāra sanāksmē</w:t>
      </w:r>
      <w:r>
        <w:rPr>
          <w:rFonts w:eastAsia="Times New Roman"/>
        </w:rPr>
        <w:t>.</w:t>
      </w:r>
      <w:r w:rsidRPr="00CF68B3">
        <w:rPr>
          <w:rFonts w:eastAsia="Times New Roman"/>
        </w:rPr>
        <w:t xml:space="preserve"> Koncepcijas mērķis ir panākt vienošanos </w:t>
      </w:r>
      <w:r w:rsidRPr="00CF68B3">
        <w:rPr>
          <w:rFonts w:eastAsia="Times New Roman"/>
        </w:rPr>
        <w:lastRenderedPageBreak/>
        <w:t>par ES fondu ieviešanas sistēmu 2014.–2020.gada plānošanas periodā un informēt par pasākumiem, kas veicami ES fondu vadības sistēmas vienkāršošanai.</w:t>
      </w:r>
    </w:p>
    <w:p w:rsidR="00935AB4" w:rsidRPr="00A65A58" w:rsidRDefault="00935AB4" w:rsidP="005B0BAD">
      <w:pPr>
        <w:spacing w:before="120"/>
        <w:ind w:firstLine="567"/>
        <w:rPr>
          <w:color w:val="000000"/>
        </w:rPr>
      </w:pPr>
      <w:r>
        <w:rPr>
          <w:rFonts w:eastAsia="Times New Roman"/>
        </w:rPr>
        <w:t xml:space="preserve">Kopumā augstākminēti pasākumi saistās arī ar </w:t>
      </w:r>
      <w:r w:rsidRPr="00FF5C3A">
        <w:rPr>
          <w:rFonts w:eastAsia="Times New Roman"/>
          <w:i/>
        </w:rPr>
        <w:t>„Eiropa 2020”</w:t>
      </w:r>
      <w:r>
        <w:rPr>
          <w:rFonts w:eastAsia="Times New Roman"/>
        </w:rPr>
        <w:t xml:space="preserve"> stratēģijas vadošās iniciatīvas </w:t>
      </w:r>
      <w:r w:rsidRPr="00935AB4">
        <w:rPr>
          <w:rFonts w:eastAsia="Times New Roman"/>
          <w:i/>
        </w:rPr>
        <w:t>„Jaunu prasmju un darbavietu programma”</w:t>
      </w:r>
      <w:r>
        <w:rPr>
          <w:rFonts w:eastAsia="Times New Roman"/>
        </w:rPr>
        <w:t xml:space="preserve"> īstenošanu.</w:t>
      </w:r>
    </w:p>
    <w:p w:rsidR="000A7BDA" w:rsidRPr="00C43284" w:rsidRDefault="000A7BDA" w:rsidP="001D43C0">
      <w:pPr>
        <w:pStyle w:val="Heading3"/>
        <w:spacing w:before="360" w:after="120"/>
        <w:ind w:left="567"/>
        <w:rPr>
          <w:rFonts w:ascii="Times New Roman" w:hAnsi="Times New Roman" w:cs="Times New Roman"/>
          <w:color w:val="auto"/>
        </w:rPr>
      </w:pPr>
      <w:bookmarkStart w:id="22" w:name="_Toc354384935"/>
      <w:r w:rsidRPr="00C43284">
        <w:rPr>
          <w:rFonts w:ascii="Times New Roman" w:hAnsi="Times New Roman" w:cs="Times New Roman"/>
          <w:color w:val="auto"/>
        </w:rPr>
        <w:t xml:space="preserve">3.2.2. Produktīvo investīciju </w:t>
      </w:r>
      <w:r w:rsidR="00A07A1D" w:rsidRPr="00C43284">
        <w:rPr>
          <w:rFonts w:ascii="Times New Roman" w:hAnsi="Times New Roman" w:cs="Times New Roman"/>
          <w:color w:val="auto"/>
        </w:rPr>
        <w:t xml:space="preserve">un eksporta </w:t>
      </w:r>
      <w:r w:rsidRPr="00C43284">
        <w:rPr>
          <w:rFonts w:ascii="Times New Roman" w:hAnsi="Times New Roman" w:cs="Times New Roman"/>
          <w:color w:val="auto"/>
        </w:rPr>
        <w:t>veicināšana</w:t>
      </w:r>
      <w:bookmarkEnd w:id="22"/>
    </w:p>
    <w:p w:rsidR="005B0BAD" w:rsidRDefault="005B0BAD" w:rsidP="005B0BAD">
      <w:pPr>
        <w:ind w:firstLine="567"/>
      </w:pPr>
      <w:r w:rsidRPr="00053C11">
        <w:t>Lai veicinātu ekonomikas strukturālās izmaiņas par labu preču un pakalpojumu ar augstāku pievienoto vērtību ražošanai, viena no Latvijas politikas prioritātēm ir industriālās politikas īstenošana</w:t>
      </w:r>
      <w:r w:rsidRPr="00053C11">
        <w:rPr>
          <w:i/>
        </w:rPr>
        <w:t>.</w:t>
      </w:r>
      <w:r w:rsidRPr="00053C11">
        <w:t xml:space="preserve"> </w:t>
      </w:r>
      <w:r>
        <w:t>Pašlaik valdībā ir iesniegtas „</w:t>
      </w:r>
      <w:r w:rsidRPr="00053C11">
        <w:rPr>
          <w:i/>
        </w:rPr>
        <w:t>Nacionālās industriālā</w:t>
      </w:r>
      <w:r>
        <w:rPr>
          <w:i/>
        </w:rPr>
        <w:t>s</w:t>
      </w:r>
      <w:r w:rsidRPr="00053C11">
        <w:rPr>
          <w:i/>
        </w:rPr>
        <w:t xml:space="preserve"> politikas pamatnostādnes </w:t>
      </w:r>
      <w:r w:rsidR="00017323" w:rsidRPr="00017323">
        <w:rPr>
          <w:i/>
        </w:rPr>
        <w:t>201</w:t>
      </w:r>
      <w:r w:rsidR="00017323">
        <w:rPr>
          <w:i/>
        </w:rPr>
        <w:t>4</w:t>
      </w:r>
      <w:r w:rsidRPr="00053C11">
        <w:rPr>
          <w:i/>
        </w:rPr>
        <w:t>.-2020.gadam</w:t>
      </w:r>
      <w:r>
        <w:t>”.</w:t>
      </w:r>
      <w:r w:rsidRPr="00053C11">
        <w:t xml:space="preserve"> Galvenās pamatnostādnēs formulētās problēmas ir saistītas ar Latvijas izaugsmi noteicošajiem makroekonomikas izaicinājumiem, kas izriet no globālajiem un nacionālajiem makroekonomikas aspektiem (Latvijas ekonomikas attīstības stadijas un attīstības tendencēm</w:t>
      </w:r>
      <w:r>
        <w:t xml:space="preserve">, tās </w:t>
      </w:r>
      <w:r w:rsidRPr="00053C11">
        <w:t>struktūras, globālo ekonomi</w:t>
      </w:r>
      <w:r w:rsidR="00F77516">
        <w:t>kas spēku iedarbības,) un mikro</w:t>
      </w:r>
      <w:r w:rsidRPr="00053C11">
        <w:t xml:space="preserve">ekonomikas aspektiem (uzņēmumu identificētās stratēģiskās priekšrocības un būtiskākie trūkumi jeb izaicinājumi). </w:t>
      </w:r>
      <w:r>
        <w:t xml:space="preserve">Konstatēto </w:t>
      </w:r>
      <w:r w:rsidRPr="00053C11">
        <w:t>makro un mi</w:t>
      </w:r>
      <w:r w:rsidR="00F77516">
        <w:t>kro</w:t>
      </w:r>
      <w:r>
        <w:t>ekonomikas izaicinājumu pārvarēšana</w:t>
      </w:r>
      <w:r w:rsidRPr="00053C11">
        <w:t xml:space="preserve">, ir uz ekonomisko izaugsmi vērstās struktūrpolitikas un </w:t>
      </w:r>
      <w:r>
        <w:t xml:space="preserve">atbilstošas </w:t>
      </w:r>
      <w:r w:rsidRPr="00053C11">
        <w:t>valsts intervences politikas</w:t>
      </w:r>
      <w:r>
        <w:t xml:space="preserve"> uzdevums</w:t>
      </w:r>
      <w:r w:rsidRPr="00053C11">
        <w:t>.</w:t>
      </w:r>
      <w:r>
        <w:t xml:space="preserve"> Kā galvenie politikas </w:t>
      </w:r>
      <w:r w:rsidRPr="008C1F0A">
        <w:t>rīcības virzieni</w:t>
      </w:r>
      <w:r>
        <w:t xml:space="preserve"> noteikti –</w:t>
      </w:r>
      <w:r w:rsidR="00F77516">
        <w:t xml:space="preserve"> darba</w:t>
      </w:r>
      <w:r w:rsidRPr="008C1F0A">
        <w:t>spēka pieejamības un kvalifikācijas jautājum</w:t>
      </w:r>
      <w:r>
        <w:t>i, industriālo zonu attīstība</w:t>
      </w:r>
      <w:r w:rsidRPr="008C1F0A">
        <w:t>,</w:t>
      </w:r>
      <w:r>
        <w:t xml:space="preserve"> finanšu pieejamības veicināšana</w:t>
      </w:r>
      <w:r w:rsidRPr="008C1F0A">
        <w:t>, inovācijas kapacitātes paau</w:t>
      </w:r>
      <w:r>
        <w:t>gstināšan</w:t>
      </w:r>
      <w:r w:rsidR="007C4C1E">
        <w:t>a</w:t>
      </w:r>
      <w:r>
        <w:t>, eksporta veicināšana</w:t>
      </w:r>
      <w:r w:rsidRPr="008C1F0A">
        <w:t xml:space="preserve"> un energoresursu izmaks</w:t>
      </w:r>
      <w:r>
        <w:t>u samazināšana</w:t>
      </w:r>
      <w:r w:rsidRPr="008C1F0A">
        <w:t xml:space="preserve">, atbilstoši </w:t>
      </w:r>
      <w:r>
        <w:t>tiem</w:t>
      </w:r>
      <w:r w:rsidRPr="008C1F0A">
        <w:t xml:space="preserve"> ir sagatavots veicamo pasākumu plāns turpmākajiem </w:t>
      </w:r>
      <w:r w:rsidR="007C4C1E">
        <w:t>3</w:t>
      </w:r>
      <w:r w:rsidRPr="008C1F0A">
        <w:t xml:space="preserve"> gadiem.</w:t>
      </w:r>
    </w:p>
    <w:p w:rsidR="005B0BAD" w:rsidRPr="00C43284" w:rsidRDefault="007B6F9C" w:rsidP="005B0BAD">
      <w:pPr>
        <w:ind w:firstLine="567"/>
        <w:rPr>
          <w:rFonts w:eastAsia="+mn-ea"/>
          <w:b/>
          <w:i/>
        </w:rPr>
      </w:pPr>
      <w:r w:rsidRPr="007B6F9C">
        <w:t xml:space="preserve">Ciešā saistībā ar </w:t>
      </w:r>
      <w:r w:rsidRPr="007B6F9C">
        <w:rPr>
          <w:i/>
        </w:rPr>
        <w:t>Nacionālo industriālo politiku</w:t>
      </w:r>
      <w:r w:rsidRPr="007B6F9C">
        <w:t xml:space="preserve"> 2012.gadā tika izstrādāts </w:t>
      </w:r>
      <w:r w:rsidRPr="007B6F9C">
        <w:rPr>
          <w:i/>
        </w:rPr>
        <w:t xml:space="preserve">Latvijas preču un pakalpojumu eksporta veicināšanas un ārvalstu investīciju piesaistes pamatnostādņu </w:t>
      </w:r>
      <w:r w:rsidR="00017323">
        <w:rPr>
          <w:i/>
        </w:rPr>
        <w:t>2014</w:t>
      </w:r>
      <w:r w:rsidRPr="007B6F9C">
        <w:rPr>
          <w:i/>
        </w:rPr>
        <w:t>.-2020.gadam projekts</w:t>
      </w:r>
      <w:r w:rsidRPr="007B6F9C">
        <w:t xml:space="preserve"> un Rīcības plāns tā ieviešanai, kurš tiks precizēts atbilstoši </w:t>
      </w:r>
      <w:r w:rsidRPr="007B6F9C">
        <w:rPr>
          <w:i/>
        </w:rPr>
        <w:t>Nacionālās industriālās politikas pamatnostādnēm</w:t>
      </w:r>
      <w:r w:rsidRPr="007B6F9C">
        <w:t>. Pamatnostādņu mērķis ir uzlabot Latvijas tautsaimniecības konkurētspēju atvērtos produktu (preču un pakalpojumu) un kapitāla tirgos</w:t>
      </w:r>
      <w:r w:rsidR="005B0BAD" w:rsidRPr="00C43284">
        <w:t xml:space="preserve">. </w:t>
      </w:r>
    </w:p>
    <w:p w:rsidR="005B0BAD" w:rsidRPr="00C43284" w:rsidRDefault="005B0BAD" w:rsidP="005B0BAD">
      <w:pPr>
        <w:spacing w:before="240" w:after="120"/>
        <w:ind w:firstLine="567"/>
      </w:pPr>
      <w:r w:rsidRPr="00C43284">
        <w:rPr>
          <w:u w:val="single"/>
        </w:rPr>
        <w:t>Galvenie politikas virzieni un pasākumi produktīvo investīciju un eksporta veicināšanai</w:t>
      </w:r>
      <w:r w:rsidRPr="00C43284">
        <w:t>:</w:t>
      </w:r>
    </w:p>
    <w:p w:rsidR="005B0BAD" w:rsidRPr="00C43284" w:rsidRDefault="005B0BAD" w:rsidP="005B0BAD">
      <w:pPr>
        <w:pStyle w:val="ListParagraph"/>
        <w:numPr>
          <w:ilvl w:val="0"/>
          <w:numId w:val="1"/>
        </w:numPr>
        <w:spacing w:before="240" w:after="120"/>
        <w:ind w:left="284" w:hanging="284"/>
        <w:contextualSpacing w:val="0"/>
        <w:rPr>
          <w:rFonts w:eastAsia="+mn-ea"/>
          <w:b/>
          <w:i/>
        </w:rPr>
      </w:pPr>
      <w:r w:rsidRPr="00C43284">
        <w:rPr>
          <w:rFonts w:eastAsia="+mn-ea"/>
          <w:b/>
          <w:i/>
        </w:rPr>
        <w:t xml:space="preserve">Atbalsts uzņēmumu pieejai finanšu resursiem </w:t>
      </w:r>
      <w:r w:rsidRPr="00C43284">
        <w:rPr>
          <w:rFonts w:eastAsia="+mn-ea"/>
        </w:rPr>
        <w:t>(atbildīgā institūcija – EM, FM, ZM)</w:t>
      </w:r>
    </w:p>
    <w:p w:rsidR="005B0BAD" w:rsidRPr="00C43284" w:rsidRDefault="005B0BAD" w:rsidP="005B0BAD">
      <w:pPr>
        <w:ind w:firstLine="567"/>
      </w:pPr>
      <w:r w:rsidRPr="00C43284">
        <w:t xml:space="preserve">Mērķis ir sniegt finansiālu atbalstu komercdarbības </w:t>
      </w:r>
      <w:r>
        <w:t xml:space="preserve">uzsākšanai un </w:t>
      </w:r>
      <w:r w:rsidRPr="00C43284">
        <w:t>attīstībai, atvieglot piekļuvi kredītiem un sniegt atbalstu riska investīcijām.</w:t>
      </w:r>
      <w:r w:rsidR="0010301F">
        <w:t xml:space="preserve"> Šis politikas pasākumu virziens ir saistīts arī ar </w:t>
      </w:r>
      <w:r w:rsidR="0010301F" w:rsidRPr="00353580">
        <w:rPr>
          <w:i/>
        </w:rPr>
        <w:t>2013.gada izaugsmes ziņojuma</w:t>
      </w:r>
      <w:r w:rsidR="0010301F">
        <w:t xml:space="preserve"> prioritāti attiecībā uz normālās kreditēšanas atjaunošanu.</w:t>
      </w:r>
    </w:p>
    <w:p w:rsidR="005B0BAD" w:rsidRPr="00C43284" w:rsidRDefault="005B0BAD" w:rsidP="005B0BAD">
      <w:pPr>
        <w:ind w:firstLine="567"/>
      </w:pPr>
      <w:r w:rsidRPr="00C43284">
        <w:t>Lai uzlabotu finanšu resursu pieejamību, 201</w:t>
      </w:r>
      <w:r>
        <w:t>2</w:t>
      </w:r>
      <w:r w:rsidRPr="00C43284">
        <w:t>.gadā komersantiem tika piedāvāti šādi finanšu instrumenti:</w:t>
      </w:r>
    </w:p>
    <w:p w:rsidR="005B0BAD" w:rsidRPr="009D27E1" w:rsidRDefault="005B0BAD" w:rsidP="005B0BAD">
      <w:pPr>
        <w:pStyle w:val="ListParagraph"/>
        <w:numPr>
          <w:ilvl w:val="0"/>
          <w:numId w:val="3"/>
        </w:numPr>
        <w:ind w:left="993" w:hanging="284"/>
        <w:rPr>
          <w:rFonts w:eastAsia="+mn-ea"/>
        </w:rPr>
      </w:pPr>
      <w:r w:rsidRPr="009D27E1">
        <w:rPr>
          <w:u w:val="single"/>
        </w:rPr>
        <w:t>aizdevumi komersantu konkurētspējas uzlabošanai un izaugsmei</w:t>
      </w:r>
      <w:r w:rsidRPr="009D27E1">
        <w:t xml:space="preserve">, </w:t>
      </w:r>
      <w:r w:rsidRPr="00C43284">
        <w:t>sniedzot investīciju un apgrozāmo līdzekļu aizdevumus komersantiem</w:t>
      </w:r>
      <w:r>
        <w:t>. Ir divas atbalsta programmas ar ES struktūrfondu finansējumu.</w:t>
      </w:r>
      <w:r w:rsidRPr="002C783D">
        <w:t xml:space="preserve"> </w:t>
      </w:r>
    </w:p>
    <w:p w:rsidR="003C215F" w:rsidRDefault="005B0BAD" w:rsidP="003C215F">
      <w:pPr>
        <w:ind w:left="993"/>
      </w:pPr>
      <w:r>
        <w:rPr>
          <w:rFonts w:eastAsia="+mn-ea"/>
        </w:rPr>
        <w:t>Programma komersantiem,</w:t>
      </w:r>
      <w:r w:rsidR="00D45640">
        <w:rPr>
          <w:rFonts w:eastAsia="+mn-ea"/>
        </w:rPr>
        <w:t xml:space="preserve"> </w:t>
      </w:r>
      <w:r w:rsidRPr="00C43284">
        <w:t>kuriem ir ekonomiski pamatoti turpmākās darbības plāni, bet nav pieejams kredītiestāžu fina</w:t>
      </w:r>
      <w:r>
        <w:t>nsējums paaug</w:t>
      </w:r>
      <w:r>
        <w:softHyphen/>
        <w:t>stinātu risku dēļ</w:t>
      </w:r>
      <w:r w:rsidRPr="009D27E1">
        <w:t xml:space="preserve"> </w:t>
      </w:r>
      <w:r>
        <w:t>(</w:t>
      </w:r>
      <w:r w:rsidRPr="00C43284">
        <w:t xml:space="preserve">mērķa grupa </w:t>
      </w:r>
      <w:r>
        <w:t>–</w:t>
      </w:r>
      <w:r w:rsidRPr="00C43284">
        <w:t xml:space="preserve"> komersanti, kas darbojas apstrādes rūpniecībā</w:t>
      </w:r>
      <w:r>
        <w:t>)</w:t>
      </w:r>
      <w:r w:rsidRPr="00C43284">
        <w:t>.</w:t>
      </w:r>
      <w:r w:rsidRPr="002C783D">
        <w:t xml:space="preserve"> </w:t>
      </w:r>
      <w:r>
        <w:t>Kopējais programma</w:t>
      </w:r>
      <w:r w:rsidR="00AC1765">
        <w:t>s apmērs ir 58,</w:t>
      </w:r>
      <w:r>
        <w:t xml:space="preserve">6 </w:t>
      </w:r>
      <w:proofErr w:type="spellStart"/>
      <w:r>
        <w:t>milj</w:t>
      </w:r>
      <w:proofErr w:type="spellEnd"/>
      <w:r>
        <w:t>.</w:t>
      </w:r>
      <w:r w:rsidRPr="00097766">
        <w:t xml:space="preserve"> </w:t>
      </w:r>
      <w:r>
        <w:t xml:space="preserve">latu. Līdz 2013.gadam </w:t>
      </w:r>
      <w:r w:rsidRPr="00C43284">
        <w:t xml:space="preserve">ir </w:t>
      </w:r>
      <w:r>
        <w:t xml:space="preserve">noslēgti 63 </w:t>
      </w:r>
      <w:r w:rsidRPr="00C43284">
        <w:t>aizdevum</w:t>
      </w:r>
      <w:r>
        <w:t>a līgumi ar</w:t>
      </w:r>
      <w:r w:rsidRPr="00C43284">
        <w:t xml:space="preserve"> komersantiem </w:t>
      </w:r>
      <w:r>
        <w:t>46,7</w:t>
      </w:r>
      <w:r w:rsidRPr="00C43284">
        <w:t xml:space="preserve"> </w:t>
      </w:r>
      <w:proofErr w:type="spellStart"/>
      <w:r w:rsidRPr="00C43284">
        <w:t>milj</w:t>
      </w:r>
      <w:proofErr w:type="spellEnd"/>
      <w:r w:rsidRPr="00C43284">
        <w:t>. latu apjomā (</w:t>
      </w:r>
      <w:proofErr w:type="spellStart"/>
      <w:r w:rsidRPr="00C43284">
        <w:t>t.sk</w:t>
      </w:r>
      <w:proofErr w:type="spellEnd"/>
      <w:r w:rsidRPr="00C43284">
        <w:t xml:space="preserve">. </w:t>
      </w:r>
      <w:r>
        <w:t>30,6</w:t>
      </w:r>
      <w:r w:rsidRPr="00C43284">
        <w:t xml:space="preserve"> </w:t>
      </w:r>
      <w:proofErr w:type="spellStart"/>
      <w:r w:rsidRPr="00C43284">
        <w:t>milj</w:t>
      </w:r>
      <w:proofErr w:type="spellEnd"/>
      <w:r w:rsidRPr="00C43284">
        <w:t xml:space="preserve">. latu no </w:t>
      </w:r>
      <w:r>
        <w:t>ERAF</w:t>
      </w:r>
      <w:r w:rsidRPr="00C43284">
        <w:t xml:space="preserve"> finansējuma). 201</w:t>
      </w:r>
      <w:r>
        <w:t>3</w:t>
      </w:r>
      <w:r w:rsidRPr="00C43284">
        <w:t>.gadā programmā plānots izmaksāt komersantiem 1</w:t>
      </w:r>
      <w:r>
        <w:t>4</w:t>
      </w:r>
      <w:r w:rsidRPr="00C43284">
        <w:t>,</w:t>
      </w:r>
      <w:r>
        <w:t>7</w:t>
      </w:r>
      <w:r w:rsidRPr="00C43284">
        <w:t xml:space="preserve"> </w:t>
      </w:r>
      <w:proofErr w:type="spellStart"/>
      <w:r w:rsidRPr="00C43284">
        <w:t>milj</w:t>
      </w:r>
      <w:proofErr w:type="spellEnd"/>
      <w:r w:rsidRPr="00C43284">
        <w:t>. latu (</w:t>
      </w:r>
      <w:proofErr w:type="spellStart"/>
      <w:r w:rsidRPr="00C43284">
        <w:t>t.sk</w:t>
      </w:r>
      <w:proofErr w:type="spellEnd"/>
      <w:r w:rsidRPr="00C43284">
        <w:t xml:space="preserve">. </w:t>
      </w:r>
      <w:r>
        <w:t>9,6</w:t>
      </w:r>
      <w:r w:rsidRPr="00C43284">
        <w:t xml:space="preserve"> </w:t>
      </w:r>
      <w:proofErr w:type="spellStart"/>
      <w:r w:rsidRPr="00C43284">
        <w:t>milj</w:t>
      </w:r>
      <w:proofErr w:type="spellEnd"/>
      <w:r w:rsidRPr="00C43284">
        <w:t xml:space="preserve">. latu </w:t>
      </w:r>
      <w:r>
        <w:t>ES struktūrfondu finansējums</w:t>
      </w:r>
      <w:r w:rsidRPr="00C43284">
        <w:t>)</w:t>
      </w:r>
      <w:r>
        <w:t xml:space="preserve">. Programmas </w:t>
      </w:r>
      <w:r w:rsidR="003F132A">
        <w:t>ietvaros vēl paliek pieejami 11 </w:t>
      </w:r>
      <w:proofErr w:type="spellStart"/>
      <w:r>
        <w:t>milj</w:t>
      </w:r>
      <w:proofErr w:type="spellEnd"/>
      <w:r>
        <w:t>.</w:t>
      </w:r>
      <w:r w:rsidRPr="00097766">
        <w:t xml:space="preserve"> </w:t>
      </w:r>
      <w:r>
        <w:t>latu.</w:t>
      </w:r>
    </w:p>
    <w:p w:rsidR="005B0BAD" w:rsidRDefault="005B0BAD" w:rsidP="00E84407">
      <w:pPr>
        <w:pStyle w:val="ListParagraph"/>
        <w:numPr>
          <w:ilvl w:val="0"/>
          <w:numId w:val="51"/>
        </w:numPr>
        <w:ind w:left="993" w:hanging="284"/>
      </w:pPr>
      <w:proofErr w:type="spellStart"/>
      <w:r w:rsidRPr="003C215F">
        <w:rPr>
          <w:bCs/>
          <w:i/>
          <w:u w:val="single"/>
        </w:rPr>
        <w:t>Mezzanine</w:t>
      </w:r>
      <w:proofErr w:type="spellEnd"/>
      <w:r w:rsidRPr="003C215F">
        <w:rPr>
          <w:bCs/>
          <w:u w:val="single"/>
        </w:rPr>
        <w:t xml:space="preserve"> instrumenta programma</w:t>
      </w:r>
      <w:r w:rsidRPr="003C215F">
        <w:rPr>
          <w:b/>
          <w:bCs/>
        </w:rPr>
        <w:t xml:space="preserve"> </w:t>
      </w:r>
      <w:r w:rsidRPr="003C215F">
        <w:rPr>
          <w:bCs/>
        </w:rPr>
        <w:t>(uzsākt</w:t>
      </w:r>
      <w:r w:rsidR="003C215F">
        <w:rPr>
          <w:bCs/>
        </w:rPr>
        <w:t>a</w:t>
      </w:r>
      <w:r w:rsidRPr="003C215F">
        <w:rPr>
          <w:bCs/>
        </w:rPr>
        <w:t xml:space="preserve"> 2011.gada beigās). ES fondu aktivitātes kopējais finansējums 17,7 </w:t>
      </w:r>
      <w:proofErr w:type="spellStart"/>
      <w:r w:rsidRPr="003C215F">
        <w:rPr>
          <w:bCs/>
        </w:rPr>
        <w:t>milj</w:t>
      </w:r>
      <w:proofErr w:type="spellEnd"/>
      <w:r w:rsidRPr="003C215F">
        <w:rPr>
          <w:bCs/>
        </w:rPr>
        <w:t>. latu (</w:t>
      </w:r>
      <w:proofErr w:type="spellStart"/>
      <w:r w:rsidRPr="003C215F">
        <w:rPr>
          <w:bCs/>
        </w:rPr>
        <w:t>t.sk</w:t>
      </w:r>
      <w:proofErr w:type="spellEnd"/>
      <w:r w:rsidRPr="003C215F">
        <w:rPr>
          <w:bCs/>
        </w:rPr>
        <w:t xml:space="preserve">. 10,6 </w:t>
      </w:r>
      <w:proofErr w:type="spellStart"/>
      <w:r w:rsidRPr="003C215F">
        <w:rPr>
          <w:bCs/>
        </w:rPr>
        <w:t>milj</w:t>
      </w:r>
      <w:proofErr w:type="spellEnd"/>
      <w:r w:rsidRPr="003C215F">
        <w:rPr>
          <w:bCs/>
        </w:rPr>
        <w:t xml:space="preserve">. latu ES fondu līdzfinansējums). Instrumenta mērķis ir sniegt ilgtermiņa finansējumu </w:t>
      </w:r>
      <w:r w:rsidRPr="003C215F">
        <w:rPr>
          <w:bCs/>
        </w:rPr>
        <w:lastRenderedPageBreak/>
        <w:t xml:space="preserve">komersantiem papildus bankas izsniegtajam aizdevumam, lai segtu visas ieguldījumu projekta izmaksas materiālos un nemateriālos aktīvos, kas ir saistīti ar jauna komersanta izveidi, esoša komersanta paplašināšanu, produkcijas daudzveidošanu ar jauniem papildu produktiem vai vispārējā ražošanas procesa būtisku maiņu. Uz doto brīdi ir noslēgti 3 </w:t>
      </w:r>
      <w:proofErr w:type="spellStart"/>
      <w:r w:rsidRPr="003C215F">
        <w:rPr>
          <w:bCs/>
        </w:rPr>
        <w:t>mezanīna</w:t>
      </w:r>
      <w:proofErr w:type="spellEnd"/>
      <w:r w:rsidRPr="003C215F">
        <w:rPr>
          <w:bCs/>
        </w:rPr>
        <w:t xml:space="preserve"> aizdevumu līgumi 1,14 </w:t>
      </w:r>
      <w:proofErr w:type="spellStart"/>
      <w:r w:rsidRPr="003C215F">
        <w:rPr>
          <w:bCs/>
        </w:rPr>
        <w:t>milj</w:t>
      </w:r>
      <w:proofErr w:type="spellEnd"/>
      <w:r w:rsidRPr="003C215F">
        <w:rPr>
          <w:bCs/>
        </w:rPr>
        <w:t>. latu apmērā (</w:t>
      </w:r>
      <w:proofErr w:type="spellStart"/>
      <w:r w:rsidRPr="003C215F">
        <w:rPr>
          <w:bCs/>
        </w:rPr>
        <w:t>t.sk</w:t>
      </w:r>
      <w:proofErr w:type="spellEnd"/>
      <w:r w:rsidRPr="003C215F">
        <w:rPr>
          <w:bCs/>
        </w:rPr>
        <w:t xml:space="preserve">. 0,68 </w:t>
      </w:r>
      <w:proofErr w:type="spellStart"/>
      <w:r w:rsidRPr="003C215F">
        <w:rPr>
          <w:bCs/>
        </w:rPr>
        <w:t>milj</w:t>
      </w:r>
      <w:proofErr w:type="spellEnd"/>
      <w:r w:rsidRPr="003C215F">
        <w:rPr>
          <w:bCs/>
        </w:rPr>
        <w:t xml:space="preserve">. latu ES fondu finansējums). </w:t>
      </w:r>
      <w:r w:rsidRPr="00C43284">
        <w:t>201</w:t>
      </w:r>
      <w:r>
        <w:t>3</w:t>
      </w:r>
      <w:r w:rsidRPr="00C43284">
        <w:t xml:space="preserve">.gadā plānots izsniegt </w:t>
      </w:r>
      <w:proofErr w:type="spellStart"/>
      <w:r>
        <w:t>mezanīna</w:t>
      </w:r>
      <w:proofErr w:type="spellEnd"/>
      <w:r>
        <w:t xml:space="preserve"> aizdevumus 3</w:t>
      </w:r>
      <w:r w:rsidRPr="00C43284">
        <w:t xml:space="preserve"> </w:t>
      </w:r>
      <w:proofErr w:type="spellStart"/>
      <w:r w:rsidRPr="00C43284">
        <w:t>milj</w:t>
      </w:r>
      <w:proofErr w:type="spellEnd"/>
      <w:r w:rsidRPr="00C43284">
        <w:t>. latu apmērā, bet 201</w:t>
      </w:r>
      <w:r>
        <w:t>4.gadā</w:t>
      </w:r>
      <w:r w:rsidR="00D45640">
        <w:t xml:space="preserve"> </w:t>
      </w:r>
      <w:r w:rsidR="003C215F">
        <w:t>–</w:t>
      </w:r>
      <w:r>
        <w:t xml:space="preserve"> 5,7</w:t>
      </w:r>
      <w:r w:rsidRPr="00C43284">
        <w:t xml:space="preserve"> </w:t>
      </w:r>
      <w:proofErr w:type="spellStart"/>
      <w:r w:rsidRPr="00C43284">
        <w:t>milj</w:t>
      </w:r>
      <w:proofErr w:type="spellEnd"/>
      <w:r w:rsidRPr="00C43284">
        <w:t>. latu apmērā</w:t>
      </w:r>
      <w:r>
        <w:t>;</w:t>
      </w:r>
    </w:p>
    <w:p w:rsidR="005B0BAD" w:rsidRPr="006635A8" w:rsidRDefault="005B0BAD" w:rsidP="005B0BAD">
      <w:pPr>
        <w:pStyle w:val="ListParagraph"/>
        <w:numPr>
          <w:ilvl w:val="0"/>
          <w:numId w:val="3"/>
        </w:numPr>
        <w:ind w:left="993" w:hanging="284"/>
        <w:rPr>
          <w:rFonts w:eastAsia="+mn-ea"/>
        </w:rPr>
      </w:pPr>
      <w:r w:rsidRPr="00C43284">
        <w:rPr>
          <w:u w:val="single"/>
        </w:rPr>
        <w:t>in</w:t>
      </w:r>
      <w:r>
        <w:rPr>
          <w:u w:val="single"/>
        </w:rPr>
        <w:t>dividuālās garantijas komersantiem</w:t>
      </w:r>
      <w:r w:rsidRPr="00C43284">
        <w:t xml:space="preserve"> </w:t>
      </w:r>
      <w:r w:rsidR="003C215F">
        <w:t>–</w:t>
      </w:r>
      <w:r>
        <w:t xml:space="preserve"> </w:t>
      </w:r>
      <w:r w:rsidR="003C215F">
        <w:t xml:space="preserve">tiek īstenotas </w:t>
      </w:r>
      <w:r>
        <w:t xml:space="preserve">divas ES struktūrfondu atbalsta programmas. </w:t>
      </w:r>
    </w:p>
    <w:p w:rsidR="005B0BAD" w:rsidRDefault="005B0BAD" w:rsidP="005B0BAD">
      <w:pPr>
        <w:ind w:left="993"/>
      </w:pPr>
      <w:r>
        <w:t>Pirmās m</w:t>
      </w:r>
      <w:r w:rsidRPr="00C43284">
        <w:t xml:space="preserve">ērķis </w:t>
      </w:r>
      <w:r>
        <w:t>ir</w:t>
      </w:r>
      <w:r w:rsidRPr="00C43284">
        <w:t xml:space="preserve"> nodrošināt komersantam saņemt kredītresursus komercdarbības veikšanai situācijās, kad komersanta rīcībā esošais nodrošinājums nav pietiekošs kredītresursu</w:t>
      </w:r>
      <w:r>
        <w:t xml:space="preserve"> piesaistei nepieciešamā apjomā (</w:t>
      </w:r>
      <w:r w:rsidRPr="00C43284">
        <w:t>mērķa grupa</w:t>
      </w:r>
      <w:r>
        <w:t xml:space="preserve"> –</w:t>
      </w:r>
      <w:r w:rsidRPr="00C43284">
        <w:t xml:space="preserve"> komersanti, kas darbojas apstrādes rūpniecībā</w:t>
      </w:r>
      <w:r>
        <w:t>)</w:t>
      </w:r>
      <w:r w:rsidRPr="00C43284">
        <w:t>. Programmas ietvaros līdz 201</w:t>
      </w:r>
      <w:r>
        <w:t>3</w:t>
      </w:r>
      <w:r w:rsidRPr="00C43284">
        <w:t>.gada</w:t>
      </w:r>
      <w:r>
        <w:t>m</w:t>
      </w:r>
      <w:r w:rsidRPr="00C43284">
        <w:t xml:space="preserve"> ir izsniegtas garantijas </w:t>
      </w:r>
      <w:r>
        <w:t>77,3</w:t>
      </w:r>
      <w:r w:rsidRPr="00C43284">
        <w:t xml:space="preserve"> </w:t>
      </w:r>
      <w:proofErr w:type="spellStart"/>
      <w:r w:rsidRPr="00C43284">
        <w:t>milj</w:t>
      </w:r>
      <w:proofErr w:type="spellEnd"/>
      <w:r w:rsidRPr="00C43284">
        <w:t>. latu apmērā (</w:t>
      </w:r>
      <w:r>
        <w:t>100% ES fondu finansējums)</w:t>
      </w:r>
      <w:r w:rsidRPr="00C43284">
        <w:t>. 201</w:t>
      </w:r>
      <w:r>
        <w:t>3</w:t>
      </w:r>
      <w:r w:rsidRPr="00C43284">
        <w:t xml:space="preserve">.gadā plānots izsniegt garantijas </w:t>
      </w:r>
      <w:r>
        <w:t>10</w:t>
      </w:r>
      <w:r w:rsidRPr="00C43284">
        <w:t xml:space="preserve"> </w:t>
      </w:r>
      <w:proofErr w:type="spellStart"/>
      <w:r w:rsidRPr="00C43284">
        <w:t>milj</w:t>
      </w:r>
      <w:proofErr w:type="spellEnd"/>
      <w:r w:rsidRPr="00C43284">
        <w:t>. latu, bet 201</w:t>
      </w:r>
      <w:r>
        <w:t>4</w:t>
      </w:r>
      <w:r w:rsidRPr="00C43284">
        <w:t>.gadā</w:t>
      </w:r>
      <w:r w:rsidR="00D45640">
        <w:t xml:space="preserve"> </w:t>
      </w:r>
      <w:r w:rsidRPr="00C43284">
        <w:t xml:space="preserve">– </w:t>
      </w:r>
      <w:r>
        <w:t xml:space="preserve">13 </w:t>
      </w:r>
      <w:proofErr w:type="spellStart"/>
      <w:r>
        <w:t>milj</w:t>
      </w:r>
      <w:proofErr w:type="spellEnd"/>
      <w:r>
        <w:t>. latu apmērā.</w:t>
      </w:r>
    </w:p>
    <w:p w:rsidR="005B0BAD" w:rsidRDefault="005B0BAD" w:rsidP="005B0BAD">
      <w:pPr>
        <w:ind w:left="993"/>
      </w:pPr>
      <w:r>
        <w:t>Otrās m</w:t>
      </w:r>
      <w:r w:rsidRPr="00C43284">
        <w:t xml:space="preserve">ērķis ir atbalstīt eksportētājus, sedzot ar eksporta darījumiem saistītos riskus un kalpojot par nodrošinājumu finansējuma saņemšanai eksporta darījumiem. </w:t>
      </w:r>
      <w:r>
        <w:t xml:space="preserve">Tās ir </w:t>
      </w:r>
      <w:r w:rsidRPr="00ED011D">
        <w:t>īstermiņa garantijas</w:t>
      </w:r>
      <w:r>
        <w:t xml:space="preserve"> un programmai ir 100% ES fondu finansējums. </w:t>
      </w:r>
      <w:r w:rsidRPr="00C43284">
        <w:t>Programmas ietvaros līdz 201</w:t>
      </w:r>
      <w:r>
        <w:t>3</w:t>
      </w:r>
      <w:r w:rsidRPr="00C43284">
        <w:t>.gada</w:t>
      </w:r>
      <w:r>
        <w:t>m</w:t>
      </w:r>
      <w:r w:rsidRPr="00C43284">
        <w:t xml:space="preserve"> ir izsniegtas garantijas </w:t>
      </w:r>
      <w:r>
        <w:t>7</w:t>
      </w:r>
      <w:r w:rsidRPr="00C43284">
        <w:t xml:space="preserve"> </w:t>
      </w:r>
      <w:proofErr w:type="spellStart"/>
      <w:r w:rsidRPr="00C43284">
        <w:t>milj</w:t>
      </w:r>
      <w:proofErr w:type="spellEnd"/>
      <w:r w:rsidRPr="00C43284">
        <w:t>. latu apmērā (201</w:t>
      </w:r>
      <w:r>
        <w:t>3</w:t>
      </w:r>
      <w:r w:rsidRPr="00C43284">
        <w:t xml:space="preserve">.gadā par </w:t>
      </w:r>
      <w:r>
        <w:t>2,6</w:t>
      </w:r>
      <w:r w:rsidRPr="00C43284">
        <w:t xml:space="preserve"> </w:t>
      </w:r>
      <w:proofErr w:type="spellStart"/>
      <w:r w:rsidRPr="00C43284">
        <w:t>milj</w:t>
      </w:r>
      <w:proofErr w:type="spellEnd"/>
      <w:r w:rsidRPr="00C43284">
        <w:t>. latu). 201</w:t>
      </w:r>
      <w:r>
        <w:t>3</w:t>
      </w:r>
      <w:r w:rsidRPr="00C43284">
        <w:t xml:space="preserve">.gadā plānots izsniegt garantijas 2 </w:t>
      </w:r>
      <w:proofErr w:type="spellStart"/>
      <w:r w:rsidRPr="00C43284">
        <w:t>milj</w:t>
      </w:r>
      <w:proofErr w:type="spellEnd"/>
      <w:r w:rsidRPr="00C43284">
        <w:t>. latu apmērā, bet 201</w:t>
      </w:r>
      <w:r>
        <w:t>4</w:t>
      </w:r>
      <w:r w:rsidRPr="00C43284">
        <w:t>.gadā</w:t>
      </w:r>
      <w:r w:rsidR="00D45640">
        <w:t xml:space="preserve"> </w:t>
      </w:r>
      <w:r w:rsidR="003C215F">
        <w:t>–</w:t>
      </w:r>
      <w:r w:rsidRPr="00C43284">
        <w:t xml:space="preserve"> 2,2 </w:t>
      </w:r>
      <w:proofErr w:type="spellStart"/>
      <w:r w:rsidRPr="00C43284">
        <w:t>milj</w:t>
      </w:r>
      <w:proofErr w:type="spellEnd"/>
      <w:r w:rsidRPr="00C43284">
        <w:t>. latu apmērā;</w:t>
      </w:r>
    </w:p>
    <w:p w:rsidR="005B0BAD" w:rsidRDefault="005B0BAD" w:rsidP="005B0BAD">
      <w:pPr>
        <w:pStyle w:val="ListParagraph"/>
        <w:numPr>
          <w:ilvl w:val="0"/>
          <w:numId w:val="3"/>
        </w:numPr>
        <w:ind w:left="993" w:hanging="284"/>
      </w:pPr>
      <w:r w:rsidRPr="00183FD5">
        <w:rPr>
          <w:u w:val="single"/>
        </w:rPr>
        <w:t>uzņēmējdarbības sagatavošanas un uzsākšanas atbalst</w:t>
      </w:r>
      <w:r w:rsidR="00781C19">
        <w:rPr>
          <w:u w:val="single"/>
        </w:rPr>
        <w:t>s</w:t>
      </w:r>
      <w:r w:rsidR="00781C19">
        <w:t xml:space="preserve"> –</w:t>
      </w:r>
      <w:r w:rsidRPr="00837039">
        <w:t xml:space="preserve"> </w:t>
      </w:r>
      <w:r>
        <w:t xml:space="preserve">sagatavošanas un uzsākšanas, kā arī riska kapitāla fondi, kuri darbojas ar ES fondu līdzfinansējumu. </w:t>
      </w:r>
    </w:p>
    <w:p w:rsidR="005B0BAD" w:rsidRDefault="005B0BAD" w:rsidP="005B0BAD">
      <w:pPr>
        <w:ind w:left="993"/>
      </w:pPr>
      <w:r w:rsidRPr="00837039">
        <w:t>Sagatavošanas un uzsākšanas kapitāla fondi investē sīkos (</w:t>
      </w:r>
      <w:proofErr w:type="spellStart"/>
      <w:r w:rsidRPr="00837039">
        <w:t>mikro</w:t>
      </w:r>
      <w:proofErr w:type="spellEnd"/>
      <w:r w:rsidRPr="00837039">
        <w:t>), mazos un vidējos komersantos produkta vai biznesa idejas sākotnējās koncepcijas izpētei, novērtēšanai, attīstīšanai, kā arī produktu izstrādei un sākotnējam mārketingam.</w:t>
      </w:r>
      <w:r w:rsidRPr="00183FD5">
        <w:t xml:space="preserve"> </w:t>
      </w:r>
      <w:r w:rsidR="009D39A8" w:rsidRPr="009D39A8">
        <w:t xml:space="preserve">Līdz 2013.gadam ir veiktas 10 sagatavošanas kapitāla investīcijas 0,84 </w:t>
      </w:r>
      <w:proofErr w:type="spellStart"/>
      <w:r w:rsidR="009D39A8" w:rsidRPr="009D39A8">
        <w:t>milj</w:t>
      </w:r>
      <w:proofErr w:type="spellEnd"/>
      <w:r w:rsidR="009D39A8" w:rsidRPr="009D39A8">
        <w:t xml:space="preserve">. latu apmērā, </w:t>
      </w:r>
      <w:proofErr w:type="spellStart"/>
      <w:r w:rsidR="009D39A8" w:rsidRPr="009D39A8">
        <w:t>t.sk</w:t>
      </w:r>
      <w:proofErr w:type="spellEnd"/>
      <w:r w:rsidR="009D39A8" w:rsidRPr="009D39A8">
        <w:t xml:space="preserve">., 0,77 </w:t>
      </w:r>
      <w:proofErr w:type="spellStart"/>
      <w:r w:rsidR="009D39A8" w:rsidRPr="009D39A8">
        <w:t>milj</w:t>
      </w:r>
      <w:proofErr w:type="spellEnd"/>
      <w:r w:rsidR="009D39A8" w:rsidRPr="009D39A8">
        <w:t>.</w:t>
      </w:r>
      <w:r w:rsidR="009D39A8">
        <w:t xml:space="preserve"> </w:t>
      </w:r>
      <w:r w:rsidR="009D39A8" w:rsidRPr="009D39A8">
        <w:t xml:space="preserve">latu ir ES fondu finansējums, un 3 uzsākšanas kapitāla investīcijas par 0,67 </w:t>
      </w:r>
      <w:proofErr w:type="spellStart"/>
      <w:r w:rsidR="009D39A8" w:rsidRPr="009D39A8">
        <w:t>milj</w:t>
      </w:r>
      <w:proofErr w:type="spellEnd"/>
      <w:r w:rsidR="009D39A8" w:rsidRPr="009D39A8">
        <w:t xml:space="preserve">. latu, </w:t>
      </w:r>
      <w:proofErr w:type="spellStart"/>
      <w:r w:rsidR="009D39A8" w:rsidRPr="009D39A8">
        <w:t>t.sk</w:t>
      </w:r>
      <w:proofErr w:type="spellEnd"/>
      <w:r w:rsidR="009D39A8" w:rsidRPr="009D39A8">
        <w:t xml:space="preserve">., 0,4 </w:t>
      </w:r>
      <w:proofErr w:type="spellStart"/>
      <w:r w:rsidR="009D39A8" w:rsidRPr="009D39A8">
        <w:t>milj</w:t>
      </w:r>
      <w:proofErr w:type="spellEnd"/>
      <w:r w:rsidR="009D39A8" w:rsidRPr="009D39A8">
        <w:t>. latu ES fondu finansējums.</w:t>
      </w:r>
      <w:r w:rsidRPr="00837039">
        <w:t xml:space="preserve"> Laika posmā no 2013.gada līdz 2016.gadam ir plānots veikt sagatavošanas kapitāla investīcijas 2 </w:t>
      </w:r>
      <w:proofErr w:type="spellStart"/>
      <w:r w:rsidRPr="00837039">
        <w:t>milj</w:t>
      </w:r>
      <w:proofErr w:type="spellEnd"/>
      <w:r w:rsidRPr="00837039">
        <w:t xml:space="preserve">. latu apmērā un sākuma kapitāla investīcijas 2,7 </w:t>
      </w:r>
      <w:proofErr w:type="spellStart"/>
      <w:r w:rsidRPr="00837039">
        <w:t>milj</w:t>
      </w:r>
      <w:proofErr w:type="spellEnd"/>
      <w:r w:rsidRPr="00837039">
        <w:t>. latu apmērā</w:t>
      </w:r>
      <w:r>
        <w:t>.</w:t>
      </w:r>
    </w:p>
    <w:p w:rsidR="005B0BAD" w:rsidRDefault="005B0BAD" w:rsidP="005B0BAD">
      <w:pPr>
        <w:ind w:left="993"/>
      </w:pPr>
      <w:r w:rsidRPr="00C43284">
        <w:t>Riska kapitāla fondu investīcijas var saņemt sīkie (</w:t>
      </w:r>
      <w:proofErr w:type="spellStart"/>
      <w:r w:rsidRPr="00C43284">
        <w:t>mikro</w:t>
      </w:r>
      <w:proofErr w:type="spellEnd"/>
      <w:r w:rsidRPr="00C43284">
        <w:t>), mazie un vidējie komersanti. Investīcijas veic komersantu produktu izstrādē un sākotnējā mārketingā, kā arī komersantu izaugsmē un darbības paplašināšanā. Līdz 201</w:t>
      </w:r>
      <w:r>
        <w:t>3</w:t>
      </w:r>
      <w:r w:rsidRPr="00C43284">
        <w:t>.gada</w:t>
      </w:r>
      <w:r>
        <w:t>m</w:t>
      </w:r>
      <w:r w:rsidRPr="00C43284">
        <w:t xml:space="preserve"> ir veiktas </w:t>
      </w:r>
      <w:r>
        <w:t>8</w:t>
      </w:r>
      <w:r w:rsidRPr="00C43284">
        <w:t xml:space="preserve"> riska kapitāla investīcijas </w:t>
      </w:r>
      <w:r>
        <w:t>5,7</w:t>
      </w:r>
      <w:r w:rsidRPr="00C43284">
        <w:t xml:space="preserve"> </w:t>
      </w:r>
      <w:proofErr w:type="spellStart"/>
      <w:r w:rsidRPr="00C43284">
        <w:t>milj</w:t>
      </w:r>
      <w:proofErr w:type="spellEnd"/>
      <w:r w:rsidRPr="00C43284">
        <w:t>. latu apmērā (</w:t>
      </w:r>
      <w:proofErr w:type="spellStart"/>
      <w:r w:rsidRPr="00C43284">
        <w:t>t.sk</w:t>
      </w:r>
      <w:proofErr w:type="spellEnd"/>
      <w:r w:rsidRPr="00C43284">
        <w:t xml:space="preserve">. kopējais publiskais finansējums – </w:t>
      </w:r>
      <w:r>
        <w:t xml:space="preserve">3,8 </w:t>
      </w:r>
      <w:proofErr w:type="spellStart"/>
      <w:r w:rsidRPr="00C43284">
        <w:t>milj</w:t>
      </w:r>
      <w:proofErr w:type="spellEnd"/>
      <w:r w:rsidRPr="00C43284">
        <w:t>. latu un no tā</w:t>
      </w:r>
      <w:r>
        <w:t xml:space="preserve"> 3,4</w:t>
      </w:r>
      <w:r w:rsidRPr="00C43284">
        <w:t xml:space="preserve"> </w:t>
      </w:r>
      <w:proofErr w:type="spellStart"/>
      <w:r w:rsidRPr="00C43284">
        <w:t>milj</w:t>
      </w:r>
      <w:proofErr w:type="spellEnd"/>
      <w:r w:rsidRPr="00C43284">
        <w:t>. latu ES fondu finansējums). Laika posmā no 201</w:t>
      </w:r>
      <w:r>
        <w:t>3</w:t>
      </w:r>
      <w:r w:rsidRPr="00C43284">
        <w:t xml:space="preserve">.gada līdz 2016.gadam ir plānots veikt investīcijas </w:t>
      </w:r>
      <w:r>
        <w:t>8,2</w:t>
      </w:r>
      <w:r w:rsidRPr="00C43284">
        <w:t xml:space="preserve"> </w:t>
      </w:r>
      <w:proofErr w:type="spellStart"/>
      <w:r w:rsidRPr="00C43284">
        <w:t>milj</w:t>
      </w:r>
      <w:proofErr w:type="spellEnd"/>
      <w:r w:rsidRPr="00C43284">
        <w:t>. latu apmērā</w:t>
      </w:r>
      <w:r>
        <w:t>.</w:t>
      </w:r>
    </w:p>
    <w:p w:rsidR="005B0BAD" w:rsidRDefault="005B0BAD" w:rsidP="005B0BAD">
      <w:pPr>
        <w:ind w:left="993"/>
        <w:rPr>
          <w:rFonts w:eastAsia="Times New Roman"/>
          <w:bCs/>
        </w:rPr>
      </w:pPr>
      <w:r>
        <w:t xml:space="preserve">Ar ES struktūrfondu finansējumu kopš 2009.gada darbojas arī </w:t>
      </w:r>
      <w:r w:rsidRPr="00132815">
        <w:rPr>
          <w:i/>
        </w:rPr>
        <w:t>Starta programma</w:t>
      </w:r>
      <w:r>
        <w:t xml:space="preserve"> (</w:t>
      </w:r>
      <w:proofErr w:type="spellStart"/>
      <w:r>
        <w:t>pašnodarbinātības</w:t>
      </w:r>
      <w:proofErr w:type="spellEnd"/>
      <w:r>
        <w:t xml:space="preserve"> un uzņēmējdarbības uzsākšanas atbalstam). </w:t>
      </w:r>
      <w:r w:rsidRPr="00E149D3">
        <w:rPr>
          <w:rFonts w:eastAsia="Times New Roman"/>
          <w:bCs/>
        </w:rPr>
        <w:t>Starta programmas dal</w:t>
      </w:r>
      <w:r w:rsidRPr="00DF7FB1">
        <w:rPr>
          <w:rFonts w:eastAsia="Times New Roman"/>
          <w:bCs/>
        </w:rPr>
        <w:t>ībnieki var saņemt</w:t>
      </w:r>
      <w:r w:rsidRPr="00E149D3">
        <w:rPr>
          <w:rFonts w:eastAsia="Times New Roman"/>
          <w:bCs/>
        </w:rPr>
        <w:t xml:space="preserve"> konsultācijas biznesa plā</w:t>
      </w:r>
      <w:r w:rsidRPr="00DF7FB1">
        <w:rPr>
          <w:rFonts w:eastAsia="Times New Roman"/>
          <w:bCs/>
        </w:rPr>
        <w:t>na sagatavošanā un realizācijā</w:t>
      </w:r>
      <w:r>
        <w:rPr>
          <w:rFonts w:eastAsia="Times New Roman"/>
          <w:bCs/>
        </w:rPr>
        <w:t xml:space="preserve">, kā arī </w:t>
      </w:r>
      <w:hyperlink r:id="rId15" w:history="1">
        <w:r w:rsidRPr="00E149D3">
          <w:rPr>
            <w:rFonts w:eastAsia="Times New Roman"/>
            <w:bCs/>
          </w:rPr>
          <w:t>finansiālo atbalstu</w:t>
        </w:r>
      </w:hyperlink>
      <w:r>
        <w:rPr>
          <w:rFonts w:eastAsia="Times New Roman"/>
          <w:bCs/>
        </w:rPr>
        <w:t xml:space="preserve"> (aizdevumus un grantus)</w:t>
      </w:r>
      <w:r w:rsidRPr="00E149D3">
        <w:rPr>
          <w:rFonts w:eastAsia="Times New Roman"/>
          <w:bCs/>
        </w:rPr>
        <w:t>.</w:t>
      </w:r>
      <w:r>
        <w:rPr>
          <w:rFonts w:eastAsia="Times New Roman"/>
          <w:bCs/>
        </w:rPr>
        <w:t xml:space="preserve"> Programmas ietvaros līdz 2013.gadam izsniegti aizdevumi par 8,6 </w:t>
      </w:r>
      <w:proofErr w:type="spellStart"/>
      <w:r>
        <w:rPr>
          <w:rFonts w:eastAsia="Times New Roman"/>
          <w:bCs/>
        </w:rPr>
        <w:t>milj</w:t>
      </w:r>
      <w:proofErr w:type="spellEnd"/>
      <w:r>
        <w:rPr>
          <w:rFonts w:eastAsia="Times New Roman"/>
          <w:bCs/>
        </w:rPr>
        <w:t xml:space="preserve">. latu, kas ir 52,2% no pieejamā apjoma, un granti 2,4 </w:t>
      </w:r>
      <w:proofErr w:type="spellStart"/>
      <w:r>
        <w:rPr>
          <w:rFonts w:eastAsia="Times New Roman"/>
          <w:bCs/>
        </w:rPr>
        <w:t>milj</w:t>
      </w:r>
      <w:proofErr w:type="spellEnd"/>
      <w:r>
        <w:rPr>
          <w:rFonts w:eastAsia="Times New Roman"/>
          <w:bCs/>
        </w:rPr>
        <w:t>. latu apmērā, kas ir 55,6% no grantiem pieejamā finansējuma;</w:t>
      </w:r>
    </w:p>
    <w:p w:rsidR="005B0BAD" w:rsidRPr="00214C91" w:rsidRDefault="005B0BAD" w:rsidP="005B0BAD">
      <w:pPr>
        <w:pStyle w:val="ListParagraph"/>
        <w:numPr>
          <w:ilvl w:val="0"/>
          <w:numId w:val="3"/>
        </w:numPr>
        <w:ind w:left="993" w:hanging="284"/>
        <w:rPr>
          <w:rFonts w:eastAsia="+mn-ea"/>
        </w:rPr>
      </w:pPr>
      <w:proofErr w:type="spellStart"/>
      <w:r w:rsidRPr="00214C91">
        <w:rPr>
          <w:bCs/>
          <w:u w:val="single"/>
        </w:rPr>
        <w:t>mikro</w:t>
      </w:r>
      <w:proofErr w:type="spellEnd"/>
      <w:r w:rsidRPr="00214C91">
        <w:rPr>
          <w:bCs/>
          <w:u w:val="single"/>
        </w:rPr>
        <w:t xml:space="preserve"> aizdevumi un granti</w:t>
      </w:r>
      <w:r w:rsidRPr="00214C91">
        <w:rPr>
          <w:u w:val="single"/>
        </w:rPr>
        <w:t xml:space="preserve"> </w:t>
      </w:r>
      <w:proofErr w:type="spellStart"/>
      <w:r w:rsidRPr="00214C91">
        <w:rPr>
          <w:bCs/>
          <w:u w:val="single"/>
        </w:rPr>
        <w:t>mikro</w:t>
      </w:r>
      <w:proofErr w:type="spellEnd"/>
      <w:r w:rsidRPr="00214C91">
        <w:rPr>
          <w:bCs/>
          <w:u w:val="single"/>
        </w:rPr>
        <w:t xml:space="preserve"> uzņēmumiem biznesa projektu realizācijai</w:t>
      </w:r>
      <w:r w:rsidRPr="00214C91">
        <w:rPr>
          <w:bCs/>
        </w:rPr>
        <w:t>.</w:t>
      </w:r>
      <w:r w:rsidRPr="00214C91">
        <w:t xml:space="preserve"> </w:t>
      </w:r>
    </w:p>
    <w:p w:rsidR="005B0BAD" w:rsidRDefault="005B0BAD" w:rsidP="005B0BAD">
      <w:pPr>
        <w:ind w:left="993"/>
      </w:pPr>
      <w:r>
        <w:t xml:space="preserve">Maziem un vidējiem komersantiem ir speciāla </w:t>
      </w:r>
      <w:proofErr w:type="spellStart"/>
      <w:r>
        <w:t>mikrokreditēšnas</w:t>
      </w:r>
      <w:proofErr w:type="spellEnd"/>
      <w:r>
        <w:t xml:space="preserve"> programma, kuras ietvaros var </w:t>
      </w:r>
      <w:r w:rsidRPr="00C43284">
        <w:t xml:space="preserve">saņemt </w:t>
      </w:r>
      <w:r>
        <w:t>aizdevumu investīcijām apgrozāmiem līdzekļiem.</w:t>
      </w:r>
      <w:r w:rsidRPr="00C43284">
        <w:t xml:space="preserve"> Programmas īstenošanai piesaistīti Eiropas Investīciju bankas līdzekļi (70 </w:t>
      </w:r>
      <w:proofErr w:type="spellStart"/>
      <w:r w:rsidRPr="00C43284">
        <w:t>milj</w:t>
      </w:r>
      <w:proofErr w:type="spellEnd"/>
      <w:r w:rsidRPr="00C43284">
        <w:t>. latu). Līdz 201</w:t>
      </w:r>
      <w:r>
        <w:t>3</w:t>
      </w:r>
      <w:r w:rsidRPr="00C43284">
        <w:t>.gada</w:t>
      </w:r>
      <w:r>
        <w:t>m</w:t>
      </w:r>
      <w:r w:rsidRPr="00C43284">
        <w:t xml:space="preserve"> noslēgti aizdevuma līgumi par </w:t>
      </w:r>
      <w:r>
        <w:t>31</w:t>
      </w:r>
      <w:r w:rsidRPr="00C43284">
        <w:t xml:space="preserve"> </w:t>
      </w:r>
      <w:proofErr w:type="spellStart"/>
      <w:r w:rsidRPr="00C43284">
        <w:t>milj</w:t>
      </w:r>
      <w:proofErr w:type="spellEnd"/>
      <w:r w:rsidRPr="00C43284">
        <w:t xml:space="preserve">. latu. </w:t>
      </w:r>
    </w:p>
    <w:p w:rsidR="005B0BAD" w:rsidRPr="00214C91" w:rsidRDefault="005B0BAD" w:rsidP="005B0BAD">
      <w:pPr>
        <w:ind w:left="993"/>
        <w:rPr>
          <w:rFonts w:eastAsia="+mn-ea"/>
        </w:rPr>
      </w:pPr>
      <w:r>
        <w:t>Tāpat arī</w:t>
      </w:r>
      <w:r w:rsidR="00D45640">
        <w:t xml:space="preserve"> </w:t>
      </w:r>
      <w:r w:rsidRPr="00781C19">
        <w:rPr>
          <w:i/>
        </w:rPr>
        <w:t xml:space="preserve">Latvijas un Šveices </w:t>
      </w:r>
      <w:proofErr w:type="spellStart"/>
      <w:r w:rsidRPr="00781C19">
        <w:rPr>
          <w:i/>
        </w:rPr>
        <w:t>mikrokreditēšanas</w:t>
      </w:r>
      <w:proofErr w:type="spellEnd"/>
      <w:r w:rsidRPr="00781C19">
        <w:rPr>
          <w:bCs/>
          <w:i/>
        </w:rPr>
        <w:t xml:space="preserve"> programmas</w:t>
      </w:r>
      <w:r>
        <w:rPr>
          <w:bCs/>
        </w:rPr>
        <w:t xml:space="preserve"> </w:t>
      </w:r>
      <w:r w:rsidRPr="00214C91">
        <w:rPr>
          <w:bCs/>
        </w:rPr>
        <w:t>(uzsākta 2011.gada septembrī)</w:t>
      </w:r>
      <w:r>
        <w:rPr>
          <w:bCs/>
        </w:rPr>
        <w:t xml:space="preserve"> ietvaros</w:t>
      </w:r>
      <w:r w:rsidRPr="00214C91">
        <w:rPr>
          <w:bCs/>
        </w:rPr>
        <w:t xml:space="preserve"> </w:t>
      </w:r>
      <w:r>
        <w:rPr>
          <w:bCs/>
        </w:rPr>
        <w:t>f</w:t>
      </w:r>
      <w:r w:rsidRPr="00214C91">
        <w:rPr>
          <w:bCs/>
        </w:rPr>
        <w:t xml:space="preserve">inansiālais atbalsts paredzēts investīcijām un apgrozāmiem </w:t>
      </w:r>
      <w:r w:rsidRPr="00214C91">
        <w:rPr>
          <w:bCs/>
        </w:rPr>
        <w:lastRenderedPageBreak/>
        <w:t xml:space="preserve">līdzekļiem. </w:t>
      </w:r>
      <w:r w:rsidRPr="00E359DA">
        <w:t xml:space="preserve">Aizdevuma fonda kopējais finansējums ir 4,7 </w:t>
      </w:r>
      <w:proofErr w:type="spellStart"/>
      <w:r w:rsidRPr="00E359DA">
        <w:t>milj</w:t>
      </w:r>
      <w:proofErr w:type="spellEnd"/>
      <w:r w:rsidRPr="00E359DA">
        <w:t xml:space="preserve">. latu, no kuriem 4,3 </w:t>
      </w:r>
      <w:proofErr w:type="spellStart"/>
      <w:r w:rsidRPr="00E359DA">
        <w:t>milj</w:t>
      </w:r>
      <w:proofErr w:type="spellEnd"/>
      <w:r w:rsidRPr="00E359DA">
        <w:t>. latu ir aizdevumiem (80</w:t>
      </w:r>
      <w:r w:rsidR="00781C19">
        <w:t>% Šveices līdzfinansējums) un 0,</w:t>
      </w:r>
      <w:r w:rsidRPr="00E359DA">
        <w:t xml:space="preserve">4 </w:t>
      </w:r>
      <w:proofErr w:type="spellStart"/>
      <w:r w:rsidRPr="00E359DA">
        <w:t>milj</w:t>
      </w:r>
      <w:proofErr w:type="spellEnd"/>
      <w:r w:rsidRPr="00E359DA">
        <w:t xml:space="preserve">. latu grantiem. Līdz 2012.gada 31.decembrim tika piešķirti 598 </w:t>
      </w:r>
      <w:proofErr w:type="spellStart"/>
      <w:r w:rsidRPr="00E359DA">
        <w:t>mikro</w:t>
      </w:r>
      <w:proofErr w:type="spellEnd"/>
      <w:r w:rsidRPr="00E359DA">
        <w:t xml:space="preserve"> aizdevumi 3,5 </w:t>
      </w:r>
      <w:proofErr w:type="spellStart"/>
      <w:r w:rsidRPr="00E359DA">
        <w:t>milj</w:t>
      </w:r>
      <w:proofErr w:type="spellEnd"/>
      <w:r w:rsidRPr="00E359DA">
        <w:t>. latu apmērā, no kuriem ar 566 ir noslēgti aizdevuma līgumi par</w:t>
      </w:r>
      <w:r w:rsidR="00D45640">
        <w:t xml:space="preserve"> </w:t>
      </w:r>
      <w:r w:rsidRPr="00E359DA">
        <w:t xml:space="preserve">3,2 </w:t>
      </w:r>
      <w:proofErr w:type="spellStart"/>
      <w:r w:rsidRPr="00E359DA">
        <w:t>milj</w:t>
      </w:r>
      <w:proofErr w:type="spellEnd"/>
      <w:r w:rsidRPr="00E359DA">
        <w:t xml:space="preserve">. latiem un izsniegti granti – 0,3 </w:t>
      </w:r>
      <w:proofErr w:type="spellStart"/>
      <w:r w:rsidRPr="00E359DA">
        <w:t>milj</w:t>
      </w:r>
      <w:proofErr w:type="spellEnd"/>
      <w:r w:rsidRPr="00E359DA">
        <w:t>. latu apmērā</w:t>
      </w:r>
      <w:r w:rsidRPr="00214C91">
        <w:rPr>
          <w:bCs/>
        </w:rPr>
        <w:t>;</w:t>
      </w:r>
    </w:p>
    <w:p w:rsidR="005B0BAD" w:rsidRPr="00667F38" w:rsidRDefault="005B0BAD" w:rsidP="005B0BAD">
      <w:pPr>
        <w:pStyle w:val="ListParagraph"/>
        <w:numPr>
          <w:ilvl w:val="0"/>
          <w:numId w:val="3"/>
        </w:numPr>
        <w:ind w:left="993" w:hanging="284"/>
        <w:rPr>
          <w:rFonts w:eastAsia="+mn-ea"/>
        </w:rPr>
      </w:pPr>
      <w:r w:rsidRPr="00C43284">
        <w:rPr>
          <w:bCs/>
          <w:u w:val="single"/>
        </w:rPr>
        <w:t>atbalsts lauksaimniecībai, lauku un zivsaimniecības attīstībai.</w:t>
      </w:r>
      <w:r w:rsidRPr="00C43284">
        <w:rPr>
          <w:bCs/>
        </w:rPr>
        <w:t xml:space="preserve"> </w:t>
      </w:r>
    </w:p>
    <w:p w:rsidR="005B0BAD" w:rsidRDefault="005B0BAD" w:rsidP="005B0BAD">
      <w:pPr>
        <w:ind w:left="993"/>
        <w:rPr>
          <w:bCs/>
        </w:rPr>
      </w:pPr>
      <w:r>
        <w:rPr>
          <w:bCs/>
        </w:rPr>
        <w:t>A</w:t>
      </w:r>
      <w:r w:rsidRPr="00667F38">
        <w:rPr>
          <w:bCs/>
        </w:rPr>
        <w:t xml:space="preserve">tsevišķu </w:t>
      </w:r>
      <w:r w:rsidRPr="00667F38">
        <w:rPr>
          <w:bCs/>
          <w:i/>
        </w:rPr>
        <w:t>Lauku attīstības programmas</w:t>
      </w:r>
      <w:r w:rsidRPr="00667F38">
        <w:rPr>
          <w:bCs/>
        </w:rPr>
        <w:t xml:space="preserve"> un </w:t>
      </w:r>
      <w:r w:rsidRPr="00667F38">
        <w:rPr>
          <w:bCs/>
          <w:i/>
        </w:rPr>
        <w:t>Eiropas zivsaimniecības programmas</w:t>
      </w:r>
      <w:r w:rsidRPr="00667F38">
        <w:rPr>
          <w:bCs/>
        </w:rPr>
        <w:t xml:space="preserve"> investīciju pasākumu </w:t>
      </w:r>
      <w:r>
        <w:rPr>
          <w:bCs/>
        </w:rPr>
        <w:t xml:space="preserve">īstenošanas </w:t>
      </w:r>
      <w:proofErr w:type="spellStart"/>
      <w:r>
        <w:rPr>
          <w:bCs/>
        </w:rPr>
        <w:t>kredītfonda</w:t>
      </w:r>
      <w:proofErr w:type="spellEnd"/>
      <w:r>
        <w:rPr>
          <w:bCs/>
        </w:rPr>
        <w:t xml:space="preserve"> (</w:t>
      </w:r>
      <w:r w:rsidRPr="00667F38">
        <w:rPr>
          <w:bCs/>
        </w:rPr>
        <w:t>3</w:t>
      </w:r>
      <w:r>
        <w:rPr>
          <w:bCs/>
        </w:rPr>
        <w:t>7,1</w:t>
      </w:r>
      <w:r w:rsidR="00781C19">
        <w:rPr>
          <w:bCs/>
        </w:rPr>
        <w:t xml:space="preserve"> </w:t>
      </w:r>
      <w:proofErr w:type="spellStart"/>
      <w:r w:rsidRPr="00667F38">
        <w:rPr>
          <w:bCs/>
        </w:rPr>
        <w:t>milj</w:t>
      </w:r>
      <w:proofErr w:type="spellEnd"/>
      <w:r w:rsidRPr="00667F38">
        <w:rPr>
          <w:bCs/>
        </w:rPr>
        <w:t>. latu</w:t>
      </w:r>
      <w:r>
        <w:rPr>
          <w:bCs/>
        </w:rPr>
        <w:t>,</w:t>
      </w:r>
      <w:r w:rsidRPr="00667F38">
        <w:rPr>
          <w:bCs/>
        </w:rPr>
        <w:t xml:space="preserve"> 2011.</w:t>
      </w:r>
      <w:r w:rsidR="00781C19">
        <w:rPr>
          <w:bCs/>
        </w:rPr>
        <w:t>–</w:t>
      </w:r>
      <w:r w:rsidRPr="00667F38">
        <w:rPr>
          <w:bCs/>
        </w:rPr>
        <w:t>2013.g</w:t>
      </w:r>
      <w:r>
        <w:rPr>
          <w:bCs/>
        </w:rPr>
        <w:t>.)</w:t>
      </w:r>
      <w:r w:rsidRPr="00667F38">
        <w:rPr>
          <w:bCs/>
        </w:rPr>
        <w:t xml:space="preserve"> ietvaros </w:t>
      </w:r>
      <w:r>
        <w:rPr>
          <w:bCs/>
        </w:rPr>
        <w:t>līdz</w:t>
      </w:r>
      <w:r w:rsidRPr="00667F38">
        <w:rPr>
          <w:bCs/>
        </w:rPr>
        <w:t xml:space="preserve"> </w:t>
      </w:r>
      <w:r>
        <w:rPr>
          <w:bCs/>
        </w:rPr>
        <w:t xml:space="preserve">2013.gadam </w:t>
      </w:r>
      <w:r w:rsidRPr="00667F38">
        <w:rPr>
          <w:bCs/>
        </w:rPr>
        <w:t xml:space="preserve">apstiprināto pasākumu finansējums sasniedza </w:t>
      </w:r>
      <w:r>
        <w:rPr>
          <w:bCs/>
        </w:rPr>
        <w:t>23,1</w:t>
      </w:r>
      <w:r w:rsidRPr="00667F38">
        <w:rPr>
          <w:bCs/>
        </w:rPr>
        <w:t xml:space="preserve"> </w:t>
      </w:r>
      <w:proofErr w:type="spellStart"/>
      <w:r w:rsidRPr="00667F38">
        <w:rPr>
          <w:bCs/>
        </w:rPr>
        <w:t>milj</w:t>
      </w:r>
      <w:proofErr w:type="spellEnd"/>
      <w:r w:rsidRPr="00667F38">
        <w:rPr>
          <w:bCs/>
        </w:rPr>
        <w:t>. lat</w:t>
      </w:r>
      <w:r w:rsidR="00781C19">
        <w:rPr>
          <w:bCs/>
        </w:rPr>
        <w:t>u.</w:t>
      </w:r>
      <w:r w:rsidRPr="00667F38">
        <w:rPr>
          <w:bCs/>
        </w:rPr>
        <w:t xml:space="preserve"> </w:t>
      </w:r>
    </w:p>
    <w:p w:rsidR="005B0BAD" w:rsidRPr="00E84DE6" w:rsidRDefault="005B0BAD" w:rsidP="005B0BAD">
      <w:pPr>
        <w:ind w:left="993"/>
        <w:rPr>
          <w:rFonts w:eastAsia="+mn-ea"/>
        </w:rPr>
      </w:pPr>
      <w:r>
        <w:rPr>
          <w:bCs/>
        </w:rPr>
        <w:t xml:space="preserve">Lauksaimniecības produktu ražotājiem bez tam ir paredzēts arī atbalsts apgrozāmo līdzekļu </w:t>
      </w:r>
      <w:r w:rsidRPr="00C43284">
        <w:rPr>
          <w:rFonts w:eastAsia="Times New Roman"/>
          <w:bCs/>
        </w:rPr>
        <w:t xml:space="preserve">iegādei </w:t>
      </w:r>
      <w:r>
        <w:rPr>
          <w:rFonts w:eastAsia="Times New Roman"/>
          <w:bCs/>
        </w:rPr>
        <w:t>(</w:t>
      </w:r>
      <w:r w:rsidRPr="00C43284">
        <w:rPr>
          <w:rFonts w:eastAsia="Times New Roman"/>
          <w:bCs/>
        </w:rPr>
        <w:t xml:space="preserve">līdz 2013.gada </w:t>
      </w:r>
      <w:r>
        <w:rPr>
          <w:rFonts w:eastAsia="Times New Roman"/>
          <w:bCs/>
        </w:rPr>
        <w:t>beigām</w:t>
      </w:r>
      <w:r w:rsidRPr="00C43284">
        <w:rPr>
          <w:rFonts w:eastAsia="Times New Roman"/>
          <w:bCs/>
        </w:rPr>
        <w:t xml:space="preserve"> 18 </w:t>
      </w:r>
      <w:proofErr w:type="spellStart"/>
      <w:r w:rsidRPr="00C43284">
        <w:rPr>
          <w:rFonts w:eastAsia="Times New Roman"/>
          <w:bCs/>
        </w:rPr>
        <w:t>milj</w:t>
      </w:r>
      <w:proofErr w:type="spellEnd"/>
      <w:r w:rsidRPr="00C43284">
        <w:rPr>
          <w:rFonts w:eastAsia="Times New Roman"/>
          <w:bCs/>
        </w:rPr>
        <w:t>. latu apmērā</w:t>
      </w:r>
      <w:r w:rsidR="00781C19">
        <w:rPr>
          <w:rFonts w:eastAsia="Times New Roman"/>
          <w:bCs/>
        </w:rPr>
        <w:t>;</w:t>
      </w:r>
      <w:r w:rsidRPr="00C43284">
        <w:rPr>
          <w:rFonts w:eastAsia="Times New Roman"/>
          <w:bCs/>
        </w:rPr>
        <w:t xml:space="preserve"> </w:t>
      </w:r>
      <w:r w:rsidR="00781C19">
        <w:rPr>
          <w:rFonts w:eastAsia="Times New Roman"/>
          <w:bCs/>
        </w:rPr>
        <w:t>l</w:t>
      </w:r>
      <w:r w:rsidRPr="00E84DE6">
        <w:rPr>
          <w:rFonts w:eastAsia="Times New Roman"/>
          <w:bCs/>
        </w:rPr>
        <w:t xml:space="preserve">aika posmā no 2010.gada 5.maija līdz 2012.gada 31.decembrim ir piešķirti 754 aizdevumi par 24,5 </w:t>
      </w:r>
      <w:proofErr w:type="spellStart"/>
      <w:r w:rsidRPr="00E84DE6">
        <w:rPr>
          <w:rFonts w:eastAsia="Times New Roman"/>
          <w:bCs/>
        </w:rPr>
        <w:t>milj</w:t>
      </w:r>
      <w:proofErr w:type="spellEnd"/>
      <w:r w:rsidRPr="00E84DE6">
        <w:rPr>
          <w:rFonts w:eastAsia="Times New Roman"/>
          <w:bCs/>
        </w:rPr>
        <w:t>. latu</w:t>
      </w:r>
      <w:r>
        <w:rPr>
          <w:rFonts w:eastAsia="Times New Roman"/>
          <w:bCs/>
        </w:rPr>
        <w:t xml:space="preserve">) kā arī </w:t>
      </w:r>
      <w:r w:rsidRPr="00E84DE6">
        <w:rPr>
          <w:rFonts w:eastAsia="Times New Roman"/>
          <w:bCs/>
        </w:rPr>
        <w:t>lauksaimni</w:t>
      </w:r>
      <w:r>
        <w:rPr>
          <w:rFonts w:eastAsia="Times New Roman"/>
          <w:bCs/>
        </w:rPr>
        <w:t>ecībā izmantojamas zemes iegādei kreditēšanas programmas finansējums (</w:t>
      </w:r>
      <w:r w:rsidR="00781C19">
        <w:rPr>
          <w:rFonts w:eastAsia="Times New Roman"/>
          <w:bCs/>
        </w:rPr>
        <w:t>u</w:t>
      </w:r>
      <w:r>
        <w:rPr>
          <w:rFonts w:eastAsia="Times New Roman"/>
          <w:bCs/>
        </w:rPr>
        <w:t>zsākta 2012.gadā</w:t>
      </w:r>
      <w:r w:rsidR="00781C19">
        <w:rPr>
          <w:rFonts w:eastAsia="Times New Roman"/>
          <w:bCs/>
        </w:rPr>
        <w:t>;</w:t>
      </w:r>
      <w:r w:rsidRPr="00271584">
        <w:rPr>
          <w:rFonts w:eastAsia="Times New Roman"/>
          <w:bCs/>
        </w:rPr>
        <w:t xml:space="preserve"> </w:t>
      </w:r>
      <w:r w:rsidR="00781C19">
        <w:rPr>
          <w:rFonts w:eastAsia="Times New Roman"/>
          <w:bCs/>
        </w:rPr>
        <w:t>k</w:t>
      </w:r>
      <w:r w:rsidRPr="00271584">
        <w:rPr>
          <w:rFonts w:eastAsia="Times New Roman"/>
          <w:bCs/>
        </w:rPr>
        <w:t xml:space="preserve">opējais programmas pieejamais finansējuma apmērs ir 10 </w:t>
      </w:r>
      <w:proofErr w:type="spellStart"/>
      <w:r w:rsidRPr="00271584">
        <w:rPr>
          <w:rFonts w:eastAsia="Times New Roman"/>
          <w:bCs/>
        </w:rPr>
        <w:t>milj</w:t>
      </w:r>
      <w:proofErr w:type="spellEnd"/>
      <w:r w:rsidRPr="00271584">
        <w:rPr>
          <w:rFonts w:eastAsia="Times New Roman"/>
          <w:bCs/>
        </w:rPr>
        <w:t>.</w:t>
      </w:r>
      <w:r>
        <w:rPr>
          <w:rFonts w:eastAsia="Times New Roman"/>
          <w:bCs/>
        </w:rPr>
        <w:t xml:space="preserve"> latu</w:t>
      </w:r>
      <w:r w:rsidRPr="00271584">
        <w:rPr>
          <w:rFonts w:eastAsia="Times New Roman"/>
          <w:bCs/>
        </w:rPr>
        <w:t>, no kuriem vēl pieejami 7,7</w:t>
      </w:r>
      <w:r w:rsidR="00781C19">
        <w:rPr>
          <w:rFonts w:eastAsia="Times New Roman"/>
          <w:bCs/>
        </w:rPr>
        <w:t xml:space="preserve"> </w:t>
      </w:r>
      <w:proofErr w:type="spellStart"/>
      <w:r w:rsidRPr="00271584">
        <w:rPr>
          <w:rFonts w:eastAsia="Times New Roman"/>
          <w:bCs/>
        </w:rPr>
        <w:t>milj</w:t>
      </w:r>
      <w:proofErr w:type="spellEnd"/>
      <w:r>
        <w:rPr>
          <w:rFonts w:eastAsia="Times New Roman"/>
          <w:bCs/>
        </w:rPr>
        <w:t>. latu).</w:t>
      </w:r>
    </w:p>
    <w:p w:rsidR="005B0BAD" w:rsidRDefault="005B0BAD" w:rsidP="005B0BAD">
      <w:pPr>
        <w:ind w:left="993"/>
        <w:rPr>
          <w:rFonts w:eastAsia="Times New Roman"/>
          <w:bCs/>
        </w:rPr>
      </w:pPr>
    </w:p>
    <w:p w:rsidR="005B0BAD" w:rsidRDefault="005B0BAD" w:rsidP="005B0BAD">
      <w:pPr>
        <w:ind w:firstLine="567"/>
      </w:pPr>
      <w:r>
        <w:rPr>
          <w:lang w:eastAsia="lv-LV"/>
        </w:rPr>
        <w:t xml:space="preserve">Līdz 2013.gada beigām paredzēts izveidot </w:t>
      </w:r>
      <w:r w:rsidRPr="00781C19">
        <w:rPr>
          <w:i/>
          <w:lang w:eastAsia="lv-LV"/>
        </w:rPr>
        <w:t>Vienotu attīstības finanšu institūciju</w:t>
      </w:r>
      <w:r>
        <w:rPr>
          <w:lang w:eastAsia="lv-LV"/>
        </w:rPr>
        <w:t>.</w:t>
      </w:r>
      <w:r w:rsidRPr="00105DCC">
        <w:rPr>
          <w:lang w:eastAsia="lv-LV"/>
        </w:rPr>
        <w:t xml:space="preserve"> </w:t>
      </w:r>
      <w:r w:rsidRPr="00C43284">
        <w:t>Jaunā finanšu institūcija administrēs visu produktu klāstu vienuviet, tādējādi ne tikai vienkāršojot valsts atbalsta finanšu instrumentu pieejamības procesu, bet arī nodrošinot labāku izpratni par piedāvātajiem produktiem un ātrāku reaģēšanu uz tirgus nepilnībām</w:t>
      </w:r>
      <w:r w:rsidR="003F132A">
        <w:t xml:space="preserve"> (skatīt 3.1.2. sadaļu)</w:t>
      </w:r>
      <w:r w:rsidRPr="00C43284">
        <w:t>.</w:t>
      </w:r>
    </w:p>
    <w:p w:rsidR="005B0BAD" w:rsidRPr="00E149D3" w:rsidRDefault="005B0BAD" w:rsidP="005B0BAD">
      <w:pPr>
        <w:spacing w:before="120"/>
        <w:ind w:firstLine="567"/>
        <w:rPr>
          <w:rFonts w:eastAsia="Times New Roman"/>
          <w:bCs/>
        </w:rPr>
      </w:pPr>
      <w:r w:rsidRPr="00E149D3">
        <w:rPr>
          <w:rFonts w:eastAsia="Times New Roman"/>
          <w:bCs/>
        </w:rPr>
        <w:t>2013.gadā tiks turpināts darbs pie šādām finanšu instrument</w:t>
      </w:r>
      <w:r>
        <w:rPr>
          <w:rFonts w:eastAsia="Times New Roman"/>
          <w:bCs/>
        </w:rPr>
        <w:t>u</w:t>
      </w:r>
      <w:r w:rsidRPr="00E149D3">
        <w:rPr>
          <w:rFonts w:eastAsia="Times New Roman"/>
          <w:bCs/>
        </w:rPr>
        <w:t xml:space="preserve"> un valsts atbalsta programm</w:t>
      </w:r>
      <w:r>
        <w:rPr>
          <w:rFonts w:eastAsia="Times New Roman"/>
          <w:bCs/>
        </w:rPr>
        <w:t>u iniciatīvām</w:t>
      </w:r>
      <w:r w:rsidRPr="00E149D3">
        <w:rPr>
          <w:rFonts w:eastAsia="Times New Roman"/>
          <w:bCs/>
        </w:rPr>
        <w:t>:</w:t>
      </w:r>
    </w:p>
    <w:p w:rsidR="005B0BAD" w:rsidRPr="00E149D3" w:rsidRDefault="005B0BAD" w:rsidP="00781C19">
      <w:pPr>
        <w:pStyle w:val="ListParagraph"/>
        <w:numPr>
          <w:ilvl w:val="0"/>
          <w:numId w:val="3"/>
        </w:numPr>
        <w:spacing w:after="100" w:afterAutospacing="1"/>
        <w:ind w:left="709" w:hanging="284"/>
        <w:rPr>
          <w:rFonts w:eastAsia="Times New Roman"/>
          <w:bCs/>
        </w:rPr>
      </w:pPr>
      <w:r>
        <w:rPr>
          <w:rFonts w:eastAsia="Times New Roman"/>
          <w:bCs/>
        </w:rPr>
        <w:t xml:space="preserve">sagatavots </w:t>
      </w:r>
      <w:r w:rsidRPr="003913C4">
        <w:rPr>
          <w:rFonts w:eastAsia="Times New Roman"/>
          <w:bCs/>
        </w:rPr>
        <w:t>grozījumu projekts aizdevumu programmai komersantu konkurētspējas uzlabošanai un izaugsmei</w:t>
      </w:r>
      <w:r w:rsidR="003913C4">
        <w:rPr>
          <w:rFonts w:eastAsia="Times New Roman"/>
          <w:bCs/>
        </w:rPr>
        <w:t>, kas izslēgs iespēju lielajiem komersantiem saņemt aizdevumu, kā arī tiks samazinātas izsniedzamā aizdevuma maksimālā summa un konkrētos gadījumos tiks prasīts komersantu apkalpojošās komercbankas saskaņojums</w:t>
      </w:r>
      <w:r w:rsidRPr="00E149D3">
        <w:rPr>
          <w:rFonts w:eastAsia="Times New Roman"/>
          <w:bCs/>
        </w:rPr>
        <w:t>;</w:t>
      </w:r>
    </w:p>
    <w:p w:rsidR="005B0BAD" w:rsidRPr="00E149D3" w:rsidRDefault="005B0BAD" w:rsidP="00781C19">
      <w:pPr>
        <w:pStyle w:val="ListParagraph"/>
        <w:numPr>
          <w:ilvl w:val="0"/>
          <w:numId w:val="3"/>
        </w:numPr>
        <w:spacing w:after="100" w:afterAutospacing="1"/>
        <w:ind w:left="709" w:hanging="284"/>
        <w:rPr>
          <w:rFonts w:eastAsia="Times New Roman"/>
          <w:bCs/>
        </w:rPr>
      </w:pPr>
      <w:r w:rsidRPr="00E149D3">
        <w:rPr>
          <w:rFonts w:eastAsia="Times New Roman"/>
          <w:bCs/>
        </w:rPr>
        <w:t>sagatavots grozījumu projekts par eksporta kredītu garantiju programmas paplašināšanu ar kredīta vēstuļu garantijām;</w:t>
      </w:r>
    </w:p>
    <w:p w:rsidR="005B0BAD" w:rsidRPr="00E149D3" w:rsidRDefault="005B0BAD" w:rsidP="00781C19">
      <w:pPr>
        <w:pStyle w:val="ListParagraph"/>
        <w:numPr>
          <w:ilvl w:val="0"/>
          <w:numId w:val="3"/>
        </w:numPr>
        <w:spacing w:after="100" w:afterAutospacing="1"/>
        <w:ind w:left="709" w:hanging="284"/>
        <w:rPr>
          <w:rFonts w:eastAsia="Times New Roman"/>
          <w:bCs/>
        </w:rPr>
      </w:pPr>
      <w:r w:rsidRPr="00E149D3">
        <w:rPr>
          <w:rFonts w:eastAsia="Times New Roman"/>
          <w:bCs/>
        </w:rPr>
        <w:t xml:space="preserve">priekšlikuma projekts par </w:t>
      </w:r>
      <w:proofErr w:type="spellStart"/>
      <w:r w:rsidRPr="00E149D3">
        <w:rPr>
          <w:rFonts w:eastAsia="Times New Roman"/>
          <w:bCs/>
        </w:rPr>
        <w:t>mikroaizdevuma</w:t>
      </w:r>
      <w:proofErr w:type="spellEnd"/>
      <w:r w:rsidRPr="00E149D3">
        <w:rPr>
          <w:rFonts w:eastAsia="Times New Roman"/>
          <w:bCs/>
        </w:rPr>
        <w:t xml:space="preserve"> fonda izveidošanu;</w:t>
      </w:r>
    </w:p>
    <w:p w:rsidR="005B0BAD" w:rsidRDefault="005B0BAD" w:rsidP="00781C19">
      <w:pPr>
        <w:pStyle w:val="ListParagraph"/>
        <w:numPr>
          <w:ilvl w:val="0"/>
          <w:numId w:val="3"/>
        </w:numPr>
        <w:spacing w:after="100" w:afterAutospacing="1"/>
        <w:ind w:left="709" w:hanging="284"/>
        <w:rPr>
          <w:rFonts w:eastAsia="Times New Roman"/>
          <w:bCs/>
        </w:rPr>
      </w:pPr>
      <w:r>
        <w:rPr>
          <w:rFonts w:eastAsia="Times New Roman"/>
          <w:bCs/>
        </w:rPr>
        <w:t xml:space="preserve">priekšlikuma projekts par </w:t>
      </w:r>
      <w:r w:rsidRPr="00E149D3">
        <w:rPr>
          <w:rFonts w:eastAsia="Times New Roman"/>
          <w:bCs/>
        </w:rPr>
        <w:t>akseleratoru aizdevuma instrumentu</w:t>
      </w:r>
      <w:r>
        <w:rPr>
          <w:rFonts w:eastAsia="Times New Roman"/>
          <w:bCs/>
        </w:rPr>
        <w:t>;</w:t>
      </w:r>
    </w:p>
    <w:p w:rsidR="005B0BAD" w:rsidRDefault="005B0BAD" w:rsidP="00781C19">
      <w:pPr>
        <w:pStyle w:val="ListParagraph"/>
        <w:numPr>
          <w:ilvl w:val="0"/>
          <w:numId w:val="3"/>
        </w:numPr>
        <w:spacing w:after="100" w:afterAutospacing="1"/>
        <w:ind w:left="709" w:hanging="284"/>
        <w:rPr>
          <w:rFonts w:eastAsia="Times New Roman"/>
          <w:bCs/>
        </w:rPr>
      </w:pPr>
      <w:r>
        <w:rPr>
          <w:rFonts w:eastAsia="Times New Roman"/>
          <w:bCs/>
        </w:rPr>
        <w:t xml:space="preserve">Baltijas Inovācijas fonda izveide, sadarbojoties Latvijai, Igaunijai, Lietuvai un </w:t>
      </w:r>
      <w:r w:rsidR="0069129E">
        <w:rPr>
          <w:rFonts w:eastAsia="Times New Roman"/>
          <w:bCs/>
        </w:rPr>
        <w:t>Eiropas Investīciju fondam</w:t>
      </w:r>
      <w:r>
        <w:rPr>
          <w:rFonts w:eastAsia="Times New Roman"/>
          <w:bCs/>
        </w:rPr>
        <w:t>;</w:t>
      </w:r>
    </w:p>
    <w:p w:rsidR="005B0BAD" w:rsidRDefault="005B0BAD" w:rsidP="00781C19">
      <w:pPr>
        <w:pStyle w:val="ListParagraph"/>
        <w:numPr>
          <w:ilvl w:val="0"/>
          <w:numId w:val="3"/>
        </w:numPr>
        <w:ind w:left="709" w:hanging="284"/>
        <w:rPr>
          <w:rFonts w:eastAsia="Times New Roman"/>
          <w:bCs/>
        </w:rPr>
      </w:pPr>
      <w:r>
        <w:rPr>
          <w:rFonts w:eastAsia="Times New Roman"/>
          <w:bCs/>
        </w:rPr>
        <w:t>j</w:t>
      </w:r>
      <w:r w:rsidRPr="008D19FB">
        <w:rPr>
          <w:rFonts w:eastAsia="Times New Roman"/>
          <w:bCs/>
        </w:rPr>
        <w:t>aunu riska kapitāla fondu izveide,</w:t>
      </w:r>
      <w:r w:rsidR="00781C19">
        <w:rPr>
          <w:rFonts w:eastAsia="Times New Roman"/>
          <w:bCs/>
        </w:rPr>
        <w:t xml:space="preserve"> </w:t>
      </w:r>
      <w:proofErr w:type="spellStart"/>
      <w:r w:rsidRPr="008D19FB">
        <w:rPr>
          <w:rFonts w:eastAsia="Times New Roman"/>
          <w:bCs/>
        </w:rPr>
        <w:t>u.c</w:t>
      </w:r>
      <w:proofErr w:type="spellEnd"/>
      <w:r w:rsidRPr="008D19FB">
        <w:rPr>
          <w:rFonts w:eastAsia="Times New Roman"/>
          <w:bCs/>
        </w:rPr>
        <w:t>.</w:t>
      </w:r>
    </w:p>
    <w:p w:rsidR="005B0BAD" w:rsidRPr="00FA0C1B" w:rsidRDefault="005B0BAD" w:rsidP="005B0BAD">
      <w:pPr>
        <w:pStyle w:val="ListParagraph"/>
        <w:numPr>
          <w:ilvl w:val="0"/>
          <w:numId w:val="1"/>
        </w:numPr>
        <w:spacing w:before="240" w:after="120"/>
        <w:ind w:left="284" w:hanging="284"/>
        <w:contextualSpacing w:val="0"/>
        <w:rPr>
          <w:rFonts w:eastAsia="+mn-ea"/>
          <w:b/>
          <w:i/>
        </w:rPr>
      </w:pPr>
      <w:r w:rsidRPr="00C43284">
        <w:rPr>
          <w:rFonts w:eastAsia="+mn-ea"/>
          <w:b/>
          <w:i/>
        </w:rPr>
        <w:t xml:space="preserve">Ārvalstu tiešo investīciju piesaistīšana </w:t>
      </w:r>
      <w:r w:rsidRPr="0069129E">
        <w:rPr>
          <w:rFonts w:eastAsia="+mn-ea"/>
        </w:rPr>
        <w:t>(atbildīgā institūcija – EM)</w:t>
      </w:r>
    </w:p>
    <w:p w:rsidR="005B0BAD" w:rsidRPr="00C43284" w:rsidRDefault="005B0BAD" w:rsidP="005B0BAD">
      <w:pPr>
        <w:ind w:right="-57" w:firstLine="567"/>
        <w:rPr>
          <w:rFonts w:eastAsia="Times New Roman"/>
          <w:bCs/>
        </w:rPr>
      </w:pPr>
      <w:r w:rsidRPr="00C43284">
        <w:rPr>
          <w:rFonts w:eastAsia="Times New Roman"/>
          <w:bCs/>
        </w:rPr>
        <w:t xml:space="preserve">Mērķis ir piesaistīt ārvalstu tiešās investīcijas (turpmāk tekstā – ĀTI) uz ārējo </w:t>
      </w:r>
      <w:r>
        <w:rPr>
          <w:rFonts w:eastAsia="Times New Roman"/>
          <w:bCs/>
        </w:rPr>
        <w:t>pieprasījumu orientētām nozarēm</w:t>
      </w:r>
      <w:r w:rsidRPr="00C43284">
        <w:rPr>
          <w:rFonts w:eastAsia="Times New Roman"/>
          <w:bCs/>
        </w:rPr>
        <w:t>.</w:t>
      </w:r>
    </w:p>
    <w:p w:rsidR="005B0BAD" w:rsidRPr="00C43284" w:rsidRDefault="00C22B56" w:rsidP="005B0BAD">
      <w:pPr>
        <w:ind w:right="-57" w:firstLine="567"/>
        <w:rPr>
          <w:rFonts w:eastAsia="Times New Roman"/>
          <w:bCs/>
        </w:rPr>
      </w:pPr>
      <w:r>
        <w:rPr>
          <w:rFonts w:eastAsia="Times New Roman"/>
          <w:bCs/>
        </w:rPr>
        <w:t xml:space="preserve">Latvijas Investīciju un attīstības aģentūra (turpmāk tekstā – </w:t>
      </w:r>
      <w:r w:rsidR="005B0BAD" w:rsidRPr="00725969">
        <w:rPr>
          <w:rFonts w:eastAsia="Times New Roman"/>
          <w:bCs/>
        </w:rPr>
        <w:t>LIAA</w:t>
      </w:r>
      <w:r>
        <w:rPr>
          <w:rFonts w:eastAsia="Times New Roman"/>
          <w:bCs/>
        </w:rPr>
        <w:t>)</w:t>
      </w:r>
      <w:r w:rsidR="005B0BAD" w:rsidRPr="00725969">
        <w:rPr>
          <w:rFonts w:eastAsia="Times New Roman"/>
          <w:bCs/>
        </w:rPr>
        <w:t xml:space="preserve"> un Latvijas Ārējās ekonomiskās pārstāvniecības pakalpojumus Latvijas komersantiem un ārva</w:t>
      </w:r>
      <w:r w:rsidR="00A54447">
        <w:rPr>
          <w:rFonts w:eastAsia="Times New Roman"/>
          <w:bCs/>
        </w:rPr>
        <w:t xml:space="preserve">lstu investoriem nodrošina pēc </w:t>
      </w:r>
      <w:r w:rsidR="005B0BAD" w:rsidRPr="00725969">
        <w:rPr>
          <w:rFonts w:eastAsia="Times New Roman"/>
          <w:bCs/>
        </w:rPr>
        <w:t>vienas pieturas aģentūras principa. LIAA un Latvijas Ārējās ekonomiskās pārstāvniecības darbojas potenciālo un esošo investoru apkalpošanā – nodrošina ar nepieciešamo informāciju, komunicē ar attiecīgajām institūcijām, piedāvā investīciju projektu īstenošanas vietas un atbilstošos investīciju stimulus. Savukārt</w:t>
      </w:r>
      <w:r w:rsidR="005B0BAD">
        <w:rPr>
          <w:rFonts w:eastAsia="Times New Roman"/>
          <w:bCs/>
        </w:rPr>
        <w:t>, s</w:t>
      </w:r>
      <w:r w:rsidR="005B0BAD" w:rsidRPr="00C43284">
        <w:rPr>
          <w:rFonts w:eastAsia="Times New Roman"/>
          <w:bCs/>
        </w:rPr>
        <w:t xml:space="preserve">askaņotu starpresoru sadarbību sekmīgai investīciju projektu īstenošanai nodrošina Lielo un stratēģiski nozīmīgo investīciju projektu koordinācijas padome, kuras sastāvā darbojas </w:t>
      </w:r>
      <w:r w:rsidR="005B0BAD">
        <w:rPr>
          <w:rFonts w:eastAsia="Times New Roman"/>
          <w:bCs/>
        </w:rPr>
        <w:t>ieinteresēto ministriju</w:t>
      </w:r>
      <w:r w:rsidR="005B0BAD" w:rsidRPr="00C43284">
        <w:rPr>
          <w:rFonts w:eastAsia="Times New Roman"/>
          <w:bCs/>
        </w:rPr>
        <w:t xml:space="preserve"> ministri, kā arī pieaicināti valsts un pašvaldību institūciju, infrastruktūras uzņēmumu, nevalstisko organizāciju pārstāvji un citi eksperti.</w:t>
      </w:r>
    </w:p>
    <w:p w:rsidR="005B0BAD" w:rsidRDefault="008D0A55" w:rsidP="005B0BAD">
      <w:pPr>
        <w:ind w:right="-57" w:firstLine="567"/>
        <w:rPr>
          <w:rFonts w:eastAsia="Times New Roman"/>
          <w:bCs/>
        </w:rPr>
      </w:pPr>
      <w:r w:rsidRPr="008D0A55">
        <w:rPr>
          <w:rFonts w:eastAsia="Times New Roman"/>
          <w:bCs/>
        </w:rPr>
        <w:lastRenderedPageBreak/>
        <w:t>2012.gadā tika īstenotas ĀTI piesaistes aktivitātes attiecībā uz prioritārām valstīm, sagatavojot/attīstot piedāvājumus konkrētās nozarēs un jomās un pastiprināti izvērsta investoru pēc-apkalpošana</w:t>
      </w:r>
      <w:r w:rsidR="005B0BAD" w:rsidRPr="00C43284">
        <w:rPr>
          <w:rFonts w:eastAsia="Times New Roman"/>
          <w:bCs/>
        </w:rPr>
        <w:t xml:space="preserve">. </w:t>
      </w:r>
    </w:p>
    <w:p w:rsidR="005B0BAD" w:rsidRPr="00A26087" w:rsidRDefault="005B0BAD" w:rsidP="005B0BAD">
      <w:pPr>
        <w:ind w:right="-57" w:firstLine="567"/>
        <w:rPr>
          <w:rFonts w:eastAsia="Times New Roman"/>
          <w:bCs/>
        </w:rPr>
      </w:pPr>
      <w:r w:rsidRPr="00C43284">
        <w:rPr>
          <w:rFonts w:eastAsia="Times New Roman"/>
          <w:bCs/>
        </w:rPr>
        <w:t xml:space="preserve">2012.gadā </w:t>
      </w:r>
      <w:r>
        <w:rPr>
          <w:rFonts w:eastAsia="Times New Roman"/>
          <w:bCs/>
        </w:rPr>
        <w:t>tika sagatavotas</w:t>
      </w:r>
      <w:r w:rsidRPr="00C43284">
        <w:rPr>
          <w:rFonts w:eastAsia="Times New Roman"/>
          <w:bCs/>
        </w:rPr>
        <w:t xml:space="preserve"> </w:t>
      </w:r>
      <w:r>
        <w:rPr>
          <w:rFonts w:eastAsia="Times New Roman"/>
          <w:bCs/>
        </w:rPr>
        <w:t>divas</w:t>
      </w:r>
      <w:r w:rsidRPr="00C43284">
        <w:rPr>
          <w:rFonts w:eastAsia="Times New Roman"/>
          <w:bCs/>
        </w:rPr>
        <w:t xml:space="preserve"> ES struktūrfondu programmas</w:t>
      </w:r>
      <w:r>
        <w:rPr>
          <w:rFonts w:eastAsia="Times New Roman"/>
          <w:bCs/>
        </w:rPr>
        <w:t xml:space="preserve"> investoru piesaistei –</w:t>
      </w:r>
      <w:r w:rsidRPr="00C43284">
        <w:rPr>
          <w:rFonts w:eastAsia="Times New Roman"/>
          <w:bCs/>
        </w:rPr>
        <w:t xml:space="preserve"> industriālo telpu sakārtošanai</w:t>
      </w:r>
      <w:r>
        <w:rPr>
          <w:rFonts w:eastAsia="Times New Roman"/>
          <w:bCs/>
        </w:rPr>
        <w:t xml:space="preserve"> un atbalsts jaunu darba vietu izveidei, no kurām otrajā tika izsludināta projektu pieņemšana.</w:t>
      </w:r>
    </w:p>
    <w:p w:rsidR="005B0BAD" w:rsidRPr="00C43284" w:rsidRDefault="005B0BAD" w:rsidP="005B0BAD">
      <w:pPr>
        <w:pStyle w:val="ListParagraph"/>
        <w:numPr>
          <w:ilvl w:val="0"/>
          <w:numId w:val="1"/>
        </w:numPr>
        <w:spacing w:before="240" w:after="120"/>
        <w:ind w:left="284" w:hanging="284"/>
        <w:contextualSpacing w:val="0"/>
        <w:rPr>
          <w:rFonts w:eastAsia="+mn-ea"/>
        </w:rPr>
      </w:pPr>
      <w:r w:rsidRPr="00C43284">
        <w:rPr>
          <w:rFonts w:eastAsia="+mn-ea"/>
          <w:b/>
          <w:i/>
        </w:rPr>
        <w:t xml:space="preserve">Atbalsts ārējo tirgu apgūšanai </w:t>
      </w:r>
      <w:r w:rsidRPr="00C43284">
        <w:rPr>
          <w:rFonts w:eastAsia="+mn-ea"/>
        </w:rPr>
        <w:t>(atbildīgā institūcija – EM, ĀM)</w:t>
      </w:r>
    </w:p>
    <w:p w:rsidR="005B0BAD" w:rsidRPr="00C43284" w:rsidRDefault="005B0BAD" w:rsidP="005B0BAD">
      <w:pPr>
        <w:ind w:firstLine="567"/>
        <w:rPr>
          <w:bCs/>
        </w:rPr>
      </w:pPr>
      <w:r w:rsidRPr="00C43284">
        <w:rPr>
          <w:iCs/>
        </w:rPr>
        <w:t>Lai veicinātu Latvijas uzņēmumu eksporta apjomu palielināšanu un jaunu tirgu apgūšanu, tiek īstenoti šādi pasākumi:</w:t>
      </w:r>
    </w:p>
    <w:p w:rsidR="005B0BAD" w:rsidRDefault="005B0BAD" w:rsidP="00E84407">
      <w:pPr>
        <w:pStyle w:val="ListParagraph"/>
        <w:numPr>
          <w:ilvl w:val="0"/>
          <w:numId w:val="6"/>
        </w:numPr>
        <w:suppressAutoHyphens/>
        <w:spacing w:after="40"/>
        <w:ind w:left="851" w:hanging="284"/>
        <w:contextualSpacing w:val="0"/>
        <w:rPr>
          <w:bCs/>
        </w:rPr>
      </w:pPr>
      <w:r w:rsidRPr="00C43284">
        <w:rPr>
          <w:bCs/>
          <w:u w:val="single"/>
        </w:rPr>
        <w:t>ārējās ekonomiskās politikas koordinācija</w:t>
      </w:r>
      <w:r w:rsidRPr="00C43284">
        <w:rPr>
          <w:bCs/>
        </w:rPr>
        <w:t xml:space="preserve"> un Latvijas </w:t>
      </w:r>
      <w:r>
        <w:rPr>
          <w:bCs/>
        </w:rPr>
        <w:t>Ā</w:t>
      </w:r>
      <w:r w:rsidRPr="00C43284">
        <w:rPr>
          <w:bCs/>
        </w:rPr>
        <w:t>rējo ekonomisko pārstāvniecību tīkla paplašināšana – 201</w:t>
      </w:r>
      <w:r>
        <w:rPr>
          <w:bCs/>
        </w:rPr>
        <w:t>2</w:t>
      </w:r>
      <w:r w:rsidRPr="00C43284">
        <w:rPr>
          <w:bCs/>
        </w:rPr>
        <w:t>.gadā darbību uzsāk</w:t>
      </w:r>
      <w:r>
        <w:rPr>
          <w:bCs/>
        </w:rPr>
        <w:t>a</w:t>
      </w:r>
      <w:r w:rsidRPr="00C43284">
        <w:rPr>
          <w:bCs/>
        </w:rPr>
        <w:t xml:space="preserve"> </w:t>
      </w:r>
      <w:r>
        <w:rPr>
          <w:bCs/>
        </w:rPr>
        <w:t xml:space="preserve">trīs jaunas </w:t>
      </w:r>
      <w:r w:rsidRPr="00C43284">
        <w:rPr>
          <w:bCs/>
        </w:rPr>
        <w:t>pārstāvniecība</w:t>
      </w:r>
      <w:r>
        <w:rPr>
          <w:bCs/>
        </w:rPr>
        <w:t xml:space="preserve">s (Japānā, Norvēģijā un </w:t>
      </w:r>
      <w:r w:rsidRPr="00C43284">
        <w:rPr>
          <w:bCs/>
        </w:rPr>
        <w:t>Ķīnā</w:t>
      </w:r>
      <w:r>
        <w:rPr>
          <w:bCs/>
        </w:rPr>
        <w:t>, savukārt pārstāvniecība</w:t>
      </w:r>
      <w:r w:rsidRPr="00C43284">
        <w:rPr>
          <w:bCs/>
        </w:rPr>
        <w:t xml:space="preserve"> Baltkrievijā</w:t>
      </w:r>
      <w:r>
        <w:rPr>
          <w:bCs/>
        </w:rPr>
        <w:t xml:space="preserve"> savu darbu uzsāks </w:t>
      </w:r>
      <w:r w:rsidRPr="000E6158">
        <w:rPr>
          <w:bCs/>
        </w:rPr>
        <w:t>2013.gada 1.</w:t>
      </w:r>
      <w:r w:rsidR="000E6158" w:rsidRPr="000E6158">
        <w:rPr>
          <w:bCs/>
        </w:rPr>
        <w:t>pusgadā</w:t>
      </w:r>
      <w:r>
        <w:rPr>
          <w:bCs/>
        </w:rPr>
        <w:t>), paplašināts goda konsulu tīkls</w:t>
      </w:r>
      <w:r w:rsidRPr="00C43284">
        <w:rPr>
          <w:bCs/>
        </w:rPr>
        <w:t>;</w:t>
      </w:r>
    </w:p>
    <w:p w:rsidR="005B0BAD" w:rsidRPr="00C43284" w:rsidRDefault="005B0BAD" w:rsidP="00E84407">
      <w:pPr>
        <w:pStyle w:val="ListParagraph"/>
        <w:numPr>
          <w:ilvl w:val="0"/>
          <w:numId w:val="6"/>
        </w:numPr>
        <w:suppressAutoHyphens/>
        <w:spacing w:after="40"/>
        <w:ind w:left="851" w:hanging="284"/>
        <w:contextualSpacing w:val="0"/>
        <w:rPr>
          <w:bCs/>
        </w:rPr>
      </w:pPr>
      <w:r w:rsidRPr="00C43284">
        <w:rPr>
          <w:bCs/>
          <w:u w:val="single"/>
        </w:rPr>
        <w:t>tiešie eksporta atbalsta pakalpojumi komersantiem</w:t>
      </w:r>
      <w:r w:rsidRPr="00C43284">
        <w:rPr>
          <w:bCs/>
        </w:rPr>
        <w:t xml:space="preserve"> – </w:t>
      </w:r>
      <w:r w:rsidRPr="00C43284">
        <w:t>201</w:t>
      </w:r>
      <w:r>
        <w:t>2</w:t>
      </w:r>
      <w:r w:rsidRPr="00C43284">
        <w:t xml:space="preserve">.gadā sniegtas </w:t>
      </w:r>
      <w:r>
        <w:t>1608</w:t>
      </w:r>
      <w:r w:rsidRPr="00C43284">
        <w:t xml:space="preserve"> konsultācijas ar eksportu saistītos jautājumos, tostarp par ārvalstu tirgiem, specifiskām tirdzniecības prasībām un biznesa partneru meklēšanu, organizēti 1</w:t>
      </w:r>
      <w:r>
        <w:t>6</w:t>
      </w:r>
      <w:r w:rsidRPr="00C43284">
        <w:t xml:space="preserve"> eksporta prasmju un informatīvie semināri par ārējiem tirgiem, kā arī sagatavoti</w:t>
      </w:r>
      <w:r w:rsidR="00D45640">
        <w:t xml:space="preserve"> </w:t>
      </w:r>
      <w:r>
        <w:t>22</w:t>
      </w:r>
      <w:r w:rsidRPr="00C43284">
        <w:t xml:space="preserve"> nozaru tirgus apskati. Organizētas </w:t>
      </w:r>
      <w:r>
        <w:t>33</w:t>
      </w:r>
      <w:r w:rsidRPr="00C43284">
        <w:t xml:space="preserve"> tirdzniecības misijas (uzņēmēju skaits – </w:t>
      </w:r>
      <w:r>
        <w:t>305</w:t>
      </w:r>
      <w:r w:rsidRPr="00C43284">
        <w:t>) un</w:t>
      </w:r>
      <w:r w:rsidR="00D45640">
        <w:t xml:space="preserve"> </w:t>
      </w:r>
      <w:r>
        <w:t>61</w:t>
      </w:r>
      <w:r w:rsidRPr="00C43284">
        <w:t xml:space="preserve"> individuālās biznesa vizītes pie potenciālajiem sadarbības partneriem ārvalstīs. 2013.gadā plānots turpināt sniegt minētos pakalpojumus pieejamo resursu ietvaros</w:t>
      </w:r>
      <w:r w:rsidRPr="00C43284">
        <w:rPr>
          <w:bCs/>
        </w:rPr>
        <w:t>;</w:t>
      </w:r>
    </w:p>
    <w:p w:rsidR="005B0BAD" w:rsidRDefault="005B0BAD" w:rsidP="00E84407">
      <w:pPr>
        <w:pStyle w:val="ListParagraph"/>
        <w:numPr>
          <w:ilvl w:val="0"/>
          <w:numId w:val="6"/>
        </w:numPr>
        <w:suppressAutoHyphens/>
        <w:ind w:left="851" w:hanging="284"/>
        <w:contextualSpacing w:val="0"/>
        <w:rPr>
          <w:bCs/>
        </w:rPr>
      </w:pPr>
      <w:r w:rsidRPr="00C43284">
        <w:rPr>
          <w:bCs/>
          <w:u w:val="single"/>
        </w:rPr>
        <w:t>atbalsts komersantiem ārējā mārketinga pasākumu īstenošanai</w:t>
      </w:r>
      <w:r w:rsidR="009C28AB">
        <w:rPr>
          <w:bCs/>
        </w:rPr>
        <w:t>,</w:t>
      </w:r>
      <w:r w:rsidRPr="00C43284">
        <w:rPr>
          <w:bCs/>
        </w:rPr>
        <w:t xml:space="preserve"> sekmējot </w:t>
      </w:r>
      <w:r w:rsidRPr="00C43284">
        <w:t>komersantu iekļaušanos starptautiskajās piegāžu ķēdēs, veicinot Latvijas komersantu dalību starptautiskajās izstādēs un tirdzniecības misijās</w:t>
      </w:r>
      <w:r w:rsidRPr="00C43284">
        <w:rPr>
          <w:bCs/>
        </w:rPr>
        <w:t>. 201</w:t>
      </w:r>
      <w:r>
        <w:rPr>
          <w:bCs/>
        </w:rPr>
        <w:t>2</w:t>
      </w:r>
      <w:r w:rsidRPr="00C43284">
        <w:rPr>
          <w:bCs/>
        </w:rPr>
        <w:t xml:space="preserve">.gadā </w:t>
      </w:r>
      <w:r>
        <w:rPr>
          <w:bCs/>
        </w:rPr>
        <w:t>izvērtēti 496</w:t>
      </w:r>
      <w:r w:rsidR="00D45640">
        <w:rPr>
          <w:bCs/>
        </w:rPr>
        <w:t xml:space="preserve"> </w:t>
      </w:r>
      <w:r w:rsidRPr="00C43284">
        <w:rPr>
          <w:bCs/>
        </w:rPr>
        <w:t xml:space="preserve"> komersant</w:t>
      </w:r>
      <w:r>
        <w:rPr>
          <w:bCs/>
        </w:rPr>
        <w:t>u pieteikumi</w:t>
      </w:r>
      <w:r w:rsidRPr="00C43284">
        <w:rPr>
          <w:bCs/>
        </w:rPr>
        <w:t xml:space="preserve"> par atbalsta sniegšanu. 2013.gadā noslēgto līgumu par atbalsta sniegšanu skaits ir atkarīgs no uzņēmēju aktivitātes</w:t>
      </w:r>
      <w:r w:rsidR="009C28AB">
        <w:rPr>
          <w:bCs/>
        </w:rPr>
        <w:t xml:space="preserve"> un iesniegtajiem pieteikumiem.</w:t>
      </w:r>
    </w:p>
    <w:p w:rsidR="005B0BAD" w:rsidRPr="00C43284" w:rsidRDefault="005B0BAD" w:rsidP="005B0BAD">
      <w:pPr>
        <w:suppressAutoHyphens/>
        <w:spacing w:before="120"/>
        <w:ind w:firstLine="567"/>
        <w:rPr>
          <w:bCs/>
        </w:rPr>
      </w:pPr>
      <w:r w:rsidRPr="00C43284">
        <w:rPr>
          <w:bCs/>
        </w:rPr>
        <w:t xml:space="preserve">Kopā šīm aktivitātēm 2011.gadā tika izlietoti 4,6 </w:t>
      </w:r>
      <w:proofErr w:type="spellStart"/>
      <w:r w:rsidRPr="00C43284">
        <w:rPr>
          <w:bCs/>
        </w:rPr>
        <w:t>milj</w:t>
      </w:r>
      <w:proofErr w:type="spellEnd"/>
      <w:r w:rsidRPr="00C43284">
        <w:rPr>
          <w:bCs/>
        </w:rPr>
        <w:t xml:space="preserve">. latu, tai skaitā piesaistīti 2,7 </w:t>
      </w:r>
      <w:proofErr w:type="spellStart"/>
      <w:r w:rsidRPr="00C43284">
        <w:rPr>
          <w:bCs/>
        </w:rPr>
        <w:t>milj</w:t>
      </w:r>
      <w:proofErr w:type="spellEnd"/>
      <w:r w:rsidRPr="00C43284">
        <w:rPr>
          <w:bCs/>
        </w:rPr>
        <w:t xml:space="preserve">. latu no ERAF. Šobrīd šīm aktivitātēm 2012.-2013.gadā tiek plānoti 15,2 </w:t>
      </w:r>
      <w:proofErr w:type="spellStart"/>
      <w:r w:rsidRPr="00C43284">
        <w:rPr>
          <w:bCs/>
        </w:rPr>
        <w:t>milj</w:t>
      </w:r>
      <w:proofErr w:type="spellEnd"/>
      <w:r w:rsidRPr="00C43284">
        <w:rPr>
          <w:bCs/>
        </w:rPr>
        <w:t xml:space="preserve">. latu, tai skaitā 11,1 </w:t>
      </w:r>
      <w:proofErr w:type="spellStart"/>
      <w:r w:rsidRPr="00C43284">
        <w:rPr>
          <w:bCs/>
        </w:rPr>
        <w:t>milj</w:t>
      </w:r>
      <w:proofErr w:type="spellEnd"/>
      <w:r w:rsidRPr="00C43284">
        <w:rPr>
          <w:bCs/>
        </w:rPr>
        <w:t>. latu no ERAF.</w:t>
      </w:r>
    </w:p>
    <w:p w:rsidR="005B0BAD" w:rsidRPr="00C43284" w:rsidRDefault="005B0BAD" w:rsidP="005B0BAD">
      <w:pPr>
        <w:pStyle w:val="ListParagraph"/>
        <w:numPr>
          <w:ilvl w:val="0"/>
          <w:numId w:val="1"/>
        </w:numPr>
        <w:spacing w:before="240" w:after="120"/>
        <w:ind w:left="284" w:hanging="284"/>
        <w:contextualSpacing w:val="0"/>
        <w:rPr>
          <w:rFonts w:eastAsia="+mn-ea"/>
          <w:b/>
          <w:i/>
        </w:rPr>
      </w:pPr>
      <w:r w:rsidRPr="00C43284">
        <w:rPr>
          <w:rFonts w:eastAsia="+mn-ea"/>
          <w:b/>
          <w:i/>
        </w:rPr>
        <w:t xml:space="preserve">Pašvaldību kapacitātes stiprināšana uzņēmumu un investīciju piesaistē </w:t>
      </w:r>
      <w:r w:rsidRPr="00C43284">
        <w:rPr>
          <w:rFonts w:eastAsia="+mn-ea"/>
        </w:rPr>
        <w:t>(atbildīgā institūcija – VARAM, SM</w:t>
      </w:r>
      <w:r>
        <w:rPr>
          <w:rFonts w:eastAsia="+mn-ea"/>
        </w:rPr>
        <w:t>, EM</w:t>
      </w:r>
      <w:r w:rsidRPr="00C43284">
        <w:rPr>
          <w:rFonts w:eastAsia="+mn-ea"/>
        </w:rPr>
        <w:t>)</w:t>
      </w:r>
    </w:p>
    <w:p w:rsidR="005B0BAD" w:rsidRPr="00C43284" w:rsidRDefault="005B0BAD" w:rsidP="005B0BAD">
      <w:pPr>
        <w:ind w:firstLine="567"/>
      </w:pPr>
      <w:r w:rsidRPr="00C43284">
        <w:t>Pasākuma mērķis ir stiprināt pašvaldību lomu investīciju piesaistē un uzņēmējdarbības veicināšanā:</w:t>
      </w:r>
    </w:p>
    <w:p w:rsidR="005B0BAD" w:rsidRPr="00C43284" w:rsidRDefault="005B0BAD" w:rsidP="00E84407">
      <w:pPr>
        <w:pStyle w:val="ListParagraph"/>
        <w:numPr>
          <w:ilvl w:val="0"/>
          <w:numId w:val="5"/>
        </w:numPr>
        <w:suppressAutoHyphens/>
        <w:ind w:left="851" w:hanging="284"/>
        <w:contextualSpacing w:val="0"/>
      </w:pPr>
      <w:r w:rsidRPr="00C43284">
        <w:t>sagatavojot priekšlikumus pašvaldību finanšu sistēmas pilnveidošanai (</w:t>
      </w:r>
      <w:proofErr w:type="spellStart"/>
      <w:r w:rsidRPr="00C43284">
        <w:t>t.sk</w:t>
      </w:r>
      <w:proofErr w:type="spellEnd"/>
      <w:r w:rsidRPr="00C43284">
        <w:t>., apskatot iespējamās nodokļu politikas izmaiņas)</w:t>
      </w:r>
      <w:r>
        <w:t xml:space="preserve"> un pašvaldību tiesību paplašināšanai rīkoties ar savu mantu. </w:t>
      </w:r>
      <w:r w:rsidRPr="003E082D">
        <w:t xml:space="preserve">Ir sagatavota </w:t>
      </w:r>
      <w:r w:rsidRPr="003E082D">
        <w:rPr>
          <w:i/>
        </w:rPr>
        <w:t>Koncepcija par pašvaldību finanšu izlīdzināšanas sistēmas uzlabošanu</w:t>
      </w:r>
      <w:r>
        <w:rPr>
          <w:i/>
        </w:rPr>
        <w:t xml:space="preserve"> </w:t>
      </w:r>
      <w:r w:rsidRPr="003E082D">
        <w:t>un iesniegta valdībā</w:t>
      </w:r>
      <w:r>
        <w:t>.</w:t>
      </w:r>
      <w:r w:rsidRPr="00C43284">
        <w:t xml:space="preserve"> </w:t>
      </w:r>
      <w:r>
        <w:t>Jautājumā par</w:t>
      </w:r>
      <w:r w:rsidRPr="00C43284">
        <w:t xml:space="preserve"> pašvaldību tiesību </w:t>
      </w:r>
      <w:r>
        <w:t xml:space="preserve">paplašināšanu </w:t>
      </w:r>
      <w:r w:rsidRPr="00C43284">
        <w:t xml:space="preserve">rīkoties ar savu mantu </w:t>
      </w:r>
      <w:r>
        <w:t>ir sagatavoti priekšlikumi, kas dotu pašvaldībām lielākas iespējas elastīgāk noteikt nomas maksu apbūvētam zemesgabalam gadījumos, ja tas tiek iznomāts ražošanas objekta būvniecībai vai saimnieciskās darbības veikšanai, saistošajos noteikumos izvirzot specifiskus kritērijus (nosacījumus)</w:t>
      </w:r>
      <w:r w:rsidRPr="00C43284">
        <w:t xml:space="preserve">; </w:t>
      </w:r>
    </w:p>
    <w:p w:rsidR="005B0BAD" w:rsidRPr="00C43284" w:rsidRDefault="005B0BAD" w:rsidP="00E84407">
      <w:pPr>
        <w:pStyle w:val="ListParagraph"/>
        <w:numPr>
          <w:ilvl w:val="0"/>
          <w:numId w:val="5"/>
        </w:numPr>
        <w:suppressAutoHyphens/>
        <w:ind w:left="851" w:hanging="284"/>
        <w:contextualSpacing w:val="0"/>
      </w:pPr>
      <w:r w:rsidRPr="003E082D">
        <w:t xml:space="preserve">paaugstinot pašvaldību sniegto pakalpojumu pieejamību un kvalitāti, ieviešot vienas pieturas aģentūras principu (skatīt 3.2.1.nodaļas pasākumu </w:t>
      </w:r>
      <w:r w:rsidRPr="003E082D">
        <w:rPr>
          <w:i/>
        </w:rPr>
        <w:t>Valsts pārvaldes modernizācija)</w:t>
      </w:r>
      <w:r w:rsidRPr="003E082D">
        <w:t>, mazinot administratīvo slogu uzņēmējiem un iedzīvotājiem pašvaldību sniegtajos pakalpojumos</w:t>
      </w:r>
      <w:r>
        <w:t>;</w:t>
      </w:r>
    </w:p>
    <w:p w:rsidR="005B0BAD" w:rsidRDefault="006E22CE" w:rsidP="00E84407">
      <w:pPr>
        <w:pStyle w:val="ListParagraph"/>
        <w:numPr>
          <w:ilvl w:val="0"/>
          <w:numId w:val="5"/>
        </w:numPr>
        <w:suppressAutoHyphens/>
        <w:ind w:left="851" w:hanging="284"/>
        <w:contextualSpacing w:val="0"/>
      </w:pPr>
      <w:r w:rsidRPr="00C43284">
        <w:t>sakārto</w:t>
      </w:r>
      <w:r>
        <w:t xml:space="preserve">jot </w:t>
      </w:r>
      <w:r w:rsidRPr="00C43284">
        <w:t>un attīst</w:t>
      </w:r>
      <w:r>
        <w:t>ot p</w:t>
      </w:r>
      <w:r w:rsidR="005B0BAD" w:rsidRPr="00C43284">
        <w:t xml:space="preserve">ašvaldību </w:t>
      </w:r>
      <w:r w:rsidR="005B0BAD">
        <w:t xml:space="preserve">transporta un vides </w:t>
      </w:r>
      <w:r>
        <w:t>infrastruktūru</w:t>
      </w:r>
      <w:r w:rsidR="005B0BAD" w:rsidRPr="00C43284">
        <w:t xml:space="preserve"> (skatīt 3.2.5.nodaļu </w:t>
      </w:r>
      <w:r w:rsidR="005B0BAD" w:rsidRPr="00C43284">
        <w:rPr>
          <w:i/>
        </w:rPr>
        <w:t>Transporta un vides infrastruktūra</w:t>
      </w:r>
      <w:r w:rsidR="005B0BAD" w:rsidRPr="00C43284">
        <w:t>);</w:t>
      </w:r>
    </w:p>
    <w:p w:rsidR="005B0BAD" w:rsidRDefault="005B0BAD" w:rsidP="00E84407">
      <w:pPr>
        <w:pStyle w:val="ListParagraph"/>
        <w:numPr>
          <w:ilvl w:val="0"/>
          <w:numId w:val="5"/>
        </w:numPr>
        <w:suppressAutoHyphens/>
        <w:ind w:left="851" w:hanging="284"/>
        <w:contextualSpacing w:val="0"/>
      </w:pPr>
      <w:r>
        <w:lastRenderedPageBreak/>
        <w:t xml:space="preserve">īstenojot valsts un pašvaldību publiskās uzņēmējdarbības infrastruktūras sakārtošanu. Pašvaldību infrastruktūras uzlabojumi lielā mērā tiek veikti ar ES struktūrfondu finansējumu. Līdz 2012.gada beigām īstenoti 36 projekti. Lai uzlabotu pašvaldību iespējas attīstīt uzņēmējdarbības publisko infrastruktūru, 2012.gadā tika piešķirts papildus valsts budžeta finansējums jeb </w:t>
      </w:r>
      <w:proofErr w:type="spellStart"/>
      <w:r>
        <w:t>virssaistību</w:t>
      </w:r>
      <w:proofErr w:type="spellEnd"/>
      <w:r>
        <w:t xml:space="preserve"> finansējums 25,7 </w:t>
      </w:r>
      <w:proofErr w:type="spellStart"/>
      <w:r>
        <w:t>milj</w:t>
      </w:r>
      <w:proofErr w:type="spellEnd"/>
      <w:r>
        <w:t xml:space="preserve">. </w:t>
      </w:r>
      <w:r w:rsidR="00A730A5">
        <w:t>latu</w:t>
      </w:r>
      <w:r>
        <w:t xml:space="preserve"> apmērā. </w:t>
      </w:r>
    </w:p>
    <w:p w:rsidR="005B0BAD" w:rsidRDefault="005B0BAD" w:rsidP="005B0BAD">
      <w:pPr>
        <w:suppressAutoHyphens/>
        <w:ind w:left="851"/>
      </w:pPr>
      <w:r>
        <w:t>Tiek izstrādā</w:t>
      </w:r>
      <w:r w:rsidR="00A730A5">
        <w:t>ta</w:t>
      </w:r>
      <w:r>
        <w:t xml:space="preserve"> kārtība</w:t>
      </w:r>
      <w:r w:rsidRPr="000B232B">
        <w:t>, kādā piešķiramas un izlietojamas mērķdotācijas investīcijām pašvaldībām</w:t>
      </w:r>
      <w:r>
        <w:t>, kurā viena no pašvaldību atbalsta jomām ir p</w:t>
      </w:r>
      <w:r w:rsidRPr="000B232B">
        <w:t>ašvaldību infrastruktūras sakārtoša</w:t>
      </w:r>
      <w:r w:rsidR="00A730A5">
        <w:t>na uzņēmējdarbības veicināšanai</w:t>
      </w:r>
      <w:r>
        <w:t xml:space="preserve">. </w:t>
      </w:r>
    </w:p>
    <w:p w:rsidR="005B0BAD" w:rsidRDefault="005B0BAD" w:rsidP="005B0BAD">
      <w:pPr>
        <w:suppressAutoHyphens/>
        <w:ind w:left="851"/>
      </w:pPr>
      <w:r w:rsidRPr="006E22CE">
        <w:t>NAP2020 plānotas investīcijas (207 </w:t>
      </w:r>
      <w:proofErr w:type="spellStart"/>
      <w:r w:rsidRPr="006E22CE">
        <w:t>milj</w:t>
      </w:r>
      <w:proofErr w:type="spellEnd"/>
      <w:r w:rsidRPr="006E22CE">
        <w:t>.</w:t>
      </w:r>
      <w:r w:rsidR="00A730A5" w:rsidRPr="006E22CE">
        <w:t xml:space="preserve"> latu</w:t>
      </w:r>
      <w:r w:rsidRPr="006E22CE">
        <w:t xml:space="preserve">) valsts un pašvaldību infrastruktūras </w:t>
      </w:r>
      <w:r w:rsidR="004E3E26" w:rsidRPr="006E22CE">
        <w:t xml:space="preserve">(industriālās infrastruktūras pieslēgumi) </w:t>
      </w:r>
      <w:r w:rsidRPr="006E22CE">
        <w:t xml:space="preserve">sakārtošanas programmas īstenošanai privāto lielo investīciju piesaistei. Programmas ietvaros tiks atbalstīta industriālo zonu izveide un atjaunošana, paplašināšana un publiskās infrastruktūras pielāgošana investīciju piesaistei apstrādes rūpniecībā, </w:t>
      </w:r>
      <w:proofErr w:type="spellStart"/>
      <w:r w:rsidRPr="006E22CE">
        <w:t>t.sk</w:t>
      </w:r>
      <w:proofErr w:type="spellEnd"/>
      <w:r w:rsidRPr="006E22CE">
        <w:t>. publiskās infrastruktūras attīstība un atbalsts nepieciešamo inženierkomunikāciju pieslēgumu izveidei nacionālas un reģionālas nozīmes attīstības centros</w:t>
      </w:r>
      <w:r w:rsidR="004E3E26" w:rsidRPr="006E22CE">
        <w:t>. Šīm aktivitātēm tiek plānots piesaistīt ERAF finansējumu, bet kā līdzfinansējumu – pašvaldības un privāto finansējumu</w:t>
      </w:r>
      <w:r w:rsidR="00A730A5" w:rsidRPr="006E22CE">
        <w:t>;</w:t>
      </w:r>
    </w:p>
    <w:p w:rsidR="005B0BAD" w:rsidRDefault="005B0BAD" w:rsidP="00E84407">
      <w:pPr>
        <w:pStyle w:val="ListParagraph"/>
        <w:numPr>
          <w:ilvl w:val="0"/>
          <w:numId w:val="5"/>
        </w:numPr>
        <w:suppressAutoHyphens/>
        <w:ind w:left="851" w:hanging="284"/>
        <w:contextualSpacing w:val="0"/>
      </w:pPr>
      <w:r>
        <w:t xml:space="preserve">izstrādājot pašvaldību investīciju piedāvājumu potenciāliem investoriem. </w:t>
      </w:r>
      <w:r w:rsidRPr="00A730A5">
        <w:t>NAP2020</w:t>
      </w:r>
      <w:r>
        <w:t xml:space="preserve"> plānotas investīcijas (1,5 </w:t>
      </w:r>
      <w:proofErr w:type="spellStart"/>
      <w:r>
        <w:t>milj</w:t>
      </w:r>
      <w:proofErr w:type="spellEnd"/>
      <w:r>
        <w:t xml:space="preserve">. </w:t>
      </w:r>
      <w:r w:rsidR="00A730A5">
        <w:t>latu</w:t>
      </w:r>
      <w:r>
        <w:t>) pašvaldību p</w:t>
      </w:r>
      <w:r w:rsidRPr="006413C1">
        <w:t>iedāvājumu komplektēšana</w:t>
      </w:r>
      <w:r>
        <w:t>i</w:t>
      </w:r>
      <w:r w:rsidRPr="006413C1">
        <w:t xml:space="preserve"> (</w:t>
      </w:r>
      <w:proofErr w:type="spellStart"/>
      <w:r w:rsidRPr="006413C1">
        <w:t>paketēšana</w:t>
      </w:r>
      <w:r>
        <w:t>i</w:t>
      </w:r>
      <w:proofErr w:type="spellEnd"/>
      <w:r w:rsidRPr="006413C1">
        <w:t>) un sagatavošana</w:t>
      </w:r>
      <w:r>
        <w:t>i</w:t>
      </w:r>
      <w:r w:rsidRPr="006413C1">
        <w:t xml:space="preserve"> potenciālajiem investoriem (komplekss piedāvājums</w:t>
      </w:r>
      <w:r>
        <w:t>),</w:t>
      </w:r>
      <w:r w:rsidRPr="006413C1">
        <w:t xml:space="preserve"> </w:t>
      </w:r>
      <w:r>
        <w:t>kas sevī ietvers arī finanšu instrumentus</w:t>
      </w:r>
      <w:r w:rsidRPr="006413C1">
        <w:t>, infrastruktūras un darbaspēka resursu risinājum</w:t>
      </w:r>
      <w:r>
        <w:t>us</w:t>
      </w:r>
      <w:r w:rsidRPr="006413C1">
        <w:t xml:space="preserve"> investīciju projektu piesaistei industriālajās un kūrorta teritorijās</w:t>
      </w:r>
      <w:r>
        <w:t>.</w:t>
      </w:r>
    </w:p>
    <w:p w:rsidR="005B0BAD" w:rsidRDefault="005B0BAD" w:rsidP="005B0BAD">
      <w:pPr>
        <w:suppressAutoHyphens/>
        <w:ind w:firstLine="567"/>
      </w:pPr>
      <w:r>
        <w:t>ES fondu 2007</w:t>
      </w:r>
      <w:r w:rsidR="00A730A5">
        <w:t>.</w:t>
      </w:r>
      <w:r>
        <w:t>-2</w:t>
      </w:r>
      <w:r w:rsidRPr="00B5005D">
        <w:t>013.gada plānošanas periodā tika sniegts atbalsts 5</w:t>
      </w:r>
      <w:r>
        <w:t> </w:t>
      </w:r>
      <w:proofErr w:type="spellStart"/>
      <w:r w:rsidRPr="00B5005D">
        <w:t>milj</w:t>
      </w:r>
      <w:proofErr w:type="spellEnd"/>
      <w:r w:rsidRPr="00B5005D">
        <w:t>.</w:t>
      </w:r>
      <w:r>
        <w:t xml:space="preserve"> latu</w:t>
      </w:r>
      <w:r w:rsidRPr="00B5005D">
        <w:t xml:space="preserve"> apmērā (100% ESF finansējums) speciālistu piesaistei plānošanas reģioniem, pilsētām un novadiem, kā arī plānošanas reģionu un vietējo pašvaldību attīstības plānošanas kapacitātes paaugstināšanai. Līdz 2012.gada beigām tika piesaistīti 114 speciālisti un nodrošināta attīstības plānošanas kapacitāte 45% no pašv</w:t>
      </w:r>
      <w:r>
        <w:t>aldībām un plānošanas reģioniem</w:t>
      </w:r>
      <w:r w:rsidRPr="00C43284">
        <w:t>.</w:t>
      </w:r>
    </w:p>
    <w:p w:rsidR="004D0AAA" w:rsidRDefault="005B0BAD" w:rsidP="005B0BAD">
      <w:pPr>
        <w:suppressAutoHyphens/>
        <w:ind w:firstLine="567"/>
      </w:pPr>
      <w:r>
        <w:t>P</w:t>
      </w:r>
      <w:r w:rsidRPr="007721F7">
        <w:t>ašvaldību lomas palielināšana</w:t>
      </w:r>
      <w:r>
        <w:t>i</w:t>
      </w:r>
      <w:r w:rsidRPr="007721F7">
        <w:t xml:space="preserve"> uzņēmējdarbības veicināšanā</w:t>
      </w:r>
      <w:r>
        <w:t xml:space="preserve"> tiks izmantots arī </w:t>
      </w:r>
      <w:r w:rsidRPr="007721F7">
        <w:t xml:space="preserve">Norvēģijas finanšu instrumenta </w:t>
      </w:r>
      <w:r>
        <w:t>finansējums (2009.</w:t>
      </w:r>
      <w:r w:rsidR="00935AB4">
        <w:t>–</w:t>
      </w:r>
      <w:r>
        <w:t>2014</w:t>
      </w:r>
      <w:r w:rsidR="004F1033">
        <w:t>.g.</w:t>
      </w:r>
      <w:r>
        <w:t xml:space="preserve">) </w:t>
      </w:r>
      <w:r w:rsidRPr="007721F7">
        <w:t>0,</w:t>
      </w:r>
      <w:r>
        <w:t>4</w:t>
      </w:r>
      <w:r w:rsidRPr="007721F7">
        <w:t xml:space="preserve"> </w:t>
      </w:r>
      <w:proofErr w:type="spellStart"/>
      <w:r w:rsidRPr="007721F7">
        <w:t>milj</w:t>
      </w:r>
      <w:proofErr w:type="spellEnd"/>
      <w:r w:rsidRPr="007721F7">
        <w:t>.</w:t>
      </w:r>
      <w:r w:rsidR="004F1033">
        <w:t xml:space="preserve"> latu</w:t>
      </w:r>
      <w:r>
        <w:t xml:space="preserve"> apjomā </w:t>
      </w:r>
      <w:r w:rsidRPr="007721F7">
        <w:t>programmas „</w:t>
      </w:r>
      <w:r w:rsidRPr="00B300D9">
        <w:rPr>
          <w:i/>
        </w:rPr>
        <w:t>Kapacitātes stiprināšana un institucionālā sadarbība starp Latvijas un Norvēģijas valsts institūcijām, vietējām un reģionālām iestādēm</w:t>
      </w:r>
      <w:r w:rsidRPr="007721F7">
        <w:t xml:space="preserve">” </w:t>
      </w:r>
      <w:r>
        <w:t>ietvaros.</w:t>
      </w:r>
    </w:p>
    <w:p w:rsidR="00935AB4" w:rsidRPr="00457FBB" w:rsidRDefault="00935AB4" w:rsidP="00935AB4">
      <w:pPr>
        <w:suppressAutoHyphens/>
        <w:spacing w:before="120"/>
        <w:ind w:firstLine="567"/>
      </w:pPr>
      <w:r>
        <w:rPr>
          <w:rFonts w:eastAsia="Times New Roman"/>
        </w:rPr>
        <w:t xml:space="preserve">Kopumā augstākminēti pasākumi sekmēs arī </w:t>
      </w:r>
      <w:r w:rsidRPr="00FF5C3A">
        <w:rPr>
          <w:rFonts w:eastAsia="Times New Roman"/>
          <w:i/>
        </w:rPr>
        <w:t>„Eiropa 2020”</w:t>
      </w:r>
      <w:r>
        <w:rPr>
          <w:rFonts w:eastAsia="Times New Roman"/>
        </w:rPr>
        <w:t xml:space="preserve"> stratēģijas vadošās iniciatīvas </w:t>
      </w:r>
      <w:r w:rsidRPr="00935AB4">
        <w:rPr>
          <w:rFonts w:eastAsia="Times New Roman"/>
          <w:i/>
        </w:rPr>
        <w:t>„</w:t>
      </w:r>
      <w:r>
        <w:rPr>
          <w:rFonts w:eastAsia="Times New Roman"/>
          <w:i/>
        </w:rPr>
        <w:t>Rūpniecības politika globalizācijas laikmetā</w:t>
      </w:r>
      <w:r w:rsidRPr="00935AB4">
        <w:rPr>
          <w:rFonts w:eastAsia="Times New Roman"/>
          <w:i/>
        </w:rPr>
        <w:t>”</w:t>
      </w:r>
      <w:r>
        <w:rPr>
          <w:rFonts w:eastAsia="Times New Roman"/>
        </w:rPr>
        <w:t xml:space="preserve"> īstenošanu.</w:t>
      </w:r>
    </w:p>
    <w:p w:rsidR="00171E67" w:rsidRPr="005A772E" w:rsidRDefault="000A7BDA" w:rsidP="00171E67">
      <w:pPr>
        <w:pStyle w:val="Heading3"/>
        <w:spacing w:before="360" w:after="120"/>
        <w:ind w:left="567"/>
        <w:rPr>
          <w:color w:val="000000"/>
        </w:rPr>
      </w:pPr>
      <w:bookmarkStart w:id="23" w:name="_Toc354384936"/>
      <w:r w:rsidRPr="00C43284">
        <w:rPr>
          <w:rFonts w:ascii="Times New Roman" w:hAnsi="Times New Roman" w:cs="Times New Roman"/>
          <w:color w:val="auto"/>
        </w:rPr>
        <w:t>3.2.</w:t>
      </w:r>
      <w:r w:rsidR="00C21B18" w:rsidRPr="00C43284">
        <w:rPr>
          <w:rFonts w:ascii="Times New Roman" w:hAnsi="Times New Roman" w:cs="Times New Roman"/>
          <w:color w:val="auto"/>
        </w:rPr>
        <w:t>3</w:t>
      </w:r>
      <w:r w:rsidR="00EF0DA1" w:rsidRPr="00C43284">
        <w:rPr>
          <w:rFonts w:ascii="Times New Roman" w:hAnsi="Times New Roman" w:cs="Times New Roman"/>
          <w:color w:val="auto"/>
        </w:rPr>
        <w:t xml:space="preserve">. </w:t>
      </w:r>
      <w:r w:rsidR="0051129F" w:rsidRPr="00C43284">
        <w:rPr>
          <w:rFonts w:ascii="Times New Roman" w:hAnsi="Times New Roman" w:cs="Times New Roman"/>
          <w:color w:val="auto"/>
        </w:rPr>
        <w:t>Inovācijas, pētniecība un attīstība</w:t>
      </w:r>
      <w:bookmarkEnd w:id="23"/>
    </w:p>
    <w:p w:rsidR="005B0BAD" w:rsidRPr="00C43284" w:rsidRDefault="005B0BAD" w:rsidP="005B0BAD">
      <w:pPr>
        <w:ind w:firstLine="567"/>
      </w:pPr>
      <w:r w:rsidRPr="00C43284">
        <w:t xml:space="preserve">Latvijas NRP mērķa rādītājs ieguldījumiem pētniecībā un attīstībā (turpmāk tekstā – R&amp;D) 2020.gadam noteikts 1,5% apmērā no IKP. </w:t>
      </w:r>
    </w:p>
    <w:p w:rsidR="005B0BAD" w:rsidRPr="00C43284" w:rsidRDefault="005B0BAD" w:rsidP="005B0BAD">
      <w:pPr>
        <w:jc w:val="right"/>
      </w:pPr>
      <w:r w:rsidRPr="00C43284">
        <w:t>2.tabula</w:t>
      </w:r>
    </w:p>
    <w:p w:rsidR="005B0BAD" w:rsidRPr="00C43284" w:rsidRDefault="005B0BAD" w:rsidP="005B0BAD">
      <w:pPr>
        <w:jc w:val="center"/>
      </w:pPr>
      <w:r w:rsidRPr="00C43284">
        <w:t>Ieguldījumu pētniecībā un attīstībā (R&amp;D) palielināšanas trajektorija</w:t>
      </w:r>
    </w:p>
    <w:tbl>
      <w:tblPr>
        <w:tblW w:w="8296" w:type="dxa"/>
        <w:jc w:val="center"/>
        <w:tblBorders>
          <w:top w:val="single" w:sz="8" w:space="0" w:color="000000"/>
          <w:bottom w:val="single" w:sz="8" w:space="0" w:color="000000"/>
        </w:tblBorders>
        <w:tblLook w:val="04A0" w:firstRow="1" w:lastRow="0" w:firstColumn="1" w:lastColumn="0" w:noHBand="0" w:noVBand="1"/>
      </w:tblPr>
      <w:tblGrid>
        <w:gridCol w:w="3431"/>
        <w:gridCol w:w="983"/>
        <w:gridCol w:w="984"/>
        <w:gridCol w:w="983"/>
        <w:gridCol w:w="924"/>
        <w:gridCol w:w="991"/>
      </w:tblGrid>
      <w:tr w:rsidR="00CE08DF" w:rsidRPr="00C43284" w:rsidTr="00CE08DF">
        <w:trPr>
          <w:jc w:val="center"/>
        </w:trPr>
        <w:tc>
          <w:tcPr>
            <w:tcW w:w="3431" w:type="dxa"/>
            <w:tcBorders>
              <w:top w:val="single" w:sz="8" w:space="0" w:color="000000"/>
              <w:left w:val="nil"/>
              <w:bottom w:val="single" w:sz="8" w:space="0" w:color="000000"/>
              <w:right w:val="nil"/>
            </w:tcBorders>
          </w:tcPr>
          <w:p w:rsidR="00CE08DF" w:rsidRPr="00C43284" w:rsidRDefault="00CE08DF" w:rsidP="006F290F">
            <w:pPr>
              <w:pStyle w:val="Default"/>
              <w:jc w:val="both"/>
              <w:rPr>
                <w:rFonts w:ascii="Times New Roman" w:hAnsi="Times New Roman" w:cs="Times New Roman"/>
                <w:b/>
                <w:bCs/>
                <w:sz w:val="20"/>
                <w:szCs w:val="20"/>
              </w:rPr>
            </w:pPr>
          </w:p>
        </w:tc>
        <w:tc>
          <w:tcPr>
            <w:tcW w:w="983" w:type="dxa"/>
            <w:tcBorders>
              <w:top w:val="single" w:sz="8" w:space="0" w:color="000000"/>
              <w:left w:val="nil"/>
              <w:bottom w:val="single" w:sz="8" w:space="0" w:color="000000"/>
              <w:right w:val="nil"/>
            </w:tcBorders>
          </w:tcPr>
          <w:p w:rsidR="00CE08DF" w:rsidRPr="00C43284" w:rsidRDefault="00CE08DF" w:rsidP="00E85CE3">
            <w:pPr>
              <w:pStyle w:val="Default"/>
              <w:jc w:val="right"/>
              <w:rPr>
                <w:rFonts w:ascii="Times New Roman" w:hAnsi="Times New Roman" w:cs="Times New Roman"/>
                <w:b/>
                <w:bCs/>
                <w:sz w:val="20"/>
                <w:szCs w:val="20"/>
              </w:rPr>
            </w:pPr>
            <w:r w:rsidRPr="00C43284">
              <w:rPr>
                <w:rFonts w:ascii="Times New Roman" w:hAnsi="Times New Roman" w:cs="Times New Roman"/>
                <w:b/>
                <w:bCs/>
                <w:sz w:val="20"/>
                <w:szCs w:val="20"/>
              </w:rPr>
              <w:t>2008</w:t>
            </w:r>
          </w:p>
        </w:tc>
        <w:tc>
          <w:tcPr>
            <w:tcW w:w="984" w:type="dxa"/>
            <w:tcBorders>
              <w:top w:val="single" w:sz="8" w:space="0" w:color="000000"/>
              <w:left w:val="nil"/>
              <w:bottom w:val="single" w:sz="8" w:space="0" w:color="000000"/>
              <w:right w:val="nil"/>
            </w:tcBorders>
          </w:tcPr>
          <w:p w:rsidR="00CE08DF" w:rsidRPr="00C43284" w:rsidRDefault="00CE08DF" w:rsidP="00E85CE3">
            <w:pPr>
              <w:pStyle w:val="Default"/>
              <w:jc w:val="right"/>
              <w:rPr>
                <w:rFonts w:ascii="Times New Roman" w:hAnsi="Times New Roman" w:cs="Times New Roman"/>
                <w:b/>
                <w:bCs/>
                <w:sz w:val="20"/>
                <w:szCs w:val="20"/>
              </w:rPr>
            </w:pPr>
            <w:r w:rsidRPr="00C43284">
              <w:rPr>
                <w:rFonts w:ascii="Times New Roman" w:hAnsi="Times New Roman" w:cs="Times New Roman"/>
                <w:b/>
                <w:bCs/>
                <w:sz w:val="20"/>
                <w:szCs w:val="20"/>
              </w:rPr>
              <w:t>2009</w:t>
            </w:r>
          </w:p>
        </w:tc>
        <w:tc>
          <w:tcPr>
            <w:tcW w:w="983" w:type="dxa"/>
            <w:tcBorders>
              <w:top w:val="single" w:sz="8" w:space="0" w:color="000000"/>
              <w:left w:val="nil"/>
              <w:bottom w:val="single" w:sz="8" w:space="0" w:color="000000"/>
              <w:right w:val="nil"/>
            </w:tcBorders>
          </w:tcPr>
          <w:p w:rsidR="00CE08DF" w:rsidRPr="00C43284" w:rsidRDefault="00CE08DF" w:rsidP="00E85CE3">
            <w:pPr>
              <w:pStyle w:val="Default"/>
              <w:jc w:val="right"/>
              <w:rPr>
                <w:rFonts w:ascii="Times New Roman" w:hAnsi="Times New Roman" w:cs="Times New Roman"/>
                <w:b/>
                <w:bCs/>
                <w:sz w:val="20"/>
                <w:szCs w:val="20"/>
                <w:lang w:val="en-GB"/>
              </w:rPr>
            </w:pPr>
            <w:r w:rsidRPr="00C43284">
              <w:rPr>
                <w:rFonts w:ascii="Times New Roman" w:hAnsi="Times New Roman" w:cs="Times New Roman"/>
                <w:b/>
                <w:bCs/>
                <w:sz w:val="20"/>
                <w:szCs w:val="20"/>
              </w:rPr>
              <w:t>2010</w:t>
            </w:r>
          </w:p>
        </w:tc>
        <w:tc>
          <w:tcPr>
            <w:tcW w:w="924" w:type="dxa"/>
            <w:tcBorders>
              <w:top w:val="single" w:sz="8" w:space="0" w:color="000000"/>
              <w:left w:val="nil"/>
              <w:bottom w:val="single" w:sz="8" w:space="0" w:color="000000"/>
              <w:right w:val="nil"/>
            </w:tcBorders>
          </w:tcPr>
          <w:p w:rsidR="00CE08DF" w:rsidRPr="00C43284" w:rsidRDefault="00CE08DF" w:rsidP="00E85CE3">
            <w:pPr>
              <w:pStyle w:val="Default"/>
              <w:jc w:val="right"/>
              <w:rPr>
                <w:rFonts w:ascii="Times New Roman" w:hAnsi="Times New Roman" w:cs="Times New Roman"/>
                <w:b/>
                <w:bCs/>
                <w:sz w:val="20"/>
                <w:szCs w:val="20"/>
              </w:rPr>
            </w:pPr>
            <w:r>
              <w:rPr>
                <w:rFonts w:ascii="Times New Roman" w:hAnsi="Times New Roman" w:cs="Times New Roman"/>
                <w:b/>
                <w:bCs/>
                <w:sz w:val="20"/>
                <w:szCs w:val="20"/>
              </w:rPr>
              <w:t>2011</w:t>
            </w:r>
          </w:p>
        </w:tc>
        <w:tc>
          <w:tcPr>
            <w:tcW w:w="991" w:type="dxa"/>
            <w:tcBorders>
              <w:top w:val="single" w:sz="8" w:space="0" w:color="000000"/>
              <w:left w:val="nil"/>
              <w:bottom w:val="single" w:sz="8" w:space="0" w:color="000000"/>
              <w:right w:val="nil"/>
            </w:tcBorders>
          </w:tcPr>
          <w:p w:rsidR="00CE08DF" w:rsidRPr="00C43284" w:rsidRDefault="00CE08DF" w:rsidP="00E85CE3">
            <w:pPr>
              <w:pStyle w:val="Default"/>
              <w:jc w:val="right"/>
              <w:rPr>
                <w:rFonts w:ascii="Times New Roman" w:hAnsi="Times New Roman" w:cs="Times New Roman"/>
                <w:b/>
                <w:bCs/>
                <w:sz w:val="20"/>
                <w:szCs w:val="20"/>
                <w:lang w:val="en-GB"/>
              </w:rPr>
            </w:pPr>
            <w:r w:rsidRPr="00C43284">
              <w:rPr>
                <w:rFonts w:ascii="Times New Roman" w:hAnsi="Times New Roman" w:cs="Times New Roman"/>
                <w:b/>
                <w:bCs/>
                <w:sz w:val="20"/>
                <w:szCs w:val="20"/>
                <w:lang w:val="en-GB"/>
              </w:rPr>
              <w:t>2020</w:t>
            </w:r>
          </w:p>
        </w:tc>
      </w:tr>
      <w:tr w:rsidR="00CE08DF" w:rsidRPr="00C43284" w:rsidTr="00CE08DF">
        <w:trPr>
          <w:jc w:val="center"/>
        </w:trPr>
        <w:tc>
          <w:tcPr>
            <w:tcW w:w="3431" w:type="dxa"/>
            <w:tcBorders>
              <w:left w:val="nil"/>
              <w:right w:val="nil"/>
            </w:tcBorders>
            <w:shd w:val="clear" w:color="auto" w:fill="D9D9D9"/>
          </w:tcPr>
          <w:p w:rsidR="00CE08DF" w:rsidRPr="00C43284" w:rsidRDefault="00CE08DF" w:rsidP="006F290F">
            <w:pPr>
              <w:pStyle w:val="Default"/>
              <w:spacing w:before="40" w:after="40"/>
              <w:rPr>
                <w:rFonts w:ascii="Times New Roman" w:hAnsi="Times New Roman" w:cs="Times New Roman"/>
                <w:b/>
                <w:bCs/>
                <w:sz w:val="20"/>
                <w:szCs w:val="20"/>
              </w:rPr>
            </w:pPr>
            <w:r w:rsidRPr="00C43284">
              <w:rPr>
                <w:rFonts w:ascii="Times New Roman" w:hAnsi="Times New Roman" w:cs="Times New Roman"/>
                <w:bCs/>
                <w:sz w:val="20"/>
                <w:szCs w:val="20"/>
              </w:rPr>
              <w:t>Kopējais finansējums R&amp;D (</w:t>
            </w:r>
            <w:proofErr w:type="spellStart"/>
            <w:r w:rsidRPr="00C43284">
              <w:rPr>
                <w:rFonts w:ascii="Times New Roman" w:hAnsi="Times New Roman" w:cs="Times New Roman"/>
                <w:bCs/>
                <w:sz w:val="20"/>
                <w:szCs w:val="20"/>
              </w:rPr>
              <w:t>milj</w:t>
            </w:r>
            <w:proofErr w:type="spellEnd"/>
            <w:r w:rsidRPr="00C43284">
              <w:rPr>
                <w:rFonts w:ascii="Times New Roman" w:hAnsi="Times New Roman" w:cs="Times New Roman"/>
                <w:bCs/>
                <w:sz w:val="20"/>
                <w:szCs w:val="20"/>
              </w:rPr>
              <w:t>. latu)</w:t>
            </w:r>
          </w:p>
        </w:tc>
        <w:tc>
          <w:tcPr>
            <w:tcW w:w="983" w:type="dxa"/>
            <w:tcBorders>
              <w:left w:val="nil"/>
              <w:right w:val="nil"/>
            </w:tcBorders>
            <w:shd w:val="clear" w:color="auto" w:fill="D9D9D9"/>
          </w:tcPr>
          <w:p w:rsidR="00CE08DF" w:rsidRPr="00C43284" w:rsidRDefault="00CE08DF" w:rsidP="00E85CE3">
            <w:pPr>
              <w:pStyle w:val="Default"/>
              <w:spacing w:before="40" w:after="40"/>
              <w:jc w:val="right"/>
              <w:rPr>
                <w:rFonts w:ascii="Times New Roman" w:hAnsi="Times New Roman" w:cs="Times New Roman"/>
                <w:sz w:val="20"/>
                <w:szCs w:val="20"/>
              </w:rPr>
            </w:pPr>
            <w:r w:rsidRPr="00C43284">
              <w:rPr>
                <w:rFonts w:ascii="Times New Roman" w:hAnsi="Times New Roman" w:cs="Times New Roman"/>
                <w:sz w:val="20"/>
                <w:szCs w:val="20"/>
              </w:rPr>
              <w:t>99,5</w:t>
            </w:r>
          </w:p>
        </w:tc>
        <w:tc>
          <w:tcPr>
            <w:tcW w:w="984" w:type="dxa"/>
            <w:tcBorders>
              <w:left w:val="nil"/>
              <w:right w:val="nil"/>
            </w:tcBorders>
            <w:shd w:val="clear" w:color="auto" w:fill="D9D9D9"/>
          </w:tcPr>
          <w:p w:rsidR="00CE08DF" w:rsidRPr="00C43284" w:rsidRDefault="00CE08DF" w:rsidP="00E85CE3">
            <w:pPr>
              <w:pStyle w:val="Default"/>
              <w:spacing w:before="40" w:after="40"/>
              <w:jc w:val="right"/>
              <w:rPr>
                <w:rFonts w:ascii="Times New Roman" w:hAnsi="Times New Roman" w:cs="Times New Roman"/>
                <w:sz w:val="20"/>
                <w:szCs w:val="20"/>
              </w:rPr>
            </w:pPr>
            <w:r w:rsidRPr="00C43284">
              <w:rPr>
                <w:rFonts w:ascii="Times New Roman" w:hAnsi="Times New Roman" w:cs="Times New Roman"/>
                <w:sz w:val="20"/>
                <w:szCs w:val="20"/>
              </w:rPr>
              <w:t>59,9</w:t>
            </w:r>
          </w:p>
        </w:tc>
        <w:tc>
          <w:tcPr>
            <w:tcW w:w="983" w:type="dxa"/>
            <w:tcBorders>
              <w:left w:val="nil"/>
              <w:right w:val="nil"/>
            </w:tcBorders>
            <w:shd w:val="clear" w:color="auto" w:fill="D9D9D9"/>
          </w:tcPr>
          <w:p w:rsidR="00CE08DF" w:rsidRPr="00C43284" w:rsidRDefault="00CE08DF" w:rsidP="00E85CE3">
            <w:pPr>
              <w:pStyle w:val="Default"/>
              <w:spacing w:before="40" w:after="40"/>
              <w:jc w:val="right"/>
              <w:rPr>
                <w:rFonts w:ascii="Times New Roman" w:hAnsi="Times New Roman" w:cs="Times New Roman"/>
                <w:sz w:val="20"/>
                <w:szCs w:val="20"/>
              </w:rPr>
            </w:pPr>
            <w:r w:rsidRPr="00C43284">
              <w:rPr>
                <w:rFonts w:ascii="Times New Roman" w:hAnsi="Times New Roman" w:cs="Times New Roman"/>
                <w:sz w:val="20"/>
                <w:szCs w:val="20"/>
              </w:rPr>
              <w:t>77,0</w:t>
            </w:r>
          </w:p>
        </w:tc>
        <w:tc>
          <w:tcPr>
            <w:tcW w:w="924" w:type="dxa"/>
            <w:tcBorders>
              <w:left w:val="nil"/>
              <w:right w:val="nil"/>
            </w:tcBorders>
            <w:shd w:val="clear" w:color="auto" w:fill="D9D9D9"/>
          </w:tcPr>
          <w:p w:rsidR="00CE08DF" w:rsidRPr="00C43284" w:rsidRDefault="00CE08DF" w:rsidP="00E85CE3">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99,5</w:t>
            </w:r>
          </w:p>
        </w:tc>
        <w:tc>
          <w:tcPr>
            <w:tcW w:w="991" w:type="dxa"/>
            <w:tcBorders>
              <w:left w:val="nil"/>
              <w:right w:val="nil"/>
            </w:tcBorders>
            <w:shd w:val="clear" w:color="auto" w:fill="D9D9D9"/>
          </w:tcPr>
          <w:p w:rsidR="00CE08DF" w:rsidRPr="00C43284" w:rsidRDefault="00CE08DF" w:rsidP="00E85CE3">
            <w:pPr>
              <w:pStyle w:val="Default"/>
              <w:spacing w:before="40" w:after="40"/>
              <w:jc w:val="right"/>
              <w:rPr>
                <w:rFonts w:ascii="Times New Roman" w:hAnsi="Times New Roman" w:cs="Times New Roman"/>
                <w:sz w:val="20"/>
                <w:szCs w:val="20"/>
              </w:rPr>
            </w:pPr>
            <w:r w:rsidRPr="00C43284">
              <w:rPr>
                <w:rFonts w:ascii="Times New Roman" w:hAnsi="Times New Roman" w:cs="Times New Roman"/>
                <w:sz w:val="20"/>
                <w:szCs w:val="20"/>
              </w:rPr>
              <w:t>331,1</w:t>
            </w:r>
          </w:p>
        </w:tc>
      </w:tr>
      <w:tr w:rsidR="00CE08DF" w:rsidRPr="00C43284" w:rsidTr="00CE08DF">
        <w:trPr>
          <w:jc w:val="center"/>
        </w:trPr>
        <w:tc>
          <w:tcPr>
            <w:tcW w:w="3431" w:type="dxa"/>
          </w:tcPr>
          <w:p w:rsidR="00CE08DF" w:rsidRPr="00C43284" w:rsidRDefault="00CE08DF" w:rsidP="006F290F">
            <w:pPr>
              <w:pStyle w:val="Default"/>
              <w:spacing w:before="40" w:after="40"/>
              <w:rPr>
                <w:rFonts w:ascii="Times New Roman" w:hAnsi="Times New Roman" w:cs="Times New Roman"/>
                <w:b/>
                <w:bCs/>
                <w:sz w:val="20"/>
                <w:szCs w:val="20"/>
              </w:rPr>
            </w:pPr>
            <w:r w:rsidRPr="00C43284">
              <w:rPr>
                <w:rFonts w:ascii="Times New Roman" w:hAnsi="Times New Roman" w:cs="Times New Roman"/>
                <w:bCs/>
                <w:sz w:val="20"/>
                <w:szCs w:val="20"/>
              </w:rPr>
              <w:t>% no IKP</w:t>
            </w:r>
          </w:p>
        </w:tc>
        <w:tc>
          <w:tcPr>
            <w:tcW w:w="983" w:type="dxa"/>
          </w:tcPr>
          <w:p w:rsidR="00CE08DF" w:rsidRPr="00C43284" w:rsidRDefault="00CE08DF" w:rsidP="00E85CE3">
            <w:pPr>
              <w:pStyle w:val="Default"/>
              <w:spacing w:before="40" w:after="40"/>
              <w:jc w:val="right"/>
              <w:rPr>
                <w:rFonts w:ascii="Times New Roman" w:hAnsi="Times New Roman" w:cs="Times New Roman"/>
                <w:sz w:val="20"/>
                <w:szCs w:val="20"/>
              </w:rPr>
            </w:pPr>
            <w:r w:rsidRPr="00C43284">
              <w:rPr>
                <w:rFonts w:ascii="Times New Roman" w:hAnsi="Times New Roman" w:cs="Times New Roman"/>
                <w:sz w:val="20"/>
                <w:szCs w:val="20"/>
              </w:rPr>
              <w:t>0,62</w:t>
            </w:r>
          </w:p>
        </w:tc>
        <w:tc>
          <w:tcPr>
            <w:tcW w:w="984" w:type="dxa"/>
          </w:tcPr>
          <w:p w:rsidR="00CE08DF" w:rsidRPr="00C43284" w:rsidRDefault="00CE08DF" w:rsidP="00E85CE3">
            <w:pPr>
              <w:pStyle w:val="Default"/>
              <w:spacing w:before="40" w:after="40"/>
              <w:jc w:val="right"/>
              <w:rPr>
                <w:rFonts w:ascii="Times New Roman" w:hAnsi="Times New Roman" w:cs="Times New Roman"/>
                <w:sz w:val="20"/>
                <w:szCs w:val="20"/>
              </w:rPr>
            </w:pPr>
            <w:r w:rsidRPr="00C43284">
              <w:rPr>
                <w:rFonts w:ascii="Times New Roman" w:hAnsi="Times New Roman" w:cs="Times New Roman"/>
                <w:sz w:val="20"/>
                <w:szCs w:val="20"/>
              </w:rPr>
              <w:t>0,46</w:t>
            </w:r>
          </w:p>
        </w:tc>
        <w:tc>
          <w:tcPr>
            <w:tcW w:w="983" w:type="dxa"/>
          </w:tcPr>
          <w:p w:rsidR="00CE08DF" w:rsidRPr="00C43284" w:rsidRDefault="00CE08DF" w:rsidP="00E85CE3">
            <w:pPr>
              <w:pStyle w:val="Default"/>
              <w:spacing w:before="40" w:after="40"/>
              <w:jc w:val="right"/>
              <w:rPr>
                <w:rFonts w:ascii="Times New Roman" w:hAnsi="Times New Roman" w:cs="Times New Roman"/>
                <w:sz w:val="20"/>
                <w:szCs w:val="20"/>
              </w:rPr>
            </w:pPr>
            <w:r w:rsidRPr="00C43284">
              <w:rPr>
                <w:rFonts w:ascii="Times New Roman" w:hAnsi="Times New Roman" w:cs="Times New Roman"/>
                <w:sz w:val="20"/>
                <w:szCs w:val="20"/>
              </w:rPr>
              <w:t>0,60</w:t>
            </w:r>
          </w:p>
        </w:tc>
        <w:tc>
          <w:tcPr>
            <w:tcW w:w="924" w:type="dxa"/>
          </w:tcPr>
          <w:p w:rsidR="00CE08DF" w:rsidRPr="00C43284" w:rsidRDefault="00CE08DF" w:rsidP="00E85CE3">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0,7</w:t>
            </w:r>
          </w:p>
        </w:tc>
        <w:tc>
          <w:tcPr>
            <w:tcW w:w="991" w:type="dxa"/>
          </w:tcPr>
          <w:p w:rsidR="00CE08DF" w:rsidRPr="00C43284" w:rsidRDefault="00CE08DF" w:rsidP="00E85CE3">
            <w:pPr>
              <w:pStyle w:val="Default"/>
              <w:spacing w:before="40" w:after="40"/>
              <w:jc w:val="right"/>
              <w:rPr>
                <w:rFonts w:ascii="Times New Roman" w:hAnsi="Times New Roman" w:cs="Times New Roman"/>
                <w:sz w:val="20"/>
                <w:szCs w:val="20"/>
              </w:rPr>
            </w:pPr>
            <w:r w:rsidRPr="00C43284">
              <w:rPr>
                <w:rFonts w:ascii="Times New Roman" w:hAnsi="Times New Roman" w:cs="Times New Roman"/>
                <w:sz w:val="20"/>
                <w:szCs w:val="20"/>
              </w:rPr>
              <w:t>1,5</w:t>
            </w:r>
          </w:p>
        </w:tc>
      </w:tr>
    </w:tbl>
    <w:p w:rsidR="00732660" w:rsidRDefault="00732660" w:rsidP="00732660">
      <w:pPr>
        <w:spacing w:before="240"/>
        <w:ind w:firstLine="567"/>
      </w:pPr>
      <w:r w:rsidRPr="002F7FB5">
        <w:t xml:space="preserve">Latvijā kopējais finansējums </w:t>
      </w:r>
      <w:r>
        <w:t>R&amp;D 2011.</w:t>
      </w:r>
      <w:r w:rsidRPr="002F7FB5">
        <w:t>gadā bija 0,7% no IKP jeb 99,</w:t>
      </w:r>
      <w:r>
        <w:t>5</w:t>
      </w:r>
      <w:r w:rsidRPr="002F7FB5">
        <w:t xml:space="preserve"> </w:t>
      </w:r>
      <w:proofErr w:type="spellStart"/>
      <w:r w:rsidRPr="002F7FB5">
        <w:t>milj</w:t>
      </w:r>
      <w:proofErr w:type="spellEnd"/>
      <w:r w:rsidRPr="002F7FB5">
        <w:t>. latu, k</w:t>
      </w:r>
      <w:r>
        <w:t>as ir par 22,5% vairāk nekā 2010.</w:t>
      </w:r>
      <w:r w:rsidRPr="002F7FB5">
        <w:t xml:space="preserve">gadā (77 </w:t>
      </w:r>
      <w:proofErr w:type="spellStart"/>
      <w:r w:rsidRPr="002F7FB5">
        <w:t>milj</w:t>
      </w:r>
      <w:proofErr w:type="spellEnd"/>
      <w:r w:rsidRPr="002F7FB5">
        <w:t xml:space="preserve">. latu). Analizējot investīciju </w:t>
      </w:r>
      <w:r>
        <w:t>R&amp;D</w:t>
      </w:r>
      <w:r w:rsidRPr="002F7FB5">
        <w:t xml:space="preserve"> struktūru un dinamiku, var secināt</w:t>
      </w:r>
      <w:r>
        <w:t>, ka ievērojams pieaugums 2011.</w:t>
      </w:r>
      <w:r w:rsidRPr="002F7FB5">
        <w:t xml:space="preserve">gadā ir ārvalstu finansējumam, </w:t>
      </w:r>
      <w:proofErr w:type="spellStart"/>
      <w:r w:rsidRPr="002F7FB5">
        <w:t>t.sk</w:t>
      </w:r>
      <w:proofErr w:type="spellEnd"/>
      <w:r w:rsidRPr="002F7FB5">
        <w:t xml:space="preserve">. ES struktūrfondu finansējumam – par </w:t>
      </w:r>
      <w:r>
        <w:t>50,1</w:t>
      </w:r>
      <w:r w:rsidRPr="002F7FB5">
        <w:t>%, kas ir 0,3</w:t>
      </w:r>
      <w:r>
        <w:t>6</w:t>
      </w:r>
      <w:r w:rsidRPr="002F7FB5">
        <w:t>% no</w:t>
      </w:r>
      <w:r>
        <w:t xml:space="preserve"> IKP jeb 50,7 </w:t>
      </w:r>
      <w:proofErr w:type="spellStart"/>
      <w:r>
        <w:t>milj</w:t>
      </w:r>
      <w:proofErr w:type="spellEnd"/>
      <w:r>
        <w:t>. latu (2010.</w:t>
      </w:r>
      <w:r w:rsidRPr="002F7FB5">
        <w:t xml:space="preserve">gadā 0,2% no IKP jeb 25,7 </w:t>
      </w:r>
      <w:proofErr w:type="spellStart"/>
      <w:r w:rsidRPr="002F7FB5">
        <w:t>milj</w:t>
      </w:r>
      <w:proofErr w:type="spellEnd"/>
      <w:r w:rsidRPr="002F7FB5">
        <w:t>. la</w:t>
      </w:r>
      <w:r>
        <w:t>tu). Būtisks samazinājums 2011.</w:t>
      </w:r>
      <w:r w:rsidRPr="002F7FB5">
        <w:t>gadā vērojams privātā sektora ieguldījum</w:t>
      </w:r>
      <w:r>
        <w:t>os</w:t>
      </w:r>
      <w:r w:rsidRPr="002F7FB5">
        <w:t xml:space="preserve"> </w:t>
      </w:r>
      <w:r>
        <w:t>R&amp;D</w:t>
      </w:r>
      <w:r w:rsidRPr="002F7FB5">
        <w:t>, faktiskajos skaitļos samazinoties par 17,</w:t>
      </w:r>
      <w:r>
        <w:t>3</w:t>
      </w:r>
      <w:r w:rsidRPr="002F7FB5">
        <w:t>% un veidojot 24,7</w:t>
      </w:r>
      <w:r>
        <w:t xml:space="preserve"> </w:t>
      </w:r>
      <w:proofErr w:type="spellStart"/>
      <w:r>
        <w:t>milj</w:t>
      </w:r>
      <w:proofErr w:type="spellEnd"/>
      <w:r>
        <w:t>. latu (2010.</w:t>
      </w:r>
      <w:r w:rsidRPr="002F7FB5">
        <w:t xml:space="preserve">gadā – 29,9 </w:t>
      </w:r>
      <w:proofErr w:type="spellStart"/>
      <w:r w:rsidRPr="002F7FB5">
        <w:t>milj</w:t>
      </w:r>
      <w:proofErr w:type="spellEnd"/>
      <w:r w:rsidRPr="002F7FB5">
        <w:t>. latu) jeb 0,1</w:t>
      </w:r>
      <w:r>
        <w:t>7</w:t>
      </w:r>
      <w:r w:rsidRPr="002F7FB5">
        <w:t>% no IKP</w:t>
      </w:r>
      <w:r>
        <w:t>.</w:t>
      </w:r>
    </w:p>
    <w:p w:rsidR="00732660" w:rsidRPr="00C43284" w:rsidRDefault="00732660" w:rsidP="00732660">
      <w:pPr>
        <w:spacing w:before="120"/>
        <w:ind w:firstLine="567"/>
      </w:pPr>
      <w:r w:rsidRPr="00C43284">
        <w:lastRenderedPageBreak/>
        <w:t>Latvijā pastāv šādi izaicinājumi ieguldījuma palielināšanai R&amp;D:</w:t>
      </w:r>
    </w:p>
    <w:p w:rsidR="00732660" w:rsidRPr="00C43284" w:rsidRDefault="00732660" w:rsidP="00732660">
      <w:pPr>
        <w:pStyle w:val="ListParagraph"/>
        <w:numPr>
          <w:ilvl w:val="0"/>
          <w:numId w:val="4"/>
        </w:numPr>
        <w:tabs>
          <w:tab w:val="left" w:pos="851"/>
        </w:tabs>
        <w:ind w:left="851" w:hanging="284"/>
        <w:contextualSpacing w:val="0"/>
      </w:pPr>
      <w:r w:rsidRPr="00C43284">
        <w:t>mazs nodarbināto skaits zinātnē un pētniecībā (zinātnieku novecošanās, nepietiekams doktorantu skaits);</w:t>
      </w:r>
    </w:p>
    <w:p w:rsidR="00732660" w:rsidRPr="00C43284" w:rsidRDefault="00732660" w:rsidP="00732660">
      <w:pPr>
        <w:pStyle w:val="ListParagraph"/>
        <w:numPr>
          <w:ilvl w:val="0"/>
          <w:numId w:val="4"/>
        </w:numPr>
        <w:tabs>
          <w:tab w:val="left" w:pos="851"/>
        </w:tabs>
        <w:ind w:left="851" w:hanging="284"/>
        <w:contextualSpacing w:val="0"/>
      </w:pPr>
      <w:r w:rsidRPr="00C43284">
        <w:t>mazattīstīta zinātnes un pētniecības infrastruktūra, nepietiekams moderni aprīkotu laboratoriju skaits tehnoloģiskas ievirzes projektu īstenošanai;</w:t>
      </w:r>
    </w:p>
    <w:p w:rsidR="00732660" w:rsidRPr="00C43284" w:rsidRDefault="00732660" w:rsidP="00732660">
      <w:pPr>
        <w:pStyle w:val="ListParagraph"/>
        <w:numPr>
          <w:ilvl w:val="0"/>
          <w:numId w:val="4"/>
        </w:numPr>
        <w:tabs>
          <w:tab w:val="left" w:pos="851"/>
        </w:tabs>
        <w:ind w:left="851" w:hanging="284"/>
        <w:contextualSpacing w:val="0"/>
      </w:pPr>
      <w:r w:rsidRPr="00C43284">
        <w:t xml:space="preserve">vājš pētījumu rezultātu </w:t>
      </w:r>
      <w:proofErr w:type="spellStart"/>
      <w:r w:rsidRPr="00C43284">
        <w:t>komercializācijas</w:t>
      </w:r>
      <w:proofErr w:type="spellEnd"/>
      <w:r w:rsidRPr="00C43284">
        <w:t xml:space="preserve"> potenciāls, vāja sadarbība starp zinātnes un rūpniecības sektoriem;</w:t>
      </w:r>
    </w:p>
    <w:p w:rsidR="00732660" w:rsidRDefault="00732660" w:rsidP="00732660">
      <w:pPr>
        <w:pStyle w:val="ListParagraph"/>
        <w:numPr>
          <w:ilvl w:val="0"/>
          <w:numId w:val="4"/>
        </w:numPr>
        <w:tabs>
          <w:tab w:val="left" w:pos="851"/>
        </w:tabs>
        <w:ind w:left="851" w:hanging="284"/>
        <w:contextualSpacing w:val="0"/>
      </w:pPr>
      <w:r w:rsidRPr="00C43284">
        <w:t xml:space="preserve">Latvijas biznesa struktūru galvenokārt veido mazie un vidējie uzņēmumi, kuriem nav kapacitātes investēt R&amp;D un </w:t>
      </w:r>
      <w:r>
        <w:t>mazs</w:t>
      </w:r>
      <w:r w:rsidRPr="00C43284">
        <w:t xml:space="preserve"> augsto tehnoloģiju sektors</w:t>
      </w:r>
      <w:r>
        <w:t>;</w:t>
      </w:r>
    </w:p>
    <w:p w:rsidR="005B0BAD" w:rsidRDefault="00732660" w:rsidP="00732660">
      <w:pPr>
        <w:pStyle w:val="ListParagraph"/>
        <w:numPr>
          <w:ilvl w:val="0"/>
          <w:numId w:val="4"/>
        </w:numPr>
        <w:tabs>
          <w:tab w:val="left" w:pos="851"/>
        </w:tabs>
        <w:ind w:left="851" w:hanging="284"/>
        <w:contextualSpacing w:val="0"/>
      </w:pPr>
      <w:r>
        <w:t>nepietiekams valsts budžeta un privātā sektora finansējums.</w:t>
      </w:r>
    </w:p>
    <w:p w:rsidR="00732660" w:rsidRDefault="00732660" w:rsidP="00732660">
      <w:pPr>
        <w:pStyle w:val="NormalWeb"/>
        <w:spacing w:before="120" w:after="0"/>
        <w:ind w:firstLine="567"/>
        <w:jc w:val="both"/>
      </w:pPr>
      <w:r w:rsidRPr="00210E9C">
        <w:rPr>
          <w:rFonts w:eastAsia="Calibri"/>
          <w:lang w:eastAsia="en-US"/>
        </w:rPr>
        <w:t>Vienlaikus valsts</w:t>
      </w:r>
      <w:r>
        <w:rPr>
          <w:rFonts w:eastAsia="Calibri"/>
          <w:lang w:eastAsia="en-US"/>
        </w:rPr>
        <w:t xml:space="preserve"> budžeta finansējuma apjoms pēc-</w:t>
      </w:r>
      <w:r w:rsidRPr="00210E9C">
        <w:rPr>
          <w:rFonts w:eastAsia="Calibri"/>
          <w:lang w:eastAsia="en-US"/>
        </w:rPr>
        <w:t>krīzes periodā ir saglabājies stabils.</w:t>
      </w:r>
      <w:r>
        <w:rPr>
          <w:rFonts w:eastAsia="Calibri"/>
          <w:lang w:eastAsia="en-US"/>
        </w:rPr>
        <w:t xml:space="preserve"> </w:t>
      </w:r>
      <w:r>
        <w:t xml:space="preserve">2013.gadā dotāciju veidā valsts zinātniskajām institūcijām tika piešķirti gandrīz 8 </w:t>
      </w:r>
      <w:proofErr w:type="spellStart"/>
      <w:r>
        <w:t>milj</w:t>
      </w:r>
      <w:proofErr w:type="spellEnd"/>
      <w:r>
        <w:t xml:space="preserve">. latu, bet konkursa kārtībā sadalāmajam finansējumam (valsts pētījumu programmas, fundamentālo un lietišķo pētījumu projekti) piešķirti 7,26 </w:t>
      </w:r>
      <w:proofErr w:type="spellStart"/>
      <w:r>
        <w:t>milj</w:t>
      </w:r>
      <w:proofErr w:type="spellEnd"/>
      <w:r>
        <w:t>. latu.</w:t>
      </w:r>
      <w:r w:rsidR="005B0BAD">
        <w:t xml:space="preserve"> </w:t>
      </w:r>
    </w:p>
    <w:p w:rsidR="00732660" w:rsidRDefault="00732660" w:rsidP="00732660">
      <w:pPr>
        <w:spacing w:before="120"/>
        <w:ind w:firstLine="567"/>
      </w:pPr>
      <w:r w:rsidRPr="00210E9C">
        <w:t xml:space="preserve">Lai palielinātu zinātnes bāzes finansējumu, </w:t>
      </w:r>
      <w:r>
        <w:t>tika</w:t>
      </w:r>
      <w:r w:rsidRPr="00210E9C">
        <w:t xml:space="preserve"> izstrādā</w:t>
      </w:r>
      <w:r>
        <w:t>ts un 2013.gada 19.</w:t>
      </w:r>
      <w:r w:rsidRPr="00210E9C">
        <w:t>martā iesnieg</w:t>
      </w:r>
      <w:r>
        <w:t>ts</w:t>
      </w:r>
      <w:r w:rsidRPr="00210E9C">
        <w:t xml:space="preserve"> </w:t>
      </w:r>
      <w:r>
        <w:t>MK</w:t>
      </w:r>
      <w:r w:rsidRPr="00210E9C">
        <w:t xml:space="preserve"> </w:t>
      </w:r>
      <w:r w:rsidRPr="00732660">
        <w:rPr>
          <w:i/>
        </w:rPr>
        <w:t>Informatīvais ziņojums par zinātnes bāzes finansējuma pakāpeniska pieauguma nodrošināšan</w:t>
      </w:r>
      <w:r>
        <w:rPr>
          <w:i/>
        </w:rPr>
        <w:t>u</w:t>
      </w:r>
      <w:r w:rsidRPr="00210E9C">
        <w:t xml:space="preserve">, kurā tiek piedāvāti vairāki varianti zinātnes bāzes finansējuma palielināšanai, lai sekmētu gan Latvijas zinātnes un pētniecības attīstību, nodrošinātu Latvijas starptautisko saistību, Latvijas </w:t>
      </w:r>
      <w:r>
        <w:t>NRP</w:t>
      </w:r>
      <w:r w:rsidRPr="00210E9C">
        <w:t xml:space="preserve"> izpildi un </w:t>
      </w:r>
      <w:r>
        <w:t>NAP2020</w:t>
      </w:r>
      <w:r w:rsidRPr="00210E9C">
        <w:t xml:space="preserve"> noteiktā </w:t>
      </w:r>
      <w:proofErr w:type="spellStart"/>
      <w:r w:rsidRPr="00210E9C">
        <w:t>virsmērķa</w:t>
      </w:r>
      <w:proofErr w:type="spellEnd"/>
      <w:r w:rsidRPr="00210E9C">
        <w:t xml:space="preserve"> sasniegšanu, pakāpeniski pali</w:t>
      </w:r>
      <w:r>
        <w:t>elinot finansējuma apjomus R&amp;D līdz 1,5</w:t>
      </w:r>
      <w:r w:rsidRPr="00210E9C">
        <w:t xml:space="preserve">% no IKP 2020.gadā. </w:t>
      </w:r>
      <w:r>
        <w:t>MK nolēma turpināt darbu pie zinātnes nozares izvērtēšanas un valsts budžeta finansējuma pakāpeniska pieauguma aprēķināšanas.</w:t>
      </w:r>
    </w:p>
    <w:p w:rsidR="00732660" w:rsidRDefault="00732660" w:rsidP="00732660">
      <w:pPr>
        <w:pStyle w:val="ListParagraph"/>
        <w:spacing w:before="120"/>
        <w:ind w:left="0" w:firstLine="567"/>
        <w:contextualSpacing w:val="0"/>
      </w:pPr>
      <w:r>
        <w:t xml:space="preserve">Turpinās darbs pie jaunajām </w:t>
      </w:r>
      <w:r w:rsidRPr="00814765">
        <w:rPr>
          <w:i/>
        </w:rPr>
        <w:t>Pētniecības, tehnoloģiju attīstības un inovācijas pamatnostādnēm 2014.-2020.gadam</w:t>
      </w:r>
      <w:r>
        <w:t xml:space="preserve"> (turpmāk tekstā – pamatnostādnes), kuras plānots apstiprināt MK līdz 2013.gada 1.novembrim. Šobrīd IZM izveidotā darba grupa nodrošina pamatnostādņu projekta izstrādi, tajā skaitā:</w:t>
      </w:r>
    </w:p>
    <w:p w:rsidR="00732660" w:rsidRDefault="00732660" w:rsidP="00E84407">
      <w:pPr>
        <w:pStyle w:val="ListParagraph"/>
        <w:numPr>
          <w:ilvl w:val="0"/>
          <w:numId w:val="52"/>
        </w:numPr>
        <w:ind w:left="567" w:hanging="284"/>
      </w:pPr>
      <w:r>
        <w:t xml:space="preserve">ievērojot </w:t>
      </w:r>
      <w:r w:rsidR="00CC2D92">
        <w:t>EK</w:t>
      </w:r>
      <w:r>
        <w:t xml:space="preserve"> vadlīnijas viedās specializācijas stratēģijas izstrādei, tajā skaitā ievērojot praktiskos ieteikumus: inovācijas potenciāla analīzei; viedās specializācijas stratēģijas izstrādes procesa vadībai; kopējās attīstības vīzijas izstrādei; prioritāšu noteikšanai; rīcības plāna izstrādei; uzraudzībai un izvērtēšanai;</w:t>
      </w:r>
    </w:p>
    <w:p w:rsidR="00732660" w:rsidRDefault="00732660" w:rsidP="00E84407">
      <w:pPr>
        <w:pStyle w:val="ListParagraph"/>
        <w:numPr>
          <w:ilvl w:val="0"/>
          <w:numId w:val="52"/>
        </w:numPr>
        <w:ind w:left="567" w:hanging="284"/>
      </w:pPr>
      <w:r>
        <w:t>ņemot vērā JASPERS ekspertīzi un rekomendācijas;</w:t>
      </w:r>
    </w:p>
    <w:p w:rsidR="00732660" w:rsidRDefault="00732660" w:rsidP="00E84407">
      <w:pPr>
        <w:pStyle w:val="ListParagraph"/>
        <w:numPr>
          <w:ilvl w:val="0"/>
          <w:numId w:val="52"/>
        </w:numPr>
        <w:ind w:left="567" w:hanging="284"/>
      </w:pPr>
      <w:r>
        <w:t>nodrošinot informācijas apmaiņu ar Igaunijas Izglītības un pētniecības ministrij</w:t>
      </w:r>
      <w:r w:rsidR="00CC2D92">
        <w:t>u</w:t>
      </w:r>
      <w:r>
        <w:t xml:space="preserve"> un Lietuvas Izglītības un zinātnes ministrij</w:t>
      </w:r>
      <w:r w:rsidR="00CC2D92">
        <w:t>u</w:t>
      </w:r>
      <w:r>
        <w:t xml:space="preserve"> atbilstoši noslēgtajam Saprašanās memorandam;</w:t>
      </w:r>
    </w:p>
    <w:p w:rsidR="00732660" w:rsidRDefault="00732660" w:rsidP="00E84407">
      <w:pPr>
        <w:pStyle w:val="ListParagraph"/>
        <w:numPr>
          <w:ilvl w:val="0"/>
          <w:numId w:val="52"/>
        </w:numPr>
        <w:ind w:left="567" w:hanging="284"/>
      </w:pPr>
      <w:r>
        <w:t xml:space="preserve">ievērojot normatīvo regulējumu politikas plānošanas dokumentu izstrādei, tajā skaitā iekļaujot pieejamos un nepieciešamos papildu resursus pamatnostādnēs iekļauto pasākumu īstenošanai, ņemot vērā </w:t>
      </w:r>
      <w:r w:rsidR="00CC2D92">
        <w:t>Latvijas NRP</w:t>
      </w:r>
      <w:r>
        <w:t xml:space="preserve"> un </w:t>
      </w:r>
      <w:r w:rsidR="00CC2D92">
        <w:t>NAP2020</w:t>
      </w:r>
      <w:r>
        <w:t xml:space="preserve"> noteiktā R&amp;D mērķa sasniegšanu;</w:t>
      </w:r>
    </w:p>
    <w:p w:rsidR="00732660" w:rsidRDefault="00732660" w:rsidP="00E84407">
      <w:pPr>
        <w:pStyle w:val="ListParagraph"/>
        <w:numPr>
          <w:ilvl w:val="0"/>
          <w:numId w:val="52"/>
        </w:numPr>
        <w:ind w:left="567" w:hanging="284"/>
      </w:pPr>
      <w:r>
        <w:t>balstoties uz Latvijas zinātnes ārējā izvērtējuma rezultātiem un rekomendācijām;</w:t>
      </w:r>
    </w:p>
    <w:p w:rsidR="00732660" w:rsidRDefault="00732660" w:rsidP="00E84407">
      <w:pPr>
        <w:pStyle w:val="ListParagraph"/>
        <w:numPr>
          <w:ilvl w:val="0"/>
          <w:numId w:val="52"/>
        </w:numPr>
        <w:ind w:left="567" w:hanging="284"/>
      </w:pPr>
      <w:r>
        <w:t xml:space="preserve">balstoties uz BIRTI biedrības veikto esošās situācijas izvērtējumu </w:t>
      </w:r>
      <w:r w:rsidR="00CC2D92">
        <w:t>R&amp;D</w:t>
      </w:r>
      <w:r>
        <w:t>, kas iekļauj: pārskatu par valsts pārvaldības, atbildības un līdzdalības sistēmu, galvenajiem plānošanas dokumentiem zinātnes, tehnoloģiju attīstības un inovācijas jomā; investīciju pētniecībā un attīstībā raksturojumu un salīdzinājumu ar ES dalībvalstīm; cilvēkresursu pieejamības raksturojumu un salīdzinājumu ar ES</w:t>
      </w:r>
      <w:r w:rsidR="00CC2D92">
        <w:t xml:space="preserve"> </w:t>
      </w:r>
      <w:r>
        <w:t xml:space="preserve">dalībvalstīm; esošo zinātniskās darbības rezultātu izvērtējumu pēc </w:t>
      </w:r>
      <w:proofErr w:type="spellStart"/>
      <w:r>
        <w:rPr>
          <w:i/>
        </w:rPr>
        <w:t>Scopus</w:t>
      </w:r>
      <w:proofErr w:type="spellEnd"/>
      <w:r>
        <w:t xml:space="preserve"> datubāzē ievietotajām starptautiskajām zinātniskajām publikācijām un starptautiskajiem patentiem salīdzinājumā ar 10 Austrumeiropā esošajām ES dalībvalstīm.</w:t>
      </w:r>
    </w:p>
    <w:p w:rsidR="005B0BAD" w:rsidRPr="00814765" w:rsidRDefault="00732660" w:rsidP="0044249E">
      <w:r>
        <w:t>Pamatnostādņu izstrādei plānots piesaistīt papildu ekspertīzi ārpakalpojuma veidā.</w:t>
      </w:r>
      <w:r w:rsidR="005B0BAD">
        <w:t xml:space="preserve"> </w:t>
      </w:r>
    </w:p>
    <w:p w:rsidR="005B0BAD" w:rsidRPr="00C43284" w:rsidRDefault="005B0BAD" w:rsidP="005B0BAD">
      <w:pPr>
        <w:spacing w:before="240" w:after="120"/>
        <w:ind w:firstLine="567"/>
      </w:pPr>
      <w:r w:rsidRPr="00C43284">
        <w:rPr>
          <w:u w:val="single"/>
        </w:rPr>
        <w:t>Galvenie politikas virzieni un pasākumi ieguldījumu R&amp;D palielināšanai</w:t>
      </w:r>
      <w:r w:rsidRPr="00C43284">
        <w:t>:</w:t>
      </w:r>
    </w:p>
    <w:p w:rsidR="005B0BAD" w:rsidRPr="00C43284" w:rsidRDefault="005B0BAD" w:rsidP="005B0BAD">
      <w:pPr>
        <w:pStyle w:val="ListParagraph"/>
        <w:numPr>
          <w:ilvl w:val="0"/>
          <w:numId w:val="1"/>
        </w:numPr>
        <w:spacing w:before="240" w:after="120"/>
        <w:ind w:left="284" w:hanging="284"/>
        <w:contextualSpacing w:val="0"/>
        <w:rPr>
          <w:rFonts w:eastAsia="+mn-ea"/>
          <w:b/>
          <w:i/>
        </w:rPr>
      </w:pPr>
      <w:r w:rsidRPr="00C43284">
        <w:rPr>
          <w:rFonts w:eastAsia="+mn-ea"/>
          <w:b/>
          <w:i/>
        </w:rPr>
        <w:lastRenderedPageBreak/>
        <w:t>Zinātniskās darbības potenciāla attīstība</w:t>
      </w:r>
      <w:r w:rsidR="00D45640">
        <w:rPr>
          <w:rFonts w:eastAsia="+mn-ea"/>
          <w:b/>
          <w:i/>
        </w:rPr>
        <w:t xml:space="preserve"> </w:t>
      </w:r>
      <w:r w:rsidRPr="00C43284">
        <w:rPr>
          <w:rFonts w:eastAsia="+mn-ea"/>
        </w:rPr>
        <w:t>(atbildīgā institūcija – IZM)</w:t>
      </w:r>
    </w:p>
    <w:p w:rsidR="002B7BE9" w:rsidRPr="00C43284" w:rsidRDefault="002B7BE9" w:rsidP="002B7BE9">
      <w:pPr>
        <w:ind w:firstLine="567"/>
      </w:pPr>
      <w:r w:rsidRPr="00C43284">
        <w:t>Mērķis ir paaugstināt studiju un pētniecības efektivitāti, kvalitāti un starptautisko konkurētspēju.</w:t>
      </w:r>
    </w:p>
    <w:p w:rsidR="002B7BE9" w:rsidRDefault="002B7BE9" w:rsidP="002B7BE9">
      <w:pPr>
        <w:ind w:firstLine="567"/>
      </w:pPr>
      <w:r w:rsidRPr="00C43284">
        <w:t xml:space="preserve">Ieguldījumu </w:t>
      </w:r>
      <w:r>
        <w:t xml:space="preserve">R&amp;D </w:t>
      </w:r>
      <w:r w:rsidRPr="00C43284">
        <w:t xml:space="preserve">palielināšanai tiek </w:t>
      </w:r>
      <w:r>
        <w:t>īstenotas</w:t>
      </w:r>
      <w:r w:rsidRPr="00C43284">
        <w:t xml:space="preserve"> šādas galvenās aktivitātes:</w:t>
      </w:r>
    </w:p>
    <w:p w:rsidR="002B7BE9" w:rsidRDefault="002B7BE9" w:rsidP="00E84407">
      <w:pPr>
        <w:pStyle w:val="ListParagraph"/>
        <w:numPr>
          <w:ilvl w:val="0"/>
          <w:numId w:val="54"/>
        </w:numPr>
        <w:ind w:left="993"/>
      </w:pPr>
      <w:r w:rsidRPr="00BE0A61">
        <w:t xml:space="preserve">noslēgts līgums ar Ziemeļu </w:t>
      </w:r>
      <w:r>
        <w:t>M</w:t>
      </w:r>
      <w:r w:rsidRPr="00BE0A61">
        <w:t>inistru padomi par zinātnisko institūciju starptautisko izvērtēšanu 2013.gadā</w:t>
      </w:r>
      <w:r>
        <w:t>;</w:t>
      </w:r>
    </w:p>
    <w:p w:rsidR="002B7BE9" w:rsidRDefault="002B7BE9" w:rsidP="00E84407">
      <w:pPr>
        <w:pStyle w:val="ListParagraph"/>
        <w:numPr>
          <w:ilvl w:val="0"/>
          <w:numId w:val="54"/>
        </w:numPr>
        <w:ind w:left="993"/>
      </w:pPr>
      <w:r w:rsidRPr="00112E76">
        <w:t>plānota</w:t>
      </w:r>
      <w:r>
        <w:t xml:space="preserve"> valsts budžeta līdzekļu sadales principu maiņa, veicinot ekselences un cilvēkresursu koncentrāciju, sekmējot sadarbību ar industriju un nacionālās identitātes nostiprināšanos;</w:t>
      </w:r>
    </w:p>
    <w:p w:rsidR="002B7BE9" w:rsidRPr="00C43284" w:rsidRDefault="002B7BE9" w:rsidP="00E84407">
      <w:pPr>
        <w:pStyle w:val="ListParagraph"/>
        <w:numPr>
          <w:ilvl w:val="0"/>
          <w:numId w:val="54"/>
        </w:numPr>
        <w:suppressAutoHyphens/>
        <w:ind w:left="993"/>
        <w:contextualSpacing w:val="0"/>
      </w:pPr>
      <w:r w:rsidRPr="00BE0A61">
        <w:t>izveidoti 9 v</w:t>
      </w:r>
      <w:r>
        <w:t>alsts nozīmes pētniecības centr</w:t>
      </w:r>
      <w:r w:rsidRPr="00BE0A61">
        <w:t>i zinātnes un tehnoloģiju resur</w:t>
      </w:r>
      <w:r>
        <w:t xml:space="preserve">su koncentrācijai un attīstībai, kuros tiek finansēta </w:t>
      </w:r>
      <w:r w:rsidRPr="00C43284">
        <w:t xml:space="preserve">pētniecības infrastruktūras un laboratoriju </w:t>
      </w:r>
      <w:r w:rsidRPr="00BE0A61">
        <w:t>modernizācija un jaunas aparatūras iegāde (2011.-2015.gads)</w:t>
      </w:r>
      <w:r>
        <w:t>,</w:t>
      </w:r>
      <w:r w:rsidRPr="00BE0A61">
        <w:t xml:space="preserve"> </w:t>
      </w:r>
      <w:r>
        <w:t>k</w:t>
      </w:r>
      <w:r w:rsidRPr="00BE0A61">
        <w:t>opumā modernizē</w:t>
      </w:r>
      <w:r>
        <w:t>jo</w:t>
      </w:r>
      <w:r w:rsidRPr="00BE0A61">
        <w:t>t 27 valsts nozīmes pētniecības centrus veidojošās zinātniskās institūcijas</w:t>
      </w:r>
      <w:r>
        <w:t>;</w:t>
      </w:r>
    </w:p>
    <w:p w:rsidR="002B7BE9" w:rsidRPr="00C43284" w:rsidRDefault="002B7BE9" w:rsidP="00E84407">
      <w:pPr>
        <w:pStyle w:val="ListParagraph"/>
        <w:numPr>
          <w:ilvl w:val="0"/>
          <w:numId w:val="54"/>
        </w:numPr>
        <w:suppressAutoHyphens/>
        <w:ind w:left="993"/>
        <w:contextualSpacing w:val="0"/>
      </w:pPr>
      <w:r w:rsidRPr="00C43284">
        <w:t xml:space="preserve">sniegts atbalsts cilvēkresursu piesaistei zinātnē, </w:t>
      </w:r>
      <w:r w:rsidRPr="00BE0A61">
        <w:t xml:space="preserve">valsts zinātniskajās institūcijās izveidojot jaunas zinātnieku grupas starpdisciplināru pētījumu izstrādei, piesaistot darbā doktorantus, jaunos zinātniekus, zinātniekus, kas vēlas atgriezties Latvijā, ārzemju zinātniekus. 2012.gadā ESF atbalstu ir saņēmuši 619 atbilstoši pilna darba laika ekvivalentam nodarbinātie pētnieki, </w:t>
      </w:r>
      <w:proofErr w:type="spellStart"/>
      <w:r w:rsidRPr="00BE0A61">
        <w:t>t.i</w:t>
      </w:r>
      <w:proofErr w:type="spellEnd"/>
      <w:r w:rsidRPr="00BE0A61">
        <w:t>., 6,1% no zinātnē un pētniecībā kopējā valstī nodarbināto skaita. 2013.gadā turpinā</w:t>
      </w:r>
      <w:r>
        <w:t>s</w:t>
      </w:r>
      <w:r w:rsidRPr="00BE0A61">
        <w:t xml:space="preserve"> atbalst</w:t>
      </w:r>
      <w:r>
        <w:t>a sniegšana</w:t>
      </w:r>
      <w:r w:rsidRPr="00BE0A61">
        <w:t xml:space="preserve"> zinātniskajām grupām, organizējot otru projektu atlases kārtu</w:t>
      </w:r>
      <w:r>
        <w:t xml:space="preserve"> 9,8 </w:t>
      </w:r>
      <w:proofErr w:type="spellStart"/>
      <w:r>
        <w:t>milj</w:t>
      </w:r>
      <w:proofErr w:type="spellEnd"/>
      <w:r>
        <w:t>. latu apjomā</w:t>
      </w:r>
      <w:r w:rsidRPr="00C43284">
        <w:t>;</w:t>
      </w:r>
    </w:p>
    <w:p w:rsidR="002B7BE9" w:rsidRPr="00C43284" w:rsidRDefault="002B7BE9" w:rsidP="00E84407">
      <w:pPr>
        <w:pStyle w:val="ListParagraph"/>
        <w:numPr>
          <w:ilvl w:val="0"/>
          <w:numId w:val="54"/>
        </w:numPr>
        <w:suppressAutoHyphens/>
        <w:ind w:left="993"/>
        <w:contextualSpacing w:val="0"/>
      </w:pPr>
      <w:r w:rsidRPr="00C43284">
        <w:t xml:space="preserve">nodrošināta </w:t>
      </w:r>
      <w:r w:rsidRPr="00BE0A61">
        <w:t>Latvijas uzņēmēju un zinātnieku kopēja dalība programmās, kas sekmē zinātnes un rūpniecības sektora sadarbību un jaunu tehnoloģiju, produktu izstrādi (EUREKA, EUROSTARS, ARTEMIS programmu ietvaros)</w:t>
      </w:r>
      <w:r>
        <w:t>.</w:t>
      </w:r>
    </w:p>
    <w:p w:rsidR="002B7BE9" w:rsidRDefault="002B7BE9" w:rsidP="002B7BE9">
      <w:pPr>
        <w:suppressAutoHyphens/>
        <w:spacing w:before="120"/>
        <w:ind w:firstLine="567"/>
      </w:pPr>
      <w:r w:rsidRPr="002B7BE9">
        <w:rPr>
          <w:i/>
        </w:rPr>
        <w:t>Tirgus orientēto pētījumu</w:t>
      </w:r>
      <w:r w:rsidR="00D45640">
        <w:rPr>
          <w:i/>
        </w:rPr>
        <w:t xml:space="preserve"> </w:t>
      </w:r>
      <w:r w:rsidRPr="002B7BE9">
        <w:rPr>
          <w:i/>
        </w:rPr>
        <w:t>programmas</w:t>
      </w:r>
      <w:r w:rsidR="00D45640">
        <w:t xml:space="preserve"> </w:t>
      </w:r>
      <w:r w:rsidRPr="004635C1">
        <w:t>ietvaros zinātnieki</w:t>
      </w:r>
      <w:r w:rsidR="00D45640">
        <w:t xml:space="preserve"> </w:t>
      </w:r>
      <w:r w:rsidRPr="004635C1">
        <w:t>un ražotāji</w:t>
      </w:r>
      <w:r w:rsidR="00D45640">
        <w:t xml:space="preserve"> </w:t>
      </w:r>
      <w:r w:rsidRPr="004635C1">
        <w:t>cieši sadarbojās jaunu</w:t>
      </w:r>
      <w:r w:rsidR="00D45640">
        <w:t xml:space="preserve"> </w:t>
      </w:r>
      <w:r w:rsidRPr="004635C1">
        <w:t>produktu</w:t>
      </w:r>
      <w:r w:rsidR="00D45640">
        <w:t xml:space="preserve"> </w:t>
      </w:r>
      <w:r w:rsidRPr="004635C1">
        <w:t>un</w:t>
      </w:r>
      <w:r w:rsidR="00D45640">
        <w:t xml:space="preserve"> </w:t>
      </w:r>
      <w:r w:rsidRPr="004635C1">
        <w:t>tehnoloģiju izstrādē, saņemot par pētniecisko darbu valsts budžeta līdzekļus, bet ražotāji ieguva jaunu konkurētspējīgu produktu, nodrošinot līdzfinansējumu 30–60% apjomā no kopējām izmaksām. 2012.gadā tika noslēgti līgumi par trīs jaunu tirgus</w:t>
      </w:r>
      <w:r w:rsidR="00D45640">
        <w:t xml:space="preserve"> </w:t>
      </w:r>
      <w:r w:rsidRPr="004635C1">
        <w:t>orientēto</w:t>
      </w:r>
      <w:r w:rsidR="00D45640">
        <w:t xml:space="preserve"> </w:t>
      </w:r>
      <w:r w:rsidRPr="004635C1">
        <w:t>pētījumu</w:t>
      </w:r>
      <w:r w:rsidR="00D45640">
        <w:t xml:space="preserve"> </w:t>
      </w:r>
      <w:r w:rsidRPr="004635C1">
        <w:t>projektu īstenošanu. Daudzu tirgus orientēto pētījumu projektu galarezultāts ir augsto tehnoloģiju produkts vai pakalpojums</w:t>
      </w:r>
      <w:r>
        <w:t>. Tirgus orientēto pētījumu projektos intelektuālā īpašuma</w:t>
      </w:r>
      <w:r w:rsidR="00D45640">
        <w:t xml:space="preserve"> </w:t>
      </w:r>
      <w:r>
        <w:t xml:space="preserve">tiesības tiek noteiktas abu divu partneru kopīgās vienošanās līgumā. 2013.gadā ir plānots izstrādāt jaunu normatīvo regulējumu </w:t>
      </w:r>
      <w:r w:rsidRPr="002B7BE9">
        <w:rPr>
          <w:i/>
        </w:rPr>
        <w:t>Tirgus orientēto pētījumu programmai</w:t>
      </w:r>
      <w:r>
        <w:t>.</w:t>
      </w:r>
    </w:p>
    <w:p w:rsidR="002B7BE9" w:rsidRDefault="002B7BE9" w:rsidP="002B7BE9">
      <w:pPr>
        <w:suppressAutoHyphens/>
        <w:ind w:firstLine="567"/>
        <w:rPr>
          <w:rFonts w:eastAsia="+mn-ea"/>
        </w:rPr>
      </w:pPr>
      <w:r>
        <w:t>No valsts budžeta līdzekļiem Tirgus orientētiem pētījumu projektiem 2011.gadā tika piešķirti</w:t>
      </w:r>
      <w:r w:rsidR="00D45640">
        <w:t xml:space="preserve"> </w:t>
      </w:r>
      <w:r>
        <w:t xml:space="preserve">160 </w:t>
      </w:r>
      <w:proofErr w:type="spellStart"/>
      <w:r>
        <w:t>tūkst</w:t>
      </w:r>
      <w:proofErr w:type="spellEnd"/>
      <w:r>
        <w:t>. latu, 2012.gadā</w:t>
      </w:r>
      <w:r w:rsidR="00D45640">
        <w:t xml:space="preserve"> </w:t>
      </w:r>
      <w:r>
        <w:t xml:space="preserve">– 110 </w:t>
      </w:r>
      <w:proofErr w:type="spellStart"/>
      <w:r>
        <w:t>tūkst</w:t>
      </w:r>
      <w:proofErr w:type="spellEnd"/>
      <w:r>
        <w:t xml:space="preserve">. latu un 2013.gadā – 151 </w:t>
      </w:r>
      <w:proofErr w:type="spellStart"/>
      <w:r>
        <w:t>tūkst</w:t>
      </w:r>
      <w:proofErr w:type="spellEnd"/>
      <w:r>
        <w:t xml:space="preserve">. latu. Saskaņā ar </w:t>
      </w:r>
      <w:r w:rsidR="00FF40E6">
        <w:t>CSP</w:t>
      </w:r>
      <w:r>
        <w:t xml:space="preserve"> datiem 2011.gadā kopējais finansējums zinātniski pētnieciskajam darbam valstī bija 99,4 </w:t>
      </w:r>
      <w:proofErr w:type="spellStart"/>
      <w:r>
        <w:t>milj</w:t>
      </w:r>
      <w:proofErr w:type="spellEnd"/>
      <w:r>
        <w:t>. latu, līdz ar to 2011.gadā Tirgus orientēto pētījumu projektiem piešķirtais finansējums sastādīja 0,16% no zinātniski pētnieciskajam darbam valstī piešķirtā finansējuma.</w:t>
      </w:r>
    </w:p>
    <w:p w:rsidR="002B7BE9" w:rsidRPr="00FF6938" w:rsidRDefault="002B7BE9" w:rsidP="002B7BE9">
      <w:pPr>
        <w:suppressAutoHyphens/>
        <w:spacing w:before="120" w:after="120"/>
        <w:ind w:firstLine="567"/>
        <w:rPr>
          <w:rFonts w:eastAsia="+mn-ea"/>
        </w:rPr>
      </w:pPr>
      <w:r w:rsidRPr="00BE0A61">
        <w:rPr>
          <w:rFonts w:eastAsia="+mn-ea"/>
        </w:rPr>
        <w:t>Kopējais publiska</w:t>
      </w:r>
      <w:r>
        <w:rPr>
          <w:rFonts w:eastAsia="+mn-ea"/>
        </w:rPr>
        <w:t>is finansējums 2012.gadā ir 93,</w:t>
      </w:r>
      <w:r w:rsidRPr="00BE0A61">
        <w:rPr>
          <w:rFonts w:eastAsia="+mn-ea"/>
        </w:rPr>
        <w:t xml:space="preserve">6 </w:t>
      </w:r>
      <w:proofErr w:type="spellStart"/>
      <w:r w:rsidRPr="00BE0A61">
        <w:rPr>
          <w:rFonts w:eastAsia="+mn-ea"/>
        </w:rPr>
        <w:t>milj</w:t>
      </w:r>
      <w:proofErr w:type="spellEnd"/>
      <w:r w:rsidRPr="00BE0A61">
        <w:rPr>
          <w:rFonts w:eastAsia="+mn-ea"/>
        </w:rPr>
        <w:t xml:space="preserve">. latu, </w:t>
      </w:r>
      <w:proofErr w:type="spellStart"/>
      <w:r w:rsidRPr="00BE0A61">
        <w:rPr>
          <w:rFonts w:eastAsia="+mn-ea"/>
        </w:rPr>
        <w:t>t.sk</w:t>
      </w:r>
      <w:proofErr w:type="spellEnd"/>
      <w:r w:rsidRPr="00BE0A61">
        <w:rPr>
          <w:rFonts w:eastAsia="+mn-ea"/>
        </w:rPr>
        <w:t>., ES fondu finansējums ir 88,</w:t>
      </w:r>
      <w:r>
        <w:rPr>
          <w:rFonts w:eastAsia="+mn-ea"/>
        </w:rPr>
        <w:t>3</w:t>
      </w:r>
      <w:r w:rsidRPr="00BE0A61">
        <w:rPr>
          <w:rFonts w:eastAsia="+mn-ea"/>
        </w:rPr>
        <w:t xml:space="preserve"> </w:t>
      </w:r>
      <w:proofErr w:type="spellStart"/>
      <w:r w:rsidRPr="00BE0A61">
        <w:rPr>
          <w:rFonts w:eastAsia="+mn-ea"/>
        </w:rPr>
        <w:t>milj</w:t>
      </w:r>
      <w:proofErr w:type="spellEnd"/>
      <w:r w:rsidRPr="00BE0A61">
        <w:rPr>
          <w:rFonts w:eastAsia="+mn-ea"/>
        </w:rPr>
        <w:t xml:space="preserve">. latu. </w:t>
      </w:r>
      <w:r w:rsidRPr="00FF6938">
        <w:rPr>
          <w:rFonts w:eastAsia="+mn-ea"/>
        </w:rPr>
        <w:t>2013.gadā plānotajām aktivit</w:t>
      </w:r>
      <w:r>
        <w:rPr>
          <w:rFonts w:eastAsia="+mn-ea"/>
        </w:rPr>
        <w:t>ā</w:t>
      </w:r>
      <w:r w:rsidRPr="00FF6938">
        <w:rPr>
          <w:rFonts w:eastAsia="+mn-ea"/>
        </w:rPr>
        <w:t xml:space="preserve">tēm kopējām izmaksām paredzētais publiskais finansējums ir 41,8 </w:t>
      </w:r>
      <w:proofErr w:type="spellStart"/>
      <w:r w:rsidRPr="00FF6938">
        <w:rPr>
          <w:rFonts w:eastAsia="+mn-ea"/>
        </w:rPr>
        <w:t>milj</w:t>
      </w:r>
      <w:proofErr w:type="spellEnd"/>
      <w:r w:rsidRPr="00FF6938">
        <w:rPr>
          <w:rFonts w:eastAsia="+mn-ea"/>
        </w:rPr>
        <w:t>.</w:t>
      </w:r>
      <w:r>
        <w:rPr>
          <w:rFonts w:eastAsia="+mn-ea"/>
        </w:rPr>
        <w:t xml:space="preserve"> </w:t>
      </w:r>
      <w:r w:rsidRPr="00FF6938">
        <w:rPr>
          <w:rFonts w:eastAsia="+mn-ea"/>
        </w:rPr>
        <w:t>latu</w:t>
      </w:r>
      <w:r>
        <w:rPr>
          <w:rFonts w:eastAsia="+mn-ea"/>
        </w:rPr>
        <w:t>.</w:t>
      </w:r>
    </w:p>
    <w:p w:rsidR="002B7BE9" w:rsidRPr="005D2C03" w:rsidRDefault="002B7BE9" w:rsidP="002B7BE9">
      <w:pPr>
        <w:suppressAutoHyphens/>
        <w:ind w:firstLine="567"/>
        <w:contextualSpacing/>
        <w:rPr>
          <w:rFonts w:eastAsia="+mn-ea"/>
        </w:rPr>
      </w:pPr>
      <w:r w:rsidRPr="005D2C03">
        <w:rPr>
          <w:rFonts w:eastAsia="+mn-ea"/>
        </w:rPr>
        <w:t>Nākotnes redzējums valsts budžeta finansējumam zinātnei plānots četros lielos virzienos:</w:t>
      </w:r>
    </w:p>
    <w:p w:rsidR="002B7BE9" w:rsidRDefault="002B7BE9" w:rsidP="00E84407">
      <w:pPr>
        <w:pStyle w:val="ListParagraph"/>
        <w:numPr>
          <w:ilvl w:val="0"/>
          <w:numId w:val="53"/>
        </w:numPr>
        <w:suppressAutoHyphens/>
        <w:ind w:left="567" w:hanging="283"/>
        <w:rPr>
          <w:rFonts w:eastAsia="+mn-ea"/>
        </w:rPr>
      </w:pPr>
      <w:r w:rsidRPr="005D2C03">
        <w:rPr>
          <w:rFonts w:eastAsia="+mn-ea"/>
        </w:rPr>
        <w:t>zinātnisko institūciju bāzes finansējums</w:t>
      </w:r>
      <w:r>
        <w:rPr>
          <w:rFonts w:eastAsia="+mn-ea"/>
        </w:rPr>
        <w:t>;</w:t>
      </w:r>
    </w:p>
    <w:p w:rsidR="002B7BE9" w:rsidRDefault="002B7BE9" w:rsidP="00E84407">
      <w:pPr>
        <w:pStyle w:val="ListParagraph"/>
        <w:numPr>
          <w:ilvl w:val="0"/>
          <w:numId w:val="53"/>
        </w:numPr>
        <w:suppressAutoHyphens/>
        <w:ind w:left="567" w:hanging="283"/>
        <w:rPr>
          <w:rFonts w:eastAsia="+mn-ea"/>
        </w:rPr>
      </w:pPr>
      <w:r w:rsidRPr="005D2C03">
        <w:rPr>
          <w:rFonts w:eastAsia="+mn-ea"/>
        </w:rPr>
        <w:t>dalība ES un citās starptautiskās programmās, mobilitātes nodrošināšana</w:t>
      </w:r>
      <w:r>
        <w:rPr>
          <w:rFonts w:eastAsia="+mn-ea"/>
        </w:rPr>
        <w:t>;</w:t>
      </w:r>
    </w:p>
    <w:p w:rsidR="002B7BE9" w:rsidRDefault="002B7BE9" w:rsidP="00E84407">
      <w:pPr>
        <w:pStyle w:val="ListParagraph"/>
        <w:numPr>
          <w:ilvl w:val="0"/>
          <w:numId w:val="53"/>
        </w:numPr>
        <w:suppressAutoHyphens/>
        <w:ind w:left="567" w:hanging="283"/>
        <w:rPr>
          <w:rFonts w:eastAsia="+mn-ea"/>
        </w:rPr>
      </w:pPr>
      <w:r w:rsidRPr="005D2C03">
        <w:rPr>
          <w:rFonts w:eastAsia="+mn-ea"/>
        </w:rPr>
        <w:t>fundamentālajiem pētījumiem konkursa kārtībā sadalāmais finansējums</w:t>
      </w:r>
      <w:r>
        <w:rPr>
          <w:rFonts w:eastAsia="+mn-ea"/>
        </w:rPr>
        <w:t>;</w:t>
      </w:r>
    </w:p>
    <w:p w:rsidR="002B7BE9" w:rsidRDefault="002B7BE9" w:rsidP="00E84407">
      <w:pPr>
        <w:pStyle w:val="ListParagraph"/>
        <w:numPr>
          <w:ilvl w:val="0"/>
          <w:numId w:val="53"/>
        </w:numPr>
        <w:suppressAutoHyphens/>
        <w:ind w:left="567" w:hanging="283"/>
        <w:rPr>
          <w:rFonts w:eastAsia="+mn-ea"/>
        </w:rPr>
      </w:pPr>
      <w:r w:rsidRPr="005D2C03">
        <w:rPr>
          <w:rFonts w:eastAsia="+mn-ea"/>
        </w:rPr>
        <w:t>zinātniskās darbības nodrošināšanas kapacitātes uzturēšana un</w:t>
      </w:r>
      <w:r w:rsidR="00D45640">
        <w:rPr>
          <w:rFonts w:eastAsia="+mn-ea"/>
        </w:rPr>
        <w:t xml:space="preserve"> </w:t>
      </w:r>
      <w:r w:rsidRPr="005D2C03">
        <w:rPr>
          <w:rFonts w:eastAsia="+mn-ea"/>
        </w:rPr>
        <w:t>stiprināšana.</w:t>
      </w:r>
    </w:p>
    <w:p w:rsidR="002B7BE9" w:rsidRPr="005D2C03" w:rsidRDefault="002B7BE9" w:rsidP="002B7BE9">
      <w:pPr>
        <w:suppressAutoHyphens/>
        <w:spacing w:before="120"/>
        <w:ind w:firstLine="567"/>
        <w:rPr>
          <w:rFonts w:eastAsia="+mn-ea"/>
        </w:rPr>
      </w:pPr>
      <w:r w:rsidRPr="005D2C03">
        <w:rPr>
          <w:rFonts w:eastAsia="+mn-ea"/>
        </w:rPr>
        <w:t xml:space="preserve">Finansiāli apjomīgākais virziens ir zinātnisko institūciju bāzes finansējums, kas aptver gan institūciju infrastruktūras uzturēšanu, atjaunošanu un modernizēšanu, gan izvirzīto mērķu un uzdevumu sasniegšanu, gan zinātniskā un zinātni apkalpojošā personāla izdevumu, </w:t>
      </w:r>
      <w:proofErr w:type="spellStart"/>
      <w:r w:rsidRPr="005D2C03">
        <w:rPr>
          <w:rFonts w:eastAsia="+mn-ea"/>
        </w:rPr>
        <w:t>t.sk</w:t>
      </w:r>
      <w:proofErr w:type="spellEnd"/>
      <w:r w:rsidRPr="005D2C03">
        <w:rPr>
          <w:rFonts w:eastAsia="+mn-ea"/>
        </w:rPr>
        <w:t xml:space="preserve">. </w:t>
      </w:r>
      <w:r w:rsidRPr="005D2C03">
        <w:rPr>
          <w:rFonts w:eastAsia="+mn-ea"/>
        </w:rPr>
        <w:lastRenderedPageBreak/>
        <w:t xml:space="preserve">atalgojuma, izmaksas, gan ES fondu un citu ārvalstu un starptautisko finanšu instrumentu un starptautisko zinātnisko pētījumu projektu līdzfinansējuma nodrošināšanu, </w:t>
      </w:r>
      <w:proofErr w:type="spellStart"/>
      <w:r w:rsidRPr="005D2C03">
        <w:rPr>
          <w:rFonts w:eastAsia="+mn-ea"/>
        </w:rPr>
        <w:t>u.c</w:t>
      </w:r>
      <w:proofErr w:type="spellEnd"/>
      <w:r w:rsidRPr="005D2C03">
        <w:rPr>
          <w:rFonts w:eastAsia="+mn-ea"/>
        </w:rPr>
        <w:t>. nepieciešamos izdevumus.</w:t>
      </w:r>
    </w:p>
    <w:p w:rsidR="002B7BE9" w:rsidRPr="005D2C03" w:rsidRDefault="002B7BE9" w:rsidP="002B7BE9">
      <w:pPr>
        <w:suppressAutoHyphens/>
        <w:ind w:firstLine="567"/>
        <w:rPr>
          <w:rFonts w:eastAsia="+mn-ea"/>
        </w:rPr>
      </w:pPr>
      <w:r w:rsidRPr="005D2C03">
        <w:rPr>
          <w:rFonts w:eastAsia="+mn-ea"/>
        </w:rPr>
        <w:t>Nozīmīga zinātniskās darbības komponente ir starptautiskā sadarbība un dalība ES un citās starptautiskās programmās, kas ne vien veicina pārrobežu sadarbību, Latvijas atpazīstamību un zinātniskās darbības stimulēšanu, bet arī ir būtisks resurss mobilitātes sekmēšanā.</w:t>
      </w:r>
    </w:p>
    <w:p w:rsidR="002B7BE9" w:rsidRPr="00CF0C15" w:rsidRDefault="002B7BE9" w:rsidP="002B7BE9">
      <w:pPr>
        <w:suppressAutoHyphens/>
        <w:ind w:firstLine="567"/>
        <w:rPr>
          <w:rFonts w:eastAsia="+mn-ea"/>
        </w:rPr>
      </w:pPr>
      <w:r w:rsidRPr="005D2C03">
        <w:rPr>
          <w:rFonts w:eastAsia="+mn-ea"/>
        </w:rPr>
        <w:t>Fundamentāliem pētījumiem konkursa kārtībā sadalāmais finansējums tiek piešķirts divu programmu ietvaros – valsts pētījumu programmu un fundamentālo un lietišķo pētījumu (grantu) projektu konkursa kārtībā. Katrai no šīm programmām ir atšķirīgi projektu izvērtēšanas kritēriji un finansējuma piešķiršanas mehānismi.</w:t>
      </w:r>
      <w:r w:rsidR="00CF0C15">
        <w:rPr>
          <w:rFonts w:eastAsia="+mn-ea"/>
        </w:rPr>
        <w:t xml:space="preserve"> </w:t>
      </w:r>
      <w:r w:rsidR="00CF0C15" w:rsidRPr="00CF0C15">
        <w:rPr>
          <w:iCs/>
        </w:rPr>
        <w:t>Zinātniskās darbības nodrošināšanai plānots apstiprināt jaunus prioritāros zinātnes virzienus fundamentālo un lietišķo pētījumu projektu finansēšanai 2014.–2017.gadā. Saskaņā ar jaunajiem prioritārajiem virzieniem konkursa kārtībā tiks izvēlēta un nodrošināta finansēšana jaunām valsts pētījumu programmām</w:t>
      </w:r>
      <w:r w:rsidR="00CF0C15">
        <w:rPr>
          <w:iCs/>
        </w:rPr>
        <w:t>.</w:t>
      </w:r>
    </w:p>
    <w:p w:rsidR="002B7BE9" w:rsidRPr="005D2C03" w:rsidRDefault="002B7BE9" w:rsidP="002B7BE9">
      <w:pPr>
        <w:suppressAutoHyphens/>
        <w:ind w:firstLine="567"/>
        <w:rPr>
          <w:rFonts w:eastAsia="+mn-ea"/>
        </w:rPr>
      </w:pPr>
      <w:r w:rsidRPr="005D2C03">
        <w:rPr>
          <w:rFonts w:eastAsia="+mn-ea"/>
        </w:rPr>
        <w:tab/>
        <w:t>Zinātniskās darbības nodrošināšanas kapacitātes uzturēšana un stiprināšana ietver Latvijas pārstāvniecību ES programmās, Latvijas Zinātnes padomes un tās ekspertu komisiju darbībai, kā arī Latvijas Zinātņu akadēmijas darbībai nepieciešamo finansējumu, emeritēto zinātnieku mūža grantus.</w:t>
      </w:r>
    </w:p>
    <w:p w:rsidR="002B7BE9" w:rsidRPr="005D2C03" w:rsidRDefault="002B7BE9" w:rsidP="002B7BE9">
      <w:pPr>
        <w:suppressAutoHyphens/>
        <w:ind w:firstLine="567"/>
        <w:rPr>
          <w:rFonts w:eastAsia="+mn-ea"/>
        </w:rPr>
      </w:pPr>
      <w:r w:rsidRPr="00112E76">
        <w:rPr>
          <w:rFonts w:eastAsia="+mn-ea"/>
        </w:rPr>
        <w:t>Lielākais budžeta pieaugums tiek plānots divos no minētajiem virzieniem – zinātnisko institūciju bāzes finansējums un konkursa kārtībā sadalāmais finansējums fundamentālajiem pētījumiem.</w:t>
      </w:r>
    </w:p>
    <w:p w:rsidR="005B0BAD" w:rsidRPr="00171E67" w:rsidRDefault="002B7BE9" w:rsidP="002B7BE9">
      <w:pPr>
        <w:suppressAutoHyphens/>
        <w:spacing w:before="120"/>
        <w:ind w:firstLine="567"/>
        <w:rPr>
          <w:b/>
          <w:i/>
        </w:rPr>
      </w:pPr>
      <w:r w:rsidRPr="00D242F7">
        <w:rPr>
          <w:rFonts w:eastAsia="+mn-ea"/>
        </w:rPr>
        <w:t xml:space="preserve">ES struktūrfondu aktivitāšu ietvaros 2013.gadā plānots apstiprināt un uzsākt projektu īstenošanu, kas paredz atbalstu zinātnes jomai, veicinot jaunu darbavietu radīšanu jaunajiem un </w:t>
      </w:r>
      <w:proofErr w:type="spellStart"/>
      <w:r w:rsidRPr="00D242F7">
        <w:rPr>
          <w:rFonts w:eastAsia="+mn-ea"/>
        </w:rPr>
        <w:t>reemigrējošiem</w:t>
      </w:r>
      <w:proofErr w:type="spellEnd"/>
      <w:r w:rsidRPr="00D242F7">
        <w:rPr>
          <w:rFonts w:eastAsia="+mn-ea"/>
        </w:rPr>
        <w:t xml:space="preserve"> zinātniekiem, jaunu zinātnieku piesaisti pētījumiem, kā arī finansētu jauno zinātnieku grupu pētniecības darbu izmaksas, sekmētu zinātnes un ražošanas integrāciju un pētniecisko rezultātu ieviešanu atbilstoši valstī izvirzītajiem prioritārajiem zinātnes virzieniem atbalstam, kā arī zinātnes un pētniecības aprīkojuma pilnveidei un atbilstošas infrastruktūras izveidei.</w:t>
      </w:r>
      <w:r w:rsidR="00D45640">
        <w:rPr>
          <w:rFonts w:eastAsia="+mn-ea"/>
          <w:b/>
          <w:i/>
        </w:rPr>
        <w:t xml:space="preserve"> </w:t>
      </w:r>
    </w:p>
    <w:p w:rsidR="005B0BAD" w:rsidRPr="00C43284" w:rsidRDefault="005B0BAD" w:rsidP="005B0BAD">
      <w:pPr>
        <w:pStyle w:val="ListParagraph"/>
        <w:numPr>
          <w:ilvl w:val="0"/>
          <w:numId w:val="1"/>
        </w:numPr>
        <w:spacing w:before="240" w:after="120"/>
        <w:ind w:left="284" w:hanging="284"/>
        <w:contextualSpacing w:val="0"/>
        <w:rPr>
          <w:rFonts w:eastAsia="+mn-ea"/>
          <w:b/>
          <w:i/>
        </w:rPr>
      </w:pPr>
      <w:r w:rsidRPr="00C43284">
        <w:rPr>
          <w:rFonts w:eastAsia="+mn-ea"/>
          <w:b/>
          <w:i/>
        </w:rPr>
        <w:t xml:space="preserve">Uzņēmumu un zinātnieku ilgtermiņa sadarbības platformas izveide </w:t>
      </w:r>
      <w:r w:rsidRPr="00C43284">
        <w:rPr>
          <w:rFonts w:eastAsia="+mn-ea"/>
        </w:rPr>
        <w:t xml:space="preserve">(atbildīgā </w:t>
      </w:r>
      <w:r w:rsidRPr="00C43284">
        <w:rPr>
          <w:rFonts w:eastAsia="+mn-ea"/>
        </w:rPr>
        <w:br/>
        <w:t>institūcija – EM, IZM)</w:t>
      </w:r>
    </w:p>
    <w:p w:rsidR="005E28D2" w:rsidRDefault="005E28D2" w:rsidP="005E28D2">
      <w:pPr>
        <w:ind w:firstLine="567"/>
      </w:pPr>
      <w:r>
        <w:t>Ar m</w:t>
      </w:r>
      <w:r w:rsidRPr="001D2AC7">
        <w:t xml:space="preserve">ērķi izveidot ietvaru zinātnieku un uzņēmēju efektīvākai sadarbībai, pilnveidojot pētniecības infrastruktūru un atbalstot kopīgu pētījumu veikšanu, </w:t>
      </w:r>
      <w:r>
        <w:t xml:space="preserve">tostarp </w:t>
      </w:r>
      <w:r w:rsidRPr="001D2AC7">
        <w:t>sekmējot tehnoloģiju pārnesi</w:t>
      </w:r>
      <w:r>
        <w:t xml:space="preserve">, 2012.gadā tika turpināta ES struktūrfondu programmu </w:t>
      </w:r>
      <w:r w:rsidRPr="00697DA6">
        <w:rPr>
          <w:i/>
        </w:rPr>
        <w:t>„Kompetences centri”</w:t>
      </w:r>
      <w:r>
        <w:t xml:space="preserve"> un </w:t>
      </w:r>
      <w:r w:rsidRPr="00697DA6">
        <w:rPr>
          <w:i/>
        </w:rPr>
        <w:t>„Tehnoloģiju pārneses kontaktpunkti”</w:t>
      </w:r>
      <w:r>
        <w:t xml:space="preserve"> īstenošana (skatīt arī 2.7.nodaļu). Līdz 2015.gada beigām saskaņā ar darbības programmas </w:t>
      </w:r>
      <w:r w:rsidRPr="00697DA6">
        <w:rPr>
          <w:i/>
        </w:rPr>
        <w:t>„Uzņēmējdarbība un inovācijas”</w:t>
      </w:r>
      <w:r>
        <w:t xml:space="preserve"> papildinājumā noteikto aktivitāšu ERAF finansējumu minēto aktivitāšu īstenošanai plānots ieguldīt 39,3 </w:t>
      </w:r>
      <w:proofErr w:type="spellStart"/>
      <w:r>
        <w:t>milj</w:t>
      </w:r>
      <w:proofErr w:type="spellEnd"/>
      <w:r>
        <w:t xml:space="preserve">. latu ES struktūrfondu finansējuma, kas varētu piesaistīt papildus vēl 20 </w:t>
      </w:r>
      <w:proofErr w:type="spellStart"/>
      <w:r>
        <w:t>milj</w:t>
      </w:r>
      <w:proofErr w:type="spellEnd"/>
      <w:r>
        <w:t>. latu privātā sektora līdzfinansējuma.</w:t>
      </w:r>
    </w:p>
    <w:p w:rsidR="005E28D2" w:rsidRDefault="005E28D2" w:rsidP="005E28D2">
      <w:pPr>
        <w:ind w:firstLine="567"/>
      </w:pPr>
      <w:r>
        <w:t xml:space="preserve">Vienlaikus, veicinot zinātnes infrastruktūras attīstību ERAF aktivitātē </w:t>
      </w:r>
      <w:r w:rsidRPr="00697DA6">
        <w:rPr>
          <w:i/>
        </w:rPr>
        <w:t>„Zinātnes infrastruktūras attīstība”</w:t>
      </w:r>
      <w:r>
        <w:t xml:space="preserve"> uz 2013.gada 25.februāri tiek īstenoti 19 projekti, </w:t>
      </w:r>
      <w:proofErr w:type="spellStart"/>
      <w:r>
        <w:t>t.sk</w:t>
      </w:r>
      <w:proofErr w:type="spellEnd"/>
      <w:r>
        <w:t xml:space="preserve">. 9 projekti 1.atlases kārtā valsts nozīmes pētniecības centru attīstībai (ERAF 56,35 </w:t>
      </w:r>
      <w:proofErr w:type="spellStart"/>
      <w:r>
        <w:t>milj</w:t>
      </w:r>
      <w:proofErr w:type="spellEnd"/>
      <w:r>
        <w:t>. latu apmērā</w:t>
      </w:r>
      <w:r w:rsidR="00697DA6">
        <w:t>)</w:t>
      </w:r>
      <w:r>
        <w:t xml:space="preserve"> un 10 projekti 2.atlases kārtā </w:t>
      </w:r>
      <w:r w:rsidR="00697DA6">
        <w:t>(</w:t>
      </w:r>
      <w:r>
        <w:t xml:space="preserve">ERAF 30,48 </w:t>
      </w:r>
      <w:proofErr w:type="spellStart"/>
      <w:r>
        <w:t>milj</w:t>
      </w:r>
      <w:proofErr w:type="spellEnd"/>
      <w:r>
        <w:t>. latu apmērā). Projektu īstenošana paredzēta līdz 2015.gada 31.augustam.</w:t>
      </w:r>
    </w:p>
    <w:p w:rsidR="005E28D2" w:rsidRDefault="005E28D2" w:rsidP="005E28D2">
      <w:pPr>
        <w:ind w:firstLine="567"/>
      </w:pPr>
      <w:r>
        <w:t xml:space="preserve">Līdz 2013.gada 25.februārim veikti maksājumi 30,11 </w:t>
      </w:r>
      <w:proofErr w:type="spellStart"/>
      <w:r>
        <w:t>milj</w:t>
      </w:r>
      <w:proofErr w:type="spellEnd"/>
      <w:r>
        <w:t>. latu apmērā (</w:t>
      </w:r>
      <w:proofErr w:type="spellStart"/>
      <w:r>
        <w:t>t.sk</w:t>
      </w:r>
      <w:proofErr w:type="spellEnd"/>
      <w:r>
        <w:t xml:space="preserve">. ERAF 28,16 </w:t>
      </w:r>
      <w:proofErr w:type="spellStart"/>
      <w:r>
        <w:t>milj</w:t>
      </w:r>
      <w:proofErr w:type="spellEnd"/>
      <w:r>
        <w:t>. latu); avansu maksājumi finansējuma saņēmējiem 19,69</w:t>
      </w:r>
      <w:r w:rsidR="00D45640">
        <w:t xml:space="preserve"> </w:t>
      </w:r>
      <w:proofErr w:type="spellStart"/>
      <w:r>
        <w:t>milj</w:t>
      </w:r>
      <w:proofErr w:type="spellEnd"/>
      <w:r>
        <w:t>. latu apmērā.</w:t>
      </w:r>
    </w:p>
    <w:p w:rsidR="005B0BAD" w:rsidRDefault="005E28D2" w:rsidP="005E28D2">
      <w:pPr>
        <w:ind w:firstLine="567"/>
      </w:pPr>
      <w:r>
        <w:t xml:space="preserve">Plānots, ka </w:t>
      </w:r>
      <w:r w:rsidR="00697DA6">
        <w:t>1.</w:t>
      </w:r>
      <w:r>
        <w:t>atlases kārtas projektu īstenošanas rezultātā tiks modernizētas 27 zinātniskās institūcijas.</w:t>
      </w:r>
    </w:p>
    <w:p w:rsidR="005B0BAD" w:rsidRPr="00C43284" w:rsidRDefault="005B0BAD" w:rsidP="005B0BAD">
      <w:pPr>
        <w:pStyle w:val="ListParagraph"/>
        <w:numPr>
          <w:ilvl w:val="0"/>
          <w:numId w:val="1"/>
        </w:numPr>
        <w:spacing w:before="240" w:after="120"/>
        <w:ind w:left="284" w:hanging="284"/>
        <w:contextualSpacing w:val="0"/>
        <w:rPr>
          <w:rFonts w:eastAsia="+mn-ea"/>
          <w:b/>
          <w:i/>
        </w:rPr>
      </w:pPr>
      <w:r w:rsidRPr="00C43284">
        <w:rPr>
          <w:rFonts w:eastAsia="+mn-ea"/>
          <w:b/>
          <w:i/>
        </w:rPr>
        <w:t xml:space="preserve">Atbalsts inovatīvu komersantu attīstībai </w:t>
      </w:r>
      <w:r w:rsidRPr="00C43284">
        <w:rPr>
          <w:rFonts w:eastAsia="+mn-ea"/>
        </w:rPr>
        <w:t>(atbildīgā institūcija – EM</w:t>
      </w:r>
      <w:r>
        <w:rPr>
          <w:rFonts w:eastAsia="+mn-ea"/>
        </w:rPr>
        <w:t>, FM</w:t>
      </w:r>
      <w:r w:rsidRPr="00C43284">
        <w:rPr>
          <w:rFonts w:eastAsia="+mn-ea"/>
        </w:rPr>
        <w:t>)</w:t>
      </w:r>
    </w:p>
    <w:p w:rsidR="005B0BAD" w:rsidRDefault="005B0BAD" w:rsidP="005B0BAD">
      <w:pPr>
        <w:ind w:firstLine="567"/>
      </w:pPr>
      <w:r>
        <w:lastRenderedPageBreak/>
        <w:t>Lai</w:t>
      </w:r>
      <w:r w:rsidRPr="001D2AC7">
        <w:t xml:space="preserve"> sniegt</w:t>
      </w:r>
      <w:r>
        <w:t>u</w:t>
      </w:r>
      <w:r w:rsidRPr="001D2AC7">
        <w:t xml:space="preserve"> atbalstu inovatīviem komersantiem jaunu produktu un tehnoloģiju izstrādei un ieviešanai ražošanā un palielināt</w:t>
      </w:r>
      <w:r>
        <w:t>u</w:t>
      </w:r>
      <w:r w:rsidRPr="001D2AC7">
        <w:t xml:space="preserve"> inovatīvo uzņēmumu skaitu</w:t>
      </w:r>
      <w:r>
        <w:t xml:space="preserve">, 2012.gadā tika turpināta atbalstīto projektu īstenošana ES struktūrfondu programmās </w:t>
      </w:r>
      <w:r w:rsidRPr="00024CFF">
        <w:rPr>
          <w:i/>
        </w:rPr>
        <w:t>„Jaunu produktu un tehnoloģiju izstrāde”</w:t>
      </w:r>
      <w:r>
        <w:t>,</w:t>
      </w:r>
      <w:r w:rsidRPr="001D2AC7">
        <w:t xml:space="preserve"> </w:t>
      </w:r>
      <w:r w:rsidRPr="00024CFF">
        <w:rPr>
          <w:i/>
        </w:rPr>
        <w:t>„Jaunu produktu un tehnoloģiju ieviešana ražošanā”</w:t>
      </w:r>
      <w:r>
        <w:t xml:space="preserve">, </w:t>
      </w:r>
      <w:r w:rsidRPr="00024CFF">
        <w:rPr>
          <w:i/>
        </w:rPr>
        <w:t>„Augstas pievienotās vērtības investīcijas”</w:t>
      </w:r>
      <w:r>
        <w:t xml:space="preserve">, kā arī uzsākta </w:t>
      </w:r>
      <w:r w:rsidRPr="00024CFF">
        <w:rPr>
          <w:i/>
        </w:rPr>
        <w:t>„</w:t>
      </w:r>
      <w:proofErr w:type="spellStart"/>
      <w:r w:rsidRPr="00024CFF">
        <w:rPr>
          <w:i/>
        </w:rPr>
        <w:t>Mikro</w:t>
      </w:r>
      <w:proofErr w:type="spellEnd"/>
      <w:r w:rsidRPr="00024CFF">
        <w:rPr>
          <w:i/>
        </w:rPr>
        <w:t>, mazo un vidējo komersantu jaunu produktu un tehnoloģiju attīstības programmas”</w:t>
      </w:r>
      <w:r>
        <w:t xml:space="preserve"> īstenošana. Minēto aktivitāšu īstenošanai līdz 2015.gada beigām saskaņā ar darbības programmas </w:t>
      </w:r>
      <w:r w:rsidRPr="00024CFF">
        <w:rPr>
          <w:i/>
        </w:rPr>
        <w:t>„Uzņēmējdarbība un inovācijas”</w:t>
      </w:r>
      <w:r>
        <w:t xml:space="preserve"> papildinājumā noteikto aktivitāšu ERAF finansējumu plānots ieguldīt</w:t>
      </w:r>
      <w:r w:rsidR="00D45640">
        <w:t xml:space="preserve"> </w:t>
      </w:r>
      <w:r>
        <w:t xml:space="preserve">124,6 </w:t>
      </w:r>
      <w:proofErr w:type="spellStart"/>
      <w:r>
        <w:t>milj</w:t>
      </w:r>
      <w:proofErr w:type="spellEnd"/>
      <w:r>
        <w:t xml:space="preserve">. latu, kas varētu piesaistīt 143,6 </w:t>
      </w:r>
      <w:proofErr w:type="spellStart"/>
      <w:r>
        <w:t>milj</w:t>
      </w:r>
      <w:proofErr w:type="spellEnd"/>
      <w:r>
        <w:t>. latu privātā sektora līdzfinansējuma</w:t>
      </w:r>
      <w:r w:rsidR="00D45640">
        <w:t xml:space="preserve"> </w:t>
      </w:r>
      <w:r>
        <w:t>(</w:t>
      </w:r>
      <w:proofErr w:type="spellStart"/>
      <w:r>
        <w:t>sk</w:t>
      </w:r>
      <w:r w:rsidR="00024CFF">
        <w:t>at</w:t>
      </w:r>
      <w:proofErr w:type="spellEnd"/>
      <w:r>
        <w:t>. 2</w:t>
      </w:r>
      <w:r w:rsidR="00024CFF">
        <w:t>.</w:t>
      </w:r>
      <w:r>
        <w:t>7.nodaļu).</w:t>
      </w:r>
    </w:p>
    <w:p w:rsidR="005B0BAD" w:rsidRDefault="005B0BAD" w:rsidP="005B0BAD">
      <w:pPr>
        <w:ind w:firstLine="567"/>
      </w:pPr>
      <w:r w:rsidRPr="00C43284">
        <w:t xml:space="preserve">Piesaistot Norvēģijas finanšu instrumenta finansējumu, </w:t>
      </w:r>
      <w:r>
        <w:t xml:space="preserve">ar 2012.gada 20.augustu tiek īstenota </w:t>
      </w:r>
      <w:r w:rsidRPr="00C43284">
        <w:t xml:space="preserve">jauna atbalsta programma </w:t>
      </w:r>
      <w:r w:rsidRPr="00C43284">
        <w:rPr>
          <w:i/>
        </w:rPr>
        <w:t>„zaļās” ražošanas</w:t>
      </w:r>
      <w:r w:rsidRPr="00C43284">
        <w:t xml:space="preserve"> sekmēšanai</w:t>
      </w:r>
      <w:r>
        <w:t>, kuras</w:t>
      </w:r>
      <w:r w:rsidRPr="00C43284">
        <w:t xml:space="preserve"> ietvaros tiks izveidots Tehnoloģiju inkubators</w:t>
      </w:r>
      <w:r>
        <w:t>.</w:t>
      </w:r>
      <w:r w:rsidRPr="00C43284">
        <w:t xml:space="preserve"> </w:t>
      </w:r>
      <w:r>
        <w:t>Programmā konkursos</w:t>
      </w:r>
      <w:r w:rsidRPr="00C43284">
        <w:t xml:space="preserve"> „</w:t>
      </w:r>
      <w:r w:rsidRPr="00C43284">
        <w:rPr>
          <w:rStyle w:val="Emphasis"/>
          <w:i w:val="0"/>
        </w:rPr>
        <w:t>zaļajiem”</w:t>
      </w:r>
      <w:r w:rsidRPr="00C43284">
        <w:rPr>
          <w:rStyle w:val="Emphasis"/>
        </w:rPr>
        <w:t xml:space="preserve"> </w:t>
      </w:r>
      <w:r w:rsidRPr="00C43284">
        <w:t>komersantiem būs pieejams atbalsts</w:t>
      </w:r>
      <w:r w:rsidRPr="00C43284">
        <w:rPr>
          <w:rStyle w:val="Emphasis"/>
        </w:rPr>
        <w:t xml:space="preserve"> </w:t>
      </w:r>
      <w:r w:rsidRPr="00C43284">
        <w:t>inovatīvu produktu un tehnoloģiju izstrādei</w:t>
      </w:r>
      <w:r w:rsidR="00D45640">
        <w:t xml:space="preserve"> </w:t>
      </w:r>
      <w:r>
        <w:t xml:space="preserve">7,1 </w:t>
      </w:r>
      <w:proofErr w:type="spellStart"/>
      <w:r w:rsidRPr="00C43284">
        <w:t>milj</w:t>
      </w:r>
      <w:proofErr w:type="spellEnd"/>
      <w:r w:rsidRPr="00C43284">
        <w:t xml:space="preserve">. latu apmērā. Kopējais programmas finansējums ir </w:t>
      </w:r>
      <w:r>
        <w:t>8,8</w:t>
      </w:r>
      <w:r w:rsidRPr="00C43284">
        <w:t xml:space="preserve"> </w:t>
      </w:r>
      <w:proofErr w:type="spellStart"/>
      <w:r w:rsidRPr="00C43284">
        <w:t>milj</w:t>
      </w:r>
      <w:proofErr w:type="spellEnd"/>
      <w:r w:rsidRPr="00C43284">
        <w:t xml:space="preserve">. latu, un tā ietvaros pavisam ir plānots atbalstīt 120 uzņēmumus. Plānots, ka Tehnoloģiju inkubators darbību </w:t>
      </w:r>
      <w:r>
        <w:t>uz</w:t>
      </w:r>
      <w:r w:rsidRPr="00C43284">
        <w:t>sāks 201</w:t>
      </w:r>
      <w:r>
        <w:t>3</w:t>
      </w:r>
      <w:r w:rsidRPr="00C43284">
        <w:t>.gada</w:t>
      </w:r>
      <w:r w:rsidR="00782F10">
        <w:t xml:space="preserve"> 3.</w:t>
      </w:r>
      <w:r>
        <w:t>ceturksnī un konkursi izsludināti 2013.gada jūnijā un septembrī</w:t>
      </w:r>
      <w:r w:rsidRPr="00C43284">
        <w:t>.</w:t>
      </w:r>
    </w:p>
    <w:p w:rsidR="00D85253" w:rsidRPr="001D2AC7" w:rsidRDefault="005B0BAD" w:rsidP="005B0BAD">
      <w:pPr>
        <w:ind w:firstLine="567"/>
      </w:pPr>
      <w:r w:rsidRPr="00F53B36">
        <w:t>Pasākumi inovācijas, pētniecības un attīstības veicināšanai sekmē arī Latvijas</w:t>
      </w:r>
      <w:r>
        <w:t xml:space="preserve"> </w:t>
      </w:r>
      <w:r w:rsidRPr="00F53B36">
        <w:rPr>
          <w:i/>
        </w:rPr>
        <w:t xml:space="preserve">Eiro Plus pakta </w:t>
      </w:r>
      <w:r>
        <w:t xml:space="preserve">saistību </w:t>
      </w:r>
      <w:r w:rsidRPr="00F53B36">
        <w:t xml:space="preserve">izpildi </w:t>
      </w:r>
      <w:r>
        <w:t>(</w:t>
      </w:r>
      <w:r w:rsidRPr="00F53B36">
        <w:t>1.2.pasākum</w:t>
      </w:r>
      <w:r w:rsidR="00041D00">
        <w:t>s</w:t>
      </w:r>
      <w:r>
        <w:t>)</w:t>
      </w:r>
      <w:r w:rsidR="00041D00">
        <w:t xml:space="preserve">, kā arī </w:t>
      </w:r>
      <w:r w:rsidR="00041D00" w:rsidRPr="00353580">
        <w:rPr>
          <w:i/>
        </w:rPr>
        <w:t>2013.gada izaugsmes ziņojuma</w:t>
      </w:r>
      <w:r w:rsidR="00041D00">
        <w:t xml:space="preserve"> prioritāti attiecībā uz izaugsmes un konkurētspējas veicināšanu</w:t>
      </w:r>
      <w:r w:rsidR="00935AB4">
        <w:t xml:space="preserve">, kā arī </w:t>
      </w:r>
      <w:r w:rsidR="00935AB4" w:rsidRPr="00FF5C3A">
        <w:rPr>
          <w:i/>
        </w:rPr>
        <w:t>„Eiropa 2020”</w:t>
      </w:r>
      <w:r w:rsidR="00935AB4">
        <w:t xml:space="preserve"> stratēģijas vadošās iniciatīvas </w:t>
      </w:r>
      <w:r w:rsidR="00935AB4" w:rsidRPr="00935AB4">
        <w:rPr>
          <w:i/>
        </w:rPr>
        <w:t>„Inovācijas Savienība”</w:t>
      </w:r>
      <w:r w:rsidR="00935AB4">
        <w:t xml:space="preserve"> īstenošanu</w:t>
      </w:r>
      <w:r w:rsidRPr="00F53B36">
        <w:t>.</w:t>
      </w:r>
    </w:p>
    <w:p w:rsidR="0051129F" w:rsidRPr="00C43284" w:rsidRDefault="000A7BDA" w:rsidP="00E8397A">
      <w:pPr>
        <w:pStyle w:val="Heading3"/>
        <w:spacing w:before="360" w:after="120"/>
        <w:ind w:left="567"/>
        <w:rPr>
          <w:rFonts w:ascii="Times New Roman" w:hAnsi="Times New Roman" w:cs="Times New Roman"/>
          <w:color w:val="auto"/>
        </w:rPr>
      </w:pPr>
      <w:bookmarkStart w:id="24" w:name="_Toc354384937"/>
      <w:r w:rsidRPr="00C43284">
        <w:rPr>
          <w:rFonts w:ascii="Times New Roman" w:hAnsi="Times New Roman" w:cs="Times New Roman"/>
          <w:color w:val="auto"/>
        </w:rPr>
        <w:t>3.2.</w:t>
      </w:r>
      <w:r w:rsidR="00C21B18" w:rsidRPr="00C43284">
        <w:rPr>
          <w:rFonts w:ascii="Times New Roman" w:hAnsi="Times New Roman" w:cs="Times New Roman"/>
          <w:color w:val="auto"/>
        </w:rPr>
        <w:t>4</w:t>
      </w:r>
      <w:r w:rsidR="00EF0DA1" w:rsidRPr="00C43284">
        <w:rPr>
          <w:rFonts w:ascii="Times New Roman" w:hAnsi="Times New Roman" w:cs="Times New Roman"/>
          <w:color w:val="auto"/>
        </w:rPr>
        <w:t xml:space="preserve">. </w:t>
      </w:r>
      <w:r w:rsidR="0051129F" w:rsidRPr="00C43284">
        <w:rPr>
          <w:rFonts w:ascii="Times New Roman" w:hAnsi="Times New Roman" w:cs="Times New Roman"/>
          <w:color w:val="auto"/>
        </w:rPr>
        <w:t>Informācijas un komu</w:t>
      </w:r>
      <w:r w:rsidR="006A33BB" w:rsidRPr="00C43284">
        <w:rPr>
          <w:rFonts w:ascii="Times New Roman" w:hAnsi="Times New Roman" w:cs="Times New Roman"/>
          <w:color w:val="auto"/>
        </w:rPr>
        <w:t>nikāciju tehnoloģijas</w:t>
      </w:r>
      <w:bookmarkEnd w:id="24"/>
    </w:p>
    <w:p w:rsidR="005B0BAD" w:rsidRDefault="005B0BAD" w:rsidP="005B0BAD">
      <w:pPr>
        <w:tabs>
          <w:tab w:val="num" w:pos="567"/>
        </w:tabs>
        <w:ind w:firstLine="567"/>
        <w:rPr>
          <w:bCs/>
        </w:rPr>
      </w:pPr>
      <w:r>
        <w:t xml:space="preserve">Mērķis ir nodrošināt </w:t>
      </w:r>
      <w:r>
        <w:rPr>
          <w:rStyle w:val="fullpost"/>
        </w:rPr>
        <w:t>elektronisko sakaru vienlīdzīgu</w:t>
      </w:r>
      <w:r>
        <w:t xml:space="preserve"> </w:t>
      </w:r>
      <w:r>
        <w:rPr>
          <w:rStyle w:val="fullpost"/>
        </w:rPr>
        <w:t>pieejamību visā Latvijas teritorijā,</w:t>
      </w:r>
      <w:r>
        <w:t xml:space="preserve"> paaugstināt IKT ieguldījumu visu tautsaimniecības nozaru izaugsmē un inovācijā. </w:t>
      </w:r>
      <w:r>
        <w:rPr>
          <w:bCs/>
        </w:rPr>
        <w:t xml:space="preserve">Rīcības virziens paredz </w:t>
      </w:r>
      <w:r w:rsidR="006414B4" w:rsidRPr="00FF5C3A">
        <w:rPr>
          <w:bCs/>
          <w:i/>
        </w:rPr>
        <w:t>„</w:t>
      </w:r>
      <w:r w:rsidRPr="00FF5C3A">
        <w:rPr>
          <w:bCs/>
          <w:i/>
        </w:rPr>
        <w:t>Eiropa 2020</w:t>
      </w:r>
      <w:r w:rsidR="006414B4" w:rsidRPr="00FF5C3A">
        <w:rPr>
          <w:bCs/>
          <w:i/>
        </w:rPr>
        <w:t>”</w:t>
      </w:r>
      <w:r>
        <w:rPr>
          <w:bCs/>
        </w:rPr>
        <w:t xml:space="preserve"> stratēģijas vadošās iniciatīvas </w:t>
      </w:r>
      <w:r w:rsidR="006414B4" w:rsidRPr="006414B4">
        <w:rPr>
          <w:bCs/>
          <w:i/>
        </w:rPr>
        <w:t>„</w:t>
      </w:r>
      <w:r>
        <w:rPr>
          <w:bCs/>
          <w:i/>
        </w:rPr>
        <w:t>Digitālā programma Eiropai</w:t>
      </w:r>
      <w:r w:rsidR="006414B4">
        <w:rPr>
          <w:bCs/>
          <w:i/>
        </w:rPr>
        <w:t>”</w:t>
      </w:r>
      <w:r>
        <w:rPr>
          <w:bCs/>
        </w:rPr>
        <w:t xml:space="preserve"> noteikto pasākumu ieviešanu Latvijā</w:t>
      </w:r>
      <w:r w:rsidR="00980D51">
        <w:rPr>
          <w:bCs/>
        </w:rPr>
        <w:t xml:space="preserve">, kā arī saistās ar </w:t>
      </w:r>
      <w:r w:rsidR="00980D51" w:rsidRPr="00353580">
        <w:rPr>
          <w:i/>
        </w:rPr>
        <w:t>2013.gada izaugsmes ziņojuma</w:t>
      </w:r>
      <w:r w:rsidR="00980D51">
        <w:t xml:space="preserve"> prioritātes attiecībā uz izaugsmes un konkurētspējas veicināšanu īstenošanu</w:t>
      </w:r>
      <w:r>
        <w:rPr>
          <w:bCs/>
        </w:rPr>
        <w:t>.</w:t>
      </w:r>
    </w:p>
    <w:p w:rsidR="005B0BAD" w:rsidRDefault="005B0BAD" w:rsidP="005B0BAD">
      <w:pPr>
        <w:ind w:firstLine="567"/>
      </w:pPr>
      <w:r>
        <w:t xml:space="preserve">2011.gadā apstiprinātais </w:t>
      </w:r>
      <w:r>
        <w:rPr>
          <w:i/>
        </w:rPr>
        <w:t>Elektroniskās pārvaldes attīstības plāns 2011.</w:t>
      </w:r>
      <w:r w:rsidR="006414B4">
        <w:rPr>
          <w:i/>
        </w:rPr>
        <w:t>–</w:t>
      </w:r>
      <w:r>
        <w:rPr>
          <w:i/>
        </w:rPr>
        <w:t>2013.gadam</w:t>
      </w:r>
      <w:r>
        <w:t xml:space="preserve">, paredz, ka 2013.gadā 73% no visiem iedzīvotājiem regulāri lietos internetu, 75% mājsaimniecībām būs nodrošināta iespēja pieslēgt platjoslas pakalpojumus un 2015.gadā e-pārvaldi izmantos 50% iedzīvotāju. </w:t>
      </w:r>
    </w:p>
    <w:p w:rsidR="005B0BAD" w:rsidRDefault="005B0BAD" w:rsidP="005B0BAD">
      <w:pPr>
        <w:ind w:firstLine="567"/>
      </w:pPr>
      <w:r>
        <w:t xml:space="preserve">Pēc </w:t>
      </w:r>
      <w:proofErr w:type="spellStart"/>
      <w:r w:rsidRPr="006414B4">
        <w:t>Eurostat</w:t>
      </w:r>
      <w:proofErr w:type="spellEnd"/>
      <w:r w:rsidR="00C808B6">
        <w:t xml:space="preserve"> datiem 2012.gadā 70% (2011.</w:t>
      </w:r>
      <w:r>
        <w:t>gadā – 66%) Latvijas iedzīvotāju regulāri (vismaz reizi nedēļā) lietoja internetu, šajā rādītājā pārsniedzot ES v</w:t>
      </w:r>
      <w:r w:rsidR="00C808B6">
        <w:t>idējo rādītāju (vidēji ES 2012.gadā – 69%). 2012.</w:t>
      </w:r>
      <w:r>
        <w:t>gada sākumā Latvijā platjoslas</w:t>
      </w:r>
      <w:r>
        <w:rPr>
          <w:rStyle w:val="FootnoteReference"/>
        </w:rPr>
        <w:footnoteReference w:id="16"/>
      </w:r>
      <w:r>
        <w:t xml:space="preserve"> interneta piekļuves līniju skaits sasniedza 2</w:t>
      </w:r>
      <w:r w:rsidR="00C808B6">
        <w:t>0,4 uz 100 iedzīvotājiem (2011.</w:t>
      </w:r>
      <w:r>
        <w:t xml:space="preserve">gada sākumā – 19,5), šajā rādītājā atpaliekot no ES vidējā rādītāja </w:t>
      </w:r>
      <w:r w:rsidR="00C808B6">
        <w:t>(vidēji ES 2012.</w:t>
      </w:r>
      <w:r>
        <w:t>gada sākumā – 27,7).</w:t>
      </w:r>
    </w:p>
    <w:p w:rsidR="005B0BAD" w:rsidRDefault="005B0BAD" w:rsidP="005B0BAD">
      <w:pPr>
        <w:ind w:firstLine="567"/>
      </w:pPr>
      <w:r>
        <w:t xml:space="preserve">Pēc </w:t>
      </w:r>
      <w:r w:rsidR="00C808B6" w:rsidRPr="00C808B6">
        <w:rPr>
          <w:i/>
        </w:rPr>
        <w:t>„</w:t>
      </w:r>
      <w:r>
        <w:rPr>
          <w:i/>
        </w:rPr>
        <w:t>Digitālās programmas Eiropai</w:t>
      </w:r>
      <w:r w:rsidR="00C808B6">
        <w:rPr>
          <w:i/>
        </w:rPr>
        <w:t>”</w:t>
      </w:r>
      <w:r w:rsidR="00C808B6">
        <w:t xml:space="preserve"> datiem, 2012.</w:t>
      </w:r>
      <w:r>
        <w:t>gadā janvārī Latvijā interneta pieslēgums, izmantojot fiksētās līnijas, 57,5% gadījumu nodrošina datu pārraides ātrumu ≥10Mbps (</w:t>
      </w:r>
      <w:proofErr w:type="spellStart"/>
      <w:r>
        <w:t>mbit</w:t>
      </w:r>
      <w:proofErr w:type="spellEnd"/>
      <w:r>
        <w:t>/sekundē), 15,6% gadījumu – datu pārraides ātrumu no 30 </w:t>
      </w:r>
      <w:proofErr w:type="spellStart"/>
      <w:r>
        <w:t>Mbps</w:t>
      </w:r>
      <w:proofErr w:type="spellEnd"/>
      <w:r>
        <w:t xml:space="preserve"> līdz 100 </w:t>
      </w:r>
      <w:proofErr w:type="spellStart"/>
      <w:r>
        <w:t>Mbps</w:t>
      </w:r>
      <w:proofErr w:type="spellEnd"/>
      <w:r>
        <w:t xml:space="preserve"> un 15,4% gadījumu datu pārraides ātrumu</w:t>
      </w:r>
      <w:r w:rsidR="00C808B6">
        <w:t xml:space="preserve"> virs 100 </w:t>
      </w:r>
      <w:proofErr w:type="spellStart"/>
      <w:r w:rsidR="00C808B6">
        <w:t>Mbps</w:t>
      </w:r>
      <w:proofErr w:type="spellEnd"/>
      <w:r w:rsidR="00C808B6">
        <w:t xml:space="preserve"> (vidēji ES 2012.</w:t>
      </w:r>
      <w:r>
        <w:t>gada janvārī datu pārraides ātrums virs 30 </w:t>
      </w:r>
      <w:proofErr w:type="spellStart"/>
      <w:r>
        <w:t>Mbps</w:t>
      </w:r>
      <w:proofErr w:type="spellEnd"/>
      <w:r>
        <w:t xml:space="preserve"> bija tikai 15,6% fiksēto līniju). Tomēr mobilais platjoslas interneta piekļuves pieslēgums Latvijā bija tikai 29,7% interneta pieslēgumu, kas par 13,4 procentpunktiem atpaliek no ES vidējā līmeņa.</w:t>
      </w:r>
    </w:p>
    <w:p w:rsidR="005B0BAD" w:rsidRDefault="005B0BAD" w:rsidP="005B0BAD">
      <w:pPr>
        <w:ind w:firstLine="567"/>
      </w:pPr>
      <w:r>
        <w:t xml:space="preserve">2013.gadā plānots sagatavot </w:t>
      </w:r>
      <w:r>
        <w:rPr>
          <w:i/>
        </w:rPr>
        <w:t>Informācijas sabiedrības attīstības pamatnostādnes 2014.</w:t>
      </w:r>
      <w:r w:rsidR="00C808B6">
        <w:rPr>
          <w:i/>
        </w:rPr>
        <w:t>–</w:t>
      </w:r>
      <w:r>
        <w:rPr>
          <w:i/>
        </w:rPr>
        <w:t>2020.gadam</w:t>
      </w:r>
      <w:r>
        <w:t xml:space="preserve">, lai nodrošinātu valsts </w:t>
      </w:r>
      <w:proofErr w:type="spellStart"/>
      <w:r>
        <w:t>rīcībpolitikas</w:t>
      </w:r>
      <w:proofErr w:type="spellEnd"/>
      <w:r>
        <w:t xml:space="preserve"> tālāku attīstību informācijas sabiedrības, elektroniskās pārvaldes un </w:t>
      </w:r>
      <w:r w:rsidR="00C808B6">
        <w:t>IKT</w:t>
      </w:r>
      <w:r>
        <w:t xml:space="preserve"> jautājumos, ievērojot </w:t>
      </w:r>
      <w:r w:rsidR="00C808B6" w:rsidRPr="00FF5C3A">
        <w:rPr>
          <w:i/>
        </w:rPr>
        <w:t>„</w:t>
      </w:r>
      <w:r w:rsidRPr="00FF5C3A">
        <w:rPr>
          <w:i/>
        </w:rPr>
        <w:t>Eiropa 2020</w:t>
      </w:r>
      <w:r w:rsidR="00C808B6" w:rsidRPr="00FF5C3A">
        <w:rPr>
          <w:i/>
        </w:rPr>
        <w:t>”</w:t>
      </w:r>
      <w:r w:rsidR="00C808B6" w:rsidRPr="00C808B6">
        <w:t xml:space="preserve"> stratēģijas</w:t>
      </w:r>
      <w:r>
        <w:t xml:space="preserve"> </w:t>
      </w:r>
      <w:r w:rsidR="00C808B6">
        <w:t>vadošās iniciatīvas</w:t>
      </w:r>
      <w:r>
        <w:t xml:space="preserve"> </w:t>
      </w:r>
      <w:r w:rsidR="00C808B6" w:rsidRPr="00C808B6">
        <w:rPr>
          <w:i/>
        </w:rPr>
        <w:t>„</w:t>
      </w:r>
      <w:r>
        <w:rPr>
          <w:i/>
        </w:rPr>
        <w:t>Digitālā programma Eiropai</w:t>
      </w:r>
      <w:r w:rsidR="00C808B6">
        <w:rPr>
          <w:i/>
        </w:rPr>
        <w:t>”</w:t>
      </w:r>
      <w:r>
        <w:t xml:space="preserve"> noteiktos mērķus.</w:t>
      </w:r>
    </w:p>
    <w:p w:rsidR="005B0BAD" w:rsidRDefault="005B0BAD" w:rsidP="005B0BAD">
      <w:pPr>
        <w:spacing w:before="240" w:after="120"/>
        <w:ind w:firstLine="567"/>
      </w:pPr>
      <w:r>
        <w:rPr>
          <w:u w:val="single"/>
        </w:rPr>
        <w:lastRenderedPageBreak/>
        <w:t xml:space="preserve">Galvenie politikas virzieni un pasākumi </w:t>
      </w:r>
      <w:r w:rsidRPr="00FE2CF3">
        <w:rPr>
          <w:u w:val="single"/>
        </w:rPr>
        <w:t>IKT infrastruktūras un pakalpojumu pilnveidošanai</w:t>
      </w:r>
      <w:r>
        <w:t>:</w:t>
      </w:r>
    </w:p>
    <w:p w:rsidR="005B0BAD" w:rsidRDefault="005B0BAD" w:rsidP="005B0BAD">
      <w:pPr>
        <w:pStyle w:val="ListParagraph"/>
        <w:numPr>
          <w:ilvl w:val="0"/>
          <w:numId w:val="1"/>
        </w:numPr>
        <w:spacing w:before="240" w:after="120"/>
        <w:ind w:left="284" w:hanging="284"/>
        <w:rPr>
          <w:rFonts w:eastAsia="+mn-ea"/>
          <w:b/>
          <w:i/>
        </w:rPr>
      </w:pPr>
      <w:r>
        <w:rPr>
          <w:rFonts w:eastAsia="+mn-ea"/>
          <w:b/>
          <w:i/>
        </w:rPr>
        <w:t xml:space="preserve">Infrastruktūras attīstība </w:t>
      </w:r>
      <w:r>
        <w:rPr>
          <w:rFonts w:eastAsia="+mn-ea"/>
        </w:rPr>
        <w:t>(atbildīgā institūcija – VARAM, SM)</w:t>
      </w:r>
    </w:p>
    <w:p w:rsidR="005B0BAD" w:rsidRDefault="005B0BAD" w:rsidP="005B0BAD">
      <w:pPr>
        <w:suppressAutoHyphens/>
        <w:ind w:firstLine="567"/>
      </w:pPr>
      <w:r>
        <w:t xml:space="preserve">Mērķis ir nodrošināt elektronisko sakaru pakalpojumu vienlīdzīgu pieejamību visā Latvijas teritorijā. 2011.gadā veiktajā pētījumā par nākamās paaudzes tīklu pieejamību konstatēts, ka </w:t>
      </w:r>
      <w:r w:rsidR="006214E2" w:rsidRPr="006214E2">
        <w:rPr>
          <w:bCs/>
        </w:rPr>
        <w:t>64%</w:t>
      </w:r>
      <w:r w:rsidR="006214E2">
        <w:t xml:space="preserve"> novadu pagastu </w:t>
      </w:r>
      <w:r w:rsidR="006214E2" w:rsidRPr="006214E2">
        <w:rPr>
          <w:bCs/>
        </w:rPr>
        <w:t>(~415</w:t>
      </w:r>
      <w:r w:rsidR="006214E2">
        <w:rPr>
          <w:bCs/>
        </w:rPr>
        <w:t>,</w:t>
      </w:r>
      <w:r w:rsidR="006214E2" w:rsidRPr="006214E2">
        <w:rPr>
          <w:bCs/>
        </w:rPr>
        <w:t xml:space="preserve">5 </w:t>
      </w:r>
      <w:proofErr w:type="spellStart"/>
      <w:r w:rsidR="006214E2" w:rsidRPr="006214E2">
        <w:rPr>
          <w:bCs/>
        </w:rPr>
        <w:t>tūkst</w:t>
      </w:r>
      <w:proofErr w:type="spellEnd"/>
      <w:r w:rsidR="006214E2" w:rsidRPr="006214E2">
        <w:rPr>
          <w:bCs/>
        </w:rPr>
        <w:t xml:space="preserve">. </w:t>
      </w:r>
      <w:r w:rsidR="006214E2">
        <w:rPr>
          <w:bCs/>
        </w:rPr>
        <w:t xml:space="preserve">jeb </w:t>
      </w:r>
      <w:r w:rsidR="006214E2" w:rsidRPr="006214E2">
        <w:rPr>
          <w:bCs/>
        </w:rPr>
        <w:t>18</w:t>
      </w:r>
      <w:r w:rsidR="006214E2">
        <w:rPr>
          <w:bCs/>
        </w:rPr>
        <w:t>,</w:t>
      </w:r>
      <w:r w:rsidR="006214E2" w:rsidRPr="006214E2">
        <w:rPr>
          <w:bCs/>
        </w:rPr>
        <w:t>6%</w:t>
      </w:r>
      <w:r w:rsidR="006214E2">
        <w:rPr>
          <w:color w:val="FF0000"/>
        </w:rPr>
        <w:t xml:space="preserve"> </w:t>
      </w:r>
      <w:r w:rsidR="006214E2">
        <w:t xml:space="preserve">iedzīvotāju) </w:t>
      </w:r>
      <w:r>
        <w:t>nav pieejami elektronisko sakaru tīkla vidējā posma iznesumi un neviens elektronisko sakaru komersants neplāno tuvāko trīs gadu laikā šajās teritorijās to veidot.</w:t>
      </w:r>
    </w:p>
    <w:p w:rsidR="005B0BAD" w:rsidRDefault="005B0BAD" w:rsidP="005B0BAD">
      <w:pPr>
        <w:suppressAutoHyphens/>
        <w:ind w:firstLine="567"/>
        <w:rPr>
          <w:sz w:val="12"/>
          <w:szCs w:val="12"/>
          <w:lang w:bidi="lo-LA"/>
        </w:rPr>
      </w:pPr>
    </w:p>
    <w:p w:rsidR="005B0BAD" w:rsidRDefault="005B0BAD" w:rsidP="005B0BAD">
      <w:pPr>
        <w:ind w:firstLine="567"/>
        <w:rPr>
          <w:color w:val="000000"/>
        </w:rPr>
      </w:pPr>
      <w:r>
        <w:t xml:space="preserve">2012.gada decembrī tika apstiprināta </w:t>
      </w:r>
      <w:r>
        <w:rPr>
          <w:i/>
        </w:rPr>
        <w:t>Nākamās paaudzes platjoslas elektronisko sakaru tīklu attīstības koncepcija 2013.–2020.gadam</w:t>
      </w:r>
      <w:r>
        <w:t>.</w:t>
      </w:r>
      <w:r w:rsidR="00D45640">
        <w:t xml:space="preserve"> </w:t>
      </w:r>
      <w:r>
        <w:t xml:space="preserve">Koncepcija izstrādāta, lai atbilstoši </w:t>
      </w:r>
      <w:r w:rsidRPr="00FF5C3A">
        <w:rPr>
          <w:i/>
        </w:rPr>
        <w:t>„Eiropa 2020”</w:t>
      </w:r>
      <w:r>
        <w:t xml:space="preserve"> stratēģijā noteiktajiem mērķiem, izvēlētos risinājumus nākamās paaudzes platjoslas elektronisko sakaru tīklu attīstībai.</w:t>
      </w:r>
    </w:p>
    <w:p w:rsidR="005B0BAD" w:rsidRDefault="005B0BAD" w:rsidP="005B0BAD">
      <w:pPr>
        <w:ind w:firstLine="567"/>
        <w:rPr>
          <w:color w:val="000000"/>
        </w:rPr>
      </w:pPr>
      <w:r>
        <w:t>Nākamās paaudzes platjoslas tīklu izveide nodrošinās ātru un kvalitatīvu piekļuvi publiskajai informācijai un attīstīs e-pakalpojumu (piemēram, e-pārvalde, e-skola, e-komercija, e-veselība, e-darbs) pieprasījumu. Platjoslas elektronisko sakaru tīklu attīstība paplašinās arī dažādu plašsaziņas līdzekļu, sociālo tīklu piedāvātās iespējas, kā arī pakalpojumus saistībā ar energoefektivitātes uzlabošanu un sabiedrības un vides drošību.</w:t>
      </w:r>
    </w:p>
    <w:p w:rsidR="005B0BAD" w:rsidRDefault="00026376" w:rsidP="00026376">
      <w:pPr>
        <w:spacing w:before="120"/>
        <w:ind w:firstLine="567"/>
      </w:pPr>
      <w:r>
        <w:rPr>
          <w:color w:val="000000"/>
        </w:rPr>
        <w:t>2012.</w:t>
      </w:r>
      <w:r w:rsidR="005B0BAD">
        <w:rPr>
          <w:color w:val="000000"/>
        </w:rPr>
        <w:t>gada beigās jau tika izsludināti iepirkumi par optiskā tīkla infrastruktūras projektēšanas un būvniecības darbiem atsevišķos plānošanas reģionos, kā arī noslēgta vispārīgā vienošanās par atbals</w:t>
      </w:r>
      <w:r>
        <w:rPr>
          <w:color w:val="000000"/>
        </w:rPr>
        <w:t>ta pakalpojumu sniegšanu. 2013.</w:t>
      </w:r>
      <w:r w:rsidR="005B0BAD">
        <w:rPr>
          <w:color w:val="000000"/>
        </w:rPr>
        <w:t xml:space="preserve">gadā </w:t>
      </w:r>
      <w:r>
        <w:rPr>
          <w:color w:val="000000"/>
        </w:rPr>
        <w:t xml:space="preserve">tajos </w:t>
      </w:r>
      <w:r w:rsidR="005B0BAD">
        <w:rPr>
          <w:color w:val="000000"/>
        </w:rPr>
        <w:t xml:space="preserve">plānots uzsākt projektēšanas </w:t>
      </w:r>
      <w:r w:rsidR="006E22CE">
        <w:rPr>
          <w:color w:val="000000"/>
        </w:rPr>
        <w:t xml:space="preserve">un </w:t>
      </w:r>
      <w:r w:rsidR="005B0BAD">
        <w:rPr>
          <w:color w:val="000000"/>
        </w:rPr>
        <w:t xml:space="preserve">būvniecības darbus. </w:t>
      </w:r>
    </w:p>
    <w:p w:rsidR="005B0BAD" w:rsidRDefault="005B0BAD" w:rsidP="00026376">
      <w:pPr>
        <w:spacing w:before="120"/>
        <w:ind w:firstLine="567"/>
        <w:rPr>
          <w:i/>
        </w:rPr>
      </w:pPr>
      <w:r>
        <w:t>Platjoslas elektronisko sakaru tīkla attīstība tiks īstenota, ņemot vērā ES ieteikumus un tajās ģeogrāfiskajās teritorijās, kurās neeksistē efektīva konkurence un kur nākamās paaudzes tīkli bez publiskā atbalsta (ES fondu vai valsts) tuvākajā laikā netiktu realizēti. Projektu realizācija tiks veikta tādā intensitātē, lai negatīvi neietekmētu konkurenci un nedotu kādam elektronisko sakaru komersantam konkurences priekšrocības</w:t>
      </w:r>
      <w:r>
        <w:rPr>
          <w:i/>
        </w:rPr>
        <w:t>.</w:t>
      </w:r>
    </w:p>
    <w:p w:rsidR="005B0BAD" w:rsidRDefault="005B0BAD" w:rsidP="005B0BAD">
      <w:pPr>
        <w:pStyle w:val="ListParagraph"/>
        <w:numPr>
          <w:ilvl w:val="0"/>
          <w:numId w:val="1"/>
        </w:numPr>
        <w:spacing w:before="240" w:after="120"/>
        <w:ind w:left="284" w:hanging="284"/>
        <w:rPr>
          <w:rFonts w:eastAsia="+mn-ea"/>
          <w:b/>
          <w:i/>
        </w:rPr>
      </w:pPr>
      <w:r>
        <w:rPr>
          <w:rFonts w:eastAsia="+mn-ea"/>
          <w:b/>
          <w:i/>
        </w:rPr>
        <w:t xml:space="preserve">Digitālā satura un e-pakalpojumu pieejamības nodrošināšana </w:t>
      </w:r>
      <w:r>
        <w:rPr>
          <w:rFonts w:eastAsia="+mn-ea"/>
        </w:rPr>
        <w:t>(atbildīgā institūcija – VARAM, KM, VM)</w:t>
      </w:r>
    </w:p>
    <w:p w:rsidR="005B0BAD" w:rsidRDefault="005B0BAD" w:rsidP="005B0BAD">
      <w:pPr>
        <w:suppressAutoHyphens/>
        <w:ind w:firstLine="567"/>
      </w:pPr>
      <w:r>
        <w:t xml:space="preserve">Mērķis ir palielināt digitālā satura apjomu un e-pakalpojumu daudzumu, nodrošinot to plašāku izmantošanu (skatīt arī 3.2.1.nodaļas </w:t>
      </w:r>
      <w:r w:rsidRPr="00882AF3">
        <w:rPr>
          <w:i/>
        </w:rPr>
        <w:t>Valsts pārvaldes modernizācijas</w:t>
      </w:r>
      <w:r>
        <w:rPr>
          <w:i/>
        </w:rPr>
        <w:t xml:space="preserve"> </w:t>
      </w:r>
      <w:r>
        <w:t>politikas virzienu).</w:t>
      </w:r>
    </w:p>
    <w:p w:rsidR="005B0BAD" w:rsidRDefault="005B0BAD" w:rsidP="005B0BAD">
      <w:pPr>
        <w:suppressAutoHyphens/>
        <w:ind w:firstLine="567"/>
        <w:rPr>
          <w:color w:val="000000"/>
        </w:rPr>
      </w:pPr>
      <w:r>
        <w:t>2013.gada februārī apstiprinātā koncepcija „</w:t>
      </w:r>
      <w:r w:rsidRPr="00E12A85">
        <w:rPr>
          <w:i/>
        </w:rPr>
        <w:t>Valsts pārvaldes IKT organizatoriskais pārvaldības modelis</w:t>
      </w:r>
      <w:r>
        <w:t>”, paredz būtiskas reformas valsts IKT pārvaldībā, izveidojot centralizētas IKT platformas.</w:t>
      </w:r>
      <w:r>
        <w:rPr>
          <w:color w:val="000000"/>
        </w:rPr>
        <w:t xml:space="preserve"> </w:t>
      </w:r>
    </w:p>
    <w:p w:rsidR="005B0BAD" w:rsidRDefault="005B0BAD" w:rsidP="005B0BAD">
      <w:pPr>
        <w:suppressAutoHyphens/>
        <w:ind w:firstLine="567"/>
      </w:pPr>
      <w:r>
        <w:t xml:space="preserve">2013.gadā uzsākta universālā maksājuma pakalpojuma izstrāde e-pakalpojumu izmantošanai ārpus portāla </w:t>
      </w:r>
      <w:proofErr w:type="spellStart"/>
      <w:r w:rsidRPr="0033230A">
        <w:rPr>
          <w:u w:val="single"/>
        </w:rPr>
        <w:t>www.latvija.lv</w:t>
      </w:r>
      <w:proofErr w:type="spellEnd"/>
      <w:r>
        <w:t>.</w:t>
      </w:r>
    </w:p>
    <w:p w:rsidR="005B0BAD" w:rsidRDefault="005B0BAD" w:rsidP="005B0BAD">
      <w:pPr>
        <w:spacing w:before="120"/>
        <w:ind w:firstLine="567"/>
      </w:pPr>
      <w:r>
        <w:t xml:space="preserve">2012. un 2013.gadā plānots turpināt kultūras satura </w:t>
      </w:r>
      <w:proofErr w:type="spellStart"/>
      <w:r>
        <w:t>digitalizācijas</w:t>
      </w:r>
      <w:proofErr w:type="spellEnd"/>
      <w:r>
        <w:t xml:space="preserve"> un e-pakalpojumu attīstības projektus bibliotēku, muzeju, arhīvu infrastruktūras un satura pieejamības uzlabošanā, ieviešot jaunus e-pakalpojumus.</w:t>
      </w:r>
    </w:p>
    <w:p w:rsidR="005B0BAD" w:rsidRDefault="005B0BAD" w:rsidP="005B0BAD">
      <w:pPr>
        <w:ind w:firstLine="567"/>
      </w:pPr>
      <w:r>
        <w:t xml:space="preserve">2012.gadā tika izstrādāta </w:t>
      </w:r>
      <w:r>
        <w:rPr>
          <w:i/>
        </w:rPr>
        <w:t>Valsts vienotās bibliotēku informācijas sistēmas 2.kārtas koncepcija</w:t>
      </w:r>
      <w:r>
        <w:t xml:space="preserve">, kas paredz informācijas sistēmas turpmāku attīstību, nodrošinot informācijas un e-pakalpojumu pieejamību iedzīvotājiem. 2013.gadā tiek izstrādāta </w:t>
      </w:r>
      <w:r>
        <w:rPr>
          <w:i/>
        </w:rPr>
        <w:t>Nacionālā digitālā krājuma stratēģija</w:t>
      </w:r>
      <w:r>
        <w:t xml:space="preserve">, kuras mērķis ir izveidot kultūras satura </w:t>
      </w:r>
      <w:proofErr w:type="spellStart"/>
      <w:r>
        <w:t>digitalizācijas</w:t>
      </w:r>
      <w:proofErr w:type="spellEnd"/>
      <w:r>
        <w:t xml:space="preserve"> procesa plānošanas, pārvaldības un finansēšanas modeli, lai nodrošinātu kultūras satura </w:t>
      </w:r>
      <w:proofErr w:type="spellStart"/>
      <w:r>
        <w:t>digitalizāciju</w:t>
      </w:r>
      <w:proofErr w:type="spellEnd"/>
      <w:r>
        <w:t>, saglabāšanu un piekļuves iespējas sabiedrībai laika posmā no 2014. līdz 2020.gadam.</w:t>
      </w:r>
    </w:p>
    <w:p w:rsidR="005B0BAD" w:rsidRDefault="005B0BAD" w:rsidP="0033230A">
      <w:pPr>
        <w:spacing w:before="120"/>
        <w:ind w:firstLine="567"/>
        <w:rPr>
          <w:b/>
          <w:i/>
          <w:lang w:bidi="lo-LA"/>
        </w:rPr>
      </w:pPr>
      <w:r>
        <w:t xml:space="preserve">2013.gadā tiks pabeigta ERAF līdzfinansētu </w:t>
      </w:r>
      <w:r w:rsidRPr="0033230A">
        <w:rPr>
          <w:i/>
        </w:rPr>
        <w:t>e-veselības</w:t>
      </w:r>
      <w:r>
        <w:t xml:space="preserve"> 1.kārtas projektu ieviešana un uzsākta e-veselības 2.kārtas projekta realizācija. E-veselības 1.kārtas projektu ietvaros tiks </w:t>
      </w:r>
      <w:r>
        <w:rPr>
          <w:lang w:eastAsia="ru-RU"/>
        </w:rPr>
        <w:lastRenderedPageBreak/>
        <w:t xml:space="preserve">izveidots un ieviests e-veselības portāls, </w:t>
      </w:r>
      <w:r>
        <w:t>elektroniska apmeklējumu rezervēšanas (</w:t>
      </w:r>
      <w:r>
        <w:rPr>
          <w:i/>
        </w:rPr>
        <w:t>e-</w:t>
      </w:r>
      <w:proofErr w:type="spellStart"/>
      <w:r>
        <w:rPr>
          <w:i/>
        </w:rPr>
        <w:t>booking</w:t>
      </w:r>
      <w:proofErr w:type="spellEnd"/>
      <w:r>
        <w:t xml:space="preserve">) un </w:t>
      </w:r>
      <w:r>
        <w:rPr>
          <w:lang w:eastAsia="ru-RU"/>
        </w:rPr>
        <w:t xml:space="preserve">e-nosūtījumu </w:t>
      </w:r>
      <w:r>
        <w:t>informācijas sistēma</w:t>
      </w:r>
      <w:r>
        <w:rPr>
          <w:lang w:eastAsia="ru-RU"/>
        </w:rPr>
        <w:t>, elektroniskā veselības ieraksta, e-receptes un integrācijas platformas risinājuma informācijas sistēmas.</w:t>
      </w:r>
    </w:p>
    <w:p w:rsidR="005B0BAD" w:rsidRDefault="005B0BAD" w:rsidP="005B0BAD">
      <w:pPr>
        <w:pStyle w:val="ListParagraph"/>
        <w:numPr>
          <w:ilvl w:val="0"/>
          <w:numId w:val="1"/>
        </w:numPr>
        <w:spacing w:before="240" w:after="120"/>
        <w:ind w:left="284" w:hanging="284"/>
        <w:rPr>
          <w:rFonts w:eastAsia="+mn-ea"/>
          <w:b/>
          <w:i/>
        </w:rPr>
      </w:pPr>
      <w:r>
        <w:rPr>
          <w:rFonts w:eastAsia="+mn-ea"/>
          <w:b/>
          <w:i/>
        </w:rPr>
        <w:t xml:space="preserve">Digitālā vienotā tirgus ieviešana </w:t>
      </w:r>
      <w:r>
        <w:rPr>
          <w:rFonts w:eastAsia="+mn-ea"/>
        </w:rPr>
        <w:t>(atbildīgā institūcija – VARAM, SM)</w:t>
      </w:r>
      <w:r>
        <w:rPr>
          <w:rFonts w:eastAsia="+mn-ea"/>
          <w:b/>
          <w:i/>
        </w:rPr>
        <w:t xml:space="preserve"> </w:t>
      </w:r>
    </w:p>
    <w:p w:rsidR="005B0BAD" w:rsidRDefault="005B0BAD" w:rsidP="005B0BAD">
      <w:pPr>
        <w:suppressAutoHyphens/>
        <w:ind w:firstLine="564"/>
      </w:pPr>
      <w:r>
        <w:t xml:space="preserve">Digitālā vienotā tirgus ieviešanas mērķis ir veicināt </w:t>
      </w:r>
      <w:r>
        <w:rPr>
          <w:lang w:bidi="lo-LA"/>
        </w:rPr>
        <w:t xml:space="preserve">uzticēšanos interneta vidē, nodrošināt infrastruktūru (platjoslas internets </w:t>
      </w:r>
      <w:proofErr w:type="spellStart"/>
      <w:r>
        <w:rPr>
          <w:lang w:bidi="lo-LA"/>
        </w:rPr>
        <w:t>u.tml</w:t>
      </w:r>
      <w:proofErr w:type="spellEnd"/>
      <w:r>
        <w:rPr>
          <w:lang w:bidi="lo-LA"/>
        </w:rPr>
        <w:t xml:space="preserve">.), kā arī atrisināt dažādus sadarbības, intelektuālā īpašuma tiesību </w:t>
      </w:r>
      <w:proofErr w:type="spellStart"/>
      <w:r>
        <w:rPr>
          <w:lang w:bidi="lo-LA"/>
        </w:rPr>
        <w:t>u.c</w:t>
      </w:r>
      <w:proofErr w:type="spellEnd"/>
      <w:r>
        <w:rPr>
          <w:lang w:bidi="lo-LA"/>
        </w:rPr>
        <w:t>. jautājumus.</w:t>
      </w:r>
    </w:p>
    <w:p w:rsidR="005B0BAD" w:rsidRDefault="005B0BAD" w:rsidP="005B0BAD">
      <w:pPr>
        <w:ind w:firstLine="564"/>
      </w:pPr>
      <w:r>
        <w:rPr>
          <w:iCs/>
        </w:rPr>
        <w:t xml:space="preserve">IT lietošanas drošības nolūkos ir pieņemts un 2011.gadā stājies spēkā </w:t>
      </w:r>
      <w:r>
        <w:rPr>
          <w:i/>
          <w:iCs/>
        </w:rPr>
        <w:t>Informācijas tehnoloģiju drošības likums</w:t>
      </w:r>
      <w:r>
        <w:rPr>
          <w:iCs/>
        </w:rPr>
        <w:t xml:space="preserve">. </w:t>
      </w:r>
      <w:r>
        <w:t>Atbilstoši likumā noteiktajam ir:</w:t>
      </w:r>
    </w:p>
    <w:p w:rsidR="005B0BAD" w:rsidRDefault="005B0BAD" w:rsidP="00E84407">
      <w:pPr>
        <w:pStyle w:val="ListParagraph"/>
        <w:numPr>
          <w:ilvl w:val="0"/>
          <w:numId w:val="47"/>
        </w:numPr>
        <w:suppressAutoHyphens/>
      </w:pPr>
      <w:r>
        <w:t>izveidota IT kritiskās infrastruktūras aizsardzības sistēma un noteikta informācijas tehnoloģiju kritiskās infrastruktūras drošības pasākumu plānošanas un īstenošanas kārtība;</w:t>
      </w:r>
    </w:p>
    <w:p w:rsidR="005B0BAD" w:rsidRDefault="005B0BAD" w:rsidP="00E84407">
      <w:pPr>
        <w:pStyle w:val="ListParagraph"/>
        <w:numPr>
          <w:ilvl w:val="0"/>
          <w:numId w:val="47"/>
        </w:numPr>
        <w:suppressAutoHyphens/>
      </w:pPr>
      <w:r>
        <w:t>izveidota IT drošības incidentu novēršanas institūcija (CERT.LV);</w:t>
      </w:r>
    </w:p>
    <w:p w:rsidR="005B0BAD" w:rsidRDefault="005B0BAD" w:rsidP="00E84407">
      <w:pPr>
        <w:pStyle w:val="ListParagraph"/>
        <w:numPr>
          <w:ilvl w:val="0"/>
          <w:numId w:val="47"/>
        </w:numPr>
        <w:suppressAutoHyphens/>
      </w:pPr>
      <w:r>
        <w:t xml:space="preserve">noteikta rīcība IT drošības incidentu gadījumos; </w:t>
      </w:r>
    </w:p>
    <w:p w:rsidR="005B0BAD" w:rsidRDefault="005B0BAD" w:rsidP="00E84407">
      <w:pPr>
        <w:pStyle w:val="ListParagraph"/>
        <w:numPr>
          <w:ilvl w:val="0"/>
          <w:numId w:val="47"/>
        </w:numPr>
        <w:suppressAutoHyphens/>
      </w:pPr>
      <w:r>
        <w:t>noteiktas pamatprasības IT drošības jomā valsts un pašvaldību institūcijām, kā arī</w:t>
      </w:r>
      <w:r w:rsidR="00D45640">
        <w:t xml:space="preserve"> </w:t>
      </w:r>
      <w:r>
        <w:t xml:space="preserve">elektronisko sakaru komersantam, kas nodrošina publisku elektronisko sakaru tīklu; </w:t>
      </w:r>
    </w:p>
    <w:p w:rsidR="005B0BAD" w:rsidRDefault="005B0BAD" w:rsidP="00E84407">
      <w:pPr>
        <w:pStyle w:val="ListParagraph"/>
        <w:numPr>
          <w:ilvl w:val="0"/>
          <w:numId w:val="47"/>
        </w:numPr>
        <w:suppressAutoHyphens/>
      </w:pPr>
      <w:r>
        <w:t xml:space="preserve">izveidota Nacionālā informācijas tehnoloģiju drošības padome, kas koordinē ar IT drošību saistīto uzdevumu un pasākumu plānošanu un </w:t>
      </w:r>
      <w:r w:rsidR="00EC4D41">
        <w:t>īstenošanu</w:t>
      </w:r>
      <w:r>
        <w:t xml:space="preserve"> Latvijā.</w:t>
      </w:r>
    </w:p>
    <w:p w:rsidR="005B0BAD" w:rsidRDefault="005B0BAD" w:rsidP="005B0BAD">
      <w:pPr>
        <w:spacing w:before="120"/>
        <w:ind w:firstLine="561"/>
      </w:pPr>
      <w:r>
        <w:t xml:space="preserve">2012.gadā tika izstrādāts pamatnostādņu projekts </w:t>
      </w:r>
      <w:r w:rsidRPr="00EC4D41">
        <w:rPr>
          <w:i/>
        </w:rPr>
        <w:t>„Latvijas Informācijas tehnoloģiju</w:t>
      </w:r>
      <w:r w:rsidR="00D45640">
        <w:rPr>
          <w:i/>
        </w:rPr>
        <w:t xml:space="preserve"> </w:t>
      </w:r>
      <w:r w:rsidRPr="00EC4D41">
        <w:rPr>
          <w:i/>
        </w:rPr>
        <w:t>drošības stratēģija 2013.</w:t>
      </w:r>
      <w:r w:rsidR="00EC4D41">
        <w:rPr>
          <w:i/>
        </w:rPr>
        <w:t>–</w:t>
      </w:r>
      <w:r w:rsidRPr="00EC4D41">
        <w:rPr>
          <w:i/>
        </w:rPr>
        <w:t>2018.gadam”</w:t>
      </w:r>
      <w:r>
        <w:t xml:space="preserve"> (paredzēts apstiprināt 2013.gadā), kura pamatā ir noteikti tālākās rīcības virzieni: </w:t>
      </w:r>
    </w:p>
    <w:p w:rsidR="005B0BAD" w:rsidRDefault="005B0BAD" w:rsidP="00E84407">
      <w:pPr>
        <w:pStyle w:val="ListParagraph"/>
        <w:numPr>
          <w:ilvl w:val="0"/>
          <w:numId w:val="47"/>
        </w:numPr>
        <w:suppressAutoHyphens/>
      </w:pPr>
      <w:r>
        <w:t xml:space="preserve">tiesiskā regulējuma pilnveidošana; </w:t>
      </w:r>
    </w:p>
    <w:p w:rsidR="005B0BAD" w:rsidRDefault="005B0BAD" w:rsidP="00E84407">
      <w:pPr>
        <w:pStyle w:val="ListParagraph"/>
        <w:numPr>
          <w:ilvl w:val="0"/>
          <w:numId w:val="47"/>
        </w:numPr>
        <w:suppressAutoHyphens/>
      </w:pPr>
      <w:r>
        <w:t xml:space="preserve">valsts un pašvaldību institūciju cilvēkresursu un materiāli tehniskā nodrošinājuma palielināšana; </w:t>
      </w:r>
    </w:p>
    <w:p w:rsidR="005B0BAD" w:rsidRDefault="00F83A9A" w:rsidP="00E84407">
      <w:pPr>
        <w:pStyle w:val="ListParagraph"/>
        <w:numPr>
          <w:ilvl w:val="0"/>
          <w:numId w:val="47"/>
        </w:numPr>
        <w:suppressAutoHyphens/>
      </w:pPr>
      <w:r>
        <w:t xml:space="preserve">nacionālās un </w:t>
      </w:r>
      <w:r w:rsidR="005B0BAD">
        <w:t xml:space="preserve">starptautiskās sadarbības intensificēšana; </w:t>
      </w:r>
    </w:p>
    <w:p w:rsidR="005B0BAD" w:rsidRDefault="005B0BAD" w:rsidP="00E84407">
      <w:pPr>
        <w:pStyle w:val="ListParagraph"/>
        <w:numPr>
          <w:ilvl w:val="0"/>
          <w:numId w:val="47"/>
        </w:numPr>
        <w:suppressAutoHyphens/>
      </w:pPr>
      <w:r>
        <w:t xml:space="preserve">izglītības, zinātnes un sociālās atbildības stiprināšana. </w:t>
      </w:r>
    </w:p>
    <w:p w:rsidR="005B0BAD" w:rsidRDefault="005B0BAD" w:rsidP="005B0BAD">
      <w:pPr>
        <w:spacing w:before="120"/>
        <w:ind w:firstLine="561"/>
      </w:pPr>
      <w:r>
        <w:t>2013.gadā plānots rīkot 7.Baltijas valstu IT drošības politiku koordinācijas sanāksmi, sagatavot saprašanās memorandu ar Lietuvu un Igauniju par IT drošību.</w:t>
      </w:r>
    </w:p>
    <w:p w:rsidR="005B0BAD" w:rsidRDefault="005B0BAD" w:rsidP="005B0BAD">
      <w:pPr>
        <w:spacing w:before="120"/>
        <w:ind w:firstLine="561"/>
      </w:pPr>
      <w:r>
        <w:t>2012.gadā aptuveni 2,5 reizes palielināts CERT.LV finansējums, lai nodrošinātu tās lielāku veiktspēju, sevišķi risinot ļaunprātīgu IT drošības incidentu risināšanā.</w:t>
      </w:r>
    </w:p>
    <w:p w:rsidR="005B0BAD" w:rsidRDefault="005B0BAD" w:rsidP="005B0BAD">
      <w:pPr>
        <w:spacing w:before="120"/>
        <w:ind w:firstLine="561"/>
      </w:pPr>
      <w:r>
        <w:t>2011.gadā tika pieņemta likumdošanas bāze elektronisko identifikācijas karšu ieviešanai Latvijā, un 2012.gada 1.aprīlī Latvijā tika ieviestas elektroniskās identifikācijas kartes, kas vienlaicīgi ir gan personu apliecinošs un ceļošanas dokuments ES, gan personas elektroniskās identifikācijas un autentifikācijas līdzeklis elektronisko pakalpojumu saņemšanai, gan e-paraksta radīšanas (lietošanas) līdzekļu nesējs.</w:t>
      </w:r>
    </w:p>
    <w:p w:rsidR="005B0BAD" w:rsidRDefault="005B0BAD" w:rsidP="005B0BAD">
      <w:pPr>
        <w:pStyle w:val="ListParagraph"/>
        <w:numPr>
          <w:ilvl w:val="0"/>
          <w:numId w:val="1"/>
        </w:numPr>
        <w:spacing w:before="240" w:after="120"/>
        <w:ind w:left="284" w:hanging="284"/>
        <w:rPr>
          <w:rFonts w:eastAsia="+mn-ea"/>
          <w:b/>
          <w:i/>
        </w:rPr>
      </w:pPr>
      <w:r>
        <w:rPr>
          <w:rFonts w:eastAsia="+mn-ea"/>
          <w:b/>
          <w:i/>
        </w:rPr>
        <w:t xml:space="preserve">E-prasmju attīstība </w:t>
      </w:r>
      <w:r>
        <w:rPr>
          <w:rFonts w:eastAsia="+mn-ea"/>
        </w:rPr>
        <w:t>(atbildīgā institūcija – VARAM, SM)</w:t>
      </w:r>
    </w:p>
    <w:p w:rsidR="005B0BAD" w:rsidRDefault="005B0BAD" w:rsidP="005B0BAD">
      <w:pPr>
        <w:suppressAutoHyphens/>
        <w:ind w:firstLine="567"/>
      </w:pPr>
      <w:r>
        <w:t xml:space="preserve">Mērķis ir </w:t>
      </w:r>
      <w:r>
        <w:rPr>
          <w:rFonts w:eastAsiaTheme="minorHAnsi"/>
          <w:color w:val="000000"/>
        </w:rPr>
        <w:t>veicināt informācij</w:t>
      </w:r>
      <w:r w:rsidR="006A28D1">
        <w:rPr>
          <w:rFonts w:eastAsiaTheme="minorHAnsi"/>
          <w:color w:val="000000"/>
        </w:rPr>
        <w:t>as</w:t>
      </w:r>
      <w:r>
        <w:rPr>
          <w:rFonts w:eastAsiaTheme="minorHAnsi"/>
          <w:color w:val="000000"/>
        </w:rPr>
        <w:t xml:space="preserve"> sabiedrības attīstību, sniedzot iespēju Latvijas iedzīvotājiem apgūt e-prasmes atbilstoši viņu izglītības un profesionālās aktivitātes līmenim.</w:t>
      </w:r>
    </w:p>
    <w:p w:rsidR="005B0BAD" w:rsidRDefault="005B0BAD" w:rsidP="005B0BAD">
      <w:r>
        <w:t xml:space="preserve">2011.gadā ir apstiprināts </w:t>
      </w:r>
      <w:r>
        <w:rPr>
          <w:bCs/>
          <w:i/>
        </w:rPr>
        <w:t>Elektronisko prasmju attīstības plāns 2011.</w:t>
      </w:r>
      <w:r w:rsidR="006A28D1">
        <w:rPr>
          <w:bCs/>
          <w:i/>
        </w:rPr>
        <w:t>–</w:t>
      </w:r>
      <w:r>
        <w:rPr>
          <w:bCs/>
          <w:i/>
        </w:rPr>
        <w:t xml:space="preserve">2013.gadam </w:t>
      </w:r>
      <w:r w:rsidRPr="00742947">
        <w:rPr>
          <w:bCs/>
        </w:rPr>
        <w:t>(turpmāk</w:t>
      </w:r>
      <w:r w:rsidR="006A28D1">
        <w:rPr>
          <w:bCs/>
        </w:rPr>
        <w:t xml:space="preserve"> tekstā</w:t>
      </w:r>
      <w:r w:rsidRPr="00742947">
        <w:rPr>
          <w:bCs/>
        </w:rPr>
        <w:t xml:space="preserve"> – Plāns)</w:t>
      </w:r>
      <w:r>
        <w:t xml:space="preserve">. </w:t>
      </w:r>
    </w:p>
    <w:p w:rsidR="003D41E9" w:rsidRPr="00AA4CFC" w:rsidRDefault="005B0BAD" w:rsidP="005B0BAD">
      <w:pPr>
        <w:ind w:firstLine="567"/>
        <w:rPr>
          <w:lang w:eastAsia="lv-LV"/>
        </w:rPr>
      </w:pPr>
      <w:r>
        <w:t xml:space="preserve">Realizējot šo plānu, paredzēts, ka uzlabosies Latvijas iedzīvotāju kā IKT lietotāju, praktiķu un e-biznesa lietotāju prasmes – 2014.gadā no visiem iedzīvotājiem iedzīvotāju skaits ar zemu </w:t>
      </w:r>
      <w:proofErr w:type="spellStart"/>
      <w:r>
        <w:t>datorprasmi</w:t>
      </w:r>
      <w:proofErr w:type="spellEnd"/>
      <w:r>
        <w:t xml:space="preserve"> sastādīs 4%, ar vidējām prasmēm – 27%, ar augstām prasmēm – 21%, internetbankas lietotāju skaits sasniegs 52 procentus.</w:t>
      </w:r>
      <w:r w:rsidR="00AA4CFC">
        <w:rPr>
          <w:lang w:eastAsia="lv-LV"/>
        </w:rPr>
        <w:t xml:space="preserve"> </w:t>
      </w:r>
    </w:p>
    <w:p w:rsidR="0051129F" w:rsidRPr="00C43284" w:rsidRDefault="000A7BDA" w:rsidP="00F57EC3">
      <w:pPr>
        <w:pStyle w:val="Heading3"/>
        <w:spacing w:before="360" w:after="120"/>
        <w:ind w:left="567"/>
        <w:rPr>
          <w:rFonts w:ascii="Times New Roman" w:hAnsi="Times New Roman" w:cs="Times New Roman"/>
          <w:color w:val="auto"/>
        </w:rPr>
      </w:pPr>
      <w:bookmarkStart w:id="25" w:name="_Toc354384938"/>
      <w:r w:rsidRPr="00C43284">
        <w:rPr>
          <w:rFonts w:ascii="Times New Roman" w:hAnsi="Times New Roman" w:cs="Times New Roman"/>
          <w:color w:val="auto"/>
        </w:rPr>
        <w:lastRenderedPageBreak/>
        <w:t>3.2.</w:t>
      </w:r>
      <w:r w:rsidR="00C21B18" w:rsidRPr="00C43284">
        <w:rPr>
          <w:rFonts w:ascii="Times New Roman" w:hAnsi="Times New Roman" w:cs="Times New Roman"/>
          <w:color w:val="auto"/>
        </w:rPr>
        <w:t>5</w:t>
      </w:r>
      <w:r w:rsidR="00EF0DA1" w:rsidRPr="00C43284">
        <w:rPr>
          <w:rFonts w:ascii="Times New Roman" w:hAnsi="Times New Roman" w:cs="Times New Roman"/>
          <w:color w:val="auto"/>
        </w:rPr>
        <w:t xml:space="preserve">. </w:t>
      </w:r>
      <w:r w:rsidR="007A571C" w:rsidRPr="00C43284">
        <w:rPr>
          <w:rFonts w:ascii="Times New Roman" w:hAnsi="Times New Roman" w:cs="Times New Roman"/>
          <w:color w:val="auto"/>
        </w:rPr>
        <w:t>Transporta</w:t>
      </w:r>
      <w:r w:rsidR="00F04AC9" w:rsidRPr="00C43284">
        <w:rPr>
          <w:rFonts w:ascii="Times New Roman" w:hAnsi="Times New Roman" w:cs="Times New Roman"/>
          <w:color w:val="auto"/>
        </w:rPr>
        <w:t xml:space="preserve"> un vides infrastruktūra</w:t>
      </w:r>
      <w:bookmarkEnd w:id="25"/>
    </w:p>
    <w:p w:rsidR="005B0BAD" w:rsidRDefault="005B0BAD" w:rsidP="005B0BAD">
      <w:pPr>
        <w:ind w:firstLine="567"/>
      </w:pPr>
      <w:r w:rsidRPr="001F24BC">
        <w:rPr>
          <w:u w:val="single"/>
        </w:rPr>
        <w:t>Transporta</w:t>
      </w:r>
      <w:r>
        <w:t xml:space="preserve"> politikas attīstības galvenais mērķis ir konkurētspējīga, ilgtspējīga, </w:t>
      </w:r>
      <w:proofErr w:type="spellStart"/>
      <w:r>
        <w:t>komodāla</w:t>
      </w:r>
      <w:proofErr w:type="spellEnd"/>
      <w:r>
        <w:t xml:space="preserve"> transporta sistēma, kas nodrošina augstas kvalitātes mobilitāti. Tā sasniegšanai jāstrādā divos galvenajos darbības virzienos –palielināt Latvijas tranzīta un loģist</w:t>
      </w:r>
      <w:r w:rsidR="006E22CE">
        <w:t>ikas pakalpojumu konkurētspēju</w:t>
      </w:r>
      <w:r>
        <w:t>, kā arī</w:t>
      </w:r>
      <w:r w:rsidR="006E22CE">
        <w:t xml:space="preserve"> </w:t>
      </w:r>
      <w:r>
        <w:t>nodrošināt iekšējo un ārējo sasniedzamību un augstas kvalitātes mobilitātes iespējas visā valsts teritorijā.</w:t>
      </w:r>
    </w:p>
    <w:p w:rsidR="005B0BAD" w:rsidRDefault="005B0BAD" w:rsidP="005B0BAD">
      <w:pPr>
        <w:ind w:firstLine="567"/>
      </w:pPr>
      <w:r w:rsidRPr="007E42E4">
        <w:t>Transporta infrastruktūras tīkls valstī ir pietiekams, kas var nodrošināt mobilitāti iekšzemē un starptautisko sasniedzamību. Taču būtiska ir šī tīkla kvalitāte</w:t>
      </w:r>
      <w:r w:rsidR="00F83A9A">
        <w:t xml:space="preserve"> (primāri) un ilgtspējīga attīstība</w:t>
      </w:r>
      <w:r w:rsidRPr="007E42E4">
        <w:t>.</w:t>
      </w:r>
      <w:r>
        <w:t xml:space="preserve"> </w:t>
      </w:r>
    </w:p>
    <w:p w:rsidR="005B0BAD" w:rsidRDefault="00211FC4" w:rsidP="00F83A9A">
      <w:pPr>
        <w:pStyle w:val="BodyText2"/>
        <w:spacing w:after="0" w:line="240" w:lineRule="auto"/>
        <w:ind w:firstLine="567"/>
      </w:pPr>
      <w:r w:rsidRPr="00E776C8">
        <w:t>Autoceļu tehniskais stāvoklis</w:t>
      </w:r>
      <w:r>
        <w:t>,</w:t>
      </w:r>
      <w:r w:rsidRPr="00E776C8">
        <w:t xml:space="preserve"> vērtējot kā valsts, tā pašvaldību autoceļus un pašvaldību ielas, kopumā ir neapmier</w:t>
      </w:r>
      <w:r>
        <w:t xml:space="preserve">inošs un neatbilst ekonomiskas, </w:t>
      </w:r>
      <w:r w:rsidRPr="00E776C8">
        <w:t>drošas, komfortablas un videi draudzīgas satiksmes vajadzībām.</w:t>
      </w:r>
      <w:r w:rsidR="00F83A9A">
        <w:t xml:space="preserve"> </w:t>
      </w:r>
      <w:r w:rsidRPr="00A3660A">
        <w:t>Aptuveni puse autoceļu ar asfalta segumu ir ļoti sliktā vai pat kritiskā stāvoklī. Trešā daļa autoceļu ar gr</w:t>
      </w:r>
      <w:r w:rsidR="00F83A9A">
        <w:t>ants segumu ir sliktā stāvoklī</w:t>
      </w:r>
      <w:r w:rsidRPr="00A3660A">
        <w:t>.</w:t>
      </w:r>
    </w:p>
    <w:p w:rsidR="005B0BAD" w:rsidRDefault="005B0BAD" w:rsidP="005B0BAD">
      <w:pPr>
        <w:ind w:firstLine="567"/>
        <w:rPr>
          <w:lang w:eastAsia="lv-LV"/>
        </w:rPr>
      </w:pPr>
      <w:r>
        <w:t xml:space="preserve">Jāatzīmē arī nepietiekamā dzelzceļa līniju caurlaides spēja atsevišķos līniju posmos. Tāpēc nepieciešami nozīmīgi modernizācijas projekti sliežu ceļu rekonstrukcijā, sakaru un signalizācijas sistēmu modernizācijā </w:t>
      </w:r>
      <w:proofErr w:type="spellStart"/>
      <w:r>
        <w:t>u.tml</w:t>
      </w:r>
      <w:proofErr w:type="spellEnd"/>
      <w:r>
        <w:t xml:space="preserve">., lai palielinātu kravu </w:t>
      </w:r>
      <w:r w:rsidR="0000116B">
        <w:t>caurlaides spēju ar mērķi 2015.</w:t>
      </w:r>
      <w:r>
        <w:t xml:space="preserve">gadā sasniegt 85 </w:t>
      </w:r>
      <w:proofErr w:type="spellStart"/>
      <w:r>
        <w:t>milj</w:t>
      </w:r>
      <w:proofErr w:type="spellEnd"/>
      <w:r>
        <w:t>. tonnu gadā.</w:t>
      </w:r>
      <w:r>
        <w:rPr>
          <w:lang w:eastAsia="lv-LV"/>
        </w:rPr>
        <w:t xml:space="preserve"> </w:t>
      </w:r>
    </w:p>
    <w:p w:rsidR="005B0BAD" w:rsidRDefault="00211FC4" w:rsidP="005B0BAD">
      <w:pPr>
        <w:suppressAutoHyphens/>
        <w:ind w:firstLine="567"/>
      </w:pPr>
      <w:r w:rsidRPr="00732CEC">
        <w:t xml:space="preserve">Kravu tranzītam ir būtiska nozīmīga loma Latvijas ekonomikā, tas veido aptuveni </w:t>
      </w:r>
      <w:r w:rsidRPr="00732CEC">
        <w:rPr>
          <w:bCs/>
        </w:rPr>
        <w:t xml:space="preserve">1/3 daļu no kopējā visa veida pakalpojumu eksporta. </w:t>
      </w:r>
      <w:r w:rsidRPr="00732CEC">
        <w:t>Tranzīta attīstība sekmē arī citu Latvijas tautsaimniecības nozaru attīstību, atbalsta ārējo tirdzniecību, eksportu</w:t>
      </w:r>
      <w:r>
        <w:t>. Tomēr augšminētās infrastruktūras kvalitātes problēmas, kā arī n</w:t>
      </w:r>
      <w:r w:rsidRPr="002D48FE">
        <w:t xml:space="preserve">epietiekami attīstīta lielo ostu infrastruktūra </w:t>
      </w:r>
      <w:r w:rsidRPr="003D698F">
        <w:t xml:space="preserve">(atsevišķās ostās nepietiekams akvatorijas </w:t>
      </w:r>
      <w:r w:rsidRPr="0098073F">
        <w:t>dziļums, nepietiekama au</w:t>
      </w:r>
      <w:r>
        <w:t>toceļu un dzelzceļu pievadceļu</w:t>
      </w:r>
      <w:r w:rsidRPr="0098073F">
        <w:t xml:space="preserve"> kvalitāte un nepietiekamas</w:t>
      </w:r>
      <w:r>
        <w:t xml:space="preserve"> to</w:t>
      </w:r>
      <w:r w:rsidRPr="0098073F">
        <w:t xml:space="preserve"> jau</w:t>
      </w:r>
      <w:r>
        <w:t>d</w:t>
      </w:r>
      <w:r w:rsidRPr="0098073F">
        <w:t>as atsevišķās ostu teritorijās, nepietiekams</w:t>
      </w:r>
      <w:r w:rsidRPr="003D698F">
        <w:t xml:space="preserve"> nodrošinājums jaunajām vides prasībām – piestātņu elektrifikācija, kuģu </w:t>
      </w:r>
      <w:proofErr w:type="spellStart"/>
      <w:r w:rsidRPr="003D698F">
        <w:t>bunkurēšanas</w:t>
      </w:r>
      <w:proofErr w:type="spellEnd"/>
      <w:r w:rsidRPr="003D698F">
        <w:t xml:space="preserve"> iespējas ar gāzi)</w:t>
      </w:r>
      <w:r>
        <w:t xml:space="preserve"> un </w:t>
      </w:r>
      <w:r w:rsidRPr="00B22607">
        <w:rPr>
          <w:bCs/>
          <w:color w:val="000000"/>
        </w:rPr>
        <w:t>integrēta operatīvā mehānisma trūkums</w:t>
      </w:r>
      <w:r w:rsidRPr="00B22607">
        <w:rPr>
          <w:color w:val="000000"/>
        </w:rPr>
        <w:t>, kas palīdzētu koordinēt visu transporta veidu mijiedarbību</w:t>
      </w:r>
      <w:r>
        <w:rPr>
          <w:color w:val="000000"/>
        </w:rPr>
        <w:t>, kavē veiksmīgu tranzīta un loģistikas nozares attīstību.</w:t>
      </w:r>
    </w:p>
    <w:p w:rsidR="005B0BAD" w:rsidRDefault="005B0BAD" w:rsidP="0000116B">
      <w:pPr>
        <w:suppressAutoHyphens/>
        <w:spacing w:before="120"/>
        <w:ind w:firstLine="567"/>
      </w:pPr>
      <w:r>
        <w:t xml:space="preserve">Savukārt </w:t>
      </w:r>
      <w:r w:rsidRPr="00631889">
        <w:rPr>
          <w:u w:val="single"/>
        </w:rPr>
        <w:t>vides aizsardzības infrastruktūras</w:t>
      </w:r>
      <w:r>
        <w:t xml:space="preserve"> attīstības jomā 2011.</w:t>
      </w:r>
      <w:r w:rsidR="00F12670">
        <w:t>–</w:t>
      </w:r>
      <w:r>
        <w:t xml:space="preserve">2015.gadu periodā mērķis ir, pilnveidojot un attīstot ūdenssaimniecību, nodrošināt Latvijas iedzīvotāju ar kvalitatīviem ūdenssaimniecības pakalpojumiem, nodrošināt atkritumu pirmsapstrādi pirms apglabāšanas, uzlabot infiltrāta attīrīšanu un jaunu atkritumu apglabāšanas šūnu izveidi esošajos atkritumu poligonos, kā arī attīstīt atkritumu dalītu vākšanu un šķirošanu un turpināt izgāztuvju rekultivāciju. </w:t>
      </w:r>
    </w:p>
    <w:p w:rsidR="005B0BAD" w:rsidRDefault="00980D51" w:rsidP="00D2092F">
      <w:pPr>
        <w:suppressAutoHyphens/>
        <w:spacing w:before="120"/>
        <w:ind w:firstLine="567"/>
      </w:pPr>
      <w:r>
        <w:t>Zemāk minēti p</w:t>
      </w:r>
      <w:r w:rsidR="005B0BAD">
        <w:t>asākumi</w:t>
      </w:r>
      <w:r>
        <w:t xml:space="preserve"> saistās ar </w:t>
      </w:r>
      <w:r w:rsidRPr="00353580">
        <w:rPr>
          <w:i/>
        </w:rPr>
        <w:t>2013.gada izaugsmes ziņojuma</w:t>
      </w:r>
      <w:r>
        <w:t xml:space="preserve"> prioritāti attiecībā uz izaugsmes un konkurētspējas veicināšanu, bet pasākumi</w:t>
      </w:r>
      <w:r w:rsidR="005B0BAD">
        <w:t xml:space="preserve"> vides jomā atbilst </w:t>
      </w:r>
      <w:r w:rsidR="00D2092F">
        <w:t xml:space="preserve">arī </w:t>
      </w:r>
      <w:r w:rsidR="00F12670" w:rsidRPr="00FF5C3A">
        <w:rPr>
          <w:i/>
        </w:rPr>
        <w:t>„</w:t>
      </w:r>
      <w:r w:rsidR="005B0BAD" w:rsidRPr="00FF5C3A">
        <w:rPr>
          <w:i/>
        </w:rPr>
        <w:t>Eiropa 2020</w:t>
      </w:r>
      <w:r w:rsidR="00F12670" w:rsidRPr="00FF5C3A">
        <w:rPr>
          <w:i/>
        </w:rPr>
        <w:t>”</w:t>
      </w:r>
      <w:r w:rsidR="00F12670">
        <w:t xml:space="preserve"> stratēģijas </w:t>
      </w:r>
      <w:r w:rsidR="00DA6DFF">
        <w:t>vadošajai iniciatīvai</w:t>
      </w:r>
      <w:r w:rsidR="005B0BAD">
        <w:t xml:space="preserve"> </w:t>
      </w:r>
      <w:r w:rsidR="00DA6DFF" w:rsidRPr="00DA6DFF">
        <w:rPr>
          <w:i/>
        </w:rPr>
        <w:t>„</w:t>
      </w:r>
      <w:r w:rsidR="005B0BAD" w:rsidRPr="00DA6DFF">
        <w:rPr>
          <w:i/>
        </w:rPr>
        <w:t>Resursu ziņā efektīva Eiropa”</w:t>
      </w:r>
      <w:r w:rsidR="005B0BAD">
        <w:t>.</w:t>
      </w:r>
    </w:p>
    <w:p w:rsidR="005B0BAD" w:rsidRDefault="005B0BAD" w:rsidP="005B0BAD">
      <w:pPr>
        <w:spacing w:before="240" w:after="120"/>
        <w:ind w:firstLine="567"/>
      </w:pPr>
      <w:r>
        <w:rPr>
          <w:u w:val="single"/>
        </w:rPr>
        <w:t>Galvenie politikas virzieni un pasākumi transporta un vides infrastruktūras uzlabošanai</w:t>
      </w:r>
      <w:r>
        <w:t>:</w:t>
      </w:r>
    </w:p>
    <w:p w:rsidR="005B0BAD" w:rsidRDefault="005B0BAD" w:rsidP="005B0BAD">
      <w:pPr>
        <w:pStyle w:val="ListParagraph"/>
        <w:numPr>
          <w:ilvl w:val="0"/>
          <w:numId w:val="1"/>
        </w:numPr>
        <w:spacing w:before="240" w:after="120"/>
        <w:ind w:left="284" w:hanging="284"/>
        <w:rPr>
          <w:rFonts w:eastAsia="+mn-ea"/>
          <w:b/>
          <w:i/>
        </w:rPr>
      </w:pPr>
      <w:r>
        <w:rPr>
          <w:rFonts w:eastAsia="+mn-ea"/>
          <w:b/>
          <w:i/>
        </w:rPr>
        <w:t xml:space="preserve">Kvalitatīvas un konkurētspējīgas loģistikas un tranzītpakalpojumu infrastruktūras nodrošināšana </w:t>
      </w:r>
      <w:r>
        <w:rPr>
          <w:rFonts w:eastAsia="+mn-ea"/>
        </w:rPr>
        <w:t>(atbildīgā institūcija – SM)</w:t>
      </w:r>
    </w:p>
    <w:p w:rsidR="005B0BAD" w:rsidRDefault="005B0BAD" w:rsidP="005B0BAD">
      <w:pPr>
        <w:ind w:firstLine="567"/>
      </w:pPr>
      <w:r>
        <w:t xml:space="preserve">Pasākuma mērķis ir loģistikas pakalpojumu konkurētspējas paaugstināšana un ES ārējās robežas caurlaides spējas nodrošināšana atbilstoši potenciālai kravas un pasažieru transporta plūsmai. </w:t>
      </w:r>
    </w:p>
    <w:p w:rsidR="005B0BAD" w:rsidRDefault="005B0BAD" w:rsidP="005B0BAD">
      <w:pPr>
        <w:ind w:firstLine="567"/>
      </w:pPr>
      <w:r>
        <w:t>Galvenie darbības virzieni 2011.</w:t>
      </w:r>
      <w:r w:rsidR="007F7949">
        <w:t>–</w:t>
      </w:r>
      <w:r>
        <w:t xml:space="preserve">2013.gadā ir dzelzceļa, autoceļu, ostu un gaisa transporta infrastruktūras rekonstrukcija un uzlabošana, kā arī </w:t>
      </w:r>
      <w:r>
        <w:rPr>
          <w:color w:val="000000"/>
          <w:lang w:eastAsia="lv-LV"/>
        </w:rPr>
        <w:t>Starptautiskās kravu loģistikas un ostu informācijas sistēmas</w:t>
      </w:r>
      <w:r>
        <w:t xml:space="preserve"> (SKLOIS) izveide. Kopējais publiskais finansējums 2011.</w:t>
      </w:r>
      <w:r w:rsidR="007F7949">
        <w:t>– 2013.</w:t>
      </w:r>
      <w:r>
        <w:t xml:space="preserve">gadam ir 329,9 </w:t>
      </w:r>
      <w:proofErr w:type="spellStart"/>
      <w:r>
        <w:t>milj</w:t>
      </w:r>
      <w:proofErr w:type="spellEnd"/>
      <w:r>
        <w:t xml:space="preserve">. latu, </w:t>
      </w:r>
      <w:proofErr w:type="spellStart"/>
      <w:r>
        <w:t>t.sk</w:t>
      </w:r>
      <w:proofErr w:type="spellEnd"/>
      <w:r>
        <w:t>, 20</w:t>
      </w:r>
      <w:r w:rsidR="007F7949">
        <w:t>11.</w:t>
      </w:r>
      <w:r>
        <w:t xml:space="preserve">gadā </w:t>
      </w:r>
      <w:r w:rsidR="007F7949">
        <w:t>–</w:t>
      </w:r>
      <w:r>
        <w:t xml:space="preserve"> 109 </w:t>
      </w:r>
      <w:proofErr w:type="spellStart"/>
      <w:r>
        <w:t>milj</w:t>
      </w:r>
      <w:proofErr w:type="spellEnd"/>
      <w:r>
        <w:t xml:space="preserve">. latu, 2012.gadā </w:t>
      </w:r>
      <w:r w:rsidR="007F7949">
        <w:t>–</w:t>
      </w:r>
      <w:r>
        <w:t xml:space="preserve"> 101,5 </w:t>
      </w:r>
      <w:proofErr w:type="spellStart"/>
      <w:r>
        <w:t>milj</w:t>
      </w:r>
      <w:proofErr w:type="spellEnd"/>
      <w:r>
        <w:t>. latu,</w:t>
      </w:r>
      <w:r w:rsidR="00D45640">
        <w:t xml:space="preserve"> </w:t>
      </w:r>
      <w:r>
        <w:t xml:space="preserve"> 2013.gada </w:t>
      </w:r>
      <w:r w:rsidR="007F7949">
        <w:t>–</w:t>
      </w:r>
      <w:r>
        <w:t xml:space="preserve"> 119,4 </w:t>
      </w:r>
      <w:proofErr w:type="spellStart"/>
      <w:r>
        <w:t>milj</w:t>
      </w:r>
      <w:proofErr w:type="spellEnd"/>
      <w:r>
        <w:t>. latu.</w:t>
      </w:r>
    </w:p>
    <w:p w:rsidR="005B0BAD" w:rsidRDefault="005B0BAD" w:rsidP="005B0BAD">
      <w:pPr>
        <w:ind w:firstLine="567"/>
      </w:pPr>
      <w:r>
        <w:t>2012.gadā ar Kohēzijas fonda</w:t>
      </w:r>
      <w:r w:rsidR="001437F7">
        <w:t xml:space="preserve"> (turpmāk tekstā – KF)</w:t>
      </w:r>
      <w:r>
        <w:t xml:space="preserve"> līdzfinansējumu </w:t>
      </w:r>
      <w:r w:rsidR="00D140C9">
        <w:t xml:space="preserve">turpinājās projekta </w:t>
      </w:r>
      <w:r w:rsidRPr="007F7949">
        <w:rPr>
          <w:i/>
        </w:rPr>
        <w:t>„</w:t>
      </w:r>
      <w:r w:rsidRPr="00AA2900">
        <w:rPr>
          <w:i/>
        </w:rPr>
        <w:t>Ot</w:t>
      </w:r>
      <w:r w:rsidRPr="00AA2900">
        <w:rPr>
          <w:bCs/>
          <w:i/>
        </w:rPr>
        <w:t xml:space="preserve">rā sliežu ceļa </w:t>
      </w:r>
      <w:r w:rsidRPr="00AA2900">
        <w:rPr>
          <w:i/>
        </w:rPr>
        <w:t xml:space="preserve">52 km garumā </w:t>
      </w:r>
      <w:r w:rsidRPr="00AA2900">
        <w:rPr>
          <w:bCs/>
          <w:i/>
        </w:rPr>
        <w:t xml:space="preserve">Skrīveri – Krustpils (Rīga – Krustpils iecirknis) </w:t>
      </w:r>
      <w:r w:rsidRPr="00AA2900">
        <w:rPr>
          <w:bCs/>
          <w:i/>
        </w:rPr>
        <w:lastRenderedPageBreak/>
        <w:t>būvniecība</w:t>
      </w:r>
      <w:r w:rsidRPr="007F7949">
        <w:rPr>
          <w:bCs/>
          <w:i/>
        </w:rPr>
        <w:t>”</w:t>
      </w:r>
      <w:r w:rsidR="00D140C9">
        <w:rPr>
          <w:bCs/>
          <w:i/>
        </w:rPr>
        <w:t xml:space="preserve"> </w:t>
      </w:r>
      <w:r w:rsidR="00D140C9" w:rsidRPr="00A75C66">
        <w:rPr>
          <w:bCs/>
        </w:rPr>
        <w:t>īstenošana</w:t>
      </w:r>
      <w:r>
        <w:rPr>
          <w:bCs/>
        </w:rPr>
        <w:t xml:space="preserve">. </w:t>
      </w:r>
      <w:r>
        <w:t>Projekta kopējās attiecināmās izmaksas ir 65</w:t>
      </w:r>
      <w:r w:rsidR="007F7949">
        <w:t>,</w:t>
      </w:r>
      <w:r>
        <w:t xml:space="preserve">65 </w:t>
      </w:r>
      <w:proofErr w:type="spellStart"/>
      <w:r>
        <w:t>milj</w:t>
      </w:r>
      <w:proofErr w:type="spellEnd"/>
      <w:r>
        <w:t xml:space="preserve">. latu, </w:t>
      </w:r>
      <w:proofErr w:type="spellStart"/>
      <w:r>
        <w:t>t.sk</w:t>
      </w:r>
      <w:proofErr w:type="spellEnd"/>
      <w:r>
        <w:t xml:space="preserve">., </w:t>
      </w:r>
      <w:r w:rsidR="001437F7">
        <w:t>KF</w:t>
      </w:r>
      <w:r>
        <w:t xml:space="preserve"> finansējums 46,08 </w:t>
      </w:r>
      <w:proofErr w:type="spellStart"/>
      <w:r>
        <w:t>milj</w:t>
      </w:r>
      <w:proofErr w:type="spellEnd"/>
      <w:r>
        <w:t xml:space="preserve">. latu un VAS „ Latvijas dzelzceļš” finansējums 19,6 </w:t>
      </w:r>
      <w:proofErr w:type="spellStart"/>
      <w:r>
        <w:t>milj</w:t>
      </w:r>
      <w:proofErr w:type="spellEnd"/>
      <w:r>
        <w:t>. Ls.</w:t>
      </w:r>
    </w:p>
    <w:p w:rsidR="005B0BAD" w:rsidRDefault="005B0BAD" w:rsidP="007F7949">
      <w:pPr>
        <w:pStyle w:val="NoSpacing"/>
        <w:spacing w:before="120"/>
        <w:ind w:firstLine="567"/>
        <w:jc w:val="both"/>
        <w:rPr>
          <w:rFonts w:ascii="Times New Roman" w:hAnsi="Times New Roman"/>
          <w:sz w:val="24"/>
          <w:szCs w:val="24"/>
        </w:rPr>
      </w:pPr>
      <w:r>
        <w:rPr>
          <w:rFonts w:ascii="Times New Roman" w:hAnsi="Times New Roman"/>
          <w:sz w:val="24"/>
          <w:szCs w:val="24"/>
        </w:rPr>
        <w:t xml:space="preserve">2012.gadā ES fondu finansēto projektu ietvaros rekonstruēto ceļa posmu garums ir </w:t>
      </w:r>
      <w:r w:rsidRPr="00406D7B">
        <w:rPr>
          <w:rFonts w:ascii="Times New Roman" w:hAnsi="Times New Roman"/>
          <w:sz w:val="24"/>
          <w:szCs w:val="24"/>
        </w:rPr>
        <w:t>184,1 km</w:t>
      </w:r>
      <w:r>
        <w:rPr>
          <w:rFonts w:ascii="Times New Roman" w:hAnsi="Times New Roman"/>
          <w:sz w:val="24"/>
          <w:szCs w:val="24"/>
        </w:rPr>
        <w:t>.</w:t>
      </w:r>
    </w:p>
    <w:p w:rsidR="005B0BAD" w:rsidRDefault="007F7949" w:rsidP="005B0BAD">
      <w:pPr>
        <w:ind w:firstLine="567"/>
      </w:pPr>
      <w:r>
        <w:t>2012.</w:t>
      </w:r>
      <w:r w:rsidR="005B0BAD">
        <w:t xml:space="preserve">gadā ES fondu finansētajām valsts galveno autoceļu un </w:t>
      </w:r>
      <w:proofErr w:type="spellStart"/>
      <w:r w:rsidR="005B0BAD">
        <w:t>tranzītielu</w:t>
      </w:r>
      <w:proofErr w:type="spellEnd"/>
      <w:r w:rsidR="005B0BAD">
        <w:t xml:space="preserve"> sakārtošanas aktivitātēm tika piešķirts papildu finansējums 57 </w:t>
      </w:r>
      <w:proofErr w:type="spellStart"/>
      <w:r w:rsidR="005B0BAD">
        <w:t>milj</w:t>
      </w:r>
      <w:proofErr w:type="spellEnd"/>
      <w:r w:rsidR="005B0BAD">
        <w:t xml:space="preserve">. </w:t>
      </w:r>
      <w:r>
        <w:t>latu</w:t>
      </w:r>
      <w:r w:rsidR="005B0BAD">
        <w:t xml:space="preserve"> apmērā. Tas ļaus īstenot kopumā 29 ES fondu un valsts budžeta finansētus projektus </w:t>
      </w:r>
      <w:proofErr w:type="spellStart"/>
      <w:r w:rsidR="005B0BAD">
        <w:t>tranzītielu</w:t>
      </w:r>
      <w:proofErr w:type="spellEnd"/>
      <w:r w:rsidR="005B0BAD">
        <w:t xml:space="preserve"> sakārtošanai, kā arī tika īstenoti vairāki TEN-T autoceļu tīkla uzlabojumu projekti, kuriem iepriekš nebija pieejams finansējums.</w:t>
      </w:r>
    </w:p>
    <w:p w:rsidR="005B0BAD" w:rsidRDefault="005B0BAD" w:rsidP="005B0BAD">
      <w:pPr>
        <w:ind w:firstLine="567"/>
      </w:pPr>
      <w:r w:rsidRPr="007E42E4">
        <w:t>2013.gadā plānots turpināt iesākto</w:t>
      </w:r>
      <w:r>
        <w:t xml:space="preserve"> lielāko KF projektu īstenošanu –</w:t>
      </w:r>
      <w:r w:rsidRPr="007E42E4">
        <w:t xml:space="preserve"> valsts</w:t>
      </w:r>
      <w:r>
        <w:t xml:space="preserve"> </w:t>
      </w:r>
      <w:r w:rsidR="00D140C9">
        <w:t xml:space="preserve">galveno </w:t>
      </w:r>
      <w:r>
        <w:t>autoceļu rekonstrukciju un būvniecību, otrā sliežu ceļa izbūvi</w:t>
      </w:r>
      <w:r w:rsidR="00D140C9">
        <w:t xml:space="preserve"> posmā Skrīveri-Krustpils</w:t>
      </w:r>
      <w:r>
        <w:t xml:space="preserve">, infrastruktūras attīstību Krievu salā ostas aktivitāšu pārcelšanai no pilsētas centra, starptautiskās lidostas </w:t>
      </w:r>
      <w:r w:rsidR="001437F7">
        <w:t>„</w:t>
      </w:r>
      <w:r>
        <w:t>Rīga</w:t>
      </w:r>
      <w:r w:rsidR="001437F7">
        <w:t>”</w:t>
      </w:r>
      <w:r>
        <w:t xml:space="preserve"> infrastruktūras attīstību, kā arī nodrošināt TEN-T finansēto projektu atlašu koordinēšanu nacionālā līmenī.</w:t>
      </w:r>
    </w:p>
    <w:p w:rsidR="005B0BAD" w:rsidRDefault="005B0BAD" w:rsidP="005B0BAD">
      <w:pPr>
        <w:pStyle w:val="ListParagraph"/>
        <w:numPr>
          <w:ilvl w:val="0"/>
          <w:numId w:val="1"/>
        </w:numPr>
        <w:spacing w:before="240" w:after="120"/>
        <w:ind w:left="284" w:hanging="284"/>
        <w:rPr>
          <w:rFonts w:eastAsia="+mn-ea"/>
          <w:b/>
          <w:i/>
        </w:rPr>
      </w:pPr>
      <w:r>
        <w:rPr>
          <w:rFonts w:eastAsia="+mn-ea"/>
          <w:b/>
          <w:i/>
        </w:rPr>
        <w:t xml:space="preserve">Valsts reģionālo autoceļu sakārtošana </w:t>
      </w:r>
      <w:r>
        <w:rPr>
          <w:rFonts w:eastAsia="+mn-ea"/>
        </w:rPr>
        <w:t xml:space="preserve">(atbildīgā institūcija – </w:t>
      </w:r>
      <w:r w:rsidR="00D140C9">
        <w:rPr>
          <w:rFonts w:eastAsia="+mn-ea"/>
        </w:rPr>
        <w:t>SM</w:t>
      </w:r>
      <w:r>
        <w:rPr>
          <w:rFonts w:eastAsia="+mn-ea"/>
        </w:rPr>
        <w:t>)</w:t>
      </w:r>
    </w:p>
    <w:p w:rsidR="005B0BAD" w:rsidRDefault="005B0BAD" w:rsidP="005B0BAD">
      <w:pPr>
        <w:ind w:firstLine="567"/>
      </w:pPr>
      <w:r>
        <w:t xml:space="preserve">Valsts reģionālo autoceļu sakārtošana tiek veikta ar ERAF finansējumu. Kopējais publiskais finansējums reģionālajiem ceļiem 2011.gadā bija 39,9 </w:t>
      </w:r>
      <w:proofErr w:type="spellStart"/>
      <w:r>
        <w:t>milj</w:t>
      </w:r>
      <w:proofErr w:type="spellEnd"/>
      <w:r>
        <w:t xml:space="preserve">. </w:t>
      </w:r>
      <w:r w:rsidR="007E781F">
        <w:t>latu</w:t>
      </w:r>
      <w:r>
        <w:t xml:space="preserve">, </w:t>
      </w:r>
      <w:proofErr w:type="spellStart"/>
      <w:r>
        <w:t>t.sk</w:t>
      </w:r>
      <w:proofErr w:type="spellEnd"/>
      <w:r>
        <w:t xml:space="preserve">., ES fondu finansējums </w:t>
      </w:r>
      <w:r w:rsidR="007E781F">
        <w:t>–</w:t>
      </w:r>
      <w:r>
        <w:t xml:space="preserve"> 33,9 </w:t>
      </w:r>
      <w:proofErr w:type="spellStart"/>
      <w:r>
        <w:t>milj</w:t>
      </w:r>
      <w:proofErr w:type="spellEnd"/>
      <w:r>
        <w:t xml:space="preserve">. </w:t>
      </w:r>
      <w:r w:rsidR="007E781F">
        <w:t>latu, 2012.</w:t>
      </w:r>
      <w:r>
        <w:t xml:space="preserve">gadā bija 28,9 </w:t>
      </w:r>
      <w:proofErr w:type="spellStart"/>
      <w:r>
        <w:t>milj</w:t>
      </w:r>
      <w:proofErr w:type="spellEnd"/>
      <w:r>
        <w:t>.</w:t>
      </w:r>
      <w:r w:rsidR="007E781F">
        <w:t xml:space="preserve"> latu</w:t>
      </w:r>
      <w:r>
        <w:t xml:space="preserve">, </w:t>
      </w:r>
      <w:proofErr w:type="spellStart"/>
      <w:r>
        <w:t>t.sk</w:t>
      </w:r>
      <w:proofErr w:type="spellEnd"/>
      <w:r>
        <w:t xml:space="preserve">. ES fondu finansējums – </w:t>
      </w:r>
      <w:r w:rsidR="007E781F">
        <w:br/>
      </w:r>
      <w:r>
        <w:t xml:space="preserve">24,6 </w:t>
      </w:r>
      <w:proofErr w:type="spellStart"/>
      <w:r>
        <w:t>milj</w:t>
      </w:r>
      <w:proofErr w:type="spellEnd"/>
      <w:r>
        <w:t>.</w:t>
      </w:r>
      <w:r w:rsidR="007E781F">
        <w:t xml:space="preserve"> latu</w:t>
      </w:r>
      <w:r>
        <w:t xml:space="preserve"> un 2013.gadam </w:t>
      </w:r>
      <w:r w:rsidR="007E781F">
        <w:t>–</w:t>
      </w:r>
      <w:r>
        <w:t xml:space="preserve"> 32,6 </w:t>
      </w:r>
      <w:proofErr w:type="spellStart"/>
      <w:r>
        <w:t>milj</w:t>
      </w:r>
      <w:proofErr w:type="spellEnd"/>
      <w:r>
        <w:t xml:space="preserve">. </w:t>
      </w:r>
      <w:r w:rsidR="007E781F">
        <w:t>latu</w:t>
      </w:r>
      <w:r>
        <w:t xml:space="preserve">, </w:t>
      </w:r>
      <w:proofErr w:type="spellStart"/>
      <w:r>
        <w:t>t.sk</w:t>
      </w:r>
      <w:proofErr w:type="spellEnd"/>
      <w:r>
        <w:t xml:space="preserve">., ES fondu –27,7 </w:t>
      </w:r>
      <w:proofErr w:type="spellStart"/>
      <w:r>
        <w:t>milj</w:t>
      </w:r>
      <w:proofErr w:type="spellEnd"/>
      <w:r>
        <w:t xml:space="preserve">. </w:t>
      </w:r>
      <w:r w:rsidR="007E781F">
        <w:t>latu</w:t>
      </w:r>
      <w:r>
        <w:t>.</w:t>
      </w:r>
    </w:p>
    <w:p w:rsidR="005B0BAD" w:rsidRDefault="005B0BAD" w:rsidP="005B0BAD">
      <w:pPr>
        <w:ind w:firstLine="567"/>
      </w:pPr>
      <w:r>
        <w:t>2012.gadā pabeigti projekti, kuru reģionālo autoceļu kopgarums ir 68 km. Kopumā līdz 2012.gada beigām aktivitātes ietvaros rekonstruēto reģionālo autoceļu kopgarums ir 249 km. 2013.gadā plānots pabeigt projektus, kuru reģionālo autoceļu kopgarums ir 63 km.</w:t>
      </w:r>
    </w:p>
    <w:p w:rsidR="005B0BAD" w:rsidRDefault="005B0BAD" w:rsidP="005B0BAD">
      <w:pPr>
        <w:pStyle w:val="ListParagraph"/>
        <w:numPr>
          <w:ilvl w:val="0"/>
          <w:numId w:val="1"/>
        </w:numPr>
        <w:spacing w:before="240" w:after="120"/>
        <w:ind w:left="284" w:hanging="284"/>
        <w:rPr>
          <w:rFonts w:eastAsia="+mn-ea"/>
          <w:b/>
          <w:i/>
        </w:rPr>
      </w:pPr>
      <w:r>
        <w:rPr>
          <w:rFonts w:eastAsia="+mn-ea"/>
          <w:b/>
          <w:i/>
        </w:rPr>
        <w:t xml:space="preserve">Vides infrastruktūras uzlabošana </w:t>
      </w:r>
      <w:r>
        <w:rPr>
          <w:rFonts w:eastAsia="+mn-ea"/>
        </w:rPr>
        <w:t>(atbildīgā institūcija – VARAM)</w:t>
      </w:r>
    </w:p>
    <w:p w:rsidR="005B0BAD" w:rsidRDefault="005B0BAD" w:rsidP="005B0BAD">
      <w:pPr>
        <w:suppressAutoHyphens/>
        <w:ind w:firstLine="567"/>
      </w:pPr>
      <w:r>
        <w:t xml:space="preserve">Vides infrastruktūras uzlabošana tiek veikta ar KF un ERAF atbalstu, piesaistot arī valsts, pašvaldību un privāto līdzfinansējumu. </w:t>
      </w:r>
    </w:p>
    <w:p w:rsidR="005B0BAD" w:rsidRDefault="005B0BAD" w:rsidP="005B0BAD">
      <w:pPr>
        <w:suppressAutoHyphens/>
        <w:ind w:firstLine="567"/>
      </w:pPr>
      <w:r>
        <w:t xml:space="preserve">2012.gadā ir modernizētas 137 ūdenssaimniecības sistēmas, tādejādi palielinot centralizētos ūdenssaimniecības pakalpojumus saņēmušo iedzīvotāju skaitu. 2013.gadā plānots turpināt modernizēšanu, kas nodrošinās 268 modernizētu ūdenssaimniecību darbību. Līdz ar to </w:t>
      </w:r>
      <w:r w:rsidR="00F83A9A">
        <w:t xml:space="preserve">62,4% </w:t>
      </w:r>
      <w:r>
        <w:t xml:space="preserve">iedzīvotāju </w:t>
      </w:r>
      <w:r w:rsidR="00F83A9A">
        <w:t>būs</w:t>
      </w:r>
      <w:r>
        <w:t xml:space="preserve"> nodrošināti kvalitatīvi dzeramā ūdens pakalpojumi un </w:t>
      </w:r>
      <w:r w:rsidR="00F83A9A">
        <w:t xml:space="preserve">55,9% </w:t>
      </w:r>
      <w:r>
        <w:t xml:space="preserve">iedzīvotāju </w:t>
      </w:r>
      <w:r w:rsidR="00F83A9A">
        <w:t>–</w:t>
      </w:r>
      <w:r>
        <w:t xml:space="preserve"> nodrošināti droši notekūdeņu apsaimniekošanas pakalpojumi.</w:t>
      </w:r>
    </w:p>
    <w:p w:rsidR="005B0BAD" w:rsidRDefault="00C85B04" w:rsidP="005B0BAD">
      <w:pPr>
        <w:suppressAutoHyphens/>
        <w:ind w:firstLine="567"/>
      </w:pPr>
      <w:r w:rsidRPr="00C85B04">
        <w:t xml:space="preserve">Ir uzlabota atkritumu apsaimniekošanas infrastruktūra, izveidojot normatīvo aktu prasībām atbilstošus atkritumu poligonus, attīstot atkritumu dalītās vākšanas sistēmu un veicot sadzīves atkritumu izgāztuvju rekultivāciju. Līdz </w:t>
      </w:r>
      <w:r>
        <w:t xml:space="preserve">2012.gada </w:t>
      </w:r>
      <w:r w:rsidRPr="00C85B04">
        <w:t>31.</w:t>
      </w:r>
      <w:r>
        <w:t xml:space="preserve">decembrim </w:t>
      </w:r>
      <w:r w:rsidRPr="00C85B04">
        <w:t>izveidoti 1064 atkritumu dalītās vākšanas punkti, 29 atkritumu šķirošanas laukumi, 11 kompostēšanas laukumi un 15 šķirošanas pārkraušanas centri. 2013.</w:t>
      </w:r>
      <w:r>
        <w:t>–</w:t>
      </w:r>
      <w:r w:rsidRPr="00C85B04">
        <w:t xml:space="preserve">2014.gadā plānots turpināt atkritumu poligonu pilnveidi – kopumā līdz 2014.gadam ar KF atbalstu plānots pilnveidot 9 atkritumu poligonu infrastruktūru, kā arī veicināt atkritumu dalītās vākšanas sistēmas attīstību, sniedzot atbalstu 20 komersantiem, kā arī panākt vairāku atkritumu izgāztuvju rekultivāciju –2013.gadā plānots </w:t>
      </w:r>
      <w:proofErr w:type="spellStart"/>
      <w:r w:rsidRPr="00C85B04">
        <w:t>rekultivēt</w:t>
      </w:r>
      <w:proofErr w:type="spellEnd"/>
      <w:r w:rsidRPr="00C85B04">
        <w:t xml:space="preserve"> 23 sadzīves atkritumu izgāztuves visā Latvijas teritorijā, bet kopumā līdz 2014.gadam – 45 izgāztuves.</w:t>
      </w:r>
    </w:p>
    <w:p w:rsidR="005B0BAD" w:rsidRDefault="005B0BAD" w:rsidP="005B0BAD">
      <w:pPr>
        <w:suppressAutoHyphens/>
        <w:ind w:firstLine="567"/>
      </w:pPr>
      <w:r>
        <w:t xml:space="preserve">Vides aizsardzības infrastruktūra antropogēnās slodzes samazināšanai tiek attīstīta arī </w:t>
      </w:r>
      <w:proofErr w:type="spellStart"/>
      <w:r w:rsidRPr="00070BC3">
        <w:rPr>
          <w:i/>
        </w:rPr>
        <w:t>Natura</w:t>
      </w:r>
      <w:proofErr w:type="spellEnd"/>
      <w:r w:rsidRPr="00070BC3">
        <w:rPr>
          <w:i/>
        </w:rPr>
        <w:t xml:space="preserve"> 2000</w:t>
      </w:r>
      <w:r>
        <w:t xml:space="preserve"> teritorijās, 2012.gadā īstenojot 38 projektus. Plānots, ka projektu skaits 2013.gadā sasniegs 50. </w:t>
      </w:r>
    </w:p>
    <w:p w:rsidR="005B0BAD" w:rsidRDefault="005B0BAD" w:rsidP="005B0BAD">
      <w:pPr>
        <w:ind w:firstLine="567"/>
      </w:pPr>
      <w:r>
        <w:t xml:space="preserve">Tāpat finansējums tiek novirzīts plūdu riska mazināšanai, </w:t>
      </w:r>
      <w:proofErr w:type="spellStart"/>
      <w:r>
        <w:t>hidrotehtonisko</w:t>
      </w:r>
      <w:proofErr w:type="spellEnd"/>
      <w:r>
        <w:t xml:space="preserve"> būvju būvniecībai un vides monitoringam.</w:t>
      </w:r>
    </w:p>
    <w:p w:rsidR="00580631" w:rsidRPr="00C43284" w:rsidRDefault="005B0BAD" w:rsidP="005B0BAD">
      <w:pPr>
        <w:ind w:firstLine="567"/>
        <w:rPr>
          <w:rFonts w:eastAsia="+mn-ea"/>
          <w:b/>
          <w:i/>
        </w:rPr>
      </w:pPr>
      <w:r>
        <w:t xml:space="preserve">Kopējais publiskais finansējums vides infrastruktūras attīstībai kopā 2012.gadā bija 67,5 </w:t>
      </w:r>
      <w:proofErr w:type="spellStart"/>
      <w:r>
        <w:t>milj</w:t>
      </w:r>
      <w:proofErr w:type="spellEnd"/>
      <w:r>
        <w:t xml:space="preserve">. latu, </w:t>
      </w:r>
      <w:proofErr w:type="spellStart"/>
      <w:r>
        <w:t>t.sk</w:t>
      </w:r>
      <w:proofErr w:type="spellEnd"/>
      <w:r>
        <w:t xml:space="preserve">., ES fondu finansējums </w:t>
      </w:r>
      <w:r w:rsidR="00070BC3">
        <w:t>–</w:t>
      </w:r>
      <w:r>
        <w:t xml:space="preserve"> 62,7 </w:t>
      </w:r>
      <w:proofErr w:type="spellStart"/>
      <w:r>
        <w:t>milj</w:t>
      </w:r>
      <w:proofErr w:type="spellEnd"/>
      <w:r>
        <w:t xml:space="preserve">. latu, no kā lielākā daļa – 47,8 </w:t>
      </w:r>
      <w:proofErr w:type="spellStart"/>
      <w:r>
        <w:t>milj</w:t>
      </w:r>
      <w:proofErr w:type="spellEnd"/>
      <w:r>
        <w:t>.</w:t>
      </w:r>
      <w:r w:rsidR="00070BC3">
        <w:t xml:space="preserve"> latu</w:t>
      </w:r>
      <w:r>
        <w:t xml:space="preserve"> tika ieguldīti ūdenssaimniecības attīstībā. 2013.gada kopējais publiskais finansējums vides </w:t>
      </w:r>
      <w:r>
        <w:lastRenderedPageBreak/>
        <w:t xml:space="preserve">infrastruktūras attīstībai ir plānots 77,2 </w:t>
      </w:r>
      <w:proofErr w:type="spellStart"/>
      <w:r>
        <w:t>milj</w:t>
      </w:r>
      <w:proofErr w:type="spellEnd"/>
      <w:r>
        <w:t xml:space="preserve">. latu apmērā, </w:t>
      </w:r>
      <w:proofErr w:type="spellStart"/>
      <w:r>
        <w:t>t.sk</w:t>
      </w:r>
      <w:proofErr w:type="spellEnd"/>
      <w:r>
        <w:t xml:space="preserve">., ES fondu finansējums – </w:t>
      </w:r>
      <w:r w:rsidR="00070BC3">
        <w:br/>
      </w:r>
      <w:r>
        <w:t xml:space="preserve">72,3 </w:t>
      </w:r>
      <w:proofErr w:type="spellStart"/>
      <w:r>
        <w:t>milj</w:t>
      </w:r>
      <w:proofErr w:type="spellEnd"/>
      <w:r>
        <w:t>. latu apmērā.</w:t>
      </w:r>
    </w:p>
    <w:p w:rsidR="008F2EE4" w:rsidRPr="00B703A3" w:rsidRDefault="008F2EE4" w:rsidP="00F423A9">
      <w:pPr>
        <w:pStyle w:val="Heading2"/>
        <w:spacing w:before="360" w:after="120"/>
        <w:jc w:val="center"/>
        <w:rPr>
          <w:rFonts w:ascii="Times New Roman Bold" w:hAnsi="Times New Roman Bold"/>
          <w:smallCaps/>
          <w:sz w:val="24"/>
          <w:szCs w:val="24"/>
        </w:rPr>
      </w:pPr>
      <w:bookmarkStart w:id="26" w:name="_Toc354384939"/>
      <w:r w:rsidRPr="00B703A3">
        <w:rPr>
          <w:rFonts w:ascii="Times New Roman Bold" w:hAnsi="Times New Roman Bold"/>
          <w:smallCaps/>
          <w:sz w:val="24"/>
          <w:szCs w:val="24"/>
        </w:rPr>
        <w:t>3.3. Nodarbinātība</w:t>
      </w:r>
      <w:bookmarkEnd w:id="26"/>
    </w:p>
    <w:p w:rsidR="009A044F" w:rsidRDefault="009A044F" w:rsidP="009A044F">
      <w:pPr>
        <w:ind w:firstLine="567"/>
      </w:pPr>
      <w:r>
        <w:t>Latvijas NRP ir izvirzīts mērķis līdz 2020.gadam sasniegt 73% nodarbinātības līmeni (20-64 gadu vecuma grupā).</w:t>
      </w:r>
    </w:p>
    <w:p w:rsidR="009A044F" w:rsidRDefault="009A044F" w:rsidP="009A044F">
      <w:pPr>
        <w:jc w:val="right"/>
      </w:pPr>
      <w:r>
        <w:t xml:space="preserve">3.tabula </w:t>
      </w:r>
    </w:p>
    <w:p w:rsidR="009A044F" w:rsidRDefault="009A044F" w:rsidP="009A044F">
      <w:pPr>
        <w:jc w:val="center"/>
      </w:pPr>
      <w:r>
        <w:t>Nodarbinātības līmeņa (iedzīvotāji vecumā 20-64 gadi) mērķa sasniegšanas trajektorija</w:t>
      </w:r>
    </w:p>
    <w:p w:rsidR="009A044F" w:rsidRDefault="009A044F" w:rsidP="009A044F">
      <w:pPr>
        <w:jc w:val="center"/>
        <w:rPr>
          <w:b/>
          <w:sz w:val="10"/>
        </w:rPr>
      </w:pPr>
    </w:p>
    <w:tbl>
      <w:tblPr>
        <w:tblW w:w="4999" w:type="pct"/>
        <w:jc w:val="center"/>
        <w:tblBorders>
          <w:top w:val="single" w:sz="8" w:space="0" w:color="000000"/>
          <w:bottom w:val="single" w:sz="8" w:space="0" w:color="000000"/>
        </w:tblBorders>
        <w:tblLook w:val="04A0" w:firstRow="1" w:lastRow="0" w:firstColumn="1" w:lastColumn="0" w:noHBand="0" w:noVBand="1"/>
      </w:tblPr>
      <w:tblGrid>
        <w:gridCol w:w="2296"/>
        <w:gridCol w:w="1205"/>
        <w:gridCol w:w="1205"/>
        <w:gridCol w:w="1205"/>
        <w:gridCol w:w="1131"/>
        <w:gridCol w:w="1131"/>
        <w:gridCol w:w="1112"/>
      </w:tblGrid>
      <w:tr w:rsidR="009A044F" w:rsidTr="000645CF">
        <w:trPr>
          <w:trHeight w:val="300"/>
          <w:jc w:val="center"/>
        </w:trPr>
        <w:tc>
          <w:tcPr>
            <w:tcW w:w="1236" w:type="pct"/>
            <w:tcBorders>
              <w:top w:val="single" w:sz="8" w:space="0" w:color="000000"/>
              <w:left w:val="nil"/>
              <w:bottom w:val="single" w:sz="8" w:space="0" w:color="000000"/>
              <w:right w:val="nil"/>
            </w:tcBorders>
            <w:noWrap/>
            <w:hideMark/>
          </w:tcPr>
          <w:p w:rsidR="009A044F" w:rsidRDefault="009A044F" w:rsidP="000645CF">
            <w:pPr>
              <w:jc w:val="left"/>
              <w:rPr>
                <w:sz w:val="20"/>
                <w:szCs w:val="20"/>
                <w:lang w:eastAsia="lv-LV"/>
              </w:rPr>
            </w:pPr>
            <w:bookmarkStart w:id="27" w:name="OLE_LINK79"/>
            <w:bookmarkStart w:id="28" w:name="OLE_LINK78"/>
          </w:p>
        </w:tc>
        <w:tc>
          <w:tcPr>
            <w:tcW w:w="649" w:type="pct"/>
            <w:tcBorders>
              <w:top w:val="single" w:sz="8" w:space="0" w:color="000000"/>
              <w:left w:val="nil"/>
              <w:bottom w:val="single" w:sz="8" w:space="0" w:color="000000"/>
              <w:right w:val="nil"/>
            </w:tcBorders>
            <w:noWrap/>
            <w:hideMark/>
          </w:tcPr>
          <w:p w:rsidR="009A044F" w:rsidRDefault="009A044F" w:rsidP="000645CF">
            <w:pPr>
              <w:jc w:val="center"/>
              <w:rPr>
                <w:b/>
                <w:bCs/>
                <w:sz w:val="18"/>
                <w:szCs w:val="18"/>
              </w:rPr>
            </w:pPr>
            <w:r>
              <w:rPr>
                <w:b/>
                <w:bCs/>
                <w:sz w:val="18"/>
                <w:szCs w:val="18"/>
              </w:rPr>
              <w:t>2008</w:t>
            </w:r>
          </w:p>
        </w:tc>
        <w:tc>
          <w:tcPr>
            <w:tcW w:w="649" w:type="pct"/>
            <w:tcBorders>
              <w:top w:val="single" w:sz="8" w:space="0" w:color="000000"/>
              <w:left w:val="nil"/>
              <w:bottom w:val="single" w:sz="8" w:space="0" w:color="000000"/>
              <w:right w:val="nil"/>
            </w:tcBorders>
            <w:noWrap/>
            <w:hideMark/>
          </w:tcPr>
          <w:p w:rsidR="009A044F" w:rsidRDefault="009A044F" w:rsidP="000645CF">
            <w:pPr>
              <w:jc w:val="center"/>
              <w:rPr>
                <w:b/>
                <w:bCs/>
                <w:sz w:val="18"/>
                <w:szCs w:val="18"/>
              </w:rPr>
            </w:pPr>
            <w:r>
              <w:rPr>
                <w:b/>
                <w:bCs/>
                <w:sz w:val="18"/>
                <w:szCs w:val="18"/>
              </w:rPr>
              <w:t>2009</w:t>
            </w:r>
          </w:p>
        </w:tc>
        <w:tc>
          <w:tcPr>
            <w:tcW w:w="649" w:type="pct"/>
            <w:tcBorders>
              <w:top w:val="single" w:sz="8" w:space="0" w:color="000000"/>
              <w:left w:val="nil"/>
              <w:bottom w:val="single" w:sz="8" w:space="0" w:color="000000"/>
              <w:right w:val="nil"/>
            </w:tcBorders>
            <w:noWrap/>
            <w:hideMark/>
          </w:tcPr>
          <w:p w:rsidR="009A044F" w:rsidRDefault="009A044F" w:rsidP="000645CF">
            <w:pPr>
              <w:jc w:val="center"/>
              <w:rPr>
                <w:b/>
                <w:bCs/>
                <w:sz w:val="18"/>
                <w:szCs w:val="18"/>
              </w:rPr>
            </w:pPr>
            <w:r>
              <w:rPr>
                <w:b/>
                <w:bCs/>
                <w:sz w:val="18"/>
                <w:szCs w:val="18"/>
              </w:rPr>
              <w:t>2010</w:t>
            </w:r>
          </w:p>
        </w:tc>
        <w:tc>
          <w:tcPr>
            <w:tcW w:w="609" w:type="pct"/>
            <w:tcBorders>
              <w:top w:val="single" w:sz="8" w:space="0" w:color="000000"/>
              <w:left w:val="nil"/>
              <w:bottom w:val="single" w:sz="8" w:space="0" w:color="000000"/>
              <w:right w:val="nil"/>
            </w:tcBorders>
            <w:hideMark/>
          </w:tcPr>
          <w:p w:rsidR="009A044F" w:rsidRDefault="009A044F" w:rsidP="000645CF">
            <w:pPr>
              <w:jc w:val="center"/>
              <w:rPr>
                <w:b/>
                <w:bCs/>
                <w:sz w:val="18"/>
                <w:szCs w:val="18"/>
              </w:rPr>
            </w:pPr>
            <w:r>
              <w:rPr>
                <w:b/>
                <w:bCs/>
                <w:sz w:val="18"/>
                <w:szCs w:val="18"/>
              </w:rPr>
              <w:t>2011</w:t>
            </w:r>
            <w:r w:rsidRPr="00EE2A81">
              <w:rPr>
                <w:bCs/>
                <w:sz w:val="18"/>
                <w:szCs w:val="18"/>
              </w:rPr>
              <w:t>*</w:t>
            </w:r>
          </w:p>
        </w:tc>
        <w:tc>
          <w:tcPr>
            <w:tcW w:w="609" w:type="pct"/>
            <w:tcBorders>
              <w:top w:val="single" w:sz="8" w:space="0" w:color="000000"/>
              <w:left w:val="nil"/>
              <w:bottom w:val="single" w:sz="8" w:space="0" w:color="000000"/>
              <w:right w:val="nil"/>
            </w:tcBorders>
            <w:noWrap/>
            <w:hideMark/>
          </w:tcPr>
          <w:p w:rsidR="009A044F" w:rsidRDefault="009A044F" w:rsidP="000645CF">
            <w:pPr>
              <w:jc w:val="center"/>
              <w:rPr>
                <w:b/>
                <w:bCs/>
                <w:sz w:val="18"/>
                <w:szCs w:val="18"/>
              </w:rPr>
            </w:pPr>
            <w:r>
              <w:rPr>
                <w:b/>
                <w:bCs/>
                <w:sz w:val="18"/>
                <w:szCs w:val="18"/>
              </w:rPr>
              <w:t>2012</w:t>
            </w:r>
          </w:p>
        </w:tc>
        <w:tc>
          <w:tcPr>
            <w:tcW w:w="599" w:type="pct"/>
            <w:tcBorders>
              <w:top w:val="single" w:sz="8" w:space="0" w:color="000000"/>
              <w:left w:val="nil"/>
              <w:bottom w:val="single" w:sz="8" w:space="0" w:color="000000"/>
              <w:right w:val="nil"/>
            </w:tcBorders>
            <w:noWrap/>
            <w:hideMark/>
          </w:tcPr>
          <w:p w:rsidR="009A044F" w:rsidRDefault="009A044F" w:rsidP="000645CF">
            <w:pPr>
              <w:jc w:val="center"/>
              <w:rPr>
                <w:b/>
                <w:bCs/>
                <w:sz w:val="18"/>
                <w:szCs w:val="18"/>
              </w:rPr>
            </w:pPr>
            <w:r>
              <w:rPr>
                <w:b/>
                <w:bCs/>
                <w:sz w:val="18"/>
                <w:szCs w:val="18"/>
              </w:rPr>
              <w:t>2020</w:t>
            </w:r>
          </w:p>
        </w:tc>
      </w:tr>
      <w:tr w:rsidR="009A044F" w:rsidTr="000645CF">
        <w:trPr>
          <w:trHeight w:val="300"/>
          <w:jc w:val="center"/>
        </w:trPr>
        <w:tc>
          <w:tcPr>
            <w:tcW w:w="1236" w:type="pct"/>
            <w:tcBorders>
              <w:top w:val="nil"/>
              <w:left w:val="nil"/>
              <w:bottom w:val="nil"/>
              <w:right w:val="nil"/>
            </w:tcBorders>
            <w:shd w:val="clear" w:color="auto" w:fill="D9D9D9"/>
            <w:noWrap/>
            <w:hideMark/>
          </w:tcPr>
          <w:p w:rsidR="009A044F" w:rsidRDefault="009A044F" w:rsidP="000645CF">
            <w:pPr>
              <w:rPr>
                <w:b/>
                <w:bCs/>
                <w:sz w:val="18"/>
                <w:szCs w:val="18"/>
              </w:rPr>
            </w:pPr>
            <w:r>
              <w:rPr>
                <w:bCs/>
                <w:sz w:val="18"/>
                <w:szCs w:val="18"/>
              </w:rPr>
              <w:t>Iedzīvotāju skaits (20-64)</w:t>
            </w:r>
          </w:p>
        </w:tc>
        <w:tc>
          <w:tcPr>
            <w:tcW w:w="649" w:type="pct"/>
            <w:tcBorders>
              <w:top w:val="nil"/>
              <w:left w:val="nil"/>
              <w:bottom w:val="nil"/>
              <w:right w:val="nil"/>
            </w:tcBorders>
            <w:shd w:val="clear" w:color="auto" w:fill="D9D9D9"/>
            <w:noWrap/>
            <w:vAlign w:val="center"/>
            <w:hideMark/>
          </w:tcPr>
          <w:p w:rsidR="009A044F" w:rsidRDefault="009A044F" w:rsidP="000645CF">
            <w:pPr>
              <w:jc w:val="center"/>
              <w:rPr>
                <w:sz w:val="18"/>
                <w:szCs w:val="18"/>
              </w:rPr>
            </w:pPr>
            <w:r>
              <w:rPr>
                <w:sz w:val="18"/>
                <w:szCs w:val="18"/>
              </w:rPr>
              <w:t>1400,3</w:t>
            </w:r>
          </w:p>
        </w:tc>
        <w:tc>
          <w:tcPr>
            <w:tcW w:w="649" w:type="pct"/>
            <w:tcBorders>
              <w:top w:val="nil"/>
              <w:left w:val="nil"/>
              <w:bottom w:val="nil"/>
              <w:right w:val="nil"/>
            </w:tcBorders>
            <w:shd w:val="clear" w:color="auto" w:fill="D9D9D9"/>
            <w:noWrap/>
            <w:vAlign w:val="center"/>
            <w:hideMark/>
          </w:tcPr>
          <w:p w:rsidR="009A044F" w:rsidRDefault="009A044F" w:rsidP="000645CF">
            <w:pPr>
              <w:jc w:val="center"/>
              <w:rPr>
                <w:sz w:val="18"/>
                <w:szCs w:val="18"/>
              </w:rPr>
            </w:pPr>
            <w:r>
              <w:rPr>
                <w:sz w:val="18"/>
                <w:szCs w:val="18"/>
              </w:rPr>
              <w:t>1403,9</w:t>
            </w:r>
          </w:p>
        </w:tc>
        <w:tc>
          <w:tcPr>
            <w:tcW w:w="649" w:type="pct"/>
            <w:tcBorders>
              <w:top w:val="nil"/>
              <w:left w:val="nil"/>
              <w:bottom w:val="nil"/>
              <w:right w:val="nil"/>
            </w:tcBorders>
            <w:shd w:val="clear" w:color="auto" w:fill="D9D9D9"/>
            <w:noWrap/>
            <w:vAlign w:val="center"/>
            <w:hideMark/>
          </w:tcPr>
          <w:p w:rsidR="009A044F" w:rsidRDefault="009A044F" w:rsidP="000645CF">
            <w:pPr>
              <w:jc w:val="center"/>
              <w:rPr>
                <w:sz w:val="18"/>
                <w:szCs w:val="18"/>
              </w:rPr>
            </w:pPr>
            <w:r>
              <w:rPr>
                <w:sz w:val="18"/>
                <w:szCs w:val="18"/>
              </w:rPr>
              <w:t>1405,3</w:t>
            </w:r>
          </w:p>
        </w:tc>
        <w:tc>
          <w:tcPr>
            <w:tcW w:w="609" w:type="pct"/>
            <w:tcBorders>
              <w:top w:val="nil"/>
              <w:left w:val="nil"/>
              <w:bottom w:val="nil"/>
              <w:right w:val="nil"/>
            </w:tcBorders>
            <w:shd w:val="clear" w:color="auto" w:fill="D9D9D9"/>
            <w:vAlign w:val="center"/>
          </w:tcPr>
          <w:p w:rsidR="009A044F" w:rsidRPr="00406D7B" w:rsidRDefault="009A044F" w:rsidP="000645CF">
            <w:pPr>
              <w:jc w:val="center"/>
              <w:rPr>
                <w:sz w:val="18"/>
                <w:szCs w:val="18"/>
              </w:rPr>
            </w:pPr>
            <w:r w:rsidRPr="00406D7B">
              <w:rPr>
                <w:sz w:val="18"/>
                <w:szCs w:val="18"/>
              </w:rPr>
              <w:t>1261,1</w:t>
            </w:r>
          </w:p>
        </w:tc>
        <w:tc>
          <w:tcPr>
            <w:tcW w:w="609" w:type="pct"/>
            <w:tcBorders>
              <w:top w:val="nil"/>
              <w:left w:val="nil"/>
              <w:bottom w:val="nil"/>
              <w:right w:val="nil"/>
            </w:tcBorders>
            <w:shd w:val="clear" w:color="auto" w:fill="D9D9D9"/>
            <w:noWrap/>
            <w:vAlign w:val="center"/>
          </w:tcPr>
          <w:p w:rsidR="009A044F" w:rsidRPr="00406D7B" w:rsidRDefault="009A044F" w:rsidP="000645CF">
            <w:pPr>
              <w:jc w:val="center"/>
              <w:rPr>
                <w:sz w:val="18"/>
                <w:szCs w:val="18"/>
              </w:rPr>
            </w:pPr>
            <w:r w:rsidRPr="00406D7B">
              <w:rPr>
                <w:sz w:val="18"/>
                <w:szCs w:val="18"/>
              </w:rPr>
              <w:t>1257,4</w:t>
            </w:r>
          </w:p>
        </w:tc>
        <w:tc>
          <w:tcPr>
            <w:tcW w:w="599" w:type="pct"/>
            <w:tcBorders>
              <w:top w:val="nil"/>
              <w:left w:val="nil"/>
              <w:bottom w:val="nil"/>
              <w:right w:val="nil"/>
            </w:tcBorders>
            <w:shd w:val="clear" w:color="auto" w:fill="D9D9D9"/>
            <w:noWrap/>
            <w:vAlign w:val="center"/>
            <w:hideMark/>
          </w:tcPr>
          <w:p w:rsidR="009A044F" w:rsidRDefault="009A044F" w:rsidP="000645CF">
            <w:pPr>
              <w:jc w:val="center"/>
              <w:rPr>
                <w:sz w:val="18"/>
                <w:szCs w:val="18"/>
              </w:rPr>
            </w:pPr>
            <w:r>
              <w:rPr>
                <w:sz w:val="18"/>
                <w:szCs w:val="18"/>
              </w:rPr>
              <w:t>1322,1</w:t>
            </w:r>
          </w:p>
        </w:tc>
      </w:tr>
      <w:tr w:rsidR="009A044F" w:rsidTr="000645CF">
        <w:trPr>
          <w:trHeight w:val="300"/>
          <w:jc w:val="center"/>
        </w:trPr>
        <w:tc>
          <w:tcPr>
            <w:tcW w:w="1236" w:type="pct"/>
            <w:tcBorders>
              <w:top w:val="nil"/>
              <w:left w:val="nil"/>
              <w:bottom w:val="nil"/>
              <w:right w:val="nil"/>
            </w:tcBorders>
            <w:noWrap/>
            <w:hideMark/>
          </w:tcPr>
          <w:p w:rsidR="009A044F" w:rsidRDefault="009A044F" w:rsidP="000645CF">
            <w:pPr>
              <w:rPr>
                <w:b/>
                <w:bCs/>
                <w:sz w:val="18"/>
                <w:szCs w:val="18"/>
              </w:rPr>
            </w:pPr>
            <w:r>
              <w:rPr>
                <w:bCs/>
                <w:sz w:val="18"/>
                <w:szCs w:val="18"/>
              </w:rPr>
              <w:t>Nodarbināto skaits (20-64)</w:t>
            </w:r>
          </w:p>
        </w:tc>
        <w:tc>
          <w:tcPr>
            <w:tcW w:w="649" w:type="pct"/>
            <w:tcBorders>
              <w:top w:val="nil"/>
              <w:left w:val="nil"/>
              <w:bottom w:val="nil"/>
              <w:right w:val="nil"/>
            </w:tcBorders>
            <w:noWrap/>
            <w:vAlign w:val="center"/>
            <w:hideMark/>
          </w:tcPr>
          <w:p w:rsidR="009A044F" w:rsidRDefault="009A044F" w:rsidP="000645CF">
            <w:pPr>
              <w:jc w:val="center"/>
              <w:rPr>
                <w:sz w:val="18"/>
                <w:szCs w:val="18"/>
              </w:rPr>
            </w:pPr>
            <w:r>
              <w:rPr>
                <w:sz w:val="18"/>
                <w:szCs w:val="18"/>
              </w:rPr>
              <w:t>1061,1</w:t>
            </w:r>
          </w:p>
        </w:tc>
        <w:tc>
          <w:tcPr>
            <w:tcW w:w="649" w:type="pct"/>
            <w:tcBorders>
              <w:top w:val="nil"/>
              <w:left w:val="nil"/>
              <w:bottom w:val="nil"/>
              <w:right w:val="nil"/>
            </w:tcBorders>
            <w:noWrap/>
            <w:vAlign w:val="center"/>
            <w:hideMark/>
          </w:tcPr>
          <w:p w:rsidR="009A044F" w:rsidRDefault="009A044F" w:rsidP="000645CF">
            <w:pPr>
              <w:jc w:val="center"/>
              <w:rPr>
                <w:sz w:val="18"/>
                <w:szCs w:val="18"/>
              </w:rPr>
            </w:pPr>
            <w:r>
              <w:rPr>
                <w:sz w:val="18"/>
                <w:szCs w:val="18"/>
              </w:rPr>
              <w:t>941,9</w:t>
            </w:r>
          </w:p>
        </w:tc>
        <w:tc>
          <w:tcPr>
            <w:tcW w:w="649" w:type="pct"/>
            <w:tcBorders>
              <w:top w:val="nil"/>
              <w:left w:val="nil"/>
              <w:bottom w:val="nil"/>
              <w:right w:val="nil"/>
            </w:tcBorders>
            <w:noWrap/>
            <w:vAlign w:val="center"/>
            <w:hideMark/>
          </w:tcPr>
          <w:p w:rsidR="009A044F" w:rsidRDefault="009A044F" w:rsidP="000645CF">
            <w:pPr>
              <w:jc w:val="center"/>
              <w:rPr>
                <w:sz w:val="18"/>
                <w:szCs w:val="18"/>
              </w:rPr>
            </w:pPr>
            <w:r>
              <w:rPr>
                <w:sz w:val="18"/>
                <w:szCs w:val="18"/>
              </w:rPr>
              <w:t>913,7</w:t>
            </w:r>
          </w:p>
        </w:tc>
        <w:tc>
          <w:tcPr>
            <w:tcW w:w="609" w:type="pct"/>
            <w:tcBorders>
              <w:top w:val="nil"/>
              <w:left w:val="nil"/>
              <w:bottom w:val="nil"/>
              <w:right w:val="nil"/>
            </w:tcBorders>
            <w:vAlign w:val="center"/>
          </w:tcPr>
          <w:p w:rsidR="009A044F" w:rsidRPr="00406D7B" w:rsidRDefault="009A044F" w:rsidP="000645CF">
            <w:pPr>
              <w:jc w:val="center"/>
              <w:rPr>
                <w:sz w:val="18"/>
                <w:szCs w:val="18"/>
              </w:rPr>
            </w:pPr>
            <w:r w:rsidRPr="00406D7B">
              <w:rPr>
                <w:sz w:val="18"/>
                <w:szCs w:val="18"/>
              </w:rPr>
              <w:t>836,6</w:t>
            </w:r>
          </w:p>
        </w:tc>
        <w:tc>
          <w:tcPr>
            <w:tcW w:w="609" w:type="pct"/>
            <w:tcBorders>
              <w:top w:val="nil"/>
              <w:left w:val="nil"/>
              <w:bottom w:val="nil"/>
              <w:right w:val="nil"/>
            </w:tcBorders>
            <w:noWrap/>
            <w:vAlign w:val="center"/>
          </w:tcPr>
          <w:p w:rsidR="009A044F" w:rsidRPr="00406D7B" w:rsidRDefault="009A044F" w:rsidP="000645CF">
            <w:pPr>
              <w:jc w:val="center"/>
              <w:rPr>
                <w:sz w:val="18"/>
                <w:szCs w:val="18"/>
              </w:rPr>
            </w:pPr>
            <w:r w:rsidRPr="00406D7B">
              <w:rPr>
                <w:sz w:val="18"/>
                <w:szCs w:val="18"/>
              </w:rPr>
              <w:t>857,3</w:t>
            </w:r>
          </w:p>
        </w:tc>
        <w:tc>
          <w:tcPr>
            <w:tcW w:w="599" w:type="pct"/>
            <w:tcBorders>
              <w:top w:val="nil"/>
              <w:left w:val="nil"/>
              <w:bottom w:val="nil"/>
              <w:right w:val="nil"/>
            </w:tcBorders>
            <w:noWrap/>
            <w:vAlign w:val="center"/>
            <w:hideMark/>
          </w:tcPr>
          <w:p w:rsidR="009A044F" w:rsidRDefault="009A044F" w:rsidP="000645CF">
            <w:pPr>
              <w:jc w:val="center"/>
              <w:rPr>
                <w:sz w:val="18"/>
                <w:szCs w:val="18"/>
              </w:rPr>
            </w:pPr>
            <w:r>
              <w:rPr>
                <w:sz w:val="18"/>
                <w:szCs w:val="18"/>
              </w:rPr>
              <w:t>965,1</w:t>
            </w:r>
          </w:p>
        </w:tc>
      </w:tr>
      <w:tr w:rsidR="009A044F" w:rsidTr="000645CF">
        <w:trPr>
          <w:trHeight w:val="300"/>
          <w:jc w:val="center"/>
        </w:trPr>
        <w:tc>
          <w:tcPr>
            <w:tcW w:w="1236" w:type="pct"/>
            <w:tcBorders>
              <w:top w:val="nil"/>
              <w:left w:val="nil"/>
              <w:bottom w:val="single" w:sz="8" w:space="0" w:color="000000"/>
              <w:right w:val="nil"/>
            </w:tcBorders>
            <w:shd w:val="clear" w:color="auto" w:fill="D9D9D9"/>
            <w:noWrap/>
            <w:hideMark/>
          </w:tcPr>
          <w:p w:rsidR="009A044F" w:rsidRDefault="009A044F" w:rsidP="000645CF">
            <w:pPr>
              <w:rPr>
                <w:b/>
                <w:bCs/>
                <w:sz w:val="18"/>
                <w:szCs w:val="18"/>
              </w:rPr>
            </w:pPr>
            <w:r>
              <w:rPr>
                <w:bCs/>
                <w:sz w:val="18"/>
                <w:szCs w:val="18"/>
              </w:rPr>
              <w:t>Nodarbinātības līmenis, %</w:t>
            </w:r>
          </w:p>
        </w:tc>
        <w:tc>
          <w:tcPr>
            <w:tcW w:w="649" w:type="pct"/>
            <w:tcBorders>
              <w:top w:val="nil"/>
              <w:left w:val="nil"/>
              <w:bottom w:val="single" w:sz="8" w:space="0" w:color="000000"/>
              <w:right w:val="nil"/>
            </w:tcBorders>
            <w:shd w:val="clear" w:color="auto" w:fill="D9D9D9"/>
            <w:noWrap/>
            <w:vAlign w:val="center"/>
            <w:hideMark/>
          </w:tcPr>
          <w:p w:rsidR="009A044F" w:rsidRDefault="009A044F" w:rsidP="000645CF">
            <w:pPr>
              <w:jc w:val="center"/>
              <w:rPr>
                <w:sz w:val="18"/>
                <w:szCs w:val="18"/>
              </w:rPr>
            </w:pPr>
            <w:r>
              <w:rPr>
                <w:sz w:val="18"/>
                <w:szCs w:val="18"/>
              </w:rPr>
              <w:t>75,8</w:t>
            </w:r>
          </w:p>
        </w:tc>
        <w:tc>
          <w:tcPr>
            <w:tcW w:w="649" w:type="pct"/>
            <w:tcBorders>
              <w:top w:val="nil"/>
              <w:left w:val="nil"/>
              <w:bottom w:val="single" w:sz="8" w:space="0" w:color="000000"/>
              <w:right w:val="nil"/>
            </w:tcBorders>
            <w:shd w:val="clear" w:color="auto" w:fill="D9D9D9"/>
            <w:noWrap/>
            <w:vAlign w:val="center"/>
            <w:hideMark/>
          </w:tcPr>
          <w:p w:rsidR="009A044F" w:rsidRDefault="009A044F" w:rsidP="000645CF">
            <w:pPr>
              <w:jc w:val="center"/>
              <w:rPr>
                <w:sz w:val="18"/>
                <w:szCs w:val="18"/>
              </w:rPr>
            </w:pPr>
            <w:r>
              <w:rPr>
                <w:sz w:val="18"/>
                <w:szCs w:val="18"/>
              </w:rPr>
              <w:t>67,1</w:t>
            </w:r>
          </w:p>
        </w:tc>
        <w:tc>
          <w:tcPr>
            <w:tcW w:w="649" w:type="pct"/>
            <w:tcBorders>
              <w:top w:val="nil"/>
              <w:left w:val="nil"/>
              <w:bottom w:val="single" w:sz="8" w:space="0" w:color="000000"/>
              <w:right w:val="nil"/>
            </w:tcBorders>
            <w:shd w:val="clear" w:color="auto" w:fill="D9D9D9"/>
            <w:noWrap/>
            <w:vAlign w:val="center"/>
            <w:hideMark/>
          </w:tcPr>
          <w:p w:rsidR="009A044F" w:rsidRDefault="009A044F" w:rsidP="000645CF">
            <w:pPr>
              <w:jc w:val="center"/>
              <w:rPr>
                <w:sz w:val="18"/>
                <w:szCs w:val="18"/>
              </w:rPr>
            </w:pPr>
            <w:r>
              <w:rPr>
                <w:sz w:val="18"/>
                <w:szCs w:val="18"/>
              </w:rPr>
              <w:t>65,0</w:t>
            </w:r>
          </w:p>
        </w:tc>
        <w:tc>
          <w:tcPr>
            <w:tcW w:w="609" w:type="pct"/>
            <w:tcBorders>
              <w:top w:val="nil"/>
              <w:left w:val="nil"/>
              <w:bottom w:val="single" w:sz="8" w:space="0" w:color="000000"/>
              <w:right w:val="nil"/>
            </w:tcBorders>
            <w:shd w:val="clear" w:color="auto" w:fill="D9D9D9"/>
            <w:vAlign w:val="center"/>
            <w:hideMark/>
          </w:tcPr>
          <w:p w:rsidR="009A044F" w:rsidRPr="00406D7B" w:rsidRDefault="009A044F" w:rsidP="000645CF">
            <w:pPr>
              <w:jc w:val="center"/>
              <w:rPr>
                <w:sz w:val="18"/>
                <w:szCs w:val="18"/>
              </w:rPr>
            </w:pPr>
            <w:r w:rsidRPr="00406D7B">
              <w:rPr>
                <w:sz w:val="18"/>
                <w:szCs w:val="18"/>
              </w:rPr>
              <w:t>66,3</w:t>
            </w:r>
          </w:p>
        </w:tc>
        <w:tc>
          <w:tcPr>
            <w:tcW w:w="609" w:type="pct"/>
            <w:tcBorders>
              <w:top w:val="nil"/>
              <w:left w:val="nil"/>
              <w:bottom w:val="single" w:sz="8" w:space="0" w:color="000000"/>
              <w:right w:val="nil"/>
            </w:tcBorders>
            <w:shd w:val="clear" w:color="auto" w:fill="D9D9D9"/>
            <w:noWrap/>
            <w:vAlign w:val="center"/>
          </w:tcPr>
          <w:p w:rsidR="009A044F" w:rsidRPr="00406D7B" w:rsidRDefault="009A044F" w:rsidP="000645CF">
            <w:pPr>
              <w:jc w:val="center"/>
              <w:rPr>
                <w:sz w:val="18"/>
                <w:szCs w:val="18"/>
              </w:rPr>
            </w:pPr>
            <w:r w:rsidRPr="00406D7B">
              <w:rPr>
                <w:sz w:val="18"/>
                <w:szCs w:val="18"/>
              </w:rPr>
              <w:t>68,2</w:t>
            </w:r>
          </w:p>
        </w:tc>
        <w:tc>
          <w:tcPr>
            <w:tcW w:w="599" w:type="pct"/>
            <w:tcBorders>
              <w:top w:val="nil"/>
              <w:left w:val="nil"/>
              <w:bottom w:val="single" w:sz="8" w:space="0" w:color="000000"/>
              <w:right w:val="nil"/>
            </w:tcBorders>
            <w:shd w:val="clear" w:color="auto" w:fill="D9D9D9"/>
            <w:noWrap/>
            <w:vAlign w:val="center"/>
            <w:hideMark/>
          </w:tcPr>
          <w:p w:rsidR="009A044F" w:rsidRDefault="009A044F" w:rsidP="000645CF">
            <w:pPr>
              <w:jc w:val="center"/>
              <w:rPr>
                <w:sz w:val="18"/>
                <w:szCs w:val="18"/>
              </w:rPr>
            </w:pPr>
            <w:r>
              <w:rPr>
                <w:sz w:val="18"/>
                <w:szCs w:val="18"/>
              </w:rPr>
              <w:t>73,0</w:t>
            </w:r>
          </w:p>
        </w:tc>
      </w:tr>
    </w:tbl>
    <w:bookmarkEnd w:id="27"/>
    <w:bookmarkEnd w:id="28"/>
    <w:p w:rsidR="009A044F" w:rsidRPr="00EE2A81" w:rsidRDefault="009A044F" w:rsidP="009A044F">
      <w:pPr>
        <w:pStyle w:val="ListParagraph"/>
        <w:ind w:left="0"/>
        <w:contextualSpacing w:val="0"/>
        <w:jc w:val="right"/>
        <w:rPr>
          <w:i/>
          <w:sz w:val="18"/>
          <w:szCs w:val="18"/>
        </w:rPr>
      </w:pPr>
      <w:r>
        <w:rPr>
          <w:i/>
          <w:sz w:val="18"/>
          <w:szCs w:val="18"/>
        </w:rPr>
        <w:t xml:space="preserve">* </w:t>
      </w:r>
      <w:r w:rsidRPr="00EE2A81">
        <w:rPr>
          <w:i/>
          <w:sz w:val="18"/>
          <w:szCs w:val="18"/>
        </w:rPr>
        <w:t>Pārrēķins pēc 2011.gada tautas skaitīšanas</w:t>
      </w:r>
    </w:p>
    <w:p w:rsidR="009A044F" w:rsidRDefault="009A044F" w:rsidP="00642C37">
      <w:pPr>
        <w:spacing w:before="240"/>
        <w:ind w:firstLine="567"/>
      </w:pPr>
      <w:r>
        <w:t xml:space="preserve">Pēdējos gados vērojamā ekonomiskā izaugsme ir veicinājusi nodarbinātības pieaugumu. Tomēr </w:t>
      </w:r>
      <w:r>
        <w:rPr>
          <w:bCs/>
        </w:rPr>
        <w:t>tuvākajos gados nav sagaidāms straujš nodarbinātības pieaugums, jo izaugsme balstīsies lielā mērā uz produktivitātes kāpumu</w:t>
      </w:r>
      <w:r>
        <w:t>.</w:t>
      </w:r>
    </w:p>
    <w:p w:rsidR="009A044F" w:rsidRDefault="009A044F" w:rsidP="009A044F">
      <w:pPr>
        <w:pStyle w:val="ListParagraph"/>
        <w:spacing w:before="120"/>
        <w:ind w:left="0" w:firstLine="567"/>
        <w:contextualSpacing w:val="0"/>
      </w:pPr>
      <w:r>
        <w:t>Latvijas nodarbinātības politikas galvenie elementi:</w:t>
      </w:r>
    </w:p>
    <w:p w:rsidR="009A044F" w:rsidRDefault="009A044F" w:rsidP="00E84407">
      <w:pPr>
        <w:pStyle w:val="ListParagraph"/>
        <w:numPr>
          <w:ilvl w:val="0"/>
          <w:numId w:val="32"/>
        </w:numPr>
        <w:ind w:left="284" w:hanging="284"/>
      </w:pPr>
      <w:r>
        <w:t xml:space="preserve">darbaspēka pieprasījuma puses veicināšana – ekonomisko aktivitāšu un uzņēmējdarbības stimulēšana, </w:t>
      </w:r>
      <w:proofErr w:type="spellStart"/>
      <w:r>
        <w:t>t.sk</w:t>
      </w:r>
      <w:proofErr w:type="spellEnd"/>
      <w:r>
        <w:t xml:space="preserve">. darbaspēka nodokļu samazināšana, cīņa ar nedeklarēto nodarbinātību, valsts sniegtie netiešie un tiešie atbalsta pasākumi uzņēmējiem, pasākumi administratīvo šķēršļu mazināšanai, </w:t>
      </w:r>
      <w:proofErr w:type="spellStart"/>
      <w:r>
        <w:t>mikrouzņēmumu</w:t>
      </w:r>
      <w:proofErr w:type="spellEnd"/>
      <w:r>
        <w:t xml:space="preserve"> atbalsta pasākumu īstenošana, biznesa inkubatori </w:t>
      </w:r>
      <w:proofErr w:type="spellStart"/>
      <w:r>
        <w:t>u.c</w:t>
      </w:r>
      <w:proofErr w:type="spellEnd"/>
      <w:r>
        <w:t>. (skatīt 3.2.nodaļu);</w:t>
      </w:r>
    </w:p>
    <w:p w:rsidR="009A044F" w:rsidRDefault="009A044F" w:rsidP="00E84407">
      <w:pPr>
        <w:pStyle w:val="ListParagraph"/>
        <w:numPr>
          <w:ilvl w:val="0"/>
          <w:numId w:val="33"/>
        </w:numPr>
        <w:ind w:left="284" w:hanging="284"/>
      </w:pPr>
      <w:r>
        <w:t xml:space="preserve">darbaspēka piedāvājuma puses stiprināšana – bezdarbnieku un bezdarba riskam pakļauto personu konkurētspējas palielināšana darba tirgū, </w:t>
      </w:r>
      <w:proofErr w:type="spellStart"/>
      <w:r>
        <w:t>t.sk</w:t>
      </w:r>
      <w:proofErr w:type="spellEnd"/>
      <w:r>
        <w:t xml:space="preserve">. prasmju pilnveidošana atbilstoši darba tirgus vajadzībām (profesionālā tālākizglītība, neformālā izglītība bezdarbniekiem, konsultācijas, profesionālā mobilitāte), mūžizglītības pasākumi, konsultācijas uzņēmējdarbības uzsākšanai </w:t>
      </w:r>
      <w:proofErr w:type="spellStart"/>
      <w:r>
        <w:t>u.tml</w:t>
      </w:r>
      <w:proofErr w:type="spellEnd"/>
      <w:r>
        <w:t>.;</w:t>
      </w:r>
    </w:p>
    <w:p w:rsidR="009A044F" w:rsidRDefault="009A044F" w:rsidP="00E84407">
      <w:pPr>
        <w:pStyle w:val="ListParagraph"/>
        <w:numPr>
          <w:ilvl w:val="0"/>
          <w:numId w:val="33"/>
        </w:numPr>
        <w:ind w:left="284" w:hanging="284"/>
      </w:pPr>
      <w:r>
        <w:t>darbaspēka piedāvājuma un pieprasījuma pielāgošanās procesa veicināšana</w:t>
      </w:r>
      <w:r>
        <w:rPr>
          <w:rStyle w:val="FootnoteReference"/>
        </w:rPr>
        <w:footnoteReference w:id="17"/>
      </w:r>
      <w:r>
        <w:t xml:space="preserve">, </w:t>
      </w:r>
      <w:proofErr w:type="spellStart"/>
      <w:r>
        <w:t>t.sk</w:t>
      </w:r>
      <w:proofErr w:type="spellEnd"/>
      <w:r>
        <w:t>. izglītības sistēmas pilnveidošana, darba devēju organizāciju iesaiste izglītības kvalitātes pilnveidošanā, darba tirgus pieprasījuma un piedāvājuma atbilstības prognozēšana, darba tirgus dalībnieku, tajā skaitā, skolēnu un studentu izglītošana darba tirgus un karjeras jautājumos (par reformām izglītībā skatīt 3.4.nodaļu).</w:t>
      </w:r>
    </w:p>
    <w:p w:rsidR="009A044F" w:rsidRDefault="009A044F" w:rsidP="00E76A5B">
      <w:pPr>
        <w:spacing w:before="120"/>
        <w:ind w:firstLine="567"/>
      </w:pPr>
      <w:r>
        <w:t>2012.gadā tika turpināti un pilnveidoti dažādi aktīvās darba tirgus politikas pasākumi darbaspēka prasmju un kvalifikācijas pilnveidošanai (</w:t>
      </w:r>
      <w:r>
        <w:rPr>
          <w:rFonts w:eastAsia="Times New Roman"/>
          <w:color w:val="000000" w:themeColor="text1"/>
          <w:szCs w:val="18"/>
          <w:lang w:eastAsia="lv-LV"/>
        </w:rPr>
        <w:t xml:space="preserve">Latvijas </w:t>
      </w:r>
      <w:r>
        <w:rPr>
          <w:rFonts w:eastAsia="Times New Roman"/>
          <w:i/>
          <w:color w:val="000000" w:themeColor="text1"/>
          <w:szCs w:val="18"/>
          <w:lang w:eastAsia="lv-LV"/>
        </w:rPr>
        <w:t>Eiro Plus pakta</w:t>
      </w:r>
      <w:r>
        <w:rPr>
          <w:rFonts w:eastAsia="Times New Roman"/>
          <w:color w:val="000000" w:themeColor="text1"/>
          <w:szCs w:val="18"/>
          <w:lang w:eastAsia="lv-LV"/>
        </w:rPr>
        <w:t xml:space="preserve"> 2.3.pasākums,</w:t>
      </w:r>
      <w:r>
        <w:t xml:space="preserve"> papildus skatīt arī 2.3.</w:t>
      </w:r>
      <w:r w:rsidR="00E76A5B">
        <w:t>no</w:t>
      </w:r>
      <w:r>
        <w:t>daļu), piemēram:</w:t>
      </w:r>
    </w:p>
    <w:p w:rsidR="009A044F" w:rsidRDefault="009A044F" w:rsidP="00E84407">
      <w:pPr>
        <w:numPr>
          <w:ilvl w:val="0"/>
          <w:numId w:val="34"/>
        </w:numPr>
        <w:tabs>
          <w:tab w:val="num" w:pos="709"/>
        </w:tabs>
        <w:ind w:left="709" w:hanging="283"/>
        <w:rPr>
          <w:spacing w:val="2"/>
        </w:rPr>
      </w:pPr>
      <w:r>
        <w:t xml:space="preserve">karjeras konsultāciju sistēmas uzlabošana un diferencēšana atbilstoši klientu grupām (jaunieši, cilvēki ar invaliditāti, ilgstošie bezdarbnieki </w:t>
      </w:r>
      <w:proofErr w:type="spellStart"/>
      <w:r>
        <w:t>u.c</w:t>
      </w:r>
      <w:proofErr w:type="spellEnd"/>
      <w:r>
        <w:t>.)</w:t>
      </w:r>
      <w:r>
        <w:rPr>
          <w:spacing w:val="2"/>
        </w:rPr>
        <w:t>;</w:t>
      </w:r>
    </w:p>
    <w:p w:rsidR="009A044F" w:rsidRDefault="009A044F" w:rsidP="00E84407">
      <w:pPr>
        <w:numPr>
          <w:ilvl w:val="0"/>
          <w:numId w:val="34"/>
        </w:numPr>
        <w:tabs>
          <w:tab w:val="num" w:pos="709"/>
        </w:tabs>
        <w:ind w:left="709" w:hanging="283"/>
      </w:pPr>
      <w:r>
        <w:t xml:space="preserve">darba meklēšanas sistēmas pilnveide; </w:t>
      </w:r>
    </w:p>
    <w:p w:rsidR="009A044F" w:rsidRDefault="009A044F" w:rsidP="00E84407">
      <w:pPr>
        <w:numPr>
          <w:ilvl w:val="0"/>
          <w:numId w:val="34"/>
        </w:numPr>
        <w:tabs>
          <w:tab w:val="num" w:pos="709"/>
        </w:tabs>
        <w:ind w:left="709" w:hanging="283"/>
      </w:pPr>
      <w:r>
        <w:t xml:space="preserve">bezdarbnieku profilēšanas sistēmas attīstība, </w:t>
      </w:r>
      <w:proofErr w:type="spellStart"/>
      <w:r>
        <w:t>finanšietilpīgos</w:t>
      </w:r>
      <w:proofErr w:type="spellEnd"/>
      <w:r>
        <w:t xml:space="preserve"> pasākumos iesaistot tos, kas paši nevar atrast darbu bez valsts būtiska finansiāla atbalsta;</w:t>
      </w:r>
    </w:p>
    <w:p w:rsidR="009A044F" w:rsidRDefault="009A044F" w:rsidP="00E84407">
      <w:pPr>
        <w:numPr>
          <w:ilvl w:val="0"/>
          <w:numId w:val="34"/>
        </w:numPr>
        <w:tabs>
          <w:tab w:val="num" w:pos="709"/>
        </w:tabs>
        <w:ind w:left="709" w:hanging="283"/>
      </w:pPr>
      <w:r>
        <w:rPr>
          <w:bCs/>
        </w:rPr>
        <w:t>jauniešu nodarbinātības veicināšana un bezdarba mazināšana</w:t>
      </w:r>
      <w:r>
        <w:rPr>
          <w:color w:val="000000"/>
        </w:rPr>
        <w:t>.</w:t>
      </w:r>
    </w:p>
    <w:p w:rsidR="009A044F" w:rsidRDefault="009A044F" w:rsidP="00E76A5B">
      <w:pPr>
        <w:spacing w:before="120"/>
        <w:ind w:firstLine="567"/>
      </w:pPr>
      <w:r>
        <w:t xml:space="preserve">2012.gadā aktīvās darba tirgus politikas pasākumiem izlietoti 32 </w:t>
      </w:r>
      <w:proofErr w:type="spellStart"/>
      <w:r>
        <w:t>milj</w:t>
      </w:r>
      <w:proofErr w:type="spellEnd"/>
      <w:r w:rsidR="00E76A5B">
        <w:t>.</w:t>
      </w:r>
      <w:r>
        <w:t xml:space="preserve"> latu. Aptuveni 41% no tā izlietots bezdarbnieku kvalifikācijas paaugstināšanai un pilnveidei, 34% algoto pagaidu sabiedrisko darbu organizēšanai, 21% visnelabvēlīgākajā situācijā esošo bezdarbnieku atbalstam un subsidēto darba vietu izveidei, tajā skaitā jauniešu iniciatīvām, 4% nodarbināto personu kvalifikācijas paaugstināšanai un uzņēmējdarbības iniciatīvām. </w:t>
      </w:r>
      <w:r>
        <w:lastRenderedPageBreak/>
        <w:t xml:space="preserve">2012.gada laikā darbu atrada 83 219 bezdarbnieku </w:t>
      </w:r>
      <w:proofErr w:type="spellStart"/>
      <w:r>
        <w:t>t.sk</w:t>
      </w:r>
      <w:proofErr w:type="spellEnd"/>
      <w:r>
        <w:t>. 23 642 ilgstošie bezdarbnieki, no kuriem 18 838 pēc dalības aktīvajos darba tirgus politikas pasākumos.</w:t>
      </w:r>
    </w:p>
    <w:p w:rsidR="009A044F" w:rsidRDefault="009A044F" w:rsidP="00E76A5B">
      <w:pPr>
        <w:spacing w:before="120"/>
        <w:ind w:firstLine="567"/>
      </w:pPr>
      <w:r>
        <w:t xml:space="preserve"> </w:t>
      </w:r>
      <w:r w:rsidRPr="00B45597">
        <w:t xml:space="preserve">Lai veicinātu nodarbinātību un sekmētu darbaspēka mobilitāti, 2014.-2020.gada plānošanas periodā tiek </w:t>
      </w:r>
      <w:r>
        <w:t>paredzēti</w:t>
      </w:r>
      <w:r w:rsidRPr="00B45597">
        <w:t xml:space="preserve"> </w:t>
      </w:r>
      <w:r>
        <w:t>šādi</w:t>
      </w:r>
      <w:r w:rsidRPr="00B45597">
        <w:t xml:space="preserve"> aktīvās nodarbinātības politikas </w:t>
      </w:r>
      <w:r w:rsidR="00E76A5B">
        <w:t>pasākumi/</w:t>
      </w:r>
      <w:r>
        <w:t>aktivitātes:</w:t>
      </w:r>
    </w:p>
    <w:p w:rsidR="009A044F" w:rsidRDefault="009A044F" w:rsidP="00E84407">
      <w:pPr>
        <w:numPr>
          <w:ilvl w:val="0"/>
          <w:numId w:val="49"/>
        </w:numPr>
        <w:ind w:left="567" w:hanging="283"/>
      </w:pPr>
      <w:r>
        <w:t>apmācības un konkurētspējas paaugstināšanas pasākumi bezdarbniekiem un darba meklētājiem, tai skaitā, iesaistot darba devējus;</w:t>
      </w:r>
    </w:p>
    <w:p w:rsidR="009A044F" w:rsidRDefault="009A044F" w:rsidP="00E84407">
      <w:pPr>
        <w:numPr>
          <w:ilvl w:val="0"/>
          <w:numId w:val="49"/>
        </w:numPr>
        <w:ind w:left="567" w:hanging="283"/>
      </w:pPr>
      <w:r>
        <w:t>subsidētās nodarbinātības pasākumi nelabvēlīgākā situācijā esošajiem bezdarbniekiem;</w:t>
      </w:r>
    </w:p>
    <w:p w:rsidR="009A044F" w:rsidRDefault="00E76A5B" w:rsidP="00E84407">
      <w:pPr>
        <w:numPr>
          <w:ilvl w:val="0"/>
          <w:numId w:val="49"/>
        </w:numPr>
        <w:ind w:left="567" w:hanging="283"/>
      </w:pPr>
      <w:r>
        <w:t>uz jauniešiem-</w:t>
      </w:r>
      <w:r w:rsidR="009A044F">
        <w:t>bezdarbniekiem mērķēti atbalsta pasākumi pirmās darba pieredzes iegūšan</w:t>
      </w:r>
      <w:r>
        <w:t>ai</w:t>
      </w:r>
      <w:r w:rsidR="009A044F">
        <w:t>;</w:t>
      </w:r>
    </w:p>
    <w:p w:rsidR="009A044F" w:rsidRDefault="009A044F" w:rsidP="00E84407">
      <w:pPr>
        <w:numPr>
          <w:ilvl w:val="0"/>
          <w:numId w:val="49"/>
        </w:numPr>
        <w:ind w:left="567" w:hanging="283"/>
      </w:pPr>
      <w:r>
        <w:rPr>
          <w:bCs/>
        </w:rPr>
        <w:t>p</w:t>
      </w:r>
      <w:r w:rsidRPr="00B27373">
        <w:rPr>
          <w:bCs/>
        </w:rPr>
        <w:t>ieaugušo tālākizglītības</w:t>
      </w:r>
      <w:r w:rsidRPr="00B27373">
        <w:t xml:space="preserve"> aktivitātes nodarbinātajiem</w:t>
      </w:r>
      <w:r>
        <w:t>;</w:t>
      </w:r>
    </w:p>
    <w:p w:rsidR="009A044F" w:rsidRDefault="009A044F" w:rsidP="00E84407">
      <w:pPr>
        <w:numPr>
          <w:ilvl w:val="0"/>
          <w:numId w:val="49"/>
        </w:numPr>
        <w:ind w:left="567" w:hanging="283"/>
      </w:pPr>
      <w:r>
        <w:t>kompleksi risinājumi gados vecāku (50+) nodarbināto prasmju pilnveidei un darbaspēju saglabāšanai;</w:t>
      </w:r>
    </w:p>
    <w:p w:rsidR="009A044F" w:rsidRDefault="00BA3E72" w:rsidP="00E84407">
      <w:pPr>
        <w:numPr>
          <w:ilvl w:val="0"/>
          <w:numId w:val="49"/>
        </w:numPr>
        <w:ind w:left="567" w:hanging="283"/>
      </w:pPr>
      <w:r>
        <w:t xml:space="preserve">sociālās </w:t>
      </w:r>
      <w:r w:rsidR="009A044F">
        <w:t>uzņēmējdarbības veicināšana;</w:t>
      </w:r>
    </w:p>
    <w:p w:rsidR="009A044F" w:rsidRPr="00FC0DB6" w:rsidRDefault="009A044F" w:rsidP="00E84407">
      <w:pPr>
        <w:pStyle w:val="ListParagraph"/>
        <w:numPr>
          <w:ilvl w:val="0"/>
          <w:numId w:val="49"/>
        </w:numPr>
        <w:ind w:left="567" w:hanging="283"/>
      </w:pPr>
      <w:r>
        <w:t>reģionālā mobilitāte.</w:t>
      </w:r>
    </w:p>
    <w:p w:rsidR="003C5B6E" w:rsidRDefault="003C5B6E" w:rsidP="003C5B6E">
      <w:pPr>
        <w:spacing w:before="240" w:after="120"/>
        <w:ind w:firstLine="567"/>
        <w:rPr>
          <w:b/>
          <w:sz w:val="26"/>
          <w:szCs w:val="26"/>
        </w:rPr>
      </w:pPr>
      <w:r>
        <w:rPr>
          <w:u w:val="single"/>
        </w:rPr>
        <w:t>Galvenie politikas virzieni un pasākumi darbaspēka piedāvājuma uzlabošanai:</w:t>
      </w:r>
    </w:p>
    <w:p w:rsidR="003C5B6E" w:rsidRDefault="003C5B6E" w:rsidP="00F83A9A">
      <w:pPr>
        <w:pStyle w:val="ListParagraph"/>
        <w:numPr>
          <w:ilvl w:val="0"/>
          <w:numId w:val="35"/>
        </w:numPr>
        <w:tabs>
          <w:tab w:val="left" w:pos="284"/>
        </w:tabs>
        <w:spacing w:before="120" w:after="120"/>
        <w:ind w:left="284" w:hanging="284"/>
      </w:pPr>
      <w:r>
        <w:rPr>
          <w:b/>
          <w:i/>
        </w:rPr>
        <w:t xml:space="preserve">Bezdarbnieku apmācību pasākumu pilnveidošana </w:t>
      </w:r>
      <w:r>
        <w:t>(atbildīgā institūcija – LM)</w:t>
      </w:r>
    </w:p>
    <w:p w:rsidR="009A044F" w:rsidRDefault="009A044F" w:rsidP="00E76A5B">
      <w:pPr>
        <w:ind w:firstLine="567"/>
      </w:pPr>
      <w:r>
        <w:t xml:space="preserve">Mērķis ir uzlabot bezdarbnieku apmācības procesa kvalitāti un efektivitāti, pilnveidojot apmācību pasākumus izglītības iestādēs un pie darba devēja. Mērķa sasniegšanai tiek </w:t>
      </w:r>
      <w:r w:rsidR="00E76A5B">
        <w:t>īstenoti</w:t>
      </w:r>
      <w:r>
        <w:t xml:space="preserve"> šādi pasākumi:</w:t>
      </w:r>
    </w:p>
    <w:p w:rsidR="009A044F" w:rsidRDefault="009A044F" w:rsidP="00E84407">
      <w:pPr>
        <w:pStyle w:val="Default"/>
        <w:numPr>
          <w:ilvl w:val="1"/>
          <w:numId w:val="31"/>
        </w:numPr>
        <w:ind w:left="709" w:hanging="283"/>
        <w:jc w:val="both"/>
        <w:rPr>
          <w:rFonts w:ascii="Times New Roman" w:hAnsi="Times New Roman" w:cs="Times New Roman"/>
        </w:rPr>
      </w:pPr>
      <w:r>
        <w:rPr>
          <w:rFonts w:ascii="Times New Roman" w:hAnsi="Times New Roman" w:cs="Times New Roman"/>
          <w:kern w:val="2"/>
          <w:lang w:eastAsia="ar-SA"/>
        </w:rPr>
        <w:t xml:space="preserve">kopš 2011.gada NVA īstenotajos ESF līdzfinansētajos apmācību pasākumos sāka darboties kuponu sistēma. </w:t>
      </w:r>
      <w:r>
        <w:rPr>
          <w:rFonts w:ascii="Times New Roman" w:hAnsi="Times New Roman" w:cs="Times New Roman"/>
        </w:rPr>
        <w:t xml:space="preserve">2012.gadā ir ieviesta automātiskā </w:t>
      </w:r>
      <w:proofErr w:type="spellStart"/>
      <w:r>
        <w:rPr>
          <w:rFonts w:ascii="Times New Roman" w:hAnsi="Times New Roman" w:cs="Times New Roman"/>
        </w:rPr>
        <w:t>reze</w:t>
      </w:r>
      <w:r w:rsidR="00F83A9A">
        <w:rPr>
          <w:rFonts w:ascii="Times New Roman" w:hAnsi="Times New Roman" w:cs="Times New Roman"/>
        </w:rPr>
        <w:t>rvācijas</w:t>
      </w:r>
      <w:proofErr w:type="spellEnd"/>
      <w:r w:rsidR="00F83A9A">
        <w:rPr>
          <w:rFonts w:ascii="Times New Roman" w:hAnsi="Times New Roman" w:cs="Times New Roman"/>
        </w:rPr>
        <w:t xml:space="preserve"> sistēma NVA mājas lapā</w:t>
      </w:r>
      <w:r>
        <w:rPr>
          <w:rFonts w:ascii="Times New Roman" w:hAnsi="Times New Roman" w:cs="Times New Roman"/>
        </w:rPr>
        <w:t xml:space="preserve">. </w:t>
      </w:r>
      <w:r>
        <w:rPr>
          <w:rFonts w:ascii="Times New Roman" w:hAnsi="Times New Roman" w:cs="Times New Roman"/>
          <w:bCs/>
        </w:rPr>
        <w:t>Pārejot uz apmācību organizēšanu ar kuponu metodi, pastiprināta uzmanība tiek pievērsta apmācību kvalitātes jautājumiem;</w:t>
      </w:r>
    </w:p>
    <w:p w:rsidR="009A044F" w:rsidRDefault="009A044F" w:rsidP="00E84407">
      <w:pPr>
        <w:pStyle w:val="Default"/>
        <w:numPr>
          <w:ilvl w:val="1"/>
          <w:numId w:val="31"/>
        </w:numPr>
        <w:ind w:left="709" w:hanging="283"/>
        <w:jc w:val="both"/>
        <w:rPr>
          <w:rFonts w:ascii="Times New Roman" w:hAnsi="Times New Roman" w:cs="Times New Roman"/>
        </w:rPr>
      </w:pPr>
      <w:r>
        <w:rPr>
          <w:rFonts w:ascii="Times New Roman" w:hAnsi="Times New Roman" w:cs="Times New Roman"/>
          <w:iCs/>
          <w:kern w:val="2"/>
          <w:lang w:eastAsia="ar-SA"/>
        </w:rPr>
        <w:t xml:space="preserve">ar </w:t>
      </w:r>
      <w:r w:rsidR="00F86636">
        <w:rPr>
          <w:rFonts w:ascii="Times New Roman" w:hAnsi="Times New Roman" w:cs="Times New Roman"/>
          <w:iCs/>
          <w:kern w:val="2"/>
          <w:lang w:eastAsia="ar-SA"/>
        </w:rPr>
        <w:t xml:space="preserve">2012.gada 1.augustu </w:t>
      </w:r>
      <w:r>
        <w:rPr>
          <w:rFonts w:ascii="Times New Roman" w:hAnsi="Times New Roman" w:cs="Times New Roman"/>
          <w:bCs/>
        </w:rPr>
        <w:t>ir pastiprināta bezdarbnieku un darba meklētāju atbildība, ja apmācības pārtrauktas bez attaisnojošiem iemesliem, uzliekot par pienākumu atlīdzināt apmācību laikā saņemtās stipendijas maksu un izmaksāto mācību maksu. Vienlaikus pastiprināta darba devēju atbildība nosakot, ka pēc apmācības</w:t>
      </w:r>
      <w:r w:rsidR="002B2E41" w:rsidRPr="002B2E41">
        <w:rPr>
          <w:rFonts w:ascii="Times New Roman" w:hAnsi="Times New Roman" w:cs="Times New Roman"/>
        </w:rPr>
        <w:t>, kas tiek mērķēti veikta pēc darba devēja pieprasījuma</w:t>
      </w:r>
      <w:r w:rsidR="002B2E41">
        <w:rPr>
          <w:rFonts w:ascii="Times New Roman" w:hAnsi="Times New Roman" w:cs="Times New Roman"/>
        </w:rPr>
        <w:t>,</w:t>
      </w:r>
      <w:r>
        <w:rPr>
          <w:rFonts w:ascii="Times New Roman" w:hAnsi="Times New Roman" w:cs="Times New Roman"/>
          <w:bCs/>
        </w:rPr>
        <w:t xml:space="preserve"> pabeigšanas apmācītais bezdarbnieks jāpieņem darbā un jānodarbina attiecīgajā profesijā vismaz </w:t>
      </w:r>
      <w:r w:rsidR="00F86636">
        <w:rPr>
          <w:rFonts w:ascii="Times New Roman" w:hAnsi="Times New Roman" w:cs="Times New Roman"/>
          <w:bCs/>
        </w:rPr>
        <w:t>6</w:t>
      </w:r>
      <w:r>
        <w:rPr>
          <w:rFonts w:ascii="Times New Roman" w:hAnsi="Times New Roman" w:cs="Times New Roman"/>
          <w:bCs/>
        </w:rPr>
        <w:t xml:space="preserve"> mēnešus. Lai </w:t>
      </w:r>
      <w:r>
        <w:rPr>
          <w:rFonts w:ascii="Times New Roman" w:hAnsi="Times New Roman" w:cs="Times New Roman"/>
        </w:rPr>
        <w:t>nodrošinātu mērķtiecīgu pasākumu izvēli,</w:t>
      </w:r>
      <w:r>
        <w:rPr>
          <w:rFonts w:ascii="Times New Roman" w:hAnsi="Times New Roman" w:cs="Times New Roman"/>
          <w:bCs/>
        </w:rPr>
        <w:t xml:space="preserve"> </w:t>
      </w:r>
      <w:r>
        <w:rPr>
          <w:rFonts w:ascii="Times New Roman" w:hAnsi="Times New Roman" w:cs="Times New Roman"/>
        </w:rPr>
        <w:t xml:space="preserve">kā arī motivētu bezdarbniekus meklēt darbu un pēc iespējas ātrāk atgriezties darba tirgū, noteikts, ka </w:t>
      </w:r>
      <w:r>
        <w:rPr>
          <w:rFonts w:ascii="Times New Roman" w:hAnsi="Times New Roman" w:cs="Times New Roman"/>
          <w:bCs/>
        </w:rPr>
        <w:t xml:space="preserve">atkārtota bezdarbnieku iesaiste profesionālās tālākizglītības un profesionālās pilnveides izglītības programmās pieļaujama ne agrāk kā divus gadus pēc iepriekšējas profesionālās izglītības programmas pabeigšanas (iepriekš ne agrāk kā </w:t>
      </w:r>
      <w:r w:rsidR="00F86636">
        <w:rPr>
          <w:rFonts w:ascii="Times New Roman" w:hAnsi="Times New Roman" w:cs="Times New Roman"/>
          <w:bCs/>
        </w:rPr>
        <w:t>1</w:t>
      </w:r>
      <w:r>
        <w:rPr>
          <w:rFonts w:ascii="Times New Roman" w:hAnsi="Times New Roman" w:cs="Times New Roman"/>
          <w:bCs/>
        </w:rPr>
        <w:t xml:space="preserve"> gadu);</w:t>
      </w:r>
    </w:p>
    <w:p w:rsidR="009A044F" w:rsidRPr="002B2E41" w:rsidRDefault="009A044F" w:rsidP="00E84407">
      <w:pPr>
        <w:pStyle w:val="Default"/>
        <w:numPr>
          <w:ilvl w:val="1"/>
          <w:numId w:val="31"/>
        </w:numPr>
        <w:ind w:left="709" w:hanging="283"/>
        <w:jc w:val="both"/>
        <w:rPr>
          <w:rFonts w:ascii="Times New Roman" w:hAnsi="Times New Roman" w:cs="Times New Roman"/>
        </w:rPr>
      </w:pPr>
      <w:r>
        <w:rPr>
          <w:rFonts w:ascii="Times New Roman" w:hAnsi="Times New Roman" w:cs="Times New Roman"/>
        </w:rPr>
        <w:t xml:space="preserve">ar </w:t>
      </w:r>
      <w:r w:rsidR="00F86636">
        <w:rPr>
          <w:rFonts w:ascii="Times New Roman" w:hAnsi="Times New Roman" w:cs="Times New Roman"/>
        </w:rPr>
        <w:t xml:space="preserve">2012.gada 24.jūlija </w:t>
      </w:r>
      <w:r>
        <w:rPr>
          <w:rFonts w:ascii="Times New Roman" w:hAnsi="Times New Roman" w:cs="Times New Roman"/>
        </w:rPr>
        <w:t xml:space="preserve">grozījumiem MK noteikumos ir mainīti ESF līdzfinansētā pasākuma </w:t>
      </w:r>
      <w:r w:rsidRPr="00F86636">
        <w:rPr>
          <w:rFonts w:ascii="Times New Roman" w:hAnsi="Times New Roman" w:cs="Times New Roman"/>
          <w:i/>
        </w:rPr>
        <w:t>„Apmācība pie darba devēja”</w:t>
      </w:r>
      <w:r>
        <w:rPr>
          <w:rFonts w:ascii="Times New Roman" w:hAnsi="Times New Roman" w:cs="Times New Roman"/>
        </w:rPr>
        <w:t xml:space="preserve"> īstenošanas nosacījumi, </w:t>
      </w:r>
      <w:r w:rsidR="002B2E41" w:rsidRPr="002B2E41">
        <w:rPr>
          <w:rFonts w:ascii="Times New Roman" w:hAnsi="Times New Roman" w:cs="Times New Roman"/>
        </w:rPr>
        <w:t>ieviešot pakāpeniski samazinošas subsīdijas mehānismu</w:t>
      </w:r>
      <w:r w:rsidRPr="002B2E41">
        <w:rPr>
          <w:rFonts w:ascii="Times New Roman" w:hAnsi="Times New Roman" w:cs="Times New Roman"/>
        </w:rPr>
        <w:t>;</w:t>
      </w:r>
    </w:p>
    <w:p w:rsidR="009A044F" w:rsidRDefault="009A044F" w:rsidP="00E84407">
      <w:pPr>
        <w:pStyle w:val="Default"/>
        <w:numPr>
          <w:ilvl w:val="1"/>
          <w:numId w:val="31"/>
        </w:numPr>
        <w:ind w:left="709" w:hanging="283"/>
        <w:jc w:val="both"/>
        <w:rPr>
          <w:rFonts w:ascii="Times New Roman" w:hAnsi="Times New Roman" w:cs="Times New Roman"/>
        </w:rPr>
      </w:pPr>
      <w:r>
        <w:rPr>
          <w:rFonts w:ascii="Times New Roman" w:hAnsi="Times New Roman" w:cs="Times New Roman"/>
        </w:rPr>
        <w:t>2013.gad</w:t>
      </w:r>
      <w:r w:rsidR="00F86636">
        <w:rPr>
          <w:rFonts w:ascii="Times New Roman" w:hAnsi="Times New Roman" w:cs="Times New Roman"/>
        </w:rPr>
        <w:t>ā</w:t>
      </w:r>
      <w:r>
        <w:rPr>
          <w:rFonts w:ascii="Times New Roman" w:hAnsi="Times New Roman" w:cs="Times New Roman"/>
        </w:rPr>
        <w:t xml:space="preserve"> tiks uzsākts ESF līdzfinansēts pasākums </w:t>
      </w:r>
      <w:r>
        <w:rPr>
          <w:rFonts w:ascii="Times New Roman" w:hAnsi="Times New Roman" w:cs="Times New Roman"/>
          <w:i/>
        </w:rPr>
        <w:t>„Bezdarbnieku apmācība sadarbībā ar darba devēju organizācijām un nozaru darba devēju organizāciju apvienībām”</w:t>
      </w:r>
      <w:r>
        <w:rPr>
          <w:rFonts w:ascii="Times New Roman" w:hAnsi="Times New Roman" w:cs="Times New Roman"/>
        </w:rPr>
        <w:t>. Šajā pasākumā līdz 201</w:t>
      </w:r>
      <w:r w:rsidR="00BA3753">
        <w:rPr>
          <w:rFonts w:ascii="Times New Roman" w:hAnsi="Times New Roman" w:cs="Times New Roman"/>
        </w:rPr>
        <w:t>3</w:t>
      </w:r>
      <w:r>
        <w:rPr>
          <w:rFonts w:ascii="Times New Roman" w:hAnsi="Times New Roman" w:cs="Times New Roman"/>
        </w:rPr>
        <w:t>.gada be</w:t>
      </w:r>
      <w:r w:rsidR="00F83A9A">
        <w:rPr>
          <w:rFonts w:ascii="Times New Roman" w:hAnsi="Times New Roman" w:cs="Times New Roman"/>
        </w:rPr>
        <w:t xml:space="preserve">igām kopumā plānots iesaistīt </w:t>
      </w:r>
      <w:r w:rsidR="00BA3753">
        <w:rPr>
          <w:rFonts w:ascii="Times New Roman" w:hAnsi="Times New Roman" w:cs="Times New Roman"/>
        </w:rPr>
        <w:t>500</w:t>
      </w:r>
      <w:r w:rsidR="00F83A9A">
        <w:rPr>
          <w:rFonts w:ascii="Times New Roman" w:hAnsi="Times New Roman" w:cs="Times New Roman"/>
        </w:rPr>
        <w:t> </w:t>
      </w:r>
      <w:r>
        <w:rPr>
          <w:rFonts w:ascii="Times New Roman" w:hAnsi="Times New Roman" w:cs="Times New Roman"/>
        </w:rPr>
        <w:t xml:space="preserve"> personu. Pasākuma nosacījumi tiek izstrādāti sadarbībā ar nozaru asociāci</w:t>
      </w:r>
      <w:r w:rsidR="00F83A9A">
        <w:rPr>
          <w:rFonts w:ascii="Times New Roman" w:hAnsi="Times New Roman" w:cs="Times New Roman"/>
        </w:rPr>
        <w:t>jām un darba devēju pārstāvjiem</w:t>
      </w:r>
      <w:r>
        <w:rPr>
          <w:rFonts w:ascii="Times New Roman" w:hAnsi="Times New Roman" w:cs="Times New Roman"/>
        </w:rPr>
        <w:t>;</w:t>
      </w:r>
    </w:p>
    <w:p w:rsidR="009A044F" w:rsidRDefault="009A044F" w:rsidP="00E84407">
      <w:pPr>
        <w:pStyle w:val="Default"/>
        <w:numPr>
          <w:ilvl w:val="1"/>
          <w:numId w:val="31"/>
        </w:numPr>
        <w:ind w:left="709" w:hanging="283"/>
        <w:jc w:val="both"/>
        <w:rPr>
          <w:rFonts w:ascii="Times New Roman" w:hAnsi="Times New Roman" w:cs="Times New Roman"/>
        </w:rPr>
      </w:pPr>
      <w:r>
        <w:rPr>
          <w:rFonts w:ascii="Times New Roman" w:hAnsi="Times New Roman" w:cs="Times New Roman"/>
        </w:rPr>
        <w:t>2013.gadā plānots turpināt bezdarbnieku un darba meklētāju apmācību pasākumu īstenošanu, ieviešot mērķētāku pieeju dažādu bezdarbnieku mērķa grupu atgriešanai darba tirgū (profilēšanas sistēma), lai efektīvi un ātri aizpildītu vakances un piedāvātu konkrētai personai piemērotākos darba tirgus politikas pasākumus.</w:t>
      </w:r>
    </w:p>
    <w:p w:rsidR="003C5B6E" w:rsidRDefault="009A044F" w:rsidP="00F86636">
      <w:pPr>
        <w:pStyle w:val="WW-Standard"/>
        <w:snapToGrid w:val="0"/>
        <w:spacing w:before="120"/>
        <w:ind w:firstLine="567"/>
        <w:jc w:val="both"/>
        <w:rPr>
          <w:b/>
          <w:i/>
        </w:rPr>
      </w:pPr>
      <w:r>
        <w:t xml:space="preserve">2013.gadā apmācību pasākumos kopumā plānots iesaistīt aptuveni </w:t>
      </w:r>
      <w:r w:rsidR="00BA3753">
        <w:t>23</w:t>
      </w:r>
      <w:r>
        <w:t xml:space="preserve"> tūkstošus cilvēku. Kopējais publiskais finansējums 2011.gadā bija 18,7 </w:t>
      </w:r>
      <w:proofErr w:type="spellStart"/>
      <w:r>
        <w:t>milj</w:t>
      </w:r>
      <w:proofErr w:type="spellEnd"/>
      <w:r>
        <w:t xml:space="preserve">. latu, </w:t>
      </w:r>
      <w:proofErr w:type="spellStart"/>
      <w:r>
        <w:t>t.sk</w:t>
      </w:r>
      <w:proofErr w:type="spellEnd"/>
      <w:r>
        <w:t xml:space="preserve">. ES fondu finansējums </w:t>
      </w:r>
      <w:r>
        <w:lastRenderedPageBreak/>
        <w:t xml:space="preserve">13,6 </w:t>
      </w:r>
      <w:proofErr w:type="spellStart"/>
      <w:r>
        <w:t>milj</w:t>
      </w:r>
      <w:proofErr w:type="spellEnd"/>
      <w:r>
        <w:t>. latu</w:t>
      </w:r>
      <w:r>
        <w:rPr>
          <w:rStyle w:val="FootnoteReference"/>
        </w:rPr>
        <w:footnoteReference w:id="18"/>
      </w:r>
      <w:r>
        <w:t xml:space="preserve">. Kopējais publiskais finansējums 2012.-2013.gadā (plānots) 22,7 </w:t>
      </w:r>
      <w:proofErr w:type="spellStart"/>
      <w:r>
        <w:t>milj</w:t>
      </w:r>
      <w:proofErr w:type="spellEnd"/>
      <w:r>
        <w:t xml:space="preserve">. latu, </w:t>
      </w:r>
      <w:proofErr w:type="spellStart"/>
      <w:r>
        <w:t>t.sk</w:t>
      </w:r>
      <w:proofErr w:type="spellEnd"/>
      <w:r>
        <w:t xml:space="preserve">. ES fondu finansējums – 14,7 </w:t>
      </w:r>
      <w:proofErr w:type="spellStart"/>
      <w:r>
        <w:t>milj</w:t>
      </w:r>
      <w:proofErr w:type="spellEnd"/>
      <w:r>
        <w:t>. latu.</w:t>
      </w:r>
    </w:p>
    <w:p w:rsidR="003C5B6E" w:rsidRDefault="003C5B6E" w:rsidP="00E84407">
      <w:pPr>
        <w:pStyle w:val="ListParagraph"/>
        <w:numPr>
          <w:ilvl w:val="0"/>
          <w:numId w:val="35"/>
        </w:numPr>
        <w:tabs>
          <w:tab w:val="left" w:pos="284"/>
        </w:tabs>
        <w:spacing w:before="240" w:after="120"/>
        <w:ind w:left="284" w:hanging="284"/>
      </w:pPr>
      <w:r>
        <w:rPr>
          <w:b/>
          <w:bCs/>
          <w:i/>
        </w:rPr>
        <w:t>Atbalsta pasākumu</w:t>
      </w:r>
      <w:r>
        <w:rPr>
          <w:b/>
          <w:i/>
        </w:rPr>
        <w:t xml:space="preserve"> jauniešu bezdarba mazināšanai īstenošana </w:t>
      </w:r>
      <w:r>
        <w:t>(atbildīgā institūcija – LM, IZM)</w:t>
      </w:r>
      <w:r w:rsidR="00FA4C5D">
        <w:t xml:space="preserve"> </w:t>
      </w:r>
    </w:p>
    <w:p w:rsidR="009A044F" w:rsidRDefault="009A044F" w:rsidP="009A044F">
      <w:pPr>
        <w:ind w:firstLine="567"/>
        <w:rPr>
          <w:i/>
        </w:rPr>
      </w:pPr>
      <w:r>
        <w:rPr>
          <w:bCs/>
        </w:rPr>
        <w:t xml:space="preserve">Mērķis ir attīstīt jauniešu praktiskās iemaņas un veicināt </w:t>
      </w:r>
      <w:r>
        <w:t>jauniešu sekmīgu iekārtošanos darbā, izstrādājot un ieviešot jaunus uz jauniešiem-bezdarbniekiem vērstus pasākumus (</w:t>
      </w:r>
      <w:proofErr w:type="spellStart"/>
      <w:r>
        <w:t>skat</w:t>
      </w:r>
      <w:proofErr w:type="spellEnd"/>
      <w:r w:rsidR="005847B5">
        <w:t>.</w:t>
      </w:r>
      <w:r>
        <w:t xml:space="preserve"> arī 2.3.nodaļu).</w:t>
      </w:r>
    </w:p>
    <w:p w:rsidR="009A044F" w:rsidRDefault="009A044F" w:rsidP="009A044F">
      <w:pPr>
        <w:ind w:firstLine="567"/>
        <w:rPr>
          <w:color w:val="000000"/>
        </w:rPr>
      </w:pPr>
      <w:r>
        <w:rPr>
          <w:color w:val="000000"/>
        </w:rPr>
        <w:t>Jaunieši</w:t>
      </w:r>
      <w:r w:rsidR="005847B5">
        <w:rPr>
          <w:color w:val="000000"/>
        </w:rPr>
        <w:t>-</w:t>
      </w:r>
      <w:r>
        <w:rPr>
          <w:color w:val="000000"/>
        </w:rPr>
        <w:t xml:space="preserve">bezdarbnieki ir </w:t>
      </w:r>
      <w:hyperlink r:id="rId16" w:history="1">
        <w:r w:rsidRPr="00286660">
          <w:rPr>
            <w:rStyle w:val="Hyperlink"/>
            <w:color w:val="000000"/>
            <w:u w:val="none"/>
          </w:rPr>
          <w:t xml:space="preserve">viena no NVA prioritārajām </w:t>
        </w:r>
        <w:proofErr w:type="spellStart"/>
        <w:r w:rsidRPr="00286660">
          <w:rPr>
            <w:rStyle w:val="Hyperlink"/>
            <w:color w:val="000000"/>
            <w:u w:val="none"/>
          </w:rPr>
          <w:t>mērķgrupām</w:t>
        </w:r>
        <w:proofErr w:type="spellEnd"/>
      </w:hyperlink>
      <w:r w:rsidRPr="00286660">
        <w:rPr>
          <w:color w:val="000000"/>
        </w:rPr>
        <w:t>.</w:t>
      </w:r>
      <w:r>
        <w:rPr>
          <w:color w:val="000000"/>
        </w:rPr>
        <w:t xml:space="preserve"> NVA piedāvā dažādus pakalpojumus (konkurētspējas paaugstināšanas pasākumi</w:t>
      </w:r>
      <w:r w:rsidR="005847B5">
        <w:rPr>
          <w:color w:val="000000"/>
        </w:rPr>
        <w:t>,</w:t>
      </w:r>
      <w:r>
        <w:rPr>
          <w:color w:val="000000"/>
        </w:rPr>
        <w:t xml:space="preserve"> īstermiņa apmācības programmas darba meklēšanas prasmju pilnveidošanai, karjeras konsultācijas, </w:t>
      </w:r>
      <w:hyperlink r:id="rId17" w:anchor="parkv" w:history="1">
        <w:r w:rsidRPr="00286660">
          <w:rPr>
            <w:rStyle w:val="Hyperlink"/>
            <w:color w:val="000000"/>
            <w:u w:val="none"/>
          </w:rPr>
          <w:t>profesionālās</w:t>
        </w:r>
      </w:hyperlink>
      <w:r w:rsidRPr="00286660">
        <w:rPr>
          <w:color w:val="000000"/>
        </w:rPr>
        <w:t xml:space="preserve"> </w:t>
      </w:r>
      <w:r>
        <w:rPr>
          <w:color w:val="000000"/>
        </w:rPr>
        <w:t>izglītības programmas jaunas kvalifikācijas iegūšanai vai esošās kvalifikācijas pilnveidei, apmācība pie darba devēja vai pēc darba devēja pieprasījuma, neformālās izglītības programmas</w:t>
      </w:r>
      <w:r w:rsidR="005847B5">
        <w:rPr>
          <w:color w:val="000000"/>
        </w:rPr>
        <w:t>)</w:t>
      </w:r>
      <w:r>
        <w:rPr>
          <w:color w:val="000000"/>
        </w:rPr>
        <w:t xml:space="preserve">. Tikai jauniešiem ir paredzēti šādi pasākumi – darba vieta jaunietim, atbalsts jauniešu brīvprātīgajam darbam, darbnīcas jauniešiem (iepazīšanās ar dažādām profesionālajām jomām) un NVA </w:t>
      </w:r>
      <w:hyperlink r:id="rId18" w:anchor="asist" w:history="1">
        <w:r w:rsidRPr="00286660">
          <w:rPr>
            <w:rStyle w:val="Hyperlink"/>
            <w:color w:val="000000"/>
            <w:u w:val="none"/>
          </w:rPr>
          <w:t>inspektoru asistentu apmācība un prakse</w:t>
        </w:r>
      </w:hyperlink>
      <w:r>
        <w:rPr>
          <w:color w:val="000000"/>
        </w:rPr>
        <w:t>.</w:t>
      </w:r>
    </w:p>
    <w:p w:rsidR="009A044F" w:rsidRDefault="009A044F" w:rsidP="009A044F">
      <w:pPr>
        <w:pStyle w:val="Default"/>
        <w:ind w:firstLine="567"/>
        <w:jc w:val="both"/>
        <w:rPr>
          <w:rFonts w:ascii="Times New Roman" w:hAnsi="Times New Roman" w:cs="Times New Roman"/>
        </w:rPr>
      </w:pPr>
      <w:r>
        <w:rPr>
          <w:rFonts w:ascii="Times New Roman" w:hAnsi="Times New Roman" w:cs="Times New Roman"/>
        </w:rPr>
        <w:t xml:space="preserve">Mērķa sasniegšanai tiek </w:t>
      </w:r>
      <w:r w:rsidR="005847B5">
        <w:rPr>
          <w:rFonts w:ascii="Times New Roman" w:hAnsi="Times New Roman" w:cs="Times New Roman"/>
        </w:rPr>
        <w:t>īstenoti</w:t>
      </w:r>
      <w:r>
        <w:rPr>
          <w:rFonts w:ascii="Times New Roman" w:hAnsi="Times New Roman" w:cs="Times New Roman"/>
        </w:rPr>
        <w:t xml:space="preserve"> šādi pasākumi:</w:t>
      </w:r>
    </w:p>
    <w:p w:rsidR="009A044F" w:rsidRDefault="009A044F" w:rsidP="00E84407">
      <w:pPr>
        <w:pStyle w:val="Default"/>
        <w:numPr>
          <w:ilvl w:val="1"/>
          <w:numId w:val="31"/>
        </w:numPr>
        <w:ind w:left="709" w:hanging="283"/>
        <w:jc w:val="both"/>
        <w:rPr>
          <w:rFonts w:ascii="Times New Roman" w:hAnsi="Times New Roman" w:cs="Times New Roman"/>
        </w:rPr>
      </w:pPr>
      <w:r w:rsidRPr="008871C3">
        <w:rPr>
          <w:rFonts w:ascii="Times New Roman" w:hAnsi="Times New Roman" w:cs="Times New Roman"/>
        </w:rPr>
        <w:t xml:space="preserve">2012.gadā turpinājās pasākumu </w:t>
      </w:r>
      <w:r w:rsidRPr="005847B5">
        <w:rPr>
          <w:rFonts w:ascii="Times New Roman" w:hAnsi="Times New Roman" w:cs="Times New Roman"/>
          <w:i/>
        </w:rPr>
        <w:t>„Darba vieta jaunietim”</w:t>
      </w:r>
      <w:r w:rsidRPr="008871C3">
        <w:rPr>
          <w:rFonts w:ascii="Times New Roman" w:hAnsi="Times New Roman" w:cs="Times New Roman"/>
        </w:rPr>
        <w:t xml:space="preserve"> un </w:t>
      </w:r>
      <w:r w:rsidRPr="005847B5">
        <w:rPr>
          <w:rFonts w:ascii="Times New Roman" w:hAnsi="Times New Roman" w:cs="Times New Roman"/>
          <w:i/>
        </w:rPr>
        <w:t>„Atbalsts jauniešu brīvprātīgajam darbam”</w:t>
      </w:r>
      <w:r w:rsidRPr="008871C3">
        <w:rPr>
          <w:rFonts w:ascii="Times New Roman" w:hAnsi="Times New Roman" w:cs="Times New Roman"/>
          <w:i/>
        </w:rPr>
        <w:t xml:space="preserve"> </w:t>
      </w:r>
      <w:r w:rsidRPr="008871C3">
        <w:rPr>
          <w:rFonts w:ascii="Times New Roman" w:hAnsi="Times New Roman" w:cs="Times New Roman"/>
        </w:rPr>
        <w:t>īstenošana (</w:t>
      </w:r>
      <w:proofErr w:type="spellStart"/>
      <w:r w:rsidRPr="008871C3">
        <w:rPr>
          <w:rFonts w:ascii="Times New Roman" w:hAnsi="Times New Roman" w:cs="Times New Roman"/>
        </w:rPr>
        <w:t>skat</w:t>
      </w:r>
      <w:proofErr w:type="spellEnd"/>
      <w:r w:rsidR="005847B5">
        <w:rPr>
          <w:rFonts w:ascii="Times New Roman" w:hAnsi="Times New Roman" w:cs="Times New Roman"/>
        </w:rPr>
        <w:t>.</w:t>
      </w:r>
      <w:r w:rsidRPr="008871C3">
        <w:rPr>
          <w:rFonts w:ascii="Times New Roman" w:hAnsi="Times New Roman" w:cs="Times New Roman"/>
        </w:rPr>
        <w:t xml:space="preserve"> </w:t>
      </w:r>
      <w:r>
        <w:rPr>
          <w:rFonts w:ascii="Times New Roman" w:hAnsi="Times New Roman" w:cs="Times New Roman"/>
        </w:rPr>
        <w:t xml:space="preserve">arī </w:t>
      </w:r>
      <w:r w:rsidRPr="008871C3">
        <w:rPr>
          <w:rFonts w:ascii="Times New Roman" w:hAnsi="Times New Roman" w:cs="Times New Roman"/>
        </w:rPr>
        <w:t>2.3.</w:t>
      </w:r>
      <w:r w:rsidR="005847B5">
        <w:rPr>
          <w:rFonts w:ascii="Times New Roman" w:hAnsi="Times New Roman" w:cs="Times New Roman"/>
        </w:rPr>
        <w:t>no</w:t>
      </w:r>
      <w:r w:rsidR="00F83A9A">
        <w:rPr>
          <w:rFonts w:ascii="Times New Roman" w:hAnsi="Times New Roman" w:cs="Times New Roman"/>
        </w:rPr>
        <w:t xml:space="preserve">daļu). </w:t>
      </w:r>
      <w:r>
        <w:rPr>
          <w:rFonts w:ascii="Times New Roman" w:hAnsi="Times New Roman" w:cs="Times New Roman"/>
        </w:rPr>
        <w:t xml:space="preserve">2013.gada 1.ceturksnī plānots uzsākt jaunā pasākuma </w:t>
      </w:r>
      <w:r w:rsidRPr="00E857DA">
        <w:rPr>
          <w:rFonts w:ascii="Times New Roman" w:hAnsi="Times New Roman" w:cs="Times New Roman"/>
          <w:i/>
        </w:rPr>
        <w:t>„Darbnīcas jauniešiem”</w:t>
      </w:r>
      <w:r>
        <w:rPr>
          <w:rFonts w:ascii="Times New Roman" w:hAnsi="Times New Roman" w:cs="Times New Roman"/>
          <w:i/>
        </w:rPr>
        <w:t xml:space="preserve"> </w:t>
      </w:r>
      <w:r>
        <w:rPr>
          <w:rFonts w:ascii="Times New Roman" w:hAnsi="Times New Roman" w:cs="Times New Roman"/>
        </w:rPr>
        <w:t>ieviešanu, kur viena pasākuma ietvaros jaunietis sevi varēs izmēģināt vairākās profesijās</w:t>
      </w:r>
      <w:r w:rsidRPr="001D0C15">
        <w:rPr>
          <w:rFonts w:ascii="Times New Roman" w:hAnsi="Times New Roman" w:cs="Times New Roman"/>
        </w:rPr>
        <w:t xml:space="preserve">. </w:t>
      </w:r>
      <w:r w:rsidR="001D0C15" w:rsidRPr="001D0C15">
        <w:rPr>
          <w:rFonts w:ascii="Times New Roman" w:hAnsi="Times New Roman" w:cs="Times New Roman"/>
        </w:rPr>
        <w:t>Ir uzsākta publiskā iepirkuma procedūra, lai noteiktu izglītības iestādes, kurām būs tiesības sniegt šo pakalpojumu</w:t>
      </w:r>
      <w:r w:rsidR="001D0C15">
        <w:rPr>
          <w:rFonts w:ascii="Times New Roman" w:hAnsi="Times New Roman" w:cs="Times New Roman"/>
        </w:rPr>
        <w:t xml:space="preserve">. </w:t>
      </w:r>
      <w:r>
        <w:rPr>
          <w:rFonts w:ascii="Times New Roman" w:hAnsi="Times New Roman" w:cs="Times New Roman"/>
        </w:rPr>
        <w:t xml:space="preserve">2013.gadā </w:t>
      </w:r>
      <w:r>
        <w:rPr>
          <w:rFonts w:ascii="Times New Roman" w:hAnsi="Times New Roman" w:cs="Times New Roman"/>
          <w:bCs/>
        </w:rPr>
        <w:t>šajā</w:t>
      </w:r>
      <w:r>
        <w:rPr>
          <w:rFonts w:ascii="Times New Roman" w:hAnsi="Times New Roman" w:cs="Times New Roman"/>
        </w:rPr>
        <w:t xml:space="preserve"> pasākumā plānots iesaistīt 250 jauniešus</w:t>
      </w:r>
      <w:r w:rsidR="00E857DA">
        <w:rPr>
          <w:rFonts w:ascii="Times New Roman" w:hAnsi="Times New Roman" w:cs="Times New Roman"/>
        </w:rPr>
        <w:t>-</w:t>
      </w:r>
      <w:r>
        <w:rPr>
          <w:rFonts w:ascii="Times New Roman" w:hAnsi="Times New Roman" w:cs="Times New Roman"/>
        </w:rPr>
        <w:t>bezdarbniekus</w:t>
      </w:r>
      <w:r w:rsidR="00E857DA">
        <w:rPr>
          <w:rFonts w:ascii="Times New Roman" w:hAnsi="Times New Roman" w:cs="Times New Roman"/>
        </w:rPr>
        <w:t>.</w:t>
      </w:r>
      <w:r>
        <w:rPr>
          <w:rFonts w:ascii="Times New Roman" w:hAnsi="Times New Roman" w:cs="Times New Roman"/>
        </w:rPr>
        <w:t xml:space="preserve"> Kopumā 2012.gadā pasākumos tika iesaistīti 2 454 jaunieši. Kopējais publiskais finansējums 2012.gadā bija 0,526 </w:t>
      </w:r>
      <w:proofErr w:type="spellStart"/>
      <w:r>
        <w:rPr>
          <w:rFonts w:ascii="Times New Roman" w:hAnsi="Times New Roman" w:cs="Times New Roman"/>
        </w:rPr>
        <w:t>milj</w:t>
      </w:r>
      <w:proofErr w:type="spellEnd"/>
      <w:r>
        <w:rPr>
          <w:rFonts w:ascii="Times New Roman" w:hAnsi="Times New Roman" w:cs="Times New Roman"/>
        </w:rPr>
        <w:t xml:space="preserve">. latu, </w:t>
      </w:r>
      <w:proofErr w:type="spellStart"/>
      <w:r>
        <w:rPr>
          <w:rFonts w:ascii="Times New Roman" w:hAnsi="Times New Roman" w:cs="Times New Roman"/>
        </w:rPr>
        <w:t>t.sk</w:t>
      </w:r>
      <w:proofErr w:type="spellEnd"/>
      <w:r>
        <w:rPr>
          <w:rFonts w:ascii="Times New Roman" w:hAnsi="Times New Roman" w:cs="Times New Roman"/>
        </w:rPr>
        <w:t xml:space="preserve">. ES fondu finansējums 0,241 </w:t>
      </w:r>
      <w:proofErr w:type="spellStart"/>
      <w:r>
        <w:rPr>
          <w:rFonts w:ascii="Times New Roman" w:hAnsi="Times New Roman" w:cs="Times New Roman"/>
        </w:rPr>
        <w:t>milj</w:t>
      </w:r>
      <w:proofErr w:type="spellEnd"/>
      <w:r>
        <w:rPr>
          <w:rFonts w:ascii="Times New Roman" w:hAnsi="Times New Roman" w:cs="Times New Roman"/>
        </w:rPr>
        <w:t xml:space="preserve">. latu. Kopējais publiskais finansējums 2013.-2014.gadā (plānots) 1,09 </w:t>
      </w:r>
      <w:proofErr w:type="spellStart"/>
      <w:r>
        <w:rPr>
          <w:rFonts w:ascii="Times New Roman" w:hAnsi="Times New Roman" w:cs="Times New Roman"/>
        </w:rPr>
        <w:t>milj</w:t>
      </w:r>
      <w:proofErr w:type="spellEnd"/>
      <w:r>
        <w:rPr>
          <w:rFonts w:ascii="Times New Roman" w:hAnsi="Times New Roman" w:cs="Times New Roman"/>
        </w:rPr>
        <w:t xml:space="preserve">. latu, </w:t>
      </w:r>
      <w:proofErr w:type="spellStart"/>
      <w:r>
        <w:rPr>
          <w:rFonts w:ascii="Times New Roman" w:hAnsi="Times New Roman" w:cs="Times New Roman"/>
        </w:rPr>
        <w:t>t.sk</w:t>
      </w:r>
      <w:proofErr w:type="spellEnd"/>
      <w:r>
        <w:rPr>
          <w:rFonts w:ascii="Times New Roman" w:hAnsi="Times New Roman" w:cs="Times New Roman"/>
        </w:rPr>
        <w:t xml:space="preserve">. ES fondu finansējums – 0,678 </w:t>
      </w:r>
      <w:proofErr w:type="spellStart"/>
      <w:r>
        <w:rPr>
          <w:rFonts w:ascii="Times New Roman" w:hAnsi="Times New Roman" w:cs="Times New Roman"/>
        </w:rPr>
        <w:t>milj</w:t>
      </w:r>
      <w:proofErr w:type="spellEnd"/>
      <w:r>
        <w:rPr>
          <w:rFonts w:ascii="Times New Roman" w:hAnsi="Times New Roman" w:cs="Times New Roman"/>
        </w:rPr>
        <w:t>. latu. 2013.-2014.gadā pasākumos tiks iesaistīti 3 072 jaunieši;</w:t>
      </w:r>
    </w:p>
    <w:p w:rsidR="009A044F" w:rsidRDefault="009A044F" w:rsidP="00E84407">
      <w:pPr>
        <w:pStyle w:val="Default"/>
        <w:numPr>
          <w:ilvl w:val="1"/>
          <w:numId w:val="31"/>
        </w:numPr>
        <w:ind w:left="709" w:hanging="283"/>
        <w:jc w:val="both"/>
        <w:rPr>
          <w:rFonts w:ascii="Times New Roman" w:hAnsi="Times New Roman" w:cs="Times New Roman"/>
        </w:rPr>
      </w:pPr>
      <w:r>
        <w:rPr>
          <w:rFonts w:ascii="Times New Roman" w:hAnsi="Times New Roman" w:cs="Times New Roman"/>
          <w:color w:val="auto"/>
        </w:rPr>
        <w:t xml:space="preserve">kopš 2010.gada ar ESF atbalstu tiek īstenotas viengadīgās un </w:t>
      </w:r>
      <w:proofErr w:type="spellStart"/>
      <w:r>
        <w:rPr>
          <w:rFonts w:ascii="Times New Roman" w:hAnsi="Times New Roman" w:cs="Times New Roman"/>
          <w:color w:val="auto"/>
        </w:rPr>
        <w:t>pusotrgadīgās</w:t>
      </w:r>
      <w:proofErr w:type="spellEnd"/>
      <w:r>
        <w:rPr>
          <w:rFonts w:ascii="Times New Roman" w:hAnsi="Times New Roman" w:cs="Times New Roman"/>
          <w:color w:val="auto"/>
        </w:rPr>
        <w:t xml:space="preserve"> profesionālās izglītības programmas, lai nodrošinātu iespēju jauniešiem, kuri pēc </w:t>
      </w:r>
      <w:r w:rsidR="00FE15FA" w:rsidRPr="00D1601C">
        <w:rPr>
          <w:rFonts w:ascii="Times New Roman" w:hAnsi="Times New Roman" w:cs="Times New Roman"/>
          <w:color w:val="auto"/>
        </w:rPr>
        <w:t>pamatizglītības vai vidējās izglītības iegūšanas neturpina mācības un nespēj iekļauties darba tirgū, tādējādi sekmējot viņu ātrāku iekļaušanos darba tirgū</w:t>
      </w:r>
      <w:r w:rsidR="00FE15FA">
        <w:rPr>
          <w:rFonts w:ascii="Times New Roman" w:hAnsi="Times New Roman" w:cs="Times New Roman"/>
          <w:color w:val="auto"/>
        </w:rPr>
        <w:t xml:space="preserve"> un</w:t>
      </w:r>
      <w:r w:rsidR="00FE15FA" w:rsidRPr="00D1601C">
        <w:rPr>
          <w:rFonts w:ascii="Times New Roman" w:hAnsi="Times New Roman" w:cs="Times New Roman"/>
          <w:color w:val="auto"/>
        </w:rPr>
        <w:t xml:space="preserve"> mazinot jauniešu bezdarba risku</w:t>
      </w:r>
      <w:r>
        <w:rPr>
          <w:rFonts w:ascii="Times New Roman" w:hAnsi="Times New Roman" w:cs="Times New Roman"/>
          <w:color w:val="auto"/>
        </w:rPr>
        <w:t>. Apmācību virzieni un grupas lielumi tiek saskaņoti</w:t>
      </w:r>
      <w:r w:rsidR="007F04BC">
        <w:rPr>
          <w:rFonts w:ascii="Times New Roman" w:hAnsi="Times New Roman" w:cs="Times New Roman"/>
          <w:color w:val="auto"/>
        </w:rPr>
        <w:t xml:space="preserve"> ar darba devējiem. 2012./2013.</w:t>
      </w:r>
      <w:r>
        <w:rPr>
          <w:rFonts w:ascii="Times New Roman" w:hAnsi="Times New Roman" w:cs="Times New Roman"/>
          <w:color w:val="auto"/>
        </w:rPr>
        <w:t xml:space="preserve">mācību gadā ar ESF atbalstu 36 profesionālās izglītības iestādes jauniešiem bezmaksas piedāvā apgūt 94 programmās 54 dažādas profesijas. 2011./2012.mācību gadā minētajās programmās kvalifikāciju ieguva 690 audzēkņi un 2012.gada septembra uzņemšanā mācības uzsāka 1210 audzēkņi. Kopējais publiskais finansējums 2012.gadā bija 2,1 </w:t>
      </w:r>
      <w:proofErr w:type="spellStart"/>
      <w:r>
        <w:rPr>
          <w:rFonts w:ascii="Times New Roman" w:hAnsi="Times New Roman" w:cs="Times New Roman"/>
          <w:color w:val="auto"/>
        </w:rPr>
        <w:t>milj</w:t>
      </w:r>
      <w:proofErr w:type="spellEnd"/>
      <w:r>
        <w:rPr>
          <w:rFonts w:ascii="Times New Roman" w:hAnsi="Times New Roman" w:cs="Times New Roman"/>
          <w:color w:val="auto"/>
        </w:rPr>
        <w:t xml:space="preserve">. latu, </w:t>
      </w:r>
      <w:proofErr w:type="spellStart"/>
      <w:r>
        <w:rPr>
          <w:rFonts w:ascii="Times New Roman" w:hAnsi="Times New Roman" w:cs="Times New Roman"/>
          <w:color w:val="auto"/>
        </w:rPr>
        <w:t>t.sk</w:t>
      </w:r>
      <w:proofErr w:type="spellEnd"/>
      <w:r>
        <w:rPr>
          <w:rFonts w:ascii="Times New Roman" w:hAnsi="Times New Roman" w:cs="Times New Roman"/>
          <w:color w:val="auto"/>
        </w:rPr>
        <w:t xml:space="preserve">. 1,3 </w:t>
      </w:r>
      <w:proofErr w:type="spellStart"/>
      <w:r>
        <w:rPr>
          <w:rFonts w:ascii="Times New Roman" w:hAnsi="Times New Roman" w:cs="Times New Roman"/>
          <w:color w:val="auto"/>
        </w:rPr>
        <w:t>milj</w:t>
      </w:r>
      <w:proofErr w:type="spellEnd"/>
      <w:r>
        <w:rPr>
          <w:rFonts w:ascii="Times New Roman" w:hAnsi="Times New Roman" w:cs="Times New Roman"/>
          <w:color w:val="auto"/>
        </w:rPr>
        <w:t>. latu tā dēvēto īso programmu īstenošanai. Šīs aktivitātes ietvaros vairāk nekā 85% tiks segti no ES fondiem;</w:t>
      </w:r>
    </w:p>
    <w:p w:rsidR="009A044F" w:rsidRDefault="009A044F" w:rsidP="00E84407">
      <w:pPr>
        <w:pStyle w:val="Default"/>
        <w:numPr>
          <w:ilvl w:val="1"/>
          <w:numId w:val="31"/>
        </w:numPr>
        <w:ind w:left="709" w:hanging="283"/>
        <w:jc w:val="both"/>
        <w:rPr>
          <w:rFonts w:ascii="Times New Roman" w:hAnsi="Times New Roman" w:cs="Times New Roman"/>
        </w:rPr>
      </w:pPr>
      <w:r>
        <w:rPr>
          <w:rFonts w:ascii="Times New Roman" w:hAnsi="Times New Roman" w:cs="Times New Roman"/>
          <w:bCs/>
          <w:color w:val="auto"/>
        </w:rPr>
        <w:t xml:space="preserve">kopš 2011.gada Latvijas un Šveices sadarbības programmas </w:t>
      </w:r>
      <w:r w:rsidRPr="00492D1F">
        <w:rPr>
          <w:rFonts w:ascii="Times New Roman" w:hAnsi="Times New Roman" w:cs="Times New Roman"/>
          <w:bCs/>
          <w:i/>
          <w:color w:val="auto"/>
        </w:rPr>
        <w:t>“Atbalsts jaunatnes iniciatīvu attīstībai attālos un mazattīstīts reģionos”</w:t>
      </w:r>
      <w:r>
        <w:rPr>
          <w:rFonts w:ascii="Times New Roman" w:hAnsi="Times New Roman" w:cs="Times New Roman"/>
          <w:bCs/>
          <w:color w:val="auto"/>
        </w:rPr>
        <w:t xml:space="preserve"> ietvaros notiek regulārās apmācības jauniešiem, lai sekmētu viņu aktīvu līdzdalību un sociālo kompetenču attīstību. Programmas </w:t>
      </w:r>
      <w:r w:rsidRPr="00790FB2">
        <w:rPr>
          <w:rFonts w:ascii="Times New Roman" w:hAnsi="Times New Roman" w:cs="Times New Roman"/>
          <w:bCs/>
          <w:i/>
          <w:color w:val="auto"/>
        </w:rPr>
        <w:t>“Jaunatne darbībā”</w:t>
      </w:r>
      <w:r>
        <w:rPr>
          <w:rFonts w:ascii="Times New Roman" w:hAnsi="Times New Roman" w:cs="Times New Roman"/>
          <w:bCs/>
          <w:color w:val="auto"/>
        </w:rPr>
        <w:t xml:space="preserve"> apakšprogrammā </w:t>
      </w:r>
      <w:r w:rsidRPr="00790FB2">
        <w:rPr>
          <w:rFonts w:ascii="Times New Roman" w:hAnsi="Times New Roman" w:cs="Times New Roman"/>
          <w:bCs/>
          <w:i/>
          <w:color w:val="auto"/>
        </w:rPr>
        <w:t>“Eiropas brīvprātīgais darbs”</w:t>
      </w:r>
      <w:r>
        <w:rPr>
          <w:rFonts w:ascii="Times New Roman" w:hAnsi="Times New Roman" w:cs="Times New Roman"/>
          <w:bCs/>
          <w:color w:val="auto"/>
        </w:rPr>
        <w:t xml:space="preserve"> jauniešiem ir iespēja iegūt pirmo darba pieredzi, darbojoties brīvprātīgi kādā no ES dalībvalstīm, kā arī papildināt savas zināšanas, piedaloties pieredzes apmaiņas semināros vai </w:t>
      </w:r>
      <w:proofErr w:type="spellStart"/>
      <w:r>
        <w:rPr>
          <w:rFonts w:ascii="Times New Roman" w:hAnsi="Times New Roman" w:cs="Times New Roman"/>
          <w:bCs/>
          <w:color w:val="auto"/>
        </w:rPr>
        <w:t>starpkultūru</w:t>
      </w:r>
      <w:proofErr w:type="spellEnd"/>
      <w:r>
        <w:rPr>
          <w:rFonts w:ascii="Times New Roman" w:hAnsi="Times New Roman" w:cs="Times New Roman"/>
          <w:bCs/>
          <w:color w:val="auto"/>
        </w:rPr>
        <w:t xml:space="preserve"> studiju vizītēs;</w:t>
      </w:r>
    </w:p>
    <w:p w:rsidR="003C5B6E" w:rsidRPr="00E37B17" w:rsidRDefault="009A044F" w:rsidP="00E84407">
      <w:pPr>
        <w:pStyle w:val="Default"/>
        <w:numPr>
          <w:ilvl w:val="1"/>
          <w:numId w:val="31"/>
        </w:numPr>
        <w:ind w:left="709" w:hanging="283"/>
        <w:jc w:val="both"/>
        <w:rPr>
          <w:rFonts w:ascii="Times New Roman" w:hAnsi="Times New Roman" w:cs="Times New Roman"/>
        </w:rPr>
      </w:pPr>
      <w:r>
        <w:rPr>
          <w:rFonts w:ascii="Times New Roman" w:hAnsi="Times New Roman" w:cs="Times New Roman"/>
          <w:bCs/>
          <w:color w:val="auto"/>
        </w:rPr>
        <w:t xml:space="preserve">tiek sniegts ikgadējs valsts budžeta atbalsts jauniešu centriem un jaunatnes organizācijām neformālās izglītības programmu īstenošanai jauniešiem, lai sekmētu viņu radošumu, uzņēmējdarbību un pašiniciatīvu. </w:t>
      </w:r>
      <w:r w:rsidR="00FE15FA">
        <w:rPr>
          <w:rFonts w:ascii="Times New Roman" w:hAnsi="Times New Roman" w:cs="Times New Roman"/>
          <w:bCs/>
          <w:color w:val="auto"/>
        </w:rPr>
        <w:t xml:space="preserve">2012.gadā atbalsts jaunatnes </w:t>
      </w:r>
      <w:r w:rsidR="00FE15FA">
        <w:rPr>
          <w:rFonts w:ascii="Times New Roman" w:hAnsi="Times New Roman" w:cs="Times New Roman"/>
          <w:bCs/>
          <w:color w:val="auto"/>
        </w:rPr>
        <w:lastRenderedPageBreak/>
        <w:t xml:space="preserve">politikas īstenošanai bija 106 985 latu, no kuriem 77 367,50 latu bija novirzīts jauniešu centru un jaunatnes organizāciju atbalstam. </w:t>
      </w:r>
      <w:r>
        <w:rPr>
          <w:rFonts w:ascii="Times New Roman" w:hAnsi="Times New Roman" w:cs="Times New Roman"/>
          <w:bCs/>
          <w:color w:val="auto"/>
        </w:rPr>
        <w:t xml:space="preserve">Papildus ikgadējam atbalstam 2013.gadā </w:t>
      </w:r>
      <w:r w:rsidR="00FE15FA">
        <w:rPr>
          <w:rFonts w:ascii="Times New Roman" w:hAnsi="Times New Roman" w:cs="Times New Roman"/>
          <w:bCs/>
          <w:color w:val="auto"/>
        </w:rPr>
        <w:t xml:space="preserve">papildus finansējums ir 91 640 latu apmērā, no kuriem </w:t>
      </w:r>
      <w:r>
        <w:rPr>
          <w:rFonts w:ascii="Times New Roman" w:hAnsi="Times New Roman" w:cs="Times New Roman"/>
          <w:bCs/>
          <w:color w:val="auto"/>
        </w:rPr>
        <w:t xml:space="preserve">45 000 </w:t>
      </w:r>
      <w:r w:rsidR="00790FB2">
        <w:rPr>
          <w:rFonts w:ascii="Times New Roman" w:hAnsi="Times New Roman" w:cs="Times New Roman"/>
          <w:bCs/>
          <w:color w:val="auto"/>
        </w:rPr>
        <w:t>latu</w:t>
      </w:r>
      <w:r>
        <w:rPr>
          <w:rFonts w:ascii="Times New Roman" w:hAnsi="Times New Roman" w:cs="Times New Roman"/>
          <w:bCs/>
          <w:color w:val="auto"/>
        </w:rPr>
        <w:t xml:space="preserve"> apmērā ir paredzēts finansēt biedrības vai nodibinājumus, kuru darbība ir orientēta uz darbu ar jaunatni, nometņu organizēšanai bērniem un jauniešiem, lai veicinātu viņu sociālo prasmju attīstību, aktīvo un veselīgo dzīves veidu.</w:t>
      </w:r>
    </w:p>
    <w:p w:rsidR="00E37B17" w:rsidRDefault="00E37B17" w:rsidP="00E37B17">
      <w:pPr>
        <w:pStyle w:val="Default"/>
        <w:ind w:firstLine="567"/>
        <w:jc w:val="both"/>
        <w:rPr>
          <w:rFonts w:ascii="Times New Roman" w:hAnsi="Times New Roman" w:cs="Times New Roman"/>
        </w:rPr>
      </w:pPr>
      <w:r w:rsidRPr="00E37B17">
        <w:rPr>
          <w:rFonts w:ascii="Times New Roman" w:hAnsi="Times New Roman" w:cs="Times New Roman"/>
        </w:rPr>
        <w:t xml:space="preserve">Latvija ir apņēmības pilna izmantot visus tai pieejamos </w:t>
      </w:r>
      <w:r w:rsidRPr="00E37B17">
        <w:rPr>
          <w:rFonts w:ascii="Times New Roman" w:hAnsi="Times New Roman" w:cs="Times New Roman"/>
          <w:i/>
        </w:rPr>
        <w:t>Jauniešu nodarbinātības iniciatīvas</w:t>
      </w:r>
      <w:r w:rsidRPr="00E37B17">
        <w:rPr>
          <w:rFonts w:ascii="Times New Roman" w:hAnsi="Times New Roman" w:cs="Times New Roman"/>
        </w:rPr>
        <w:t xml:space="preserve"> resursus nākamajā </w:t>
      </w:r>
      <w:r>
        <w:rPr>
          <w:rFonts w:ascii="Times New Roman" w:hAnsi="Times New Roman" w:cs="Times New Roman"/>
        </w:rPr>
        <w:t xml:space="preserve">ES </w:t>
      </w:r>
      <w:r w:rsidRPr="00E37B17">
        <w:rPr>
          <w:rFonts w:ascii="Times New Roman" w:hAnsi="Times New Roman" w:cs="Times New Roman"/>
        </w:rPr>
        <w:t xml:space="preserve">struktūrfondu plānošanas periodā. Jau tagad, sadarbojoties </w:t>
      </w:r>
      <w:r>
        <w:rPr>
          <w:rFonts w:ascii="Times New Roman" w:hAnsi="Times New Roman" w:cs="Times New Roman"/>
        </w:rPr>
        <w:t>LM</w:t>
      </w:r>
      <w:r w:rsidRPr="00E37B17">
        <w:rPr>
          <w:rFonts w:ascii="Times New Roman" w:hAnsi="Times New Roman" w:cs="Times New Roman"/>
        </w:rPr>
        <w:t xml:space="preserve"> un </w:t>
      </w:r>
      <w:r>
        <w:rPr>
          <w:rFonts w:ascii="Times New Roman" w:hAnsi="Times New Roman" w:cs="Times New Roman"/>
        </w:rPr>
        <w:t>IZM</w:t>
      </w:r>
      <w:r w:rsidRPr="00E37B17">
        <w:rPr>
          <w:rFonts w:ascii="Times New Roman" w:hAnsi="Times New Roman" w:cs="Times New Roman"/>
        </w:rPr>
        <w:t xml:space="preserve">, notiek darbs pie </w:t>
      </w:r>
      <w:r w:rsidRPr="00E37B17">
        <w:rPr>
          <w:rFonts w:ascii="Times New Roman" w:hAnsi="Times New Roman" w:cs="Times New Roman"/>
          <w:i/>
        </w:rPr>
        <w:t>Jauniešu garantijas</w:t>
      </w:r>
      <w:r w:rsidRPr="00E37B17">
        <w:rPr>
          <w:rFonts w:ascii="Times New Roman" w:hAnsi="Times New Roman" w:cs="Times New Roman"/>
        </w:rPr>
        <w:t xml:space="preserve"> izstrādes, ar kuru plānots aptvert gan izglītības jomas, gan aktīvās darba tirgus politikas pasākumus</w:t>
      </w:r>
      <w:r>
        <w:rPr>
          <w:rFonts w:ascii="Times New Roman" w:hAnsi="Times New Roman" w:cs="Times New Roman"/>
        </w:rPr>
        <w:t>.</w:t>
      </w:r>
    </w:p>
    <w:p w:rsidR="003C5B6E" w:rsidRDefault="003C5B6E" w:rsidP="00E84407">
      <w:pPr>
        <w:pStyle w:val="ListParagraph"/>
        <w:numPr>
          <w:ilvl w:val="0"/>
          <w:numId w:val="35"/>
        </w:numPr>
        <w:tabs>
          <w:tab w:val="left" w:pos="284"/>
        </w:tabs>
        <w:spacing w:before="360" w:after="120"/>
        <w:ind w:left="284" w:hanging="284"/>
      </w:pPr>
      <w:r>
        <w:rPr>
          <w:b/>
          <w:i/>
        </w:rPr>
        <w:t xml:space="preserve">Ilgstošo bezdarbnieku un sociālās palīdzības klientu efektīva atgriešana darba tirgū un atbalsts reģionālajai mobilitātei </w:t>
      </w:r>
      <w:r>
        <w:t>(atbildīgā institūcija – LM)</w:t>
      </w:r>
    </w:p>
    <w:p w:rsidR="009A044F" w:rsidRDefault="009A044F" w:rsidP="009510C7">
      <w:pPr>
        <w:spacing w:before="120"/>
        <w:ind w:firstLine="567"/>
      </w:pPr>
      <w:r>
        <w:t>Mērķis ir aktivizēt ekonomiski neaktīvās sabiedrības grupas, jo īpaši sociālās palīdzības klientus ar mērķtiecīgāku ilgstošo bezdarbnieku atbalstu un darbaspēka ģeogrāfiskās mobilitātes veicināšanu (</w:t>
      </w:r>
      <w:proofErr w:type="spellStart"/>
      <w:r>
        <w:t>skat</w:t>
      </w:r>
      <w:proofErr w:type="spellEnd"/>
      <w:r w:rsidR="009510C7">
        <w:t>.</w:t>
      </w:r>
      <w:r>
        <w:t xml:space="preserve"> arī 2.3.nodaļu). Šajā jomā:</w:t>
      </w:r>
    </w:p>
    <w:p w:rsidR="009A044F" w:rsidRDefault="009A044F" w:rsidP="00E84407">
      <w:pPr>
        <w:numPr>
          <w:ilvl w:val="0"/>
          <w:numId w:val="36"/>
        </w:numPr>
        <w:autoSpaceDE w:val="0"/>
        <w:autoSpaceDN w:val="0"/>
        <w:adjustRightInd w:val="0"/>
      </w:pPr>
      <w:r w:rsidRPr="008871C3">
        <w:t>no 2012.gada ar ESF atbalstu tiek īstenoti algotie pagaidu sabiedriskie darbi</w:t>
      </w:r>
      <w:r w:rsidR="002B2E41">
        <w:t xml:space="preserve"> pilnveidotā formā kā sākotnējās aktivizācijas programma ilgstošajiem bezdarbniekiem</w:t>
      </w:r>
      <w:r w:rsidRPr="008871C3">
        <w:t>.</w:t>
      </w:r>
      <w:r>
        <w:t xml:space="preserve"> Pašvaldības var noteikt, kuras nelabvēlīgā situācijā esošās bezdarbnieku grupas konkrētajā teritorijā pasākumā tiek iesaistītas prioritāri. No </w:t>
      </w:r>
      <w:r w:rsidR="002B2E41">
        <w:t xml:space="preserve">119 </w:t>
      </w:r>
      <w:r>
        <w:t xml:space="preserve">pašvaldībām saistošie noteikumi par prioritāri pasākumā iesaistāmajiem bezdarbniekiem ir apstiprināti 25 pašvaldībās. Pasākuma </w:t>
      </w:r>
      <w:r w:rsidR="002B2E41">
        <w:t>laikā dalībniekam iespēja meklēt darbu un iesaistīties īslaicīgos apmācību pasākumos</w:t>
      </w:r>
      <w:r w:rsidR="009510C7">
        <w:t>;</w:t>
      </w:r>
    </w:p>
    <w:p w:rsidR="009A044F" w:rsidRDefault="009A044F" w:rsidP="00E84407">
      <w:pPr>
        <w:numPr>
          <w:ilvl w:val="0"/>
          <w:numId w:val="36"/>
        </w:numPr>
        <w:autoSpaceDE w:val="0"/>
        <w:autoSpaceDN w:val="0"/>
        <w:adjustRightInd w:val="0"/>
        <w:spacing w:after="120"/>
        <w:ind w:hanging="295"/>
      </w:pPr>
      <w:r>
        <w:t>ar 2013.gadu uzsākta reģionālās mobilitātes programmas  pilotprojekta īstenošana, kurā plānots iesaistīt 350 personas.</w:t>
      </w:r>
    </w:p>
    <w:p w:rsidR="003C5B6E" w:rsidRDefault="009A044F" w:rsidP="009510C7">
      <w:pPr>
        <w:autoSpaceDE w:val="0"/>
        <w:autoSpaceDN w:val="0"/>
        <w:adjustRightInd w:val="0"/>
        <w:spacing w:before="120" w:after="120"/>
        <w:ind w:firstLine="567"/>
        <w:rPr>
          <w:b/>
          <w:i/>
        </w:rPr>
      </w:pPr>
      <w:r>
        <w:t xml:space="preserve">Kopējais publiskais finansējums šiem pasākumiem 2012.gadā bija 10,6 </w:t>
      </w:r>
      <w:proofErr w:type="spellStart"/>
      <w:r>
        <w:t>milj</w:t>
      </w:r>
      <w:proofErr w:type="spellEnd"/>
      <w:r>
        <w:t xml:space="preserve">. latu, tai skaitā ES fondu finansējums </w:t>
      </w:r>
      <w:r w:rsidR="00E04DBB">
        <w:t xml:space="preserve">– </w:t>
      </w:r>
      <w:r>
        <w:t xml:space="preserve">10,6 </w:t>
      </w:r>
      <w:proofErr w:type="spellStart"/>
      <w:r>
        <w:t>milj</w:t>
      </w:r>
      <w:proofErr w:type="spellEnd"/>
      <w:r>
        <w:t>. latu, iesaistīto skaits – 31 155 persona</w:t>
      </w:r>
      <w:r w:rsidR="00E04DBB">
        <w:t>s</w:t>
      </w:r>
      <w:r>
        <w:t xml:space="preserve">. Kopējais publiskais finansējums 2013.-2014.gadā (plānots) 12,39 </w:t>
      </w:r>
      <w:proofErr w:type="spellStart"/>
      <w:r>
        <w:t>milj</w:t>
      </w:r>
      <w:proofErr w:type="spellEnd"/>
      <w:r>
        <w:t xml:space="preserve">. latu, </w:t>
      </w:r>
      <w:proofErr w:type="spellStart"/>
      <w:r>
        <w:t>t.sk</w:t>
      </w:r>
      <w:proofErr w:type="spellEnd"/>
      <w:r>
        <w:t xml:space="preserve">., ES fondu </w:t>
      </w:r>
      <w:r w:rsidR="00E04DBB">
        <w:br/>
      </w:r>
      <w:r>
        <w:t xml:space="preserve">finansējums </w:t>
      </w:r>
      <w:r w:rsidR="00E04DBB">
        <w:t xml:space="preserve">– </w:t>
      </w:r>
      <w:r>
        <w:t xml:space="preserve">12.3 </w:t>
      </w:r>
      <w:proofErr w:type="spellStart"/>
      <w:r>
        <w:t>milj</w:t>
      </w:r>
      <w:proofErr w:type="spellEnd"/>
      <w:r>
        <w:t>. latu, iesaistīto skaits (plānots) – 26 050 personas.</w:t>
      </w:r>
    </w:p>
    <w:p w:rsidR="003C5B6E" w:rsidRDefault="003C5B6E" w:rsidP="00E84407">
      <w:pPr>
        <w:pStyle w:val="ListParagraph"/>
        <w:numPr>
          <w:ilvl w:val="0"/>
          <w:numId w:val="35"/>
        </w:numPr>
        <w:tabs>
          <w:tab w:val="left" w:pos="284"/>
        </w:tabs>
        <w:spacing w:before="360" w:after="120"/>
        <w:ind w:left="284" w:hanging="284"/>
        <w:contextualSpacing w:val="0"/>
        <w:rPr>
          <w:b/>
        </w:rPr>
      </w:pPr>
      <w:r w:rsidRPr="009D4854">
        <w:rPr>
          <w:b/>
          <w:i/>
          <w:iCs/>
        </w:rPr>
        <w:t xml:space="preserve">Nodarbinātības dienesta darba </w:t>
      </w:r>
      <w:proofErr w:type="spellStart"/>
      <w:r w:rsidRPr="009D4854">
        <w:rPr>
          <w:b/>
          <w:i/>
          <w:iCs/>
        </w:rPr>
        <w:t>efektivizācija</w:t>
      </w:r>
      <w:proofErr w:type="spellEnd"/>
      <w:r w:rsidR="00787692">
        <w:rPr>
          <w:i/>
          <w:iCs/>
        </w:rPr>
        <w:t xml:space="preserve"> </w:t>
      </w:r>
      <w:r>
        <w:t>(atbildīgā institūcija – LM)</w:t>
      </w:r>
    </w:p>
    <w:p w:rsidR="009A044F" w:rsidRDefault="009A044F" w:rsidP="009A044F">
      <w:pPr>
        <w:spacing w:before="120" w:after="120"/>
        <w:ind w:firstLine="567"/>
      </w:pPr>
      <w:r>
        <w:t>Mērķis ir uzlabot un ieviest jaunas NVA darba metodes bezdarbnieku ātrākai iekļaušanai darba tirgū, sniedzot klientiem savlaicīgus un kvalitatīvus pakalpojumus, kā arī efektīvākai sadarbībai ar darba devējiem. Šajā jomā tiek:</w:t>
      </w:r>
    </w:p>
    <w:p w:rsidR="009A044F" w:rsidRDefault="009A044F" w:rsidP="00E84407">
      <w:pPr>
        <w:pStyle w:val="ListParagraph"/>
        <w:numPr>
          <w:ilvl w:val="0"/>
          <w:numId w:val="37"/>
        </w:numPr>
        <w:spacing w:before="120" w:after="120"/>
      </w:pPr>
      <w:r>
        <w:t>ar ESF atbalstu regulāri veikti darba tirgus politikas pasākumu ietekmes novērtējumi un NVA sniegto pakalpojumu efektivitātes izvērtējumi.</w:t>
      </w:r>
      <w:r w:rsidR="002B2E41">
        <w:t xml:space="preserve"> Arī Pasaules Bankas pētījuma </w:t>
      </w:r>
      <w:r w:rsidR="002B2E41" w:rsidRPr="002B2E41">
        <w:rPr>
          <w:i/>
        </w:rPr>
        <w:t>„Latvija: kurš ir bezdarbnieks – ekonomiski neaktīvais vai trūcīgais?”</w:t>
      </w:r>
      <w:r w:rsidR="002B2E41">
        <w:t xml:space="preserve"> ietvaros tiek analizēta </w:t>
      </w:r>
      <w:r w:rsidR="00DF3DA3">
        <w:t>aktīvās darba tirgus politikas pasākumu</w:t>
      </w:r>
      <w:r w:rsidR="002B2E41">
        <w:t xml:space="preserve"> efektivitāte</w:t>
      </w:r>
      <w:r>
        <w:t>. 2013.gadā ir plānots veikt pirmspensijas vecuma iedzīvotāju ekonomiskā potenciāla izvērtējumu, sagatavot īstermiņa prognozes par darba devēju pieprasītākām prasmēm un profesijām darba tirgū un izstrādāt īstermiņa prognozēšanas modeli;</w:t>
      </w:r>
    </w:p>
    <w:p w:rsidR="009A044F" w:rsidRDefault="009A044F" w:rsidP="00E84407">
      <w:pPr>
        <w:pStyle w:val="ListParagraph"/>
        <w:numPr>
          <w:ilvl w:val="0"/>
          <w:numId w:val="37"/>
        </w:numPr>
        <w:spacing w:before="120" w:after="120"/>
      </w:pPr>
      <w:r>
        <w:t>uzlaboti karjeras konsultāciju pakalpojumi un veikti pakalpojuma kvalitātes izvērtējumi</w:t>
      </w:r>
      <w:r w:rsidR="00E72E6B">
        <w:t xml:space="preserve">, </w:t>
      </w:r>
      <w:r>
        <w:t xml:space="preserve"> jaunas </w:t>
      </w:r>
      <w:r w:rsidR="00E72E6B">
        <w:t xml:space="preserve">un pilnveidotas esošās </w:t>
      </w:r>
      <w:r>
        <w:t>karjeras konsultāciju atbalsta metodikas, akcentējot dažādas bezdarbnieku mērķa grupas. 2013.gadā ir plānots aktualizēt un pilnveidot informatīvi metodisko bāzi, nodrošinot klientus un karjeras konsultantus ar aktuālo informāciju par izglītības iespējām Latvijā, kas savietota ar NVA mājas lapā pieejamajām sevis izpētes metodikām (</w:t>
      </w:r>
      <w:r w:rsidRPr="00286660">
        <w:rPr>
          <w:i/>
        </w:rPr>
        <w:t>Interešu testiem jauniešiem un pieaugušajiem</w:t>
      </w:r>
      <w:r>
        <w:t>);</w:t>
      </w:r>
    </w:p>
    <w:p w:rsidR="00D14062" w:rsidRDefault="009A044F" w:rsidP="00E84407">
      <w:pPr>
        <w:pStyle w:val="ListParagraph"/>
        <w:numPr>
          <w:ilvl w:val="0"/>
          <w:numId w:val="37"/>
        </w:numPr>
        <w:spacing w:before="120" w:after="120"/>
      </w:pPr>
      <w:r>
        <w:t>ar ESF atbalstu pilnveidota izglītības pakalpojumu sniedzēju monitoringa sistēma un ieviesta elektroniska</w:t>
      </w:r>
      <w:r w:rsidR="00F83A9A">
        <w:t xml:space="preserve"> pieteikšanās sistēma apmācībām</w:t>
      </w:r>
      <w:r>
        <w:t>.</w:t>
      </w:r>
    </w:p>
    <w:p w:rsidR="00B20487" w:rsidRPr="00E1233E" w:rsidRDefault="00B20487" w:rsidP="00E84407">
      <w:pPr>
        <w:pStyle w:val="ListParagraph"/>
        <w:numPr>
          <w:ilvl w:val="0"/>
          <w:numId w:val="48"/>
        </w:numPr>
        <w:spacing w:before="360"/>
        <w:ind w:left="284" w:hanging="284"/>
        <w:contextualSpacing w:val="0"/>
      </w:pPr>
      <w:proofErr w:type="spellStart"/>
      <w:r>
        <w:rPr>
          <w:rFonts w:eastAsia="+mn-ea"/>
          <w:b/>
          <w:i/>
        </w:rPr>
        <w:lastRenderedPageBreak/>
        <w:t>P</w:t>
      </w:r>
      <w:r w:rsidRPr="00B20487">
        <w:rPr>
          <w:rFonts w:eastAsia="+mn-ea"/>
          <w:b/>
          <w:i/>
        </w:rPr>
        <w:t>ašnodarbinātības</w:t>
      </w:r>
      <w:proofErr w:type="spellEnd"/>
      <w:r w:rsidRPr="00B20487">
        <w:rPr>
          <w:rFonts w:eastAsia="+mn-ea"/>
          <w:b/>
          <w:i/>
        </w:rPr>
        <w:t xml:space="preserve"> un uzņēmējdarbības sekmēšana</w:t>
      </w:r>
      <w:r w:rsidRPr="00B20487">
        <w:rPr>
          <w:rFonts w:eastAsia="+mn-ea"/>
          <w:i/>
        </w:rPr>
        <w:t xml:space="preserve"> </w:t>
      </w:r>
      <w:r w:rsidRPr="00C15139">
        <w:t xml:space="preserve">(atbildīgā institūcija – </w:t>
      </w:r>
      <w:r>
        <w:t>EM, ZM, LM)</w:t>
      </w:r>
    </w:p>
    <w:p w:rsidR="009A044F" w:rsidRPr="006730EA" w:rsidRDefault="009A044F" w:rsidP="009A044F">
      <w:pPr>
        <w:ind w:firstLine="567"/>
      </w:pPr>
      <w:r w:rsidRPr="006730EA">
        <w:t xml:space="preserve">Mērķis ir sniegt atbalstu uzņēmējdarbības uzsācējiem un </w:t>
      </w:r>
      <w:proofErr w:type="spellStart"/>
      <w:r w:rsidRPr="006730EA">
        <w:t>mikrouzņēmējiem</w:t>
      </w:r>
      <w:proofErr w:type="spellEnd"/>
      <w:r w:rsidRPr="006730EA">
        <w:t xml:space="preserve">, lai veicinātu jaunu konkurētspējīgu </w:t>
      </w:r>
      <w:proofErr w:type="spellStart"/>
      <w:r w:rsidRPr="006730EA">
        <w:t>mikro</w:t>
      </w:r>
      <w:proofErr w:type="spellEnd"/>
      <w:r w:rsidRPr="006730EA">
        <w:t xml:space="preserve">, mazo un vidējo komersantu veidošanos un attīstību, atbalstot biznesa inkubatoru darbību, organizējot jauno uzņēmēju apmācības un piešķirot aizdevumus un grantus, kā arī veicināt nelauksaimnieciska rakstura uzņēmējdarbību vai nodarbinātību lauku teritorijā. </w:t>
      </w:r>
    </w:p>
    <w:p w:rsidR="009A044F" w:rsidRDefault="009A044F" w:rsidP="00190888">
      <w:pPr>
        <w:spacing w:before="120"/>
        <w:ind w:firstLine="567"/>
      </w:pPr>
      <w:r>
        <w:t xml:space="preserve">Lai veicinātu jaunu uzņēmumu veidošanos un sekmētu </w:t>
      </w:r>
      <w:proofErr w:type="spellStart"/>
      <w:r>
        <w:t>mikrouzņēmumu</w:t>
      </w:r>
      <w:proofErr w:type="spellEnd"/>
      <w:r>
        <w:t xml:space="preserve"> darbības attīstību, 2010.gadā tika ieviests </w:t>
      </w:r>
      <w:r w:rsidRPr="00F73B2D">
        <w:t xml:space="preserve">regulējums </w:t>
      </w:r>
      <w:proofErr w:type="spellStart"/>
      <w:r w:rsidRPr="00F73B2D">
        <w:t>mikrouzņēmumu</w:t>
      </w:r>
      <w:proofErr w:type="spellEnd"/>
      <w:r w:rsidRPr="00F73B2D">
        <w:t xml:space="preserve"> atbalsta</w:t>
      </w:r>
      <w:r>
        <w:t xml:space="preserve"> aktivitāšu veicināšanai:</w:t>
      </w:r>
    </w:p>
    <w:p w:rsidR="009A044F" w:rsidRPr="00085BA1" w:rsidRDefault="009A044F" w:rsidP="00E84407">
      <w:pPr>
        <w:pStyle w:val="ListParagraph"/>
        <w:numPr>
          <w:ilvl w:val="0"/>
          <w:numId w:val="50"/>
        </w:numPr>
        <w:shd w:val="clear" w:color="auto" w:fill="FFFFFF"/>
        <w:ind w:left="709" w:hanging="283"/>
        <w:rPr>
          <w:rFonts w:eastAsia="Times New Roman" w:cs="Calibri"/>
          <w:color w:val="000000"/>
        </w:rPr>
      </w:pPr>
      <w:r w:rsidRPr="00085BA1">
        <w:rPr>
          <w:rFonts w:eastAsia="Times New Roman" w:cs="Calibri"/>
          <w:color w:val="000000"/>
        </w:rPr>
        <w:t xml:space="preserve">grozījumi </w:t>
      </w:r>
      <w:r w:rsidRPr="00145241">
        <w:rPr>
          <w:rFonts w:eastAsia="Times New Roman" w:cs="Calibri"/>
          <w:i/>
          <w:color w:val="000000"/>
        </w:rPr>
        <w:t>Komerclikumā</w:t>
      </w:r>
      <w:r w:rsidRPr="00085BA1">
        <w:rPr>
          <w:rFonts w:eastAsia="Times New Roman" w:cs="Calibri"/>
          <w:color w:val="000000"/>
        </w:rPr>
        <w:t xml:space="preserve">, kas ieviesa iespēju dibināt SIA ar samazinātu pamatkapitālu, </w:t>
      </w:r>
      <w:r>
        <w:rPr>
          <w:rFonts w:eastAsia="Times New Roman" w:cs="Calibri"/>
          <w:color w:val="000000"/>
        </w:rPr>
        <w:t>ir veicinājuši</w:t>
      </w:r>
      <w:r w:rsidRPr="00085BA1">
        <w:rPr>
          <w:rFonts w:eastAsia="Times New Roman" w:cs="Calibri"/>
          <w:color w:val="000000"/>
        </w:rPr>
        <w:t xml:space="preserve"> </w:t>
      </w:r>
      <w:r>
        <w:t xml:space="preserve">45 518 jaunu </w:t>
      </w:r>
      <w:r w:rsidRPr="00085BA1">
        <w:rPr>
          <w:rFonts w:cs="Calibri"/>
        </w:rPr>
        <w:t>SIA reģistrēšanu U</w:t>
      </w:r>
      <w:r w:rsidR="00F741F8">
        <w:rPr>
          <w:rFonts w:cs="Calibri"/>
        </w:rPr>
        <w:t>zņēmumu reģistrā</w:t>
      </w:r>
      <w:r w:rsidRPr="00085BA1">
        <w:rPr>
          <w:rFonts w:cs="Calibri"/>
        </w:rPr>
        <w:t xml:space="preserve">, un tieši 66% no tām jeb </w:t>
      </w:r>
      <w:r>
        <w:t>30 447</w:t>
      </w:r>
      <w:r w:rsidRPr="00085BA1">
        <w:rPr>
          <w:rFonts w:cs="Calibri"/>
        </w:rPr>
        <w:t xml:space="preserve"> SIA ir ar samazinātu pamatkapitālu </w:t>
      </w:r>
      <w:r w:rsidRPr="00085BA1">
        <w:rPr>
          <w:rFonts w:eastAsia="Times New Roman" w:cs="Calibri"/>
          <w:color w:val="000000"/>
        </w:rPr>
        <w:t xml:space="preserve">(dati uz </w:t>
      </w:r>
      <w:r w:rsidR="00F741F8">
        <w:rPr>
          <w:rFonts w:eastAsia="Times New Roman" w:cs="Calibri"/>
          <w:color w:val="000000"/>
        </w:rPr>
        <w:t>2013.gada 31.martu</w:t>
      </w:r>
      <w:r w:rsidRPr="00085BA1">
        <w:rPr>
          <w:rFonts w:eastAsia="Times New Roman" w:cs="Calibri"/>
          <w:color w:val="000000"/>
        </w:rPr>
        <w:t xml:space="preserve">); </w:t>
      </w:r>
    </w:p>
    <w:p w:rsidR="009A044F" w:rsidRPr="00085BA1" w:rsidRDefault="009A044F" w:rsidP="00E84407">
      <w:pPr>
        <w:pStyle w:val="ListParagraph"/>
        <w:numPr>
          <w:ilvl w:val="0"/>
          <w:numId w:val="50"/>
        </w:numPr>
        <w:shd w:val="clear" w:color="auto" w:fill="FFFFFF"/>
        <w:ind w:left="709" w:hanging="283"/>
        <w:rPr>
          <w:rFonts w:eastAsia="Times New Roman" w:cs="Calibri"/>
          <w:color w:val="000000"/>
        </w:rPr>
      </w:pPr>
      <w:r w:rsidRPr="00085BA1">
        <w:rPr>
          <w:rFonts w:eastAsia="Times New Roman" w:cs="Calibri"/>
          <w:color w:val="000000"/>
        </w:rPr>
        <w:t xml:space="preserve">ieviestais </w:t>
      </w:r>
      <w:proofErr w:type="spellStart"/>
      <w:r w:rsidRPr="00145241">
        <w:rPr>
          <w:rFonts w:eastAsia="Times New Roman" w:cs="Calibri"/>
          <w:i/>
          <w:color w:val="000000"/>
        </w:rPr>
        <w:t>Mikrouzņēmumu</w:t>
      </w:r>
      <w:proofErr w:type="spellEnd"/>
      <w:r w:rsidRPr="00145241">
        <w:rPr>
          <w:rFonts w:eastAsia="Times New Roman" w:cs="Calibri"/>
          <w:i/>
          <w:color w:val="000000"/>
        </w:rPr>
        <w:t xml:space="preserve"> nodokļa likums</w:t>
      </w:r>
      <w:r w:rsidRPr="00085BA1">
        <w:rPr>
          <w:rFonts w:eastAsia="Times New Roman" w:cs="Calibri"/>
          <w:color w:val="000000"/>
        </w:rPr>
        <w:t xml:space="preserve"> veicinājis </w:t>
      </w:r>
      <w:r w:rsidRPr="00085BA1">
        <w:rPr>
          <w:rFonts w:cs="Calibri"/>
        </w:rPr>
        <w:t xml:space="preserve">25 069 </w:t>
      </w:r>
      <w:proofErr w:type="spellStart"/>
      <w:r w:rsidRPr="00085BA1">
        <w:rPr>
          <w:rFonts w:cs="Calibri"/>
        </w:rPr>
        <w:t>mikrouzņēmumu</w:t>
      </w:r>
      <w:proofErr w:type="spellEnd"/>
      <w:r w:rsidRPr="00085BA1">
        <w:rPr>
          <w:rFonts w:cs="Calibri"/>
        </w:rPr>
        <w:t xml:space="preserve"> nodokļa maksātāju reģistrēšanu</w:t>
      </w:r>
      <w:r w:rsidRPr="00085BA1">
        <w:rPr>
          <w:rFonts w:eastAsia="Times New Roman" w:cs="Calibri"/>
          <w:color w:val="000000"/>
        </w:rPr>
        <w:t xml:space="preserve"> VID</w:t>
      </w:r>
      <w:r>
        <w:rPr>
          <w:rFonts w:cs="Calibri"/>
        </w:rPr>
        <w:t xml:space="preserve">, no tiem 15 </w:t>
      </w:r>
      <w:r w:rsidRPr="00085BA1">
        <w:rPr>
          <w:rFonts w:cs="Calibri"/>
        </w:rPr>
        <w:t>365 ir jaundibināti komersanti</w:t>
      </w:r>
      <w:r w:rsidRPr="00085BA1">
        <w:rPr>
          <w:rFonts w:eastAsia="Times New Roman" w:cs="Calibri"/>
          <w:color w:val="000000"/>
        </w:rPr>
        <w:t xml:space="preserve"> (dati uz </w:t>
      </w:r>
      <w:r w:rsidR="00F741F8">
        <w:rPr>
          <w:rFonts w:eastAsia="Times New Roman" w:cs="Calibri"/>
          <w:color w:val="000000"/>
        </w:rPr>
        <w:t>2013.gada 28.februāri</w:t>
      </w:r>
      <w:r w:rsidRPr="00085BA1">
        <w:rPr>
          <w:rFonts w:eastAsia="Times New Roman" w:cs="Calibri"/>
          <w:color w:val="000000"/>
        </w:rPr>
        <w:t xml:space="preserve">). </w:t>
      </w:r>
      <w:r>
        <w:rPr>
          <w:rFonts w:eastAsia="Times New Roman" w:cs="Calibri"/>
          <w:bCs/>
          <w:color w:val="000000"/>
        </w:rPr>
        <w:t>J</w:t>
      </w:r>
      <w:r w:rsidRPr="00085BA1">
        <w:rPr>
          <w:rFonts w:eastAsia="Times New Roman" w:cs="Calibri"/>
          <w:bCs/>
          <w:color w:val="000000"/>
        </w:rPr>
        <w:t xml:space="preserve">āatzīmē, ka šobrīd </w:t>
      </w:r>
      <w:proofErr w:type="spellStart"/>
      <w:r w:rsidRPr="00085BA1">
        <w:rPr>
          <w:rFonts w:eastAsia="Times New Roman" w:cs="Calibri"/>
          <w:bCs/>
          <w:color w:val="000000"/>
        </w:rPr>
        <w:t>mikrouzņēmumos</w:t>
      </w:r>
      <w:proofErr w:type="spellEnd"/>
      <w:r w:rsidRPr="00085BA1">
        <w:rPr>
          <w:rFonts w:eastAsia="Times New Roman" w:cs="Calibri"/>
          <w:bCs/>
          <w:color w:val="000000"/>
        </w:rPr>
        <w:t xml:space="preserve"> strādā vairāk nekā 50</w:t>
      </w:r>
      <w:r>
        <w:rPr>
          <w:rFonts w:eastAsia="Times New Roman" w:cs="Calibri"/>
          <w:bCs/>
          <w:color w:val="000000"/>
        </w:rPr>
        <w:t xml:space="preserve"> </w:t>
      </w:r>
      <w:r w:rsidRPr="00085BA1">
        <w:rPr>
          <w:rFonts w:eastAsia="Times New Roman" w:cs="Calibri"/>
          <w:bCs/>
          <w:color w:val="000000"/>
        </w:rPr>
        <w:t xml:space="preserve">000 darbinieki, kas ir vairāk nekā 12 reizes vairāk nekā 2010.gadā, un to vidējā alga ir 300 </w:t>
      </w:r>
      <w:r w:rsidR="00F741F8">
        <w:rPr>
          <w:rFonts w:eastAsia="Times New Roman" w:cs="Calibri"/>
          <w:bCs/>
          <w:color w:val="000000"/>
        </w:rPr>
        <w:t>lati</w:t>
      </w:r>
      <w:r w:rsidRPr="00085BA1">
        <w:rPr>
          <w:rFonts w:eastAsia="Times New Roman" w:cs="Calibri"/>
          <w:bCs/>
          <w:color w:val="000000"/>
        </w:rPr>
        <w:t xml:space="preserve"> mēnesī</w:t>
      </w:r>
      <w:r>
        <w:rPr>
          <w:rFonts w:eastAsia="Times New Roman" w:cs="Calibri"/>
          <w:bCs/>
          <w:color w:val="000000"/>
        </w:rPr>
        <w:t>;</w:t>
      </w:r>
    </w:p>
    <w:p w:rsidR="009A044F" w:rsidRPr="00085BA1" w:rsidRDefault="009A044F" w:rsidP="00E84407">
      <w:pPr>
        <w:pStyle w:val="ListParagraph"/>
        <w:numPr>
          <w:ilvl w:val="0"/>
          <w:numId w:val="50"/>
        </w:numPr>
        <w:shd w:val="clear" w:color="auto" w:fill="FFFFFF"/>
        <w:ind w:left="709" w:hanging="283"/>
        <w:rPr>
          <w:rFonts w:eastAsia="Times New Roman" w:cs="Calibri"/>
          <w:color w:val="000000"/>
        </w:rPr>
      </w:pPr>
      <w:r w:rsidRPr="00085BA1">
        <w:rPr>
          <w:rFonts w:eastAsia="Times New Roman" w:cs="Calibri"/>
          <w:color w:val="000000"/>
        </w:rPr>
        <w:t xml:space="preserve">savukārt patentmaksu regulējums veicinājis </w:t>
      </w:r>
      <w:proofErr w:type="spellStart"/>
      <w:r w:rsidRPr="00085BA1">
        <w:rPr>
          <w:rFonts w:eastAsia="Times New Roman" w:cs="Calibri"/>
          <w:color w:val="000000"/>
        </w:rPr>
        <w:t>mikro</w:t>
      </w:r>
      <w:proofErr w:type="spellEnd"/>
      <w:r w:rsidRPr="00085BA1">
        <w:rPr>
          <w:rFonts w:eastAsia="Times New Roman" w:cs="Calibri"/>
          <w:color w:val="000000"/>
        </w:rPr>
        <w:t xml:space="preserve"> saimnieciskās darbības veicēju aktivitāti </w:t>
      </w:r>
      <w:r w:rsidR="00F741F8">
        <w:rPr>
          <w:rFonts w:eastAsia="Times New Roman" w:cs="Calibri"/>
          <w:color w:val="000000"/>
        </w:rPr>
        <w:t>–</w:t>
      </w:r>
      <w:r w:rsidRPr="00085BA1">
        <w:rPr>
          <w:rFonts w:eastAsia="Times New Roman" w:cs="Calibri"/>
          <w:color w:val="000000"/>
        </w:rPr>
        <w:t xml:space="preserve"> VID reģistrēti ~5200 reģistrācijas iesniegumi patentmaksas veikšanai (dati uz </w:t>
      </w:r>
      <w:r w:rsidR="00F741F8">
        <w:rPr>
          <w:rFonts w:eastAsia="Times New Roman" w:cs="Calibri"/>
          <w:color w:val="000000"/>
        </w:rPr>
        <w:t>2013.gada 1.martu</w:t>
      </w:r>
      <w:r w:rsidRPr="00085BA1">
        <w:rPr>
          <w:rFonts w:eastAsia="Times New Roman" w:cs="Calibri"/>
          <w:color w:val="000000"/>
        </w:rPr>
        <w:t xml:space="preserve">). </w:t>
      </w:r>
      <w:r w:rsidRPr="00085BA1">
        <w:rPr>
          <w:rFonts w:eastAsia="Times New Roman" w:cs="Calibri"/>
          <w:bCs/>
          <w:color w:val="000000"/>
        </w:rPr>
        <w:t>Vidēji</w:t>
      </w:r>
      <w:r w:rsidR="00D45640">
        <w:rPr>
          <w:rFonts w:eastAsia="Times New Roman" w:cs="Calibri"/>
          <w:bCs/>
          <w:color w:val="000000"/>
        </w:rPr>
        <w:t xml:space="preserve"> </w:t>
      </w:r>
      <w:r w:rsidRPr="00085BA1">
        <w:rPr>
          <w:rFonts w:eastAsia="Times New Roman" w:cs="Calibri"/>
          <w:bCs/>
          <w:color w:val="000000"/>
        </w:rPr>
        <w:t xml:space="preserve">tie ir 300 </w:t>
      </w:r>
      <w:proofErr w:type="spellStart"/>
      <w:r w:rsidRPr="00085BA1">
        <w:rPr>
          <w:rFonts w:eastAsia="Times New Roman" w:cs="Calibri"/>
          <w:bCs/>
          <w:color w:val="000000"/>
        </w:rPr>
        <w:t>patnetmaksas</w:t>
      </w:r>
      <w:proofErr w:type="spellEnd"/>
      <w:r w:rsidRPr="00085BA1">
        <w:rPr>
          <w:rFonts w:eastAsia="Times New Roman" w:cs="Calibri"/>
          <w:bCs/>
          <w:color w:val="000000"/>
        </w:rPr>
        <w:t xml:space="preserve"> maksātāji mēnesī.</w:t>
      </w:r>
    </w:p>
    <w:p w:rsidR="009A044F" w:rsidRPr="00747B81" w:rsidRDefault="009A044F" w:rsidP="00D010F6">
      <w:pPr>
        <w:spacing w:before="120"/>
        <w:ind w:firstLine="567"/>
      </w:pPr>
      <w:r w:rsidRPr="00747B81">
        <w:rPr>
          <w:color w:val="000000"/>
        </w:rPr>
        <w:t xml:space="preserve">Lai palīdzētu attīstīties jauniem uzņēmumiem, atbalstot tos agrīnās attīstības stadijā ar infrastruktūras un konsultatīvajiem pakalpojumiem, 2012.gadā tika turpināta programmas </w:t>
      </w:r>
      <w:r w:rsidRPr="00F73B2D">
        <w:rPr>
          <w:i/>
          <w:color w:val="000000"/>
        </w:rPr>
        <w:t>„Biznesa inkubatori”</w:t>
      </w:r>
      <w:r w:rsidRPr="00747B81">
        <w:rPr>
          <w:color w:val="000000"/>
        </w:rPr>
        <w:t xml:space="preserve"> īstenošana. Biznesa inkubācijas pakalpojumi bija pieejami visos Latvijas reģionos, vairāk kā 20 Latvijas pilsētās. Kopumā 9 biznesa inkubatoru Latvijas reģionos un radošā biznesa inkubatora Rīgā darbības rezultātā 2012.gadā atbalsts tika sniegts 546 uzņēmumiem, no kuriem 188 bija jaunuzņemtie uzņēmumi. Inkubējamajos uzņēmumos ir izveidotas (saglabātas) 1164 darba vietas. Biznesa inkubatoru sniegto atbalsta pakalpojumu nodrošināšanai programmas ietvaros laikā no 2009.</w:t>
      </w:r>
      <w:r w:rsidR="00F73B2D">
        <w:rPr>
          <w:color w:val="000000"/>
        </w:rPr>
        <w:t xml:space="preserve">gada līdz </w:t>
      </w:r>
      <w:r w:rsidRPr="00747B81">
        <w:rPr>
          <w:color w:val="000000"/>
        </w:rPr>
        <w:t xml:space="preserve">2012.gadam izlietoti 8,6 </w:t>
      </w:r>
      <w:proofErr w:type="spellStart"/>
      <w:r w:rsidRPr="00747B81">
        <w:rPr>
          <w:color w:val="000000"/>
        </w:rPr>
        <w:t>milj</w:t>
      </w:r>
      <w:proofErr w:type="spellEnd"/>
      <w:r w:rsidRPr="00747B81">
        <w:rPr>
          <w:color w:val="000000"/>
        </w:rPr>
        <w:t xml:space="preserve">. latu, no tiem 2012.gadā izmaksāts 2,2 </w:t>
      </w:r>
      <w:proofErr w:type="spellStart"/>
      <w:r w:rsidRPr="00747B81">
        <w:rPr>
          <w:color w:val="000000"/>
        </w:rPr>
        <w:t>milj</w:t>
      </w:r>
      <w:proofErr w:type="spellEnd"/>
      <w:r w:rsidRPr="00747B81">
        <w:rPr>
          <w:color w:val="000000"/>
        </w:rPr>
        <w:t xml:space="preserve">. latu, bet 2013.gadā plānots izmaksāt 2,9 </w:t>
      </w:r>
      <w:proofErr w:type="spellStart"/>
      <w:r w:rsidRPr="00747B81">
        <w:rPr>
          <w:color w:val="000000"/>
        </w:rPr>
        <w:t>milj</w:t>
      </w:r>
      <w:proofErr w:type="spellEnd"/>
      <w:r w:rsidRPr="00747B81">
        <w:rPr>
          <w:color w:val="000000"/>
        </w:rPr>
        <w:t>. latu</w:t>
      </w:r>
      <w:r w:rsidRPr="00747B81">
        <w:t>.</w:t>
      </w:r>
    </w:p>
    <w:p w:rsidR="009A044F" w:rsidRPr="00085BA1" w:rsidRDefault="009A044F" w:rsidP="00F73B2D">
      <w:pPr>
        <w:pStyle w:val="BodyText0"/>
        <w:spacing w:before="120" w:after="0"/>
        <w:ind w:firstLine="567"/>
        <w:rPr>
          <w:bCs/>
        </w:rPr>
      </w:pPr>
      <w:r>
        <w:rPr>
          <w:bCs/>
        </w:rPr>
        <w:t xml:space="preserve">Lai veicinātu </w:t>
      </w:r>
      <w:r w:rsidRPr="00085BA1">
        <w:rPr>
          <w:bCs/>
        </w:rPr>
        <w:t>iedzīvotāj</w:t>
      </w:r>
      <w:r>
        <w:rPr>
          <w:bCs/>
        </w:rPr>
        <w:t>u ekonomisko aktivitā</w:t>
      </w:r>
      <w:r w:rsidR="00F73B2D">
        <w:rPr>
          <w:bCs/>
        </w:rPr>
        <w:t>t</w:t>
      </w:r>
      <w:r>
        <w:rPr>
          <w:bCs/>
        </w:rPr>
        <w:t xml:space="preserve">i </w:t>
      </w:r>
      <w:r w:rsidRPr="00085BA1">
        <w:rPr>
          <w:bCs/>
        </w:rPr>
        <w:t xml:space="preserve">darbspējas vecumā, ieskaitot bezdarbniekus, kuri ir izteikuši vēlmi uzsākt komercdarbību vai </w:t>
      </w:r>
      <w:proofErr w:type="spellStart"/>
      <w:r w:rsidRPr="00085BA1">
        <w:rPr>
          <w:bCs/>
        </w:rPr>
        <w:t>pašnodarbinātību</w:t>
      </w:r>
      <w:proofErr w:type="spellEnd"/>
      <w:r w:rsidRPr="00085BA1">
        <w:rPr>
          <w:bCs/>
        </w:rPr>
        <w:t>, kā arī jaundibināt</w:t>
      </w:r>
      <w:r>
        <w:rPr>
          <w:bCs/>
        </w:rPr>
        <w:t>o</w:t>
      </w:r>
      <w:r w:rsidRPr="00085BA1">
        <w:rPr>
          <w:bCs/>
        </w:rPr>
        <w:t xml:space="preserve"> komersant</w:t>
      </w:r>
      <w:r>
        <w:rPr>
          <w:bCs/>
        </w:rPr>
        <w:t>u veidošanos, tiek turpināta p</w:t>
      </w:r>
      <w:r w:rsidRPr="00085BA1">
        <w:rPr>
          <w:bCs/>
        </w:rPr>
        <w:t xml:space="preserve">rogramma </w:t>
      </w:r>
      <w:r w:rsidR="00F73B2D" w:rsidRPr="00F73B2D">
        <w:rPr>
          <w:bCs/>
          <w:i/>
        </w:rPr>
        <w:t>„</w:t>
      </w:r>
      <w:r w:rsidRPr="00F73B2D">
        <w:rPr>
          <w:i/>
        </w:rPr>
        <w:t xml:space="preserve">Atbalsts </w:t>
      </w:r>
      <w:proofErr w:type="spellStart"/>
      <w:r w:rsidRPr="00F73B2D">
        <w:rPr>
          <w:i/>
        </w:rPr>
        <w:t>pašnodarbinātības</w:t>
      </w:r>
      <w:proofErr w:type="spellEnd"/>
      <w:r w:rsidRPr="00F73B2D">
        <w:rPr>
          <w:bCs/>
          <w:i/>
        </w:rPr>
        <w:t xml:space="preserve"> un </w:t>
      </w:r>
      <w:r w:rsidRPr="00F73B2D">
        <w:rPr>
          <w:i/>
        </w:rPr>
        <w:t>uzņēmējdarbības uzsākšanai</w:t>
      </w:r>
      <w:r w:rsidR="00F73B2D" w:rsidRPr="00F73B2D">
        <w:rPr>
          <w:i/>
        </w:rPr>
        <w:t>”</w:t>
      </w:r>
      <w:r w:rsidRPr="008D3D38">
        <w:t>, kas</w:t>
      </w:r>
      <w:r w:rsidRPr="00286660">
        <w:rPr>
          <w:bCs/>
        </w:rPr>
        <w:t xml:space="preserve"> </w:t>
      </w:r>
      <w:r w:rsidRPr="00085BA1">
        <w:t xml:space="preserve">piedāvā kompleksu atbalstu, </w:t>
      </w:r>
      <w:proofErr w:type="spellStart"/>
      <w:r w:rsidRPr="00085BA1">
        <w:t>t.i</w:t>
      </w:r>
      <w:proofErr w:type="spellEnd"/>
      <w:r w:rsidRPr="00085BA1">
        <w:t>., konsultācijas, apmācības un finansējumu aizdevumu un grantu veidā sava biznesa uzsākšanai.</w:t>
      </w:r>
      <w:r w:rsidRPr="00085BA1">
        <w:rPr>
          <w:b/>
        </w:rPr>
        <w:t xml:space="preserve"> </w:t>
      </w:r>
      <w:r w:rsidRPr="00085BA1">
        <w:rPr>
          <w:bCs/>
        </w:rPr>
        <w:t xml:space="preserve">Kopējais programmas finansējums ir 23 </w:t>
      </w:r>
      <w:proofErr w:type="spellStart"/>
      <w:r w:rsidRPr="00085BA1">
        <w:rPr>
          <w:bCs/>
        </w:rPr>
        <w:t>milj</w:t>
      </w:r>
      <w:proofErr w:type="spellEnd"/>
      <w:r w:rsidRPr="00085BA1">
        <w:rPr>
          <w:bCs/>
        </w:rPr>
        <w:t>. latu. Paredzēts, ka programm</w:t>
      </w:r>
      <w:r w:rsidR="00F73B2D">
        <w:rPr>
          <w:bCs/>
        </w:rPr>
        <w:t>as darbības ietvaros līdz 2013.</w:t>
      </w:r>
      <w:r w:rsidRPr="00085BA1">
        <w:rPr>
          <w:bCs/>
        </w:rPr>
        <w:t xml:space="preserve">gada beigām tiks apmācīti 1200 uzsācēju, bet finansējumu (aizdevums un granti) saņems 800. Kopš programmas uzsākšanas 2009.gadā ar 3147 programmas interesentiem ir noslēgta sadarbības vienošanās, 1657 klienti ir iesnieguši biznesa plānus, </w:t>
      </w:r>
      <w:proofErr w:type="spellStart"/>
      <w:r w:rsidRPr="00085BA1">
        <w:rPr>
          <w:bCs/>
        </w:rPr>
        <w:t>t.sk</w:t>
      </w:r>
      <w:proofErr w:type="spellEnd"/>
      <w:r w:rsidRPr="00085BA1">
        <w:rPr>
          <w:bCs/>
        </w:rPr>
        <w:t xml:space="preserve">. ir atbalstīti 857 uzsācēju projekti par kopējo aizdevumu summu 9,9 </w:t>
      </w:r>
      <w:proofErr w:type="spellStart"/>
      <w:r w:rsidRPr="00085BA1">
        <w:rPr>
          <w:bCs/>
        </w:rPr>
        <w:t>milj</w:t>
      </w:r>
      <w:proofErr w:type="spellEnd"/>
      <w:r w:rsidRPr="00085BA1">
        <w:rPr>
          <w:bCs/>
        </w:rPr>
        <w:t>. latu apmērā. 802 projektu gadījumā ir piešķirti arī granti, un tajos izmaksāti 3,4 </w:t>
      </w:r>
      <w:proofErr w:type="spellStart"/>
      <w:r w:rsidRPr="00085BA1">
        <w:rPr>
          <w:bCs/>
        </w:rPr>
        <w:t>milj</w:t>
      </w:r>
      <w:proofErr w:type="spellEnd"/>
      <w:r w:rsidRPr="00085BA1">
        <w:rPr>
          <w:bCs/>
        </w:rPr>
        <w:t xml:space="preserve">. latu. </w:t>
      </w:r>
      <w:r>
        <w:rPr>
          <w:bCs/>
        </w:rPr>
        <w:t>Kopš 2010.gada a</w:t>
      </w:r>
      <w:r w:rsidRPr="00085BA1">
        <w:rPr>
          <w:bCs/>
        </w:rPr>
        <w:t>pmācīb</w:t>
      </w:r>
      <w:r>
        <w:rPr>
          <w:bCs/>
        </w:rPr>
        <w:t>ā</w:t>
      </w:r>
      <w:r w:rsidRPr="00085BA1">
        <w:rPr>
          <w:bCs/>
        </w:rPr>
        <w:t xml:space="preserve">s teorētisko un praktisko zināšanu </w:t>
      </w:r>
      <w:r>
        <w:rPr>
          <w:bCs/>
        </w:rPr>
        <w:t xml:space="preserve">pilnveidošanai </w:t>
      </w:r>
      <w:r w:rsidRPr="00085BA1">
        <w:rPr>
          <w:bCs/>
        </w:rPr>
        <w:t>komercdarbības veikšanai un biznesa plāna sagatavošanai apmācīti 1624 programmas dalībnieki.</w:t>
      </w:r>
    </w:p>
    <w:p w:rsidR="00DD73C0" w:rsidRDefault="009A044F" w:rsidP="009A044F">
      <w:pPr>
        <w:spacing w:before="120" w:after="120"/>
        <w:ind w:firstLine="567"/>
        <w:rPr>
          <w:bCs/>
        </w:rPr>
      </w:pPr>
      <w:r>
        <w:rPr>
          <w:bCs/>
        </w:rPr>
        <w:t>2012.</w:t>
      </w:r>
      <w:r w:rsidRPr="007E02AF">
        <w:rPr>
          <w:bCs/>
        </w:rPr>
        <w:t xml:space="preserve">gada maijā </w:t>
      </w:r>
      <w:r w:rsidR="00F73B2D">
        <w:rPr>
          <w:bCs/>
        </w:rPr>
        <w:t>MK</w:t>
      </w:r>
      <w:r w:rsidRPr="007E02AF">
        <w:rPr>
          <w:bCs/>
        </w:rPr>
        <w:t xml:space="preserve"> apstiprināja </w:t>
      </w:r>
      <w:r w:rsidRPr="00F73B2D">
        <w:rPr>
          <w:bCs/>
          <w:i/>
        </w:rPr>
        <w:t>Lauksaimniecības zemes iegādes kreditēšanas programmas</w:t>
      </w:r>
      <w:r w:rsidRPr="007E02AF">
        <w:rPr>
          <w:b/>
          <w:bCs/>
          <w:i/>
        </w:rPr>
        <w:t xml:space="preserve"> </w:t>
      </w:r>
      <w:r w:rsidRPr="007E02AF">
        <w:rPr>
          <w:bCs/>
        </w:rPr>
        <w:t xml:space="preserve">noteikumus. Programmas ietvaros pieejami aizdevumi līdz 100 </w:t>
      </w:r>
      <w:proofErr w:type="spellStart"/>
      <w:r w:rsidRPr="007E02AF">
        <w:rPr>
          <w:bCs/>
        </w:rPr>
        <w:t>tūkst</w:t>
      </w:r>
      <w:proofErr w:type="spellEnd"/>
      <w:r w:rsidRPr="007E02AF">
        <w:rPr>
          <w:bCs/>
        </w:rPr>
        <w:t xml:space="preserve">. latu lauksaimniecībā izmantojamās zemes iegādei lauksaimniecības produktu ražošanai un uz tās esošu būvju iegādei, ja būvju kadastrālā vērtība nepārsniedz 30% no zemes kadastrālās vērtības. Programmas kopējais budžets ir 10 </w:t>
      </w:r>
      <w:proofErr w:type="spellStart"/>
      <w:r w:rsidRPr="007E02AF">
        <w:rPr>
          <w:bCs/>
        </w:rPr>
        <w:t>milj</w:t>
      </w:r>
      <w:proofErr w:type="spellEnd"/>
      <w:r w:rsidRPr="007E02AF">
        <w:rPr>
          <w:bCs/>
        </w:rPr>
        <w:t>. latu, un aizdevumi tās i</w:t>
      </w:r>
      <w:r w:rsidR="00F73B2D">
        <w:rPr>
          <w:bCs/>
        </w:rPr>
        <w:t>etvaros būs pieejami līdz 2013.</w:t>
      </w:r>
      <w:r w:rsidRPr="007E02AF">
        <w:rPr>
          <w:bCs/>
        </w:rPr>
        <w:t>gada beigām. Programmas prakt</w:t>
      </w:r>
      <w:r w:rsidR="00F73B2D">
        <w:rPr>
          <w:bCs/>
        </w:rPr>
        <w:t>iskā darbība tika uzsākta 2012.</w:t>
      </w:r>
      <w:r w:rsidRPr="007E02AF">
        <w:rPr>
          <w:bCs/>
        </w:rPr>
        <w:t xml:space="preserve">gada jūlijā, un līdz </w:t>
      </w:r>
      <w:r>
        <w:rPr>
          <w:bCs/>
        </w:rPr>
        <w:t>2012.gada beigām</w:t>
      </w:r>
      <w:r w:rsidRPr="007E02AF">
        <w:rPr>
          <w:bCs/>
        </w:rPr>
        <w:t xml:space="preserve"> </w:t>
      </w:r>
      <w:r>
        <w:rPr>
          <w:bCs/>
        </w:rPr>
        <w:t>tika</w:t>
      </w:r>
      <w:r w:rsidRPr="007E02AF">
        <w:rPr>
          <w:bCs/>
        </w:rPr>
        <w:t xml:space="preserve"> piešķirti 46 aizdevumi 1,9 </w:t>
      </w:r>
      <w:proofErr w:type="spellStart"/>
      <w:r w:rsidRPr="007E02AF">
        <w:rPr>
          <w:bCs/>
        </w:rPr>
        <w:t>milj</w:t>
      </w:r>
      <w:proofErr w:type="spellEnd"/>
      <w:r w:rsidRPr="007E02AF">
        <w:rPr>
          <w:bCs/>
        </w:rPr>
        <w:t>. latu apmērā</w:t>
      </w:r>
      <w:r>
        <w:rPr>
          <w:bCs/>
        </w:rPr>
        <w:t>.</w:t>
      </w:r>
    </w:p>
    <w:p w:rsidR="00B20487" w:rsidRPr="00B20487" w:rsidRDefault="00DD73C0" w:rsidP="009A044F">
      <w:pPr>
        <w:spacing w:before="120" w:after="120"/>
        <w:ind w:firstLine="567"/>
        <w:rPr>
          <w:b/>
          <w:i/>
        </w:rPr>
      </w:pPr>
      <w:r>
        <w:rPr>
          <w:rFonts w:eastAsia="Times New Roman"/>
        </w:rPr>
        <w:t xml:space="preserve">Kopumā augstākminēti pasākumi saistās arī ar </w:t>
      </w:r>
      <w:r w:rsidR="00980D51" w:rsidRPr="00353580">
        <w:rPr>
          <w:i/>
        </w:rPr>
        <w:t>2013.gada izaugsmes ziņojuma</w:t>
      </w:r>
      <w:r w:rsidR="00980D51">
        <w:t xml:space="preserve"> prioritāti attiecībā uz bezdarba un sociālo problēmu risināšanu, kā arī</w:t>
      </w:r>
      <w:r w:rsidR="00980D51">
        <w:rPr>
          <w:rFonts w:eastAsia="Times New Roman"/>
        </w:rPr>
        <w:t xml:space="preserve"> </w:t>
      </w:r>
      <w:r w:rsidRPr="00FF5C3A">
        <w:rPr>
          <w:rFonts w:eastAsia="Times New Roman"/>
          <w:i/>
        </w:rPr>
        <w:t>„Eiropa 2020”</w:t>
      </w:r>
      <w:r>
        <w:rPr>
          <w:rFonts w:eastAsia="Times New Roman"/>
        </w:rPr>
        <w:t xml:space="preserve"> stratēģijas vadošo </w:t>
      </w:r>
      <w:r>
        <w:rPr>
          <w:rFonts w:eastAsia="Times New Roman"/>
        </w:rPr>
        <w:lastRenderedPageBreak/>
        <w:t xml:space="preserve">iniciatīvu </w:t>
      </w:r>
      <w:r w:rsidRPr="00935AB4">
        <w:rPr>
          <w:rFonts w:eastAsia="Times New Roman"/>
          <w:i/>
        </w:rPr>
        <w:t>„Jaunu prasmju un darbavietu programma”</w:t>
      </w:r>
      <w:r>
        <w:rPr>
          <w:rFonts w:eastAsia="Times New Roman"/>
          <w:i/>
        </w:rPr>
        <w:t>, „Eiropas platforma cīņai pret nabadzību”</w:t>
      </w:r>
      <w:r>
        <w:rPr>
          <w:rFonts w:eastAsia="Times New Roman"/>
        </w:rPr>
        <w:t xml:space="preserve"> īstenošanu.</w:t>
      </w:r>
      <w:r w:rsidR="00145241" w:rsidRPr="00B20487" w:rsidDel="00145241">
        <w:rPr>
          <w:b/>
          <w:i/>
          <w:highlight w:val="yellow"/>
        </w:rPr>
        <w:t xml:space="preserve"> </w:t>
      </w:r>
    </w:p>
    <w:p w:rsidR="000A703D" w:rsidRPr="00B703A3" w:rsidRDefault="000A703D" w:rsidP="005B171D">
      <w:pPr>
        <w:pStyle w:val="Heading2"/>
        <w:spacing w:before="360" w:after="120"/>
        <w:jc w:val="center"/>
        <w:rPr>
          <w:rFonts w:ascii="Times New Roman Bold" w:hAnsi="Times New Roman Bold"/>
          <w:smallCaps/>
          <w:sz w:val="24"/>
          <w:szCs w:val="24"/>
        </w:rPr>
      </w:pPr>
      <w:bookmarkStart w:id="29" w:name="_Toc354384940"/>
      <w:r w:rsidRPr="00B703A3">
        <w:rPr>
          <w:rFonts w:ascii="Times New Roman Bold" w:hAnsi="Times New Roman Bold"/>
          <w:smallCaps/>
          <w:sz w:val="24"/>
          <w:szCs w:val="24"/>
        </w:rPr>
        <w:t>3.4. Izglītība</w:t>
      </w:r>
      <w:bookmarkEnd w:id="29"/>
    </w:p>
    <w:p w:rsidR="00A87BBC" w:rsidRPr="00C43284" w:rsidRDefault="00A87BBC" w:rsidP="00A87BBC">
      <w:pPr>
        <w:pStyle w:val="Heading3"/>
        <w:spacing w:before="240" w:after="120"/>
        <w:ind w:left="567"/>
        <w:rPr>
          <w:rFonts w:ascii="Times New Roman" w:hAnsi="Times New Roman" w:cs="Times New Roman"/>
          <w:color w:val="auto"/>
        </w:rPr>
      </w:pPr>
      <w:bookmarkStart w:id="30" w:name="_Toc354384941"/>
      <w:r w:rsidRPr="00C43284">
        <w:rPr>
          <w:rFonts w:ascii="Times New Roman" w:hAnsi="Times New Roman" w:cs="Times New Roman"/>
          <w:color w:val="auto"/>
        </w:rPr>
        <w:t>3.4.1. Vispārējā izglītība</w:t>
      </w:r>
      <w:bookmarkEnd w:id="30"/>
      <w:r w:rsidR="00C57AC0">
        <w:rPr>
          <w:rFonts w:ascii="Times New Roman" w:hAnsi="Times New Roman" w:cs="Times New Roman"/>
          <w:color w:val="auto"/>
        </w:rPr>
        <w:t xml:space="preserve"> </w:t>
      </w:r>
    </w:p>
    <w:p w:rsidR="005B0BAD" w:rsidRPr="00740507" w:rsidRDefault="005B0BAD" w:rsidP="005B0BAD">
      <w:pPr>
        <w:ind w:firstLine="567"/>
      </w:pPr>
      <w:r w:rsidRPr="00C43284">
        <w:t xml:space="preserve">Latvijas NRP mērķis ir samazināt skolu nepabeigušo jauniešu (18-24 gadu vecumā) īpatsvaru līdz </w:t>
      </w:r>
      <w:r w:rsidR="00020BCC" w:rsidRPr="00020BCC">
        <w:t>13,4</w:t>
      </w:r>
      <w:r w:rsidRPr="00020BCC">
        <w:t>% 2020.gadā.</w:t>
      </w:r>
      <w:r w:rsidRPr="00C43284">
        <w:t xml:space="preserve"> </w:t>
      </w:r>
      <w:r w:rsidR="00740507">
        <w:t>Ņemot vērā līdzšinējo Latvijas NRP mērķa rādītāja sasniegšanas progresu,</w:t>
      </w:r>
      <w:r w:rsidR="00740507">
        <w:rPr>
          <w:b/>
          <w:i/>
        </w:rPr>
        <w:t xml:space="preserve"> </w:t>
      </w:r>
      <w:r w:rsidR="00740507" w:rsidRPr="00740507">
        <w:t>plānots pārvērtēt mērķa rādītāju 2020.gadam, pazeminot to no 13,4% līdz 10,0%</w:t>
      </w:r>
      <w:r w:rsidR="00740507">
        <w:t>.</w:t>
      </w:r>
    </w:p>
    <w:p w:rsidR="005B0BAD" w:rsidRPr="00C43284" w:rsidRDefault="005B0BAD" w:rsidP="005B0BAD">
      <w:pPr>
        <w:jc w:val="right"/>
      </w:pPr>
      <w:r w:rsidRPr="00C43284">
        <w:t xml:space="preserve">4.tabula </w:t>
      </w:r>
    </w:p>
    <w:p w:rsidR="005B0BAD" w:rsidRPr="00C43284" w:rsidRDefault="005B0BAD" w:rsidP="005B0BAD">
      <w:pPr>
        <w:spacing w:after="60"/>
        <w:jc w:val="center"/>
      </w:pPr>
      <w:r>
        <w:t xml:space="preserve">Jauniešu, kuri </w:t>
      </w:r>
      <w:r w:rsidR="004E3869">
        <w:t xml:space="preserve">priekšlaicīgi </w:t>
      </w:r>
      <w:r>
        <w:t>pārtraukuši mācības,</w:t>
      </w:r>
      <w:r w:rsidRPr="00C43284">
        <w:t xml:space="preserve"> īpatsvara samazināšanas trajektorija</w:t>
      </w:r>
    </w:p>
    <w:tbl>
      <w:tblPr>
        <w:tblW w:w="4997" w:type="pct"/>
        <w:jc w:val="center"/>
        <w:tblBorders>
          <w:top w:val="single" w:sz="8" w:space="0" w:color="000000"/>
          <w:bottom w:val="single" w:sz="8" w:space="0" w:color="000000"/>
        </w:tblBorders>
        <w:tblLook w:val="04A0" w:firstRow="1" w:lastRow="0" w:firstColumn="1" w:lastColumn="0" w:noHBand="0" w:noVBand="1"/>
      </w:tblPr>
      <w:tblGrid>
        <w:gridCol w:w="3392"/>
        <w:gridCol w:w="984"/>
        <w:gridCol w:w="984"/>
        <w:gridCol w:w="984"/>
        <w:gridCol w:w="984"/>
        <w:gridCol w:w="978"/>
        <w:gridCol w:w="975"/>
      </w:tblGrid>
      <w:tr w:rsidR="005B0BAD" w:rsidRPr="00C43284" w:rsidTr="006F290F">
        <w:trPr>
          <w:trHeight w:val="340"/>
          <w:jc w:val="center"/>
        </w:trPr>
        <w:tc>
          <w:tcPr>
            <w:tcW w:w="1828" w:type="pct"/>
            <w:tcBorders>
              <w:top w:val="single" w:sz="8" w:space="0" w:color="000000"/>
              <w:left w:val="nil"/>
              <w:bottom w:val="single" w:sz="8" w:space="0" w:color="000000"/>
              <w:right w:val="nil"/>
            </w:tcBorders>
          </w:tcPr>
          <w:p w:rsidR="005B0BAD" w:rsidRPr="00C43284" w:rsidRDefault="005B0BAD" w:rsidP="006F290F">
            <w:pPr>
              <w:jc w:val="center"/>
              <w:rPr>
                <w:b/>
                <w:bCs/>
                <w:color w:val="000000"/>
              </w:rPr>
            </w:pPr>
          </w:p>
        </w:tc>
        <w:tc>
          <w:tcPr>
            <w:tcW w:w="530" w:type="pct"/>
            <w:tcBorders>
              <w:top w:val="single" w:sz="8" w:space="0" w:color="000000"/>
              <w:left w:val="nil"/>
              <w:bottom w:val="single" w:sz="8" w:space="0" w:color="000000"/>
              <w:right w:val="nil"/>
            </w:tcBorders>
          </w:tcPr>
          <w:p w:rsidR="005B0BAD" w:rsidRPr="00C43284" w:rsidRDefault="005B0BAD" w:rsidP="006F290F">
            <w:pPr>
              <w:jc w:val="center"/>
              <w:rPr>
                <w:b/>
                <w:bCs/>
                <w:color w:val="000000"/>
              </w:rPr>
            </w:pPr>
            <w:r w:rsidRPr="00C43284">
              <w:rPr>
                <w:b/>
                <w:color w:val="000000"/>
              </w:rPr>
              <w:t>2008</w:t>
            </w:r>
          </w:p>
        </w:tc>
        <w:tc>
          <w:tcPr>
            <w:tcW w:w="530" w:type="pct"/>
            <w:tcBorders>
              <w:top w:val="single" w:sz="8" w:space="0" w:color="000000"/>
              <w:left w:val="nil"/>
              <w:bottom w:val="single" w:sz="8" w:space="0" w:color="000000"/>
              <w:right w:val="nil"/>
            </w:tcBorders>
          </w:tcPr>
          <w:p w:rsidR="005B0BAD" w:rsidRPr="00C43284" w:rsidRDefault="005B0BAD" w:rsidP="006F290F">
            <w:pPr>
              <w:jc w:val="center"/>
              <w:rPr>
                <w:b/>
                <w:bCs/>
                <w:color w:val="000000"/>
              </w:rPr>
            </w:pPr>
            <w:r w:rsidRPr="00C43284">
              <w:rPr>
                <w:b/>
                <w:color w:val="000000"/>
              </w:rPr>
              <w:t>2009</w:t>
            </w:r>
          </w:p>
        </w:tc>
        <w:tc>
          <w:tcPr>
            <w:tcW w:w="530" w:type="pct"/>
            <w:tcBorders>
              <w:top w:val="single" w:sz="8" w:space="0" w:color="000000"/>
              <w:left w:val="nil"/>
              <w:bottom w:val="single" w:sz="8" w:space="0" w:color="000000"/>
              <w:right w:val="nil"/>
            </w:tcBorders>
          </w:tcPr>
          <w:p w:rsidR="005B0BAD" w:rsidRPr="00C43284" w:rsidRDefault="005B0BAD" w:rsidP="006F290F">
            <w:pPr>
              <w:jc w:val="center"/>
              <w:rPr>
                <w:b/>
                <w:bCs/>
                <w:color w:val="000000"/>
              </w:rPr>
            </w:pPr>
            <w:r w:rsidRPr="00C43284">
              <w:rPr>
                <w:b/>
                <w:color w:val="000000"/>
              </w:rPr>
              <w:t>2010</w:t>
            </w:r>
          </w:p>
        </w:tc>
        <w:tc>
          <w:tcPr>
            <w:tcW w:w="530" w:type="pct"/>
            <w:tcBorders>
              <w:top w:val="single" w:sz="8" w:space="0" w:color="000000"/>
              <w:left w:val="nil"/>
              <w:bottom w:val="single" w:sz="8" w:space="0" w:color="000000"/>
              <w:right w:val="nil"/>
            </w:tcBorders>
          </w:tcPr>
          <w:p w:rsidR="005B0BAD" w:rsidRPr="00C43284" w:rsidRDefault="005B0BAD" w:rsidP="006F290F">
            <w:pPr>
              <w:jc w:val="center"/>
              <w:rPr>
                <w:b/>
                <w:color w:val="000000"/>
              </w:rPr>
            </w:pPr>
            <w:r w:rsidRPr="00C43284">
              <w:rPr>
                <w:b/>
                <w:color w:val="000000"/>
              </w:rPr>
              <w:t>2011</w:t>
            </w:r>
            <w:r w:rsidRPr="00C43284">
              <w:rPr>
                <w:color w:val="000000"/>
              </w:rPr>
              <w:t>*</w:t>
            </w:r>
          </w:p>
        </w:tc>
        <w:tc>
          <w:tcPr>
            <w:tcW w:w="527" w:type="pct"/>
            <w:tcBorders>
              <w:top w:val="single" w:sz="8" w:space="0" w:color="000000"/>
              <w:left w:val="nil"/>
              <w:bottom w:val="single" w:sz="8" w:space="0" w:color="000000"/>
              <w:right w:val="nil"/>
            </w:tcBorders>
          </w:tcPr>
          <w:p w:rsidR="005B0BAD" w:rsidRPr="00C43284" w:rsidRDefault="005B0BAD" w:rsidP="006F290F">
            <w:pPr>
              <w:jc w:val="center"/>
              <w:rPr>
                <w:b/>
                <w:color w:val="000000"/>
              </w:rPr>
            </w:pPr>
            <w:r>
              <w:rPr>
                <w:b/>
                <w:color w:val="000000"/>
              </w:rPr>
              <w:t>2012</w:t>
            </w:r>
          </w:p>
        </w:tc>
        <w:tc>
          <w:tcPr>
            <w:tcW w:w="527" w:type="pct"/>
            <w:tcBorders>
              <w:top w:val="single" w:sz="8" w:space="0" w:color="000000"/>
              <w:left w:val="nil"/>
              <w:bottom w:val="single" w:sz="8" w:space="0" w:color="000000"/>
              <w:right w:val="nil"/>
            </w:tcBorders>
          </w:tcPr>
          <w:p w:rsidR="005B0BAD" w:rsidRPr="00C43284" w:rsidRDefault="005B0BAD" w:rsidP="006F290F">
            <w:pPr>
              <w:jc w:val="center"/>
              <w:rPr>
                <w:b/>
                <w:bCs/>
                <w:color w:val="000000"/>
              </w:rPr>
            </w:pPr>
            <w:r w:rsidRPr="00C43284">
              <w:rPr>
                <w:b/>
                <w:color w:val="000000"/>
              </w:rPr>
              <w:t>2020</w:t>
            </w:r>
          </w:p>
        </w:tc>
      </w:tr>
      <w:tr w:rsidR="005B0BAD" w:rsidRPr="00C43284" w:rsidTr="006F290F">
        <w:trPr>
          <w:trHeight w:val="340"/>
          <w:jc w:val="center"/>
        </w:trPr>
        <w:tc>
          <w:tcPr>
            <w:tcW w:w="1828" w:type="pct"/>
            <w:tcBorders>
              <w:left w:val="nil"/>
              <w:right w:val="nil"/>
            </w:tcBorders>
            <w:shd w:val="clear" w:color="auto" w:fill="D9D9D9"/>
          </w:tcPr>
          <w:p w:rsidR="005B0BAD" w:rsidRPr="00C43284" w:rsidRDefault="005B0BAD" w:rsidP="006F290F">
            <w:pPr>
              <w:spacing w:before="40" w:after="40"/>
              <w:rPr>
                <w:b/>
                <w:bCs/>
                <w:color w:val="000000"/>
              </w:rPr>
            </w:pPr>
            <w:r>
              <w:rPr>
                <w:bCs/>
                <w:color w:val="000000"/>
              </w:rPr>
              <w:t>Jaunieši, kuru izglītības līmenis ir pamatizglītība vai zemāka un, kuri vairs nemācās</w:t>
            </w:r>
          </w:p>
        </w:tc>
        <w:tc>
          <w:tcPr>
            <w:tcW w:w="530" w:type="pct"/>
            <w:tcBorders>
              <w:left w:val="nil"/>
              <w:right w:val="nil"/>
            </w:tcBorders>
            <w:shd w:val="clear" w:color="auto" w:fill="D9D9D9"/>
          </w:tcPr>
          <w:p w:rsidR="005B0BAD" w:rsidRPr="00C43284" w:rsidRDefault="005B0BAD" w:rsidP="006F290F">
            <w:pPr>
              <w:spacing w:before="40" w:after="40"/>
              <w:jc w:val="center"/>
              <w:rPr>
                <w:color w:val="000000"/>
              </w:rPr>
            </w:pPr>
            <w:r w:rsidRPr="00C43284">
              <w:rPr>
                <w:color w:val="000000"/>
              </w:rPr>
              <w:t xml:space="preserve">15,5 </w:t>
            </w:r>
          </w:p>
        </w:tc>
        <w:tc>
          <w:tcPr>
            <w:tcW w:w="530" w:type="pct"/>
            <w:tcBorders>
              <w:left w:val="nil"/>
              <w:right w:val="nil"/>
            </w:tcBorders>
            <w:shd w:val="clear" w:color="auto" w:fill="D9D9D9"/>
          </w:tcPr>
          <w:p w:rsidR="005B0BAD" w:rsidRPr="00C43284" w:rsidRDefault="005B0BAD" w:rsidP="006F290F">
            <w:pPr>
              <w:spacing w:before="40" w:after="40"/>
              <w:jc w:val="center"/>
              <w:rPr>
                <w:color w:val="000000"/>
              </w:rPr>
            </w:pPr>
            <w:r w:rsidRPr="00C43284">
              <w:rPr>
                <w:color w:val="000000"/>
              </w:rPr>
              <w:t>13,9</w:t>
            </w:r>
          </w:p>
        </w:tc>
        <w:tc>
          <w:tcPr>
            <w:tcW w:w="530" w:type="pct"/>
            <w:tcBorders>
              <w:left w:val="nil"/>
              <w:right w:val="nil"/>
            </w:tcBorders>
            <w:shd w:val="clear" w:color="auto" w:fill="D9D9D9"/>
          </w:tcPr>
          <w:p w:rsidR="005B0BAD" w:rsidRPr="00C43284" w:rsidRDefault="005B0BAD" w:rsidP="006F290F">
            <w:pPr>
              <w:spacing w:before="40" w:after="40"/>
              <w:jc w:val="center"/>
              <w:rPr>
                <w:color w:val="000000"/>
              </w:rPr>
            </w:pPr>
            <w:r w:rsidRPr="00C43284">
              <w:rPr>
                <w:color w:val="000000"/>
              </w:rPr>
              <w:t xml:space="preserve">13,3 </w:t>
            </w:r>
          </w:p>
        </w:tc>
        <w:tc>
          <w:tcPr>
            <w:tcW w:w="530" w:type="pct"/>
            <w:tcBorders>
              <w:left w:val="nil"/>
              <w:right w:val="nil"/>
            </w:tcBorders>
            <w:shd w:val="clear" w:color="auto" w:fill="D9D9D9"/>
          </w:tcPr>
          <w:p w:rsidR="005B0BAD" w:rsidRPr="00C43284" w:rsidRDefault="005B0BAD" w:rsidP="006F290F">
            <w:pPr>
              <w:spacing w:before="40" w:after="40"/>
              <w:jc w:val="center"/>
              <w:rPr>
                <w:color w:val="000000"/>
              </w:rPr>
            </w:pPr>
            <w:r>
              <w:rPr>
                <w:color w:val="000000"/>
              </w:rPr>
              <w:t>11,6</w:t>
            </w:r>
          </w:p>
        </w:tc>
        <w:tc>
          <w:tcPr>
            <w:tcW w:w="527" w:type="pct"/>
            <w:tcBorders>
              <w:left w:val="nil"/>
              <w:right w:val="nil"/>
            </w:tcBorders>
            <w:shd w:val="clear" w:color="auto" w:fill="D9D9D9"/>
          </w:tcPr>
          <w:p w:rsidR="005B0BAD" w:rsidRPr="00C43284" w:rsidRDefault="005B0BAD" w:rsidP="00740507">
            <w:pPr>
              <w:spacing w:before="40" w:after="40"/>
              <w:jc w:val="center"/>
              <w:rPr>
                <w:color w:val="000000"/>
              </w:rPr>
            </w:pPr>
            <w:r>
              <w:rPr>
                <w:color w:val="000000"/>
              </w:rPr>
              <w:t>10,</w:t>
            </w:r>
            <w:r w:rsidR="00740507">
              <w:rPr>
                <w:color w:val="000000"/>
              </w:rPr>
              <w:t>5</w:t>
            </w:r>
          </w:p>
        </w:tc>
        <w:tc>
          <w:tcPr>
            <w:tcW w:w="527" w:type="pct"/>
            <w:tcBorders>
              <w:left w:val="nil"/>
              <w:right w:val="nil"/>
            </w:tcBorders>
            <w:shd w:val="clear" w:color="auto" w:fill="D9D9D9"/>
          </w:tcPr>
          <w:p w:rsidR="005B0BAD" w:rsidRPr="00C43284" w:rsidRDefault="00AC5BF3" w:rsidP="00AC5BF3">
            <w:pPr>
              <w:spacing w:before="40" w:after="40"/>
              <w:jc w:val="center"/>
              <w:rPr>
                <w:color w:val="000000"/>
              </w:rPr>
            </w:pPr>
            <w:r w:rsidRPr="00AC5BF3">
              <w:rPr>
                <w:color w:val="000000"/>
              </w:rPr>
              <w:t>13</w:t>
            </w:r>
            <w:r w:rsidR="005B0BAD" w:rsidRPr="00AC5BF3">
              <w:rPr>
                <w:color w:val="000000"/>
              </w:rPr>
              <w:t>,</w:t>
            </w:r>
            <w:r>
              <w:rPr>
                <w:color w:val="000000"/>
              </w:rPr>
              <w:t>4</w:t>
            </w:r>
          </w:p>
        </w:tc>
      </w:tr>
    </w:tbl>
    <w:p w:rsidR="005B0BAD" w:rsidRDefault="005B0BAD" w:rsidP="005B0BAD">
      <w:pPr>
        <w:ind w:left="567"/>
        <w:rPr>
          <w:i/>
          <w:sz w:val="18"/>
          <w:szCs w:val="18"/>
        </w:rPr>
      </w:pPr>
      <w:r w:rsidRPr="00C43284">
        <w:rPr>
          <w:i/>
          <w:sz w:val="18"/>
          <w:szCs w:val="18"/>
        </w:rPr>
        <w:t>*</w:t>
      </w:r>
      <w:r w:rsidR="00D45640">
        <w:rPr>
          <w:i/>
          <w:sz w:val="18"/>
          <w:szCs w:val="18"/>
        </w:rPr>
        <w:t xml:space="preserve"> </w:t>
      </w:r>
      <w:r w:rsidRPr="000B5385">
        <w:rPr>
          <w:i/>
          <w:sz w:val="18"/>
          <w:szCs w:val="18"/>
        </w:rPr>
        <w:t>CSP dati pēc veiktā pārrēķina pēc 2011.gada tautas skaitīšanas rezultātiem</w:t>
      </w:r>
    </w:p>
    <w:p w:rsidR="005B0BAD" w:rsidRPr="00034F4C" w:rsidRDefault="005B0BAD" w:rsidP="007E0C97">
      <w:pPr>
        <w:spacing w:before="240"/>
        <w:ind w:firstLine="567"/>
      </w:pPr>
      <w:r w:rsidRPr="00034F4C">
        <w:t xml:space="preserve">Lai gan Latvijas izglītības sistēma piedāvā pietiekami daudzveidīgas izglītības ieguves iespējas un programmas, daļa jauniešu, kuri ir uzsākuši izglītības ieguvi, izglītības procesā sastopas ar dažādām problēmām un pamet mācības, neiegūstot </w:t>
      </w:r>
      <w:r w:rsidR="00341D92">
        <w:t>savam vecumam atbilstošu</w:t>
      </w:r>
      <w:r w:rsidRPr="00034F4C">
        <w:t xml:space="preserve"> izglītību. 2008.gadā skolu nepabeigušo iedzīvotāju īpatsvars vecuma grupā no 18-24 gadiem, kuri nav ieguvuši vidējo izglītību un neturpina mācības, bija 15,5%, kas bija augstāk nekā vidēji ES (14,9%). Savukārt jau 2011.gadā minētais rādītājs samazinājies līdz 11,6% un, paredzams, ka 2012.gadā jau </w:t>
      </w:r>
      <w:r w:rsidR="00954B2C">
        <w:t>pār</w:t>
      </w:r>
      <w:r w:rsidRPr="00034F4C">
        <w:t xml:space="preserve">sniegs 2020.gada ES mērķa rādītāju </w:t>
      </w:r>
      <w:r w:rsidR="00954B2C">
        <w:t>13</w:t>
      </w:r>
      <w:r w:rsidRPr="00034F4C">
        <w:t>,</w:t>
      </w:r>
      <w:r w:rsidR="00954B2C">
        <w:t>4</w:t>
      </w:r>
      <w:r w:rsidRPr="00034F4C">
        <w:t xml:space="preserve">%. </w:t>
      </w:r>
    </w:p>
    <w:p w:rsidR="005B0BAD" w:rsidRPr="00034F4C" w:rsidRDefault="005B0BAD" w:rsidP="005B0BAD">
      <w:pPr>
        <w:pStyle w:val="Default"/>
        <w:ind w:firstLine="567"/>
        <w:jc w:val="both"/>
        <w:rPr>
          <w:rFonts w:ascii="Times New Roman" w:hAnsi="Times New Roman" w:cs="Times New Roman"/>
          <w:color w:val="auto"/>
          <w:lang w:eastAsia="en-US"/>
        </w:rPr>
      </w:pPr>
    </w:p>
    <w:p w:rsidR="005B0BAD" w:rsidRPr="00034F4C" w:rsidRDefault="00813A29" w:rsidP="005B0BAD">
      <w:pPr>
        <w:pStyle w:val="Default"/>
        <w:ind w:firstLine="567"/>
        <w:jc w:val="both"/>
        <w:rPr>
          <w:rFonts w:ascii="Times New Roman" w:hAnsi="Times New Roman" w:cs="Times New Roman"/>
          <w:color w:val="auto"/>
          <w:lang w:eastAsia="en-US"/>
        </w:rPr>
      </w:pPr>
      <w:r w:rsidRPr="00034F4C">
        <w:rPr>
          <w:rFonts w:ascii="Times New Roman" w:hAnsi="Times New Roman" w:cs="Times New Roman"/>
          <w:color w:val="auto"/>
          <w:lang w:eastAsia="en-US"/>
        </w:rPr>
        <w:t xml:space="preserve">Visizplatītākie iemesli, kādēļ tiek pārtrauktas mācības, ir </w:t>
      </w:r>
      <w:r w:rsidR="008B5A89" w:rsidRPr="00034F4C">
        <w:rPr>
          <w:rFonts w:ascii="Times New Roman" w:hAnsi="Times New Roman" w:cs="Times New Roman"/>
          <w:color w:val="auto"/>
          <w:lang w:eastAsia="en-US"/>
        </w:rPr>
        <w:t xml:space="preserve">nelabvēlīgie </w:t>
      </w:r>
      <w:r w:rsidRPr="00034F4C">
        <w:rPr>
          <w:rFonts w:ascii="Times New Roman" w:hAnsi="Times New Roman" w:cs="Times New Roman"/>
          <w:color w:val="auto"/>
          <w:lang w:eastAsia="en-US"/>
        </w:rPr>
        <w:t xml:space="preserve">ģimenes </w:t>
      </w:r>
      <w:r w:rsidR="008B5A89">
        <w:rPr>
          <w:rFonts w:ascii="Times New Roman" w:hAnsi="Times New Roman" w:cs="Times New Roman"/>
          <w:color w:val="auto"/>
          <w:lang w:eastAsia="en-US"/>
        </w:rPr>
        <w:t>un</w:t>
      </w:r>
      <w:r w:rsidRPr="00034F4C">
        <w:rPr>
          <w:rFonts w:ascii="Times New Roman" w:hAnsi="Times New Roman" w:cs="Times New Roman"/>
          <w:color w:val="auto"/>
          <w:lang w:eastAsia="en-US"/>
        </w:rPr>
        <w:t xml:space="preserve"> sociālekonomiskie apstākļi, </w:t>
      </w:r>
      <w:proofErr w:type="spellStart"/>
      <w:r w:rsidR="008B5A89">
        <w:rPr>
          <w:rFonts w:ascii="Times New Roman" w:hAnsi="Times New Roman" w:cs="Times New Roman"/>
          <w:color w:val="auto"/>
          <w:lang w:eastAsia="en-US"/>
        </w:rPr>
        <w:t>t.sk</w:t>
      </w:r>
      <w:proofErr w:type="spellEnd"/>
      <w:r w:rsidR="008B5A89">
        <w:rPr>
          <w:rFonts w:ascii="Times New Roman" w:hAnsi="Times New Roman" w:cs="Times New Roman"/>
          <w:color w:val="auto"/>
          <w:lang w:eastAsia="en-US"/>
        </w:rPr>
        <w:t xml:space="preserve">., </w:t>
      </w:r>
      <w:r>
        <w:rPr>
          <w:rFonts w:ascii="Times New Roman" w:hAnsi="Times New Roman" w:cs="Times New Roman"/>
          <w:color w:val="auto"/>
          <w:lang w:eastAsia="en-US"/>
        </w:rPr>
        <w:t xml:space="preserve">ģimeņu ar bērniem izbraukšana uz citām valstīm labāk atalgotā darba meklējumos, </w:t>
      </w:r>
      <w:r w:rsidR="008B5A89">
        <w:rPr>
          <w:rFonts w:ascii="Times New Roman" w:hAnsi="Times New Roman" w:cs="Times New Roman"/>
          <w:color w:val="auto"/>
          <w:lang w:eastAsia="en-US"/>
        </w:rPr>
        <w:t xml:space="preserve">kā arī </w:t>
      </w:r>
      <w:r>
        <w:rPr>
          <w:rFonts w:ascii="Times New Roman" w:hAnsi="Times New Roman" w:cs="Times New Roman"/>
          <w:color w:val="auto"/>
          <w:lang w:eastAsia="en-US"/>
        </w:rPr>
        <w:t xml:space="preserve">sistēmiskas karjeras izglītības un konsultāciju trūkums, </w:t>
      </w:r>
      <w:r w:rsidRPr="00034F4C">
        <w:rPr>
          <w:rFonts w:ascii="Times New Roman" w:hAnsi="Times New Roman" w:cs="Times New Roman"/>
          <w:color w:val="auto"/>
          <w:lang w:eastAsia="en-US"/>
        </w:rPr>
        <w:t xml:space="preserve">mācīšanās grūtības, skolas salīdzinoši nelielie </w:t>
      </w:r>
      <w:r>
        <w:rPr>
          <w:rFonts w:ascii="Times New Roman" w:hAnsi="Times New Roman" w:cs="Times New Roman"/>
          <w:color w:val="auto"/>
          <w:lang w:eastAsia="en-US"/>
        </w:rPr>
        <w:t>metodiskie resursi</w:t>
      </w:r>
      <w:r w:rsidR="005B0BAD" w:rsidRPr="00034F4C">
        <w:rPr>
          <w:rFonts w:ascii="Times New Roman" w:hAnsi="Times New Roman" w:cs="Times New Roman"/>
          <w:color w:val="auto"/>
          <w:lang w:eastAsia="en-US"/>
        </w:rPr>
        <w:t xml:space="preserve">. </w:t>
      </w:r>
    </w:p>
    <w:p w:rsidR="008B5A89" w:rsidRDefault="005D66DA" w:rsidP="008B5A89">
      <w:pPr>
        <w:ind w:firstLine="567"/>
      </w:pPr>
      <w:r w:rsidRPr="00C43284">
        <w:t>Tiek plānots, saglabājot un pilnveidojot finansējuma modeli „nauda seko skolēnam”, veicināt vispārizglītojošo skolu</w:t>
      </w:r>
      <w:r>
        <w:t>, īpaši pedagogu un izglītības iestāžu vadītāju,</w:t>
      </w:r>
      <w:r w:rsidRPr="00C43284">
        <w:t xml:space="preserve"> ieinteresētību individuālā, pedagoģiski pamatotā pieejā katram skolēnam un labvēlīgas, skolēnu vajadzībām at</w:t>
      </w:r>
      <w:r w:rsidR="008B5A89">
        <w:t>bilstošas mācību vides radīšanā.</w:t>
      </w:r>
      <w:r w:rsidRPr="00C43284">
        <w:t xml:space="preserve"> </w:t>
      </w:r>
    </w:p>
    <w:p w:rsidR="005B0BAD" w:rsidRDefault="005D66DA" w:rsidP="00DA40B1">
      <w:pPr>
        <w:spacing w:before="120"/>
        <w:ind w:firstLine="567"/>
      </w:pPr>
      <w:r w:rsidRPr="00C43284">
        <w:t>Vienlaikus, pilnveidojot (atslogojot) mācību priekšmetu standartu saturu pama</w:t>
      </w:r>
      <w:r>
        <w:t>tizglītības pirmajā posmā 1.-6.</w:t>
      </w:r>
      <w:r w:rsidRPr="00C43284">
        <w:t xml:space="preserve">klasēs, veidosies priekšnoteikumi skolēnu mācību slodzes </w:t>
      </w:r>
      <w:r>
        <w:t>pārskatīšanai, padarot</w:t>
      </w:r>
      <w:r w:rsidR="001571D6">
        <w:t xml:space="preserve"> mācību procesu aktīvu. </w:t>
      </w:r>
      <w:r w:rsidR="00422FF1">
        <w:t xml:space="preserve">Pamatojoties uz karjeras izglītības attīstības koncepciju (patlaban ir izstrādes procesā), būtiski pilnveidot un attīstīt karjeras izglītības un  konsultāciju lomu izglītības procesā. </w:t>
      </w:r>
      <w:r w:rsidRPr="00C43284">
        <w:t xml:space="preserve">Kā papildus risinājums tiek plānota arī skolu patstāvības paaugstināšana mācību satura un mācību </w:t>
      </w:r>
      <w:r w:rsidRPr="005D66DA">
        <w:t>procesa elastīgā plānošanā. Ir iecerēta un uzsākta skolēnu mācību brīvlaiku optimālāka plānošana, pārceļot valsts centralizēto eksāmenu svešvalodā uz pavasari.</w:t>
      </w:r>
    </w:p>
    <w:p w:rsidR="001571D6" w:rsidRDefault="005D66DA" w:rsidP="008B5A89">
      <w:pPr>
        <w:ind w:firstLine="567"/>
      </w:pPr>
      <w:r w:rsidRPr="005D66DA">
        <w:t>Lai samazinātu vispārējās vidējās izglītības izglītojamo slodzi un spriedzi pārbaudījumu laikā maija beigās un jūnijā 2012./</w:t>
      </w:r>
      <w:r>
        <w:t>20</w:t>
      </w:r>
      <w:r w:rsidRPr="005D66DA">
        <w:t xml:space="preserve">13.m.g., kā arī palielinātu dienu skaitu starp valsts pārbaudījumiem vispārējā vidējā izglītībā, tika veikti grozījumi </w:t>
      </w:r>
      <w:r>
        <w:t xml:space="preserve">atbilstošajos </w:t>
      </w:r>
      <w:r w:rsidRPr="005D66DA">
        <w:t>normatīvajos aktos.</w:t>
      </w:r>
      <w:r w:rsidR="001571D6" w:rsidRPr="001571D6">
        <w:t xml:space="preserve"> </w:t>
      </w:r>
    </w:p>
    <w:p w:rsidR="005D66DA" w:rsidRPr="005D66DA" w:rsidRDefault="005D66DA" w:rsidP="008B5A89">
      <w:pPr>
        <w:ind w:firstLine="567"/>
      </w:pPr>
    </w:p>
    <w:p w:rsidR="005D66DA" w:rsidRPr="005D66DA" w:rsidRDefault="005D66DA" w:rsidP="00DA40B1">
      <w:pPr>
        <w:spacing w:before="120"/>
        <w:ind w:firstLine="567"/>
      </w:pPr>
      <w:r w:rsidRPr="005D66DA">
        <w:t xml:space="preserve">Vienlaikus, papildus esošajiem starptautiskajiem </w:t>
      </w:r>
      <w:r w:rsidR="00C457E2">
        <w:t>Ekonomiskās sadarbības un attīstības organizācijas (OECD)</w:t>
      </w:r>
      <w:r w:rsidRPr="005D66DA">
        <w:t xml:space="preserve"> izglītības kvalitātes indikatoriem, ir uzsākta valsts mērogā vienotu izglītības kvalitātes indikatoru izstrāde. Minēto indikatoru rādītāju analīze – </w:t>
      </w:r>
      <w:proofErr w:type="spellStart"/>
      <w:r w:rsidRPr="005D66DA">
        <w:t>t.i</w:t>
      </w:r>
      <w:proofErr w:type="spellEnd"/>
      <w:r w:rsidRPr="005D66DA">
        <w:t xml:space="preserve">. izglītības </w:t>
      </w:r>
      <w:r w:rsidRPr="005D66DA">
        <w:lastRenderedPageBreak/>
        <w:t>kvalitātes monitoringa sistēma – ļaus skolas līmenī iegūt salīdzināmos datus par sniegtās izglītības procesa stiprajām un vājām pusēm, kā arī attiecīgi optimizēt un pilnveidot izglītības procesu kopumā, pilnveidot valsts pārbaužu datu bāzi, nodrošinot izglītības rezultātu pārskatāmību katrā izglītības posmā, sekojot katra skolēna mācību sasniegumu dinamikai. Izglītības kvalitātes monitoringa ieviešana plānota 2013.gada novembrī.</w:t>
      </w:r>
    </w:p>
    <w:p w:rsidR="005B0BAD" w:rsidRPr="00C43284" w:rsidRDefault="005B0BAD" w:rsidP="00DA40B1">
      <w:pPr>
        <w:spacing w:before="120"/>
        <w:ind w:firstLine="567"/>
        <w:rPr>
          <w:u w:val="single"/>
        </w:rPr>
      </w:pPr>
      <w:r>
        <w:t>Zemāk minēti p</w:t>
      </w:r>
      <w:r w:rsidRPr="000B5385">
        <w:t xml:space="preserve">asākumi attiecas uz </w:t>
      </w:r>
      <w:r w:rsidRPr="00FF5C3A">
        <w:rPr>
          <w:i/>
        </w:rPr>
        <w:t>„Eiropa 2020”</w:t>
      </w:r>
      <w:r w:rsidRPr="000B5385">
        <w:t xml:space="preserve"> stratēģijas vadoš</w:t>
      </w:r>
      <w:r w:rsidR="00D2092F">
        <w:t>ās</w:t>
      </w:r>
      <w:r w:rsidRPr="000B5385">
        <w:t xml:space="preserve"> iniciatīv</w:t>
      </w:r>
      <w:r w:rsidR="00D2092F">
        <w:t xml:space="preserve">as </w:t>
      </w:r>
      <w:r w:rsidR="00D2092F" w:rsidRPr="00935AB4">
        <w:rPr>
          <w:rFonts w:eastAsia="Times New Roman"/>
          <w:i/>
        </w:rPr>
        <w:t>„Jaunu prasmju un darbavietu programma”</w:t>
      </w:r>
      <w:r w:rsidRPr="000B5385">
        <w:t xml:space="preserve"> īstenošanu, </w:t>
      </w:r>
      <w:r w:rsidR="005D66DA">
        <w:t xml:space="preserve">kā arī </w:t>
      </w:r>
      <w:r w:rsidRPr="00353580">
        <w:rPr>
          <w:i/>
        </w:rPr>
        <w:t>2013.gada izaugsmes ziņojuma</w:t>
      </w:r>
      <w:r w:rsidRPr="000B5385">
        <w:t xml:space="preserve"> prioritā</w:t>
      </w:r>
      <w:r w:rsidR="005D66DA">
        <w:t>tes attiecībā uz izaugsmes un konkurētspējas veicināšanu</w:t>
      </w:r>
      <w:r w:rsidRPr="000B5385">
        <w:t xml:space="preserve"> īstenošanu</w:t>
      </w:r>
      <w:r>
        <w:t>.</w:t>
      </w:r>
    </w:p>
    <w:p w:rsidR="005B0BAD" w:rsidRPr="00C43284" w:rsidRDefault="005B0BAD" w:rsidP="005B0BAD">
      <w:pPr>
        <w:spacing w:before="240" w:after="120"/>
        <w:ind w:firstLine="567"/>
        <w:rPr>
          <w:u w:val="single"/>
        </w:rPr>
      </w:pPr>
      <w:r w:rsidRPr="00C43284">
        <w:rPr>
          <w:u w:val="single"/>
        </w:rPr>
        <w:t>Galvenie politikas virzieni un pasākumi skolu nepabeigušo jauniešu īpatsvara samazināšanai:</w:t>
      </w:r>
    </w:p>
    <w:p w:rsidR="005B0BAD" w:rsidRPr="00C43284" w:rsidRDefault="005B0BAD" w:rsidP="00E84407">
      <w:pPr>
        <w:pStyle w:val="ListParagraph"/>
        <w:numPr>
          <w:ilvl w:val="0"/>
          <w:numId w:val="13"/>
        </w:numPr>
        <w:suppressAutoHyphens/>
        <w:spacing w:before="240" w:after="120"/>
        <w:ind w:left="357" w:hanging="357"/>
        <w:contextualSpacing w:val="0"/>
      </w:pPr>
      <w:r w:rsidRPr="00C43284">
        <w:rPr>
          <w:rFonts w:eastAsia="+mn-ea"/>
          <w:b/>
          <w:i/>
        </w:rPr>
        <w:t>Pamata un vidējās izglītības pieejamības nodrošināšana</w:t>
      </w:r>
      <w:r w:rsidRPr="00C43284">
        <w:rPr>
          <w:rFonts w:eastAsia="+mn-ea"/>
        </w:rPr>
        <w:t xml:space="preserve"> </w:t>
      </w:r>
      <w:r w:rsidRPr="00C43284">
        <w:t>(atbildīgā institūcija – IZM)</w:t>
      </w:r>
    </w:p>
    <w:p w:rsidR="00B142CD" w:rsidRPr="00C43284" w:rsidRDefault="00B142CD" w:rsidP="00B142CD">
      <w:pPr>
        <w:ind w:firstLine="567"/>
      </w:pPr>
      <w:r w:rsidRPr="00C43284">
        <w:t xml:space="preserve">Mērķis ir nodrošināt </w:t>
      </w:r>
      <w:r>
        <w:t xml:space="preserve">pamata un vidējās izglītības pieejamību, veicināt bērnu un jauniešu lielāku iesaisti mācībās, tajā skaitā nodrošinot </w:t>
      </w:r>
      <w:r w:rsidRPr="00C43284">
        <w:t xml:space="preserve">precīzu izglītojamo </w:t>
      </w:r>
      <w:r w:rsidRPr="00720963">
        <w:t>uzskaiti</w:t>
      </w:r>
      <w:r w:rsidRPr="00C43284">
        <w:t>, nosakot valstī vienotu kārtību, kādā izglītības iestāde informē izglītojamo vecākus, pašvaldības vai valsts iestādes, ja izglītojamais bez attaisnojoša iemesla neapmeklē</w:t>
      </w:r>
      <w:r>
        <w:t>tu</w:t>
      </w:r>
      <w:r w:rsidRPr="00C43284">
        <w:t xml:space="preserve"> izglītības iestādi, nodrošināt atbalstu sociālās atstumtības riskam pakļautajiem jauniešiem un mācību atbalstu jauniešiem ar mācīšanās problēmām.</w:t>
      </w:r>
    </w:p>
    <w:p w:rsidR="00B142CD" w:rsidRDefault="001571D6" w:rsidP="00B142CD">
      <w:pPr>
        <w:pStyle w:val="NormalWeb"/>
        <w:spacing w:after="0"/>
        <w:ind w:firstLine="567"/>
        <w:jc w:val="both"/>
      </w:pPr>
      <w:r>
        <w:t>K</w:t>
      </w:r>
      <w:r w:rsidR="00B142CD" w:rsidRPr="00C43284">
        <w:t xml:space="preserve">opš 2011.gada februāra valstī ir noteikta vienota kārtība, kādā izglītības iestāde informē izglītojamo vecākus, pašvaldības vai valsts iestādes, ja izglītojamais bez attaisnojoša iemesla neapmeklē </w:t>
      </w:r>
      <w:r w:rsidR="00B142CD" w:rsidRPr="00C43284">
        <w:rPr>
          <w:rFonts w:eastAsia="Calibri"/>
          <w:lang w:eastAsia="en-US"/>
        </w:rPr>
        <w:t>izglītības iestādi</w:t>
      </w:r>
      <w:r w:rsidR="00B142CD">
        <w:rPr>
          <w:rFonts w:eastAsia="Calibri"/>
          <w:lang w:eastAsia="en-US"/>
        </w:rPr>
        <w:t>.</w:t>
      </w:r>
      <w:r w:rsidR="00B142CD" w:rsidRPr="00720963">
        <w:rPr>
          <w:rFonts w:eastAsia="Calibri"/>
          <w:lang w:eastAsia="en-US"/>
        </w:rPr>
        <w:t xml:space="preserve"> </w:t>
      </w:r>
    </w:p>
    <w:p w:rsidR="009A00BC" w:rsidRDefault="009A00BC" w:rsidP="00B142CD">
      <w:pPr>
        <w:ind w:firstLine="567"/>
      </w:pPr>
      <w:r>
        <w:t>Ir uzlabota</w:t>
      </w:r>
      <w:r w:rsidRPr="009A00BC">
        <w:t xml:space="preserve"> </w:t>
      </w:r>
      <w:r w:rsidRPr="00B657F8">
        <w:t>obli</w:t>
      </w:r>
      <w:r>
        <w:t xml:space="preserve">gātā izglītības vecumā esošo bērnu uzskaite, ko kopš 2012. </w:t>
      </w:r>
      <w:r w:rsidRPr="00B657F8">
        <w:t>gada nogales</w:t>
      </w:r>
      <w:r>
        <w:t xml:space="preserve"> nodrošina</w:t>
      </w:r>
      <w:r w:rsidR="00D45640">
        <w:t xml:space="preserve"> </w:t>
      </w:r>
      <w:r>
        <w:t>atbilstoši papildinātā</w:t>
      </w:r>
      <w:r w:rsidR="00D45640">
        <w:t xml:space="preserve"> </w:t>
      </w:r>
      <w:r w:rsidRPr="009A00BC">
        <w:rPr>
          <w:i/>
        </w:rPr>
        <w:t>Valsts izglītības informācijas sistēma</w:t>
      </w:r>
      <w:r>
        <w:t xml:space="preserve">. </w:t>
      </w:r>
      <w:r w:rsidRPr="00B657F8">
        <w:t>2012.gadā ir būtiski samazinājies to bērnu skaits, par kuriem pašvaldībām nav informācijas</w:t>
      </w:r>
      <w:r>
        <w:t xml:space="preserve"> </w:t>
      </w:r>
      <w:r w:rsidRPr="00B657F8">
        <w:t>(2648)</w:t>
      </w:r>
      <w:r>
        <w:t xml:space="preserve"> </w:t>
      </w:r>
      <w:r w:rsidRPr="00B657F8">
        <w:t>salīdzin</w:t>
      </w:r>
      <w:r>
        <w:t>ājumā</w:t>
      </w:r>
      <w:r w:rsidRPr="00B657F8">
        <w:t xml:space="preserve"> ar 2010.gadu (4484)</w:t>
      </w:r>
      <w:r>
        <w:t>.</w:t>
      </w:r>
    </w:p>
    <w:p w:rsidR="00B142CD" w:rsidRDefault="00B142CD" w:rsidP="00DA40B1">
      <w:pPr>
        <w:pStyle w:val="NormalWeb"/>
        <w:spacing w:before="120" w:after="0"/>
        <w:ind w:firstLine="567"/>
        <w:jc w:val="both"/>
      </w:pPr>
      <w:r w:rsidRPr="00C43284">
        <w:t xml:space="preserve">2012.gada februārī stājās spēkā kārtība, kādā izglītojamie tiek uzņemti vispārējās izglītības iestādēs un atskaitīti no tām (izņemot internātskolas un speciālās izglītības iestādes). Kārtība nosaka </w:t>
      </w:r>
      <w:r w:rsidRPr="00C43284">
        <w:rPr>
          <w:bCs/>
        </w:rPr>
        <w:t>obligātus atbalsta pasākumus skolēniem, kuriem ir grūtības mācībās, lai skolēnu atstāšana uz otru gadu notiktu tikai īpašos gadījumos.</w:t>
      </w:r>
      <w:r w:rsidRPr="00C43284">
        <w:t xml:space="preserve"> 2011./2012.m</w:t>
      </w:r>
      <w:r w:rsidR="00342C13">
        <w:t>.</w:t>
      </w:r>
      <w:r w:rsidRPr="00C43284">
        <w:t>g</w:t>
      </w:r>
      <w:r w:rsidR="00342C13">
        <w:t>.</w:t>
      </w:r>
      <w:r w:rsidRPr="00C43284">
        <w:t xml:space="preserve"> otrgadnieku īpatsvars dienas skolās ir samazinājies no 2,5% līdz 1,7%, salīdzinot ar iepriekšējo mācību gadu.</w:t>
      </w:r>
    </w:p>
    <w:p w:rsidR="00B142CD" w:rsidRDefault="00B142CD" w:rsidP="00DA40B1">
      <w:pPr>
        <w:autoSpaceDE w:val="0"/>
        <w:autoSpaceDN w:val="0"/>
        <w:adjustRightInd w:val="0"/>
        <w:spacing w:before="120"/>
        <w:ind w:firstLine="567"/>
        <w:rPr>
          <w:color w:val="000000"/>
        </w:rPr>
      </w:pPr>
      <w:r>
        <w:rPr>
          <w:color w:val="000000"/>
        </w:rPr>
        <w:t xml:space="preserve">Atbilstoši </w:t>
      </w:r>
      <w:r w:rsidRPr="00DA40B1">
        <w:rPr>
          <w:i/>
          <w:color w:val="000000"/>
        </w:rPr>
        <w:t>Reformu īstenošanas rīcības plānā vispārējai izglītībai</w:t>
      </w:r>
      <w:r>
        <w:rPr>
          <w:color w:val="000000"/>
        </w:rPr>
        <w:t xml:space="preserve"> noteiktajiem uzdevumiem līdz 2014.gadam tiek īstenoti šādi uzdevumi:</w:t>
      </w:r>
    </w:p>
    <w:p w:rsidR="00B142CD" w:rsidRDefault="00B142CD" w:rsidP="00E84407">
      <w:pPr>
        <w:pStyle w:val="ListParagraph"/>
        <w:numPr>
          <w:ilvl w:val="0"/>
          <w:numId w:val="57"/>
        </w:numPr>
        <w:autoSpaceDE w:val="0"/>
        <w:autoSpaceDN w:val="0"/>
        <w:adjustRightInd w:val="0"/>
        <w:ind w:left="709"/>
        <w:rPr>
          <w:color w:val="000000"/>
        </w:rPr>
      </w:pPr>
      <w:r>
        <w:rPr>
          <w:color w:val="000000"/>
        </w:rPr>
        <w:t>speciālās izglītības iestāžu finanšu efektivitātes izvērtēšana atbilstoši vienotai metodikai, kā rezultātā būs iespēja pārskatīt speciālās izglītības iestāžu tīklu un izstrādāt atbilstošu finansēšanas modeli</w:t>
      </w:r>
      <w:r w:rsidR="00342C13">
        <w:rPr>
          <w:color w:val="000000"/>
        </w:rPr>
        <w:t>;</w:t>
      </w:r>
    </w:p>
    <w:p w:rsidR="00B142CD" w:rsidRPr="006D300F" w:rsidRDefault="00B142CD" w:rsidP="00E84407">
      <w:pPr>
        <w:pStyle w:val="ListParagraph"/>
        <w:numPr>
          <w:ilvl w:val="0"/>
          <w:numId w:val="57"/>
        </w:numPr>
        <w:autoSpaceDE w:val="0"/>
        <w:autoSpaceDN w:val="0"/>
        <w:adjustRightInd w:val="0"/>
        <w:ind w:left="709"/>
        <w:rPr>
          <w:color w:val="000000"/>
        </w:rPr>
      </w:pPr>
      <w:r>
        <w:t>nodrošināts valsts apmaksāts asistenta pakalpojums izglītojamajiem, kuriem ir nepieciešama īpaša aprūpe izglītības iestādēs</w:t>
      </w:r>
      <w:r w:rsidRPr="00E81BAA">
        <w:t xml:space="preserve"> </w:t>
      </w:r>
      <w:r>
        <w:t>(uzsākot 2012./2013.m.g. 190 bērni ir saņēmuši šo pakalpojumu),</w:t>
      </w:r>
      <w:r w:rsidRPr="00E81BAA">
        <w:t xml:space="preserve"> </w:t>
      </w:r>
      <w:r>
        <w:t>tādējādi veicinot iekļaujošās izglītības nodroš</w:t>
      </w:r>
      <w:r w:rsidRPr="005A5BE5">
        <w:t>ināšanu</w:t>
      </w:r>
      <w:r>
        <w:t xml:space="preserve">; </w:t>
      </w:r>
    </w:p>
    <w:p w:rsidR="00B142CD" w:rsidRDefault="00B142CD" w:rsidP="00E84407">
      <w:pPr>
        <w:pStyle w:val="ListParagraph"/>
        <w:numPr>
          <w:ilvl w:val="0"/>
          <w:numId w:val="57"/>
        </w:numPr>
        <w:autoSpaceDE w:val="0"/>
        <w:autoSpaceDN w:val="0"/>
        <w:adjustRightInd w:val="0"/>
        <w:ind w:left="709"/>
        <w:rPr>
          <w:color w:val="000000"/>
        </w:rPr>
      </w:pPr>
      <w:r>
        <w:rPr>
          <w:color w:val="000000"/>
        </w:rPr>
        <w:t xml:space="preserve">izstrādāta iekļaujošās izglītības procesu apraksta karte (VISC), kā arī </w:t>
      </w:r>
      <w:r>
        <w:rPr>
          <w:rFonts w:eastAsia="Times New Roman"/>
          <w:lang w:eastAsia="ar-SA"/>
        </w:rPr>
        <w:t>kritēriji un saturiskais piepildījums vajadzību grozam izglītojamiem ar speciālajām vajadzībām, kurus iekļauj vispārējā izglītības iestādē;</w:t>
      </w:r>
    </w:p>
    <w:p w:rsidR="00B142CD" w:rsidRDefault="00B142CD" w:rsidP="00E84407">
      <w:pPr>
        <w:pStyle w:val="ListParagraph"/>
        <w:numPr>
          <w:ilvl w:val="0"/>
          <w:numId w:val="57"/>
        </w:numPr>
        <w:autoSpaceDE w:val="0"/>
        <w:autoSpaceDN w:val="0"/>
        <w:adjustRightInd w:val="0"/>
        <w:ind w:left="709"/>
        <w:rPr>
          <w:color w:val="000000"/>
        </w:rPr>
      </w:pPr>
      <w:r>
        <w:rPr>
          <w:color w:val="000000"/>
        </w:rPr>
        <w:t xml:space="preserve">lai novērstu diskriminējošo praksi izglītībā </w:t>
      </w:r>
      <w:r>
        <w:t xml:space="preserve">speciālās izglītības iestādēm kopš 2012.gada septembra dota </w:t>
      </w:r>
      <w:r w:rsidR="00422FF1">
        <w:t xml:space="preserve">iespēja nomainīt </w:t>
      </w:r>
      <w:r>
        <w:t xml:space="preserve">izglītības iestādes nosaukumu. Laika posmā no 2012.gada septembra līdz 2013.gada 12.martam to izmantojušas 23 speciālās izglītības iestādes, izslēdzot no iestādes nosaukuma vārdu </w:t>
      </w:r>
      <w:r w:rsidR="00342C13">
        <w:t>„</w:t>
      </w:r>
      <w:r>
        <w:t xml:space="preserve">speciālā”; </w:t>
      </w:r>
    </w:p>
    <w:p w:rsidR="00326C84" w:rsidRDefault="00326C84" w:rsidP="0053523A">
      <w:pPr>
        <w:ind w:firstLine="567"/>
      </w:pPr>
      <w:r>
        <w:t xml:space="preserve">Iekļaujošas izglītības nodrošināšanā ir divas galvenās </w:t>
      </w:r>
      <w:proofErr w:type="spellStart"/>
      <w:r>
        <w:t>mērķgrupas</w:t>
      </w:r>
      <w:proofErr w:type="spellEnd"/>
      <w:r>
        <w:t xml:space="preserve"> – </w:t>
      </w:r>
      <w:r w:rsidRPr="00E81BAA">
        <w:t>attīstības, spēju un veselības stāvokļa izraisītās atstumtības riskam pakļautie bērni un jaunieši</w:t>
      </w:r>
      <w:r>
        <w:t xml:space="preserve"> un </w:t>
      </w:r>
      <w:r w:rsidRPr="00E81BAA">
        <w:t>sociālo apstākļu izraisītās atstumtības riskam pakļautie ja</w:t>
      </w:r>
      <w:r>
        <w:t xml:space="preserve">unieši. Šo jauniešu integrācijai nepieciešamās </w:t>
      </w:r>
      <w:r>
        <w:lastRenderedPageBreak/>
        <w:t xml:space="preserve">atbalsta sistēmas izveidei un pasākumu nodrošināšanai, kā arī atbilstošas izglītības iestāžu infrastruktūras izveidei lielu ieguldījumu dod </w:t>
      </w:r>
      <w:r w:rsidR="0053523A">
        <w:t xml:space="preserve">ES fondu aktivitāšu īstenošana. </w:t>
      </w:r>
    </w:p>
    <w:p w:rsidR="00B142CD" w:rsidRPr="00C43284" w:rsidRDefault="0053523A" w:rsidP="0053523A">
      <w:pPr>
        <w:ind w:firstLine="567"/>
      </w:pPr>
      <w:r>
        <w:t>K</w:t>
      </w:r>
      <w:r w:rsidR="00B142CD" w:rsidRPr="000B5385">
        <w:t xml:space="preserve">opējais publiskais finansējums 2012.gadā bija </w:t>
      </w:r>
      <w:r w:rsidR="00B142CD">
        <w:t>2,6</w:t>
      </w:r>
      <w:r w:rsidR="00B142CD" w:rsidRPr="000B5385">
        <w:t xml:space="preserve"> </w:t>
      </w:r>
      <w:proofErr w:type="spellStart"/>
      <w:r w:rsidR="00B142CD" w:rsidRPr="000B5385">
        <w:t>milj</w:t>
      </w:r>
      <w:proofErr w:type="spellEnd"/>
      <w:r w:rsidR="00B142CD" w:rsidRPr="000B5385">
        <w:t xml:space="preserve">. latu, </w:t>
      </w:r>
      <w:proofErr w:type="spellStart"/>
      <w:r w:rsidR="00B142CD" w:rsidRPr="000B5385">
        <w:t>t.sk</w:t>
      </w:r>
      <w:proofErr w:type="spellEnd"/>
      <w:r w:rsidR="00B142CD" w:rsidRPr="000B5385">
        <w:t xml:space="preserve">. </w:t>
      </w:r>
      <w:r w:rsidR="00B142CD">
        <w:t>2,4</w:t>
      </w:r>
      <w:r w:rsidR="00E84407">
        <w:t xml:space="preserve"> </w:t>
      </w:r>
      <w:proofErr w:type="spellStart"/>
      <w:r w:rsidR="00E84407">
        <w:t>milj</w:t>
      </w:r>
      <w:proofErr w:type="spellEnd"/>
      <w:r w:rsidR="00E84407">
        <w:t>. latu ES fondu finansējums</w:t>
      </w:r>
      <w:r w:rsidR="00B142CD">
        <w:t xml:space="preserve">. </w:t>
      </w:r>
    </w:p>
    <w:p w:rsidR="00B142CD" w:rsidRPr="006D300F" w:rsidRDefault="00B142CD" w:rsidP="00DA40B1">
      <w:pPr>
        <w:spacing w:before="120"/>
        <w:ind w:firstLine="567"/>
      </w:pPr>
      <w:r>
        <w:t>Turpinās</w:t>
      </w:r>
      <w:r w:rsidR="00422FF1">
        <w:t xml:space="preserve"> arī</w:t>
      </w:r>
      <w:r>
        <w:t xml:space="preserve"> dotāciju nodrošināšana </w:t>
      </w:r>
      <w:r w:rsidRPr="006D300F">
        <w:t>pašvaldībām sākumskolas skolēnu ēdināšanai, snie</w:t>
      </w:r>
      <w:r>
        <w:t>dzot</w:t>
      </w:r>
      <w:r w:rsidRPr="006D300F">
        <w:t xml:space="preserve"> atbalst</w:t>
      </w:r>
      <w:r>
        <w:t>u</w:t>
      </w:r>
      <w:r w:rsidRPr="006D300F">
        <w:t xml:space="preserve"> ģimenēm ar bērniem, nepiešķirot naudu tiešā veidā, bet nodrošinot bērniem vismaz vienu sabalansētu, kvalitātes prasībām atbilstošu ēdienreizi dienā.</w:t>
      </w:r>
    </w:p>
    <w:p w:rsidR="005B0BAD" w:rsidRPr="00C43284" w:rsidRDefault="00B142CD" w:rsidP="0053523A">
      <w:pPr>
        <w:ind w:firstLine="567"/>
      </w:pPr>
      <w:r w:rsidRPr="006D300F">
        <w:t>No 2013.gada 1.janvāra brīvpusdienas tiks nodr</w:t>
      </w:r>
      <w:r w:rsidR="0053523A">
        <w:t xml:space="preserve">ošinātas arī 2.klašu skolēniem </w:t>
      </w:r>
      <w:r w:rsidRPr="006D300F">
        <w:t>.</w:t>
      </w:r>
      <w:r>
        <w:t xml:space="preserve"> </w:t>
      </w:r>
      <w:r w:rsidRPr="006D300F">
        <w:t xml:space="preserve">Līdz šim brīvpusdienas saņēma visi 1.klašu skolēni. 2012.gada 15.novembrī Saeimā tika pieņemts likums </w:t>
      </w:r>
      <w:r w:rsidRPr="00BF0A04">
        <w:rPr>
          <w:i/>
        </w:rPr>
        <w:t>„Par valsts budžetu 2013.gadam”</w:t>
      </w:r>
      <w:r w:rsidRPr="006D300F">
        <w:t>, kas brīvpusdienu nodrošināšanai 1.un 2.klases skolēniem 2013.gadā kopumā paredz atvēlēt 5</w:t>
      </w:r>
      <w:r w:rsidR="00BF0A04">
        <w:t>,</w:t>
      </w:r>
      <w:r w:rsidRPr="006D300F">
        <w:t>7</w:t>
      </w:r>
      <w:r w:rsidR="00BF0A04">
        <w:t xml:space="preserve"> </w:t>
      </w:r>
      <w:proofErr w:type="spellStart"/>
      <w:r w:rsidR="00BF0A04">
        <w:t>milj</w:t>
      </w:r>
      <w:proofErr w:type="spellEnd"/>
      <w:r w:rsidR="00BF0A04">
        <w:t>.</w:t>
      </w:r>
      <w:r w:rsidRPr="006D300F">
        <w:t xml:space="preserve"> latu.</w:t>
      </w:r>
      <w:r w:rsidR="005B0BAD">
        <w:t xml:space="preserve"> </w:t>
      </w:r>
    </w:p>
    <w:p w:rsidR="005B0BAD" w:rsidRPr="00C43284" w:rsidRDefault="005B0BAD" w:rsidP="00E84407">
      <w:pPr>
        <w:pStyle w:val="ListParagraph"/>
        <w:numPr>
          <w:ilvl w:val="0"/>
          <w:numId w:val="13"/>
        </w:numPr>
        <w:suppressAutoHyphens/>
        <w:spacing w:before="240" w:after="120"/>
        <w:ind w:left="357" w:hanging="357"/>
        <w:contextualSpacing w:val="0"/>
        <w:jc w:val="left"/>
      </w:pPr>
      <w:r w:rsidRPr="00C43284">
        <w:rPr>
          <w:rFonts w:eastAsia="+mn-ea"/>
          <w:b/>
          <w:i/>
        </w:rPr>
        <w:t>Modernu mācību metožu ieviešana</w:t>
      </w:r>
      <w:r w:rsidRPr="00C43284">
        <w:rPr>
          <w:rFonts w:eastAsia="+mn-ea"/>
        </w:rPr>
        <w:t xml:space="preserve"> </w:t>
      </w:r>
      <w:r w:rsidRPr="00C43284">
        <w:t xml:space="preserve">(atbildīgā institūcija – IZM) </w:t>
      </w:r>
    </w:p>
    <w:p w:rsidR="005B0BAD" w:rsidRPr="00C43284" w:rsidRDefault="005B0BAD" w:rsidP="005B0BAD">
      <w:pPr>
        <w:ind w:firstLine="567"/>
      </w:pPr>
      <w:r w:rsidRPr="00C43284">
        <w:t xml:space="preserve">Mērķis ir mācību procesa modernizācija un pieejamības veicināšana, </w:t>
      </w:r>
      <w:proofErr w:type="spellStart"/>
      <w:r w:rsidRPr="00C43284">
        <w:t>t.sk</w:t>
      </w:r>
      <w:proofErr w:type="spellEnd"/>
      <w:r w:rsidRPr="00C43284">
        <w:t>. profesionālās izglītības iestādēs un vakarskolās, attīstīt tālmācības iespējas pieaugušajiem, īstenojot individualizētu pieeju, ieviešot kompensējošus mehānismus (otrās izglītības iespēja), modernizējot izglītības iestādes un uzlabojot mācību metodisko nodrošinājumu un mācību vidi (par otrās iespējas izglītības piedāvājumu skatīt 3.4.4. sadaļu</w:t>
      </w:r>
      <w:r w:rsidRPr="00C43284">
        <w:rPr>
          <w:i/>
        </w:rPr>
        <w:t xml:space="preserve"> Mūžizglītība</w:t>
      </w:r>
      <w:r w:rsidRPr="00C43284">
        <w:t>).</w:t>
      </w:r>
    </w:p>
    <w:p w:rsidR="005B0BAD" w:rsidRPr="00C43284" w:rsidRDefault="005B0BAD" w:rsidP="005B0BAD">
      <w:pPr>
        <w:spacing w:before="120"/>
        <w:ind w:firstLine="567"/>
      </w:pPr>
      <w:r w:rsidRPr="00C43284">
        <w:t>Mācību procesa modernizācija notiek:</w:t>
      </w:r>
    </w:p>
    <w:p w:rsidR="005B0BAD" w:rsidRPr="00C43284" w:rsidRDefault="005B0BAD" w:rsidP="00DA40B1">
      <w:pPr>
        <w:pStyle w:val="ListParagraph"/>
        <w:numPr>
          <w:ilvl w:val="0"/>
          <w:numId w:val="21"/>
        </w:numPr>
        <w:ind w:left="714" w:hanging="357"/>
        <w:contextualSpacing w:val="0"/>
      </w:pPr>
      <w:r w:rsidRPr="00C43284">
        <w:t>īstenojot reformas vispārējās izglītības programmās. Tiks pilnveidots</w:t>
      </w:r>
      <w:r w:rsidR="00D45640">
        <w:t xml:space="preserve"> </w:t>
      </w:r>
      <w:r w:rsidRPr="00C43284">
        <w:t>izglītības s</w:t>
      </w:r>
      <w:r w:rsidR="0053523A">
        <w:t>aturs 6-11 gadus veciem bērniem</w:t>
      </w:r>
      <w:r w:rsidRPr="00C43284">
        <w:t>. Jaunā mācību satura pakāpeniska ieviešana plānota,</w:t>
      </w:r>
      <w:r>
        <w:t xml:space="preserve"> sākot ar 2014./2015</w:t>
      </w:r>
      <w:r w:rsidRPr="00C43284">
        <w:t>.</w:t>
      </w:r>
      <w:r>
        <w:t xml:space="preserve"> </w:t>
      </w:r>
      <w:r w:rsidRPr="00C43284">
        <w:t>mācību gadu;</w:t>
      </w:r>
    </w:p>
    <w:p w:rsidR="00B3663F" w:rsidRDefault="005B0BAD" w:rsidP="00E84407">
      <w:pPr>
        <w:pStyle w:val="ListParagraph"/>
        <w:numPr>
          <w:ilvl w:val="0"/>
          <w:numId w:val="21"/>
        </w:numPr>
        <w:spacing w:before="120"/>
      </w:pPr>
      <w:r w:rsidRPr="00C43284">
        <w:t>izstrādājot vispārējās vidējās izglītības tālmācības formas</w:t>
      </w:r>
      <w:r w:rsidR="00D45640">
        <w:t xml:space="preserve"> </w:t>
      </w:r>
      <w:r w:rsidRPr="00C43284">
        <w:t>un otrās izglītības iespējas. IZM ir izstrādājusi un apstiprinājusi izglītības programmu paraugus vispārējās vidējās izglītības apguvei tālmācības formā, vairākās izglītības iestādēs ir licencētas vispārējās vidējās izglītības tālmācības programmas; uzsākta minēto programmu īstenošana</w:t>
      </w:r>
      <w:r>
        <w:t>;</w:t>
      </w:r>
    </w:p>
    <w:p w:rsidR="005B0BAD" w:rsidRDefault="00B3663F" w:rsidP="00E84407">
      <w:pPr>
        <w:pStyle w:val="ListParagraph"/>
        <w:numPr>
          <w:ilvl w:val="0"/>
          <w:numId w:val="21"/>
        </w:numPr>
        <w:spacing w:before="120"/>
      </w:pPr>
      <w:r>
        <w:t>n</w:t>
      </w:r>
      <w:r w:rsidRPr="00407C77">
        <w:t xml:space="preserve">odrošināta divu mācību materiālu komplektu izstrāde interaktīvai tāfelei </w:t>
      </w:r>
      <w:r>
        <w:t>–</w:t>
      </w:r>
      <w:r w:rsidRPr="00407C77">
        <w:t xml:space="preserve"> pētniecisko prasmju attīstībai </w:t>
      </w:r>
      <w:proofErr w:type="spellStart"/>
      <w:r w:rsidRPr="00407C77">
        <w:t>dabaszinībās</w:t>
      </w:r>
      <w:proofErr w:type="spellEnd"/>
      <w:r w:rsidRPr="00407C77">
        <w:t xml:space="preserve"> un </w:t>
      </w:r>
      <w:proofErr w:type="spellStart"/>
      <w:r w:rsidRPr="00407C77">
        <w:t>lasītprieka</w:t>
      </w:r>
      <w:proofErr w:type="spellEnd"/>
      <w:r w:rsidRPr="00407C77">
        <w:t xml:space="preserve"> veicināšanai</w:t>
      </w:r>
      <w:r>
        <w:t>;</w:t>
      </w:r>
      <w:r w:rsidR="005B0BAD" w:rsidRPr="00C43284">
        <w:t xml:space="preserve"> </w:t>
      </w:r>
    </w:p>
    <w:p w:rsidR="00580BBC" w:rsidRPr="00CD51C7" w:rsidRDefault="005B0BAD" w:rsidP="00D2092F">
      <w:pPr>
        <w:pStyle w:val="ListParagraph"/>
        <w:numPr>
          <w:ilvl w:val="0"/>
          <w:numId w:val="21"/>
        </w:numPr>
        <w:spacing w:before="120"/>
      </w:pPr>
      <w:r w:rsidRPr="00C43284">
        <w:t>atjaunojo</w:t>
      </w:r>
      <w:r>
        <w:t>t skolu bibliotēku fondus</w:t>
      </w:r>
      <w:r w:rsidR="00422FF1">
        <w:t xml:space="preserve">, </w:t>
      </w:r>
      <w:r>
        <w:t>2013</w:t>
      </w:r>
      <w:r w:rsidRPr="00C43284">
        <w:t xml:space="preserve">.gadā </w:t>
      </w:r>
      <w:r>
        <w:t>palielināts</w:t>
      </w:r>
      <w:r w:rsidRPr="00C43284">
        <w:t xml:space="preserve"> valsts atbalsts vispārizglītojošām skolām mūsdienīgu mācību </w:t>
      </w:r>
      <w:r w:rsidR="001F2996">
        <w:t xml:space="preserve">līdzekļu, </w:t>
      </w:r>
      <w:proofErr w:type="spellStart"/>
      <w:r w:rsidR="001F2996">
        <w:t>t.sk</w:t>
      </w:r>
      <w:proofErr w:type="spellEnd"/>
      <w:r w:rsidR="001F2996">
        <w:t>. elektronisko,</w:t>
      </w:r>
      <w:r w:rsidRPr="00C43284">
        <w:t xml:space="preserve"> iegādē. </w:t>
      </w:r>
      <w:r w:rsidRPr="000B5385">
        <w:t>Vienlaikus plānots normatīvajā regulējumā precizēt valsts, pašvaldību un vecāku atbildību mācību līdzekļu iegādes finansēšanā.</w:t>
      </w:r>
      <w:r>
        <w:t xml:space="preserve"> </w:t>
      </w:r>
      <w:r w:rsidRPr="00C43284">
        <w:t>Savukārt līdz 2014.gada 1.jūnijam tiks izstrādāts plāns skolu bibliotēku nodrošināšanai ar mūsdienīgu mācību literatūru.</w:t>
      </w:r>
    </w:p>
    <w:p w:rsidR="00A87BBC" w:rsidRPr="00C43284" w:rsidRDefault="00A87BBC" w:rsidP="00A87BBC">
      <w:pPr>
        <w:pStyle w:val="Heading3"/>
        <w:spacing w:before="360" w:after="120"/>
        <w:ind w:left="567"/>
        <w:rPr>
          <w:rFonts w:ascii="Times New Roman" w:hAnsi="Times New Roman" w:cs="Times New Roman"/>
          <w:color w:val="auto"/>
        </w:rPr>
      </w:pPr>
      <w:bookmarkStart w:id="31" w:name="_Toc354384942"/>
      <w:r w:rsidRPr="00C43284">
        <w:rPr>
          <w:rFonts w:ascii="Times New Roman" w:hAnsi="Times New Roman" w:cs="Times New Roman"/>
          <w:color w:val="auto"/>
        </w:rPr>
        <w:t>3.4.2. Vidējā profesionālā izglītība</w:t>
      </w:r>
      <w:bookmarkEnd w:id="31"/>
    </w:p>
    <w:p w:rsidR="005B0BAD" w:rsidRDefault="001F2996" w:rsidP="005B0BAD">
      <w:pPr>
        <w:pStyle w:val="ListParagraph"/>
        <w:tabs>
          <w:tab w:val="left" w:pos="567"/>
        </w:tabs>
        <w:ind w:left="0" w:firstLine="567"/>
      </w:pPr>
      <w:r w:rsidRPr="00C43284">
        <w:t>Līdz 20</w:t>
      </w:r>
      <w:r>
        <w:t>20</w:t>
      </w:r>
      <w:r w:rsidRPr="00C43284">
        <w:t xml:space="preserve">.gadam plānots </w:t>
      </w:r>
      <w:r>
        <w:t xml:space="preserve">panākt </w:t>
      </w:r>
      <w:r w:rsidRPr="00C43284">
        <w:t xml:space="preserve">izglītojamo skaita proporcijas </w:t>
      </w:r>
      <w:r>
        <w:t xml:space="preserve">izmaiņas starp </w:t>
      </w:r>
      <w:r w:rsidRPr="00C43284">
        <w:t>profesionāl</w:t>
      </w:r>
      <w:r>
        <w:t>o</w:t>
      </w:r>
      <w:r w:rsidRPr="00C43284">
        <w:t xml:space="preserve"> un vispārēj</w:t>
      </w:r>
      <w:r>
        <w:t>o</w:t>
      </w:r>
      <w:r w:rsidRPr="00C43284">
        <w:t xml:space="preserve"> izglītīb</w:t>
      </w:r>
      <w:r>
        <w:t>u apguvušajiem –</w:t>
      </w:r>
      <w:r w:rsidRPr="00C43284">
        <w:t xml:space="preserve"> par labu profesionālajai izglītībai no attiecības 37/63 (2010.gadā) uz attiecību 50/50 (20</w:t>
      </w:r>
      <w:r>
        <w:t>20.gadā)</w:t>
      </w:r>
      <w:r w:rsidRPr="00C43284">
        <w:t>.</w:t>
      </w:r>
      <w:r>
        <w:t xml:space="preserve"> Īstenoto pasākumu rezultātā minētā proporcijas 2011./2012.gadā sasniedza 39/61 attiecību, tuvinoties 2020.mērķa rādītājām</w:t>
      </w:r>
      <w:r w:rsidR="005B0BAD">
        <w:t>.</w:t>
      </w:r>
    </w:p>
    <w:p w:rsidR="007E1BEA" w:rsidRDefault="007E1BEA" w:rsidP="00593BFB">
      <w:pPr>
        <w:pStyle w:val="ListParagraph"/>
        <w:tabs>
          <w:tab w:val="left" w:pos="567"/>
        </w:tabs>
        <w:spacing w:before="120"/>
        <w:ind w:left="0" w:firstLine="567"/>
        <w:contextualSpacing w:val="0"/>
      </w:pPr>
      <w:r>
        <w:t>Galvenie politikas principi, lai mainītu izglītojamo skaita proporcijas profesionālajā izglītībā un vispārējā izglītībā par labu profesionālajai izglītībai, ir vispārēji profesionālās izglītības pievilcības veicināšanas pasākumi, piemēram, infrastruktūras modernizēšana</w:t>
      </w:r>
      <w:r w:rsidR="0053523A">
        <w:t>,</w:t>
      </w:r>
      <w:r w:rsidDel="00EA3C88">
        <w:t xml:space="preserve"> </w:t>
      </w:r>
      <w:r>
        <w:t xml:space="preserve">izglītības programmu kvalitāte, audzēkņu sociālais nodrošinājums, karjeras izglītības pasākumi, sadarbība ar darba devējiem prakšu un potenciāli darba vietu nodrošināšanai, inovatīvas pieejas profesionālās izglītības nodrošināšanā, </w:t>
      </w:r>
      <w:proofErr w:type="spellStart"/>
      <w:r>
        <w:t>t.sk</w:t>
      </w:r>
      <w:proofErr w:type="spellEnd"/>
      <w:r>
        <w:t>. ieviešot darba vidē balstītus apmācības elementus.</w:t>
      </w:r>
    </w:p>
    <w:p w:rsidR="007E1BEA" w:rsidRDefault="007E1BEA" w:rsidP="007E1BEA">
      <w:pPr>
        <w:pStyle w:val="ListParagraph"/>
        <w:tabs>
          <w:tab w:val="left" w:pos="567"/>
        </w:tabs>
        <w:spacing w:before="120"/>
        <w:ind w:left="0" w:firstLine="567"/>
        <w:contextualSpacing w:val="0"/>
      </w:pPr>
      <w:r>
        <w:t xml:space="preserve">2012./2013.mācību gadā mācības profesionālās izglītības programmās uzsākuši – 8588 audzēkņi budžeta finansētās vietās un 1182 audzēkņi ESF finansētās vietās. 2013.gada </w:t>
      </w:r>
      <w:r>
        <w:lastRenderedPageBreak/>
        <w:t xml:space="preserve">1.septembrī plānota uzņemšana gan valsts budžeta finansētās, gan ESF finansētās profesionālās izglītības programmās. Valsts budžeta finansētās profesionālās izglītības programmās plānots uzņemt 9,5 </w:t>
      </w:r>
      <w:proofErr w:type="spellStart"/>
      <w:r>
        <w:t>tūkst</w:t>
      </w:r>
      <w:proofErr w:type="spellEnd"/>
      <w:r>
        <w:t>. audzēkņus.</w:t>
      </w:r>
      <w:r w:rsidR="00D45640">
        <w:t xml:space="preserve"> </w:t>
      </w:r>
      <w:r>
        <w:t xml:space="preserve">Lai nodrošinātu speciālistu sagatavošanu atbilstoši darba tirgus prasībām, uzņemšana konkrētās profesionālās izglītības programmās tiks noteikta, ņemot vērā </w:t>
      </w:r>
      <w:r w:rsidR="00422FF1">
        <w:t>izstrādāt</w:t>
      </w:r>
      <w:r w:rsidR="00C657FF">
        <w:t>ā</w:t>
      </w:r>
      <w:r w:rsidR="00422FF1">
        <w:t xml:space="preserve">s vidēja un ilgtermiņa darba tirgus prognozes, </w:t>
      </w:r>
      <w:r>
        <w:t xml:space="preserve">nozaru ekspertu padomju viedokli un tiek saskaņota ar Profesionālās izglītības un nodarbinātības trīspusējās sadarbības </w:t>
      </w:r>
      <w:proofErr w:type="spellStart"/>
      <w:r>
        <w:t>apakšpadomi</w:t>
      </w:r>
      <w:proofErr w:type="spellEnd"/>
      <w:r>
        <w:t>.</w:t>
      </w:r>
    </w:p>
    <w:p w:rsidR="007E1BEA" w:rsidRDefault="007E1BEA" w:rsidP="007E1BEA">
      <w:pPr>
        <w:pStyle w:val="ListParagraph"/>
        <w:tabs>
          <w:tab w:val="left" w:pos="567"/>
        </w:tabs>
        <w:spacing w:before="120"/>
        <w:ind w:left="0" w:firstLine="567"/>
        <w:contextualSpacing w:val="0"/>
      </w:pPr>
      <w:r w:rsidRPr="00AD111B">
        <w:t xml:space="preserve">Kopējais publiskais finansējums 2012.gadā aktivitātes </w:t>
      </w:r>
      <w:r w:rsidRPr="00593BFB">
        <w:rPr>
          <w:i/>
        </w:rPr>
        <w:t>„Sākotnējās profesionālās izglītības pievilcības veicināšana”</w:t>
      </w:r>
      <w:r w:rsidRPr="00AD111B">
        <w:t xml:space="preserve"> ietvaros stipendiju izmaksām bija 6,2 </w:t>
      </w:r>
      <w:proofErr w:type="spellStart"/>
      <w:r w:rsidRPr="00AD111B">
        <w:t>milj</w:t>
      </w:r>
      <w:proofErr w:type="spellEnd"/>
      <w:r w:rsidRPr="00AD111B">
        <w:t xml:space="preserve">. latu gadā, </w:t>
      </w:r>
      <w:proofErr w:type="spellStart"/>
      <w:r w:rsidRPr="00AD111B">
        <w:t>t.sk</w:t>
      </w:r>
      <w:proofErr w:type="spellEnd"/>
      <w:r w:rsidRPr="00AD111B">
        <w:t xml:space="preserve">., ES fondu finansējums 85%. Vienlaikus valsts budžeta finansētajām vietām profesionālajā izglītībā tika izmaksāti 2,6 </w:t>
      </w:r>
      <w:proofErr w:type="spellStart"/>
      <w:r w:rsidRPr="00AD111B">
        <w:t>milj</w:t>
      </w:r>
      <w:proofErr w:type="spellEnd"/>
      <w:r w:rsidRPr="00AD111B">
        <w:t>. latu.</w:t>
      </w:r>
    </w:p>
    <w:p w:rsidR="005B0BAD" w:rsidRDefault="007E1BEA" w:rsidP="007E1BEA">
      <w:pPr>
        <w:pStyle w:val="ListParagraph"/>
        <w:tabs>
          <w:tab w:val="left" w:pos="567"/>
        </w:tabs>
        <w:ind w:left="0" w:firstLine="567"/>
      </w:pPr>
      <w:r>
        <w:t xml:space="preserve">Sākotnējās profesionālās izglītības programmās ESF stipendijas 25 </w:t>
      </w:r>
      <w:r w:rsidR="00593BFB">
        <w:t>latu</w:t>
      </w:r>
      <w:r>
        <w:t xml:space="preserve"> apmērā pieejamas visiem</w:t>
      </w:r>
      <w:r w:rsidR="00593BFB">
        <w:t xml:space="preserve"> sekmīgajiem studentiem, kamēr </w:t>
      </w:r>
      <w:r>
        <w:t xml:space="preserve">stipendijas 70 </w:t>
      </w:r>
      <w:r w:rsidR="00593BFB">
        <w:t>latu</w:t>
      </w:r>
      <w:r>
        <w:t xml:space="preserve"> apmērā pieejamas studentiem īsajās 1 un 1,5 gadīgajās programmās</w:t>
      </w:r>
      <w:r w:rsidR="005B0BAD">
        <w:t>.</w:t>
      </w:r>
    </w:p>
    <w:p w:rsidR="005B0BAD" w:rsidRPr="00C43284" w:rsidRDefault="005B0BAD" w:rsidP="005B0BAD">
      <w:pPr>
        <w:spacing w:before="240" w:after="120"/>
        <w:ind w:firstLine="567"/>
        <w:rPr>
          <w:u w:val="single"/>
        </w:rPr>
      </w:pPr>
      <w:r w:rsidRPr="00C43284">
        <w:rPr>
          <w:u w:val="single"/>
        </w:rPr>
        <w:t xml:space="preserve">Galvenie politikas virzieni un pasākumi profesionālās izglītības kvalitātes </w:t>
      </w:r>
      <w:r w:rsidRPr="0044476F">
        <w:rPr>
          <w:u w:val="single"/>
        </w:rPr>
        <w:t xml:space="preserve">un pievilcības </w:t>
      </w:r>
      <w:r w:rsidRPr="00C43284">
        <w:rPr>
          <w:u w:val="single"/>
        </w:rPr>
        <w:t>paaugstināšanā, nodrošinot tās atbilstību darba tirgus prasībām:</w:t>
      </w:r>
    </w:p>
    <w:p w:rsidR="005B0BAD" w:rsidRPr="00C43284" w:rsidRDefault="005B0BAD" w:rsidP="00E84407">
      <w:pPr>
        <w:pStyle w:val="ListParagraph"/>
        <w:numPr>
          <w:ilvl w:val="0"/>
          <w:numId w:val="13"/>
        </w:numPr>
        <w:tabs>
          <w:tab w:val="clear" w:pos="720"/>
          <w:tab w:val="num" w:pos="426"/>
        </w:tabs>
        <w:suppressAutoHyphens/>
        <w:spacing w:before="240" w:after="120"/>
        <w:ind w:left="284" w:hanging="284"/>
        <w:contextualSpacing w:val="0"/>
        <w:jc w:val="left"/>
        <w:rPr>
          <w:b/>
        </w:rPr>
      </w:pPr>
      <w:r w:rsidRPr="00C43284">
        <w:rPr>
          <w:b/>
          <w:bCs/>
          <w:i/>
        </w:rPr>
        <w:t xml:space="preserve">Strukturālo izmaiņu īstenošana profesionālajā izglītībā </w:t>
      </w:r>
      <w:r w:rsidRPr="00C43284">
        <w:t>(atbildīgā institūcija – IZM, KM)</w:t>
      </w:r>
    </w:p>
    <w:p w:rsidR="005B0BAD" w:rsidRPr="00C43284" w:rsidRDefault="005B0BAD" w:rsidP="00DC3749">
      <w:pPr>
        <w:ind w:firstLine="567"/>
        <w:rPr>
          <w:bCs/>
          <w:lang w:eastAsia="ar-SA"/>
        </w:rPr>
      </w:pPr>
      <w:r w:rsidRPr="00C43284">
        <w:t>Mērķis ir paaugstināt profesionālās izglītības kvalitāti, nodrošinot tās atbilstību darba tirgus prasībām, kā arī sekmēt pieejamo resursu efektīvāku izmantošanu:</w:t>
      </w:r>
    </w:p>
    <w:p w:rsidR="005B0BAD" w:rsidRPr="00983DFE" w:rsidRDefault="005B0BAD" w:rsidP="00DC3749">
      <w:pPr>
        <w:pStyle w:val="ListParagraph"/>
        <w:numPr>
          <w:ilvl w:val="0"/>
          <w:numId w:val="15"/>
        </w:numPr>
        <w:suppressAutoHyphens/>
        <w:ind w:hanging="294"/>
        <w:contextualSpacing w:val="0"/>
      </w:pPr>
      <w:r w:rsidRPr="00983DFE">
        <w:t xml:space="preserve">optimizējot un diferencējot profesionālās izglītības iestāžu skaitu un izvietojumu reģionos (no 65 vidējās profesionālās izglītības iestādēm 2012.gadā līdz 30 iestādēm 2015.gadā). </w:t>
      </w:r>
      <w:r w:rsidR="00422FF1">
        <w:t xml:space="preserve">Saskaņā ar </w:t>
      </w:r>
      <w:r w:rsidR="00422FF1" w:rsidRPr="00422FF1">
        <w:rPr>
          <w:i/>
        </w:rPr>
        <w:t>Profesionālās izglītības iestāžu tīkla optimizācijas pamatnostādnēm 2010.-2015.gadam</w:t>
      </w:r>
      <w:r w:rsidR="00422FF1" w:rsidRPr="00422FF1">
        <w:t>,</w:t>
      </w:r>
      <w:r w:rsidR="00422FF1">
        <w:t xml:space="preserve"> ir </w:t>
      </w:r>
      <w:r w:rsidRPr="00983DFE">
        <w:t>paredzēts izveidot 14 profesionālās izglītības kompetences centrus, 14 profesionālās izglītības iestādes ar specializāciju un 2 profesionālās izglītības iestādes bāzes pamatiemaņu apguvei;</w:t>
      </w:r>
    </w:p>
    <w:p w:rsidR="005B0BAD" w:rsidRDefault="005B0BAD" w:rsidP="00DC3749">
      <w:pPr>
        <w:pStyle w:val="ListParagraph"/>
        <w:numPr>
          <w:ilvl w:val="0"/>
          <w:numId w:val="15"/>
        </w:numPr>
      </w:pPr>
      <w:r>
        <w:t xml:space="preserve">saskaņā ar grozījumiem </w:t>
      </w:r>
      <w:r w:rsidRPr="00346708">
        <w:rPr>
          <w:i/>
        </w:rPr>
        <w:t>Profesionālās izglītības likuma</w:t>
      </w:r>
      <w:r>
        <w:t xml:space="preserve"> 16.pantā, nosakot šādus profesionālās izglītības iestāžu veidus: profesionālā pamatskola, arodskola, profesionālā vidusskola, tehnikums, koledža.</w:t>
      </w:r>
    </w:p>
    <w:p w:rsidR="00422FF1" w:rsidRDefault="00422FF1" w:rsidP="00DA40B1">
      <w:pPr>
        <w:spacing w:before="120"/>
        <w:ind w:firstLine="567"/>
      </w:pPr>
      <w:r>
        <w:t xml:space="preserve">Tiek apzināti priekšnoteikumi profesionālās izglītības iestāžu pārvaldības maiņai, </w:t>
      </w:r>
      <w:proofErr w:type="spellStart"/>
      <w:r>
        <w:t>t.sk</w:t>
      </w:r>
      <w:proofErr w:type="spellEnd"/>
      <w:r>
        <w:t>., nodošanai pašvaldībām.</w:t>
      </w:r>
    </w:p>
    <w:p w:rsidR="00DC3749" w:rsidRDefault="00DC3749" w:rsidP="00422FF1">
      <w:pPr>
        <w:ind w:firstLine="567"/>
      </w:pPr>
      <w:r>
        <w:t>L</w:t>
      </w:r>
      <w:r w:rsidRPr="00804854">
        <w:t xml:space="preserve">ai izglītojamie varētu iegūt profesionālo izglītību iespējami tuvu dzīves vietai, vietējie sociālie partneri aktīvi </w:t>
      </w:r>
      <w:proofErr w:type="spellStart"/>
      <w:r w:rsidR="00422FF1">
        <w:t>iesaistīt</w:t>
      </w:r>
      <w:r w:rsidRPr="00804854">
        <w:t>darba</w:t>
      </w:r>
      <w:proofErr w:type="spellEnd"/>
      <w:r w:rsidRPr="00804854">
        <w:t xml:space="preserve"> tirgum nepieciešamo speciālistu sagatavošanā, bet pašvaldības patstāvīgi varē</w:t>
      </w:r>
      <w:r>
        <w:t>tu</w:t>
      </w:r>
      <w:r w:rsidRPr="00804854">
        <w:t xml:space="preserve"> plānot visa veida izglītības iestāžu konsolidāciju pašvaldības administratīvajā teritorijā</w:t>
      </w:r>
      <w:r>
        <w:t>,</w:t>
      </w:r>
      <w:r w:rsidRPr="00804854">
        <w:t xml:space="preserve"> </w:t>
      </w:r>
      <w:r>
        <w:t>tiek uzskatīts</w:t>
      </w:r>
      <w:r w:rsidRPr="00804854">
        <w:t xml:space="preserve">, ka pašvaldībām jānodod </w:t>
      </w:r>
      <w:r>
        <w:t xml:space="preserve">11 </w:t>
      </w:r>
      <w:r w:rsidRPr="00804854">
        <w:t>nelielās (300 vai mazāk izglītojamie) profesionālās izglītības iestādes</w:t>
      </w:r>
      <w:r>
        <w:t>.</w:t>
      </w:r>
      <w:r w:rsidRPr="00804854">
        <w:t xml:space="preserve"> Tā rezultātā izglītojamajiem būtu dota iespēja vienuviet apgūt gan vispārizglītojošās, gan profesionālās izglītības programmas, </w:t>
      </w:r>
      <w:proofErr w:type="spellStart"/>
      <w:r w:rsidRPr="00804854">
        <w:t>t.sk</w:t>
      </w:r>
      <w:proofErr w:type="spellEnd"/>
      <w:r w:rsidRPr="00804854">
        <w:t>. profesionālās tālākizglītības un profesionālās pilnveides izglītības programmas, nodrošinot visa veida izglītības iestāžu infrastruktūras un mācību aprīkojuma racionālu un efektīvu izmantošanu, bet pedagogiem saglabāt nedēļas darba slodzi.</w:t>
      </w:r>
    </w:p>
    <w:p w:rsidR="00FB2D89" w:rsidRDefault="005D6BCB" w:rsidP="00DC3749">
      <w:pPr>
        <w:ind w:firstLine="567"/>
        <w:rPr>
          <w:bCs/>
        </w:rPr>
      </w:pPr>
      <w:r w:rsidRPr="007E25CE">
        <w:rPr>
          <w:bCs/>
        </w:rPr>
        <w:t xml:space="preserve">Līdz 2013.gada 1.septembrim plānots nodot pašvaldībām </w:t>
      </w:r>
      <w:r>
        <w:rPr>
          <w:bCs/>
        </w:rPr>
        <w:t>3</w:t>
      </w:r>
      <w:r w:rsidRPr="007E25CE">
        <w:rPr>
          <w:bCs/>
        </w:rPr>
        <w:t xml:space="preserve"> valsts profesionālās izglītības iestādes</w:t>
      </w:r>
      <w:r w:rsidR="00DC3749">
        <w:rPr>
          <w:bCs/>
        </w:rPr>
        <w:t xml:space="preserve">. </w:t>
      </w:r>
      <w:r>
        <w:rPr>
          <w:bCs/>
        </w:rPr>
        <w:t>Savukārt</w:t>
      </w:r>
      <w:r w:rsidRPr="007E25CE">
        <w:rPr>
          <w:bCs/>
        </w:rPr>
        <w:t xml:space="preserve"> līdz 2015.gada 31.decembrim plānots pašvaldībām nodot vēl </w:t>
      </w:r>
      <w:r>
        <w:rPr>
          <w:bCs/>
        </w:rPr>
        <w:t>8</w:t>
      </w:r>
      <w:r w:rsidRPr="007E25CE">
        <w:rPr>
          <w:bCs/>
        </w:rPr>
        <w:t xml:space="preserve"> profesionālās izglītības iestādes.</w:t>
      </w:r>
    </w:p>
    <w:p w:rsidR="00FB2D89" w:rsidRDefault="00FB6D33" w:rsidP="00FB2D89">
      <w:pPr>
        <w:ind w:firstLine="567"/>
      </w:pPr>
      <w:r w:rsidRPr="00657BDB">
        <w:t xml:space="preserve">Lai optimizētu profesionālās izglītības iestāžu skaitu un izvietojumu  reģionos, tiek veicināta profesionālās izglītības kompetences centru statusa iegūšana (profesionālās izglītības iestāde, kuras darbība atbilst centra kritērijiem –audzēkņu skaits, plašs īstenoto izglītības programmu piedāvājums, sadarbība ar darba devējiem, veic metodiskā centra funkcijas, kā arī īsteno ārpus formālās izglītības iegūto zināšanu atzīšanu </w:t>
      </w:r>
      <w:proofErr w:type="spellStart"/>
      <w:r w:rsidRPr="00657BDB">
        <w:t>u.c</w:t>
      </w:r>
      <w:proofErr w:type="spellEnd"/>
      <w:r w:rsidRPr="00657BDB">
        <w:t>.</w:t>
      </w:r>
      <w:r>
        <w:t>)</w:t>
      </w:r>
      <w:r w:rsidR="00FB2D89">
        <w:t>.</w:t>
      </w:r>
    </w:p>
    <w:p w:rsidR="005B0BAD" w:rsidRDefault="005D6BCB" w:rsidP="00DC3749">
      <w:pPr>
        <w:ind w:firstLine="567"/>
      </w:pPr>
      <w:r>
        <w:t xml:space="preserve">Kopējais publiskais finansējums 2012.gadā </w:t>
      </w:r>
      <w:r w:rsidR="00FB6D33">
        <w:t xml:space="preserve">profesionālās izglītības iestāžu </w:t>
      </w:r>
      <w:r>
        <w:t>mācību aprīkojuma modernizācijai un infrastruktūras uzlabošanai</w:t>
      </w:r>
      <w:r w:rsidR="00FB6D33">
        <w:t>, kā arī</w:t>
      </w:r>
      <w:r>
        <w:t xml:space="preserve"> profesionālās izglītības </w:t>
      </w:r>
      <w:r>
        <w:lastRenderedPageBreak/>
        <w:t xml:space="preserve">programmu īstenošanai </w:t>
      </w:r>
      <w:r w:rsidR="00DC3749">
        <w:t>bija</w:t>
      </w:r>
      <w:r>
        <w:t xml:space="preserve"> 5,8 </w:t>
      </w:r>
      <w:proofErr w:type="spellStart"/>
      <w:r>
        <w:t>milj</w:t>
      </w:r>
      <w:proofErr w:type="spellEnd"/>
      <w:r>
        <w:t xml:space="preserve">. </w:t>
      </w:r>
      <w:r w:rsidR="00911FD6">
        <w:t>latu</w:t>
      </w:r>
      <w:r>
        <w:t xml:space="preserve">, </w:t>
      </w:r>
      <w:r w:rsidRPr="00911FD6">
        <w:t xml:space="preserve">tajā skaitā 5 </w:t>
      </w:r>
      <w:proofErr w:type="spellStart"/>
      <w:r w:rsidRPr="00911FD6">
        <w:t>milj</w:t>
      </w:r>
      <w:proofErr w:type="spellEnd"/>
      <w:r w:rsidRPr="00911FD6">
        <w:t xml:space="preserve">. </w:t>
      </w:r>
      <w:r w:rsidR="00911FD6" w:rsidRPr="00911FD6">
        <w:t>latu</w:t>
      </w:r>
      <w:r>
        <w:t xml:space="preserve"> ERAF aktivitātes un 0,8 </w:t>
      </w:r>
      <w:proofErr w:type="spellStart"/>
      <w:r>
        <w:t>milj</w:t>
      </w:r>
      <w:proofErr w:type="spellEnd"/>
      <w:r>
        <w:t xml:space="preserve">. </w:t>
      </w:r>
      <w:r w:rsidR="00911FD6">
        <w:t>latu</w:t>
      </w:r>
      <w:r>
        <w:t xml:space="preserve"> valsts budžeta līdzfinansējums</w:t>
      </w:r>
      <w:r w:rsidR="005B0BAD">
        <w:t>.</w:t>
      </w:r>
      <w:r w:rsidR="00D45640">
        <w:t xml:space="preserve"> </w:t>
      </w:r>
    </w:p>
    <w:p w:rsidR="005B0BAD" w:rsidRDefault="005B0BAD" w:rsidP="00E84407">
      <w:pPr>
        <w:pStyle w:val="ListParagraph"/>
        <w:numPr>
          <w:ilvl w:val="0"/>
          <w:numId w:val="13"/>
        </w:numPr>
        <w:tabs>
          <w:tab w:val="clear" w:pos="720"/>
          <w:tab w:val="num" w:pos="426"/>
        </w:tabs>
        <w:suppressAutoHyphens/>
        <w:spacing w:before="240" w:after="120"/>
        <w:ind w:left="284" w:hanging="284"/>
        <w:contextualSpacing w:val="0"/>
        <w:rPr>
          <w:bCs/>
        </w:rPr>
      </w:pPr>
      <w:r w:rsidRPr="00C43284">
        <w:rPr>
          <w:b/>
          <w:bCs/>
          <w:i/>
        </w:rPr>
        <w:t xml:space="preserve">Sadarbības ar nozaru sociālajiem partneriem profesionālās izglītības pilnveidošanai un attīstībai stiprināšana </w:t>
      </w:r>
      <w:r w:rsidRPr="00C43284">
        <w:rPr>
          <w:bCs/>
        </w:rPr>
        <w:t>(atbildīgā institūcija – IZM)</w:t>
      </w:r>
    </w:p>
    <w:p w:rsidR="005B0BAD" w:rsidRPr="00B01787" w:rsidRDefault="005B0BAD" w:rsidP="005B0BAD">
      <w:pPr>
        <w:tabs>
          <w:tab w:val="num" w:pos="426"/>
        </w:tabs>
        <w:suppressAutoHyphens/>
        <w:ind w:firstLine="567"/>
        <w:rPr>
          <w:bCs/>
        </w:rPr>
      </w:pPr>
      <w:r w:rsidRPr="00B01787">
        <w:rPr>
          <w:bCs/>
        </w:rPr>
        <w:t>2011.gadā izveidotās 12 nozaru ekspertu padomes turpina darbu, izstrādājot nozaru kvalitatīvo un kvantitatīvo pasūtī</w:t>
      </w:r>
      <w:r>
        <w:rPr>
          <w:bCs/>
        </w:rPr>
        <w:t xml:space="preserve">jumu darbaspēka sagatavošanai. </w:t>
      </w:r>
      <w:r w:rsidRPr="00B01787">
        <w:rPr>
          <w:bCs/>
        </w:rPr>
        <w:t xml:space="preserve">ESF projekta ietvaros 2012.gadā ir pabeigta nozaru izpēte profesionālās izglītības vajadzībām, kā rezultātā ir izstrādāti nozaru apraksti un izveidotas nozaru profesionālo kvalifikāciju struktūras. Atbilstoši nozaru profesionālo kvalifikāciju struktūrām ir uzsākta profesiju standartu izstrāde un pilnveide pamatprofesijām, kā arī profesionālo kvalifikāciju pamatprasību izstrāde saistītajām profesijām un </w:t>
      </w:r>
      <w:proofErr w:type="spellStart"/>
      <w:r w:rsidRPr="00B01787">
        <w:rPr>
          <w:bCs/>
        </w:rPr>
        <w:t>specializācijām</w:t>
      </w:r>
      <w:proofErr w:type="spellEnd"/>
      <w:r w:rsidRPr="00B01787">
        <w:rPr>
          <w:bCs/>
        </w:rPr>
        <w:t xml:space="preserve">. </w:t>
      </w:r>
    </w:p>
    <w:p w:rsidR="005B0BAD" w:rsidRPr="00B01787" w:rsidRDefault="005B0BAD" w:rsidP="005B0BAD">
      <w:pPr>
        <w:tabs>
          <w:tab w:val="num" w:pos="426"/>
        </w:tabs>
        <w:suppressAutoHyphens/>
        <w:ind w:firstLine="567"/>
        <w:rPr>
          <w:bCs/>
        </w:rPr>
      </w:pPr>
      <w:r w:rsidRPr="00B01787">
        <w:rPr>
          <w:bCs/>
        </w:rPr>
        <w:t xml:space="preserve">Ar ESF atbalstu 2012.gadā sadarbībā ar sociālajiem partneriem uzsākta profesionālās izglītības satura pārstrukturēšana, ievērojot Eiropas kvalifikāciju </w:t>
      </w:r>
      <w:proofErr w:type="spellStart"/>
      <w:r w:rsidRPr="00B01787">
        <w:rPr>
          <w:bCs/>
        </w:rPr>
        <w:t>ietvarstruktūru</w:t>
      </w:r>
      <w:proofErr w:type="spellEnd"/>
      <w:r w:rsidRPr="00B01787">
        <w:rPr>
          <w:bCs/>
        </w:rPr>
        <w:t xml:space="preserve"> un izmantojot elastīgu </w:t>
      </w:r>
      <w:proofErr w:type="spellStart"/>
      <w:r w:rsidRPr="00B01787">
        <w:rPr>
          <w:bCs/>
        </w:rPr>
        <w:t>moduļveida</w:t>
      </w:r>
      <w:proofErr w:type="spellEnd"/>
      <w:r w:rsidRPr="00B01787">
        <w:rPr>
          <w:bCs/>
        </w:rPr>
        <w:t xml:space="preserve"> izglītības ieguvi</w:t>
      </w:r>
      <w:r>
        <w:rPr>
          <w:bCs/>
        </w:rPr>
        <w:t xml:space="preserve">. </w:t>
      </w:r>
    </w:p>
    <w:p w:rsidR="001D5F8A" w:rsidRDefault="005B0BAD" w:rsidP="005B0BAD">
      <w:pPr>
        <w:ind w:firstLine="567"/>
        <w:rPr>
          <w:bCs/>
        </w:rPr>
      </w:pPr>
      <w:r>
        <w:rPr>
          <w:bCs/>
        </w:rPr>
        <w:t xml:space="preserve">Kopējais publiskais finansējums nozaru kvalifikāciju sistēmas izveidei un profesionālās izglītības pārstrukturizācijai 2012.gadā bija 5,1 </w:t>
      </w:r>
      <w:proofErr w:type="spellStart"/>
      <w:r>
        <w:rPr>
          <w:bCs/>
        </w:rPr>
        <w:t>milj</w:t>
      </w:r>
      <w:proofErr w:type="spellEnd"/>
      <w:r>
        <w:rPr>
          <w:bCs/>
        </w:rPr>
        <w:t xml:space="preserve">. lati (100% ES fondu finansējums). Plānotais finansējums 2013.gadā ir 0.8 </w:t>
      </w:r>
      <w:proofErr w:type="spellStart"/>
      <w:r>
        <w:rPr>
          <w:bCs/>
        </w:rPr>
        <w:t>milj</w:t>
      </w:r>
      <w:proofErr w:type="spellEnd"/>
      <w:r>
        <w:rPr>
          <w:bCs/>
        </w:rPr>
        <w:t>. latu un</w:t>
      </w:r>
      <w:r w:rsidR="00D45640">
        <w:rPr>
          <w:bCs/>
        </w:rPr>
        <w:t xml:space="preserve"> </w:t>
      </w:r>
      <w:r>
        <w:rPr>
          <w:bCs/>
        </w:rPr>
        <w:t xml:space="preserve">2014.gadā 0,9 </w:t>
      </w:r>
      <w:proofErr w:type="spellStart"/>
      <w:r>
        <w:rPr>
          <w:bCs/>
        </w:rPr>
        <w:t>milj</w:t>
      </w:r>
      <w:proofErr w:type="spellEnd"/>
      <w:r>
        <w:rPr>
          <w:bCs/>
        </w:rPr>
        <w:t>. latu.</w:t>
      </w:r>
    </w:p>
    <w:p w:rsidR="00580BBC" w:rsidRPr="00C43284" w:rsidRDefault="00580BBC" w:rsidP="00580BBC">
      <w:pPr>
        <w:spacing w:before="120"/>
        <w:ind w:firstLine="567"/>
      </w:pPr>
      <w:r>
        <w:rPr>
          <w:rFonts w:eastAsia="Times New Roman"/>
        </w:rPr>
        <w:t>Kopumā augstākminēti</w:t>
      </w:r>
      <w:r w:rsidR="00F83A9A">
        <w:rPr>
          <w:rFonts w:eastAsia="Times New Roman"/>
        </w:rPr>
        <w:t>e</w:t>
      </w:r>
      <w:r>
        <w:rPr>
          <w:rFonts w:eastAsia="Times New Roman"/>
        </w:rPr>
        <w:t xml:space="preserve"> pasākumi saistās arī ar </w:t>
      </w:r>
      <w:r w:rsidRPr="00FF5C3A">
        <w:rPr>
          <w:rFonts w:eastAsia="Times New Roman"/>
          <w:i/>
        </w:rPr>
        <w:t>„Eiropa 2020”</w:t>
      </w:r>
      <w:r>
        <w:rPr>
          <w:rFonts w:eastAsia="Times New Roman"/>
        </w:rPr>
        <w:t xml:space="preserve"> stratēģijas vadošās iniciatīvas </w:t>
      </w:r>
      <w:r w:rsidRPr="00935AB4">
        <w:rPr>
          <w:rFonts w:eastAsia="Times New Roman"/>
          <w:i/>
        </w:rPr>
        <w:t>„Jaunu prasmju un darbavietu programma”</w:t>
      </w:r>
      <w:r>
        <w:rPr>
          <w:rFonts w:eastAsia="Times New Roman"/>
        </w:rPr>
        <w:t xml:space="preserve"> īstenošanu.</w:t>
      </w:r>
    </w:p>
    <w:p w:rsidR="00A87BBC" w:rsidRPr="00C43284" w:rsidRDefault="00A87BBC" w:rsidP="00A87BBC">
      <w:pPr>
        <w:pStyle w:val="Heading3"/>
        <w:spacing w:before="360" w:after="120"/>
        <w:ind w:left="567"/>
        <w:rPr>
          <w:rFonts w:ascii="Times New Roman" w:hAnsi="Times New Roman" w:cs="Times New Roman"/>
          <w:color w:val="auto"/>
        </w:rPr>
      </w:pPr>
      <w:bookmarkStart w:id="32" w:name="_Toc354384943"/>
      <w:r w:rsidRPr="00C43284">
        <w:rPr>
          <w:rFonts w:ascii="Times New Roman" w:hAnsi="Times New Roman" w:cs="Times New Roman"/>
          <w:color w:val="auto"/>
        </w:rPr>
        <w:t>3.4.3. Augstākā izglītība</w:t>
      </w:r>
      <w:bookmarkEnd w:id="32"/>
    </w:p>
    <w:p w:rsidR="005B0BAD" w:rsidRDefault="005B0BAD" w:rsidP="005B0BAD">
      <w:pPr>
        <w:ind w:firstLine="567"/>
      </w:pPr>
      <w:r w:rsidRPr="00C43284">
        <w:t>Augstākās izglītības jomā Latvijas NRP noteiktais mērķis ir nodrošināt, ka 2020.gadā 34-36% iedzīvotāju (30–34 gadu vecuma grupā) ir ar augstāko izglītību.</w:t>
      </w:r>
    </w:p>
    <w:p w:rsidR="005B0BAD" w:rsidRPr="00C43284" w:rsidRDefault="005B0BAD" w:rsidP="005B0BAD">
      <w:pPr>
        <w:ind w:firstLine="567"/>
        <w:jc w:val="right"/>
      </w:pPr>
      <w:r w:rsidRPr="00C43284">
        <w:t>5.tabula</w:t>
      </w:r>
    </w:p>
    <w:p w:rsidR="005B0BAD" w:rsidRPr="00C43284" w:rsidRDefault="005B0BAD" w:rsidP="005B0BAD">
      <w:pPr>
        <w:spacing w:after="60"/>
        <w:jc w:val="center"/>
      </w:pPr>
      <w:r w:rsidRPr="00C43284">
        <w:t>Augstāko izglītību ieguvušo iedzīvotāju īpatsvara mērķa sasniegšanas trajektorija</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3963"/>
        <w:gridCol w:w="887"/>
        <w:gridCol w:w="887"/>
        <w:gridCol w:w="888"/>
        <w:gridCol w:w="887"/>
        <w:gridCol w:w="887"/>
        <w:gridCol w:w="888"/>
      </w:tblGrid>
      <w:tr w:rsidR="005B0BAD" w:rsidRPr="00C43284" w:rsidTr="002E439F">
        <w:trPr>
          <w:jc w:val="center"/>
        </w:trPr>
        <w:tc>
          <w:tcPr>
            <w:tcW w:w="3963" w:type="dxa"/>
            <w:tcBorders>
              <w:top w:val="single" w:sz="8" w:space="0" w:color="000000"/>
              <w:left w:val="nil"/>
              <w:bottom w:val="single" w:sz="8" w:space="0" w:color="000000"/>
              <w:right w:val="nil"/>
            </w:tcBorders>
          </w:tcPr>
          <w:p w:rsidR="005B0BAD" w:rsidRPr="00C43284" w:rsidRDefault="005B0BAD" w:rsidP="006F290F">
            <w:pPr>
              <w:pStyle w:val="Default"/>
              <w:jc w:val="both"/>
              <w:rPr>
                <w:rFonts w:ascii="Times New Roman" w:hAnsi="Times New Roman" w:cs="Times New Roman"/>
                <w:b/>
                <w:bCs/>
              </w:rPr>
            </w:pPr>
          </w:p>
        </w:tc>
        <w:tc>
          <w:tcPr>
            <w:tcW w:w="887" w:type="dxa"/>
            <w:tcBorders>
              <w:top w:val="single" w:sz="8" w:space="0" w:color="000000"/>
              <w:left w:val="nil"/>
              <w:bottom w:val="single" w:sz="8" w:space="0" w:color="000000"/>
              <w:right w:val="nil"/>
            </w:tcBorders>
          </w:tcPr>
          <w:p w:rsidR="005B0BAD" w:rsidRPr="00C43284" w:rsidRDefault="005B0BAD" w:rsidP="006F290F">
            <w:pPr>
              <w:pStyle w:val="Default"/>
              <w:jc w:val="center"/>
              <w:rPr>
                <w:rFonts w:ascii="Times New Roman" w:hAnsi="Times New Roman" w:cs="Times New Roman"/>
                <w:b/>
                <w:bCs/>
              </w:rPr>
            </w:pPr>
            <w:r w:rsidRPr="00C43284">
              <w:rPr>
                <w:rFonts w:ascii="Times New Roman" w:hAnsi="Times New Roman" w:cs="Times New Roman"/>
                <w:b/>
                <w:bCs/>
              </w:rPr>
              <w:t>2008</w:t>
            </w:r>
          </w:p>
        </w:tc>
        <w:tc>
          <w:tcPr>
            <w:tcW w:w="887" w:type="dxa"/>
            <w:tcBorders>
              <w:top w:val="single" w:sz="8" w:space="0" w:color="000000"/>
              <w:left w:val="nil"/>
              <w:bottom w:val="single" w:sz="8" w:space="0" w:color="000000"/>
              <w:right w:val="nil"/>
            </w:tcBorders>
          </w:tcPr>
          <w:p w:rsidR="005B0BAD" w:rsidRPr="00C43284" w:rsidRDefault="005B0BAD" w:rsidP="006F290F">
            <w:pPr>
              <w:pStyle w:val="Default"/>
              <w:jc w:val="center"/>
              <w:rPr>
                <w:rFonts w:ascii="Times New Roman" w:hAnsi="Times New Roman" w:cs="Times New Roman"/>
                <w:b/>
                <w:bCs/>
              </w:rPr>
            </w:pPr>
            <w:r w:rsidRPr="00C43284">
              <w:rPr>
                <w:rFonts w:ascii="Times New Roman" w:hAnsi="Times New Roman" w:cs="Times New Roman"/>
                <w:b/>
                <w:bCs/>
              </w:rPr>
              <w:t>2009</w:t>
            </w:r>
          </w:p>
        </w:tc>
        <w:tc>
          <w:tcPr>
            <w:tcW w:w="888" w:type="dxa"/>
            <w:tcBorders>
              <w:top w:val="single" w:sz="8" w:space="0" w:color="000000"/>
              <w:left w:val="nil"/>
              <w:bottom w:val="single" w:sz="8" w:space="0" w:color="000000"/>
              <w:right w:val="nil"/>
            </w:tcBorders>
          </w:tcPr>
          <w:p w:rsidR="005B0BAD" w:rsidRPr="00C43284" w:rsidRDefault="005B0BAD" w:rsidP="006F290F">
            <w:pPr>
              <w:pStyle w:val="Default"/>
              <w:jc w:val="center"/>
              <w:rPr>
                <w:rFonts w:ascii="Times New Roman" w:hAnsi="Times New Roman" w:cs="Times New Roman"/>
                <w:b/>
                <w:bCs/>
              </w:rPr>
            </w:pPr>
            <w:r w:rsidRPr="00C43284">
              <w:rPr>
                <w:rFonts w:ascii="Times New Roman" w:hAnsi="Times New Roman" w:cs="Times New Roman"/>
                <w:b/>
                <w:bCs/>
              </w:rPr>
              <w:t>2010</w:t>
            </w:r>
          </w:p>
        </w:tc>
        <w:tc>
          <w:tcPr>
            <w:tcW w:w="887" w:type="dxa"/>
            <w:tcBorders>
              <w:top w:val="single" w:sz="8" w:space="0" w:color="000000"/>
              <w:left w:val="nil"/>
              <w:bottom w:val="single" w:sz="8" w:space="0" w:color="000000"/>
              <w:right w:val="nil"/>
            </w:tcBorders>
          </w:tcPr>
          <w:p w:rsidR="005B0BAD" w:rsidRPr="00C43284" w:rsidRDefault="005B0BAD" w:rsidP="006F290F">
            <w:pPr>
              <w:pStyle w:val="Default"/>
              <w:jc w:val="center"/>
              <w:rPr>
                <w:rFonts w:ascii="Times New Roman" w:hAnsi="Times New Roman" w:cs="Times New Roman"/>
                <w:b/>
                <w:bCs/>
              </w:rPr>
            </w:pPr>
            <w:r>
              <w:rPr>
                <w:rFonts w:ascii="Times New Roman" w:hAnsi="Times New Roman" w:cs="Times New Roman"/>
                <w:b/>
                <w:bCs/>
              </w:rPr>
              <w:t>2011</w:t>
            </w:r>
            <w:r w:rsidRPr="004A3A87">
              <w:rPr>
                <w:rFonts w:ascii="Times New Roman" w:hAnsi="Times New Roman" w:cs="Times New Roman"/>
                <w:bCs/>
              </w:rPr>
              <w:t>*</w:t>
            </w:r>
          </w:p>
        </w:tc>
        <w:tc>
          <w:tcPr>
            <w:tcW w:w="887" w:type="dxa"/>
            <w:tcBorders>
              <w:top w:val="single" w:sz="8" w:space="0" w:color="000000"/>
              <w:left w:val="nil"/>
              <w:bottom w:val="single" w:sz="8" w:space="0" w:color="000000"/>
              <w:right w:val="nil"/>
            </w:tcBorders>
          </w:tcPr>
          <w:p w:rsidR="005B0BAD" w:rsidRPr="00C43284" w:rsidRDefault="005B0BAD" w:rsidP="006F290F">
            <w:pPr>
              <w:pStyle w:val="Default"/>
              <w:jc w:val="center"/>
              <w:rPr>
                <w:rFonts w:ascii="Times New Roman" w:hAnsi="Times New Roman" w:cs="Times New Roman"/>
                <w:b/>
                <w:bCs/>
              </w:rPr>
            </w:pPr>
            <w:r>
              <w:rPr>
                <w:rFonts w:ascii="Times New Roman" w:hAnsi="Times New Roman" w:cs="Times New Roman"/>
                <w:b/>
                <w:bCs/>
              </w:rPr>
              <w:t>2012</w:t>
            </w:r>
          </w:p>
        </w:tc>
        <w:tc>
          <w:tcPr>
            <w:tcW w:w="888" w:type="dxa"/>
            <w:tcBorders>
              <w:top w:val="single" w:sz="8" w:space="0" w:color="000000"/>
              <w:left w:val="nil"/>
              <w:bottom w:val="single" w:sz="8" w:space="0" w:color="000000"/>
              <w:right w:val="nil"/>
            </w:tcBorders>
          </w:tcPr>
          <w:p w:rsidR="005B0BAD" w:rsidRPr="00C43284" w:rsidRDefault="005B0BAD" w:rsidP="006F290F">
            <w:pPr>
              <w:pStyle w:val="Default"/>
              <w:jc w:val="center"/>
              <w:rPr>
                <w:rFonts w:ascii="Times New Roman" w:hAnsi="Times New Roman" w:cs="Times New Roman"/>
                <w:b/>
                <w:bCs/>
              </w:rPr>
            </w:pPr>
            <w:r w:rsidRPr="00C43284">
              <w:rPr>
                <w:rFonts w:ascii="Times New Roman" w:hAnsi="Times New Roman" w:cs="Times New Roman"/>
                <w:b/>
                <w:bCs/>
              </w:rPr>
              <w:t>2020</w:t>
            </w:r>
          </w:p>
        </w:tc>
      </w:tr>
      <w:tr w:rsidR="005B0BAD" w:rsidRPr="00C43284" w:rsidTr="002E439F">
        <w:trPr>
          <w:jc w:val="center"/>
        </w:trPr>
        <w:tc>
          <w:tcPr>
            <w:tcW w:w="3963" w:type="dxa"/>
            <w:tcBorders>
              <w:left w:val="nil"/>
              <w:right w:val="nil"/>
            </w:tcBorders>
            <w:shd w:val="clear" w:color="auto" w:fill="D9D9D9"/>
          </w:tcPr>
          <w:p w:rsidR="005B0BAD" w:rsidRPr="00C43284" w:rsidRDefault="005B0BAD" w:rsidP="006F290F">
            <w:pPr>
              <w:pStyle w:val="Default"/>
              <w:spacing w:before="40" w:after="40"/>
              <w:rPr>
                <w:rFonts w:ascii="Times New Roman" w:hAnsi="Times New Roman" w:cs="Times New Roman"/>
                <w:b/>
                <w:bCs/>
              </w:rPr>
            </w:pPr>
            <w:r w:rsidRPr="00C43284">
              <w:rPr>
                <w:rFonts w:ascii="Times New Roman" w:hAnsi="Times New Roman" w:cs="Times New Roman"/>
                <w:bCs/>
              </w:rPr>
              <w:t>Iedzīvotāju skaits ar augstāko izglītību,</w:t>
            </w:r>
            <w:r w:rsidRPr="00C43284">
              <w:rPr>
                <w:rFonts w:ascii="Times New Roman" w:hAnsi="Times New Roman" w:cs="Times New Roman"/>
                <w:bCs/>
              </w:rPr>
              <w:br/>
              <w:t xml:space="preserve">vecumā no 30-34 gadiem, </w:t>
            </w:r>
            <w:proofErr w:type="spellStart"/>
            <w:r w:rsidRPr="00C43284">
              <w:rPr>
                <w:rFonts w:ascii="Times New Roman" w:hAnsi="Times New Roman" w:cs="Times New Roman"/>
                <w:bCs/>
              </w:rPr>
              <w:t>tūkst</w:t>
            </w:r>
            <w:proofErr w:type="spellEnd"/>
            <w:r w:rsidRPr="00C43284">
              <w:rPr>
                <w:rFonts w:ascii="Times New Roman" w:hAnsi="Times New Roman" w:cs="Times New Roman"/>
                <w:bCs/>
              </w:rPr>
              <w:t>.</w:t>
            </w:r>
          </w:p>
        </w:tc>
        <w:tc>
          <w:tcPr>
            <w:tcW w:w="887" w:type="dxa"/>
            <w:tcBorders>
              <w:left w:val="nil"/>
              <w:right w:val="nil"/>
            </w:tcBorders>
            <w:shd w:val="clear" w:color="auto" w:fill="D9D9D9"/>
            <w:vAlign w:val="center"/>
          </w:tcPr>
          <w:p w:rsidR="005B0BAD" w:rsidRPr="00C43284" w:rsidRDefault="005B0BAD" w:rsidP="006F290F">
            <w:pPr>
              <w:pStyle w:val="Default"/>
              <w:spacing w:before="40" w:after="40"/>
              <w:jc w:val="right"/>
              <w:rPr>
                <w:rFonts w:ascii="Times New Roman" w:hAnsi="Times New Roman" w:cs="Times New Roman"/>
              </w:rPr>
            </w:pPr>
            <w:r w:rsidRPr="00C43284">
              <w:rPr>
                <w:rFonts w:ascii="Times New Roman" w:hAnsi="Times New Roman" w:cs="Times New Roman"/>
              </w:rPr>
              <w:t>42,7</w:t>
            </w:r>
          </w:p>
        </w:tc>
        <w:tc>
          <w:tcPr>
            <w:tcW w:w="887" w:type="dxa"/>
            <w:tcBorders>
              <w:left w:val="nil"/>
              <w:right w:val="nil"/>
            </w:tcBorders>
            <w:shd w:val="clear" w:color="auto" w:fill="D9D9D9"/>
            <w:vAlign w:val="center"/>
          </w:tcPr>
          <w:p w:rsidR="005B0BAD" w:rsidRPr="00C43284" w:rsidRDefault="005B0BAD" w:rsidP="006F290F">
            <w:pPr>
              <w:pStyle w:val="Default"/>
              <w:spacing w:before="40" w:after="40"/>
              <w:jc w:val="right"/>
              <w:rPr>
                <w:rFonts w:ascii="Times New Roman" w:hAnsi="Times New Roman" w:cs="Times New Roman"/>
              </w:rPr>
            </w:pPr>
            <w:r w:rsidRPr="00C43284">
              <w:rPr>
                <w:rFonts w:ascii="Times New Roman" w:hAnsi="Times New Roman" w:cs="Times New Roman"/>
              </w:rPr>
              <w:t>47,3</w:t>
            </w:r>
          </w:p>
        </w:tc>
        <w:tc>
          <w:tcPr>
            <w:tcW w:w="888" w:type="dxa"/>
            <w:tcBorders>
              <w:left w:val="nil"/>
              <w:right w:val="nil"/>
            </w:tcBorders>
            <w:shd w:val="clear" w:color="auto" w:fill="D9D9D9"/>
            <w:vAlign w:val="center"/>
          </w:tcPr>
          <w:p w:rsidR="005B0BAD" w:rsidRPr="00C43284" w:rsidRDefault="005B0BAD" w:rsidP="006F290F">
            <w:pPr>
              <w:pStyle w:val="Default"/>
              <w:spacing w:before="40" w:after="40"/>
              <w:jc w:val="right"/>
              <w:rPr>
                <w:rFonts w:ascii="Times New Roman" w:hAnsi="Times New Roman" w:cs="Times New Roman"/>
              </w:rPr>
            </w:pPr>
            <w:r w:rsidRPr="00C43284">
              <w:rPr>
                <w:rFonts w:ascii="Times New Roman" w:hAnsi="Times New Roman" w:cs="Times New Roman"/>
              </w:rPr>
              <w:t>50,3</w:t>
            </w:r>
          </w:p>
        </w:tc>
        <w:tc>
          <w:tcPr>
            <w:tcW w:w="887" w:type="dxa"/>
            <w:tcBorders>
              <w:left w:val="nil"/>
              <w:right w:val="nil"/>
            </w:tcBorders>
            <w:shd w:val="clear" w:color="auto" w:fill="D9D9D9"/>
            <w:vAlign w:val="center"/>
          </w:tcPr>
          <w:p w:rsidR="005B0BAD" w:rsidRPr="00C43284" w:rsidRDefault="005B0BAD" w:rsidP="006F290F">
            <w:pPr>
              <w:pStyle w:val="Default"/>
              <w:spacing w:before="40" w:after="40"/>
              <w:jc w:val="right"/>
              <w:rPr>
                <w:rFonts w:ascii="Times New Roman" w:hAnsi="Times New Roman" w:cs="Times New Roman"/>
              </w:rPr>
            </w:pPr>
            <w:r>
              <w:rPr>
                <w:rFonts w:ascii="Times New Roman" w:hAnsi="Times New Roman" w:cs="Times New Roman"/>
              </w:rPr>
              <w:t>47,8</w:t>
            </w:r>
          </w:p>
        </w:tc>
        <w:tc>
          <w:tcPr>
            <w:tcW w:w="887" w:type="dxa"/>
            <w:tcBorders>
              <w:left w:val="nil"/>
              <w:right w:val="nil"/>
            </w:tcBorders>
            <w:shd w:val="clear" w:color="auto" w:fill="D9D9D9"/>
            <w:vAlign w:val="center"/>
          </w:tcPr>
          <w:p w:rsidR="005B0BAD" w:rsidRPr="00C43284" w:rsidRDefault="005B0BAD" w:rsidP="006F290F">
            <w:pPr>
              <w:pStyle w:val="Default"/>
              <w:spacing w:before="40" w:after="40"/>
              <w:jc w:val="right"/>
              <w:rPr>
                <w:rFonts w:ascii="Times New Roman" w:hAnsi="Times New Roman" w:cs="Times New Roman"/>
              </w:rPr>
            </w:pPr>
            <w:r>
              <w:rPr>
                <w:rFonts w:ascii="Times New Roman" w:hAnsi="Times New Roman" w:cs="Times New Roman"/>
              </w:rPr>
              <w:t>49,2</w:t>
            </w:r>
          </w:p>
        </w:tc>
        <w:tc>
          <w:tcPr>
            <w:tcW w:w="888" w:type="dxa"/>
            <w:tcBorders>
              <w:left w:val="nil"/>
              <w:right w:val="nil"/>
            </w:tcBorders>
            <w:shd w:val="clear" w:color="auto" w:fill="D9D9D9"/>
            <w:vAlign w:val="center"/>
          </w:tcPr>
          <w:p w:rsidR="005B0BAD" w:rsidRPr="00C43284" w:rsidRDefault="005B0BAD" w:rsidP="006F290F">
            <w:pPr>
              <w:pStyle w:val="Default"/>
              <w:spacing w:before="40" w:after="40"/>
              <w:jc w:val="right"/>
              <w:rPr>
                <w:rFonts w:ascii="Times New Roman" w:hAnsi="Times New Roman" w:cs="Times New Roman"/>
              </w:rPr>
            </w:pPr>
            <w:r w:rsidRPr="00C43284">
              <w:rPr>
                <w:rFonts w:ascii="Times New Roman" w:hAnsi="Times New Roman" w:cs="Times New Roman"/>
              </w:rPr>
              <w:t>61,1</w:t>
            </w:r>
          </w:p>
        </w:tc>
      </w:tr>
      <w:tr w:rsidR="005B0BAD" w:rsidRPr="00C43284" w:rsidTr="002E439F">
        <w:trPr>
          <w:jc w:val="center"/>
        </w:trPr>
        <w:tc>
          <w:tcPr>
            <w:tcW w:w="3963" w:type="dxa"/>
          </w:tcPr>
          <w:p w:rsidR="005B0BAD" w:rsidRPr="00C43284" w:rsidRDefault="005B0BAD" w:rsidP="006F290F">
            <w:pPr>
              <w:pStyle w:val="Default"/>
              <w:spacing w:before="40" w:after="40"/>
              <w:rPr>
                <w:rFonts w:ascii="Times New Roman" w:hAnsi="Times New Roman" w:cs="Times New Roman"/>
                <w:b/>
                <w:bCs/>
              </w:rPr>
            </w:pPr>
            <w:r w:rsidRPr="00C43284">
              <w:rPr>
                <w:rFonts w:ascii="Times New Roman" w:hAnsi="Times New Roman" w:cs="Times New Roman"/>
                <w:bCs/>
              </w:rPr>
              <w:t xml:space="preserve">Iedzīvotāju skaits vecuma grupā 30-34 gadi </w:t>
            </w:r>
          </w:p>
        </w:tc>
        <w:tc>
          <w:tcPr>
            <w:tcW w:w="887" w:type="dxa"/>
            <w:vAlign w:val="center"/>
          </w:tcPr>
          <w:p w:rsidR="005B0BAD" w:rsidRPr="00C43284" w:rsidRDefault="005B0BAD" w:rsidP="006F290F">
            <w:pPr>
              <w:pStyle w:val="Default"/>
              <w:spacing w:before="40" w:after="40"/>
              <w:jc w:val="right"/>
              <w:rPr>
                <w:rFonts w:ascii="Times New Roman" w:hAnsi="Times New Roman" w:cs="Times New Roman"/>
              </w:rPr>
            </w:pPr>
            <w:r w:rsidRPr="00C43284">
              <w:rPr>
                <w:rFonts w:ascii="Times New Roman" w:hAnsi="Times New Roman" w:cs="Times New Roman"/>
              </w:rPr>
              <w:t>158,3</w:t>
            </w:r>
          </w:p>
        </w:tc>
        <w:tc>
          <w:tcPr>
            <w:tcW w:w="887" w:type="dxa"/>
            <w:vAlign w:val="center"/>
          </w:tcPr>
          <w:p w:rsidR="005B0BAD" w:rsidRPr="00C43284" w:rsidRDefault="005B0BAD" w:rsidP="006F290F">
            <w:pPr>
              <w:pStyle w:val="Default"/>
              <w:spacing w:before="40" w:after="40"/>
              <w:jc w:val="right"/>
              <w:rPr>
                <w:rFonts w:ascii="Times New Roman" w:hAnsi="Times New Roman" w:cs="Times New Roman"/>
              </w:rPr>
            </w:pPr>
            <w:r w:rsidRPr="00C43284">
              <w:rPr>
                <w:rFonts w:ascii="Times New Roman" w:hAnsi="Times New Roman" w:cs="Times New Roman"/>
              </w:rPr>
              <w:t>157,2</w:t>
            </w:r>
          </w:p>
        </w:tc>
        <w:tc>
          <w:tcPr>
            <w:tcW w:w="888" w:type="dxa"/>
            <w:vAlign w:val="center"/>
          </w:tcPr>
          <w:p w:rsidR="005B0BAD" w:rsidRPr="00C43284" w:rsidRDefault="005B0BAD" w:rsidP="006F290F">
            <w:pPr>
              <w:pStyle w:val="Default"/>
              <w:spacing w:before="40" w:after="40"/>
              <w:jc w:val="right"/>
              <w:rPr>
                <w:rFonts w:ascii="Times New Roman" w:hAnsi="Times New Roman" w:cs="Times New Roman"/>
              </w:rPr>
            </w:pPr>
            <w:r w:rsidRPr="00C43284">
              <w:rPr>
                <w:rFonts w:ascii="Times New Roman" w:hAnsi="Times New Roman" w:cs="Times New Roman"/>
              </w:rPr>
              <w:t>155,8</w:t>
            </w:r>
          </w:p>
        </w:tc>
        <w:tc>
          <w:tcPr>
            <w:tcW w:w="887" w:type="dxa"/>
            <w:vAlign w:val="center"/>
          </w:tcPr>
          <w:p w:rsidR="005B0BAD" w:rsidRPr="00C43284" w:rsidRDefault="005B0BAD" w:rsidP="006F290F">
            <w:pPr>
              <w:pStyle w:val="Default"/>
              <w:spacing w:before="40" w:after="40"/>
              <w:jc w:val="right"/>
              <w:rPr>
                <w:rFonts w:ascii="Times New Roman" w:hAnsi="Times New Roman" w:cs="Times New Roman"/>
              </w:rPr>
            </w:pPr>
            <w:r>
              <w:rPr>
                <w:rFonts w:ascii="Times New Roman" w:hAnsi="Times New Roman" w:cs="Times New Roman"/>
              </w:rPr>
              <w:t>133,2</w:t>
            </w:r>
          </w:p>
        </w:tc>
        <w:tc>
          <w:tcPr>
            <w:tcW w:w="887" w:type="dxa"/>
            <w:vAlign w:val="center"/>
          </w:tcPr>
          <w:p w:rsidR="005B0BAD" w:rsidRPr="00C43284" w:rsidRDefault="005B0BAD" w:rsidP="006F290F">
            <w:pPr>
              <w:pStyle w:val="Default"/>
              <w:spacing w:before="40" w:after="40"/>
              <w:jc w:val="right"/>
              <w:rPr>
                <w:rFonts w:ascii="Times New Roman" w:hAnsi="Times New Roman" w:cs="Times New Roman"/>
              </w:rPr>
            </w:pPr>
            <w:r>
              <w:rPr>
                <w:rFonts w:ascii="Times New Roman" w:hAnsi="Times New Roman" w:cs="Times New Roman"/>
              </w:rPr>
              <w:t>132,7</w:t>
            </w:r>
          </w:p>
        </w:tc>
        <w:tc>
          <w:tcPr>
            <w:tcW w:w="888" w:type="dxa"/>
            <w:vAlign w:val="center"/>
          </w:tcPr>
          <w:p w:rsidR="005B0BAD" w:rsidRPr="00C43284" w:rsidRDefault="005B0BAD" w:rsidP="006F290F">
            <w:pPr>
              <w:pStyle w:val="Default"/>
              <w:spacing w:before="40" w:after="40"/>
              <w:jc w:val="right"/>
              <w:rPr>
                <w:rFonts w:ascii="Times New Roman" w:hAnsi="Times New Roman" w:cs="Times New Roman"/>
              </w:rPr>
            </w:pPr>
            <w:r w:rsidRPr="00C43284">
              <w:rPr>
                <w:rFonts w:ascii="Times New Roman" w:hAnsi="Times New Roman" w:cs="Times New Roman"/>
              </w:rPr>
              <w:t>177,9</w:t>
            </w:r>
          </w:p>
        </w:tc>
      </w:tr>
      <w:tr w:rsidR="005B0BAD" w:rsidRPr="00C43284" w:rsidTr="002E439F">
        <w:trPr>
          <w:jc w:val="center"/>
        </w:trPr>
        <w:tc>
          <w:tcPr>
            <w:tcW w:w="3963" w:type="dxa"/>
            <w:tcBorders>
              <w:left w:val="nil"/>
              <w:right w:val="nil"/>
            </w:tcBorders>
            <w:shd w:val="clear" w:color="auto" w:fill="D9D9D9"/>
          </w:tcPr>
          <w:p w:rsidR="005B0BAD" w:rsidRPr="00C43284" w:rsidRDefault="005B0BAD" w:rsidP="006F290F">
            <w:pPr>
              <w:pStyle w:val="Default"/>
              <w:spacing w:before="40" w:after="40"/>
              <w:rPr>
                <w:rFonts w:ascii="Times New Roman" w:hAnsi="Times New Roman" w:cs="Times New Roman"/>
                <w:b/>
                <w:bCs/>
              </w:rPr>
            </w:pPr>
            <w:r w:rsidRPr="00C43284">
              <w:rPr>
                <w:rFonts w:ascii="Times New Roman" w:hAnsi="Times New Roman" w:cs="Times New Roman"/>
                <w:bCs/>
              </w:rPr>
              <w:t>Īpatsvars, %</w:t>
            </w:r>
          </w:p>
        </w:tc>
        <w:tc>
          <w:tcPr>
            <w:tcW w:w="887" w:type="dxa"/>
            <w:tcBorders>
              <w:left w:val="nil"/>
              <w:right w:val="nil"/>
            </w:tcBorders>
            <w:shd w:val="clear" w:color="auto" w:fill="D9D9D9"/>
            <w:vAlign w:val="center"/>
          </w:tcPr>
          <w:p w:rsidR="005B0BAD" w:rsidRPr="00C43284" w:rsidRDefault="005B0BAD" w:rsidP="006F290F">
            <w:pPr>
              <w:pStyle w:val="Default"/>
              <w:spacing w:before="40" w:after="40"/>
              <w:jc w:val="right"/>
              <w:rPr>
                <w:rFonts w:ascii="Times New Roman" w:hAnsi="Times New Roman" w:cs="Times New Roman"/>
                <w:bCs/>
              </w:rPr>
            </w:pPr>
            <w:r w:rsidRPr="00C43284">
              <w:rPr>
                <w:rFonts w:ascii="Times New Roman" w:hAnsi="Times New Roman" w:cs="Times New Roman"/>
                <w:bCs/>
              </w:rPr>
              <w:t>27</w:t>
            </w:r>
          </w:p>
        </w:tc>
        <w:tc>
          <w:tcPr>
            <w:tcW w:w="887" w:type="dxa"/>
            <w:tcBorders>
              <w:left w:val="nil"/>
              <w:right w:val="nil"/>
            </w:tcBorders>
            <w:shd w:val="clear" w:color="auto" w:fill="D9D9D9"/>
            <w:vAlign w:val="center"/>
          </w:tcPr>
          <w:p w:rsidR="005B0BAD" w:rsidRPr="00C43284" w:rsidRDefault="005B0BAD" w:rsidP="006F290F">
            <w:pPr>
              <w:pStyle w:val="Default"/>
              <w:spacing w:before="40" w:after="40"/>
              <w:jc w:val="right"/>
              <w:rPr>
                <w:rFonts w:ascii="Times New Roman" w:hAnsi="Times New Roman" w:cs="Times New Roman"/>
                <w:bCs/>
              </w:rPr>
            </w:pPr>
            <w:r w:rsidRPr="00C43284">
              <w:rPr>
                <w:rFonts w:ascii="Times New Roman" w:hAnsi="Times New Roman" w:cs="Times New Roman"/>
                <w:bCs/>
              </w:rPr>
              <w:t>30,1</w:t>
            </w:r>
          </w:p>
        </w:tc>
        <w:tc>
          <w:tcPr>
            <w:tcW w:w="888" w:type="dxa"/>
            <w:tcBorders>
              <w:left w:val="nil"/>
              <w:right w:val="nil"/>
            </w:tcBorders>
            <w:shd w:val="clear" w:color="auto" w:fill="D9D9D9"/>
            <w:vAlign w:val="center"/>
          </w:tcPr>
          <w:p w:rsidR="005B0BAD" w:rsidRPr="00C43284" w:rsidRDefault="005B0BAD" w:rsidP="006F290F">
            <w:pPr>
              <w:pStyle w:val="Default"/>
              <w:spacing w:before="40" w:after="40"/>
              <w:jc w:val="right"/>
              <w:rPr>
                <w:rFonts w:ascii="Times New Roman" w:hAnsi="Times New Roman" w:cs="Times New Roman"/>
              </w:rPr>
            </w:pPr>
            <w:r w:rsidRPr="00C43284">
              <w:rPr>
                <w:rFonts w:ascii="Times New Roman" w:hAnsi="Times New Roman" w:cs="Times New Roman"/>
                <w:bCs/>
              </w:rPr>
              <w:t>32,3</w:t>
            </w:r>
          </w:p>
        </w:tc>
        <w:tc>
          <w:tcPr>
            <w:tcW w:w="887" w:type="dxa"/>
            <w:tcBorders>
              <w:left w:val="nil"/>
              <w:right w:val="nil"/>
            </w:tcBorders>
            <w:shd w:val="clear" w:color="auto" w:fill="D9D9D9"/>
            <w:vAlign w:val="center"/>
          </w:tcPr>
          <w:p w:rsidR="005B0BAD" w:rsidRPr="00C43284" w:rsidRDefault="005B0BAD" w:rsidP="006F290F">
            <w:pPr>
              <w:pStyle w:val="Default"/>
              <w:spacing w:before="40" w:after="40"/>
              <w:jc w:val="right"/>
              <w:rPr>
                <w:rFonts w:ascii="Times New Roman" w:hAnsi="Times New Roman" w:cs="Times New Roman"/>
                <w:bCs/>
              </w:rPr>
            </w:pPr>
            <w:r>
              <w:rPr>
                <w:rFonts w:ascii="Times New Roman" w:hAnsi="Times New Roman" w:cs="Times New Roman"/>
                <w:bCs/>
              </w:rPr>
              <w:t>35,7</w:t>
            </w:r>
          </w:p>
        </w:tc>
        <w:tc>
          <w:tcPr>
            <w:tcW w:w="887" w:type="dxa"/>
            <w:tcBorders>
              <w:left w:val="nil"/>
              <w:right w:val="nil"/>
            </w:tcBorders>
            <w:shd w:val="clear" w:color="auto" w:fill="D9D9D9"/>
            <w:vAlign w:val="center"/>
          </w:tcPr>
          <w:p w:rsidR="005B0BAD" w:rsidRPr="00C43284" w:rsidRDefault="005B0BAD" w:rsidP="006F290F">
            <w:pPr>
              <w:pStyle w:val="Default"/>
              <w:spacing w:before="40" w:after="40"/>
              <w:jc w:val="right"/>
              <w:rPr>
                <w:rFonts w:ascii="Times New Roman" w:hAnsi="Times New Roman" w:cs="Times New Roman"/>
                <w:bCs/>
              </w:rPr>
            </w:pPr>
            <w:r>
              <w:rPr>
                <w:rFonts w:ascii="Times New Roman" w:hAnsi="Times New Roman" w:cs="Times New Roman"/>
                <w:bCs/>
              </w:rPr>
              <w:t>37,0</w:t>
            </w:r>
          </w:p>
        </w:tc>
        <w:tc>
          <w:tcPr>
            <w:tcW w:w="888" w:type="dxa"/>
            <w:tcBorders>
              <w:left w:val="nil"/>
              <w:right w:val="nil"/>
            </w:tcBorders>
            <w:shd w:val="clear" w:color="auto" w:fill="D9D9D9"/>
            <w:vAlign w:val="center"/>
          </w:tcPr>
          <w:p w:rsidR="005B0BAD" w:rsidRPr="00C43284" w:rsidRDefault="006946C5" w:rsidP="006F290F">
            <w:pPr>
              <w:pStyle w:val="Default"/>
              <w:spacing w:before="40" w:after="40"/>
              <w:jc w:val="right"/>
              <w:rPr>
                <w:rFonts w:ascii="Times New Roman" w:hAnsi="Times New Roman" w:cs="Times New Roman"/>
              </w:rPr>
            </w:pPr>
            <w:r>
              <w:rPr>
                <w:rFonts w:ascii="Times New Roman" w:hAnsi="Times New Roman" w:cs="Times New Roman"/>
                <w:bCs/>
              </w:rPr>
              <w:t>34-36</w:t>
            </w:r>
          </w:p>
        </w:tc>
      </w:tr>
    </w:tbl>
    <w:p w:rsidR="005B0BAD" w:rsidRPr="004A3A87" w:rsidRDefault="005B0BAD" w:rsidP="002E439F">
      <w:pPr>
        <w:jc w:val="left"/>
        <w:rPr>
          <w:i/>
          <w:sz w:val="18"/>
          <w:szCs w:val="18"/>
        </w:rPr>
      </w:pPr>
      <w:r w:rsidRPr="004A3A87">
        <w:rPr>
          <w:i/>
          <w:sz w:val="18"/>
          <w:szCs w:val="18"/>
        </w:rPr>
        <w:t>* Pārrēķins pēc 2011.gada tautas skaitīšanas</w:t>
      </w:r>
    </w:p>
    <w:p w:rsidR="005B0BAD" w:rsidRPr="00C43284" w:rsidRDefault="005B0BAD" w:rsidP="00DA40B1">
      <w:pPr>
        <w:spacing w:before="120"/>
        <w:ind w:firstLine="567"/>
      </w:pPr>
      <w:r w:rsidRPr="00C43284">
        <w:t xml:space="preserve">Latvijā jau </w:t>
      </w:r>
      <w:r>
        <w:t>sesto</w:t>
      </w:r>
      <w:r w:rsidRPr="00C43284">
        <w:t xml:space="preserve"> gadu pēc kārtas vērojama studējošo skaita samazināšanās tendence. 201</w:t>
      </w:r>
      <w:r>
        <w:t>2./2013</w:t>
      </w:r>
      <w:r w:rsidRPr="00C43284">
        <w:t>.</w:t>
      </w:r>
      <w:r>
        <w:t xml:space="preserve"> </w:t>
      </w:r>
      <w:r w:rsidRPr="004478C8">
        <w:t xml:space="preserve">akadēmiskajā gadā Latvijas augstākās izglītības institūcijās kopā studēja 94 474 studenti, kas ir par </w:t>
      </w:r>
      <w:r>
        <w:t xml:space="preserve">6% mazāk nekā iepriekšējā gadā. </w:t>
      </w:r>
      <w:r w:rsidRPr="004478C8">
        <w:t xml:space="preserve">2012./2013.akadēmiskajā gadā salīdzinājumā ar 2005./2006.akdēmisko gadu, kad studentu skaits Latvijā sasniedza maksimālo līmeni, studentu skaits Latvijā ir </w:t>
      </w:r>
      <w:r>
        <w:t xml:space="preserve">samazinājies par 28%. Studentu </w:t>
      </w:r>
      <w:r w:rsidRPr="004478C8">
        <w:t>skaita samazināšanos pēdējo četru gadu laikā galvenokārt ir izraisījuši demogrāfiskie faktori (demogrāfiskā bedre), kā arī</w:t>
      </w:r>
      <w:r w:rsidR="00D45640">
        <w:t xml:space="preserve"> </w:t>
      </w:r>
      <w:r w:rsidRPr="004478C8">
        <w:t>ekonomiskā krīze un iedzīvotāju ekonomiskā emigrācija, kas liecina par augstākās izglītības pieejamības samazināšanos ekonomisko apsvērumu dēļ. Par valsts budžeta līdzekļiem 2012./2013.akadēmiskajā gadā studē 34 854 studenti jeb 37% studenti</w:t>
      </w:r>
      <w:r>
        <w:t xml:space="preserve"> </w:t>
      </w:r>
      <w:r w:rsidRPr="00C43284">
        <w:t>no kopējā studentu skaita. Ap 70% no valsts budžeta finansētām studiju vietām</w:t>
      </w:r>
      <w:r w:rsidR="00A60804">
        <w:t>, ņemot vērā darba tirgus vidēja un ilgtermiņa prognozes,</w:t>
      </w:r>
      <w:r w:rsidRPr="00C43284">
        <w:t xml:space="preserve"> ir valstij prioritārās, augstu pievienoto vērtību radošās un dārgu izmaksu nozarēs – dabaszinātnēs, inženierzinātnēs, veselības aprūpē, kā arī maģistrantūrā un doktorantūrā, kas ir svarīgi gan jaunu mācībspēku, gan zinātnieku sagatavošanā</w:t>
      </w:r>
      <w:r>
        <w:t>.</w:t>
      </w:r>
    </w:p>
    <w:p w:rsidR="005B0BAD" w:rsidRPr="00C43284" w:rsidRDefault="005B0BAD" w:rsidP="005B0BAD">
      <w:pPr>
        <w:spacing w:before="120"/>
        <w:ind w:firstLine="567"/>
      </w:pPr>
      <w:r>
        <w:lastRenderedPageBreak/>
        <w:t>Zemāk minēti p</w:t>
      </w:r>
      <w:r w:rsidRPr="004478C8">
        <w:t xml:space="preserve">asākumi </w:t>
      </w:r>
      <w:r w:rsidR="00871323">
        <w:t xml:space="preserve">saistās ar </w:t>
      </w:r>
      <w:r w:rsidR="00871323" w:rsidRPr="00353580">
        <w:rPr>
          <w:i/>
        </w:rPr>
        <w:t>2013.gada izaugsmes ziņojuma</w:t>
      </w:r>
      <w:r w:rsidR="00871323">
        <w:t xml:space="preserve"> prioritātes attiecībā uz izaugsmes un konkurētspējas veicināšanu, kā arī</w:t>
      </w:r>
      <w:r w:rsidR="00871323">
        <w:rPr>
          <w:rFonts w:eastAsia="Times New Roman"/>
        </w:rPr>
        <w:t xml:space="preserve"> </w:t>
      </w:r>
      <w:r w:rsidR="00E51908" w:rsidRPr="00FF5C3A">
        <w:rPr>
          <w:rFonts w:eastAsia="Times New Roman"/>
          <w:i/>
        </w:rPr>
        <w:t>„Eiropa 2020”</w:t>
      </w:r>
      <w:r w:rsidR="00E51908">
        <w:rPr>
          <w:rFonts w:eastAsia="Times New Roman"/>
        </w:rPr>
        <w:t xml:space="preserve"> stratēģijas vadošo iniciatīvu </w:t>
      </w:r>
      <w:r w:rsidR="00E51908" w:rsidRPr="00935AB4">
        <w:rPr>
          <w:rFonts w:eastAsia="Times New Roman"/>
          <w:i/>
        </w:rPr>
        <w:t>„Jaunu prasmju un darbavietu programma”</w:t>
      </w:r>
      <w:r w:rsidR="00E51908">
        <w:rPr>
          <w:rFonts w:eastAsia="Times New Roman"/>
          <w:i/>
        </w:rPr>
        <w:t>, „Jaunatne kustībā”</w:t>
      </w:r>
      <w:r w:rsidR="00E51908">
        <w:rPr>
          <w:rFonts w:eastAsia="Times New Roman"/>
        </w:rPr>
        <w:t xml:space="preserve"> īstenošanu</w:t>
      </w:r>
      <w:r>
        <w:t>.</w:t>
      </w:r>
    </w:p>
    <w:p w:rsidR="005B0BAD" w:rsidRPr="00C43284" w:rsidRDefault="005B0BAD" w:rsidP="005B0BAD">
      <w:pPr>
        <w:spacing w:before="240" w:after="120"/>
        <w:ind w:firstLine="567"/>
        <w:rPr>
          <w:u w:val="single"/>
        </w:rPr>
      </w:pPr>
      <w:r w:rsidRPr="00C43284">
        <w:rPr>
          <w:u w:val="single"/>
        </w:rPr>
        <w:t>Galvenie politikas virzieni un pasākumi augstāko izglītību ieguvušo iedzīvotāju skaita palielināšanai:</w:t>
      </w:r>
    </w:p>
    <w:p w:rsidR="005B0BAD" w:rsidRPr="00C43284" w:rsidRDefault="005B0BAD" w:rsidP="00E84407">
      <w:pPr>
        <w:pStyle w:val="ListParagraph"/>
        <w:numPr>
          <w:ilvl w:val="0"/>
          <w:numId w:val="13"/>
        </w:numPr>
        <w:tabs>
          <w:tab w:val="clear" w:pos="720"/>
          <w:tab w:val="num" w:pos="284"/>
        </w:tabs>
        <w:suppressAutoHyphens/>
        <w:spacing w:before="240" w:after="120"/>
        <w:ind w:left="284" w:hanging="284"/>
        <w:contextualSpacing w:val="0"/>
        <w:jc w:val="left"/>
      </w:pPr>
      <w:r w:rsidRPr="00C43284">
        <w:rPr>
          <w:b/>
          <w:bCs/>
          <w:i/>
        </w:rPr>
        <w:t>Augstākās izglītības modernizācija</w:t>
      </w:r>
      <w:r w:rsidRPr="00C43284">
        <w:rPr>
          <w:bCs/>
          <w:i/>
        </w:rPr>
        <w:t xml:space="preserve"> </w:t>
      </w:r>
      <w:r w:rsidRPr="00C43284">
        <w:rPr>
          <w:bCs/>
          <w:iCs/>
        </w:rPr>
        <w:t>(atbildīgā institūcija – IZM)</w:t>
      </w:r>
    </w:p>
    <w:p w:rsidR="005B0BAD" w:rsidRPr="00C43284" w:rsidRDefault="005B0BAD" w:rsidP="005B0BAD">
      <w:pPr>
        <w:ind w:firstLine="567"/>
      </w:pPr>
      <w:r w:rsidRPr="00C43284">
        <w:t>Mērķis ir paaugstināt studiju un pētniecības efektivitāti, kvalitāti un starptautisko konkurētspēju, nodrošināt iegūto kvalifikāciju un prasmju pilnīgāku atbilstību darba tirgus prasībām.</w:t>
      </w:r>
    </w:p>
    <w:p w:rsidR="005B0BAD" w:rsidRPr="00C43284" w:rsidRDefault="005B0BAD" w:rsidP="005B0BAD">
      <w:pPr>
        <w:spacing w:before="120" w:after="120"/>
        <w:ind w:firstLine="567"/>
      </w:pPr>
      <w:r w:rsidRPr="00C43284">
        <w:t xml:space="preserve">Reforma paredz pāreju no programmu akreditācijas uz studiju virzienu akreditāciju, </w:t>
      </w:r>
      <w:proofErr w:type="spellStart"/>
      <w:r w:rsidRPr="00C43284">
        <w:t>t.sk</w:t>
      </w:r>
      <w:proofErr w:type="spellEnd"/>
      <w:r w:rsidRPr="00C43284">
        <w:t xml:space="preserve">., veicot studiju programmu kvalitātes, resursu pietiekamības un ilgtspējas starptautisku izvērtēšanu. </w:t>
      </w:r>
    </w:p>
    <w:p w:rsidR="005B0BAD" w:rsidRDefault="005B0BAD" w:rsidP="005B0BAD">
      <w:pPr>
        <w:autoSpaceDE w:val="0"/>
        <w:autoSpaceDN w:val="0"/>
        <w:adjustRightInd w:val="0"/>
        <w:ind w:firstLine="567"/>
      </w:pPr>
      <w:r>
        <w:t>2012.gadā veikti pasākumi, lai pārietu uz jaunu augstākās izglītības ārējās</w:t>
      </w:r>
      <w:r w:rsidR="00D45640">
        <w:t xml:space="preserve"> </w:t>
      </w:r>
      <w:r>
        <w:t xml:space="preserve">kvalitātes novērtēšanas sistēmu (ieviešot studiju virzienu akreditāciju). Tika sagatavota normatīvā bāze studiju virzienu akreditācijas modelim </w:t>
      </w:r>
      <w:r w:rsidR="00BF4F4D">
        <w:t>–</w:t>
      </w:r>
      <w:r>
        <w:t xml:space="preserve"> apstiprināti augstskolu, koledžu un studiju virzienu akreditācijas noteikumi,</w:t>
      </w:r>
      <w:r w:rsidR="00D45640">
        <w:t xml:space="preserve"> </w:t>
      </w:r>
      <w:r>
        <w:t xml:space="preserve">apstiprināts Studiju akreditācijas komisijas sastāvs. Lai izvēlētos Eiropas kvalitātes nodrošināšanas reģistrā (EQAR) iekļautu aģentūru, kura turpmāk organizēs studiju programmu licencēšanu un augstskolu, koledžu un studiju virzienu akreditāciju, ministrija izsludināja atklātu konkursu, kurā uzvarēja Vācijas augstākās izglītības akreditācijas aģentūra ASIIN </w:t>
      </w:r>
      <w:proofErr w:type="spellStart"/>
      <w:r>
        <w:t>e.V</w:t>
      </w:r>
      <w:proofErr w:type="spellEnd"/>
      <w:r>
        <w:t xml:space="preserve">. Līdz ar to turpmāk akreditāciju un licencēšanu organizēs EQAR iekļauta ārvalstu aģentūra, kā rezultātā augstākās izglītības ārējās kvalitātes pārbaudes process būs kvalitatīvāks, caurspīdīgāks un neatkarīgāks. Ir paredzēts, ka ASIIN </w:t>
      </w:r>
      <w:proofErr w:type="spellStart"/>
      <w:r>
        <w:t>e.V</w:t>
      </w:r>
      <w:proofErr w:type="spellEnd"/>
      <w:r>
        <w:t>. sniegs atbalstu nacionālās aģentūras izveidei un nostiprināšanai, lai tās kapacitāte būtu pietiekoša iekļaušanai EQAR reģistrā triju gadu laikā. Tādējādi Latvijas valsts iegūs savu nacionālo aģentūru, ko reģistrēs EQAR.</w:t>
      </w:r>
      <w:r w:rsidR="00D45640">
        <w:t xml:space="preserve"> </w:t>
      </w:r>
      <w:r>
        <w:t xml:space="preserve"> </w:t>
      </w:r>
    </w:p>
    <w:p w:rsidR="005B0BAD" w:rsidRDefault="005B0BAD" w:rsidP="00DA40B1">
      <w:pPr>
        <w:autoSpaceDE w:val="0"/>
        <w:autoSpaceDN w:val="0"/>
        <w:adjustRightInd w:val="0"/>
        <w:spacing w:before="120"/>
        <w:ind w:firstLine="567"/>
      </w:pPr>
      <w:r>
        <w:t xml:space="preserve">Lai izvērtētu augstākās izglītības studiju programmu kvalitāti, resursu pietiekamību un ilgtspēju, 2012.gadā turpinājās Eiropas Sociālā fonda projekta „Augstākās izglītības studiju programmu izvērtēšana un priekšlikumi kvalitātes paaugstināšanai” īstenošana. Starptautiskie eksperti ir izvērtējuši 29 studiju virzienos ietilpstošās 857 programmas un snieguši ieteikumus augstākās izglītības politikas veidotājiem, augstākās izglītības iestāžu vadībai un studiju programmu direktoriem, lai uzlabotu augstākās izglītības kvalitāti un efektivitāti. Studiju programmu izvērtēšanas rezultātā līdz 2013.gada </w:t>
      </w:r>
      <w:r w:rsidR="00E267B2">
        <w:t>jūlijam</w:t>
      </w:r>
      <w:r>
        <w:t xml:space="preserve"> tiks sagatavoti ekspertu ieteikumi turpmākai studiju programmu pilnveidei, uzlabošanai, attīstībai, konsolidācijai, slēgšanai, starptautiskās konkurētspējas veicināšanai, resursu efektīvai izmantošanai un finansēšanai no valsts budžeta līdzekļiem, kā arī tiks sagatavotas rekomendācijas studiju programmu vērtēšanas un akreditācijas procesa pilnveidošanai, normatīvo aktu sistēmas uzlabošanai.</w:t>
      </w:r>
    </w:p>
    <w:p w:rsidR="005B0BAD" w:rsidRDefault="005B0BAD" w:rsidP="005B0BAD">
      <w:pPr>
        <w:autoSpaceDE w:val="0"/>
        <w:autoSpaceDN w:val="0"/>
        <w:adjustRightInd w:val="0"/>
        <w:ind w:firstLine="567"/>
      </w:pPr>
      <w:r>
        <w:t xml:space="preserve">Izvērtējot ESF projekta „Augstākās izglītības studiju programmu izvērtēšana un priekšlikumi kvalitātes paaugstināšanai” īstenotāju iesniegto Gala ziņojumu, kā arī Augstākās izglītības padomes sniegto viedokli par augstākās izglītības iestāžu skaita samazināšanas, tiks sagatavoti priekšlikumi augstākās izglītības iestāžu telpiskās struktūras optimizācijai un konsolidācijai. </w:t>
      </w:r>
    </w:p>
    <w:p w:rsidR="005B0BAD" w:rsidRDefault="005B0BAD" w:rsidP="00DA40B1">
      <w:pPr>
        <w:autoSpaceDE w:val="0"/>
        <w:autoSpaceDN w:val="0"/>
        <w:adjustRightInd w:val="0"/>
        <w:spacing w:before="120"/>
        <w:ind w:firstLine="567"/>
      </w:pPr>
      <w:r>
        <w:t xml:space="preserve">Lai palielinātu darba devēju lomu profesionālo augstākās izglītības studiju programmu izstrādē, studiju rezultātu formulēšanā un programmu atbilstības novērtēšanā, kā arī iesaistīšanu studiju rezultātu pārbaudē </w:t>
      </w:r>
      <w:proofErr w:type="spellStart"/>
      <w:r>
        <w:t>u.c</w:t>
      </w:r>
      <w:proofErr w:type="spellEnd"/>
      <w:r>
        <w:t xml:space="preserve">. 2012.gada </w:t>
      </w:r>
      <w:r w:rsidR="004362C3">
        <w:t>9.novembrī</w:t>
      </w:r>
      <w:r>
        <w:t xml:space="preserve"> IZM un Latvijas Darba devēju konfederācija parakstīja sadarbības memorandu par efektīvu un atklātu sadarbību augstākās izglītības un zinātnes reformu plānošanas un īstenošanas procesā. Memorands paredz, ka valsts finansējums prioritāri tiks virzīts darba devēju pieprasītākajām un konkurētspējīgākajām studiju programmām. Lai nodrošinātu lielāku sabiedrības un darba </w:t>
      </w:r>
      <w:r>
        <w:lastRenderedPageBreak/>
        <w:t>devēju iesaisti svarīgu lēmumu pieņemšanā augstskolā, ir sagatavoti priekšlikumi grozījumiem Augstskolu likumā, kas paredz augstskolās izveidot jaunu lēmējinstitūciju – augstskolas padomi. Tā varētu pārņemt senāta pienākumu pieņemt un grozīt satversmi, kā arī satversmes sapulces pienākumu ievēlēt un atcelt rektoru.</w:t>
      </w:r>
    </w:p>
    <w:p w:rsidR="005B0BAD" w:rsidRDefault="008E66E7" w:rsidP="00DA40B1">
      <w:pPr>
        <w:autoSpaceDE w:val="0"/>
        <w:autoSpaceDN w:val="0"/>
        <w:adjustRightInd w:val="0"/>
        <w:spacing w:before="120"/>
        <w:ind w:firstLine="567"/>
      </w:pPr>
      <w:r>
        <w:t xml:space="preserve">Lai nodrošinātu studiju programmu atbilstību tautsaimniecības vajadzībām un Latvijas ekonomiskās attīstības </w:t>
      </w:r>
      <w:r w:rsidRPr="003B2D93">
        <w:t>interesēm</w:t>
      </w:r>
      <w:r>
        <w:t>,</w:t>
      </w:r>
      <w:r w:rsidRPr="003B2D93">
        <w:t xml:space="preserve"> </w:t>
      </w:r>
      <w:r w:rsidR="009474F2">
        <w:t>ir uzsākts darbs</w:t>
      </w:r>
      <w:r w:rsidRPr="003B2D93">
        <w:t xml:space="preserve"> pie augstākās</w:t>
      </w:r>
      <w:r>
        <w:t xml:space="preserve"> izglītības nozaru pārstrukturizācijas pasākumiem, kas vērsti uz studējošo skaita proporcijas maiņu atbilstoši darba tirgus vidēja un ilgtermiņa prognozēm, pakāpeniski mainot no valsts budžeta finansēto studiju vietu sadalījumu, ņemot vērā tajā skaitā speciālistu trūk</w:t>
      </w:r>
      <w:r w:rsidR="00E35648">
        <w:t>umu valstij prioritārās nozarēs</w:t>
      </w:r>
      <w:r w:rsidR="005B0BAD">
        <w:t>.</w:t>
      </w:r>
    </w:p>
    <w:p w:rsidR="009474F2" w:rsidRDefault="009474F2" w:rsidP="005B0BAD">
      <w:pPr>
        <w:autoSpaceDE w:val="0"/>
        <w:autoSpaceDN w:val="0"/>
        <w:adjustRightInd w:val="0"/>
        <w:ind w:firstLine="567"/>
      </w:pPr>
      <w:r>
        <w:t>I</w:t>
      </w:r>
      <w:r w:rsidR="005B0BAD">
        <w:t>r sagatavo</w:t>
      </w:r>
      <w:r>
        <w:t>ts</w:t>
      </w:r>
      <w:r w:rsidR="005B0BAD">
        <w:t xml:space="preserve"> </w:t>
      </w:r>
      <w:r w:rsidR="005B0BAD" w:rsidRPr="001221A7">
        <w:rPr>
          <w:i/>
        </w:rPr>
        <w:t>Augstākās izglītības un zinātnes reformu īstenošanas rīcības plāna 2013. – 2014.gadam</w:t>
      </w:r>
      <w:r>
        <w:t xml:space="preserve"> projekts</w:t>
      </w:r>
      <w:r w:rsidR="005B0BAD">
        <w:t>, kurā iekļauti pasākumi, kas jāīsteno tuvākajā laikā, lai nodrošinātu kvalitatīvu, starptautiski konkurētspējīgu un zinātnē balstītu augstāko izglītību, ko īsteno efektīvi pārvaldītas institūcijas ar konsolidētiem resursiem.</w:t>
      </w:r>
    </w:p>
    <w:p w:rsidR="005B0BAD" w:rsidRDefault="005B0BAD" w:rsidP="005B0BAD">
      <w:pPr>
        <w:autoSpaceDE w:val="0"/>
        <w:autoSpaceDN w:val="0"/>
        <w:adjustRightInd w:val="0"/>
        <w:ind w:firstLine="567"/>
      </w:pPr>
      <w:r>
        <w:t xml:space="preserve"> </w:t>
      </w:r>
      <w:r w:rsidR="0066355F">
        <w:t>I</w:t>
      </w:r>
      <w:r w:rsidR="0066355F" w:rsidRPr="006415D3">
        <w:t xml:space="preserve">r uzsākts darbs pie </w:t>
      </w:r>
      <w:r w:rsidR="0066355F" w:rsidRPr="008E66E7">
        <w:rPr>
          <w:i/>
        </w:rPr>
        <w:t>Izglītības attīstības pamatnostādnēm 2014.-2020.gadam</w:t>
      </w:r>
      <w:r w:rsidR="0066355F">
        <w:t>, kurā tiks ietverti augstākās izglītības attīstības jautājumi.</w:t>
      </w:r>
      <w:r w:rsidR="0066355F" w:rsidRPr="006415D3">
        <w:t xml:space="preserve"> Plānots, ka </w:t>
      </w:r>
      <w:r w:rsidR="0066355F">
        <w:t>tās</w:t>
      </w:r>
      <w:r w:rsidR="0066355F" w:rsidRPr="006415D3">
        <w:t xml:space="preserve"> tiks </w:t>
      </w:r>
      <w:r w:rsidR="0066355F">
        <w:t xml:space="preserve">iesniegtas MK </w:t>
      </w:r>
      <w:r w:rsidR="0066355F" w:rsidRPr="006415D3">
        <w:t xml:space="preserve"> 2013.gada jūnija beigās</w:t>
      </w:r>
      <w:r w:rsidR="008E66E7">
        <w:t xml:space="preserve">. </w:t>
      </w:r>
    </w:p>
    <w:p w:rsidR="005B0BAD" w:rsidRDefault="008E66E7" w:rsidP="00DA40B1">
      <w:pPr>
        <w:autoSpaceDE w:val="0"/>
        <w:autoSpaceDN w:val="0"/>
        <w:adjustRightInd w:val="0"/>
        <w:spacing w:before="120"/>
        <w:ind w:firstLine="567"/>
      </w:pPr>
      <w:r w:rsidRPr="00F159B6">
        <w:t xml:space="preserve">Kopējais publiskais finansējums 2012.gadā ir 0,6 </w:t>
      </w:r>
      <w:proofErr w:type="spellStart"/>
      <w:r w:rsidRPr="00F159B6">
        <w:t>milj</w:t>
      </w:r>
      <w:proofErr w:type="spellEnd"/>
      <w:r w:rsidRPr="00F159B6">
        <w:t xml:space="preserve">. latu, </w:t>
      </w:r>
      <w:proofErr w:type="spellStart"/>
      <w:r w:rsidRPr="00F159B6">
        <w:t>t.sk</w:t>
      </w:r>
      <w:proofErr w:type="spellEnd"/>
      <w:r w:rsidRPr="00F159B6">
        <w:t xml:space="preserve">., ES fondu finansējums ir 0,6 </w:t>
      </w:r>
      <w:proofErr w:type="spellStart"/>
      <w:r w:rsidRPr="00F159B6">
        <w:t>milj</w:t>
      </w:r>
      <w:proofErr w:type="spellEnd"/>
      <w:r w:rsidRPr="00F159B6">
        <w:t xml:space="preserve">. latu, kopējais publiskais finansējums laika periodā 2012.-2013.gadam ir 0,74 </w:t>
      </w:r>
      <w:proofErr w:type="spellStart"/>
      <w:r w:rsidRPr="00F159B6">
        <w:t>milj</w:t>
      </w:r>
      <w:proofErr w:type="spellEnd"/>
      <w:r w:rsidRPr="00F159B6">
        <w:t xml:space="preserve">. latu, </w:t>
      </w:r>
      <w:proofErr w:type="spellStart"/>
      <w:r w:rsidRPr="00F159B6">
        <w:t>t.sk</w:t>
      </w:r>
      <w:proofErr w:type="spellEnd"/>
      <w:r w:rsidRPr="00F159B6">
        <w:t xml:space="preserve">., ES fondu finansējums ir 0,74 </w:t>
      </w:r>
      <w:proofErr w:type="spellStart"/>
      <w:r w:rsidRPr="00F159B6">
        <w:t>milj</w:t>
      </w:r>
      <w:proofErr w:type="spellEnd"/>
      <w:r w:rsidRPr="00F159B6">
        <w:t>. latu</w:t>
      </w:r>
      <w:r>
        <w:t>.</w:t>
      </w:r>
    </w:p>
    <w:p w:rsidR="005B0BAD" w:rsidRPr="00C43284" w:rsidRDefault="005B0BAD" w:rsidP="00E84407">
      <w:pPr>
        <w:pStyle w:val="ListParagraph"/>
        <w:numPr>
          <w:ilvl w:val="0"/>
          <w:numId w:val="13"/>
        </w:numPr>
        <w:tabs>
          <w:tab w:val="clear" w:pos="720"/>
          <w:tab w:val="num" w:pos="284"/>
        </w:tabs>
        <w:suppressAutoHyphens/>
        <w:spacing w:before="240" w:after="120"/>
        <w:ind w:left="284" w:hanging="284"/>
        <w:contextualSpacing w:val="0"/>
      </w:pPr>
      <w:r w:rsidRPr="00C43284">
        <w:rPr>
          <w:b/>
          <w:bCs/>
          <w:i/>
        </w:rPr>
        <w:t>Augstākās izglītības institūciju materiāli tehniskās bāzes modernizēšana un resursu izmantošanas efektivitātes paaugstināšana</w:t>
      </w:r>
      <w:r w:rsidRPr="00C43284">
        <w:t xml:space="preserve"> (atbildīgā institūcija – IZM)</w:t>
      </w:r>
    </w:p>
    <w:p w:rsidR="005B0BAD" w:rsidRPr="00C43284" w:rsidRDefault="005B0BAD" w:rsidP="005B0BAD">
      <w:pPr>
        <w:ind w:firstLine="567"/>
      </w:pPr>
      <w:r w:rsidRPr="00C43284">
        <w:t xml:space="preserve">Mērķis ir uzlabot nodrošinājumu ar mūsdienīgām iekārtām, aprīkojumu un tehnoloģijām tādos prioritāros studiju virzienos kā dabas zinātnes, matemātika un informācijas tehnoloģijas, inženierzinātnes, ražošana un būvniecība, kā arī racionāli izmantot publisko un piesaistīto privāto finansējumu. </w:t>
      </w:r>
    </w:p>
    <w:p w:rsidR="005B0BAD" w:rsidRDefault="005B0BAD" w:rsidP="005B0BAD">
      <w:pPr>
        <w:autoSpaceDE w:val="0"/>
        <w:autoSpaceDN w:val="0"/>
        <w:adjustRightInd w:val="0"/>
        <w:ind w:firstLine="567"/>
      </w:pPr>
      <w:r>
        <w:t xml:space="preserve">2012.gadā ir modernizēta infrastruktūra 14 augstākās izglītības iestādēs, </w:t>
      </w:r>
      <w:proofErr w:type="spellStart"/>
      <w:r>
        <w:t>t.i</w:t>
      </w:r>
      <w:proofErr w:type="spellEnd"/>
      <w:r>
        <w:t xml:space="preserve">. 45% no kopējā (31) augstākās izglītības iestāžu skaita, kas īsteno prioritārās programmas. Joprojām tiek uzlabota materiāli tehniskā bāze augstākajās izglītības iestādēs, </w:t>
      </w:r>
      <w:r w:rsidR="005C4EEF">
        <w:t xml:space="preserve">lai </w:t>
      </w:r>
      <w:r>
        <w:t>studējošie apgūt</w:t>
      </w:r>
      <w:r w:rsidR="005C4EEF">
        <w:t>u</w:t>
      </w:r>
      <w:r>
        <w:t xml:space="preserve"> zināšanas un prasmes atbilstoši mainīgajām darba tirgus prasībām.</w:t>
      </w:r>
    </w:p>
    <w:p w:rsidR="005B0BAD" w:rsidRDefault="005B0BAD" w:rsidP="005B0BAD">
      <w:pPr>
        <w:autoSpaceDE w:val="0"/>
        <w:autoSpaceDN w:val="0"/>
        <w:adjustRightInd w:val="0"/>
        <w:ind w:firstLine="567"/>
      </w:pPr>
      <w:r>
        <w:t xml:space="preserve">Līdz 2012.gada 4.ceturksnim ir uzsākts īstenot visus paredzētos </w:t>
      </w:r>
      <w:r w:rsidR="0073086A">
        <w:t xml:space="preserve">augstākās izglītības institūciju (turpmāk tekstā – </w:t>
      </w:r>
      <w:r>
        <w:t>AII</w:t>
      </w:r>
      <w:r w:rsidR="0073086A">
        <w:t>)</w:t>
      </w:r>
      <w:r>
        <w:t xml:space="preserve"> ERAF projektus. Līdz 2012.gada beigām 14 AII ir īstenojušas savus ERAF projektus, bet 17 AII projektu ietvaros</w:t>
      </w:r>
      <w:r w:rsidR="00D45640">
        <w:t xml:space="preserve"> </w:t>
      </w:r>
      <w:r>
        <w:t>turpina telpu un aprīkojuma modernizēšanu.</w:t>
      </w:r>
    </w:p>
    <w:p w:rsidR="005B0BAD" w:rsidRPr="00C43284" w:rsidRDefault="005B0BAD" w:rsidP="00DA40B1">
      <w:pPr>
        <w:autoSpaceDE w:val="0"/>
        <w:autoSpaceDN w:val="0"/>
        <w:adjustRightInd w:val="0"/>
        <w:spacing w:before="120"/>
        <w:ind w:firstLine="567"/>
      </w:pPr>
      <w:r>
        <w:t xml:space="preserve">Kopējais publiskais finansējums 2012.gadā ir 15,6 </w:t>
      </w:r>
      <w:proofErr w:type="spellStart"/>
      <w:r>
        <w:t>milj</w:t>
      </w:r>
      <w:proofErr w:type="spellEnd"/>
      <w:r>
        <w:t xml:space="preserve">. latu, </w:t>
      </w:r>
      <w:proofErr w:type="spellStart"/>
      <w:r>
        <w:t>t.sk</w:t>
      </w:r>
      <w:proofErr w:type="spellEnd"/>
      <w:r>
        <w:t xml:space="preserve">., ES fondu finansējums ir 14,3 </w:t>
      </w:r>
      <w:proofErr w:type="spellStart"/>
      <w:r>
        <w:t>milj</w:t>
      </w:r>
      <w:proofErr w:type="spellEnd"/>
      <w:r>
        <w:t xml:space="preserve">. latu, kopējais publiskais finansējums laika periodā 2012.-2013.gadam ir 34,5 </w:t>
      </w:r>
      <w:proofErr w:type="spellStart"/>
      <w:r>
        <w:t>milj</w:t>
      </w:r>
      <w:proofErr w:type="spellEnd"/>
      <w:r>
        <w:t xml:space="preserve">. latu, </w:t>
      </w:r>
      <w:proofErr w:type="spellStart"/>
      <w:r>
        <w:t>t.sk</w:t>
      </w:r>
      <w:proofErr w:type="spellEnd"/>
      <w:r>
        <w:t>., ES fondu finansējums ir</w:t>
      </w:r>
      <w:r w:rsidR="00D45640">
        <w:t xml:space="preserve"> </w:t>
      </w:r>
      <w:r>
        <w:t xml:space="preserve">31,7 </w:t>
      </w:r>
      <w:proofErr w:type="spellStart"/>
      <w:r>
        <w:t>milj</w:t>
      </w:r>
      <w:proofErr w:type="spellEnd"/>
      <w:r>
        <w:t>. latu.</w:t>
      </w:r>
    </w:p>
    <w:p w:rsidR="005B0BAD" w:rsidRPr="00C43284" w:rsidRDefault="005B0BAD" w:rsidP="00E84407">
      <w:pPr>
        <w:pStyle w:val="ListParagraph"/>
        <w:numPr>
          <w:ilvl w:val="0"/>
          <w:numId w:val="13"/>
        </w:numPr>
        <w:tabs>
          <w:tab w:val="clear" w:pos="720"/>
          <w:tab w:val="num" w:pos="284"/>
        </w:tabs>
        <w:suppressAutoHyphens/>
        <w:spacing w:before="240" w:after="120"/>
        <w:ind w:left="284" w:hanging="284"/>
        <w:contextualSpacing w:val="0"/>
      </w:pPr>
      <w:r w:rsidRPr="00C43284">
        <w:rPr>
          <w:b/>
          <w:bCs/>
          <w:i/>
        </w:rPr>
        <w:t>Augstākās izglītības vienlīdzīgas pieejamības nodrošināšana</w:t>
      </w:r>
      <w:r w:rsidRPr="00C43284">
        <w:rPr>
          <w:rFonts w:eastAsia="+mn-ea"/>
          <w:i/>
        </w:rPr>
        <w:t xml:space="preserve"> </w:t>
      </w:r>
      <w:r w:rsidRPr="00C43284">
        <w:t>(atbildīgā institūcija – IZM)</w:t>
      </w:r>
    </w:p>
    <w:p w:rsidR="005B0BAD" w:rsidRPr="00C43284" w:rsidRDefault="005B0BAD" w:rsidP="005B0BAD">
      <w:pPr>
        <w:ind w:firstLine="567"/>
      </w:pPr>
      <w:r w:rsidRPr="00C43284">
        <w:t xml:space="preserve">Mērķis ir pilnveidot stipendiju, kā arī studiju un studējošo kredītu piešķiršanas mehānismu, kas pavērtu iespējas studēt lielākam studēt gribošo skaitam un veicinātu mērķtiecīgāku studiju jomas izvēli. </w:t>
      </w:r>
    </w:p>
    <w:p w:rsidR="005B0BAD" w:rsidRPr="00C43284" w:rsidRDefault="005B0BAD" w:rsidP="005B0BAD">
      <w:pPr>
        <w:ind w:firstLine="567"/>
      </w:pPr>
      <w:r w:rsidRPr="00C43284">
        <w:t>Lai atbalstītu sociāli neaizsargātos studentus un veicinātu augstākās izglītības pieejamību, ir izstrādāti un veikti grozījumi noteikumos par stipendiju piešķiršanas kārtību, kas paredz, ka gadījumā, ja diviem vai vairākiem studējošajiem ir līdzvērtīgi sekmju un zinātniskās darbības rezultāti, tad stipendiju vispirms piešķirs studējošiem, kuri atbilst noteiktajiem kritērijiem, proti, tiks ņemts vērā studējošā sociālais, ģimenes un materiālais stāvoklis.</w:t>
      </w:r>
    </w:p>
    <w:p w:rsidR="00CE7689" w:rsidRDefault="005B0BAD" w:rsidP="00CE7689">
      <w:pPr>
        <w:ind w:firstLine="567"/>
      </w:pPr>
      <w:r w:rsidRPr="00686EBA">
        <w:lastRenderedPageBreak/>
        <w:t xml:space="preserve">2012.gadā tika veikti sagatavošanās darbi, lai izstrādātu principiāli jaunu finansēšanas modeli, pamatojoties uz detalizēti veikto analīzi un starptautiskā līmeņa ekspertu vērtējumiem. </w:t>
      </w:r>
      <w:r w:rsidR="00DB6C8F">
        <w:t>(skatīt 2.7. sada</w:t>
      </w:r>
      <w:r w:rsidR="001E0A5E">
        <w:t>ļu).</w:t>
      </w:r>
    </w:p>
    <w:p w:rsidR="005B0BAD" w:rsidRPr="00C43284" w:rsidRDefault="005B0BAD" w:rsidP="00E84407">
      <w:pPr>
        <w:pStyle w:val="ListParagraph"/>
        <w:numPr>
          <w:ilvl w:val="0"/>
          <w:numId w:val="16"/>
        </w:numPr>
        <w:tabs>
          <w:tab w:val="left" w:pos="284"/>
        </w:tabs>
        <w:suppressAutoHyphens/>
        <w:spacing w:before="240" w:after="120"/>
        <w:ind w:left="284" w:hanging="284"/>
        <w:contextualSpacing w:val="0"/>
        <w:rPr>
          <w:b/>
        </w:rPr>
      </w:pPr>
      <w:r w:rsidRPr="00C43284">
        <w:rPr>
          <w:b/>
          <w:bCs/>
          <w:i/>
        </w:rPr>
        <w:t>Studiju un zinātniskās darbības kvalitātes uzlabošana</w:t>
      </w:r>
      <w:r w:rsidRPr="00C43284">
        <w:rPr>
          <w:b/>
          <w:i/>
        </w:rPr>
        <w:t xml:space="preserve"> </w:t>
      </w:r>
      <w:r w:rsidRPr="00C43284">
        <w:t>(atbildīgā institūcija – IZM)</w:t>
      </w:r>
    </w:p>
    <w:p w:rsidR="005B0BAD" w:rsidRDefault="005B0BAD" w:rsidP="005B0BAD">
      <w:pPr>
        <w:autoSpaceDE w:val="0"/>
        <w:autoSpaceDN w:val="0"/>
        <w:adjustRightInd w:val="0"/>
        <w:ind w:firstLine="567"/>
      </w:pPr>
      <w:r w:rsidRPr="00C43284">
        <w:t xml:space="preserve">Mērķis ir paaugstināt augsti kvalificētu speciālistu īpatsvaru darba tirgū prioritārajās jomās (dabaszinātņu, matemātikas, IT, inženierzinātņu, veselības aprūpes, vides zinātņu un radošo industriju), regulāri izvērtējot maģistru un doktora studiju efektivitāti, izstrādājot jaunas inovatīvas studiju programmas, kā arī nodrošinot stipendiju studējošajiem. Paredzēts, ka </w:t>
      </w:r>
      <w:r>
        <w:t xml:space="preserve">ar ESF atbalstu </w:t>
      </w:r>
      <w:r w:rsidRPr="00C43284">
        <w:t>gadā vidēji tiks sagatavoti 700 maģistri un 200 doktori</w:t>
      </w:r>
      <w:r>
        <w:t>.</w:t>
      </w:r>
      <w:r w:rsidRPr="00C43284">
        <w:t xml:space="preserve"> </w:t>
      </w:r>
    </w:p>
    <w:p w:rsidR="005B0BAD" w:rsidRDefault="003708F6" w:rsidP="005B0BAD">
      <w:pPr>
        <w:autoSpaceDE w:val="0"/>
        <w:autoSpaceDN w:val="0"/>
        <w:adjustRightInd w:val="0"/>
        <w:ind w:firstLine="567"/>
      </w:pPr>
      <w:r>
        <w:t xml:space="preserve">2012.gadā ESF atbalstu doktorantūras studijām ir saņēmuši 1773 doktorantūras studenti, </w:t>
      </w:r>
      <w:proofErr w:type="spellStart"/>
      <w:r>
        <w:t>t.i</w:t>
      </w:r>
      <w:proofErr w:type="spellEnd"/>
      <w:r>
        <w:t>. aptuveni 70% no kopējā doktorantu skaita. 2012.gadā Latvijas augstskolās zinātnisko grādu ieguvuši 267 jauni zinātņu doktori, no tiem 233 jeb 87% ir saņēmuši ESF atbalstu,</w:t>
      </w:r>
      <w:r w:rsidR="00D45640">
        <w:t xml:space="preserve"> </w:t>
      </w:r>
      <w:r>
        <w:t>kas ir par 34 mazāk nekā 2011.gadā. Samazinājums varētu būt izskaidrojams galvenokārt ar krīzes izraisītajām sekām, kad valsts budžeta finansējums augstākajai izglītībai tika būtiski samazināts. Straujais doktoru skaita pieaugums līdz 2011.gadam (2009.</w:t>
      </w:r>
      <w:r w:rsidR="006901F6">
        <w:t>-2010.</w:t>
      </w:r>
      <w:r>
        <w:t>ak.g.</w:t>
      </w:r>
      <w:r w:rsidR="006901F6">
        <w:t xml:space="preserve"> – </w:t>
      </w:r>
      <w:r>
        <w:t>174, 2011.</w:t>
      </w:r>
      <w:r w:rsidR="006901F6">
        <w:t>-2012.</w:t>
      </w:r>
      <w:r>
        <w:t>ak.g.</w:t>
      </w:r>
      <w:r w:rsidR="006901F6">
        <w:t xml:space="preserve"> – </w:t>
      </w:r>
      <w:r>
        <w:t>297) ir noticis, pateicoties maģistru un doktorantu atbalstam no ES struktūrfondu līdzekļiem</w:t>
      </w:r>
      <w:r w:rsidR="005B0BAD">
        <w:t>.</w:t>
      </w:r>
    </w:p>
    <w:p w:rsidR="005B0BAD" w:rsidRDefault="005B0BAD" w:rsidP="00DA40B1">
      <w:pPr>
        <w:autoSpaceDE w:val="0"/>
        <w:autoSpaceDN w:val="0"/>
        <w:adjustRightInd w:val="0"/>
        <w:spacing w:before="120"/>
        <w:ind w:firstLine="567"/>
      </w:pPr>
      <w:r>
        <w:t xml:space="preserve">Kopējais publiskais finansējums 2012.gadā bija 6,9 </w:t>
      </w:r>
      <w:proofErr w:type="spellStart"/>
      <w:r>
        <w:t>milj</w:t>
      </w:r>
      <w:proofErr w:type="spellEnd"/>
      <w:r>
        <w:t xml:space="preserve">. latu, </w:t>
      </w:r>
      <w:proofErr w:type="spellStart"/>
      <w:r>
        <w:t>t.sk</w:t>
      </w:r>
      <w:proofErr w:type="spellEnd"/>
      <w:r>
        <w:t xml:space="preserve">., ES fondu finansējums bija 6,3 </w:t>
      </w:r>
      <w:proofErr w:type="spellStart"/>
      <w:r>
        <w:t>milj</w:t>
      </w:r>
      <w:proofErr w:type="spellEnd"/>
      <w:r>
        <w:t xml:space="preserve">. latu, kopējais publiskais finansējums laika periodā 2012.-2013.gadam ir 9,4 </w:t>
      </w:r>
      <w:proofErr w:type="spellStart"/>
      <w:r>
        <w:t>milj</w:t>
      </w:r>
      <w:proofErr w:type="spellEnd"/>
      <w:r>
        <w:t xml:space="preserve">. latu, </w:t>
      </w:r>
      <w:proofErr w:type="spellStart"/>
      <w:r>
        <w:t>t.sk</w:t>
      </w:r>
      <w:proofErr w:type="spellEnd"/>
      <w:r>
        <w:t xml:space="preserve">., ES fondu finansējums ir 8,7 </w:t>
      </w:r>
      <w:proofErr w:type="spellStart"/>
      <w:r>
        <w:t>milj</w:t>
      </w:r>
      <w:proofErr w:type="spellEnd"/>
      <w:r>
        <w:t>. latu.</w:t>
      </w:r>
    </w:p>
    <w:p w:rsidR="005B0BAD" w:rsidRPr="00C43284" w:rsidRDefault="005B0BAD" w:rsidP="00E84407">
      <w:pPr>
        <w:pStyle w:val="ListParagraph"/>
        <w:numPr>
          <w:ilvl w:val="0"/>
          <w:numId w:val="16"/>
        </w:numPr>
        <w:tabs>
          <w:tab w:val="left" w:pos="284"/>
        </w:tabs>
        <w:suppressAutoHyphens/>
        <w:spacing w:before="240" w:after="120"/>
        <w:ind w:left="284" w:hanging="284"/>
        <w:contextualSpacing w:val="0"/>
        <w:rPr>
          <w:b/>
        </w:rPr>
      </w:pPr>
      <w:r w:rsidRPr="00C43284">
        <w:rPr>
          <w:b/>
          <w:bCs/>
          <w:i/>
        </w:rPr>
        <w:t xml:space="preserve">Ārvalstu studentu piesaistīšana </w:t>
      </w:r>
      <w:r w:rsidRPr="00C43284">
        <w:t>(atbildīgā institūcija – IZM)</w:t>
      </w:r>
    </w:p>
    <w:p w:rsidR="005B0BAD" w:rsidRPr="00C43284" w:rsidRDefault="005B0BAD" w:rsidP="005B0BAD">
      <w:pPr>
        <w:autoSpaceDE w:val="0"/>
        <w:autoSpaceDN w:val="0"/>
        <w:adjustRightInd w:val="0"/>
        <w:ind w:firstLine="567"/>
      </w:pPr>
      <w:r w:rsidRPr="00686EBA">
        <w:t xml:space="preserve">2012./2013.akadēmiskā gada sākumā Latvijas augstskolās studēja </w:t>
      </w:r>
      <w:r>
        <w:t>3505</w:t>
      </w:r>
      <w:r w:rsidRPr="00686EBA">
        <w:t xml:space="preserve"> ārvalstu studenti no 81 pasaules valst</w:t>
      </w:r>
      <w:r>
        <w:t>s</w:t>
      </w:r>
      <w:r w:rsidRPr="00686EBA">
        <w:t xml:space="preserve">, kas </w:t>
      </w:r>
      <w:r>
        <w:t>veido</w:t>
      </w:r>
      <w:r w:rsidRPr="00686EBA">
        <w:t xml:space="preserve"> 3,7% no kopējā studējošo skaita un ir par 29% jeb 789 studentiem vairāk kā iepriekšējā akadēmiskajā gadā. Jau šobrīd ir piepildījušās prognozes, kas paredzēja, ka 2013.gadā ārvalstu studentu īpatsvars Latvijā būs sasniedzis 3% no kopējā studentu skaita.</w:t>
      </w:r>
    </w:p>
    <w:p w:rsidR="005B0BAD" w:rsidRPr="00C43284" w:rsidRDefault="005B0BAD" w:rsidP="005B0BAD">
      <w:pPr>
        <w:ind w:firstLine="567"/>
        <w:rPr>
          <w:sz w:val="28"/>
          <w:szCs w:val="28"/>
        </w:rPr>
      </w:pPr>
      <w:r>
        <w:t>2012</w:t>
      </w:r>
      <w:r w:rsidRPr="00C43284">
        <w:t xml:space="preserve">.gadā ir veikti pasākumi, kas atvieglo augstskolu iespējas piesaistīt ārvalstu studentus, piemēram, augstskolām ir tiesības veidot un īstenot kopīgas studiju programmas ar citu valstu augstskolām un izsniegt kopīgus diplomus, kā arī piedāvāt valsts budžeta stipendijas ārzemnieku studijām. </w:t>
      </w:r>
      <w:r w:rsidRPr="00686EBA">
        <w:t>2012.mācību gadā pieejamā finansējuma ietvaros tika piešķirtas 58 stipendijas studijām un pētniecībai un 30 stipendijas vasaras skolām</w:t>
      </w:r>
      <w:r>
        <w:t>.</w:t>
      </w:r>
      <w:r w:rsidRPr="00C43284">
        <w:rPr>
          <w:sz w:val="28"/>
          <w:szCs w:val="28"/>
        </w:rPr>
        <w:t xml:space="preserve"> </w:t>
      </w:r>
    </w:p>
    <w:p w:rsidR="005B0BAD" w:rsidRDefault="005B0BAD" w:rsidP="005B0BAD">
      <w:pPr>
        <w:ind w:firstLine="567"/>
      </w:pPr>
      <w:r>
        <w:t>Regulāri tika īstenoti augstākās izglītības eksporta</w:t>
      </w:r>
      <w:r w:rsidR="00D45640">
        <w:t xml:space="preserve"> </w:t>
      </w:r>
      <w:r>
        <w:t xml:space="preserve">veicināšanas pasākumi. 2012.gadā nozīmīgu konsultatīvo un informatīvo atbalstu dalībai starptautiskajās izglītības izstādēs un dalībai starptautiskajos mobilitātes veicināšanas tīklos augstskolām ir sniegusi Akadēmiskās informācijas centrā izveidotā Augstākās izglītības </w:t>
      </w:r>
      <w:proofErr w:type="spellStart"/>
      <w:r>
        <w:t>eksportspējas</w:t>
      </w:r>
      <w:proofErr w:type="spellEnd"/>
      <w:r>
        <w:t xml:space="preserve"> veicināšanas nodaļa, kā arī Valsts izglītības attīstības aģentūra, kas nodrošina interneta mājas lapas </w:t>
      </w:r>
      <w:proofErr w:type="spellStart"/>
      <w:r w:rsidRPr="005474F2">
        <w:rPr>
          <w:u w:val="single"/>
        </w:rPr>
        <w:t>www.studyinlatvia.lv</w:t>
      </w:r>
      <w:proofErr w:type="spellEnd"/>
      <w:r>
        <w:t xml:space="preserve"> uzturēšanu, kurā apkopota informācija par Latvijas augstskolu ārvalstu studentiem piedāvātajām programmām, kā arī praktiska informācija par studijām, stipendijām un uzturēšanās atļaujām </w:t>
      </w:r>
      <w:proofErr w:type="spellStart"/>
      <w:r>
        <w:t>u.c</w:t>
      </w:r>
      <w:proofErr w:type="spellEnd"/>
      <w:r>
        <w:t xml:space="preserve">. Ar nacionālo augstākās izglītības stendu </w:t>
      </w:r>
      <w:r w:rsidR="005474F2">
        <w:rPr>
          <w:i/>
        </w:rPr>
        <w:t>„</w:t>
      </w:r>
      <w:proofErr w:type="spellStart"/>
      <w:r w:rsidRPr="005474F2">
        <w:rPr>
          <w:i/>
        </w:rPr>
        <w:t>Study</w:t>
      </w:r>
      <w:proofErr w:type="spellEnd"/>
      <w:r w:rsidRPr="005474F2">
        <w:rPr>
          <w:i/>
        </w:rPr>
        <w:t xml:space="preserve"> </w:t>
      </w:r>
      <w:proofErr w:type="spellStart"/>
      <w:r w:rsidRPr="005474F2">
        <w:rPr>
          <w:i/>
        </w:rPr>
        <w:t>in</w:t>
      </w:r>
      <w:proofErr w:type="spellEnd"/>
      <w:r w:rsidRPr="005474F2">
        <w:rPr>
          <w:i/>
        </w:rPr>
        <w:t xml:space="preserve"> </w:t>
      </w:r>
      <w:proofErr w:type="spellStart"/>
      <w:r w:rsidRPr="005474F2">
        <w:rPr>
          <w:i/>
        </w:rPr>
        <w:t>Latvia</w:t>
      </w:r>
      <w:proofErr w:type="spellEnd"/>
      <w:r w:rsidR="005474F2">
        <w:rPr>
          <w:i/>
        </w:rPr>
        <w:t>”</w:t>
      </w:r>
      <w:r>
        <w:t xml:space="preserve"> tika nodrošināta Latvijas augstskolu dalība starptautiskajās augstākās izglītības izstādēs Ķīnā, Indijā, Turcijā, Kazahstanā. Veikta iespējamā augstākās eksporta tirgus izpēte un, sadarbojoties ar augstskolām, tika izstrādāti eksporta reģionālie virzieni plānotajām izstādēm</w:t>
      </w:r>
    </w:p>
    <w:p w:rsidR="00580BBC" w:rsidRDefault="005B0BAD" w:rsidP="00E51908">
      <w:pPr>
        <w:ind w:firstLine="567"/>
      </w:pPr>
      <w:r>
        <w:t xml:space="preserve">Lai paaugstinātu Latvijas augstākās izglītības starptautisko konkurētspēju un vienkāršotu studējošo un akadēmiskā personāla piesaisti no ārvalstīm, </w:t>
      </w:r>
      <w:proofErr w:type="spellStart"/>
      <w:r>
        <w:t>t.sk</w:t>
      </w:r>
      <w:proofErr w:type="spellEnd"/>
      <w:r>
        <w:t xml:space="preserve">. no ārpus Eiropas Savienības valstīm, tiks iniciēti grozījumi normatīvajos aktos, lai novērstu </w:t>
      </w:r>
      <w:r w:rsidR="00CC183D">
        <w:t>šķēršļus</w:t>
      </w:r>
      <w:r w:rsidR="00CC183D" w:rsidDel="00CC183D">
        <w:t xml:space="preserve"> </w:t>
      </w:r>
      <w:r>
        <w:t>ārvalstu akadēmiskā personāla un studējošo piesaistei augstākajā izglītībā, tajā skaitā valodas izmantošanas</w:t>
      </w:r>
      <w:r w:rsidR="00D45640">
        <w:t xml:space="preserve"> </w:t>
      </w:r>
      <w:r>
        <w:t>prasības akadēmiskajā vidē, pastāvīgās uzturēšanās atļaujas saņemšanai un Eiropas Savienības pastāvīgā iedzīvotāja statusa iegūšanai un valsts nodevu par valsts valodas prasmes pārbaudi”).</w:t>
      </w:r>
    </w:p>
    <w:p w:rsidR="00A87BBC" w:rsidRPr="00C43284" w:rsidRDefault="00A87BBC" w:rsidP="00A87BBC">
      <w:pPr>
        <w:pStyle w:val="Heading3"/>
        <w:spacing w:before="360" w:after="120"/>
        <w:ind w:left="567"/>
        <w:rPr>
          <w:rFonts w:ascii="Times New Roman" w:hAnsi="Times New Roman" w:cs="Times New Roman"/>
          <w:color w:val="auto"/>
        </w:rPr>
      </w:pPr>
      <w:bookmarkStart w:id="33" w:name="_Toc354384944"/>
      <w:r w:rsidRPr="00C43284">
        <w:rPr>
          <w:rFonts w:ascii="Times New Roman" w:hAnsi="Times New Roman" w:cs="Times New Roman"/>
          <w:color w:val="auto"/>
        </w:rPr>
        <w:lastRenderedPageBreak/>
        <w:t>3.4.4. Mūžizglītība</w:t>
      </w:r>
      <w:bookmarkEnd w:id="33"/>
    </w:p>
    <w:p w:rsidR="005B0BAD" w:rsidRDefault="005B0BAD" w:rsidP="005B0BAD">
      <w:pPr>
        <w:ind w:firstLine="567"/>
      </w:pPr>
      <w:r>
        <w:t>Mērķis ir panākt, lai 2020.gadā 15% no iedzīvotājiem (25-64 gadu vecumā) būtu nepārtraukti iesaistīti mācīšanās procesā. Mūžizglītības politikas pamatnostādnēs 2007.–2013.gadam</w:t>
      </w:r>
      <w:r>
        <w:rPr>
          <w:sz w:val="23"/>
          <w:szCs w:val="23"/>
        </w:rPr>
        <w:t xml:space="preserve"> ir noteikts, ka 2013.gadā Latvijā 12,5% pieaugušo iedzīvotāji tiks iesaistīti izglītības pasākumos. </w:t>
      </w:r>
      <w:r>
        <w:t>2012.gadā pieaugušo dalība izglītības procesā ir palielinājusies</w:t>
      </w:r>
      <w:r w:rsidR="008C17F8">
        <w:t>, sasniedzot 7% (CSP dati)</w:t>
      </w:r>
      <w:r>
        <w:t xml:space="preserve">. Tomēr, Latvijas sasniegums joprojām atpaliek no Eiropas vidējā rādītāja </w:t>
      </w:r>
      <w:r w:rsidR="005474F2">
        <w:br/>
      </w:r>
      <w:r>
        <w:t xml:space="preserve">vērtības – 8,9% un ievērojami atpaliek no tām Eiropas valstīm, kas jau ir sasnieguši </w:t>
      </w:r>
      <w:r w:rsidRPr="00FF5C3A">
        <w:rPr>
          <w:i/>
        </w:rPr>
        <w:t>„Eiropa 2020”</w:t>
      </w:r>
      <w:r>
        <w:t xml:space="preserve"> stratēģijas mērķi (</w:t>
      </w:r>
      <w:proofErr w:type="spellStart"/>
      <w:r>
        <w:t>piem</w:t>
      </w:r>
      <w:proofErr w:type="spellEnd"/>
      <w:r>
        <w:t>., Slovākijā 2011.gadā pieaugušo dalība izglītības pasākumos bija 25%, savukārt Šveicē – 29,9%).</w:t>
      </w:r>
    </w:p>
    <w:p w:rsidR="008C17F8" w:rsidRDefault="008C17F8" w:rsidP="005B0BAD">
      <w:pPr>
        <w:ind w:firstLine="567"/>
      </w:pPr>
      <w:r w:rsidRPr="00617DBF">
        <w:t xml:space="preserve">EK atzīmēja, ka ekonomiskā krīze ir skaidri iezīmējusi pieaugušo izglītības lielo nozīmi </w:t>
      </w:r>
      <w:r w:rsidRPr="00FF5C3A">
        <w:rPr>
          <w:i/>
        </w:rPr>
        <w:t>„Eiropa 2020”</w:t>
      </w:r>
      <w:r w:rsidRPr="00617DBF">
        <w:t xml:space="preserve"> stratēģijas mērķu sasniegšanā</w:t>
      </w:r>
      <w:r w:rsidRPr="00617DBF">
        <w:rPr>
          <w:vertAlign w:val="superscript"/>
        </w:rPr>
        <w:footnoteReference w:id="19"/>
      </w:r>
      <w:r w:rsidRPr="00617DBF">
        <w:t>.</w:t>
      </w:r>
      <w:r>
        <w:t xml:space="preserve"> Atbalsts pieaugušo dalībai daudzveidīgajos izglītības pasākumos tiešā veidā ietekmē arī n</w:t>
      </w:r>
      <w:r w:rsidRPr="0092317A">
        <w:t>odarbinātības</w:t>
      </w:r>
      <w:r>
        <w:t xml:space="preserve"> mērķa rādītāja sasniegšanu, jo </w:t>
      </w:r>
      <w:r w:rsidR="001E0A5E">
        <w:t xml:space="preserve">mazina </w:t>
      </w:r>
      <w:r w:rsidR="00A93501">
        <w:t xml:space="preserve">strukturālā </w:t>
      </w:r>
      <w:r w:rsidR="001E0A5E">
        <w:t>bezdarba risku.</w:t>
      </w:r>
    </w:p>
    <w:p w:rsidR="005B0BAD" w:rsidRDefault="00EB2828" w:rsidP="005B0BAD">
      <w:pPr>
        <w:ind w:firstLine="567"/>
        <w:jc w:val="right"/>
      </w:pPr>
      <w:r w:rsidRPr="00EB2828">
        <w:t>6</w:t>
      </w:r>
      <w:r w:rsidR="005B0BAD" w:rsidRPr="00EB2828">
        <w:t>.tabula</w:t>
      </w:r>
    </w:p>
    <w:p w:rsidR="005B0BAD" w:rsidRDefault="005B0BAD" w:rsidP="005B0BAD">
      <w:pPr>
        <w:spacing w:after="60"/>
        <w:jc w:val="center"/>
      </w:pPr>
      <w:r>
        <w:t xml:space="preserve">Iedzīvotāju 25-64 gadu vecumā piedalīšanās izglītības procesā </w:t>
      </w:r>
    </w:p>
    <w:tbl>
      <w:tblPr>
        <w:tblStyle w:val="LightShading"/>
        <w:tblW w:w="9344" w:type="dxa"/>
        <w:tblLook w:val="04A0" w:firstRow="1" w:lastRow="0" w:firstColumn="1" w:lastColumn="0" w:noHBand="0" w:noVBand="1"/>
      </w:tblPr>
      <w:tblGrid>
        <w:gridCol w:w="4106"/>
        <w:gridCol w:w="873"/>
        <w:gridCol w:w="873"/>
        <w:gridCol w:w="873"/>
        <w:gridCol w:w="873"/>
        <w:gridCol w:w="873"/>
        <w:gridCol w:w="873"/>
      </w:tblGrid>
      <w:tr w:rsidR="005B0BAD" w:rsidTr="00207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tcPr>
          <w:p w:rsidR="005B0BAD" w:rsidRDefault="005B0BAD" w:rsidP="006F290F">
            <w:pPr>
              <w:pStyle w:val="Default"/>
              <w:jc w:val="both"/>
              <w:rPr>
                <w:rFonts w:ascii="Times New Roman" w:hAnsi="Times New Roman" w:cs="Times New Roman"/>
                <w:b w:val="0"/>
                <w:bCs w:val="0"/>
              </w:rPr>
            </w:pPr>
          </w:p>
        </w:tc>
        <w:tc>
          <w:tcPr>
            <w:tcW w:w="873" w:type="dxa"/>
            <w:shd w:val="clear" w:color="auto" w:fill="BFBFBF" w:themeFill="background1" w:themeFillShade="BF"/>
            <w:hideMark/>
          </w:tcPr>
          <w:p w:rsidR="005B0BAD" w:rsidRDefault="005B0BAD"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2008</w:t>
            </w:r>
          </w:p>
        </w:tc>
        <w:tc>
          <w:tcPr>
            <w:tcW w:w="873" w:type="dxa"/>
            <w:shd w:val="clear" w:color="auto" w:fill="BFBFBF" w:themeFill="background1" w:themeFillShade="BF"/>
            <w:hideMark/>
          </w:tcPr>
          <w:p w:rsidR="005B0BAD" w:rsidRDefault="005B0BAD"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2009</w:t>
            </w:r>
          </w:p>
        </w:tc>
        <w:tc>
          <w:tcPr>
            <w:tcW w:w="873" w:type="dxa"/>
            <w:shd w:val="clear" w:color="auto" w:fill="BFBFBF" w:themeFill="background1" w:themeFillShade="BF"/>
            <w:hideMark/>
          </w:tcPr>
          <w:p w:rsidR="005B0BAD" w:rsidRDefault="005B0BAD"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2010</w:t>
            </w:r>
          </w:p>
        </w:tc>
        <w:tc>
          <w:tcPr>
            <w:tcW w:w="873" w:type="dxa"/>
            <w:shd w:val="clear" w:color="auto" w:fill="BFBFBF" w:themeFill="background1" w:themeFillShade="BF"/>
            <w:hideMark/>
          </w:tcPr>
          <w:p w:rsidR="005B0BAD" w:rsidRDefault="005B0BAD"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2011</w:t>
            </w:r>
          </w:p>
        </w:tc>
        <w:tc>
          <w:tcPr>
            <w:tcW w:w="873" w:type="dxa"/>
            <w:shd w:val="clear" w:color="auto" w:fill="BFBFBF" w:themeFill="background1" w:themeFillShade="BF"/>
            <w:hideMark/>
          </w:tcPr>
          <w:p w:rsidR="005B0BAD" w:rsidRDefault="005B0BAD"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2012</w:t>
            </w:r>
          </w:p>
        </w:tc>
        <w:tc>
          <w:tcPr>
            <w:tcW w:w="873" w:type="dxa"/>
            <w:shd w:val="clear" w:color="auto" w:fill="BFBFBF" w:themeFill="background1" w:themeFillShade="BF"/>
            <w:hideMark/>
          </w:tcPr>
          <w:p w:rsidR="005B0BAD" w:rsidRDefault="005B0BAD"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2020</w:t>
            </w:r>
          </w:p>
        </w:tc>
      </w:tr>
      <w:tr w:rsidR="005B0BAD" w:rsidTr="00207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8" w:space="0" w:color="000000" w:themeColor="text1"/>
              <w:bottom w:val="single" w:sz="8" w:space="0" w:color="000000" w:themeColor="text1"/>
            </w:tcBorders>
            <w:shd w:val="clear" w:color="auto" w:fill="FFFFFF" w:themeFill="background1"/>
            <w:hideMark/>
          </w:tcPr>
          <w:p w:rsidR="005B0BAD" w:rsidRPr="00A423B6" w:rsidRDefault="005B0BAD" w:rsidP="006F290F">
            <w:pPr>
              <w:pStyle w:val="Default"/>
              <w:spacing w:before="40" w:after="40"/>
              <w:rPr>
                <w:rFonts w:ascii="Times New Roman" w:hAnsi="Times New Roman" w:cs="Times New Roman"/>
                <w:b w:val="0"/>
                <w:bCs w:val="0"/>
              </w:rPr>
            </w:pPr>
            <w:r w:rsidRPr="00A423B6">
              <w:rPr>
                <w:rFonts w:ascii="Times New Roman" w:hAnsi="Times New Roman" w:cs="Times New Roman"/>
                <w:b w:val="0"/>
              </w:rPr>
              <w:t>Īpatsvars, %</w:t>
            </w:r>
          </w:p>
        </w:tc>
        <w:tc>
          <w:tcPr>
            <w:tcW w:w="873" w:type="dxa"/>
            <w:tcBorders>
              <w:top w:val="single" w:sz="8" w:space="0" w:color="000000" w:themeColor="text1"/>
              <w:bottom w:val="single" w:sz="8" w:space="0" w:color="000000" w:themeColor="text1"/>
            </w:tcBorders>
            <w:shd w:val="clear" w:color="auto" w:fill="FFFFFF" w:themeFill="background1"/>
            <w:hideMark/>
          </w:tcPr>
          <w:p w:rsidR="005B0BAD" w:rsidRDefault="005B0BAD" w:rsidP="006F290F">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6,8</w:t>
            </w:r>
          </w:p>
        </w:tc>
        <w:tc>
          <w:tcPr>
            <w:tcW w:w="873" w:type="dxa"/>
            <w:tcBorders>
              <w:top w:val="single" w:sz="8" w:space="0" w:color="000000" w:themeColor="text1"/>
              <w:bottom w:val="single" w:sz="8" w:space="0" w:color="000000" w:themeColor="text1"/>
            </w:tcBorders>
            <w:shd w:val="clear" w:color="auto" w:fill="FFFFFF" w:themeFill="background1"/>
            <w:hideMark/>
          </w:tcPr>
          <w:p w:rsidR="005B0BAD" w:rsidRDefault="005B0BAD" w:rsidP="006F290F">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5,3</w:t>
            </w:r>
          </w:p>
        </w:tc>
        <w:tc>
          <w:tcPr>
            <w:tcW w:w="873" w:type="dxa"/>
            <w:tcBorders>
              <w:top w:val="single" w:sz="8" w:space="0" w:color="000000" w:themeColor="text1"/>
              <w:bottom w:val="single" w:sz="8" w:space="0" w:color="000000" w:themeColor="text1"/>
            </w:tcBorders>
            <w:shd w:val="clear" w:color="auto" w:fill="FFFFFF" w:themeFill="background1"/>
            <w:hideMark/>
          </w:tcPr>
          <w:p w:rsidR="005B0BAD" w:rsidRDefault="005B0BAD" w:rsidP="006F290F">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Cs/>
              </w:rPr>
              <w:t>5,0</w:t>
            </w:r>
          </w:p>
        </w:tc>
        <w:tc>
          <w:tcPr>
            <w:tcW w:w="873" w:type="dxa"/>
            <w:tcBorders>
              <w:top w:val="single" w:sz="8" w:space="0" w:color="000000" w:themeColor="text1"/>
              <w:bottom w:val="single" w:sz="8" w:space="0" w:color="000000" w:themeColor="text1"/>
            </w:tcBorders>
            <w:shd w:val="clear" w:color="auto" w:fill="FFFFFF" w:themeFill="background1"/>
            <w:hideMark/>
          </w:tcPr>
          <w:p w:rsidR="005B0BAD" w:rsidRDefault="005B0BAD" w:rsidP="006F290F">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5,1</w:t>
            </w:r>
            <w:r>
              <w:rPr>
                <w:rFonts w:ascii="Times New Roman" w:hAnsi="Times New Roman" w:cs="Times New Roman"/>
                <w:bCs/>
                <w:vertAlign w:val="superscript"/>
              </w:rPr>
              <w:t>*</w:t>
            </w:r>
          </w:p>
        </w:tc>
        <w:tc>
          <w:tcPr>
            <w:tcW w:w="873" w:type="dxa"/>
            <w:tcBorders>
              <w:top w:val="single" w:sz="8" w:space="0" w:color="000000" w:themeColor="text1"/>
              <w:bottom w:val="single" w:sz="8" w:space="0" w:color="000000" w:themeColor="text1"/>
            </w:tcBorders>
            <w:shd w:val="clear" w:color="auto" w:fill="FFFFFF" w:themeFill="background1"/>
            <w:hideMark/>
          </w:tcPr>
          <w:p w:rsidR="005B0BAD" w:rsidRDefault="005B0BAD" w:rsidP="006F290F">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7,0</w:t>
            </w:r>
          </w:p>
        </w:tc>
        <w:tc>
          <w:tcPr>
            <w:tcW w:w="873" w:type="dxa"/>
            <w:tcBorders>
              <w:top w:val="single" w:sz="8" w:space="0" w:color="000000" w:themeColor="text1"/>
              <w:bottom w:val="single" w:sz="8" w:space="0" w:color="000000" w:themeColor="text1"/>
            </w:tcBorders>
            <w:shd w:val="clear" w:color="auto" w:fill="FFFFFF" w:themeFill="background1"/>
            <w:hideMark/>
          </w:tcPr>
          <w:p w:rsidR="005B0BAD" w:rsidRDefault="005B0BAD" w:rsidP="006F290F">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Cs/>
              </w:rPr>
              <w:t>15</w:t>
            </w:r>
          </w:p>
        </w:tc>
      </w:tr>
    </w:tbl>
    <w:p w:rsidR="005B0BAD" w:rsidRDefault="005B0BAD" w:rsidP="003A059D">
      <w:pPr>
        <w:rPr>
          <w:sz w:val="18"/>
          <w:szCs w:val="18"/>
        </w:rPr>
      </w:pPr>
      <w:r>
        <w:rPr>
          <w:sz w:val="18"/>
          <w:szCs w:val="18"/>
        </w:rPr>
        <w:t>* Pārrēķins pēc 2011.gada tautas skaitīšanas rezultātiem</w:t>
      </w:r>
    </w:p>
    <w:p w:rsidR="005B0BAD" w:rsidRDefault="005B0BAD" w:rsidP="00AE588E">
      <w:pPr>
        <w:spacing w:before="120"/>
        <w:ind w:firstLine="567"/>
      </w:pPr>
      <w:r w:rsidRPr="00C43284">
        <w:t>Lai sasniegtu</w:t>
      </w:r>
      <w:r>
        <w:t xml:space="preserve"> mērķi</w:t>
      </w:r>
      <w:r w:rsidRPr="00C43284">
        <w:t xml:space="preserve">, nepieciešams nodrošināt mūžizglītības pieejamību iedzīvotājiem neatkarīgi no viņu vecuma, dzimuma, iepriekšējās izglītības, dzīves vietas, ienākumu līmeņa, etniskās piederības, funkcionāliem traucējumiem </w:t>
      </w:r>
      <w:proofErr w:type="spellStart"/>
      <w:r w:rsidRPr="00C43284">
        <w:t>utt</w:t>
      </w:r>
      <w:proofErr w:type="spellEnd"/>
      <w:r w:rsidRPr="00C43284">
        <w:t>., kā arī veidot pieaugušajiem kvalitatīvas izglītības piedāvājumu un izveidojot saskaņotu normatīvo aktu sistēmu un efektīvu resursu (tai skaitā finanšu) pārvaldi.</w:t>
      </w:r>
    </w:p>
    <w:p w:rsidR="005B0BAD" w:rsidRPr="00C43284" w:rsidRDefault="005B0BAD" w:rsidP="005B0BAD">
      <w:pPr>
        <w:spacing w:before="120"/>
        <w:ind w:firstLine="567"/>
      </w:pPr>
      <w:r>
        <w:t>Zemāk</w:t>
      </w:r>
      <w:r w:rsidR="00E51908">
        <w:t xml:space="preserve"> </w:t>
      </w:r>
      <w:r>
        <w:t>minēti p</w:t>
      </w:r>
      <w:r w:rsidRPr="003C1F9C">
        <w:rPr>
          <w:bCs/>
          <w:lang w:eastAsia="ar-SA"/>
        </w:rPr>
        <w:t xml:space="preserve">asākumi attiecas </w:t>
      </w:r>
      <w:r w:rsidR="00E51908">
        <w:rPr>
          <w:rFonts w:eastAsia="Times New Roman"/>
        </w:rPr>
        <w:t xml:space="preserve">uz </w:t>
      </w:r>
      <w:r w:rsidR="00E51908" w:rsidRPr="00FF5C3A">
        <w:rPr>
          <w:rFonts w:eastAsia="Times New Roman"/>
          <w:i/>
        </w:rPr>
        <w:t>„Eiropa 2020”</w:t>
      </w:r>
      <w:r w:rsidR="00E51908">
        <w:rPr>
          <w:rFonts w:eastAsia="Times New Roman"/>
        </w:rPr>
        <w:t xml:space="preserve"> stratēģijas vadošās iniciatīvas </w:t>
      </w:r>
      <w:r w:rsidR="00E51908" w:rsidRPr="00935AB4">
        <w:rPr>
          <w:rFonts w:eastAsia="Times New Roman"/>
          <w:i/>
        </w:rPr>
        <w:t>„Jaunu prasmju un darbavietu programma”</w:t>
      </w:r>
      <w:r w:rsidR="00E51908">
        <w:rPr>
          <w:rFonts w:eastAsia="Times New Roman"/>
        </w:rPr>
        <w:t xml:space="preserve"> īstenošanu</w:t>
      </w:r>
      <w:r w:rsidR="004C4CF8">
        <w:rPr>
          <w:rFonts w:eastAsia="Times New Roman"/>
        </w:rPr>
        <w:t>, kā arī</w:t>
      </w:r>
      <w:r w:rsidR="00E51908">
        <w:rPr>
          <w:rFonts w:eastAsia="Times New Roman"/>
        </w:rPr>
        <w:t xml:space="preserve"> </w:t>
      </w:r>
      <w:r w:rsidRPr="00353580">
        <w:rPr>
          <w:bCs/>
          <w:i/>
          <w:lang w:eastAsia="ar-SA"/>
        </w:rPr>
        <w:t>2013.gada izaugsmes ziņojuma</w:t>
      </w:r>
      <w:r w:rsidRPr="003C1F9C">
        <w:rPr>
          <w:bCs/>
          <w:lang w:eastAsia="ar-SA"/>
        </w:rPr>
        <w:t xml:space="preserve"> prioritā</w:t>
      </w:r>
      <w:r w:rsidR="00E51908">
        <w:rPr>
          <w:bCs/>
          <w:lang w:eastAsia="ar-SA"/>
        </w:rPr>
        <w:t>tes attiecībā uz izaugsmes un konkurētspējas veicināšanu</w:t>
      </w:r>
      <w:r w:rsidR="004C4CF8">
        <w:rPr>
          <w:bCs/>
          <w:lang w:eastAsia="ar-SA"/>
        </w:rPr>
        <w:t>, bezdarba un sociālo problēmu risināšanu</w:t>
      </w:r>
      <w:r w:rsidRPr="003C1F9C">
        <w:rPr>
          <w:bCs/>
          <w:lang w:eastAsia="ar-SA"/>
        </w:rPr>
        <w:t xml:space="preserve"> īstenošanu</w:t>
      </w:r>
      <w:r>
        <w:rPr>
          <w:bCs/>
          <w:lang w:eastAsia="ar-SA"/>
        </w:rPr>
        <w:t>.</w:t>
      </w:r>
    </w:p>
    <w:p w:rsidR="005B0BAD" w:rsidRPr="00C43284" w:rsidRDefault="005B0BAD" w:rsidP="005B0BAD">
      <w:pPr>
        <w:spacing w:before="240" w:after="120"/>
        <w:ind w:firstLine="567"/>
        <w:rPr>
          <w:u w:val="single"/>
        </w:rPr>
      </w:pPr>
      <w:r w:rsidRPr="00C43284">
        <w:rPr>
          <w:u w:val="single"/>
        </w:rPr>
        <w:t>Galvenie politikas virzieni un pasākumi mūžizglītības principa ieviešanai:</w:t>
      </w:r>
    </w:p>
    <w:p w:rsidR="005B0BAD" w:rsidRPr="00C43284" w:rsidRDefault="005B0BAD" w:rsidP="00E84407">
      <w:pPr>
        <w:numPr>
          <w:ilvl w:val="1"/>
          <w:numId w:val="14"/>
        </w:numPr>
        <w:tabs>
          <w:tab w:val="clear" w:pos="1440"/>
          <w:tab w:val="num" w:pos="284"/>
        </w:tabs>
        <w:spacing w:before="240" w:after="120"/>
        <w:ind w:left="284" w:hanging="284"/>
        <w:rPr>
          <w:i/>
        </w:rPr>
      </w:pPr>
      <w:r w:rsidRPr="00C43284">
        <w:rPr>
          <w:b/>
          <w:bCs/>
          <w:i/>
          <w:lang w:eastAsia="ar-SA"/>
        </w:rPr>
        <w:t xml:space="preserve">Nacionālās kvalifikāciju </w:t>
      </w:r>
      <w:proofErr w:type="spellStart"/>
      <w:r w:rsidRPr="00C43284">
        <w:rPr>
          <w:b/>
          <w:bCs/>
          <w:i/>
          <w:lang w:eastAsia="ar-SA"/>
        </w:rPr>
        <w:t>ietvarstruktūras</w:t>
      </w:r>
      <w:proofErr w:type="spellEnd"/>
      <w:r w:rsidRPr="00C43284">
        <w:rPr>
          <w:b/>
          <w:bCs/>
          <w:i/>
          <w:lang w:eastAsia="ar-SA"/>
        </w:rPr>
        <w:t xml:space="preserve"> izstrāde un tās līmeņu pielīdzināšana Eiropas kvalifikāciju struktūrai</w:t>
      </w:r>
      <w:r w:rsidRPr="00C43284">
        <w:rPr>
          <w:b/>
          <w:i/>
        </w:rPr>
        <w:t xml:space="preserve"> </w:t>
      </w:r>
      <w:r w:rsidRPr="00C43284">
        <w:t>(atbildīgā institūcija – IZM)</w:t>
      </w:r>
    </w:p>
    <w:p w:rsidR="005B0BAD" w:rsidRPr="00C43284" w:rsidRDefault="005B0BAD" w:rsidP="005B0BAD">
      <w:pPr>
        <w:spacing w:before="240"/>
        <w:ind w:firstLine="567"/>
        <w:rPr>
          <w:b/>
          <w:bCs/>
          <w:i/>
          <w:lang w:eastAsia="ar-SA"/>
        </w:rPr>
      </w:pPr>
      <w:r w:rsidRPr="00C43284">
        <w:rPr>
          <w:bCs/>
          <w:lang w:eastAsia="ar-SA"/>
        </w:rPr>
        <w:t xml:space="preserve">Mērķis – ieviest Latvijas nacionālo kvalifikāciju </w:t>
      </w:r>
      <w:proofErr w:type="spellStart"/>
      <w:r w:rsidRPr="00C43284">
        <w:rPr>
          <w:bCs/>
          <w:lang w:eastAsia="ar-SA"/>
        </w:rPr>
        <w:t>ietvarstruktūru</w:t>
      </w:r>
      <w:proofErr w:type="spellEnd"/>
      <w:r w:rsidRPr="00C43284">
        <w:rPr>
          <w:bCs/>
          <w:lang w:eastAsia="ar-SA"/>
        </w:rPr>
        <w:t>, nodrošinot sistēmas pārēju uz mācīšanās rezultātiem (</w:t>
      </w:r>
      <w:proofErr w:type="spellStart"/>
      <w:r w:rsidRPr="00C43284">
        <w:rPr>
          <w:bCs/>
          <w:i/>
          <w:lang w:eastAsia="ar-SA"/>
        </w:rPr>
        <w:t>learning</w:t>
      </w:r>
      <w:proofErr w:type="spellEnd"/>
      <w:r w:rsidRPr="00C43284">
        <w:rPr>
          <w:bCs/>
          <w:i/>
          <w:lang w:eastAsia="ar-SA"/>
        </w:rPr>
        <w:t xml:space="preserve"> </w:t>
      </w:r>
      <w:proofErr w:type="spellStart"/>
      <w:r w:rsidRPr="00C43284">
        <w:rPr>
          <w:bCs/>
          <w:i/>
          <w:lang w:eastAsia="ar-SA"/>
        </w:rPr>
        <w:t>outcomes</w:t>
      </w:r>
      <w:proofErr w:type="spellEnd"/>
      <w:r w:rsidRPr="00C43284">
        <w:rPr>
          <w:bCs/>
          <w:lang w:eastAsia="ar-SA"/>
        </w:rPr>
        <w:t xml:space="preserve">) balstītu izglītības modeli, kā arī piesaistīt to Eiropas kvalifikāciju </w:t>
      </w:r>
      <w:proofErr w:type="spellStart"/>
      <w:r w:rsidRPr="00C43284">
        <w:rPr>
          <w:bCs/>
          <w:lang w:eastAsia="ar-SA"/>
        </w:rPr>
        <w:t>ietvarstruktūrai</w:t>
      </w:r>
      <w:proofErr w:type="spellEnd"/>
      <w:r w:rsidRPr="00C43284">
        <w:rPr>
          <w:bCs/>
          <w:lang w:eastAsia="ar-SA"/>
        </w:rPr>
        <w:t xml:space="preserve"> (turpmāk tekstā – EKI), norādot Latvijas formālās izglītības diplomos atbilstošu EKI līmeni.</w:t>
      </w:r>
      <w:r w:rsidR="00D45640">
        <w:rPr>
          <w:bCs/>
          <w:lang w:eastAsia="ar-SA"/>
        </w:rPr>
        <w:t xml:space="preserve"> </w:t>
      </w:r>
    </w:p>
    <w:p w:rsidR="005B0BAD" w:rsidRPr="00C43284" w:rsidRDefault="005B0BAD" w:rsidP="005B0BAD">
      <w:pPr>
        <w:autoSpaceDE w:val="0"/>
        <w:autoSpaceDN w:val="0"/>
        <w:adjustRightInd w:val="0"/>
        <w:ind w:firstLine="567"/>
        <w:rPr>
          <w:b/>
          <w:bCs/>
          <w:i/>
          <w:lang w:eastAsia="ar-SA"/>
        </w:rPr>
      </w:pPr>
      <w:r w:rsidRPr="00C43284">
        <w:rPr>
          <w:bCs/>
          <w:lang w:eastAsia="ar-SA"/>
        </w:rPr>
        <w:t xml:space="preserve">2012.-2013.gadā plānots nodrošināt sākotnējās profesionālās izglītības </w:t>
      </w:r>
      <w:r w:rsidRPr="00C43284">
        <w:rPr>
          <w:color w:val="000000"/>
        </w:rPr>
        <w:t>kvalifikāciju sistēmas izveid</w:t>
      </w:r>
      <w:r>
        <w:rPr>
          <w:color w:val="000000"/>
        </w:rPr>
        <w:t>i</w:t>
      </w:r>
      <w:r w:rsidRPr="00C43284">
        <w:rPr>
          <w:color w:val="000000"/>
        </w:rPr>
        <w:t xml:space="preserve"> ESF projekta ietvaros. Pēc sistēmas pārskatīšanas tiks veiktas izmaiņas normatīvajos aktos, lai nodrošinātu pāreju uz 8. līmeņu kvalifikāciju sistēmu.</w:t>
      </w:r>
    </w:p>
    <w:p w:rsidR="005B0BAD" w:rsidRPr="00C43284" w:rsidRDefault="005B0BAD" w:rsidP="00E84407">
      <w:pPr>
        <w:numPr>
          <w:ilvl w:val="1"/>
          <w:numId w:val="14"/>
        </w:numPr>
        <w:tabs>
          <w:tab w:val="clear" w:pos="1440"/>
          <w:tab w:val="num" w:pos="284"/>
        </w:tabs>
        <w:spacing w:before="240" w:after="120"/>
        <w:ind w:left="284" w:hanging="284"/>
        <w:rPr>
          <w:i/>
        </w:rPr>
      </w:pPr>
      <w:r w:rsidRPr="00C43284">
        <w:rPr>
          <w:b/>
          <w:bCs/>
          <w:i/>
          <w:lang w:eastAsia="ar-SA"/>
        </w:rPr>
        <w:t>Ārpus formālās izglītības sistēmas apgūto zināšanu, prasmju un profesionālās kompetences novērtēšanas nodrošināšana</w:t>
      </w:r>
      <w:r w:rsidRPr="00C43284">
        <w:t xml:space="preserve"> (atbildīgā institūcija – IZM)</w:t>
      </w:r>
    </w:p>
    <w:p w:rsidR="005B0BAD" w:rsidRPr="00C43284" w:rsidRDefault="005B0BAD" w:rsidP="005B0BAD">
      <w:pPr>
        <w:ind w:firstLine="567"/>
      </w:pPr>
      <w:r w:rsidRPr="00C43284">
        <w:rPr>
          <w:bCs/>
          <w:lang w:eastAsia="ar-SA"/>
        </w:rPr>
        <w:t>Mērķis – r</w:t>
      </w:r>
      <w:r w:rsidRPr="00C43284">
        <w:t>adīt un īstenot mehānismu, ar kura palīdzību novērtēt un atzīt ārpus formālās izglītības sistēmas iegūtas zināšanas un prasmes, kā arī saņemt profesionālās kvalifikācijas dokumentu.</w:t>
      </w:r>
      <w:r w:rsidR="00D45640">
        <w:t xml:space="preserve"> </w:t>
      </w:r>
      <w:r w:rsidRPr="00C43284">
        <w:t xml:space="preserve"> </w:t>
      </w:r>
    </w:p>
    <w:p w:rsidR="005B0BAD" w:rsidRDefault="005B0BAD" w:rsidP="005B0BAD">
      <w:pPr>
        <w:ind w:firstLine="567"/>
      </w:pPr>
      <w:r w:rsidRPr="00C43284">
        <w:t>2011.gadā tika apstiprināta kārtība, kādā</w:t>
      </w:r>
      <w:r w:rsidR="00D45640">
        <w:t xml:space="preserve"> </w:t>
      </w:r>
      <w:r w:rsidRPr="00C43284">
        <w:t>profesionālo kvalifikāciju</w:t>
      </w:r>
      <w:r w:rsidR="008D629D">
        <w:t>,</w:t>
      </w:r>
      <w:r w:rsidRPr="00C43284">
        <w:t xml:space="preserve"> kas atbilst pirmā, otrā vai trešā profesionālās kvalifikācijas līmeņa profesionālajai kompetencei, var</w:t>
      </w:r>
      <w:r w:rsidR="00D45640">
        <w:t xml:space="preserve"> </w:t>
      </w:r>
      <w:r w:rsidRPr="00C43284">
        <w:t xml:space="preserve">iegūt </w:t>
      </w:r>
      <w:r w:rsidRPr="00C43284">
        <w:lastRenderedPageBreak/>
        <w:t xml:space="preserve">persona, kurai atbilstošās zināšanas ir iegūtas dzīves laikā vai neformālās izglītības veidā. Profesionālo kompetenci novērtē profesionālās kvalifikācijas eksāmenā atbilstoši normatīvajos aktos noteiktajai centralizēto profesionālās kvalifikācijas eksāmenu norises kārtībai. Patlaban </w:t>
      </w:r>
      <w:r w:rsidRPr="003C1F9C">
        <w:t xml:space="preserve">ir noslēgti deleģēšanas līgumi ar 36 profesionālās izglītības iestādēm. Ārpus formālās izglītības sistēmas apgūto profesionālo kompetences novērtēšanu var veikt vairāk nekā 100 profesionālajām </w:t>
      </w:r>
      <w:proofErr w:type="spellStart"/>
      <w:r w:rsidRPr="003C1F9C">
        <w:t>kvalifikācijām</w:t>
      </w:r>
      <w:proofErr w:type="spellEnd"/>
      <w:r w:rsidRPr="00C43284">
        <w:t>.</w:t>
      </w:r>
    </w:p>
    <w:p w:rsidR="005B0BAD" w:rsidRPr="00C43284" w:rsidRDefault="005B0BAD" w:rsidP="005B0BAD">
      <w:pPr>
        <w:autoSpaceDE w:val="0"/>
        <w:autoSpaceDN w:val="0"/>
        <w:adjustRightInd w:val="0"/>
        <w:ind w:firstLine="567"/>
      </w:pPr>
      <w:r w:rsidRPr="00C43284">
        <w:t xml:space="preserve">Lai aprobētu ārpus formālās izglītības sistēmas iegūto zināšanu novērtēšanu, </w:t>
      </w:r>
      <w:r w:rsidRPr="003C1F9C">
        <w:t xml:space="preserve">ESF projekta „Nozaru kvalifikācijas sistēmas izveide un profesionālas izglītības efektivitātes un kvalitātes” ietvaros 2011.-2012.gadā </w:t>
      </w:r>
      <w:r w:rsidRPr="00C43284">
        <w:t xml:space="preserve">80 cilvēkiem </w:t>
      </w:r>
      <w:r w:rsidRPr="003C1F9C">
        <w:t xml:space="preserve">tika nodrošināta iespēja </w:t>
      </w:r>
      <w:r w:rsidRPr="00C43284">
        <w:t>bez maksas saņemt savu zināšanu un prasmju novērtēšanu un saņemt attiecīgo profesionālo kvalifikāciju profesionālās</w:t>
      </w:r>
      <w:r>
        <w:t xml:space="preserve"> eksāmena nokārtošanas gadījumā, </w:t>
      </w:r>
      <w:r w:rsidRPr="003C1F9C">
        <w:t>sasniedzot paredzēto rezultatīvo rādītāju</w:t>
      </w:r>
      <w:r>
        <w:t>.</w:t>
      </w:r>
      <w:r w:rsidR="00D45640">
        <w:t xml:space="preserve"> </w:t>
      </w:r>
    </w:p>
    <w:p w:rsidR="005B0BAD" w:rsidRPr="00C43284" w:rsidRDefault="005B0BAD" w:rsidP="005B0BAD">
      <w:pPr>
        <w:pStyle w:val="NormalWeb"/>
        <w:spacing w:after="0"/>
        <w:ind w:firstLine="567"/>
        <w:jc w:val="both"/>
        <w:rPr>
          <w:rFonts w:eastAsia="Calibri"/>
          <w:lang w:eastAsia="en-US"/>
        </w:rPr>
      </w:pPr>
      <w:r w:rsidRPr="00C43284">
        <w:rPr>
          <w:rFonts w:eastAsia="Calibri"/>
          <w:lang w:eastAsia="en-US"/>
        </w:rPr>
        <w:t xml:space="preserve">Līdz 2012.gada </w:t>
      </w:r>
      <w:r>
        <w:rPr>
          <w:rFonts w:eastAsia="Calibri"/>
          <w:lang w:eastAsia="en-US"/>
        </w:rPr>
        <w:t>beigām</w:t>
      </w:r>
      <w:r w:rsidRPr="00C43284">
        <w:rPr>
          <w:rFonts w:eastAsia="Calibri"/>
          <w:lang w:eastAsia="en-US"/>
        </w:rPr>
        <w:t xml:space="preserve"> apliecību par profesionālo kvalifikāciju, pamatojoties uz dzīves gaitā vai neformālās izglītības programmās gūto pieredzi, ieguvuši </w:t>
      </w:r>
      <w:r>
        <w:rPr>
          <w:rFonts w:eastAsia="Calibri"/>
          <w:lang w:eastAsia="en-US"/>
        </w:rPr>
        <w:t>398</w:t>
      </w:r>
      <w:r w:rsidRPr="00C43284">
        <w:rPr>
          <w:rFonts w:eastAsia="Calibri"/>
          <w:lang w:eastAsia="en-US"/>
        </w:rPr>
        <w:t xml:space="preserve"> cilvēki. </w:t>
      </w:r>
      <w:r w:rsidRPr="003C1F9C">
        <w:rPr>
          <w:rFonts w:eastAsia="Calibri"/>
          <w:lang w:eastAsia="en-US"/>
        </w:rPr>
        <w:t>2013.gada sākumā jau 45 cilvēki ir ieguvuši ārpus formālās izglītības iegūto zināšanu un prasmju novērtējumu un profesionālo kvalifikāciju</w:t>
      </w:r>
      <w:r w:rsidR="00D45640">
        <w:rPr>
          <w:rFonts w:eastAsia="Calibri"/>
          <w:lang w:eastAsia="en-US"/>
        </w:rPr>
        <w:t xml:space="preserve"> </w:t>
      </w:r>
      <w:r w:rsidRPr="003C1F9C">
        <w:rPr>
          <w:rFonts w:eastAsia="Calibri"/>
          <w:lang w:eastAsia="en-US"/>
        </w:rPr>
        <w:t xml:space="preserve">šādās profesijās kā „automehāniķis”, „grāmatvedis”, „elektromontieris” </w:t>
      </w:r>
      <w:proofErr w:type="spellStart"/>
      <w:r w:rsidRPr="003C1F9C">
        <w:rPr>
          <w:rFonts w:eastAsia="Calibri"/>
          <w:lang w:eastAsia="en-US"/>
        </w:rPr>
        <w:t>u.c</w:t>
      </w:r>
      <w:proofErr w:type="spellEnd"/>
      <w:r w:rsidRPr="003C1F9C">
        <w:rPr>
          <w:rFonts w:eastAsia="Calibri"/>
          <w:lang w:eastAsia="en-US"/>
        </w:rPr>
        <w:t>.</w:t>
      </w:r>
      <w:r w:rsidRPr="00C43284">
        <w:rPr>
          <w:rFonts w:eastAsia="Calibri"/>
          <w:lang w:eastAsia="en-US"/>
        </w:rPr>
        <w:t xml:space="preserve"> </w:t>
      </w:r>
    </w:p>
    <w:p w:rsidR="005B0BAD" w:rsidRDefault="005B0BAD" w:rsidP="005B0BAD">
      <w:pPr>
        <w:ind w:firstLine="567"/>
      </w:pPr>
      <w:r w:rsidRPr="00C43284">
        <w:t xml:space="preserve">Paplašinot ārpus formālas izglītības sistēmas iegūto zināšanu atzīšanas iespējas, ir izstrādāta un 2012.gada 10.janvārī MK apstiprināta kārtība, kādā tiek atzīti </w:t>
      </w:r>
      <w:hyperlink r:id="rId19" w:tgtFrame="_new" w:history="1">
        <w:r w:rsidRPr="00C43284">
          <w:t>iepriekšējā izglītībā un profesionālā pieredzē sasniegti studiju (augstākās izglītības) rezultāti</w:t>
        </w:r>
      </w:hyperlink>
      <w:r w:rsidRPr="00C43284">
        <w:t>.</w:t>
      </w:r>
    </w:p>
    <w:p w:rsidR="005B0BAD" w:rsidRPr="003C1F9C" w:rsidRDefault="005B0BAD" w:rsidP="005B0BAD">
      <w:pPr>
        <w:ind w:firstLine="567"/>
      </w:pPr>
      <w:r w:rsidRPr="003C1F9C">
        <w:t xml:space="preserve">Vienlaikus, Latvijas Nacionālā bibliotēka, </w:t>
      </w:r>
      <w:proofErr w:type="spellStart"/>
      <w:r w:rsidRPr="003C1F9C">
        <w:t>t.sk</w:t>
      </w:r>
      <w:proofErr w:type="spellEnd"/>
      <w:r w:rsidRPr="003C1F9C">
        <w:t>., sadarbībā ar Valsts izglītības satura centru kopš 2012.gada pavasara līdz 2013.gada pavasarim īsteno EK Mūžizglītības programmas projektu „Integrēta neformālās izglītības rezultātu atzīšanas sistēma: nacionālā sadarbības tīkla izveide (</w:t>
      </w:r>
      <w:proofErr w:type="spellStart"/>
      <w:r w:rsidRPr="003C1F9C">
        <w:t>Val-Net)”,</w:t>
      </w:r>
      <w:proofErr w:type="spellEnd"/>
      <w:r w:rsidRPr="003C1F9C">
        <w:t xml:space="preserve"> kura ietvaros ir paredzēts izveidot ilgtspējīgu informācijas apmaiņas un sadarbības tīklu nacionālā mērogā. Projekta ietvaros ti</w:t>
      </w:r>
      <w:r>
        <w:t>e</w:t>
      </w:r>
      <w:r w:rsidRPr="003C1F9C">
        <w:t>k īstenotas vairākas aktivitātes, vērstas uz dažādu institūciju sadarbības</w:t>
      </w:r>
      <w:r w:rsidR="00D45640">
        <w:t xml:space="preserve"> </w:t>
      </w:r>
      <w:r w:rsidRPr="003C1F9C">
        <w:t>attīstību, iespējamo problēmu identificēšanu, kā arī priekšlikumu izstrādi to risināšanai. Projektā iegūtas atziņas un ārpus formālās izglītības sistēmas iegūto zināšanu un prasmju atzīšanas labas praks</w:t>
      </w:r>
      <w:r>
        <w:t>es piemēri ir apkopot</w:t>
      </w:r>
      <w:r w:rsidR="00F30044">
        <w:t>i</w:t>
      </w:r>
      <w:r>
        <w:t xml:space="preserve"> grāmatā</w:t>
      </w:r>
      <w:r w:rsidRPr="003C1F9C">
        <w:t>.</w:t>
      </w:r>
    </w:p>
    <w:p w:rsidR="005B0BAD" w:rsidRPr="00C43284" w:rsidRDefault="005B0BAD" w:rsidP="00E84407">
      <w:pPr>
        <w:numPr>
          <w:ilvl w:val="1"/>
          <w:numId w:val="14"/>
        </w:numPr>
        <w:tabs>
          <w:tab w:val="clear" w:pos="1440"/>
          <w:tab w:val="num" w:pos="284"/>
        </w:tabs>
        <w:spacing w:before="240" w:after="120"/>
        <w:ind w:left="284" w:hanging="284"/>
        <w:rPr>
          <w:i/>
        </w:rPr>
      </w:pPr>
      <w:bookmarkStart w:id="34" w:name="OLE_LINK19"/>
      <w:r w:rsidRPr="00C43284">
        <w:rPr>
          <w:b/>
          <w:bCs/>
          <w:i/>
          <w:lang w:eastAsia="ar-SA"/>
        </w:rPr>
        <w:t>Otrās iespējas izglītības piedāvājums, kā kompensējošs mehānisms izglītību priekšlaicīgi pametušo skaita samazināšanai</w:t>
      </w:r>
      <w:bookmarkEnd w:id="34"/>
      <w:r w:rsidRPr="00C43284">
        <w:rPr>
          <w:b/>
          <w:bCs/>
          <w:i/>
          <w:lang w:eastAsia="ar-SA"/>
        </w:rPr>
        <w:t xml:space="preserve"> </w:t>
      </w:r>
      <w:r w:rsidRPr="00C43284">
        <w:rPr>
          <w:bCs/>
          <w:lang w:eastAsia="ar-SA"/>
        </w:rPr>
        <w:t>(</w:t>
      </w:r>
      <w:r w:rsidRPr="00C43284">
        <w:t>atbildīgā institūcija – IZM)</w:t>
      </w:r>
    </w:p>
    <w:p w:rsidR="005B0BAD" w:rsidRPr="00C43284" w:rsidRDefault="005B0BAD" w:rsidP="005B0BAD">
      <w:pPr>
        <w:autoSpaceDE w:val="0"/>
        <w:autoSpaceDN w:val="0"/>
        <w:adjustRightInd w:val="0"/>
        <w:ind w:firstLine="567"/>
      </w:pPr>
      <w:r w:rsidRPr="00C43284">
        <w:t>Mērķis – nodrošināt izglītību priekšlaicīgi pametušajiem pietiekamas otr</w:t>
      </w:r>
      <w:r w:rsidR="00536864">
        <w:t>ā</w:t>
      </w:r>
      <w:r w:rsidRPr="00C43284">
        <w:t>s iespējas izglītības piedāvājumu.</w:t>
      </w:r>
    </w:p>
    <w:p w:rsidR="005B0BAD" w:rsidRPr="00C43284" w:rsidRDefault="005B0BAD" w:rsidP="005B0BAD">
      <w:pPr>
        <w:autoSpaceDE w:val="0"/>
        <w:autoSpaceDN w:val="0"/>
        <w:adjustRightInd w:val="0"/>
        <w:ind w:firstLine="567"/>
        <w:rPr>
          <w:color w:val="000000"/>
        </w:rPr>
      </w:pPr>
      <w:r w:rsidRPr="00C43284">
        <w:rPr>
          <w:color w:val="000000"/>
        </w:rPr>
        <w:t>Pieaugušajiem, kuri pēc pārtraukuma vēlas pabeigt iepriekš uzsākto formālo izglītību pamatizglītības un vidējās izglītības pakāpē, ti</w:t>
      </w:r>
      <w:r w:rsidR="00536864">
        <w:rPr>
          <w:color w:val="000000"/>
        </w:rPr>
        <w:t>ek</w:t>
      </w:r>
      <w:r w:rsidRPr="00C43284">
        <w:rPr>
          <w:color w:val="000000"/>
        </w:rPr>
        <w:t xml:space="preserve"> nodrošināts otrās iespējas izglītības piedāvājums un pieejamība. </w:t>
      </w:r>
    </w:p>
    <w:p w:rsidR="005B0BAD" w:rsidRPr="00C43284" w:rsidRDefault="005B0BAD" w:rsidP="005B0BAD">
      <w:pPr>
        <w:autoSpaceDE w:val="0"/>
        <w:autoSpaceDN w:val="0"/>
        <w:adjustRightInd w:val="0"/>
        <w:ind w:firstLine="567"/>
        <w:rPr>
          <w:color w:val="000000"/>
        </w:rPr>
      </w:pPr>
      <w:r>
        <w:rPr>
          <w:color w:val="000000"/>
        </w:rPr>
        <w:t>2012./2013</w:t>
      </w:r>
      <w:r w:rsidRPr="00C43284">
        <w:rPr>
          <w:color w:val="000000"/>
        </w:rPr>
        <w:t>.mācību gada sākumā Latvijas teritorijā darbojās 25 vakara (maiņu) skolas</w:t>
      </w:r>
      <w:r>
        <w:rPr>
          <w:color w:val="000000"/>
        </w:rPr>
        <w:t xml:space="preserve">, </w:t>
      </w:r>
      <w:proofErr w:type="spellStart"/>
      <w:r w:rsidRPr="003C1F9C">
        <w:rPr>
          <w:color w:val="000000"/>
        </w:rPr>
        <w:t>t.sk</w:t>
      </w:r>
      <w:proofErr w:type="spellEnd"/>
      <w:r w:rsidRPr="003C1F9C">
        <w:rPr>
          <w:color w:val="000000"/>
        </w:rPr>
        <w:t>., divas neklātienes vidusskolas un divas tālmācības vidusskolas</w:t>
      </w:r>
      <w:r w:rsidRPr="00C43284">
        <w:rPr>
          <w:color w:val="000000"/>
        </w:rPr>
        <w:t xml:space="preserve"> un 69 vakara klases un neklātienes konsult</w:t>
      </w:r>
      <w:r>
        <w:rPr>
          <w:color w:val="000000"/>
        </w:rPr>
        <w:t>ācijas punkti pie dienas skolām</w:t>
      </w:r>
      <w:r w:rsidRPr="00C43284">
        <w:rPr>
          <w:color w:val="000000"/>
        </w:rPr>
        <w:t xml:space="preserve">. </w:t>
      </w:r>
    </w:p>
    <w:p w:rsidR="005B0BAD" w:rsidRPr="00C43284" w:rsidRDefault="005B0BAD" w:rsidP="005B0BAD">
      <w:pPr>
        <w:autoSpaceDE w:val="0"/>
        <w:autoSpaceDN w:val="0"/>
        <w:adjustRightInd w:val="0"/>
        <w:ind w:firstLine="567"/>
      </w:pPr>
      <w:r w:rsidRPr="00C43284">
        <w:t xml:space="preserve">2011.gadā pieņemti grozījumi </w:t>
      </w:r>
      <w:r w:rsidRPr="00C43284">
        <w:rPr>
          <w:i/>
        </w:rPr>
        <w:t>Vispārējās izglītības likumā</w:t>
      </w:r>
      <w:r w:rsidRPr="00C43284">
        <w:t>, kurā ir ietverta norma, kas nosaka vakarskolu lomu un uzdevumu pieaugušo izglītībā, vienlaikus, paredzot iespējas vakarskolās īstenot arī pieaugušo neformālās izglītības programmas, tādejādi paplašinot izglītības programmu piedāvājumu un pieejamību.</w:t>
      </w:r>
      <w:r w:rsidR="00D45640">
        <w:t xml:space="preserve"> </w:t>
      </w:r>
    </w:p>
    <w:p w:rsidR="005B0BAD" w:rsidRPr="00C43284" w:rsidRDefault="005B0BAD" w:rsidP="005B0BAD">
      <w:pPr>
        <w:autoSpaceDE w:val="0"/>
        <w:autoSpaceDN w:val="0"/>
        <w:adjustRightInd w:val="0"/>
        <w:ind w:firstLine="567"/>
        <w:rPr>
          <w:color w:val="000000"/>
        </w:rPr>
      </w:pPr>
      <w:r w:rsidRPr="00C43284">
        <w:rPr>
          <w:color w:val="000000"/>
        </w:rPr>
        <w:t>Nodrošinot otrās iesp</w:t>
      </w:r>
      <w:r>
        <w:rPr>
          <w:color w:val="000000"/>
        </w:rPr>
        <w:t>ējas izglītības piedāvājumu 2012</w:t>
      </w:r>
      <w:r w:rsidRPr="00C43284">
        <w:rPr>
          <w:color w:val="000000"/>
        </w:rPr>
        <w:t xml:space="preserve">.gadā tika licencētas </w:t>
      </w:r>
      <w:r>
        <w:rPr>
          <w:color w:val="000000"/>
        </w:rPr>
        <w:t>41</w:t>
      </w:r>
      <w:r w:rsidRPr="00C43284">
        <w:rPr>
          <w:color w:val="000000"/>
        </w:rPr>
        <w:t xml:space="preserve"> vakara (maiņu) un neklātienes izglītības ieguves formai a</w:t>
      </w:r>
      <w:r>
        <w:rPr>
          <w:color w:val="000000"/>
        </w:rPr>
        <w:t>tbilstošās izglītības programma</w:t>
      </w:r>
      <w:r w:rsidRPr="00C43284">
        <w:rPr>
          <w:color w:val="000000"/>
        </w:rPr>
        <w:t>, kā arī 65 profesionālās tālākizglītības programmas, ko īsteno pēc pilnīgas vai daļējas pamatizglītības programmas apguves. Lai nodrošinātu sasniegtā rezultāta s</w:t>
      </w:r>
      <w:r>
        <w:rPr>
          <w:color w:val="000000"/>
        </w:rPr>
        <w:t>aglabāšanos un uzlabošanu,</w:t>
      </w:r>
      <w:r w:rsidR="00D45640">
        <w:rPr>
          <w:color w:val="000000"/>
        </w:rPr>
        <w:t xml:space="preserve"> </w:t>
      </w:r>
      <w:r>
        <w:rPr>
          <w:color w:val="000000"/>
        </w:rPr>
        <w:t>2013. un 2014</w:t>
      </w:r>
      <w:r w:rsidRPr="00C43284">
        <w:rPr>
          <w:color w:val="000000"/>
        </w:rPr>
        <w:t>.gadā tiks turpināti iepriekšējā periodā iesāktie pasākumi.</w:t>
      </w:r>
    </w:p>
    <w:p w:rsidR="005B0BAD" w:rsidRPr="00C43284" w:rsidRDefault="005B0BAD" w:rsidP="00E84407">
      <w:pPr>
        <w:numPr>
          <w:ilvl w:val="1"/>
          <w:numId w:val="14"/>
        </w:numPr>
        <w:tabs>
          <w:tab w:val="clear" w:pos="1440"/>
          <w:tab w:val="num" w:pos="284"/>
        </w:tabs>
        <w:spacing w:before="240" w:after="120"/>
        <w:ind w:left="284" w:hanging="284"/>
        <w:rPr>
          <w:i/>
        </w:rPr>
      </w:pPr>
      <w:r w:rsidRPr="00C43284">
        <w:rPr>
          <w:b/>
          <w:bCs/>
          <w:i/>
          <w:lang w:eastAsia="ar-SA"/>
        </w:rPr>
        <w:t xml:space="preserve">Atbalsts darbinieku kvalifikācijas pilnveidošanai atbilstoši darba devēju prasībām, kas nepieciešams nodarbināto apmācībām nozaru ietvaros </w:t>
      </w:r>
      <w:r w:rsidRPr="00C43284">
        <w:rPr>
          <w:bCs/>
          <w:lang w:eastAsia="ar-SA"/>
        </w:rPr>
        <w:t>(</w:t>
      </w:r>
      <w:r w:rsidRPr="00C43284">
        <w:t>atbildīgā institūcija – EM</w:t>
      </w:r>
      <w:r>
        <w:t>, LM</w:t>
      </w:r>
      <w:r w:rsidRPr="00C43284">
        <w:t>)</w:t>
      </w:r>
    </w:p>
    <w:p w:rsidR="005B0BAD" w:rsidRPr="00E279C0" w:rsidRDefault="005B0BAD" w:rsidP="005B0BAD">
      <w:pPr>
        <w:autoSpaceDE w:val="0"/>
        <w:autoSpaceDN w:val="0"/>
        <w:adjustRightInd w:val="0"/>
        <w:spacing w:before="120" w:after="120"/>
        <w:ind w:firstLine="567"/>
        <w:rPr>
          <w:rFonts w:eastAsia="MS Mincho"/>
          <w:color w:val="000000"/>
          <w:lang w:eastAsia="ja-JP" w:bidi="lo-LA"/>
        </w:rPr>
      </w:pPr>
      <w:r w:rsidRPr="00E279C0">
        <w:rPr>
          <w:rFonts w:eastAsia="MS Mincho"/>
          <w:color w:val="000000"/>
          <w:lang w:eastAsia="ja-JP" w:bidi="lo-LA"/>
        </w:rPr>
        <w:lastRenderedPageBreak/>
        <w:t>Mērķis ir nodrošināt iespēju nodarbinātām personām (vecumā no 25 gadiem) papildināt un pilnveidot darbam nepieciešamās zināšanas un prasmes, apgūstot profesionālās pilnveides vai neformālās izglītības programmas.</w:t>
      </w:r>
    </w:p>
    <w:p w:rsidR="005B0BAD" w:rsidRPr="00C43284" w:rsidRDefault="005B0BAD" w:rsidP="005B0BAD">
      <w:pPr>
        <w:ind w:firstLine="567"/>
      </w:pPr>
      <w:r>
        <w:rPr>
          <w:lang w:eastAsia="lv-LV"/>
        </w:rPr>
        <w:t xml:space="preserve">Tiek īstenota ESF atbalsta programma </w:t>
      </w:r>
      <w:r w:rsidRPr="0051331E">
        <w:rPr>
          <w:i/>
          <w:lang w:eastAsia="lv-LV"/>
        </w:rPr>
        <w:t>„Atbalsts nodarbināto apmācībām komersantu konkurētspējas veicināšanai – atbalsts partnerībās organizētām apmācībām”</w:t>
      </w:r>
      <w:r>
        <w:rPr>
          <w:lang w:eastAsia="lv-LV"/>
        </w:rPr>
        <w:t xml:space="preserve">, kas veicina komersantu tiešo dalību darbaspēka kvalifikācijas celšanā. </w:t>
      </w:r>
      <w:r w:rsidR="005F50BB">
        <w:rPr>
          <w:lang w:eastAsia="lv-LV"/>
        </w:rPr>
        <w:t xml:space="preserve">Programmu ievieš nozaru asociācijas. </w:t>
      </w:r>
      <w:r>
        <w:rPr>
          <w:lang w:eastAsia="lv-LV"/>
        </w:rPr>
        <w:t xml:space="preserve">Līdz 2012.gada beigām programmā ir pabeigti 13 projekti par kopējo summu 1,7 </w:t>
      </w:r>
      <w:proofErr w:type="spellStart"/>
      <w:r>
        <w:rPr>
          <w:lang w:eastAsia="lv-LV"/>
        </w:rPr>
        <w:t>milj</w:t>
      </w:r>
      <w:proofErr w:type="spellEnd"/>
      <w:r>
        <w:rPr>
          <w:lang w:eastAsia="lv-LV"/>
        </w:rPr>
        <w:t xml:space="preserve">. latu, kā arī turpinājās 16 projektu īstenošana par kopējo finansējumu 14,5 </w:t>
      </w:r>
      <w:proofErr w:type="spellStart"/>
      <w:r>
        <w:rPr>
          <w:lang w:eastAsia="lv-LV"/>
        </w:rPr>
        <w:t>milj</w:t>
      </w:r>
      <w:proofErr w:type="spellEnd"/>
      <w:r>
        <w:rPr>
          <w:lang w:eastAsia="lv-LV"/>
        </w:rPr>
        <w:t xml:space="preserve">. latu. Vienlaikus programmā 2012.gadā turpinājās atbalsta sniegšana darbinieku kvalifikācijas un prasmju paaugstināšanai IKT jomā, kur kopējais finansējums sastāda 1,12 </w:t>
      </w:r>
      <w:proofErr w:type="spellStart"/>
      <w:r>
        <w:rPr>
          <w:lang w:eastAsia="lv-LV"/>
        </w:rPr>
        <w:t>milj</w:t>
      </w:r>
      <w:proofErr w:type="spellEnd"/>
      <w:r>
        <w:rPr>
          <w:lang w:eastAsia="lv-LV"/>
        </w:rPr>
        <w:t xml:space="preserve">. latu un kopumā plānots apmācīt 5000 personas. Līdz 2012.gada beigām programmā (pirmā un otrā projektu atlases kārta) apmācītas 17408 personas. Programmas īstenošanai 2012.gadā izmaksāti 11,3 </w:t>
      </w:r>
      <w:proofErr w:type="spellStart"/>
      <w:r>
        <w:rPr>
          <w:lang w:eastAsia="lv-LV"/>
        </w:rPr>
        <w:t>milj</w:t>
      </w:r>
      <w:proofErr w:type="spellEnd"/>
      <w:r>
        <w:rPr>
          <w:lang w:eastAsia="lv-LV"/>
        </w:rPr>
        <w:t xml:space="preserve">. latu, bet 2013.gadā plānots izmaksāt 6,3 </w:t>
      </w:r>
      <w:proofErr w:type="spellStart"/>
      <w:r>
        <w:rPr>
          <w:lang w:eastAsia="lv-LV"/>
        </w:rPr>
        <w:t>milj</w:t>
      </w:r>
      <w:proofErr w:type="spellEnd"/>
      <w:r>
        <w:rPr>
          <w:lang w:eastAsia="lv-LV"/>
        </w:rPr>
        <w:t>. latu.</w:t>
      </w:r>
    </w:p>
    <w:p w:rsidR="005B0BAD" w:rsidRDefault="005B0BAD" w:rsidP="00DA40B1">
      <w:pPr>
        <w:spacing w:before="120"/>
        <w:ind w:firstLine="567"/>
        <w:rPr>
          <w:rFonts w:eastAsia="MS Mincho"/>
          <w:color w:val="000000"/>
          <w:lang w:eastAsia="ja-JP" w:bidi="lo-LA"/>
        </w:rPr>
      </w:pPr>
      <w:r w:rsidRPr="0039062B">
        <w:rPr>
          <w:rFonts w:eastAsia="MS Mincho"/>
          <w:color w:val="000000"/>
          <w:lang w:eastAsia="ja-JP" w:bidi="lo-LA"/>
        </w:rPr>
        <w:t>201</w:t>
      </w:r>
      <w:r>
        <w:rPr>
          <w:rFonts w:eastAsia="MS Mincho"/>
          <w:color w:val="000000"/>
          <w:lang w:eastAsia="ja-JP" w:bidi="lo-LA"/>
        </w:rPr>
        <w:t>2</w:t>
      </w:r>
      <w:r w:rsidRPr="0039062B">
        <w:rPr>
          <w:rFonts w:eastAsia="MS Mincho"/>
          <w:color w:val="000000"/>
          <w:lang w:eastAsia="ja-JP" w:bidi="lo-LA"/>
        </w:rPr>
        <w:t xml:space="preserve">.gadā NVA organizētajos mūžizglītības pasākumos piedalījās </w:t>
      </w:r>
      <w:r>
        <w:rPr>
          <w:rFonts w:eastAsia="MS Mincho"/>
          <w:color w:val="000000"/>
          <w:lang w:eastAsia="ja-JP" w:bidi="lo-LA"/>
        </w:rPr>
        <w:t>6067</w:t>
      </w:r>
      <w:r w:rsidRPr="0039062B">
        <w:rPr>
          <w:rFonts w:eastAsia="MS Mincho"/>
          <w:color w:val="000000"/>
          <w:lang w:eastAsia="ja-JP" w:bidi="lo-LA"/>
        </w:rPr>
        <w:t xml:space="preserve"> nodarbinātas personas</w:t>
      </w:r>
      <w:r>
        <w:rPr>
          <w:rFonts w:eastAsia="MS Mincho"/>
          <w:color w:val="000000"/>
          <w:lang w:eastAsia="ja-JP" w:bidi="lo-LA"/>
        </w:rPr>
        <w:t>, tai skaitā, no jauna iesaistītas 2460 personas</w:t>
      </w:r>
      <w:r w:rsidRPr="0039062B">
        <w:rPr>
          <w:rFonts w:eastAsia="MS Mincho"/>
          <w:color w:val="000000"/>
          <w:lang w:eastAsia="ja-JP" w:bidi="lo-LA"/>
        </w:rPr>
        <w:t>. 201</w:t>
      </w:r>
      <w:r>
        <w:rPr>
          <w:rFonts w:eastAsia="MS Mincho"/>
          <w:color w:val="000000"/>
          <w:lang w:eastAsia="ja-JP" w:bidi="lo-LA"/>
        </w:rPr>
        <w:t>3</w:t>
      </w:r>
      <w:r w:rsidRPr="0039062B">
        <w:rPr>
          <w:rFonts w:eastAsia="MS Mincho"/>
          <w:color w:val="000000"/>
          <w:lang w:eastAsia="ja-JP" w:bidi="lo-LA"/>
        </w:rPr>
        <w:t xml:space="preserve">.gadā programmā plānots iesaistīt </w:t>
      </w:r>
      <w:r>
        <w:rPr>
          <w:rFonts w:eastAsia="MS Mincho"/>
          <w:color w:val="000000"/>
          <w:lang w:eastAsia="ja-JP" w:bidi="lo-LA"/>
        </w:rPr>
        <w:t>6282</w:t>
      </w:r>
      <w:r w:rsidRPr="0039062B">
        <w:rPr>
          <w:rFonts w:eastAsia="MS Mincho"/>
          <w:color w:val="000000"/>
          <w:lang w:eastAsia="ja-JP" w:bidi="lo-LA"/>
        </w:rPr>
        <w:t xml:space="preserve"> nodarbinātas personas. Kopējais ES fondu </w:t>
      </w:r>
      <w:r w:rsidRPr="007D1D8E">
        <w:rPr>
          <w:rFonts w:eastAsia="MS Mincho"/>
          <w:color w:val="000000"/>
          <w:lang w:eastAsia="ja-JP" w:bidi="lo-LA"/>
        </w:rPr>
        <w:t xml:space="preserve">finansējums 2012.gadā bija 0,85 </w:t>
      </w:r>
      <w:proofErr w:type="spellStart"/>
      <w:r w:rsidRPr="007D1D8E">
        <w:rPr>
          <w:rFonts w:eastAsia="MS Mincho"/>
          <w:color w:val="000000"/>
          <w:lang w:eastAsia="ja-JP" w:bidi="lo-LA"/>
        </w:rPr>
        <w:t>milj</w:t>
      </w:r>
      <w:proofErr w:type="spellEnd"/>
      <w:r w:rsidRPr="007D1D8E">
        <w:rPr>
          <w:rFonts w:eastAsia="MS Mincho"/>
          <w:color w:val="000000"/>
          <w:lang w:eastAsia="ja-JP" w:bidi="lo-LA"/>
        </w:rPr>
        <w:t>. Ls.</w:t>
      </w:r>
      <w:r w:rsidR="00D45640">
        <w:rPr>
          <w:rFonts w:eastAsia="MS Mincho"/>
          <w:color w:val="000000"/>
          <w:lang w:eastAsia="ja-JP" w:bidi="lo-LA"/>
        </w:rPr>
        <w:t xml:space="preserve"> </w:t>
      </w:r>
      <w:r w:rsidRPr="007D1D8E">
        <w:rPr>
          <w:rFonts w:eastAsia="MS Mincho"/>
          <w:color w:val="000000"/>
          <w:lang w:eastAsia="ja-JP" w:bidi="lo-LA"/>
        </w:rPr>
        <w:t xml:space="preserve">2013.gadā šim pasākumam plānotais finansējums – 1,07 </w:t>
      </w:r>
      <w:proofErr w:type="spellStart"/>
      <w:r w:rsidRPr="007D1D8E">
        <w:rPr>
          <w:rFonts w:eastAsia="MS Mincho"/>
          <w:color w:val="000000"/>
          <w:lang w:eastAsia="ja-JP" w:bidi="lo-LA"/>
        </w:rPr>
        <w:t>milj</w:t>
      </w:r>
      <w:proofErr w:type="spellEnd"/>
      <w:r w:rsidRPr="007D1D8E">
        <w:rPr>
          <w:rFonts w:eastAsia="MS Mincho"/>
          <w:color w:val="000000"/>
          <w:lang w:eastAsia="ja-JP" w:bidi="lo-LA"/>
        </w:rPr>
        <w:t>. latu.</w:t>
      </w:r>
    </w:p>
    <w:p w:rsidR="005B0BAD" w:rsidRDefault="005B0BAD" w:rsidP="005B0BAD">
      <w:pPr>
        <w:ind w:firstLine="567"/>
        <w:rPr>
          <w:rFonts w:eastAsia="MS Mincho"/>
          <w:color w:val="000000"/>
          <w:lang w:eastAsia="ja-JP" w:bidi="lo-LA"/>
        </w:rPr>
      </w:pPr>
      <w:r w:rsidRPr="005B0A47">
        <w:rPr>
          <w:rFonts w:eastAsia="MS Mincho"/>
          <w:color w:val="000000"/>
          <w:lang w:eastAsia="ja-JP" w:bidi="lo-LA"/>
        </w:rPr>
        <w:t xml:space="preserve">Lai </w:t>
      </w:r>
      <w:r>
        <w:rPr>
          <w:rFonts w:eastAsia="MS Mincho"/>
          <w:color w:val="000000"/>
          <w:lang w:eastAsia="ja-JP" w:bidi="lo-LA"/>
        </w:rPr>
        <w:t>uzlabotu</w:t>
      </w:r>
      <w:r w:rsidRPr="005B0A47">
        <w:rPr>
          <w:rFonts w:eastAsia="MS Mincho"/>
          <w:color w:val="000000"/>
          <w:lang w:eastAsia="ja-JP" w:bidi="lo-LA"/>
        </w:rPr>
        <w:t xml:space="preserve"> pasākuma kvalitāti un </w:t>
      </w:r>
      <w:r>
        <w:rPr>
          <w:rFonts w:eastAsia="MS Mincho"/>
          <w:color w:val="000000"/>
          <w:lang w:eastAsia="ja-JP" w:bidi="lo-LA"/>
        </w:rPr>
        <w:t xml:space="preserve">nodrošinātu </w:t>
      </w:r>
      <w:r w:rsidRPr="005B0A47">
        <w:rPr>
          <w:rFonts w:eastAsia="MS Mincho"/>
          <w:color w:val="000000"/>
          <w:lang w:eastAsia="ja-JP" w:bidi="lo-LA"/>
        </w:rPr>
        <w:t xml:space="preserve">ciešāku sasaisti ar darba tirgus vajadzībām un tendencēm, </w:t>
      </w:r>
      <w:r>
        <w:rPr>
          <w:rFonts w:eastAsia="MS Mincho"/>
          <w:color w:val="000000"/>
          <w:lang w:eastAsia="ja-JP" w:bidi="lo-LA"/>
        </w:rPr>
        <w:t>2012.gadā tika veikti grozījumi normatīvajā regulējumā</w:t>
      </w:r>
      <w:r w:rsidRPr="005B0A47">
        <w:rPr>
          <w:rFonts w:eastAsia="MS Mincho"/>
          <w:color w:val="000000"/>
          <w:lang w:eastAsia="ja-JP" w:bidi="lo-LA"/>
        </w:rPr>
        <w:t xml:space="preserve">, </w:t>
      </w:r>
      <w:r>
        <w:rPr>
          <w:rFonts w:eastAsia="MS Mincho"/>
          <w:color w:val="000000"/>
          <w:lang w:eastAsia="ja-JP" w:bidi="lo-LA"/>
        </w:rPr>
        <w:t xml:space="preserve">paredzot mūžizglītības </w:t>
      </w:r>
      <w:r w:rsidRPr="005B0A47">
        <w:rPr>
          <w:rFonts w:eastAsia="MS Mincho"/>
          <w:color w:val="000000"/>
          <w:lang w:eastAsia="ja-JP" w:bidi="lo-LA"/>
        </w:rPr>
        <w:t>programm</w:t>
      </w:r>
      <w:r>
        <w:rPr>
          <w:rFonts w:eastAsia="MS Mincho"/>
          <w:color w:val="000000"/>
          <w:lang w:eastAsia="ja-JP" w:bidi="lo-LA"/>
        </w:rPr>
        <w:t>u apstiprināšanu</w:t>
      </w:r>
      <w:r w:rsidRPr="005B0A47">
        <w:rPr>
          <w:rFonts w:eastAsia="MS Mincho"/>
          <w:color w:val="000000"/>
          <w:lang w:eastAsia="ja-JP" w:bidi="lo-LA"/>
        </w:rPr>
        <w:t xml:space="preserve"> speciāli izveidot</w:t>
      </w:r>
      <w:r>
        <w:rPr>
          <w:rFonts w:eastAsia="MS Mincho"/>
          <w:color w:val="000000"/>
          <w:lang w:eastAsia="ja-JP" w:bidi="lo-LA"/>
        </w:rPr>
        <w:t xml:space="preserve">ā </w:t>
      </w:r>
      <w:r w:rsidRPr="005B0A47">
        <w:rPr>
          <w:rFonts w:eastAsia="MS Mincho"/>
          <w:color w:val="000000"/>
          <w:lang w:eastAsia="ja-JP" w:bidi="lo-LA"/>
        </w:rPr>
        <w:t>komisij</w:t>
      </w:r>
      <w:r>
        <w:rPr>
          <w:rFonts w:eastAsia="MS Mincho"/>
          <w:color w:val="000000"/>
          <w:lang w:eastAsia="ja-JP" w:bidi="lo-LA"/>
        </w:rPr>
        <w:t xml:space="preserve">ā un </w:t>
      </w:r>
      <w:r w:rsidRPr="005B0A47">
        <w:rPr>
          <w:rFonts w:eastAsia="MS Mincho"/>
          <w:color w:val="000000"/>
          <w:lang w:eastAsia="ja-JP" w:bidi="lo-LA"/>
        </w:rPr>
        <w:t xml:space="preserve">tādējādi novēršot risku, </w:t>
      </w:r>
      <w:r w:rsidRPr="009D4854">
        <w:rPr>
          <w:rFonts w:eastAsia="MS Mincho"/>
          <w:color w:val="000000"/>
          <w:lang w:eastAsia="ja-JP" w:bidi="lo-LA"/>
        </w:rPr>
        <w:t>ka bezdarba riskam pakļautās personas apgūs izglītības programmas</w:t>
      </w:r>
      <w:r w:rsidRPr="005B0A47">
        <w:rPr>
          <w:rFonts w:eastAsia="MS Mincho"/>
          <w:color w:val="000000"/>
          <w:lang w:eastAsia="ja-JP" w:bidi="lo-LA"/>
        </w:rPr>
        <w:t>, kas nav tiešā veidā saistītas ar darba tirgus prasībām.</w:t>
      </w:r>
    </w:p>
    <w:p w:rsidR="00580BBC" w:rsidRPr="00E51908" w:rsidRDefault="005B0BAD" w:rsidP="00E51908">
      <w:pPr>
        <w:ind w:firstLine="567"/>
        <w:rPr>
          <w:rFonts w:eastAsia="MS Mincho"/>
          <w:color w:val="000000"/>
          <w:lang w:eastAsia="ja-JP" w:bidi="lo-LA"/>
        </w:rPr>
      </w:pPr>
      <w:r>
        <w:rPr>
          <w:rFonts w:eastAsia="MS Mincho"/>
          <w:color w:val="000000"/>
          <w:lang w:eastAsia="ja-JP" w:bidi="lo-LA"/>
        </w:rPr>
        <w:t>2014.gadā ir plānots attīstīt kompleksos risinājumus gados vecāku (50+) nodarbināto prasmju pilnveidei un darba spēju saglabāšanai</w:t>
      </w:r>
      <w:r w:rsidR="005F50BB">
        <w:rPr>
          <w:rFonts w:eastAsia="MS Mincho"/>
          <w:color w:val="000000"/>
          <w:lang w:eastAsia="ja-JP" w:bidi="lo-LA"/>
        </w:rPr>
        <w:t>, ietverot konsultācijas darba devējiem darba apstākļu uzlabošanas jomā, kā arī noteiktās situācijās – darba vietu pielāgojumu</w:t>
      </w:r>
      <w:r w:rsidRPr="00C43284">
        <w:rPr>
          <w:rFonts w:eastAsia="MS Mincho"/>
          <w:color w:val="000000"/>
          <w:lang w:eastAsia="ja-JP" w:bidi="lo-LA"/>
        </w:rPr>
        <w:t>.</w:t>
      </w:r>
    </w:p>
    <w:p w:rsidR="008F2EE4" w:rsidRPr="00B703A3" w:rsidRDefault="008F2EE4" w:rsidP="00580BBC">
      <w:pPr>
        <w:pStyle w:val="Heading2"/>
        <w:spacing w:before="480" w:after="120"/>
        <w:jc w:val="center"/>
        <w:rPr>
          <w:rFonts w:ascii="Times New Roman Bold" w:hAnsi="Times New Roman Bold"/>
          <w:smallCaps/>
          <w:sz w:val="24"/>
          <w:szCs w:val="24"/>
        </w:rPr>
      </w:pPr>
      <w:bookmarkStart w:id="35" w:name="_Toc354384945"/>
      <w:r w:rsidRPr="00B703A3">
        <w:rPr>
          <w:rFonts w:ascii="Times New Roman Bold" w:hAnsi="Times New Roman Bold"/>
          <w:smallCaps/>
          <w:sz w:val="24"/>
          <w:szCs w:val="24"/>
        </w:rPr>
        <w:t>3.5. Cīņa ar nabadzību</w:t>
      </w:r>
      <w:r w:rsidR="000050DB" w:rsidRPr="00B703A3">
        <w:rPr>
          <w:rFonts w:ascii="Times New Roman Bold" w:hAnsi="Times New Roman Bold"/>
          <w:smallCaps/>
          <w:sz w:val="24"/>
          <w:szCs w:val="24"/>
        </w:rPr>
        <w:t>,</w:t>
      </w:r>
      <w:r w:rsidR="00AB65E2" w:rsidRPr="00B703A3">
        <w:rPr>
          <w:rFonts w:ascii="Times New Roman Bold" w:hAnsi="Times New Roman Bold"/>
          <w:smallCaps/>
          <w:sz w:val="24"/>
          <w:szCs w:val="24"/>
        </w:rPr>
        <w:t xml:space="preserve"> </w:t>
      </w:r>
      <w:r w:rsidRPr="00B703A3">
        <w:rPr>
          <w:rFonts w:ascii="Times New Roman Bold" w:hAnsi="Times New Roman Bold"/>
          <w:smallCaps/>
          <w:sz w:val="24"/>
          <w:szCs w:val="24"/>
        </w:rPr>
        <w:t xml:space="preserve">demogrāfijas </w:t>
      </w:r>
      <w:r w:rsidR="000050DB" w:rsidRPr="00B703A3">
        <w:rPr>
          <w:rFonts w:ascii="Times New Roman Bold" w:hAnsi="Times New Roman Bold"/>
          <w:smallCaps/>
          <w:sz w:val="24"/>
          <w:szCs w:val="24"/>
        </w:rPr>
        <w:t>izaicinājumi</w:t>
      </w:r>
      <w:r w:rsidR="002D6FE0" w:rsidRPr="00B703A3">
        <w:rPr>
          <w:rFonts w:ascii="Times New Roman Bold" w:hAnsi="Times New Roman Bold"/>
          <w:smallCaps/>
          <w:sz w:val="24"/>
          <w:szCs w:val="24"/>
        </w:rPr>
        <w:t xml:space="preserve"> un veselības aizsardzība</w:t>
      </w:r>
      <w:bookmarkEnd w:id="35"/>
    </w:p>
    <w:p w:rsidR="00B91A98" w:rsidRPr="00C43284" w:rsidRDefault="00B91A98" w:rsidP="00550163">
      <w:pPr>
        <w:pStyle w:val="Heading3"/>
        <w:spacing w:before="240" w:after="120"/>
        <w:ind w:left="567"/>
        <w:rPr>
          <w:rFonts w:ascii="Times New Roman" w:hAnsi="Times New Roman" w:cs="Times New Roman"/>
          <w:color w:val="auto"/>
        </w:rPr>
      </w:pPr>
      <w:bookmarkStart w:id="36" w:name="_Toc354384946"/>
      <w:r w:rsidRPr="00C43284">
        <w:rPr>
          <w:rFonts w:ascii="Times New Roman" w:hAnsi="Times New Roman" w:cs="Times New Roman"/>
          <w:color w:val="auto"/>
        </w:rPr>
        <w:t>3.5.1. Nabadzības līmeņa mazināšana</w:t>
      </w:r>
      <w:bookmarkEnd w:id="36"/>
    </w:p>
    <w:p w:rsidR="00421902" w:rsidRDefault="00421902" w:rsidP="00421902">
      <w:pPr>
        <w:spacing w:after="120"/>
        <w:ind w:firstLine="567"/>
      </w:pPr>
      <w:r w:rsidRPr="00C43284">
        <w:t xml:space="preserve">Latvijas NRP mērķis ir samazināt nabadzības riskam pakļauto personu īpatsvaru līdz 21% 2020.gadā vai 121 </w:t>
      </w:r>
      <w:proofErr w:type="spellStart"/>
      <w:r w:rsidRPr="00C43284">
        <w:t>tūkst</w:t>
      </w:r>
      <w:proofErr w:type="spellEnd"/>
      <w:r w:rsidRPr="00C43284">
        <w:t>. cilvēku novērst nabadzības vai atstumtības risku.</w:t>
      </w:r>
    </w:p>
    <w:p w:rsidR="00421902" w:rsidRPr="00C43284" w:rsidRDefault="00536864" w:rsidP="00421902">
      <w:pPr>
        <w:spacing w:before="120"/>
        <w:jc w:val="right"/>
      </w:pPr>
      <w:r>
        <w:t>7</w:t>
      </w:r>
      <w:r w:rsidR="00421902" w:rsidRPr="00C43284">
        <w:t>.tabula</w:t>
      </w:r>
    </w:p>
    <w:p w:rsidR="00421902" w:rsidRPr="00C43284" w:rsidRDefault="00421902" w:rsidP="00421902">
      <w:pPr>
        <w:spacing w:after="60"/>
        <w:jc w:val="center"/>
      </w:pPr>
      <w:r w:rsidRPr="00C43284">
        <w:t>Nabadzības līmeņa samazināšanas mērķa trajektorija</w:t>
      </w:r>
    </w:p>
    <w:tbl>
      <w:tblPr>
        <w:tblW w:w="9212" w:type="dxa"/>
        <w:jc w:val="center"/>
        <w:tblInd w:w="935" w:type="dxa"/>
        <w:tblBorders>
          <w:top w:val="single" w:sz="8" w:space="0" w:color="000000"/>
          <w:bottom w:val="single" w:sz="8" w:space="0" w:color="000000"/>
        </w:tblBorders>
        <w:tblLayout w:type="fixed"/>
        <w:tblLook w:val="00A0" w:firstRow="1" w:lastRow="0" w:firstColumn="1" w:lastColumn="0" w:noHBand="0" w:noVBand="0"/>
      </w:tblPr>
      <w:tblGrid>
        <w:gridCol w:w="2717"/>
        <w:gridCol w:w="969"/>
        <w:gridCol w:w="851"/>
        <w:gridCol w:w="850"/>
        <w:gridCol w:w="986"/>
        <w:gridCol w:w="2839"/>
      </w:tblGrid>
      <w:tr w:rsidR="00421902" w:rsidRPr="00C43284" w:rsidTr="006F290F">
        <w:trPr>
          <w:jc w:val="center"/>
        </w:trPr>
        <w:tc>
          <w:tcPr>
            <w:tcW w:w="2717" w:type="dxa"/>
            <w:tcBorders>
              <w:top w:val="single" w:sz="8" w:space="0" w:color="000000"/>
              <w:left w:val="nil"/>
              <w:bottom w:val="single" w:sz="8" w:space="0" w:color="000000"/>
              <w:right w:val="nil"/>
            </w:tcBorders>
            <w:shd w:val="clear" w:color="auto" w:fill="D9D9D9" w:themeFill="background1" w:themeFillShade="D9"/>
          </w:tcPr>
          <w:p w:rsidR="00421902" w:rsidRPr="00C43284" w:rsidRDefault="00421902" w:rsidP="006F290F">
            <w:pPr>
              <w:pStyle w:val="Default"/>
              <w:jc w:val="center"/>
              <w:rPr>
                <w:rFonts w:ascii="Times New Roman" w:hAnsi="Times New Roman" w:cs="Times New Roman"/>
                <w:b/>
                <w:bCs/>
                <w:color w:val="auto"/>
              </w:rPr>
            </w:pPr>
          </w:p>
        </w:tc>
        <w:tc>
          <w:tcPr>
            <w:tcW w:w="969" w:type="dxa"/>
            <w:tcBorders>
              <w:top w:val="single" w:sz="8" w:space="0" w:color="000000"/>
              <w:left w:val="nil"/>
              <w:bottom w:val="single" w:sz="8" w:space="0" w:color="000000"/>
              <w:right w:val="nil"/>
            </w:tcBorders>
            <w:shd w:val="clear" w:color="auto" w:fill="D9D9D9" w:themeFill="background1" w:themeFillShade="D9"/>
          </w:tcPr>
          <w:p w:rsidR="00421902" w:rsidRPr="00C43284" w:rsidRDefault="00421902" w:rsidP="006F290F">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2008</w:t>
            </w:r>
          </w:p>
        </w:tc>
        <w:tc>
          <w:tcPr>
            <w:tcW w:w="851" w:type="dxa"/>
            <w:tcBorders>
              <w:top w:val="single" w:sz="8" w:space="0" w:color="000000"/>
              <w:left w:val="nil"/>
              <w:bottom w:val="single" w:sz="8" w:space="0" w:color="000000"/>
              <w:right w:val="nil"/>
            </w:tcBorders>
            <w:shd w:val="clear" w:color="auto" w:fill="D9D9D9" w:themeFill="background1" w:themeFillShade="D9"/>
          </w:tcPr>
          <w:p w:rsidR="00421902" w:rsidRPr="00C43284" w:rsidRDefault="00421902" w:rsidP="006F290F">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2009</w:t>
            </w:r>
          </w:p>
        </w:tc>
        <w:tc>
          <w:tcPr>
            <w:tcW w:w="850" w:type="dxa"/>
            <w:tcBorders>
              <w:top w:val="single" w:sz="8" w:space="0" w:color="000000"/>
              <w:left w:val="nil"/>
              <w:bottom w:val="single" w:sz="8" w:space="0" w:color="000000"/>
              <w:right w:val="nil"/>
            </w:tcBorders>
            <w:shd w:val="clear" w:color="auto" w:fill="D9D9D9" w:themeFill="background1" w:themeFillShade="D9"/>
          </w:tcPr>
          <w:p w:rsidR="00421902" w:rsidRPr="00C43284" w:rsidRDefault="00421902" w:rsidP="006F290F">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2010</w:t>
            </w:r>
          </w:p>
        </w:tc>
        <w:tc>
          <w:tcPr>
            <w:tcW w:w="986" w:type="dxa"/>
            <w:tcBorders>
              <w:top w:val="single" w:sz="8" w:space="0" w:color="000000"/>
              <w:left w:val="nil"/>
              <w:bottom w:val="single" w:sz="8" w:space="0" w:color="000000"/>
              <w:right w:val="nil"/>
            </w:tcBorders>
            <w:shd w:val="clear" w:color="auto" w:fill="D9D9D9" w:themeFill="background1" w:themeFillShade="D9"/>
          </w:tcPr>
          <w:p w:rsidR="00421902" w:rsidRPr="00C43284" w:rsidRDefault="00421902" w:rsidP="006F290F">
            <w:pPr>
              <w:pStyle w:val="Default"/>
              <w:jc w:val="center"/>
              <w:rPr>
                <w:rFonts w:ascii="Times New Roman" w:hAnsi="Times New Roman" w:cs="Times New Roman"/>
                <w:b/>
                <w:bCs/>
                <w:color w:val="auto"/>
              </w:rPr>
            </w:pPr>
            <w:r>
              <w:rPr>
                <w:rFonts w:ascii="Times New Roman" w:hAnsi="Times New Roman" w:cs="Times New Roman"/>
                <w:b/>
                <w:bCs/>
                <w:color w:val="auto"/>
              </w:rPr>
              <w:t>2011</w:t>
            </w:r>
          </w:p>
        </w:tc>
        <w:tc>
          <w:tcPr>
            <w:tcW w:w="2839" w:type="dxa"/>
            <w:tcBorders>
              <w:top w:val="single" w:sz="8" w:space="0" w:color="000000"/>
              <w:left w:val="nil"/>
              <w:bottom w:val="single" w:sz="8" w:space="0" w:color="000000"/>
              <w:right w:val="nil"/>
            </w:tcBorders>
            <w:shd w:val="clear" w:color="auto" w:fill="D9D9D9" w:themeFill="background1" w:themeFillShade="D9"/>
          </w:tcPr>
          <w:p w:rsidR="00421902" w:rsidRPr="00C43284" w:rsidRDefault="00421902" w:rsidP="006F290F">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2020</w:t>
            </w:r>
          </w:p>
        </w:tc>
      </w:tr>
      <w:tr w:rsidR="00421902" w:rsidRPr="00C43284" w:rsidTr="006F290F">
        <w:trPr>
          <w:jc w:val="center"/>
        </w:trPr>
        <w:tc>
          <w:tcPr>
            <w:tcW w:w="2717" w:type="dxa"/>
            <w:tcBorders>
              <w:left w:val="nil"/>
              <w:bottom w:val="single" w:sz="8" w:space="0" w:color="000000"/>
              <w:right w:val="nil"/>
            </w:tcBorders>
            <w:shd w:val="clear" w:color="auto" w:fill="auto"/>
            <w:vAlign w:val="center"/>
          </w:tcPr>
          <w:p w:rsidR="00421902" w:rsidRPr="00C43284" w:rsidRDefault="00421902" w:rsidP="006F290F">
            <w:pPr>
              <w:pStyle w:val="Default"/>
              <w:rPr>
                <w:rFonts w:ascii="Times New Roman" w:hAnsi="Times New Roman" w:cs="Times New Roman"/>
                <w:b/>
                <w:bCs/>
                <w:color w:val="auto"/>
              </w:rPr>
            </w:pPr>
            <w:r w:rsidRPr="00C43284">
              <w:rPr>
                <w:rFonts w:ascii="Times New Roman" w:hAnsi="Times New Roman" w:cs="Times New Roman"/>
                <w:color w:val="auto"/>
              </w:rPr>
              <w:t>Nabadzības riskam pakļauto personu īpatsvars (%)</w:t>
            </w:r>
          </w:p>
        </w:tc>
        <w:tc>
          <w:tcPr>
            <w:tcW w:w="969" w:type="dxa"/>
            <w:tcBorders>
              <w:left w:val="nil"/>
              <w:bottom w:val="single" w:sz="8" w:space="0" w:color="000000"/>
              <w:right w:val="nil"/>
            </w:tcBorders>
            <w:shd w:val="clear" w:color="auto" w:fill="auto"/>
            <w:vAlign w:val="center"/>
          </w:tcPr>
          <w:p w:rsidR="00421902" w:rsidRPr="00C43284" w:rsidRDefault="00421902" w:rsidP="006F290F">
            <w:pPr>
              <w:pStyle w:val="Default"/>
              <w:jc w:val="center"/>
              <w:rPr>
                <w:rFonts w:ascii="Times New Roman" w:hAnsi="Times New Roman" w:cs="Times New Roman"/>
                <w:color w:val="auto"/>
              </w:rPr>
            </w:pPr>
            <w:r w:rsidRPr="00C43284">
              <w:rPr>
                <w:rFonts w:ascii="Times New Roman" w:hAnsi="Times New Roman" w:cs="Times New Roman"/>
                <w:color w:val="auto"/>
              </w:rPr>
              <w:t>2</w:t>
            </w:r>
            <w:r>
              <w:rPr>
                <w:rFonts w:ascii="Times New Roman" w:hAnsi="Times New Roman" w:cs="Times New Roman"/>
                <w:color w:val="auto"/>
              </w:rPr>
              <w:t>5,7</w:t>
            </w:r>
          </w:p>
        </w:tc>
        <w:tc>
          <w:tcPr>
            <w:tcW w:w="851" w:type="dxa"/>
            <w:tcBorders>
              <w:left w:val="nil"/>
              <w:bottom w:val="single" w:sz="8" w:space="0" w:color="000000"/>
              <w:right w:val="nil"/>
            </w:tcBorders>
            <w:shd w:val="clear" w:color="auto" w:fill="auto"/>
            <w:vAlign w:val="center"/>
          </w:tcPr>
          <w:p w:rsidR="00421902" w:rsidRPr="00C43284" w:rsidRDefault="00421902" w:rsidP="006F290F">
            <w:pPr>
              <w:pStyle w:val="Default"/>
              <w:jc w:val="center"/>
              <w:rPr>
                <w:rFonts w:ascii="Times New Roman" w:hAnsi="Times New Roman" w:cs="Times New Roman"/>
                <w:color w:val="auto"/>
              </w:rPr>
            </w:pPr>
            <w:r w:rsidRPr="00C43284">
              <w:rPr>
                <w:rFonts w:ascii="Times New Roman" w:hAnsi="Times New Roman" w:cs="Times New Roman"/>
                <w:color w:val="auto"/>
              </w:rPr>
              <w:t>21</w:t>
            </w:r>
            <w:r>
              <w:rPr>
                <w:rFonts w:ascii="Times New Roman" w:hAnsi="Times New Roman" w:cs="Times New Roman"/>
                <w:color w:val="auto"/>
              </w:rPr>
              <w:t>,3</w:t>
            </w:r>
          </w:p>
        </w:tc>
        <w:tc>
          <w:tcPr>
            <w:tcW w:w="850" w:type="dxa"/>
            <w:tcBorders>
              <w:left w:val="nil"/>
              <w:bottom w:val="single" w:sz="8" w:space="0" w:color="000000"/>
              <w:right w:val="nil"/>
            </w:tcBorders>
            <w:shd w:val="clear" w:color="auto" w:fill="auto"/>
            <w:vAlign w:val="center"/>
          </w:tcPr>
          <w:p w:rsidR="00421902" w:rsidRPr="00C43284" w:rsidRDefault="00421902" w:rsidP="006F290F">
            <w:pPr>
              <w:pStyle w:val="Default"/>
              <w:jc w:val="center"/>
              <w:rPr>
                <w:rFonts w:ascii="Times New Roman" w:hAnsi="Times New Roman" w:cs="Times New Roman"/>
                <w:color w:val="auto"/>
              </w:rPr>
            </w:pPr>
            <w:r w:rsidRPr="00C43284">
              <w:rPr>
                <w:rFonts w:ascii="Times New Roman" w:hAnsi="Times New Roman" w:cs="Times New Roman"/>
                <w:color w:val="auto"/>
              </w:rPr>
              <w:t>19</w:t>
            </w:r>
            <w:r>
              <w:rPr>
                <w:rFonts w:ascii="Times New Roman" w:hAnsi="Times New Roman" w:cs="Times New Roman"/>
                <w:color w:val="auto"/>
              </w:rPr>
              <w:t>,1</w:t>
            </w:r>
          </w:p>
        </w:tc>
        <w:tc>
          <w:tcPr>
            <w:tcW w:w="986" w:type="dxa"/>
            <w:tcBorders>
              <w:left w:val="nil"/>
              <w:bottom w:val="single" w:sz="8" w:space="0" w:color="000000"/>
              <w:right w:val="nil"/>
            </w:tcBorders>
            <w:shd w:val="clear" w:color="auto" w:fill="auto"/>
            <w:vAlign w:val="center"/>
          </w:tcPr>
          <w:p w:rsidR="00421902" w:rsidRPr="00D25997" w:rsidRDefault="00421902" w:rsidP="006F290F">
            <w:pPr>
              <w:pStyle w:val="Default"/>
              <w:jc w:val="center"/>
              <w:rPr>
                <w:rFonts w:ascii="Times New Roman" w:hAnsi="Times New Roman" w:cs="Times New Roman"/>
                <w:color w:val="auto"/>
              </w:rPr>
            </w:pPr>
            <w:r w:rsidRPr="00D25997">
              <w:rPr>
                <w:rFonts w:ascii="Times New Roman" w:hAnsi="Times New Roman" w:cs="Times New Roman"/>
                <w:color w:val="auto"/>
              </w:rPr>
              <w:t>19,4</w:t>
            </w:r>
          </w:p>
        </w:tc>
        <w:tc>
          <w:tcPr>
            <w:tcW w:w="2839" w:type="dxa"/>
            <w:tcBorders>
              <w:left w:val="nil"/>
              <w:bottom w:val="single" w:sz="8" w:space="0" w:color="000000"/>
              <w:right w:val="nil"/>
            </w:tcBorders>
            <w:shd w:val="clear" w:color="auto" w:fill="auto"/>
            <w:vAlign w:val="center"/>
          </w:tcPr>
          <w:p w:rsidR="00421902" w:rsidRPr="00C43284" w:rsidRDefault="00421902" w:rsidP="006F290F">
            <w:pPr>
              <w:jc w:val="center"/>
            </w:pPr>
            <w:r w:rsidRPr="00C43284">
              <w:t>21</w:t>
            </w:r>
          </w:p>
          <w:p w:rsidR="00421902" w:rsidRPr="00C43284" w:rsidRDefault="00421902" w:rsidP="006F290F">
            <w:pPr>
              <w:pStyle w:val="Default"/>
              <w:jc w:val="center"/>
              <w:rPr>
                <w:rFonts w:ascii="Times New Roman" w:hAnsi="Times New Roman" w:cs="Times New Roman"/>
                <w:color w:val="auto"/>
              </w:rPr>
            </w:pPr>
            <w:r w:rsidRPr="0033446E">
              <w:rPr>
                <w:rFonts w:ascii="Times New Roman" w:hAnsi="Times New Roman" w:cs="Times New Roman"/>
                <w:color w:val="auto"/>
                <w:sz w:val="22"/>
              </w:rPr>
              <w:t xml:space="preserve">(vai novēršot nabadzības risku 121 </w:t>
            </w:r>
            <w:proofErr w:type="spellStart"/>
            <w:r w:rsidRPr="0033446E">
              <w:rPr>
                <w:rFonts w:ascii="Times New Roman" w:hAnsi="Times New Roman" w:cs="Times New Roman"/>
                <w:color w:val="auto"/>
                <w:sz w:val="22"/>
              </w:rPr>
              <w:t>tūkst</w:t>
            </w:r>
            <w:proofErr w:type="spellEnd"/>
            <w:r w:rsidRPr="0033446E">
              <w:rPr>
                <w:rFonts w:ascii="Times New Roman" w:hAnsi="Times New Roman" w:cs="Times New Roman"/>
                <w:color w:val="auto"/>
                <w:sz w:val="22"/>
              </w:rPr>
              <w:t>. iedzīvotāju)</w:t>
            </w:r>
          </w:p>
        </w:tc>
      </w:tr>
    </w:tbl>
    <w:p w:rsidR="00421902" w:rsidRDefault="00421902" w:rsidP="00846047">
      <w:pPr>
        <w:pStyle w:val="NormalWeb"/>
        <w:spacing w:before="240" w:after="0"/>
        <w:ind w:firstLine="567"/>
        <w:jc w:val="both"/>
      </w:pPr>
      <w:r>
        <w:t>Pēc ekonomi</w:t>
      </w:r>
      <w:r w:rsidR="005F4968">
        <w:t>s</w:t>
      </w:r>
      <w:r>
        <w:t>k</w:t>
      </w:r>
      <w:r w:rsidR="005F4968">
        <w:t>ā</w:t>
      </w:r>
      <w:r>
        <w:t xml:space="preserve">s lejupslīdes, </w:t>
      </w:r>
      <w:r w:rsidRPr="009B0D30">
        <w:t>2011.gads bija pirmais gads, kad atkal sāka augt mājsaimniecību rīcībā es</w:t>
      </w:r>
      <w:r>
        <w:t xml:space="preserve">ošie ienākumi – </w:t>
      </w:r>
      <w:r w:rsidRPr="009B0D30">
        <w:t xml:space="preserve">2011.gadā </w:t>
      </w:r>
      <w:r>
        <w:t xml:space="preserve">tie </w:t>
      </w:r>
      <w:r w:rsidRPr="009B0D30">
        <w:t>palielinājās par 6,8% un sasniedza</w:t>
      </w:r>
      <w:r w:rsidR="00D45640">
        <w:t xml:space="preserve"> </w:t>
      </w:r>
      <w:r w:rsidRPr="009B0D30">
        <w:t xml:space="preserve">213 </w:t>
      </w:r>
      <w:r>
        <w:t xml:space="preserve">latus </w:t>
      </w:r>
      <w:r w:rsidRPr="009B0D30">
        <w:t xml:space="preserve">uz </w:t>
      </w:r>
      <w:r>
        <w:t>mājsaimniecības locekli mēnesī</w:t>
      </w:r>
      <w:r w:rsidRPr="009B0D30">
        <w:t>.</w:t>
      </w:r>
      <w:r>
        <w:t xml:space="preserve"> </w:t>
      </w:r>
      <w:r w:rsidRPr="009B0D30">
        <w:t xml:space="preserve">Galvenais ienākumu pieaugumu ietekmējošais faktors 2011.gadā bija darba samaksas kāpums. Ienākumi no algota darba uz vienu mājsaimniecības locekli </w:t>
      </w:r>
      <w:r>
        <w:t>2011.gadā</w:t>
      </w:r>
      <w:r w:rsidRPr="009B0D30">
        <w:t xml:space="preserve"> pieaug</w:t>
      </w:r>
      <w:r>
        <w:t xml:space="preserve">a par 10% un </w:t>
      </w:r>
      <w:r w:rsidRPr="009B0D30">
        <w:t>pašnodarbināto ienākumi</w:t>
      </w:r>
      <w:r>
        <w:t xml:space="preserve"> –</w:t>
      </w:r>
      <w:r w:rsidRPr="009B0D30">
        <w:t xml:space="preserve"> par 45%, rēķinot uz vienu mājsaimniecības locekli, sasniedzot augstāko </w:t>
      </w:r>
      <w:r w:rsidR="005F4968">
        <w:t>līmeni</w:t>
      </w:r>
      <w:r w:rsidRPr="009B0D30">
        <w:t xml:space="preserve"> kopš 2004.gad</w:t>
      </w:r>
      <w:r>
        <w:t>a</w:t>
      </w:r>
      <w:r w:rsidRPr="009B0D30">
        <w:t>.</w:t>
      </w:r>
    </w:p>
    <w:p w:rsidR="00421902" w:rsidRDefault="00421902" w:rsidP="00846047">
      <w:pPr>
        <w:pStyle w:val="NormalWeb"/>
        <w:spacing w:after="0"/>
        <w:ind w:firstLine="567"/>
        <w:jc w:val="both"/>
      </w:pPr>
      <w:r w:rsidRPr="006A3421">
        <w:t>2011.gadā, pieaugot ekonomikai, ieguvēji bija ekonomiski aktīvie iedzīvotāji, kuru ienākumi auga samērojamā tempā ar ekonomikas izaugsmi (analogi ar pirmskrīzes situāciju), kā rezultātā to nabadzības riska indekss</w:t>
      </w:r>
      <w:r w:rsidRPr="006A3421">
        <w:rPr>
          <w:vertAlign w:val="superscript"/>
        </w:rPr>
        <w:t xml:space="preserve"> </w:t>
      </w:r>
      <w:r w:rsidRPr="006A3421">
        <w:t>samazinājās.</w:t>
      </w:r>
      <w:r w:rsidRPr="009B0D30">
        <w:t xml:space="preserve"> </w:t>
      </w:r>
      <w:r>
        <w:t>Iedzīvotājiem</w:t>
      </w:r>
      <w:r w:rsidRPr="009B0D30">
        <w:t xml:space="preserve">, kuru ienākumi bija tuvi nabadzības riska slieksnim, ienākumi auga lēnāk, nekā vidējais ienākumu līmenis. Šo cilvēku risks nokļūt zem pieaugušā nabadzības riska sliekšņa palielinājās. Tas lielā mērā attiecās uz </w:t>
      </w:r>
      <w:r w:rsidRPr="009B0D30">
        <w:lastRenderedPageBreak/>
        <w:t>mazo un nelielo pensiju saņēmējiem un citām personām ar zemiem ienākumiem, īpaši ģimenēm ar bērniem. 2011.gadā nabadzības riska indekss pieaug</w:t>
      </w:r>
      <w:r>
        <w:t>a</w:t>
      </w:r>
      <w:r w:rsidRPr="009B0D30">
        <w:t xml:space="preserve">, sasniedzot 19,4%. Nabadzības riskam 2011.gadā bija pakļauts katrs piektais iedzīvotājs un to kopskaits sasniedza 394,5 tūkstošus. Ekonomikas izaugsme un nodarbinātības pieaugums </w:t>
      </w:r>
      <w:r w:rsidR="00494728">
        <w:t>pozitīvi ietekmē</w:t>
      </w:r>
      <w:r w:rsidRPr="009B0D30">
        <w:t xml:space="preserve"> nodarbināto nabadzības risku. Strādājošo nabadzības riska indekss ir samazinājies no 9,4% 2010.gadā līdz 8,8% 2011.gadā. Savukārt</w:t>
      </w:r>
      <w:r w:rsidR="00846047">
        <w:t>,</w:t>
      </w:r>
      <w:r w:rsidRPr="009B0D30">
        <w:t xml:space="preserve"> tas ir pieaudzis pensionāriem no 11% līdz 16%, kā arī nepilnajām ģimenēm, kurās viens no vecākiem audzina bērnus – no 39% līdz 43</w:t>
      </w:r>
      <w:r>
        <w:t> procentiem</w:t>
      </w:r>
      <w:r w:rsidRPr="009B0D30">
        <w:t xml:space="preserve">. </w:t>
      </w:r>
    </w:p>
    <w:p w:rsidR="00421902" w:rsidRPr="00C43284" w:rsidRDefault="00421902" w:rsidP="00846047">
      <w:pPr>
        <w:ind w:firstLine="567"/>
      </w:pPr>
      <w:r>
        <w:t xml:space="preserve">Galvenās prioritātes nabadzības un sociālās atstumtības mazināšanā ir ienākumu no algota darba palielināšana, kā īpašu mērķa grupu izceļot darbspējīgo iedzīvotāju ģimenes ar bērniem. Šie pasākumi atbilst </w:t>
      </w:r>
      <w:r w:rsidRPr="00353580">
        <w:rPr>
          <w:i/>
        </w:rPr>
        <w:t>2013.gada izaugsmes ziņojuma</w:t>
      </w:r>
      <w:r w:rsidRPr="00ED17DB">
        <w:t xml:space="preserve"> </w:t>
      </w:r>
      <w:r>
        <w:t>prioritātei attiecībā uz bezdarba un sociālo problēmu risināšanu</w:t>
      </w:r>
      <w:r w:rsidR="00D4086D">
        <w:t>,</w:t>
      </w:r>
      <w:r w:rsidRPr="00ED17DB">
        <w:t xml:space="preserve"> </w:t>
      </w:r>
      <w:r>
        <w:t xml:space="preserve">sekmē </w:t>
      </w:r>
      <w:r w:rsidRPr="00FF5C3A">
        <w:rPr>
          <w:i/>
        </w:rPr>
        <w:t>„Eiropa 2020”</w:t>
      </w:r>
      <w:r w:rsidRPr="00ED17DB">
        <w:t xml:space="preserve"> stratēģijas</w:t>
      </w:r>
      <w:r>
        <w:t xml:space="preserve"> nodarbinātības</w:t>
      </w:r>
      <w:r w:rsidR="00D4086D">
        <w:t>,</w:t>
      </w:r>
      <w:r>
        <w:t xml:space="preserve"> nabadzības un sociālās atstumtības mērķu sasniegšanu</w:t>
      </w:r>
      <w:r w:rsidR="00D4086D">
        <w:t xml:space="preserve"> un </w:t>
      </w:r>
      <w:r w:rsidR="00D4086D">
        <w:rPr>
          <w:rFonts w:eastAsia="Times New Roman"/>
        </w:rPr>
        <w:t xml:space="preserve">vadošās iniciatīvas </w:t>
      </w:r>
      <w:r w:rsidR="00D4086D" w:rsidRPr="00935AB4">
        <w:rPr>
          <w:rFonts w:eastAsia="Times New Roman"/>
          <w:i/>
        </w:rPr>
        <w:t>„</w:t>
      </w:r>
      <w:r w:rsidR="00D4086D">
        <w:rPr>
          <w:rFonts w:eastAsia="Times New Roman"/>
          <w:i/>
        </w:rPr>
        <w:t>Eiropas platforma cīņai pret nabadzību</w:t>
      </w:r>
      <w:r w:rsidR="00D4086D" w:rsidRPr="00935AB4">
        <w:rPr>
          <w:rFonts w:eastAsia="Times New Roman"/>
          <w:i/>
        </w:rPr>
        <w:t>”</w:t>
      </w:r>
      <w:r w:rsidR="00D4086D">
        <w:rPr>
          <w:rFonts w:eastAsia="Times New Roman"/>
        </w:rPr>
        <w:t xml:space="preserve"> īstenošanu</w:t>
      </w:r>
      <w:r>
        <w:t>.</w:t>
      </w:r>
    </w:p>
    <w:p w:rsidR="00421902" w:rsidRPr="00C43284" w:rsidRDefault="00421902" w:rsidP="00421902">
      <w:pPr>
        <w:spacing w:before="240" w:after="120"/>
        <w:ind w:firstLine="567"/>
      </w:pPr>
      <w:r w:rsidRPr="00C43284">
        <w:rPr>
          <w:u w:val="single"/>
        </w:rPr>
        <w:t>Galvenie politikas virzieni un pasākumi nabadzības līmeņa mazināšanai</w:t>
      </w:r>
      <w:r w:rsidRPr="00C43284">
        <w:t>:</w:t>
      </w:r>
    </w:p>
    <w:p w:rsidR="00421902" w:rsidRPr="00C43284" w:rsidRDefault="00421902" w:rsidP="00E84407">
      <w:pPr>
        <w:numPr>
          <w:ilvl w:val="0"/>
          <w:numId w:val="8"/>
        </w:numPr>
        <w:spacing w:before="240" w:after="120"/>
        <w:ind w:left="357" w:hanging="357"/>
        <w:rPr>
          <w:b/>
        </w:rPr>
      </w:pPr>
      <w:r w:rsidRPr="00C43284">
        <w:rPr>
          <w:b/>
          <w:i/>
        </w:rPr>
        <w:t>Ienākumu nevienlīdzības samazināšana</w:t>
      </w:r>
      <w:r w:rsidRPr="00C43284">
        <w:rPr>
          <w:rFonts w:eastAsia="+mn-ea"/>
          <w:b/>
        </w:rPr>
        <w:t xml:space="preserve"> </w:t>
      </w:r>
      <w:r w:rsidRPr="00C43284">
        <w:t>(atbildīgās institūcijas – FM, LM)</w:t>
      </w:r>
    </w:p>
    <w:p w:rsidR="00421902" w:rsidRDefault="00421902" w:rsidP="00421902">
      <w:pPr>
        <w:spacing w:after="20"/>
        <w:ind w:firstLine="567"/>
      </w:pPr>
      <w:r w:rsidRPr="00C43284">
        <w:t xml:space="preserve">Mērķis ir samazināt nodokļu slogu ekonomiski aktīviem iedzīvotājiem un augstam nabadzības riskam pakļautām iedzīvotāju grupām (īpaši ģimenēm ar bērniem un zemāk atalgotiem iedzīvotājiem) un veicināt šo iedzīvotāju spēju pašiem sevi nodrošināt un izkļūt no nabadzības. </w:t>
      </w:r>
      <w:r>
        <w:t>Ar 2013.gada 1.janvāri ir:</w:t>
      </w:r>
    </w:p>
    <w:p w:rsidR="00421902" w:rsidRDefault="00421902" w:rsidP="00E84407">
      <w:pPr>
        <w:pStyle w:val="ListParagraph"/>
        <w:numPr>
          <w:ilvl w:val="0"/>
          <w:numId w:val="44"/>
        </w:numPr>
        <w:spacing w:after="20"/>
      </w:pPr>
      <w:r>
        <w:t xml:space="preserve">paaugstināts vecāku pabalsta minimālais apmērs un </w:t>
      </w:r>
      <w:r w:rsidRPr="00A72F3F">
        <w:t>bērna kopšanas pabalst</w:t>
      </w:r>
      <w:r>
        <w:t>a apmērs</w:t>
      </w:r>
      <w:r w:rsidRPr="00A72F3F">
        <w:t xml:space="preserve"> no bērna dzimšanas līdz </w:t>
      </w:r>
      <w:r>
        <w:t xml:space="preserve">pusotra </w:t>
      </w:r>
      <w:r w:rsidRPr="00A72F3F">
        <w:t>gada vecumam</w:t>
      </w:r>
      <w:r>
        <w:t xml:space="preserve"> – abos </w:t>
      </w:r>
      <w:r w:rsidRPr="000A2245">
        <w:t xml:space="preserve">gadījumos pabalsts noteikts 100 </w:t>
      </w:r>
      <w:r w:rsidR="00846047">
        <w:t>latu</w:t>
      </w:r>
      <w:r w:rsidRPr="000A2245">
        <w:t xml:space="preserve"> apmērā</w:t>
      </w:r>
      <w:r>
        <w:t>;</w:t>
      </w:r>
    </w:p>
    <w:p w:rsidR="00421902" w:rsidRDefault="00421902" w:rsidP="00E84407">
      <w:pPr>
        <w:pStyle w:val="ListParagraph"/>
        <w:numPr>
          <w:ilvl w:val="0"/>
          <w:numId w:val="44"/>
        </w:numPr>
        <w:spacing w:after="20"/>
      </w:pPr>
      <w:r>
        <w:t>spēkā nekustamā īpašuma nodokļa atvieglojumi daudzbērnu ģimenēm (trīs vai vairāk bērni vecumā līdz 18 gadiem), kurām nekustamā īpašuma nodokļa summa ir samazināma par 50% no aprēķinātās nodokļa summas, bet ne vairāk par 300 latiem, par dzīvojamām mājām un tām piekritīgo zemi.</w:t>
      </w:r>
    </w:p>
    <w:p w:rsidR="00421902" w:rsidRPr="00C43284" w:rsidRDefault="00421902" w:rsidP="00846047">
      <w:pPr>
        <w:spacing w:before="120" w:after="20"/>
        <w:ind w:firstLine="567"/>
      </w:pPr>
      <w:r>
        <w:t>2013. un 2014.gadā paredzēts</w:t>
      </w:r>
      <w:r w:rsidRPr="00C43284">
        <w:t>:</w:t>
      </w:r>
    </w:p>
    <w:p w:rsidR="00421902" w:rsidRPr="00947FF3" w:rsidRDefault="00421902" w:rsidP="00E84407">
      <w:pPr>
        <w:numPr>
          <w:ilvl w:val="0"/>
          <w:numId w:val="18"/>
        </w:numPr>
        <w:spacing w:after="20"/>
        <w:ind w:hanging="295"/>
        <w:rPr>
          <w:lang w:eastAsia="lv-LV"/>
        </w:rPr>
      </w:pPr>
      <w:r>
        <w:rPr>
          <w:color w:val="000000"/>
        </w:rPr>
        <w:t xml:space="preserve">izstrādājot 2014.gada </w:t>
      </w:r>
      <w:r>
        <w:t xml:space="preserve">budžeta projektu un ņemot vērā valsts budžeta fiskālās iespējas, </w:t>
      </w:r>
      <w:r w:rsidRPr="00947FF3">
        <w:t xml:space="preserve">izvērtēt diferencēta neapliekamā minimuma ieviešanas iespējas zemo algu saņēmēju grupām ar mērķi izlīdzināt nodokļu slogu starp zemo algu saņēmējiem un vidējo un augsto algu saņēmējiem, kā arī </w:t>
      </w:r>
      <w:r>
        <w:t xml:space="preserve">palielināt </w:t>
      </w:r>
      <w:r w:rsidRPr="00947FF3">
        <w:t>atvieglojuma apmēr</w:t>
      </w:r>
      <w:r>
        <w:t>u</w:t>
      </w:r>
      <w:r w:rsidRPr="00947FF3">
        <w:t xml:space="preserve"> par apgādībā esošu personu;</w:t>
      </w:r>
    </w:p>
    <w:p w:rsidR="00421902" w:rsidRPr="0039062B" w:rsidRDefault="00421902" w:rsidP="00E84407">
      <w:pPr>
        <w:numPr>
          <w:ilvl w:val="0"/>
          <w:numId w:val="18"/>
        </w:numPr>
        <w:spacing w:after="20"/>
        <w:ind w:hanging="295"/>
        <w:rPr>
          <w:lang w:eastAsia="lv-LV"/>
        </w:rPr>
      </w:pPr>
      <w:r>
        <w:t>ar 2014.gadu atsākt pensiju indeksāciju</w:t>
      </w:r>
      <w:r w:rsidRPr="0039062B">
        <w:rPr>
          <w:color w:val="000000"/>
        </w:rPr>
        <w:t>;</w:t>
      </w:r>
    </w:p>
    <w:p w:rsidR="00421902" w:rsidRDefault="00421902" w:rsidP="00E84407">
      <w:pPr>
        <w:numPr>
          <w:ilvl w:val="0"/>
          <w:numId w:val="18"/>
        </w:numPr>
        <w:spacing w:after="20"/>
        <w:ind w:hanging="295"/>
        <w:rPr>
          <w:lang w:eastAsia="lv-LV"/>
        </w:rPr>
      </w:pPr>
      <w:r w:rsidRPr="000A2245">
        <w:t>pārskatīt valsts atbalstu personām ar iedzimtu vai iegūtu invaliditāti, pārskatot pabalsta apmēra noteikšanas principu gan personām ar invaliditāti kopš bērnības, gan personām, kurām invaliditāte iegūta pēc 18 gadu vecuma un kuras objektīvu iemeslu dēļ nevar strādāt un veikt sociālās apdrošināšanas iemaksas, un sniegt priekšlikumus par nepieciešamajām izmaiņām normatīvajā regulējumā</w:t>
      </w:r>
      <w:r>
        <w:t>.</w:t>
      </w:r>
    </w:p>
    <w:p w:rsidR="00421902" w:rsidRPr="00C43284" w:rsidRDefault="00421902" w:rsidP="00E84407">
      <w:pPr>
        <w:numPr>
          <w:ilvl w:val="0"/>
          <w:numId w:val="8"/>
        </w:numPr>
        <w:spacing w:before="240" w:after="120"/>
        <w:ind w:left="357" w:hanging="357"/>
        <w:rPr>
          <w:b/>
        </w:rPr>
      </w:pPr>
      <w:r w:rsidRPr="00C43284">
        <w:rPr>
          <w:b/>
          <w:i/>
        </w:rPr>
        <w:t>Nabadzības un sociālās atstumtības riskam pakļauto personu līdzdalības darba tirgū veicināšana</w:t>
      </w:r>
      <w:r w:rsidRPr="00C43284">
        <w:t xml:space="preserve"> (atbildīgā institūcija – LM)</w:t>
      </w:r>
    </w:p>
    <w:p w:rsidR="00421902" w:rsidRDefault="00421902" w:rsidP="00DA6C49">
      <w:pPr>
        <w:pStyle w:val="Default"/>
        <w:ind w:firstLine="567"/>
        <w:jc w:val="both"/>
        <w:rPr>
          <w:rFonts w:ascii="Times New Roman" w:hAnsi="Times New Roman" w:cs="Times New Roman"/>
          <w:color w:val="auto"/>
        </w:rPr>
      </w:pPr>
      <w:r w:rsidRPr="0039062B">
        <w:rPr>
          <w:rFonts w:ascii="Times New Roman" w:hAnsi="Times New Roman" w:cs="Times New Roman"/>
          <w:color w:val="auto"/>
        </w:rPr>
        <w:t xml:space="preserve">Mērķis ir sekmēt visnelabvēlīgākajā situācijā esošo iedzīvotāju grupu sociālo iekļaušanu. </w:t>
      </w:r>
      <w:r w:rsidRPr="0039062B">
        <w:rPr>
          <w:rFonts w:ascii="Times New Roman" w:hAnsi="Times New Roman" w:cs="Times New Roman"/>
        </w:rPr>
        <w:t xml:space="preserve">Mērķa sasniegšanai </w:t>
      </w:r>
      <w:r w:rsidRPr="0039062B">
        <w:rPr>
          <w:rFonts w:ascii="Times New Roman" w:hAnsi="Times New Roman" w:cs="Times New Roman"/>
          <w:color w:val="auto"/>
        </w:rPr>
        <w:t>tiek īstenoti</w:t>
      </w:r>
      <w:r w:rsidRPr="0039062B">
        <w:rPr>
          <w:rFonts w:ascii="Times New Roman" w:hAnsi="Times New Roman" w:cs="Times New Roman"/>
        </w:rPr>
        <w:t xml:space="preserve"> aktīvās darba tirgus politikas pasākumi, tostarp</w:t>
      </w:r>
      <w:r w:rsidRPr="0039062B">
        <w:rPr>
          <w:rFonts w:ascii="Times New Roman" w:hAnsi="Times New Roman" w:cs="Times New Roman"/>
          <w:color w:val="auto"/>
        </w:rPr>
        <w:t xml:space="preserve"> noteiktām personu grupām, nodrošinot visnelabvēlīgākajā situācijā esošo iedzīvotāju nodarbināšanu valsts līdzfinansētās darba vietās.</w:t>
      </w:r>
    </w:p>
    <w:p w:rsidR="00421902" w:rsidRPr="00527016" w:rsidRDefault="00421902" w:rsidP="00DA6C49">
      <w:pPr>
        <w:ind w:firstLine="567"/>
      </w:pPr>
      <w:r w:rsidRPr="00527016">
        <w:rPr>
          <w:bCs/>
        </w:rPr>
        <w:t>Mērķa sasniegšanai līdztekus 2.3. un 3.3.nodaļā minētajiem pasākumiem 2013. un 2014.gadā</w:t>
      </w:r>
      <w:r w:rsidRPr="00527016">
        <w:t xml:space="preserve"> paredzēts:</w:t>
      </w:r>
    </w:p>
    <w:p w:rsidR="00421902" w:rsidRPr="00527016" w:rsidRDefault="00421902" w:rsidP="00E84407">
      <w:pPr>
        <w:pStyle w:val="ListParagraph"/>
        <w:numPr>
          <w:ilvl w:val="0"/>
          <w:numId w:val="24"/>
        </w:numPr>
        <w:ind w:left="709"/>
      </w:pPr>
      <w:r w:rsidRPr="00527016">
        <w:lastRenderedPageBreak/>
        <w:t>pilnveidot pašvaldību sociālo dienestu un NVA sadarbību, strādājot pie aktīvās nodarbinātības pasākumu prioritāri atbalstāmo mērķa grupu bezdarbnieku noteikšanas;</w:t>
      </w:r>
    </w:p>
    <w:p w:rsidR="00421902" w:rsidRPr="00527016" w:rsidRDefault="00421902" w:rsidP="00E84407">
      <w:pPr>
        <w:pStyle w:val="Default"/>
        <w:numPr>
          <w:ilvl w:val="0"/>
          <w:numId w:val="24"/>
        </w:numPr>
        <w:ind w:left="709"/>
        <w:jc w:val="both"/>
        <w:rPr>
          <w:rFonts w:ascii="Times New Roman" w:hAnsi="Times New Roman" w:cs="Times New Roman"/>
          <w:color w:val="auto"/>
        </w:rPr>
      </w:pPr>
      <w:r w:rsidRPr="00527016">
        <w:rPr>
          <w:rFonts w:ascii="Times New Roman" w:hAnsi="Times New Roman" w:cs="Times New Roman"/>
        </w:rPr>
        <w:t xml:space="preserve">sagatavot priekšlikumus sociālās uzņēmējdarbības </w:t>
      </w:r>
      <w:r w:rsidR="00962935" w:rsidRPr="00962935">
        <w:rPr>
          <w:rFonts w:ascii="Times New Roman" w:hAnsi="Times New Roman" w:cs="Times New Roman"/>
        </w:rPr>
        <w:t xml:space="preserve">veicināšanai </w:t>
      </w:r>
      <w:r w:rsidRPr="00527016">
        <w:rPr>
          <w:rFonts w:ascii="Times New Roman" w:hAnsi="Times New Roman" w:cs="Times New Roman"/>
        </w:rPr>
        <w:t>Latvijā.</w:t>
      </w:r>
    </w:p>
    <w:p w:rsidR="00421902" w:rsidRDefault="00421902" w:rsidP="00DA6C49">
      <w:pPr>
        <w:pStyle w:val="Default"/>
        <w:spacing w:before="120"/>
        <w:ind w:firstLine="567"/>
        <w:jc w:val="both"/>
        <w:rPr>
          <w:rFonts w:ascii="Times New Roman" w:hAnsi="Times New Roman" w:cs="Times New Roman"/>
        </w:rPr>
      </w:pPr>
      <w:r>
        <w:rPr>
          <w:rFonts w:ascii="Times New Roman" w:hAnsi="Times New Roman" w:cs="Times New Roman"/>
        </w:rPr>
        <w:t xml:space="preserve">Kopējais publiskais finansējums šiem pasākumiem 2012.gadā bija 4,7 </w:t>
      </w:r>
      <w:proofErr w:type="spellStart"/>
      <w:r>
        <w:rPr>
          <w:rFonts w:ascii="Times New Roman" w:hAnsi="Times New Roman" w:cs="Times New Roman"/>
        </w:rPr>
        <w:t>milj</w:t>
      </w:r>
      <w:proofErr w:type="spellEnd"/>
      <w:r>
        <w:rPr>
          <w:rFonts w:ascii="Times New Roman" w:hAnsi="Times New Roman" w:cs="Times New Roman"/>
        </w:rPr>
        <w:t xml:space="preserve">. latu, tai skaitā ES fondu finansējums – 2,3 </w:t>
      </w:r>
      <w:proofErr w:type="spellStart"/>
      <w:r>
        <w:rPr>
          <w:rFonts w:ascii="Times New Roman" w:hAnsi="Times New Roman" w:cs="Times New Roman"/>
        </w:rPr>
        <w:t>milj.latu</w:t>
      </w:r>
      <w:proofErr w:type="spellEnd"/>
      <w:r>
        <w:rPr>
          <w:rFonts w:ascii="Times New Roman" w:hAnsi="Times New Roman" w:cs="Times New Roman"/>
        </w:rPr>
        <w:t xml:space="preserve"> (iesaistītas 788 personas). Kopējais plānotais publiskais finansējums 2013.</w:t>
      </w:r>
      <w:r w:rsidR="001B5B72">
        <w:rPr>
          <w:rFonts w:ascii="Times New Roman" w:hAnsi="Times New Roman" w:cs="Times New Roman"/>
        </w:rPr>
        <w:t>–</w:t>
      </w:r>
      <w:r>
        <w:rPr>
          <w:rFonts w:ascii="Times New Roman" w:hAnsi="Times New Roman" w:cs="Times New Roman"/>
        </w:rPr>
        <w:t xml:space="preserve">2014.gadā – 6,7 </w:t>
      </w:r>
      <w:proofErr w:type="spellStart"/>
      <w:r>
        <w:rPr>
          <w:rFonts w:ascii="Times New Roman" w:hAnsi="Times New Roman" w:cs="Times New Roman"/>
        </w:rPr>
        <w:t>milj</w:t>
      </w:r>
      <w:proofErr w:type="spellEnd"/>
      <w:r>
        <w:rPr>
          <w:rFonts w:ascii="Times New Roman" w:hAnsi="Times New Roman" w:cs="Times New Roman"/>
        </w:rPr>
        <w:t xml:space="preserve">. latu, </w:t>
      </w:r>
      <w:proofErr w:type="spellStart"/>
      <w:r>
        <w:rPr>
          <w:rFonts w:ascii="Times New Roman" w:hAnsi="Times New Roman" w:cs="Times New Roman"/>
        </w:rPr>
        <w:t>t.sk</w:t>
      </w:r>
      <w:proofErr w:type="spellEnd"/>
      <w:r>
        <w:rPr>
          <w:rFonts w:ascii="Times New Roman" w:hAnsi="Times New Roman" w:cs="Times New Roman"/>
        </w:rPr>
        <w:t>., ES fondu finansējums – 2 </w:t>
      </w:r>
      <w:proofErr w:type="spellStart"/>
      <w:r>
        <w:rPr>
          <w:rFonts w:ascii="Times New Roman" w:hAnsi="Times New Roman" w:cs="Times New Roman"/>
        </w:rPr>
        <w:t>milj</w:t>
      </w:r>
      <w:proofErr w:type="spellEnd"/>
      <w:r>
        <w:rPr>
          <w:rFonts w:ascii="Times New Roman" w:hAnsi="Times New Roman" w:cs="Times New Roman"/>
        </w:rPr>
        <w:t>.</w:t>
      </w:r>
      <w:r w:rsidR="001B5B72">
        <w:rPr>
          <w:rFonts w:ascii="Times New Roman" w:hAnsi="Times New Roman" w:cs="Times New Roman"/>
        </w:rPr>
        <w:t xml:space="preserve"> </w:t>
      </w:r>
      <w:r>
        <w:rPr>
          <w:rFonts w:ascii="Times New Roman" w:hAnsi="Times New Roman" w:cs="Times New Roman"/>
        </w:rPr>
        <w:t>latu (iesaistītas 2158 personas).</w:t>
      </w:r>
    </w:p>
    <w:p w:rsidR="00421902" w:rsidRPr="00C43284" w:rsidRDefault="00421902" w:rsidP="00E84407">
      <w:pPr>
        <w:numPr>
          <w:ilvl w:val="0"/>
          <w:numId w:val="8"/>
        </w:numPr>
        <w:spacing w:before="240" w:after="120"/>
        <w:ind w:left="357" w:hanging="357"/>
        <w:rPr>
          <w:b/>
        </w:rPr>
      </w:pPr>
      <w:r w:rsidRPr="00C43284">
        <w:rPr>
          <w:b/>
          <w:i/>
        </w:rPr>
        <w:t xml:space="preserve">Diskriminācijas draudu un stereotipu mazināšana, kā arī pilsoniskās līdzdalības veicināšana </w:t>
      </w:r>
      <w:r w:rsidRPr="00C43284">
        <w:t>(atbildīgā institūcija – KM)</w:t>
      </w:r>
    </w:p>
    <w:p w:rsidR="00421902" w:rsidRPr="00A84CA9" w:rsidRDefault="00421902" w:rsidP="00926859">
      <w:pPr>
        <w:pStyle w:val="ListParagraph"/>
        <w:ind w:left="0" w:firstLine="567"/>
        <w:rPr>
          <w:lang w:eastAsia="lv-LV"/>
        </w:rPr>
      </w:pPr>
      <w:r w:rsidRPr="00A84CA9">
        <w:rPr>
          <w:lang w:eastAsia="lv-LV"/>
        </w:rPr>
        <w:t>Mērķis ir nodrošināt atbalsta pasākumus</w:t>
      </w:r>
      <w:r w:rsidR="0020002C">
        <w:rPr>
          <w:lang w:eastAsia="lv-LV"/>
        </w:rPr>
        <w:t>,</w:t>
      </w:r>
      <w:r w:rsidRPr="00A84CA9">
        <w:rPr>
          <w:lang w:eastAsia="lv-LV"/>
        </w:rPr>
        <w:t xml:space="preserve"> kas ļauj aktīvi piedalīties visos Eiropas sabiedrības dzīves aspektos sociālās atstumtības riskam pakļautajām iedzīvotāju grupām</w:t>
      </w:r>
      <w:r w:rsidR="00926859">
        <w:rPr>
          <w:lang w:eastAsia="lv-LV"/>
        </w:rPr>
        <w:t>,</w:t>
      </w:r>
      <w:r w:rsidR="00D45640">
        <w:rPr>
          <w:lang w:eastAsia="lv-LV"/>
        </w:rPr>
        <w:t xml:space="preserve"> </w:t>
      </w:r>
      <w:proofErr w:type="spellStart"/>
      <w:r w:rsidRPr="00A84CA9">
        <w:rPr>
          <w:lang w:eastAsia="lv-LV"/>
        </w:rPr>
        <w:t>t.sk</w:t>
      </w:r>
      <w:proofErr w:type="spellEnd"/>
      <w:r w:rsidRPr="00A84CA9">
        <w:rPr>
          <w:lang w:eastAsia="lv-LV"/>
        </w:rPr>
        <w:t xml:space="preserve">. </w:t>
      </w:r>
      <w:proofErr w:type="spellStart"/>
      <w:r w:rsidRPr="00A84CA9">
        <w:rPr>
          <w:lang w:eastAsia="lv-LV"/>
        </w:rPr>
        <w:t>romiem</w:t>
      </w:r>
      <w:proofErr w:type="spellEnd"/>
      <w:r w:rsidRPr="00A84CA9">
        <w:rPr>
          <w:lang w:eastAsia="lv-LV"/>
        </w:rPr>
        <w:t xml:space="preserve">, trešo valstu pilsoņiem ar dažādu kultūras, reliģijas, valodas un etnisko izcelsmi, kā arī personām, kas ir atstumtas nabadzības vai reģionālās nošķirtības dēļ. Mērķa īstenošana tiek veikta stiprinot un veicinot dažādas pilsoniskās līdzdalības formas, kā arī ierobežojot visu veidu diskrimināciju. </w:t>
      </w:r>
    </w:p>
    <w:p w:rsidR="003905C8" w:rsidRPr="00C43284" w:rsidRDefault="00421902" w:rsidP="00D4086D">
      <w:pPr>
        <w:ind w:firstLine="567"/>
        <w:rPr>
          <w:lang w:eastAsia="lv-LV"/>
        </w:rPr>
      </w:pPr>
      <w:r w:rsidRPr="00A84CA9">
        <w:rPr>
          <w:lang w:eastAsia="lv-LV"/>
        </w:rPr>
        <w:t xml:space="preserve">2011.gadā ir pieņemtas </w:t>
      </w:r>
      <w:r w:rsidRPr="00926859">
        <w:rPr>
          <w:i/>
          <w:lang w:eastAsia="lv-LV"/>
        </w:rPr>
        <w:t>Nacionālās identitātes, pilsoniskās sabiedrības un integrācijas politikas pamatnostādnes 2012.-2018.gadam</w:t>
      </w:r>
      <w:r w:rsidRPr="00A84CA9">
        <w:rPr>
          <w:lang w:eastAsia="lv-LV"/>
        </w:rPr>
        <w:t xml:space="preserve">, kas iekļauj pasākumus pilsoniskās sabiedrības stiprināšanai un dažādu līdzdalības formu attīstībai, visu veidu diskriminācijas ierobežošanai, trešo valstu pilsoņu politikas izstrādi un ieviešanu, pasākumus </w:t>
      </w:r>
      <w:proofErr w:type="spellStart"/>
      <w:r w:rsidRPr="00A84CA9">
        <w:rPr>
          <w:lang w:eastAsia="lv-LV"/>
        </w:rPr>
        <w:t>romu</w:t>
      </w:r>
      <w:proofErr w:type="spellEnd"/>
      <w:r w:rsidRPr="00A84CA9">
        <w:rPr>
          <w:lang w:eastAsia="lv-LV"/>
        </w:rPr>
        <w:t xml:space="preserve"> integrācijas īstenošanai.</w:t>
      </w:r>
    </w:p>
    <w:p w:rsidR="000050DB" w:rsidRPr="00C43284" w:rsidRDefault="000050DB" w:rsidP="004771A9">
      <w:pPr>
        <w:pStyle w:val="Heading3"/>
        <w:spacing w:before="360" w:after="120"/>
        <w:ind w:left="567"/>
        <w:rPr>
          <w:rFonts w:ascii="Times New Roman" w:hAnsi="Times New Roman" w:cs="Times New Roman"/>
          <w:color w:val="auto"/>
        </w:rPr>
      </w:pPr>
      <w:bookmarkStart w:id="37" w:name="_Toc354384947"/>
      <w:r w:rsidRPr="00C43284">
        <w:rPr>
          <w:rFonts w:ascii="Times New Roman" w:hAnsi="Times New Roman" w:cs="Times New Roman"/>
          <w:color w:val="auto"/>
        </w:rPr>
        <w:t>3.5.2. Demogrāfija</w:t>
      </w:r>
      <w:r w:rsidR="00F401D1" w:rsidRPr="00C43284">
        <w:rPr>
          <w:rFonts w:ascii="Times New Roman" w:hAnsi="Times New Roman" w:cs="Times New Roman"/>
          <w:color w:val="auto"/>
        </w:rPr>
        <w:t>s izaicinājumi</w:t>
      </w:r>
      <w:r w:rsidRPr="00C43284">
        <w:rPr>
          <w:rFonts w:ascii="Times New Roman" w:hAnsi="Times New Roman" w:cs="Times New Roman"/>
          <w:color w:val="auto"/>
        </w:rPr>
        <w:t xml:space="preserve"> </w:t>
      </w:r>
      <w:r w:rsidR="00507F35" w:rsidRPr="00C43284">
        <w:rPr>
          <w:rFonts w:ascii="Times New Roman" w:hAnsi="Times New Roman" w:cs="Times New Roman"/>
          <w:color w:val="auto"/>
        </w:rPr>
        <w:t>un veselības aizsardzība</w:t>
      </w:r>
      <w:bookmarkEnd w:id="37"/>
    </w:p>
    <w:p w:rsidR="005F4968" w:rsidRDefault="00421902" w:rsidP="00812B27">
      <w:pPr>
        <w:ind w:firstLine="567"/>
        <w:rPr>
          <w:lang w:eastAsia="lv-LV"/>
        </w:rPr>
      </w:pPr>
      <w:r w:rsidRPr="00C43284">
        <w:rPr>
          <w:rFonts w:eastAsiaTheme="minorHAnsi"/>
        </w:rPr>
        <w:t xml:space="preserve">Latvijā ir vērojamas negatīvas demogrāfiskās izmaiņas – iedzīvotāju skaita samazināšanās un novecošanās, salīdzinoši augsta mirstība. </w:t>
      </w:r>
      <w:r w:rsidRPr="00C43284">
        <w:rPr>
          <w:lang w:eastAsia="lv-LV"/>
        </w:rPr>
        <w:t xml:space="preserve">Latvijas iedzīvotāju skaits 2011.gada 1.martā saskaņā ar 2011.gada Tautas skaitīšanas datiem bija 2,07 </w:t>
      </w:r>
      <w:proofErr w:type="spellStart"/>
      <w:r w:rsidRPr="00C43284">
        <w:rPr>
          <w:lang w:eastAsia="lv-LV"/>
        </w:rPr>
        <w:t>milj</w:t>
      </w:r>
      <w:proofErr w:type="spellEnd"/>
      <w:r w:rsidRPr="00C43284">
        <w:rPr>
          <w:lang w:eastAsia="lv-LV"/>
        </w:rPr>
        <w:t xml:space="preserve">. Kopš iepriekšējās 2000.gada Tautas skaitīšanas iedzīvotāju skaits valstī ir samazinājies par </w:t>
      </w:r>
      <w:r w:rsidRPr="00C43284">
        <w:rPr>
          <w:snapToGrid w:val="0"/>
          <w:color w:val="000000"/>
        </w:rPr>
        <w:t>30</w:t>
      </w:r>
      <w:r>
        <w:rPr>
          <w:snapToGrid w:val="0"/>
          <w:color w:val="000000"/>
        </w:rPr>
        <w:t>7</w:t>
      </w:r>
      <w:r w:rsidRPr="00C43284">
        <w:rPr>
          <w:snapToGrid w:val="0"/>
          <w:color w:val="000000"/>
        </w:rPr>
        <w:t xml:space="preserve"> </w:t>
      </w:r>
      <w:proofErr w:type="spellStart"/>
      <w:r w:rsidRPr="00C43284">
        <w:rPr>
          <w:snapToGrid w:val="0"/>
          <w:color w:val="000000"/>
        </w:rPr>
        <w:t>tūkst</w:t>
      </w:r>
      <w:proofErr w:type="spellEnd"/>
      <w:r w:rsidRPr="00C43284">
        <w:rPr>
          <w:snapToGrid w:val="0"/>
          <w:color w:val="000000"/>
        </w:rPr>
        <w:t>. j</w:t>
      </w:r>
      <w:r w:rsidRPr="00C43284">
        <w:rPr>
          <w:lang w:eastAsia="lv-LV"/>
        </w:rPr>
        <w:t>eb par 1</w:t>
      </w:r>
      <w:r>
        <w:rPr>
          <w:lang w:eastAsia="lv-LV"/>
        </w:rPr>
        <w:t>3%. Iedzīvotāju skaita samazināšanos nosaka iedzīvotāju dabiskā kustība,</w:t>
      </w:r>
      <w:r w:rsidRPr="00C43284">
        <w:rPr>
          <w:lang w:eastAsia="lv-LV"/>
        </w:rPr>
        <w:t xml:space="preserve"> gan starptautiskā migrāci</w:t>
      </w:r>
      <w:r>
        <w:rPr>
          <w:lang w:eastAsia="lv-LV"/>
        </w:rPr>
        <w:t xml:space="preserve">ja – </w:t>
      </w:r>
      <w:r w:rsidRPr="00C43284">
        <w:rPr>
          <w:lang w:eastAsia="lv-LV"/>
        </w:rPr>
        <w:t>attiecīgi par 11</w:t>
      </w:r>
      <w:r>
        <w:rPr>
          <w:lang w:eastAsia="lv-LV"/>
        </w:rPr>
        <w:t>5</w:t>
      </w:r>
      <w:r w:rsidRPr="00C43284">
        <w:rPr>
          <w:lang w:eastAsia="lv-LV"/>
        </w:rPr>
        <w:t xml:space="preserve"> </w:t>
      </w:r>
      <w:proofErr w:type="spellStart"/>
      <w:r w:rsidRPr="00C43284">
        <w:rPr>
          <w:lang w:eastAsia="lv-LV"/>
        </w:rPr>
        <w:t>tūkst</w:t>
      </w:r>
      <w:proofErr w:type="spellEnd"/>
      <w:r w:rsidRPr="00C43284">
        <w:rPr>
          <w:lang w:eastAsia="lv-LV"/>
        </w:rPr>
        <w:t>. un 19</w:t>
      </w:r>
      <w:r>
        <w:rPr>
          <w:lang w:eastAsia="lv-LV"/>
        </w:rPr>
        <w:t>2</w:t>
      </w:r>
      <w:r w:rsidRPr="00C43284">
        <w:rPr>
          <w:lang w:eastAsia="lv-LV"/>
        </w:rPr>
        <w:t xml:space="preserve"> </w:t>
      </w:r>
      <w:proofErr w:type="spellStart"/>
      <w:r w:rsidRPr="00C43284">
        <w:rPr>
          <w:lang w:eastAsia="lv-LV"/>
        </w:rPr>
        <w:t>tūkst</w:t>
      </w:r>
      <w:proofErr w:type="spellEnd"/>
      <w:r w:rsidRPr="00C43284">
        <w:rPr>
          <w:lang w:eastAsia="lv-LV"/>
        </w:rPr>
        <w:t>. cilvēku.</w:t>
      </w:r>
      <w:r>
        <w:rPr>
          <w:lang w:eastAsia="lv-LV"/>
        </w:rPr>
        <w:t xml:space="preserve"> Īpaša problēma ir straujā</w:t>
      </w:r>
      <w:r w:rsidRPr="00C43284">
        <w:rPr>
          <w:lang w:eastAsia="lv-LV"/>
        </w:rPr>
        <w:t xml:space="preserve"> sabiedrības novecošanās – samazinās bērnu un pieaug vecāka gada gājuma personu īpatsvars.</w:t>
      </w:r>
    </w:p>
    <w:p w:rsidR="00421902" w:rsidRDefault="005F4968" w:rsidP="00812B27">
      <w:pPr>
        <w:spacing w:before="120"/>
        <w:ind w:firstLine="567"/>
        <w:rPr>
          <w:lang w:eastAsia="lv-LV"/>
        </w:rPr>
      </w:pPr>
      <w:r>
        <w:rPr>
          <w:lang w:eastAsia="lv-LV"/>
        </w:rPr>
        <w:t xml:space="preserve">Lai veicinātu saikni ar Latvijas diasporu ārzemēs un Latvijas iedzīvotāju atgriešanos dzimtenē, 2012.gada augustā tika izveidota </w:t>
      </w:r>
      <w:proofErr w:type="spellStart"/>
      <w:r>
        <w:rPr>
          <w:lang w:eastAsia="lv-LV"/>
        </w:rPr>
        <w:t>Reemigrācijas</w:t>
      </w:r>
      <w:proofErr w:type="spellEnd"/>
      <w:r>
        <w:rPr>
          <w:lang w:eastAsia="lv-LV"/>
        </w:rPr>
        <w:t xml:space="preserve"> atbalsta pasākumu plāna izstrādes darba grupa, kuras mērķis ir </w:t>
      </w:r>
      <w:r w:rsidRPr="005F4968">
        <w:rPr>
          <w:lang w:eastAsia="lv-LV"/>
        </w:rPr>
        <w:t xml:space="preserve">apzināt esošos un mērķtiecīgi izstrādāt jaunus pasākumus labvēlīgu </w:t>
      </w:r>
      <w:proofErr w:type="spellStart"/>
      <w:r w:rsidRPr="005F4968">
        <w:rPr>
          <w:lang w:eastAsia="lv-LV"/>
        </w:rPr>
        <w:t>reemigrācijas</w:t>
      </w:r>
      <w:proofErr w:type="spellEnd"/>
      <w:r w:rsidRPr="005F4968">
        <w:rPr>
          <w:lang w:eastAsia="lv-LV"/>
        </w:rPr>
        <w:t xml:space="preserve"> apstākļu radīšanai</w:t>
      </w:r>
      <w:r>
        <w:rPr>
          <w:lang w:eastAsia="lv-LV"/>
        </w:rPr>
        <w:t xml:space="preserve">. 2013.gadā tiek turpināts darbs pie konkrētu </w:t>
      </w:r>
      <w:proofErr w:type="spellStart"/>
      <w:r>
        <w:rPr>
          <w:lang w:eastAsia="lv-LV"/>
        </w:rPr>
        <w:t>reemigrācijas</w:t>
      </w:r>
      <w:proofErr w:type="spellEnd"/>
      <w:r>
        <w:rPr>
          <w:lang w:eastAsia="lv-LV"/>
        </w:rPr>
        <w:t xml:space="preserve"> atbalsta pasākumu izstrādes, kas tiks iekļauti </w:t>
      </w:r>
      <w:proofErr w:type="spellStart"/>
      <w:r w:rsidRPr="005F4968">
        <w:rPr>
          <w:i/>
          <w:lang w:eastAsia="lv-LV"/>
        </w:rPr>
        <w:t>Reemigrācijas</w:t>
      </w:r>
      <w:proofErr w:type="spellEnd"/>
      <w:r w:rsidRPr="005F4968">
        <w:rPr>
          <w:i/>
          <w:lang w:eastAsia="lv-LV"/>
        </w:rPr>
        <w:t xml:space="preserve"> atbalsta pasākumu plānā 2013.–2016.gadam</w:t>
      </w:r>
      <w:r>
        <w:rPr>
          <w:lang w:eastAsia="lv-LV"/>
        </w:rPr>
        <w:t xml:space="preserve">. </w:t>
      </w:r>
    </w:p>
    <w:p w:rsidR="00421902" w:rsidRPr="008638A7" w:rsidRDefault="00421902" w:rsidP="00812B27">
      <w:pPr>
        <w:tabs>
          <w:tab w:val="left" w:pos="0"/>
        </w:tabs>
        <w:spacing w:before="120"/>
        <w:ind w:firstLine="567"/>
        <w:rPr>
          <w:b/>
        </w:rPr>
      </w:pPr>
      <w:r w:rsidRPr="005D01F3">
        <w:t xml:space="preserve">Lai risinātu demogrāfijas problēmas, ir izveidota Demogrāfisko lietu padome, kuras dienas kārtībā 2012.gadā bija tādi nozīmīgi jautājumi kā rindu likvidēšana uz pašvaldību pirmsskolas izglītības iestādēm, pasākumu komplekss mātes un bērna veselības uzlabošanai, sevišķi attiecībā uz vecāku reproduktīvo veselību un abortu </w:t>
      </w:r>
      <w:proofErr w:type="spellStart"/>
      <w:r w:rsidRPr="005D01F3">
        <w:t>prevenciju</w:t>
      </w:r>
      <w:proofErr w:type="spellEnd"/>
      <w:r w:rsidRPr="005D01F3">
        <w:t>, kā arī dažādi atbalsta pasākumi, kas taupa ģimenes izdevumus vai vairo ienākumus gan šobrīd</w:t>
      </w:r>
      <w:r w:rsidR="00812B27">
        <w:t>,</w:t>
      </w:r>
      <w:r w:rsidRPr="005D01F3">
        <w:t xml:space="preserve"> gan nākotnē.</w:t>
      </w:r>
      <w:r w:rsidR="00D45640">
        <w:t xml:space="preserve"> </w:t>
      </w:r>
      <w:r w:rsidRPr="005D01F3">
        <w:t xml:space="preserve">2012.gadā </w:t>
      </w:r>
      <w:r w:rsidR="00812B27">
        <w:t>MK</w:t>
      </w:r>
      <w:r w:rsidRPr="005D01F3">
        <w:t xml:space="preserve"> atbalstīja </w:t>
      </w:r>
      <w:r w:rsidRPr="005D01F3">
        <w:rPr>
          <w:i/>
        </w:rPr>
        <w:t>Mātes un bērna veselības uzlabošanas plānu 2012.</w:t>
      </w:r>
      <w:r w:rsidR="00812B27">
        <w:rPr>
          <w:i/>
        </w:rPr>
        <w:t>–</w:t>
      </w:r>
      <w:r w:rsidRPr="005D01F3">
        <w:rPr>
          <w:i/>
        </w:rPr>
        <w:t>2014.gadam</w:t>
      </w:r>
      <w:r w:rsidRPr="005D01F3">
        <w:t xml:space="preserve"> un </w:t>
      </w:r>
      <w:r w:rsidRPr="005D01F3">
        <w:rPr>
          <w:i/>
        </w:rPr>
        <w:t>Rīcības plānu „Ģimenes valsts politikas pamatnostādņu 2011</w:t>
      </w:r>
      <w:r w:rsidR="00812B27">
        <w:rPr>
          <w:i/>
        </w:rPr>
        <w:t>.</w:t>
      </w:r>
      <w:r w:rsidRPr="005D01F3">
        <w:rPr>
          <w:i/>
        </w:rPr>
        <w:t>–</w:t>
      </w:r>
      <w:r w:rsidR="00812B27">
        <w:rPr>
          <w:i/>
        </w:rPr>
        <w:t>2017.gadam” īstenošanai 2012.</w:t>
      </w:r>
      <w:r w:rsidRPr="005D01F3">
        <w:rPr>
          <w:i/>
        </w:rPr>
        <w:t>–2014.gadam</w:t>
      </w:r>
      <w:r w:rsidRPr="00F16AA2">
        <w:t>.</w:t>
      </w:r>
      <w:r>
        <w:rPr>
          <w:b/>
        </w:rPr>
        <w:t xml:space="preserve"> </w:t>
      </w:r>
      <w:r w:rsidRPr="000D2D6E">
        <w:t>Kā viens no būtiskākajiem pasākumiem paredzēta materiālā atbalsta palielināšana ekonomiski aktīvām ģimenēm, piemēram, paaugstinot iedzīvotāju ienākuma nodokļa atvieglojumus par apgādībā esošu bērnu. Plānots arī izstrādāt priekšlikumus kompleksai pieejai ģimenes mājokļa problēmu risināšanai.</w:t>
      </w:r>
      <w:r>
        <w:t xml:space="preserve"> </w:t>
      </w:r>
      <w:r w:rsidRPr="000D2D6E">
        <w:t>Tāpat rīcības plānā noteikti pasākumi pirms</w:t>
      </w:r>
      <w:r w:rsidR="00812B27">
        <w:t>s</w:t>
      </w:r>
      <w:r w:rsidRPr="000D2D6E">
        <w:t xml:space="preserve">kolas izglītības iestāžu pieejamības veicināšanai no bērna pusotra gada </w:t>
      </w:r>
      <w:r w:rsidRPr="000D2D6E">
        <w:lastRenderedPageBreak/>
        <w:t xml:space="preserve">vecuma. </w:t>
      </w:r>
      <w:r>
        <w:t>2013.gadā paredzēts</w:t>
      </w:r>
      <w:r w:rsidRPr="000D2D6E">
        <w:t xml:space="preserve"> pirmsskolas iestādēs iedzīvināt principu „nauda seko skolēnam</w:t>
      </w:r>
      <w:r w:rsidR="00DB39F9">
        <w:t>”</w:t>
      </w:r>
      <w:r>
        <w:t>.</w:t>
      </w:r>
      <w:r w:rsidRPr="000D2D6E">
        <w:t xml:space="preserve"> </w:t>
      </w:r>
      <w:r w:rsidRPr="000D2D6E">
        <w:rPr>
          <w:rFonts w:eastAsia="Times New Roman"/>
          <w:lang w:eastAsia="lv-LV"/>
        </w:rPr>
        <w:t>Plānā arī paredzēts ieviest valsts atbalsta pasākumus neauglības ārstēšanai</w:t>
      </w:r>
      <w:r>
        <w:rPr>
          <w:rFonts w:eastAsia="Times New Roman"/>
          <w:lang w:eastAsia="lv-LV"/>
        </w:rPr>
        <w:t>.</w:t>
      </w:r>
      <w:r w:rsidRPr="008638A7">
        <w:rPr>
          <w:b/>
        </w:rPr>
        <w:t xml:space="preserve"> </w:t>
      </w:r>
    </w:p>
    <w:p w:rsidR="00421902" w:rsidRPr="00A72F3F" w:rsidRDefault="00421902" w:rsidP="00DB39F9">
      <w:pPr>
        <w:tabs>
          <w:tab w:val="num" w:pos="0"/>
        </w:tabs>
        <w:spacing w:before="120"/>
        <w:ind w:firstLine="567"/>
      </w:pPr>
      <w:r w:rsidRPr="00406D7B">
        <w:t xml:space="preserve">Lai ar finanšu instrumentu palīdzību netieši veicinātu dzimstību, 2013.gada 1.janvārī spēkā stājās grozījumi likumā </w:t>
      </w:r>
      <w:r w:rsidRPr="00DB39F9">
        <w:rPr>
          <w:i/>
        </w:rPr>
        <w:t>„Par nekustamā īpašuma nodokli”</w:t>
      </w:r>
      <w:r w:rsidRPr="00406D7B">
        <w:t xml:space="preserve">, kas ievieš nekustamā īpašuma nodokļa </w:t>
      </w:r>
      <w:r w:rsidRPr="00406D7B">
        <w:rPr>
          <w:color w:val="000000"/>
        </w:rPr>
        <w:t xml:space="preserve">atvieglojumus 50% apmērā (bet ne vairāk par 300 latiem) </w:t>
      </w:r>
      <w:r w:rsidRPr="00406D7B">
        <w:t>par dzīvojamo māju vai dzīvokli un tam piekrītošo zemi personām, kurām ir trīs vai vairāk bērnu vecumā līdz 18 gadiem un kuriem ir kopīga deklarētā dzīvesvieta.</w:t>
      </w:r>
      <w:r w:rsidRPr="00A72F3F">
        <w:t xml:space="preserve"> </w:t>
      </w:r>
    </w:p>
    <w:p w:rsidR="00421902" w:rsidRPr="00A72F3F" w:rsidRDefault="00421902" w:rsidP="00DB39F9">
      <w:pPr>
        <w:autoSpaceDE w:val="0"/>
        <w:autoSpaceDN w:val="0"/>
        <w:adjustRightInd w:val="0"/>
        <w:ind w:firstLine="567"/>
        <w:rPr>
          <w:color w:val="000000"/>
        </w:rPr>
      </w:pPr>
      <w:r w:rsidRPr="00A72F3F">
        <w:t xml:space="preserve">No 2013.gada </w:t>
      </w:r>
      <w:r>
        <w:t xml:space="preserve">ir </w:t>
      </w:r>
      <w:r w:rsidRPr="00A72F3F">
        <w:t>dubultotas valsts veiktās obligātās sociālās apdrošināšanas iemaksas par vecākiem, kuri kopj bērnu līdz pusotra gada vecumam</w:t>
      </w:r>
      <w:r w:rsidRPr="00A72F3F">
        <w:rPr>
          <w:rStyle w:val="FootnoteReference"/>
        </w:rPr>
        <w:footnoteReference w:id="20"/>
      </w:r>
      <w:r>
        <w:t xml:space="preserve">, kā arī </w:t>
      </w:r>
      <w:r w:rsidRPr="00A72F3F">
        <w:rPr>
          <w:color w:val="000000"/>
        </w:rPr>
        <w:t>divkāršots izmaksājamā maternitātes pabalsta, paternitātes pabalsta un vecāku pabalsta atļautais apmērs jeb izmaksu „griesti”</w:t>
      </w:r>
      <w:r w:rsidRPr="00A72F3F">
        <w:rPr>
          <w:rStyle w:val="FootnoteReference"/>
          <w:color w:val="000000"/>
        </w:rPr>
        <w:footnoteReference w:id="21"/>
      </w:r>
      <w:r w:rsidRPr="00A72F3F">
        <w:rPr>
          <w:color w:val="000000"/>
        </w:rPr>
        <w:t xml:space="preserve">. </w:t>
      </w:r>
    </w:p>
    <w:p w:rsidR="00421902" w:rsidRDefault="00421902" w:rsidP="00F16AA2">
      <w:pPr>
        <w:ind w:firstLine="567"/>
      </w:pPr>
      <w:r w:rsidRPr="00A72F3F">
        <w:t>Atbalstot vecākus laikā, kad bērna attīstībai vecāku klātbūtne ir vissvarīgākā, paaugstināts bērna kopšanas pabalsta apmērs un vecāku pabalsta minimālais apmērs. Ar 2013.gada 1.janvāri bērna kopšanas pabalsts sociāli neapdrošinātām personām no bērna dzimšanas līdz gada vecumam ir 100 lati (līdz tam 50 lati). Vecāku pabalsta, ko saņem sociāli apdrošinātas personas no bērna dzimšanas līdz gada vecumam, minimālais apmērs arī ir 100 lati (līdz tam 63 lati). Savukārt bērna kopšanas pabalsta apmērs gan vieniem, gan otriem vecākiem par bērniem vecumā no gada līdz pusotram no 30 latiem paaugstināts uz 100 latiem. Ja dzimst dvīņi vai vairāk bērnu vienās dzemdībās, tad pie vecāku vai bērna kopšanas pabalsta maksā piemaksu, un arī tā ir p</w:t>
      </w:r>
      <w:r w:rsidRPr="00A72F3F">
        <w:rPr>
          <w:color w:val="000000"/>
        </w:rPr>
        <w:t>aaugstināta uz 100 latiem mēnesī</w:t>
      </w:r>
      <w:r w:rsidRPr="00C43284">
        <w:t>.</w:t>
      </w:r>
    </w:p>
    <w:p w:rsidR="00421902" w:rsidRDefault="00421902" w:rsidP="004A1493">
      <w:pPr>
        <w:spacing w:before="120"/>
        <w:ind w:firstLine="567"/>
      </w:pPr>
      <w:r>
        <w:t>Neskatoties uz to, ka daudzi sabiedrības veselības rādītāji Latvijā būtiski atpaliek no ES vidējiem rādītājiem, ir novērojama to pakāpeniska uzlabošanās. Piemēram, standartizētā mirstība 2010.gadā Latvijā bija otra augstākā ES un, salīdzinot ar 2001.gadu, tā samazinājusies par 17%.</w:t>
      </w:r>
      <w:r>
        <w:rPr>
          <w:rStyle w:val="FootnoteReference"/>
        </w:rPr>
        <w:footnoteReference w:id="22"/>
      </w:r>
      <w:r>
        <w:t xml:space="preserve"> Jaundzimušo vidējais paredzamais mūža ilgums Latvijā ir viens no zemākajiem ES un </w:t>
      </w:r>
      <w:r w:rsidRPr="00C43284">
        <w:t>20</w:t>
      </w:r>
      <w:r>
        <w:t>10</w:t>
      </w:r>
      <w:r w:rsidRPr="00C43284">
        <w:t>.gadā sasniedza 92% no ES vidējā rādītāja</w:t>
      </w:r>
      <w:r>
        <w:t xml:space="preserve">, tomēr tas pakāpeniski palielinās, 2011.gadā </w:t>
      </w:r>
      <w:r w:rsidRPr="00406D7B">
        <w:t>sasniedzot 74 gadus</w:t>
      </w:r>
      <w:r>
        <w:t>.</w:t>
      </w:r>
      <w:r>
        <w:rPr>
          <w:lang w:eastAsia="lv-LV"/>
        </w:rPr>
        <w:t xml:space="preserve"> </w:t>
      </w:r>
    </w:p>
    <w:p w:rsidR="00421902" w:rsidRDefault="00DD1B53" w:rsidP="00421902">
      <w:pPr>
        <w:autoSpaceDE w:val="0"/>
        <w:autoSpaceDN w:val="0"/>
        <w:adjustRightInd w:val="0"/>
        <w:ind w:firstLine="567"/>
      </w:pPr>
      <w:r>
        <w:t xml:space="preserve">Pie potenciāli zaudēto dzīves gadu samazināšanas iemesliem var minēt </w:t>
      </w:r>
      <w:r w:rsidR="00421902">
        <w:t>asinsrites sistēmas slimīb</w:t>
      </w:r>
      <w:r>
        <w:t>as</w:t>
      </w:r>
      <w:r w:rsidR="00421902">
        <w:t>, ļaundabīg</w:t>
      </w:r>
      <w:r>
        <w:t>os</w:t>
      </w:r>
      <w:r w:rsidR="00421902">
        <w:t xml:space="preserve"> audzēj</w:t>
      </w:r>
      <w:r>
        <w:t>us</w:t>
      </w:r>
      <w:r w:rsidR="00421902">
        <w:t>, ārēj</w:t>
      </w:r>
      <w:r>
        <w:t>os</w:t>
      </w:r>
      <w:r w:rsidR="00421902">
        <w:t xml:space="preserve"> nāves cēloņ</w:t>
      </w:r>
      <w:r>
        <w:t xml:space="preserve">us </w:t>
      </w:r>
      <w:r w:rsidR="00421902" w:rsidRPr="00C43284">
        <w:t xml:space="preserve">(galvenokārt no pašnāvībām </w:t>
      </w:r>
      <w:r w:rsidR="00421902">
        <w:t>un ceļu satiksmes negadījumiem)</w:t>
      </w:r>
      <w:r>
        <w:t>.</w:t>
      </w:r>
    </w:p>
    <w:p w:rsidR="00421902" w:rsidRPr="00C43284" w:rsidRDefault="00421902" w:rsidP="00421902">
      <w:pPr>
        <w:ind w:firstLine="567"/>
      </w:pPr>
      <w:r>
        <w:t>Lai uzlabotu veselības aprūpes pakalpojumu pieejamību iedzīvotājiem, hronisko pacientu veselības aprūpi un savlaicīgu slimību diagnostiku</w:t>
      </w:r>
      <w:r w:rsidR="00F75555">
        <w:t>,</w:t>
      </w:r>
      <w:r>
        <w:t xml:space="preserve"> 2012.gadā tika turpināta otras māsas piesaistīšana ģimenes ārstu praksēm, no 2013.gada ieviesta jauna ģimenes ārstu darbības kvalitātes novērtēšanas sistēma un papildu maksājums ģimenes ārsta praksei par savlaicīgi atklātu ļaundabīgo audzēju, kā arī turpināta diena</w:t>
      </w:r>
      <w:r w:rsidR="00D67DE3">
        <w:t>s</w:t>
      </w:r>
      <w:r>
        <w:t xml:space="preserve"> stacionāru un mājas aprūpes pakalpojumu attīstīšana, uzlabojot to pieejamību un paplašinot pakalpojumu klāstu.</w:t>
      </w:r>
      <w:r>
        <w:rPr>
          <w:lang w:eastAsia="lv-LV"/>
        </w:rPr>
        <w:t xml:space="preserve"> Piemēram, no 2012.gada mājas aprūpes pakalpojumu klāsts papildināts ar medicīniskās rehabilitācijas pakalpojumiem pacientiem ar insultu pēc hospitalizācijas un bērniem, kas saņem </w:t>
      </w:r>
      <w:proofErr w:type="spellStart"/>
      <w:r>
        <w:rPr>
          <w:lang w:eastAsia="lv-LV"/>
        </w:rPr>
        <w:t>paliatīvo</w:t>
      </w:r>
      <w:proofErr w:type="spellEnd"/>
      <w:r>
        <w:rPr>
          <w:lang w:eastAsia="lv-LV"/>
        </w:rPr>
        <w:t xml:space="preserve"> aprūpi. Lai uzlabotu stacionāro veselības aprūpes iestāžu darbības efektivitāti un sekmētu efektīvu veselības aprūpes valsts budžeta līdzekļu izlietošanu, </w:t>
      </w:r>
      <w:r>
        <w:t>2012.gadā</w:t>
      </w:r>
      <w:r>
        <w:rPr>
          <w:b/>
        </w:rPr>
        <w:t xml:space="preserve"> </w:t>
      </w:r>
      <w:r>
        <w:t xml:space="preserve">uzsākta slimnieku observācijas jeb novērošanas pakalpojumu attīstīšana slimnīcās </w:t>
      </w:r>
      <w:r w:rsidR="00D67DE3">
        <w:t>–</w:t>
      </w:r>
      <w:r>
        <w:t xml:space="preserve"> kopš 2012.gada universitāšu un daudzprofilu slimnīcas saņem papildu maksājumu par slimnieku observāciju, tas ir, ārstēšanu un novērošanu uzņemšanas nodaļā līdz 24 stundām.</w:t>
      </w:r>
      <w:r>
        <w:rPr>
          <w:lang w:eastAsia="lv-LV"/>
        </w:rPr>
        <w:t xml:space="preserve"> </w:t>
      </w:r>
      <w:r>
        <w:t>L</w:t>
      </w:r>
      <w:r w:rsidRPr="00C43284">
        <w:t xml:space="preserve">atvijas mērķa rādītāji sabiedrības veselības veicināšanai ir parādīti </w:t>
      </w:r>
      <w:r w:rsidR="00D67DE3">
        <w:t>8</w:t>
      </w:r>
      <w:r w:rsidRPr="00C43284">
        <w:t>.tabulā.</w:t>
      </w:r>
    </w:p>
    <w:p w:rsidR="00421902" w:rsidRPr="00C43284" w:rsidRDefault="005D0380" w:rsidP="002E439F">
      <w:pPr>
        <w:pStyle w:val="Default"/>
        <w:spacing w:before="120"/>
        <w:ind w:firstLine="567"/>
        <w:jc w:val="right"/>
        <w:rPr>
          <w:rFonts w:ascii="Times New Roman" w:hAnsi="Times New Roman" w:cs="Times New Roman"/>
          <w:bCs/>
          <w:color w:val="auto"/>
        </w:rPr>
      </w:pPr>
      <w:r>
        <w:rPr>
          <w:rFonts w:ascii="Times New Roman" w:hAnsi="Times New Roman" w:cs="Times New Roman"/>
          <w:bCs/>
          <w:color w:val="auto"/>
        </w:rPr>
        <w:t>8</w:t>
      </w:r>
      <w:r w:rsidR="00421902" w:rsidRPr="00C43284">
        <w:rPr>
          <w:rFonts w:ascii="Times New Roman" w:hAnsi="Times New Roman" w:cs="Times New Roman"/>
          <w:bCs/>
          <w:color w:val="auto"/>
        </w:rPr>
        <w:t>.tabula</w:t>
      </w:r>
    </w:p>
    <w:p w:rsidR="00421902" w:rsidRPr="00C43284" w:rsidRDefault="00421902" w:rsidP="00D67DE3">
      <w:pPr>
        <w:tabs>
          <w:tab w:val="left" w:pos="0"/>
        </w:tabs>
        <w:ind w:firstLine="567"/>
        <w:jc w:val="center"/>
      </w:pPr>
      <w:r w:rsidRPr="00C43284">
        <w:t>Potenciāli zaudēto dzīves gadu samazināšanas mērķa sasniegšanas trajektorija</w:t>
      </w:r>
    </w:p>
    <w:tbl>
      <w:tblPr>
        <w:tblW w:w="8067" w:type="dxa"/>
        <w:jc w:val="center"/>
        <w:tblInd w:w="491" w:type="dxa"/>
        <w:tblBorders>
          <w:top w:val="single" w:sz="8" w:space="0" w:color="000000"/>
          <w:bottom w:val="single" w:sz="8" w:space="0" w:color="000000"/>
        </w:tblBorders>
        <w:tblLayout w:type="fixed"/>
        <w:tblLook w:val="04A0" w:firstRow="1" w:lastRow="0" w:firstColumn="1" w:lastColumn="0" w:noHBand="0" w:noVBand="1"/>
      </w:tblPr>
      <w:tblGrid>
        <w:gridCol w:w="3445"/>
        <w:gridCol w:w="812"/>
        <w:gridCol w:w="751"/>
        <w:gridCol w:w="709"/>
        <w:gridCol w:w="709"/>
        <w:gridCol w:w="669"/>
        <w:gridCol w:w="972"/>
      </w:tblGrid>
      <w:tr w:rsidR="00421902" w:rsidRPr="008423E0" w:rsidTr="006F290F">
        <w:trPr>
          <w:jc w:val="center"/>
        </w:trPr>
        <w:tc>
          <w:tcPr>
            <w:tcW w:w="3445" w:type="dxa"/>
            <w:tcBorders>
              <w:top w:val="single" w:sz="8" w:space="0" w:color="000000"/>
              <w:left w:val="nil"/>
              <w:bottom w:val="single" w:sz="8" w:space="0" w:color="000000"/>
              <w:right w:val="nil"/>
            </w:tcBorders>
            <w:shd w:val="clear" w:color="auto" w:fill="D9D9D9" w:themeFill="background1" w:themeFillShade="D9"/>
          </w:tcPr>
          <w:p w:rsidR="00421902" w:rsidRPr="008423E0" w:rsidRDefault="00421902" w:rsidP="006F290F">
            <w:pPr>
              <w:pStyle w:val="Default"/>
              <w:jc w:val="center"/>
              <w:rPr>
                <w:rFonts w:ascii="Times New Roman" w:hAnsi="Times New Roman" w:cs="Times New Roman"/>
                <w:b/>
                <w:bCs/>
                <w:color w:val="auto"/>
                <w:sz w:val="20"/>
                <w:szCs w:val="20"/>
              </w:rPr>
            </w:pPr>
          </w:p>
        </w:tc>
        <w:tc>
          <w:tcPr>
            <w:tcW w:w="812" w:type="dxa"/>
            <w:tcBorders>
              <w:top w:val="single" w:sz="8" w:space="0" w:color="000000"/>
              <w:left w:val="nil"/>
              <w:bottom w:val="single" w:sz="8" w:space="0" w:color="000000"/>
              <w:right w:val="nil"/>
            </w:tcBorders>
            <w:shd w:val="clear" w:color="auto" w:fill="D9D9D9" w:themeFill="background1" w:themeFillShade="D9"/>
          </w:tcPr>
          <w:p w:rsidR="00421902" w:rsidRPr="008423E0" w:rsidRDefault="00421902" w:rsidP="006F290F">
            <w:pPr>
              <w:pStyle w:val="Default"/>
              <w:jc w:val="center"/>
              <w:rPr>
                <w:rFonts w:ascii="Times New Roman" w:hAnsi="Times New Roman" w:cs="Times New Roman"/>
                <w:b/>
                <w:bCs/>
                <w:color w:val="auto"/>
                <w:sz w:val="20"/>
                <w:szCs w:val="20"/>
              </w:rPr>
            </w:pPr>
            <w:r w:rsidRPr="008423E0">
              <w:rPr>
                <w:rFonts w:ascii="Times New Roman" w:hAnsi="Times New Roman" w:cs="Times New Roman"/>
                <w:b/>
                <w:bCs/>
                <w:color w:val="auto"/>
                <w:sz w:val="20"/>
                <w:szCs w:val="20"/>
              </w:rPr>
              <w:t>2008</w:t>
            </w:r>
          </w:p>
        </w:tc>
        <w:tc>
          <w:tcPr>
            <w:tcW w:w="751" w:type="dxa"/>
            <w:tcBorders>
              <w:top w:val="single" w:sz="8" w:space="0" w:color="000000"/>
              <w:left w:val="nil"/>
              <w:bottom w:val="single" w:sz="8" w:space="0" w:color="000000"/>
              <w:right w:val="nil"/>
            </w:tcBorders>
            <w:shd w:val="clear" w:color="auto" w:fill="D9D9D9" w:themeFill="background1" w:themeFillShade="D9"/>
          </w:tcPr>
          <w:p w:rsidR="00421902" w:rsidRPr="008423E0" w:rsidRDefault="00421902" w:rsidP="006F290F">
            <w:pPr>
              <w:pStyle w:val="Default"/>
              <w:jc w:val="center"/>
              <w:rPr>
                <w:rFonts w:ascii="Times New Roman" w:hAnsi="Times New Roman" w:cs="Times New Roman"/>
                <w:b/>
                <w:bCs/>
                <w:color w:val="auto"/>
                <w:sz w:val="20"/>
                <w:szCs w:val="20"/>
              </w:rPr>
            </w:pPr>
            <w:r w:rsidRPr="008423E0">
              <w:rPr>
                <w:rFonts w:ascii="Times New Roman" w:hAnsi="Times New Roman" w:cs="Times New Roman"/>
                <w:b/>
                <w:bCs/>
                <w:color w:val="auto"/>
                <w:sz w:val="20"/>
                <w:szCs w:val="20"/>
              </w:rPr>
              <w:t>2009</w:t>
            </w:r>
          </w:p>
        </w:tc>
        <w:tc>
          <w:tcPr>
            <w:tcW w:w="709" w:type="dxa"/>
            <w:tcBorders>
              <w:top w:val="single" w:sz="8" w:space="0" w:color="000000"/>
              <w:left w:val="nil"/>
              <w:bottom w:val="single" w:sz="8" w:space="0" w:color="000000"/>
              <w:right w:val="nil"/>
            </w:tcBorders>
            <w:shd w:val="clear" w:color="auto" w:fill="D9D9D9" w:themeFill="background1" w:themeFillShade="D9"/>
          </w:tcPr>
          <w:p w:rsidR="00421902" w:rsidRPr="008423E0" w:rsidRDefault="00421902" w:rsidP="006F290F">
            <w:pPr>
              <w:pStyle w:val="Default"/>
              <w:jc w:val="center"/>
              <w:rPr>
                <w:rFonts w:ascii="Times New Roman" w:hAnsi="Times New Roman" w:cs="Times New Roman"/>
                <w:b/>
                <w:bCs/>
                <w:color w:val="auto"/>
                <w:sz w:val="20"/>
                <w:szCs w:val="20"/>
              </w:rPr>
            </w:pPr>
            <w:r w:rsidRPr="008423E0">
              <w:rPr>
                <w:rFonts w:ascii="Times New Roman" w:hAnsi="Times New Roman" w:cs="Times New Roman"/>
                <w:b/>
                <w:bCs/>
                <w:color w:val="auto"/>
                <w:sz w:val="20"/>
                <w:szCs w:val="20"/>
              </w:rPr>
              <w:t>2010</w:t>
            </w:r>
          </w:p>
        </w:tc>
        <w:tc>
          <w:tcPr>
            <w:tcW w:w="709" w:type="dxa"/>
            <w:tcBorders>
              <w:top w:val="single" w:sz="8" w:space="0" w:color="000000"/>
              <w:left w:val="nil"/>
              <w:bottom w:val="single" w:sz="8" w:space="0" w:color="000000"/>
              <w:right w:val="nil"/>
            </w:tcBorders>
            <w:shd w:val="clear" w:color="auto" w:fill="D9D9D9" w:themeFill="background1" w:themeFillShade="D9"/>
          </w:tcPr>
          <w:p w:rsidR="00421902" w:rsidRPr="008423E0" w:rsidRDefault="00421902" w:rsidP="006F290F">
            <w:pPr>
              <w:pStyle w:val="Default"/>
              <w:jc w:val="center"/>
              <w:rPr>
                <w:rFonts w:ascii="Times New Roman" w:hAnsi="Times New Roman" w:cs="Times New Roman"/>
                <w:b/>
                <w:bCs/>
                <w:color w:val="auto"/>
                <w:sz w:val="20"/>
                <w:szCs w:val="20"/>
              </w:rPr>
            </w:pPr>
            <w:r w:rsidRPr="008423E0">
              <w:rPr>
                <w:rFonts w:ascii="Times New Roman" w:hAnsi="Times New Roman" w:cs="Times New Roman"/>
                <w:b/>
                <w:bCs/>
                <w:color w:val="auto"/>
                <w:sz w:val="20"/>
                <w:szCs w:val="20"/>
              </w:rPr>
              <w:t>2011</w:t>
            </w:r>
          </w:p>
        </w:tc>
        <w:tc>
          <w:tcPr>
            <w:tcW w:w="669" w:type="dxa"/>
            <w:tcBorders>
              <w:top w:val="single" w:sz="8" w:space="0" w:color="000000"/>
              <w:left w:val="nil"/>
              <w:bottom w:val="single" w:sz="8" w:space="0" w:color="000000"/>
              <w:right w:val="nil"/>
            </w:tcBorders>
            <w:shd w:val="clear" w:color="auto" w:fill="D9D9D9" w:themeFill="background1" w:themeFillShade="D9"/>
          </w:tcPr>
          <w:p w:rsidR="00421902" w:rsidRPr="008423E0" w:rsidRDefault="00421902" w:rsidP="006F290F">
            <w:pPr>
              <w:pStyle w:val="Default"/>
              <w:jc w:val="center"/>
              <w:rPr>
                <w:rFonts w:ascii="Times New Roman" w:hAnsi="Times New Roman" w:cs="Times New Roman"/>
                <w:b/>
                <w:bCs/>
                <w:color w:val="auto"/>
                <w:sz w:val="20"/>
                <w:szCs w:val="20"/>
              </w:rPr>
            </w:pPr>
            <w:r w:rsidRPr="008423E0">
              <w:rPr>
                <w:rFonts w:ascii="Times New Roman" w:hAnsi="Times New Roman" w:cs="Times New Roman"/>
                <w:b/>
                <w:bCs/>
                <w:color w:val="auto"/>
                <w:sz w:val="20"/>
                <w:szCs w:val="20"/>
              </w:rPr>
              <w:t>2015</w:t>
            </w:r>
          </w:p>
        </w:tc>
        <w:tc>
          <w:tcPr>
            <w:tcW w:w="972" w:type="dxa"/>
            <w:tcBorders>
              <w:top w:val="single" w:sz="8" w:space="0" w:color="000000"/>
              <w:left w:val="nil"/>
              <w:bottom w:val="single" w:sz="8" w:space="0" w:color="000000"/>
              <w:right w:val="nil"/>
            </w:tcBorders>
            <w:shd w:val="clear" w:color="auto" w:fill="D9D9D9" w:themeFill="background1" w:themeFillShade="D9"/>
          </w:tcPr>
          <w:p w:rsidR="00421902" w:rsidRPr="008423E0" w:rsidRDefault="00421902" w:rsidP="006F290F">
            <w:pPr>
              <w:pStyle w:val="Default"/>
              <w:jc w:val="center"/>
              <w:rPr>
                <w:rFonts w:ascii="Times New Roman" w:hAnsi="Times New Roman" w:cs="Times New Roman"/>
                <w:b/>
                <w:bCs/>
                <w:color w:val="auto"/>
                <w:sz w:val="20"/>
                <w:szCs w:val="20"/>
              </w:rPr>
            </w:pPr>
            <w:r w:rsidRPr="008423E0">
              <w:rPr>
                <w:rFonts w:ascii="Times New Roman" w:hAnsi="Times New Roman" w:cs="Times New Roman"/>
                <w:b/>
                <w:bCs/>
                <w:color w:val="auto"/>
                <w:sz w:val="20"/>
                <w:szCs w:val="20"/>
              </w:rPr>
              <w:t>2020</w:t>
            </w:r>
          </w:p>
        </w:tc>
      </w:tr>
      <w:tr w:rsidR="00421902" w:rsidRPr="008423E0" w:rsidTr="006F290F">
        <w:trPr>
          <w:jc w:val="center"/>
        </w:trPr>
        <w:tc>
          <w:tcPr>
            <w:tcW w:w="3445" w:type="dxa"/>
            <w:tcBorders>
              <w:left w:val="nil"/>
              <w:right w:val="nil"/>
            </w:tcBorders>
            <w:shd w:val="clear" w:color="auto" w:fill="auto"/>
            <w:vAlign w:val="center"/>
          </w:tcPr>
          <w:p w:rsidR="00421902" w:rsidRPr="008423E0" w:rsidRDefault="00421902" w:rsidP="006F290F">
            <w:pPr>
              <w:pStyle w:val="Default"/>
              <w:rPr>
                <w:rFonts w:ascii="Times New Roman" w:hAnsi="Times New Roman" w:cs="Times New Roman"/>
                <w:b/>
                <w:bCs/>
                <w:color w:val="auto"/>
                <w:sz w:val="20"/>
                <w:szCs w:val="20"/>
              </w:rPr>
            </w:pPr>
            <w:r w:rsidRPr="008423E0">
              <w:rPr>
                <w:rFonts w:ascii="Times New Roman" w:hAnsi="Times New Roman" w:cs="Times New Roman"/>
                <w:sz w:val="20"/>
                <w:szCs w:val="20"/>
              </w:rPr>
              <w:t xml:space="preserve">Potenciāli zaudētie dzīves gadi uz </w:t>
            </w:r>
            <w:r w:rsidRPr="008423E0">
              <w:rPr>
                <w:rFonts w:ascii="Times New Roman" w:hAnsi="Times New Roman" w:cs="Times New Roman"/>
                <w:sz w:val="20"/>
                <w:szCs w:val="20"/>
              </w:rPr>
              <w:lastRenderedPageBreak/>
              <w:t>100 000 iedzīvotāju (vecumā līdz 65 gadiem ieskaitot)</w:t>
            </w:r>
          </w:p>
        </w:tc>
        <w:tc>
          <w:tcPr>
            <w:tcW w:w="812" w:type="dxa"/>
            <w:tcBorders>
              <w:left w:val="nil"/>
              <w:right w:val="nil"/>
            </w:tcBorders>
            <w:shd w:val="clear" w:color="auto" w:fill="auto"/>
            <w:vAlign w:val="center"/>
          </w:tcPr>
          <w:p w:rsidR="00421902" w:rsidRPr="008423E0" w:rsidRDefault="00421902" w:rsidP="006F290F">
            <w:pPr>
              <w:pStyle w:val="Default"/>
              <w:jc w:val="center"/>
              <w:rPr>
                <w:rFonts w:ascii="Times New Roman" w:hAnsi="Times New Roman" w:cs="Times New Roman"/>
                <w:color w:val="auto"/>
                <w:sz w:val="20"/>
                <w:szCs w:val="20"/>
              </w:rPr>
            </w:pPr>
            <w:r w:rsidRPr="008423E0">
              <w:rPr>
                <w:rFonts w:ascii="Times New Roman" w:hAnsi="Times New Roman" w:cs="Times New Roman"/>
                <w:sz w:val="20"/>
                <w:szCs w:val="20"/>
              </w:rPr>
              <w:lastRenderedPageBreak/>
              <w:t>7043</w:t>
            </w:r>
          </w:p>
        </w:tc>
        <w:tc>
          <w:tcPr>
            <w:tcW w:w="751" w:type="dxa"/>
            <w:tcBorders>
              <w:left w:val="nil"/>
              <w:right w:val="nil"/>
            </w:tcBorders>
            <w:shd w:val="clear" w:color="auto" w:fill="auto"/>
            <w:vAlign w:val="center"/>
          </w:tcPr>
          <w:p w:rsidR="00421902" w:rsidRPr="008423E0" w:rsidRDefault="00421902" w:rsidP="006F290F">
            <w:pPr>
              <w:pStyle w:val="Default"/>
              <w:jc w:val="center"/>
              <w:rPr>
                <w:rFonts w:ascii="Times New Roman" w:hAnsi="Times New Roman" w:cs="Times New Roman"/>
                <w:color w:val="auto"/>
                <w:sz w:val="20"/>
                <w:szCs w:val="20"/>
              </w:rPr>
            </w:pPr>
            <w:r w:rsidRPr="008423E0">
              <w:rPr>
                <w:rFonts w:ascii="Times New Roman" w:hAnsi="Times New Roman" w:cs="Times New Roman"/>
                <w:sz w:val="20"/>
                <w:szCs w:val="20"/>
              </w:rPr>
              <w:t>6494</w:t>
            </w:r>
          </w:p>
        </w:tc>
        <w:tc>
          <w:tcPr>
            <w:tcW w:w="709" w:type="dxa"/>
            <w:tcBorders>
              <w:left w:val="nil"/>
              <w:right w:val="nil"/>
            </w:tcBorders>
            <w:shd w:val="clear" w:color="auto" w:fill="auto"/>
            <w:vAlign w:val="center"/>
          </w:tcPr>
          <w:p w:rsidR="00421902" w:rsidRPr="008423E0" w:rsidRDefault="00421902" w:rsidP="006F290F">
            <w:pPr>
              <w:pStyle w:val="Default"/>
              <w:jc w:val="center"/>
              <w:rPr>
                <w:rFonts w:ascii="Times New Roman" w:hAnsi="Times New Roman" w:cs="Times New Roman"/>
                <w:color w:val="auto"/>
                <w:sz w:val="20"/>
                <w:szCs w:val="20"/>
              </w:rPr>
            </w:pPr>
            <w:r w:rsidRPr="008423E0">
              <w:rPr>
                <w:rFonts w:ascii="Times New Roman" w:hAnsi="Times New Roman" w:cs="Times New Roman"/>
                <w:sz w:val="20"/>
                <w:szCs w:val="20"/>
              </w:rPr>
              <w:t>6476</w:t>
            </w:r>
          </w:p>
        </w:tc>
        <w:tc>
          <w:tcPr>
            <w:tcW w:w="709" w:type="dxa"/>
            <w:tcBorders>
              <w:left w:val="nil"/>
              <w:right w:val="nil"/>
            </w:tcBorders>
            <w:shd w:val="clear" w:color="auto" w:fill="auto"/>
            <w:vAlign w:val="center"/>
          </w:tcPr>
          <w:p w:rsidR="00421902" w:rsidRPr="008423E0" w:rsidRDefault="00421902" w:rsidP="006F290F">
            <w:pPr>
              <w:pStyle w:val="Default"/>
              <w:jc w:val="center"/>
              <w:rPr>
                <w:rFonts w:ascii="Times New Roman" w:hAnsi="Times New Roman" w:cs="Times New Roman"/>
                <w:sz w:val="20"/>
                <w:szCs w:val="20"/>
                <w:highlight w:val="yellow"/>
              </w:rPr>
            </w:pPr>
            <w:r w:rsidRPr="00406D7B">
              <w:rPr>
                <w:rFonts w:ascii="Times New Roman" w:hAnsi="Times New Roman" w:cs="Times New Roman"/>
                <w:sz w:val="20"/>
                <w:szCs w:val="20"/>
              </w:rPr>
              <w:t>6140</w:t>
            </w:r>
          </w:p>
        </w:tc>
        <w:tc>
          <w:tcPr>
            <w:tcW w:w="669" w:type="dxa"/>
            <w:tcBorders>
              <w:left w:val="nil"/>
              <w:right w:val="nil"/>
            </w:tcBorders>
            <w:shd w:val="clear" w:color="auto" w:fill="auto"/>
            <w:vAlign w:val="center"/>
          </w:tcPr>
          <w:p w:rsidR="00421902" w:rsidRPr="008423E0" w:rsidRDefault="00421902" w:rsidP="006F290F">
            <w:pPr>
              <w:pStyle w:val="Default"/>
              <w:jc w:val="center"/>
              <w:rPr>
                <w:rFonts w:ascii="Times New Roman" w:hAnsi="Times New Roman" w:cs="Times New Roman"/>
                <w:color w:val="auto"/>
                <w:sz w:val="20"/>
                <w:szCs w:val="20"/>
              </w:rPr>
            </w:pPr>
            <w:r w:rsidRPr="008423E0">
              <w:rPr>
                <w:rFonts w:ascii="Times New Roman" w:hAnsi="Times New Roman" w:cs="Times New Roman"/>
                <w:sz w:val="20"/>
                <w:szCs w:val="20"/>
              </w:rPr>
              <w:t>5990</w:t>
            </w:r>
          </w:p>
        </w:tc>
        <w:tc>
          <w:tcPr>
            <w:tcW w:w="972" w:type="dxa"/>
            <w:tcBorders>
              <w:left w:val="nil"/>
              <w:right w:val="nil"/>
            </w:tcBorders>
            <w:shd w:val="clear" w:color="auto" w:fill="auto"/>
            <w:vAlign w:val="center"/>
          </w:tcPr>
          <w:p w:rsidR="00421902" w:rsidRPr="008423E0" w:rsidRDefault="00421902" w:rsidP="006F290F">
            <w:pPr>
              <w:pStyle w:val="Default"/>
              <w:jc w:val="center"/>
              <w:rPr>
                <w:rFonts w:ascii="Times New Roman" w:hAnsi="Times New Roman" w:cs="Times New Roman"/>
                <w:color w:val="auto"/>
                <w:sz w:val="20"/>
                <w:szCs w:val="20"/>
              </w:rPr>
            </w:pPr>
            <w:r w:rsidRPr="008423E0">
              <w:rPr>
                <w:rFonts w:ascii="Times New Roman" w:hAnsi="Times New Roman" w:cs="Times New Roman"/>
                <w:sz w:val="20"/>
                <w:szCs w:val="20"/>
              </w:rPr>
              <w:t>5300</w:t>
            </w:r>
          </w:p>
        </w:tc>
      </w:tr>
    </w:tbl>
    <w:p w:rsidR="00421902" w:rsidRPr="00C43284" w:rsidRDefault="00421902" w:rsidP="00D67DE3">
      <w:pPr>
        <w:spacing w:before="360" w:after="120"/>
        <w:ind w:firstLine="567"/>
        <w:rPr>
          <w:u w:val="single"/>
        </w:rPr>
      </w:pPr>
      <w:r w:rsidRPr="00C43284">
        <w:rPr>
          <w:u w:val="single"/>
        </w:rPr>
        <w:lastRenderedPageBreak/>
        <w:t xml:space="preserve">Galvenie politikas virzieni un pasākumi demogrāfijas </w:t>
      </w:r>
      <w:r>
        <w:rPr>
          <w:u w:val="single"/>
        </w:rPr>
        <w:t xml:space="preserve">un veselības aprūpes </w:t>
      </w:r>
      <w:r w:rsidRPr="00C43284">
        <w:rPr>
          <w:u w:val="single"/>
        </w:rPr>
        <w:t>izaicinājumu risināšanai:</w:t>
      </w:r>
    </w:p>
    <w:p w:rsidR="00421902" w:rsidRPr="00C43284" w:rsidRDefault="00421902" w:rsidP="00E84407">
      <w:pPr>
        <w:numPr>
          <w:ilvl w:val="0"/>
          <w:numId w:val="8"/>
        </w:numPr>
        <w:spacing w:before="240" w:after="120"/>
        <w:ind w:left="357" w:hanging="357"/>
        <w:rPr>
          <w:bCs/>
        </w:rPr>
      </w:pPr>
      <w:r>
        <w:rPr>
          <w:b/>
          <w:i/>
        </w:rPr>
        <w:t>Dzimstības veicināšana un u</w:t>
      </w:r>
      <w:r w:rsidRPr="00C43284">
        <w:rPr>
          <w:b/>
          <w:i/>
        </w:rPr>
        <w:t>z ģimenēm ar bērniem vērsti sociālās aizsardzības pasākumi</w:t>
      </w:r>
      <w:r w:rsidR="00D45640">
        <w:rPr>
          <w:b/>
          <w:i/>
        </w:rPr>
        <w:t xml:space="preserve"> </w:t>
      </w:r>
      <w:r w:rsidRPr="00C43284">
        <w:rPr>
          <w:bCs/>
        </w:rPr>
        <w:t xml:space="preserve">(atbildīgās institūcijas – LM, VARAM, TM) </w:t>
      </w:r>
    </w:p>
    <w:p w:rsidR="00421902" w:rsidRPr="00C43284" w:rsidRDefault="00421902" w:rsidP="00421902">
      <w:pPr>
        <w:ind w:firstLine="567"/>
      </w:pPr>
      <w:r w:rsidRPr="00C43284">
        <w:t xml:space="preserve">Mērķis ir nodrošināt un pilnveidot valsts un pašvaldību atbalstu ģimenēm ar bērniem, kā arī veicināt vecāku līdzdalību darba tirgū. </w:t>
      </w:r>
      <w:r>
        <w:t xml:space="preserve">Mērķa sasniegšanai līdztekus jau īstenotajiem </w:t>
      </w:r>
      <w:r w:rsidRPr="00B00FD1">
        <w:t>pasākumiem ģimenes un bērnu atbalstam un aizsardzībai 2013. un 2014.gadā ir paredzēts</w:t>
      </w:r>
      <w:r w:rsidRPr="00C43284">
        <w:t>:</w:t>
      </w:r>
    </w:p>
    <w:p w:rsidR="00421902" w:rsidRDefault="00421902" w:rsidP="00E84407">
      <w:pPr>
        <w:numPr>
          <w:ilvl w:val="0"/>
          <w:numId w:val="18"/>
        </w:numPr>
        <w:spacing w:after="40"/>
        <w:ind w:hanging="295"/>
      </w:pPr>
      <w:r w:rsidRPr="00E86035">
        <w:t xml:space="preserve">pārskatīt </w:t>
      </w:r>
      <w:r w:rsidR="00414413">
        <w:t>iedzīvotāju ienākuma nodokļa</w:t>
      </w:r>
      <w:r w:rsidRPr="00E86035">
        <w:t xml:space="preserve"> atvieglojumu par apgādībā esošu personu</w:t>
      </w:r>
      <w:r>
        <w:t xml:space="preserve">, izvērtējot tā paaugstināšanas iespējas, </w:t>
      </w:r>
      <w:r w:rsidRPr="009A2622">
        <w:t>izvērtēt esošos vecāku pabalsta un bērna kopšanas pabalsta izmaksas nosacījumus ar mērķi sniegt valsts atbalstu dzimstības veicināšanai un ģimenēm ar bērniem</w:t>
      </w:r>
      <w:r w:rsidRPr="003B3E90">
        <w:t>;</w:t>
      </w:r>
    </w:p>
    <w:p w:rsidR="00421902" w:rsidRDefault="00414413" w:rsidP="00E84407">
      <w:pPr>
        <w:numPr>
          <w:ilvl w:val="0"/>
          <w:numId w:val="18"/>
        </w:numPr>
        <w:spacing w:after="40"/>
      </w:pPr>
      <w:r>
        <w:t>n</w:t>
      </w:r>
      <w:r w:rsidR="00421902" w:rsidRPr="00B300BF">
        <w:t>o 2014.gada nodrošināt pašvaldības pirmsskolas izglītības iestāžu rindu likvidēšanu</w:t>
      </w:r>
      <w:r w:rsidR="00421902">
        <w:t xml:space="preserve">. 2013.gada </w:t>
      </w:r>
      <w:r w:rsidR="00421902" w:rsidRPr="00B300BF">
        <w:t>valsts budžetā ir paredzēts līdzfinansējums pašvaldībām, lai no 1.septembra segtu vecāku izdevumus privātam pakalpojuma sniedzējam, ja pašvaldība nevar nodrošināt rindā uzņemtos bērnus no pusotra gada līdz 4 gadiem (ieska</w:t>
      </w:r>
      <w:r w:rsidR="00421902">
        <w:t>itot) ar pašvaldības bērnudārzu. N</w:t>
      </w:r>
      <w:r w:rsidR="00421902" w:rsidRPr="000A2245">
        <w:t>o 2014.gada ir plānots attīstīt pirmsskolas izglītības pakalpojuma pieejamību bērnam ar invaliditāti</w:t>
      </w:r>
      <w:r w:rsidR="00421902">
        <w:t>.</w:t>
      </w:r>
      <w:r w:rsidR="005474F2">
        <w:t xml:space="preserve"> </w:t>
      </w:r>
      <w:r w:rsidR="005474F2" w:rsidRPr="005433ED">
        <w:t xml:space="preserve">VARAM </w:t>
      </w:r>
      <w:proofErr w:type="spellStart"/>
      <w:r w:rsidR="005474F2" w:rsidRPr="005433ED">
        <w:t>pārziņā</w:t>
      </w:r>
      <w:proofErr w:type="spellEnd"/>
      <w:r w:rsidR="005474F2" w:rsidRPr="005433ED">
        <w:t xml:space="preserve"> ir </w:t>
      </w:r>
      <w:r w:rsidR="005474F2">
        <w:t xml:space="preserve">ERAF </w:t>
      </w:r>
      <w:r w:rsidR="005474F2" w:rsidRPr="005433ED">
        <w:t xml:space="preserve">aktivitāte </w:t>
      </w:r>
      <w:r w:rsidR="005474F2" w:rsidRPr="005474F2">
        <w:rPr>
          <w:i/>
        </w:rPr>
        <w:t>„Pirmsskolas izglītības iestāžu infrastruktūras attīstība nacionāl</w:t>
      </w:r>
      <w:r w:rsidR="005474F2">
        <w:rPr>
          <w:i/>
        </w:rPr>
        <w:t>ā</w:t>
      </w:r>
      <w:r w:rsidR="005474F2" w:rsidRPr="005474F2">
        <w:rPr>
          <w:i/>
        </w:rPr>
        <w:t>s un reģionāl</w:t>
      </w:r>
      <w:r w:rsidR="005474F2">
        <w:rPr>
          <w:i/>
        </w:rPr>
        <w:t>ā</w:t>
      </w:r>
      <w:r w:rsidR="005474F2" w:rsidRPr="005474F2">
        <w:rPr>
          <w:i/>
        </w:rPr>
        <w:t>s nozīmes attīstības centros”</w:t>
      </w:r>
      <w:r w:rsidR="005474F2" w:rsidRPr="005433ED">
        <w:t>, ku</w:t>
      </w:r>
      <w:r w:rsidR="005474F2">
        <w:t>ras ietvaros līdz 2012.gada 31.</w:t>
      </w:r>
      <w:r w:rsidR="005474F2" w:rsidRPr="005433ED">
        <w:t xml:space="preserve">decembrim ir pabeigti 44 projekti, turpinās 7 projektu ieviešana, tajā skaitā, jaunuzceltas vai paplašinātas 14 un renovētas vai labiekārtotas 58 pirmsskolas izglītības iestādes, kā arī radītas 2730 jaunas vietas bērniem pirmsskolas izglītības iestādēs. </w:t>
      </w:r>
      <w:r w:rsidR="005474F2">
        <w:t xml:space="preserve">Šai </w:t>
      </w:r>
      <w:r w:rsidR="005474F2" w:rsidRPr="005433ED">
        <w:t>aktivitātei pie</w:t>
      </w:r>
      <w:r w:rsidR="005474F2">
        <w:t>ejamais ERAF finansējums ir 32,</w:t>
      </w:r>
      <w:r w:rsidR="005474F2" w:rsidRPr="005433ED">
        <w:t xml:space="preserve">3 </w:t>
      </w:r>
      <w:proofErr w:type="spellStart"/>
      <w:r w:rsidR="005474F2" w:rsidRPr="005433ED">
        <w:t>milj</w:t>
      </w:r>
      <w:proofErr w:type="spellEnd"/>
      <w:r w:rsidR="005474F2" w:rsidRPr="005433ED">
        <w:t xml:space="preserve">. </w:t>
      </w:r>
      <w:r w:rsidR="005474F2">
        <w:t>latu,</w:t>
      </w:r>
      <w:r w:rsidR="005474F2" w:rsidRPr="005433ED">
        <w:t xml:space="preserve"> </w:t>
      </w:r>
      <w:r w:rsidR="005474F2">
        <w:t xml:space="preserve">ieskaitot </w:t>
      </w:r>
      <w:proofErr w:type="spellStart"/>
      <w:r w:rsidR="005474F2">
        <w:t>virssaistību</w:t>
      </w:r>
      <w:proofErr w:type="spellEnd"/>
      <w:r w:rsidR="005474F2">
        <w:t xml:space="preserve"> finansējumu</w:t>
      </w:r>
      <w:r w:rsidR="0081235F" w:rsidRPr="0081235F">
        <w:t>;</w:t>
      </w:r>
    </w:p>
    <w:p w:rsidR="00421902" w:rsidRPr="00406D7B" w:rsidRDefault="00421902" w:rsidP="00E84407">
      <w:pPr>
        <w:numPr>
          <w:ilvl w:val="0"/>
          <w:numId w:val="18"/>
        </w:numPr>
        <w:spacing w:after="40"/>
        <w:ind w:hanging="295"/>
        <w:rPr>
          <w:lang w:eastAsia="lv-LV"/>
        </w:rPr>
      </w:pPr>
      <w:r w:rsidRPr="00406D7B">
        <w:t xml:space="preserve">attīstīt sociālo darbu un sociālos pakalpojumus pašvaldībās; </w:t>
      </w:r>
    </w:p>
    <w:p w:rsidR="00421902" w:rsidRDefault="00421902" w:rsidP="00E84407">
      <w:pPr>
        <w:numPr>
          <w:ilvl w:val="0"/>
          <w:numId w:val="18"/>
        </w:numPr>
        <w:spacing w:after="40"/>
        <w:ind w:hanging="295"/>
      </w:pPr>
      <w:r w:rsidRPr="00B00FD1">
        <w:t>nodrošināt psihologa konsultācijas adoptētājiem, audžuģimenēm, aizbildņ</w:t>
      </w:r>
      <w:r w:rsidRPr="00F426A4">
        <w:t xml:space="preserve">iem, </w:t>
      </w:r>
      <w:proofErr w:type="spellStart"/>
      <w:r w:rsidRPr="00F426A4">
        <w:t>viesģimenēm</w:t>
      </w:r>
      <w:proofErr w:type="spellEnd"/>
      <w:r w:rsidRPr="00F426A4">
        <w:t>, ģimenēm ar bērniem krīzes situācijās, bez vecāku gādības palikušajiem bērniem, kā arī organizējot dažādas atbalsta grupas</w:t>
      </w:r>
      <w:r>
        <w:t>, attīstīt ģimenes videi pietuvinātu pakalpojumu attīstību ārpusģimenes aprūpē esošiem bērniem</w:t>
      </w:r>
      <w:r w:rsidR="00953545">
        <w:t>.</w:t>
      </w:r>
      <w:r w:rsidRPr="00F426A4">
        <w:t xml:space="preserve"> </w:t>
      </w:r>
    </w:p>
    <w:p w:rsidR="00421902" w:rsidRPr="00C43284" w:rsidRDefault="00421902" w:rsidP="00E84407">
      <w:pPr>
        <w:numPr>
          <w:ilvl w:val="0"/>
          <w:numId w:val="45"/>
        </w:numPr>
        <w:tabs>
          <w:tab w:val="clear" w:pos="720"/>
          <w:tab w:val="num" w:pos="426"/>
        </w:tabs>
        <w:spacing w:before="240" w:after="120"/>
        <w:ind w:left="426"/>
        <w:rPr>
          <w:bCs/>
        </w:rPr>
      </w:pPr>
      <w:r w:rsidRPr="00C43284">
        <w:rPr>
          <w:b/>
          <w:i/>
        </w:rPr>
        <w:t xml:space="preserve">Mātes un bērna veselības uzlabošanas pasākumi </w:t>
      </w:r>
      <w:r w:rsidRPr="00C43284">
        <w:rPr>
          <w:bCs/>
        </w:rPr>
        <w:t xml:space="preserve">(atbildīgā institūcija – VM) </w:t>
      </w:r>
    </w:p>
    <w:p w:rsidR="00421902" w:rsidRPr="00C43284" w:rsidRDefault="00421902" w:rsidP="009D28FA">
      <w:pPr>
        <w:spacing w:before="120"/>
        <w:ind w:firstLine="567"/>
      </w:pPr>
      <w:r w:rsidRPr="00D34085">
        <w:t xml:space="preserve">2012.gads Latvijā bija pasludināts par mātes un bērna veselības gadu. 2012.gadā tika apstiprināts </w:t>
      </w:r>
      <w:r w:rsidRPr="00AE2488">
        <w:rPr>
          <w:i/>
        </w:rPr>
        <w:t>Mātes un bērna veselības uzlabošanas plāns 2012.</w:t>
      </w:r>
      <w:r w:rsidR="009D28FA">
        <w:rPr>
          <w:i/>
        </w:rPr>
        <w:t>–</w:t>
      </w:r>
      <w:r w:rsidRPr="00AE2488">
        <w:rPr>
          <w:i/>
        </w:rPr>
        <w:t>2015.gadam</w:t>
      </w:r>
      <w:r w:rsidRPr="00D34085">
        <w:t>, kas paredz konkrētus pasākumus grūtnieču un jaundzimušo aprūpes uzlabošanā, neauglības ārstēšanā un starpnozaru sadarbībā reproduktīvās veselības jomā. Attiecībā uz neauglības</w:t>
      </w:r>
      <w:r w:rsidRPr="00C43284">
        <w:t xml:space="preserve"> ārstēšanu, minētais plāns paredz neauglības diagnostisko izmeklējumu, medicīniskās apaugļošanas procedūru/manipulāciju un medikamentu neauglības ārstēšanas nodrošināšanai apmaksu no valsts budžeta līdzekļiem.</w:t>
      </w:r>
    </w:p>
    <w:p w:rsidR="00421902" w:rsidRPr="00C43284" w:rsidRDefault="00421902" w:rsidP="009D28FA">
      <w:pPr>
        <w:pStyle w:val="Default"/>
        <w:numPr>
          <w:ilvl w:val="0"/>
          <w:numId w:val="8"/>
        </w:numPr>
        <w:spacing w:before="240" w:after="120"/>
        <w:ind w:left="357" w:hanging="357"/>
        <w:jc w:val="both"/>
        <w:rPr>
          <w:rFonts w:ascii="Times New Roman" w:hAnsi="Times New Roman" w:cs="Times New Roman"/>
          <w:bCs/>
          <w:color w:val="auto"/>
        </w:rPr>
      </w:pPr>
      <w:r w:rsidRPr="00C43284">
        <w:rPr>
          <w:rFonts w:ascii="Times New Roman" w:hAnsi="Times New Roman" w:cs="Times New Roman"/>
          <w:b/>
          <w:i/>
        </w:rPr>
        <w:t xml:space="preserve">Kvalitatīvas </w:t>
      </w:r>
      <w:r>
        <w:rPr>
          <w:rFonts w:ascii="Times New Roman" w:hAnsi="Times New Roman" w:cs="Times New Roman"/>
          <w:b/>
          <w:i/>
        </w:rPr>
        <w:t xml:space="preserve">un efektīvas </w:t>
      </w:r>
      <w:r w:rsidRPr="00C43284">
        <w:rPr>
          <w:rFonts w:ascii="Times New Roman" w:hAnsi="Times New Roman" w:cs="Times New Roman"/>
          <w:b/>
          <w:i/>
        </w:rPr>
        <w:t xml:space="preserve">veselības aprūpes pakalpojumu sistēmas veidošana, </w:t>
      </w:r>
      <w:r w:rsidRPr="00C43284">
        <w:rPr>
          <w:rFonts w:ascii="Times New Roman" w:hAnsi="Times New Roman" w:cs="Times New Roman"/>
          <w:b/>
          <w:bCs/>
          <w:i/>
          <w:color w:val="auto"/>
        </w:rPr>
        <w:t>slimību riska faktoru mazināšana, traumatisma un vides risku ietekmes uz sabiedrības veselību mazināšana</w:t>
      </w:r>
      <w:r w:rsidR="00D45640">
        <w:rPr>
          <w:rFonts w:ascii="Times New Roman" w:hAnsi="Times New Roman" w:cs="Times New Roman"/>
          <w:b/>
          <w:i/>
        </w:rPr>
        <w:t xml:space="preserve"> </w:t>
      </w:r>
      <w:r w:rsidRPr="00C43284">
        <w:rPr>
          <w:rFonts w:ascii="Times New Roman" w:hAnsi="Times New Roman" w:cs="Times New Roman"/>
        </w:rPr>
        <w:t>(atbildīgā institūcija – VM)</w:t>
      </w:r>
    </w:p>
    <w:p w:rsidR="00421902" w:rsidRPr="00C43284" w:rsidRDefault="00421902" w:rsidP="00421902">
      <w:pPr>
        <w:ind w:firstLine="567"/>
      </w:pPr>
      <w:r w:rsidRPr="00C43284">
        <w:t xml:space="preserve">Mērķis ir </w:t>
      </w:r>
      <w:r>
        <w:t>mazināt iedzīvotāju saslimstību un mirstību,</w:t>
      </w:r>
      <w:r w:rsidRPr="00C43284">
        <w:t xml:space="preserve"> nodrošin</w:t>
      </w:r>
      <w:r>
        <w:t>o</w:t>
      </w:r>
      <w:r w:rsidRPr="00C43284">
        <w:t xml:space="preserve">t efektīvu veselības aprūpes sistēmas pārvaldi un resursu izmantošanu, </w:t>
      </w:r>
      <w:r>
        <w:t>veicinot slimību agrīnu diagnostiku, uzlabojot hronisko pacientu aprūpi un īstenojot veselības veicināšanas pasākumus.</w:t>
      </w:r>
    </w:p>
    <w:p w:rsidR="00421902" w:rsidRPr="00C43284" w:rsidRDefault="00421902" w:rsidP="00DA32E1">
      <w:pPr>
        <w:spacing w:before="120"/>
        <w:ind w:firstLine="567"/>
      </w:pPr>
      <w:r>
        <w:t>Mērķa sasniegšanai 2013. un 2014.gadā ir paredzēts</w:t>
      </w:r>
      <w:r w:rsidRPr="00C43284">
        <w:t>:</w:t>
      </w:r>
    </w:p>
    <w:p w:rsidR="00421902" w:rsidRDefault="00421902" w:rsidP="00E84407">
      <w:pPr>
        <w:pStyle w:val="ListParagraph"/>
        <w:numPr>
          <w:ilvl w:val="0"/>
          <w:numId w:val="46"/>
        </w:numPr>
        <w:shd w:val="clear" w:color="auto" w:fill="FFFFFF"/>
        <w:spacing w:line="22" w:lineRule="atLeast"/>
      </w:pPr>
      <w:r>
        <w:lastRenderedPageBreak/>
        <w:t>izstrādāt un ieviest valsts veselības obligātās apdrošināšanas modeli ar mērķi izveidot ilgtspējīgu veselības aprūpes finanšu sistēmu, līdz 2020.gadam sasniedzot veselības aprūpes valsts budžetu 4,5% apmērā no IKP;</w:t>
      </w:r>
    </w:p>
    <w:p w:rsidR="00421902" w:rsidRDefault="00421902" w:rsidP="00E84407">
      <w:pPr>
        <w:pStyle w:val="ListParagraph"/>
        <w:numPr>
          <w:ilvl w:val="0"/>
          <w:numId w:val="46"/>
        </w:numPr>
        <w:rPr>
          <w:sz w:val="20"/>
          <w:szCs w:val="20"/>
        </w:rPr>
      </w:pPr>
      <w:r>
        <w:t>uzlabot primārās veselības aprūpes pakalpojumu pieejamību, kvalitāti un aprūpes pēctecību, īpaši personām ar hroniskām saslimšanām un palielināt primārās aprūpes lomu veselības veicināšanā un agrīnā slimību diagnostikā;</w:t>
      </w:r>
      <w:r w:rsidR="00D45640">
        <w:rPr>
          <w:sz w:val="20"/>
          <w:szCs w:val="20"/>
        </w:rPr>
        <w:t xml:space="preserve"> </w:t>
      </w:r>
    </w:p>
    <w:p w:rsidR="00421902" w:rsidRDefault="00421902" w:rsidP="00E84407">
      <w:pPr>
        <w:pStyle w:val="ListParagraph"/>
        <w:numPr>
          <w:ilvl w:val="0"/>
          <w:numId w:val="46"/>
        </w:numPr>
        <w:rPr>
          <w:color w:val="000000" w:themeColor="text1"/>
        </w:rPr>
      </w:pPr>
      <w:r>
        <w:t>turpināt ambulatoro pakalpojumu, tai skaitā, dienas stacionāru, attīstīšanu,</w:t>
      </w:r>
      <w:r>
        <w:rPr>
          <w:b/>
        </w:rPr>
        <w:t xml:space="preserve"> </w:t>
      </w:r>
      <w:r>
        <w:t>lai uzlabotu šo pakalpojumu pieejamību un sekmētu efektīvu veselības aprūpes resursu izlietošanu;</w:t>
      </w:r>
    </w:p>
    <w:p w:rsidR="00421902" w:rsidRDefault="00421902" w:rsidP="00E84407">
      <w:pPr>
        <w:pStyle w:val="ListParagraph"/>
        <w:numPr>
          <w:ilvl w:val="0"/>
          <w:numId w:val="46"/>
        </w:numPr>
        <w:rPr>
          <w:b/>
          <w:sz w:val="28"/>
          <w:szCs w:val="28"/>
        </w:rPr>
      </w:pPr>
      <w:r>
        <w:t>veikt pasākumus stacionārās veselības aprūpes efektivitātes paaugstināšanai, turpinot ar diagnozēm saistīta grupu apmaksas modeļa</w:t>
      </w:r>
      <w:r w:rsidR="00D45640">
        <w:t xml:space="preserve"> </w:t>
      </w:r>
      <w:r>
        <w:t>izstrādi un uzsākot tā ieviešan</w:t>
      </w:r>
      <w:r w:rsidR="004162DE">
        <w:t>u</w:t>
      </w:r>
      <w:r>
        <w:t xml:space="preserve"> stacionārajā veselības aprūpē;</w:t>
      </w:r>
    </w:p>
    <w:p w:rsidR="002A20E8" w:rsidRDefault="00421902" w:rsidP="00E84407">
      <w:pPr>
        <w:pStyle w:val="ListParagraph"/>
        <w:numPr>
          <w:ilvl w:val="0"/>
          <w:numId w:val="46"/>
        </w:numPr>
        <w:shd w:val="clear" w:color="auto" w:fill="FFFFFF"/>
        <w:spacing w:line="22" w:lineRule="atLeast"/>
      </w:pPr>
      <w:r>
        <w:t xml:space="preserve">īstenot </w:t>
      </w:r>
      <w:r w:rsidRPr="00AE2488">
        <w:t xml:space="preserve">pasākumus veselības veicināšanā un slimību profilaksē, piemēram, </w:t>
      </w:r>
      <w:r>
        <w:t>a</w:t>
      </w:r>
      <w:r w:rsidRPr="00AE2488">
        <w:rPr>
          <w:lang w:eastAsia="lv-LV"/>
        </w:rPr>
        <w:t>lkoholisko dzērienu patēriņa mazināšan</w:t>
      </w:r>
      <w:r w:rsidR="007C21C0">
        <w:rPr>
          <w:lang w:eastAsia="lv-LV"/>
        </w:rPr>
        <w:t>u</w:t>
      </w:r>
      <w:r w:rsidRPr="00AE2488">
        <w:rPr>
          <w:lang w:eastAsia="lv-LV"/>
        </w:rPr>
        <w:t xml:space="preserve">, </w:t>
      </w:r>
      <w:r w:rsidRPr="00AE2488">
        <w:t>iedzīvotāju saslimstības mazināšan</w:t>
      </w:r>
      <w:r w:rsidR="007C21C0">
        <w:t>u</w:t>
      </w:r>
      <w:r w:rsidRPr="00AE2488">
        <w:t xml:space="preserve"> ar </w:t>
      </w:r>
      <w:proofErr w:type="spellStart"/>
      <w:r w:rsidRPr="00AE2488">
        <w:t>vakcīnr</w:t>
      </w:r>
      <w:r>
        <w:t>egulējamām</w:t>
      </w:r>
      <w:proofErr w:type="spellEnd"/>
      <w:r>
        <w:t xml:space="preserve"> infekcijas slimībām.</w:t>
      </w:r>
    </w:p>
    <w:p w:rsidR="008F2EE4" w:rsidRPr="00B703A3" w:rsidRDefault="008F2EE4" w:rsidP="00A01A2F">
      <w:pPr>
        <w:pStyle w:val="Heading2"/>
        <w:spacing w:before="480" w:after="120"/>
        <w:jc w:val="center"/>
        <w:rPr>
          <w:rFonts w:ascii="Times New Roman Bold" w:hAnsi="Times New Roman Bold"/>
          <w:smallCaps/>
          <w:sz w:val="24"/>
          <w:szCs w:val="24"/>
        </w:rPr>
      </w:pPr>
      <w:bookmarkStart w:id="38" w:name="_Toc354384948"/>
      <w:r w:rsidRPr="00B703A3">
        <w:rPr>
          <w:rFonts w:ascii="Times New Roman Bold" w:hAnsi="Times New Roman Bold"/>
          <w:smallCaps/>
          <w:sz w:val="24"/>
          <w:szCs w:val="24"/>
        </w:rPr>
        <w:t>3.6. Enerģētika un klimata pārmaiņas</w:t>
      </w:r>
      <w:bookmarkEnd w:id="38"/>
    </w:p>
    <w:p w:rsidR="00BC1D26" w:rsidRDefault="00421902" w:rsidP="00053CEA">
      <w:pPr>
        <w:ind w:firstLine="567"/>
      </w:pPr>
      <w:r w:rsidRPr="00C43284">
        <w:t xml:space="preserve">Ekonomiskās krīzes rezultātā būtiski ir mainījusies situācija enerģētikas nozarē kopumā. Lai plānotu enerģētikas nozares attīstību ilgtermiņā, tajā skaitā, lai nodrošinātu Latvijas NRP noteikto enerģētikas mērķa rādītāju sasniegšanu, </w:t>
      </w:r>
      <w:r w:rsidRPr="00406D7B">
        <w:t>pašlaik notiek darbs pie ilgtermiņa enerģētikas politikas redzējuma formulējuma, izstrādājot informatīvo ziņojumu</w:t>
      </w:r>
      <w:r w:rsidRPr="00406D7B">
        <w:rPr>
          <w:i/>
        </w:rPr>
        <w:t xml:space="preserve"> Latvijas enerģētikas ilgtermiņa stratēģija 2030 – Konkurētspējīga enerģētika sabiedrībai</w:t>
      </w:r>
      <w:r>
        <w:t xml:space="preserve"> (turpmāk –Stratēģija).</w:t>
      </w:r>
      <w:r w:rsidRPr="00406D7B">
        <w:rPr>
          <w:b/>
          <w:i/>
        </w:rPr>
        <w:t xml:space="preserve"> </w:t>
      </w:r>
      <w:r w:rsidRPr="00C43284">
        <w:t>Šis dokuments noteiks darbības virzienus ilgtermiņā energoapgādes drošībā, konkurētspējā, energoefektivitātē un arī atjaunojamās enerģijas (turpmāk tekstā – AE) izmantošanā. Vienlaikus tiek izvērtēti un pārskatīti esošie valsts atbalsta mehānismi enerģijas ražošanai no atjaunojamajiem energoresursiem (turpmāk tekstā – AER).</w:t>
      </w:r>
    </w:p>
    <w:p w:rsidR="00A81940" w:rsidRPr="00C43284" w:rsidRDefault="00A81940" w:rsidP="00A81940">
      <w:pPr>
        <w:spacing w:before="120"/>
        <w:ind w:firstLine="567"/>
      </w:pPr>
      <w:r>
        <w:rPr>
          <w:rFonts w:eastAsia="Times New Roman"/>
        </w:rPr>
        <w:t>Kopumā visi zemāk minēti pasākumi saistās ar</w:t>
      </w:r>
      <w:r w:rsidR="00D776E6">
        <w:rPr>
          <w:rFonts w:eastAsia="Times New Roman"/>
        </w:rPr>
        <w:t xml:space="preserve"> </w:t>
      </w:r>
      <w:r w:rsidR="00D776E6" w:rsidRPr="00353580">
        <w:rPr>
          <w:rFonts w:eastAsia="Times New Roman"/>
          <w:i/>
        </w:rPr>
        <w:t>2013.gada izaugsmes ziņojuma</w:t>
      </w:r>
      <w:r w:rsidR="00D776E6">
        <w:rPr>
          <w:rFonts w:eastAsia="Times New Roman"/>
        </w:rPr>
        <w:t xml:space="preserve"> prioritāt</w:t>
      </w:r>
      <w:r w:rsidR="00EA37E7">
        <w:rPr>
          <w:rFonts w:eastAsia="Times New Roman"/>
        </w:rPr>
        <w:t>i</w:t>
      </w:r>
      <w:r w:rsidR="00D776E6">
        <w:rPr>
          <w:rFonts w:eastAsia="Times New Roman"/>
        </w:rPr>
        <w:t xml:space="preserve"> attiecībā uz izaugsmes un konkurētspējas palielināšanu, kā arī sekmē </w:t>
      </w:r>
      <w:r w:rsidRPr="00FF5C3A">
        <w:rPr>
          <w:rFonts w:eastAsia="Times New Roman"/>
          <w:i/>
        </w:rPr>
        <w:t>„Eiropa 2020”</w:t>
      </w:r>
      <w:r>
        <w:rPr>
          <w:rFonts w:eastAsia="Times New Roman"/>
        </w:rPr>
        <w:t xml:space="preserve"> stratēģijas vadošās iniciatīvas </w:t>
      </w:r>
      <w:r w:rsidRPr="00935AB4">
        <w:rPr>
          <w:rFonts w:eastAsia="Times New Roman"/>
          <w:i/>
        </w:rPr>
        <w:t>„</w:t>
      </w:r>
      <w:r>
        <w:rPr>
          <w:rFonts w:eastAsia="Times New Roman"/>
          <w:i/>
        </w:rPr>
        <w:t>Resursu ziņā efektīva Eiropa</w:t>
      </w:r>
      <w:r w:rsidRPr="00935AB4">
        <w:rPr>
          <w:rFonts w:eastAsia="Times New Roman"/>
          <w:i/>
        </w:rPr>
        <w:t>”</w:t>
      </w:r>
      <w:r>
        <w:rPr>
          <w:rFonts w:eastAsia="Times New Roman"/>
        </w:rPr>
        <w:t xml:space="preserve"> īstenošanu.</w:t>
      </w:r>
    </w:p>
    <w:p w:rsidR="00BC1D26" w:rsidRPr="00C43284" w:rsidRDefault="00BC1D26" w:rsidP="00F44021">
      <w:pPr>
        <w:pStyle w:val="Heading3"/>
        <w:spacing w:before="360" w:after="120"/>
        <w:ind w:left="567"/>
        <w:rPr>
          <w:rFonts w:ascii="Times New Roman" w:hAnsi="Times New Roman" w:cs="Times New Roman"/>
          <w:color w:val="auto"/>
        </w:rPr>
      </w:pPr>
      <w:bookmarkStart w:id="39" w:name="_Toc354384949"/>
      <w:r w:rsidRPr="00C43284">
        <w:rPr>
          <w:rFonts w:ascii="Times New Roman" w:hAnsi="Times New Roman" w:cs="Times New Roman"/>
          <w:color w:val="auto"/>
        </w:rPr>
        <w:t>3.6.</w:t>
      </w:r>
      <w:r w:rsidR="00B1259C" w:rsidRPr="00C43284">
        <w:rPr>
          <w:rFonts w:ascii="Times New Roman" w:hAnsi="Times New Roman" w:cs="Times New Roman"/>
          <w:color w:val="auto"/>
        </w:rPr>
        <w:t>1</w:t>
      </w:r>
      <w:r w:rsidRPr="00C43284">
        <w:rPr>
          <w:rFonts w:ascii="Times New Roman" w:hAnsi="Times New Roman" w:cs="Times New Roman"/>
          <w:color w:val="auto"/>
        </w:rPr>
        <w:t>. Energoefektivitātes veicināšana</w:t>
      </w:r>
      <w:bookmarkEnd w:id="39"/>
    </w:p>
    <w:p w:rsidR="00421902" w:rsidRPr="0026551E" w:rsidRDefault="00421902" w:rsidP="00614899">
      <w:pPr>
        <w:autoSpaceDE w:val="0"/>
        <w:autoSpaceDN w:val="0"/>
        <w:adjustRightInd w:val="0"/>
        <w:ind w:firstLine="567"/>
        <w:rPr>
          <w:rFonts w:eastAsiaTheme="minorHAnsi"/>
          <w:color w:val="000000"/>
        </w:rPr>
      </w:pPr>
      <w:r w:rsidRPr="0026551E">
        <w:rPr>
          <w:rFonts w:eastAsiaTheme="minorHAnsi"/>
          <w:bCs/>
          <w:color w:val="000000"/>
        </w:rPr>
        <w:t>Eiropas Parlamenta un Padomes 2012.gada 25.oktobra Direktīvas 2012/27/ES par energoefektivitāti, ar ko groza Direktīvas 2009/125/EK un 2010/30/ES un atceļ Direktīvas 2004/8/EK un 2006/32/EK (turpmāk - Direktīva 2012/27/ES)</w:t>
      </w:r>
      <w:r w:rsidR="00D45640">
        <w:rPr>
          <w:rFonts w:eastAsiaTheme="minorHAnsi"/>
          <w:bCs/>
          <w:color w:val="000000"/>
        </w:rPr>
        <w:t xml:space="preserve"> </w:t>
      </w:r>
      <w:r w:rsidRPr="0026551E">
        <w:rPr>
          <w:rFonts w:eastAsiaTheme="minorHAnsi"/>
          <w:bCs/>
          <w:color w:val="000000"/>
        </w:rPr>
        <w:t xml:space="preserve">mērķis ir </w:t>
      </w:r>
      <w:r w:rsidRPr="0026551E">
        <w:rPr>
          <w:rFonts w:eastAsiaTheme="minorHAnsi"/>
          <w:color w:val="000000"/>
        </w:rPr>
        <w:t xml:space="preserve">energoefektivitātes </w:t>
      </w:r>
      <w:r w:rsidR="00614899">
        <w:rPr>
          <w:rFonts w:eastAsiaTheme="minorHAnsi"/>
          <w:color w:val="000000"/>
        </w:rPr>
        <w:t>veicināšana, lai nodrošinātu 20</w:t>
      </w:r>
      <w:r w:rsidRPr="0026551E">
        <w:rPr>
          <w:rFonts w:eastAsiaTheme="minorHAnsi"/>
          <w:color w:val="000000"/>
        </w:rPr>
        <w:t>% energoefektivitātes pamatmērķa sasniegšanu un liktu pamatus turpmākiem energoefektivitātes uzlabojumiem.</w:t>
      </w:r>
      <w:r>
        <w:rPr>
          <w:rFonts w:eastAsiaTheme="minorHAnsi"/>
          <w:color w:val="000000"/>
        </w:rPr>
        <w:t xml:space="preserve"> </w:t>
      </w:r>
      <w:r w:rsidRPr="0026551E">
        <w:rPr>
          <w:rFonts w:eastAsiaTheme="minorHAnsi"/>
          <w:color w:val="000000"/>
        </w:rPr>
        <w:t xml:space="preserve">Direktīvas prasības jāpārņem nacionālajā likumdošanā līdz 2014.gada 5.jūnijam, bet atsevišķām prasībām ir noteikti citi izpildes termiņi, tostarp par valsts noteikto indikatīvo energoefektivitātes mērķi jāziņo līdz 2013.gada 30.aprīlim. Direktīva nosaka, ka dalībvalstīm ir jāizmanto integrēta pieeja, lai realizētu visu esošo enerģijas ietaupījuma potenciālu, ieskaitot ietaupījumus enerģijas piegādes un galapatēriņa nozarēs. </w:t>
      </w:r>
    </w:p>
    <w:p w:rsidR="00697536" w:rsidRDefault="00421902" w:rsidP="00697536">
      <w:pPr>
        <w:ind w:firstLine="567"/>
      </w:pPr>
      <w:r w:rsidRPr="00961854">
        <w:rPr>
          <w:rFonts w:eastAsiaTheme="minorHAnsi"/>
          <w:color w:val="000000"/>
        </w:rPr>
        <w:t xml:space="preserve">Līdz šim Latvija, atbilstoši Direktīvas </w:t>
      </w:r>
      <w:r w:rsidRPr="00961854">
        <w:rPr>
          <w:rFonts w:eastAsiaTheme="minorHAnsi"/>
          <w:bCs/>
          <w:color w:val="000000"/>
        </w:rPr>
        <w:t>2006/32/EK prasībām,</w:t>
      </w:r>
      <w:r w:rsidR="00D45640">
        <w:rPr>
          <w:rFonts w:eastAsiaTheme="minorHAnsi"/>
          <w:bCs/>
          <w:color w:val="000000"/>
        </w:rPr>
        <w:t xml:space="preserve"> </w:t>
      </w:r>
      <w:r w:rsidRPr="00961854">
        <w:rPr>
          <w:rFonts w:eastAsiaTheme="minorHAnsi"/>
          <w:color w:val="000000"/>
        </w:rPr>
        <w:t xml:space="preserve">ir iesniegusi </w:t>
      </w:r>
      <w:r w:rsidR="008C2921" w:rsidRPr="00961854">
        <w:rPr>
          <w:rFonts w:eastAsiaTheme="minorHAnsi"/>
          <w:color w:val="000000"/>
        </w:rPr>
        <w:t xml:space="preserve">EK </w:t>
      </w:r>
      <w:r w:rsidRPr="00961854">
        <w:rPr>
          <w:rFonts w:eastAsiaTheme="minorHAnsi"/>
          <w:color w:val="000000"/>
        </w:rPr>
        <w:t xml:space="preserve">divus valsts energoefektivitātes rīcības plānus. </w:t>
      </w:r>
      <w:r w:rsidRPr="00961854">
        <w:t xml:space="preserve">2011.gadā tika apstiprināts </w:t>
      </w:r>
      <w:r w:rsidRPr="00961854">
        <w:rPr>
          <w:i/>
        </w:rPr>
        <w:t>Latvijas Republikas Otrais energoefektivitātes rīcības plāns 2011.</w:t>
      </w:r>
      <w:r w:rsidR="008C2921">
        <w:rPr>
          <w:i/>
        </w:rPr>
        <w:t>–</w:t>
      </w:r>
      <w:r w:rsidRPr="00961854">
        <w:rPr>
          <w:i/>
        </w:rPr>
        <w:t xml:space="preserve">2013.gadam </w:t>
      </w:r>
      <w:r w:rsidRPr="00961854">
        <w:t>(turpmāk</w:t>
      </w:r>
      <w:r w:rsidR="008C2921">
        <w:t xml:space="preserve"> tekstā –</w:t>
      </w:r>
      <w:r w:rsidRPr="00961854">
        <w:t xml:space="preserve"> plāns), kas ietver arī </w:t>
      </w:r>
      <w:r w:rsidRPr="00961854">
        <w:rPr>
          <w:i/>
        </w:rPr>
        <w:t>Latvijas Republikas Pirmā energoefektivitātes rīcības plāna 2007.</w:t>
      </w:r>
      <w:r w:rsidR="008C2921">
        <w:rPr>
          <w:i/>
        </w:rPr>
        <w:t>–</w:t>
      </w:r>
      <w:r w:rsidRPr="00961854">
        <w:rPr>
          <w:i/>
        </w:rPr>
        <w:t>2010.gadam</w:t>
      </w:r>
      <w:r w:rsidRPr="00961854">
        <w:t xml:space="preserve"> </w:t>
      </w:r>
      <w:r>
        <w:t>izpildes novērtējumu. Ņemot vērā</w:t>
      </w:r>
      <w:r w:rsidRPr="00961854">
        <w:t xml:space="preserve"> to, ka 2011.gada nogalē </w:t>
      </w:r>
      <w:r>
        <w:t>CSP</w:t>
      </w:r>
      <w:r w:rsidRPr="00961854">
        <w:t xml:space="preserve"> koriģēja datus par degvielas patēriņu transporta sektorā par 2009.gadu, bija nepieciešams veikt pārrēķinu par enerģijas ietaupījumu transporta sektorā. Koriģētais aprēķinātais enerģijas ietaupījums transporta sektorā 2009.g</w:t>
      </w:r>
      <w:r>
        <w:t xml:space="preserve">adam ir 1331GWh, nevis 2680 </w:t>
      </w:r>
      <w:proofErr w:type="spellStart"/>
      <w:r>
        <w:t>GWh</w:t>
      </w:r>
      <w:proofErr w:type="spellEnd"/>
      <w:r w:rsidRPr="00961854">
        <w:t>.</w:t>
      </w:r>
      <w:r>
        <w:t xml:space="preserve"> </w:t>
      </w:r>
      <w:r w:rsidR="00697536" w:rsidRPr="003E40CE">
        <w:t xml:space="preserve">Līdz ar šo korekciju iegūtie kopējie enerģijas ietaupījumi galapatēriņa sektoros 2010.gadā ir samazinājušies no 3418 </w:t>
      </w:r>
      <w:proofErr w:type="spellStart"/>
      <w:r w:rsidR="00697536" w:rsidRPr="003E40CE">
        <w:t>GWh</w:t>
      </w:r>
      <w:proofErr w:type="spellEnd"/>
      <w:r w:rsidR="00697536" w:rsidRPr="003E40CE">
        <w:t xml:space="preserve"> (12,3 </w:t>
      </w:r>
      <w:r w:rsidR="00697536" w:rsidRPr="003E40CE">
        <w:lastRenderedPageBreak/>
        <w:t>PJ)</w:t>
      </w:r>
      <w:r w:rsidR="00D45640">
        <w:t xml:space="preserve"> </w:t>
      </w:r>
      <w:r w:rsidR="00697536" w:rsidRPr="003E40CE">
        <w:t xml:space="preserve">līdz 2069 </w:t>
      </w:r>
      <w:proofErr w:type="spellStart"/>
      <w:r w:rsidR="00697536" w:rsidRPr="003E40CE">
        <w:t>GWh</w:t>
      </w:r>
      <w:proofErr w:type="spellEnd"/>
      <w:r w:rsidR="00697536" w:rsidRPr="003E40CE">
        <w:t xml:space="preserve"> (7,4 PJ). </w:t>
      </w:r>
      <w:r w:rsidR="00697536" w:rsidRPr="003E40CE">
        <w:rPr>
          <w:color w:val="000000"/>
        </w:rPr>
        <w:t>Atbilstoši Direktīvas 2012/27/ES 3.panta prasībām n</w:t>
      </w:r>
      <w:r w:rsidR="00697536" w:rsidRPr="003E40CE">
        <w:t xml:space="preserve">ovērtētais primārās enerģijas ietaupījums 2020.gadā ir 0,670 </w:t>
      </w:r>
      <w:proofErr w:type="spellStart"/>
      <w:r w:rsidR="00697536" w:rsidRPr="003E40CE">
        <w:t>Mtoe</w:t>
      </w:r>
      <w:proofErr w:type="spellEnd"/>
      <w:r w:rsidR="00697536" w:rsidRPr="003E40CE">
        <w:t xml:space="preserve"> (28 PJ), kas paredz enerģijas ietaupījumu daudzdzīvokļu dzīvojamās ēkās, pašvaldības un valsts iestāžu ēkās, enerģijas ietaupījumu rūpniecībā, pakalpojumu sektorā un transportā, kā arī enerģijas ietaupījumu centralizētās siltumapgādes sistēmās. Energoefektivitātes pasākumu realizācija kopumā </w:t>
      </w:r>
      <w:r w:rsidR="00697536" w:rsidRPr="00A81301">
        <w:rPr>
          <w:rFonts w:eastAsiaTheme="minorHAnsi"/>
          <w:bCs/>
          <w:color w:val="000000"/>
        </w:rPr>
        <w:t xml:space="preserve">veicinās pāreju uz </w:t>
      </w:r>
      <w:proofErr w:type="spellStart"/>
      <w:r w:rsidR="00697536" w:rsidRPr="00A81301">
        <w:rPr>
          <w:rFonts w:eastAsiaTheme="minorHAnsi"/>
          <w:bCs/>
          <w:color w:val="000000"/>
        </w:rPr>
        <w:t>energoefektīvāku</w:t>
      </w:r>
      <w:proofErr w:type="spellEnd"/>
      <w:r w:rsidR="00697536" w:rsidRPr="00A81301">
        <w:rPr>
          <w:rFonts w:eastAsiaTheme="minorHAnsi"/>
          <w:bCs/>
          <w:color w:val="000000"/>
        </w:rPr>
        <w:t xml:space="preserve"> ekonomiku un palielinās rūpniecības un citu sektoru konkurētspēju.</w:t>
      </w:r>
    </w:p>
    <w:p w:rsidR="00697536" w:rsidRPr="00A81301" w:rsidRDefault="00697536" w:rsidP="00697536">
      <w:pPr>
        <w:ind w:firstLine="567"/>
        <w:rPr>
          <w:rFonts w:eastAsia="Times New Roman"/>
          <w:lang w:eastAsia="lv-LV"/>
        </w:rPr>
      </w:pPr>
      <w:r w:rsidRPr="003E40CE">
        <w:rPr>
          <w:rFonts w:eastAsia="Times New Roman"/>
          <w:lang w:eastAsia="lv-LV"/>
        </w:rPr>
        <w:t>Enerģijas ietaupījuma novērtēšanā tika ņemt</w:t>
      </w:r>
      <w:r>
        <w:rPr>
          <w:rFonts w:eastAsia="Times New Roman"/>
          <w:lang w:eastAsia="lv-LV"/>
        </w:rPr>
        <w:t>a</w:t>
      </w:r>
      <w:r w:rsidRPr="003E40CE">
        <w:rPr>
          <w:rFonts w:eastAsia="Times New Roman"/>
          <w:lang w:eastAsia="lv-LV"/>
        </w:rPr>
        <w:t xml:space="preserve">s vērā IKP prognozes līdz 2020.gadam, kas nosaka enerģijas pieprasījuma izmaiņas, spēkā esošā </w:t>
      </w:r>
      <w:r w:rsidRPr="00A81301">
        <w:rPr>
          <w:rFonts w:eastAsia="Times New Roman"/>
          <w:lang w:eastAsia="lv-LV"/>
        </w:rPr>
        <w:t>enerģētikas</w:t>
      </w:r>
      <w:r w:rsidRPr="003E40CE">
        <w:rPr>
          <w:rFonts w:eastAsia="Times New Roman"/>
          <w:lang w:eastAsia="lv-LV"/>
        </w:rPr>
        <w:t xml:space="preserve"> politika, kas nosaka</w:t>
      </w:r>
      <w:r>
        <w:rPr>
          <w:rFonts w:eastAsia="Times New Roman"/>
          <w:lang w:eastAsia="lv-LV"/>
        </w:rPr>
        <w:t xml:space="preserve"> indikatīvus AER politikas mērķus</w:t>
      </w:r>
      <w:r w:rsidRPr="003E40CE">
        <w:rPr>
          <w:rFonts w:eastAsia="Times New Roman"/>
          <w:lang w:eastAsia="lv-LV"/>
        </w:rPr>
        <w:t xml:space="preserve"> 2020.gad</w:t>
      </w:r>
      <w:r>
        <w:rPr>
          <w:rFonts w:eastAsia="Times New Roman"/>
          <w:lang w:eastAsia="lv-LV"/>
        </w:rPr>
        <w:t>am</w:t>
      </w:r>
      <w:r w:rsidRPr="003E40CE">
        <w:rPr>
          <w:rFonts w:eastAsia="Times New Roman"/>
          <w:lang w:eastAsia="lv-LV"/>
        </w:rPr>
        <w:t xml:space="preserve"> un enerģijas efektivitātes politikā līdz 2016.gadam, kā arī NAP</w:t>
      </w:r>
      <w:r>
        <w:rPr>
          <w:rFonts w:eastAsia="Times New Roman"/>
          <w:lang w:eastAsia="lv-LV"/>
        </w:rPr>
        <w:t>2020</w:t>
      </w:r>
      <w:r w:rsidRPr="003E40CE">
        <w:rPr>
          <w:rFonts w:eastAsia="Times New Roman"/>
          <w:lang w:eastAsia="lv-LV"/>
        </w:rPr>
        <w:t xml:space="preserve"> minētie pasākumi enerģētikas sektora attīstībā.</w:t>
      </w:r>
    </w:p>
    <w:p w:rsidR="00421902" w:rsidRDefault="00697536" w:rsidP="00697536">
      <w:pPr>
        <w:ind w:firstLine="567"/>
        <w:rPr>
          <w:rFonts w:eastAsiaTheme="minorHAnsi"/>
          <w:bCs/>
          <w:color w:val="000000"/>
        </w:rPr>
      </w:pPr>
      <w:r>
        <w:rPr>
          <w:rFonts w:eastAsiaTheme="minorHAnsi"/>
          <w:bCs/>
          <w:color w:val="000000"/>
        </w:rPr>
        <w:t xml:space="preserve">Latvija virzās uz noteikto mērķi 2020.gadā panākt enerģijas ietaupījumu 0,670 </w:t>
      </w:r>
      <w:proofErr w:type="spellStart"/>
      <w:r>
        <w:rPr>
          <w:rFonts w:eastAsiaTheme="minorHAnsi"/>
          <w:bCs/>
          <w:color w:val="000000"/>
        </w:rPr>
        <w:t>Mtoe</w:t>
      </w:r>
      <w:proofErr w:type="spellEnd"/>
      <w:r>
        <w:rPr>
          <w:rFonts w:eastAsiaTheme="minorHAnsi"/>
          <w:bCs/>
          <w:color w:val="000000"/>
        </w:rPr>
        <w:t xml:space="preserve"> apmērā (</w:t>
      </w:r>
      <w:r w:rsidRPr="00961854">
        <w:rPr>
          <w:color w:val="000000"/>
        </w:rPr>
        <w:t>kopējais enerģijas ietaupījums gan gala patēriņā, gan pārveidošanas sektorā)</w:t>
      </w:r>
      <w:r>
        <w:rPr>
          <w:rFonts w:eastAsiaTheme="minorHAnsi"/>
          <w:bCs/>
          <w:color w:val="000000"/>
        </w:rPr>
        <w:t xml:space="preserve">, jo kā liecina pēdējie pieejamie statistikas dati, ir panākts bruto iekšzemes enerģijas patēriņa samazinājums no 4,6 </w:t>
      </w:r>
      <w:proofErr w:type="spellStart"/>
      <w:r>
        <w:rPr>
          <w:rFonts w:eastAsiaTheme="minorHAnsi"/>
          <w:bCs/>
          <w:color w:val="000000"/>
        </w:rPr>
        <w:t>Mtoe</w:t>
      </w:r>
      <w:proofErr w:type="spellEnd"/>
      <w:r>
        <w:rPr>
          <w:rFonts w:eastAsiaTheme="minorHAnsi"/>
          <w:bCs/>
          <w:color w:val="000000"/>
        </w:rPr>
        <w:t xml:space="preserve"> 2008.gadā līdz 4,25 </w:t>
      </w:r>
      <w:proofErr w:type="spellStart"/>
      <w:r>
        <w:rPr>
          <w:rFonts w:eastAsiaTheme="minorHAnsi"/>
          <w:bCs/>
          <w:color w:val="000000"/>
        </w:rPr>
        <w:t>Mtoe</w:t>
      </w:r>
      <w:proofErr w:type="spellEnd"/>
      <w:r>
        <w:rPr>
          <w:rFonts w:eastAsiaTheme="minorHAnsi"/>
          <w:bCs/>
          <w:color w:val="000000"/>
        </w:rPr>
        <w:t xml:space="preserve"> 2011.gadā, un enerģijas patēriņa samazinājumā par 0,35 </w:t>
      </w:r>
      <w:proofErr w:type="spellStart"/>
      <w:r>
        <w:rPr>
          <w:rFonts w:eastAsiaTheme="minorHAnsi"/>
          <w:bCs/>
          <w:color w:val="000000"/>
        </w:rPr>
        <w:t>Mtoe</w:t>
      </w:r>
      <w:proofErr w:type="spellEnd"/>
      <w:r>
        <w:rPr>
          <w:rFonts w:eastAsiaTheme="minorHAnsi"/>
          <w:bCs/>
          <w:color w:val="000000"/>
        </w:rPr>
        <w:t xml:space="preserve"> būtiska nozīme ir arī energoefektivitātes pasākumu īstenošanai.</w:t>
      </w:r>
    </w:p>
    <w:p w:rsidR="00421902" w:rsidRPr="00C43284" w:rsidRDefault="005D0380" w:rsidP="00D27964">
      <w:pPr>
        <w:spacing w:before="120"/>
        <w:jc w:val="right"/>
      </w:pPr>
      <w:r>
        <w:t>9</w:t>
      </w:r>
      <w:r w:rsidR="00421902" w:rsidRPr="00C43284">
        <w:t>.tabula</w:t>
      </w:r>
    </w:p>
    <w:p w:rsidR="00421902" w:rsidRPr="00C43284" w:rsidRDefault="00421902" w:rsidP="00421902">
      <w:pPr>
        <w:spacing w:after="60"/>
        <w:jc w:val="center"/>
      </w:pPr>
      <w:r w:rsidRPr="00C43284">
        <w:t>Energoefektivitātes palielināšanas m</w:t>
      </w:r>
      <w:r w:rsidRPr="00C43284">
        <w:rPr>
          <w:bCs/>
        </w:rPr>
        <w:t>ērķa sasniegšanas trajektorija</w:t>
      </w:r>
    </w:p>
    <w:tbl>
      <w:tblPr>
        <w:tblStyle w:val="LightShading"/>
        <w:tblW w:w="4684" w:type="pct"/>
        <w:jc w:val="center"/>
        <w:tblInd w:w="-371" w:type="dxa"/>
        <w:tblLook w:val="04A0" w:firstRow="1" w:lastRow="0" w:firstColumn="1" w:lastColumn="0" w:noHBand="0" w:noVBand="1"/>
      </w:tblPr>
      <w:tblGrid>
        <w:gridCol w:w="1671"/>
        <w:gridCol w:w="1672"/>
        <w:gridCol w:w="1672"/>
        <w:gridCol w:w="3685"/>
      </w:tblGrid>
      <w:tr w:rsidR="00421902" w:rsidRPr="00332E32" w:rsidTr="006F29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 w:type="pct"/>
            <w:shd w:val="clear" w:color="auto" w:fill="BFBFBF" w:themeFill="background1" w:themeFillShade="BF"/>
            <w:hideMark/>
          </w:tcPr>
          <w:p w:rsidR="00421902" w:rsidRPr="00332E32" w:rsidRDefault="00421902" w:rsidP="006F290F">
            <w:pPr>
              <w:jc w:val="center"/>
              <w:rPr>
                <w:rFonts w:eastAsia="Times New Roman"/>
                <w:sz w:val="22"/>
              </w:rPr>
            </w:pPr>
            <w:r w:rsidRPr="00332E32">
              <w:rPr>
                <w:bCs w:val="0"/>
                <w:color w:val="000000"/>
                <w:kern w:val="24"/>
                <w:sz w:val="22"/>
              </w:rPr>
              <w:t>2008</w:t>
            </w:r>
          </w:p>
        </w:tc>
        <w:tc>
          <w:tcPr>
            <w:tcW w:w="961" w:type="pct"/>
            <w:shd w:val="clear" w:color="auto" w:fill="BFBFBF" w:themeFill="background1" w:themeFillShade="BF"/>
            <w:hideMark/>
          </w:tcPr>
          <w:p w:rsidR="00421902" w:rsidRPr="00332E32" w:rsidRDefault="00421902" w:rsidP="006F290F">
            <w:pPr>
              <w:jc w:val="center"/>
              <w:cnfStyle w:val="100000000000" w:firstRow="1" w:lastRow="0" w:firstColumn="0" w:lastColumn="0" w:oddVBand="0" w:evenVBand="0" w:oddHBand="0" w:evenHBand="0" w:firstRowFirstColumn="0" w:firstRowLastColumn="0" w:lastRowFirstColumn="0" w:lastRowLastColumn="0"/>
              <w:rPr>
                <w:rFonts w:eastAsia="Times New Roman"/>
                <w:sz w:val="22"/>
              </w:rPr>
            </w:pPr>
            <w:r w:rsidRPr="00332E32">
              <w:rPr>
                <w:bCs w:val="0"/>
                <w:color w:val="000000"/>
                <w:kern w:val="24"/>
                <w:sz w:val="22"/>
              </w:rPr>
              <w:t>2009</w:t>
            </w:r>
          </w:p>
        </w:tc>
        <w:tc>
          <w:tcPr>
            <w:tcW w:w="961" w:type="pct"/>
            <w:shd w:val="clear" w:color="auto" w:fill="BFBFBF" w:themeFill="background1" w:themeFillShade="BF"/>
          </w:tcPr>
          <w:p w:rsidR="00421902" w:rsidRPr="00332E32" w:rsidRDefault="00421902" w:rsidP="006F290F">
            <w:pPr>
              <w:jc w:val="center"/>
              <w:cnfStyle w:val="100000000000" w:firstRow="1" w:lastRow="0" w:firstColumn="0" w:lastColumn="0" w:oddVBand="0" w:evenVBand="0" w:oddHBand="0" w:evenHBand="0" w:firstRowFirstColumn="0" w:firstRowLastColumn="0" w:lastRowFirstColumn="0" w:lastRowLastColumn="0"/>
              <w:rPr>
                <w:bCs w:val="0"/>
                <w:color w:val="000000"/>
                <w:kern w:val="24"/>
                <w:sz w:val="22"/>
              </w:rPr>
            </w:pPr>
            <w:r w:rsidRPr="00332E32">
              <w:rPr>
                <w:bCs w:val="0"/>
                <w:color w:val="000000"/>
                <w:kern w:val="24"/>
                <w:sz w:val="22"/>
              </w:rPr>
              <w:t>2010</w:t>
            </w:r>
          </w:p>
        </w:tc>
        <w:tc>
          <w:tcPr>
            <w:tcW w:w="2118" w:type="pct"/>
            <w:shd w:val="clear" w:color="auto" w:fill="BFBFBF" w:themeFill="background1" w:themeFillShade="BF"/>
            <w:hideMark/>
          </w:tcPr>
          <w:p w:rsidR="00421902" w:rsidRPr="00332E32" w:rsidRDefault="00421902" w:rsidP="006F290F">
            <w:pPr>
              <w:jc w:val="center"/>
              <w:cnfStyle w:val="100000000000" w:firstRow="1" w:lastRow="0" w:firstColumn="0" w:lastColumn="0" w:oddVBand="0" w:evenVBand="0" w:oddHBand="0" w:evenHBand="0" w:firstRowFirstColumn="0" w:firstRowLastColumn="0" w:lastRowFirstColumn="0" w:lastRowLastColumn="0"/>
              <w:rPr>
                <w:rFonts w:eastAsia="Times New Roman"/>
                <w:sz w:val="22"/>
              </w:rPr>
            </w:pPr>
            <w:r w:rsidRPr="00332E32">
              <w:rPr>
                <w:bCs w:val="0"/>
                <w:color w:val="000000"/>
                <w:kern w:val="24"/>
                <w:sz w:val="22"/>
              </w:rPr>
              <w:t>2020</w:t>
            </w:r>
          </w:p>
        </w:tc>
      </w:tr>
      <w:tr w:rsidR="00421902" w:rsidRPr="002E439F" w:rsidTr="006F29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 w:type="pct"/>
            <w:shd w:val="clear" w:color="auto" w:fill="auto"/>
            <w:hideMark/>
          </w:tcPr>
          <w:p w:rsidR="00421902" w:rsidRPr="002E439F" w:rsidRDefault="00421902" w:rsidP="006F290F">
            <w:pPr>
              <w:spacing w:before="40" w:after="40"/>
              <w:jc w:val="center"/>
              <w:rPr>
                <w:rFonts w:eastAsia="Times New Roman"/>
                <w:b w:val="0"/>
                <w:sz w:val="20"/>
              </w:rPr>
            </w:pPr>
            <w:r w:rsidRPr="002E439F">
              <w:rPr>
                <w:rFonts w:eastAsia="Times New Roman"/>
                <w:b w:val="0"/>
                <w:color w:val="000000"/>
                <w:kern w:val="24"/>
                <w:sz w:val="20"/>
              </w:rPr>
              <w:t xml:space="preserve">bruto iekšzemes enerģijas patēriņš </w:t>
            </w:r>
          </w:p>
          <w:p w:rsidR="00421902" w:rsidRPr="002E439F" w:rsidRDefault="00421902" w:rsidP="006F290F">
            <w:pPr>
              <w:spacing w:before="40" w:after="40"/>
              <w:jc w:val="center"/>
              <w:rPr>
                <w:rFonts w:eastAsia="Times New Roman"/>
                <w:sz w:val="20"/>
              </w:rPr>
            </w:pPr>
            <w:r w:rsidRPr="002E439F">
              <w:rPr>
                <w:b w:val="0"/>
                <w:bCs w:val="0"/>
                <w:color w:val="000000"/>
                <w:kern w:val="24"/>
                <w:sz w:val="20"/>
              </w:rPr>
              <w:t xml:space="preserve">4,6 </w:t>
            </w:r>
            <w:proofErr w:type="spellStart"/>
            <w:r w:rsidRPr="002E439F">
              <w:rPr>
                <w:b w:val="0"/>
                <w:bCs w:val="0"/>
                <w:color w:val="000000"/>
                <w:kern w:val="24"/>
                <w:sz w:val="20"/>
              </w:rPr>
              <w:t>Mtoe</w:t>
            </w:r>
            <w:proofErr w:type="spellEnd"/>
            <w:r w:rsidRPr="002E439F">
              <w:rPr>
                <w:bCs w:val="0"/>
                <w:color w:val="000000"/>
                <w:kern w:val="24"/>
                <w:sz w:val="20"/>
              </w:rPr>
              <w:t xml:space="preserve"> </w:t>
            </w:r>
          </w:p>
        </w:tc>
        <w:tc>
          <w:tcPr>
            <w:tcW w:w="961" w:type="pct"/>
            <w:shd w:val="clear" w:color="auto" w:fill="auto"/>
            <w:hideMark/>
          </w:tcPr>
          <w:p w:rsidR="00421902" w:rsidRPr="002E439F" w:rsidRDefault="00421902" w:rsidP="006F290F">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sidRPr="002E439F">
              <w:rPr>
                <w:rFonts w:eastAsia="Times New Roman"/>
                <w:color w:val="000000"/>
                <w:kern w:val="24"/>
                <w:sz w:val="20"/>
              </w:rPr>
              <w:t>bruto iekšzemes enerģijas patēriņš</w:t>
            </w:r>
          </w:p>
          <w:p w:rsidR="00421902" w:rsidRPr="002E439F" w:rsidRDefault="00421902" w:rsidP="006F290F">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sidRPr="002E439F">
              <w:rPr>
                <w:bCs/>
                <w:color w:val="000000"/>
                <w:kern w:val="24"/>
                <w:sz w:val="20"/>
              </w:rPr>
              <w:t xml:space="preserve">4,3 </w:t>
            </w:r>
            <w:proofErr w:type="spellStart"/>
            <w:r w:rsidRPr="002E439F">
              <w:rPr>
                <w:bCs/>
                <w:color w:val="000000"/>
                <w:kern w:val="24"/>
                <w:sz w:val="20"/>
              </w:rPr>
              <w:t>Mtoe</w:t>
            </w:r>
            <w:proofErr w:type="spellEnd"/>
            <w:r w:rsidRPr="002E439F">
              <w:rPr>
                <w:bCs/>
                <w:color w:val="000000"/>
                <w:kern w:val="24"/>
                <w:sz w:val="20"/>
              </w:rPr>
              <w:t xml:space="preserve"> </w:t>
            </w:r>
          </w:p>
        </w:tc>
        <w:tc>
          <w:tcPr>
            <w:tcW w:w="961" w:type="pct"/>
            <w:shd w:val="clear" w:color="auto" w:fill="auto"/>
          </w:tcPr>
          <w:p w:rsidR="00421902" w:rsidRPr="002E439F" w:rsidRDefault="00421902" w:rsidP="006F290F">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sidRPr="002E439F">
              <w:rPr>
                <w:rFonts w:eastAsia="Times New Roman"/>
                <w:color w:val="000000"/>
                <w:kern w:val="24"/>
                <w:sz w:val="20"/>
              </w:rPr>
              <w:t>bruto iekšzemes enerģijas patēriņš</w:t>
            </w:r>
          </w:p>
          <w:p w:rsidR="00421902" w:rsidRPr="002E439F" w:rsidRDefault="00421902" w:rsidP="006F290F">
            <w:pPr>
              <w:spacing w:before="40" w:after="40"/>
              <w:jc w:val="center"/>
              <w:cnfStyle w:val="000000100000" w:firstRow="0" w:lastRow="0" w:firstColumn="0" w:lastColumn="0" w:oddVBand="0" w:evenVBand="0" w:oddHBand="1" w:evenHBand="0" w:firstRowFirstColumn="0" w:firstRowLastColumn="0" w:lastRowFirstColumn="0" w:lastRowLastColumn="0"/>
              <w:rPr>
                <w:bCs/>
                <w:color w:val="000000"/>
                <w:kern w:val="24"/>
                <w:sz w:val="20"/>
              </w:rPr>
            </w:pPr>
            <w:r w:rsidRPr="002E439F">
              <w:rPr>
                <w:bCs/>
                <w:color w:val="000000"/>
                <w:kern w:val="24"/>
                <w:sz w:val="20"/>
              </w:rPr>
              <w:t xml:space="preserve"> 4,54Mtoe</w:t>
            </w:r>
          </w:p>
        </w:tc>
        <w:tc>
          <w:tcPr>
            <w:tcW w:w="2118" w:type="pct"/>
            <w:shd w:val="clear" w:color="auto" w:fill="auto"/>
            <w:hideMark/>
          </w:tcPr>
          <w:p w:rsidR="00697536" w:rsidRPr="002E439F" w:rsidRDefault="00697536" w:rsidP="00697536">
            <w:pPr>
              <w:spacing w:before="40" w:after="40"/>
              <w:jc w:val="center"/>
              <w:cnfStyle w:val="000000100000" w:firstRow="0" w:lastRow="0" w:firstColumn="0" w:lastColumn="0" w:oddVBand="0" w:evenVBand="0" w:oddHBand="1" w:evenHBand="0" w:firstRowFirstColumn="0" w:firstRowLastColumn="0" w:lastRowFirstColumn="0" w:lastRowLastColumn="0"/>
              <w:rPr>
                <w:bCs/>
                <w:color w:val="000000"/>
                <w:kern w:val="24"/>
                <w:sz w:val="20"/>
              </w:rPr>
            </w:pPr>
            <w:r w:rsidRPr="002E439F">
              <w:rPr>
                <w:bCs/>
                <w:color w:val="000000"/>
                <w:kern w:val="24"/>
                <w:sz w:val="20"/>
              </w:rPr>
              <w:t>primārās enerģijas</w:t>
            </w:r>
          </w:p>
          <w:p w:rsidR="00697536" w:rsidRPr="002E439F" w:rsidRDefault="00697536" w:rsidP="00697536">
            <w:pPr>
              <w:spacing w:before="40" w:after="40"/>
              <w:jc w:val="center"/>
              <w:cnfStyle w:val="000000100000" w:firstRow="0" w:lastRow="0" w:firstColumn="0" w:lastColumn="0" w:oddVBand="0" w:evenVBand="0" w:oddHBand="1" w:evenHBand="0" w:firstRowFirstColumn="0" w:firstRowLastColumn="0" w:lastRowFirstColumn="0" w:lastRowLastColumn="0"/>
              <w:rPr>
                <w:bCs/>
                <w:color w:val="000000"/>
                <w:kern w:val="24"/>
                <w:sz w:val="20"/>
              </w:rPr>
            </w:pPr>
            <w:r w:rsidRPr="002E439F">
              <w:rPr>
                <w:bCs/>
                <w:color w:val="000000"/>
                <w:kern w:val="24"/>
                <w:sz w:val="20"/>
              </w:rPr>
              <w:t xml:space="preserve">ietaupījums </w:t>
            </w:r>
          </w:p>
          <w:p w:rsidR="00421902" w:rsidRPr="002E439F" w:rsidRDefault="00697536" w:rsidP="00697536">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sidRPr="002E439F">
              <w:rPr>
                <w:bCs/>
                <w:color w:val="000000"/>
                <w:kern w:val="24"/>
                <w:sz w:val="20"/>
              </w:rPr>
              <w:t xml:space="preserve">0,670 </w:t>
            </w:r>
            <w:proofErr w:type="spellStart"/>
            <w:r w:rsidRPr="002E439F">
              <w:rPr>
                <w:bCs/>
                <w:color w:val="000000"/>
                <w:kern w:val="24"/>
                <w:sz w:val="20"/>
              </w:rPr>
              <w:t>Mtoe</w:t>
            </w:r>
            <w:proofErr w:type="spellEnd"/>
            <w:r w:rsidRPr="002E439F">
              <w:rPr>
                <w:bCs/>
                <w:color w:val="000000"/>
                <w:kern w:val="24"/>
                <w:sz w:val="20"/>
              </w:rPr>
              <w:t>*</w:t>
            </w:r>
            <w:r w:rsidR="00421902" w:rsidRPr="002E439F">
              <w:rPr>
                <w:color w:val="000000"/>
                <w:kern w:val="24"/>
                <w:sz w:val="20"/>
              </w:rPr>
              <w:t xml:space="preserve"> </w:t>
            </w:r>
          </w:p>
        </w:tc>
      </w:tr>
    </w:tbl>
    <w:p w:rsidR="00697536" w:rsidRPr="00697536" w:rsidRDefault="00697536" w:rsidP="00697536">
      <w:pPr>
        <w:jc w:val="right"/>
        <w:rPr>
          <w:i/>
          <w:sz w:val="18"/>
          <w:szCs w:val="18"/>
        </w:rPr>
      </w:pPr>
      <w:r w:rsidRPr="00697536">
        <w:rPr>
          <w:bCs/>
          <w:i/>
          <w:color w:val="000000"/>
          <w:kern w:val="24"/>
          <w:sz w:val="18"/>
          <w:szCs w:val="18"/>
        </w:rPr>
        <w:t>* atbilstoši Direktīvas 2012/27/ES prasībām</w:t>
      </w:r>
    </w:p>
    <w:p w:rsidR="00421902" w:rsidRDefault="00421902" w:rsidP="0012725B">
      <w:pPr>
        <w:spacing w:before="240"/>
        <w:ind w:firstLine="567"/>
      </w:pPr>
      <w:r w:rsidRPr="00B4703C">
        <w:t>Zems energoefektivitātes līmenis rada gan enerģētiskās drošības, gan ilgtspējas, gan konkurētspējas riskus, taču šī līmeņa paaugstināšana ir ātrākais un izmaksu ziņā efektīvākais risku samazināšanas veids, vienlaicīgi radot papildu darbavietas un veicinot izaugsmi.</w:t>
      </w:r>
      <w:r>
        <w:t xml:space="preserve"> </w:t>
      </w:r>
      <w:r w:rsidRPr="00C43284">
        <w:t>Lielākais potenciāls ar valsts īstenojamiem atbalsta instrumentiem enerģijas ietaupījumam pastāv ēku silt</w:t>
      </w:r>
      <w:r>
        <w:t>umapgādes un transporta sektorā</w:t>
      </w:r>
      <w:r w:rsidRPr="00C43284">
        <w:t xml:space="preserve">. </w:t>
      </w:r>
    </w:p>
    <w:p w:rsidR="00421902" w:rsidRPr="00F07FBC" w:rsidRDefault="0012725B" w:rsidP="0012725B">
      <w:pPr>
        <w:ind w:firstLine="567"/>
      </w:pPr>
      <w:r>
        <w:t>2012.</w:t>
      </w:r>
      <w:r w:rsidR="00421902" w:rsidRPr="00F07FBC">
        <w:t>gad</w:t>
      </w:r>
      <w:r w:rsidR="00421902">
        <w:t xml:space="preserve">ā </w:t>
      </w:r>
      <w:r w:rsidR="00421902" w:rsidRPr="00F07FBC">
        <w:t xml:space="preserve">pieņemts jauns </w:t>
      </w:r>
      <w:r w:rsidR="00421902" w:rsidRPr="00516275">
        <w:rPr>
          <w:i/>
        </w:rPr>
        <w:t>Ēku energoefektivitātes likums</w:t>
      </w:r>
      <w:r w:rsidR="00421902" w:rsidRPr="00F07FBC">
        <w:t>, ar ko pārņemtas pārstrādātās direktīvas 2010/31/ES par ēku energoefektivitāti prasības</w:t>
      </w:r>
      <w:r>
        <w:t>,</w:t>
      </w:r>
      <w:r w:rsidR="00421902" w:rsidRPr="00F07FBC">
        <w:t xml:space="preserve"> un ieviestas jaunas normas, attiecībā uz paaugstinātas energoefektivitātes prasīb</w:t>
      </w:r>
      <w:r w:rsidR="00421902">
        <w:t>as</w:t>
      </w:r>
      <w:r w:rsidR="00421902" w:rsidRPr="00F07FBC">
        <w:t xml:space="preserve"> ēkām, valstij piederošu ēku un atsevišķu ēku daļu </w:t>
      </w:r>
      <w:proofErr w:type="spellStart"/>
      <w:r w:rsidR="00421902" w:rsidRPr="00F07FBC">
        <w:t>energosertificēšanu</w:t>
      </w:r>
      <w:proofErr w:type="spellEnd"/>
      <w:r w:rsidR="00421902" w:rsidRPr="00F07FBC">
        <w:t xml:space="preserve">, ēku īpašnieku tiesībām un pienākumiem, uzdevumiem gandrīz nulles enerģijas ēku būvniecības veicināšanai. </w:t>
      </w:r>
    </w:p>
    <w:p w:rsidR="00421902" w:rsidRDefault="00421902" w:rsidP="0012725B">
      <w:pPr>
        <w:ind w:firstLine="567"/>
      </w:pPr>
      <w:r>
        <w:t xml:space="preserve">2013. un 2014.gadā plānots izstrādāt turpmākā atbalsta mehānismus ēku energoefektivitātes paaugstināšanai, sevišķi </w:t>
      </w:r>
      <w:r w:rsidRPr="00C43284">
        <w:t>daudzdzīvokļu sektor</w:t>
      </w:r>
      <w:r>
        <w:t>ā, kur sagaidāma lielākā atdeve.</w:t>
      </w:r>
    </w:p>
    <w:p w:rsidR="00421902" w:rsidRPr="00F07FBC" w:rsidRDefault="00421902" w:rsidP="0012725B">
      <w:pPr>
        <w:ind w:firstLine="567"/>
      </w:pPr>
      <w:r w:rsidRPr="00F07FBC">
        <w:t xml:space="preserve">2013.gadā plānots pārskatīt minimālās ēku energoefektivitātes prasības (ēkas ārējo norobežojošo konstrukciju </w:t>
      </w:r>
      <w:proofErr w:type="spellStart"/>
      <w:r w:rsidRPr="00F07FBC">
        <w:t>būvelementiem</w:t>
      </w:r>
      <w:proofErr w:type="spellEnd"/>
      <w:r w:rsidRPr="00F07FBC">
        <w:t xml:space="preserve"> un ēku inženiertehniskajām sistēmām), noteikt prasības gandrīz nulles enerģijas ēku būvniecībai un izveidot ēku energoefektivitātes salīdzinošu vērtēšanas sistēmu. Minimālās ēku energoefektivitātes prasības tiks noteiktas, lai panāktu izmaksu ziņā optimālu līdzsvaru starp finanšu ieguldījumiem un ēkas dzīves cikla laikā ietaupītajām enerģijas izmaksām.</w:t>
      </w:r>
      <w:r>
        <w:t xml:space="preserve"> </w:t>
      </w:r>
      <w:r w:rsidRPr="00F07FBC">
        <w:t>Attiecībā uz gandrīz nulles enerģijas ēku būvniecību, prasības plānots noteikt tā, lai nodrošinātu izmaksu rentabilitāti ēkas dzīves ciklā</w:t>
      </w:r>
      <w:r>
        <w:t>.</w:t>
      </w:r>
    </w:p>
    <w:p w:rsidR="00421902" w:rsidRPr="00C43284" w:rsidRDefault="00421902" w:rsidP="00625A05">
      <w:pPr>
        <w:spacing w:before="240"/>
        <w:ind w:firstLine="567"/>
      </w:pPr>
      <w:r w:rsidRPr="00C43284">
        <w:rPr>
          <w:u w:val="single"/>
        </w:rPr>
        <w:t>Galvenie politikas virzieni un pasākumi energoefektivitātes veicināšanai</w:t>
      </w:r>
      <w:r w:rsidRPr="00C43284">
        <w:t>:</w:t>
      </w:r>
    </w:p>
    <w:p w:rsidR="00421902" w:rsidRPr="00C43284" w:rsidRDefault="00421902" w:rsidP="00E84407">
      <w:pPr>
        <w:pStyle w:val="ListParagraph"/>
        <w:numPr>
          <w:ilvl w:val="0"/>
          <w:numId w:val="10"/>
        </w:numPr>
        <w:spacing w:before="240" w:after="120"/>
        <w:ind w:left="284" w:hanging="284"/>
        <w:contextualSpacing w:val="0"/>
      </w:pPr>
      <w:r w:rsidRPr="00C43284">
        <w:rPr>
          <w:rFonts w:eastAsia="+mn-ea"/>
          <w:b/>
          <w:i/>
        </w:rPr>
        <w:t>Mājokļu siltināšana</w:t>
      </w:r>
      <w:r w:rsidRPr="00C43284">
        <w:rPr>
          <w:rFonts w:eastAsia="+mn-ea"/>
        </w:rPr>
        <w:t xml:space="preserve"> </w:t>
      </w:r>
      <w:r w:rsidRPr="00C43284">
        <w:t>(atbildīgā institūcija – EM)</w:t>
      </w:r>
    </w:p>
    <w:p w:rsidR="00421902" w:rsidRDefault="00421902" w:rsidP="00421902">
      <w:pPr>
        <w:spacing w:before="40"/>
        <w:ind w:firstLine="567"/>
      </w:pPr>
      <w:r>
        <w:t>Pasākuma mērķis ir mājokļu energoefektivitātes paaugstināšana daudzdzīvokļu dzīvojamās mājās, lai nodrošinātu dzīvojamā fonda ilgtspēju un energoresursu efektīvu izmantošanu.</w:t>
      </w:r>
    </w:p>
    <w:p w:rsidR="00421902" w:rsidRPr="00797428" w:rsidRDefault="00421902" w:rsidP="00421902">
      <w:pPr>
        <w:spacing w:before="40"/>
        <w:ind w:firstLine="567"/>
        <w:rPr>
          <w:b/>
          <w:i/>
        </w:rPr>
      </w:pPr>
      <w:r w:rsidRPr="00C43284">
        <w:lastRenderedPageBreak/>
        <w:t xml:space="preserve">Daudzdzīvokļu māju </w:t>
      </w:r>
      <w:proofErr w:type="spellStart"/>
      <w:r w:rsidRPr="00C43284">
        <w:t>siltumnoturības</w:t>
      </w:r>
      <w:proofErr w:type="spellEnd"/>
      <w:r w:rsidRPr="00C43284">
        <w:t xml:space="preserve"> uzlabošanai kopējais pieejamais ES fondu finansējums 200</w:t>
      </w:r>
      <w:r>
        <w:t>7</w:t>
      </w:r>
      <w:r w:rsidRPr="00C43284">
        <w:t>.</w:t>
      </w:r>
      <w:r w:rsidR="00A051B3">
        <w:t>–</w:t>
      </w:r>
      <w:r w:rsidRPr="00C43284">
        <w:t xml:space="preserve">2013.gadam ir 47,8 </w:t>
      </w:r>
      <w:proofErr w:type="spellStart"/>
      <w:r w:rsidRPr="00C43284">
        <w:t>milj</w:t>
      </w:r>
      <w:proofErr w:type="spellEnd"/>
      <w:r w:rsidRPr="00C43284">
        <w:t>. latu.</w:t>
      </w:r>
      <w:r>
        <w:t xml:space="preserve"> Papildus 2012.gadā tika piešķirts </w:t>
      </w:r>
      <w:proofErr w:type="spellStart"/>
      <w:r>
        <w:t>virssaistību</w:t>
      </w:r>
      <w:proofErr w:type="spellEnd"/>
      <w:r>
        <w:t xml:space="preserve"> finansējums 15 </w:t>
      </w:r>
      <w:proofErr w:type="spellStart"/>
      <w:r>
        <w:t>milj</w:t>
      </w:r>
      <w:proofErr w:type="spellEnd"/>
      <w:r>
        <w:t xml:space="preserve">. latu apmērā. </w:t>
      </w:r>
      <w:r w:rsidRPr="00C43284">
        <w:t>Līdz 201</w:t>
      </w:r>
      <w:r>
        <w:t>3</w:t>
      </w:r>
      <w:r w:rsidRPr="00C43284">
        <w:t xml:space="preserve">.gada </w:t>
      </w:r>
      <w:r>
        <w:t xml:space="preserve">februārim </w:t>
      </w:r>
      <w:r w:rsidRPr="00C43284">
        <w:t>noslēgt</w:t>
      </w:r>
      <w:r>
        <w:t>s</w:t>
      </w:r>
      <w:r w:rsidRPr="00C43284">
        <w:t xml:space="preserve"> </w:t>
      </w:r>
      <w:r>
        <w:t xml:space="preserve">701 </w:t>
      </w:r>
      <w:r w:rsidRPr="00C43284">
        <w:t>līgum</w:t>
      </w:r>
      <w:r>
        <w:t>s</w:t>
      </w:r>
      <w:r w:rsidRPr="00C43284">
        <w:t xml:space="preserve"> </w:t>
      </w:r>
      <w:r>
        <w:t>4</w:t>
      </w:r>
      <w:r w:rsidRPr="00C43284">
        <w:t>2,</w:t>
      </w:r>
      <w:r>
        <w:t>6</w:t>
      </w:r>
      <w:r w:rsidRPr="00C43284">
        <w:t xml:space="preserve"> </w:t>
      </w:r>
      <w:proofErr w:type="spellStart"/>
      <w:r w:rsidRPr="00C43284">
        <w:t>milj</w:t>
      </w:r>
      <w:proofErr w:type="spellEnd"/>
      <w:r w:rsidRPr="00C43284">
        <w:t>. latu apmērā</w:t>
      </w:r>
      <w:r>
        <w:t>, no tiem pabeigts 161 projekts 7</w:t>
      </w:r>
      <w:r w:rsidRPr="00C43284">
        <w:t>,</w:t>
      </w:r>
      <w:r>
        <w:t>1</w:t>
      </w:r>
      <w:r w:rsidRPr="00C43284">
        <w:t> </w:t>
      </w:r>
      <w:proofErr w:type="spellStart"/>
      <w:r w:rsidRPr="00C43284">
        <w:t>milj</w:t>
      </w:r>
      <w:proofErr w:type="spellEnd"/>
      <w:r w:rsidRPr="00C43284">
        <w:t>. latu apmērā. Aktivitātes popularizēšanai ir veikta apjomīga informatīvā kampaņa, mudinot dzīvokļu īpašniekus iesaistīties mājokļu kopīpašuma apsaimniekošanā un ēku</w:t>
      </w:r>
      <w:r>
        <w:t xml:space="preserve"> energoefektivitātes uzlabošanā.</w:t>
      </w:r>
    </w:p>
    <w:p w:rsidR="00421902" w:rsidRPr="00C43284" w:rsidRDefault="00421902" w:rsidP="00421902">
      <w:pPr>
        <w:spacing w:before="40"/>
        <w:ind w:firstLine="567"/>
      </w:pPr>
      <w:r w:rsidRPr="00C43284">
        <w:rPr>
          <w:lang w:eastAsia="lv-LV"/>
        </w:rPr>
        <w:t xml:space="preserve">Sociālo dzīvojamo māju </w:t>
      </w:r>
      <w:proofErr w:type="spellStart"/>
      <w:r w:rsidRPr="00C43284">
        <w:rPr>
          <w:lang w:eastAsia="lv-LV"/>
        </w:rPr>
        <w:t>siltumnoturības</w:t>
      </w:r>
      <w:proofErr w:type="spellEnd"/>
      <w:r w:rsidRPr="00C43284">
        <w:rPr>
          <w:lang w:eastAsia="lv-LV"/>
        </w:rPr>
        <w:t xml:space="preserve"> uzlabošanas pasākumiem kopējais pieejamais</w:t>
      </w:r>
      <w:r w:rsidRPr="00C43284">
        <w:t xml:space="preserve"> ES fondu finansējums ir 4,</w:t>
      </w:r>
      <w:r>
        <w:t>9</w:t>
      </w:r>
      <w:r w:rsidRPr="00C43284">
        <w:t xml:space="preserve"> </w:t>
      </w:r>
      <w:proofErr w:type="spellStart"/>
      <w:r w:rsidRPr="00C43284">
        <w:t>milj</w:t>
      </w:r>
      <w:proofErr w:type="spellEnd"/>
      <w:r w:rsidRPr="00C43284">
        <w:t>. lat</w:t>
      </w:r>
      <w:r w:rsidR="006C28E2">
        <w:t>u</w:t>
      </w:r>
      <w:r w:rsidRPr="00C43284">
        <w:t>. Līdz 201</w:t>
      </w:r>
      <w:r>
        <w:t>3</w:t>
      </w:r>
      <w:r w:rsidRPr="00C43284">
        <w:t xml:space="preserve">.gada </w:t>
      </w:r>
      <w:r>
        <w:t>februārim noslēgti 56 līgumi 4,3</w:t>
      </w:r>
      <w:r w:rsidRPr="00C43284">
        <w:t xml:space="preserve"> </w:t>
      </w:r>
      <w:proofErr w:type="spellStart"/>
      <w:r w:rsidRPr="00C43284">
        <w:t>milj</w:t>
      </w:r>
      <w:proofErr w:type="spellEnd"/>
      <w:r w:rsidRPr="00C43284">
        <w:t>. latu apmērā</w:t>
      </w:r>
      <w:r>
        <w:t>, no tiem ir pabeigti 34 projekti 2</w:t>
      </w:r>
      <w:r w:rsidRPr="00C43284">
        <w:t>,</w:t>
      </w:r>
      <w:r>
        <w:t>2</w:t>
      </w:r>
      <w:r w:rsidRPr="00C43284">
        <w:t> </w:t>
      </w:r>
      <w:proofErr w:type="spellStart"/>
      <w:r w:rsidRPr="00C43284">
        <w:t>milj</w:t>
      </w:r>
      <w:proofErr w:type="spellEnd"/>
      <w:r w:rsidRPr="00C43284">
        <w:t>. la</w:t>
      </w:r>
      <w:r>
        <w:t>tu apmērā</w:t>
      </w:r>
      <w:r w:rsidRPr="00C43284">
        <w:t>.</w:t>
      </w:r>
    </w:p>
    <w:p w:rsidR="00421902" w:rsidRDefault="00421902" w:rsidP="00421902">
      <w:pPr>
        <w:spacing w:before="40"/>
        <w:ind w:firstLine="567"/>
      </w:pPr>
      <w:r w:rsidRPr="00797428">
        <w:rPr>
          <w:color w:val="000000"/>
        </w:rPr>
        <w:t xml:space="preserve">2013.gadā plānots turpināt informatīvos pasākumus par pieejamo atbalstu daudzdzīvokļu māju siltināšanai, kā arī izstrādāt jaunus </w:t>
      </w:r>
      <w:r w:rsidRPr="00C43284">
        <w:t>iespējamos</w:t>
      </w:r>
      <w:r>
        <w:t xml:space="preserve"> finanšu</w:t>
      </w:r>
      <w:r w:rsidRPr="00C43284">
        <w:t xml:space="preserve"> instrumentus un atbalsta mehānisma veidus energoefektivitātes paaugstināšanai</w:t>
      </w:r>
      <w:r w:rsidRPr="00865246">
        <w:t>.</w:t>
      </w:r>
    </w:p>
    <w:p w:rsidR="00421902" w:rsidRPr="00516275" w:rsidRDefault="00421902" w:rsidP="00421902">
      <w:pPr>
        <w:spacing w:before="40"/>
        <w:ind w:firstLine="567"/>
      </w:pPr>
      <w:r>
        <w:rPr>
          <w:lang w:eastAsia="lv-LV"/>
        </w:rPr>
        <w:t xml:space="preserve">Ēku energoefektivitātes uzlabošanai ir būtiska loma ES un Latvijas politikas dokumentos definēto mērķu sasniegšanā </w:t>
      </w:r>
      <w:r w:rsidRPr="00750EF8">
        <w:rPr>
          <w:lang w:eastAsia="lv-LV"/>
        </w:rPr>
        <w:t xml:space="preserve">energoefektivitātes jomā. </w:t>
      </w:r>
      <w:r w:rsidRPr="00750EF8">
        <w:t xml:space="preserve">Ieguldījumi mājokļu siltināšanā ir efektīvi veikti, jo, analizējot datus par pabeigtajiem projektiem, aprēķināts, ka </w:t>
      </w:r>
      <w:r w:rsidRPr="00516275">
        <w:t>vidējais siltumenerģijas ietaupījums pēc renovācijas ir 42% ar vidējām attiecināmajām izmaksām 37,61 latu apmērā uz vienu dzīvojamās mājas kopējās platības kvadrātmetru. Šajos projektos vidējais investīciju atmaksāšanās periods ir aptuveni 14,28 gadi.</w:t>
      </w:r>
    </w:p>
    <w:p w:rsidR="00421902" w:rsidRDefault="00421902" w:rsidP="00421902">
      <w:pPr>
        <w:spacing w:before="40"/>
        <w:ind w:firstLine="567"/>
      </w:pPr>
      <w:r w:rsidRPr="00CC36C9">
        <w:t>2006.gada 5.jūlija Eiropas Parlamenta un Padomes Regulā (EK) Nr.1080/2006</w:t>
      </w:r>
      <w:r>
        <w:t xml:space="preserve"> ir</w:t>
      </w:r>
      <w:r w:rsidRPr="00CC36C9">
        <w:t xml:space="preserve"> noteikts, ka piešķīruma slieksnis izdevumiem saistībā ar energoefektivitātes uzlabošanu un atjaunojamas enerģijas izmantošanu esošos mājokļos nedrīks</w:t>
      </w:r>
      <w:r>
        <w:t xml:space="preserve">t pārsniegt 4% </w:t>
      </w:r>
      <w:r w:rsidRPr="00CC36C9">
        <w:t xml:space="preserve">no kopējā ERAF piešķīruma </w:t>
      </w:r>
      <w:r w:rsidR="002156A9">
        <w:t xml:space="preserve">ES </w:t>
      </w:r>
      <w:r w:rsidRPr="00CC36C9">
        <w:t>dalībvalstij. Latvija pašlaik šo slieksni (67,</w:t>
      </w:r>
      <w:r>
        <w:t>7</w:t>
      </w:r>
      <w:r w:rsidRPr="00CC36C9">
        <w:t xml:space="preserve"> </w:t>
      </w:r>
      <w:proofErr w:type="spellStart"/>
      <w:r w:rsidRPr="00CC36C9">
        <w:t>milj</w:t>
      </w:r>
      <w:proofErr w:type="spellEnd"/>
      <w:r>
        <w:t>.</w:t>
      </w:r>
      <w:r w:rsidRPr="00CC36C9">
        <w:t xml:space="preserve"> latu) ir gandrīz sasniegusi, mājokļu siltināšanai novirzot 67,6 </w:t>
      </w:r>
      <w:proofErr w:type="spellStart"/>
      <w:r w:rsidRPr="00CC36C9">
        <w:t>milj</w:t>
      </w:r>
      <w:proofErr w:type="spellEnd"/>
      <w:r>
        <w:t xml:space="preserve">. </w:t>
      </w:r>
      <w:r w:rsidRPr="00CC36C9">
        <w:t>latu.</w:t>
      </w:r>
      <w:r w:rsidRPr="00B6448D">
        <w:t xml:space="preserve"> </w:t>
      </w:r>
      <w:r w:rsidR="003A7D33">
        <w:t>D</w:t>
      </w:r>
      <w:r w:rsidRPr="00B6448D">
        <w:t>audzdzīvokļu māju energoefektivitātes uzlabošanas pasākumiem b</w:t>
      </w:r>
      <w:r w:rsidRPr="002D4565">
        <w:t>ūtu ie</w:t>
      </w:r>
      <w:r w:rsidRPr="00B6448D">
        <w:t>s</w:t>
      </w:r>
      <w:r>
        <w:t>p</w:t>
      </w:r>
      <w:r w:rsidRPr="00B6448D">
        <w:t xml:space="preserve">ējams novirzīt papildus finansējumu, ja tiktu atcelts </w:t>
      </w:r>
      <w:r>
        <w:t xml:space="preserve">minētais </w:t>
      </w:r>
      <w:r w:rsidRPr="00B6448D">
        <w:t>4</w:t>
      </w:r>
      <w:r>
        <w:t>%</w:t>
      </w:r>
      <w:r w:rsidRPr="00B6448D">
        <w:t xml:space="preserve"> ierobežojums</w:t>
      </w:r>
      <w:r>
        <w:t xml:space="preserve"> 2007.</w:t>
      </w:r>
      <w:r w:rsidR="002156A9">
        <w:t>–</w:t>
      </w:r>
      <w:r>
        <w:t>2013.gad</w:t>
      </w:r>
      <w:r w:rsidR="002156A9">
        <w:t>u</w:t>
      </w:r>
      <w:r>
        <w:t xml:space="preserve"> perioda regulējumā</w:t>
      </w:r>
      <w:r w:rsidRPr="00B6448D">
        <w:t>.</w:t>
      </w:r>
    </w:p>
    <w:p w:rsidR="00421902" w:rsidRPr="00C43284" w:rsidRDefault="00421902" w:rsidP="00E84407">
      <w:pPr>
        <w:pStyle w:val="ListParagraph"/>
        <w:numPr>
          <w:ilvl w:val="0"/>
          <w:numId w:val="10"/>
        </w:numPr>
        <w:spacing w:before="240" w:after="120"/>
        <w:ind w:left="284" w:hanging="284"/>
        <w:contextualSpacing w:val="0"/>
      </w:pPr>
      <w:r w:rsidRPr="00C43284">
        <w:rPr>
          <w:b/>
          <w:i/>
        </w:rPr>
        <w:t>Energoefektivitātes paaugstināšana sabiedriskās un ražošanas ēkās</w:t>
      </w:r>
      <w:r w:rsidRPr="00C43284">
        <w:t xml:space="preserve"> (atbildīgā </w:t>
      </w:r>
      <w:r w:rsidRPr="00C43284">
        <w:br/>
        <w:t>institūcija – VARAM)</w:t>
      </w:r>
    </w:p>
    <w:p w:rsidR="00421902" w:rsidRPr="00C43284" w:rsidRDefault="00421902" w:rsidP="00421902">
      <w:pPr>
        <w:ind w:firstLine="567"/>
      </w:pPr>
      <w:r w:rsidRPr="00C43284">
        <w:t>Mērķis ir sniegt finansiālu atbalstu sabiedrisko un ražošanas ēku energoefektivitātes paaugstināšanas projektiem, lai samazinātu siltumnīcefekta gāzu (turpmāk tekstā – SEG) emisijas. Pasākuma ietvaros tiek atbalstīti arī kompleksi risinājumi – siltumenerģijas, elektroenerģijas patēriņa samazināšana, kā arī efektīva ēku energoapgāde. Pasākumu ieviešanai 2010.</w:t>
      </w:r>
      <w:r w:rsidR="00603580">
        <w:t>–</w:t>
      </w:r>
      <w:r w:rsidRPr="00C43284">
        <w:t xml:space="preserve">2013.gadā kopējais </w:t>
      </w:r>
      <w:r w:rsidR="00603580">
        <w:t>K</w:t>
      </w:r>
      <w:r w:rsidRPr="00C43284">
        <w:t xml:space="preserve">limata pārmaiņu finanšu instrumenta (turpmāk tekstā – KPFI) finansējums ir 75,5 </w:t>
      </w:r>
      <w:proofErr w:type="spellStart"/>
      <w:r w:rsidRPr="00C43284">
        <w:t>milj</w:t>
      </w:r>
      <w:proofErr w:type="spellEnd"/>
      <w:r w:rsidRPr="00C43284">
        <w:t xml:space="preserve">. latu. </w:t>
      </w:r>
    </w:p>
    <w:p w:rsidR="00421902" w:rsidRPr="00C43284" w:rsidRDefault="00421902" w:rsidP="00421902">
      <w:pPr>
        <w:ind w:firstLine="567"/>
      </w:pPr>
      <w:r w:rsidRPr="00C43284">
        <w:t xml:space="preserve">2011.gadā energoefektivitātes paaugstināšanai sabiedriskajās ēkās uzsākta projektu īstenošana ar kopējo finansējumu 72,2 </w:t>
      </w:r>
      <w:proofErr w:type="spellStart"/>
      <w:r w:rsidRPr="00C43284">
        <w:t>milj</w:t>
      </w:r>
      <w:proofErr w:type="spellEnd"/>
      <w:r w:rsidRPr="00C43284">
        <w:t xml:space="preserve">. latu, </w:t>
      </w:r>
      <w:proofErr w:type="spellStart"/>
      <w:r w:rsidRPr="00C43284">
        <w:t>t.sk</w:t>
      </w:r>
      <w:proofErr w:type="spellEnd"/>
      <w:r w:rsidRPr="00C43284">
        <w:t xml:space="preserve">. KPFI finansējumu 23,3 </w:t>
      </w:r>
      <w:proofErr w:type="spellStart"/>
      <w:r w:rsidRPr="00C43284">
        <w:t>milj</w:t>
      </w:r>
      <w:proofErr w:type="spellEnd"/>
      <w:r w:rsidRPr="00C43284">
        <w:t xml:space="preserve">. latu un ES fondu finansējums 35,9 latu </w:t>
      </w:r>
      <w:proofErr w:type="spellStart"/>
      <w:r w:rsidRPr="00C43284">
        <w:t>milj</w:t>
      </w:r>
      <w:proofErr w:type="spellEnd"/>
      <w:r w:rsidRPr="00C43284">
        <w:t>. Konkursu ietvaros tiek atbalstīti kompleksie risinājumi ēku energoefektivitātes paaugstināšanai, kā arī zema enerģijas patēriņa ēku būvniecība un rekonstrukcija.</w:t>
      </w:r>
      <w:r w:rsidRPr="00797428">
        <w:t xml:space="preserve"> </w:t>
      </w:r>
      <w:r w:rsidRPr="00380561">
        <w:t xml:space="preserve">Kopā ēku energoefektivitātes uzlabošanas pasākumi veikti 350 </w:t>
      </w:r>
      <w:r>
        <w:t xml:space="preserve">sabiedriskajās </w:t>
      </w:r>
      <w:r w:rsidRPr="00380561">
        <w:t>ēkās</w:t>
      </w:r>
      <w:r>
        <w:t>.</w:t>
      </w:r>
    </w:p>
    <w:p w:rsidR="00421902" w:rsidRDefault="00421902" w:rsidP="00421902">
      <w:pPr>
        <w:ind w:firstLine="567"/>
      </w:pPr>
      <w:r w:rsidRPr="006C39C6">
        <w:t>Lai nodrošinātu kompleksos risinājumus energoefektivitātes paaugstināšanai ražošanas uzņēmumos, līdz 2011.gada beigām īstenoti projekti ar kopējo publisko finansējumu 2,02 </w:t>
      </w:r>
      <w:proofErr w:type="spellStart"/>
      <w:r w:rsidRPr="006C39C6">
        <w:t>milj</w:t>
      </w:r>
      <w:proofErr w:type="spellEnd"/>
      <w:r w:rsidRPr="006C39C6">
        <w:t xml:space="preserve">. latu (KPFI finansējums) un noslēgti līgumi 7,87 </w:t>
      </w:r>
      <w:proofErr w:type="spellStart"/>
      <w:r w:rsidRPr="006C39C6">
        <w:t>milj</w:t>
      </w:r>
      <w:proofErr w:type="spellEnd"/>
      <w:r w:rsidRPr="006C39C6">
        <w:t>. latu apmērā. Projektu īstenošana tika pabeigta līdz 2012.gada beigām.</w:t>
      </w:r>
      <w:r>
        <w:t xml:space="preserve"> 2012.gadā īstenoti 28 projekti ražošanas ēku energoefektivitātes paaugstināšanai par kopējo KPFI ieguldījumu 4,3 </w:t>
      </w:r>
      <w:proofErr w:type="spellStart"/>
      <w:r>
        <w:t>milj</w:t>
      </w:r>
      <w:proofErr w:type="spellEnd"/>
      <w:r>
        <w:t>. latu.</w:t>
      </w:r>
    </w:p>
    <w:p w:rsidR="00421902" w:rsidRPr="00C43284" w:rsidRDefault="00421902" w:rsidP="00421902">
      <w:pPr>
        <w:ind w:firstLine="567"/>
        <w:rPr>
          <w:b/>
          <w:i/>
        </w:rPr>
      </w:pPr>
      <w:r w:rsidRPr="00720114">
        <w:t xml:space="preserve">2013.gadā </w:t>
      </w:r>
      <w:r w:rsidR="00E3298C">
        <w:t xml:space="preserve">KPFI </w:t>
      </w:r>
      <w:r w:rsidRPr="00720114">
        <w:t xml:space="preserve">konkursa </w:t>
      </w:r>
      <w:r w:rsidRPr="00E3298C">
        <w:rPr>
          <w:i/>
        </w:rPr>
        <w:t>„Kompleksi risinājumi siltumnīcefekta gāzu emisiju samazināšanai”</w:t>
      </w:r>
      <w:r w:rsidRPr="00720114">
        <w:t xml:space="preserve"> ietvaros 2013.gadā plānots</w:t>
      </w:r>
      <w:r>
        <w:t xml:space="preserve"> </w:t>
      </w:r>
      <w:r w:rsidRPr="00720114">
        <w:t xml:space="preserve">īstenot </w:t>
      </w:r>
      <w:r>
        <w:t>33</w:t>
      </w:r>
      <w:r w:rsidRPr="00720114">
        <w:t xml:space="preserve"> KPFI finansētos</w:t>
      </w:r>
      <w:r w:rsidR="00D45640">
        <w:t xml:space="preserve"> </w:t>
      </w:r>
      <w:r w:rsidRPr="00720114">
        <w:t>projektus</w:t>
      </w:r>
      <w:r>
        <w:t xml:space="preserve"> (4,87 </w:t>
      </w:r>
      <w:proofErr w:type="spellStart"/>
      <w:r>
        <w:t>milj</w:t>
      </w:r>
      <w:proofErr w:type="spellEnd"/>
      <w:r>
        <w:t>. latu)</w:t>
      </w:r>
      <w:r w:rsidRPr="00720114">
        <w:t>, kuros tiks veikti ieguldījumi ražošanas tehnoloģiskajās iekārtās un ražošanas ēku energoefektivitātes uzlabošan</w:t>
      </w:r>
      <w:r>
        <w:t>ā.</w:t>
      </w:r>
    </w:p>
    <w:p w:rsidR="00421902" w:rsidRPr="006C39C6" w:rsidRDefault="00421902" w:rsidP="00E84407">
      <w:pPr>
        <w:pStyle w:val="ListParagraph"/>
        <w:numPr>
          <w:ilvl w:val="0"/>
          <w:numId w:val="10"/>
        </w:numPr>
        <w:spacing w:before="240" w:after="120"/>
        <w:ind w:left="284" w:hanging="284"/>
        <w:contextualSpacing w:val="0"/>
      </w:pPr>
      <w:r w:rsidRPr="006C39C6">
        <w:rPr>
          <w:b/>
          <w:i/>
        </w:rPr>
        <w:lastRenderedPageBreak/>
        <w:t>Efektīvas apgaismojuma infrastruktūras ieviešana pašvaldību publiskajās teritorijās</w:t>
      </w:r>
      <w:r w:rsidRPr="006C39C6">
        <w:t xml:space="preserve"> (atbildīgā institūcija – VARAM)</w:t>
      </w:r>
    </w:p>
    <w:p w:rsidR="00421902" w:rsidRPr="00C43284" w:rsidRDefault="00421902" w:rsidP="00421902">
      <w:pPr>
        <w:ind w:firstLine="567"/>
        <w:rPr>
          <w:b/>
          <w:i/>
        </w:rPr>
      </w:pPr>
      <w:r w:rsidRPr="006C39C6">
        <w:t xml:space="preserve">Mērķis ir sniegt finansiālu atbalstu pašvaldībām tādas apgaismojuma infrastruktūras ieviešanā, kas ļauj samazināt esošo elektroenerģijas patēriņu un tādējādi samazināt SEG emisijas. 2012.gadā īstenoti 22 projekti par kopējo KPFI finansējumu 2,4 </w:t>
      </w:r>
      <w:proofErr w:type="spellStart"/>
      <w:r w:rsidRPr="006C39C6">
        <w:t>milj</w:t>
      </w:r>
      <w:proofErr w:type="spellEnd"/>
      <w:r w:rsidRPr="006C39C6">
        <w:t>. latu.</w:t>
      </w:r>
      <w:r w:rsidRPr="00C43284">
        <w:rPr>
          <w:b/>
          <w:i/>
        </w:rPr>
        <w:t xml:space="preserve"> </w:t>
      </w:r>
    </w:p>
    <w:p w:rsidR="00421902" w:rsidRPr="00C43284" w:rsidRDefault="00421902" w:rsidP="00E84407">
      <w:pPr>
        <w:pStyle w:val="ListParagraph"/>
        <w:numPr>
          <w:ilvl w:val="0"/>
          <w:numId w:val="10"/>
        </w:numPr>
        <w:spacing w:before="240" w:after="120"/>
        <w:ind w:left="284" w:hanging="284"/>
        <w:contextualSpacing w:val="0"/>
      </w:pPr>
      <w:r w:rsidRPr="00C43284">
        <w:rPr>
          <w:rFonts w:eastAsia="+mn-ea"/>
          <w:b/>
          <w:i/>
        </w:rPr>
        <w:t>Energoefektivitātes paaugstināšana siltumenerģijas ražošanā</w:t>
      </w:r>
      <w:r w:rsidRPr="00C43284">
        <w:rPr>
          <w:rFonts w:eastAsia="+mn-ea"/>
        </w:rPr>
        <w:t xml:space="preserve"> </w:t>
      </w:r>
      <w:r w:rsidRPr="00C43284">
        <w:t>(atbildīgā institūcija – EM)</w:t>
      </w:r>
    </w:p>
    <w:p w:rsidR="00421902" w:rsidRDefault="00421902" w:rsidP="00421902">
      <w:pPr>
        <w:pStyle w:val="ListParagraph"/>
        <w:ind w:left="0" w:firstLine="567"/>
        <w:rPr>
          <w:bCs/>
          <w:color w:val="000000"/>
        </w:rPr>
      </w:pPr>
      <w:r w:rsidRPr="0074758B">
        <w:rPr>
          <w:bCs/>
          <w:color w:val="000000"/>
        </w:rPr>
        <w:t>Centralizētās siltumapgādes sistēmu efektivitātes paaugstināšanas mērķis ir b</w:t>
      </w:r>
      <w:r>
        <w:t>ūtiski paaugstināt siltumenerģijas ražošanas efektivitāti, samazināt siltumenerģijas zudumus pārvades un sadales sistēmās un sekmēt fosilā kurināmā veidu aizvietošanu ar atjaunojamiem kurināmiem</w:t>
      </w:r>
      <w:r w:rsidRPr="0074758B">
        <w:rPr>
          <w:bCs/>
          <w:color w:val="000000"/>
        </w:rPr>
        <w:t xml:space="preserve">. </w:t>
      </w:r>
    </w:p>
    <w:p w:rsidR="00014B3E" w:rsidRPr="004771A9" w:rsidRDefault="00421902" w:rsidP="00421902">
      <w:pPr>
        <w:pStyle w:val="ListParagraph"/>
        <w:ind w:left="0" w:firstLine="567"/>
      </w:pPr>
      <w:r w:rsidRPr="00C43284">
        <w:t xml:space="preserve">Turpinās </w:t>
      </w:r>
      <w:r>
        <w:t xml:space="preserve">centralizētās </w:t>
      </w:r>
      <w:r w:rsidRPr="00C43284">
        <w:t xml:space="preserve">siltumapgādes sistēmu </w:t>
      </w:r>
      <w:r>
        <w:t>efektivitātes paaugstināšanas</w:t>
      </w:r>
      <w:r w:rsidRPr="00C43284">
        <w:t xml:space="preserve"> </w:t>
      </w:r>
      <w:r>
        <w:t>pasākumu īstenošana</w:t>
      </w:r>
      <w:r w:rsidRPr="00C43284">
        <w:t xml:space="preserve">. </w:t>
      </w:r>
      <w:r w:rsidRPr="0047743B">
        <w:t>Kopējais ES fondu finansējums 2007.</w:t>
      </w:r>
      <w:r w:rsidR="00522912">
        <w:t>–</w:t>
      </w:r>
      <w:r w:rsidRPr="0047743B">
        <w:t xml:space="preserve">2013.gadam ir 55,3 </w:t>
      </w:r>
      <w:proofErr w:type="spellStart"/>
      <w:r w:rsidRPr="0047743B">
        <w:t>milj</w:t>
      </w:r>
      <w:proofErr w:type="spellEnd"/>
      <w:r w:rsidRPr="0047743B">
        <w:t>. latu.</w:t>
      </w:r>
      <w:r>
        <w:t xml:space="preserve"> </w:t>
      </w:r>
      <w:r w:rsidRPr="00C43284">
        <w:t>Līdz 201</w:t>
      </w:r>
      <w:r>
        <w:t>3</w:t>
      </w:r>
      <w:r w:rsidRPr="00C43284">
        <w:t xml:space="preserve">.gada </w:t>
      </w:r>
      <w:r>
        <w:t>februārim</w:t>
      </w:r>
      <w:r w:rsidRPr="00C43284">
        <w:t xml:space="preserve"> ir noslēgti</w:t>
      </w:r>
      <w:r>
        <w:t xml:space="preserve"> 67</w:t>
      </w:r>
      <w:r w:rsidRPr="00C43284">
        <w:t xml:space="preserve"> līgumi par </w:t>
      </w:r>
      <w:r>
        <w:t>KF</w:t>
      </w:r>
      <w:r w:rsidRPr="00C43284">
        <w:t xml:space="preserve"> finansējumu </w:t>
      </w:r>
      <w:r>
        <w:t>40,3</w:t>
      </w:r>
      <w:r w:rsidRPr="00C43284">
        <w:t xml:space="preserve"> </w:t>
      </w:r>
      <w:proofErr w:type="spellStart"/>
      <w:r w:rsidRPr="00C43284">
        <w:t>milj</w:t>
      </w:r>
      <w:proofErr w:type="spellEnd"/>
      <w:r w:rsidRPr="00C43284">
        <w:t>. latu apmērā</w:t>
      </w:r>
      <w:r>
        <w:t xml:space="preserve">, no tiem ir pabeigti 20 projekti par KF finansējumu 8,4 </w:t>
      </w:r>
      <w:proofErr w:type="spellStart"/>
      <w:r>
        <w:t>milj</w:t>
      </w:r>
      <w:proofErr w:type="spellEnd"/>
      <w:r>
        <w:t>. latu.</w:t>
      </w:r>
    </w:p>
    <w:p w:rsidR="00BC1D26" w:rsidRPr="00C43284" w:rsidRDefault="00BC1D26" w:rsidP="001905AE">
      <w:pPr>
        <w:pStyle w:val="Heading3"/>
        <w:spacing w:before="360" w:after="120"/>
        <w:ind w:firstLine="567"/>
        <w:rPr>
          <w:rFonts w:ascii="Times New Roman" w:hAnsi="Times New Roman" w:cs="Times New Roman"/>
          <w:color w:val="auto"/>
        </w:rPr>
      </w:pPr>
      <w:bookmarkStart w:id="40" w:name="_Toc354384950"/>
      <w:r w:rsidRPr="00C43284">
        <w:rPr>
          <w:rFonts w:ascii="Times New Roman" w:hAnsi="Times New Roman" w:cs="Times New Roman"/>
          <w:color w:val="auto"/>
        </w:rPr>
        <w:t>3.6.</w:t>
      </w:r>
      <w:r w:rsidR="00B1259C" w:rsidRPr="00C43284">
        <w:rPr>
          <w:rFonts w:ascii="Times New Roman" w:hAnsi="Times New Roman" w:cs="Times New Roman"/>
          <w:color w:val="auto"/>
        </w:rPr>
        <w:t>2</w:t>
      </w:r>
      <w:r w:rsidRPr="00C43284">
        <w:rPr>
          <w:rFonts w:ascii="Times New Roman" w:hAnsi="Times New Roman" w:cs="Times New Roman"/>
          <w:color w:val="auto"/>
        </w:rPr>
        <w:t>. Atjaunojamās enerģijas īpatsvara palielināšana</w:t>
      </w:r>
      <w:bookmarkEnd w:id="40"/>
    </w:p>
    <w:p w:rsidR="00421902" w:rsidRPr="00C43284" w:rsidRDefault="00421902" w:rsidP="00421902">
      <w:pPr>
        <w:ind w:firstLine="567"/>
        <w:rPr>
          <w:color w:val="000000"/>
        </w:rPr>
      </w:pPr>
      <w:r w:rsidRPr="00C43284">
        <w:rPr>
          <w:color w:val="000000"/>
        </w:rPr>
        <w:t>Latvijas kvantitatīvais mērķis ir palielināt no AER saražotās enerģijas īpatsvaru kopējā enerģijas bruto galapatēriņā līdz 40% 2020.gadā, savukārt atjaunojamās enerģijas AE īpatsvaram transporta sektorā jāsasniedz vismaz 10% no enerģijas bruto galapatēriņa transportā.</w:t>
      </w:r>
    </w:p>
    <w:p w:rsidR="002E439F" w:rsidRDefault="002E439F">
      <w:pPr>
        <w:jc w:val="left"/>
      </w:pPr>
    </w:p>
    <w:p w:rsidR="00421902" w:rsidRPr="00C43284" w:rsidRDefault="005D0380" w:rsidP="00421902">
      <w:pPr>
        <w:spacing w:before="80"/>
        <w:jc w:val="right"/>
      </w:pPr>
      <w:r>
        <w:t>10</w:t>
      </w:r>
      <w:r w:rsidR="00421902" w:rsidRPr="00C43284">
        <w:t xml:space="preserve">.tabula </w:t>
      </w:r>
    </w:p>
    <w:p w:rsidR="00421902" w:rsidRPr="00013EDB" w:rsidRDefault="00421902" w:rsidP="00421902">
      <w:pPr>
        <w:spacing w:after="60"/>
        <w:jc w:val="center"/>
      </w:pPr>
      <w:r w:rsidRPr="00013EDB">
        <w:t>Atjaunojamās enerģijas palielināšanas mērķa sasniegšanas trajektorija</w:t>
      </w:r>
    </w:p>
    <w:tbl>
      <w:tblPr>
        <w:tblStyle w:val="LightShading"/>
        <w:tblW w:w="3908" w:type="pct"/>
        <w:jc w:val="center"/>
        <w:tblInd w:w="-1762" w:type="dxa"/>
        <w:tblLook w:val="04A0" w:firstRow="1" w:lastRow="0" w:firstColumn="1" w:lastColumn="0" w:noHBand="0" w:noVBand="1"/>
      </w:tblPr>
      <w:tblGrid>
        <w:gridCol w:w="3527"/>
        <w:gridCol w:w="1016"/>
        <w:gridCol w:w="1016"/>
        <w:gridCol w:w="1016"/>
        <w:gridCol w:w="684"/>
      </w:tblGrid>
      <w:tr w:rsidR="00421902" w:rsidRPr="00332E32" w:rsidTr="006F290F">
        <w:trPr>
          <w:cnfStyle w:val="100000000000" w:firstRow="1" w:lastRow="0" w:firstColumn="0" w:lastColumn="0" w:oddVBand="0" w:evenVBand="0" w:oddHBand="0"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2429" w:type="pct"/>
            <w:shd w:val="clear" w:color="auto" w:fill="BFBFBF" w:themeFill="background1" w:themeFillShade="BF"/>
          </w:tcPr>
          <w:p w:rsidR="00421902" w:rsidRPr="00332E32" w:rsidRDefault="00421902" w:rsidP="006F290F">
            <w:pPr>
              <w:pStyle w:val="Default"/>
              <w:jc w:val="center"/>
              <w:rPr>
                <w:rFonts w:ascii="Times New Roman" w:hAnsi="Times New Roman" w:cs="Times New Roman"/>
                <w:b w:val="0"/>
                <w:bCs w:val="0"/>
                <w:sz w:val="22"/>
              </w:rPr>
            </w:pPr>
          </w:p>
        </w:tc>
        <w:tc>
          <w:tcPr>
            <w:tcW w:w="700" w:type="pct"/>
            <w:shd w:val="clear" w:color="auto" w:fill="BFBFBF" w:themeFill="background1" w:themeFillShade="BF"/>
          </w:tcPr>
          <w:p w:rsidR="00421902" w:rsidRPr="00332E32" w:rsidRDefault="00421902"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sidRPr="00332E32">
              <w:rPr>
                <w:rFonts w:ascii="Times New Roman" w:hAnsi="Times New Roman" w:cs="Times New Roman"/>
                <w:b w:val="0"/>
                <w:bCs w:val="0"/>
                <w:sz w:val="22"/>
              </w:rPr>
              <w:t>2009</w:t>
            </w:r>
          </w:p>
        </w:tc>
        <w:tc>
          <w:tcPr>
            <w:tcW w:w="700" w:type="pct"/>
            <w:shd w:val="clear" w:color="auto" w:fill="BFBFBF" w:themeFill="background1" w:themeFillShade="BF"/>
          </w:tcPr>
          <w:p w:rsidR="00421902" w:rsidRPr="00332E32" w:rsidRDefault="00421902"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sidRPr="00332E32">
              <w:rPr>
                <w:rFonts w:ascii="Times New Roman" w:hAnsi="Times New Roman" w:cs="Times New Roman"/>
                <w:b w:val="0"/>
                <w:bCs w:val="0"/>
                <w:sz w:val="22"/>
              </w:rPr>
              <w:t>2010</w:t>
            </w:r>
          </w:p>
        </w:tc>
        <w:tc>
          <w:tcPr>
            <w:tcW w:w="700" w:type="pct"/>
            <w:shd w:val="clear" w:color="auto" w:fill="BFBFBF" w:themeFill="background1" w:themeFillShade="BF"/>
          </w:tcPr>
          <w:p w:rsidR="00421902" w:rsidRPr="00332E32" w:rsidRDefault="00421902"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sidRPr="00332E32">
              <w:rPr>
                <w:rFonts w:ascii="Times New Roman" w:hAnsi="Times New Roman" w:cs="Times New Roman"/>
                <w:b w:val="0"/>
                <w:bCs w:val="0"/>
                <w:sz w:val="22"/>
              </w:rPr>
              <w:t>2011</w:t>
            </w:r>
          </w:p>
        </w:tc>
        <w:tc>
          <w:tcPr>
            <w:tcW w:w="471" w:type="pct"/>
            <w:shd w:val="clear" w:color="auto" w:fill="BFBFBF" w:themeFill="background1" w:themeFillShade="BF"/>
          </w:tcPr>
          <w:p w:rsidR="00421902" w:rsidRPr="00332E32" w:rsidRDefault="00421902"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sidRPr="00332E32">
              <w:rPr>
                <w:rFonts w:ascii="Times New Roman" w:hAnsi="Times New Roman" w:cs="Times New Roman"/>
                <w:b w:val="0"/>
                <w:bCs w:val="0"/>
                <w:sz w:val="22"/>
              </w:rPr>
              <w:t>2020</w:t>
            </w:r>
          </w:p>
        </w:tc>
      </w:tr>
      <w:tr w:rsidR="00421902" w:rsidRPr="00332E32" w:rsidTr="006F29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9" w:type="pct"/>
            <w:shd w:val="clear" w:color="auto" w:fill="auto"/>
          </w:tcPr>
          <w:p w:rsidR="00421902" w:rsidRPr="00332E32" w:rsidRDefault="00421902" w:rsidP="006F290F">
            <w:pPr>
              <w:pStyle w:val="Default"/>
              <w:spacing w:before="80" w:after="80"/>
              <w:rPr>
                <w:rFonts w:ascii="Times New Roman" w:hAnsi="Times New Roman" w:cs="Times New Roman"/>
                <w:b w:val="0"/>
                <w:bCs w:val="0"/>
                <w:sz w:val="22"/>
                <w:szCs w:val="20"/>
              </w:rPr>
            </w:pPr>
            <w:r w:rsidRPr="00332E32">
              <w:rPr>
                <w:rFonts w:ascii="Times New Roman" w:hAnsi="Times New Roman" w:cs="Times New Roman"/>
                <w:b w:val="0"/>
                <w:sz w:val="22"/>
                <w:szCs w:val="20"/>
              </w:rPr>
              <w:t>Atjaunojamās enerģijas īpatsvars (%)</w:t>
            </w:r>
          </w:p>
        </w:tc>
        <w:tc>
          <w:tcPr>
            <w:tcW w:w="700" w:type="pct"/>
            <w:shd w:val="clear" w:color="auto" w:fill="auto"/>
            <w:vAlign w:val="center"/>
          </w:tcPr>
          <w:p w:rsidR="00421902" w:rsidRPr="00332E32" w:rsidRDefault="00421902" w:rsidP="006F290F">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332E32">
              <w:rPr>
                <w:rFonts w:ascii="Times New Roman" w:hAnsi="Times New Roman" w:cs="Times New Roman"/>
                <w:sz w:val="22"/>
                <w:szCs w:val="20"/>
              </w:rPr>
              <w:t>34,3</w:t>
            </w:r>
          </w:p>
        </w:tc>
        <w:tc>
          <w:tcPr>
            <w:tcW w:w="700" w:type="pct"/>
            <w:shd w:val="clear" w:color="auto" w:fill="auto"/>
            <w:vAlign w:val="center"/>
          </w:tcPr>
          <w:p w:rsidR="00421902" w:rsidRPr="00332E32" w:rsidRDefault="00421902" w:rsidP="006F290F">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332E32">
              <w:rPr>
                <w:rFonts w:ascii="Times New Roman" w:hAnsi="Times New Roman" w:cs="Times New Roman"/>
                <w:sz w:val="22"/>
                <w:szCs w:val="20"/>
              </w:rPr>
              <w:t>32,5</w:t>
            </w:r>
          </w:p>
        </w:tc>
        <w:tc>
          <w:tcPr>
            <w:tcW w:w="700" w:type="pct"/>
            <w:shd w:val="clear" w:color="auto" w:fill="auto"/>
            <w:vAlign w:val="center"/>
          </w:tcPr>
          <w:p w:rsidR="00421902" w:rsidRPr="00332E32" w:rsidRDefault="00421902" w:rsidP="006F290F">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332E32">
              <w:rPr>
                <w:rFonts w:ascii="Times New Roman" w:hAnsi="Times New Roman" w:cs="Times New Roman"/>
                <w:sz w:val="22"/>
                <w:szCs w:val="20"/>
              </w:rPr>
              <w:t>33,1</w:t>
            </w:r>
          </w:p>
        </w:tc>
        <w:tc>
          <w:tcPr>
            <w:tcW w:w="471" w:type="pct"/>
            <w:shd w:val="clear" w:color="auto" w:fill="auto"/>
            <w:vAlign w:val="center"/>
          </w:tcPr>
          <w:p w:rsidR="00421902" w:rsidRPr="00332E32" w:rsidRDefault="00421902" w:rsidP="006F290F">
            <w:pPr>
              <w:ind w:firstLine="32"/>
              <w:jc w:val="center"/>
              <w:cnfStyle w:val="000000100000" w:firstRow="0" w:lastRow="0" w:firstColumn="0" w:lastColumn="0" w:oddVBand="0" w:evenVBand="0" w:oddHBand="1" w:evenHBand="0" w:firstRowFirstColumn="0" w:firstRowLastColumn="0" w:lastRowFirstColumn="0" w:lastRowLastColumn="0"/>
              <w:rPr>
                <w:sz w:val="22"/>
                <w:szCs w:val="20"/>
              </w:rPr>
            </w:pPr>
            <w:r w:rsidRPr="00332E32">
              <w:rPr>
                <w:sz w:val="22"/>
                <w:szCs w:val="20"/>
              </w:rPr>
              <w:t>40,0</w:t>
            </w:r>
          </w:p>
        </w:tc>
      </w:tr>
    </w:tbl>
    <w:p w:rsidR="00421902" w:rsidRPr="00C43284" w:rsidRDefault="00421902" w:rsidP="00421902">
      <w:pPr>
        <w:jc w:val="center"/>
        <w:rPr>
          <w:b/>
          <w:sz w:val="18"/>
          <w:szCs w:val="20"/>
        </w:rPr>
      </w:pPr>
    </w:p>
    <w:p w:rsidR="00421902" w:rsidRPr="00C43284" w:rsidRDefault="00421902" w:rsidP="00013EDB">
      <w:pPr>
        <w:spacing w:before="120"/>
        <w:jc w:val="right"/>
      </w:pPr>
      <w:r w:rsidRPr="00C43284">
        <w:t>1</w:t>
      </w:r>
      <w:r w:rsidR="005D0380">
        <w:t>1</w:t>
      </w:r>
      <w:r w:rsidRPr="00C43284">
        <w:t xml:space="preserve">.tabula </w:t>
      </w:r>
    </w:p>
    <w:p w:rsidR="00421902" w:rsidRPr="00013EDB" w:rsidRDefault="00421902" w:rsidP="00421902">
      <w:pPr>
        <w:widowControl w:val="0"/>
        <w:autoSpaceDE w:val="0"/>
        <w:autoSpaceDN w:val="0"/>
        <w:adjustRightInd w:val="0"/>
        <w:jc w:val="center"/>
      </w:pPr>
      <w:r w:rsidRPr="00013EDB">
        <w:t>Paredzamās attīstības trajektorija attiecībā uz enerģiju no AER apsildē un dzesēšanā, elektroenerģijā un transportā,</w:t>
      </w:r>
      <w:r w:rsidR="00D45640">
        <w:t xml:space="preserve"> </w:t>
      </w:r>
      <w:r w:rsidRPr="00013EDB">
        <w:t>% no katra sektora enerģijas galapatēriņa</w:t>
      </w:r>
    </w:p>
    <w:tbl>
      <w:tblPr>
        <w:tblW w:w="7831" w:type="dxa"/>
        <w:jc w:val="center"/>
        <w:tblInd w:w="-2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6"/>
        <w:gridCol w:w="815"/>
        <w:gridCol w:w="815"/>
        <w:gridCol w:w="815"/>
        <w:gridCol w:w="815"/>
        <w:gridCol w:w="815"/>
      </w:tblGrid>
      <w:tr w:rsidR="00421902" w:rsidRPr="0047743B" w:rsidTr="006F290F">
        <w:trPr>
          <w:trHeight w:val="255"/>
          <w:jc w:val="center"/>
        </w:trPr>
        <w:tc>
          <w:tcPr>
            <w:tcW w:w="3756" w:type="dxa"/>
            <w:tcBorders>
              <w:left w:val="nil"/>
              <w:bottom w:val="single" w:sz="4" w:space="0" w:color="auto"/>
              <w:right w:val="nil"/>
            </w:tcBorders>
            <w:shd w:val="clear" w:color="auto" w:fill="BFBFBF" w:themeFill="background1" w:themeFillShade="BF"/>
            <w:noWrap/>
            <w:vAlign w:val="bottom"/>
          </w:tcPr>
          <w:p w:rsidR="00421902" w:rsidRPr="0047743B" w:rsidRDefault="00421902" w:rsidP="006F290F">
            <w:pPr>
              <w:rPr>
                <w:sz w:val="22"/>
                <w:szCs w:val="20"/>
                <w:lang w:eastAsia="lv-LV"/>
              </w:rPr>
            </w:pPr>
            <w:r w:rsidRPr="0047743B">
              <w:rPr>
                <w:sz w:val="22"/>
                <w:szCs w:val="20"/>
                <w:lang w:eastAsia="lv-LV"/>
              </w:rPr>
              <w:t> </w:t>
            </w:r>
          </w:p>
        </w:tc>
        <w:tc>
          <w:tcPr>
            <w:tcW w:w="815" w:type="dxa"/>
            <w:tcBorders>
              <w:left w:val="nil"/>
              <w:bottom w:val="single" w:sz="4" w:space="0" w:color="auto"/>
              <w:right w:val="nil"/>
            </w:tcBorders>
            <w:shd w:val="clear" w:color="auto" w:fill="BFBFBF" w:themeFill="background1" w:themeFillShade="BF"/>
            <w:noWrap/>
            <w:vAlign w:val="center"/>
          </w:tcPr>
          <w:p w:rsidR="00421902" w:rsidRPr="0047743B" w:rsidRDefault="00421902" w:rsidP="006F290F">
            <w:pPr>
              <w:jc w:val="center"/>
              <w:rPr>
                <w:bCs/>
                <w:sz w:val="22"/>
                <w:szCs w:val="20"/>
                <w:lang w:eastAsia="lv-LV"/>
              </w:rPr>
            </w:pPr>
            <w:r w:rsidRPr="0047743B">
              <w:rPr>
                <w:bCs/>
                <w:sz w:val="22"/>
                <w:szCs w:val="20"/>
                <w:lang w:eastAsia="lv-LV"/>
              </w:rPr>
              <w:t>2005</w:t>
            </w:r>
          </w:p>
        </w:tc>
        <w:tc>
          <w:tcPr>
            <w:tcW w:w="815" w:type="dxa"/>
            <w:tcBorders>
              <w:left w:val="nil"/>
              <w:bottom w:val="single" w:sz="4" w:space="0" w:color="auto"/>
              <w:right w:val="nil"/>
            </w:tcBorders>
            <w:shd w:val="clear" w:color="auto" w:fill="BFBFBF" w:themeFill="background1" w:themeFillShade="BF"/>
          </w:tcPr>
          <w:p w:rsidR="00421902" w:rsidRPr="0047743B" w:rsidRDefault="00421902" w:rsidP="006F290F">
            <w:pPr>
              <w:jc w:val="center"/>
              <w:rPr>
                <w:bCs/>
                <w:sz w:val="22"/>
                <w:szCs w:val="20"/>
                <w:lang w:eastAsia="lv-LV"/>
              </w:rPr>
            </w:pPr>
            <w:r w:rsidRPr="0047743B">
              <w:rPr>
                <w:bCs/>
                <w:sz w:val="22"/>
                <w:szCs w:val="20"/>
                <w:lang w:eastAsia="lv-LV"/>
              </w:rPr>
              <w:t>2010</w:t>
            </w:r>
          </w:p>
        </w:tc>
        <w:tc>
          <w:tcPr>
            <w:tcW w:w="815" w:type="dxa"/>
            <w:tcBorders>
              <w:left w:val="nil"/>
              <w:bottom w:val="single" w:sz="4" w:space="0" w:color="auto"/>
              <w:right w:val="nil"/>
            </w:tcBorders>
            <w:shd w:val="clear" w:color="auto" w:fill="BFBFBF" w:themeFill="background1" w:themeFillShade="BF"/>
            <w:noWrap/>
            <w:vAlign w:val="center"/>
          </w:tcPr>
          <w:p w:rsidR="00421902" w:rsidRPr="0047743B" w:rsidRDefault="00421902" w:rsidP="006F290F">
            <w:pPr>
              <w:jc w:val="center"/>
              <w:rPr>
                <w:bCs/>
                <w:sz w:val="22"/>
                <w:szCs w:val="20"/>
                <w:lang w:eastAsia="lv-LV"/>
              </w:rPr>
            </w:pPr>
            <w:r w:rsidRPr="0047743B">
              <w:rPr>
                <w:bCs/>
                <w:sz w:val="22"/>
                <w:szCs w:val="20"/>
                <w:lang w:eastAsia="lv-LV"/>
              </w:rPr>
              <w:t>2011</w:t>
            </w:r>
          </w:p>
        </w:tc>
        <w:tc>
          <w:tcPr>
            <w:tcW w:w="815" w:type="dxa"/>
            <w:tcBorders>
              <w:left w:val="nil"/>
              <w:bottom w:val="single" w:sz="4" w:space="0" w:color="auto"/>
              <w:right w:val="nil"/>
            </w:tcBorders>
            <w:shd w:val="clear" w:color="auto" w:fill="BFBFBF" w:themeFill="background1" w:themeFillShade="BF"/>
            <w:noWrap/>
            <w:vAlign w:val="center"/>
          </w:tcPr>
          <w:p w:rsidR="00421902" w:rsidRPr="0047743B" w:rsidRDefault="00421902" w:rsidP="006F290F">
            <w:pPr>
              <w:jc w:val="center"/>
              <w:rPr>
                <w:bCs/>
                <w:sz w:val="22"/>
                <w:szCs w:val="20"/>
                <w:lang w:eastAsia="lv-LV"/>
              </w:rPr>
            </w:pPr>
            <w:r w:rsidRPr="0047743B">
              <w:rPr>
                <w:bCs/>
                <w:sz w:val="22"/>
                <w:szCs w:val="20"/>
                <w:lang w:eastAsia="lv-LV"/>
              </w:rPr>
              <w:t>2015</w:t>
            </w:r>
          </w:p>
        </w:tc>
        <w:tc>
          <w:tcPr>
            <w:tcW w:w="815" w:type="dxa"/>
            <w:tcBorders>
              <w:left w:val="nil"/>
              <w:bottom w:val="single" w:sz="4" w:space="0" w:color="auto"/>
              <w:right w:val="nil"/>
            </w:tcBorders>
            <w:shd w:val="clear" w:color="auto" w:fill="BFBFBF" w:themeFill="background1" w:themeFillShade="BF"/>
            <w:noWrap/>
            <w:vAlign w:val="center"/>
          </w:tcPr>
          <w:p w:rsidR="00421902" w:rsidRPr="0047743B" w:rsidRDefault="00421902" w:rsidP="006F290F">
            <w:pPr>
              <w:jc w:val="center"/>
              <w:rPr>
                <w:bCs/>
                <w:sz w:val="22"/>
                <w:szCs w:val="20"/>
                <w:lang w:eastAsia="lv-LV"/>
              </w:rPr>
            </w:pPr>
            <w:r w:rsidRPr="0047743B">
              <w:rPr>
                <w:bCs/>
                <w:sz w:val="22"/>
                <w:szCs w:val="20"/>
                <w:lang w:eastAsia="lv-LV"/>
              </w:rPr>
              <w:t>2020</w:t>
            </w:r>
          </w:p>
        </w:tc>
      </w:tr>
      <w:tr w:rsidR="00421902" w:rsidRPr="00C43284" w:rsidTr="006F290F">
        <w:trPr>
          <w:trHeight w:val="310"/>
          <w:jc w:val="center"/>
        </w:trPr>
        <w:tc>
          <w:tcPr>
            <w:tcW w:w="3756" w:type="dxa"/>
            <w:tcBorders>
              <w:left w:val="nil"/>
              <w:bottom w:val="nil"/>
              <w:right w:val="nil"/>
            </w:tcBorders>
            <w:shd w:val="clear" w:color="auto" w:fill="auto"/>
            <w:vAlign w:val="center"/>
          </w:tcPr>
          <w:p w:rsidR="00421902" w:rsidRPr="002B5465" w:rsidRDefault="00421902" w:rsidP="006F290F">
            <w:pPr>
              <w:spacing w:before="40" w:after="40"/>
              <w:rPr>
                <w:sz w:val="22"/>
                <w:szCs w:val="22"/>
                <w:lang w:eastAsia="lv-LV"/>
              </w:rPr>
            </w:pPr>
            <w:r w:rsidRPr="002B5465">
              <w:rPr>
                <w:sz w:val="22"/>
                <w:szCs w:val="22"/>
                <w:lang w:eastAsia="lv-LV"/>
              </w:rPr>
              <w:t>Apsilde un dzesēšana</w:t>
            </w:r>
          </w:p>
        </w:tc>
        <w:tc>
          <w:tcPr>
            <w:tcW w:w="815" w:type="dxa"/>
            <w:tcBorders>
              <w:left w:val="nil"/>
              <w:bottom w:val="nil"/>
              <w:right w:val="nil"/>
            </w:tcBorders>
            <w:shd w:val="clear" w:color="auto" w:fill="auto"/>
            <w:noWrap/>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42,7</w:t>
            </w:r>
          </w:p>
        </w:tc>
        <w:tc>
          <w:tcPr>
            <w:tcW w:w="815" w:type="dxa"/>
            <w:tcBorders>
              <w:left w:val="nil"/>
              <w:bottom w:val="nil"/>
              <w:right w:val="nil"/>
            </w:tcBorders>
            <w:shd w:val="clear" w:color="auto" w:fill="auto"/>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43,8</w:t>
            </w:r>
          </w:p>
        </w:tc>
        <w:tc>
          <w:tcPr>
            <w:tcW w:w="815" w:type="dxa"/>
            <w:tcBorders>
              <w:left w:val="nil"/>
              <w:bottom w:val="nil"/>
              <w:right w:val="nil"/>
            </w:tcBorders>
            <w:shd w:val="clear" w:color="auto" w:fill="auto"/>
            <w:noWrap/>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44,67</w:t>
            </w:r>
          </w:p>
        </w:tc>
        <w:tc>
          <w:tcPr>
            <w:tcW w:w="815" w:type="dxa"/>
            <w:tcBorders>
              <w:left w:val="nil"/>
              <w:bottom w:val="nil"/>
              <w:right w:val="nil"/>
            </w:tcBorders>
            <w:shd w:val="clear" w:color="auto" w:fill="auto"/>
            <w:noWrap/>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48,6</w:t>
            </w:r>
          </w:p>
        </w:tc>
        <w:tc>
          <w:tcPr>
            <w:tcW w:w="815" w:type="dxa"/>
            <w:tcBorders>
              <w:left w:val="nil"/>
              <w:bottom w:val="nil"/>
              <w:right w:val="nil"/>
            </w:tcBorders>
            <w:shd w:val="clear" w:color="auto" w:fill="auto"/>
            <w:noWrap/>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53,4</w:t>
            </w:r>
          </w:p>
        </w:tc>
      </w:tr>
      <w:tr w:rsidR="00421902" w:rsidRPr="00C43284" w:rsidTr="006F290F">
        <w:trPr>
          <w:trHeight w:val="310"/>
          <w:jc w:val="center"/>
        </w:trPr>
        <w:tc>
          <w:tcPr>
            <w:tcW w:w="3756" w:type="dxa"/>
            <w:tcBorders>
              <w:top w:val="nil"/>
              <w:left w:val="nil"/>
              <w:bottom w:val="nil"/>
              <w:right w:val="nil"/>
            </w:tcBorders>
            <w:shd w:val="clear" w:color="auto" w:fill="auto"/>
            <w:vAlign w:val="center"/>
          </w:tcPr>
          <w:p w:rsidR="00421902" w:rsidRPr="002B5465" w:rsidRDefault="00421902" w:rsidP="006F290F">
            <w:pPr>
              <w:spacing w:before="40" w:after="40"/>
              <w:rPr>
                <w:sz w:val="22"/>
                <w:szCs w:val="22"/>
                <w:lang w:eastAsia="lv-LV"/>
              </w:rPr>
            </w:pPr>
            <w:r w:rsidRPr="002B5465">
              <w:rPr>
                <w:sz w:val="22"/>
                <w:szCs w:val="22"/>
                <w:lang w:eastAsia="lv-LV"/>
              </w:rPr>
              <w:t>Elektroenerģija</w:t>
            </w:r>
          </w:p>
        </w:tc>
        <w:tc>
          <w:tcPr>
            <w:tcW w:w="815" w:type="dxa"/>
            <w:tcBorders>
              <w:top w:val="nil"/>
              <w:left w:val="nil"/>
              <w:bottom w:val="nil"/>
              <w:right w:val="nil"/>
            </w:tcBorders>
            <w:shd w:val="clear" w:color="auto" w:fill="auto"/>
            <w:noWrap/>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44,9</w:t>
            </w:r>
          </w:p>
        </w:tc>
        <w:tc>
          <w:tcPr>
            <w:tcW w:w="815" w:type="dxa"/>
            <w:tcBorders>
              <w:top w:val="nil"/>
              <w:left w:val="nil"/>
              <w:bottom w:val="nil"/>
              <w:right w:val="nil"/>
            </w:tcBorders>
            <w:shd w:val="clear" w:color="auto" w:fill="auto"/>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42,1</w:t>
            </w:r>
          </w:p>
        </w:tc>
        <w:tc>
          <w:tcPr>
            <w:tcW w:w="815" w:type="dxa"/>
            <w:tcBorders>
              <w:top w:val="nil"/>
              <w:left w:val="nil"/>
              <w:bottom w:val="nil"/>
              <w:right w:val="nil"/>
            </w:tcBorders>
            <w:shd w:val="clear" w:color="auto" w:fill="auto"/>
            <w:noWrap/>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44,7</w:t>
            </w:r>
          </w:p>
        </w:tc>
        <w:tc>
          <w:tcPr>
            <w:tcW w:w="815" w:type="dxa"/>
            <w:tcBorders>
              <w:top w:val="nil"/>
              <w:left w:val="nil"/>
              <w:bottom w:val="nil"/>
              <w:right w:val="nil"/>
            </w:tcBorders>
            <w:shd w:val="clear" w:color="auto" w:fill="auto"/>
            <w:noWrap/>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51,4</w:t>
            </w:r>
          </w:p>
        </w:tc>
        <w:tc>
          <w:tcPr>
            <w:tcW w:w="815" w:type="dxa"/>
            <w:tcBorders>
              <w:top w:val="nil"/>
              <w:left w:val="nil"/>
              <w:bottom w:val="nil"/>
              <w:right w:val="nil"/>
            </w:tcBorders>
            <w:shd w:val="clear" w:color="auto" w:fill="auto"/>
            <w:noWrap/>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59,8</w:t>
            </w:r>
          </w:p>
        </w:tc>
      </w:tr>
      <w:tr w:rsidR="00421902" w:rsidRPr="00C43284" w:rsidTr="006F290F">
        <w:trPr>
          <w:trHeight w:val="310"/>
          <w:jc w:val="center"/>
        </w:trPr>
        <w:tc>
          <w:tcPr>
            <w:tcW w:w="3756" w:type="dxa"/>
            <w:tcBorders>
              <w:top w:val="nil"/>
              <w:left w:val="nil"/>
              <w:right w:val="nil"/>
            </w:tcBorders>
            <w:shd w:val="clear" w:color="auto" w:fill="auto"/>
            <w:vAlign w:val="center"/>
          </w:tcPr>
          <w:p w:rsidR="00421902" w:rsidRPr="002B5465" w:rsidRDefault="00421902" w:rsidP="006F290F">
            <w:pPr>
              <w:spacing w:before="40" w:after="40"/>
              <w:rPr>
                <w:sz w:val="22"/>
                <w:szCs w:val="22"/>
                <w:lang w:eastAsia="lv-LV"/>
              </w:rPr>
            </w:pPr>
            <w:r w:rsidRPr="002B5465">
              <w:rPr>
                <w:sz w:val="22"/>
                <w:szCs w:val="22"/>
                <w:lang w:eastAsia="lv-LV"/>
              </w:rPr>
              <w:t>Transports</w:t>
            </w:r>
          </w:p>
        </w:tc>
        <w:tc>
          <w:tcPr>
            <w:tcW w:w="815" w:type="dxa"/>
            <w:tcBorders>
              <w:top w:val="nil"/>
              <w:left w:val="nil"/>
              <w:right w:val="nil"/>
            </w:tcBorders>
            <w:shd w:val="clear" w:color="auto" w:fill="auto"/>
            <w:noWrap/>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1,34</w:t>
            </w:r>
          </w:p>
        </w:tc>
        <w:tc>
          <w:tcPr>
            <w:tcW w:w="815" w:type="dxa"/>
            <w:tcBorders>
              <w:top w:val="nil"/>
              <w:left w:val="nil"/>
              <w:right w:val="nil"/>
            </w:tcBorders>
            <w:shd w:val="clear" w:color="auto" w:fill="auto"/>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3,3</w:t>
            </w:r>
          </w:p>
        </w:tc>
        <w:tc>
          <w:tcPr>
            <w:tcW w:w="815" w:type="dxa"/>
            <w:tcBorders>
              <w:top w:val="nil"/>
              <w:left w:val="nil"/>
              <w:right w:val="nil"/>
            </w:tcBorders>
            <w:shd w:val="clear" w:color="auto" w:fill="auto"/>
            <w:noWrap/>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4,8</w:t>
            </w:r>
          </w:p>
        </w:tc>
        <w:tc>
          <w:tcPr>
            <w:tcW w:w="815" w:type="dxa"/>
            <w:tcBorders>
              <w:top w:val="nil"/>
              <w:left w:val="nil"/>
              <w:right w:val="nil"/>
            </w:tcBorders>
            <w:shd w:val="clear" w:color="auto" w:fill="auto"/>
            <w:noWrap/>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4,6</w:t>
            </w:r>
          </w:p>
        </w:tc>
        <w:tc>
          <w:tcPr>
            <w:tcW w:w="815" w:type="dxa"/>
            <w:tcBorders>
              <w:top w:val="nil"/>
              <w:left w:val="nil"/>
              <w:right w:val="nil"/>
            </w:tcBorders>
            <w:shd w:val="clear" w:color="auto" w:fill="auto"/>
            <w:noWrap/>
            <w:vAlign w:val="center"/>
          </w:tcPr>
          <w:p w:rsidR="00421902" w:rsidRPr="002B5465" w:rsidRDefault="00421902" w:rsidP="006F290F">
            <w:pPr>
              <w:spacing w:before="40" w:after="40"/>
              <w:jc w:val="center"/>
              <w:rPr>
                <w:sz w:val="22"/>
                <w:szCs w:val="22"/>
                <w:lang w:eastAsia="lv-LV"/>
              </w:rPr>
            </w:pPr>
            <w:r w:rsidRPr="002B5465">
              <w:rPr>
                <w:sz w:val="22"/>
                <w:szCs w:val="22"/>
                <w:lang w:eastAsia="lv-LV"/>
              </w:rPr>
              <w:t>10,0</w:t>
            </w:r>
          </w:p>
        </w:tc>
      </w:tr>
    </w:tbl>
    <w:p w:rsidR="00421902" w:rsidRPr="000E4EC5" w:rsidRDefault="00421902" w:rsidP="002B5465">
      <w:pPr>
        <w:spacing w:before="240"/>
        <w:ind w:right="57" w:firstLine="567"/>
        <w:rPr>
          <w:color w:val="000000"/>
        </w:rPr>
      </w:pPr>
      <w:r w:rsidRPr="000E4EC5">
        <w:rPr>
          <w:color w:val="000000"/>
        </w:rPr>
        <w:t xml:space="preserve">Latvijai ir saistošas </w:t>
      </w:r>
      <w:r w:rsidRPr="000E4EC5">
        <w:t>Eiro</w:t>
      </w:r>
      <w:r w:rsidR="002B5465">
        <w:t>pas Parlamenta un Padomes 2009.gada 23.</w:t>
      </w:r>
      <w:r w:rsidRPr="000E4EC5">
        <w:t xml:space="preserve">aprīļa Direktīvas 2009/28/EK par atjaunojamo energoresursu izmantošanas veicināšanu (turpmāk – Direktīva 2009/28/EK) </w:t>
      </w:r>
      <w:r w:rsidRPr="00B52200">
        <w:rPr>
          <w:color w:val="000000"/>
        </w:rPr>
        <w:t xml:space="preserve">prasības un ar to dalībvalstīm noteiktie individuālie mērķi. </w:t>
      </w:r>
    </w:p>
    <w:p w:rsidR="00421902" w:rsidRPr="00DD7962" w:rsidRDefault="00421902" w:rsidP="00421902">
      <w:pPr>
        <w:ind w:firstLine="567"/>
      </w:pPr>
      <w:r w:rsidRPr="00DD7962">
        <w:rPr>
          <w:color w:val="000000"/>
        </w:rPr>
        <w:t xml:space="preserve">Veicamie pasākumi un sagaidāmie rezultāti atjaunojamās enerģijas plašākai izmantošanai ir cieši saistīti ar rezultātiem, ko sniedz energoefektivitātes veicināšana, īpaši, ņemot vērā, </w:t>
      </w:r>
      <w:r w:rsidR="0059602E">
        <w:rPr>
          <w:color w:val="000000"/>
        </w:rPr>
        <w:t>energoefektivitātes mērķi 2020.</w:t>
      </w:r>
      <w:r w:rsidRPr="00DD7962">
        <w:rPr>
          <w:color w:val="000000"/>
        </w:rPr>
        <w:t>gadam, kas ir nostiprināts jaunajā energoefektivitātes direktīvā.</w:t>
      </w:r>
      <w:r w:rsidRPr="00DD7962">
        <w:rPr>
          <w:rStyle w:val="FootnoteReference"/>
          <w:color w:val="000000"/>
        </w:rPr>
        <w:footnoteReference w:id="23"/>
      </w:r>
      <w:r w:rsidRPr="00DD7962">
        <w:rPr>
          <w:color w:val="000000"/>
        </w:rPr>
        <w:t xml:space="preserve"> Latvijā joprojām visos enerģijas galapatēriņa sektoros ir liels enerģijas ietaupījuma potenciāls. Vairākas dalībvalstis, ne tikai Latvija, sekojot tehnoloģiju attīstības tendencēm un globālajiem izaicinājumiem ne tikai enerģētikā, bet arī citos industrializācijas sektoros, ievērojot nepieciešamību pēc konkurētspējas nodrošināšanas, jau </w:t>
      </w:r>
      <w:r w:rsidRPr="00DD7962">
        <w:rPr>
          <w:color w:val="000000"/>
        </w:rPr>
        <w:lastRenderedPageBreak/>
        <w:t>šobrīd aktīvi pārskata savus atbalsta mehānismus atjaunojamās elektroenerģijas ražošanai,</w:t>
      </w:r>
      <w:r w:rsidR="00D45640">
        <w:rPr>
          <w:color w:val="000000"/>
        </w:rPr>
        <w:t xml:space="preserve"> </w:t>
      </w:r>
      <w:r w:rsidRPr="00DD7962">
        <w:rPr>
          <w:color w:val="000000"/>
        </w:rPr>
        <w:t xml:space="preserve">padarot tos elastīgākus un ekonomiski pamatotākus. </w:t>
      </w:r>
    </w:p>
    <w:p w:rsidR="00421902" w:rsidRPr="00224A14" w:rsidRDefault="00421902" w:rsidP="00421902">
      <w:pPr>
        <w:ind w:firstLine="567"/>
      </w:pPr>
      <w:r w:rsidRPr="000E4EC5">
        <w:t>Izmaiņas atjaunojamās enerģijas nozari regulējošajos normatīvajos aktos tiek veiktas</w:t>
      </w:r>
      <w:r w:rsidR="00E22A04">
        <w:t xml:space="preserve"> arī</w:t>
      </w:r>
      <w:r w:rsidRPr="000E4EC5">
        <w:t xml:space="preserve">, lai uzlabotu investīciju vidi vēl tikai plānoto projektu attīstībai. Šobrīd ieviestie atbalsta mehānismi ir bijuši motivējoši, lai ražotāji uzsāktu projekta plānošanu un investētu elektroenerģijas ražošanā, izmantojot AER. </w:t>
      </w:r>
    </w:p>
    <w:p w:rsidR="00421902" w:rsidRPr="0089458B" w:rsidRDefault="00E22A04" w:rsidP="00E22A04">
      <w:pPr>
        <w:suppressAutoHyphens/>
        <w:ind w:firstLine="567"/>
      </w:pPr>
      <w:r>
        <w:t>KPFI</w:t>
      </w:r>
      <w:r w:rsidR="00421902" w:rsidRPr="0089458B">
        <w:t xml:space="preserve"> ietvaros īstenoti projekti, kuru rezultātā palielināta atjaunojamo energoresursu izmantošana siltumenerģijas un elektroenerģijas ražošanā komersantiem un pašvaldībām. Kopā īstenoti 49 projekti, </w:t>
      </w:r>
      <w:proofErr w:type="spellStart"/>
      <w:r w:rsidR="00421902" w:rsidRPr="0089458B">
        <w:t>t.sk</w:t>
      </w:r>
      <w:proofErr w:type="spellEnd"/>
      <w:r w:rsidR="00421902" w:rsidRPr="0089458B">
        <w:t>., 2012.gadā – 44 projekti.</w:t>
      </w:r>
    </w:p>
    <w:p w:rsidR="00421902" w:rsidRDefault="00E22A04" w:rsidP="00E22A04">
      <w:pPr>
        <w:suppressAutoHyphens/>
        <w:ind w:firstLine="567"/>
      </w:pPr>
      <w:r>
        <w:t>KPFI</w:t>
      </w:r>
      <w:r w:rsidR="00421902" w:rsidRPr="0089458B">
        <w:t xml:space="preserve"> finansētā konkursa </w:t>
      </w:r>
      <w:r w:rsidRPr="00E22A04">
        <w:rPr>
          <w:i/>
        </w:rPr>
        <w:t>„</w:t>
      </w:r>
      <w:r w:rsidR="00421902" w:rsidRPr="00E22A04">
        <w:rPr>
          <w:i/>
        </w:rPr>
        <w:t>Atjaunojamo energoresursu izmantošana mājsaimniecību sektorā</w:t>
      </w:r>
      <w:r w:rsidRPr="00E22A04">
        <w:rPr>
          <w:i/>
        </w:rPr>
        <w:t>”</w:t>
      </w:r>
      <w:r w:rsidR="00421902" w:rsidRPr="0089458B">
        <w:t xml:space="preserve"> ietvaros īstenoti vismaz 1563 projekti: 2011.gadā pabeigti 209 projekti, 2012.gadā pabeigti 1354 projekti. Kopā KPFI finansējums 7,9 </w:t>
      </w:r>
      <w:proofErr w:type="spellStart"/>
      <w:r w:rsidR="00421902" w:rsidRPr="0089458B">
        <w:t>milj</w:t>
      </w:r>
      <w:proofErr w:type="spellEnd"/>
      <w:r w:rsidR="00421902" w:rsidRPr="0089458B">
        <w:t>. latu.</w:t>
      </w:r>
      <w:r w:rsidR="00421902" w:rsidRPr="004A069F">
        <w:t xml:space="preserve"> </w:t>
      </w:r>
    </w:p>
    <w:p w:rsidR="00614D33" w:rsidRDefault="00421902" w:rsidP="00E22A04">
      <w:pPr>
        <w:suppressAutoHyphens/>
        <w:ind w:firstLine="567"/>
      </w:pPr>
      <w:r>
        <w:t xml:space="preserve">Dati par faktiskajiem siltumenerģijas un elektroenerģijas apjomiem būs iegūstami monitoringa periodā </w:t>
      </w:r>
      <w:r w:rsidR="00E22A04">
        <w:t xml:space="preserve">no </w:t>
      </w:r>
      <w:r>
        <w:t>2013.</w:t>
      </w:r>
      <w:r w:rsidR="00E22A04">
        <w:t xml:space="preserve"> līdz </w:t>
      </w:r>
      <w:r>
        <w:t>2018.gadam.</w:t>
      </w:r>
    </w:p>
    <w:p w:rsidR="00421902" w:rsidRDefault="00614D33" w:rsidP="00E22A04">
      <w:pPr>
        <w:suppressAutoHyphens/>
        <w:ind w:firstLine="567"/>
      </w:pPr>
      <w:r w:rsidRPr="001553AE">
        <w:t>Lai saglabātu tautsaimniecības konkurētspēju, Ekonomikas ministrija pašlaik pārskata esošos atbalsta mehānismus no AER saražotai enerģijai, tajā skaitā rūpīgi tiek vērtētas kopējās izmaksas un atbalsta intensitāte</w:t>
      </w:r>
      <w:r>
        <w:t>.</w:t>
      </w:r>
      <w:r w:rsidR="00421902">
        <w:t xml:space="preserve"> </w:t>
      </w:r>
    </w:p>
    <w:p w:rsidR="00421902" w:rsidRPr="00C43284" w:rsidRDefault="00421902" w:rsidP="00421902">
      <w:pPr>
        <w:spacing w:before="240"/>
        <w:ind w:firstLine="567"/>
      </w:pPr>
      <w:r w:rsidRPr="00C43284">
        <w:rPr>
          <w:u w:val="single"/>
        </w:rPr>
        <w:t>Galvenie politikas virzieni un pasākumi atjaunojamās enerģijas īpatsvara palielināšanai</w:t>
      </w:r>
      <w:r w:rsidRPr="00C43284">
        <w:t>:</w:t>
      </w:r>
    </w:p>
    <w:p w:rsidR="00421902" w:rsidRPr="00C43284" w:rsidRDefault="00421902" w:rsidP="00E84407">
      <w:pPr>
        <w:pStyle w:val="ListParagraph"/>
        <w:numPr>
          <w:ilvl w:val="0"/>
          <w:numId w:val="11"/>
        </w:numPr>
        <w:spacing w:before="240" w:after="120"/>
        <w:ind w:left="284" w:hanging="284"/>
        <w:contextualSpacing w:val="0"/>
      </w:pPr>
      <w:r w:rsidRPr="00C43284">
        <w:rPr>
          <w:b/>
          <w:i/>
        </w:rPr>
        <w:t>Tiesiskās bāzes sakārtošana</w:t>
      </w:r>
      <w:r w:rsidRPr="00C43284">
        <w:t xml:space="preserve"> (atbildīgā institūcija – EM)</w:t>
      </w:r>
    </w:p>
    <w:p w:rsidR="00421902" w:rsidRPr="00C43284" w:rsidRDefault="00421902" w:rsidP="00421902">
      <w:pPr>
        <w:ind w:firstLine="567"/>
      </w:pPr>
      <w:bookmarkStart w:id="41" w:name="OLE_LINK88"/>
      <w:r w:rsidRPr="00C43284">
        <w:t>Mērķis ir veicināt plašāku AER izmantošanu enerģijas ražošanā un patēriņā, tai skaitā transporta sektorā, kā arī ilgtspējīgas biodegvielas un bioloģiski šķidro kurināmo izmantošanu.</w:t>
      </w:r>
    </w:p>
    <w:p w:rsidR="00421902" w:rsidRPr="00B33C73" w:rsidRDefault="00421902" w:rsidP="00421902">
      <w:pPr>
        <w:ind w:firstLine="567"/>
        <w:rPr>
          <w:color w:val="000000"/>
        </w:rPr>
      </w:pPr>
      <w:r w:rsidRPr="0047743B">
        <w:rPr>
          <w:color w:val="000000"/>
        </w:rPr>
        <w:t xml:space="preserve">2012.gadā veikta virkne pasākumu tiesiskās bāzes sakārtošanai. </w:t>
      </w:r>
      <w:r w:rsidRPr="0047743B">
        <w:rPr>
          <w:color w:val="000000" w:themeColor="text1"/>
        </w:rPr>
        <w:t>Veicot grozījumus normatīvajos aktos</w:t>
      </w:r>
      <w:r w:rsidR="007135B5">
        <w:rPr>
          <w:color w:val="000000" w:themeColor="text1"/>
        </w:rPr>
        <w:t>,</w:t>
      </w:r>
      <w:r w:rsidRPr="0047743B">
        <w:rPr>
          <w:color w:val="000000"/>
        </w:rPr>
        <w:t xml:space="preserve"> uzlabota esošā atbalsta sistēma, vienlaikus ar grozījumiem tika ieviesti arī papildu kontroles mehānismi, piemēram, ietverta būtiska prasība, ka elektroenerģijas ražotāja iesniegtajā gada pārskatā par koģenerācijas elektrostacijas darbību sniegtos datus par pārdoto lietderīgo (efektīvi izlietoto) siltumenerģiju apstiprina akreditēts auditors. Ietvertas arī normas, lai komersants izpildītu savas nodokļu saistības pret valsti un darbiniekiem, kā arī nodrošinātu atbilstību būvniecību regulējošajiem normatīvajiem aktiem elektrostacijās. Ņemot</w:t>
      </w:r>
      <w:r w:rsidRPr="00B33C73">
        <w:rPr>
          <w:color w:val="000000"/>
        </w:rPr>
        <w:t xml:space="preserve"> vērā to, ka atbalsts nedrīkst būt neierobežots laikā un ekonomiski nepamatots, </w:t>
      </w:r>
      <w:r>
        <w:rPr>
          <w:color w:val="000000" w:themeColor="text1"/>
          <w:szCs w:val="28"/>
        </w:rPr>
        <w:t xml:space="preserve">normatīvajos aktos ir </w:t>
      </w:r>
      <w:r w:rsidRPr="00B33C73">
        <w:rPr>
          <w:color w:val="000000"/>
        </w:rPr>
        <w:t xml:space="preserve">noteikts arī esošajiem atbalsta saņēmējiem atbalsta termiņa ierobežojums uz </w:t>
      </w:r>
      <w:r w:rsidR="007135B5">
        <w:rPr>
          <w:color w:val="000000"/>
        </w:rPr>
        <w:br/>
      </w:r>
      <w:r w:rsidRPr="00B33C73">
        <w:rPr>
          <w:color w:val="000000"/>
        </w:rPr>
        <w:t xml:space="preserve">10 gadiem koģenerācijas elektrostacijām, kuru uzstādītā elektriskā jauda nepārsniedz </w:t>
      </w:r>
      <w:r>
        <w:rPr>
          <w:color w:val="000000"/>
        </w:rPr>
        <w:t>4 MW</w:t>
      </w:r>
      <w:r w:rsidRPr="00B33C73">
        <w:rPr>
          <w:color w:val="000000"/>
        </w:rPr>
        <w:t xml:space="preserve"> un uz 15 gadiem koģenerācijas elektrostacijām, kuru uzstādītā elektriskā jauda ir lielāka par </w:t>
      </w:r>
      <w:r w:rsidR="007135B5">
        <w:rPr>
          <w:color w:val="000000"/>
        </w:rPr>
        <w:br/>
      </w:r>
      <w:r>
        <w:rPr>
          <w:color w:val="000000"/>
        </w:rPr>
        <w:t xml:space="preserve">4 MW, kā arī </w:t>
      </w:r>
      <w:r w:rsidR="007135B5">
        <w:rPr>
          <w:color w:val="000000"/>
        </w:rPr>
        <w:t>līdz 2016.gada 1.</w:t>
      </w:r>
      <w:r w:rsidRPr="00B33C73">
        <w:rPr>
          <w:color w:val="000000"/>
        </w:rPr>
        <w:t>janvārim ir apturēta iespēja ražotājam kvalificēties elektroenerģijas pārdošanai obligātā iepirkuma ietvaros un tiesību iegūšanai saņemt garantētu maksu par uzstādīto elektrisko jaudu.</w:t>
      </w:r>
    </w:p>
    <w:p w:rsidR="00421902" w:rsidRPr="00C43284" w:rsidRDefault="00421902" w:rsidP="00E84407">
      <w:pPr>
        <w:pStyle w:val="ListParagraph"/>
        <w:numPr>
          <w:ilvl w:val="0"/>
          <w:numId w:val="11"/>
        </w:numPr>
        <w:spacing w:before="240" w:after="120"/>
        <w:ind w:left="284" w:hanging="284"/>
        <w:contextualSpacing w:val="0"/>
      </w:pPr>
      <w:r w:rsidRPr="00C43284">
        <w:rPr>
          <w:rFonts w:eastAsia="+mn-ea"/>
          <w:b/>
          <w:i/>
        </w:rPr>
        <w:t>Finanšu resursu pieejamības nodrošināšana atjaunojamās enerģijas ražošanai</w:t>
      </w:r>
      <w:r w:rsidRPr="00C43284">
        <w:rPr>
          <w:rFonts w:eastAsia="+mn-ea"/>
          <w:i/>
        </w:rPr>
        <w:t xml:space="preserve"> </w:t>
      </w:r>
      <w:bookmarkEnd w:id="41"/>
      <w:r w:rsidRPr="00C43284">
        <w:t>(atbildīgā institūcija – EM, VARAM, ZM)</w:t>
      </w:r>
    </w:p>
    <w:p w:rsidR="00421902" w:rsidRDefault="00421902" w:rsidP="00421902">
      <w:pPr>
        <w:ind w:firstLine="567"/>
      </w:pPr>
      <w:r w:rsidRPr="00C43284">
        <w:t>Mērķis ir veicināt plašāku vietējo AER izmantošanu enerģijas ražošanā un patēriņā, veicināt enerģijas ražošanu koģenerācijā, mazināt atkarību no primāro enerģijas resursu importa.</w:t>
      </w:r>
    </w:p>
    <w:p w:rsidR="00421902" w:rsidRDefault="00421902" w:rsidP="00421902">
      <w:pPr>
        <w:ind w:firstLine="567"/>
        <w:rPr>
          <w:color w:val="000000"/>
        </w:rPr>
      </w:pPr>
      <w:r w:rsidRPr="00C43284">
        <w:t xml:space="preserve">AER izmantojošu koģenerācijas elektrostaciju attīstībai </w:t>
      </w:r>
      <w:r w:rsidRPr="00C43284">
        <w:rPr>
          <w:iCs/>
          <w:color w:val="000000"/>
        </w:rPr>
        <w:t>līdz 201</w:t>
      </w:r>
      <w:r>
        <w:rPr>
          <w:iCs/>
          <w:color w:val="000000"/>
        </w:rPr>
        <w:t>3</w:t>
      </w:r>
      <w:r w:rsidRPr="00C43284">
        <w:rPr>
          <w:iCs/>
          <w:color w:val="000000"/>
        </w:rPr>
        <w:t>.gada</w:t>
      </w:r>
      <w:r w:rsidRPr="00C43284">
        <w:t xml:space="preserve"> </w:t>
      </w:r>
      <w:r>
        <w:t>februārim</w:t>
      </w:r>
      <w:r w:rsidRPr="00C43284">
        <w:t xml:space="preserve"> ir n</w:t>
      </w:r>
      <w:r w:rsidRPr="00C43284">
        <w:rPr>
          <w:color w:val="000000"/>
        </w:rPr>
        <w:t xml:space="preserve">oslēgti </w:t>
      </w:r>
      <w:r>
        <w:rPr>
          <w:color w:val="000000"/>
        </w:rPr>
        <w:t xml:space="preserve">10 </w:t>
      </w:r>
      <w:r w:rsidRPr="00C43284">
        <w:rPr>
          <w:color w:val="000000"/>
        </w:rPr>
        <w:t xml:space="preserve">līgumi par visu </w:t>
      </w:r>
      <w:r w:rsidRPr="00C43284">
        <w:t>2007.</w:t>
      </w:r>
      <w:r w:rsidR="004F7750">
        <w:t>–</w:t>
      </w:r>
      <w:r w:rsidRPr="00C43284">
        <w:t>2013.gadam pieejamo</w:t>
      </w:r>
      <w:r w:rsidRPr="00C43284">
        <w:rPr>
          <w:color w:val="000000"/>
        </w:rPr>
        <w:t xml:space="preserve"> </w:t>
      </w:r>
      <w:r>
        <w:rPr>
          <w:color w:val="000000"/>
        </w:rPr>
        <w:t>KF</w:t>
      </w:r>
      <w:r w:rsidRPr="00C43284">
        <w:rPr>
          <w:color w:val="000000"/>
        </w:rPr>
        <w:t xml:space="preserve"> finansējumu 21,</w:t>
      </w:r>
      <w:r>
        <w:rPr>
          <w:color w:val="000000"/>
        </w:rPr>
        <w:t>3</w:t>
      </w:r>
      <w:r w:rsidRPr="00C43284">
        <w:rPr>
          <w:color w:val="000000"/>
        </w:rPr>
        <w:t xml:space="preserve"> </w:t>
      </w:r>
      <w:proofErr w:type="spellStart"/>
      <w:r w:rsidRPr="00C43284">
        <w:rPr>
          <w:color w:val="000000"/>
        </w:rPr>
        <w:t>milj</w:t>
      </w:r>
      <w:proofErr w:type="spellEnd"/>
      <w:r w:rsidRPr="00C43284">
        <w:rPr>
          <w:color w:val="000000"/>
        </w:rPr>
        <w:t>. latu apmērā</w:t>
      </w:r>
      <w:r>
        <w:rPr>
          <w:color w:val="000000"/>
        </w:rPr>
        <w:t xml:space="preserve">, no tiem ir pabeigti 4 projekti par KF finansējumu 5,9 </w:t>
      </w:r>
      <w:proofErr w:type="spellStart"/>
      <w:r>
        <w:rPr>
          <w:color w:val="000000"/>
        </w:rPr>
        <w:t>milj</w:t>
      </w:r>
      <w:proofErr w:type="spellEnd"/>
      <w:r>
        <w:rPr>
          <w:color w:val="000000"/>
        </w:rPr>
        <w:t>. latu</w:t>
      </w:r>
      <w:r w:rsidRPr="00C43284">
        <w:rPr>
          <w:color w:val="000000"/>
        </w:rPr>
        <w:t xml:space="preserve">. Projektu īstenošanas ietvaros plānotā uzstādītā elektriskā jauda 36 </w:t>
      </w:r>
      <w:proofErr w:type="spellStart"/>
      <w:r w:rsidRPr="00C43284">
        <w:rPr>
          <w:color w:val="000000"/>
        </w:rPr>
        <w:t>MWel</w:t>
      </w:r>
      <w:proofErr w:type="spellEnd"/>
      <w:r w:rsidRPr="00C43284">
        <w:rPr>
          <w:color w:val="000000"/>
        </w:rPr>
        <w:t xml:space="preserve"> un siltuma jauda 105 MW</w:t>
      </w:r>
      <w:r>
        <w:rPr>
          <w:color w:val="000000"/>
        </w:rPr>
        <w:t>.</w:t>
      </w:r>
    </w:p>
    <w:p w:rsidR="00421902" w:rsidRPr="00E96650" w:rsidRDefault="00421902" w:rsidP="00421902">
      <w:pPr>
        <w:ind w:firstLine="567"/>
      </w:pPr>
      <w:r w:rsidRPr="0089458B">
        <w:t>Biomasas koģenerācijas staciju būvniecībai 2011.gadā piešķirts KPFI finansējums 8,4 </w:t>
      </w:r>
      <w:proofErr w:type="spellStart"/>
      <w:r w:rsidRPr="0089458B">
        <w:t>milj</w:t>
      </w:r>
      <w:proofErr w:type="spellEnd"/>
      <w:r w:rsidRPr="0089458B">
        <w:t>. latu apmērā.</w:t>
      </w:r>
      <w:r>
        <w:t xml:space="preserve"> 2012.gadā uzbūvētas 6 biomasas koģenerācijas stacijas ar kopējo </w:t>
      </w:r>
      <w:r>
        <w:lastRenderedPageBreak/>
        <w:t xml:space="preserve">uzstādīto siltuma jaudu 15,05 MW un elektroenerģijas jaudu 4,6 MW, 2013.gadā paredzēta </w:t>
      </w:r>
      <w:r w:rsidRPr="00E96650">
        <w:t>šo staciju pieslēgšana sadal</w:t>
      </w:r>
      <w:r>
        <w:t>es tīkliem. KPFI finansējums 4,7</w:t>
      </w:r>
      <w:r w:rsidRPr="00E96650">
        <w:t xml:space="preserve"> </w:t>
      </w:r>
      <w:proofErr w:type="spellStart"/>
      <w:r w:rsidRPr="00E96650">
        <w:t>milj</w:t>
      </w:r>
      <w:proofErr w:type="spellEnd"/>
      <w:r w:rsidRPr="00E96650">
        <w:t xml:space="preserve">. latu. </w:t>
      </w:r>
    </w:p>
    <w:p w:rsidR="00421902" w:rsidRPr="002474D8" w:rsidRDefault="00421902" w:rsidP="00421902">
      <w:pPr>
        <w:tabs>
          <w:tab w:val="left" w:pos="567"/>
        </w:tabs>
        <w:ind w:firstLine="567"/>
        <w:rPr>
          <w:i/>
        </w:rPr>
      </w:pPr>
      <w:r w:rsidRPr="00E96650">
        <w:t xml:space="preserve">2011. un 2012.gadā turpinājās projektu īstenošana, nodrošinot tehnoloģiju pāreju no fosilajiem uz AER. Pasākuma kopējais KPFI finansējums 6,3 </w:t>
      </w:r>
      <w:proofErr w:type="spellStart"/>
      <w:r w:rsidRPr="00E96650">
        <w:t>m</w:t>
      </w:r>
      <w:r>
        <w:t>ilj</w:t>
      </w:r>
      <w:proofErr w:type="spellEnd"/>
      <w:r>
        <w:t>. latu, 2011.gadā pabeigti 2 </w:t>
      </w:r>
      <w:r w:rsidRPr="00E96650">
        <w:t xml:space="preserve">projekti par kopējo KPFI finansējumu 0,06 </w:t>
      </w:r>
      <w:proofErr w:type="spellStart"/>
      <w:r w:rsidRPr="00E96650">
        <w:t>milj</w:t>
      </w:r>
      <w:proofErr w:type="spellEnd"/>
      <w:r w:rsidRPr="00E96650">
        <w:t xml:space="preserve">. latu, 2012.gadā pabeigti 22 </w:t>
      </w:r>
      <w:r>
        <w:t>projekti ar KPFI finansējumu 2,6</w:t>
      </w:r>
      <w:r w:rsidRPr="00E96650">
        <w:t xml:space="preserve"> </w:t>
      </w:r>
      <w:proofErr w:type="spellStart"/>
      <w:r w:rsidRPr="00E96650">
        <w:t>milj</w:t>
      </w:r>
      <w:proofErr w:type="spellEnd"/>
      <w:r w:rsidRPr="00E96650">
        <w:t xml:space="preserve">. latu. </w:t>
      </w:r>
    </w:p>
    <w:p w:rsidR="00421902" w:rsidRPr="00694382" w:rsidRDefault="00421902" w:rsidP="00421902">
      <w:pPr>
        <w:tabs>
          <w:tab w:val="left" w:pos="567"/>
        </w:tabs>
        <w:ind w:firstLine="567"/>
      </w:pPr>
      <w:r w:rsidRPr="00694382">
        <w:t>2011.gadā tehnoloģiju, kurās izmanto atjaunojamos energoresursus siltumenerģijas un elektroenerģijas ražošana</w:t>
      </w:r>
      <w:r w:rsidR="00D6472D">
        <w:t>s</w:t>
      </w:r>
      <w:r w:rsidRPr="00694382">
        <w:t xml:space="preserve"> ieviešanai, kā arī pārejas nodrošināšanai no tehnoloģijām, kurās izmanto fosilos energoresursus, uz tehnoloģijām, kurās izmanto atjaunojamos energoresursus piešķirts KPFI finansējums 25,6 </w:t>
      </w:r>
      <w:proofErr w:type="spellStart"/>
      <w:r w:rsidRPr="00694382">
        <w:t>milj</w:t>
      </w:r>
      <w:proofErr w:type="spellEnd"/>
      <w:r w:rsidRPr="00694382">
        <w:t>. lat</w:t>
      </w:r>
      <w:r w:rsidR="00D6472D">
        <w:t>u</w:t>
      </w:r>
      <w:r w:rsidRPr="00694382">
        <w:t>. 2012.gadā pilnībā pabeigta 25 projektu ī</w:t>
      </w:r>
      <w:r>
        <w:t>stenošana ar KPFI finansējumu 3,5</w:t>
      </w:r>
      <w:r w:rsidRPr="00694382">
        <w:t xml:space="preserve"> </w:t>
      </w:r>
      <w:proofErr w:type="spellStart"/>
      <w:r w:rsidRPr="00694382">
        <w:t>milj</w:t>
      </w:r>
      <w:proofErr w:type="spellEnd"/>
      <w:r w:rsidRPr="00694382">
        <w:t xml:space="preserve">. latu, vēl 19 projektiem ar KPFI finansējumu 8,7 </w:t>
      </w:r>
      <w:proofErr w:type="spellStart"/>
      <w:r w:rsidRPr="00694382">
        <w:t>milj</w:t>
      </w:r>
      <w:proofErr w:type="spellEnd"/>
      <w:r w:rsidRPr="00694382">
        <w:t xml:space="preserve">. latu, kuri jau ir faktiski pabeigti, turpinās noslēguma dokumentācijas izskatīšana, bet atlikušie projekti pilnībā tiks pabeigti 2013.gada </w:t>
      </w:r>
      <w:r>
        <w:t>pirmajā</w:t>
      </w:r>
      <w:r w:rsidRPr="00694382">
        <w:t xml:space="preserve"> pusē.</w:t>
      </w:r>
    </w:p>
    <w:p w:rsidR="00421902" w:rsidRPr="002474D8" w:rsidRDefault="00421902" w:rsidP="00421902">
      <w:pPr>
        <w:tabs>
          <w:tab w:val="left" w:pos="567"/>
        </w:tabs>
        <w:ind w:firstLine="567"/>
        <w:rPr>
          <w:i/>
        </w:rPr>
      </w:pPr>
      <w:r w:rsidRPr="00694382">
        <w:t xml:space="preserve">Mājsaimniecību sektorā 2011.gadā noslēgti 1135 līgumi par </w:t>
      </w:r>
      <w:proofErr w:type="spellStart"/>
      <w:r w:rsidRPr="00694382">
        <w:t>mikroģenerācijas</w:t>
      </w:r>
      <w:proofErr w:type="spellEnd"/>
      <w:r w:rsidRPr="00694382">
        <w:t xml:space="preserve"> siltumenerģijas vai elektroenerģijas ražošanas tehnoloģisko iekārtu iegādi un uzstādīšanu dzīvojamai mājai par kopējo KPFI finansē</w:t>
      </w:r>
      <w:r w:rsidR="00D6472D">
        <w:t xml:space="preserve">jumu 4,1 </w:t>
      </w:r>
      <w:proofErr w:type="spellStart"/>
      <w:r w:rsidR="00D6472D">
        <w:t>milj</w:t>
      </w:r>
      <w:proofErr w:type="spellEnd"/>
      <w:r w:rsidR="00D6472D">
        <w:t>. latu. Līdz 2011.</w:t>
      </w:r>
      <w:r w:rsidRPr="00694382">
        <w:t>gada beigām tika pabeigti 209 projekti par KPFI finansējumu 0,</w:t>
      </w:r>
      <w:r>
        <w:t>6</w:t>
      </w:r>
      <w:r w:rsidRPr="00694382">
        <w:t xml:space="preserve"> </w:t>
      </w:r>
      <w:proofErr w:type="spellStart"/>
      <w:r w:rsidRPr="00694382">
        <w:t>milj</w:t>
      </w:r>
      <w:proofErr w:type="spellEnd"/>
      <w:r w:rsidRPr="00694382">
        <w:t>. lat</w:t>
      </w:r>
      <w:r w:rsidR="00D6472D">
        <w:t>u</w:t>
      </w:r>
      <w:r w:rsidRPr="00694382">
        <w:t xml:space="preserve">. Mājsaimniecību sektorā 2012.gadā realizēti 1354 projekti. </w:t>
      </w:r>
    </w:p>
    <w:p w:rsidR="00421902" w:rsidRPr="002474D8" w:rsidRDefault="00421902" w:rsidP="00421902">
      <w:pPr>
        <w:tabs>
          <w:tab w:val="left" w:pos="567"/>
        </w:tabs>
        <w:ind w:firstLine="567"/>
        <w:rPr>
          <w:i/>
        </w:rPr>
      </w:pPr>
      <w:r w:rsidRPr="00420197">
        <w:t>Enerģijas ražošanas atbalstam no lauksaimnieciskas un mežsaimnieciskas izcelsmes biomasas, ja saražotās enerģijas lietošana paredzēta galvenokārt ārpus saimniecības, pieejams kopējais publiskais finansējums 2011.</w:t>
      </w:r>
      <w:r w:rsidR="00093BFE">
        <w:t>–</w:t>
      </w:r>
      <w:r w:rsidRPr="00420197">
        <w:t>2013.gad</w:t>
      </w:r>
      <w:r w:rsidR="00093BFE">
        <w:t>ā</w:t>
      </w:r>
      <w:r w:rsidRPr="00420197">
        <w:t xml:space="preserve"> 141,9 </w:t>
      </w:r>
      <w:proofErr w:type="spellStart"/>
      <w:r w:rsidRPr="00420197">
        <w:t>milj</w:t>
      </w:r>
      <w:proofErr w:type="spellEnd"/>
      <w:r w:rsidRPr="00420197">
        <w:t>. latu apmērā (</w:t>
      </w:r>
      <w:proofErr w:type="spellStart"/>
      <w:r w:rsidRPr="00420197">
        <w:t>t.sk</w:t>
      </w:r>
      <w:proofErr w:type="spellEnd"/>
      <w:r w:rsidRPr="00420197">
        <w:t xml:space="preserve">., ES fondu 93,5milj. latu un KPFI </w:t>
      </w:r>
      <w:r w:rsidR="00093BFE">
        <w:t xml:space="preserve">– </w:t>
      </w:r>
      <w:r w:rsidRPr="00420197">
        <w:t xml:space="preserve">42,8 </w:t>
      </w:r>
      <w:proofErr w:type="spellStart"/>
      <w:r w:rsidRPr="00420197">
        <w:t>milj</w:t>
      </w:r>
      <w:proofErr w:type="spellEnd"/>
      <w:r w:rsidRPr="00420197">
        <w:t xml:space="preserve">. latu). Līdz 2012.gada martam ir realizēti projekti ar publisko finansējumu 18,5 </w:t>
      </w:r>
      <w:proofErr w:type="spellStart"/>
      <w:r w:rsidRPr="00420197">
        <w:t>milj</w:t>
      </w:r>
      <w:proofErr w:type="spellEnd"/>
      <w:r w:rsidRPr="00420197">
        <w:t xml:space="preserve">. latu. Apstiprināti pieteikumi, kuru publiskais finansējums ir 47,8 </w:t>
      </w:r>
      <w:proofErr w:type="spellStart"/>
      <w:r w:rsidRPr="00420197">
        <w:t>milj</w:t>
      </w:r>
      <w:proofErr w:type="spellEnd"/>
      <w:r w:rsidRPr="00420197">
        <w:t>. latu. Plānots, ka kopējais atbalstīto saimniecību skaits pārsniegs 80 saimniecības.</w:t>
      </w:r>
      <w:r w:rsidRPr="00EF5183">
        <w:rPr>
          <w:highlight w:val="yellow"/>
        </w:rPr>
        <w:t xml:space="preserve"> </w:t>
      </w:r>
    </w:p>
    <w:p w:rsidR="00421902" w:rsidRPr="002474D8" w:rsidRDefault="00421902" w:rsidP="00421902">
      <w:pPr>
        <w:tabs>
          <w:tab w:val="left" w:pos="567"/>
        </w:tabs>
        <w:ind w:firstLine="567"/>
        <w:rPr>
          <w:i/>
        </w:rPr>
      </w:pPr>
      <w:r w:rsidRPr="0047743B">
        <w:t xml:space="preserve">2011.gadā ir veiktas izmaiņas normatīvajā regulējumā, lai stingrāk regulētu lauksaimniecības </w:t>
      </w:r>
      <w:proofErr w:type="spellStart"/>
      <w:r w:rsidRPr="0047743B">
        <w:t>atlikumproduktu</w:t>
      </w:r>
      <w:proofErr w:type="spellEnd"/>
      <w:r w:rsidRPr="0047743B">
        <w:t xml:space="preserve"> izmantošanu atbalsta saņemšanai no Lauku attīstības programmas 2007.</w:t>
      </w:r>
      <w:r w:rsidR="00477DD9">
        <w:t>–</w:t>
      </w:r>
      <w:r w:rsidRPr="0047743B">
        <w:t xml:space="preserve">2013.gadam </w:t>
      </w:r>
      <w:proofErr w:type="spellStart"/>
      <w:r w:rsidRPr="0047743B">
        <w:t>apakšpasākuma</w:t>
      </w:r>
      <w:proofErr w:type="spellEnd"/>
      <w:r w:rsidRPr="0047743B">
        <w:t xml:space="preserve"> </w:t>
      </w:r>
      <w:r w:rsidRPr="00477DD9">
        <w:rPr>
          <w:i/>
        </w:rPr>
        <w:t>„Enerģijas ražošana no lauksaimnieciskas un mežsaimnieciskas izcelsmes biomasas”</w:t>
      </w:r>
      <w:r w:rsidRPr="0047743B">
        <w:t xml:space="preserve">. Ir ieviests nosacījums, ka vismaz 30% no visām izejvielām, ko izmanto biogāzes ražošanā, ir jābūt dzīvnieku izcelsmes blakusproduktiem vai atvasinātiem produktiem. Tāpat ir ieviests nosacījums, ka vismaz 70% no kopējām izejvielām enerģijas ražošanai atbalsta saņēmējam jāspēj nodrošināt paša saimniecībā. </w:t>
      </w:r>
      <w:r w:rsidRPr="00406D7B">
        <w:t>Līdz 2013.gada 1.martam no Lauku attīstības programmas 2007.</w:t>
      </w:r>
      <w:r w:rsidR="00477DD9">
        <w:t>–</w:t>
      </w:r>
      <w:r w:rsidRPr="00406D7B">
        <w:t xml:space="preserve">2013.gadam </w:t>
      </w:r>
      <w:proofErr w:type="spellStart"/>
      <w:r w:rsidRPr="00406D7B">
        <w:t>apakšpasākumā</w:t>
      </w:r>
      <w:proofErr w:type="spellEnd"/>
      <w:r w:rsidRPr="00406D7B">
        <w:t xml:space="preserve"> </w:t>
      </w:r>
      <w:r w:rsidRPr="00477DD9">
        <w:rPr>
          <w:i/>
        </w:rPr>
        <w:t>„Enerģijas ražošana no lauksaimnieciskas un mežsaimnieciskas izcelsmes biomasas”</w:t>
      </w:r>
      <w:r w:rsidRPr="00406D7B">
        <w:t xml:space="preserve"> (biogāze) apstiprināti 67 projekti par kopējām attiecināmām izmaksām 55,3 </w:t>
      </w:r>
      <w:proofErr w:type="spellStart"/>
      <w:r w:rsidRPr="00406D7B">
        <w:t>milj</w:t>
      </w:r>
      <w:proofErr w:type="spellEnd"/>
      <w:r w:rsidRPr="00406D7B">
        <w:t>. latu, no kuriem iz</w:t>
      </w:r>
      <w:r w:rsidR="00477DD9">
        <w:t xml:space="preserve">maksāti jau 28,7 </w:t>
      </w:r>
      <w:proofErr w:type="spellStart"/>
      <w:r w:rsidR="00477DD9">
        <w:t>milj</w:t>
      </w:r>
      <w:proofErr w:type="spellEnd"/>
      <w:r w:rsidR="00477DD9">
        <w:t>. latu</w:t>
      </w:r>
      <w:r w:rsidRPr="00406D7B">
        <w:t>.</w:t>
      </w:r>
      <w:r w:rsidRPr="00406D7B">
        <w:rPr>
          <w:b/>
          <w:i/>
        </w:rPr>
        <w:t xml:space="preserve"> </w:t>
      </w:r>
      <w:r w:rsidRPr="00406D7B">
        <w:t>Šī pasākuma ietvaros jaunas kārtas nav plānotas un</w:t>
      </w:r>
      <w:r w:rsidRPr="00406D7B">
        <w:rPr>
          <w:b/>
          <w:i/>
        </w:rPr>
        <w:t xml:space="preserve"> </w:t>
      </w:r>
      <w:r w:rsidRPr="00406D7B">
        <w:t>2012.gadā bija pēdējā projektu pieņemšanas kārta.</w:t>
      </w:r>
      <w:r>
        <w:rPr>
          <w:highlight w:val="cyan"/>
        </w:rPr>
        <w:t xml:space="preserve"> </w:t>
      </w:r>
    </w:p>
    <w:p w:rsidR="00421902" w:rsidRDefault="00421902" w:rsidP="00421902">
      <w:pPr>
        <w:tabs>
          <w:tab w:val="left" w:pos="567"/>
        </w:tabs>
        <w:ind w:firstLine="567"/>
        <w:rPr>
          <w:rFonts w:eastAsia="+mn-ea"/>
          <w:b/>
          <w:i/>
        </w:rPr>
      </w:pPr>
    </w:p>
    <w:p w:rsidR="00421902" w:rsidRPr="001676CF" w:rsidRDefault="00421902" w:rsidP="00E84407">
      <w:pPr>
        <w:pStyle w:val="ListParagraph"/>
        <w:numPr>
          <w:ilvl w:val="0"/>
          <w:numId w:val="11"/>
        </w:numPr>
        <w:tabs>
          <w:tab w:val="left" w:pos="567"/>
        </w:tabs>
        <w:ind w:left="284" w:hanging="284"/>
        <w:rPr>
          <w:b/>
        </w:rPr>
      </w:pPr>
      <w:r w:rsidRPr="001676CF">
        <w:rPr>
          <w:rFonts w:eastAsia="+mn-ea"/>
          <w:b/>
          <w:i/>
        </w:rPr>
        <w:t xml:space="preserve">Biodegvielas izmantošanas veicināšana transporta sektorā </w:t>
      </w:r>
      <w:r w:rsidRPr="001676CF">
        <w:rPr>
          <w:rFonts w:eastAsia="+mn-ea"/>
        </w:rPr>
        <w:t>(atbildīgā institūcija – EM,</w:t>
      </w:r>
      <w:r w:rsidRPr="00C43284">
        <w:t xml:space="preserve"> VARAM, ZM)</w:t>
      </w:r>
    </w:p>
    <w:p w:rsidR="00421902" w:rsidRPr="00C43284" w:rsidRDefault="00421902" w:rsidP="00477DD9">
      <w:pPr>
        <w:pStyle w:val="CommentText"/>
        <w:spacing w:before="120"/>
        <w:ind w:firstLine="567"/>
        <w:rPr>
          <w:color w:val="000000"/>
          <w:sz w:val="24"/>
          <w:szCs w:val="24"/>
        </w:rPr>
      </w:pPr>
      <w:r w:rsidRPr="00C43284">
        <w:rPr>
          <w:color w:val="000000"/>
          <w:sz w:val="24"/>
          <w:szCs w:val="24"/>
        </w:rPr>
        <w:t xml:space="preserve">Mērķis ir veicināt ilgtspējīgas biodegvielas patēriņu Latvijas transporta sektorā, tādejādi netiešā veidā veicinot arī biodegvielas ražošanu. </w:t>
      </w:r>
    </w:p>
    <w:p w:rsidR="00D9022F" w:rsidRPr="00D9022F" w:rsidRDefault="00421902" w:rsidP="00421902">
      <w:pPr>
        <w:ind w:right="57" w:firstLine="567"/>
        <w:rPr>
          <w:b/>
          <w:bCs/>
          <w:i/>
          <w:color w:val="000000"/>
        </w:rPr>
      </w:pPr>
      <w:r w:rsidRPr="0019023E">
        <w:rPr>
          <w:lang w:eastAsia="lv-LV"/>
        </w:rPr>
        <w:t xml:space="preserve">Lai nodrošinātu efektīvu valsts līdzekļu izmantošanu, un palīdzētu sasniegt valstij </w:t>
      </w:r>
      <w:r>
        <w:rPr>
          <w:lang w:eastAsia="lv-LV"/>
        </w:rPr>
        <w:t xml:space="preserve">saistošo mērķi – </w:t>
      </w:r>
      <w:r>
        <w:t xml:space="preserve">no atjaunojamajiem energoresursiem saražotas enerģijas </w:t>
      </w:r>
      <w:r w:rsidR="00CC1D57">
        <w:t>īpatsvars visā transportā 2020.</w:t>
      </w:r>
      <w:r>
        <w:t>gadā ir vismaz 10% no enerģijas galapatēriņa transportā, (</w:t>
      </w:r>
      <w:proofErr w:type="spellStart"/>
      <w:r w:rsidRPr="00380500">
        <w:t>skat</w:t>
      </w:r>
      <w:proofErr w:type="spellEnd"/>
      <w:r w:rsidRPr="00380500">
        <w:t>. 1</w:t>
      </w:r>
      <w:r w:rsidR="00CC1D57">
        <w:t>1</w:t>
      </w:r>
      <w:r w:rsidRPr="00380500">
        <w:t>.tab</w:t>
      </w:r>
      <w:r>
        <w:t>ulu)</w:t>
      </w:r>
      <w:r w:rsidRPr="0019023E">
        <w:rPr>
          <w:lang w:eastAsia="lv-LV"/>
        </w:rPr>
        <w:t xml:space="preserve">, </w:t>
      </w:r>
      <w:r w:rsidRPr="0019023E">
        <w:rPr>
          <w:color w:val="000000"/>
        </w:rPr>
        <w:t xml:space="preserve">2012.gadā izstrādāts </w:t>
      </w:r>
      <w:r w:rsidRPr="00CC1D57">
        <w:rPr>
          <w:i/>
          <w:color w:val="000000"/>
        </w:rPr>
        <w:t xml:space="preserve">Informatīvais ziņojums </w:t>
      </w:r>
      <w:r w:rsidR="00CC1D57" w:rsidRPr="00CC1D57">
        <w:rPr>
          <w:i/>
          <w:color w:val="000000"/>
        </w:rPr>
        <w:t>p</w:t>
      </w:r>
      <w:r w:rsidRPr="00EF5183">
        <w:rPr>
          <w:i/>
          <w:color w:val="000000"/>
        </w:rPr>
        <w:t>ar situāciju biodegvielas ražošanā</w:t>
      </w:r>
      <w:r w:rsidRPr="0019023E">
        <w:rPr>
          <w:color w:val="000000"/>
        </w:rPr>
        <w:t>”</w:t>
      </w:r>
      <w:r w:rsidRPr="0019023E">
        <w:t xml:space="preserve">, </w:t>
      </w:r>
      <w:r w:rsidRPr="0019023E">
        <w:rPr>
          <w:color w:val="000000"/>
        </w:rPr>
        <w:t xml:space="preserve">kas </w:t>
      </w:r>
      <w:r w:rsidRPr="0019023E">
        <w:rPr>
          <w:lang w:eastAsia="lv-LV"/>
        </w:rPr>
        <w:t xml:space="preserve">sniedz informāciju programmas </w:t>
      </w:r>
      <w:r w:rsidRPr="0019023E">
        <w:t>„</w:t>
      </w:r>
      <w:r w:rsidRPr="00EF5183">
        <w:rPr>
          <w:i/>
        </w:rPr>
        <w:t>Biodegvielas ražošana un lietošana Latvijā (2003</w:t>
      </w:r>
      <w:r w:rsidR="00CC1D57">
        <w:rPr>
          <w:i/>
        </w:rPr>
        <w:t>.–</w:t>
      </w:r>
      <w:r w:rsidRPr="00EF5183">
        <w:rPr>
          <w:i/>
        </w:rPr>
        <w:t>2010</w:t>
      </w:r>
      <w:r w:rsidR="00CC1D57">
        <w:rPr>
          <w:i/>
        </w:rPr>
        <w:t>.g.</w:t>
      </w:r>
      <w:r w:rsidRPr="00EF5183">
        <w:rPr>
          <w:i/>
        </w:rPr>
        <w:t>)</w:t>
      </w:r>
      <w:r w:rsidRPr="0019023E">
        <w:t>”</w:t>
      </w:r>
      <w:r w:rsidRPr="0019023E">
        <w:rPr>
          <w:lang w:eastAsia="lv-LV"/>
        </w:rPr>
        <w:t xml:space="preserve"> galveno mērķu (biodegvielu ražošanai nepieciešamo izejvielu nodrošināšanu, izmantojot Latvijas lauksaimniecībā izmantojamo zemi, biodegvielas ražošanas veicināšanu Latvijā un biodegvielas izmantošanu Latvijā) izpildi un līdzšinējo biodegvielu nozares attīstību. Informatīva</w:t>
      </w:r>
      <w:r w:rsidRPr="00C47CD1">
        <w:rPr>
          <w:lang w:eastAsia="lv-LV"/>
        </w:rPr>
        <w:t>j</w:t>
      </w:r>
      <w:r w:rsidRPr="003C33FF">
        <w:rPr>
          <w:lang w:eastAsia="lv-LV"/>
        </w:rPr>
        <w:t>ā zi</w:t>
      </w:r>
      <w:r w:rsidRPr="0019023E">
        <w:rPr>
          <w:lang w:eastAsia="lv-LV"/>
        </w:rPr>
        <w:t xml:space="preserve">ņojumā tika secināts, ka </w:t>
      </w:r>
      <w:r w:rsidRPr="0019023E">
        <w:t xml:space="preserve">pieprasījuma pieaugumu vislabāk stimulē tieši ar patēriņu saistīti politikas instrumenti, tāpēc biodegvielas izmantošana būtu jāveicina ar </w:t>
      </w:r>
      <w:r w:rsidRPr="0019023E">
        <w:lastRenderedPageBreak/>
        <w:t>dažādiem netiešā atbalsta pasākumiem</w:t>
      </w:r>
      <w:r>
        <w:t xml:space="preserve">. </w:t>
      </w:r>
      <w:r>
        <w:rPr>
          <w:bCs/>
          <w:color w:val="000000"/>
        </w:rPr>
        <w:t>Ņemot vērā iepriekš minēto, b</w:t>
      </w:r>
      <w:r w:rsidRPr="00C43284">
        <w:rPr>
          <w:bCs/>
          <w:color w:val="000000"/>
        </w:rPr>
        <w:t xml:space="preserve">iodegvielas patēriņa veicināšanas pasākumu ietvaros 2013.gadā paredzēts saglabāt biodegvielu obligāto piejaukumu, </w:t>
      </w:r>
      <w:r>
        <w:rPr>
          <w:bCs/>
          <w:color w:val="000000"/>
        </w:rPr>
        <w:t xml:space="preserve">turpināt piemērot samazinātas </w:t>
      </w:r>
      <w:r w:rsidRPr="00C43284">
        <w:rPr>
          <w:bCs/>
          <w:color w:val="000000"/>
        </w:rPr>
        <w:t xml:space="preserve">akcīzes nodokļa </w:t>
      </w:r>
      <w:r>
        <w:rPr>
          <w:bCs/>
          <w:color w:val="000000"/>
        </w:rPr>
        <w:t>likmes</w:t>
      </w:r>
      <w:r w:rsidRPr="00C43284">
        <w:rPr>
          <w:bCs/>
          <w:color w:val="000000"/>
        </w:rPr>
        <w:t xml:space="preserve"> </w:t>
      </w:r>
      <w:proofErr w:type="spellStart"/>
      <w:r w:rsidRPr="00C43284">
        <w:rPr>
          <w:bCs/>
          <w:color w:val="000000"/>
        </w:rPr>
        <w:t>biodegvielām</w:t>
      </w:r>
      <w:proofErr w:type="spellEnd"/>
      <w:r w:rsidRPr="00C43284">
        <w:rPr>
          <w:bCs/>
          <w:color w:val="000000"/>
        </w:rPr>
        <w:t xml:space="preserve"> un biodegvielu un fosilo degvielu maisījumiem ar biodegvielas saturu vismaz 30%, kā arī veicināt biodegvielu pieejamību patērētājiem.</w:t>
      </w:r>
    </w:p>
    <w:p w:rsidR="003F39C0" w:rsidRPr="005A772E" w:rsidRDefault="00BC1D26" w:rsidP="0099157E">
      <w:pPr>
        <w:pStyle w:val="Heading3"/>
        <w:spacing w:before="360" w:after="120"/>
        <w:ind w:left="567"/>
        <w:rPr>
          <w:color w:val="000000"/>
        </w:rPr>
      </w:pPr>
      <w:bookmarkStart w:id="42" w:name="_Toc354384951"/>
      <w:r w:rsidRPr="00C43284">
        <w:rPr>
          <w:rFonts w:ascii="Times New Roman" w:hAnsi="Times New Roman" w:cs="Times New Roman"/>
          <w:color w:val="auto"/>
        </w:rPr>
        <w:t>3.6.</w:t>
      </w:r>
      <w:r w:rsidR="00B1259C" w:rsidRPr="00C43284">
        <w:rPr>
          <w:rFonts w:ascii="Times New Roman" w:hAnsi="Times New Roman" w:cs="Times New Roman"/>
          <w:color w:val="auto"/>
        </w:rPr>
        <w:t>3</w:t>
      </w:r>
      <w:r w:rsidRPr="00C43284">
        <w:rPr>
          <w:rFonts w:ascii="Times New Roman" w:hAnsi="Times New Roman" w:cs="Times New Roman"/>
          <w:color w:val="auto"/>
        </w:rPr>
        <w:t>. Siltumnīcefekta gāzu emisiju samazināšana</w:t>
      </w:r>
      <w:bookmarkEnd w:id="42"/>
    </w:p>
    <w:p w:rsidR="00421902" w:rsidRPr="00C43284" w:rsidRDefault="00421902" w:rsidP="00421902">
      <w:pPr>
        <w:ind w:firstLine="567"/>
      </w:pPr>
      <w:r w:rsidRPr="00C43284">
        <w:t xml:space="preserve">Latvijas mērķis ir ierobežot valsts kopējās SEG emisijas, lai 2020.gadā tās nepārsniegtu 12,19 </w:t>
      </w:r>
      <w:proofErr w:type="spellStart"/>
      <w:r w:rsidRPr="00C43284">
        <w:t>Mt</w:t>
      </w:r>
      <w:proofErr w:type="spellEnd"/>
      <w:r w:rsidRPr="00C43284">
        <w:t xml:space="preserve"> CO</w:t>
      </w:r>
      <w:r w:rsidRPr="00C43284">
        <w:rPr>
          <w:vertAlign w:val="subscript"/>
        </w:rPr>
        <w:t>2</w:t>
      </w:r>
      <w:r w:rsidRPr="00C43284">
        <w:t xml:space="preserve"> ekvivalenta. Šis mērķis iekļauj arī citu starptautisko saistību izpildi. SEG emisiju mērķis neietver mežsaimniecības nozares radītās emisijas un piesaisti.</w:t>
      </w:r>
    </w:p>
    <w:p w:rsidR="00421902" w:rsidRPr="00C43284" w:rsidRDefault="00421902" w:rsidP="00421902">
      <w:pPr>
        <w:spacing w:before="120"/>
        <w:jc w:val="right"/>
      </w:pPr>
      <w:r w:rsidRPr="00C43284">
        <w:t>1</w:t>
      </w:r>
      <w:r w:rsidR="00FF1962">
        <w:t>2</w:t>
      </w:r>
      <w:r w:rsidRPr="00C43284">
        <w:t xml:space="preserve">.tabula </w:t>
      </w:r>
    </w:p>
    <w:p w:rsidR="00421902" w:rsidRPr="00C43284" w:rsidRDefault="00421902" w:rsidP="00421902">
      <w:pPr>
        <w:spacing w:after="60"/>
        <w:jc w:val="center"/>
      </w:pPr>
      <w:r w:rsidRPr="00C43284">
        <w:t>Latvijas SEG emisiju ierobežošanas mērķa sasniegšana</w:t>
      </w:r>
      <w:r>
        <w:t>s trajektorija</w:t>
      </w:r>
    </w:p>
    <w:tbl>
      <w:tblPr>
        <w:tblStyle w:val="LightShading"/>
        <w:tblW w:w="5000" w:type="pct"/>
        <w:tblLook w:val="04A0" w:firstRow="1" w:lastRow="0" w:firstColumn="1" w:lastColumn="0" w:noHBand="0" w:noVBand="1"/>
      </w:tblPr>
      <w:tblGrid>
        <w:gridCol w:w="5054"/>
        <w:gridCol w:w="847"/>
        <w:gridCol w:w="847"/>
        <w:gridCol w:w="847"/>
        <w:gridCol w:w="847"/>
        <w:gridCol w:w="845"/>
      </w:tblGrid>
      <w:tr w:rsidR="00421902" w:rsidRPr="00EE14AA" w:rsidTr="006F2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1" w:type="pct"/>
            <w:shd w:val="clear" w:color="auto" w:fill="D9D9D9" w:themeFill="background1" w:themeFillShade="D9"/>
          </w:tcPr>
          <w:p w:rsidR="00421902" w:rsidRPr="00EE14AA" w:rsidRDefault="00421902" w:rsidP="006F290F">
            <w:pPr>
              <w:pStyle w:val="Default"/>
              <w:jc w:val="center"/>
              <w:rPr>
                <w:rFonts w:ascii="Times New Roman" w:hAnsi="Times New Roman" w:cs="Times New Roman"/>
                <w:b w:val="0"/>
                <w:bCs w:val="0"/>
                <w:sz w:val="20"/>
                <w:szCs w:val="20"/>
              </w:rPr>
            </w:pPr>
          </w:p>
        </w:tc>
        <w:tc>
          <w:tcPr>
            <w:tcW w:w="456" w:type="pct"/>
            <w:shd w:val="clear" w:color="auto" w:fill="D9D9D9" w:themeFill="background1" w:themeFillShade="D9"/>
          </w:tcPr>
          <w:p w:rsidR="00421902" w:rsidRPr="003A3A76" w:rsidRDefault="00421902"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3A3A76">
              <w:rPr>
                <w:rFonts w:ascii="Times New Roman" w:hAnsi="Times New Roman" w:cs="Times New Roman"/>
                <w:sz w:val="22"/>
                <w:szCs w:val="22"/>
              </w:rPr>
              <w:t>2008</w:t>
            </w:r>
          </w:p>
        </w:tc>
        <w:tc>
          <w:tcPr>
            <w:tcW w:w="456" w:type="pct"/>
            <w:shd w:val="clear" w:color="auto" w:fill="D9D9D9" w:themeFill="background1" w:themeFillShade="D9"/>
          </w:tcPr>
          <w:p w:rsidR="00421902" w:rsidRPr="003A3A76" w:rsidRDefault="00421902"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3A3A76">
              <w:rPr>
                <w:rFonts w:ascii="Times New Roman" w:hAnsi="Times New Roman" w:cs="Times New Roman"/>
                <w:sz w:val="22"/>
                <w:szCs w:val="22"/>
              </w:rPr>
              <w:t>2009</w:t>
            </w:r>
          </w:p>
        </w:tc>
        <w:tc>
          <w:tcPr>
            <w:tcW w:w="456" w:type="pct"/>
            <w:shd w:val="clear" w:color="auto" w:fill="D9D9D9" w:themeFill="background1" w:themeFillShade="D9"/>
          </w:tcPr>
          <w:p w:rsidR="00421902" w:rsidRPr="003A3A76" w:rsidRDefault="00421902"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3A3A76">
              <w:rPr>
                <w:rFonts w:ascii="Times New Roman" w:hAnsi="Times New Roman" w:cs="Times New Roman"/>
                <w:sz w:val="22"/>
                <w:szCs w:val="22"/>
              </w:rPr>
              <w:t>2010</w:t>
            </w:r>
          </w:p>
        </w:tc>
        <w:tc>
          <w:tcPr>
            <w:tcW w:w="456" w:type="pct"/>
            <w:shd w:val="clear" w:color="auto" w:fill="D9D9D9" w:themeFill="background1" w:themeFillShade="D9"/>
          </w:tcPr>
          <w:p w:rsidR="00421902" w:rsidRPr="003A3A76" w:rsidRDefault="00421902"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3A3A76">
              <w:rPr>
                <w:rFonts w:ascii="Times New Roman" w:hAnsi="Times New Roman" w:cs="Times New Roman"/>
                <w:sz w:val="22"/>
                <w:szCs w:val="22"/>
              </w:rPr>
              <w:t>2015</w:t>
            </w:r>
          </w:p>
        </w:tc>
        <w:tc>
          <w:tcPr>
            <w:tcW w:w="455" w:type="pct"/>
            <w:shd w:val="clear" w:color="auto" w:fill="D9D9D9" w:themeFill="background1" w:themeFillShade="D9"/>
          </w:tcPr>
          <w:p w:rsidR="00421902" w:rsidRPr="003A3A76" w:rsidRDefault="00421902" w:rsidP="006F290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3A3A76">
              <w:rPr>
                <w:rFonts w:ascii="Times New Roman" w:hAnsi="Times New Roman" w:cs="Times New Roman"/>
                <w:sz w:val="22"/>
                <w:szCs w:val="22"/>
              </w:rPr>
              <w:t>2020</w:t>
            </w:r>
          </w:p>
        </w:tc>
      </w:tr>
      <w:tr w:rsidR="00421902" w:rsidRPr="003A3A76" w:rsidTr="006F2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tcPr>
          <w:p w:rsidR="00421902" w:rsidRPr="003A3A76" w:rsidRDefault="00421902" w:rsidP="006F290F">
            <w:pPr>
              <w:pStyle w:val="Default"/>
              <w:spacing w:before="60" w:after="60"/>
              <w:rPr>
                <w:rFonts w:ascii="Times New Roman" w:hAnsi="Times New Roman" w:cs="Times New Roman"/>
                <w:b w:val="0"/>
                <w:bCs w:val="0"/>
                <w:sz w:val="22"/>
                <w:szCs w:val="22"/>
              </w:rPr>
            </w:pPr>
            <w:r w:rsidRPr="003A3A76">
              <w:rPr>
                <w:rFonts w:ascii="Times New Roman" w:hAnsi="Times New Roman" w:cs="Times New Roman"/>
                <w:b w:val="0"/>
                <w:sz w:val="22"/>
                <w:szCs w:val="22"/>
              </w:rPr>
              <w:t xml:space="preserve">SEG emisijas, </w:t>
            </w:r>
            <w:proofErr w:type="spellStart"/>
            <w:r w:rsidRPr="003A3A76">
              <w:rPr>
                <w:rFonts w:ascii="Times New Roman" w:hAnsi="Times New Roman" w:cs="Times New Roman"/>
                <w:b w:val="0"/>
                <w:sz w:val="22"/>
                <w:szCs w:val="22"/>
              </w:rPr>
              <w:t>Mt</w:t>
            </w:r>
            <w:proofErr w:type="spellEnd"/>
            <w:r w:rsidRPr="003A3A76">
              <w:rPr>
                <w:rFonts w:ascii="Times New Roman" w:hAnsi="Times New Roman" w:cs="Times New Roman"/>
                <w:b w:val="0"/>
                <w:sz w:val="22"/>
                <w:szCs w:val="22"/>
              </w:rPr>
              <w:t xml:space="preserve"> CO</w:t>
            </w:r>
            <w:r w:rsidRPr="003A3A76">
              <w:rPr>
                <w:rFonts w:ascii="Times New Roman" w:hAnsi="Times New Roman" w:cs="Times New Roman"/>
                <w:b w:val="0"/>
                <w:sz w:val="22"/>
                <w:szCs w:val="22"/>
                <w:vertAlign w:val="subscript"/>
              </w:rPr>
              <w:t>2</w:t>
            </w:r>
            <w:r w:rsidRPr="003A3A76">
              <w:rPr>
                <w:rFonts w:ascii="Times New Roman" w:hAnsi="Times New Roman" w:cs="Times New Roman"/>
                <w:b w:val="0"/>
                <w:sz w:val="22"/>
                <w:szCs w:val="22"/>
              </w:rPr>
              <w:t xml:space="preserve"> ekvivalenta</w:t>
            </w:r>
          </w:p>
        </w:tc>
        <w:tc>
          <w:tcPr>
            <w:tcW w:w="456" w:type="pct"/>
            <w:shd w:val="clear" w:color="auto" w:fill="auto"/>
          </w:tcPr>
          <w:p w:rsidR="00421902" w:rsidRPr="003A3A76" w:rsidRDefault="00421902" w:rsidP="006F290F">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A3A76">
              <w:rPr>
                <w:rFonts w:ascii="Times New Roman" w:hAnsi="Times New Roman" w:cs="Times New Roman"/>
                <w:sz w:val="22"/>
                <w:szCs w:val="22"/>
              </w:rPr>
              <w:t>11,7</w:t>
            </w:r>
          </w:p>
        </w:tc>
        <w:tc>
          <w:tcPr>
            <w:tcW w:w="456" w:type="pct"/>
            <w:shd w:val="clear" w:color="auto" w:fill="auto"/>
          </w:tcPr>
          <w:p w:rsidR="00421902" w:rsidRPr="003A3A76" w:rsidRDefault="00421902" w:rsidP="006F290F">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A3A76">
              <w:rPr>
                <w:rFonts w:ascii="Times New Roman" w:hAnsi="Times New Roman" w:cs="Times New Roman"/>
                <w:sz w:val="22"/>
                <w:szCs w:val="22"/>
              </w:rPr>
              <w:t>11,0</w:t>
            </w:r>
          </w:p>
        </w:tc>
        <w:tc>
          <w:tcPr>
            <w:tcW w:w="456" w:type="pct"/>
            <w:shd w:val="clear" w:color="auto" w:fill="auto"/>
          </w:tcPr>
          <w:p w:rsidR="00421902" w:rsidRPr="003A3A76" w:rsidRDefault="00421902" w:rsidP="006F290F">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A3A76">
              <w:rPr>
                <w:rFonts w:ascii="Times New Roman" w:hAnsi="Times New Roman" w:cs="Times New Roman"/>
                <w:sz w:val="22"/>
                <w:szCs w:val="22"/>
              </w:rPr>
              <w:t>12,1</w:t>
            </w:r>
          </w:p>
        </w:tc>
        <w:tc>
          <w:tcPr>
            <w:tcW w:w="456" w:type="pct"/>
            <w:shd w:val="clear" w:color="auto" w:fill="auto"/>
          </w:tcPr>
          <w:p w:rsidR="00421902" w:rsidRPr="003A3A76" w:rsidRDefault="00421902" w:rsidP="006F290F">
            <w:pPr>
              <w:pStyle w:val="Default"/>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A3A76">
              <w:rPr>
                <w:rFonts w:ascii="Times New Roman" w:hAnsi="Times New Roman" w:cs="Times New Roman"/>
                <w:sz w:val="22"/>
                <w:szCs w:val="22"/>
              </w:rPr>
              <w:t>12,4</w:t>
            </w:r>
          </w:p>
        </w:tc>
        <w:tc>
          <w:tcPr>
            <w:tcW w:w="455" w:type="pct"/>
            <w:shd w:val="clear" w:color="auto" w:fill="auto"/>
          </w:tcPr>
          <w:p w:rsidR="00421902" w:rsidRPr="003A3A76" w:rsidRDefault="00421902" w:rsidP="006F290F">
            <w:pPr>
              <w:spacing w:before="60" w:after="60"/>
              <w:jc w:val="center"/>
              <w:cnfStyle w:val="000000100000" w:firstRow="0" w:lastRow="0" w:firstColumn="0" w:lastColumn="0" w:oddVBand="0" w:evenVBand="0" w:oddHBand="1" w:evenHBand="0" w:firstRowFirstColumn="0" w:firstRowLastColumn="0" w:lastRowFirstColumn="0" w:lastRowLastColumn="0"/>
              <w:rPr>
                <w:sz w:val="22"/>
                <w:szCs w:val="22"/>
              </w:rPr>
            </w:pPr>
            <w:r w:rsidRPr="003A3A76">
              <w:rPr>
                <w:sz w:val="22"/>
                <w:szCs w:val="22"/>
              </w:rPr>
              <w:t>12,2</w:t>
            </w:r>
          </w:p>
        </w:tc>
      </w:tr>
      <w:tr w:rsidR="00421902" w:rsidRPr="003A3A76" w:rsidTr="006F290F">
        <w:tc>
          <w:tcPr>
            <w:cnfStyle w:val="001000000000" w:firstRow="0" w:lastRow="0" w:firstColumn="1" w:lastColumn="0" w:oddVBand="0" w:evenVBand="0" w:oddHBand="0" w:evenHBand="0" w:firstRowFirstColumn="0" w:firstRowLastColumn="0" w:lastRowFirstColumn="0" w:lastRowLastColumn="0"/>
            <w:tcW w:w="2721" w:type="pct"/>
          </w:tcPr>
          <w:p w:rsidR="00421902" w:rsidRPr="003A3A76" w:rsidRDefault="00421902" w:rsidP="006F290F">
            <w:pPr>
              <w:pStyle w:val="Default"/>
              <w:spacing w:before="60" w:after="60"/>
              <w:rPr>
                <w:rFonts w:ascii="Times New Roman" w:hAnsi="Times New Roman" w:cs="Times New Roman"/>
                <w:b w:val="0"/>
                <w:bCs w:val="0"/>
                <w:sz w:val="22"/>
                <w:szCs w:val="22"/>
              </w:rPr>
            </w:pPr>
            <w:r w:rsidRPr="003A3A76">
              <w:rPr>
                <w:rFonts w:ascii="Times New Roman" w:hAnsi="Times New Roman" w:cs="Times New Roman"/>
                <w:b w:val="0"/>
                <w:sz w:val="22"/>
                <w:szCs w:val="22"/>
              </w:rPr>
              <w:t>SEG emisijas ne-ETS nozarēs</w:t>
            </w:r>
            <w:r w:rsidRPr="003A3A76">
              <w:rPr>
                <w:rStyle w:val="FootnoteReference"/>
                <w:rFonts w:ascii="Times New Roman" w:hAnsi="Times New Roman" w:cs="Times New Roman"/>
                <w:b w:val="0"/>
                <w:sz w:val="22"/>
                <w:szCs w:val="22"/>
              </w:rPr>
              <w:footnoteReference w:id="24"/>
            </w:r>
            <w:r w:rsidRPr="003A3A76">
              <w:rPr>
                <w:rFonts w:ascii="Times New Roman" w:hAnsi="Times New Roman" w:cs="Times New Roman"/>
                <w:b w:val="0"/>
                <w:sz w:val="22"/>
                <w:szCs w:val="22"/>
              </w:rPr>
              <w:t xml:space="preserve"> (% pret 2005.gadu)</w:t>
            </w:r>
          </w:p>
        </w:tc>
        <w:tc>
          <w:tcPr>
            <w:tcW w:w="456" w:type="pct"/>
          </w:tcPr>
          <w:p w:rsidR="00421902" w:rsidRPr="003A3A76" w:rsidRDefault="00421902" w:rsidP="006F290F">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A3A76">
              <w:rPr>
                <w:rFonts w:ascii="Times New Roman" w:hAnsi="Times New Roman" w:cs="Times New Roman"/>
                <w:sz w:val="22"/>
                <w:szCs w:val="22"/>
              </w:rPr>
              <w:t>8,0</w:t>
            </w:r>
          </w:p>
        </w:tc>
        <w:tc>
          <w:tcPr>
            <w:tcW w:w="456" w:type="pct"/>
          </w:tcPr>
          <w:p w:rsidR="00421902" w:rsidRPr="003A3A76" w:rsidRDefault="00421902" w:rsidP="006F290F">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A3A76">
              <w:rPr>
                <w:rFonts w:ascii="Times New Roman" w:hAnsi="Times New Roman" w:cs="Times New Roman"/>
                <w:sz w:val="22"/>
                <w:szCs w:val="22"/>
              </w:rPr>
              <w:t>8,0</w:t>
            </w:r>
          </w:p>
        </w:tc>
        <w:tc>
          <w:tcPr>
            <w:tcW w:w="456" w:type="pct"/>
          </w:tcPr>
          <w:p w:rsidR="00421902" w:rsidRPr="003A3A76" w:rsidRDefault="00421902" w:rsidP="006F290F">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A3A76">
              <w:rPr>
                <w:rFonts w:ascii="Times New Roman" w:hAnsi="Times New Roman" w:cs="Times New Roman"/>
                <w:sz w:val="22"/>
                <w:szCs w:val="22"/>
              </w:rPr>
              <w:t>8,0</w:t>
            </w:r>
          </w:p>
        </w:tc>
        <w:tc>
          <w:tcPr>
            <w:tcW w:w="456" w:type="pct"/>
          </w:tcPr>
          <w:p w:rsidR="00421902" w:rsidRPr="003A3A76" w:rsidRDefault="00421902" w:rsidP="006F290F">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A3A76">
              <w:rPr>
                <w:rFonts w:ascii="Times New Roman" w:hAnsi="Times New Roman" w:cs="Times New Roman"/>
                <w:sz w:val="22"/>
                <w:szCs w:val="22"/>
              </w:rPr>
              <w:t>13,0</w:t>
            </w:r>
          </w:p>
        </w:tc>
        <w:tc>
          <w:tcPr>
            <w:tcW w:w="455" w:type="pct"/>
          </w:tcPr>
          <w:p w:rsidR="00421902" w:rsidRPr="003A3A76" w:rsidRDefault="00421902" w:rsidP="006F290F">
            <w:pPr>
              <w:spacing w:before="60" w:after="60"/>
              <w:jc w:val="center"/>
              <w:cnfStyle w:val="000000000000" w:firstRow="0" w:lastRow="0" w:firstColumn="0" w:lastColumn="0" w:oddVBand="0" w:evenVBand="0" w:oddHBand="0" w:evenHBand="0" w:firstRowFirstColumn="0" w:firstRowLastColumn="0" w:lastRowFirstColumn="0" w:lastRowLastColumn="0"/>
              <w:rPr>
                <w:sz w:val="22"/>
                <w:szCs w:val="22"/>
              </w:rPr>
            </w:pPr>
            <w:r w:rsidRPr="003A3A76">
              <w:rPr>
                <w:sz w:val="22"/>
                <w:szCs w:val="22"/>
              </w:rPr>
              <w:t>17,0</w:t>
            </w:r>
          </w:p>
        </w:tc>
      </w:tr>
    </w:tbl>
    <w:p w:rsidR="00421902" w:rsidRPr="00E359DA" w:rsidRDefault="00421902" w:rsidP="00421902">
      <w:pPr>
        <w:spacing w:before="240"/>
        <w:ind w:firstLine="567"/>
      </w:pPr>
      <w:r w:rsidRPr="00E359DA">
        <w:t>Saskaņā ar 2012.gada siltumnīcefekta gāzu emisijas nacionālās inventarizācijas rezultātiem</w:t>
      </w:r>
      <w:r w:rsidRPr="00E359DA">
        <w:rPr>
          <w:rStyle w:val="FootnoteReference"/>
        </w:rPr>
        <w:footnoteReference w:id="25"/>
      </w:r>
      <w:r w:rsidRPr="00E359DA">
        <w:t xml:space="preserve"> Latvijas kopējās SEG emisijas 2010.gadā bija 12,1 </w:t>
      </w:r>
      <w:proofErr w:type="spellStart"/>
      <w:r w:rsidR="00CD1875">
        <w:t>Mt</w:t>
      </w:r>
      <w:proofErr w:type="spellEnd"/>
      <w:r w:rsidRPr="00E359DA">
        <w:t xml:space="preserve"> CO</w:t>
      </w:r>
      <w:r w:rsidRPr="00E359DA">
        <w:rPr>
          <w:vertAlign w:val="subscript"/>
        </w:rPr>
        <w:t>2</w:t>
      </w:r>
      <w:r w:rsidRPr="00E359DA">
        <w:t xml:space="preserve"> ekvivalenta. Lielāko daļu no emisijām radīja enerģētikas (43%), transporta (27%) un lauksaimniecības (19%) sektori. Salīdzinot ar 2009.gadu, Latvijas kopējās SEG emisijas pieaugušas par 10%. ETS sektorā emisiju pieaugumu noteica palielināts kurināmā patēriņš pārveidošanas sektorā (centralizētajās siltumapgādes sistēmās) aukstās ziemas dēļ, jauna elektroenerģijas ražošanas bloka darba uzsākšana, kā arī lielākās cementa rūpnīcas ražošanas jaudas palielināšanās. Ne-</w:t>
      </w:r>
      <w:r w:rsidR="00CD1875">
        <w:t xml:space="preserve">Emisijas kvotu tirdzniecības sistēmas (turpmāk tekstā – </w:t>
      </w:r>
      <w:r w:rsidRPr="00E359DA">
        <w:t>ETS</w:t>
      </w:r>
      <w:r w:rsidR="00CD1875">
        <w:t>)</w:t>
      </w:r>
      <w:r w:rsidRPr="00E359DA">
        <w:t xml:space="preserve"> sektora emisijas 2010.gadā bija 6,5% augstākas nekā 2005.gada līmenis (trajektorijas izpilde), 2011.gadā bija 3,8% augstākas nekā 2005.gada līmenis (trajektorijas izpilde). Tomēr </w:t>
      </w:r>
      <w:proofErr w:type="spellStart"/>
      <w:r w:rsidRPr="00E359DA">
        <w:t>īstermiņā</w:t>
      </w:r>
      <w:proofErr w:type="spellEnd"/>
      <w:r w:rsidRPr="00E359DA">
        <w:t xml:space="preserve"> vērojams ne-ETS emisiju pieaugums </w:t>
      </w:r>
      <w:r w:rsidR="00CD1875">
        <w:t>– 2010.</w:t>
      </w:r>
      <w:r w:rsidRPr="00E359DA">
        <w:t>gada emisiju pieaugumu (4</w:t>
      </w:r>
      <w:r w:rsidR="00CD1875">
        <w:t>,</w:t>
      </w:r>
      <w:r w:rsidRPr="00E359DA">
        <w:t>3%)</w:t>
      </w:r>
      <w:r>
        <w:t>, salīdzinot ar 2009.</w:t>
      </w:r>
      <w:r w:rsidRPr="00E359DA">
        <w:t>gadu</w:t>
      </w:r>
      <w:r>
        <w:t>,</w:t>
      </w:r>
      <w:r w:rsidRPr="00E359DA">
        <w:t xml:space="preserve"> noteica aptuveni vienādās daļās transporta, lauksaimniecības un mazo centrālap</w:t>
      </w:r>
      <w:r w:rsidR="00CD1875">
        <w:t>kures sistēmu emisiju pieaugums</w:t>
      </w:r>
      <w:r w:rsidRPr="00E359DA">
        <w:t>.</w:t>
      </w:r>
    </w:p>
    <w:p w:rsidR="00421902" w:rsidRPr="00E359DA" w:rsidRDefault="00421902" w:rsidP="00421902">
      <w:pPr>
        <w:ind w:firstLine="567"/>
      </w:pPr>
      <w:r w:rsidRPr="00E359DA">
        <w:t xml:space="preserve">Valsts kopējās emisijas 2010.gadā kopumā bijušas atbilstošas prognozētajai ierobežošanas mērķa sasniegšanas trajektorijai. Saskaņā ar sākotnējiem 2013.gada </w:t>
      </w:r>
      <w:r w:rsidR="00CD1875">
        <w:t>SEG</w:t>
      </w:r>
      <w:r w:rsidRPr="00E359DA">
        <w:t xml:space="preserve"> emisijas nacionālās inventarizācijas rezultātiem,</w:t>
      </w:r>
      <w:r w:rsidRPr="00E359DA">
        <w:rPr>
          <w:rStyle w:val="FootnoteReference"/>
        </w:rPr>
        <w:footnoteReference w:id="26"/>
      </w:r>
      <w:r w:rsidRPr="00E359DA">
        <w:t xml:space="preserve"> Latvijas kopējās SEG emisijas 2011.gadā bija 11,5 </w:t>
      </w:r>
      <w:proofErr w:type="spellStart"/>
      <w:r w:rsidR="00CD1875">
        <w:t>Mt</w:t>
      </w:r>
      <w:proofErr w:type="spellEnd"/>
      <w:r w:rsidRPr="00E359DA">
        <w:t xml:space="preserve"> CO</w:t>
      </w:r>
      <w:r w:rsidRPr="00E359DA">
        <w:rPr>
          <w:vertAlign w:val="subscript"/>
        </w:rPr>
        <w:t>2</w:t>
      </w:r>
      <w:r w:rsidRPr="00E359DA">
        <w:t xml:space="preserve"> ekvivalenta, kas ir par 5</w:t>
      </w:r>
      <w:r>
        <w:t>,</w:t>
      </w:r>
      <w:r w:rsidR="00CD1875">
        <w:t>1% mazāk nekā 2010.</w:t>
      </w:r>
      <w:r w:rsidRPr="00E359DA">
        <w:t>g</w:t>
      </w:r>
      <w:r w:rsidR="00CD1875">
        <w:t>adā. Emisiju samazinājums 2011.</w:t>
      </w:r>
      <w:r w:rsidRPr="00E359DA">
        <w:t>gada emisijās ir novērojams gandrīz visās nozarēs, izņemot rūpniecisko</w:t>
      </w:r>
      <w:r w:rsidR="00CD1875">
        <w:t>s</w:t>
      </w:r>
      <w:r w:rsidRPr="00E359DA">
        <w:t xml:space="preserve"> procesus, kur emisijas pieauga</w:t>
      </w:r>
      <w:r w:rsidR="00CD1875" w:rsidRPr="00CD1875">
        <w:t xml:space="preserve"> </w:t>
      </w:r>
      <w:r w:rsidR="00CD1875" w:rsidRPr="00E359DA">
        <w:t>par 20%</w:t>
      </w:r>
      <w:r w:rsidR="00CD1875">
        <w:t>,</w:t>
      </w:r>
      <w:r w:rsidRPr="00E359DA">
        <w:t xml:space="preserve"> salīdzinot ar 2010.gadu. Tādēļ jāatzīst, ka turpmākajos gados emisiju apjoms varētu pieaugt straujāk dēļ ražošanas pieauguma un ekonomikas atkopšanās no krīzes. Tādējādi nākamajos gados varētu būt nepieciešams pārskatīt valsts kopējo emisiju ierobežošanas mērķi, to attiecīgi paaugstinot.</w:t>
      </w:r>
    </w:p>
    <w:p w:rsidR="00421902" w:rsidRPr="00C43284" w:rsidRDefault="00421902" w:rsidP="00421902">
      <w:pPr>
        <w:ind w:firstLine="567"/>
      </w:pPr>
      <w:r w:rsidRPr="00791D23">
        <w:t>Izvērtējot Latvijas iespējas iekļa</w:t>
      </w:r>
      <w:r>
        <w:t>u</w:t>
      </w:r>
      <w:r w:rsidRPr="00791D23">
        <w:t>ties ne-ETS sektora noteiktās SEG emisiju +17% pielaides ietvaros</w:t>
      </w:r>
      <w:r>
        <w:t>,</w:t>
      </w:r>
      <w:r w:rsidRPr="00791D23">
        <w:t xml:space="preserve"> jāņem vērā plānotā lauksaimniecības zemes izmantošanas intensificēšana</w:t>
      </w:r>
      <w:r>
        <w:t>.</w:t>
      </w:r>
      <w:r w:rsidRPr="00791D23">
        <w:t xml:space="preserve"> </w:t>
      </w:r>
    </w:p>
    <w:p w:rsidR="00421902" w:rsidRPr="00C43284" w:rsidRDefault="00421902" w:rsidP="001C1B55">
      <w:pPr>
        <w:spacing w:before="240" w:after="120"/>
        <w:ind w:firstLine="567"/>
      </w:pPr>
      <w:r w:rsidRPr="00C43284">
        <w:rPr>
          <w:u w:val="single"/>
        </w:rPr>
        <w:t xml:space="preserve">Galvenie politikas virzieni un pasākumi </w:t>
      </w:r>
      <w:r w:rsidR="001C1B55">
        <w:rPr>
          <w:u w:val="single"/>
        </w:rPr>
        <w:t>SEG</w:t>
      </w:r>
      <w:r w:rsidRPr="00C43284">
        <w:rPr>
          <w:u w:val="single"/>
        </w:rPr>
        <w:t xml:space="preserve"> emisiju samazināšanai</w:t>
      </w:r>
      <w:r w:rsidRPr="00C43284">
        <w:t>:</w:t>
      </w:r>
    </w:p>
    <w:p w:rsidR="00421902" w:rsidRPr="00C43284" w:rsidRDefault="00421902" w:rsidP="00E84407">
      <w:pPr>
        <w:pStyle w:val="ListParagraph"/>
        <w:numPr>
          <w:ilvl w:val="0"/>
          <w:numId w:val="11"/>
        </w:numPr>
        <w:spacing w:before="40" w:after="120"/>
        <w:ind w:left="284" w:hanging="284"/>
        <w:contextualSpacing w:val="0"/>
      </w:pPr>
      <w:r w:rsidRPr="00C43284">
        <w:rPr>
          <w:b/>
          <w:i/>
        </w:rPr>
        <w:t>Ne-ETS nozaru emisiju ierobežošana</w:t>
      </w:r>
      <w:r w:rsidRPr="00C43284">
        <w:rPr>
          <w:b/>
        </w:rPr>
        <w:t xml:space="preserve"> </w:t>
      </w:r>
      <w:r w:rsidRPr="00C43284">
        <w:t>(atbildīgā institūcija – VARAM, EM, ZM, SM)</w:t>
      </w:r>
    </w:p>
    <w:p w:rsidR="00421902" w:rsidRDefault="00421902" w:rsidP="00421902">
      <w:pPr>
        <w:ind w:firstLine="567"/>
      </w:pPr>
      <w:bookmarkStart w:id="43" w:name="OLE_LINK101"/>
      <w:bookmarkStart w:id="44" w:name="OLE_LINK102"/>
      <w:r w:rsidRPr="001E1AFC">
        <w:t xml:space="preserve">Ņemot vērā plānoto emisiju palielinājumu lauksaimniecības sektorā un to, ka KPFI programmu investīcijās lauksaimnieciskā ražošana līdz šim nav tieši ietverta, kā arī to, ka </w:t>
      </w:r>
      <w:r w:rsidRPr="001E1AFC">
        <w:lastRenderedPageBreak/>
        <w:t xml:space="preserve">lauksaimniecības sektora emisijas sastāda 1/5 daļu no kopējām ne-ETS sektora emisijām, nepieciešams atbalstīt </w:t>
      </w:r>
      <w:r w:rsidR="009D5937">
        <w:t>SEG</w:t>
      </w:r>
      <w:r w:rsidRPr="001E1AFC">
        <w:t xml:space="preserve"> emisijas samazinošu tehnoloģiju un vidi saudzējošus pasākumus lauksaimnieciskajā ražošanā.</w:t>
      </w:r>
    </w:p>
    <w:p w:rsidR="00421902" w:rsidRPr="00B23F4B" w:rsidRDefault="00421902" w:rsidP="00421902">
      <w:pPr>
        <w:ind w:firstLine="567"/>
      </w:pPr>
      <w:r w:rsidRPr="00C43284">
        <w:t>Ne-ETS sektora emisiju samazināšanas pasākumu atbalstu realizē galvenokārt KPFI programmas, kurās projektu realizācija uzsākta tikai 2010.gadā. Ieplānotā emisiju samazināšanas politika un pasākumi ir jāturpina, vērtējot un mērot to panākto faktisko emisiju samazinājumu.</w:t>
      </w:r>
    </w:p>
    <w:p w:rsidR="00421902" w:rsidRPr="00C43284" w:rsidRDefault="00421902" w:rsidP="00E84407">
      <w:pPr>
        <w:pStyle w:val="ListParagraph"/>
        <w:numPr>
          <w:ilvl w:val="0"/>
          <w:numId w:val="11"/>
        </w:numPr>
        <w:spacing w:before="240" w:after="120"/>
        <w:ind w:left="284" w:hanging="284"/>
        <w:contextualSpacing w:val="0"/>
        <w:rPr>
          <w:b/>
        </w:rPr>
      </w:pPr>
      <w:r w:rsidRPr="00C43284">
        <w:rPr>
          <w:b/>
          <w:i/>
        </w:rPr>
        <w:t>Pētniecība, inovācijas, sabiedrības informēšana</w:t>
      </w:r>
      <w:r w:rsidRPr="00C43284">
        <w:rPr>
          <w:b/>
        </w:rPr>
        <w:t xml:space="preserve"> </w:t>
      </w:r>
      <w:bookmarkEnd w:id="43"/>
      <w:bookmarkEnd w:id="44"/>
      <w:r w:rsidRPr="00C43284">
        <w:t>(atbildīgā institūcija – VARAM)</w:t>
      </w:r>
    </w:p>
    <w:p w:rsidR="00421902" w:rsidRPr="00C43284" w:rsidRDefault="00421902" w:rsidP="00421902">
      <w:pPr>
        <w:ind w:firstLine="567"/>
      </w:pPr>
      <w:r w:rsidRPr="00C43284">
        <w:t xml:space="preserve">Mērķis ir veicināt SEG emisiju samazinošu produktu un tehnoloģiju pārnesi Latvijā, kā arī veicināt sabiedrības izturēšanās maiņas pasākumus. </w:t>
      </w:r>
    </w:p>
    <w:p w:rsidR="00421902" w:rsidRPr="00C43284" w:rsidRDefault="00421902" w:rsidP="00421902">
      <w:pPr>
        <w:spacing w:before="120"/>
        <w:ind w:firstLine="567"/>
      </w:pPr>
      <w:r w:rsidRPr="00C43284">
        <w:t xml:space="preserve">SEG emisiju samazinošo produktu un tehnoloģiju pārnesei Latvijā </w:t>
      </w:r>
      <w:r>
        <w:t xml:space="preserve">kopš </w:t>
      </w:r>
      <w:r w:rsidRPr="00C43284">
        <w:t>2011.gad</w:t>
      </w:r>
      <w:r>
        <w:t>a</w:t>
      </w:r>
      <w:r w:rsidRPr="00C43284">
        <w:t xml:space="preserve"> tika īstenoti </w:t>
      </w:r>
      <w:r>
        <w:t>11</w:t>
      </w:r>
      <w:r w:rsidRPr="00C43284">
        <w:t xml:space="preserve"> projekti par kopējo KPFI finansējumu 0,5 </w:t>
      </w:r>
      <w:proofErr w:type="spellStart"/>
      <w:r w:rsidRPr="00C43284">
        <w:t>milj</w:t>
      </w:r>
      <w:proofErr w:type="spellEnd"/>
      <w:r w:rsidRPr="00C43284">
        <w:t>. latu. Pabeigto projektu ietvaros izstrādāti iekārtu prototipi, kuri spēj dzesēt notekūdeņus un iegūto siltumu novirzīt ūdens sildīšanai, aprēķinātais siltumenerģijas ietaupījums 108 dzīvokļu daudzdzīvokļu ēkai 345</w:t>
      </w:r>
      <w:r>
        <w:t> </w:t>
      </w:r>
      <w:proofErr w:type="spellStart"/>
      <w:r w:rsidRPr="00C43284">
        <w:t>MWh</w:t>
      </w:r>
      <w:proofErr w:type="spellEnd"/>
      <w:r w:rsidRPr="00C43284">
        <w:t xml:space="preserve"> gadā un 40 dzīvokļu daudzdzīvokļu ēkai 124</w:t>
      </w:r>
      <w:r>
        <w:t> </w:t>
      </w:r>
      <w:proofErr w:type="spellStart"/>
      <w:r w:rsidRPr="00C43284">
        <w:t>MWh</w:t>
      </w:r>
      <w:proofErr w:type="spellEnd"/>
      <w:r w:rsidRPr="00C43284">
        <w:t xml:space="preserve"> gadā</w:t>
      </w:r>
      <w:r>
        <w:t>,</w:t>
      </w:r>
      <w:r w:rsidRPr="00C43284">
        <w:t xml:space="preserve"> izstrādāta efektīva zemu izmešu nefosilā kurināmā sadedzināšanas tehnoloģija kā katalizatoru izmantojot ūdens elektrolīzes produktu</w:t>
      </w:r>
      <w:r>
        <w:t xml:space="preserve">, veikta </w:t>
      </w:r>
      <w:proofErr w:type="spellStart"/>
      <w:r>
        <w:t>energoefektīva</w:t>
      </w:r>
      <w:proofErr w:type="spellEnd"/>
      <w:r>
        <w:t xml:space="preserve"> saules paneļa izstrāde, kā arī gazifikācijas tehnoloģijas izveide, kas piemērota augsta pelnu satura biomasai, izveidota zemu izmešu nefosilā kurināmā sadedzināšanas tehnoloģija, kā arī izveidots saules enerģijas demonstrācijas projekts SEG emisiju samazināšanai bīstamo atkritumu pārstrādes uzņēmumā</w:t>
      </w:r>
      <w:r w:rsidRPr="00C43284">
        <w:t>.</w:t>
      </w:r>
    </w:p>
    <w:p w:rsidR="00421902" w:rsidRPr="00C43284" w:rsidRDefault="00421902" w:rsidP="00421902">
      <w:pPr>
        <w:spacing w:before="120"/>
        <w:ind w:firstLine="567"/>
      </w:pPr>
      <w:r w:rsidRPr="00C43284">
        <w:t>2012.</w:t>
      </w:r>
      <w:r w:rsidR="00DA1915">
        <w:t>–</w:t>
      </w:r>
      <w:r w:rsidRPr="00C43284">
        <w:t xml:space="preserve">2013.gadu periodā būs pieejams KPFI finansējums </w:t>
      </w:r>
      <w:r>
        <w:t>2,7</w:t>
      </w:r>
      <w:r w:rsidRPr="00C43284">
        <w:t xml:space="preserve"> </w:t>
      </w:r>
      <w:proofErr w:type="spellStart"/>
      <w:r w:rsidRPr="00C43284">
        <w:t>milj</w:t>
      </w:r>
      <w:proofErr w:type="spellEnd"/>
      <w:r w:rsidRPr="00C43284">
        <w:t xml:space="preserve">. latu apmērā </w:t>
      </w:r>
      <w:r w:rsidR="00DA1915">
        <w:t>SEG</w:t>
      </w:r>
      <w:r w:rsidRPr="00C43284">
        <w:t xml:space="preserve"> emisijas samazinošu tehnoloģiju attīstīšanai, </w:t>
      </w:r>
      <w:proofErr w:type="spellStart"/>
      <w:r w:rsidRPr="00C43284">
        <w:t>t.sk</w:t>
      </w:r>
      <w:proofErr w:type="spellEnd"/>
      <w:r w:rsidRPr="00C43284">
        <w:t xml:space="preserve">. pilotprojektu īstenošanai. KPFI līdzfinansējums tiks piešķirts inovatīvu produktu vai tehnoloģiju izveidei un demonstrēšanai, ja tai ir </w:t>
      </w:r>
      <w:r w:rsidR="00DA1915">
        <w:t>SEG</w:t>
      </w:r>
      <w:r w:rsidRPr="00C43284">
        <w:t xml:space="preserve"> samazinājuma potenciāls un praktiska lietojuma iespējas, kā arī tehnoloģiju nacionālās un starptautiskās pieredzes un zināšanu pārnesei, īstenojot pilotprojektus, lai demonstrētu inovatīvu </w:t>
      </w:r>
      <w:r w:rsidR="00DA1915">
        <w:t>SEG</w:t>
      </w:r>
      <w:r w:rsidRPr="00C43284">
        <w:t xml:space="preserve"> emisijas samazinošu tehnoloģiju darbību praksē. </w:t>
      </w:r>
    </w:p>
    <w:p w:rsidR="00B76FA9" w:rsidRDefault="00421902" w:rsidP="00421902">
      <w:pPr>
        <w:spacing w:before="120"/>
        <w:ind w:firstLine="567"/>
      </w:pPr>
      <w:r w:rsidRPr="00C43284">
        <w:t>Kopš 2011.gada tika īstenoti 1</w:t>
      </w:r>
      <w:r>
        <w:t>7</w:t>
      </w:r>
      <w:r w:rsidRPr="00C43284">
        <w:t xml:space="preserve"> projekti, lai veicinātu sabiedrības izpratni par SEG emisiju samazināšanas nozīmi un iespējām. Masu mēdiji veidojuši publikācijas un radio un televīzijas raidījumus, biedrības un profesionālās asociācijas izstrādājušas apmācību programmas un vadījušas seminārus dažādām </w:t>
      </w:r>
      <w:proofErr w:type="spellStart"/>
      <w:r w:rsidRPr="00C43284">
        <w:t>mērķgrupām</w:t>
      </w:r>
      <w:proofErr w:type="spellEnd"/>
      <w:r w:rsidRPr="00C43284">
        <w:t xml:space="preserve">. Kopējais KPFI finansējums 2011.gadā </w:t>
      </w:r>
      <w:r w:rsidRPr="00C43284">
        <w:softHyphen/>
      </w:r>
      <w:r w:rsidRPr="00C43284">
        <w:softHyphen/>
        <w:t>– 0,</w:t>
      </w:r>
      <w:r>
        <w:t>20</w:t>
      </w:r>
      <w:r w:rsidRPr="00C43284">
        <w:t xml:space="preserve"> </w:t>
      </w:r>
      <w:proofErr w:type="spellStart"/>
      <w:r w:rsidRPr="00C43284">
        <w:t>milj</w:t>
      </w:r>
      <w:proofErr w:type="spellEnd"/>
      <w:r w:rsidRPr="00C43284">
        <w:t>. latu, 2012.gadā – 0,</w:t>
      </w:r>
      <w:r>
        <w:t>26</w:t>
      </w:r>
      <w:r w:rsidRPr="00C43284">
        <w:t xml:space="preserve"> </w:t>
      </w:r>
      <w:proofErr w:type="spellStart"/>
      <w:r w:rsidRPr="00C43284">
        <w:t>milj</w:t>
      </w:r>
      <w:proofErr w:type="spellEnd"/>
      <w:r w:rsidRPr="00C43284">
        <w:t>. latu.</w:t>
      </w:r>
    </w:p>
    <w:p w:rsidR="005F7AA3" w:rsidRDefault="005F7AA3">
      <w:pPr>
        <w:jc w:val="left"/>
      </w:pPr>
      <w:r>
        <w:br w:type="page"/>
      </w:r>
    </w:p>
    <w:p w:rsidR="007614F0" w:rsidRPr="00B703A3" w:rsidRDefault="00DE210D" w:rsidP="00DE210D">
      <w:pPr>
        <w:pStyle w:val="Heading1"/>
        <w:jc w:val="center"/>
        <w:rPr>
          <w:rFonts w:ascii="Times New Roman Bold" w:hAnsi="Times New Roman Bold" w:cs="Times New Roman"/>
          <w:smallCaps/>
          <w:color w:val="auto"/>
        </w:rPr>
      </w:pPr>
      <w:bookmarkStart w:id="45" w:name="_Toc354384952"/>
      <w:r w:rsidRPr="00B703A3">
        <w:rPr>
          <w:rFonts w:ascii="Times New Roman Bold" w:hAnsi="Times New Roman Bold" w:cs="Times New Roman"/>
          <w:smallCaps/>
          <w:color w:val="auto"/>
        </w:rPr>
        <w:lastRenderedPageBreak/>
        <w:t>4. Struktūrfondu izmantošana</w:t>
      </w:r>
      <w:bookmarkEnd w:id="45"/>
    </w:p>
    <w:p w:rsidR="00500D9A" w:rsidRPr="008004A8" w:rsidRDefault="00500D9A" w:rsidP="00222BD6">
      <w:pPr>
        <w:spacing w:before="160"/>
        <w:ind w:firstLine="567"/>
        <w:rPr>
          <w:b/>
          <w:i/>
          <w:u w:val="single"/>
        </w:rPr>
      </w:pPr>
      <w:r w:rsidRPr="008004A8">
        <w:rPr>
          <w:b/>
          <w:i/>
          <w:u w:val="single"/>
        </w:rPr>
        <w:t xml:space="preserve">ERAF un KF finansējums </w:t>
      </w:r>
      <w:r w:rsidR="00EB7DAF" w:rsidRPr="008004A8">
        <w:rPr>
          <w:b/>
          <w:i/>
          <w:u w:val="single"/>
        </w:rPr>
        <w:t>„</w:t>
      </w:r>
      <w:r w:rsidRPr="008004A8">
        <w:rPr>
          <w:b/>
          <w:i/>
          <w:u w:val="single"/>
        </w:rPr>
        <w:t>E</w:t>
      </w:r>
      <w:r w:rsidR="00F00CA5" w:rsidRPr="008004A8">
        <w:rPr>
          <w:b/>
          <w:i/>
          <w:u w:val="single"/>
        </w:rPr>
        <w:t>iropa</w:t>
      </w:r>
      <w:r w:rsidRPr="008004A8">
        <w:rPr>
          <w:b/>
          <w:i/>
          <w:u w:val="single"/>
        </w:rPr>
        <w:t xml:space="preserve"> 2020</w:t>
      </w:r>
      <w:r w:rsidR="00EB7DAF" w:rsidRPr="008004A8">
        <w:rPr>
          <w:b/>
          <w:i/>
          <w:u w:val="single"/>
        </w:rPr>
        <w:t>”</w:t>
      </w:r>
      <w:r w:rsidRPr="008004A8">
        <w:rPr>
          <w:b/>
          <w:i/>
          <w:u w:val="single"/>
        </w:rPr>
        <w:t xml:space="preserve"> stratēģi</w:t>
      </w:r>
      <w:r w:rsidR="00F00CA5" w:rsidRPr="008004A8">
        <w:rPr>
          <w:b/>
          <w:i/>
          <w:u w:val="single"/>
        </w:rPr>
        <w:t>jas</w:t>
      </w:r>
      <w:r w:rsidRPr="008004A8">
        <w:rPr>
          <w:b/>
          <w:i/>
          <w:u w:val="single"/>
        </w:rPr>
        <w:t xml:space="preserve"> mērķu sasniegšanai</w:t>
      </w:r>
    </w:p>
    <w:p w:rsidR="00500D9A" w:rsidRDefault="00EB7DAF" w:rsidP="00500D9A">
      <w:pPr>
        <w:ind w:firstLine="567"/>
      </w:pPr>
      <w:r w:rsidRPr="00FF5C3A">
        <w:rPr>
          <w:i/>
        </w:rPr>
        <w:t>„Eiropa</w:t>
      </w:r>
      <w:r w:rsidR="00500D9A" w:rsidRPr="00FF5C3A">
        <w:rPr>
          <w:i/>
        </w:rPr>
        <w:t xml:space="preserve"> 2020</w:t>
      </w:r>
      <w:r w:rsidRPr="00FF5C3A">
        <w:rPr>
          <w:i/>
        </w:rPr>
        <w:t>”</w:t>
      </w:r>
      <w:r w:rsidR="00500D9A">
        <w:t xml:space="preserve"> </w:t>
      </w:r>
      <w:r>
        <w:t>stratēģijas</w:t>
      </w:r>
      <w:r w:rsidR="00500D9A">
        <w:t xml:space="preserve"> mērķu sasniegšanai ES fondu 2007.–2013.gada plānošanas periodā plānots novirzīt publisko finansējumu 1,10 </w:t>
      </w:r>
      <w:proofErr w:type="spellStart"/>
      <w:r w:rsidR="00500D9A">
        <w:t>m</w:t>
      </w:r>
      <w:r w:rsidR="00E55D40">
        <w:t>i</w:t>
      </w:r>
      <w:r w:rsidR="00500D9A">
        <w:t>ljd</w:t>
      </w:r>
      <w:proofErr w:type="spellEnd"/>
      <w:r w:rsidR="00500D9A">
        <w:t xml:space="preserve">. latu apmērā, </w:t>
      </w:r>
      <w:proofErr w:type="spellStart"/>
      <w:r w:rsidR="00500D9A">
        <w:t>t.sk</w:t>
      </w:r>
      <w:proofErr w:type="spellEnd"/>
      <w:r w:rsidR="00500D9A">
        <w:t xml:space="preserve">. </w:t>
      </w:r>
      <w:r w:rsidR="00500D9A" w:rsidRPr="00B74563">
        <w:t xml:space="preserve">ERAF un KF finansējumu </w:t>
      </w:r>
      <w:r w:rsidR="00500D9A">
        <w:t xml:space="preserve">1,03 </w:t>
      </w:r>
      <w:proofErr w:type="spellStart"/>
      <w:r w:rsidR="00500D9A">
        <w:t>m</w:t>
      </w:r>
      <w:r w:rsidR="00E55D40">
        <w:t>i</w:t>
      </w:r>
      <w:r w:rsidR="00500D9A">
        <w:t>ljd</w:t>
      </w:r>
      <w:proofErr w:type="spellEnd"/>
      <w:r w:rsidR="00500D9A">
        <w:t xml:space="preserve">. latu apmērā pasākumiem, kas atbilst šādiem </w:t>
      </w:r>
      <w:r w:rsidRPr="00FF5C3A">
        <w:rPr>
          <w:i/>
        </w:rPr>
        <w:t>„Eiropa 2020”</w:t>
      </w:r>
      <w:r>
        <w:t xml:space="preserve"> stratēģijas</w:t>
      </w:r>
      <w:r w:rsidR="00500D9A">
        <w:t xml:space="preserve"> mērķiem: </w:t>
      </w:r>
    </w:p>
    <w:p w:rsidR="00500D9A" w:rsidRDefault="00500D9A" w:rsidP="00E84407">
      <w:pPr>
        <w:pStyle w:val="ListParagraph"/>
        <w:numPr>
          <w:ilvl w:val="0"/>
          <w:numId w:val="27"/>
        </w:numPr>
      </w:pPr>
      <w:r>
        <w:t xml:space="preserve">nodarbinātības jomā – publisko finansējumu 287,04 </w:t>
      </w:r>
      <w:proofErr w:type="spellStart"/>
      <w:r>
        <w:t>milj</w:t>
      </w:r>
      <w:proofErr w:type="spellEnd"/>
      <w:r>
        <w:t xml:space="preserve">. latu apmērā, </w:t>
      </w:r>
      <w:proofErr w:type="spellStart"/>
      <w:r>
        <w:t>t.sk</w:t>
      </w:r>
      <w:proofErr w:type="spellEnd"/>
      <w:r>
        <w:t>. ERAF un KF finansējumu 257,</w:t>
      </w:r>
      <w:r w:rsidRPr="00072FF6">
        <w:t>65</w:t>
      </w:r>
      <w:r w:rsidRPr="00A10ABB">
        <w:t xml:space="preserve"> </w:t>
      </w:r>
      <w:proofErr w:type="spellStart"/>
      <w:r w:rsidRPr="00A10ABB">
        <w:t>milj</w:t>
      </w:r>
      <w:proofErr w:type="spellEnd"/>
      <w:r w:rsidRPr="00A10ABB">
        <w:t xml:space="preserve">. </w:t>
      </w:r>
      <w:r w:rsidRPr="00072FF6">
        <w:t>latu</w:t>
      </w:r>
      <w:r>
        <w:t xml:space="preserve"> apmērā;</w:t>
      </w:r>
    </w:p>
    <w:p w:rsidR="00B74563" w:rsidRDefault="00B74563" w:rsidP="00E84407">
      <w:pPr>
        <w:pStyle w:val="ListParagraph"/>
        <w:numPr>
          <w:ilvl w:val="0"/>
          <w:numId w:val="27"/>
        </w:numPr>
      </w:pPr>
      <w:r>
        <w:t xml:space="preserve">ieguldījumu R&amp;D jomā </w:t>
      </w:r>
      <w:r w:rsidRPr="00507D4D">
        <w:t>–</w:t>
      </w:r>
      <w:r>
        <w:t xml:space="preserve"> </w:t>
      </w:r>
      <w:r w:rsidRPr="00507D4D">
        <w:t xml:space="preserve">publisko finansējumu </w:t>
      </w:r>
      <w:r>
        <w:t>320,</w:t>
      </w:r>
      <w:r w:rsidRPr="00072FF6">
        <w:t>04</w:t>
      </w:r>
      <w:r w:rsidRPr="00A10ABB">
        <w:t xml:space="preserve"> </w:t>
      </w:r>
      <w:proofErr w:type="spellStart"/>
      <w:r w:rsidRPr="00A10ABB">
        <w:t>milj</w:t>
      </w:r>
      <w:proofErr w:type="spellEnd"/>
      <w:r w:rsidRPr="00A10ABB">
        <w:t xml:space="preserve">. </w:t>
      </w:r>
      <w:r w:rsidRPr="00072FF6">
        <w:t xml:space="preserve">latu apmērā, </w:t>
      </w:r>
      <w:proofErr w:type="spellStart"/>
      <w:r w:rsidRPr="00072FF6">
        <w:t>t.sk</w:t>
      </w:r>
      <w:proofErr w:type="spellEnd"/>
      <w:r w:rsidRPr="00072FF6">
        <w:t>. ERAF finansējumu 318,01</w:t>
      </w:r>
      <w:r w:rsidRPr="00A10ABB">
        <w:t xml:space="preserve">milj. </w:t>
      </w:r>
      <w:r w:rsidRPr="00072FF6">
        <w:t>latu a</w:t>
      </w:r>
      <w:r>
        <w:t>pmērā;</w:t>
      </w:r>
    </w:p>
    <w:p w:rsidR="00500D9A" w:rsidRDefault="00500D9A" w:rsidP="00E84407">
      <w:pPr>
        <w:pStyle w:val="ListParagraph"/>
        <w:numPr>
          <w:ilvl w:val="0"/>
          <w:numId w:val="27"/>
        </w:numPr>
      </w:pPr>
      <w:r>
        <w:t xml:space="preserve">izglītības jomā </w:t>
      </w:r>
      <w:r w:rsidRPr="00507D4D">
        <w:t xml:space="preserve">– publisko finansējumu </w:t>
      </w:r>
      <w:r>
        <w:t xml:space="preserve">196,67 </w:t>
      </w:r>
      <w:proofErr w:type="spellStart"/>
      <w:r w:rsidRPr="00507D4D">
        <w:t>milj</w:t>
      </w:r>
      <w:proofErr w:type="spellEnd"/>
      <w:r w:rsidRPr="00507D4D">
        <w:t xml:space="preserve">. </w:t>
      </w:r>
      <w:r>
        <w:t>latu apmērā,</w:t>
      </w:r>
      <w:r w:rsidRPr="00507D4D">
        <w:t xml:space="preserve"> </w:t>
      </w:r>
      <w:proofErr w:type="spellStart"/>
      <w:r w:rsidRPr="00507D4D">
        <w:t>t.sk</w:t>
      </w:r>
      <w:proofErr w:type="spellEnd"/>
      <w:r w:rsidRPr="00507D4D">
        <w:t xml:space="preserve">. </w:t>
      </w:r>
      <w:r>
        <w:t xml:space="preserve">ERAF finansējumu 176,02 </w:t>
      </w:r>
      <w:proofErr w:type="spellStart"/>
      <w:r>
        <w:t>milj</w:t>
      </w:r>
      <w:proofErr w:type="spellEnd"/>
      <w:r>
        <w:t>. latu</w:t>
      </w:r>
      <w:r w:rsidR="00D45640">
        <w:t xml:space="preserve"> </w:t>
      </w:r>
      <w:r>
        <w:t>apmērā;</w:t>
      </w:r>
    </w:p>
    <w:p w:rsidR="00500D9A" w:rsidRDefault="00500D9A" w:rsidP="00E84407">
      <w:pPr>
        <w:pStyle w:val="ListParagraph"/>
        <w:numPr>
          <w:ilvl w:val="0"/>
          <w:numId w:val="27"/>
        </w:numPr>
      </w:pPr>
      <w:r>
        <w:t xml:space="preserve">sociālās iekļaušanas jomā </w:t>
      </w:r>
      <w:r w:rsidRPr="00507D4D">
        <w:t>–</w:t>
      </w:r>
      <w:r>
        <w:t xml:space="preserve"> </w:t>
      </w:r>
      <w:r w:rsidRPr="002270DA">
        <w:t xml:space="preserve">publisko finansējumu </w:t>
      </w:r>
      <w:r>
        <w:t xml:space="preserve">168,41 </w:t>
      </w:r>
      <w:proofErr w:type="spellStart"/>
      <w:r w:rsidRPr="002270DA">
        <w:t>milj</w:t>
      </w:r>
      <w:proofErr w:type="spellEnd"/>
      <w:r w:rsidRPr="002270DA">
        <w:t xml:space="preserve">. </w:t>
      </w:r>
      <w:r>
        <w:t>latu apmērā,</w:t>
      </w:r>
      <w:r w:rsidRPr="002270DA">
        <w:t xml:space="preserve"> </w:t>
      </w:r>
      <w:proofErr w:type="spellStart"/>
      <w:r w:rsidRPr="002270DA">
        <w:t>t.sk</w:t>
      </w:r>
      <w:proofErr w:type="spellEnd"/>
      <w:r w:rsidRPr="002270DA">
        <w:t xml:space="preserve">. </w:t>
      </w:r>
      <w:r>
        <w:t>ERAF</w:t>
      </w:r>
      <w:r w:rsidRPr="002270DA">
        <w:t xml:space="preserve"> finansējumu </w:t>
      </w:r>
      <w:r>
        <w:t xml:space="preserve">153,66 </w:t>
      </w:r>
      <w:proofErr w:type="spellStart"/>
      <w:r>
        <w:t>milj</w:t>
      </w:r>
      <w:proofErr w:type="spellEnd"/>
      <w:r>
        <w:t>. latu apmērā;</w:t>
      </w:r>
    </w:p>
    <w:p w:rsidR="00500D9A" w:rsidRDefault="00B74563" w:rsidP="00E84407">
      <w:pPr>
        <w:pStyle w:val="ListParagraph"/>
        <w:numPr>
          <w:ilvl w:val="0"/>
          <w:numId w:val="27"/>
        </w:numPr>
      </w:pPr>
      <w:r>
        <w:t>klimata</w:t>
      </w:r>
      <w:r w:rsidR="00500D9A">
        <w:t xml:space="preserve"> pārmaiņ</w:t>
      </w:r>
      <w:r>
        <w:t>u</w:t>
      </w:r>
      <w:r w:rsidR="00500D9A">
        <w:t xml:space="preserve"> un enerģētikas jomā – </w:t>
      </w:r>
      <w:r w:rsidR="00500D9A" w:rsidRPr="00507D4D">
        <w:t xml:space="preserve">publisko finansējumu </w:t>
      </w:r>
      <w:r w:rsidR="00500D9A" w:rsidRPr="00816CA0">
        <w:t>130,9</w:t>
      </w:r>
      <w:r w:rsidR="00500D9A">
        <w:t>2</w:t>
      </w:r>
      <w:r w:rsidR="00500D9A" w:rsidRPr="00816CA0">
        <w:t xml:space="preserve"> </w:t>
      </w:r>
      <w:proofErr w:type="spellStart"/>
      <w:r w:rsidR="00500D9A" w:rsidRPr="00816CA0">
        <w:t>milj</w:t>
      </w:r>
      <w:proofErr w:type="spellEnd"/>
      <w:r w:rsidR="00500D9A" w:rsidRPr="00816CA0">
        <w:t xml:space="preserve">. latu apmērā, </w:t>
      </w:r>
      <w:proofErr w:type="spellStart"/>
      <w:r w:rsidR="00500D9A" w:rsidRPr="00816CA0">
        <w:t>t.sk</w:t>
      </w:r>
      <w:proofErr w:type="spellEnd"/>
      <w:r w:rsidR="00500D9A" w:rsidRPr="00816CA0">
        <w:t xml:space="preserve">. </w:t>
      </w:r>
      <w:r w:rsidR="00500D9A">
        <w:t>ERAF un KF</w:t>
      </w:r>
      <w:r w:rsidR="00500D9A" w:rsidRPr="00816CA0">
        <w:t xml:space="preserve"> finansējumu </w:t>
      </w:r>
      <w:r w:rsidR="00500D9A">
        <w:t>129,31</w:t>
      </w:r>
      <w:r w:rsidR="00500D9A" w:rsidRPr="00816CA0">
        <w:t xml:space="preserve"> </w:t>
      </w:r>
      <w:proofErr w:type="spellStart"/>
      <w:r w:rsidR="00500D9A" w:rsidRPr="00816CA0">
        <w:t>milj</w:t>
      </w:r>
      <w:proofErr w:type="spellEnd"/>
      <w:r w:rsidR="00500D9A" w:rsidRPr="00816CA0">
        <w:t>. latu</w:t>
      </w:r>
      <w:r>
        <w:t xml:space="preserve"> apmērā.</w:t>
      </w:r>
    </w:p>
    <w:p w:rsidR="00500D9A" w:rsidRPr="00687D0C" w:rsidRDefault="00500D9A" w:rsidP="00222BD6">
      <w:pPr>
        <w:spacing w:before="160"/>
        <w:ind w:firstLine="567"/>
        <w:rPr>
          <w:b/>
          <w:i/>
          <w:u w:val="single"/>
        </w:rPr>
      </w:pPr>
      <w:r w:rsidRPr="00687D0C">
        <w:rPr>
          <w:b/>
          <w:i/>
          <w:u w:val="single"/>
        </w:rPr>
        <w:t xml:space="preserve">ESF finansējums </w:t>
      </w:r>
      <w:r w:rsidR="00B74563" w:rsidRPr="00687D0C">
        <w:rPr>
          <w:b/>
          <w:i/>
          <w:u w:val="single"/>
        </w:rPr>
        <w:t>„</w:t>
      </w:r>
      <w:r w:rsidRPr="00687D0C">
        <w:rPr>
          <w:b/>
          <w:i/>
          <w:u w:val="single"/>
        </w:rPr>
        <w:t>E</w:t>
      </w:r>
      <w:r w:rsidR="00F00CA5" w:rsidRPr="00687D0C">
        <w:rPr>
          <w:b/>
          <w:i/>
          <w:u w:val="single"/>
        </w:rPr>
        <w:t>iropa 2020</w:t>
      </w:r>
      <w:r w:rsidR="00B74563" w:rsidRPr="00687D0C">
        <w:rPr>
          <w:b/>
          <w:i/>
          <w:u w:val="single"/>
        </w:rPr>
        <w:t>”</w:t>
      </w:r>
      <w:r w:rsidR="00F00CA5" w:rsidRPr="00687D0C">
        <w:rPr>
          <w:b/>
          <w:i/>
          <w:u w:val="single"/>
        </w:rPr>
        <w:t xml:space="preserve"> stratēģijas</w:t>
      </w:r>
      <w:r w:rsidRPr="00687D0C">
        <w:rPr>
          <w:b/>
          <w:i/>
          <w:u w:val="single"/>
        </w:rPr>
        <w:t xml:space="preserve"> mērķu sasniegšanai</w:t>
      </w:r>
    </w:p>
    <w:p w:rsidR="00500D9A" w:rsidRPr="00615977" w:rsidRDefault="00500D9A" w:rsidP="001F4166">
      <w:pPr>
        <w:ind w:firstLine="567"/>
      </w:pPr>
      <w:r w:rsidRPr="006A4A12">
        <w:t>2007.</w:t>
      </w:r>
      <w:r w:rsidR="00C62D31">
        <w:t>–</w:t>
      </w:r>
      <w:r w:rsidRPr="006A4A12">
        <w:t>2013.gada plānošanas perioda ietvaros</w:t>
      </w:r>
      <w:r>
        <w:t xml:space="preserve"> ar ESF atbalstu tiek veicināta tādu </w:t>
      </w:r>
      <w:r w:rsidR="001F4166" w:rsidRPr="00FF5C3A">
        <w:rPr>
          <w:i/>
        </w:rPr>
        <w:t>„Eiropa</w:t>
      </w:r>
      <w:r w:rsidRPr="00FF5C3A">
        <w:rPr>
          <w:i/>
        </w:rPr>
        <w:t xml:space="preserve"> 2020</w:t>
      </w:r>
      <w:r w:rsidR="001F4166" w:rsidRPr="00FF5C3A">
        <w:rPr>
          <w:i/>
        </w:rPr>
        <w:t>”</w:t>
      </w:r>
      <w:r w:rsidR="001F4166">
        <w:t xml:space="preserve"> stratēģijas</w:t>
      </w:r>
      <w:r>
        <w:t xml:space="preserve"> mērķu sasniegšana, kā sekmēt</w:t>
      </w:r>
      <w:r w:rsidRPr="008347C6">
        <w:t xml:space="preserve"> konkurētspēju</w:t>
      </w:r>
      <w:r w:rsidRPr="00660302">
        <w:t xml:space="preserve">, </w:t>
      </w:r>
      <w:r w:rsidRPr="006A4A12">
        <w:t>uzlabojot izglītības sistēmu</w:t>
      </w:r>
      <w:r w:rsidR="001F4166">
        <w:t>;</w:t>
      </w:r>
      <w:r>
        <w:t xml:space="preserve"> </w:t>
      </w:r>
      <w:r w:rsidRPr="00A45E1F">
        <w:t xml:space="preserve">veicināt nodarbinātību, īstenojot darba tirgus reformas, lai nodrošinātu </w:t>
      </w:r>
      <w:proofErr w:type="spellStart"/>
      <w:r w:rsidRPr="00A45E1F">
        <w:t>elastdrošību</w:t>
      </w:r>
      <w:proofErr w:type="spellEnd"/>
      <w:r w:rsidRPr="00A45E1F">
        <w:t>, mazinot nedeklarētu nodarbinātību un palielinot līdzdalību dar</w:t>
      </w:r>
      <w:r w:rsidRPr="006A4A12">
        <w:t>ba tirgū</w:t>
      </w:r>
      <w:r>
        <w:t xml:space="preserve"> (</w:t>
      </w:r>
      <w:proofErr w:type="spellStart"/>
      <w:r>
        <w:t>t.sk</w:t>
      </w:r>
      <w:proofErr w:type="spellEnd"/>
      <w:r>
        <w:t xml:space="preserve">. </w:t>
      </w:r>
      <w:r w:rsidRPr="004956E1">
        <w:t>veicinot vecāka gadagājuma personu nodarbinātību</w:t>
      </w:r>
      <w:r>
        <w:t xml:space="preserve"> un veicinot mūžizglītību), kā arī veicināt sociālo iekļaušanu, lai mazinātu nabadzību.</w:t>
      </w:r>
    </w:p>
    <w:p w:rsidR="00500D9A" w:rsidRDefault="00500D9A" w:rsidP="001F4166">
      <w:pPr>
        <w:ind w:firstLine="567"/>
      </w:pPr>
      <w:r w:rsidRPr="006A4A12">
        <w:t>Latvijas NRP definēto prioritāro virzienu</w:t>
      </w:r>
      <w:r w:rsidR="001F4166">
        <w:t xml:space="preserve"> 2012.</w:t>
      </w:r>
      <w:r w:rsidR="00C62D31">
        <w:t>–</w:t>
      </w:r>
      <w:r w:rsidR="001F4166">
        <w:t>2013.</w:t>
      </w:r>
      <w:r w:rsidRPr="006A4A12">
        <w:t>g</w:t>
      </w:r>
      <w:r w:rsidRPr="0088502A">
        <w:t>adam</w:t>
      </w:r>
      <w:r w:rsidRPr="006A4A12">
        <w:t xml:space="preserve"> ietvaros </w:t>
      </w:r>
      <w:proofErr w:type="spellStart"/>
      <w:r w:rsidRPr="006A4A12">
        <w:t>t.sk</w:t>
      </w:r>
      <w:proofErr w:type="spellEnd"/>
      <w:r w:rsidRPr="006A4A12">
        <w:t>. ar ESF atbalstu tiek veicināta konkurētspēja, īstenotas reformas profesionālajā izglītībā</w:t>
      </w:r>
      <w:r w:rsidRPr="0088502A">
        <w:t>, k</w:t>
      </w:r>
      <w:r w:rsidRPr="00615977">
        <w:t xml:space="preserve">ā arī </w:t>
      </w:r>
      <w:r w:rsidRPr="0088502A">
        <w:t>realizēta a</w:t>
      </w:r>
      <w:r>
        <w:t xml:space="preserve">ktīvās darba tirgus politika, </w:t>
      </w:r>
      <w:r w:rsidRPr="0088502A">
        <w:t xml:space="preserve">mūžizglītības </w:t>
      </w:r>
      <w:r>
        <w:t xml:space="preserve">un sociālās iekļaušanas </w:t>
      </w:r>
      <w:r w:rsidRPr="0088502A">
        <w:t>pasākumi</w:t>
      </w:r>
      <w:r>
        <w:t>.</w:t>
      </w:r>
    </w:p>
    <w:p w:rsidR="00500D9A" w:rsidRPr="00A10ABB" w:rsidRDefault="001F4166" w:rsidP="00687D0C">
      <w:pPr>
        <w:ind w:firstLine="567"/>
        <w:rPr>
          <w:rFonts w:eastAsia="Times New Roman"/>
          <w:bCs/>
          <w:color w:val="000000"/>
          <w:lang w:eastAsia="lv-LV"/>
        </w:rPr>
      </w:pPr>
      <w:r w:rsidRPr="00FF5C3A">
        <w:rPr>
          <w:rFonts w:eastAsia="Times New Roman"/>
          <w:bCs/>
          <w:i/>
          <w:color w:val="000000"/>
          <w:lang w:eastAsia="lv-LV"/>
        </w:rPr>
        <w:t xml:space="preserve">„Eiropa </w:t>
      </w:r>
      <w:r w:rsidR="00500D9A" w:rsidRPr="00FF5C3A">
        <w:rPr>
          <w:rFonts w:eastAsia="Times New Roman"/>
          <w:bCs/>
          <w:i/>
          <w:color w:val="000000"/>
          <w:lang w:eastAsia="lv-LV"/>
        </w:rPr>
        <w:t>2020</w:t>
      </w:r>
      <w:r w:rsidRPr="00FF5C3A">
        <w:rPr>
          <w:rFonts w:eastAsia="Times New Roman"/>
          <w:bCs/>
          <w:i/>
          <w:color w:val="000000"/>
          <w:lang w:eastAsia="lv-LV"/>
        </w:rPr>
        <w:t>”</w:t>
      </w:r>
      <w:r>
        <w:rPr>
          <w:rFonts w:eastAsia="Times New Roman"/>
          <w:bCs/>
          <w:color w:val="000000"/>
          <w:lang w:eastAsia="lv-LV"/>
        </w:rPr>
        <w:t xml:space="preserve"> stratēģijas</w:t>
      </w:r>
      <w:r w:rsidR="00500D9A">
        <w:rPr>
          <w:rFonts w:eastAsia="Times New Roman"/>
          <w:bCs/>
          <w:color w:val="000000"/>
          <w:lang w:eastAsia="lv-LV"/>
        </w:rPr>
        <w:t xml:space="preserve"> mērķu sasniegšanai tiek novirzīts publiskais finansējums 429,42 </w:t>
      </w:r>
      <w:proofErr w:type="spellStart"/>
      <w:r w:rsidR="00500D9A">
        <w:rPr>
          <w:rFonts w:eastAsia="Times New Roman"/>
          <w:bCs/>
          <w:color w:val="000000"/>
          <w:lang w:eastAsia="lv-LV"/>
        </w:rPr>
        <w:t>milj</w:t>
      </w:r>
      <w:proofErr w:type="spellEnd"/>
      <w:r w:rsidR="00500D9A">
        <w:rPr>
          <w:rFonts w:eastAsia="Times New Roman"/>
          <w:bCs/>
          <w:color w:val="000000"/>
          <w:lang w:eastAsia="lv-LV"/>
        </w:rPr>
        <w:t>. latu apmērā</w:t>
      </w:r>
      <w:r w:rsidR="00687D0C">
        <w:rPr>
          <w:rFonts w:eastAsia="Times New Roman"/>
          <w:bCs/>
          <w:color w:val="000000"/>
          <w:lang w:eastAsia="lv-LV"/>
        </w:rPr>
        <w:t xml:space="preserve"> </w:t>
      </w:r>
      <w:r w:rsidR="00500D9A">
        <w:rPr>
          <w:rFonts w:eastAsia="Times New Roman"/>
          <w:bCs/>
          <w:color w:val="000000"/>
          <w:lang w:eastAsia="lv-LV"/>
        </w:rPr>
        <w:t xml:space="preserve">pasākumiem, </w:t>
      </w:r>
      <w:r w:rsidR="00500D9A" w:rsidRPr="007D5D92">
        <w:rPr>
          <w:rFonts w:eastAsia="Times New Roman"/>
          <w:bCs/>
          <w:color w:val="000000"/>
          <w:lang w:eastAsia="lv-LV"/>
        </w:rPr>
        <w:t xml:space="preserve">kas atbilst šādiem </w:t>
      </w:r>
      <w:r w:rsidRPr="00FF5C3A">
        <w:rPr>
          <w:rFonts w:eastAsia="Times New Roman"/>
          <w:bCs/>
          <w:i/>
          <w:color w:val="000000"/>
          <w:lang w:eastAsia="lv-LV"/>
        </w:rPr>
        <w:t>„Eiropa</w:t>
      </w:r>
      <w:r w:rsidR="00500D9A" w:rsidRPr="00FF5C3A">
        <w:rPr>
          <w:rFonts w:eastAsia="Times New Roman"/>
          <w:bCs/>
          <w:i/>
          <w:color w:val="000000"/>
          <w:lang w:eastAsia="lv-LV"/>
        </w:rPr>
        <w:t xml:space="preserve"> 2020</w:t>
      </w:r>
      <w:r w:rsidRPr="00FF5C3A">
        <w:rPr>
          <w:rFonts w:eastAsia="Times New Roman"/>
          <w:bCs/>
          <w:i/>
          <w:color w:val="000000"/>
          <w:lang w:eastAsia="lv-LV"/>
        </w:rPr>
        <w:t>”</w:t>
      </w:r>
      <w:r w:rsidR="00500D9A" w:rsidRPr="007D5D92">
        <w:rPr>
          <w:rFonts w:eastAsia="Times New Roman"/>
          <w:bCs/>
          <w:color w:val="000000"/>
          <w:lang w:eastAsia="lv-LV"/>
        </w:rPr>
        <w:t xml:space="preserve"> stratēģijas mērķiem:</w:t>
      </w:r>
    </w:p>
    <w:p w:rsidR="00500D9A" w:rsidRDefault="00500D9A" w:rsidP="00E84407">
      <w:pPr>
        <w:pStyle w:val="ListParagraph"/>
        <w:numPr>
          <w:ilvl w:val="2"/>
          <w:numId w:val="42"/>
        </w:numPr>
        <w:ind w:left="709"/>
      </w:pPr>
      <w:r>
        <w:t xml:space="preserve">nodarbinātības jomā – publisko finansējumu 224,26 </w:t>
      </w:r>
      <w:proofErr w:type="spellStart"/>
      <w:r>
        <w:t>milj</w:t>
      </w:r>
      <w:proofErr w:type="spellEnd"/>
      <w:r>
        <w:t>. latu apmērā;</w:t>
      </w:r>
    </w:p>
    <w:p w:rsidR="001F4166" w:rsidRDefault="001F4166" w:rsidP="00E84407">
      <w:pPr>
        <w:pStyle w:val="ListParagraph"/>
        <w:numPr>
          <w:ilvl w:val="2"/>
          <w:numId w:val="42"/>
        </w:numPr>
        <w:ind w:left="709"/>
      </w:pPr>
      <w:r>
        <w:t>R&amp;D jomā – publisko finansējumu 0,97</w:t>
      </w:r>
      <w:r w:rsidRPr="006E42D9">
        <w:t xml:space="preserve"> </w:t>
      </w:r>
      <w:proofErr w:type="spellStart"/>
      <w:r>
        <w:t>milj</w:t>
      </w:r>
      <w:proofErr w:type="spellEnd"/>
      <w:r>
        <w:t>. latu apmērā;</w:t>
      </w:r>
    </w:p>
    <w:p w:rsidR="00500D9A" w:rsidRDefault="00500D9A" w:rsidP="00E84407">
      <w:pPr>
        <w:pStyle w:val="ListParagraph"/>
        <w:numPr>
          <w:ilvl w:val="2"/>
          <w:numId w:val="42"/>
        </w:numPr>
        <w:ind w:left="709"/>
      </w:pPr>
      <w:r>
        <w:t>izglītības jomā – publisko finan</w:t>
      </w:r>
      <w:r w:rsidR="001F4166">
        <w:t xml:space="preserve">sējumu 99,11 </w:t>
      </w:r>
      <w:proofErr w:type="spellStart"/>
      <w:r w:rsidR="001F4166">
        <w:t>milj</w:t>
      </w:r>
      <w:proofErr w:type="spellEnd"/>
      <w:r w:rsidR="001F4166">
        <w:t>. latu apmērā.</w:t>
      </w:r>
    </w:p>
    <w:p w:rsidR="00500D9A" w:rsidRPr="00687D0C" w:rsidRDefault="00687D0C" w:rsidP="00687D0C">
      <w:pPr>
        <w:spacing w:before="120"/>
        <w:ind w:firstLine="567"/>
        <w:rPr>
          <w:rFonts w:eastAsia="Times New Roman"/>
          <w:bCs/>
          <w:color w:val="000000"/>
          <w:lang w:eastAsia="lv-LV"/>
        </w:rPr>
      </w:pPr>
      <w:r>
        <w:rPr>
          <w:rFonts w:eastAsia="Times New Roman"/>
          <w:bCs/>
          <w:color w:val="000000"/>
          <w:lang w:eastAsia="lv-LV"/>
        </w:rPr>
        <w:t>T</w:t>
      </w:r>
      <w:r w:rsidR="00500D9A" w:rsidRPr="00687D0C">
        <w:rPr>
          <w:rFonts w:eastAsia="Times New Roman"/>
          <w:bCs/>
          <w:color w:val="000000"/>
          <w:lang w:eastAsia="lv-LV"/>
        </w:rPr>
        <w:t xml:space="preserve">āpat ESF atbalsts paredzēts arī tādiem atbalsta pasākumiem, kas vienlaicīgi dod ieguldījumu vairāku </w:t>
      </w:r>
      <w:r w:rsidR="001F4166" w:rsidRPr="00FF5C3A">
        <w:rPr>
          <w:rFonts w:eastAsia="Times New Roman"/>
          <w:bCs/>
          <w:i/>
          <w:color w:val="000000"/>
          <w:lang w:eastAsia="lv-LV"/>
        </w:rPr>
        <w:t>„Eiropa 2020”</w:t>
      </w:r>
      <w:r w:rsidR="001F4166" w:rsidRPr="00687D0C">
        <w:rPr>
          <w:rFonts w:eastAsia="Times New Roman"/>
          <w:bCs/>
          <w:color w:val="000000"/>
          <w:lang w:eastAsia="lv-LV"/>
        </w:rPr>
        <w:t xml:space="preserve"> stratēģijas </w:t>
      </w:r>
      <w:r w:rsidR="00500D9A" w:rsidRPr="00687D0C">
        <w:rPr>
          <w:rFonts w:eastAsia="Times New Roman"/>
          <w:bCs/>
          <w:color w:val="000000"/>
          <w:lang w:eastAsia="lv-LV"/>
        </w:rPr>
        <w:t>mērķu sasniegšanā:</w:t>
      </w:r>
    </w:p>
    <w:p w:rsidR="00500D9A" w:rsidRDefault="00500D9A" w:rsidP="00E84407">
      <w:pPr>
        <w:pStyle w:val="ListParagraph"/>
        <w:numPr>
          <w:ilvl w:val="2"/>
          <w:numId w:val="43"/>
        </w:numPr>
        <w:ind w:left="709"/>
      </w:pPr>
      <w:r>
        <w:t>nodarbinātības</w:t>
      </w:r>
      <w:r w:rsidR="00C62D31">
        <w:t xml:space="preserve"> un</w:t>
      </w:r>
      <w:r>
        <w:t xml:space="preserve"> </w:t>
      </w:r>
      <w:r w:rsidR="001F4166">
        <w:t>R&amp;D</w:t>
      </w:r>
      <w:r w:rsidRPr="007D5D92">
        <w:t xml:space="preserve"> jomā</w:t>
      </w:r>
      <w:r>
        <w:t xml:space="preserve"> </w:t>
      </w:r>
      <w:r w:rsidR="001F4166">
        <w:t>–</w:t>
      </w:r>
      <w:r>
        <w:t xml:space="preserve"> </w:t>
      </w:r>
      <w:r w:rsidRPr="007D5D92">
        <w:t xml:space="preserve">publisko finansējumu </w:t>
      </w:r>
      <w:r>
        <w:t xml:space="preserve">44,74 </w:t>
      </w:r>
      <w:proofErr w:type="spellStart"/>
      <w:r w:rsidRPr="007D5D92">
        <w:t>milj</w:t>
      </w:r>
      <w:proofErr w:type="spellEnd"/>
      <w:r w:rsidRPr="007D5D92">
        <w:t>. latu apmērā;</w:t>
      </w:r>
    </w:p>
    <w:p w:rsidR="00500D9A" w:rsidRDefault="00500D9A" w:rsidP="00E84407">
      <w:pPr>
        <w:pStyle w:val="ListParagraph"/>
        <w:numPr>
          <w:ilvl w:val="2"/>
          <w:numId w:val="43"/>
        </w:numPr>
        <w:ind w:left="709"/>
      </w:pPr>
      <w:r>
        <w:t xml:space="preserve">nodarbinātības un izglītības jomā </w:t>
      </w:r>
      <w:r w:rsidR="001F4166">
        <w:t>–</w:t>
      </w:r>
      <w:r>
        <w:t xml:space="preserve"> </w:t>
      </w:r>
      <w:r w:rsidRPr="005B489E">
        <w:t xml:space="preserve">publisko finansējumu </w:t>
      </w:r>
      <w:r>
        <w:t xml:space="preserve">13,96 </w:t>
      </w:r>
      <w:proofErr w:type="spellStart"/>
      <w:r w:rsidRPr="005B489E">
        <w:t>milj</w:t>
      </w:r>
      <w:proofErr w:type="spellEnd"/>
      <w:r w:rsidRPr="005B489E">
        <w:t>. latu apmērā;</w:t>
      </w:r>
    </w:p>
    <w:p w:rsidR="00500D9A" w:rsidRDefault="00500D9A" w:rsidP="00E84407">
      <w:pPr>
        <w:pStyle w:val="ListParagraph"/>
        <w:numPr>
          <w:ilvl w:val="2"/>
          <w:numId w:val="43"/>
        </w:numPr>
        <w:ind w:left="709"/>
      </w:pPr>
      <w:r>
        <w:t xml:space="preserve">nodarbinātības un sociālās iekļaušanas jomā </w:t>
      </w:r>
      <w:r w:rsidR="001F4166">
        <w:t>–</w:t>
      </w:r>
      <w:r>
        <w:t xml:space="preserve"> </w:t>
      </w:r>
      <w:r w:rsidRPr="00065962">
        <w:t xml:space="preserve">publisko finansējumu </w:t>
      </w:r>
      <w:r>
        <w:t xml:space="preserve">36,26 </w:t>
      </w:r>
      <w:proofErr w:type="spellStart"/>
      <w:r w:rsidRPr="00065962">
        <w:t>milj</w:t>
      </w:r>
      <w:proofErr w:type="spellEnd"/>
      <w:r w:rsidRPr="00065962">
        <w:t>. latu apmērā;</w:t>
      </w:r>
    </w:p>
    <w:p w:rsidR="00500D9A" w:rsidRDefault="00500D9A" w:rsidP="00E84407">
      <w:pPr>
        <w:pStyle w:val="ListParagraph"/>
        <w:numPr>
          <w:ilvl w:val="2"/>
          <w:numId w:val="43"/>
        </w:numPr>
        <w:ind w:left="709"/>
      </w:pPr>
      <w:r>
        <w:t xml:space="preserve">izglītības un sociālās iekļaušanas jomā </w:t>
      </w:r>
      <w:r w:rsidR="001F4166">
        <w:t>–</w:t>
      </w:r>
      <w:r>
        <w:t xml:space="preserve"> </w:t>
      </w:r>
      <w:r w:rsidRPr="00065962">
        <w:t>publisko fina</w:t>
      </w:r>
      <w:r>
        <w:t xml:space="preserve">nsējumu 10,12 </w:t>
      </w:r>
      <w:proofErr w:type="spellStart"/>
      <w:r>
        <w:t>milj</w:t>
      </w:r>
      <w:proofErr w:type="spellEnd"/>
      <w:r>
        <w:t>. latu apmērā.</w:t>
      </w:r>
    </w:p>
    <w:p w:rsidR="00500D9A" w:rsidRPr="00687D0C" w:rsidRDefault="004F2869" w:rsidP="00222BD6">
      <w:pPr>
        <w:spacing w:before="160"/>
        <w:ind w:firstLine="567"/>
        <w:rPr>
          <w:b/>
          <w:i/>
          <w:u w:val="single"/>
        </w:rPr>
      </w:pPr>
      <w:r w:rsidRPr="00687D0C">
        <w:rPr>
          <w:b/>
          <w:i/>
          <w:u w:val="single"/>
        </w:rPr>
        <w:t>ES</w:t>
      </w:r>
      <w:r w:rsidR="00500D9A" w:rsidRPr="00687D0C">
        <w:rPr>
          <w:b/>
          <w:i/>
          <w:u w:val="single"/>
        </w:rPr>
        <w:t xml:space="preserve"> Kohēzijas p</w:t>
      </w:r>
      <w:r w:rsidR="00F00CA5" w:rsidRPr="00687D0C">
        <w:rPr>
          <w:b/>
          <w:i/>
          <w:u w:val="single"/>
        </w:rPr>
        <w:t>o</w:t>
      </w:r>
      <w:r w:rsidR="00500D9A" w:rsidRPr="00687D0C">
        <w:rPr>
          <w:b/>
          <w:i/>
          <w:u w:val="single"/>
        </w:rPr>
        <w:t>li</w:t>
      </w:r>
      <w:r w:rsidR="00F00CA5" w:rsidRPr="00687D0C">
        <w:rPr>
          <w:b/>
          <w:i/>
          <w:u w:val="single"/>
        </w:rPr>
        <w:t>ti</w:t>
      </w:r>
      <w:r w:rsidR="00500D9A" w:rsidRPr="00687D0C">
        <w:rPr>
          <w:b/>
          <w:i/>
          <w:u w:val="single"/>
        </w:rPr>
        <w:t>kas fon</w:t>
      </w:r>
      <w:r w:rsidRPr="00687D0C">
        <w:rPr>
          <w:b/>
          <w:i/>
          <w:u w:val="single"/>
        </w:rPr>
        <w:t>du finansējuma sadalījums 2014.</w:t>
      </w:r>
      <w:r w:rsidR="00500D9A" w:rsidRPr="00687D0C">
        <w:rPr>
          <w:b/>
          <w:i/>
          <w:u w:val="single"/>
        </w:rPr>
        <w:t>–</w:t>
      </w:r>
      <w:r w:rsidRPr="00687D0C">
        <w:rPr>
          <w:b/>
          <w:i/>
          <w:u w:val="single"/>
        </w:rPr>
        <w:t>2020.</w:t>
      </w:r>
      <w:r w:rsidR="00500D9A" w:rsidRPr="00687D0C">
        <w:rPr>
          <w:b/>
          <w:i/>
          <w:u w:val="single"/>
        </w:rPr>
        <w:t>gada</w:t>
      </w:r>
      <w:r w:rsidRPr="00687D0C">
        <w:rPr>
          <w:b/>
          <w:i/>
          <w:u w:val="single"/>
        </w:rPr>
        <w:t>m</w:t>
      </w:r>
    </w:p>
    <w:p w:rsidR="00500D9A" w:rsidRDefault="00687D0C" w:rsidP="00500D9A">
      <w:pPr>
        <w:spacing w:before="120"/>
        <w:ind w:firstLine="567"/>
      </w:pPr>
      <w:r>
        <w:t>A</w:t>
      </w:r>
      <w:r w:rsidR="00500D9A">
        <w:t xml:space="preserve">tbilstoši </w:t>
      </w:r>
      <w:r>
        <w:t>EK</w:t>
      </w:r>
      <w:r w:rsidR="00500D9A">
        <w:t xml:space="preserve"> </w:t>
      </w:r>
      <w:r w:rsidR="00500D9A" w:rsidRPr="00715DB4">
        <w:t>regulu priekšlikum</w:t>
      </w:r>
      <w:r w:rsidR="00500D9A">
        <w:t xml:space="preserve">am, </w:t>
      </w:r>
      <w:r>
        <w:t xml:space="preserve">MK </w:t>
      </w:r>
      <w:r w:rsidR="00500D9A">
        <w:t>ir notei</w:t>
      </w:r>
      <w:r>
        <w:t>cis</w:t>
      </w:r>
      <w:r w:rsidR="00500D9A">
        <w:t xml:space="preserve"> </w:t>
      </w:r>
      <w:r w:rsidR="00E8772D">
        <w:t>ES</w:t>
      </w:r>
      <w:r w:rsidR="00500D9A">
        <w:t xml:space="preserve"> Kohēzijas politikas fondu 2014.–2020.gada plānošanas perioda finansējuma sadalījum</w:t>
      </w:r>
      <w:r>
        <w:t>u</w:t>
      </w:r>
      <w:r w:rsidR="00500D9A">
        <w:t xml:space="preserve"> pa tematiskajiem mērķiem. Te</w:t>
      </w:r>
      <w:r w:rsidR="00500D9A" w:rsidRPr="00715DB4">
        <w:t>matisk</w:t>
      </w:r>
      <w:r w:rsidR="00500D9A">
        <w:t>ie</w:t>
      </w:r>
      <w:r w:rsidR="00500D9A" w:rsidRPr="00715DB4">
        <w:t xml:space="preserve"> mērķi</w:t>
      </w:r>
      <w:r w:rsidR="00500D9A">
        <w:t xml:space="preserve"> nodrošina Kohēzijas politikas saikni ar </w:t>
      </w:r>
      <w:r w:rsidR="00500D9A" w:rsidRPr="00FF5C3A">
        <w:rPr>
          <w:i/>
        </w:rPr>
        <w:t>„Eiropa 2020”</w:t>
      </w:r>
      <w:r w:rsidR="00E8772D">
        <w:t xml:space="preserve"> stratēģiju.</w:t>
      </w:r>
    </w:p>
    <w:p w:rsidR="00500D9A" w:rsidRDefault="00500D9A" w:rsidP="00724EE2">
      <w:pPr>
        <w:spacing w:before="120"/>
        <w:ind w:firstLine="567"/>
      </w:pPr>
      <w:r>
        <w:t xml:space="preserve">Finansējuma sadalījums balstīts uz </w:t>
      </w:r>
      <w:r w:rsidR="005756A3" w:rsidRPr="005756A3">
        <w:t>NAP2020</w:t>
      </w:r>
      <w:r>
        <w:t xml:space="preserve"> </w:t>
      </w:r>
      <w:r w:rsidRPr="003E76F0">
        <w:t>norādītajām prioritātēm, rīcības virzieniem un uzdevumiem un to indikatīvo finansējuma apmēru</w:t>
      </w:r>
      <w:r>
        <w:t>. NAP</w:t>
      </w:r>
      <w:r w:rsidR="005756A3">
        <w:t>2020</w:t>
      </w:r>
      <w:r>
        <w:t xml:space="preserve"> ir cieši saistīts ar </w:t>
      </w:r>
      <w:r w:rsidR="00724EE2">
        <w:t>Latvijas NRP</w:t>
      </w:r>
      <w:r>
        <w:t xml:space="preserve">. Ņemot vērā Latvijas </w:t>
      </w:r>
      <w:r w:rsidR="00724EE2">
        <w:t xml:space="preserve">tautsaimniecības </w:t>
      </w:r>
      <w:r>
        <w:t>attīstīb</w:t>
      </w:r>
      <w:r w:rsidR="00724EE2">
        <w:t>as līmeni</w:t>
      </w:r>
      <w:r>
        <w:t xml:space="preserve"> un vajadzības, tiek plānotas investīcijas visos tematiskajos mērķos.</w:t>
      </w:r>
    </w:p>
    <w:p w:rsidR="002E439F" w:rsidRDefault="002E439F" w:rsidP="00FB4BC3">
      <w:pPr>
        <w:spacing w:before="240"/>
        <w:jc w:val="right"/>
        <w:rPr>
          <w:noProof/>
        </w:rPr>
      </w:pPr>
    </w:p>
    <w:p w:rsidR="006835BD" w:rsidRPr="006835BD" w:rsidRDefault="006835BD" w:rsidP="00FB4BC3">
      <w:pPr>
        <w:spacing w:before="240"/>
        <w:jc w:val="right"/>
        <w:rPr>
          <w:noProof/>
        </w:rPr>
      </w:pPr>
      <w:r w:rsidRPr="006835BD">
        <w:rPr>
          <w:noProof/>
        </w:rPr>
        <w:lastRenderedPageBreak/>
        <w:t>1</w:t>
      </w:r>
      <w:r w:rsidR="00FF1962">
        <w:rPr>
          <w:noProof/>
        </w:rPr>
        <w:t>3</w:t>
      </w:r>
      <w:r w:rsidRPr="006835BD">
        <w:rPr>
          <w:noProof/>
        </w:rPr>
        <w:t>.tabula</w:t>
      </w:r>
    </w:p>
    <w:p w:rsidR="00500D9A" w:rsidRPr="006835BD" w:rsidRDefault="00500D9A" w:rsidP="00C265B4">
      <w:pPr>
        <w:jc w:val="center"/>
        <w:rPr>
          <w:noProof/>
        </w:rPr>
      </w:pPr>
      <w:r w:rsidRPr="006835BD">
        <w:rPr>
          <w:noProof/>
        </w:rPr>
        <w:t xml:space="preserve">Indikatīvs </w:t>
      </w:r>
      <w:r w:rsidR="00DF3C1E">
        <w:rPr>
          <w:noProof/>
        </w:rPr>
        <w:t>ES</w:t>
      </w:r>
      <w:r w:rsidRPr="006835BD">
        <w:rPr>
          <w:noProof/>
        </w:rPr>
        <w:t xml:space="preserve"> Kohēzijas politikas fondu finansējuma sadalījums</w:t>
      </w:r>
    </w:p>
    <w:tbl>
      <w:tblPr>
        <w:tblStyle w:val="LightShading"/>
        <w:tblW w:w="9272" w:type="dxa"/>
        <w:tblLayout w:type="fixed"/>
        <w:tblLook w:val="04A0" w:firstRow="1" w:lastRow="0" w:firstColumn="1" w:lastColumn="0" w:noHBand="0" w:noVBand="1"/>
      </w:tblPr>
      <w:tblGrid>
        <w:gridCol w:w="534"/>
        <w:gridCol w:w="5103"/>
        <w:gridCol w:w="1694"/>
        <w:gridCol w:w="1941"/>
      </w:tblGrid>
      <w:tr w:rsidR="00500D9A" w:rsidRPr="003E76F0" w:rsidTr="00482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00D9A" w:rsidRPr="003E76F0" w:rsidRDefault="00500D9A" w:rsidP="00DF3C1E">
            <w:pPr>
              <w:jc w:val="center"/>
              <w:outlineLvl w:val="0"/>
              <w:rPr>
                <w:b w:val="0"/>
                <w:noProof/>
                <w:sz w:val="22"/>
              </w:rPr>
            </w:pPr>
          </w:p>
        </w:tc>
        <w:tc>
          <w:tcPr>
            <w:tcW w:w="5103" w:type="dxa"/>
          </w:tcPr>
          <w:p w:rsidR="00500D9A" w:rsidRPr="003E76F0" w:rsidRDefault="00500D9A" w:rsidP="00DF3C1E">
            <w:pPr>
              <w:jc w:val="center"/>
              <w:outlineLvl w:val="0"/>
              <w:cnfStyle w:val="100000000000" w:firstRow="1" w:lastRow="0" w:firstColumn="0" w:lastColumn="0" w:oddVBand="0" w:evenVBand="0" w:oddHBand="0" w:evenHBand="0" w:firstRowFirstColumn="0" w:firstRowLastColumn="0" w:lastRowFirstColumn="0" w:lastRowLastColumn="0"/>
              <w:rPr>
                <w:b w:val="0"/>
                <w:noProof/>
                <w:sz w:val="22"/>
              </w:rPr>
            </w:pPr>
          </w:p>
        </w:tc>
        <w:tc>
          <w:tcPr>
            <w:tcW w:w="3635" w:type="dxa"/>
            <w:gridSpan w:val="2"/>
          </w:tcPr>
          <w:p w:rsidR="00500D9A" w:rsidRPr="001421C3" w:rsidDel="00FB724C" w:rsidRDefault="00500D9A" w:rsidP="001421C3">
            <w:pPr>
              <w:jc w:val="center"/>
              <w:cnfStyle w:val="100000000000" w:firstRow="1" w:lastRow="0" w:firstColumn="0" w:lastColumn="0" w:oddVBand="0" w:evenVBand="0" w:oddHBand="0" w:evenHBand="0" w:firstRowFirstColumn="0" w:firstRowLastColumn="0" w:lastRowFirstColumn="0" w:lastRowLastColumn="0"/>
              <w:rPr>
                <w:b w:val="0"/>
                <w:noProof/>
                <w:sz w:val="20"/>
                <w:szCs w:val="20"/>
              </w:rPr>
            </w:pPr>
            <w:r w:rsidRPr="001421C3">
              <w:rPr>
                <w:noProof/>
                <w:sz w:val="20"/>
                <w:szCs w:val="20"/>
              </w:rPr>
              <w:t>Piešķīrums atbilstoši NAP</w:t>
            </w:r>
            <w:r w:rsidR="00E55D40">
              <w:rPr>
                <w:noProof/>
                <w:sz w:val="20"/>
                <w:szCs w:val="20"/>
              </w:rPr>
              <w:t>2020</w:t>
            </w:r>
            <w:r w:rsidRPr="001421C3">
              <w:rPr>
                <w:b w:val="0"/>
                <w:noProof/>
                <w:sz w:val="20"/>
                <w:szCs w:val="20"/>
              </w:rPr>
              <w:t>*</w:t>
            </w:r>
          </w:p>
        </w:tc>
      </w:tr>
      <w:tr w:rsidR="00500D9A" w:rsidRPr="003E76F0" w:rsidTr="00482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rsidR="00500D9A" w:rsidRPr="00482545" w:rsidRDefault="00500D9A" w:rsidP="00482545">
            <w:pPr>
              <w:rPr>
                <w:b w:val="0"/>
                <w:noProof/>
                <w:sz w:val="20"/>
                <w:szCs w:val="20"/>
              </w:rPr>
            </w:pPr>
            <w:r w:rsidRPr="00482545">
              <w:rPr>
                <w:noProof/>
                <w:sz w:val="20"/>
                <w:szCs w:val="20"/>
              </w:rPr>
              <w:t>Nr.</w:t>
            </w:r>
          </w:p>
        </w:tc>
        <w:tc>
          <w:tcPr>
            <w:tcW w:w="5103" w:type="dxa"/>
            <w:vAlign w:val="center"/>
          </w:tcPr>
          <w:p w:rsidR="00500D9A" w:rsidRPr="008B4906" w:rsidRDefault="00500D9A" w:rsidP="008B4906">
            <w:pPr>
              <w:jc w:val="center"/>
              <w:cnfStyle w:val="000000100000" w:firstRow="0" w:lastRow="0" w:firstColumn="0" w:lastColumn="0" w:oddVBand="0" w:evenVBand="0" w:oddHBand="1" w:evenHBand="0" w:firstRowFirstColumn="0" w:firstRowLastColumn="0" w:lastRowFirstColumn="0" w:lastRowLastColumn="0"/>
              <w:rPr>
                <w:b/>
                <w:noProof/>
                <w:sz w:val="20"/>
                <w:szCs w:val="20"/>
              </w:rPr>
            </w:pPr>
            <w:r w:rsidRPr="008B4906">
              <w:rPr>
                <w:b/>
                <w:noProof/>
                <w:sz w:val="20"/>
                <w:szCs w:val="20"/>
              </w:rPr>
              <w:t>Tematiskais mērķis</w:t>
            </w:r>
          </w:p>
        </w:tc>
        <w:tc>
          <w:tcPr>
            <w:tcW w:w="1694" w:type="dxa"/>
            <w:vAlign w:val="center"/>
          </w:tcPr>
          <w:p w:rsidR="00500D9A" w:rsidRPr="008B4906" w:rsidRDefault="00500D9A" w:rsidP="008B4906">
            <w:pPr>
              <w:jc w:val="center"/>
              <w:cnfStyle w:val="000000100000" w:firstRow="0" w:lastRow="0" w:firstColumn="0" w:lastColumn="0" w:oddVBand="0" w:evenVBand="0" w:oddHBand="1" w:evenHBand="0" w:firstRowFirstColumn="0" w:firstRowLastColumn="0" w:lastRowFirstColumn="0" w:lastRowLastColumn="0"/>
              <w:rPr>
                <w:b/>
                <w:noProof/>
                <w:sz w:val="20"/>
                <w:szCs w:val="20"/>
              </w:rPr>
            </w:pPr>
            <w:r w:rsidRPr="008B4906">
              <w:rPr>
                <w:b/>
                <w:noProof/>
                <w:sz w:val="20"/>
                <w:szCs w:val="20"/>
              </w:rPr>
              <w:t>Proporcionālais sadalījums, %</w:t>
            </w:r>
          </w:p>
        </w:tc>
        <w:tc>
          <w:tcPr>
            <w:tcW w:w="1941" w:type="dxa"/>
          </w:tcPr>
          <w:p w:rsidR="00500D9A" w:rsidRPr="008B4906" w:rsidRDefault="00500D9A" w:rsidP="008B4906">
            <w:pPr>
              <w:jc w:val="center"/>
              <w:cnfStyle w:val="000000100000" w:firstRow="0" w:lastRow="0" w:firstColumn="0" w:lastColumn="0" w:oddVBand="0" w:evenVBand="0" w:oddHBand="1" w:evenHBand="0" w:firstRowFirstColumn="0" w:firstRowLastColumn="0" w:lastRowFirstColumn="0" w:lastRowLastColumn="0"/>
              <w:rPr>
                <w:b/>
                <w:noProof/>
                <w:sz w:val="20"/>
                <w:szCs w:val="20"/>
              </w:rPr>
            </w:pPr>
            <w:r w:rsidRPr="008B4906">
              <w:rPr>
                <w:b/>
                <w:noProof/>
                <w:sz w:val="20"/>
                <w:szCs w:val="20"/>
              </w:rPr>
              <w:t>Indikatīvais finansējuma sadalījums, LVL</w:t>
            </w:r>
          </w:p>
        </w:tc>
      </w:tr>
      <w:tr w:rsidR="00500D9A" w:rsidRPr="003E76F0" w:rsidTr="00482545">
        <w:trPr>
          <w:trHeight w:val="79"/>
        </w:trPr>
        <w:tc>
          <w:tcPr>
            <w:cnfStyle w:val="001000000000" w:firstRow="0" w:lastRow="0" w:firstColumn="1" w:lastColumn="0" w:oddVBand="0" w:evenVBand="0" w:oddHBand="0" w:evenHBand="0" w:firstRowFirstColumn="0" w:firstRowLastColumn="0" w:lastRowFirstColumn="0" w:lastRowLastColumn="0"/>
            <w:tcW w:w="534" w:type="dxa"/>
          </w:tcPr>
          <w:p w:rsidR="00500D9A" w:rsidRPr="00482545" w:rsidRDefault="00500D9A" w:rsidP="00482545">
            <w:pPr>
              <w:rPr>
                <w:b w:val="0"/>
                <w:noProof/>
                <w:sz w:val="20"/>
                <w:szCs w:val="20"/>
              </w:rPr>
            </w:pPr>
            <w:r w:rsidRPr="00482545">
              <w:rPr>
                <w:b w:val="0"/>
                <w:noProof/>
                <w:sz w:val="20"/>
                <w:szCs w:val="20"/>
              </w:rPr>
              <w:t>1.</w:t>
            </w:r>
          </w:p>
        </w:tc>
        <w:tc>
          <w:tcPr>
            <w:tcW w:w="5103" w:type="dxa"/>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noProof/>
                <w:sz w:val="20"/>
                <w:szCs w:val="20"/>
              </w:rPr>
            </w:pPr>
            <w:r w:rsidRPr="00482545">
              <w:rPr>
                <w:sz w:val="20"/>
                <w:szCs w:val="20"/>
              </w:rPr>
              <w:t>Nostiprināt pētniecību, tehnoloģiju attīstību un inovāciju</w:t>
            </w:r>
          </w:p>
        </w:tc>
        <w:tc>
          <w:tcPr>
            <w:tcW w:w="1694" w:type="dxa"/>
            <w:vAlign w:val="center"/>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sz w:val="20"/>
                <w:szCs w:val="20"/>
              </w:rPr>
            </w:pPr>
            <w:r w:rsidRPr="00482545">
              <w:rPr>
                <w:sz w:val="20"/>
                <w:szCs w:val="20"/>
              </w:rPr>
              <w:t>7,77</w:t>
            </w:r>
          </w:p>
        </w:tc>
        <w:tc>
          <w:tcPr>
            <w:tcW w:w="1941" w:type="dxa"/>
            <w:vAlign w:val="center"/>
          </w:tcPr>
          <w:p w:rsidR="00500D9A" w:rsidRPr="003E76F0" w:rsidRDefault="00500D9A" w:rsidP="00DF3C1E">
            <w:pPr>
              <w:ind w:left="-123" w:right="-36"/>
              <w:jc w:val="right"/>
              <w:cnfStyle w:val="000000000000" w:firstRow="0" w:lastRow="0" w:firstColumn="0" w:lastColumn="0" w:oddVBand="0" w:evenVBand="0" w:oddHBand="0" w:evenHBand="0" w:firstRowFirstColumn="0" w:firstRowLastColumn="0" w:lastRowFirstColumn="0" w:lastRowLastColumn="0"/>
              <w:rPr>
                <w:sz w:val="20"/>
                <w:szCs w:val="20"/>
              </w:rPr>
            </w:pPr>
            <w:r w:rsidRPr="003E76F0">
              <w:rPr>
                <w:sz w:val="20"/>
                <w:szCs w:val="20"/>
              </w:rPr>
              <w:t>246 150 000</w:t>
            </w:r>
          </w:p>
        </w:tc>
      </w:tr>
      <w:tr w:rsidR="00500D9A" w:rsidRPr="003E76F0" w:rsidTr="00482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00D9A" w:rsidRPr="00482545" w:rsidRDefault="00500D9A" w:rsidP="00482545">
            <w:pPr>
              <w:rPr>
                <w:b w:val="0"/>
                <w:noProof/>
                <w:sz w:val="20"/>
                <w:szCs w:val="20"/>
              </w:rPr>
            </w:pPr>
            <w:r w:rsidRPr="00482545">
              <w:rPr>
                <w:b w:val="0"/>
                <w:noProof/>
                <w:sz w:val="20"/>
                <w:szCs w:val="20"/>
              </w:rPr>
              <w:t>2.</w:t>
            </w:r>
          </w:p>
        </w:tc>
        <w:tc>
          <w:tcPr>
            <w:tcW w:w="5103" w:type="dxa"/>
          </w:tcPr>
          <w:p w:rsidR="00500D9A" w:rsidRPr="00482545" w:rsidRDefault="00500D9A" w:rsidP="00B077F0">
            <w:pPr>
              <w:cnfStyle w:val="000000100000" w:firstRow="0" w:lastRow="0" w:firstColumn="0" w:lastColumn="0" w:oddVBand="0" w:evenVBand="0" w:oddHBand="1" w:evenHBand="0" w:firstRowFirstColumn="0" w:firstRowLastColumn="0" w:lastRowFirstColumn="0" w:lastRowLastColumn="0"/>
              <w:rPr>
                <w:noProof/>
                <w:sz w:val="20"/>
                <w:szCs w:val="20"/>
              </w:rPr>
            </w:pPr>
            <w:r w:rsidRPr="00482545">
              <w:rPr>
                <w:sz w:val="20"/>
                <w:szCs w:val="20"/>
              </w:rPr>
              <w:t xml:space="preserve">Uzlabot </w:t>
            </w:r>
            <w:r w:rsidR="00B077F0">
              <w:rPr>
                <w:sz w:val="20"/>
                <w:szCs w:val="20"/>
              </w:rPr>
              <w:t>IKT</w:t>
            </w:r>
            <w:r w:rsidRPr="00482545">
              <w:rPr>
                <w:sz w:val="20"/>
                <w:szCs w:val="20"/>
              </w:rPr>
              <w:t xml:space="preserve"> pieejamību, izmantošanu un kvalitāti</w:t>
            </w:r>
          </w:p>
        </w:tc>
        <w:tc>
          <w:tcPr>
            <w:tcW w:w="1694" w:type="dxa"/>
            <w:vAlign w:val="center"/>
          </w:tcPr>
          <w:p w:rsidR="00500D9A" w:rsidRPr="00482545" w:rsidRDefault="00500D9A" w:rsidP="00482545">
            <w:pPr>
              <w:cnfStyle w:val="000000100000" w:firstRow="0" w:lastRow="0" w:firstColumn="0" w:lastColumn="0" w:oddVBand="0" w:evenVBand="0" w:oddHBand="1" w:evenHBand="0" w:firstRowFirstColumn="0" w:firstRowLastColumn="0" w:lastRowFirstColumn="0" w:lastRowLastColumn="0"/>
              <w:rPr>
                <w:sz w:val="20"/>
                <w:szCs w:val="20"/>
              </w:rPr>
            </w:pPr>
            <w:r w:rsidRPr="00482545">
              <w:rPr>
                <w:sz w:val="20"/>
                <w:szCs w:val="20"/>
              </w:rPr>
              <w:t>4,72</w:t>
            </w:r>
          </w:p>
        </w:tc>
        <w:tc>
          <w:tcPr>
            <w:tcW w:w="1941" w:type="dxa"/>
            <w:vAlign w:val="center"/>
          </w:tcPr>
          <w:p w:rsidR="00500D9A" w:rsidRPr="003E76F0" w:rsidRDefault="00500D9A" w:rsidP="00DF3C1E">
            <w:pPr>
              <w:ind w:left="-123" w:right="-36"/>
              <w:jc w:val="right"/>
              <w:cnfStyle w:val="000000100000" w:firstRow="0" w:lastRow="0" w:firstColumn="0" w:lastColumn="0" w:oddVBand="0" w:evenVBand="0" w:oddHBand="1" w:evenHBand="0" w:firstRowFirstColumn="0" w:firstRowLastColumn="0" w:lastRowFirstColumn="0" w:lastRowLastColumn="0"/>
              <w:rPr>
                <w:sz w:val="20"/>
                <w:szCs w:val="20"/>
              </w:rPr>
            </w:pPr>
            <w:r w:rsidRPr="003E76F0">
              <w:rPr>
                <w:sz w:val="20"/>
                <w:szCs w:val="20"/>
              </w:rPr>
              <w:t>149 400 000</w:t>
            </w:r>
          </w:p>
        </w:tc>
      </w:tr>
      <w:tr w:rsidR="00500D9A" w:rsidRPr="003E76F0" w:rsidTr="00482545">
        <w:tc>
          <w:tcPr>
            <w:cnfStyle w:val="001000000000" w:firstRow="0" w:lastRow="0" w:firstColumn="1" w:lastColumn="0" w:oddVBand="0" w:evenVBand="0" w:oddHBand="0" w:evenHBand="0" w:firstRowFirstColumn="0" w:firstRowLastColumn="0" w:lastRowFirstColumn="0" w:lastRowLastColumn="0"/>
            <w:tcW w:w="534" w:type="dxa"/>
          </w:tcPr>
          <w:p w:rsidR="00500D9A" w:rsidRPr="00482545" w:rsidRDefault="00500D9A" w:rsidP="00482545">
            <w:pPr>
              <w:rPr>
                <w:b w:val="0"/>
                <w:noProof/>
                <w:sz w:val="20"/>
                <w:szCs w:val="20"/>
              </w:rPr>
            </w:pPr>
            <w:r w:rsidRPr="00482545">
              <w:rPr>
                <w:b w:val="0"/>
                <w:noProof/>
                <w:sz w:val="20"/>
                <w:szCs w:val="20"/>
              </w:rPr>
              <w:t>3.</w:t>
            </w:r>
          </w:p>
        </w:tc>
        <w:tc>
          <w:tcPr>
            <w:tcW w:w="5103" w:type="dxa"/>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noProof/>
                <w:sz w:val="20"/>
                <w:szCs w:val="20"/>
              </w:rPr>
            </w:pPr>
            <w:r w:rsidRPr="00482545">
              <w:rPr>
                <w:sz w:val="20"/>
                <w:szCs w:val="20"/>
              </w:rPr>
              <w:t>Uzlabot mazo un vidējo uzņēmumu konkurētspēju</w:t>
            </w:r>
          </w:p>
        </w:tc>
        <w:tc>
          <w:tcPr>
            <w:tcW w:w="1694" w:type="dxa"/>
            <w:vAlign w:val="center"/>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sz w:val="20"/>
                <w:szCs w:val="20"/>
              </w:rPr>
            </w:pPr>
            <w:r w:rsidRPr="00482545">
              <w:rPr>
                <w:sz w:val="20"/>
                <w:szCs w:val="20"/>
              </w:rPr>
              <w:t>7,21</w:t>
            </w:r>
          </w:p>
        </w:tc>
        <w:tc>
          <w:tcPr>
            <w:tcW w:w="1941" w:type="dxa"/>
            <w:vAlign w:val="center"/>
          </w:tcPr>
          <w:p w:rsidR="00500D9A" w:rsidRPr="003E76F0" w:rsidRDefault="00500D9A" w:rsidP="00DF3C1E">
            <w:pPr>
              <w:ind w:left="-123" w:right="-36"/>
              <w:jc w:val="right"/>
              <w:cnfStyle w:val="000000000000" w:firstRow="0" w:lastRow="0" w:firstColumn="0" w:lastColumn="0" w:oddVBand="0" w:evenVBand="0" w:oddHBand="0" w:evenHBand="0" w:firstRowFirstColumn="0" w:firstRowLastColumn="0" w:lastRowFirstColumn="0" w:lastRowLastColumn="0"/>
              <w:rPr>
                <w:sz w:val="20"/>
                <w:szCs w:val="20"/>
              </w:rPr>
            </w:pPr>
            <w:r w:rsidRPr="003E76F0">
              <w:rPr>
                <w:sz w:val="20"/>
                <w:szCs w:val="20"/>
              </w:rPr>
              <w:t>228 287 500</w:t>
            </w:r>
          </w:p>
        </w:tc>
      </w:tr>
      <w:tr w:rsidR="00500D9A" w:rsidRPr="003E76F0" w:rsidTr="00482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00D9A" w:rsidRPr="00482545" w:rsidRDefault="00500D9A" w:rsidP="00482545">
            <w:pPr>
              <w:rPr>
                <w:b w:val="0"/>
                <w:noProof/>
                <w:sz w:val="20"/>
                <w:szCs w:val="20"/>
              </w:rPr>
            </w:pPr>
            <w:r w:rsidRPr="00482545">
              <w:rPr>
                <w:b w:val="0"/>
                <w:noProof/>
                <w:sz w:val="20"/>
                <w:szCs w:val="20"/>
              </w:rPr>
              <w:t>4.</w:t>
            </w:r>
          </w:p>
        </w:tc>
        <w:tc>
          <w:tcPr>
            <w:tcW w:w="5103" w:type="dxa"/>
          </w:tcPr>
          <w:p w:rsidR="00500D9A" w:rsidRPr="00482545" w:rsidRDefault="00500D9A" w:rsidP="00482545">
            <w:pPr>
              <w:cnfStyle w:val="000000100000" w:firstRow="0" w:lastRow="0" w:firstColumn="0" w:lastColumn="0" w:oddVBand="0" w:evenVBand="0" w:oddHBand="1" w:evenHBand="0" w:firstRowFirstColumn="0" w:firstRowLastColumn="0" w:lastRowFirstColumn="0" w:lastRowLastColumn="0"/>
              <w:rPr>
                <w:noProof/>
                <w:sz w:val="20"/>
                <w:szCs w:val="20"/>
              </w:rPr>
            </w:pPr>
            <w:r w:rsidRPr="00482545">
              <w:rPr>
                <w:sz w:val="20"/>
                <w:szCs w:val="20"/>
              </w:rPr>
              <w:t>Atbalstīt pāreju uz ekonomiku ar zemu oglekļa dioksīda emisiju līmeni visās nozarēs</w:t>
            </w:r>
          </w:p>
        </w:tc>
        <w:tc>
          <w:tcPr>
            <w:tcW w:w="1694" w:type="dxa"/>
            <w:vAlign w:val="center"/>
          </w:tcPr>
          <w:p w:rsidR="00500D9A" w:rsidRPr="00482545" w:rsidRDefault="00500D9A" w:rsidP="00482545">
            <w:pPr>
              <w:cnfStyle w:val="000000100000" w:firstRow="0" w:lastRow="0" w:firstColumn="0" w:lastColumn="0" w:oddVBand="0" w:evenVBand="0" w:oddHBand="1" w:evenHBand="0" w:firstRowFirstColumn="0" w:firstRowLastColumn="0" w:lastRowFirstColumn="0" w:lastRowLastColumn="0"/>
              <w:rPr>
                <w:sz w:val="20"/>
                <w:szCs w:val="20"/>
              </w:rPr>
            </w:pPr>
            <w:r w:rsidRPr="00482545">
              <w:rPr>
                <w:sz w:val="20"/>
                <w:szCs w:val="20"/>
              </w:rPr>
              <w:t>9,81</w:t>
            </w:r>
          </w:p>
        </w:tc>
        <w:tc>
          <w:tcPr>
            <w:tcW w:w="1941" w:type="dxa"/>
            <w:vAlign w:val="center"/>
          </w:tcPr>
          <w:p w:rsidR="00500D9A" w:rsidRPr="003E76F0" w:rsidRDefault="00500D9A" w:rsidP="00DF3C1E">
            <w:pPr>
              <w:ind w:left="-123" w:right="-36"/>
              <w:jc w:val="right"/>
              <w:cnfStyle w:val="000000100000" w:firstRow="0" w:lastRow="0" w:firstColumn="0" w:lastColumn="0" w:oddVBand="0" w:evenVBand="0" w:oddHBand="1" w:evenHBand="0" w:firstRowFirstColumn="0" w:firstRowLastColumn="0" w:lastRowFirstColumn="0" w:lastRowLastColumn="0"/>
              <w:rPr>
                <w:sz w:val="20"/>
                <w:szCs w:val="20"/>
              </w:rPr>
            </w:pPr>
            <w:r w:rsidRPr="003E76F0">
              <w:rPr>
                <w:sz w:val="20"/>
                <w:szCs w:val="20"/>
              </w:rPr>
              <w:t>310 667 500</w:t>
            </w:r>
          </w:p>
        </w:tc>
      </w:tr>
      <w:tr w:rsidR="00500D9A" w:rsidRPr="003E76F0" w:rsidTr="00482545">
        <w:tc>
          <w:tcPr>
            <w:cnfStyle w:val="001000000000" w:firstRow="0" w:lastRow="0" w:firstColumn="1" w:lastColumn="0" w:oddVBand="0" w:evenVBand="0" w:oddHBand="0" w:evenHBand="0" w:firstRowFirstColumn="0" w:firstRowLastColumn="0" w:lastRowFirstColumn="0" w:lastRowLastColumn="0"/>
            <w:tcW w:w="534" w:type="dxa"/>
          </w:tcPr>
          <w:p w:rsidR="00500D9A" w:rsidRPr="00482545" w:rsidRDefault="00500D9A" w:rsidP="00482545">
            <w:pPr>
              <w:rPr>
                <w:b w:val="0"/>
                <w:noProof/>
                <w:sz w:val="20"/>
                <w:szCs w:val="20"/>
              </w:rPr>
            </w:pPr>
            <w:r w:rsidRPr="00482545">
              <w:rPr>
                <w:b w:val="0"/>
                <w:noProof/>
                <w:sz w:val="20"/>
                <w:szCs w:val="20"/>
              </w:rPr>
              <w:t>5.</w:t>
            </w:r>
          </w:p>
        </w:tc>
        <w:tc>
          <w:tcPr>
            <w:tcW w:w="5103" w:type="dxa"/>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noProof/>
                <w:sz w:val="20"/>
                <w:szCs w:val="20"/>
              </w:rPr>
            </w:pPr>
            <w:r w:rsidRPr="00482545">
              <w:rPr>
                <w:sz w:val="20"/>
                <w:szCs w:val="20"/>
              </w:rPr>
              <w:t>Veicināt pielāgošanos klimata pārmaiņām, riska novēršanu un pārvaldību</w:t>
            </w:r>
          </w:p>
        </w:tc>
        <w:tc>
          <w:tcPr>
            <w:tcW w:w="1694" w:type="dxa"/>
            <w:vAlign w:val="center"/>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sz w:val="20"/>
                <w:szCs w:val="20"/>
              </w:rPr>
            </w:pPr>
            <w:r w:rsidRPr="00482545">
              <w:rPr>
                <w:sz w:val="20"/>
                <w:szCs w:val="20"/>
              </w:rPr>
              <w:t>1,72</w:t>
            </w:r>
          </w:p>
        </w:tc>
        <w:tc>
          <w:tcPr>
            <w:tcW w:w="1941" w:type="dxa"/>
            <w:vAlign w:val="center"/>
          </w:tcPr>
          <w:p w:rsidR="00500D9A" w:rsidRPr="003E76F0" w:rsidRDefault="00500D9A" w:rsidP="00DF3C1E">
            <w:pPr>
              <w:ind w:left="-123" w:right="-36"/>
              <w:jc w:val="right"/>
              <w:cnfStyle w:val="000000000000" w:firstRow="0" w:lastRow="0" w:firstColumn="0" w:lastColumn="0" w:oddVBand="0" w:evenVBand="0" w:oddHBand="0" w:evenHBand="0" w:firstRowFirstColumn="0" w:firstRowLastColumn="0" w:lastRowFirstColumn="0" w:lastRowLastColumn="0"/>
              <w:rPr>
                <w:sz w:val="20"/>
                <w:szCs w:val="20"/>
              </w:rPr>
            </w:pPr>
            <w:r w:rsidRPr="003E76F0">
              <w:rPr>
                <w:sz w:val="20"/>
                <w:szCs w:val="20"/>
              </w:rPr>
              <w:t>54 400 000</w:t>
            </w:r>
          </w:p>
        </w:tc>
      </w:tr>
      <w:tr w:rsidR="00500D9A" w:rsidRPr="003E76F0" w:rsidTr="00482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00D9A" w:rsidRPr="00482545" w:rsidRDefault="00500D9A" w:rsidP="00482545">
            <w:pPr>
              <w:rPr>
                <w:b w:val="0"/>
                <w:noProof/>
                <w:sz w:val="20"/>
                <w:szCs w:val="20"/>
              </w:rPr>
            </w:pPr>
            <w:r w:rsidRPr="00482545">
              <w:rPr>
                <w:b w:val="0"/>
                <w:noProof/>
                <w:sz w:val="20"/>
                <w:szCs w:val="20"/>
              </w:rPr>
              <w:t>6.</w:t>
            </w:r>
          </w:p>
        </w:tc>
        <w:tc>
          <w:tcPr>
            <w:tcW w:w="5103" w:type="dxa"/>
          </w:tcPr>
          <w:p w:rsidR="00500D9A" w:rsidRPr="00482545" w:rsidRDefault="00500D9A" w:rsidP="00482545">
            <w:pPr>
              <w:cnfStyle w:val="000000100000" w:firstRow="0" w:lastRow="0" w:firstColumn="0" w:lastColumn="0" w:oddVBand="0" w:evenVBand="0" w:oddHBand="1" w:evenHBand="0" w:firstRowFirstColumn="0" w:firstRowLastColumn="0" w:lastRowFirstColumn="0" w:lastRowLastColumn="0"/>
              <w:rPr>
                <w:noProof/>
                <w:sz w:val="20"/>
                <w:szCs w:val="20"/>
              </w:rPr>
            </w:pPr>
            <w:r w:rsidRPr="00482545">
              <w:rPr>
                <w:sz w:val="20"/>
                <w:szCs w:val="20"/>
              </w:rPr>
              <w:t>Aizsargāt vidi un veicināt resursu efektivitāti</w:t>
            </w:r>
          </w:p>
        </w:tc>
        <w:tc>
          <w:tcPr>
            <w:tcW w:w="1694" w:type="dxa"/>
            <w:vAlign w:val="center"/>
          </w:tcPr>
          <w:p w:rsidR="00500D9A" w:rsidRPr="00482545" w:rsidRDefault="00500D9A" w:rsidP="00482545">
            <w:pPr>
              <w:cnfStyle w:val="000000100000" w:firstRow="0" w:lastRow="0" w:firstColumn="0" w:lastColumn="0" w:oddVBand="0" w:evenVBand="0" w:oddHBand="1" w:evenHBand="0" w:firstRowFirstColumn="0" w:firstRowLastColumn="0" w:lastRowFirstColumn="0" w:lastRowLastColumn="0"/>
              <w:rPr>
                <w:sz w:val="20"/>
                <w:szCs w:val="20"/>
              </w:rPr>
            </w:pPr>
            <w:r w:rsidRPr="00482545">
              <w:rPr>
                <w:sz w:val="20"/>
                <w:szCs w:val="20"/>
              </w:rPr>
              <w:t>8,89</w:t>
            </w:r>
          </w:p>
        </w:tc>
        <w:tc>
          <w:tcPr>
            <w:tcW w:w="1941" w:type="dxa"/>
            <w:vAlign w:val="center"/>
          </w:tcPr>
          <w:p w:rsidR="00500D9A" w:rsidRPr="003E76F0" w:rsidRDefault="00500D9A" w:rsidP="00DF3C1E">
            <w:pPr>
              <w:ind w:left="-123" w:right="-36"/>
              <w:jc w:val="right"/>
              <w:cnfStyle w:val="000000100000" w:firstRow="0" w:lastRow="0" w:firstColumn="0" w:lastColumn="0" w:oddVBand="0" w:evenVBand="0" w:oddHBand="1" w:evenHBand="0" w:firstRowFirstColumn="0" w:firstRowLastColumn="0" w:lastRowFirstColumn="0" w:lastRowLastColumn="0"/>
              <w:rPr>
                <w:sz w:val="20"/>
                <w:szCs w:val="20"/>
              </w:rPr>
            </w:pPr>
            <w:r w:rsidRPr="003E76F0">
              <w:rPr>
                <w:sz w:val="20"/>
                <w:szCs w:val="20"/>
              </w:rPr>
              <w:t>281 547 500</w:t>
            </w:r>
          </w:p>
        </w:tc>
      </w:tr>
      <w:tr w:rsidR="00500D9A" w:rsidRPr="003E76F0" w:rsidTr="00482545">
        <w:tc>
          <w:tcPr>
            <w:cnfStyle w:val="001000000000" w:firstRow="0" w:lastRow="0" w:firstColumn="1" w:lastColumn="0" w:oddVBand="0" w:evenVBand="0" w:oddHBand="0" w:evenHBand="0" w:firstRowFirstColumn="0" w:firstRowLastColumn="0" w:lastRowFirstColumn="0" w:lastRowLastColumn="0"/>
            <w:tcW w:w="534" w:type="dxa"/>
          </w:tcPr>
          <w:p w:rsidR="00500D9A" w:rsidRPr="00482545" w:rsidRDefault="00500D9A" w:rsidP="00482545">
            <w:pPr>
              <w:rPr>
                <w:b w:val="0"/>
                <w:noProof/>
                <w:sz w:val="20"/>
                <w:szCs w:val="20"/>
              </w:rPr>
            </w:pPr>
            <w:r w:rsidRPr="00482545">
              <w:rPr>
                <w:b w:val="0"/>
                <w:noProof/>
                <w:sz w:val="20"/>
                <w:szCs w:val="20"/>
              </w:rPr>
              <w:t>7.</w:t>
            </w:r>
          </w:p>
        </w:tc>
        <w:tc>
          <w:tcPr>
            <w:tcW w:w="5103" w:type="dxa"/>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noProof/>
                <w:sz w:val="20"/>
                <w:szCs w:val="20"/>
              </w:rPr>
            </w:pPr>
            <w:r w:rsidRPr="00482545">
              <w:rPr>
                <w:sz w:val="20"/>
                <w:szCs w:val="20"/>
              </w:rPr>
              <w:t>Veicināt ilgtspējīgu transportu un novērst trūkumus galvenajās tīkla infrastruktūrās</w:t>
            </w:r>
          </w:p>
        </w:tc>
        <w:tc>
          <w:tcPr>
            <w:tcW w:w="1694" w:type="dxa"/>
            <w:vAlign w:val="center"/>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sz w:val="20"/>
                <w:szCs w:val="20"/>
              </w:rPr>
            </w:pPr>
            <w:r w:rsidRPr="00482545">
              <w:rPr>
                <w:sz w:val="20"/>
                <w:szCs w:val="20"/>
              </w:rPr>
              <w:t>35,22</w:t>
            </w:r>
          </w:p>
        </w:tc>
        <w:tc>
          <w:tcPr>
            <w:tcW w:w="1941" w:type="dxa"/>
            <w:vAlign w:val="center"/>
          </w:tcPr>
          <w:p w:rsidR="00500D9A" w:rsidRPr="003E76F0" w:rsidRDefault="00500D9A" w:rsidP="00DF3C1E">
            <w:pPr>
              <w:ind w:left="-123" w:right="-36"/>
              <w:jc w:val="right"/>
              <w:cnfStyle w:val="000000000000" w:firstRow="0" w:lastRow="0" w:firstColumn="0" w:lastColumn="0" w:oddVBand="0" w:evenVBand="0" w:oddHBand="0" w:evenHBand="0" w:firstRowFirstColumn="0" w:firstRowLastColumn="0" w:lastRowFirstColumn="0" w:lastRowLastColumn="0"/>
              <w:rPr>
                <w:sz w:val="20"/>
                <w:szCs w:val="20"/>
              </w:rPr>
            </w:pPr>
            <w:r w:rsidRPr="003E76F0">
              <w:rPr>
                <w:sz w:val="20"/>
                <w:szCs w:val="20"/>
              </w:rPr>
              <w:t>1 115 387 500</w:t>
            </w:r>
          </w:p>
        </w:tc>
      </w:tr>
      <w:tr w:rsidR="00500D9A" w:rsidRPr="003E76F0" w:rsidTr="00482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00D9A" w:rsidRPr="00482545" w:rsidRDefault="00500D9A" w:rsidP="00482545">
            <w:pPr>
              <w:rPr>
                <w:b w:val="0"/>
                <w:noProof/>
                <w:sz w:val="20"/>
                <w:szCs w:val="20"/>
              </w:rPr>
            </w:pPr>
            <w:r w:rsidRPr="00482545">
              <w:rPr>
                <w:b w:val="0"/>
                <w:noProof/>
                <w:sz w:val="20"/>
                <w:szCs w:val="20"/>
              </w:rPr>
              <w:t>8.</w:t>
            </w:r>
          </w:p>
        </w:tc>
        <w:tc>
          <w:tcPr>
            <w:tcW w:w="5103" w:type="dxa"/>
          </w:tcPr>
          <w:p w:rsidR="00500D9A" w:rsidRPr="00482545" w:rsidRDefault="00500D9A" w:rsidP="00482545">
            <w:pPr>
              <w:cnfStyle w:val="000000100000" w:firstRow="0" w:lastRow="0" w:firstColumn="0" w:lastColumn="0" w:oddVBand="0" w:evenVBand="0" w:oddHBand="1" w:evenHBand="0" w:firstRowFirstColumn="0" w:firstRowLastColumn="0" w:lastRowFirstColumn="0" w:lastRowLastColumn="0"/>
              <w:rPr>
                <w:noProof/>
                <w:sz w:val="20"/>
                <w:szCs w:val="20"/>
              </w:rPr>
            </w:pPr>
            <w:r w:rsidRPr="00482545">
              <w:rPr>
                <w:sz w:val="20"/>
                <w:szCs w:val="20"/>
              </w:rPr>
              <w:t>Veicināt nodarbinātību un atbalstīt darbaspēka mobilitāti</w:t>
            </w:r>
          </w:p>
        </w:tc>
        <w:tc>
          <w:tcPr>
            <w:tcW w:w="1694" w:type="dxa"/>
            <w:vAlign w:val="center"/>
          </w:tcPr>
          <w:p w:rsidR="00500D9A" w:rsidRPr="00482545" w:rsidRDefault="00500D9A" w:rsidP="00482545">
            <w:pPr>
              <w:cnfStyle w:val="000000100000" w:firstRow="0" w:lastRow="0" w:firstColumn="0" w:lastColumn="0" w:oddVBand="0" w:evenVBand="0" w:oddHBand="1" w:evenHBand="0" w:firstRowFirstColumn="0" w:firstRowLastColumn="0" w:lastRowFirstColumn="0" w:lastRowLastColumn="0"/>
              <w:rPr>
                <w:sz w:val="20"/>
                <w:szCs w:val="20"/>
              </w:rPr>
            </w:pPr>
            <w:r w:rsidRPr="00482545">
              <w:rPr>
                <w:sz w:val="20"/>
                <w:szCs w:val="20"/>
              </w:rPr>
              <w:t>3,93</w:t>
            </w:r>
          </w:p>
        </w:tc>
        <w:tc>
          <w:tcPr>
            <w:tcW w:w="1941" w:type="dxa"/>
            <w:vAlign w:val="center"/>
          </w:tcPr>
          <w:p w:rsidR="00500D9A" w:rsidRPr="003E76F0" w:rsidRDefault="00500D9A" w:rsidP="00DF3C1E">
            <w:pPr>
              <w:ind w:left="-123" w:right="-36"/>
              <w:jc w:val="right"/>
              <w:cnfStyle w:val="000000100000" w:firstRow="0" w:lastRow="0" w:firstColumn="0" w:lastColumn="0" w:oddVBand="0" w:evenVBand="0" w:oddHBand="1" w:evenHBand="0" w:firstRowFirstColumn="0" w:firstRowLastColumn="0" w:lastRowFirstColumn="0" w:lastRowLastColumn="0"/>
              <w:rPr>
                <w:sz w:val="20"/>
                <w:szCs w:val="20"/>
              </w:rPr>
            </w:pPr>
            <w:r w:rsidRPr="003E76F0">
              <w:rPr>
                <w:sz w:val="20"/>
                <w:szCs w:val="20"/>
              </w:rPr>
              <w:t>124 463 000</w:t>
            </w:r>
          </w:p>
        </w:tc>
      </w:tr>
      <w:tr w:rsidR="00500D9A" w:rsidRPr="003E76F0" w:rsidTr="00482545">
        <w:tc>
          <w:tcPr>
            <w:cnfStyle w:val="001000000000" w:firstRow="0" w:lastRow="0" w:firstColumn="1" w:lastColumn="0" w:oddVBand="0" w:evenVBand="0" w:oddHBand="0" w:evenHBand="0" w:firstRowFirstColumn="0" w:firstRowLastColumn="0" w:lastRowFirstColumn="0" w:lastRowLastColumn="0"/>
            <w:tcW w:w="534" w:type="dxa"/>
          </w:tcPr>
          <w:p w:rsidR="00500D9A" w:rsidRPr="00482545" w:rsidRDefault="00500D9A" w:rsidP="00482545">
            <w:pPr>
              <w:rPr>
                <w:b w:val="0"/>
                <w:noProof/>
                <w:sz w:val="20"/>
                <w:szCs w:val="20"/>
              </w:rPr>
            </w:pPr>
            <w:r w:rsidRPr="00482545">
              <w:rPr>
                <w:b w:val="0"/>
                <w:noProof/>
                <w:sz w:val="20"/>
                <w:szCs w:val="20"/>
              </w:rPr>
              <w:t>9.</w:t>
            </w:r>
          </w:p>
        </w:tc>
        <w:tc>
          <w:tcPr>
            <w:tcW w:w="5103" w:type="dxa"/>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noProof/>
                <w:sz w:val="20"/>
                <w:szCs w:val="20"/>
              </w:rPr>
            </w:pPr>
            <w:r w:rsidRPr="00482545">
              <w:rPr>
                <w:sz w:val="20"/>
                <w:szCs w:val="20"/>
              </w:rPr>
              <w:t>Veicināt sociālo iekļaušanu un apkarot nabadzību</w:t>
            </w:r>
          </w:p>
        </w:tc>
        <w:tc>
          <w:tcPr>
            <w:tcW w:w="1694" w:type="dxa"/>
            <w:vAlign w:val="center"/>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sz w:val="20"/>
                <w:szCs w:val="20"/>
              </w:rPr>
            </w:pPr>
            <w:r w:rsidRPr="00482545">
              <w:rPr>
                <w:sz w:val="20"/>
                <w:szCs w:val="20"/>
              </w:rPr>
              <w:t>9,35</w:t>
            </w:r>
          </w:p>
        </w:tc>
        <w:tc>
          <w:tcPr>
            <w:tcW w:w="1941" w:type="dxa"/>
            <w:vAlign w:val="center"/>
          </w:tcPr>
          <w:p w:rsidR="00500D9A" w:rsidRPr="003E76F0" w:rsidRDefault="00500D9A" w:rsidP="00DF3C1E">
            <w:pPr>
              <w:ind w:left="-123" w:right="-36"/>
              <w:jc w:val="right"/>
              <w:cnfStyle w:val="000000000000" w:firstRow="0" w:lastRow="0" w:firstColumn="0" w:lastColumn="0" w:oddVBand="0" w:evenVBand="0" w:oddHBand="0" w:evenHBand="0" w:firstRowFirstColumn="0" w:firstRowLastColumn="0" w:lastRowFirstColumn="0" w:lastRowLastColumn="0"/>
              <w:rPr>
                <w:sz w:val="20"/>
                <w:szCs w:val="20"/>
              </w:rPr>
            </w:pPr>
            <w:r w:rsidRPr="003E76F0">
              <w:rPr>
                <w:sz w:val="20"/>
                <w:szCs w:val="20"/>
              </w:rPr>
              <w:t>296 087 500</w:t>
            </w:r>
          </w:p>
        </w:tc>
      </w:tr>
      <w:tr w:rsidR="00500D9A" w:rsidRPr="003E76F0" w:rsidTr="00482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00D9A" w:rsidRPr="00482545" w:rsidRDefault="00500D9A" w:rsidP="00482545">
            <w:pPr>
              <w:rPr>
                <w:b w:val="0"/>
                <w:noProof/>
                <w:sz w:val="20"/>
                <w:szCs w:val="20"/>
              </w:rPr>
            </w:pPr>
            <w:r w:rsidRPr="00482545">
              <w:rPr>
                <w:b w:val="0"/>
                <w:noProof/>
                <w:sz w:val="20"/>
                <w:szCs w:val="20"/>
              </w:rPr>
              <w:t>10.</w:t>
            </w:r>
          </w:p>
        </w:tc>
        <w:tc>
          <w:tcPr>
            <w:tcW w:w="5103" w:type="dxa"/>
          </w:tcPr>
          <w:p w:rsidR="00500D9A" w:rsidRPr="00482545" w:rsidRDefault="00500D9A" w:rsidP="00482545">
            <w:pPr>
              <w:cnfStyle w:val="000000100000" w:firstRow="0" w:lastRow="0" w:firstColumn="0" w:lastColumn="0" w:oddVBand="0" w:evenVBand="0" w:oddHBand="1" w:evenHBand="0" w:firstRowFirstColumn="0" w:firstRowLastColumn="0" w:lastRowFirstColumn="0" w:lastRowLastColumn="0"/>
              <w:rPr>
                <w:sz w:val="20"/>
                <w:szCs w:val="20"/>
              </w:rPr>
            </w:pPr>
            <w:r w:rsidRPr="00482545">
              <w:rPr>
                <w:sz w:val="20"/>
                <w:szCs w:val="20"/>
              </w:rPr>
              <w:t>Ieguldīt izglītībā, prasmēs un mūžizglītībā</w:t>
            </w:r>
          </w:p>
        </w:tc>
        <w:tc>
          <w:tcPr>
            <w:tcW w:w="1694" w:type="dxa"/>
            <w:vAlign w:val="center"/>
          </w:tcPr>
          <w:p w:rsidR="00500D9A" w:rsidRPr="00482545" w:rsidRDefault="00500D9A" w:rsidP="00482545">
            <w:pPr>
              <w:cnfStyle w:val="000000100000" w:firstRow="0" w:lastRow="0" w:firstColumn="0" w:lastColumn="0" w:oddVBand="0" w:evenVBand="0" w:oddHBand="1" w:evenHBand="0" w:firstRowFirstColumn="0" w:firstRowLastColumn="0" w:lastRowFirstColumn="0" w:lastRowLastColumn="0"/>
              <w:rPr>
                <w:sz w:val="20"/>
                <w:szCs w:val="20"/>
              </w:rPr>
            </w:pPr>
            <w:r w:rsidRPr="00482545">
              <w:rPr>
                <w:sz w:val="20"/>
                <w:szCs w:val="20"/>
              </w:rPr>
              <w:t>8,55</w:t>
            </w:r>
          </w:p>
        </w:tc>
        <w:tc>
          <w:tcPr>
            <w:tcW w:w="1941" w:type="dxa"/>
            <w:vAlign w:val="center"/>
          </w:tcPr>
          <w:p w:rsidR="00500D9A" w:rsidRPr="003E76F0" w:rsidRDefault="00500D9A" w:rsidP="00DF3C1E">
            <w:pPr>
              <w:ind w:left="-123" w:right="-36"/>
              <w:jc w:val="right"/>
              <w:cnfStyle w:val="000000100000" w:firstRow="0" w:lastRow="0" w:firstColumn="0" w:lastColumn="0" w:oddVBand="0" w:evenVBand="0" w:oddHBand="1" w:evenHBand="0" w:firstRowFirstColumn="0" w:firstRowLastColumn="0" w:lastRowFirstColumn="0" w:lastRowLastColumn="0"/>
              <w:rPr>
                <w:sz w:val="20"/>
                <w:szCs w:val="20"/>
              </w:rPr>
            </w:pPr>
            <w:r w:rsidRPr="003E76F0">
              <w:rPr>
                <w:sz w:val="20"/>
                <w:szCs w:val="20"/>
              </w:rPr>
              <w:t>270 698 000</w:t>
            </w:r>
          </w:p>
        </w:tc>
      </w:tr>
      <w:tr w:rsidR="00500D9A" w:rsidRPr="003E76F0" w:rsidTr="00482545">
        <w:tc>
          <w:tcPr>
            <w:cnfStyle w:val="001000000000" w:firstRow="0" w:lastRow="0" w:firstColumn="1" w:lastColumn="0" w:oddVBand="0" w:evenVBand="0" w:oddHBand="0" w:evenHBand="0" w:firstRowFirstColumn="0" w:firstRowLastColumn="0" w:lastRowFirstColumn="0" w:lastRowLastColumn="0"/>
            <w:tcW w:w="534" w:type="dxa"/>
          </w:tcPr>
          <w:p w:rsidR="00500D9A" w:rsidRPr="00482545" w:rsidRDefault="00500D9A" w:rsidP="00482545">
            <w:pPr>
              <w:rPr>
                <w:b w:val="0"/>
                <w:noProof/>
                <w:sz w:val="20"/>
                <w:szCs w:val="20"/>
              </w:rPr>
            </w:pPr>
            <w:r w:rsidRPr="00482545">
              <w:rPr>
                <w:b w:val="0"/>
                <w:noProof/>
                <w:sz w:val="20"/>
                <w:szCs w:val="20"/>
              </w:rPr>
              <w:t>11.</w:t>
            </w:r>
          </w:p>
        </w:tc>
        <w:tc>
          <w:tcPr>
            <w:tcW w:w="5103" w:type="dxa"/>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sz w:val="20"/>
                <w:szCs w:val="20"/>
              </w:rPr>
            </w:pPr>
            <w:r w:rsidRPr="00482545">
              <w:rPr>
                <w:sz w:val="20"/>
                <w:szCs w:val="20"/>
              </w:rPr>
              <w:t>Uzlabot institucionālās spējas un efektīvu valsts pārvaldi</w:t>
            </w:r>
          </w:p>
        </w:tc>
        <w:tc>
          <w:tcPr>
            <w:tcW w:w="1694" w:type="dxa"/>
            <w:vAlign w:val="center"/>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sz w:val="20"/>
                <w:szCs w:val="20"/>
              </w:rPr>
            </w:pPr>
            <w:r w:rsidRPr="00482545">
              <w:rPr>
                <w:sz w:val="20"/>
                <w:szCs w:val="20"/>
              </w:rPr>
              <w:t>0,58</w:t>
            </w:r>
          </w:p>
        </w:tc>
        <w:tc>
          <w:tcPr>
            <w:tcW w:w="1941" w:type="dxa"/>
            <w:vAlign w:val="center"/>
          </w:tcPr>
          <w:p w:rsidR="00500D9A" w:rsidRPr="003E76F0" w:rsidRDefault="00500D9A" w:rsidP="00DF3C1E">
            <w:pPr>
              <w:ind w:left="-123" w:right="-36"/>
              <w:jc w:val="right"/>
              <w:cnfStyle w:val="000000000000" w:firstRow="0" w:lastRow="0" w:firstColumn="0" w:lastColumn="0" w:oddVBand="0" w:evenVBand="0" w:oddHBand="0" w:evenHBand="0" w:firstRowFirstColumn="0" w:firstRowLastColumn="0" w:lastRowFirstColumn="0" w:lastRowLastColumn="0"/>
              <w:rPr>
                <w:sz w:val="20"/>
                <w:szCs w:val="20"/>
              </w:rPr>
            </w:pPr>
            <w:r w:rsidRPr="003E76F0">
              <w:rPr>
                <w:sz w:val="20"/>
                <w:szCs w:val="20"/>
              </w:rPr>
              <w:t>18 245 000</w:t>
            </w:r>
          </w:p>
        </w:tc>
      </w:tr>
      <w:tr w:rsidR="00500D9A" w:rsidRPr="003E76F0" w:rsidTr="00E7373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34" w:type="dxa"/>
          </w:tcPr>
          <w:p w:rsidR="00500D9A" w:rsidRPr="00482545" w:rsidRDefault="00500D9A" w:rsidP="00482545">
            <w:pPr>
              <w:rPr>
                <w:b w:val="0"/>
                <w:noProof/>
                <w:sz w:val="20"/>
                <w:szCs w:val="20"/>
              </w:rPr>
            </w:pPr>
            <w:r w:rsidRPr="00482545">
              <w:rPr>
                <w:b w:val="0"/>
                <w:noProof/>
                <w:sz w:val="20"/>
                <w:szCs w:val="20"/>
              </w:rPr>
              <w:t>12.</w:t>
            </w:r>
          </w:p>
        </w:tc>
        <w:tc>
          <w:tcPr>
            <w:tcW w:w="5103" w:type="dxa"/>
          </w:tcPr>
          <w:p w:rsidR="00500D9A" w:rsidRPr="00482545" w:rsidRDefault="00500D9A" w:rsidP="00482545">
            <w:pPr>
              <w:cnfStyle w:val="000000100000" w:firstRow="0" w:lastRow="0" w:firstColumn="0" w:lastColumn="0" w:oddVBand="0" w:evenVBand="0" w:oddHBand="1" w:evenHBand="0" w:firstRowFirstColumn="0" w:firstRowLastColumn="0" w:lastRowFirstColumn="0" w:lastRowLastColumn="0"/>
              <w:rPr>
                <w:sz w:val="20"/>
                <w:szCs w:val="20"/>
              </w:rPr>
            </w:pPr>
            <w:r w:rsidRPr="00482545">
              <w:rPr>
                <w:sz w:val="20"/>
                <w:szCs w:val="20"/>
              </w:rPr>
              <w:t>Tehniskā palīdzība</w:t>
            </w:r>
          </w:p>
        </w:tc>
        <w:tc>
          <w:tcPr>
            <w:tcW w:w="1694" w:type="dxa"/>
            <w:vAlign w:val="center"/>
          </w:tcPr>
          <w:p w:rsidR="00500D9A" w:rsidRPr="00482545" w:rsidRDefault="00500D9A" w:rsidP="00482545">
            <w:pPr>
              <w:cnfStyle w:val="000000100000" w:firstRow="0" w:lastRow="0" w:firstColumn="0" w:lastColumn="0" w:oddVBand="0" w:evenVBand="0" w:oddHBand="1" w:evenHBand="0" w:firstRowFirstColumn="0" w:firstRowLastColumn="0" w:lastRowFirstColumn="0" w:lastRowLastColumn="0"/>
              <w:rPr>
                <w:sz w:val="20"/>
                <w:szCs w:val="20"/>
              </w:rPr>
            </w:pPr>
            <w:r w:rsidRPr="00482545">
              <w:rPr>
                <w:sz w:val="20"/>
                <w:szCs w:val="20"/>
              </w:rPr>
              <w:t>2,25</w:t>
            </w:r>
          </w:p>
        </w:tc>
        <w:tc>
          <w:tcPr>
            <w:tcW w:w="1941" w:type="dxa"/>
            <w:vAlign w:val="center"/>
          </w:tcPr>
          <w:p w:rsidR="00500D9A" w:rsidRPr="003E76F0" w:rsidRDefault="00500D9A" w:rsidP="00DF3C1E">
            <w:pPr>
              <w:ind w:left="-123" w:right="-36"/>
              <w:jc w:val="right"/>
              <w:cnfStyle w:val="000000100000" w:firstRow="0" w:lastRow="0" w:firstColumn="0" w:lastColumn="0" w:oddVBand="0" w:evenVBand="0" w:oddHBand="1" w:evenHBand="0" w:firstRowFirstColumn="0" w:firstRowLastColumn="0" w:lastRowFirstColumn="0" w:lastRowLastColumn="0"/>
              <w:rPr>
                <w:b/>
                <w:noProof/>
                <w:sz w:val="20"/>
                <w:szCs w:val="20"/>
              </w:rPr>
            </w:pPr>
            <w:r w:rsidRPr="003E76F0">
              <w:rPr>
                <w:color w:val="000000"/>
                <w:sz w:val="20"/>
                <w:szCs w:val="20"/>
              </w:rPr>
              <w:t>71 248 086</w:t>
            </w:r>
          </w:p>
        </w:tc>
      </w:tr>
      <w:tr w:rsidR="00500D9A" w:rsidRPr="003E76F0" w:rsidTr="00482545">
        <w:trPr>
          <w:trHeight w:val="114"/>
        </w:trPr>
        <w:tc>
          <w:tcPr>
            <w:cnfStyle w:val="001000000000" w:firstRow="0" w:lastRow="0" w:firstColumn="1" w:lastColumn="0" w:oddVBand="0" w:evenVBand="0" w:oddHBand="0" w:evenHBand="0" w:firstRowFirstColumn="0" w:firstRowLastColumn="0" w:lastRowFirstColumn="0" w:lastRowLastColumn="0"/>
            <w:tcW w:w="534" w:type="dxa"/>
          </w:tcPr>
          <w:p w:rsidR="00500D9A" w:rsidRPr="00482545" w:rsidRDefault="00500D9A" w:rsidP="00482545">
            <w:pPr>
              <w:rPr>
                <w:b w:val="0"/>
                <w:noProof/>
                <w:sz w:val="20"/>
                <w:szCs w:val="20"/>
              </w:rPr>
            </w:pPr>
          </w:p>
        </w:tc>
        <w:tc>
          <w:tcPr>
            <w:tcW w:w="5103" w:type="dxa"/>
            <w:vAlign w:val="center"/>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b/>
                <w:sz w:val="20"/>
                <w:szCs w:val="20"/>
              </w:rPr>
            </w:pPr>
            <w:r w:rsidRPr="00482545">
              <w:rPr>
                <w:b/>
                <w:sz w:val="20"/>
                <w:szCs w:val="20"/>
              </w:rPr>
              <w:t>KOPĀ</w:t>
            </w:r>
          </w:p>
        </w:tc>
        <w:tc>
          <w:tcPr>
            <w:tcW w:w="1694" w:type="dxa"/>
            <w:vAlign w:val="center"/>
          </w:tcPr>
          <w:p w:rsidR="00500D9A" w:rsidRPr="00482545" w:rsidRDefault="00500D9A" w:rsidP="00482545">
            <w:pPr>
              <w:cnfStyle w:val="000000000000" w:firstRow="0" w:lastRow="0" w:firstColumn="0" w:lastColumn="0" w:oddVBand="0" w:evenVBand="0" w:oddHBand="0" w:evenHBand="0" w:firstRowFirstColumn="0" w:firstRowLastColumn="0" w:lastRowFirstColumn="0" w:lastRowLastColumn="0"/>
              <w:rPr>
                <w:b/>
                <w:noProof/>
                <w:sz w:val="20"/>
                <w:szCs w:val="20"/>
              </w:rPr>
            </w:pPr>
            <w:r w:rsidRPr="00482545">
              <w:rPr>
                <w:b/>
                <w:noProof/>
                <w:sz w:val="20"/>
                <w:szCs w:val="20"/>
              </w:rPr>
              <w:t>100</w:t>
            </w:r>
            <w:r w:rsidR="00DF3C1E" w:rsidRPr="00482545">
              <w:rPr>
                <w:b/>
                <w:noProof/>
                <w:sz w:val="20"/>
                <w:szCs w:val="20"/>
              </w:rPr>
              <w:t>,00</w:t>
            </w:r>
          </w:p>
        </w:tc>
        <w:tc>
          <w:tcPr>
            <w:tcW w:w="1941" w:type="dxa"/>
            <w:vAlign w:val="center"/>
          </w:tcPr>
          <w:p w:rsidR="00500D9A" w:rsidRPr="003E76F0" w:rsidRDefault="00500D9A" w:rsidP="00DF3C1E">
            <w:pPr>
              <w:ind w:left="-123" w:right="-36"/>
              <w:jc w:val="right"/>
              <w:cnfStyle w:val="000000000000" w:firstRow="0" w:lastRow="0" w:firstColumn="0" w:lastColumn="0" w:oddVBand="0" w:evenVBand="0" w:oddHBand="0" w:evenHBand="0" w:firstRowFirstColumn="0" w:firstRowLastColumn="0" w:lastRowFirstColumn="0" w:lastRowLastColumn="0"/>
              <w:rPr>
                <w:b/>
                <w:noProof/>
                <w:sz w:val="19"/>
                <w:szCs w:val="19"/>
              </w:rPr>
            </w:pPr>
            <w:r w:rsidRPr="003E76F0">
              <w:rPr>
                <w:b/>
                <w:color w:val="000000"/>
                <w:sz w:val="19"/>
                <w:szCs w:val="19"/>
              </w:rPr>
              <w:t>3 166 581 586</w:t>
            </w:r>
          </w:p>
        </w:tc>
      </w:tr>
    </w:tbl>
    <w:p w:rsidR="00D86D3A" w:rsidRDefault="00500D9A" w:rsidP="00500D9A">
      <w:pPr>
        <w:rPr>
          <w:sz w:val="18"/>
          <w:szCs w:val="18"/>
        </w:rPr>
      </w:pPr>
      <w:r w:rsidRPr="00195973">
        <w:rPr>
          <w:noProof/>
          <w:sz w:val="18"/>
          <w:szCs w:val="18"/>
        </w:rPr>
        <w:t>*</w:t>
      </w:r>
      <w:r w:rsidR="00DF3C1E">
        <w:rPr>
          <w:noProof/>
          <w:sz w:val="18"/>
          <w:szCs w:val="18"/>
        </w:rPr>
        <w:t xml:space="preserve"> ES</w:t>
      </w:r>
      <w:r w:rsidRPr="00195973">
        <w:rPr>
          <w:noProof/>
          <w:sz w:val="18"/>
          <w:szCs w:val="18"/>
        </w:rPr>
        <w:t xml:space="preserve"> fondu finansējuma piešķīrums </w:t>
      </w:r>
      <w:r w:rsidR="00DF3C1E">
        <w:rPr>
          <w:noProof/>
          <w:sz w:val="18"/>
          <w:szCs w:val="18"/>
        </w:rPr>
        <w:t>–</w:t>
      </w:r>
      <w:r w:rsidRPr="00195973">
        <w:rPr>
          <w:noProof/>
          <w:sz w:val="18"/>
          <w:szCs w:val="18"/>
        </w:rPr>
        <w:t xml:space="preserve"> 3,09 miljd</w:t>
      </w:r>
      <w:r w:rsidR="00DF3C1E">
        <w:rPr>
          <w:noProof/>
          <w:sz w:val="18"/>
          <w:szCs w:val="18"/>
        </w:rPr>
        <w:t>.</w:t>
      </w:r>
      <w:r w:rsidRPr="00195973">
        <w:rPr>
          <w:noProof/>
          <w:sz w:val="18"/>
          <w:szCs w:val="18"/>
        </w:rPr>
        <w:t xml:space="preserve"> </w:t>
      </w:r>
      <w:r w:rsidR="00DF3C1E">
        <w:rPr>
          <w:noProof/>
          <w:sz w:val="18"/>
          <w:szCs w:val="18"/>
        </w:rPr>
        <w:t>latu</w:t>
      </w:r>
      <w:r w:rsidRPr="00195973">
        <w:rPr>
          <w:noProof/>
          <w:sz w:val="18"/>
          <w:szCs w:val="18"/>
        </w:rPr>
        <w:t xml:space="preserve"> apmērā atbilstoši </w:t>
      </w:r>
      <w:r w:rsidR="00DF3C1E">
        <w:rPr>
          <w:noProof/>
          <w:sz w:val="18"/>
          <w:szCs w:val="18"/>
        </w:rPr>
        <w:t>NAP</w:t>
      </w:r>
      <w:r w:rsidR="00E73738">
        <w:rPr>
          <w:noProof/>
          <w:sz w:val="18"/>
          <w:szCs w:val="18"/>
        </w:rPr>
        <w:t>2020</w:t>
      </w:r>
      <w:r w:rsidRPr="00195973">
        <w:rPr>
          <w:noProof/>
          <w:sz w:val="18"/>
          <w:szCs w:val="18"/>
        </w:rPr>
        <w:t xml:space="preserve">, </w:t>
      </w:r>
      <w:r w:rsidR="00DF3C1E">
        <w:rPr>
          <w:noProof/>
          <w:sz w:val="18"/>
          <w:szCs w:val="18"/>
        </w:rPr>
        <w:t>ieskaitot</w:t>
      </w:r>
      <w:r w:rsidRPr="00195973">
        <w:rPr>
          <w:noProof/>
          <w:sz w:val="18"/>
          <w:szCs w:val="18"/>
        </w:rPr>
        <w:t xml:space="preserve"> Tehnisk</w:t>
      </w:r>
      <w:r w:rsidR="00DF3C1E">
        <w:rPr>
          <w:noProof/>
          <w:sz w:val="18"/>
          <w:szCs w:val="18"/>
        </w:rPr>
        <w:t>o</w:t>
      </w:r>
      <w:r w:rsidRPr="00195973">
        <w:rPr>
          <w:noProof/>
          <w:sz w:val="18"/>
          <w:szCs w:val="18"/>
        </w:rPr>
        <w:t xml:space="preserve"> palīdzīb</w:t>
      </w:r>
      <w:r w:rsidR="00DF3C1E">
        <w:rPr>
          <w:noProof/>
          <w:sz w:val="18"/>
          <w:szCs w:val="18"/>
        </w:rPr>
        <w:t>u</w:t>
      </w:r>
      <w:r w:rsidRPr="00195973">
        <w:rPr>
          <w:noProof/>
          <w:sz w:val="18"/>
          <w:szCs w:val="18"/>
        </w:rPr>
        <w:t xml:space="preserve"> </w:t>
      </w:r>
      <w:r w:rsidR="00DF3C1E">
        <w:rPr>
          <w:noProof/>
          <w:sz w:val="18"/>
          <w:szCs w:val="18"/>
        </w:rPr>
        <w:t>ES fondu vadībai 2,25</w:t>
      </w:r>
      <w:r w:rsidRPr="00195973">
        <w:rPr>
          <w:noProof/>
          <w:sz w:val="18"/>
          <w:szCs w:val="18"/>
        </w:rPr>
        <w:t>% apmērā.</w:t>
      </w:r>
    </w:p>
    <w:p w:rsidR="00D86D3A" w:rsidRPr="00D86D3A" w:rsidRDefault="00D86D3A" w:rsidP="00D86D3A">
      <w:pPr>
        <w:rPr>
          <w:sz w:val="18"/>
          <w:szCs w:val="18"/>
        </w:rPr>
      </w:pPr>
    </w:p>
    <w:p w:rsidR="00D86D3A" w:rsidRPr="00D86D3A" w:rsidRDefault="00D86D3A" w:rsidP="00D86D3A">
      <w:pPr>
        <w:rPr>
          <w:sz w:val="18"/>
          <w:szCs w:val="18"/>
        </w:rPr>
      </w:pPr>
    </w:p>
    <w:p w:rsidR="00D86D3A" w:rsidRDefault="00D86D3A" w:rsidP="00D86D3A">
      <w:pPr>
        <w:rPr>
          <w:sz w:val="18"/>
          <w:szCs w:val="18"/>
        </w:rPr>
      </w:pPr>
    </w:p>
    <w:p w:rsidR="00D86D3A" w:rsidRDefault="00D86D3A" w:rsidP="00D86D3A">
      <w:pPr>
        <w:rPr>
          <w:sz w:val="18"/>
          <w:szCs w:val="18"/>
        </w:rPr>
      </w:pPr>
    </w:p>
    <w:p w:rsidR="00A83110" w:rsidRPr="006E7965" w:rsidRDefault="00A83110" w:rsidP="00A83110">
      <w:pPr>
        <w:spacing w:before="240"/>
      </w:pPr>
      <w:r w:rsidRPr="006E7965">
        <w:t xml:space="preserve">Ekonomikas ministrs                                                                                </w:t>
      </w:r>
      <w:r>
        <w:t xml:space="preserve">                     </w:t>
      </w:r>
      <w:proofErr w:type="spellStart"/>
      <w:r w:rsidRPr="006E7965">
        <w:t>D.Pavļuts</w:t>
      </w:r>
      <w:proofErr w:type="spellEnd"/>
    </w:p>
    <w:p w:rsidR="00A83110" w:rsidRDefault="00A83110" w:rsidP="00A83110">
      <w:pPr>
        <w:spacing w:before="360"/>
        <w:jc w:val="left"/>
      </w:pPr>
    </w:p>
    <w:p w:rsidR="00A83110" w:rsidRPr="006E7965" w:rsidRDefault="00A83110" w:rsidP="00A83110">
      <w:pPr>
        <w:spacing w:before="360"/>
        <w:jc w:val="left"/>
      </w:pPr>
      <w:r w:rsidRPr="006E7965">
        <w:t>Vīza: Valsts sekretārs</w:t>
      </w:r>
      <w:r w:rsidRPr="006E7965">
        <w:tab/>
        <w:t xml:space="preserve">                                                                              </w:t>
      </w:r>
      <w:r>
        <w:t xml:space="preserve">                          </w:t>
      </w:r>
      <w:r w:rsidRPr="006E7965">
        <w:t>J.Pūce</w:t>
      </w:r>
    </w:p>
    <w:p w:rsidR="00A83110" w:rsidRDefault="00A83110" w:rsidP="00A83110">
      <w:pPr>
        <w:spacing w:before="360"/>
        <w:rPr>
          <w:sz w:val="18"/>
          <w:szCs w:val="18"/>
        </w:rPr>
      </w:pPr>
    </w:p>
    <w:p w:rsidR="00A83110" w:rsidRDefault="00A83110" w:rsidP="00A83110">
      <w:pPr>
        <w:spacing w:before="360"/>
        <w:rPr>
          <w:sz w:val="18"/>
          <w:szCs w:val="18"/>
        </w:rPr>
      </w:pPr>
    </w:p>
    <w:p w:rsidR="00A83110" w:rsidRDefault="00A83110" w:rsidP="00A83110">
      <w:pPr>
        <w:spacing w:before="360"/>
        <w:rPr>
          <w:sz w:val="18"/>
          <w:szCs w:val="18"/>
        </w:rPr>
      </w:pPr>
    </w:p>
    <w:p w:rsidR="00A83110" w:rsidRDefault="00A83110" w:rsidP="00A83110">
      <w:pPr>
        <w:spacing w:before="360"/>
        <w:rPr>
          <w:sz w:val="18"/>
          <w:szCs w:val="18"/>
        </w:rPr>
      </w:pPr>
    </w:p>
    <w:p w:rsidR="00A83110" w:rsidRPr="007B46C5" w:rsidRDefault="00FB276F" w:rsidP="00A83110">
      <w:pPr>
        <w:spacing w:before="360"/>
        <w:rPr>
          <w:sz w:val="18"/>
          <w:szCs w:val="18"/>
        </w:rPr>
      </w:pPr>
      <w:r>
        <w:rPr>
          <w:sz w:val="18"/>
          <w:szCs w:val="18"/>
        </w:rPr>
        <w:t>2</w:t>
      </w:r>
      <w:r w:rsidR="00A04481">
        <w:rPr>
          <w:sz w:val="18"/>
          <w:szCs w:val="18"/>
        </w:rPr>
        <w:t>6</w:t>
      </w:r>
      <w:r w:rsidR="00A83110" w:rsidRPr="006E7965">
        <w:rPr>
          <w:sz w:val="18"/>
          <w:szCs w:val="18"/>
        </w:rPr>
        <w:t xml:space="preserve">.04.2013. </w:t>
      </w:r>
      <w:r w:rsidR="00E378FC">
        <w:rPr>
          <w:sz w:val="18"/>
          <w:szCs w:val="18"/>
        </w:rPr>
        <w:t>11</w:t>
      </w:r>
      <w:r w:rsidR="00A83110" w:rsidRPr="006E7965">
        <w:rPr>
          <w:sz w:val="18"/>
          <w:szCs w:val="18"/>
        </w:rPr>
        <w:t>:</w:t>
      </w:r>
      <w:r w:rsidR="00A04481">
        <w:rPr>
          <w:sz w:val="18"/>
          <w:szCs w:val="18"/>
        </w:rPr>
        <w:t>00</w:t>
      </w:r>
    </w:p>
    <w:bookmarkStart w:id="46" w:name="OLE_LINK3"/>
    <w:bookmarkStart w:id="47" w:name="OLE_LINK4"/>
    <w:p w:rsidR="00A83110" w:rsidRPr="006E7965" w:rsidRDefault="00A83110" w:rsidP="00A83110">
      <w:pPr>
        <w:rPr>
          <w:sz w:val="18"/>
          <w:szCs w:val="18"/>
        </w:rPr>
      </w:pPr>
      <w:r w:rsidRPr="006E7965">
        <w:rPr>
          <w:sz w:val="18"/>
          <w:szCs w:val="18"/>
        </w:rPr>
        <w:fldChar w:fldCharType="begin"/>
      </w:r>
      <w:r w:rsidRPr="006E7965">
        <w:rPr>
          <w:sz w:val="18"/>
          <w:szCs w:val="18"/>
        </w:rPr>
        <w:instrText xml:space="preserve"> NUMWORDS  \# "0"  \* MERGEFORMAT </w:instrText>
      </w:r>
      <w:r w:rsidRPr="006E7965">
        <w:rPr>
          <w:sz w:val="18"/>
          <w:szCs w:val="18"/>
        </w:rPr>
        <w:fldChar w:fldCharType="separate"/>
      </w:r>
      <w:r w:rsidR="005924AA">
        <w:rPr>
          <w:noProof/>
          <w:sz w:val="18"/>
          <w:szCs w:val="18"/>
        </w:rPr>
        <w:t>30653</w:t>
      </w:r>
      <w:r w:rsidRPr="006E7965">
        <w:rPr>
          <w:sz w:val="18"/>
          <w:szCs w:val="18"/>
        </w:rPr>
        <w:fldChar w:fldCharType="end"/>
      </w:r>
    </w:p>
    <w:p w:rsidR="00A83110" w:rsidRPr="006E7965" w:rsidRDefault="00A83110" w:rsidP="00A83110">
      <w:pPr>
        <w:rPr>
          <w:sz w:val="18"/>
          <w:szCs w:val="18"/>
        </w:rPr>
      </w:pPr>
      <w:r>
        <w:rPr>
          <w:sz w:val="18"/>
          <w:szCs w:val="18"/>
        </w:rPr>
        <w:t>Č.Gržibovskis</w:t>
      </w:r>
    </w:p>
    <w:p w:rsidR="00A83110" w:rsidRPr="006E7965" w:rsidRDefault="00A83110" w:rsidP="00A83110">
      <w:pPr>
        <w:rPr>
          <w:sz w:val="18"/>
          <w:szCs w:val="18"/>
        </w:rPr>
      </w:pPr>
      <w:r w:rsidRPr="006E7965">
        <w:rPr>
          <w:sz w:val="18"/>
          <w:szCs w:val="18"/>
        </w:rPr>
        <w:t>67013</w:t>
      </w:r>
      <w:r>
        <w:rPr>
          <w:sz w:val="18"/>
          <w:szCs w:val="18"/>
        </w:rPr>
        <w:t>258</w:t>
      </w:r>
      <w:r w:rsidRPr="006E7965">
        <w:rPr>
          <w:sz w:val="18"/>
          <w:szCs w:val="18"/>
        </w:rPr>
        <w:t xml:space="preserve">, </w:t>
      </w:r>
      <w:r>
        <w:rPr>
          <w:sz w:val="18"/>
          <w:szCs w:val="18"/>
        </w:rPr>
        <w:t>Ceslavs.Grzibovskis</w:t>
      </w:r>
      <w:r w:rsidRPr="006E7965">
        <w:rPr>
          <w:sz w:val="18"/>
          <w:szCs w:val="18"/>
        </w:rPr>
        <w:t>@em.gov.lv</w:t>
      </w:r>
      <w:bookmarkEnd w:id="46"/>
      <w:bookmarkEnd w:id="47"/>
    </w:p>
    <w:p w:rsidR="00D86D3A" w:rsidRDefault="00D86D3A" w:rsidP="00D86D3A">
      <w:pPr>
        <w:rPr>
          <w:sz w:val="18"/>
          <w:szCs w:val="18"/>
        </w:rPr>
      </w:pPr>
      <w:bookmarkStart w:id="48" w:name="_GoBack"/>
      <w:bookmarkEnd w:id="48"/>
    </w:p>
    <w:p w:rsidR="00500D9A" w:rsidRPr="00D86D3A" w:rsidRDefault="00D86D3A" w:rsidP="00D86D3A">
      <w:pPr>
        <w:tabs>
          <w:tab w:val="left" w:pos="0"/>
        </w:tabs>
        <w:rPr>
          <w:sz w:val="18"/>
          <w:szCs w:val="18"/>
        </w:rPr>
      </w:pPr>
      <w:r>
        <w:rPr>
          <w:sz w:val="18"/>
          <w:szCs w:val="18"/>
        </w:rPr>
        <w:tab/>
      </w:r>
    </w:p>
    <w:sectPr w:rsidR="00500D9A" w:rsidRPr="00D86D3A" w:rsidSect="00885B2F">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6E" w:rsidRDefault="00E8036E" w:rsidP="006C7F87">
      <w:r>
        <w:separator/>
      </w:r>
    </w:p>
  </w:endnote>
  <w:endnote w:type="continuationSeparator" w:id="0">
    <w:p w:rsidR="00E8036E" w:rsidRDefault="00E8036E" w:rsidP="006C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mn-ea">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206"/>
      <w:docPartObj>
        <w:docPartGallery w:val="Page Numbers (Bottom of Page)"/>
        <w:docPartUnique/>
      </w:docPartObj>
    </w:sdtPr>
    <w:sdtEndPr/>
    <w:sdtContent>
      <w:p w:rsidR="00D45640" w:rsidRDefault="00CA0D79" w:rsidP="00CA0D79">
        <w:pPr>
          <w:pStyle w:val="Footer"/>
        </w:pPr>
        <w:r w:rsidRPr="00CA0D79">
          <w:t>EMZino_2</w:t>
        </w:r>
        <w:r w:rsidR="00D10697">
          <w:t>6</w:t>
        </w:r>
        <w:r w:rsidRPr="00CA0D79">
          <w:t>0413_Progresa ziņojums Latvijas NRP</w:t>
        </w:r>
        <w:r w:rsidR="00D45640">
          <w:t xml:space="preserve">                                                   </w:t>
        </w:r>
        <w:r>
          <w:t xml:space="preserve">            </w:t>
        </w:r>
        <w:r w:rsidR="00D45640">
          <w:t xml:space="preserve"> </w:t>
        </w:r>
        <w:r w:rsidR="00465E0C">
          <w:fldChar w:fldCharType="begin"/>
        </w:r>
        <w:r w:rsidR="00D45640">
          <w:instrText xml:space="preserve"> PAGE   \* MERGEFORMAT </w:instrText>
        </w:r>
        <w:r w:rsidR="00465E0C">
          <w:fldChar w:fldCharType="separate"/>
        </w:r>
        <w:r w:rsidR="005924AA">
          <w:rPr>
            <w:noProof/>
          </w:rPr>
          <w:t>76</w:t>
        </w:r>
        <w:r w:rsidR="00465E0C">
          <w:rPr>
            <w:noProof/>
          </w:rPr>
          <w:fldChar w:fldCharType="end"/>
        </w:r>
      </w:p>
    </w:sdtContent>
  </w:sdt>
  <w:p w:rsidR="00D45640" w:rsidRDefault="00D45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6A" w:rsidRDefault="00016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6E" w:rsidRDefault="00E8036E" w:rsidP="006C7F87">
      <w:r>
        <w:separator/>
      </w:r>
    </w:p>
  </w:footnote>
  <w:footnote w:type="continuationSeparator" w:id="0">
    <w:p w:rsidR="00E8036E" w:rsidRDefault="00E8036E" w:rsidP="006C7F87">
      <w:r>
        <w:continuationSeparator/>
      </w:r>
    </w:p>
  </w:footnote>
  <w:footnote w:id="1">
    <w:p w:rsidR="00D45640" w:rsidRPr="00BF1559" w:rsidRDefault="00D45640">
      <w:pPr>
        <w:pStyle w:val="FootnoteText"/>
        <w:rPr>
          <w:sz w:val="18"/>
          <w:szCs w:val="18"/>
        </w:rPr>
      </w:pPr>
      <w:r w:rsidRPr="00BF1559">
        <w:rPr>
          <w:rStyle w:val="FootnoteReference"/>
          <w:sz w:val="18"/>
          <w:szCs w:val="18"/>
        </w:rPr>
        <w:footnoteRef/>
      </w:r>
      <w:r w:rsidRPr="00BF1559">
        <w:rPr>
          <w:sz w:val="18"/>
          <w:szCs w:val="18"/>
        </w:rPr>
        <w:t xml:space="preserve"> Latvijas nacionālā reformu programma „Eiropa 2020” stratēģijas īstenošanai vienlaicīgi ar Latvijas Konverģences programmu 2011.-2014.gadam tika apstiprinātas </w:t>
      </w:r>
      <w:r>
        <w:rPr>
          <w:sz w:val="18"/>
          <w:szCs w:val="18"/>
        </w:rPr>
        <w:t>MK</w:t>
      </w:r>
      <w:r w:rsidRPr="00BF1559">
        <w:rPr>
          <w:sz w:val="18"/>
          <w:szCs w:val="18"/>
        </w:rPr>
        <w:t xml:space="preserve"> 2011.gada 26.aprīlī un iesniegtas </w:t>
      </w:r>
      <w:r>
        <w:rPr>
          <w:sz w:val="18"/>
          <w:szCs w:val="18"/>
        </w:rPr>
        <w:t>EK</w:t>
      </w:r>
      <w:r w:rsidRPr="00BF1559">
        <w:rPr>
          <w:sz w:val="18"/>
          <w:szCs w:val="18"/>
        </w:rPr>
        <w:t xml:space="preserve"> 2011.gada 29.aprīlī.</w:t>
      </w:r>
    </w:p>
  </w:footnote>
  <w:footnote w:id="2">
    <w:p w:rsidR="00D45640" w:rsidRDefault="00D45640" w:rsidP="00217F80">
      <w:pPr>
        <w:pStyle w:val="FootnoteText"/>
        <w:jc w:val="left"/>
        <w:rPr>
          <w:sz w:val="18"/>
          <w:szCs w:val="18"/>
        </w:rPr>
      </w:pPr>
      <w:r>
        <w:rPr>
          <w:rStyle w:val="FootnoteReference"/>
          <w:sz w:val="18"/>
          <w:szCs w:val="18"/>
        </w:rPr>
        <w:footnoteRef/>
      </w:r>
      <w:r>
        <w:rPr>
          <w:sz w:val="18"/>
          <w:szCs w:val="18"/>
        </w:rPr>
        <w:t xml:space="preserve"> „</w:t>
      </w:r>
      <w:r w:rsidRPr="007446ED">
        <w:rPr>
          <w:sz w:val="18"/>
          <w:szCs w:val="18"/>
          <w:lang w:val="en-US"/>
        </w:rPr>
        <w:t>Europe 2020: Integrated guidelines for the economic and employment policies of the Member States</w:t>
      </w:r>
      <w:r>
        <w:rPr>
          <w:sz w:val="18"/>
          <w:szCs w:val="18"/>
        </w:rPr>
        <w:t>”, 06.05.2010., http://ec.europa.eu/eu2020/pdf/Brochure%20Integrated%20Guidelines.pdf</w:t>
      </w:r>
    </w:p>
  </w:footnote>
  <w:footnote w:id="3">
    <w:p w:rsidR="00D45640" w:rsidRPr="008D741D" w:rsidRDefault="00D45640" w:rsidP="00217F80">
      <w:pPr>
        <w:pStyle w:val="FootnoteText"/>
        <w:jc w:val="left"/>
        <w:rPr>
          <w:sz w:val="18"/>
          <w:szCs w:val="18"/>
        </w:rPr>
      </w:pPr>
      <w:r w:rsidRPr="008D741D">
        <w:rPr>
          <w:rStyle w:val="FootnoteReference"/>
          <w:sz w:val="18"/>
          <w:szCs w:val="18"/>
        </w:rPr>
        <w:footnoteRef/>
      </w:r>
      <w:r w:rsidRPr="008D741D">
        <w:rPr>
          <w:sz w:val="18"/>
          <w:szCs w:val="18"/>
        </w:rPr>
        <w:t xml:space="preserve"> Eiro Plus pakts, 2011.gada 24.-25.marta Eiropadomes secinājumi: http://www.consilium.europa.eu/uedocs/cms_data/docs/pressdata/en/ec/120296.pdf</w:t>
      </w:r>
    </w:p>
  </w:footnote>
  <w:footnote w:id="4">
    <w:p w:rsidR="00D45640" w:rsidRPr="00B10886" w:rsidRDefault="00D45640" w:rsidP="00217F80">
      <w:pPr>
        <w:pStyle w:val="FootnoteText"/>
        <w:jc w:val="left"/>
        <w:rPr>
          <w:sz w:val="18"/>
          <w:szCs w:val="18"/>
        </w:rPr>
      </w:pPr>
      <w:r w:rsidRPr="00B10886">
        <w:rPr>
          <w:rStyle w:val="FootnoteReference"/>
          <w:sz w:val="18"/>
          <w:szCs w:val="18"/>
        </w:rPr>
        <w:footnoteRef/>
      </w:r>
      <w:r w:rsidRPr="00B10886">
        <w:rPr>
          <w:sz w:val="18"/>
          <w:szCs w:val="18"/>
        </w:rPr>
        <w:t xml:space="preserve"> ES Padomes rekomendācijas Latvijai:</w:t>
      </w:r>
      <w:r w:rsidRPr="00041523">
        <w:rPr>
          <w:sz w:val="18"/>
          <w:szCs w:val="18"/>
        </w:rPr>
        <w:t xml:space="preserve"> http://register.consilium.europa.eu/pdf/en/12/st11/st11261.en12.pdf</w:t>
      </w:r>
    </w:p>
  </w:footnote>
  <w:footnote w:id="5">
    <w:p w:rsidR="00D45640" w:rsidRPr="00DE2B9D" w:rsidRDefault="00D45640" w:rsidP="00217F80">
      <w:pPr>
        <w:pStyle w:val="FootnoteText"/>
        <w:jc w:val="left"/>
        <w:rPr>
          <w:sz w:val="18"/>
          <w:szCs w:val="18"/>
        </w:rPr>
      </w:pPr>
      <w:r w:rsidRPr="00DE2B9D">
        <w:rPr>
          <w:rStyle w:val="FootnoteReference"/>
          <w:sz w:val="18"/>
          <w:szCs w:val="18"/>
        </w:rPr>
        <w:footnoteRef/>
      </w:r>
      <w:r w:rsidRPr="00DE2B9D">
        <w:rPr>
          <w:sz w:val="18"/>
          <w:szCs w:val="18"/>
        </w:rPr>
        <w:t xml:space="preserve"> </w:t>
      </w:r>
      <w:r w:rsidRPr="007446ED">
        <w:rPr>
          <w:sz w:val="18"/>
          <w:szCs w:val="18"/>
          <w:lang w:val="en-US"/>
        </w:rPr>
        <w:t>Annual Growth Survey</w:t>
      </w:r>
      <w:r w:rsidRPr="00DE2B9D">
        <w:rPr>
          <w:sz w:val="18"/>
          <w:szCs w:val="18"/>
        </w:rPr>
        <w:t xml:space="preserve"> 201</w:t>
      </w:r>
      <w:r>
        <w:rPr>
          <w:sz w:val="18"/>
          <w:szCs w:val="18"/>
        </w:rPr>
        <w:t>3:</w:t>
      </w:r>
      <w:r w:rsidRPr="00DE2B9D">
        <w:rPr>
          <w:sz w:val="18"/>
          <w:szCs w:val="18"/>
        </w:rPr>
        <w:t xml:space="preserve"> </w:t>
      </w:r>
      <w:r w:rsidRPr="00041523">
        <w:rPr>
          <w:sz w:val="18"/>
          <w:szCs w:val="18"/>
        </w:rPr>
        <w:t>http://ec.europa.eu/europe2020/pdf/ags2013_en.pdf</w:t>
      </w:r>
    </w:p>
  </w:footnote>
  <w:footnote w:id="6">
    <w:p w:rsidR="00D45640" w:rsidRDefault="00D45640" w:rsidP="00217F80">
      <w:pPr>
        <w:pStyle w:val="FootnoteText"/>
        <w:jc w:val="left"/>
        <w:rPr>
          <w:sz w:val="18"/>
          <w:szCs w:val="18"/>
        </w:rPr>
      </w:pPr>
      <w:r>
        <w:rPr>
          <w:rStyle w:val="FootnoteReference"/>
          <w:sz w:val="18"/>
          <w:szCs w:val="18"/>
        </w:rPr>
        <w:footnoteRef/>
      </w:r>
      <w:r>
        <w:rPr>
          <w:sz w:val="18"/>
          <w:szCs w:val="18"/>
        </w:rPr>
        <w:t xml:space="preserve"> </w:t>
      </w:r>
      <w:r w:rsidRPr="00C66457">
        <w:rPr>
          <w:sz w:val="18"/>
          <w:szCs w:val="18"/>
          <w:lang w:val="en-US"/>
        </w:rPr>
        <w:t>European Council conclusions, EUCO 23/13, March</w:t>
      </w:r>
      <w:r w:rsidRPr="00C66457">
        <w:rPr>
          <w:sz w:val="18"/>
          <w:szCs w:val="18"/>
        </w:rPr>
        <w:t xml:space="preserve"> 14, 2013: http://www.consilium.europa.eu/uedocs/cms_data/docs/pressdata/en/ec/136151.pdf</w:t>
      </w:r>
    </w:p>
  </w:footnote>
  <w:footnote w:id="7">
    <w:p w:rsidR="00D45640" w:rsidRPr="00372667" w:rsidRDefault="00D45640" w:rsidP="00217F80">
      <w:pPr>
        <w:pStyle w:val="FootnoteText"/>
        <w:jc w:val="left"/>
        <w:rPr>
          <w:sz w:val="18"/>
          <w:szCs w:val="18"/>
        </w:rPr>
      </w:pPr>
      <w:r>
        <w:rPr>
          <w:rStyle w:val="FootnoteReference"/>
          <w:sz w:val="18"/>
          <w:szCs w:val="18"/>
        </w:rPr>
        <w:footnoteRef/>
      </w:r>
      <w:r>
        <w:rPr>
          <w:sz w:val="18"/>
          <w:szCs w:val="18"/>
        </w:rPr>
        <w:t xml:space="preserve"> </w:t>
      </w:r>
      <w:bookmarkStart w:id="3" w:name="OLE_LINK20"/>
      <w:bookmarkStart w:id="4" w:name="OLE_LINK21"/>
      <w:r>
        <w:rPr>
          <w:sz w:val="18"/>
          <w:szCs w:val="18"/>
        </w:rPr>
        <w:t xml:space="preserve">EK Ģenerālsekretariāta vēstule ES dalībvalstīm par NRP pamatnostādnēm un vēstules pielikums, </w:t>
      </w:r>
      <w:bookmarkEnd w:id="3"/>
      <w:bookmarkEnd w:id="4"/>
      <w:r>
        <w:rPr>
          <w:sz w:val="18"/>
          <w:szCs w:val="18"/>
        </w:rPr>
        <w:t xml:space="preserve">D(2011), </w:t>
      </w:r>
      <w:proofErr w:type="spellStart"/>
      <w:r w:rsidRPr="00372667">
        <w:rPr>
          <w:sz w:val="18"/>
          <w:szCs w:val="18"/>
          <w:lang w:eastAsia="lv-LV"/>
        </w:rPr>
        <w:t>Ref</w:t>
      </w:r>
      <w:proofErr w:type="spellEnd"/>
      <w:r w:rsidRPr="00372667">
        <w:rPr>
          <w:sz w:val="18"/>
          <w:szCs w:val="18"/>
          <w:lang w:eastAsia="lv-LV"/>
        </w:rPr>
        <w:t>. Ares(201</w:t>
      </w:r>
      <w:r>
        <w:rPr>
          <w:sz w:val="18"/>
          <w:szCs w:val="18"/>
          <w:lang w:eastAsia="lv-LV"/>
        </w:rPr>
        <w:t>3</w:t>
      </w:r>
      <w:r w:rsidRPr="00372667">
        <w:rPr>
          <w:sz w:val="18"/>
          <w:szCs w:val="18"/>
          <w:lang w:eastAsia="lv-LV"/>
        </w:rPr>
        <w:t>)</w:t>
      </w:r>
      <w:r>
        <w:rPr>
          <w:sz w:val="18"/>
          <w:szCs w:val="18"/>
          <w:lang w:eastAsia="lv-LV"/>
        </w:rPr>
        <w:t>38899,</w:t>
      </w:r>
      <w:r w:rsidRPr="00372667">
        <w:rPr>
          <w:sz w:val="18"/>
          <w:szCs w:val="18"/>
        </w:rPr>
        <w:t xml:space="preserve"> </w:t>
      </w:r>
      <w:r>
        <w:rPr>
          <w:sz w:val="18"/>
          <w:szCs w:val="18"/>
        </w:rPr>
        <w:t>14</w:t>
      </w:r>
      <w:r w:rsidRPr="00372667">
        <w:rPr>
          <w:sz w:val="18"/>
          <w:szCs w:val="18"/>
        </w:rPr>
        <w:t>.</w:t>
      </w:r>
      <w:r>
        <w:rPr>
          <w:sz w:val="18"/>
          <w:szCs w:val="18"/>
        </w:rPr>
        <w:t>01</w:t>
      </w:r>
      <w:r w:rsidRPr="00372667">
        <w:rPr>
          <w:sz w:val="18"/>
          <w:szCs w:val="18"/>
        </w:rPr>
        <w:t>.201</w:t>
      </w:r>
      <w:r>
        <w:rPr>
          <w:sz w:val="18"/>
          <w:szCs w:val="18"/>
        </w:rPr>
        <w:t>3</w:t>
      </w:r>
      <w:r w:rsidRPr="00372667">
        <w:rPr>
          <w:sz w:val="18"/>
          <w:szCs w:val="18"/>
        </w:rPr>
        <w:t>.</w:t>
      </w:r>
    </w:p>
  </w:footnote>
  <w:footnote w:id="8">
    <w:p w:rsidR="00D45640" w:rsidRPr="007242B4" w:rsidRDefault="00D45640" w:rsidP="00CB5533">
      <w:pPr>
        <w:pStyle w:val="FootnoteText"/>
        <w:rPr>
          <w:sz w:val="18"/>
          <w:szCs w:val="18"/>
        </w:rPr>
      </w:pPr>
      <w:r w:rsidRPr="007242B4">
        <w:rPr>
          <w:rStyle w:val="FootnoteReference"/>
          <w:sz w:val="18"/>
          <w:szCs w:val="18"/>
        </w:rPr>
        <w:footnoteRef/>
      </w:r>
      <w:r w:rsidRPr="007242B4">
        <w:rPr>
          <w:sz w:val="18"/>
          <w:szCs w:val="18"/>
        </w:rPr>
        <w:t xml:space="preserve"> Ministru kabineta 2012.gada 9.oktobra sēdes protokols Nr.56 22.§ „Informatīvais ziņojums par valsts fondēto pensiju shēmas darbības izvērtējumu”.</w:t>
      </w:r>
    </w:p>
  </w:footnote>
  <w:footnote w:id="9">
    <w:p w:rsidR="00D45640" w:rsidRPr="007242B4" w:rsidRDefault="00D45640" w:rsidP="00CB5533">
      <w:pPr>
        <w:pStyle w:val="FootnoteText"/>
        <w:rPr>
          <w:sz w:val="18"/>
          <w:szCs w:val="18"/>
        </w:rPr>
      </w:pPr>
      <w:r w:rsidRPr="007242B4">
        <w:rPr>
          <w:rStyle w:val="FootnoteReference"/>
          <w:sz w:val="18"/>
          <w:szCs w:val="18"/>
        </w:rPr>
        <w:footnoteRef/>
      </w:r>
      <w:r w:rsidRPr="007242B4">
        <w:rPr>
          <w:sz w:val="18"/>
          <w:szCs w:val="18"/>
        </w:rPr>
        <w:t xml:space="preserve"> Grozījumi Valsts fondēto pensiju likumā jāiesniedz Ministru kabinetā līdz 2013.gada 1.jūnijam.</w:t>
      </w:r>
    </w:p>
  </w:footnote>
  <w:footnote w:id="10">
    <w:p w:rsidR="00D45640" w:rsidRDefault="00D45640" w:rsidP="007242B4">
      <w:pPr>
        <w:pStyle w:val="FootnoteText"/>
      </w:pPr>
      <w:r>
        <w:rPr>
          <w:rStyle w:val="FootnoteReference"/>
          <w:sz w:val="18"/>
          <w:szCs w:val="18"/>
        </w:rPr>
        <w:footnoteRef/>
      </w:r>
      <w:r>
        <w:rPr>
          <w:sz w:val="18"/>
          <w:szCs w:val="18"/>
        </w:rPr>
        <w:t xml:space="preserve"> Pieņēmumi ir balstīti uz reģistrētā bezdarba statistiku.</w:t>
      </w:r>
    </w:p>
  </w:footnote>
  <w:footnote w:id="11">
    <w:p w:rsidR="00D45640" w:rsidRPr="00F24A81" w:rsidRDefault="00D45640" w:rsidP="00FA5C6D">
      <w:pPr>
        <w:pStyle w:val="FootnoteText"/>
        <w:rPr>
          <w:sz w:val="18"/>
          <w:szCs w:val="18"/>
        </w:rPr>
      </w:pPr>
      <w:r w:rsidRPr="00F24A81">
        <w:rPr>
          <w:rStyle w:val="FootnoteReference"/>
          <w:sz w:val="18"/>
          <w:szCs w:val="18"/>
        </w:rPr>
        <w:footnoteRef/>
      </w:r>
      <w:r w:rsidRPr="00F24A81">
        <w:rPr>
          <w:sz w:val="18"/>
          <w:szCs w:val="18"/>
        </w:rPr>
        <w:t xml:space="preserve"> Saskaņā ar 30.03.2010. MK noteikumiem Nr.299 "Noteikumi par ģimenes vai atsevišķi dzīvojošas personas atzīšanu par trūcīgu" ģimene (persona) atzīstama par trūcīgu, ja tās vidējie ienākumi katram ģimenes loceklim mēnesī pēdējo triju mēnešu laikā nepārsniedz 90 latus, ņemot vērā papildus nosacījumus par īpašumu, pakalpojumu saņemšanu institūcijās un reģistrāciju NVA.</w:t>
      </w:r>
    </w:p>
  </w:footnote>
  <w:footnote w:id="12">
    <w:p w:rsidR="00D45640" w:rsidRPr="00F0647F" w:rsidRDefault="00D45640" w:rsidP="00F0647F">
      <w:pPr>
        <w:pStyle w:val="FootnoteText"/>
        <w:rPr>
          <w:color w:val="000000"/>
          <w:sz w:val="18"/>
          <w:szCs w:val="18"/>
          <w:lang w:eastAsia="lv-LV"/>
        </w:rPr>
      </w:pPr>
      <w:r w:rsidRPr="00F0647F">
        <w:rPr>
          <w:rStyle w:val="FootnoteReference"/>
          <w:sz w:val="18"/>
          <w:szCs w:val="18"/>
        </w:rPr>
        <w:footnoteRef/>
      </w:r>
      <w:r w:rsidRPr="00F0647F">
        <w:rPr>
          <w:sz w:val="18"/>
          <w:szCs w:val="18"/>
        </w:rPr>
        <w:t xml:space="preserve"> </w:t>
      </w:r>
      <w:r w:rsidRPr="00F0647F">
        <w:rPr>
          <w:color w:val="000000"/>
          <w:sz w:val="18"/>
          <w:szCs w:val="18"/>
          <w:lang w:eastAsia="lv-LV"/>
        </w:rPr>
        <w:t>Labklājības ministres 04.04.2013 rīkojums Nr.24 „Par nabadzības, sociālās atstumtības un nevienlīdzības mazināšanas priekšlikumu izstrādes darba grupa izveidi”</w:t>
      </w:r>
      <w:r>
        <w:rPr>
          <w:color w:val="000000"/>
          <w:sz w:val="18"/>
          <w:szCs w:val="18"/>
          <w:lang w:eastAsia="lv-LV"/>
        </w:rPr>
        <w:t>.</w:t>
      </w:r>
    </w:p>
    <w:p w:rsidR="00D45640" w:rsidRDefault="00D45640" w:rsidP="00F0647F">
      <w:pPr>
        <w:pStyle w:val="FootnoteText"/>
      </w:pPr>
    </w:p>
  </w:footnote>
  <w:footnote w:id="13">
    <w:p w:rsidR="005D51C5" w:rsidRDefault="005D51C5" w:rsidP="005D51C5">
      <w:pPr>
        <w:pStyle w:val="FootnoteText"/>
        <w:rPr>
          <w:sz w:val="18"/>
          <w:szCs w:val="18"/>
        </w:rPr>
      </w:pPr>
      <w:r>
        <w:rPr>
          <w:rStyle w:val="FootnoteReference"/>
          <w:sz w:val="18"/>
          <w:szCs w:val="18"/>
        </w:rPr>
        <w:footnoteRef/>
      </w:r>
      <w:r>
        <w:rPr>
          <w:sz w:val="18"/>
          <w:szCs w:val="18"/>
        </w:rPr>
        <w:t xml:space="preserve"> </w:t>
      </w:r>
      <w:proofErr w:type="spellStart"/>
      <w:r>
        <w:rPr>
          <w:sz w:val="18"/>
          <w:szCs w:val="18"/>
        </w:rPr>
        <w:t>European</w:t>
      </w:r>
      <w:proofErr w:type="spellEnd"/>
      <w:r>
        <w:rPr>
          <w:sz w:val="18"/>
          <w:szCs w:val="18"/>
        </w:rPr>
        <w:t xml:space="preserve"> </w:t>
      </w:r>
      <w:proofErr w:type="spellStart"/>
      <w:r>
        <w:rPr>
          <w:sz w:val="18"/>
          <w:szCs w:val="18"/>
        </w:rPr>
        <w:t>Qulaity</w:t>
      </w:r>
      <w:proofErr w:type="spellEnd"/>
      <w:r>
        <w:rPr>
          <w:sz w:val="18"/>
          <w:szCs w:val="18"/>
        </w:rPr>
        <w:t xml:space="preserve"> </w:t>
      </w:r>
      <w:proofErr w:type="spellStart"/>
      <w:r>
        <w:rPr>
          <w:sz w:val="18"/>
          <w:szCs w:val="18"/>
        </w:rPr>
        <w:t>Assurance</w:t>
      </w:r>
      <w:proofErr w:type="spellEnd"/>
      <w:r>
        <w:rPr>
          <w:sz w:val="18"/>
          <w:szCs w:val="18"/>
        </w:rPr>
        <w:t xml:space="preserve"> </w:t>
      </w:r>
      <w:proofErr w:type="spellStart"/>
      <w:r>
        <w:rPr>
          <w:sz w:val="18"/>
          <w:szCs w:val="18"/>
        </w:rPr>
        <w:t>Register</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Higher</w:t>
      </w:r>
      <w:proofErr w:type="spellEnd"/>
      <w:r>
        <w:rPr>
          <w:sz w:val="18"/>
          <w:szCs w:val="18"/>
        </w:rPr>
        <w:t xml:space="preserve"> </w:t>
      </w:r>
      <w:proofErr w:type="spellStart"/>
      <w:r>
        <w:rPr>
          <w:sz w:val="18"/>
          <w:szCs w:val="18"/>
        </w:rPr>
        <w:t>Education</w:t>
      </w:r>
      <w:proofErr w:type="spellEnd"/>
      <w:r>
        <w:rPr>
          <w:sz w:val="18"/>
          <w:szCs w:val="18"/>
        </w:rPr>
        <w:t>.</w:t>
      </w:r>
    </w:p>
  </w:footnote>
  <w:footnote w:id="14">
    <w:p w:rsidR="003F132A" w:rsidRDefault="003F132A" w:rsidP="003F132A">
      <w:pPr>
        <w:pStyle w:val="FootnoteText"/>
      </w:pPr>
      <w:r>
        <w:rPr>
          <w:rStyle w:val="FootnoteReference"/>
          <w:sz w:val="18"/>
          <w:szCs w:val="18"/>
        </w:rPr>
        <w:footnoteRef/>
      </w:r>
      <w:r>
        <w:rPr>
          <w:sz w:val="18"/>
          <w:szCs w:val="18"/>
        </w:rPr>
        <w:t xml:space="preserve"> EM katru gadu sagatavo informatīvo ziņojumu par darba tirgus prognozēm, kas tiek ņemts vērā IZM un NVA piedāvājuma koriģēšanā.</w:t>
      </w:r>
    </w:p>
  </w:footnote>
  <w:footnote w:id="15">
    <w:p w:rsidR="00D45640" w:rsidRPr="00C52A2A" w:rsidRDefault="00D45640" w:rsidP="005B0BAD">
      <w:pPr>
        <w:pStyle w:val="FootnoteText"/>
        <w:rPr>
          <w:sz w:val="18"/>
          <w:szCs w:val="18"/>
        </w:rPr>
      </w:pPr>
      <w:r w:rsidRPr="00C52A2A">
        <w:rPr>
          <w:rStyle w:val="FootnoteReference"/>
          <w:sz w:val="18"/>
          <w:szCs w:val="18"/>
        </w:rPr>
        <w:footnoteRef/>
      </w:r>
      <w:r w:rsidRPr="00C52A2A">
        <w:rPr>
          <w:sz w:val="18"/>
          <w:szCs w:val="18"/>
        </w:rPr>
        <w:t xml:space="preserve"> Kā viens no publiskās pārvaldes modernizāciju veicinošiem instrumentiem ir uzskatāms „klusēšanas-piekrišanas” princips. Tas nosaka, ka gadījumā, ja noteiktajā termiņā nav saņemta atbildīgās iestādes atbilde uz atļaujas pieteikumu, uzskatāms, ka atļauja pakalpojumu sniedzējam ir piešķirta un pakalpojuma sniedzējs ir tiesīgs uzsākt pakalpojuma sniegšanu.</w:t>
      </w:r>
    </w:p>
  </w:footnote>
  <w:footnote w:id="16">
    <w:p w:rsidR="00D45640" w:rsidRPr="00062933" w:rsidRDefault="00D45640" w:rsidP="005B0BAD">
      <w:pPr>
        <w:pStyle w:val="FootnoteText"/>
      </w:pPr>
      <w:r w:rsidRPr="00062933">
        <w:rPr>
          <w:rStyle w:val="FootnoteReference"/>
        </w:rPr>
        <w:footnoteRef/>
      </w:r>
      <w:r w:rsidRPr="00062933">
        <w:t xml:space="preserve"> </w:t>
      </w:r>
      <w:r w:rsidRPr="00062933">
        <w:rPr>
          <w:sz w:val="18"/>
          <w:szCs w:val="18"/>
        </w:rPr>
        <w:t xml:space="preserve">Latvijā par platjoslas pieslēgumu atzīta piekļuve, kas pastāvīgi ir tiešsaistes režīmā un kuras datu pārraides ātrums ir ne mazāks par 144 </w:t>
      </w:r>
      <w:proofErr w:type="spellStart"/>
      <w:r w:rsidRPr="00062933">
        <w:rPr>
          <w:sz w:val="18"/>
          <w:szCs w:val="18"/>
        </w:rPr>
        <w:t>Kbit</w:t>
      </w:r>
      <w:proofErr w:type="spellEnd"/>
      <w:r w:rsidRPr="00062933">
        <w:rPr>
          <w:sz w:val="18"/>
          <w:szCs w:val="18"/>
        </w:rPr>
        <w:t>/s, pamata platjoslas ātrums ir 2 Mbit/s, augsta ātruma platjosla – 30 Mbit/s un ļoti augsta ātruma platjosla – 100 Mbit/</w:t>
      </w:r>
      <w:proofErr w:type="spellStart"/>
      <w:r w:rsidRPr="00062933">
        <w:rPr>
          <w:sz w:val="18"/>
          <w:szCs w:val="18"/>
        </w:rPr>
        <w:t>s</w:t>
      </w:r>
      <w:proofErr w:type="spellEnd"/>
      <w:r w:rsidRPr="00062933">
        <w:rPr>
          <w:sz w:val="18"/>
          <w:szCs w:val="18"/>
        </w:rPr>
        <w:t>.</w:t>
      </w:r>
    </w:p>
  </w:footnote>
  <w:footnote w:id="17">
    <w:p w:rsidR="00D45640" w:rsidRDefault="00D45640" w:rsidP="009A044F">
      <w:pPr>
        <w:pStyle w:val="FootnoteText"/>
      </w:pPr>
      <w:r>
        <w:rPr>
          <w:rStyle w:val="FootnoteReference"/>
          <w:sz w:val="18"/>
          <w:szCs w:val="18"/>
        </w:rPr>
        <w:footnoteRef/>
      </w:r>
      <w:r>
        <w:rPr>
          <w:sz w:val="18"/>
          <w:szCs w:val="18"/>
        </w:rPr>
        <w:t xml:space="preserve"> EM katru gadu sagatavo informatīvo ziņojumu par darba tirgus prognozēm, kas tiek ņemts vērā IZM un NVA piedāvājuma koriģēšanā.</w:t>
      </w:r>
    </w:p>
  </w:footnote>
  <w:footnote w:id="18">
    <w:p w:rsidR="00D45640" w:rsidRDefault="00D45640" w:rsidP="009A044F">
      <w:pPr>
        <w:pStyle w:val="FootnoteText"/>
        <w:rPr>
          <w:sz w:val="18"/>
          <w:szCs w:val="18"/>
        </w:rPr>
      </w:pPr>
      <w:r>
        <w:rPr>
          <w:rStyle w:val="FootnoteReference"/>
          <w:sz w:val="18"/>
          <w:szCs w:val="18"/>
        </w:rPr>
        <w:footnoteRef/>
      </w:r>
      <w:r>
        <w:rPr>
          <w:sz w:val="18"/>
          <w:szCs w:val="18"/>
        </w:rPr>
        <w:t xml:space="preserve"> Ieskaitot finansējumu īstermiņa konkurētspējas uzlabošanas programmām (karjeras konsultācijas un konkurētspējas paaugstināšanas pasākumi). </w:t>
      </w:r>
    </w:p>
  </w:footnote>
  <w:footnote w:id="19">
    <w:p w:rsidR="00D45640" w:rsidRPr="008C17F8" w:rsidRDefault="00D45640" w:rsidP="008C17F8">
      <w:pPr>
        <w:pStyle w:val="NormalWeb"/>
        <w:spacing w:after="0"/>
        <w:rPr>
          <w:rFonts w:eastAsia="Calibri"/>
          <w:color w:val="000000"/>
          <w:sz w:val="18"/>
          <w:szCs w:val="18"/>
          <w:lang w:eastAsia="en-US"/>
        </w:rPr>
      </w:pPr>
      <w:r w:rsidRPr="008C17F8">
        <w:rPr>
          <w:rStyle w:val="FootnoteReference"/>
          <w:sz w:val="18"/>
          <w:szCs w:val="18"/>
        </w:rPr>
        <w:footnoteRef/>
      </w:r>
      <w:r w:rsidRPr="008C17F8">
        <w:rPr>
          <w:sz w:val="18"/>
          <w:szCs w:val="18"/>
        </w:rPr>
        <w:t xml:space="preserve"> </w:t>
      </w:r>
      <w:proofErr w:type="spellStart"/>
      <w:r w:rsidRPr="008C17F8">
        <w:rPr>
          <w:rFonts w:eastAsia="Calibri"/>
          <w:color w:val="000000"/>
          <w:sz w:val="18"/>
          <w:szCs w:val="18"/>
          <w:lang w:eastAsia="en-US"/>
        </w:rPr>
        <w:t>Council</w:t>
      </w:r>
      <w:proofErr w:type="spellEnd"/>
      <w:r w:rsidRPr="008C17F8">
        <w:rPr>
          <w:rFonts w:eastAsia="Calibri"/>
          <w:color w:val="000000"/>
          <w:sz w:val="18"/>
          <w:szCs w:val="18"/>
          <w:lang w:eastAsia="en-US"/>
        </w:rPr>
        <w:t xml:space="preserve"> </w:t>
      </w:r>
      <w:proofErr w:type="spellStart"/>
      <w:r w:rsidRPr="008C17F8">
        <w:rPr>
          <w:rFonts w:eastAsia="Calibri"/>
          <w:color w:val="000000"/>
          <w:sz w:val="18"/>
          <w:szCs w:val="18"/>
          <w:lang w:eastAsia="en-US"/>
        </w:rPr>
        <w:t>Resolution</w:t>
      </w:r>
      <w:proofErr w:type="spellEnd"/>
      <w:r w:rsidRPr="008C17F8">
        <w:rPr>
          <w:rFonts w:eastAsia="Calibri"/>
          <w:color w:val="000000"/>
          <w:sz w:val="18"/>
          <w:szCs w:val="18"/>
          <w:lang w:eastAsia="en-US"/>
        </w:rPr>
        <w:t xml:space="preserve"> </w:t>
      </w:r>
      <w:proofErr w:type="spellStart"/>
      <w:r w:rsidRPr="008C17F8">
        <w:rPr>
          <w:rFonts w:eastAsia="Calibri"/>
          <w:color w:val="000000"/>
          <w:sz w:val="18"/>
          <w:szCs w:val="18"/>
          <w:lang w:eastAsia="en-US"/>
        </w:rPr>
        <w:t>on</w:t>
      </w:r>
      <w:proofErr w:type="spellEnd"/>
      <w:r w:rsidRPr="008C17F8">
        <w:rPr>
          <w:rFonts w:eastAsia="Calibri"/>
          <w:color w:val="000000"/>
          <w:sz w:val="18"/>
          <w:szCs w:val="18"/>
          <w:lang w:eastAsia="en-US"/>
        </w:rPr>
        <w:t xml:space="preserve"> a </w:t>
      </w:r>
      <w:proofErr w:type="spellStart"/>
      <w:r w:rsidRPr="008C17F8">
        <w:rPr>
          <w:rFonts w:eastAsia="Calibri"/>
          <w:color w:val="000000"/>
          <w:sz w:val="18"/>
          <w:szCs w:val="18"/>
          <w:lang w:eastAsia="en-US"/>
        </w:rPr>
        <w:t>renewed</w:t>
      </w:r>
      <w:proofErr w:type="spellEnd"/>
      <w:r w:rsidRPr="008C17F8">
        <w:rPr>
          <w:rFonts w:eastAsia="Calibri"/>
          <w:color w:val="000000"/>
          <w:sz w:val="18"/>
          <w:szCs w:val="18"/>
          <w:lang w:eastAsia="en-US"/>
        </w:rPr>
        <w:t xml:space="preserve"> </w:t>
      </w:r>
      <w:proofErr w:type="spellStart"/>
      <w:r w:rsidRPr="008C17F8">
        <w:rPr>
          <w:rFonts w:eastAsia="Calibri"/>
          <w:color w:val="000000"/>
          <w:sz w:val="18"/>
          <w:szCs w:val="18"/>
          <w:lang w:eastAsia="en-US"/>
        </w:rPr>
        <w:t>European</w:t>
      </w:r>
      <w:proofErr w:type="spellEnd"/>
      <w:r w:rsidRPr="008C17F8">
        <w:rPr>
          <w:rFonts w:eastAsia="Calibri"/>
          <w:color w:val="000000"/>
          <w:sz w:val="18"/>
          <w:szCs w:val="18"/>
          <w:lang w:eastAsia="en-US"/>
        </w:rPr>
        <w:t xml:space="preserve"> </w:t>
      </w:r>
      <w:proofErr w:type="spellStart"/>
      <w:r w:rsidRPr="008C17F8">
        <w:rPr>
          <w:rFonts w:eastAsia="Calibri"/>
          <w:color w:val="000000"/>
          <w:sz w:val="18"/>
          <w:szCs w:val="18"/>
          <w:lang w:eastAsia="en-US"/>
        </w:rPr>
        <w:t>agenda</w:t>
      </w:r>
      <w:proofErr w:type="spellEnd"/>
      <w:r w:rsidRPr="008C17F8">
        <w:rPr>
          <w:rFonts w:eastAsia="Calibri"/>
          <w:color w:val="000000"/>
          <w:sz w:val="18"/>
          <w:szCs w:val="18"/>
          <w:lang w:eastAsia="en-US"/>
        </w:rPr>
        <w:t xml:space="preserve"> </w:t>
      </w:r>
      <w:proofErr w:type="spellStart"/>
      <w:r w:rsidRPr="008C17F8">
        <w:rPr>
          <w:rFonts w:eastAsia="Calibri"/>
          <w:color w:val="000000"/>
          <w:sz w:val="18"/>
          <w:szCs w:val="18"/>
          <w:lang w:eastAsia="en-US"/>
        </w:rPr>
        <w:t>for</w:t>
      </w:r>
      <w:proofErr w:type="spellEnd"/>
      <w:r w:rsidRPr="008C17F8">
        <w:rPr>
          <w:rFonts w:eastAsia="Calibri"/>
          <w:color w:val="000000"/>
          <w:sz w:val="18"/>
          <w:szCs w:val="18"/>
          <w:lang w:eastAsia="en-US"/>
        </w:rPr>
        <w:t xml:space="preserve"> </w:t>
      </w:r>
      <w:proofErr w:type="spellStart"/>
      <w:r w:rsidRPr="008C17F8">
        <w:rPr>
          <w:rFonts w:eastAsia="Calibri"/>
          <w:color w:val="000000"/>
          <w:sz w:val="18"/>
          <w:szCs w:val="18"/>
          <w:lang w:eastAsia="en-US"/>
        </w:rPr>
        <w:t>adult</w:t>
      </w:r>
      <w:proofErr w:type="spellEnd"/>
      <w:r w:rsidRPr="008C17F8">
        <w:rPr>
          <w:rFonts w:eastAsia="Calibri"/>
          <w:color w:val="000000"/>
          <w:sz w:val="18"/>
          <w:szCs w:val="18"/>
          <w:lang w:eastAsia="en-US"/>
        </w:rPr>
        <w:t xml:space="preserve"> </w:t>
      </w:r>
      <w:proofErr w:type="spellStart"/>
      <w:r w:rsidRPr="008C17F8">
        <w:rPr>
          <w:rFonts w:eastAsia="Calibri"/>
          <w:color w:val="000000"/>
          <w:sz w:val="18"/>
          <w:szCs w:val="18"/>
          <w:lang w:eastAsia="en-US"/>
        </w:rPr>
        <w:t>learning</w:t>
      </w:r>
      <w:proofErr w:type="spellEnd"/>
      <w:r>
        <w:rPr>
          <w:rFonts w:eastAsia="Calibri"/>
          <w:color w:val="000000"/>
          <w:sz w:val="18"/>
          <w:szCs w:val="18"/>
          <w:lang w:eastAsia="en-US"/>
        </w:rPr>
        <w:t xml:space="preserve"> </w:t>
      </w:r>
      <w:r w:rsidRPr="008C17F8">
        <w:rPr>
          <w:rFonts w:eastAsia="Calibri"/>
          <w:color w:val="000000"/>
          <w:sz w:val="18"/>
          <w:szCs w:val="18"/>
          <w:lang w:eastAsia="en-US"/>
        </w:rPr>
        <w:t>(</w:t>
      </w:r>
      <w:proofErr w:type="spellStart"/>
      <w:r w:rsidRPr="008C17F8">
        <w:rPr>
          <w:rFonts w:eastAsia="Calibri"/>
          <w:color w:val="000000"/>
          <w:sz w:val="18"/>
          <w:szCs w:val="18"/>
          <w:lang w:eastAsia="en-US"/>
        </w:rPr>
        <w:t>November</w:t>
      </w:r>
      <w:proofErr w:type="spellEnd"/>
      <w:r w:rsidRPr="008C17F8">
        <w:rPr>
          <w:rFonts w:eastAsia="Calibri"/>
          <w:color w:val="000000"/>
          <w:sz w:val="18"/>
          <w:szCs w:val="18"/>
          <w:lang w:eastAsia="en-US"/>
        </w:rPr>
        <w:t xml:space="preserve"> 2011).</w:t>
      </w:r>
    </w:p>
  </w:footnote>
  <w:footnote w:id="20">
    <w:p w:rsidR="00D45640" w:rsidRPr="00E359DA" w:rsidRDefault="00D45640" w:rsidP="00421902">
      <w:pPr>
        <w:pStyle w:val="FootnoteText"/>
        <w:rPr>
          <w:sz w:val="18"/>
          <w:szCs w:val="18"/>
        </w:rPr>
      </w:pPr>
      <w:r w:rsidRPr="00E359DA">
        <w:rPr>
          <w:rStyle w:val="FootnoteReference"/>
          <w:sz w:val="18"/>
          <w:szCs w:val="18"/>
        </w:rPr>
        <w:footnoteRef/>
      </w:r>
      <w:r>
        <w:rPr>
          <w:sz w:val="18"/>
          <w:szCs w:val="18"/>
        </w:rPr>
        <w:t xml:space="preserve"> 20</w:t>
      </w:r>
      <w:r w:rsidRPr="00E359DA">
        <w:rPr>
          <w:sz w:val="18"/>
          <w:szCs w:val="18"/>
        </w:rPr>
        <w:t>% n</w:t>
      </w:r>
      <w:r>
        <w:rPr>
          <w:sz w:val="18"/>
          <w:szCs w:val="18"/>
        </w:rPr>
        <w:t>o 100 latiem, līdz 31.12.2012. – 20</w:t>
      </w:r>
      <w:r w:rsidRPr="00E359DA">
        <w:rPr>
          <w:sz w:val="18"/>
          <w:szCs w:val="18"/>
        </w:rPr>
        <w:t xml:space="preserve">% no 50 </w:t>
      </w:r>
      <w:r>
        <w:rPr>
          <w:sz w:val="18"/>
          <w:szCs w:val="18"/>
        </w:rPr>
        <w:t>latiem.</w:t>
      </w:r>
    </w:p>
  </w:footnote>
  <w:footnote w:id="21">
    <w:p w:rsidR="00D45640" w:rsidRPr="00E359DA" w:rsidRDefault="00D45640" w:rsidP="00421902">
      <w:pPr>
        <w:pStyle w:val="FootnoteText"/>
        <w:rPr>
          <w:sz w:val="18"/>
          <w:szCs w:val="18"/>
        </w:rPr>
      </w:pPr>
      <w:r w:rsidRPr="00E359DA">
        <w:rPr>
          <w:rStyle w:val="FootnoteReference"/>
          <w:sz w:val="18"/>
          <w:szCs w:val="18"/>
        </w:rPr>
        <w:footnoteRef/>
      </w:r>
      <w:r w:rsidRPr="00E359DA">
        <w:rPr>
          <w:sz w:val="18"/>
          <w:szCs w:val="18"/>
        </w:rPr>
        <w:t xml:space="preserve"> 23,02 </w:t>
      </w:r>
      <w:r>
        <w:rPr>
          <w:sz w:val="18"/>
          <w:szCs w:val="18"/>
        </w:rPr>
        <w:t>lati</w:t>
      </w:r>
      <w:r w:rsidRPr="00E359DA">
        <w:rPr>
          <w:sz w:val="18"/>
          <w:szCs w:val="18"/>
        </w:rPr>
        <w:t xml:space="preserve"> dienā</w:t>
      </w:r>
      <w:r>
        <w:rPr>
          <w:sz w:val="18"/>
          <w:szCs w:val="18"/>
        </w:rPr>
        <w:t xml:space="preserve"> + 50</w:t>
      </w:r>
      <w:r w:rsidRPr="00E359DA">
        <w:rPr>
          <w:sz w:val="18"/>
          <w:szCs w:val="18"/>
        </w:rPr>
        <w:t xml:space="preserve">% no summas, kas pārsniedz 23,02 </w:t>
      </w:r>
      <w:r>
        <w:rPr>
          <w:sz w:val="18"/>
          <w:szCs w:val="18"/>
        </w:rPr>
        <w:t>latus</w:t>
      </w:r>
      <w:r w:rsidRPr="00E359DA">
        <w:rPr>
          <w:sz w:val="18"/>
          <w:szCs w:val="18"/>
        </w:rPr>
        <w:t xml:space="preserve"> dienā. Līdz 31.12.2012. – 11,51 </w:t>
      </w:r>
      <w:r>
        <w:rPr>
          <w:sz w:val="18"/>
          <w:szCs w:val="18"/>
        </w:rPr>
        <w:t>lati dienā + 50</w:t>
      </w:r>
      <w:r w:rsidRPr="00E359DA">
        <w:rPr>
          <w:sz w:val="18"/>
          <w:szCs w:val="18"/>
        </w:rPr>
        <w:t xml:space="preserve">% no summas, kas pārsniedz 11,51 </w:t>
      </w:r>
      <w:r>
        <w:rPr>
          <w:sz w:val="18"/>
          <w:szCs w:val="18"/>
        </w:rPr>
        <w:t>latus</w:t>
      </w:r>
      <w:r w:rsidRPr="00E359DA">
        <w:rPr>
          <w:sz w:val="18"/>
          <w:szCs w:val="18"/>
        </w:rPr>
        <w:t xml:space="preserve"> dienā</w:t>
      </w:r>
      <w:r>
        <w:rPr>
          <w:sz w:val="18"/>
          <w:szCs w:val="18"/>
        </w:rPr>
        <w:t>.</w:t>
      </w:r>
    </w:p>
  </w:footnote>
  <w:footnote w:id="22">
    <w:p w:rsidR="00D45640" w:rsidRPr="000B0287" w:rsidRDefault="00D45640" w:rsidP="00421902">
      <w:pPr>
        <w:rPr>
          <w:sz w:val="18"/>
          <w:szCs w:val="18"/>
        </w:rPr>
      </w:pPr>
      <w:r w:rsidRPr="000B0287">
        <w:rPr>
          <w:rStyle w:val="FootnoteReference"/>
          <w:sz w:val="18"/>
          <w:szCs w:val="18"/>
        </w:rPr>
        <w:footnoteRef/>
      </w:r>
      <w:r w:rsidRPr="000B0287">
        <w:rPr>
          <w:sz w:val="18"/>
          <w:szCs w:val="18"/>
        </w:rPr>
        <w:t xml:space="preserve"> </w:t>
      </w:r>
      <w:proofErr w:type="spellStart"/>
      <w:r w:rsidRPr="000B0287">
        <w:rPr>
          <w:sz w:val="18"/>
          <w:szCs w:val="18"/>
        </w:rPr>
        <w:t>Eurostat</w:t>
      </w:r>
      <w:proofErr w:type="spellEnd"/>
      <w:r w:rsidRPr="000B0287">
        <w:rPr>
          <w:sz w:val="18"/>
          <w:szCs w:val="18"/>
        </w:rPr>
        <w:t xml:space="preserve"> dati: </w:t>
      </w:r>
      <w:proofErr w:type="spellStart"/>
      <w:r w:rsidRPr="000B0287">
        <w:rPr>
          <w:rStyle w:val="leftside"/>
          <w:sz w:val="18"/>
          <w:szCs w:val="18"/>
        </w:rPr>
        <w:t>Causes</w:t>
      </w:r>
      <w:proofErr w:type="spellEnd"/>
      <w:r w:rsidRPr="000B0287">
        <w:rPr>
          <w:rStyle w:val="leftside"/>
          <w:sz w:val="18"/>
          <w:szCs w:val="18"/>
        </w:rPr>
        <w:t xml:space="preserve"> </w:t>
      </w:r>
      <w:proofErr w:type="spellStart"/>
      <w:r w:rsidRPr="000B0287">
        <w:rPr>
          <w:rStyle w:val="leftside"/>
          <w:sz w:val="18"/>
          <w:szCs w:val="18"/>
        </w:rPr>
        <w:t>of</w:t>
      </w:r>
      <w:proofErr w:type="spellEnd"/>
      <w:r w:rsidRPr="000B0287">
        <w:rPr>
          <w:rStyle w:val="leftside"/>
          <w:sz w:val="18"/>
          <w:szCs w:val="18"/>
        </w:rPr>
        <w:t xml:space="preserve"> </w:t>
      </w:r>
      <w:proofErr w:type="spellStart"/>
      <w:r w:rsidRPr="000B0287">
        <w:rPr>
          <w:rStyle w:val="leftside"/>
          <w:sz w:val="18"/>
          <w:szCs w:val="18"/>
        </w:rPr>
        <w:t>death</w:t>
      </w:r>
      <w:proofErr w:type="spellEnd"/>
      <w:r w:rsidRPr="000B0287">
        <w:rPr>
          <w:rStyle w:val="leftside"/>
          <w:sz w:val="18"/>
          <w:szCs w:val="18"/>
        </w:rPr>
        <w:t xml:space="preserve"> </w:t>
      </w:r>
      <w:r>
        <w:rPr>
          <w:rStyle w:val="leftside"/>
          <w:sz w:val="18"/>
          <w:szCs w:val="18"/>
        </w:rPr>
        <w:t>–</w:t>
      </w:r>
      <w:r w:rsidRPr="000B0287">
        <w:rPr>
          <w:rStyle w:val="leftside"/>
          <w:sz w:val="18"/>
          <w:szCs w:val="18"/>
        </w:rPr>
        <w:t xml:space="preserve"> </w:t>
      </w:r>
      <w:proofErr w:type="spellStart"/>
      <w:r w:rsidRPr="000B0287">
        <w:rPr>
          <w:rStyle w:val="leftside"/>
          <w:sz w:val="18"/>
          <w:szCs w:val="18"/>
        </w:rPr>
        <w:t>Standardised</w:t>
      </w:r>
      <w:proofErr w:type="spellEnd"/>
      <w:r w:rsidRPr="000B0287">
        <w:rPr>
          <w:rStyle w:val="leftside"/>
          <w:sz w:val="18"/>
          <w:szCs w:val="18"/>
        </w:rPr>
        <w:t xml:space="preserve"> </w:t>
      </w:r>
      <w:proofErr w:type="spellStart"/>
      <w:r w:rsidRPr="000B0287">
        <w:rPr>
          <w:rStyle w:val="leftside"/>
          <w:sz w:val="18"/>
          <w:szCs w:val="18"/>
        </w:rPr>
        <w:t>death</w:t>
      </w:r>
      <w:proofErr w:type="spellEnd"/>
      <w:r w:rsidRPr="000B0287">
        <w:rPr>
          <w:rStyle w:val="leftside"/>
          <w:sz w:val="18"/>
          <w:szCs w:val="18"/>
        </w:rPr>
        <w:t xml:space="preserve"> </w:t>
      </w:r>
      <w:proofErr w:type="spellStart"/>
      <w:r w:rsidRPr="000B0287">
        <w:rPr>
          <w:rStyle w:val="leftside"/>
          <w:sz w:val="18"/>
          <w:szCs w:val="18"/>
        </w:rPr>
        <w:t>rate</w:t>
      </w:r>
      <w:proofErr w:type="spellEnd"/>
      <w:r w:rsidRPr="000B0287">
        <w:rPr>
          <w:rStyle w:val="leftside"/>
          <w:sz w:val="18"/>
          <w:szCs w:val="18"/>
        </w:rPr>
        <w:t xml:space="preserve"> (per 100,000 </w:t>
      </w:r>
      <w:proofErr w:type="spellStart"/>
      <w:r w:rsidRPr="000B0287">
        <w:rPr>
          <w:rStyle w:val="leftside"/>
          <w:sz w:val="18"/>
          <w:szCs w:val="18"/>
        </w:rPr>
        <w:t>inhabitants</w:t>
      </w:r>
      <w:proofErr w:type="spellEnd"/>
      <w:r w:rsidRPr="000B0287">
        <w:rPr>
          <w:rStyle w:val="leftside"/>
          <w:sz w:val="18"/>
          <w:szCs w:val="18"/>
        </w:rPr>
        <w:t>) (</w:t>
      </w:r>
      <w:proofErr w:type="spellStart"/>
      <w:r w:rsidRPr="000B0287">
        <w:rPr>
          <w:rStyle w:val="leftside"/>
          <w:sz w:val="18"/>
          <w:szCs w:val="18"/>
        </w:rPr>
        <w:t>Annual</w:t>
      </w:r>
      <w:proofErr w:type="spellEnd"/>
      <w:r w:rsidRPr="000B0287">
        <w:rPr>
          <w:rStyle w:val="leftside"/>
          <w:sz w:val="18"/>
          <w:szCs w:val="18"/>
        </w:rPr>
        <w:t xml:space="preserve"> </w:t>
      </w:r>
      <w:proofErr w:type="spellStart"/>
      <w:r w:rsidRPr="000B0287">
        <w:rPr>
          <w:rStyle w:val="leftside"/>
          <w:sz w:val="18"/>
          <w:szCs w:val="18"/>
        </w:rPr>
        <w:t>Data</w:t>
      </w:r>
      <w:proofErr w:type="spellEnd"/>
      <w:r w:rsidRPr="000B0287">
        <w:rPr>
          <w:rStyle w:val="leftside"/>
          <w:sz w:val="18"/>
          <w:szCs w:val="18"/>
        </w:rPr>
        <w:t>)</w:t>
      </w:r>
      <w:r w:rsidRPr="000B0287">
        <w:rPr>
          <w:rStyle w:val="rightside"/>
          <w:sz w:val="18"/>
          <w:szCs w:val="18"/>
        </w:rPr>
        <w:t xml:space="preserve">, </w:t>
      </w:r>
      <w:proofErr w:type="spellStart"/>
      <w:r w:rsidRPr="000B0287">
        <w:rPr>
          <w:rFonts w:eastAsia="Times New Roman"/>
          <w:sz w:val="18"/>
          <w:szCs w:val="18"/>
          <w:lang w:val="en-US"/>
        </w:rPr>
        <w:t>dati</w:t>
      </w:r>
      <w:proofErr w:type="spellEnd"/>
      <w:r w:rsidRPr="000B0287">
        <w:rPr>
          <w:rFonts w:eastAsia="Times New Roman"/>
          <w:sz w:val="18"/>
          <w:szCs w:val="18"/>
          <w:lang w:val="en-US"/>
        </w:rPr>
        <w:t xml:space="preserve"> </w:t>
      </w:r>
      <w:proofErr w:type="spellStart"/>
      <w:r w:rsidRPr="000B0287">
        <w:rPr>
          <w:rFonts w:eastAsia="Times New Roman"/>
          <w:sz w:val="18"/>
          <w:szCs w:val="18"/>
          <w:lang w:val="en-US"/>
        </w:rPr>
        <w:t>aplūkoti</w:t>
      </w:r>
      <w:proofErr w:type="spellEnd"/>
      <w:r w:rsidRPr="000B0287">
        <w:rPr>
          <w:rFonts w:eastAsia="Times New Roman"/>
          <w:sz w:val="18"/>
          <w:szCs w:val="18"/>
          <w:lang w:val="en-US"/>
        </w:rPr>
        <w:t xml:space="preserve"> 20</w:t>
      </w:r>
      <w:r>
        <w:rPr>
          <w:rFonts w:eastAsia="Times New Roman"/>
          <w:sz w:val="18"/>
          <w:szCs w:val="18"/>
          <w:lang w:val="en-US"/>
        </w:rPr>
        <w:t>.</w:t>
      </w:r>
      <w:r w:rsidRPr="000B0287">
        <w:rPr>
          <w:rFonts w:eastAsia="Times New Roman"/>
          <w:sz w:val="18"/>
          <w:szCs w:val="18"/>
          <w:lang w:val="en-US"/>
        </w:rPr>
        <w:t>02</w:t>
      </w:r>
      <w:r>
        <w:rPr>
          <w:rFonts w:eastAsia="Times New Roman"/>
          <w:sz w:val="18"/>
          <w:szCs w:val="18"/>
          <w:lang w:val="en-US"/>
        </w:rPr>
        <w:t>.</w:t>
      </w:r>
      <w:r w:rsidRPr="000B0287">
        <w:rPr>
          <w:rFonts w:eastAsia="Times New Roman"/>
          <w:sz w:val="18"/>
          <w:szCs w:val="18"/>
          <w:lang w:val="en-US"/>
        </w:rPr>
        <w:t>2013</w:t>
      </w:r>
      <w:r>
        <w:rPr>
          <w:rFonts w:eastAsia="Times New Roman"/>
          <w:sz w:val="18"/>
          <w:szCs w:val="18"/>
          <w:lang w:val="en-US"/>
        </w:rPr>
        <w:t>.</w:t>
      </w:r>
      <w:r w:rsidRPr="000B0287">
        <w:rPr>
          <w:rFonts w:eastAsia="Times New Roman"/>
          <w:sz w:val="18"/>
          <w:szCs w:val="18"/>
          <w:lang w:val="en-US"/>
        </w:rPr>
        <w:t xml:space="preserve"> </w:t>
      </w:r>
    </w:p>
  </w:footnote>
  <w:footnote w:id="23">
    <w:p w:rsidR="00D45640" w:rsidRDefault="00D45640" w:rsidP="00421902">
      <w:pPr>
        <w:pStyle w:val="FootnoteText"/>
      </w:pPr>
      <w:r>
        <w:rPr>
          <w:rStyle w:val="FootnoteReference"/>
        </w:rPr>
        <w:footnoteRef/>
      </w:r>
      <w:r>
        <w:t xml:space="preserve"> </w:t>
      </w:r>
      <w:r w:rsidRPr="00FC45AF">
        <w:t>Eiropas Parlamenta un Padomes 2012.gada 25.oktobra Direktīva 2012/27/ES par energoefektivitāti, ar ko groza Direktīvas 2009/125/EK un 2010/30/ES un atceļ Direktīvas 2004/8/EK un 2006/32/EK</w:t>
      </w:r>
      <w:r>
        <w:t>.</w:t>
      </w:r>
    </w:p>
  </w:footnote>
  <w:footnote w:id="24">
    <w:p w:rsidR="00D45640" w:rsidRPr="00E359DA" w:rsidRDefault="00D45640" w:rsidP="00421902">
      <w:pPr>
        <w:pStyle w:val="FootnoteText"/>
        <w:jc w:val="left"/>
        <w:rPr>
          <w:sz w:val="18"/>
          <w:szCs w:val="18"/>
        </w:rPr>
      </w:pPr>
      <w:r w:rsidRPr="00E359DA">
        <w:rPr>
          <w:rStyle w:val="FootnoteReference"/>
          <w:sz w:val="18"/>
          <w:szCs w:val="18"/>
        </w:rPr>
        <w:footnoteRef/>
      </w:r>
      <w:r w:rsidRPr="00E359DA">
        <w:rPr>
          <w:sz w:val="18"/>
          <w:szCs w:val="18"/>
        </w:rPr>
        <w:t xml:space="preserve"> Nozares, kas neietilpst ES </w:t>
      </w:r>
      <w:r>
        <w:rPr>
          <w:sz w:val="18"/>
          <w:szCs w:val="18"/>
        </w:rPr>
        <w:t>ETS</w:t>
      </w:r>
      <w:r w:rsidRPr="00E359DA">
        <w:rPr>
          <w:sz w:val="18"/>
          <w:szCs w:val="18"/>
        </w:rPr>
        <w:t>, piemēram, transports, maza apjoma rūpniecība un enerģētika, lauksaimniecība.</w:t>
      </w:r>
    </w:p>
  </w:footnote>
  <w:footnote w:id="25">
    <w:p w:rsidR="00D45640" w:rsidRPr="00E359DA" w:rsidRDefault="00D45640" w:rsidP="00421902">
      <w:pPr>
        <w:pStyle w:val="FootnoteText"/>
        <w:jc w:val="left"/>
        <w:rPr>
          <w:sz w:val="18"/>
          <w:szCs w:val="18"/>
        </w:rPr>
      </w:pPr>
      <w:r w:rsidRPr="00E359DA">
        <w:rPr>
          <w:rStyle w:val="FootnoteReference"/>
          <w:sz w:val="18"/>
          <w:szCs w:val="18"/>
        </w:rPr>
        <w:footnoteRef/>
      </w:r>
      <w:r w:rsidRPr="00E359DA">
        <w:rPr>
          <w:sz w:val="18"/>
          <w:szCs w:val="18"/>
        </w:rPr>
        <w:t xml:space="preserve"> ANO Vispārējās konvencijas par klimata pārmaiņām mājas lapā:</w:t>
      </w:r>
      <w:r>
        <w:rPr>
          <w:color w:val="FF0000"/>
          <w:sz w:val="18"/>
          <w:szCs w:val="18"/>
        </w:rPr>
        <w:t xml:space="preserve"> </w:t>
      </w:r>
      <w:r w:rsidRPr="009D5937">
        <w:rPr>
          <w:sz w:val="18"/>
          <w:szCs w:val="18"/>
        </w:rPr>
        <w:t>http://unfccc.int/national_reports/annex_i_ghg_inventories/national_inventories_submissions/items/6598.php</w:t>
      </w:r>
      <w:r>
        <w:rPr>
          <w:sz w:val="18"/>
          <w:szCs w:val="18"/>
        </w:rPr>
        <w:t>.</w:t>
      </w:r>
      <w:r w:rsidRPr="00E359DA">
        <w:rPr>
          <w:color w:val="FF0000"/>
          <w:sz w:val="18"/>
          <w:szCs w:val="18"/>
        </w:rPr>
        <w:t xml:space="preserve"> </w:t>
      </w:r>
    </w:p>
  </w:footnote>
  <w:footnote w:id="26">
    <w:p w:rsidR="00D45640" w:rsidRPr="00E359DA" w:rsidRDefault="00D45640" w:rsidP="00421902">
      <w:pPr>
        <w:pStyle w:val="FootnoteText"/>
        <w:jc w:val="left"/>
        <w:rPr>
          <w:sz w:val="18"/>
          <w:szCs w:val="18"/>
        </w:rPr>
      </w:pPr>
      <w:r w:rsidRPr="00E359DA">
        <w:rPr>
          <w:rStyle w:val="FootnoteReference"/>
          <w:sz w:val="18"/>
          <w:szCs w:val="18"/>
        </w:rPr>
        <w:footnoteRef/>
      </w:r>
      <w:r w:rsidRPr="00E359DA">
        <w:rPr>
          <w:sz w:val="18"/>
          <w:szCs w:val="18"/>
        </w:rPr>
        <w:t xml:space="preserve"> Eiropas Vides aģentūras mājas lapā: </w:t>
      </w:r>
      <w:r w:rsidRPr="009D5937">
        <w:rPr>
          <w:sz w:val="18"/>
          <w:szCs w:val="18"/>
        </w:rPr>
        <w:t>http://cdr.eionet.europa.eu/lv/eu/ghgmm/envuo_rq</w:t>
      </w:r>
      <w:r>
        <w:rPr>
          <w:sz w:val="18"/>
          <w:szCs w:val="18"/>
        </w:rPr>
        <w:t>.</w:t>
      </w:r>
      <w:r>
        <w:rPr>
          <w:color w:val="FF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38D"/>
    <w:multiLevelType w:val="hybridMultilevel"/>
    <w:tmpl w:val="863C19A0"/>
    <w:lvl w:ilvl="0" w:tplc="F73C465E">
      <w:start w:val="2010"/>
      <w:numFmt w:val="bullet"/>
      <w:lvlText w:val="–"/>
      <w:lvlJc w:val="left"/>
      <w:pPr>
        <w:ind w:left="1713" w:hanging="360"/>
      </w:pPr>
      <w:rPr>
        <w:rFonts w:ascii="Times New Roman" w:eastAsia="Times New Roman" w:hAnsi="Times New Roman" w:cs="Times New Roman"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
    <w:nsid w:val="014A1C26"/>
    <w:multiLevelType w:val="hybridMultilevel"/>
    <w:tmpl w:val="D1FC2C36"/>
    <w:lvl w:ilvl="0" w:tplc="DFB01162">
      <w:start w:val="1"/>
      <w:numFmt w:val="bullet"/>
      <w:lvlText w:val="–"/>
      <w:lvlJc w:val="left"/>
      <w:pPr>
        <w:ind w:left="720" w:hanging="360"/>
      </w:pPr>
      <w:rPr>
        <w:rFonts w:ascii="Times New Roman" w:hAnsi="Times New Roman" w:cs="Times New Roman" w:hint="default"/>
        <w:i w:val="0"/>
      </w:rPr>
    </w:lvl>
    <w:lvl w:ilvl="1" w:tplc="5AE0A6B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793240"/>
    <w:multiLevelType w:val="hybridMultilevel"/>
    <w:tmpl w:val="0D5E4C86"/>
    <w:lvl w:ilvl="0" w:tplc="94F619D8">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3E80E20"/>
    <w:multiLevelType w:val="multilevel"/>
    <w:tmpl w:val="089EF078"/>
    <w:lvl w:ilvl="0">
      <w:start w:val="1"/>
      <w:numFmt w:val="decimal"/>
      <w:lvlText w:val="%1."/>
      <w:lvlJc w:val="left"/>
      <w:pPr>
        <w:ind w:left="720" w:hanging="360"/>
      </w:pPr>
      <w:rPr>
        <w:rFonts w:ascii="Times New Roman" w:eastAsia="Calibri" w:hAnsi="Times New Roman" w:cs="Times New Roman"/>
      </w:rPr>
    </w:lvl>
    <w:lvl w:ilvl="1">
      <w:start w:val="1"/>
      <w:numFmt w:val="bullet"/>
      <w:lvlText w:val="–"/>
      <w:lvlJc w:val="left"/>
      <w:pPr>
        <w:ind w:left="1080" w:hanging="360"/>
      </w:pPr>
      <w:rPr>
        <w:rFonts w:ascii="Times New Roman" w:hAnsi="Times New Roman" w:cs="Times New Roman"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923468D"/>
    <w:multiLevelType w:val="hybridMultilevel"/>
    <w:tmpl w:val="99AA9514"/>
    <w:lvl w:ilvl="0" w:tplc="94F619D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97F7EC3"/>
    <w:multiLevelType w:val="hybridMultilevel"/>
    <w:tmpl w:val="328A3F86"/>
    <w:lvl w:ilvl="0" w:tplc="7398101C">
      <w:start w:val="2012"/>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A187E7E"/>
    <w:multiLevelType w:val="hybridMultilevel"/>
    <w:tmpl w:val="08761C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0E837CC3"/>
    <w:multiLevelType w:val="hybridMultilevel"/>
    <w:tmpl w:val="169E2E5C"/>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FE86032"/>
    <w:multiLevelType w:val="hybridMultilevel"/>
    <w:tmpl w:val="7080389E"/>
    <w:lvl w:ilvl="0" w:tplc="0E2AB076">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10D2084F"/>
    <w:multiLevelType w:val="hybridMultilevel"/>
    <w:tmpl w:val="C6320B90"/>
    <w:lvl w:ilvl="0" w:tplc="042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92506"/>
    <w:multiLevelType w:val="hybridMultilevel"/>
    <w:tmpl w:val="45CE644E"/>
    <w:lvl w:ilvl="0" w:tplc="DFB01162">
      <w:start w:val="1"/>
      <w:numFmt w:val="bullet"/>
      <w:lvlText w:val="–"/>
      <w:lvlJc w:val="left"/>
      <w:pPr>
        <w:ind w:left="1287" w:hanging="360"/>
      </w:pPr>
      <w:rPr>
        <w:rFonts w:ascii="Times New Roman" w:hAnsi="Times New Roman" w:cs="Times New Roman" w:hint="default"/>
      </w:rPr>
    </w:lvl>
    <w:lvl w:ilvl="1" w:tplc="DFB01162">
      <w:start w:val="1"/>
      <w:numFmt w:val="bullet"/>
      <w:lvlText w:val="–"/>
      <w:lvlJc w:val="left"/>
      <w:pPr>
        <w:ind w:left="2007" w:hanging="360"/>
      </w:pPr>
      <w:rPr>
        <w:rFonts w:ascii="Times New Roman" w:hAnsi="Times New Roman" w:cs="Times New Roman" w:hint="default"/>
      </w:rPr>
    </w:lvl>
    <w:lvl w:ilvl="2" w:tplc="04260005">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146939EE"/>
    <w:multiLevelType w:val="hybridMultilevel"/>
    <w:tmpl w:val="2BAE2B9A"/>
    <w:lvl w:ilvl="0" w:tplc="94F619D8">
      <w:numFmt w:val="bullet"/>
      <w:lvlText w:val="–"/>
      <w:lvlJc w:val="left"/>
      <w:pPr>
        <w:ind w:left="720" w:hanging="360"/>
      </w:pPr>
      <w:rPr>
        <w:rFonts w:ascii="Times New Roman" w:eastAsia="Calibri" w:hAnsi="Times New Roman" w:cs="Times New Roman" w:hint="default"/>
      </w:rPr>
    </w:lvl>
    <w:lvl w:ilvl="1" w:tplc="94F619D8">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4FE0F29"/>
    <w:multiLevelType w:val="hybridMultilevel"/>
    <w:tmpl w:val="703638B2"/>
    <w:lvl w:ilvl="0" w:tplc="DFB01162">
      <w:start w:val="1"/>
      <w:numFmt w:val="bullet"/>
      <w:lvlText w:val="–"/>
      <w:lvlJc w:val="left"/>
      <w:pPr>
        <w:ind w:left="1484" w:hanging="360"/>
      </w:pPr>
      <w:rPr>
        <w:rFonts w:ascii="Times New Roman" w:hAnsi="Times New Roman" w:cs="Times New Roman" w:hint="default"/>
        <w:i w:val="0"/>
      </w:rPr>
    </w:lvl>
    <w:lvl w:ilvl="1" w:tplc="04260003">
      <w:start w:val="1"/>
      <w:numFmt w:val="bullet"/>
      <w:lvlText w:val="o"/>
      <w:lvlJc w:val="left"/>
      <w:pPr>
        <w:ind w:left="2204" w:hanging="360"/>
      </w:pPr>
      <w:rPr>
        <w:rFonts w:ascii="Courier New" w:hAnsi="Courier New" w:cs="Courier New" w:hint="default"/>
      </w:rPr>
    </w:lvl>
    <w:lvl w:ilvl="2" w:tplc="04260005">
      <w:start w:val="1"/>
      <w:numFmt w:val="bullet"/>
      <w:lvlText w:val=""/>
      <w:lvlJc w:val="left"/>
      <w:pPr>
        <w:ind w:left="2924" w:hanging="360"/>
      </w:pPr>
      <w:rPr>
        <w:rFonts w:ascii="Wingdings" w:hAnsi="Wingdings" w:hint="default"/>
      </w:rPr>
    </w:lvl>
    <w:lvl w:ilvl="3" w:tplc="04260001">
      <w:start w:val="1"/>
      <w:numFmt w:val="bullet"/>
      <w:lvlText w:val=""/>
      <w:lvlJc w:val="left"/>
      <w:pPr>
        <w:ind w:left="3644" w:hanging="360"/>
      </w:pPr>
      <w:rPr>
        <w:rFonts w:ascii="Symbol" w:hAnsi="Symbol" w:hint="default"/>
      </w:rPr>
    </w:lvl>
    <w:lvl w:ilvl="4" w:tplc="04260003">
      <w:start w:val="1"/>
      <w:numFmt w:val="bullet"/>
      <w:lvlText w:val="o"/>
      <w:lvlJc w:val="left"/>
      <w:pPr>
        <w:ind w:left="4364" w:hanging="360"/>
      </w:pPr>
      <w:rPr>
        <w:rFonts w:ascii="Courier New" w:hAnsi="Courier New" w:cs="Courier New" w:hint="default"/>
      </w:rPr>
    </w:lvl>
    <w:lvl w:ilvl="5" w:tplc="04260005">
      <w:start w:val="1"/>
      <w:numFmt w:val="bullet"/>
      <w:lvlText w:val=""/>
      <w:lvlJc w:val="left"/>
      <w:pPr>
        <w:ind w:left="5084" w:hanging="360"/>
      </w:pPr>
      <w:rPr>
        <w:rFonts w:ascii="Wingdings" w:hAnsi="Wingdings" w:hint="default"/>
      </w:rPr>
    </w:lvl>
    <w:lvl w:ilvl="6" w:tplc="04260001">
      <w:start w:val="1"/>
      <w:numFmt w:val="bullet"/>
      <w:lvlText w:val=""/>
      <w:lvlJc w:val="left"/>
      <w:pPr>
        <w:ind w:left="5804" w:hanging="360"/>
      </w:pPr>
      <w:rPr>
        <w:rFonts w:ascii="Symbol" w:hAnsi="Symbol" w:hint="default"/>
      </w:rPr>
    </w:lvl>
    <w:lvl w:ilvl="7" w:tplc="04260003">
      <w:start w:val="1"/>
      <w:numFmt w:val="bullet"/>
      <w:lvlText w:val="o"/>
      <w:lvlJc w:val="left"/>
      <w:pPr>
        <w:ind w:left="6524" w:hanging="360"/>
      </w:pPr>
      <w:rPr>
        <w:rFonts w:ascii="Courier New" w:hAnsi="Courier New" w:cs="Courier New" w:hint="default"/>
      </w:rPr>
    </w:lvl>
    <w:lvl w:ilvl="8" w:tplc="04260005">
      <w:start w:val="1"/>
      <w:numFmt w:val="bullet"/>
      <w:lvlText w:val=""/>
      <w:lvlJc w:val="left"/>
      <w:pPr>
        <w:ind w:left="7244" w:hanging="360"/>
      </w:pPr>
      <w:rPr>
        <w:rFonts w:ascii="Wingdings" w:hAnsi="Wingdings" w:hint="default"/>
      </w:rPr>
    </w:lvl>
  </w:abstractNum>
  <w:abstractNum w:abstractNumId="13">
    <w:nsid w:val="16614CEA"/>
    <w:multiLevelType w:val="hybridMultilevel"/>
    <w:tmpl w:val="7E1C62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7A844CA"/>
    <w:multiLevelType w:val="hybridMultilevel"/>
    <w:tmpl w:val="5D54C146"/>
    <w:lvl w:ilvl="0" w:tplc="58B80EA4">
      <w:numFmt w:val="bullet"/>
      <w:lvlText w:val="–"/>
      <w:lvlJc w:val="left"/>
      <w:pPr>
        <w:ind w:left="1854" w:hanging="360"/>
      </w:pPr>
      <w:rPr>
        <w:rFonts w:ascii="Times New Roman" w:eastAsia="Times New Roman" w:hAnsi="Times New Roman" w:hint="default"/>
        <w:color w:val="auto"/>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5">
    <w:nsid w:val="1891318D"/>
    <w:multiLevelType w:val="hybridMultilevel"/>
    <w:tmpl w:val="5EEAA9DA"/>
    <w:lvl w:ilvl="0" w:tplc="DFB01162">
      <w:start w:val="1"/>
      <w:numFmt w:val="bullet"/>
      <w:lvlText w:val="–"/>
      <w:lvlJc w:val="left"/>
      <w:pPr>
        <w:ind w:left="720" w:hanging="360"/>
      </w:pPr>
      <w:rPr>
        <w:rFonts w:ascii="Times New Roman" w:hAnsi="Times New Roman" w:cs="Times New Roman"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A2E7A02"/>
    <w:multiLevelType w:val="hybridMultilevel"/>
    <w:tmpl w:val="B212D482"/>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7">
    <w:nsid w:val="1D1306E7"/>
    <w:multiLevelType w:val="hybridMultilevel"/>
    <w:tmpl w:val="D94834F6"/>
    <w:lvl w:ilvl="0" w:tplc="DFB01162">
      <w:start w:val="1"/>
      <w:numFmt w:val="bullet"/>
      <w:lvlText w:val="–"/>
      <w:lvlJc w:val="left"/>
      <w:pPr>
        <w:ind w:left="1287" w:hanging="360"/>
      </w:pPr>
      <w:rPr>
        <w:rFonts w:ascii="Times New Roman" w:hAnsi="Times New Roman" w:cs="Times New Roman" w:hint="default"/>
      </w:rPr>
    </w:lvl>
    <w:lvl w:ilvl="1" w:tplc="DFB01162">
      <w:start w:val="1"/>
      <w:numFmt w:val="bullet"/>
      <w:lvlText w:val="–"/>
      <w:lvlJc w:val="left"/>
      <w:pPr>
        <w:ind w:left="2007" w:hanging="360"/>
      </w:pPr>
      <w:rPr>
        <w:rFonts w:ascii="Times New Roman" w:hAnsi="Times New Roman" w:cs="Times New Roman" w:hint="default"/>
      </w:rPr>
    </w:lvl>
    <w:lvl w:ilvl="2" w:tplc="DFB01162">
      <w:start w:val="1"/>
      <w:numFmt w:val="bullet"/>
      <w:lvlText w:val="–"/>
      <w:lvlJc w:val="left"/>
      <w:pPr>
        <w:ind w:left="2727" w:hanging="360"/>
      </w:pPr>
      <w:rPr>
        <w:rFonts w:ascii="Times New Roman" w:hAnsi="Times New Roman" w:cs="Times New Roman" w:hint="default"/>
        <w:sz w:val="20"/>
        <w:szCs w:val="20"/>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nsid w:val="229A2A62"/>
    <w:multiLevelType w:val="hybridMultilevel"/>
    <w:tmpl w:val="5568D75E"/>
    <w:lvl w:ilvl="0" w:tplc="DFB01162">
      <w:start w:val="1"/>
      <w:numFmt w:val="bullet"/>
      <w:lvlText w:val="–"/>
      <w:lvlJc w:val="left"/>
      <w:pPr>
        <w:ind w:left="720" w:hanging="360"/>
      </w:pPr>
      <w:rPr>
        <w:rFonts w:ascii="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6B40EC0"/>
    <w:multiLevelType w:val="hybridMultilevel"/>
    <w:tmpl w:val="314ED032"/>
    <w:lvl w:ilvl="0" w:tplc="94F619D8">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nsid w:val="27EE1EED"/>
    <w:multiLevelType w:val="hybridMultilevel"/>
    <w:tmpl w:val="4A02AA1E"/>
    <w:lvl w:ilvl="0" w:tplc="9AE60F32">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AFB094E"/>
    <w:multiLevelType w:val="hybridMultilevel"/>
    <w:tmpl w:val="3320D074"/>
    <w:lvl w:ilvl="0" w:tplc="CCD49DE2">
      <w:start w:val="1"/>
      <w:numFmt w:val="bullet"/>
      <w:lvlText w:val="–"/>
      <w:lvlJc w:val="left"/>
      <w:pPr>
        <w:ind w:left="1854" w:hanging="360"/>
      </w:pPr>
      <w:rPr>
        <w:rFonts w:ascii="Times New Roman" w:hAnsi="Times New Roman" w:cs="Times New Roman" w:hint="default"/>
      </w:rPr>
    </w:lvl>
    <w:lvl w:ilvl="1" w:tplc="DCE832EE">
      <w:numFmt w:val="bullet"/>
      <w:lvlText w:val="•"/>
      <w:lvlJc w:val="left"/>
      <w:pPr>
        <w:ind w:left="2934" w:hanging="720"/>
      </w:pPr>
      <w:rPr>
        <w:rFonts w:ascii="Times New Roman" w:eastAsia="Calibri" w:hAnsi="Times New Roman" w:cs="Times New Roman"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2">
    <w:nsid w:val="2D4A396F"/>
    <w:multiLevelType w:val="hybridMultilevel"/>
    <w:tmpl w:val="142EAAC4"/>
    <w:lvl w:ilvl="0" w:tplc="0E5ADE0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2D8217D7"/>
    <w:multiLevelType w:val="hybridMultilevel"/>
    <w:tmpl w:val="B0D2193E"/>
    <w:lvl w:ilvl="0" w:tplc="94F619D8">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2E7155CB"/>
    <w:multiLevelType w:val="hybridMultilevel"/>
    <w:tmpl w:val="1A42B0FE"/>
    <w:lvl w:ilvl="0" w:tplc="DFB01162">
      <w:start w:val="1"/>
      <w:numFmt w:val="bullet"/>
      <w:lvlText w:val="–"/>
      <w:lvlJc w:val="left"/>
      <w:pPr>
        <w:ind w:left="927" w:hanging="360"/>
      </w:pPr>
      <w:rPr>
        <w:rFonts w:ascii="Times New Roman" w:hAnsi="Times New Roman"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30667951"/>
    <w:multiLevelType w:val="hybridMultilevel"/>
    <w:tmpl w:val="E2CEAC70"/>
    <w:lvl w:ilvl="0" w:tplc="DFB01162">
      <w:start w:val="1"/>
      <w:numFmt w:val="bullet"/>
      <w:lvlText w:val="–"/>
      <w:lvlJc w:val="left"/>
      <w:pPr>
        <w:ind w:left="720" w:hanging="360"/>
      </w:pPr>
      <w:rPr>
        <w:rFonts w:ascii="Times New Roman" w:hAnsi="Times New Roman" w:cs="Times New Roman" w:hint="default"/>
        <w:i w:val="0"/>
      </w:rPr>
    </w:lvl>
    <w:lvl w:ilvl="1" w:tplc="DFB01162">
      <w:start w:val="1"/>
      <w:numFmt w:val="bullet"/>
      <w:lvlText w:val="–"/>
      <w:lvlJc w:val="left"/>
      <w:pPr>
        <w:ind w:left="1440" w:hanging="360"/>
      </w:pPr>
      <w:rPr>
        <w:rFonts w:ascii="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4064E3"/>
    <w:multiLevelType w:val="hybridMultilevel"/>
    <w:tmpl w:val="5920942A"/>
    <w:lvl w:ilvl="0" w:tplc="AD6C9DB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BBC536A"/>
    <w:multiLevelType w:val="hybridMultilevel"/>
    <w:tmpl w:val="B51EB38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8">
    <w:nsid w:val="3F8E5CEC"/>
    <w:multiLevelType w:val="hybridMultilevel"/>
    <w:tmpl w:val="473C2F10"/>
    <w:lvl w:ilvl="0" w:tplc="94F619D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1383168"/>
    <w:multiLevelType w:val="hybridMultilevel"/>
    <w:tmpl w:val="1FD81E28"/>
    <w:lvl w:ilvl="0" w:tplc="94F619D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794301C"/>
    <w:multiLevelType w:val="hybridMultilevel"/>
    <w:tmpl w:val="DC6CBCB6"/>
    <w:lvl w:ilvl="0" w:tplc="94F619D8">
      <w:numFmt w:val="bullet"/>
      <w:lvlText w:val="–"/>
      <w:lvlJc w:val="left"/>
      <w:pPr>
        <w:ind w:left="1440" w:hanging="360"/>
      </w:pPr>
      <w:rPr>
        <w:rFonts w:ascii="Times New Roman" w:eastAsia="Calibri" w:hAnsi="Times New Roman" w:cs="Times New Roman" w:hint="default"/>
      </w:rPr>
    </w:lvl>
    <w:lvl w:ilvl="1" w:tplc="DFB01162">
      <w:start w:val="1"/>
      <w:numFmt w:val="bullet"/>
      <w:lvlText w:val="–"/>
      <w:lvlJc w:val="left"/>
      <w:pPr>
        <w:ind w:left="2160" w:hanging="360"/>
      </w:pPr>
      <w:rPr>
        <w:rFonts w:ascii="Times New Roman" w:hAnsi="Times New Roman" w:cs="Times New Roman" w:hint="default"/>
        <w:sz w:val="20"/>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47A716AE"/>
    <w:multiLevelType w:val="hybridMultilevel"/>
    <w:tmpl w:val="8CFE68A2"/>
    <w:lvl w:ilvl="0" w:tplc="96468446">
      <w:numFmt w:val="bullet"/>
      <w:lvlText w:val="–"/>
      <w:lvlJc w:val="left"/>
      <w:pPr>
        <w:ind w:left="1080" w:hanging="360"/>
      </w:pPr>
      <w:rPr>
        <w:rFonts w:ascii="Garamond" w:eastAsiaTheme="minorHAnsi" w:hAnsi="Garamond"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47DA302E"/>
    <w:multiLevelType w:val="hybridMultilevel"/>
    <w:tmpl w:val="1D26C2F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3">
    <w:nsid w:val="49F61E45"/>
    <w:multiLevelType w:val="hybridMultilevel"/>
    <w:tmpl w:val="D20481AC"/>
    <w:lvl w:ilvl="0" w:tplc="0E2AB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63D3565"/>
    <w:multiLevelType w:val="hybridMultilevel"/>
    <w:tmpl w:val="34228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8E053D7"/>
    <w:multiLevelType w:val="hybridMultilevel"/>
    <w:tmpl w:val="3886D844"/>
    <w:lvl w:ilvl="0" w:tplc="DFB01162">
      <w:start w:val="1"/>
      <w:numFmt w:val="bullet"/>
      <w:lvlText w:val="–"/>
      <w:lvlJc w:val="left"/>
      <w:pPr>
        <w:ind w:left="1287" w:hanging="360"/>
      </w:pPr>
      <w:rPr>
        <w:rFonts w:ascii="Times New Roman" w:hAnsi="Times New Roman" w:cs="Times New Roman" w:hint="default"/>
        <w:i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59CB19D1"/>
    <w:multiLevelType w:val="hybridMultilevel"/>
    <w:tmpl w:val="20CEE1E6"/>
    <w:lvl w:ilvl="0" w:tplc="DFB01162">
      <w:start w:val="1"/>
      <w:numFmt w:val="bullet"/>
      <w:lvlText w:val="–"/>
      <w:lvlJc w:val="left"/>
      <w:pPr>
        <w:tabs>
          <w:tab w:val="num" w:pos="1650"/>
        </w:tabs>
        <w:ind w:left="1650" w:hanging="930"/>
      </w:pPr>
      <w:rPr>
        <w:rFonts w:ascii="Times New Roman" w:hAnsi="Times New Roman" w:cs="Times New Roman" w:hint="default"/>
        <w:sz w:val="20"/>
        <w:szCs w:val="20"/>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37">
    <w:nsid w:val="5B366A16"/>
    <w:multiLevelType w:val="hybridMultilevel"/>
    <w:tmpl w:val="4F2A5E98"/>
    <w:lvl w:ilvl="0" w:tplc="94F619D8">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5B371AA5"/>
    <w:multiLevelType w:val="hybridMultilevel"/>
    <w:tmpl w:val="DF9ACDF6"/>
    <w:lvl w:ilvl="0" w:tplc="94F619D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16073ED"/>
    <w:multiLevelType w:val="hybridMultilevel"/>
    <w:tmpl w:val="124C6BC8"/>
    <w:lvl w:ilvl="0" w:tplc="DFB01162">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0">
    <w:nsid w:val="620F1B14"/>
    <w:multiLevelType w:val="hybridMultilevel"/>
    <w:tmpl w:val="62584114"/>
    <w:lvl w:ilvl="0" w:tplc="3CCE137C">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2126F4E6">
      <w:start w:val="2"/>
      <w:numFmt w:val="bullet"/>
      <w:lvlText w:val="-"/>
      <w:lvlJc w:val="left"/>
      <w:pPr>
        <w:ind w:left="2160" w:hanging="360"/>
      </w:pPr>
      <w:rPr>
        <w:rFonts w:ascii="Times New Roman" w:eastAsia="+mn-ea" w:hAnsi="Times New Roman" w:cs="Times New Roman" w:hint="default"/>
      </w:rPr>
    </w:lvl>
    <w:lvl w:ilvl="3" w:tplc="E4FE6DAC">
      <w:start w:val="1"/>
      <w:numFmt w:val="bullet"/>
      <w:lvlText w:val=""/>
      <w:lvlJc w:val="left"/>
      <w:pPr>
        <w:tabs>
          <w:tab w:val="num" w:pos="2880"/>
        </w:tabs>
        <w:ind w:left="2880" w:hanging="360"/>
      </w:pPr>
      <w:rPr>
        <w:rFonts w:ascii="Wingdings" w:hAnsi="Wingdings" w:hint="default"/>
      </w:rPr>
    </w:lvl>
    <w:lvl w:ilvl="4" w:tplc="D2B889E4" w:tentative="1">
      <w:start w:val="1"/>
      <w:numFmt w:val="bullet"/>
      <w:lvlText w:val=""/>
      <w:lvlJc w:val="left"/>
      <w:pPr>
        <w:tabs>
          <w:tab w:val="num" w:pos="3600"/>
        </w:tabs>
        <w:ind w:left="3600" w:hanging="360"/>
      </w:pPr>
      <w:rPr>
        <w:rFonts w:ascii="Wingdings" w:hAnsi="Wingdings" w:hint="default"/>
      </w:rPr>
    </w:lvl>
    <w:lvl w:ilvl="5" w:tplc="74766474" w:tentative="1">
      <w:start w:val="1"/>
      <w:numFmt w:val="bullet"/>
      <w:lvlText w:val=""/>
      <w:lvlJc w:val="left"/>
      <w:pPr>
        <w:tabs>
          <w:tab w:val="num" w:pos="4320"/>
        </w:tabs>
        <w:ind w:left="4320" w:hanging="360"/>
      </w:pPr>
      <w:rPr>
        <w:rFonts w:ascii="Wingdings" w:hAnsi="Wingdings" w:hint="default"/>
      </w:rPr>
    </w:lvl>
    <w:lvl w:ilvl="6" w:tplc="1A4402CC" w:tentative="1">
      <w:start w:val="1"/>
      <w:numFmt w:val="bullet"/>
      <w:lvlText w:val=""/>
      <w:lvlJc w:val="left"/>
      <w:pPr>
        <w:tabs>
          <w:tab w:val="num" w:pos="5040"/>
        </w:tabs>
        <w:ind w:left="5040" w:hanging="360"/>
      </w:pPr>
      <w:rPr>
        <w:rFonts w:ascii="Wingdings" w:hAnsi="Wingdings" w:hint="default"/>
      </w:rPr>
    </w:lvl>
    <w:lvl w:ilvl="7" w:tplc="9B8248BE" w:tentative="1">
      <w:start w:val="1"/>
      <w:numFmt w:val="bullet"/>
      <w:lvlText w:val=""/>
      <w:lvlJc w:val="left"/>
      <w:pPr>
        <w:tabs>
          <w:tab w:val="num" w:pos="5760"/>
        </w:tabs>
        <w:ind w:left="5760" w:hanging="360"/>
      </w:pPr>
      <w:rPr>
        <w:rFonts w:ascii="Wingdings" w:hAnsi="Wingdings" w:hint="default"/>
      </w:rPr>
    </w:lvl>
    <w:lvl w:ilvl="8" w:tplc="FA7C0F32" w:tentative="1">
      <w:start w:val="1"/>
      <w:numFmt w:val="bullet"/>
      <w:lvlText w:val=""/>
      <w:lvlJc w:val="left"/>
      <w:pPr>
        <w:tabs>
          <w:tab w:val="num" w:pos="6480"/>
        </w:tabs>
        <w:ind w:left="6480" w:hanging="360"/>
      </w:pPr>
      <w:rPr>
        <w:rFonts w:ascii="Wingdings" w:hAnsi="Wingdings" w:hint="default"/>
      </w:rPr>
    </w:lvl>
  </w:abstractNum>
  <w:abstractNum w:abstractNumId="41">
    <w:nsid w:val="671A1D2F"/>
    <w:multiLevelType w:val="hybridMultilevel"/>
    <w:tmpl w:val="72BADEEE"/>
    <w:lvl w:ilvl="0" w:tplc="DFB01162">
      <w:start w:val="1"/>
      <w:numFmt w:val="bullet"/>
      <w:lvlText w:val="–"/>
      <w:lvlJc w:val="left"/>
      <w:pPr>
        <w:ind w:left="720" w:hanging="360"/>
      </w:pPr>
      <w:rPr>
        <w:rFonts w:ascii="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8752B91"/>
    <w:multiLevelType w:val="hybridMultilevel"/>
    <w:tmpl w:val="441427CE"/>
    <w:lvl w:ilvl="0" w:tplc="58B80EA4">
      <w:numFmt w:val="bullet"/>
      <w:lvlText w:val="–"/>
      <w:lvlJc w:val="left"/>
      <w:pPr>
        <w:ind w:left="360" w:hanging="360"/>
      </w:pPr>
      <w:rPr>
        <w:rFonts w:ascii="Times New Roman" w:eastAsia="Times New Roman" w:hAnsi="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color w:val="00000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4">
    <w:nsid w:val="6AF7427D"/>
    <w:multiLevelType w:val="hybridMultilevel"/>
    <w:tmpl w:val="DEEC9828"/>
    <w:lvl w:ilvl="0" w:tplc="94F619D8">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nsid w:val="6C5E142C"/>
    <w:multiLevelType w:val="hybridMultilevel"/>
    <w:tmpl w:val="5AB8B260"/>
    <w:lvl w:ilvl="0" w:tplc="04260001">
      <w:start w:val="1"/>
      <w:numFmt w:val="bullet"/>
      <w:lvlText w:val=""/>
      <w:lvlJc w:val="left"/>
      <w:pPr>
        <w:ind w:left="1854" w:hanging="360"/>
      </w:pPr>
      <w:rPr>
        <w:rFonts w:ascii="Symbol" w:hAnsi="Symbol" w:hint="default"/>
      </w:rPr>
    </w:lvl>
    <w:lvl w:ilvl="1" w:tplc="DCE832EE">
      <w:numFmt w:val="bullet"/>
      <w:lvlText w:val="•"/>
      <w:lvlJc w:val="left"/>
      <w:pPr>
        <w:ind w:left="2934" w:hanging="720"/>
      </w:pPr>
      <w:rPr>
        <w:rFonts w:ascii="Times New Roman" w:eastAsia="Calibri" w:hAnsi="Times New Roman" w:cs="Times New Roman"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6">
    <w:nsid w:val="6E9630CE"/>
    <w:multiLevelType w:val="hybridMultilevel"/>
    <w:tmpl w:val="2FAEB49C"/>
    <w:lvl w:ilvl="0" w:tplc="DFB01162">
      <w:start w:val="1"/>
      <w:numFmt w:val="bullet"/>
      <w:lvlText w:val="–"/>
      <w:lvlJc w:val="left"/>
      <w:pPr>
        <w:ind w:left="1287" w:hanging="360"/>
      </w:pPr>
      <w:rPr>
        <w:rFonts w:ascii="Times New Roman" w:hAnsi="Times New Roman" w:cs="Times New Roman" w:hint="default"/>
      </w:rPr>
    </w:lvl>
    <w:lvl w:ilvl="1" w:tplc="DFB01162">
      <w:start w:val="1"/>
      <w:numFmt w:val="bullet"/>
      <w:lvlText w:val="–"/>
      <w:lvlJc w:val="left"/>
      <w:pPr>
        <w:ind w:left="2007" w:hanging="360"/>
      </w:pPr>
      <w:rPr>
        <w:rFonts w:ascii="Times New Roman" w:hAnsi="Times New Roman" w:cs="Times New Roman" w:hint="default"/>
      </w:rPr>
    </w:lvl>
    <w:lvl w:ilvl="2" w:tplc="DFB01162">
      <w:start w:val="1"/>
      <w:numFmt w:val="bullet"/>
      <w:lvlText w:val="–"/>
      <w:lvlJc w:val="left"/>
      <w:pPr>
        <w:ind w:left="2727" w:hanging="360"/>
      </w:pPr>
      <w:rPr>
        <w:rFonts w:ascii="Times New Roman" w:hAnsi="Times New Roman" w:cs="Times New Roman" w:hint="default"/>
        <w:sz w:val="20"/>
        <w:szCs w:val="20"/>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7">
    <w:nsid w:val="6EEC1BB4"/>
    <w:multiLevelType w:val="hybridMultilevel"/>
    <w:tmpl w:val="156AFCD6"/>
    <w:lvl w:ilvl="0" w:tplc="94F619D8">
      <w:numFmt w:val="bullet"/>
      <w:lvlText w:val="–"/>
      <w:lvlJc w:val="left"/>
      <w:pPr>
        <w:ind w:left="1287" w:hanging="360"/>
      </w:pPr>
      <w:rPr>
        <w:rFonts w:ascii="Times New Roman" w:eastAsia="Calibri" w:hAnsi="Times New Roman" w:cs="Times New Roman"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8">
    <w:nsid w:val="6F1C5E56"/>
    <w:multiLevelType w:val="hybridMultilevel"/>
    <w:tmpl w:val="96ACD514"/>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6FB679F5"/>
    <w:multiLevelType w:val="hybridMultilevel"/>
    <w:tmpl w:val="F156F2F2"/>
    <w:lvl w:ilvl="0" w:tplc="DFB01162">
      <w:start w:val="1"/>
      <w:numFmt w:val="bullet"/>
      <w:lvlText w:val="–"/>
      <w:lvlJc w:val="left"/>
      <w:pPr>
        <w:tabs>
          <w:tab w:val="num" w:pos="720"/>
        </w:tabs>
        <w:ind w:left="720" w:hanging="360"/>
      </w:pPr>
      <w:rPr>
        <w:rFonts w:ascii="Times New Roman" w:hAnsi="Times New Roman" w:cs="Times New Roman" w:hint="default"/>
      </w:rPr>
    </w:lvl>
    <w:lvl w:ilvl="1" w:tplc="DB7E0B5E">
      <w:start w:val="1"/>
      <w:numFmt w:val="bullet"/>
      <w:lvlText w:val=""/>
      <w:lvlJc w:val="left"/>
      <w:pPr>
        <w:tabs>
          <w:tab w:val="num" w:pos="1440"/>
        </w:tabs>
        <w:ind w:left="1440" w:hanging="360"/>
      </w:pPr>
      <w:rPr>
        <w:rFonts w:ascii="Wingdings" w:hAnsi="Wingdings" w:hint="default"/>
      </w:rPr>
    </w:lvl>
    <w:lvl w:ilvl="2" w:tplc="516E4EC0" w:tentative="1">
      <w:start w:val="1"/>
      <w:numFmt w:val="bullet"/>
      <w:lvlText w:val=""/>
      <w:lvlJc w:val="left"/>
      <w:pPr>
        <w:tabs>
          <w:tab w:val="num" w:pos="2160"/>
        </w:tabs>
        <w:ind w:left="2160" w:hanging="360"/>
      </w:pPr>
      <w:rPr>
        <w:rFonts w:ascii="Wingdings" w:hAnsi="Wingdings" w:hint="default"/>
      </w:rPr>
    </w:lvl>
    <w:lvl w:ilvl="3" w:tplc="8D847DA6" w:tentative="1">
      <w:start w:val="1"/>
      <w:numFmt w:val="bullet"/>
      <w:lvlText w:val=""/>
      <w:lvlJc w:val="left"/>
      <w:pPr>
        <w:tabs>
          <w:tab w:val="num" w:pos="2880"/>
        </w:tabs>
        <w:ind w:left="2880" w:hanging="360"/>
      </w:pPr>
      <w:rPr>
        <w:rFonts w:ascii="Wingdings" w:hAnsi="Wingdings" w:hint="default"/>
      </w:rPr>
    </w:lvl>
    <w:lvl w:ilvl="4" w:tplc="C0806BEE" w:tentative="1">
      <w:start w:val="1"/>
      <w:numFmt w:val="bullet"/>
      <w:lvlText w:val=""/>
      <w:lvlJc w:val="left"/>
      <w:pPr>
        <w:tabs>
          <w:tab w:val="num" w:pos="3600"/>
        </w:tabs>
        <w:ind w:left="3600" w:hanging="360"/>
      </w:pPr>
      <w:rPr>
        <w:rFonts w:ascii="Wingdings" w:hAnsi="Wingdings" w:hint="default"/>
      </w:rPr>
    </w:lvl>
    <w:lvl w:ilvl="5" w:tplc="0D745CA0" w:tentative="1">
      <w:start w:val="1"/>
      <w:numFmt w:val="bullet"/>
      <w:lvlText w:val=""/>
      <w:lvlJc w:val="left"/>
      <w:pPr>
        <w:tabs>
          <w:tab w:val="num" w:pos="4320"/>
        </w:tabs>
        <w:ind w:left="4320" w:hanging="360"/>
      </w:pPr>
      <w:rPr>
        <w:rFonts w:ascii="Wingdings" w:hAnsi="Wingdings" w:hint="default"/>
      </w:rPr>
    </w:lvl>
    <w:lvl w:ilvl="6" w:tplc="E3D4ED00" w:tentative="1">
      <w:start w:val="1"/>
      <w:numFmt w:val="bullet"/>
      <w:lvlText w:val=""/>
      <w:lvlJc w:val="left"/>
      <w:pPr>
        <w:tabs>
          <w:tab w:val="num" w:pos="5040"/>
        </w:tabs>
        <w:ind w:left="5040" w:hanging="360"/>
      </w:pPr>
      <w:rPr>
        <w:rFonts w:ascii="Wingdings" w:hAnsi="Wingdings" w:hint="default"/>
      </w:rPr>
    </w:lvl>
    <w:lvl w:ilvl="7" w:tplc="C9F408B0" w:tentative="1">
      <w:start w:val="1"/>
      <w:numFmt w:val="bullet"/>
      <w:lvlText w:val=""/>
      <w:lvlJc w:val="left"/>
      <w:pPr>
        <w:tabs>
          <w:tab w:val="num" w:pos="5760"/>
        </w:tabs>
        <w:ind w:left="5760" w:hanging="360"/>
      </w:pPr>
      <w:rPr>
        <w:rFonts w:ascii="Wingdings" w:hAnsi="Wingdings" w:hint="default"/>
      </w:rPr>
    </w:lvl>
    <w:lvl w:ilvl="8" w:tplc="C820F31E" w:tentative="1">
      <w:start w:val="1"/>
      <w:numFmt w:val="bullet"/>
      <w:lvlText w:val=""/>
      <w:lvlJc w:val="left"/>
      <w:pPr>
        <w:tabs>
          <w:tab w:val="num" w:pos="6480"/>
        </w:tabs>
        <w:ind w:left="6480" w:hanging="360"/>
      </w:pPr>
      <w:rPr>
        <w:rFonts w:ascii="Wingdings" w:hAnsi="Wingdings" w:hint="default"/>
      </w:rPr>
    </w:lvl>
  </w:abstractNum>
  <w:abstractNum w:abstractNumId="50">
    <w:nsid w:val="700946F1"/>
    <w:multiLevelType w:val="hybridMultilevel"/>
    <w:tmpl w:val="B3E256E2"/>
    <w:lvl w:ilvl="0" w:tplc="0E5ADE0A">
      <w:start w:val="1"/>
      <w:numFmt w:val="bullet"/>
      <w:lvlText w:val="–"/>
      <w:lvlJc w:val="left"/>
      <w:pPr>
        <w:ind w:left="928"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1">
    <w:nsid w:val="711F0BAB"/>
    <w:multiLevelType w:val="hybridMultilevel"/>
    <w:tmpl w:val="6B90FB7C"/>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73BD5827"/>
    <w:multiLevelType w:val="hybridMultilevel"/>
    <w:tmpl w:val="52A86F5A"/>
    <w:lvl w:ilvl="0" w:tplc="94F619D8">
      <w:numFmt w:val="bullet"/>
      <w:lvlText w:val="–"/>
      <w:lvlJc w:val="left"/>
      <w:pPr>
        <w:ind w:left="1854" w:hanging="360"/>
      </w:pPr>
      <w:rPr>
        <w:rFonts w:ascii="Times New Roman" w:eastAsia="Calibri" w:hAnsi="Times New Roman" w:cs="Times New Roman" w:hint="default"/>
      </w:rPr>
    </w:lvl>
    <w:lvl w:ilvl="1" w:tplc="DCE832EE">
      <w:numFmt w:val="bullet"/>
      <w:lvlText w:val="•"/>
      <w:lvlJc w:val="left"/>
      <w:pPr>
        <w:ind w:left="2934" w:hanging="720"/>
      </w:pPr>
      <w:rPr>
        <w:rFonts w:ascii="Times New Roman" w:eastAsia="Calibri" w:hAnsi="Times New Roman" w:cs="Times New Roman" w:hint="default"/>
      </w:rPr>
    </w:lvl>
    <w:lvl w:ilvl="2" w:tplc="04260005" w:tentative="1">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3">
    <w:nsid w:val="768D4D57"/>
    <w:multiLevelType w:val="hybridMultilevel"/>
    <w:tmpl w:val="8E7CCAEC"/>
    <w:lvl w:ilvl="0" w:tplc="58B80EA4">
      <w:numFmt w:val="bullet"/>
      <w:lvlText w:val="–"/>
      <w:lvlJc w:val="left"/>
      <w:pPr>
        <w:ind w:left="720" w:hanging="360"/>
      </w:pPr>
      <w:rPr>
        <w:rFonts w:ascii="Times New Roman" w:eastAsia="Calibri"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7772105D"/>
    <w:multiLevelType w:val="hybridMultilevel"/>
    <w:tmpl w:val="F9B8D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7CAB0D29"/>
    <w:multiLevelType w:val="hybridMultilevel"/>
    <w:tmpl w:val="448291B4"/>
    <w:lvl w:ilvl="0" w:tplc="04260001">
      <w:start w:val="1"/>
      <w:numFmt w:val="bullet"/>
      <w:lvlText w:val=""/>
      <w:lvlJc w:val="left"/>
      <w:pPr>
        <w:tabs>
          <w:tab w:val="num" w:pos="720"/>
        </w:tabs>
        <w:ind w:left="720" w:hanging="360"/>
      </w:pPr>
      <w:rPr>
        <w:rFonts w:ascii="Symbol" w:hAnsi="Symbol" w:hint="default"/>
      </w:rPr>
    </w:lvl>
    <w:lvl w:ilvl="1" w:tplc="DB7E0B5E" w:tentative="1">
      <w:start w:val="1"/>
      <w:numFmt w:val="bullet"/>
      <w:lvlText w:val=""/>
      <w:lvlJc w:val="left"/>
      <w:pPr>
        <w:tabs>
          <w:tab w:val="num" w:pos="1440"/>
        </w:tabs>
        <w:ind w:left="1440" w:hanging="360"/>
      </w:pPr>
      <w:rPr>
        <w:rFonts w:ascii="Wingdings" w:hAnsi="Wingdings" w:hint="default"/>
      </w:rPr>
    </w:lvl>
    <w:lvl w:ilvl="2" w:tplc="516E4EC0" w:tentative="1">
      <w:start w:val="1"/>
      <w:numFmt w:val="bullet"/>
      <w:lvlText w:val=""/>
      <w:lvlJc w:val="left"/>
      <w:pPr>
        <w:tabs>
          <w:tab w:val="num" w:pos="2160"/>
        </w:tabs>
        <w:ind w:left="2160" w:hanging="360"/>
      </w:pPr>
      <w:rPr>
        <w:rFonts w:ascii="Wingdings" w:hAnsi="Wingdings" w:hint="default"/>
      </w:rPr>
    </w:lvl>
    <w:lvl w:ilvl="3" w:tplc="8D847DA6" w:tentative="1">
      <w:start w:val="1"/>
      <w:numFmt w:val="bullet"/>
      <w:lvlText w:val=""/>
      <w:lvlJc w:val="left"/>
      <w:pPr>
        <w:tabs>
          <w:tab w:val="num" w:pos="2880"/>
        </w:tabs>
        <w:ind w:left="2880" w:hanging="360"/>
      </w:pPr>
      <w:rPr>
        <w:rFonts w:ascii="Wingdings" w:hAnsi="Wingdings" w:hint="default"/>
      </w:rPr>
    </w:lvl>
    <w:lvl w:ilvl="4" w:tplc="C0806BEE" w:tentative="1">
      <w:start w:val="1"/>
      <w:numFmt w:val="bullet"/>
      <w:lvlText w:val=""/>
      <w:lvlJc w:val="left"/>
      <w:pPr>
        <w:tabs>
          <w:tab w:val="num" w:pos="3600"/>
        </w:tabs>
        <w:ind w:left="3600" w:hanging="360"/>
      </w:pPr>
      <w:rPr>
        <w:rFonts w:ascii="Wingdings" w:hAnsi="Wingdings" w:hint="default"/>
      </w:rPr>
    </w:lvl>
    <w:lvl w:ilvl="5" w:tplc="0D745CA0" w:tentative="1">
      <w:start w:val="1"/>
      <w:numFmt w:val="bullet"/>
      <w:lvlText w:val=""/>
      <w:lvlJc w:val="left"/>
      <w:pPr>
        <w:tabs>
          <w:tab w:val="num" w:pos="4320"/>
        </w:tabs>
        <w:ind w:left="4320" w:hanging="360"/>
      </w:pPr>
      <w:rPr>
        <w:rFonts w:ascii="Wingdings" w:hAnsi="Wingdings" w:hint="default"/>
      </w:rPr>
    </w:lvl>
    <w:lvl w:ilvl="6" w:tplc="E3D4ED00" w:tentative="1">
      <w:start w:val="1"/>
      <w:numFmt w:val="bullet"/>
      <w:lvlText w:val=""/>
      <w:lvlJc w:val="left"/>
      <w:pPr>
        <w:tabs>
          <w:tab w:val="num" w:pos="5040"/>
        </w:tabs>
        <w:ind w:left="5040" w:hanging="360"/>
      </w:pPr>
      <w:rPr>
        <w:rFonts w:ascii="Wingdings" w:hAnsi="Wingdings" w:hint="default"/>
      </w:rPr>
    </w:lvl>
    <w:lvl w:ilvl="7" w:tplc="C9F408B0" w:tentative="1">
      <w:start w:val="1"/>
      <w:numFmt w:val="bullet"/>
      <w:lvlText w:val=""/>
      <w:lvlJc w:val="left"/>
      <w:pPr>
        <w:tabs>
          <w:tab w:val="num" w:pos="5760"/>
        </w:tabs>
        <w:ind w:left="5760" w:hanging="360"/>
      </w:pPr>
      <w:rPr>
        <w:rFonts w:ascii="Wingdings" w:hAnsi="Wingdings" w:hint="default"/>
      </w:rPr>
    </w:lvl>
    <w:lvl w:ilvl="8" w:tplc="C820F31E" w:tentative="1">
      <w:start w:val="1"/>
      <w:numFmt w:val="bullet"/>
      <w:lvlText w:val=""/>
      <w:lvlJc w:val="left"/>
      <w:pPr>
        <w:tabs>
          <w:tab w:val="num" w:pos="6480"/>
        </w:tabs>
        <w:ind w:left="6480" w:hanging="360"/>
      </w:pPr>
      <w:rPr>
        <w:rFonts w:ascii="Wingdings" w:hAnsi="Wingdings" w:hint="default"/>
      </w:rPr>
    </w:lvl>
  </w:abstractNum>
  <w:abstractNum w:abstractNumId="56">
    <w:nsid w:val="7D36665B"/>
    <w:multiLevelType w:val="hybridMultilevel"/>
    <w:tmpl w:val="F1748AE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7">
    <w:nsid w:val="7D4C18BA"/>
    <w:multiLevelType w:val="hybridMultilevel"/>
    <w:tmpl w:val="B538B246"/>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8">
    <w:nsid w:val="7D807AED"/>
    <w:multiLevelType w:val="hybridMultilevel"/>
    <w:tmpl w:val="0AF82E7C"/>
    <w:lvl w:ilvl="0" w:tplc="0E5ADE0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9">
    <w:nsid w:val="7E294AE3"/>
    <w:multiLevelType w:val="hybridMultilevel"/>
    <w:tmpl w:val="62389E58"/>
    <w:lvl w:ilvl="0" w:tplc="DFB01162">
      <w:start w:val="1"/>
      <w:numFmt w:val="bullet"/>
      <w:lvlText w:val="–"/>
      <w:lvlJc w:val="left"/>
      <w:pPr>
        <w:ind w:left="1287" w:hanging="360"/>
      </w:pPr>
      <w:rPr>
        <w:rFonts w:ascii="Times New Roman" w:hAnsi="Times New Roman" w:cs="Times New Roman" w:hint="default"/>
        <w:i w:val="0"/>
      </w:rPr>
    </w:lvl>
    <w:lvl w:ilvl="1" w:tplc="58B80EA4">
      <w:numFmt w:val="bullet"/>
      <w:lvlText w:val="–"/>
      <w:lvlJc w:val="left"/>
      <w:pPr>
        <w:ind w:left="2007" w:hanging="360"/>
      </w:pPr>
      <w:rPr>
        <w:rFonts w:ascii="Times New Roman" w:eastAsia="Calibri" w:hAnsi="Times New Roman" w:cs="Times New Roman" w:hint="default"/>
        <w:color w:val="auto"/>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0">
    <w:nsid w:val="7FF24CE5"/>
    <w:multiLevelType w:val="hybridMultilevel"/>
    <w:tmpl w:val="BE44EA5A"/>
    <w:lvl w:ilvl="0" w:tplc="0E5ADE0A">
      <w:start w:val="1"/>
      <w:numFmt w:val="bullet"/>
      <w:lvlText w:val="–"/>
      <w:lvlJc w:val="left"/>
      <w:pPr>
        <w:ind w:left="629" w:hanging="360"/>
      </w:pPr>
      <w:rPr>
        <w:rFonts w:ascii="Times New Roman" w:eastAsia="Times New Roman" w:hAnsi="Times New Roman" w:cs="Times New Roman" w:hint="default"/>
      </w:rPr>
    </w:lvl>
    <w:lvl w:ilvl="1" w:tplc="04260003">
      <w:start w:val="1"/>
      <w:numFmt w:val="bullet"/>
      <w:lvlText w:val="o"/>
      <w:lvlJc w:val="left"/>
      <w:pPr>
        <w:ind w:left="1349" w:hanging="360"/>
      </w:pPr>
      <w:rPr>
        <w:rFonts w:ascii="Courier New" w:hAnsi="Courier New" w:cs="Courier New" w:hint="default"/>
      </w:rPr>
    </w:lvl>
    <w:lvl w:ilvl="2" w:tplc="04260005" w:tentative="1">
      <w:start w:val="1"/>
      <w:numFmt w:val="bullet"/>
      <w:lvlText w:val=""/>
      <w:lvlJc w:val="left"/>
      <w:pPr>
        <w:ind w:left="2069" w:hanging="360"/>
      </w:pPr>
      <w:rPr>
        <w:rFonts w:ascii="Wingdings" w:hAnsi="Wingdings" w:hint="default"/>
      </w:rPr>
    </w:lvl>
    <w:lvl w:ilvl="3" w:tplc="04260001" w:tentative="1">
      <w:start w:val="1"/>
      <w:numFmt w:val="bullet"/>
      <w:lvlText w:val=""/>
      <w:lvlJc w:val="left"/>
      <w:pPr>
        <w:ind w:left="2789" w:hanging="360"/>
      </w:pPr>
      <w:rPr>
        <w:rFonts w:ascii="Symbol" w:hAnsi="Symbol" w:hint="default"/>
      </w:rPr>
    </w:lvl>
    <w:lvl w:ilvl="4" w:tplc="04260003" w:tentative="1">
      <w:start w:val="1"/>
      <w:numFmt w:val="bullet"/>
      <w:lvlText w:val="o"/>
      <w:lvlJc w:val="left"/>
      <w:pPr>
        <w:ind w:left="3509" w:hanging="360"/>
      </w:pPr>
      <w:rPr>
        <w:rFonts w:ascii="Courier New" w:hAnsi="Courier New" w:cs="Courier New" w:hint="default"/>
      </w:rPr>
    </w:lvl>
    <w:lvl w:ilvl="5" w:tplc="04260005" w:tentative="1">
      <w:start w:val="1"/>
      <w:numFmt w:val="bullet"/>
      <w:lvlText w:val=""/>
      <w:lvlJc w:val="left"/>
      <w:pPr>
        <w:ind w:left="4229" w:hanging="360"/>
      </w:pPr>
      <w:rPr>
        <w:rFonts w:ascii="Wingdings" w:hAnsi="Wingdings" w:hint="default"/>
      </w:rPr>
    </w:lvl>
    <w:lvl w:ilvl="6" w:tplc="04260001" w:tentative="1">
      <w:start w:val="1"/>
      <w:numFmt w:val="bullet"/>
      <w:lvlText w:val=""/>
      <w:lvlJc w:val="left"/>
      <w:pPr>
        <w:ind w:left="4949" w:hanging="360"/>
      </w:pPr>
      <w:rPr>
        <w:rFonts w:ascii="Symbol" w:hAnsi="Symbol" w:hint="default"/>
      </w:rPr>
    </w:lvl>
    <w:lvl w:ilvl="7" w:tplc="04260003" w:tentative="1">
      <w:start w:val="1"/>
      <w:numFmt w:val="bullet"/>
      <w:lvlText w:val="o"/>
      <w:lvlJc w:val="left"/>
      <w:pPr>
        <w:ind w:left="5669" w:hanging="360"/>
      </w:pPr>
      <w:rPr>
        <w:rFonts w:ascii="Courier New" w:hAnsi="Courier New" w:cs="Courier New" w:hint="default"/>
      </w:rPr>
    </w:lvl>
    <w:lvl w:ilvl="8" w:tplc="04260005" w:tentative="1">
      <w:start w:val="1"/>
      <w:numFmt w:val="bullet"/>
      <w:lvlText w:val=""/>
      <w:lvlJc w:val="left"/>
      <w:pPr>
        <w:ind w:left="6389" w:hanging="360"/>
      </w:pPr>
      <w:rPr>
        <w:rFonts w:ascii="Wingdings" w:hAnsi="Wingdings" w:hint="default"/>
      </w:rPr>
    </w:lvl>
  </w:abstractNum>
  <w:num w:numId="1">
    <w:abstractNumId w:val="45"/>
  </w:num>
  <w:num w:numId="2">
    <w:abstractNumId w:val="1"/>
  </w:num>
  <w:num w:numId="3">
    <w:abstractNumId w:val="39"/>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60"/>
  </w:num>
  <w:num w:numId="7">
    <w:abstractNumId w:val="7"/>
  </w:num>
  <w:num w:numId="8">
    <w:abstractNumId w:val="6"/>
  </w:num>
  <w:num w:numId="9">
    <w:abstractNumId w:val="32"/>
  </w:num>
  <w:num w:numId="10">
    <w:abstractNumId w:val="51"/>
  </w:num>
  <w:num w:numId="11">
    <w:abstractNumId w:val="16"/>
  </w:num>
  <w:num w:numId="12">
    <w:abstractNumId w:val="27"/>
  </w:num>
  <w:num w:numId="13">
    <w:abstractNumId w:val="55"/>
  </w:num>
  <w:num w:numId="14">
    <w:abstractNumId w:val="40"/>
  </w:num>
  <w:num w:numId="15">
    <w:abstractNumId w:val="22"/>
  </w:num>
  <w:num w:numId="16">
    <w:abstractNumId w:val="57"/>
  </w:num>
  <w:num w:numId="17">
    <w:abstractNumId w:val="29"/>
  </w:num>
  <w:num w:numId="18">
    <w:abstractNumId w:val="2"/>
  </w:num>
  <w:num w:numId="19">
    <w:abstractNumId w:val="23"/>
  </w:num>
  <w:num w:numId="20">
    <w:abstractNumId w:val="10"/>
  </w:num>
  <w:num w:numId="21">
    <w:abstractNumId w:val="49"/>
  </w:num>
  <w:num w:numId="22">
    <w:abstractNumId w:val="5"/>
  </w:num>
  <w:num w:numId="23">
    <w:abstractNumId w:val="20"/>
  </w:num>
  <w:num w:numId="24">
    <w:abstractNumId w:val="42"/>
  </w:num>
  <w:num w:numId="25">
    <w:abstractNumId w:val="30"/>
  </w:num>
  <w:num w:numId="26">
    <w:abstractNumId w:val="43"/>
  </w:num>
  <w:num w:numId="27">
    <w:abstractNumId w:val="26"/>
  </w:num>
  <w:num w:numId="28">
    <w:abstractNumId w:val="38"/>
  </w:num>
  <w:num w:numId="29">
    <w:abstractNumId w:val="14"/>
  </w:num>
  <w:num w:numId="30">
    <w:abstractNumId w:val="48"/>
  </w:num>
  <w:num w:numId="31">
    <w:abstractNumId w:val="59"/>
  </w:num>
  <w:num w:numId="32">
    <w:abstractNumId w:val="33"/>
  </w:num>
  <w:num w:numId="33">
    <w:abstractNumId w:val="8"/>
  </w:num>
  <w:num w:numId="34">
    <w:abstractNumId w:val="36"/>
  </w:num>
  <w:num w:numId="35">
    <w:abstractNumId w:val="13"/>
  </w:num>
  <w:num w:numId="36">
    <w:abstractNumId w:val="53"/>
  </w:num>
  <w:num w:numId="37">
    <w:abstractNumId w:val="37"/>
  </w:num>
  <w:num w:numId="38">
    <w:abstractNumId w:val="44"/>
  </w:num>
  <w:num w:numId="39">
    <w:abstractNumId w:val="47"/>
  </w:num>
  <w:num w:numId="40">
    <w:abstractNumId w:val="19"/>
  </w:num>
  <w:num w:numId="41">
    <w:abstractNumId w:val="3"/>
  </w:num>
  <w:num w:numId="42">
    <w:abstractNumId w:val="17"/>
  </w:num>
  <w:num w:numId="43">
    <w:abstractNumId w:val="46"/>
  </w:num>
  <w:num w:numId="44">
    <w:abstractNumId w:val="4"/>
  </w:num>
  <w:num w:numId="45">
    <w:abstractNumId w:val="56"/>
  </w:num>
  <w:num w:numId="46">
    <w:abstractNumId w:val="28"/>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52"/>
  </w:num>
  <w:num w:numId="50">
    <w:abstractNumId w:val="31"/>
  </w:num>
  <w:num w:numId="51">
    <w:abstractNumId w:val="0"/>
  </w:num>
  <w:num w:numId="52">
    <w:abstractNumId w:val="11"/>
  </w:num>
  <w:num w:numId="53">
    <w:abstractNumId w:val="21"/>
  </w:num>
  <w:num w:numId="54">
    <w:abstractNumId w:val="35"/>
  </w:num>
  <w:num w:numId="55">
    <w:abstractNumId w:val="18"/>
  </w:num>
  <w:num w:numId="56">
    <w:abstractNumId w:val="41"/>
  </w:num>
  <w:num w:numId="57">
    <w:abstractNumId w:val="12"/>
  </w:num>
  <w:num w:numId="58">
    <w:abstractNumId w:val="25"/>
  </w:num>
  <w:num w:numId="59">
    <w:abstractNumId w:val="34"/>
  </w:num>
  <w:num w:numId="60">
    <w:abstractNumId w:val="9"/>
  </w:num>
  <w:num w:numId="61">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02E0"/>
    <w:rsid w:val="0000116B"/>
    <w:rsid w:val="00001C31"/>
    <w:rsid w:val="00004028"/>
    <w:rsid w:val="00004436"/>
    <w:rsid w:val="000050DB"/>
    <w:rsid w:val="000053E7"/>
    <w:rsid w:val="0000540D"/>
    <w:rsid w:val="00005484"/>
    <w:rsid w:val="00005982"/>
    <w:rsid w:val="00006DDD"/>
    <w:rsid w:val="00007ED3"/>
    <w:rsid w:val="000106ED"/>
    <w:rsid w:val="00013169"/>
    <w:rsid w:val="0001346A"/>
    <w:rsid w:val="00013517"/>
    <w:rsid w:val="00013EDB"/>
    <w:rsid w:val="00014492"/>
    <w:rsid w:val="00014604"/>
    <w:rsid w:val="00014B3E"/>
    <w:rsid w:val="00015C1F"/>
    <w:rsid w:val="00015EAE"/>
    <w:rsid w:val="00015F58"/>
    <w:rsid w:val="00016940"/>
    <w:rsid w:val="0001696A"/>
    <w:rsid w:val="00016B27"/>
    <w:rsid w:val="00016DA4"/>
    <w:rsid w:val="00017323"/>
    <w:rsid w:val="000200EA"/>
    <w:rsid w:val="0002063F"/>
    <w:rsid w:val="00020BCC"/>
    <w:rsid w:val="00022E09"/>
    <w:rsid w:val="00024588"/>
    <w:rsid w:val="00024CFF"/>
    <w:rsid w:val="00026376"/>
    <w:rsid w:val="000264C8"/>
    <w:rsid w:val="00026613"/>
    <w:rsid w:val="000267A7"/>
    <w:rsid w:val="000278F1"/>
    <w:rsid w:val="00030784"/>
    <w:rsid w:val="00031D88"/>
    <w:rsid w:val="00033E32"/>
    <w:rsid w:val="00034F4C"/>
    <w:rsid w:val="00035156"/>
    <w:rsid w:val="00035AC2"/>
    <w:rsid w:val="00036E97"/>
    <w:rsid w:val="00037402"/>
    <w:rsid w:val="00037482"/>
    <w:rsid w:val="00037826"/>
    <w:rsid w:val="00037BFF"/>
    <w:rsid w:val="00037C8B"/>
    <w:rsid w:val="00040006"/>
    <w:rsid w:val="00040E65"/>
    <w:rsid w:val="00041D00"/>
    <w:rsid w:val="00041F21"/>
    <w:rsid w:val="000435C0"/>
    <w:rsid w:val="00043CD5"/>
    <w:rsid w:val="00044477"/>
    <w:rsid w:val="000449A4"/>
    <w:rsid w:val="00044B3C"/>
    <w:rsid w:val="000457C0"/>
    <w:rsid w:val="00047AD3"/>
    <w:rsid w:val="0005148F"/>
    <w:rsid w:val="00052663"/>
    <w:rsid w:val="000537CD"/>
    <w:rsid w:val="00053CEA"/>
    <w:rsid w:val="0005466C"/>
    <w:rsid w:val="000551B9"/>
    <w:rsid w:val="000551C0"/>
    <w:rsid w:val="00056ACE"/>
    <w:rsid w:val="00057406"/>
    <w:rsid w:val="00057E07"/>
    <w:rsid w:val="00060B64"/>
    <w:rsid w:val="00061EBE"/>
    <w:rsid w:val="000625FD"/>
    <w:rsid w:val="00062933"/>
    <w:rsid w:val="00062B94"/>
    <w:rsid w:val="000639A8"/>
    <w:rsid w:val="00063EC8"/>
    <w:rsid w:val="0006409B"/>
    <w:rsid w:val="0006426B"/>
    <w:rsid w:val="000645CF"/>
    <w:rsid w:val="00064F13"/>
    <w:rsid w:val="000662F9"/>
    <w:rsid w:val="00066653"/>
    <w:rsid w:val="00070319"/>
    <w:rsid w:val="000705B9"/>
    <w:rsid w:val="00070BC3"/>
    <w:rsid w:val="000720D9"/>
    <w:rsid w:val="0007234D"/>
    <w:rsid w:val="000725A1"/>
    <w:rsid w:val="00073393"/>
    <w:rsid w:val="00073E1E"/>
    <w:rsid w:val="00074722"/>
    <w:rsid w:val="00076A38"/>
    <w:rsid w:val="00076AE0"/>
    <w:rsid w:val="00077560"/>
    <w:rsid w:val="0008118E"/>
    <w:rsid w:val="00081891"/>
    <w:rsid w:val="00083066"/>
    <w:rsid w:val="0008347B"/>
    <w:rsid w:val="00083545"/>
    <w:rsid w:val="000844C7"/>
    <w:rsid w:val="000844DE"/>
    <w:rsid w:val="0008495F"/>
    <w:rsid w:val="000849D0"/>
    <w:rsid w:val="000856A5"/>
    <w:rsid w:val="00086114"/>
    <w:rsid w:val="0008704B"/>
    <w:rsid w:val="0008715B"/>
    <w:rsid w:val="00087727"/>
    <w:rsid w:val="00087D92"/>
    <w:rsid w:val="00091ED1"/>
    <w:rsid w:val="000920D3"/>
    <w:rsid w:val="00092B9C"/>
    <w:rsid w:val="00093BFE"/>
    <w:rsid w:val="00095A35"/>
    <w:rsid w:val="000962CF"/>
    <w:rsid w:val="00096CEB"/>
    <w:rsid w:val="00096DD3"/>
    <w:rsid w:val="00097766"/>
    <w:rsid w:val="00097ECB"/>
    <w:rsid w:val="000A034D"/>
    <w:rsid w:val="000A1F0D"/>
    <w:rsid w:val="000A240B"/>
    <w:rsid w:val="000A246E"/>
    <w:rsid w:val="000A2CEA"/>
    <w:rsid w:val="000A41E5"/>
    <w:rsid w:val="000A45C4"/>
    <w:rsid w:val="000A5538"/>
    <w:rsid w:val="000A69C3"/>
    <w:rsid w:val="000A703D"/>
    <w:rsid w:val="000A7BDA"/>
    <w:rsid w:val="000A7DB8"/>
    <w:rsid w:val="000B0287"/>
    <w:rsid w:val="000B076C"/>
    <w:rsid w:val="000B0D66"/>
    <w:rsid w:val="000B1EB6"/>
    <w:rsid w:val="000B3380"/>
    <w:rsid w:val="000B3AC8"/>
    <w:rsid w:val="000B3EDA"/>
    <w:rsid w:val="000B5782"/>
    <w:rsid w:val="000B5C20"/>
    <w:rsid w:val="000B75C0"/>
    <w:rsid w:val="000C0285"/>
    <w:rsid w:val="000C093B"/>
    <w:rsid w:val="000C14DE"/>
    <w:rsid w:val="000C1D5F"/>
    <w:rsid w:val="000C1E06"/>
    <w:rsid w:val="000C2A5B"/>
    <w:rsid w:val="000C3B33"/>
    <w:rsid w:val="000C43A5"/>
    <w:rsid w:val="000C4681"/>
    <w:rsid w:val="000C477B"/>
    <w:rsid w:val="000C4FFC"/>
    <w:rsid w:val="000C51D1"/>
    <w:rsid w:val="000C525D"/>
    <w:rsid w:val="000C7731"/>
    <w:rsid w:val="000D242E"/>
    <w:rsid w:val="000D25D1"/>
    <w:rsid w:val="000D5C73"/>
    <w:rsid w:val="000D705E"/>
    <w:rsid w:val="000D7CF1"/>
    <w:rsid w:val="000E19AB"/>
    <w:rsid w:val="000E1A92"/>
    <w:rsid w:val="000E4F37"/>
    <w:rsid w:val="000E55D3"/>
    <w:rsid w:val="000E6158"/>
    <w:rsid w:val="000E65A7"/>
    <w:rsid w:val="000E7303"/>
    <w:rsid w:val="000E7CBD"/>
    <w:rsid w:val="000F033A"/>
    <w:rsid w:val="000F0537"/>
    <w:rsid w:val="000F1ED9"/>
    <w:rsid w:val="000F539A"/>
    <w:rsid w:val="000F5AB6"/>
    <w:rsid w:val="000F5B84"/>
    <w:rsid w:val="000F6297"/>
    <w:rsid w:val="000F7190"/>
    <w:rsid w:val="0010301F"/>
    <w:rsid w:val="001032F9"/>
    <w:rsid w:val="00103855"/>
    <w:rsid w:val="00103A57"/>
    <w:rsid w:val="00103DD5"/>
    <w:rsid w:val="00104BD7"/>
    <w:rsid w:val="0010577F"/>
    <w:rsid w:val="00106BE0"/>
    <w:rsid w:val="001071D5"/>
    <w:rsid w:val="00107CAE"/>
    <w:rsid w:val="00107F43"/>
    <w:rsid w:val="00110DCF"/>
    <w:rsid w:val="00110F85"/>
    <w:rsid w:val="00112578"/>
    <w:rsid w:val="00112F16"/>
    <w:rsid w:val="00112FA3"/>
    <w:rsid w:val="00113941"/>
    <w:rsid w:val="0011665E"/>
    <w:rsid w:val="00116742"/>
    <w:rsid w:val="00116B2A"/>
    <w:rsid w:val="00117012"/>
    <w:rsid w:val="00117151"/>
    <w:rsid w:val="0012012D"/>
    <w:rsid w:val="00122102"/>
    <w:rsid w:val="00122E05"/>
    <w:rsid w:val="00123D9E"/>
    <w:rsid w:val="00124A9B"/>
    <w:rsid w:val="00124E2F"/>
    <w:rsid w:val="0012530F"/>
    <w:rsid w:val="00125A85"/>
    <w:rsid w:val="00127054"/>
    <w:rsid w:val="0012725B"/>
    <w:rsid w:val="00130DFA"/>
    <w:rsid w:val="0013163A"/>
    <w:rsid w:val="001320EB"/>
    <w:rsid w:val="00132FB2"/>
    <w:rsid w:val="00133EAD"/>
    <w:rsid w:val="001344AF"/>
    <w:rsid w:val="00134F0E"/>
    <w:rsid w:val="00135C87"/>
    <w:rsid w:val="0013609B"/>
    <w:rsid w:val="0013643C"/>
    <w:rsid w:val="001375EB"/>
    <w:rsid w:val="001400F3"/>
    <w:rsid w:val="001407E0"/>
    <w:rsid w:val="0014148F"/>
    <w:rsid w:val="001421C3"/>
    <w:rsid w:val="001428D2"/>
    <w:rsid w:val="001437F7"/>
    <w:rsid w:val="00145241"/>
    <w:rsid w:val="001458EF"/>
    <w:rsid w:val="001460CA"/>
    <w:rsid w:val="001464C4"/>
    <w:rsid w:val="0014662D"/>
    <w:rsid w:val="0014675D"/>
    <w:rsid w:val="001519B6"/>
    <w:rsid w:val="00151B17"/>
    <w:rsid w:val="0015203E"/>
    <w:rsid w:val="00152DA9"/>
    <w:rsid w:val="00152EEF"/>
    <w:rsid w:val="001534F6"/>
    <w:rsid w:val="00153922"/>
    <w:rsid w:val="0015491C"/>
    <w:rsid w:val="00155453"/>
    <w:rsid w:val="001571D6"/>
    <w:rsid w:val="00157863"/>
    <w:rsid w:val="00157972"/>
    <w:rsid w:val="0016006E"/>
    <w:rsid w:val="00160476"/>
    <w:rsid w:val="0016061E"/>
    <w:rsid w:val="001612E9"/>
    <w:rsid w:val="0016181B"/>
    <w:rsid w:val="0016505A"/>
    <w:rsid w:val="001671E4"/>
    <w:rsid w:val="001676CF"/>
    <w:rsid w:val="00170E7C"/>
    <w:rsid w:val="00171037"/>
    <w:rsid w:val="00171423"/>
    <w:rsid w:val="00171E67"/>
    <w:rsid w:val="0017370B"/>
    <w:rsid w:val="00173D60"/>
    <w:rsid w:val="0017416C"/>
    <w:rsid w:val="001745D6"/>
    <w:rsid w:val="00174E98"/>
    <w:rsid w:val="00177D78"/>
    <w:rsid w:val="001819CF"/>
    <w:rsid w:val="001822F0"/>
    <w:rsid w:val="001836EC"/>
    <w:rsid w:val="00184D40"/>
    <w:rsid w:val="00184DBC"/>
    <w:rsid w:val="00186004"/>
    <w:rsid w:val="00186C62"/>
    <w:rsid w:val="001905AE"/>
    <w:rsid w:val="00190677"/>
    <w:rsid w:val="00190888"/>
    <w:rsid w:val="00192398"/>
    <w:rsid w:val="001928F5"/>
    <w:rsid w:val="00192A52"/>
    <w:rsid w:val="001932FC"/>
    <w:rsid w:val="00193553"/>
    <w:rsid w:val="00193B3A"/>
    <w:rsid w:val="00195973"/>
    <w:rsid w:val="001965EE"/>
    <w:rsid w:val="00196C67"/>
    <w:rsid w:val="001A0446"/>
    <w:rsid w:val="001A051A"/>
    <w:rsid w:val="001A0AB5"/>
    <w:rsid w:val="001A0B6E"/>
    <w:rsid w:val="001A0C25"/>
    <w:rsid w:val="001A244D"/>
    <w:rsid w:val="001A3427"/>
    <w:rsid w:val="001A35D5"/>
    <w:rsid w:val="001A3E46"/>
    <w:rsid w:val="001A4430"/>
    <w:rsid w:val="001A5539"/>
    <w:rsid w:val="001A6446"/>
    <w:rsid w:val="001A7124"/>
    <w:rsid w:val="001A7D48"/>
    <w:rsid w:val="001B056D"/>
    <w:rsid w:val="001B1A3E"/>
    <w:rsid w:val="001B404E"/>
    <w:rsid w:val="001B5491"/>
    <w:rsid w:val="001B5B72"/>
    <w:rsid w:val="001B5DDA"/>
    <w:rsid w:val="001B751E"/>
    <w:rsid w:val="001C03A1"/>
    <w:rsid w:val="001C064A"/>
    <w:rsid w:val="001C1B55"/>
    <w:rsid w:val="001C2BA4"/>
    <w:rsid w:val="001C301C"/>
    <w:rsid w:val="001C303B"/>
    <w:rsid w:val="001C3C8A"/>
    <w:rsid w:val="001C50FE"/>
    <w:rsid w:val="001C6FE5"/>
    <w:rsid w:val="001D051A"/>
    <w:rsid w:val="001D0C15"/>
    <w:rsid w:val="001D17CB"/>
    <w:rsid w:val="001D1CDA"/>
    <w:rsid w:val="001D300F"/>
    <w:rsid w:val="001D34C1"/>
    <w:rsid w:val="001D3CBE"/>
    <w:rsid w:val="001D43C0"/>
    <w:rsid w:val="001D59B7"/>
    <w:rsid w:val="001D5F8A"/>
    <w:rsid w:val="001D6B30"/>
    <w:rsid w:val="001D7688"/>
    <w:rsid w:val="001E0A5E"/>
    <w:rsid w:val="001E0D23"/>
    <w:rsid w:val="001E1791"/>
    <w:rsid w:val="001E2B8D"/>
    <w:rsid w:val="001E2EF0"/>
    <w:rsid w:val="001E2FA3"/>
    <w:rsid w:val="001E65CF"/>
    <w:rsid w:val="001E6ED0"/>
    <w:rsid w:val="001F01C7"/>
    <w:rsid w:val="001F1226"/>
    <w:rsid w:val="001F1AB2"/>
    <w:rsid w:val="001F2996"/>
    <w:rsid w:val="001F2E7A"/>
    <w:rsid w:val="001F4166"/>
    <w:rsid w:val="001F4F66"/>
    <w:rsid w:val="001F52E7"/>
    <w:rsid w:val="001F690F"/>
    <w:rsid w:val="001F6A5C"/>
    <w:rsid w:val="001F6D8C"/>
    <w:rsid w:val="001F70F4"/>
    <w:rsid w:val="0020002C"/>
    <w:rsid w:val="002007DF"/>
    <w:rsid w:val="00201347"/>
    <w:rsid w:val="00201F15"/>
    <w:rsid w:val="0020240D"/>
    <w:rsid w:val="00203C4F"/>
    <w:rsid w:val="0020744B"/>
    <w:rsid w:val="0020781E"/>
    <w:rsid w:val="002119E1"/>
    <w:rsid w:val="00211FC4"/>
    <w:rsid w:val="002138E7"/>
    <w:rsid w:val="00213AC2"/>
    <w:rsid w:val="002156A9"/>
    <w:rsid w:val="00215855"/>
    <w:rsid w:val="00215980"/>
    <w:rsid w:val="002164B4"/>
    <w:rsid w:val="002167E3"/>
    <w:rsid w:val="00216BAB"/>
    <w:rsid w:val="00216F25"/>
    <w:rsid w:val="00217F80"/>
    <w:rsid w:val="00220317"/>
    <w:rsid w:val="0022056F"/>
    <w:rsid w:val="002205B0"/>
    <w:rsid w:val="00221029"/>
    <w:rsid w:val="00221032"/>
    <w:rsid w:val="00222BD6"/>
    <w:rsid w:val="00222FDC"/>
    <w:rsid w:val="0022319F"/>
    <w:rsid w:val="0022443E"/>
    <w:rsid w:val="00225450"/>
    <w:rsid w:val="00225B1A"/>
    <w:rsid w:val="00225B1F"/>
    <w:rsid w:val="0022680F"/>
    <w:rsid w:val="00226BC8"/>
    <w:rsid w:val="00226E47"/>
    <w:rsid w:val="00230EC1"/>
    <w:rsid w:val="00231240"/>
    <w:rsid w:val="002322A6"/>
    <w:rsid w:val="00232A10"/>
    <w:rsid w:val="00232DEC"/>
    <w:rsid w:val="00233F43"/>
    <w:rsid w:val="0023487A"/>
    <w:rsid w:val="00234912"/>
    <w:rsid w:val="00237367"/>
    <w:rsid w:val="00240269"/>
    <w:rsid w:val="0024048E"/>
    <w:rsid w:val="00240820"/>
    <w:rsid w:val="00245627"/>
    <w:rsid w:val="002474D8"/>
    <w:rsid w:val="00250C6F"/>
    <w:rsid w:val="00252B8E"/>
    <w:rsid w:val="00253060"/>
    <w:rsid w:val="00253B60"/>
    <w:rsid w:val="00254008"/>
    <w:rsid w:val="002559C6"/>
    <w:rsid w:val="00257294"/>
    <w:rsid w:val="002572E4"/>
    <w:rsid w:val="002606E8"/>
    <w:rsid w:val="00260C55"/>
    <w:rsid w:val="0026130B"/>
    <w:rsid w:val="00262B3D"/>
    <w:rsid w:val="00263158"/>
    <w:rsid w:val="00263F5F"/>
    <w:rsid w:val="0026551E"/>
    <w:rsid w:val="002657CB"/>
    <w:rsid w:val="00265C96"/>
    <w:rsid w:val="0027036A"/>
    <w:rsid w:val="00272A15"/>
    <w:rsid w:val="002745DB"/>
    <w:rsid w:val="00274932"/>
    <w:rsid w:val="00274C14"/>
    <w:rsid w:val="0027749F"/>
    <w:rsid w:val="00280DFA"/>
    <w:rsid w:val="002819B4"/>
    <w:rsid w:val="00282F5D"/>
    <w:rsid w:val="0028315F"/>
    <w:rsid w:val="00283470"/>
    <w:rsid w:val="00284C0A"/>
    <w:rsid w:val="002875D7"/>
    <w:rsid w:val="0028786C"/>
    <w:rsid w:val="00287A3E"/>
    <w:rsid w:val="00292249"/>
    <w:rsid w:val="002922E5"/>
    <w:rsid w:val="002961D2"/>
    <w:rsid w:val="002A1B35"/>
    <w:rsid w:val="002A20E8"/>
    <w:rsid w:val="002A270D"/>
    <w:rsid w:val="002A29A5"/>
    <w:rsid w:val="002A4E8C"/>
    <w:rsid w:val="002A5816"/>
    <w:rsid w:val="002A64DA"/>
    <w:rsid w:val="002A713C"/>
    <w:rsid w:val="002A72AD"/>
    <w:rsid w:val="002A7EE4"/>
    <w:rsid w:val="002B1417"/>
    <w:rsid w:val="002B1DF8"/>
    <w:rsid w:val="002B274B"/>
    <w:rsid w:val="002B2DBD"/>
    <w:rsid w:val="002B2E41"/>
    <w:rsid w:val="002B35AF"/>
    <w:rsid w:val="002B45AE"/>
    <w:rsid w:val="002B521B"/>
    <w:rsid w:val="002B5465"/>
    <w:rsid w:val="002B620F"/>
    <w:rsid w:val="002B7186"/>
    <w:rsid w:val="002B73A6"/>
    <w:rsid w:val="002B79F3"/>
    <w:rsid w:val="002B7BE9"/>
    <w:rsid w:val="002C1A4D"/>
    <w:rsid w:val="002C2F26"/>
    <w:rsid w:val="002C3047"/>
    <w:rsid w:val="002C42BE"/>
    <w:rsid w:val="002C4707"/>
    <w:rsid w:val="002C4B6B"/>
    <w:rsid w:val="002C5E72"/>
    <w:rsid w:val="002C6DF4"/>
    <w:rsid w:val="002C70F5"/>
    <w:rsid w:val="002D0506"/>
    <w:rsid w:val="002D0D2B"/>
    <w:rsid w:val="002D1E27"/>
    <w:rsid w:val="002D225B"/>
    <w:rsid w:val="002D400D"/>
    <w:rsid w:val="002D4D1B"/>
    <w:rsid w:val="002D51C8"/>
    <w:rsid w:val="002D5920"/>
    <w:rsid w:val="002D6585"/>
    <w:rsid w:val="002D6824"/>
    <w:rsid w:val="002D6D2F"/>
    <w:rsid w:val="002D6FE0"/>
    <w:rsid w:val="002D7175"/>
    <w:rsid w:val="002D72C5"/>
    <w:rsid w:val="002D75EA"/>
    <w:rsid w:val="002E0154"/>
    <w:rsid w:val="002E1106"/>
    <w:rsid w:val="002E128F"/>
    <w:rsid w:val="002E1CFE"/>
    <w:rsid w:val="002E30D9"/>
    <w:rsid w:val="002E328D"/>
    <w:rsid w:val="002E328F"/>
    <w:rsid w:val="002E439F"/>
    <w:rsid w:val="002E451E"/>
    <w:rsid w:val="002E61F6"/>
    <w:rsid w:val="002E7B16"/>
    <w:rsid w:val="002E7E39"/>
    <w:rsid w:val="002F096F"/>
    <w:rsid w:val="002F1169"/>
    <w:rsid w:val="002F1A25"/>
    <w:rsid w:val="002F1C42"/>
    <w:rsid w:val="002F1F2C"/>
    <w:rsid w:val="002F2148"/>
    <w:rsid w:val="002F39B0"/>
    <w:rsid w:val="002F5232"/>
    <w:rsid w:val="002F5E1C"/>
    <w:rsid w:val="002F70F4"/>
    <w:rsid w:val="002F738F"/>
    <w:rsid w:val="002F7555"/>
    <w:rsid w:val="002F7B17"/>
    <w:rsid w:val="003016FF"/>
    <w:rsid w:val="00302E56"/>
    <w:rsid w:val="00303474"/>
    <w:rsid w:val="00304253"/>
    <w:rsid w:val="003044EC"/>
    <w:rsid w:val="00304BF0"/>
    <w:rsid w:val="00305447"/>
    <w:rsid w:val="00305CCF"/>
    <w:rsid w:val="00305E26"/>
    <w:rsid w:val="00305E67"/>
    <w:rsid w:val="0030797B"/>
    <w:rsid w:val="00311833"/>
    <w:rsid w:val="0031344D"/>
    <w:rsid w:val="00314327"/>
    <w:rsid w:val="00314BD1"/>
    <w:rsid w:val="00317482"/>
    <w:rsid w:val="00320327"/>
    <w:rsid w:val="00320E38"/>
    <w:rsid w:val="003219EF"/>
    <w:rsid w:val="00321ED1"/>
    <w:rsid w:val="003222E4"/>
    <w:rsid w:val="003228F3"/>
    <w:rsid w:val="00322984"/>
    <w:rsid w:val="00323681"/>
    <w:rsid w:val="00324289"/>
    <w:rsid w:val="00324C3C"/>
    <w:rsid w:val="0032510A"/>
    <w:rsid w:val="003256A7"/>
    <w:rsid w:val="00326C84"/>
    <w:rsid w:val="00327698"/>
    <w:rsid w:val="00327B14"/>
    <w:rsid w:val="003301AD"/>
    <w:rsid w:val="00330396"/>
    <w:rsid w:val="003305C5"/>
    <w:rsid w:val="00331876"/>
    <w:rsid w:val="00331D72"/>
    <w:rsid w:val="0033230A"/>
    <w:rsid w:val="00332C77"/>
    <w:rsid w:val="00333BC5"/>
    <w:rsid w:val="00334477"/>
    <w:rsid w:val="00334873"/>
    <w:rsid w:val="00336EA2"/>
    <w:rsid w:val="0033720A"/>
    <w:rsid w:val="003376D9"/>
    <w:rsid w:val="00340B31"/>
    <w:rsid w:val="00340EE1"/>
    <w:rsid w:val="003411B2"/>
    <w:rsid w:val="00341278"/>
    <w:rsid w:val="00341D92"/>
    <w:rsid w:val="00342C13"/>
    <w:rsid w:val="00342C21"/>
    <w:rsid w:val="00344E8A"/>
    <w:rsid w:val="00344F9E"/>
    <w:rsid w:val="00346708"/>
    <w:rsid w:val="003467F8"/>
    <w:rsid w:val="003506CC"/>
    <w:rsid w:val="00350815"/>
    <w:rsid w:val="00352C95"/>
    <w:rsid w:val="003532E5"/>
    <w:rsid w:val="003534CD"/>
    <w:rsid w:val="00353580"/>
    <w:rsid w:val="00353866"/>
    <w:rsid w:val="0035489F"/>
    <w:rsid w:val="003561BC"/>
    <w:rsid w:val="003561E9"/>
    <w:rsid w:val="003576E3"/>
    <w:rsid w:val="00361AEA"/>
    <w:rsid w:val="00362750"/>
    <w:rsid w:val="003631F7"/>
    <w:rsid w:val="003640FD"/>
    <w:rsid w:val="0036442C"/>
    <w:rsid w:val="00364688"/>
    <w:rsid w:val="00366098"/>
    <w:rsid w:val="00367937"/>
    <w:rsid w:val="003708D5"/>
    <w:rsid w:val="003708F6"/>
    <w:rsid w:val="00370B23"/>
    <w:rsid w:val="003722B6"/>
    <w:rsid w:val="00372667"/>
    <w:rsid w:val="00372C3C"/>
    <w:rsid w:val="00373099"/>
    <w:rsid w:val="00373276"/>
    <w:rsid w:val="00374BF3"/>
    <w:rsid w:val="00375723"/>
    <w:rsid w:val="00376E89"/>
    <w:rsid w:val="00380500"/>
    <w:rsid w:val="00380AC4"/>
    <w:rsid w:val="003810D7"/>
    <w:rsid w:val="00381D2E"/>
    <w:rsid w:val="00383139"/>
    <w:rsid w:val="003850D7"/>
    <w:rsid w:val="00385636"/>
    <w:rsid w:val="0038577A"/>
    <w:rsid w:val="00386D0A"/>
    <w:rsid w:val="00387009"/>
    <w:rsid w:val="0039057A"/>
    <w:rsid w:val="003905C8"/>
    <w:rsid w:val="00390621"/>
    <w:rsid w:val="00390A0B"/>
    <w:rsid w:val="003913C4"/>
    <w:rsid w:val="00392CFA"/>
    <w:rsid w:val="00394E88"/>
    <w:rsid w:val="00396A7C"/>
    <w:rsid w:val="00396C09"/>
    <w:rsid w:val="003973D6"/>
    <w:rsid w:val="003A059D"/>
    <w:rsid w:val="003A0822"/>
    <w:rsid w:val="003A1FF3"/>
    <w:rsid w:val="003A22C5"/>
    <w:rsid w:val="003A26F0"/>
    <w:rsid w:val="003A26FD"/>
    <w:rsid w:val="003A2B48"/>
    <w:rsid w:val="003A3885"/>
    <w:rsid w:val="003A3891"/>
    <w:rsid w:val="003A3A76"/>
    <w:rsid w:val="003A48C2"/>
    <w:rsid w:val="003A55E3"/>
    <w:rsid w:val="003A6DCA"/>
    <w:rsid w:val="003A6E4D"/>
    <w:rsid w:val="003A6FE6"/>
    <w:rsid w:val="003A7D33"/>
    <w:rsid w:val="003B16C5"/>
    <w:rsid w:val="003B1C92"/>
    <w:rsid w:val="003B1E87"/>
    <w:rsid w:val="003B2D2A"/>
    <w:rsid w:val="003B33B1"/>
    <w:rsid w:val="003B3E90"/>
    <w:rsid w:val="003B462C"/>
    <w:rsid w:val="003B7081"/>
    <w:rsid w:val="003B70D0"/>
    <w:rsid w:val="003C1193"/>
    <w:rsid w:val="003C215F"/>
    <w:rsid w:val="003C2918"/>
    <w:rsid w:val="003C2C9E"/>
    <w:rsid w:val="003C3A24"/>
    <w:rsid w:val="003C5690"/>
    <w:rsid w:val="003C5B6E"/>
    <w:rsid w:val="003C61A6"/>
    <w:rsid w:val="003C6823"/>
    <w:rsid w:val="003C7671"/>
    <w:rsid w:val="003D0AEE"/>
    <w:rsid w:val="003D2935"/>
    <w:rsid w:val="003D2946"/>
    <w:rsid w:val="003D36ED"/>
    <w:rsid w:val="003D41E9"/>
    <w:rsid w:val="003D44C4"/>
    <w:rsid w:val="003D5173"/>
    <w:rsid w:val="003D51BF"/>
    <w:rsid w:val="003D6A5A"/>
    <w:rsid w:val="003D6EEC"/>
    <w:rsid w:val="003D7386"/>
    <w:rsid w:val="003E099B"/>
    <w:rsid w:val="003E1209"/>
    <w:rsid w:val="003E3690"/>
    <w:rsid w:val="003E39F0"/>
    <w:rsid w:val="003E485A"/>
    <w:rsid w:val="003E5E3D"/>
    <w:rsid w:val="003E6E4C"/>
    <w:rsid w:val="003E7C44"/>
    <w:rsid w:val="003F0A40"/>
    <w:rsid w:val="003F132A"/>
    <w:rsid w:val="003F1659"/>
    <w:rsid w:val="003F30BD"/>
    <w:rsid w:val="003F315C"/>
    <w:rsid w:val="003F388C"/>
    <w:rsid w:val="003F39C0"/>
    <w:rsid w:val="003F6DF2"/>
    <w:rsid w:val="003F74EC"/>
    <w:rsid w:val="004000C9"/>
    <w:rsid w:val="00400C75"/>
    <w:rsid w:val="00400FD2"/>
    <w:rsid w:val="00401474"/>
    <w:rsid w:val="0040148B"/>
    <w:rsid w:val="00401545"/>
    <w:rsid w:val="00402170"/>
    <w:rsid w:val="0040427D"/>
    <w:rsid w:val="0040520B"/>
    <w:rsid w:val="00406334"/>
    <w:rsid w:val="00406D7B"/>
    <w:rsid w:val="004076BE"/>
    <w:rsid w:val="00410225"/>
    <w:rsid w:val="00411AF1"/>
    <w:rsid w:val="00411E4C"/>
    <w:rsid w:val="00412B63"/>
    <w:rsid w:val="00414413"/>
    <w:rsid w:val="00414471"/>
    <w:rsid w:val="004162DE"/>
    <w:rsid w:val="00416418"/>
    <w:rsid w:val="00417217"/>
    <w:rsid w:val="00420197"/>
    <w:rsid w:val="004204E0"/>
    <w:rsid w:val="00420C46"/>
    <w:rsid w:val="004210C7"/>
    <w:rsid w:val="00421902"/>
    <w:rsid w:val="00421AFA"/>
    <w:rsid w:val="0042212F"/>
    <w:rsid w:val="00422B4F"/>
    <w:rsid w:val="00422FF1"/>
    <w:rsid w:val="004250A8"/>
    <w:rsid w:val="0042510F"/>
    <w:rsid w:val="0042529F"/>
    <w:rsid w:val="00426BAD"/>
    <w:rsid w:val="004304CB"/>
    <w:rsid w:val="00432152"/>
    <w:rsid w:val="00433AB3"/>
    <w:rsid w:val="004348EA"/>
    <w:rsid w:val="0043629F"/>
    <w:rsid w:val="004362C3"/>
    <w:rsid w:val="00436DF8"/>
    <w:rsid w:val="00441C74"/>
    <w:rsid w:val="004421D1"/>
    <w:rsid w:val="004422FA"/>
    <w:rsid w:val="0044249E"/>
    <w:rsid w:val="00443AF3"/>
    <w:rsid w:val="00444285"/>
    <w:rsid w:val="0044429C"/>
    <w:rsid w:val="00450660"/>
    <w:rsid w:val="00450688"/>
    <w:rsid w:val="00451131"/>
    <w:rsid w:val="00452B0D"/>
    <w:rsid w:val="00453423"/>
    <w:rsid w:val="00454308"/>
    <w:rsid w:val="004579C9"/>
    <w:rsid w:val="00457FBB"/>
    <w:rsid w:val="00461C5E"/>
    <w:rsid w:val="004629CC"/>
    <w:rsid w:val="00462FC1"/>
    <w:rsid w:val="00463517"/>
    <w:rsid w:val="00463D67"/>
    <w:rsid w:val="004649EE"/>
    <w:rsid w:val="00464D6E"/>
    <w:rsid w:val="00465453"/>
    <w:rsid w:val="00465D13"/>
    <w:rsid w:val="00465E0C"/>
    <w:rsid w:val="004667EA"/>
    <w:rsid w:val="00466D11"/>
    <w:rsid w:val="00466E07"/>
    <w:rsid w:val="004711E0"/>
    <w:rsid w:val="0047122B"/>
    <w:rsid w:val="00471F52"/>
    <w:rsid w:val="00474E29"/>
    <w:rsid w:val="00474F3A"/>
    <w:rsid w:val="00475257"/>
    <w:rsid w:val="00476EA3"/>
    <w:rsid w:val="004771A9"/>
    <w:rsid w:val="00477DD9"/>
    <w:rsid w:val="00477F1F"/>
    <w:rsid w:val="004802BD"/>
    <w:rsid w:val="004809BC"/>
    <w:rsid w:val="004821FC"/>
    <w:rsid w:val="00482545"/>
    <w:rsid w:val="004828B9"/>
    <w:rsid w:val="004847E2"/>
    <w:rsid w:val="00485661"/>
    <w:rsid w:val="004860E3"/>
    <w:rsid w:val="004904BA"/>
    <w:rsid w:val="00490FCB"/>
    <w:rsid w:val="00492779"/>
    <w:rsid w:val="00492D1F"/>
    <w:rsid w:val="00494728"/>
    <w:rsid w:val="004961C3"/>
    <w:rsid w:val="004974A9"/>
    <w:rsid w:val="00497544"/>
    <w:rsid w:val="004A1493"/>
    <w:rsid w:val="004A1D4C"/>
    <w:rsid w:val="004A2C79"/>
    <w:rsid w:val="004A3A87"/>
    <w:rsid w:val="004A3C6B"/>
    <w:rsid w:val="004A48B4"/>
    <w:rsid w:val="004A4A7E"/>
    <w:rsid w:val="004A5F60"/>
    <w:rsid w:val="004A71F7"/>
    <w:rsid w:val="004B0616"/>
    <w:rsid w:val="004B0F08"/>
    <w:rsid w:val="004B1FDB"/>
    <w:rsid w:val="004B226C"/>
    <w:rsid w:val="004B25B9"/>
    <w:rsid w:val="004B5952"/>
    <w:rsid w:val="004B5D71"/>
    <w:rsid w:val="004B631F"/>
    <w:rsid w:val="004B795E"/>
    <w:rsid w:val="004C27B7"/>
    <w:rsid w:val="004C383B"/>
    <w:rsid w:val="004C3BE5"/>
    <w:rsid w:val="004C42B0"/>
    <w:rsid w:val="004C4CF8"/>
    <w:rsid w:val="004C559A"/>
    <w:rsid w:val="004C6CC4"/>
    <w:rsid w:val="004C7C79"/>
    <w:rsid w:val="004C7CE0"/>
    <w:rsid w:val="004D0AAA"/>
    <w:rsid w:val="004D0BF9"/>
    <w:rsid w:val="004D1E72"/>
    <w:rsid w:val="004D28F7"/>
    <w:rsid w:val="004D3D28"/>
    <w:rsid w:val="004D5538"/>
    <w:rsid w:val="004D651D"/>
    <w:rsid w:val="004E06A3"/>
    <w:rsid w:val="004E3869"/>
    <w:rsid w:val="004E3E26"/>
    <w:rsid w:val="004E3E35"/>
    <w:rsid w:val="004E3E58"/>
    <w:rsid w:val="004E43CA"/>
    <w:rsid w:val="004E53A3"/>
    <w:rsid w:val="004E69E8"/>
    <w:rsid w:val="004E6ECE"/>
    <w:rsid w:val="004F1033"/>
    <w:rsid w:val="004F2869"/>
    <w:rsid w:val="004F76EB"/>
    <w:rsid w:val="004F7750"/>
    <w:rsid w:val="00500449"/>
    <w:rsid w:val="00500D9A"/>
    <w:rsid w:val="00501744"/>
    <w:rsid w:val="00501B6F"/>
    <w:rsid w:val="00501DFE"/>
    <w:rsid w:val="0050285A"/>
    <w:rsid w:val="00502B69"/>
    <w:rsid w:val="00503830"/>
    <w:rsid w:val="00503BB6"/>
    <w:rsid w:val="00503EF7"/>
    <w:rsid w:val="005049AA"/>
    <w:rsid w:val="00504BBC"/>
    <w:rsid w:val="0050709A"/>
    <w:rsid w:val="00507F35"/>
    <w:rsid w:val="00510D13"/>
    <w:rsid w:val="00511038"/>
    <w:rsid w:val="0051129F"/>
    <w:rsid w:val="0051199B"/>
    <w:rsid w:val="00512558"/>
    <w:rsid w:val="00512707"/>
    <w:rsid w:val="0051331E"/>
    <w:rsid w:val="00513CB7"/>
    <w:rsid w:val="005158D5"/>
    <w:rsid w:val="00516778"/>
    <w:rsid w:val="00517D09"/>
    <w:rsid w:val="005208A0"/>
    <w:rsid w:val="00520FD3"/>
    <w:rsid w:val="0052186A"/>
    <w:rsid w:val="00521F33"/>
    <w:rsid w:val="00522912"/>
    <w:rsid w:val="005229E1"/>
    <w:rsid w:val="00522E79"/>
    <w:rsid w:val="005230B2"/>
    <w:rsid w:val="00524674"/>
    <w:rsid w:val="00530751"/>
    <w:rsid w:val="00530F79"/>
    <w:rsid w:val="0053171A"/>
    <w:rsid w:val="005317D5"/>
    <w:rsid w:val="00531A94"/>
    <w:rsid w:val="00532576"/>
    <w:rsid w:val="005328CF"/>
    <w:rsid w:val="0053321F"/>
    <w:rsid w:val="00535141"/>
    <w:rsid w:val="0053523A"/>
    <w:rsid w:val="0053563F"/>
    <w:rsid w:val="00535B71"/>
    <w:rsid w:val="00536864"/>
    <w:rsid w:val="005371C1"/>
    <w:rsid w:val="005375CA"/>
    <w:rsid w:val="00540BF9"/>
    <w:rsid w:val="00542512"/>
    <w:rsid w:val="00542A74"/>
    <w:rsid w:val="00542DBF"/>
    <w:rsid w:val="00543267"/>
    <w:rsid w:val="005436B5"/>
    <w:rsid w:val="005436F5"/>
    <w:rsid w:val="00543B11"/>
    <w:rsid w:val="00544A88"/>
    <w:rsid w:val="005451F7"/>
    <w:rsid w:val="005460C8"/>
    <w:rsid w:val="005469E5"/>
    <w:rsid w:val="00546CA5"/>
    <w:rsid w:val="00547494"/>
    <w:rsid w:val="005474F2"/>
    <w:rsid w:val="00547AFD"/>
    <w:rsid w:val="00547FE4"/>
    <w:rsid w:val="00550163"/>
    <w:rsid w:val="005509F4"/>
    <w:rsid w:val="00551D28"/>
    <w:rsid w:val="00552FFB"/>
    <w:rsid w:val="005547D2"/>
    <w:rsid w:val="00556D41"/>
    <w:rsid w:val="005571ED"/>
    <w:rsid w:val="00561E8A"/>
    <w:rsid w:val="00562791"/>
    <w:rsid w:val="00566C86"/>
    <w:rsid w:val="00566D09"/>
    <w:rsid w:val="005673AC"/>
    <w:rsid w:val="00567C28"/>
    <w:rsid w:val="00570281"/>
    <w:rsid w:val="00570BE8"/>
    <w:rsid w:val="005713AC"/>
    <w:rsid w:val="0057169F"/>
    <w:rsid w:val="00571E73"/>
    <w:rsid w:val="0057238C"/>
    <w:rsid w:val="00572B08"/>
    <w:rsid w:val="00574DDB"/>
    <w:rsid w:val="00574E20"/>
    <w:rsid w:val="005756A3"/>
    <w:rsid w:val="005757BB"/>
    <w:rsid w:val="0057680E"/>
    <w:rsid w:val="00577840"/>
    <w:rsid w:val="0058046F"/>
    <w:rsid w:val="00580631"/>
    <w:rsid w:val="00580BBC"/>
    <w:rsid w:val="00582595"/>
    <w:rsid w:val="00582710"/>
    <w:rsid w:val="005847B5"/>
    <w:rsid w:val="00586B79"/>
    <w:rsid w:val="00587211"/>
    <w:rsid w:val="00591703"/>
    <w:rsid w:val="00591FE4"/>
    <w:rsid w:val="00592454"/>
    <w:rsid w:val="005924AA"/>
    <w:rsid w:val="005929AA"/>
    <w:rsid w:val="00593BFB"/>
    <w:rsid w:val="0059602E"/>
    <w:rsid w:val="00596D7E"/>
    <w:rsid w:val="005975B5"/>
    <w:rsid w:val="005976C7"/>
    <w:rsid w:val="00597958"/>
    <w:rsid w:val="005A1203"/>
    <w:rsid w:val="005A15E0"/>
    <w:rsid w:val="005A2A7D"/>
    <w:rsid w:val="005A3F2C"/>
    <w:rsid w:val="005A438F"/>
    <w:rsid w:val="005A43D8"/>
    <w:rsid w:val="005A5570"/>
    <w:rsid w:val="005A772E"/>
    <w:rsid w:val="005A77E1"/>
    <w:rsid w:val="005B01FB"/>
    <w:rsid w:val="005B03AE"/>
    <w:rsid w:val="005B0BAD"/>
    <w:rsid w:val="005B144C"/>
    <w:rsid w:val="005B1493"/>
    <w:rsid w:val="005B149F"/>
    <w:rsid w:val="005B171D"/>
    <w:rsid w:val="005B2C45"/>
    <w:rsid w:val="005B3DA0"/>
    <w:rsid w:val="005B52C0"/>
    <w:rsid w:val="005B56F4"/>
    <w:rsid w:val="005B57ED"/>
    <w:rsid w:val="005B69A7"/>
    <w:rsid w:val="005C18F2"/>
    <w:rsid w:val="005C2BF0"/>
    <w:rsid w:val="005C3980"/>
    <w:rsid w:val="005C3B6B"/>
    <w:rsid w:val="005C4EEF"/>
    <w:rsid w:val="005C5741"/>
    <w:rsid w:val="005C5945"/>
    <w:rsid w:val="005C5B68"/>
    <w:rsid w:val="005C5D59"/>
    <w:rsid w:val="005C6406"/>
    <w:rsid w:val="005C6BF3"/>
    <w:rsid w:val="005C7474"/>
    <w:rsid w:val="005C76B2"/>
    <w:rsid w:val="005C7F30"/>
    <w:rsid w:val="005D01F3"/>
    <w:rsid w:val="005D0380"/>
    <w:rsid w:val="005D1640"/>
    <w:rsid w:val="005D23F6"/>
    <w:rsid w:val="005D3417"/>
    <w:rsid w:val="005D365B"/>
    <w:rsid w:val="005D3DB7"/>
    <w:rsid w:val="005D4595"/>
    <w:rsid w:val="005D4C7D"/>
    <w:rsid w:val="005D51C5"/>
    <w:rsid w:val="005D66DA"/>
    <w:rsid w:val="005D6BCB"/>
    <w:rsid w:val="005D7B8B"/>
    <w:rsid w:val="005E01CC"/>
    <w:rsid w:val="005E0E8A"/>
    <w:rsid w:val="005E0EC9"/>
    <w:rsid w:val="005E2110"/>
    <w:rsid w:val="005E25D8"/>
    <w:rsid w:val="005E28D2"/>
    <w:rsid w:val="005E2C70"/>
    <w:rsid w:val="005E2CE1"/>
    <w:rsid w:val="005E2F74"/>
    <w:rsid w:val="005E3973"/>
    <w:rsid w:val="005E4FE7"/>
    <w:rsid w:val="005E55C8"/>
    <w:rsid w:val="005E57CC"/>
    <w:rsid w:val="005E6093"/>
    <w:rsid w:val="005E6CFD"/>
    <w:rsid w:val="005E6E8E"/>
    <w:rsid w:val="005E75B2"/>
    <w:rsid w:val="005E78CC"/>
    <w:rsid w:val="005F0A17"/>
    <w:rsid w:val="005F405F"/>
    <w:rsid w:val="005F40CC"/>
    <w:rsid w:val="005F4499"/>
    <w:rsid w:val="005F4924"/>
    <w:rsid w:val="005F4968"/>
    <w:rsid w:val="005F50BB"/>
    <w:rsid w:val="005F66AB"/>
    <w:rsid w:val="005F6FCE"/>
    <w:rsid w:val="005F7247"/>
    <w:rsid w:val="005F782A"/>
    <w:rsid w:val="005F7AA3"/>
    <w:rsid w:val="00600C40"/>
    <w:rsid w:val="006030CE"/>
    <w:rsid w:val="00603161"/>
    <w:rsid w:val="00603580"/>
    <w:rsid w:val="00604956"/>
    <w:rsid w:val="00604B8C"/>
    <w:rsid w:val="00604BE0"/>
    <w:rsid w:val="00605ED7"/>
    <w:rsid w:val="0060629B"/>
    <w:rsid w:val="00606CBE"/>
    <w:rsid w:val="00607331"/>
    <w:rsid w:val="0060768B"/>
    <w:rsid w:val="00607A44"/>
    <w:rsid w:val="00610044"/>
    <w:rsid w:val="00611954"/>
    <w:rsid w:val="00614151"/>
    <w:rsid w:val="00614899"/>
    <w:rsid w:val="00614D33"/>
    <w:rsid w:val="006152CE"/>
    <w:rsid w:val="00616C1E"/>
    <w:rsid w:val="00617273"/>
    <w:rsid w:val="0061740F"/>
    <w:rsid w:val="006214E2"/>
    <w:rsid w:val="00621CA2"/>
    <w:rsid w:val="0062253F"/>
    <w:rsid w:val="00623B09"/>
    <w:rsid w:val="00624754"/>
    <w:rsid w:val="00625836"/>
    <w:rsid w:val="00625A05"/>
    <w:rsid w:val="006263F9"/>
    <w:rsid w:val="0062745F"/>
    <w:rsid w:val="00627C5C"/>
    <w:rsid w:val="0063174E"/>
    <w:rsid w:val="0063185B"/>
    <w:rsid w:val="0063200F"/>
    <w:rsid w:val="00632218"/>
    <w:rsid w:val="00632603"/>
    <w:rsid w:val="00633036"/>
    <w:rsid w:val="006332C7"/>
    <w:rsid w:val="00633D81"/>
    <w:rsid w:val="00633EB1"/>
    <w:rsid w:val="00634575"/>
    <w:rsid w:val="006359AE"/>
    <w:rsid w:val="00635F9A"/>
    <w:rsid w:val="006369DC"/>
    <w:rsid w:val="00636C00"/>
    <w:rsid w:val="0063715F"/>
    <w:rsid w:val="006414B4"/>
    <w:rsid w:val="00641D8D"/>
    <w:rsid w:val="0064249E"/>
    <w:rsid w:val="00642C37"/>
    <w:rsid w:val="006433A4"/>
    <w:rsid w:val="00643CBC"/>
    <w:rsid w:val="00644C41"/>
    <w:rsid w:val="00645456"/>
    <w:rsid w:val="00646089"/>
    <w:rsid w:val="00651461"/>
    <w:rsid w:val="006519F8"/>
    <w:rsid w:val="00652392"/>
    <w:rsid w:val="0065442E"/>
    <w:rsid w:val="006555B2"/>
    <w:rsid w:val="00657B9A"/>
    <w:rsid w:val="00657DA6"/>
    <w:rsid w:val="00657EC1"/>
    <w:rsid w:val="00662F0D"/>
    <w:rsid w:val="0066354A"/>
    <w:rsid w:val="0066355F"/>
    <w:rsid w:val="00666969"/>
    <w:rsid w:val="006670DB"/>
    <w:rsid w:val="00667E62"/>
    <w:rsid w:val="0067053E"/>
    <w:rsid w:val="00670FDF"/>
    <w:rsid w:val="00671A0A"/>
    <w:rsid w:val="006727EE"/>
    <w:rsid w:val="00672D36"/>
    <w:rsid w:val="00673744"/>
    <w:rsid w:val="006745B5"/>
    <w:rsid w:val="00674B33"/>
    <w:rsid w:val="006754B5"/>
    <w:rsid w:val="0067631F"/>
    <w:rsid w:val="006765DE"/>
    <w:rsid w:val="00680A6B"/>
    <w:rsid w:val="00681DBA"/>
    <w:rsid w:val="00682530"/>
    <w:rsid w:val="0068332D"/>
    <w:rsid w:val="00683418"/>
    <w:rsid w:val="006835BD"/>
    <w:rsid w:val="006847C5"/>
    <w:rsid w:val="00685173"/>
    <w:rsid w:val="00685D75"/>
    <w:rsid w:val="00686164"/>
    <w:rsid w:val="006866CD"/>
    <w:rsid w:val="00687D0C"/>
    <w:rsid w:val="006901F6"/>
    <w:rsid w:val="00690A9C"/>
    <w:rsid w:val="0069129E"/>
    <w:rsid w:val="00691871"/>
    <w:rsid w:val="00694382"/>
    <w:rsid w:val="00694486"/>
    <w:rsid w:val="006946C5"/>
    <w:rsid w:val="00694888"/>
    <w:rsid w:val="006960EB"/>
    <w:rsid w:val="006963CB"/>
    <w:rsid w:val="00697536"/>
    <w:rsid w:val="0069754F"/>
    <w:rsid w:val="00697D9B"/>
    <w:rsid w:val="00697DA6"/>
    <w:rsid w:val="006A05F1"/>
    <w:rsid w:val="006A0F94"/>
    <w:rsid w:val="006A1610"/>
    <w:rsid w:val="006A1733"/>
    <w:rsid w:val="006A28D1"/>
    <w:rsid w:val="006A33BB"/>
    <w:rsid w:val="006A3421"/>
    <w:rsid w:val="006A346E"/>
    <w:rsid w:val="006A42F9"/>
    <w:rsid w:val="006A5AD8"/>
    <w:rsid w:val="006A5E1D"/>
    <w:rsid w:val="006A6149"/>
    <w:rsid w:val="006A6185"/>
    <w:rsid w:val="006A74F4"/>
    <w:rsid w:val="006B019A"/>
    <w:rsid w:val="006B077E"/>
    <w:rsid w:val="006B11F6"/>
    <w:rsid w:val="006B24F1"/>
    <w:rsid w:val="006B323C"/>
    <w:rsid w:val="006B4F9B"/>
    <w:rsid w:val="006B5B47"/>
    <w:rsid w:val="006B6655"/>
    <w:rsid w:val="006B7964"/>
    <w:rsid w:val="006B7A36"/>
    <w:rsid w:val="006C0492"/>
    <w:rsid w:val="006C21BD"/>
    <w:rsid w:val="006C22F8"/>
    <w:rsid w:val="006C28E2"/>
    <w:rsid w:val="006C2A43"/>
    <w:rsid w:val="006C2FC1"/>
    <w:rsid w:val="006C39C6"/>
    <w:rsid w:val="006C4DFA"/>
    <w:rsid w:val="006C577C"/>
    <w:rsid w:val="006C5FF9"/>
    <w:rsid w:val="006C6E83"/>
    <w:rsid w:val="006C7F87"/>
    <w:rsid w:val="006D1AAC"/>
    <w:rsid w:val="006D23CB"/>
    <w:rsid w:val="006D2576"/>
    <w:rsid w:val="006D5CBA"/>
    <w:rsid w:val="006E01EE"/>
    <w:rsid w:val="006E15BB"/>
    <w:rsid w:val="006E22CE"/>
    <w:rsid w:val="006E41B6"/>
    <w:rsid w:val="006E59F2"/>
    <w:rsid w:val="006E5BD6"/>
    <w:rsid w:val="006E777F"/>
    <w:rsid w:val="006F118E"/>
    <w:rsid w:val="006F1C03"/>
    <w:rsid w:val="006F290F"/>
    <w:rsid w:val="006F2E38"/>
    <w:rsid w:val="006F5218"/>
    <w:rsid w:val="006F67F5"/>
    <w:rsid w:val="0070088B"/>
    <w:rsid w:val="00701D11"/>
    <w:rsid w:val="00701E47"/>
    <w:rsid w:val="00702BE8"/>
    <w:rsid w:val="00702EED"/>
    <w:rsid w:val="007040CE"/>
    <w:rsid w:val="00704E08"/>
    <w:rsid w:val="0070632C"/>
    <w:rsid w:val="0070643C"/>
    <w:rsid w:val="00706FEF"/>
    <w:rsid w:val="00707366"/>
    <w:rsid w:val="00707731"/>
    <w:rsid w:val="00712522"/>
    <w:rsid w:val="007134B8"/>
    <w:rsid w:val="007135B5"/>
    <w:rsid w:val="00713AF7"/>
    <w:rsid w:val="00715A96"/>
    <w:rsid w:val="0071720B"/>
    <w:rsid w:val="0072072A"/>
    <w:rsid w:val="007216A9"/>
    <w:rsid w:val="007223D6"/>
    <w:rsid w:val="007226B7"/>
    <w:rsid w:val="007242B4"/>
    <w:rsid w:val="0072493E"/>
    <w:rsid w:val="00724EE2"/>
    <w:rsid w:val="0073086A"/>
    <w:rsid w:val="00731F71"/>
    <w:rsid w:val="00731FD8"/>
    <w:rsid w:val="00732660"/>
    <w:rsid w:val="00732FBB"/>
    <w:rsid w:val="007359DC"/>
    <w:rsid w:val="007362AB"/>
    <w:rsid w:val="007371A1"/>
    <w:rsid w:val="00737427"/>
    <w:rsid w:val="0073772D"/>
    <w:rsid w:val="00740507"/>
    <w:rsid w:val="00742947"/>
    <w:rsid w:val="007431C2"/>
    <w:rsid w:val="00743D68"/>
    <w:rsid w:val="00746FF6"/>
    <w:rsid w:val="00747248"/>
    <w:rsid w:val="0074758B"/>
    <w:rsid w:val="00747D0C"/>
    <w:rsid w:val="00750F68"/>
    <w:rsid w:val="00751E8C"/>
    <w:rsid w:val="00753536"/>
    <w:rsid w:val="0075417F"/>
    <w:rsid w:val="007542C5"/>
    <w:rsid w:val="00754694"/>
    <w:rsid w:val="00755141"/>
    <w:rsid w:val="00755619"/>
    <w:rsid w:val="00755A34"/>
    <w:rsid w:val="007576BA"/>
    <w:rsid w:val="00760AC6"/>
    <w:rsid w:val="00761397"/>
    <w:rsid w:val="007614F0"/>
    <w:rsid w:val="0076284E"/>
    <w:rsid w:val="007629C3"/>
    <w:rsid w:val="00762C5D"/>
    <w:rsid w:val="00763A88"/>
    <w:rsid w:val="007640D3"/>
    <w:rsid w:val="00767677"/>
    <w:rsid w:val="007710A5"/>
    <w:rsid w:val="00771592"/>
    <w:rsid w:val="0077229C"/>
    <w:rsid w:val="007743E3"/>
    <w:rsid w:val="00774A35"/>
    <w:rsid w:val="007753DD"/>
    <w:rsid w:val="0077627E"/>
    <w:rsid w:val="00776ECC"/>
    <w:rsid w:val="00776FD5"/>
    <w:rsid w:val="00780DAB"/>
    <w:rsid w:val="00781C19"/>
    <w:rsid w:val="00781D68"/>
    <w:rsid w:val="00782A39"/>
    <w:rsid w:val="00782F10"/>
    <w:rsid w:val="00783AAA"/>
    <w:rsid w:val="00784662"/>
    <w:rsid w:val="00784D2A"/>
    <w:rsid w:val="00785179"/>
    <w:rsid w:val="0078565D"/>
    <w:rsid w:val="0078629C"/>
    <w:rsid w:val="00786461"/>
    <w:rsid w:val="00786E91"/>
    <w:rsid w:val="00787692"/>
    <w:rsid w:val="00790FB2"/>
    <w:rsid w:val="007912E8"/>
    <w:rsid w:val="007951F7"/>
    <w:rsid w:val="00797A31"/>
    <w:rsid w:val="00797EB6"/>
    <w:rsid w:val="007A1002"/>
    <w:rsid w:val="007A12BB"/>
    <w:rsid w:val="007A361D"/>
    <w:rsid w:val="007A571C"/>
    <w:rsid w:val="007A5A59"/>
    <w:rsid w:val="007A67AF"/>
    <w:rsid w:val="007A6CDA"/>
    <w:rsid w:val="007A7750"/>
    <w:rsid w:val="007B28AE"/>
    <w:rsid w:val="007B38D2"/>
    <w:rsid w:val="007B38E0"/>
    <w:rsid w:val="007B3BF0"/>
    <w:rsid w:val="007B4523"/>
    <w:rsid w:val="007B4ECD"/>
    <w:rsid w:val="007B54BA"/>
    <w:rsid w:val="007B6010"/>
    <w:rsid w:val="007B68AC"/>
    <w:rsid w:val="007B6F9C"/>
    <w:rsid w:val="007C061A"/>
    <w:rsid w:val="007C0F98"/>
    <w:rsid w:val="007C1A8F"/>
    <w:rsid w:val="007C21C0"/>
    <w:rsid w:val="007C22CF"/>
    <w:rsid w:val="007C31EE"/>
    <w:rsid w:val="007C3521"/>
    <w:rsid w:val="007C483D"/>
    <w:rsid w:val="007C4C1E"/>
    <w:rsid w:val="007C66D4"/>
    <w:rsid w:val="007C7057"/>
    <w:rsid w:val="007C74AF"/>
    <w:rsid w:val="007C75EE"/>
    <w:rsid w:val="007C7DB7"/>
    <w:rsid w:val="007D0632"/>
    <w:rsid w:val="007D28D9"/>
    <w:rsid w:val="007D4428"/>
    <w:rsid w:val="007D558A"/>
    <w:rsid w:val="007D5744"/>
    <w:rsid w:val="007D5B21"/>
    <w:rsid w:val="007D6396"/>
    <w:rsid w:val="007E0C97"/>
    <w:rsid w:val="007E1BEA"/>
    <w:rsid w:val="007E1FFD"/>
    <w:rsid w:val="007E21DB"/>
    <w:rsid w:val="007E323A"/>
    <w:rsid w:val="007E39CD"/>
    <w:rsid w:val="007E554F"/>
    <w:rsid w:val="007E6707"/>
    <w:rsid w:val="007E71E7"/>
    <w:rsid w:val="007E781F"/>
    <w:rsid w:val="007E7ACE"/>
    <w:rsid w:val="007E7E6C"/>
    <w:rsid w:val="007E7E9C"/>
    <w:rsid w:val="007F04BC"/>
    <w:rsid w:val="007F2A4A"/>
    <w:rsid w:val="007F31F1"/>
    <w:rsid w:val="007F36C7"/>
    <w:rsid w:val="007F500A"/>
    <w:rsid w:val="007F65A0"/>
    <w:rsid w:val="007F75F0"/>
    <w:rsid w:val="007F7949"/>
    <w:rsid w:val="008004A8"/>
    <w:rsid w:val="00800869"/>
    <w:rsid w:val="00801C68"/>
    <w:rsid w:val="00802FC4"/>
    <w:rsid w:val="00803B3A"/>
    <w:rsid w:val="008059E8"/>
    <w:rsid w:val="00805EAE"/>
    <w:rsid w:val="0080620B"/>
    <w:rsid w:val="00806671"/>
    <w:rsid w:val="0080720E"/>
    <w:rsid w:val="00807A52"/>
    <w:rsid w:val="00811046"/>
    <w:rsid w:val="0081150B"/>
    <w:rsid w:val="00811630"/>
    <w:rsid w:val="0081235F"/>
    <w:rsid w:val="00812B27"/>
    <w:rsid w:val="00812D0E"/>
    <w:rsid w:val="00813308"/>
    <w:rsid w:val="00813A29"/>
    <w:rsid w:val="00813A71"/>
    <w:rsid w:val="00813BE6"/>
    <w:rsid w:val="00813C49"/>
    <w:rsid w:val="00813C94"/>
    <w:rsid w:val="00813EAD"/>
    <w:rsid w:val="00814765"/>
    <w:rsid w:val="0081526A"/>
    <w:rsid w:val="00815F36"/>
    <w:rsid w:val="0081626E"/>
    <w:rsid w:val="008208D1"/>
    <w:rsid w:val="0082161F"/>
    <w:rsid w:val="00822BC2"/>
    <w:rsid w:val="00822D88"/>
    <w:rsid w:val="00822E08"/>
    <w:rsid w:val="00822F97"/>
    <w:rsid w:val="008246ED"/>
    <w:rsid w:val="008252C5"/>
    <w:rsid w:val="00825310"/>
    <w:rsid w:val="0082556E"/>
    <w:rsid w:val="00825BBE"/>
    <w:rsid w:val="00827109"/>
    <w:rsid w:val="00827C55"/>
    <w:rsid w:val="00827E7C"/>
    <w:rsid w:val="00830767"/>
    <w:rsid w:val="00830C1C"/>
    <w:rsid w:val="00832055"/>
    <w:rsid w:val="00832662"/>
    <w:rsid w:val="0083269B"/>
    <w:rsid w:val="008338B5"/>
    <w:rsid w:val="00834274"/>
    <w:rsid w:val="00834BA9"/>
    <w:rsid w:val="0083557E"/>
    <w:rsid w:val="008356A4"/>
    <w:rsid w:val="00835E67"/>
    <w:rsid w:val="00836907"/>
    <w:rsid w:val="00836D6A"/>
    <w:rsid w:val="008370F4"/>
    <w:rsid w:val="0084056F"/>
    <w:rsid w:val="00840937"/>
    <w:rsid w:val="00841334"/>
    <w:rsid w:val="008423E0"/>
    <w:rsid w:val="00842594"/>
    <w:rsid w:val="00843B09"/>
    <w:rsid w:val="00844025"/>
    <w:rsid w:val="008445DE"/>
    <w:rsid w:val="00844A98"/>
    <w:rsid w:val="008450B0"/>
    <w:rsid w:val="00846047"/>
    <w:rsid w:val="008472B2"/>
    <w:rsid w:val="008479D0"/>
    <w:rsid w:val="008515D1"/>
    <w:rsid w:val="008526B7"/>
    <w:rsid w:val="00852712"/>
    <w:rsid w:val="008527EF"/>
    <w:rsid w:val="00852B59"/>
    <w:rsid w:val="008530E1"/>
    <w:rsid w:val="00854FB7"/>
    <w:rsid w:val="00855EE5"/>
    <w:rsid w:val="008572E0"/>
    <w:rsid w:val="0086017B"/>
    <w:rsid w:val="00861BAF"/>
    <w:rsid w:val="0086327A"/>
    <w:rsid w:val="008639E0"/>
    <w:rsid w:val="00864408"/>
    <w:rsid w:val="00865AD0"/>
    <w:rsid w:val="008668A7"/>
    <w:rsid w:val="00867DBA"/>
    <w:rsid w:val="00871323"/>
    <w:rsid w:val="00871D86"/>
    <w:rsid w:val="008735DA"/>
    <w:rsid w:val="00874A03"/>
    <w:rsid w:val="00875FEA"/>
    <w:rsid w:val="00876B32"/>
    <w:rsid w:val="00880450"/>
    <w:rsid w:val="00882A12"/>
    <w:rsid w:val="00882AF3"/>
    <w:rsid w:val="0088323C"/>
    <w:rsid w:val="00885B2F"/>
    <w:rsid w:val="00886E6C"/>
    <w:rsid w:val="00887310"/>
    <w:rsid w:val="00887DBC"/>
    <w:rsid w:val="00890CA0"/>
    <w:rsid w:val="0089241C"/>
    <w:rsid w:val="00892BAC"/>
    <w:rsid w:val="008930C0"/>
    <w:rsid w:val="008938C7"/>
    <w:rsid w:val="00893C17"/>
    <w:rsid w:val="00893F41"/>
    <w:rsid w:val="008941F4"/>
    <w:rsid w:val="0089458B"/>
    <w:rsid w:val="00895C5D"/>
    <w:rsid w:val="0089658F"/>
    <w:rsid w:val="008966B0"/>
    <w:rsid w:val="00896A49"/>
    <w:rsid w:val="00897C92"/>
    <w:rsid w:val="00897D28"/>
    <w:rsid w:val="008A0050"/>
    <w:rsid w:val="008A00F2"/>
    <w:rsid w:val="008A17A0"/>
    <w:rsid w:val="008A202C"/>
    <w:rsid w:val="008A2ED0"/>
    <w:rsid w:val="008A30DE"/>
    <w:rsid w:val="008A53F7"/>
    <w:rsid w:val="008A6D81"/>
    <w:rsid w:val="008A6DD2"/>
    <w:rsid w:val="008A6E1B"/>
    <w:rsid w:val="008A7820"/>
    <w:rsid w:val="008B123E"/>
    <w:rsid w:val="008B1465"/>
    <w:rsid w:val="008B1969"/>
    <w:rsid w:val="008B2081"/>
    <w:rsid w:val="008B2A3F"/>
    <w:rsid w:val="008B2E8F"/>
    <w:rsid w:val="008B3585"/>
    <w:rsid w:val="008B3C33"/>
    <w:rsid w:val="008B43BD"/>
    <w:rsid w:val="008B4906"/>
    <w:rsid w:val="008B5105"/>
    <w:rsid w:val="008B5A89"/>
    <w:rsid w:val="008B6C50"/>
    <w:rsid w:val="008B7424"/>
    <w:rsid w:val="008C037D"/>
    <w:rsid w:val="008C07BA"/>
    <w:rsid w:val="008C0A9E"/>
    <w:rsid w:val="008C1248"/>
    <w:rsid w:val="008C17F8"/>
    <w:rsid w:val="008C1EAB"/>
    <w:rsid w:val="008C2921"/>
    <w:rsid w:val="008C2B67"/>
    <w:rsid w:val="008C2D0B"/>
    <w:rsid w:val="008C30C1"/>
    <w:rsid w:val="008C557E"/>
    <w:rsid w:val="008C5FE7"/>
    <w:rsid w:val="008C61DF"/>
    <w:rsid w:val="008C6834"/>
    <w:rsid w:val="008C6973"/>
    <w:rsid w:val="008C69DE"/>
    <w:rsid w:val="008C7DFB"/>
    <w:rsid w:val="008D0A55"/>
    <w:rsid w:val="008D11B5"/>
    <w:rsid w:val="008D198E"/>
    <w:rsid w:val="008D19FB"/>
    <w:rsid w:val="008D1D38"/>
    <w:rsid w:val="008D2774"/>
    <w:rsid w:val="008D2DC3"/>
    <w:rsid w:val="008D2E29"/>
    <w:rsid w:val="008D5051"/>
    <w:rsid w:val="008D629D"/>
    <w:rsid w:val="008D6446"/>
    <w:rsid w:val="008D741D"/>
    <w:rsid w:val="008E04B9"/>
    <w:rsid w:val="008E1737"/>
    <w:rsid w:val="008E360E"/>
    <w:rsid w:val="008E3CA9"/>
    <w:rsid w:val="008E4A4E"/>
    <w:rsid w:val="008E52A9"/>
    <w:rsid w:val="008E562C"/>
    <w:rsid w:val="008E66E7"/>
    <w:rsid w:val="008E6DF3"/>
    <w:rsid w:val="008F14C8"/>
    <w:rsid w:val="008F2EE4"/>
    <w:rsid w:val="008F365D"/>
    <w:rsid w:val="008F506F"/>
    <w:rsid w:val="008F6A02"/>
    <w:rsid w:val="008F6C51"/>
    <w:rsid w:val="00900BD4"/>
    <w:rsid w:val="00900E23"/>
    <w:rsid w:val="00900E5E"/>
    <w:rsid w:val="009014F2"/>
    <w:rsid w:val="00902796"/>
    <w:rsid w:val="00902A62"/>
    <w:rsid w:val="009034DB"/>
    <w:rsid w:val="009074A9"/>
    <w:rsid w:val="00907EF6"/>
    <w:rsid w:val="009114D2"/>
    <w:rsid w:val="00911FD6"/>
    <w:rsid w:val="00911FEC"/>
    <w:rsid w:val="009127EA"/>
    <w:rsid w:val="00914156"/>
    <w:rsid w:val="009157DF"/>
    <w:rsid w:val="009157FE"/>
    <w:rsid w:val="00915937"/>
    <w:rsid w:val="00917537"/>
    <w:rsid w:val="00920298"/>
    <w:rsid w:val="009214AB"/>
    <w:rsid w:val="009215A6"/>
    <w:rsid w:val="00923CBF"/>
    <w:rsid w:val="009245BB"/>
    <w:rsid w:val="009249F8"/>
    <w:rsid w:val="009254E5"/>
    <w:rsid w:val="009258BB"/>
    <w:rsid w:val="00926480"/>
    <w:rsid w:val="00926859"/>
    <w:rsid w:val="009301A9"/>
    <w:rsid w:val="009304F0"/>
    <w:rsid w:val="00930644"/>
    <w:rsid w:val="009329B4"/>
    <w:rsid w:val="00935AB4"/>
    <w:rsid w:val="00936D29"/>
    <w:rsid w:val="00937549"/>
    <w:rsid w:val="009401F2"/>
    <w:rsid w:val="00940602"/>
    <w:rsid w:val="009408D2"/>
    <w:rsid w:val="009420D4"/>
    <w:rsid w:val="00942255"/>
    <w:rsid w:val="009428FD"/>
    <w:rsid w:val="0094295C"/>
    <w:rsid w:val="0094515D"/>
    <w:rsid w:val="00945FC4"/>
    <w:rsid w:val="00946908"/>
    <w:rsid w:val="009474F2"/>
    <w:rsid w:val="009478A1"/>
    <w:rsid w:val="00947FBF"/>
    <w:rsid w:val="00950EF3"/>
    <w:rsid w:val="009510C7"/>
    <w:rsid w:val="009512AE"/>
    <w:rsid w:val="00951C3D"/>
    <w:rsid w:val="00951EDD"/>
    <w:rsid w:val="00953545"/>
    <w:rsid w:val="009539A3"/>
    <w:rsid w:val="00954B2C"/>
    <w:rsid w:val="0095527A"/>
    <w:rsid w:val="00960C48"/>
    <w:rsid w:val="00961230"/>
    <w:rsid w:val="00961817"/>
    <w:rsid w:val="00962340"/>
    <w:rsid w:val="00962576"/>
    <w:rsid w:val="00962935"/>
    <w:rsid w:val="009629D7"/>
    <w:rsid w:val="00962B5B"/>
    <w:rsid w:val="00965802"/>
    <w:rsid w:val="009668F3"/>
    <w:rsid w:val="00966E1D"/>
    <w:rsid w:val="00966EFA"/>
    <w:rsid w:val="00970404"/>
    <w:rsid w:val="00970683"/>
    <w:rsid w:val="009709BC"/>
    <w:rsid w:val="00972174"/>
    <w:rsid w:val="009730E9"/>
    <w:rsid w:val="00974A72"/>
    <w:rsid w:val="00974B63"/>
    <w:rsid w:val="00974CA3"/>
    <w:rsid w:val="009758E2"/>
    <w:rsid w:val="00976918"/>
    <w:rsid w:val="00980020"/>
    <w:rsid w:val="009802BC"/>
    <w:rsid w:val="00980D51"/>
    <w:rsid w:val="00981107"/>
    <w:rsid w:val="00982CE0"/>
    <w:rsid w:val="00982ED7"/>
    <w:rsid w:val="00983DFE"/>
    <w:rsid w:val="00983E46"/>
    <w:rsid w:val="00983F9F"/>
    <w:rsid w:val="009841EA"/>
    <w:rsid w:val="00984568"/>
    <w:rsid w:val="009856B6"/>
    <w:rsid w:val="009867D7"/>
    <w:rsid w:val="00986960"/>
    <w:rsid w:val="00987C49"/>
    <w:rsid w:val="00990768"/>
    <w:rsid w:val="0099157E"/>
    <w:rsid w:val="00992DCF"/>
    <w:rsid w:val="00993798"/>
    <w:rsid w:val="00993C66"/>
    <w:rsid w:val="0099406B"/>
    <w:rsid w:val="00994C2F"/>
    <w:rsid w:val="00995CE3"/>
    <w:rsid w:val="00996B06"/>
    <w:rsid w:val="009974D5"/>
    <w:rsid w:val="009A00BC"/>
    <w:rsid w:val="009A044F"/>
    <w:rsid w:val="009A04C4"/>
    <w:rsid w:val="009A06BE"/>
    <w:rsid w:val="009A0801"/>
    <w:rsid w:val="009A24E7"/>
    <w:rsid w:val="009A4398"/>
    <w:rsid w:val="009A4F98"/>
    <w:rsid w:val="009A76BB"/>
    <w:rsid w:val="009A7C70"/>
    <w:rsid w:val="009A7E84"/>
    <w:rsid w:val="009B0F22"/>
    <w:rsid w:val="009B11CF"/>
    <w:rsid w:val="009B11DE"/>
    <w:rsid w:val="009B300C"/>
    <w:rsid w:val="009B31A7"/>
    <w:rsid w:val="009B4811"/>
    <w:rsid w:val="009B518F"/>
    <w:rsid w:val="009B5845"/>
    <w:rsid w:val="009B6009"/>
    <w:rsid w:val="009B666A"/>
    <w:rsid w:val="009B7752"/>
    <w:rsid w:val="009B7B0D"/>
    <w:rsid w:val="009C28A2"/>
    <w:rsid w:val="009C28AB"/>
    <w:rsid w:val="009C2BD6"/>
    <w:rsid w:val="009C3F11"/>
    <w:rsid w:val="009C447C"/>
    <w:rsid w:val="009C48AC"/>
    <w:rsid w:val="009C52B4"/>
    <w:rsid w:val="009C7D74"/>
    <w:rsid w:val="009D0832"/>
    <w:rsid w:val="009D2150"/>
    <w:rsid w:val="009D227B"/>
    <w:rsid w:val="009D28FA"/>
    <w:rsid w:val="009D307F"/>
    <w:rsid w:val="009D3853"/>
    <w:rsid w:val="009D39A8"/>
    <w:rsid w:val="009D4614"/>
    <w:rsid w:val="009D4854"/>
    <w:rsid w:val="009D4DCA"/>
    <w:rsid w:val="009D5937"/>
    <w:rsid w:val="009D6545"/>
    <w:rsid w:val="009D6C45"/>
    <w:rsid w:val="009D73D2"/>
    <w:rsid w:val="009D7C15"/>
    <w:rsid w:val="009E274F"/>
    <w:rsid w:val="009E2A01"/>
    <w:rsid w:val="009E434E"/>
    <w:rsid w:val="009E462D"/>
    <w:rsid w:val="009E4BF5"/>
    <w:rsid w:val="009E7008"/>
    <w:rsid w:val="009F03E3"/>
    <w:rsid w:val="009F26A1"/>
    <w:rsid w:val="009F3643"/>
    <w:rsid w:val="009F5075"/>
    <w:rsid w:val="009F5EA2"/>
    <w:rsid w:val="009F6411"/>
    <w:rsid w:val="009F6538"/>
    <w:rsid w:val="009F7E57"/>
    <w:rsid w:val="00A012A1"/>
    <w:rsid w:val="00A01A2F"/>
    <w:rsid w:val="00A02743"/>
    <w:rsid w:val="00A032E0"/>
    <w:rsid w:val="00A04481"/>
    <w:rsid w:val="00A048A5"/>
    <w:rsid w:val="00A04F18"/>
    <w:rsid w:val="00A051B3"/>
    <w:rsid w:val="00A06705"/>
    <w:rsid w:val="00A07A1D"/>
    <w:rsid w:val="00A117AF"/>
    <w:rsid w:val="00A11D8D"/>
    <w:rsid w:val="00A12AAA"/>
    <w:rsid w:val="00A1367E"/>
    <w:rsid w:val="00A14115"/>
    <w:rsid w:val="00A14A9F"/>
    <w:rsid w:val="00A1595F"/>
    <w:rsid w:val="00A1672B"/>
    <w:rsid w:val="00A16C1A"/>
    <w:rsid w:val="00A22808"/>
    <w:rsid w:val="00A22993"/>
    <w:rsid w:val="00A23A26"/>
    <w:rsid w:val="00A23A40"/>
    <w:rsid w:val="00A23B47"/>
    <w:rsid w:val="00A260A2"/>
    <w:rsid w:val="00A26805"/>
    <w:rsid w:val="00A30B91"/>
    <w:rsid w:val="00A32ECE"/>
    <w:rsid w:val="00A33298"/>
    <w:rsid w:val="00A36B32"/>
    <w:rsid w:val="00A402E0"/>
    <w:rsid w:val="00A40361"/>
    <w:rsid w:val="00A4040B"/>
    <w:rsid w:val="00A42279"/>
    <w:rsid w:val="00A423B6"/>
    <w:rsid w:val="00A42D83"/>
    <w:rsid w:val="00A43867"/>
    <w:rsid w:val="00A43E9A"/>
    <w:rsid w:val="00A44B27"/>
    <w:rsid w:val="00A44D80"/>
    <w:rsid w:val="00A44DC4"/>
    <w:rsid w:val="00A4582C"/>
    <w:rsid w:val="00A45C36"/>
    <w:rsid w:val="00A46810"/>
    <w:rsid w:val="00A46E7F"/>
    <w:rsid w:val="00A471DB"/>
    <w:rsid w:val="00A47616"/>
    <w:rsid w:val="00A47A92"/>
    <w:rsid w:val="00A514AF"/>
    <w:rsid w:val="00A52DB7"/>
    <w:rsid w:val="00A543D2"/>
    <w:rsid w:val="00A54447"/>
    <w:rsid w:val="00A54E12"/>
    <w:rsid w:val="00A5519F"/>
    <w:rsid w:val="00A607CD"/>
    <w:rsid w:val="00A60804"/>
    <w:rsid w:val="00A622C3"/>
    <w:rsid w:val="00A6443F"/>
    <w:rsid w:val="00A648F3"/>
    <w:rsid w:val="00A657FE"/>
    <w:rsid w:val="00A65A58"/>
    <w:rsid w:val="00A66CEC"/>
    <w:rsid w:val="00A70698"/>
    <w:rsid w:val="00A70F1F"/>
    <w:rsid w:val="00A72B53"/>
    <w:rsid w:val="00A7307B"/>
    <w:rsid w:val="00A730A5"/>
    <w:rsid w:val="00A7418D"/>
    <w:rsid w:val="00A74435"/>
    <w:rsid w:val="00A74B20"/>
    <w:rsid w:val="00A757CF"/>
    <w:rsid w:val="00A76349"/>
    <w:rsid w:val="00A768DB"/>
    <w:rsid w:val="00A773ED"/>
    <w:rsid w:val="00A77B93"/>
    <w:rsid w:val="00A77C70"/>
    <w:rsid w:val="00A8016F"/>
    <w:rsid w:val="00A81089"/>
    <w:rsid w:val="00A8187B"/>
    <w:rsid w:val="00A81940"/>
    <w:rsid w:val="00A83110"/>
    <w:rsid w:val="00A833B7"/>
    <w:rsid w:val="00A836E8"/>
    <w:rsid w:val="00A85CA1"/>
    <w:rsid w:val="00A86175"/>
    <w:rsid w:val="00A8768B"/>
    <w:rsid w:val="00A87BBC"/>
    <w:rsid w:val="00A9118A"/>
    <w:rsid w:val="00A91DD6"/>
    <w:rsid w:val="00A9278E"/>
    <w:rsid w:val="00A92996"/>
    <w:rsid w:val="00A92BA1"/>
    <w:rsid w:val="00A933F3"/>
    <w:rsid w:val="00A93501"/>
    <w:rsid w:val="00A943F5"/>
    <w:rsid w:val="00A97178"/>
    <w:rsid w:val="00AA231E"/>
    <w:rsid w:val="00AA4CFC"/>
    <w:rsid w:val="00AA5F8D"/>
    <w:rsid w:val="00AA7EE3"/>
    <w:rsid w:val="00AA7F12"/>
    <w:rsid w:val="00AB1297"/>
    <w:rsid w:val="00AB2780"/>
    <w:rsid w:val="00AB394F"/>
    <w:rsid w:val="00AB403B"/>
    <w:rsid w:val="00AB52B4"/>
    <w:rsid w:val="00AB5306"/>
    <w:rsid w:val="00AB5439"/>
    <w:rsid w:val="00AB57D9"/>
    <w:rsid w:val="00AB5B1F"/>
    <w:rsid w:val="00AB65E2"/>
    <w:rsid w:val="00AB6D29"/>
    <w:rsid w:val="00AB73D3"/>
    <w:rsid w:val="00AB76B2"/>
    <w:rsid w:val="00AC1059"/>
    <w:rsid w:val="00AC1765"/>
    <w:rsid w:val="00AC2FFC"/>
    <w:rsid w:val="00AC3590"/>
    <w:rsid w:val="00AC3C87"/>
    <w:rsid w:val="00AC4EBD"/>
    <w:rsid w:val="00AC5BF3"/>
    <w:rsid w:val="00AC6FDB"/>
    <w:rsid w:val="00AC7456"/>
    <w:rsid w:val="00AD04A8"/>
    <w:rsid w:val="00AD111B"/>
    <w:rsid w:val="00AD1344"/>
    <w:rsid w:val="00AD254A"/>
    <w:rsid w:val="00AD2CCA"/>
    <w:rsid w:val="00AD4C6A"/>
    <w:rsid w:val="00AD5C09"/>
    <w:rsid w:val="00AD603F"/>
    <w:rsid w:val="00AD7E2F"/>
    <w:rsid w:val="00AD7EA0"/>
    <w:rsid w:val="00AE0244"/>
    <w:rsid w:val="00AE0344"/>
    <w:rsid w:val="00AE0350"/>
    <w:rsid w:val="00AE0D78"/>
    <w:rsid w:val="00AE120B"/>
    <w:rsid w:val="00AE1252"/>
    <w:rsid w:val="00AE15FF"/>
    <w:rsid w:val="00AE477E"/>
    <w:rsid w:val="00AE4841"/>
    <w:rsid w:val="00AE4DBB"/>
    <w:rsid w:val="00AE4F7E"/>
    <w:rsid w:val="00AE562D"/>
    <w:rsid w:val="00AE571D"/>
    <w:rsid w:val="00AE588E"/>
    <w:rsid w:val="00AE5A32"/>
    <w:rsid w:val="00AE5F86"/>
    <w:rsid w:val="00AE69A8"/>
    <w:rsid w:val="00AE752B"/>
    <w:rsid w:val="00AF0905"/>
    <w:rsid w:val="00AF14FA"/>
    <w:rsid w:val="00AF2596"/>
    <w:rsid w:val="00AF54BD"/>
    <w:rsid w:val="00AF5DE0"/>
    <w:rsid w:val="00AF639A"/>
    <w:rsid w:val="00AF71DD"/>
    <w:rsid w:val="00AF79F6"/>
    <w:rsid w:val="00B036B8"/>
    <w:rsid w:val="00B0458A"/>
    <w:rsid w:val="00B04F6E"/>
    <w:rsid w:val="00B0669F"/>
    <w:rsid w:val="00B077F0"/>
    <w:rsid w:val="00B10334"/>
    <w:rsid w:val="00B104E8"/>
    <w:rsid w:val="00B107D2"/>
    <w:rsid w:val="00B10886"/>
    <w:rsid w:val="00B10B29"/>
    <w:rsid w:val="00B10E48"/>
    <w:rsid w:val="00B1259C"/>
    <w:rsid w:val="00B12729"/>
    <w:rsid w:val="00B12C7B"/>
    <w:rsid w:val="00B142CD"/>
    <w:rsid w:val="00B14430"/>
    <w:rsid w:val="00B14C4F"/>
    <w:rsid w:val="00B152FD"/>
    <w:rsid w:val="00B15612"/>
    <w:rsid w:val="00B156D7"/>
    <w:rsid w:val="00B15929"/>
    <w:rsid w:val="00B17EE5"/>
    <w:rsid w:val="00B20487"/>
    <w:rsid w:val="00B23F4B"/>
    <w:rsid w:val="00B2628B"/>
    <w:rsid w:val="00B26E97"/>
    <w:rsid w:val="00B26F00"/>
    <w:rsid w:val="00B277CA"/>
    <w:rsid w:val="00B315FF"/>
    <w:rsid w:val="00B321DA"/>
    <w:rsid w:val="00B33251"/>
    <w:rsid w:val="00B332B0"/>
    <w:rsid w:val="00B34829"/>
    <w:rsid w:val="00B3648C"/>
    <w:rsid w:val="00B3663F"/>
    <w:rsid w:val="00B36735"/>
    <w:rsid w:val="00B36CD2"/>
    <w:rsid w:val="00B37D2D"/>
    <w:rsid w:val="00B40325"/>
    <w:rsid w:val="00B40833"/>
    <w:rsid w:val="00B41099"/>
    <w:rsid w:val="00B41934"/>
    <w:rsid w:val="00B4211E"/>
    <w:rsid w:val="00B42F39"/>
    <w:rsid w:val="00B43FA2"/>
    <w:rsid w:val="00B4703C"/>
    <w:rsid w:val="00B471E9"/>
    <w:rsid w:val="00B51F96"/>
    <w:rsid w:val="00B52C83"/>
    <w:rsid w:val="00B53472"/>
    <w:rsid w:val="00B53A9B"/>
    <w:rsid w:val="00B55232"/>
    <w:rsid w:val="00B554B8"/>
    <w:rsid w:val="00B559AD"/>
    <w:rsid w:val="00B55DEA"/>
    <w:rsid w:val="00B57138"/>
    <w:rsid w:val="00B6010B"/>
    <w:rsid w:val="00B60C33"/>
    <w:rsid w:val="00B6190E"/>
    <w:rsid w:val="00B62886"/>
    <w:rsid w:val="00B63EF8"/>
    <w:rsid w:val="00B64FEB"/>
    <w:rsid w:val="00B65D4B"/>
    <w:rsid w:val="00B6635B"/>
    <w:rsid w:val="00B66ECC"/>
    <w:rsid w:val="00B67A0C"/>
    <w:rsid w:val="00B703A3"/>
    <w:rsid w:val="00B708D3"/>
    <w:rsid w:val="00B70E2F"/>
    <w:rsid w:val="00B70FA9"/>
    <w:rsid w:val="00B71CC0"/>
    <w:rsid w:val="00B71D1D"/>
    <w:rsid w:val="00B72778"/>
    <w:rsid w:val="00B729CD"/>
    <w:rsid w:val="00B73F8E"/>
    <w:rsid w:val="00B74563"/>
    <w:rsid w:val="00B75B98"/>
    <w:rsid w:val="00B76868"/>
    <w:rsid w:val="00B76DCC"/>
    <w:rsid w:val="00B76DEE"/>
    <w:rsid w:val="00B76FA9"/>
    <w:rsid w:val="00B76FFA"/>
    <w:rsid w:val="00B77132"/>
    <w:rsid w:val="00B777C4"/>
    <w:rsid w:val="00B8120A"/>
    <w:rsid w:val="00B81787"/>
    <w:rsid w:val="00B826EC"/>
    <w:rsid w:val="00B87545"/>
    <w:rsid w:val="00B87A1B"/>
    <w:rsid w:val="00B904B8"/>
    <w:rsid w:val="00B91A98"/>
    <w:rsid w:val="00B92541"/>
    <w:rsid w:val="00B92F14"/>
    <w:rsid w:val="00B94CFA"/>
    <w:rsid w:val="00B95D83"/>
    <w:rsid w:val="00B96C62"/>
    <w:rsid w:val="00B9715E"/>
    <w:rsid w:val="00B97AD7"/>
    <w:rsid w:val="00B97CFF"/>
    <w:rsid w:val="00BA0AD5"/>
    <w:rsid w:val="00BA0AE9"/>
    <w:rsid w:val="00BA1BE4"/>
    <w:rsid w:val="00BA2EA3"/>
    <w:rsid w:val="00BA3753"/>
    <w:rsid w:val="00BA3E72"/>
    <w:rsid w:val="00BA7261"/>
    <w:rsid w:val="00BA761B"/>
    <w:rsid w:val="00BA771A"/>
    <w:rsid w:val="00BB0459"/>
    <w:rsid w:val="00BB0F0A"/>
    <w:rsid w:val="00BB2EFC"/>
    <w:rsid w:val="00BB4B32"/>
    <w:rsid w:val="00BB5447"/>
    <w:rsid w:val="00BB55B1"/>
    <w:rsid w:val="00BC062D"/>
    <w:rsid w:val="00BC0CFD"/>
    <w:rsid w:val="00BC12F6"/>
    <w:rsid w:val="00BC1690"/>
    <w:rsid w:val="00BC1D26"/>
    <w:rsid w:val="00BC296D"/>
    <w:rsid w:val="00BC35AA"/>
    <w:rsid w:val="00BC44F9"/>
    <w:rsid w:val="00BC4BF1"/>
    <w:rsid w:val="00BC6EB2"/>
    <w:rsid w:val="00BD0F9D"/>
    <w:rsid w:val="00BD114F"/>
    <w:rsid w:val="00BD28D2"/>
    <w:rsid w:val="00BD4E21"/>
    <w:rsid w:val="00BD5B44"/>
    <w:rsid w:val="00BD5EC9"/>
    <w:rsid w:val="00BD6224"/>
    <w:rsid w:val="00BD7CD3"/>
    <w:rsid w:val="00BD7D60"/>
    <w:rsid w:val="00BE037A"/>
    <w:rsid w:val="00BE0D90"/>
    <w:rsid w:val="00BE2490"/>
    <w:rsid w:val="00BE2BA7"/>
    <w:rsid w:val="00BE3043"/>
    <w:rsid w:val="00BE3F47"/>
    <w:rsid w:val="00BE444A"/>
    <w:rsid w:val="00BE4AB7"/>
    <w:rsid w:val="00BE6D0E"/>
    <w:rsid w:val="00BE761B"/>
    <w:rsid w:val="00BF0A04"/>
    <w:rsid w:val="00BF1559"/>
    <w:rsid w:val="00BF1E54"/>
    <w:rsid w:val="00BF2FDB"/>
    <w:rsid w:val="00BF3AB7"/>
    <w:rsid w:val="00BF3D6A"/>
    <w:rsid w:val="00BF4AF2"/>
    <w:rsid w:val="00BF4F4D"/>
    <w:rsid w:val="00BF644B"/>
    <w:rsid w:val="00BF6BEC"/>
    <w:rsid w:val="00BF6D00"/>
    <w:rsid w:val="00BF6E3D"/>
    <w:rsid w:val="00C0267D"/>
    <w:rsid w:val="00C02971"/>
    <w:rsid w:val="00C02D4F"/>
    <w:rsid w:val="00C03A4E"/>
    <w:rsid w:val="00C0423D"/>
    <w:rsid w:val="00C0495D"/>
    <w:rsid w:val="00C04A37"/>
    <w:rsid w:val="00C05AA2"/>
    <w:rsid w:val="00C05EC8"/>
    <w:rsid w:val="00C067BD"/>
    <w:rsid w:val="00C06D12"/>
    <w:rsid w:val="00C10625"/>
    <w:rsid w:val="00C1140F"/>
    <w:rsid w:val="00C11B6D"/>
    <w:rsid w:val="00C12D95"/>
    <w:rsid w:val="00C13B64"/>
    <w:rsid w:val="00C143A7"/>
    <w:rsid w:val="00C16678"/>
    <w:rsid w:val="00C216CB"/>
    <w:rsid w:val="00C21B18"/>
    <w:rsid w:val="00C22B56"/>
    <w:rsid w:val="00C22D1A"/>
    <w:rsid w:val="00C23C30"/>
    <w:rsid w:val="00C23E60"/>
    <w:rsid w:val="00C247D4"/>
    <w:rsid w:val="00C265B1"/>
    <w:rsid w:val="00C265B4"/>
    <w:rsid w:val="00C27D32"/>
    <w:rsid w:val="00C31154"/>
    <w:rsid w:val="00C31E02"/>
    <w:rsid w:val="00C32560"/>
    <w:rsid w:val="00C33111"/>
    <w:rsid w:val="00C3328C"/>
    <w:rsid w:val="00C33406"/>
    <w:rsid w:val="00C33F6E"/>
    <w:rsid w:val="00C349CB"/>
    <w:rsid w:val="00C36375"/>
    <w:rsid w:val="00C364FA"/>
    <w:rsid w:val="00C375FF"/>
    <w:rsid w:val="00C40D80"/>
    <w:rsid w:val="00C4196E"/>
    <w:rsid w:val="00C43284"/>
    <w:rsid w:val="00C43E8D"/>
    <w:rsid w:val="00C448B8"/>
    <w:rsid w:val="00C45059"/>
    <w:rsid w:val="00C452D2"/>
    <w:rsid w:val="00C45493"/>
    <w:rsid w:val="00C457E2"/>
    <w:rsid w:val="00C45EF5"/>
    <w:rsid w:val="00C4725A"/>
    <w:rsid w:val="00C4774B"/>
    <w:rsid w:val="00C50D1C"/>
    <w:rsid w:val="00C52A2A"/>
    <w:rsid w:val="00C52B45"/>
    <w:rsid w:val="00C53EAF"/>
    <w:rsid w:val="00C5787A"/>
    <w:rsid w:val="00C57AC0"/>
    <w:rsid w:val="00C61D73"/>
    <w:rsid w:val="00C62A9A"/>
    <w:rsid w:val="00C62D31"/>
    <w:rsid w:val="00C6311D"/>
    <w:rsid w:val="00C657FF"/>
    <w:rsid w:val="00C66457"/>
    <w:rsid w:val="00C66811"/>
    <w:rsid w:val="00C668F0"/>
    <w:rsid w:val="00C66960"/>
    <w:rsid w:val="00C70B7D"/>
    <w:rsid w:val="00C70C7F"/>
    <w:rsid w:val="00C70E4A"/>
    <w:rsid w:val="00C72328"/>
    <w:rsid w:val="00C72EFB"/>
    <w:rsid w:val="00C73B5D"/>
    <w:rsid w:val="00C73FBB"/>
    <w:rsid w:val="00C76763"/>
    <w:rsid w:val="00C76FE6"/>
    <w:rsid w:val="00C7700A"/>
    <w:rsid w:val="00C808B6"/>
    <w:rsid w:val="00C82040"/>
    <w:rsid w:val="00C82845"/>
    <w:rsid w:val="00C836F2"/>
    <w:rsid w:val="00C84329"/>
    <w:rsid w:val="00C8519F"/>
    <w:rsid w:val="00C854FD"/>
    <w:rsid w:val="00C85B04"/>
    <w:rsid w:val="00C85C96"/>
    <w:rsid w:val="00C85E03"/>
    <w:rsid w:val="00C90799"/>
    <w:rsid w:val="00C9145E"/>
    <w:rsid w:val="00C915EF"/>
    <w:rsid w:val="00C918CE"/>
    <w:rsid w:val="00C91B7F"/>
    <w:rsid w:val="00C91BC4"/>
    <w:rsid w:val="00C91FDF"/>
    <w:rsid w:val="00C92E06"/>
    <w:rsid w:val="00C92F01"/>
    <w:rsid w:val="00C93EE1"/>
    <w:rsid w:val="00C9417E"/>
    <w:rsid w:val="00C95182"/>
    <w:rsid w:val="00C97A30"/>
    <w:rsid w:val="00C97BA2"/>
    <w:rsid w:val="00CA0C59"/>
    <w:rsid w:val="00CA0D79"/>
    <w:rsid w:val="00CA28CE"/>
    <w:rsid w:val="00CA40F9"/>
    <w:rsid w:val="00CA482E"/>
    <w:rsid w:val="00CA57F6"/>
    <w:rsid w:val="00CB36D9"/>
    <w:rsid w:val="00CB3966"/>
    <w:rsid w:val="00CB4072"/>
    <w:rsid w:val="00CB425B"/>
    <w:rsid w:val="00CB4AF2"/>
    <w:rsid w:val="00CB544D"/>
    <w:rsid w:val="00CB5533"/>
    <w:rsid w:val="00CB5988"/>
    <w:rsid w:val="00CB7784"/>
    <w:rsid w:val="00CB7ED2"/>
    <w:rsid w:val="00CC102A"/>
    <w:rsid w:val="00CC183D"/>
    <w:rsid w:val="00CC1D57"/>
    <w:rsid w:val="00CC2D92"/>
    <w:rsid w:val="00CC7C33"/>
    <w:rsid w:val="00CD0B99"/>
    <w:rsid w:val="00CD0EB2"/>
    <w:rsid w:val="00CD1265"/>
    <w:rsid w:val="00CD129D"/>
    <w:rsid w:val="00CD16FE"/>
    <w:rsid w:val="00CD1875"/>
    <w:rsid w:val="00CD2F84"/>
    <w:rsid w:val="00CD30C5"/>
    <w:rsid w:val="00CD3EE2"/>
    <w:rsid w:val="00CD44DF"/>
    <w:rsid w:val="00CD51C7"/>
    <w:rsid w:val="00CD522E"/>
    <w:rsid w:val="00CD5243"/>
    <w:rsid w:val="00CD5412"/>
    <w:rsid w:val="00CD6899"/>
    <w:rsid w:val="00CD7B4D"/>
    <w:rsid w:val="00CE00E0"/>
    <w:rsid w:val="00CE0472"/>
    <w:rsid w:val="00CE08DF"/>
    <w:rsid w:val="00CE0B16"/>
    <w:rsid w:val="00CE1777"/>
    <w:rsid w:val="00CE1CC0"/>
    <w:rsid w:val="00CE41EF"/>
    <w:rsid w:val="00CE58B3"/>
    <w:rsid w:val="00CE5CF5"/>
    <w:rsid w:val="00CE733F"/>
    <w:rsid w:val="00CE7689"/>
    <w:rsid w:val="00CF0A4E"/>
    <w:rsid w:val="00CF0C15"/>
    <w:rsid w:val="00CF22BD"/>
    <w:rsid w:val="00CF253D"/>
    <w:rsid w:val="00CF3057"/>
    <w:rsid w:val="00CF50DE"/>
    <w:rsid w:val="00CF52A7"/>
    <w:rsid w:val="00CF52C5"/>
    <w:rsid w:val="00CF72B7"/>
    <w:rsid w:val="00CF79E8"/>
    <w:rsid w:val="00D00443"/>
    <w:rsid w:val="00D010F6"/>
    <w:rsid w:val="00D01361"/>
    <w:rsid w:val="00D014DF"/>
    <w:rsid w:val="00D01D0D"/>
    <w:rsid w:val="00D03813"/>
    <w:rsid w:val="00D03E4D"/>
    <w:rsid w:val="00D040E1"/>
    <w:rsid w:val="00D04884"/>
    <w:rsid w:val="00D04F50"/>
    <w:rsid w:val="00D05D78"/>
    <w:rsid w:val="00D06166"/>
    <w:rsid w:val="00D06451"/>
    <w:rsid w:val="00D067A2"/>
    <w:rsid w:val="00D07558"/>
    <w:rsid w:val="00D07618"/>
    <w:rsid w:val="00D0777A"/>
    <w:rsid w:val="00D07B37"/>
    <w:rsid w:val="00D10697"/>
    <w:rsid w:val="00D11D50"/>
    <w:rsid w:val="00D13DA0"/>
    <w:rsid w:val="00D14062"/>
    <w:rsid w:val="00D140C9"/>
    <w:rsid w:val="00D14374"/>
    <w:rsid w:val="00D1499F"/>
    <w:rsid w:val="00D14F64"/>
    <w:rsid w:val="00D15014"/>
    <w:rsid w:val="00D165A1"/>
    <w:rsid w:val="00D2092F"/>
    <w:rsid w:val="00D20A43"/>
    <w:rsid w:val="00D20A72"/>
    <w:rsid w:val="00D215E0"/>
    <w:rsid w:val="00D217CE"/>
    <w:rsid w:val="00D218E8"/>
    <w:rsid w:val="00D21E6A"/>
    <w:rsid w:val="00D220EF"/>
    <w:rsid w:val="00D221B6"/>
    <w:rsid w:val="00D224A7"/>
    <w:rsid w:val="00D23250"/>
    <w:rsid w:val="00D2391A"/>
    <w:rsid w:val="00D23A8F"/>
    <w:rsid w:val="00D23CD4"/>
    <w:rsid w:val="00D24354"/>
    <w:rsid w:val="00D25997"/>
    <w:rsid w:val="00D25D7B"/>
    <w:rsid w:val="00D27270"/>
    <w:rsid w:val="00D272AE"/>
    <w:rsid w:val="00D27695"/>
    <w:rsid w:val="00D27964"/>
    <w:rsid w:val="00D310B0"/>
    <w:rsid w:val="00D32256"/>
    <w:rsid w:val="00D33030"/>
    <w:rsid w:val="00D331B6"/>
    <w:rsid w:val="00D34289"/>
    <w:rsid w:val="00D3600B"/>
    <w:rsid w:val="00D37AC1"/>
    <w:rsid w:val="00D4086D"/>
    <w:rsid w:val="00D40E91"/>
    <w:rsid w:val="00D416BC"/>
    <w:rsid w:val="00D43A01"/>
    <w:rsid w:val="00D44761"/>
    <w:rsid w:val="00D45640"/>
    <w:rsid w:val="00D467F3"/>
    <w:rsid w:val="00D47946"/>
    <w:rsid w:val="00D503EF"/>
    <w:rsid w:val="00D50C5F"/>
    <w:rsid w:val="00D51D54"/>
    <w:rsid w:val="00D524AB"/>
    <w:rsid w:val="00D53DD4"/>
    <w:rsid w:val="00D55085"/>
    <w:rsid w:val="00D563EB"/>
    <w:rsid w:val="00D60094"/>
    <w:rsid w:val="00D62EC8"/>
    <w:rsid w:val="00D6314C"/>
    <w:rsid w:val="00D63381"/>
    <w:rsid w:val="00D634E8"/>
    <w:rsid w:val="00D64702"/>
    <w:rsid w:val="00D6472D"/>
    <w:rsid w:val="00D64954"/>
    <w:rsid w:val="00D65792"/>
    <w:rsid w:val="00D6688E"/>
    <w:rsid w:val="00D67544"/>
    <w:rsid w:val="00D67B8F"/>
    <w:rsid w:val="00D67CAD"/>
    <w:rsid w:val="00D67DE3"/>
    <w:rsid w:val="00D708FA"/>
    <w:rsid w:val="00D70F21"/>
    <w:rsid w:val="00D725F9"/>
    <w:rsid w:val="00D72F63"/>
    <w:rsid w:val="00D73D50"/>
    <w:rsid w:val="00D75951"/>
    <w:rsid w:val="00D77088"/>
    <w:rsid w:val="00D776E6"/>
    <w:rsid w:val="00D8054E"/>
    <w:rsid w:val="00D80D02"/>
    <w:rsid w:val="00D840D7"/>
    <w:rsid w:val="00D84163"/>
    <w:rsid w:val="00D85253"/>
    <w:rsid w:val="00D86D3A"/>
    <w:rsid w:val="00D87DC5"/>
    <w:rsid w:val="00D9022F"/>
    <w:rsid w:val="00D903FC"/>
    <w:rsid w:val="00D916A4"/>
    <w:rsid w:val="00D91F3E"/>
    <w:rsid w:val="00D93CBA"/>
    <w:rsid w:val="00D9622D"/>
    <w:rsid w:val="00D96F6B"/>
    <w:rsid w:val="00DA1905"/>
    <w:rsid w:val="00DA1915"/>
    <w:rsid w:val="00DA32E1"/>
    <w:rsid w:val="00DA40B1"/>
    <w:rsid w:val="00DA6C49"/>
    <w:rsid w:val="00DA6DFF"/>
    <w:rsid w:val="00DA7387"/>
    <w:rsid w:val="00DA7E05"/>
    <w:rsid w:val="00DA7F43"/>
    <w:rsid w:val="00DB03AC"/>
    <w:rsid w:val="00DB0452"/>
    <w:rsid w:val="00DB1216"/>
    <w:rsid w:val="00DB2960"/>
    <w:rsid w:val="00DB2BB3"/>
    <w:rsid w:val="00DB2DCF"/>
    <w:rsid w:val="00DB39F9"/>
    <w:rsid w:val="00DB59DE"/>
    <w:rsid w:val="00DB6C8F"/>
    <w:rsid w:val="00DB6E26"/>
    <w:rsid w:val="00DB7362"/>
    <w:rsid w:val="00DB7BD2"/>
    <w:rsid w:val="00DC10C9"/>
    <w:rsid w:val="00DC24EE"/>
    <w:rsid w:val="00DC2829"/>
    <w:rsid w:val="00DC32DB"/>
    <w:rsid w:val="00DC3749"/>
    <w:rsid w:val="00DC5A14"/>
    <w:rsid w:val="00DC67D0"/>
    <w:rsid w:val="00DC6919"/>
    <w:rsid w:val="00DD06D1"/>
    <w:rsid w:val="00DD1824"/>
    <w:rsid w:val="00DD1B53"/>
    <w:rsid w:val="00DD1E28"/>
    <w:rsid w:val="00DD433D"/>
    <w:rsid w:val="00DD4D51"/>
    <w:rsid w:val="00DD60C9"/>
    <w:rsid w:val="00DD6AC1"/>
    <w:rsid w:val="00DD73C0"/>
    <w:rsid w:val="00DD772F"/>
    <w:rsid w:val="00DE0FA1"/>
    <w:rsid w:val="00DE0FB2"/>
    <w:rsid w:val="00DE210D"/>
    <w:rsid w:val="00DE320E"/>
    <w:rsid w:val="00DE3392"/>
    <w:rsid w:val="00DE3D3E"/>
    <w:rsid w:val="00DE4708"/>
    <w:rsid w:val="00DE4D89"/>
    <w:rsid w:val="00DE79FB"/>
    <w:rsid w:val="00DE7F2C"/>
    <w:rsid w:val="00DF0762"/>
    <w:rsid w:val="00DF0C25"/>
    <w:rsid w:val="00DF2891"/>
    <w:rsid w:val="00DF319F"/>
    <w:rsid w:val="00DF3C1E"/>
    <w:rsid w:val="00DF3DA3"/>
    <w:rsid w:val="00DF4502"/>
    <w:rsid w:val="00DF62B1"/>
    <w:rsid w:val="00DF6594"/>
    <w:rsid w:val="00DF7980"/>
    <w:rsid w:val="00E0114C"/>
    <w:rsid w:val="00E011A5"/>
    <w:rsid w:val="00E021D0"/>
    <w:rsid w:val="00E02955"/>
    <w:rsid w:val="00E04D40"/>
    <w:rsid w:val="00E04DBB"/>
    <w:rsid w:val="00E0518D"/>
    <w:rsid w:val="00E06845"/>
    <w:rsid w:val="00E06CCE"/>
    <w:rsid w:val="00E10279"/>
    <w:rsid w:val="00E107AD"/>
    <w:rsid w:val="00E10871"/>
    <w:rsid w:val="00E115B9"/>
    <w:rsid w:val="00E1261D"/>
    <w:rsid w:val="00E1404E"/>
    <w:rsid w:val="00E14574"/>
    <w:rsid w:val="00E15151"/>
    <w:rsid w:val="00E154A8"/>
    <w:rsid w:val="00E1631D"/>
    <w:rsid w:val="00E201E4"/>
    <w:rsid w:val="00E2290D"/>
    <w:rsid w:val="00E22A04"/>
    <w:rsid w:val="00E22E44"/>
    <w:rsid w:val="00E23E50"/>
    <w:rsid w:val="00E2463A"/>
    <w:rsid w:val="00E25B27"/>
    <w:rsid w:val="00E267B2"/>
    <w:rsid w:val="00E271F8"/>
    <w:rsid w:val="00E274DF"/>
    <w:rsid w:val="00E274E4"/>
    <w:rsid w:val="00E27BEB"/>
    <w:rsid w:val="00E304AB"/>
    <w:rsid w:val="00E3269C"/>
    <w:rsid w:val="00E3278F"/>
    <w:rsid w:val="00E3298C"/>
    <w:rsid w:val="00E337B8"/>
    <w:rsid w:val="00E35648"/>
    <w:rsid w:val="00E35822"/>
    <w:rsid w:val="00E359DA"/>
    <w:rsid w:val="00E36197"/>
    <w:rsid w:val="00E362B8"/>
    <w:rsid w:val="00E37089"/>
    <w:rsid w:val="00E375F8"/>
    <w:rsid w:val="00E378FC"/>
    <w:rsid w:val="00E37B17"/>
    <w:rsid w:val="00E40721"/>
    <w:rsid w:val="00E41895"/>
    <w:rsid w:val="00E4233A"/>
    <w:rsid w:val="00E42666"/>
    <w:rsid w:val="00E44216"/>
    <w:rsid w:val="00E44C51"/>
    <w:rsid w:val="00E44E89"/>
    <w:rsid w:val="00E45630"/>
    <w:rsid w:val="00E4580B"/>
    <w:rsid w:val="00E45B6B"/>
    <w:rsid w:val="00E46ECD"/>
    <w:rsid w:val="00E47EB5"/>
    <w:rsid w:val="00E5009F"/>
    <w:rsid w:val="00E50E49"/>
    <w:rsid w:val="00E513F4"/>
    <w:rsid w:val="00E51908"/>
    <w:rsid w:val="00E527BA"/>
    <w:rsid w:val="00E54623"/>
    <w:rsid w:val="00E546FF"/>
    <w:rsid w:val="00E54D80"/>
    <w:rsid w:val="00E5577A"/>
    <w:rsid w:val="00E55D40"/>
    <w:rsid w:val="00E564EC"/>
    <w:rsid w:val="00E60310"/>
    <w:rsid w:val="00E60C27"/>
    <w:rsid w:val="00E610F4"/>
    <w:rsid w:val="00E62DC4"/>
    <w:rsid w:val="00E63CFE"/>
    <w:rsid w:val="00E64520"/>
    <w:rsid w:val="00E64986"/>
    <w:rsid w:val="00E65988"/>
    <w:rsid w:val="00E65B4E"/>
    <w:rsid w:val="00E65D14"/>
    <w:rsid w:val="00E6781D"/>
    <w:rsid w:val="00E67868"/>
    <w:rsid w:val="00E6795F"/>
    <w:rsid w:val="00E70393"/>
    <w:rsid w:val="00E70476"/>
    <w:rsid w:val="00E715FB"/>
    <w:rsid w:val="00E72165"/>
    <w:rsid w:val="00E721A2"/>
    <w:rsid w:val="00E72E6B"/>
    <w:rsid w:val="00E73738"/>
    <w:rsid w:val="00E73814"/>
    <w:rsid w:val="00E73AFB"/>
    <w:rsid w:val="00E74A78"/>
    <w:rsid w:val="00E74BA1"/>
    <w:rsid w:val="00E750B6"/>
    <w:rsid w:val="00E75325"/>
    <w:rsid w:val="00E7575A"/>
    <w:rsid w:val="00E75B45"/>
    <w:rsid w:val="00E76A5B"/>
    <w:rsid w:val="00E77B6D"/>
    <w:rsid w:val="00E80139"/>
    <w:rsid w:val="00E8036E"/>
    <w:rsid w:val="00E815BF"/>
    <w:rsid w:val="00E829D4"/>
    <w:rsid w:val="00E834BB"/>
    <w:rsid w:val="00E836EA"/>
    <w:rsid w:val="00E8397A"/>
    <w:rsid w:val="00E84298"/>
    <w:rsid w:val="00E84407"/>
    <w:rsid w:val="00E84AB1"/>
    <w:rsid w:val="00E854BE"/>
    <w:rsid w:val="00E857DA"/>
    <w:rsid w:val="00E85B3A"/>
    <w:rsid w:val="00E85CE3"/>
    <w:rsid w:val="00E85E44"/>
    <w:rsid w:val="00E8772D"/>
    <w:rsid w:val="00E87CF6"/>
    <w:rsid w:val="00E90251"/>
    <w:rsid w:val="00E92DC7"/>
    <w:rsid w:val="00E9392E"/>
    <w:rsid w:val="00E96623"/>
    <w:rsid w:val="00E96650"/>
    <w:rsid w:val="00E96D73"/>
    <w:rsid w:val="00E97388"/>
    <w:rsid w:val="00EA07FB"/>
    <w:rsid w:val="00EA0F3C"/>
    <w:rsid w:val="00EA16C8"/>
    <w:rsid w:val="00EA1F8D"/>
    <w:rsid w:val="00EA3204"/>
    <w:rsid w:val="00EA32E2"/>
    <w:rsid w:val="00EA34EE"/>
    <w:rsid w:val="00EA36E9"/>
    <w:rsid w:val="00EA3761"/>
    <w:rsid w:val="00EA37E7"/>
    <w:rsid w:val="00EA3C8A"/>
    <w:rsid w:val="00EA4011"/>
    <w:rsid w:val="00EA40C1"/>
    <w:rsid w:val="00EA4231"/>
    <w:rsid w:val="00EA4EA2"/>
    <w:rsid w:val="00EA5AD0"/>
    <w:rsid w:val="00EA5E6A"/>
    <w:rsid w:val="00EA6B73"/>
    <w:rsid w:val="00EA734E"/>
    <w:rsid w:val="00EA75CA"/>
    <w:rsid w:val="00EA7FE9"/>
    <w:rsid w:val="00EB1BA9"/>
    <w:rsid w:val="00EB2828"/>
    <w:rsid w:val="00EB2B8A"/>
    <w:rsid w:val="00EB3466"/>
    <w:rsid w:val="00EB383F"/>
    <w:rsid w:val="00EB3C8A"/>
    <w:rsid w:val="00EB42AE"/>
    <w:rsid w:val="00EB4CE2"/>
    <w:rsid w:val="00EB4FDF"/>
    <w:rsid w:val="00EB517E"/>
    <w:rsid w:val="00EB5EBE"/>
    <w:rsid w:val="00EB7DAF"/>
    <w:rsid w:val="00EC136D"/>
    <w:rsid w:val="00EC15FB"/>
    <w:rsid w:val="00EC2FB3"/>
    <w:rsid w:val="00EC3349"/>
    <w:rsid w:val="00EC34FC"/>
    <w:rsid w:val="00EC4D41"/>
    <w:rsid w:val="00EC54EC"/>
    <w:rsid w:val="00EC5690"/>
    <w:rsid w:val="00EC58C5"/>
    <w:rsid w:val="00EC5C2B"/>
    <w:rsid w:val="00EC7F5B"/>
    <w:rsid w:val="00ED10B4"/>
    <w:rsid w:val="00ED2DC6"/>
    <w:rsid w:val="00ED4A86"/>
    <w:rsid w:val="00ED4BB2"/>
    <w:rsid w:val="00ED5ED4"/>
    <w:rsid w:val="00EE0C14"/>
    <w:rsid w:val="00EE0CEE"/>
    <w:rsid w:val="00EE0DFD"/>
    <w:rsid w:val="00EE14AA"/>
    <w:rsid w:val="00EE26A8"/>
    <w:rsid w:val="00EE29C1"/>
    <w:rsid w:val="00EE2A81"/>
    <w:rsid w:val="00EE32E2"/>
    <w:rsid w:val="00EE3BBF"/>
    <w:rsid w:val="00EE3EB3"/>
    <w:rsid w:val="00EE4D29"/>
    <w:rsid w:val="00EE56E0"/>
    <w:rsid w:val="00EE6F01"/>
    <w:rsid w:val="00EF0DA1"/>
    <w:rsid w:val="00EF1D75"/>
    <w:rsid w:val="00EF30DC"/>
    <w:rsid w:val="00EF35C8"/>
    <w:rsid w:val="00EF737E"/>
    <w:rsid w:val="00F00CA5"/>
    <w:rsid w:val="00F01C2A"/>
    <w:rsid w:val="00F02F88"/>
    <w:rsid w:val="00F0391F"/>
    <w:rsid w:val="00F03992"/>
    <w:rsid w:val="00F04AC9"/>
    <w:rsid w:val="00F056B0"/>
    <w:rsid w:val="00F0647F"/>
    <w:rsid w:val="00F065DF"/>
    <w:rsid w:val="00F068C2"/>
    <w:rsid w:val="00F06DE6"/>
    <w:rsid w:val="00F07481"/>
    <w:rsid w:val="00F07E1D"/>
    <w:rsid w:val="00F10828"/>
    <w:rsid w:val="00F10E63"/>
    <w:rsid w:val="00F11CD5"/>
    <w:rsid w:val="00F12670"/>
    <w:rsid w:val="00F12C85"/>
    <w:rsid w:val="00F13570"/>
    <w:rsid w:val="00F15AAA"/>
    <w:rsid w:val="00F15DD3"/>
    <w:rsid w:val="00F16AA2"/>
    <w:rsid w:val="00F16E4C"/>
    <w:rsid w:val="00F2100B"/>
    <w:rsid w:val="00F220C8"/>
    <w:rsid w:val="00F24A81"/>
    <w:rsid w:val="00F27586"/>
    <w:rsid w:val="00F30044"/>
    <w:rsid w:val="00F30BF9"/>
    <w:rsid w:val="00F3147F"/>
    <w:rsid w:val="00F330B6"/>
    <w:rsid w:val="00F33B48"/>
    <w:rsid w:val="00F34F5A"/>
    <w:rsid w:val="00F34F81"/>
    <w:rsid w:val="00F353EF"/>
    <w:rsid w:val="00F35A8F"/>
    <w:rsid w:val="00F36DD7"/>
    <w:rsid w:val="00F401D1"/>
    <w:rsid w:val="00F41073"/>
    <w:rsid w:val="00F423A9"/>
    <w:rsid w:val="00F430AD"/>
    <w:rsid w:val="00F43521"/>
    <w:rsid w:val="00F43849"/>
    <w:rsid w:val="00F44021"/>
    <w:rsid w:val="00F440B8"/>
    <w:rsid w:val="00F447A0"/>
    <w:rsid w:val="00F448BC"/>
    <w:rsid w:val="00F44F80"/>
    <w:rsid w:val="00F46CB6"/>
    <w:rsid w:val="00F478A4"/>
    <w:rsid w:val="00F51A19"/>
    <w:rsid w:val="00F527B5"/>
    <w:rsid w:val="00F5357A"/>
    <w:rsid w:val="00F53616"/>
    <w:rsid w:val="00F53B36"/>
    <w:rsid w:val="00F545DB"/>
    <w:rsid w:val="00F54690"/>
    <w:rsid w:val="00F55259"/>
    <w:rsid w:val="00F55264"/>
    <w:rsid w:val="00F56F2E"/>
    <w:rsid w:val="00F579B0"/>
    <w:rsid w:val="00F57B2A"/>
    <w:rsid w:val="00F57EC3"/>
    <w:rsid w:val="00F60D02"/>
    <w:rsid w:val="00F612FC"/>
    <w:rsid w:val="00F61CF4"/>
    <w:rsid w:val="00F629B7"/>
    <w:rsid w:val="00F63444"/>
    <w:rsid w:val="00F63CA9"/>
    <w:rsid w:val="00F641DF"/>
    <w:rsid w:val="00F6442D"/>
    <w:rsid w:val="00F64A5D"/>
    <w:rsid w:val="00F65263"/>
    <w:rsid w:val="00F673DA"/>
    <w:rsid w:val="00F701DB"/>
    <w:rsid w:val="00F70EFF"/>
    <w:rsid w:val="00F716EC"/>
    <w:rsid w:val="00F7189C"/>
    <w:rsid w:val="00F71B61"/>
    <w:rsid w:val="00F72B9D"/>
    <w:rsid w:val="00F73B2D"/>
    <w:rsid w:val="00F73F89"/>
    <w:rsid w:val="00F74147"/>
    <w:rsid w:val="00F741F8"/>
    <w:rsid w:val="00F7482B"/>
    <w:rsid w:val="00F7518A"/>
    <w:rsid w:val="00F75555"/>
    <w:rsid w:val="00F77516"/>
    <w:rsid w:val="00F775E4"/>
    <w:rsid w:val="00F8031E"/>
    <w:rsid w:val="00F80AD7"/>
    <w:rsid w:val="00F80CB8"/>
    <w:rsid w:val="00F826FB"/>
    <w:rsid w:val="00F837B6"/>
    <w:rsid w:val="00F83825"/>
    <w:rsid w:val="00F83A9A"/>
    <w:rsid w:val="00F8473C"/>
    <w:rsid w:val="00F849FB"/>
    <w:rsid w:val="00F85065"/>
    <w:rsid w:val="00F86636"/>
    <w:rsid w:val="00F86C8A"/>
    <w:rsid w:val="00F90BC4"/>
    <w:rsid w:val="00F90E5E"/>
    <w:rsid w:val="00F911CC"/>
    <w:rsid w:val="00F91BED"/>
    <w:rsid w:val="00F938B5"/>
    <w:rsid w:val="00F939BE"/>
    <w:rsid w:val="00F944F7"/>
    <w:rsid w:val="00F95D33"/>
    <w:rsid w:val="00F971F7"/>
    <w:rsid w:val="00F97BF4"/>
    <w:rsid w:val="00FA1A3A"/>
    <w:rsid w:val="00FA1FA7"/>
    <w:rsid w:val="00FA23FD"/>
    <w:rsid w:val="00FA2B17"/>
    <w:rsid w:val="00FA2E29"/>
    <w:rsid w:val="00FA3129"/>
    <w:rsid w:val="00FA488A"/>
    <w:rsid w:val="00FA497F"/>
    <w:rsid w:val="00FA4C5D"/>
    <w:rsid w:val="00FA5C6D"/>
    <w:rsid w:val="00FA5D02"/>
    <w:rsid w:val="00FB1FCF"/>
    <w:rsid w:val="00FB2516"/>
    <w:rsid w:val="00FB276F"/>
    <w:rsid w:val="00FB2D89"/>
    <w:rsid w:val="00FB30B7"/>
    <w:rsid w:val="00FB31A1"/>
    <w:rsid w:val="00FB3A61"/>
    <w:rsid w:val="00FB3AF1"/>
    <w:rsid w:val="00FB44F9"/>
    <w:rsid w:val="00FB4BC3"/>
    <w:rsid w:val="00FB524C"/>
    <w:rsid w:val="00FB6AE6"/>
    <w:rsid w:val="00FB6D33"/>
    <w:rsid w:val="00FB776C"/>
    <w:rsid w:val="00FB7FC4"/>
    <w:rsid w:val="00FC0DB6"/>
    <w:rsid w:val="00FC290E"/>
    <w:rsid w:val="00FC3FC2"/>
    <w:rsid w:val="00FC4774"/>
    <w:rsid w:val="00FC4F2A"/>
    <w:rsid w:val="00FC519A"/>
    <w:rsid w:val="00FC553D"/>
    <w:rsid w:val="00FC561D"/>
    <w:rsid w:val="00FC5C71"/>
    <w:rsid w:val="00FC61FF"/>
    <w:rsid w:val="00FC6490"/>
    <w:rsid w:val="00FC745C"/>
    <w:rsid w:val="00FC7C7D"/>
    <w:rsid w:val="00FD0B4F"/>
    <w:rsid w:val="00FD2569"/>
    <w:rsid w:val="00FD3CEE"/>
    <w:rsid w:val="00FD3F7A"/>
    <w:rsid w:val="00FD42E5"/>
    <w:rsid w:val="00FD5C96"/>
    <w:rsid w:val="00FE0748"/>
    <w:rsid w:val="00FE09AD"/>
    <w:rsid w:val="00FE0B29"/>
    <w:rsid w:val="00FE15FA"/>
    <w:rsid w:val="00FE1696"/>
    <w:rsid w:val="00FE1A37"/>
    <w:rsid w:val="00FE1CDC"/>
    <w:rsid w:val="00FE239B"/>
    <w:rsid w:val="00FE294D"/>
    <w:rsid w:val="00FE2CF3"/>
    <w:rsid w:val="00FE3EEA"/>
    <w:rsid w:val="00FE5253"/>
    <w:rsid w:val="00FE6B9A"/>
    <w:rsid w:val="00FE7597"/>
    <w:rsid w:val="00FF0221"/>
    <w:rsid w:val="00FF1962"/>
    <w:rsid w:val="00FF2656"/>
    <w:rsid w:val="00FF2C49"/>
    <w:rsid w:val="00FF30F5"/>
    <w:rsid w:val="00FF40E6"/>
    <w:rsid w:val="00FF474E"/>
    <w:rsid w:val="00FF4AC7"/>
    <w:rsid w:val="00FF5888"/>
    <w:rsid w:val="00FF5C3A"/>
    <w:rsid w:val="00FF5CF7"/>
    <w:rsid w:val="00FF60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16"/>
    <w:pPr>
      <w:jc w:val="both"/>
    </w:pPr>
    <w:rPr>
      <w:sz w:val="24"/>
      <w:szCs w:val="24"/>
      <w:lang w:eastAsia="en-US"/>
    </w:rPr>
  </w:style>
  <w:style w:type="paragraph" w:styleId="Heading1">
    <w:name w:val="heading 1"/>
    <w:basedOn w:val="Normal"/>
    <w:next w:val="Normal"/>
    <w:link w:val="Heading1Char"/>
    <w:uiPriority w:val="9"/>
    <w:qFormat/>
    <w:rsid w:val="00BC1D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5A3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44B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0DA1"/>
    <w:pPr>
      <w:ind w:left="720"/>
      <w:contextualSpacing/>
    </w:pPr>
  </w:style>
  <w:style w:type="paragraph" w:styleId="Header">
    <w:name w:val="header"/>
    <w:basedOn w:val="Normal"/>
    <w:link w:val="HeaderChar"/>
    <w:uiPriority w:val="99"/>
    <w:unhideWhenUsed/>
    <w:rsid w:val="006C7F87"/>
    <w:pPr>
      <w:tabs>
        <w:tab w:val="center" w:pos="4153"/>
        <w:tab w:val="right" w:pos="8306"/>
      </w:tabs>
    </w:pPr>
  </w:style>
  <w:style w:type="character" w:customStyle="1" w:styleId="HeaderChar">
    <w:name w:val="Header Char"/>
    <w:basedOn w:val="DefaultParagraphFont"/>
    <w:link w:val="Header"/>
    <w:uiPriority w:val="99"/>
    <w:rsid w:val="006C7F87"/>
    <w:rPr>
      <w:sz w:val="24"/>
      <w:szCs w:val="24"/>
      <w:lang w:eastAsia="en-US"/>
    </w:rPr>
  </w:style>
  <w:style w:type="paragraph" w:styleId="Footer">
    <w:name w:val="footer"/>
    <w:basedOn w:val="Normal"/>
    <w:link w:val="FooterChar"/>
    <w:unhideWhenUsed/>
    <w:rsid w:val="006C7F87"/>
    <w:pPr>
      <w:tabs>
        <w:tab w:val="center" w:pos="4153"/>
        <w:tab w:val="right" w:pos="8306"/>
      </w:tabs>
    </w:pPr>
  </w:style>
  <w:style w:type="character" w:customStyle="1" w:styleId="FooterChar">
    <w:name w:val="Footer Char"/>
    <w:basedOn w:val="DefaultParagraphFont"/>
    <w:link w:val="Footer"/>
    <w:rsid w:val="006C7F87"/>
    <w:rPr>
      <w:sz w:val="24"/>
      <w:szCs w:val="24"/>
      <w:lang w:eastAsia="en-US"/>
    </w:rPr>
  </w:style>
  <w:style w:type="character" w:styleId="Hyperlink">
    <w:name w:val="Hyperlink"/>
    <w:basedOn w:val="DefaultParagraphFont"/>
    <w:uiPriority w:val="99"/>
    <w:rsid w:val="006754B5"/>
    <w:rPr>
      <w:color w:val="0000FF"/>
      <w:u w:val="single"/>
    </w:rPr>
  </w:style>
  <w:style w:type="character" w:customStyle="1" w:styleId="ListParagraphChar">
    <w:name w:val="List Paragraph Char"/>
    <w:link w:val="ListParagraph"/>
    <w:uiPriority w:val="34"/>
    <w:locked/>
    <w:rsid w:val="006754B5"/>
    <w:rPr>
      <w:sz w:val="24"/>
      <w:szCs w:val="24"/>
      <w:lang w:eastAsia="en-US"/>
    </w:rPr>
  </w:style>
  <w:style w:type="character" w:styleId="Emphasis">
    <w:name w:val="Emphasis"/>
    <w:basedOn w:val="DefaultParagraphFont"/>
    <w:uiPriority w:val="20"/>
    <w:qFormat/>
    <w:rsid w:val="006754B5"/>
    <w:rPr>
      <w:i/>
      <w:iCs/>
    </w:rPr>
  </w:style>
  <w:style w:type="paragraph" w:customStyle="1" w:styleId="Default">
    <w:name w:val="Default"/>
    <w:uiPriority w:val="99"/>
    <w:rsid w:val="007371A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3973"/>
    <w:rPr>
      <w:rFonts w:ascii="Tahoma" w:hAnsi="Tahoma" w:cs="Tahoma"/>
      <w:sz w:val="16"/>
      <w:szCs w:val="16"/>
    </w:rPr>
  </w:style>
  <w:style w:type="character" w:customStyle="1" w:styleId="BalloonTextChar">
    <w:name w:val="Balloon Text Char"/>
    <w:basedOn w:val="DefaultParagraphFont"/>
    <w:link w:val="BalloonText"/>
    <w:uiPriority w:val="99"/>
    <w:semiHidden/>
    <w:rsid w:val="005E3973"/>
    <w:rPr>
      <w:rFonts w:ascii="Tahoma" w:hAnsi="Tahoma" w:cs="Tahoma"/>
      <w:sz w:val="16"/>
      <w:szCs w:val="16"/>
      <w:lang w:eastAsia="en-US"/>
    </w:rPr>
  </w:style>
  <w:style w:type="paragraph" w:styleId="FootnoteText">
    <w:name w:val="footnote text"/>
    <w:aliases w:val="Footnote,Fußnote,Fußnote Char,Fußnote Char Char Char"/>
    <w:basedOn w:val="Normal"/>
    <w:link w:val="FootnoteTextChar"/>
    <w:uiPriority w:val="99"/>
    <w:unhideWhenUsed/>
    <w:rsid w:val="004F76EB"/>
    <w:rPr>
      <w:sz w:val="20"/>
      <w:szCs w:val="20"/>
    </w:rPr>
  </w:style>
  <w:style w:type="character" w:customStyle="1" w:styleId="FootnoteTextChar">
    <w:name w:val="Footnote Text Char"/>
    <w:aliases w:val="Footnote Char,Fußnote Char1,Fußnote Char Char,Fußnote Char Char Char Char"/>
    <w:basedOn w:val="DefaultParagraphFont"/>
    <w:link w:val="FootnoteText"/>
    <w:uiPriority w:val="99"/>
    <w:rsid w:val="004F76EB"/>
    <w:rPr>
      <w:lang w:eastAsia="en-US"/>
    </w:rPr>
  </w:style>
  <w:style w:type="character" w:styleId="FootnoteReference">
    <w:name w:val="footnote reference"/>
    <w:aliases w:val="Footnote Reference Number"/>
    <w:basedOn w:val="DefaultParagraphFont"/>
    <w:uiPriority w:val="99"/>
    <w:unhideWhenUsed/>
    <w:rsid w:val="004F76EB"/>
    <w:rPr>
      <w:vertAlign w:val="superscript"/>
    </w:rPr>
  </w:style>
  <w:style w:type="character" w:customStyle="1" w:styleId="Heading2Char">
    <w:name w:val="Heading 2 Char"/>
    <w:basedOn w:val="DefaultParagraphFont"/>
    <w:link w:val="Heading2"/>
    <w:uiPriority w:val="9"/>
    <w:rsid w:val="00755A34"/>
    <w:rPr>
      <w:rFonts w:ascii="Cambria" w:eastAsia="Times New Roman" w:hAnsi="Cambria"/>
      <w:b/>
      <w:bCs/>
      <w:i/>
      <w:iCs/>
      <w:sz w:val="28"/>
      <w:szCs w:val="28"/>
      <w:lang w:eastAsia="en-US"/>
    </w:rPr>
  </w:style>
  <w:style w:type="paragraph" w:styleId="BodyTextIndent2">
    <w:name w:val="Body Text Indent 2"/>
    <w:basedOn w:val="Normal"/>
    <w:link w:val="BodyTextIndent2Char"/>
    <w:uiPriority w:val="99"/>
    <w:unhideWhenUsed/>
    <w:rsid w:val="00755A34"/>
    <w:pPr>
      <w:spacing w:after="120" w:line="480" w:lineRule="auto"/>
      <w:ind w:left="283"/>
    </w:pPr>
  </w:style>
  <w:style w:type="character" w:customStyle="1" w:styleId="BodyTextIndent2Char">
    <w:name w:val="Body Text Indent 2 Char"/>
    <w:basedOn w:val="DefaultParagraphFont"/>
    <w:link w:val="BodyTextIndent2"/>
    <w:uiPriority w:val="99"/>
    <w:rsid w:val="00755A34"/>
    <w:rPr>
      <w:sz w:val="24"/>
      <w:szCs w:val="24"/>
      <w:lang w:eastAsia="en-US"/>
    </w:rPr>
  </w:style>
  <w:style w:type="character" w:customStyle="1" w:styleId="fullpost">
    <w:name w:val="fullpost"/>
    <w:basedOn w:val="DefaultParagraphFont"/>
    <w:rsid w:val="002B45AE"/>
    <w:rPr>
      <w:rFonts w:cs="Times New Roman"/>
    </w:rPr>
  </w:style>
  <w:style w:type="paragraph" w:customStyle="1" w:styleId="WW-Standard">
    <w:name w:val="WW-Standard"/>
    <w:rsid w:val="00BC1D26"/>
    <w:pPr>
      <w:suppressAutoHyphens/>
      <w:textAlignment w:val="baseline"/>
    </w:pPr>
    <w:rPr>
      <w:rFonts w:eastAsia="Times New Roman"/>
      <w:kern w:val="1"/>
      <w:sz w:val="24"/>
      <w:szCs w:val="24"/>
      <w:lang w:eastAsia="ar-SA"/>
    </w:rPr>
  </w:style>
  <w:style w:type="character" w:customStyle="1" w:styleId="Heading1Char">
    <w:name w:val="Heading 1 Char"/>
    <w:basedOn w:val="DefaultParagraphFont"/>
    <w:link w:val="Heading1"/>
    <w:uiPriority w:val="99"/>
    <w:rsid w:val="00BC1D26"/>
    <w:rPr>
      <w:rFonts w:asciiTheme="majorHAnsi" w:eastAsiaTheme="majorEastAsia" w:hAnsiTheme="majorHAnsi" w:cstheme="majorBidi"/>
      <w:b/>
      <w:bCs/>
      <w:color w:val="365F91" w:themeColor="accent1" w:themeShade="BF"/>
      <w:sz w:val="28"/>
      <w:szCs w:val="28"/>
      <w:lang w:eastAsia="en-US"/>
    </w:rPr>
  </w:style>
  <w:style w:type="character" w:customStyle="1" w:styleId="apple-style-span">
    <w:name w:val="apple-style-span"/>
    <w:basedOn w:val="DefaultParagraphFont"/>
    <w:rsid w:val="00BC1D26"/>
  </w:style>
  <w:style w:type="paragraph" w:styleId="NormalWeb">
    <w:name w:val="Normal (Web)"/>
    <w:basedOn w:val="Normal"/>
    <w:uiPriority w:val="99"/>
    <w:rsid w:val="00BC1D26"/>
    <w:pPr>
      <w:spacing w:after="150"/>
      <w:jc w:val="left"/>
    </w:pPr>
    <w:rPr>
      <w:rFonts w:eastAsia="Times New Roman"/>
      <w:lang w:eastAsia="lv-LV"/>
    </w:rPr>
  </w:style>
  <w:style w:type="paragraph" w:customStyle="1" w:styleId="naislab">
    <w:name w:val="naislab"/>
    <w:basedOn w:val="Normal"/>
    <w:uiPriority w:val="99"/>
    <w:rsid w:val="00BC1D26"/>
    <w:pPr>
      <w:spacing w:before="100" w:beforeAutospacing="1" w:after="100" w:afterAutospacing="1"/>
      <w:jc w:val="left"/>
    </w:pPr>
    <w:rPr>
      <w:rFonts w:eastAsia="Times New Roman"/>
      <w:lang w:eastAsia="lv-LV"/>
    </w:rPr>
  </w:style>
  <w:style w:type="paragraph" w:styleId="NoSpacing">
    <w:name w:val="No Spacing"/>
    <w:link w:val="NoSpacingChar"/>
    <w:uiPriority w:val="1"/>
    <w:qFormat/>
    <w:rsid w:val="00EB383F"/>
    <w:rPr>
      <w:rFonts w:ascii="Calibri" w:hAnsi="Calibri" w:cs="Calibri"/>
      <w:sz w:val="22"/>
      <w:szCs w:val="22"/>
      <w:lang w:eastAsia="en-US"/>
    </w:rPr>
  </w:style>
  <w:style w:type="paragraph" w:styleId="PlainText">
    <w:name w:val="Plain Text"/>
    <w:basedOn w:val="Normal"/>
    <w:link w:val="PlainTextChar"/>
    <w:uiPriority w:val="99"/>
    <w:unhideWhenUsed/>
    <w:rsid w:val="00EB383F"/>
    <w:pPr>
      <w:jc w:val="left"/>
    </w:pPr>
    <w:rPr>
      <w:rFonts w:ascii="Consolas" w:hAnsi="Consolas"/>
      <w:sz w:val="21"/>
      <w:szCs w:val="21"/>
      <w:lang w:eastAsia="lv-LV"/>
    </w:rPr>
  </w:style>
  <w:style w:type="character" w:customStyle="1" w:styleId="PlainTextChar">
    <w:name w:val="Plain Text Char"/>
    <w:basedOn w:val="DefaultParagraphFont"/>
    <w:link w:val="PlainText"/>
    <w:uiPriority w:val="99"/>
    <w:rsid w:val="00EB383F"/>
    <w:rPr>
      <w:rFonts w:ascii="Consolas" w:hAnsi="Consolas"/>
      <w:sz w:val="21"/>
      <w:szCs w:val="21"/>
    </w:rPr>
  </w:style>
  <w:style w:type="character" w:customStyle="1" w:styleId="spelle">
    <w:name w:val="spelle"/>
    <w:rsid w:val="00974A72"/>
  </w:style>
  <w:style w:type="character" w:customStyle="1" w:styleId="Heading3Char">
    <w:name w:val="Heading 3 Char"/>
    <w:basedOn w:val="DefaultParagraphFont"/>
    <w:link w:val="Heading3"/>
    <w:uiPriority w:val="9"/>
    <w:rsid w:val="00044B3C"/>
    <w:rPr>
      <w:rFonts w:asciiTheme="majorHAnsi" w:eastAsiaTheme="majorEastAsia" w:hAnsiTheme="majorHAnsi" w:cstheme="majorBidi"/>
      <w:b/>
      <w:bCs/>
      <w:color w:val="4F81BD" w:themeColor="accent1"/>
      <w:sz w:val="24"/>
      <w:szCs w:val="24"/>
      <w:lang w:eastAsia="en-US"/>
    </w:rPr>
  </w:style>
  <w:style w:type="paragraph" w:styleId="TOC1">
    <w:name w:val="toc 1"/>
    <w:basedOn w:val="Normal"/>
    <w:next w:val="Normal"/>
    <w:autoRedefine/>
    <w:uiPriority w:val="39"/>
    <w:unhideWhenUsed/>
    <w:rsid w:val="0050285A"/>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50285A"/>
    <w:pPr>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50285A"/>
    <w:pPr>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50285A"/>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50285A"/>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50285A"/>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50285A"/>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50285A"/>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50285A"/>
    <w:pPr>
      <w:ind w:left="1920"/>
      <w:jc w:val="left"/>
    </w:pPr>
    <w:rPr>
      <w:rFonts w:asciiTheme="minorHAnsi" w:hAnsiTheme="minorHAnsi"/>
      <w:sz w:val="18"/>
      <w:szCs w:val="18"/>
    </w:rPr>
  </w:style>
  <w:style w:type="character" w:styleId="FollowedHyperlink">
    <w:name w:val="FollowedHyperlink"/>
    <w:basedOn w:val="DefaultParagraphFont"/>
    <w:uiPriority w:val="99"/>
    <w:semiHidden/>
    <w:unhideWhenUsed/>
    <w:rsid w:val="003810D7"/>
    <w:rPr>
      <w:color w:val="800080" w:themeColor="followedHyperlink"/>
      <w:u w:val="single"/>
    </w:rPr>
  </w:style>
  <w:style w:type="paragraph" w:styleId="CommentText">
    <w:name w:val="annotation text"/>
    <w:basedOn w:val="Normal"/>
    <w:link w:val="CommentTextChar"/>
    <w:uiPriority w:val="99"/>
    <w:unhideWhenUsed/>
    <w:rsid w:val="009E462D"/>
    <w:rPr>
      <w:sz w:val="20"/>
      <w:szCs w:val="20"/>
    </w:rPr>
  </w:style>
  <w:style w:type="character" w:customStyle="1" w:styleId="CommentTextChar">
    <w:name w:val="Comment Text Char"/>
    <w:basedOn w:val="DefaultParagraphFont"/>
    <w:link w:val="CommentText"/>
    <w:uiPriority w:val="99"/>
    <w:rsid w:val="009E462D"/>
    <w:rPr>
      <w:lang w:eastAsia="en-US"/>
    </w:rPr>
  </w:style>
  <w:style w:type="paragraph" w:customStyle="1" w:styleId="bodytext">
    <w:name w:val="bodytext"/>
    <w:basedOn w:val="Normal"/>
    <w:rsid w:val="00037826"/>
    <w:pPr>
      <w:spacing w:before="100" w:beforeAutospacing="1" w:after="100" w:afterAutospacing="1"/>
      <w:jc w:val="left"/>
    </w:pPr>
    <w:rPr>
      <w:rFonts w:eastAsia="Times New Roman"/>
      <w:lang w:eastAsia="lv-LV"/>
    </w:rPr>
  </w:style>
  <w:style w:type="character" w:styleId="Strong">
    <w:name w:val="Strong"/>
    <w:basedOn w:val="DefaultParagraphFont"/>
    <w:uiPriority w:val="99"/>
    <w:qFormat/>
    <w:rsid w:val="004711E0"/>
    <w:rPr>
      <w:b/>
      <w:bCs/>
    </w:rPr>
  </w:style>
  <w:style w:type="character" w:styleId="CommentReference">
    <w:name w:val="annotation reference"/>
    <w:basedOn w:val="DefaultParagraphFont"/>
    <w:uiPriority w:val="99"/>
    <w:semiHidden/>
    <w:unhideWhenUsed/>
    <w:rsid w:val="00A92BA1"/>
    <w:rPr>
      <w:sz w:val="16"/>
      <w:szCs w:val="16"/>
    </w:rPr>
  </w:style>
  <w:style w:type="table" w:styleId="LightShading">
    <w:name w:val="Light Shading"/>
    <w:basedOn w:val="TableNormal"/>
    <w:uiPriority w:val="60"/>
    <w:rsid w:val="00994C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qFormat/>
    <w:rsid w:val="00DD772F"/>
    <w:pPr>
      <w:spacing w:after="200" w:line="276" w:lineRule="auto"/>
      <w:jc w:val="left"/>
    </w:pPr>
    <w:rPr>
      <w:rFonts w:ascii="Calibri" w:eastAsia="Times New Roman" w:hAnsi="Calibri"/>
      <w:b/>
      <w:bCs/>
      <w:sz w:val="20"/>
      <w:szCs w:val="20"/>
      <w:lang w:val="en-US"/>
    </w:rPr>
  </w:style>
  <w:style w:type="paragraph" w:styleId="CommentSubject">
    <w:name w:val="annotation subject"/>
    <w:basedOn w:val="CommentText"/>
    <w:next w:val="CommentText"/>
    <w:link w:val="CommentSubjectChar"/>
    <w:uiPriority w:val="99"/>
    <w:semiHidden/>
    <w:unhideWhenUsed/>
    <w:rsid w:val="00DD772F"/>
    <w:rPr>
      <w:b/>
      <w:bCs/>
    </w:rPr>
  </w:style>
  <w:style w:type="character" w:customStyle="1" w:styleId="CommentSubjectChar">
    <w:name w:val="Comment Subject Char"/>
    <w:basedOn w:val="CommentTextChar"/>
    <w:link w:val="CommentSubject"/>
    <w:uiPriority w:val="99"/>
    <w:semiHidden/>
    <w:rsid w:val="00DD772F"/>
    <w:rPr>
      <w:b/>
      <w:bCs/>
      <w:lang w:eastAsia="en-US"/>
    </w:rPr>
  </w:style>
  <w:style w:type="character" w:customStyle="1" w:styleId="st">
    <w:name w:val="st"/>
    <w:basedOn w:val="DefaultParagraphFont"/>
    <w:rsid w:val="00A54E12"/>
    <w:rPr>
      <w:rFonts w:cs="Times New Roman"/>
    </w:rPr>
  </w:style>
  <w:style w:type="character" w:customStyle="1" w:styleId="NoSpacingChar">
    <w:name w:val="No Spacing Char"/>
    <w:basedOn w:val="DefaultParagraphFont"/>
    <w:link w:val="NoSpacing"/>
    <w:uiPriority w:val="1"/>
    <w:rsid w:val="00BB55B1"/>
    <w:rPr>
      <w:rFonts w:ascii="Calibri" w:hAnsi="Calibri" w:cs="Calibri"/>
      <w:sz w:val="22"/>
      <w:szCs w:val="22"/>
      <w:lang w:eastAsia="en-US"/>
    </w:rPr>
  </w:style>
  <w:style w:type="paragraph" w:styleId="EndnoteText">
    <w:name w:val="endnote text"/>
    <w:basedOn w:val="Normal"/>
    <w:link w:val="EndnoteTextChar"/>
    <w:uiPriority w:val="99"/>
    <w:semiHidden/>
    <w:unhideWhenUsed/>
    <w:rsid w:val="00BB55B1"/>
    <w:pPr>
      <w:spacing w:line="240" w:lineRule="atLeast"/>
      <w:jc w:val="left"/>
    </w:pPr>
    <w:rPr>
      <w:rFonts w:ascii="Calibri" w:hAnsi="Calibri"/>
      <w:sz w:val="20"/>
      <w:szCs w:val="20"/>
    </w:rPr>
  </w:style>
  <w:style w:type="character" w:customStyle="1" w:styleId="EndnoteTextChar">
    <w:name w:val="Endnote Text Char"/>
    <w:basedOn w:val="DefaultParagraphFont"/>
    <w:link w:val="EndnoteText"/>
    <w:uiPriority w:val="99"/>
    <w:semiHidden/>
    <w:rsid w:val="00BB55B1"/>
    <w:rPr>
      <w:rFonts w:ascii="Calibri" w:hAnsi="Calibri"/>
      <w:lang w:eastAsia="en-US"/>
    </w:rPr>
  </w:style>
  <w:style w:type="paragraph" w:customStyle="1" w:styleId="Statuti">
    <w:name w:val="Statuti"/>
    <w:basedOn w:val="Normal"/>
    <w:rsid w:val="00FE1696"/>
    <w:pPr>
      <w:numPr>
        <w:ilvl w:val="3"/>
        <w:numId w:val="26"/>
      </w:numPr>
      <w:spacing w:line="360" w:lineRule="auto"/>
    </w:pPr>
    <w:rPr>
      <w:rFonts w:ascii="Arial Narrow" w:eastAsia="Times New Roman" w:hAnsi="Arial Narrow"/>
      <w:szCs w:val="20"/>
      <w:lang w:eastAsia="lv-LV"/>
    </w:rPr>
  </w:style>
  <w:style w:type="paragraph" w:customStyle="1" w:styleId="Virsraksti4">
    <w:name w:val="Virsraksti4"/>
    <w:basedOn w:val="Normal"/>
    <w:rsid w:val="00FE1696"/>
    <w:pPr>
      <w:numPr>
        <w:ilvl w:val="4"/>
        <w:numId w:val="26"/>
      </w:numPr>
      <w:spacing w:before="60" w:after="120"/>
      <w:jc w:val="left"/>
    </w:pPr>
    <w:rPr>
      <w:rFonts w:eastAsia="Times New Roman"/>
      <w:szCs w:val="20"/>
      <w:lang w:eastAsia="lv-LV"/>
    </w:rPr>
  </w:style>
  <w:style w:type="paragraph" w:customStyle="1" w:styleId="Virsraksti1">
    <w:name w:val="Virsraksti1"/>
    <w:basedOn w:val="Normal"/>
    <w:rsid w:val="00FE1696"/>
    <w:pPr>
      <w:numPr>
        <w:numId w:val="26"/>
      </w:numPr>
      <w:spacing w:before="120" w:after="120"/>
    </w:pPr>
    <w:rPr>
      <w:rFonts w:eastAsia="Times New Roman" w:cs="Arial Unicode MS"/>
      <w:b/>
      <w:sz w:val="32"/>
      <w:lang w:eastAsia="lv-LV" w:bidi="lo-LA"/>
    </w:rPr>
  </w:style>
  <w:style w:type="paragraph" w:customStyle="1" w:styleId="Virsraksti2">
    <w:name w:val="Virsraksti_2"/>
    <w:basedOn w:val="Normal"/>
    <w:rsid w:val="00FE1696"/>
    <w:pPr>
      <w:numPr>
        <w:ilvl w:val="1"/>
        <w:numId w:val="26"/>
      </w:numPr>
      <w:spacing w:before="120" w:after="120"/>
    </w:pPr>
    <w:rPr>
      <w:rFonts w:eastAsia="Times New Roman" w:cs="Arial Unicode MS"/>
      <w:b/>
      <w:sz w:val="28"/>
      <w:lang w:eastAsia="lv-LV" w:bidi="lo-LA"/>
    </w:rPr>
  </w:style>
  <w:style w:type="paragraph" w:customStyle="1" w:styleId="Virsraksti3">
    <w:name w:val="Virsraksti_3"/>
    <w:basedOn w:val="Normal"/>
    <w:rsid w:val="00FE1696"/>
    <w:pPr>
      <w:numPr>
        <w:ilvl w:val="2"/>
        <w:numId w:val="26"/>
      </w:numPr>
      <w:spacing w:before="120" w:after="120"/>
    </w:pPr>
    <w:rPr>
      <w:rFonts w:ascii="Times New Roman Bold" w:eastAsia="Times New Roman" w:hAnsi="Times New Roman Bold" w:cs="Arial Unicode MS"/>
      <w:b/>
      <w:lang w:eastAsia="lv-LV" w:bidi="lo-LA"/>
    </w:rPr>
  </w:style>
  <w:style w:type="character" w:customStyle="1" w:styleId="leftside">
    <w:name w:val="left_side"/>
    <w:basedOn w:val="DefaultParagraphFont"/>
    <w:rsid w:val="00FE1696"/>
  </w:style>
  <w:style w:type="character" w:customStyle="1" w:styleId="rightside">
    <w:name w:val="right_side"/>
    <w:basedOn w:val="DefaultParagraphFont"/>
    <w:rsid w:val="00FE1696"/>
  </w:style>
  <w:style w:type="character" w:customStyle="1" w:styleId="st1">
    <w:name w:val="st1"/>
    <w:basedOn w:val="DefaultParagraphFont"/>
    <w:rsid w:val="005B69A7"/>
  </w:style>
  <w:style w:type="table" w:styleId="TableGrid">
    <w:name w:val="Table Grid"/>
    <w:basedOn w:val="TableNormal"/>
    <w:uiPriority w:val="59"/>
    <w:rsid w:val="00500D9A"/>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
    <w:uiPriority w:val="99"/>
    <w:semiHidden/>
    <w:unhideWhenUsed/>
    <w:rsid w:val="00145241"/>
    <w:pPr>
      <w:spacing w:after="120"/>
    </w:pPr>
  </w:style>
  <w:style w:type="character" w:customStyle="1" w:styleId="BodyTextChar">
    <w:name w:val="Body Text Char"/>
    <w:basedOn w:val="DefaultParagraphFont"/>
    <w:link w:val="BodyText0"/>
    <w:uiPriority w:val="99"/>
    <w:semiHidden/>
    <w:rsid w:val="00145241"/>
    <w:rPr>
      <w:sz w:val="24"/>
      <w:szCs w:val="24"/>
      <w:lang w:eastAsia="en-US"/>
    </w:rPr>
  </w:style>
  <w:style w:type="paragraph" w:styleId="BodyText2">
    <w:name w:val="Body Text 2"/>
    <w:basedOn w:val="Normal"/>
    <w:link w:val="BodyText2Char"/>
    <w:uiPriority w:val="99"/>
    <w:unhideWhenUsed/>
    <w:rsid w:val="00211FC4"/>
    <w:pPr>
      <w:spacing w:after="120" w:line="480" w:lineRule="auto"/>
    </w:pPr>
  </w:style>
  <w:style w:type="character" w:customStyle="1" w:styleId="BodyText2Char">
    <w:name w:val="Body Text 2 Char"/>
    <w:basedOn w:val="DefaultParagraphFont"/>
    <w:link w:val="BodyText2"/>
    <w:uiPriority w:val="99"/>
    <w:rsid w:val="00211FC4"/>
    <w:rPr>
      <w:sz w:val="24"/>
      <w:szCs w:val="24"/>
      <w:lang w:eastAsia="en-US"/>
    </w:rPr>
  </w:style>
  <w:style w:type="paragraph" w:styleId="Title">
    <w:name w:val="Title"/>
    <w:basedOn w:val="Normal"/>
    <w:link w:val="TitleChar"/>
    <w:qFormat/>
    <w:rsid w:val="005B03AE"/>
    <w:pPr>
      <w:jc w:val="center"/>
    </w:pPr>
    <w:rPr>
      <w:rFonts w:eastAsia="Times New Roman"/>
      <w:b/>
      <w:caps/>
    </w:rPr>
  </w:style>
  <w:style w:type="character" w:customStyle="1" w:styleId="TitleChar">
    <w:name w:val="Title Char"/>
    <w:basedOn w:val="DefaultParagraphFont"/>
    <w:link w:val="Title"/>
    <w:rsid w:val="005B03AE"/>
    <w:rPr>
      <w:rFonts w:eastAsia="Times New Roman"/>
      <w:b/>
      <w:cap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16"/>
    <w:pPr>
      <w:jc w:val="both"/>
    </w:pPr>
    <w:rPr>
      <w:sz w:val="24"/>
      <w:szCs w:val="24"/>
      <w:lang w:eastAsia="en-US"/>
    </w:rPr>
  </w:style>
  <w:style w:type="paragraph" w:styleId="Heading1">
    <w:name w:val="heading 1"/>
    <w:basedOn w:val="Normal"/>
    <w:next w:val="Normal"/>
    <w:link w:val="Heading1Char"/>
    <w:uiPriority w:val="9"/>
    <w:qFormat/>
    <w:rsid w:val="00BC1D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5A3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44B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0DA1"/>
    <w:pPr>
      <w:ind w:left="720"/>
      <w:contextualSpacing/>
    </w:pPr>
  </w:style>
  <w:style w:type="paragraph" w:styleId="Header">
    <w:name w:val="header"/>
    <w:basedOn w:val="Normal"/>
    <w:link w:val="HeaderChar"/>
    <w:uiPriority w:val="99"/>
    <w:unhideWhenUsed/>
    <w:rsid w:val="006C7F87"/>
    <w:pPr>
      <w:tabs>
        <w:tab w:val="center" w:pos="4153"/>
        <w:tab w:val="right" w:pos="8306"/>
      </w:tabs>
    </w:pPr>
  </w:style>
  <w:style w:type="character" w:customStyle="1" w:styleId="HeaderChar">
    <w:name w:val="Header Char"/>
    <w:basedOn w:val="DefaultParagraphFont"/>
    <w:link w:val="Header"/>
    <w:uiPriority w:val="99"/>
    <w:rsid w:val="006C7F87"/>
    <w:rPr>
      <w:sz w:val="24"/>
      <w:szCs w:val="24"/>
      <w:lang w:eastAsia="en-US"/>
    </w:rPr>
  </w:style>
  <w:style w:type="paragraph" w:styleId="Footer">
    <w:name w:val="footer"/>
    <w:basedOn w:val="Normal"/>
    <w:link w:val="FooterChar"/>
    <w:unhideWhenUsed/>
    <w:rsid w:val="006C7F87"/>
    <w:pPr>
      <w:tabs>
        <w:tab w:val="center" w:pos="4153"/>
        <w:tab w:val="right" w:pos="8306"/>
      </w:tabs>
    </w:pPr>
  </w:style>
  <w:style w:type="character" w:customStyle="1" w:styleId="FooterChar">
    <w:name w:val="Footer Char"/>
    <w:basedOn w:val="DefaultParagraphFont"/>
    <w:link w:val="Footer"/>
    <w:rsid w:val="006C7F87"/>
    <w:rPr>
      <w:sz w:val="24"/>
      <w:szCs w:val="24"/>
      <w:lang w:eastAsia="en-US"/>
    </w:rPr>
  </w:style>
  <w:style w:type="character" w:styleId="Hyperlink">
    <w:name w:val="Hyperlink"/>
    <w:basedOn w:val="DefaultParagraphFont"/>
    <w:uiPriority w:val="99"/>
    <w:rsid w:val="006754B5"/>
    <w:rPr>
      <w:color w:val="0000FF"/>
      <w:u w:val="single"/>
    </w:rPr>
  </w:style>
  <w:style w:type="character" w:customStyle="1" w:styleId="ListParagraphChar">
    <w:name w:val="List Paragraph Char"/>
    <w:link w:val="ListParagraph"/>
    <w:uiPriority w:val="34"/>
    <w:locked/>
    <w:rsid w:val="006754B5"/>
    <w:rPr>
      <w:sz w:val="24"/>
      <w:szCs w:val="24"/>
      <w:lang w:eastAsia="en-US"/>
    </w:rPr>
  </w:style>
  <w:style w:type="character" w:styleId="Emphasis">
    <w:name w:val="Emphasis"/>
    <w:basedOn w:val="DefaultParagraphFont"/>
    <w:uiPriority w:val="20"/>
    <w:qFormat/>
    <w:rsid w:val="006754B5"/>
    <w:rPr>
      <w:i/>
      <w:iCs/>
    </w:rPr>
  </w:style>
  <w:style w:type="paragraph" w:customStyle="1" w:styleId="Default">
    <w:name w:val="Default"/>
    <w:uiPriority w:val="99"/>
    <w:rsid w:val="007371A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3973"/>
    <w:rPr>
      <w:rFonts w:ascii="Tahoma" w:hAnsi="Tahoma" w:cs="Tahoma"/>
      <w:sz w:val="16"/>
      <w:szCs w:val="16"/>
    </w:rPr>
  </w:style>
  <w:style w:type="character" w:customStyle="1" w:styleId="BalloonTextChar">
    <w:name w:val="Balloon Text Char"/>
    <w:basedOn w:val="DefaultParagraphFont"/>
    <w:link w:val="BalloonText"/>
    <w:uiPriority w:val="99"/>
    <w:semiHidden/>
    <w:rsid w:val="005E3973"/>
    <w:rPr>
      <w:rFonts w:ascii="Tahoma" w:hAnsi="Tahoma" w:cs="Tahoma"/>
      <w:sz w:val="16"/>
      <w:szCs w:val="16"/>
      <w:lang w:eastAsia="en-US"/>
    </w:rPr>
  </w:style>
  <w:style w:type="paragraph" w:styleId="FootnoteText">
    <w:name w:val="footnote text"/>
    <w:aliases w:val="Footnote,Fußnote,Fußnote Char,Fußnote Char Char Char"/>
    <w:basedOn w:val="Normal"/>
    <w:link w:val="FootnoteTextChar"/>
    <w:uiPriority w:val="99"/>
    <w:unhideWhenUsed/>
    <w:rsid w:val="004F76EB"/>
    <w:rPr>
      <w:sz w:val="20"/>
      <w:szCs w:val="20"/>
    </w:rPr>
  </w:style>
  <w:style w:type="character" w:customStyle="1" w:styleId="FootnoteTextChar">
    <w:name w:val="Footnote Text Char"/>
    <w:aliases w:val="Footnote Char,Fußnote Char1,Fußnote Char Char,Fußnote Char Char Char Char"/>
    <w:basedOn w:val="DefaultParagraphFont"/>
    <w:link w:val="FootnoteText"/>
    <w:uiPriority w:val="99"/>
    <w:rsid w:val="004F76EB"/>
    <w:rPr>
      <w:lang w:eastAsia="en-US"/>
    </w:rPr>
  </w:style>
  <w:style w:type="character" w:styleId="FootnoteReference">
    <w:name w:val="footnote reference"/>
    <w:aliases w:val="Footnote Reference Number"/>
    <w:basedOn w:val="DefaultParagraphFont"/>
    <w:uiPriority w:val="99"/>
    <w:unhideWhenUsed/>
    <w:rsid w:val="004F76EB"/>
    <w:rPr>
      <w:vertAlign w:val="superscript"/>
    </w:rPr>
  </w:style>
  <w:style w:type="character" w:customStyle="1" w:styleId="Heading2Char">
    <w:name w:val="Heading 2 Char"/>
    <w:basedOn w:val="DefaultParagraphFont"/>
    <w:link w:val="Heading2"/>
    <w:uiPriority w:val="9"/>
    <w:rsid w:val="00755A34"/>
    <w:rPr>
      <w:rFonts w:ascii="Cambria" w:eastAsia="Times New Roman" w:hAnsi="Cambria"/>
      <w:b/>
      <w:bCs/>
      <w:i/>
      <w:iCs/>
      <w:sz w:val="28"/>
      <w:szCs w:val="28"/>
      <w:lang w:eastAsia="en-US"/>
    </w:rPr>
  </w:style>
  <w:style w:type="paragraph" w:styleId="BodyTextIndent2">
    <w:name w:val="Body Text Indent 2"/>
    <w:basedOn w:val="Normal"/>
    <w:link w:val="BodyTextIndent2Char"/>
    <w:uiPriority w:val="99"/>
    <w:unhideWhenUsed/>
    <w:rsid w:val="00755A34"/>
    <w:pPr>
      <w:spacing w:after="120" w:line="480" w:lineRule="auto"/>
      <w:ind w:left="283"/>
    </w:pPr>
  </w:style>
  <w:style w:type="character" w:customStyle="1" w:styleId="BodyTextIndent2Char">
    <w:name w:val="Body Text Indent 2 Char"/>
    <w:basedOn w:val="DefaultParagraphFont"/>
    <w:link w:val="BodyTextIndent2"/>
    <w:uiPriority w:val="99"/>
    <w:rsid w:val="00755A34"/>
    <w:rPr>
      <w:sz w:val="24"/>
      <w:szCs w:val="24"/>
      <w:lang w:eastAsia="en-US"/>
    </w:rPr>
  </w:style>
  <w:style w:type="character" w:customStyle="1" w:styleId="fullpost">
    <w:name w:val="fullpost"/>
    <w:basedOn w:val="DefaultParagraphFont"/>
    <w:rsid w:val="002B45AE"/>
    <w:rPr>
      <w:rFonts w:cs="Times New Roman"/>
    </w:rPr>
  </w:style>
  <w:style w:type="paragraph" w:customStyle="1" w:styleId="WW-Standard">
    <w:name w:val="WW-Standard"/>
    <w:rsid w:val="00BC1D26"/>
    <w:pPr>
      <w:suppressAutoHyphens/>
      <w:textAlignment w:val="baseline"/>
    </w:pPr>
    <w:rPr>
      <w:rFonts w:eastAsia="Times New Roman"/>
      <w:kern w:val="1"/>
      <w:sz w:val="24"/>
      <w:szCs w:val="24"/>
      <w:lang w:eastAsia="ar-SA"/>
    </w:rPr>
  </w:style>
  <w:style w:type="character" w:customStyle="1" w:styleId="Heading1Char">
    <w:name w:val="Heading 1 Char"/>
    <w:basedOn w:val="DefaultParagraphFont"/>
    <w:link w:val="Heading1"/>
    <w:uiPriority w:val="99"/>
    <w:rsid w:val="00BC1D26"/>
    <w:rPr>
      <w:rFonts w:asciiTheme="majorHAnsi" w:eastAsiaTheme="majorEastAsia" w:hAnsiTheme="majorHAnsi" w:cstheme="majorBidi"/>
      <w:b/>
      <w:bCs/>
      <w:color w:val="365F91" w:themeColor="accent1" w:themeShade="BF"/>
      <w:sz w:val="28"/>
      <w:szCs w:val="28"/>
      <w:lang w:eastAsia="en-US"/>
    </w:rPr>
  </w:style>
  <w:style w:type="character" w:customStyle="1" w:styleId="apple-style-span">
    <w:name w:val="apple-style-span"/>
    <w:basedOn w:val="DefaultParagraphFont"/>
    <w:rsid w:val="00BC1D26"/>
  </w:style>
  <w:style w:type="paragraph" w:styleId="NormalWeb">
    <w:name w:val="Normal (Web)"/>
    <w:basedOn w:val="Normal"/>
    <w:uiPriority w:val="99"/>
    <w:rsid w:val="00BC1D26"/>
    <w:pPr>
      <w:spacing w:after="150"/>
      <w:jc w:val="left"/>
    </w:pPr>
    <w:rPr>
      <w:rFonts w:eastAsia="Times New Roman"/>
      <w:lang w:eastAsia="lv-LV"/>
    </w:rPr>
  </w:style>
  <w:style w:type="paragraph" w:customStyle="1" w:styleId="naislab">
    <w:name w:val="naislab"/>
    <w:basedOn w:val="Normal"/>
    <w:uiPriority w:val="99"/>
    <w:rsid w:val="00BC1D26"/>
    <w:pPr>
      <w:spacing w:before="100" w:beforeAutospacing="1" w:after="100" w:afterAutospacing="1"/>
      <w:jc w:val="left"/>
    </w:pPr>
    <w:rPr>
      <w:rFonts w:eastAsia="Times New Roman"/>
      <w:lang w:eastAsia="lv-LV"/>
    </w:rPr>
  </w:style>
  <w:style w:type="paragraph" w:styleId="NoSpacing">
    <w:name w:val="No Spacing"/>
    <w:link w:val="NoSpacingChar"/>
    <w:uiPriority w:val="1"/>
    <w:qFormat/>
    <w:rsid w:val="00EB383F"/>
    <w:rPr>
      <w:rFonts w:ascii="Calibri" w:hAnsi="Calibri" w:cs="Calibri"/>
      <w:sz w:val="22"/>
      <w:szCs w:val="22"/>
      <w:lang w:eastAsia="en-US"/>
    </w:rPr>
  </w:style>
  <w:style w:type="paragraph" w:styleId="PlainText">
    <w:name w:val="Plain Text"/>
    <w:basedOn w:val="Normal"/>
    <w:link w:val="PlainTextChar"/>
    <w:uiPriority w:val="99"/>
    <w:unhideWhenUsed/>
    <w:rsid w:val="00EB383F"/>
    <w:pPr>
      <w:jc w:val="left"/>
    </w:pPr>
    <w:rPr>
      <w:rFonts w:ascii="Consolas" w:hAnsi="Consolas"/>
      <w:sz w:val="21"/>
      <w:szCs w:val="21"/>
      <w:lang w:eastAsia="lv-LV"/>
    </w:rPr>
  </w:style>
  <w:style w:type="character" w:customStyle="1" w:styleId="PlainTextChar">
    <w:name w:val="Plain Text Char"/>
    <w:basedOn w:val="DefaultParagraphFont"/>
    <w:link w:val="PlainText"/>
    <w:uiPriority w:val="99"/>
    <w:rsid w:val="00EB383F"/>
    <w:rPr>
      <w:rFonts w:ascii="Consolas" w:hAnsi="Consolas"/>
      <w:sz w:val="21"/>
      <w:szCs w:val="21"/>
    </w:rPr>
  </w:style>
  <w:style w:type="character" w:customStyle="1" w:styleId="spelle">
    <w:name w:val="spelle"/>
    <w:rsid w:val="00974A72"/>
  </w:style>
  <w:style w:type="character" w:customStyle="1" w:styleId="Heading3Char">
    <w:name w:val="Heading 3 Char"/>
    <w:basedOn w:val="DefaultParagraphFont"/>
    <w:link w:val="Heading3"/>
    <w:uiPriority w:val="9"/>
    <w:rsid w:val="00044B3C"/>
    <w:rPr>
      <w:rFonts w:asciiTheme="majorHAnsi" w:eastAsiaTheme="majorEastAsia" w:hAnsiTheme="majorHAnsi" w:cstheme="majorBidi"/>
      <w:b/>
      <w:bCs/>
      <w:color w:val="4F81BD" w:themeColor="accent1"/>
      <w:sz w:val="24"/>
      <w:szCs w:val="24"/>
      <w:lang w:eastAsia="en-US"/>
    </w:rPr>
  </w:style>
  <w:style w:type="paragraph" w:styleId="TOC1">
    <w:name w:val="toc 1"/>
    <w:basedOn w:val="Normal"/>
    <w:next w:val="Normal"/>
    <w:autoRedefine/>
    <w:uiPriority w:val="39"/>
    <w:unhideWhenUsed/>
    <w:rsid w:val="0050285A"/>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50285A"/>
    <w:pPr>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50285A"/>
    <w:pPr>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50285A"/>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50285A"/>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50285A"/>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50285A"/>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50285A"/>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50285A"/>
    <w:pPr>
      <w:ind w:left="1920"/>
      <w:jc w:val="left"/>
    </w:pPr>
    <w:rPr>
      <w:rFonts w:asciiTheme="minorHAnsi" w:hAnsiTheme="minorHAnsi"/>
      <w:sz w:val="18"/>
      <w:szCs w:val="18"/>
    </w:rPr>
  </w:style>
  <w:style w:type="character" w:styleId="FollowedHyperlink">
    <w:name w:val="FollowedHyperlink"/>
    <w:basedOn w:val="DefaultParagraphFont"/>
    <w:uiPriority w:val="99"/>
    <w:semiHidden/>
    <w:unhideWhenUsed/>
    <w:rsid w:val="003810D7"/>
    <w:rPr>
      <w:color w:val="800080" w:themeColor="followedHyperlink"/>
      <w:u w:val="single"/>
    </w:rPr>
  </w:style>
  <w:style w:type="paragraph" w:styleId="CommentText">
    <w:name w:val="annotation text"/>
    <w:basedOn w:val="Normal"/>
    <w:link w:val="CommentTextChar"/>
    <w:uiPriority w:val="99"/>
    <w:unhideWhenUsed/>
    <w:rsid w:val="009E462D"/>
    <w:rPr>
      <w:sz w:val="20"/>
      <w:szCs w:val="20"/>
    </w:rPr>
  </w:style>
  <w:style w:type="character" w:customStyle="1" w:styleId="CommentTextChar">
    <w:name w:val="Comment Text Char"/>
    <w:basedOn w:val="DefaultParagraphFont"/>
    <w:link w:val="CommentText"/>
    <w:uiPriority w:val="99"/>
    <w:rsid w:val="009E462D"/>
    <w:rPr>
      <w:lang w:eastAsia="en-US"/>
    </w:rPr>
  </w:style>
  <w:style w:type="paragraph" w:customStyle="1" w:styleId="bodytext">
    <w:name w:val="bodytext"/>
    <w:basedOn w:val="Normal"/>
    <w:rsid w:val="00037826"/>
    <w:pPr>
      <w:spacing w:before="100" w:beforeAutospacing="1" w:after="100" w:afterAutospacing="1"/>
      <w:jc w:val="left"/>
    </w:pPr>
    <w:rPr>
      <w:rFonts w:eastAsia="Times New Roman"/>
      <w:lang w:eastAsia="lv-LV"/>
    </w:rPr>
  </w:style>
  <w:style w:type="character" w:styleId="Strong">
    <w:name w:val="Strong"/>
    <w:basedOn w:val="DefaultParagraphFont"/>
    <w:uiPriority w:val="99"/>
    <w:qFormat/>
    <w:rsid w:val="004711E0"/>
    <w:rPr>
      <w:b/>
      <w:bCs/>
    </w:rPr>
  </w:style>
  <w:style w:type="character" w:styleId="CommentReference">
    <w:name w:val="annotation reference"/>
    <w:basedOn w:val="DefaultParagraphFont"/>
    <w:uiPriority w:val="99"/>
    <w:semiHidden/>
    <w:unhideWhenUsed/>
    <w:rsid w:val="00A92BA1"/>
    <w:rPr>
      <w:sz w:val="16"/>
      <w:szCs w:val="16"/>
    </w:rPr>
  </w:style>
  <w:style w:type="table" w:styleId="LightShading">
    <w:name w:val="Light Shading"/>
    <w:basedOn w:val="TableNormal"/>
    <w:uiPriority w:val="60"/>
    <w:rsid w:val="00994C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qFormat/>
    <w:rsid w:val="00DD772F"/>
    <w:pPr>
      <w:spacing w:after="200" w:line="276" w:lineRule="auto"/>
      <w:jc w:val="left"/>
    </w:pPr>
    <w:rPr>
      <w:rFonts w:ascii="Calibri" w:eastAsia="Times New Roman" w:hAnsi="Calibri"/>
      <w:b/>
      <w:bCs/>
      <w:sz w:val="20"/>
      <w:szCs w:val="20"/>
      <w:lang w:val="en-US"/>
    </w:rPr>
  </w:style>
  <w:style w:type="paragraph" w:styleId="CommentSubject">
    <w:name w:val="annotation subject"/>
    <w:basedOn w:val="CommentText"/>
    <w:next w:val="CommentText"/>
    <w:link w:val="CommentSubjectChar"/>
    <w:uiPriority w:val="99"/>
    <w:semiHidden/>
    <w:unhideWhenUsed/>
    <w:rsid w:val="00DD772F"/>
    <w:rPr>
      <w:b/>
      <w:bCs/>
    </w:rPr>
  </w:style>
  <w:style w:type="character" w:customStyle="1" w:styleId="CommentSubjectChar">
    <w:name w:val="Comment Subject Char"/>
    <w:basedOn w:val="CommentTextChar"/>
    <w:link w:val="CommentSubject"/>
    <w:uiPriority w:val="99"/>
    <w:semiHidden/>
    <w:rsid w:val="00DD772F"/>
    <w:rPr>
      <w:b/>
      <w:bCs/>
      <w:lang w:eastAsia="en-US"/>
    </w:rPr>
  </w:style>
  <w:style w:type="character" w:customStyle="1" w:styleId="st">
    <w:name w:val="st"/>
    <w:basedOn w:val="DefaultParagraphFont"/>
    <w:rsid w:val="00A54E12"/>
    <w:rPr>
      <w:rFonts w:cs="Times New Roman"/>
    </w:rPr>
  </w:style>
  <w:style w:type="character" w:customStyle="1" w:styleId="NoSpacingChar">
    <w:name w:val="No Spacing Char"/>
    <w:basedOn w:val="DefaultParagraphFont"/>
    <w:link w:val="NoSpacing"/>
    <w:uiPriority w:val="1"/>
    <w:rsid w:val="00BB55B1"/>
    <w:rPr>
      <w:rFonts w:ascii="Calibri" w:hAnsi="Calibri" w:cs="Calibri"/>
      <w:sz w:val="22"/>
      <w:szCs w:val="22"/>
      <w:lang w:eastAsia="en-US"/>
    </w:rPr>
  </w:style>
  <w:style w:type="paragraph" w:styleId="EndnoteText">
    <w:name w:val="endnote text"/>
    <w:basedOn w:val="Normal"/>
    <w:link w:val="EndnoteTextChar"/>
    <w:uiPriority w:val="99"/>
    <w:semiHidden/>
    <w:unhideWhenUsed/>
    <w:rsid w:val="00BB55B1"/>
    <w:pPr>
      <w:spacing w:line="240" w:lineRule="atLeast"/>
      <w:jc w:val="left"/>
    </w:pPr>
    <w:rPr>
      <w:rFonts w:ascii="Calibri" w:hAnsi="Calibri"/>
      <w:sz w:val="20"/>
      <w:szCs w:val="20"/>
    </w:rPr>
  </w:style>
  <w:style w:type="character" w:customStyle="1" w:styleId="EndnoteTextChar">
    <w:name w:val="Endnote Text Char"/>
    <w:basedOn w:val="DefaultParagraphFont"/>
    <w:link w:val="EndnoteText"/>
    <w:uiPriority w:val="99"/>
    <w:semiHidden/>
    <w:rsid w:val="00BB55B1"/>
    <w:rPr>
      <w:rFonts w:ascii="Calibri" w:hAnsi="Calibri"/>
      <w:lang w:eastAsia="en-US"/>
    </w:rPr>
  </w:style>
  <w:style w:type="paragraph" w:customStyle="1" w:styleId="Statuti">
    <w:name w:val="Statuti"/>
    <w:basedOn w:val="Normal"/>
    <w:rsid w:val="00FE1696"/>
    <w:pPr>
      <w:numPr>
        <w:ilvl w:val="3"/>
        <w:numId w:val="26"/>
      </w:numPr>
      <w:spacing w:line="360" w:lineRule="auto"/>
    </w:pPr>
    <w:rPr>
      <w:rFonts w:ascii="Arial Narrow" w:eastAsia="Times New Roman" w:hAnsi="Arial Narrow"/>
      <w:szCs w:val="20"/>
      <w:lang w:eastAsia="lv-LV"/>
    </w:rPr>
  </w:style>
  <w:style w:type="paragraph" w:customStyle="1" w:styleId="Virsraksti4">
    <w:name w:val="Virsraksti4"/>
    <w:basedOn w:val="Normal"/>
    <w:rsid w:val="00FE1696"/>
    <w:pPr>
      <w:numPr>
        <w:ilvl w:val="4"/>
        <w:numId w:val="26"/>
      </w:numPr>
      <w:spacing w:before="60" w:after="120"/>
      <w:jc w:val="left"/>
    </w:pPr>
    <w:rPr>
      <w:rFonts w:eastAsia="Times New Roman"/>
      <w:szCs w:val="20"/>
      <w:lang w:eastAsia="lv-LV"/>
    </w:rPr>
  </w:style>
  <w:style w:type="paragraph" w:customStyle="1" w:styleId="Virsraksti1">
    <w:name w:val="Virsraksti1"/>
    <w:basedOn w:val="Normal"/>
    <w:rsid w:val="00FE1696"/>
    <w:pPr>
      <w:numPr>
        <w:numId w:val="26"/>
      </w:numPr>
      <w:spacing w:before="120" w:after="120"/>
    </w:pPr>
    <w:rPr>
      <w:rFonts w:eastAsia="Times New Roman" w:cs="Arial Unicode MS"/>
      <w:b/>
      <w:sz w:val="32"/>
      <w:lang w:eastAsia="lv-LV" w:bidi="lo-LA"/>
    </w:rPr>
  </w:style>
  <w:style w:type="paragraph" w:customStyle="1" w:styleId="Virsraksti2">
    <w:name w:val="Virsraksti_2"/>
    <w:basedOn w:val="Normal"/>
    <w:rsid w:val="00FE1696"/>
    <w:pPr>
      <w:numPr>
        <w:ilvl w:val="1"/>
        <w:numId w:val="26"/>
      </w:numPr>
      <w:spacing w:before="120" w:after="120"/>
    </w:pPr>
    <w:rPr>
      <w:rFonts w:eastAsia="Times New Roman" w:cs="Arial Unicode MS"/>
      <w:b/>
      <w:sz w:val="28"/>
      <w:lang w:eastAsia="lv-LV" w:bidi="lo-LA"/>
    </w:rPr>
  </w:style>
  <w:style w:type="paragraph" w:customStyle="1" w:styleId="Virsraksti3">
    <w:name w:val="Virsraksti_3"/>
    <w:basedOn w:val="Normal"/>
    <w:rsid w:val="00FE1696"/>
    <w:pPr>
      <w:numPr>
        <w:ilvl w:val="2"/>
        <w:numId w:val="26"/>
      </w:numPr>
      <w:spacing w:before="120" w:after="120"/>
    </w:pPr>
    <w:rPr>
      <w:rFonts w:ascii="Times New Roman Bold" w:eastAsia="Times New Roman" w:hAnsi="Times New Roman Bold" w:cs="Arial Unicode MS"/>
      <w:b/>
      <w:lang w:eastAsia="lv-LV" w:bidi="lo-LA"/>
    </w:rPr>
  </w:style>
  <w:style w:type="character" w:customStyle="1" w:styleId="leftside">
    <w:name w:val="left_side"/>
    <w:basedOn w:val="DefaultParagraphFont"/>
    <w:rsid w:val="00FE1696"/>
  </w:style>
  <w:style w:type="character" w:customStyle="1" w:styleId="rightside">
    <w:name w:val="right_side"/>
    <w:basedOn w:val="DefaultParagraphFont"/>
    <w:rsid w:val="00FE1696"/>
  </w:style>
  <w:style w:type="character" w:customStyle="1" w:styleId="st1">
    <w:name w:val="st1"/>
    <w:basedOn w:val="DefaultParagraphFont"/>
    <w:rsid w:val="005B69A7"/>
  </w:style>
  <w:style w:type="table" w:styleId="TableGrid">
    <w:name w:val="Table Grid"/>
    <w:basedOn w:val="TableNormal"/>
    <w:uiPriority w:val="59"/>
    <w:rsid w:val="00500D9A"/>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
    <w:uiPriority w:val="99"/>
    <w:semiHidden/>
    <w:unhideWhenUsed/>
    <w:rsid w:val="00145241"/>
    <w:pPr>
      <w:spacing w:after="120"/>
    </w:pPr>
  </w:style>
  <w:style w:type="character" w:customStyle="1" w:styleId="BodyTextChar">
    <w:name w:val="Body Text Char"/>
    <w:basedOn w:val="DefaultParagraphFont"/>
    <w:link w:val="BodyText0"/>
    <w:uiPriority w:val="99"/>
    <w:semiHidden/>
    <w:rsid w:val="00145241"/>
    <w:rPr>
      <w:sz w:val="24"/>
      <w:szCs w:val="24"/>
      <w:lang w:eastAsia="en-US"/>
    </w:rPr>
  </w:style>
  <w:style w:type="paragraph" w:styleId="BodyText2">
    <w:name w:val="Body Text 2"/>
    <w:basedOn w:val="Normal"/>
    <w:link w:val="BodyText2Char"/>
    <w:uiPriority w:val="99"/>
    <w:semiHidden/>
    <w:unhideWhenUsed/>
    <w:rsid w:val="00211FC4"/>
    <w:pPr>
      <w:spacing w:after="120" w:line="480" w:lineRule="auto"/>
    </w:pPr>
  </w:style>
  <w:style w:type="character" w:customStyle="1" w:styleId="BodyText2Char">
    <w:name w:val="Body Text 2 Char"/>
    <w:basedOn w:val="DefaultParagraphFont"/>
    <w:link w:val="BodyText2"/>
    <w:uiPriority w:val="99"/>
    <w:semiHidden/>
    <w:rsid w:val="00211FC4"/>
    <w:rPr>
      <w:sz w:val="24"/>
      <w:szCs w:val="24"/>
      <w:lang w:eastAsia="en-US"/>
    </w:rPr>
  </w:style>
  <w:style w:type="paragraph" w:styleId="Title">
    <w:name w:val="Title"/>
    <w:basedOn w:val="Normal"/>
    <w:link w:val="TitleChar"/>
    <w:qFormat/>
    <w:rsid w:val="005B03AE"/>
    <w:pPr>
      <w:jc w:val="center"/>
    </w:pPr>
    <w:rPr>
      <w:rFonts w:eastAsia="Times New Roman"/>
      <w:b/>
      <w:caps/>
    </w:rPr>
  </w:style>
  <w:style w:type="character" w:customStyle="1" w:styleId="TitleChar">
    <w:name w:val="Title Char"/>
    <w:basedOn w:val="DefaultParagraphFont"/>
    <w:link w:val="Title"/>
    <w:rsid w:val="005B03AE"/>
    <w:rPr>
      <w:rFonts w:eastAsia="Times New Roman"/>
      <w:b/>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556">
      <w:bodyDiv w:val="1"/>
      <w:marLeft w:val="0"/>
      <w:marRight w:val="0"/>
      <w:marTop w:val="0"/>
      <w:marBottom w:val="0"/>
      <w:divBdr>
        <w:top w:val="none" w:sz="0" w:space="0" w:color="auto"/>
        <w:left w:val="none" w:sz="0" w:space="0" w:color="auto"/>
        <w:bottom w:val="none" w:sz="0" w:space="0" w:color="auto"/>
        <w:right w:val="none" w:sz="0" w:space="0" w:color="auto"/>
      </w:divBdr>
    </w:div>
    <w:div w:id="11491983">
      <w:bodyDiv w:val="1"/>
      <w:marLeft w:val="0"/>
      <w:marRight w:val="0"/>
      <w:marTop w:val="0"/>
      <w:marBottom w:val="0"/>
      <w:divBdr>
        <w:top w:val="none" w:sz="0" w:space="0" w:color="auto"/>
        <w:left w:val="none" w:sz="0" w:space="0" w:color="auto"/>
        <w:bottom w:val="none" w:sz="0" w:space="0" w:color="auto"/>
        <w:right w:val="none" w:sz="0" w:space="0" w:color="auto"/>
      </w:divBdr>
    </w:div>
    <w:div w:id="19208555">
      <w:bodyDiv w:val="1"/>
      <w:marLeft w:val="0"/>
      <w:marRight w:val="0"/>
      <w:marTop w:val="0"/>
      <w:marBottom w:val="0"/>
      <w:divBdr>
        <w:top w:val="none" w:sz="0" w:space="0" w:color="auto"/>
        <w:left w:val="none" w:sz="0" w:space="0" w:color="auto"/>
        <w:bottom w:val="none" w:sz="0" w:space="0" w:color="auto"/>
        <w:right w:val="none" w:sz="0" w:space="0" w:color="auto"/>
      </w:divBdr>
    </w:div>
    <w:div w:id="120923186">
      <w:bodyDiv w:val="1"/>
      <w:marLeft w:val="0"/>
      <w:marRight w:val="0"/>
      <w:marTop w:val="0"/>
      <w:marBottom w:val="0"/>
      <w:divBdr>
        <w:top w:val="none" w:sz="0" w:space="0" w:color="auto"/>
        <w:left w:val="none" w:sz="0" w:space="0" w:color="auto"/>
        <w:bottom w:val="none" w:sz="0" w:space="0" w:color="auto"/>
        <w:right w:val="none" w:sz="0" w:space="0" w:color="auto"/>
      </w:divBdr>
    </w:div>
    <w:div w:id="136537027">
      <w:bodyDiv w:val="1"/>
      <w:marLeft w:val="0"/>
      <w:marRight w:val="0"/>
      <w:marTop w:val="0"/>
      <w:marBottom w:val="0"/>
      <w:divBdr>
        <w:top w:val="none" w:sz="0" w:space="0" w:color="auto"/>
        <w:left w:val="none" w:sz="0" w:space="0" w:color="auto"/>
        <w:bottom w:val="none" w:sz="0" w:space="0" w:color="auto"/>
        <w:right w:val="none" w:sz="0" w:space="0" w:color="auto"/>
      </w:divBdr>
    </w:div>
    <w:div w:id="194583325">
      <w:bodyDiv w:val="1"/>
      <w:marLeft w:val="0"/>
      <w:marRight w:val="0"/>
      <w:marTop w:val="0"/>
      <w:marBottom w:val="0"/>
      <w:divBdr>
        <w:top w:val="none" w:sz="0" w:space="0" w:color="auto"/>
        <w:left w:val="none" w:sz="0" w:space="0" w:color="auto"/>
        <w:bottom w:val="none" w:sz="0" w:space="0" w:color="auto"/>
        <w:right w:val="none" w:sz="0" w:space="0" w:color="auto"/>
      </w:divBdr>
    </w:div>
    <w:div w:id="237716385">
      <w:bodyDiv w:val="1"/>
      <w:marLeft w:val="0"/>
      <w:marRight w:val="0"/>
      <w:marTop w:val="0"/>
      <w:marBottom w:val="0"/>
      <w:divBdr>
        <w:top w:val="none" w:sz="0" w:space="0" w:color="auto"/>
        <w:left w:val="none" w:sz="0" w:space="0" w:color="auto"/>
        <w:bottom w:val="none" w:sz="0" w:space="0" w:color="auto"/>
        <w:right w:val="none" w:sz="0" w:space="0" w:color="auto"/>
      </w:divBdr>
    </w:div>
    <w:div w:id="244922254">
      <w:bodyDiv w:val="1"/>
      <w:marLeft w:val="0"/>
      <w:marRight w:val="0"/>
      <w:marTop w:val="0"/>
      <w:marBottom w:val="0"/>
      <w:divBdr>
        <w:top w:val="none" w:sz="0" w:space="0" w:color="auto"/>
        <w:left w:val="none" w:sz="0" w:space="0" w:color="auto"/>
        <w:bottom w:val="none" w:sz="0" w:space="0" w:color="auto"/>
        <w:right w:val="none" w:sz="0" w:space="0" w:color="auto"/>
      </w:divBdr>
    </w:div>
    <w:div w:id="346910186">
      <w:bodyDiv w:val="1"/>
      <w:marLeft w:val="0"/>
      <w:marRight w:val="0"/>
      <w:marTop w:val="0"/>
      <w:marBottom w:val="0"/>
      <w:divBdr>
        <w:top w:val="none" w:sz="0" w:space="0" w:color="auto"/>
        <w:left w:val="none" w:sz="0" w:space="0" w:color="auto"/>
        <w:bottom w:val="none" w:sz="0" w:space="0" w:color="auto"/>
        <w:right w:val="none" w:sz="0" w:space="0" w:color="auto"/>
      </w:divBdr>
    </w:div>
    <w:div w:id="374349102">
      <w:bodyDiv w:val="1"/>
      <w:marLeft w:val="0"/>
      <w:marRight w:val="0"/>
      <w:marTop w:val="0"/>
      <w:marBottom w:val="0"/>
      <w:divBdr>
        <w:top w:val="none" w:sz="0" w:space="0" w:color="auto"/>
        <w:left w:val="none" w:sz="0" w:space="0" w:color="auto"/>
        <w:bottom w:val="none" w:sz="0" w:space="0" w:color="auto"/>
        <w:right w:val="none" w:sz="0" w:space="0" w:color="auto"/>
      </w:divBdr>
    </w:div>
    <w:div w:id="394745828">
      <w:bodyDiv w:val="1"/>
      <w:marLeft w:val="0"/>
      <w:marRight w:val="0"/>
      <w:marTop w:val="0"/>
      <w:marBottom w:val="0"/>
      <w:divBdr>
        <w:top w:val="none" w:sz="0" w:space="0" w:color="auto"/>
        <w:left w:val="none" w:sz="0" w:space="0" w:color="auto"/>
        <w:bottom w:val="none" w:sz="0" w:space="0" w:color="auto"/>
        <w:right w:val="none" w:sz="0" w:space="0" w:color="auto"/>
      </w:divBdr>
    </w:div>
    <w:div w:id="440950887">
      <w:bodyDiv w:val="1"/>
      <w:marLeft w:val="0"/>
      <w:marRight w:val="0"/>
      <w:marTop w:val="0"/>
      <w:marBottom w:val="0"/>
      <w:divBdr>
        <w:top w:val="none" w:sz="0" w:space="0" w:color="auto"/>
        <w:left w:val="none" w:sz="0" w:space="0" w:color="auto"/>
        <w:bottom w:val="none" w:sz="0" w:space="0" w:color="auto"/>
        <w:right w:val="none" w:sz="0" w:space="0" w:color="auto"/>
      </w:divBdr>
    </w:div>
    <w:div w:id="495346954">
      <w:bodyDiv w:val="1"/>
      <w:marLeft w:val="0"/>
      <w:marRight w:val="0"/>
      <w:marTop w:val="0"/>
      <w:marBottom w:val="0"/>
      <w:divBdr>
        <w:top w:val="none" w:sz="0" w:space="0" w:color="auto"/>
        <w:left w:val="none" w:sz="0" w:space="0" w:color="auto"/>
        <w:bottom w:val="none" w:sz="0" w:space="0" w:color="auto"/>
        <w:right w:val="none" w:sz="0" w:space="0" w:color="auto"/>
      </w:divBdr>
    </w:div>
    <w:div w:id="645865199">
      <w:bodyDiv w:val="1"/>
      <w:marLeft w:val="0"/>
      <w:marRight w:val="0"/>
      <w:marTop w:val="0"/>
      <w:marBottom w:val="0"/>
      <w:divBdr>
        <w:top w:val="none" w:sz="0" w:space="0" w:color="auto"/>
        <w:left w:val="none" w:sz="0" w:space="0" w:color="auto"/>
        <w:bottom w:val="none" w:sz="0" w:space="0" w:color="auto"/>
        <w:right w:val="none" w:sz="0" w:space="0" w:color="auto"/>
      </w:divBdr>
    </w:div>
    <w:div w:id="665129410">
      <w:bodyDiv w:val="1"/>
      <w:marLeft w:val="0"/>
      <w:marRight w:val="0"/>
      <w:marTop w:val="0"/>
      <w:marBottom w:val="0"/>
      <w:divBdr>
        <w:top w:val="none" w:sz="0" w:space="0" w:color="auto"/>
        <w:left w:val="none" w:sz="0" w:space="0" w:color="auto"/>
        <w:bottom w:val="none" w:sz="0" w:space="0" w:color="auto"/>
        <w:right w:val="none" w:sz="0" w:space="0" w:color="auto"/>
      </w:divBdr>
    </w:div>
    <w:div w:id="726995336">
      <w:bodyDiv w:val="1"/>
      <w:marLeft w:val="0"/>
      <w:marRight w:val="0"/>
      <w:marTop w:val="0"/>
      <w:marBottom w:val="0"/>
      <w:divBdr>
        <w:top w:val="none" w:sz="0" w:space="0" w:color="auto"/>
        <w:left w:val="none" w:sz="0" w:space="0" w:color="auto"/>
        <w:bottom w:val="none" w:sz="0" w:space="0" w:color="auto"/>
        <w:right w:val="none" w:sz="0" w:space="0" w:color="auto"/>
      </w:divBdr>
    </w:div>
    <w:div w:id="737551963">
      <w:bodyDiv w:val="1"/>
      <w:marLeft w:val="0"/>
      <w:marRight w:val="0"/>
      <w:marTop w:val="0"/>
      <w:marBottom w:val="0"/>
      <w:divBdr>
        <w:top w:val="none" w:sz="0" w:space="0" w:color="auto"/>
        <w:left w:val="none" w:sz="0" w:space="0" w:color="auto"/>
        <w:bottom w:val="none" w:sz="0" w:space="0" w:color="auto"/>
        <w:right w:val="none" w:sz="0" w:space="0" w:color="auto"/>
      </w:divBdr>
    </w:div>
    <w:div w:id="740754057">
      <w:bodyDiv w:val="1"/>
      <w:marLeft w:val="0"/>
      <w:marRight w:val="0"/>
      <w:marTop w:val="0"/>
      <w:marBottom w:val="0"/>
      <w:divBdr>
        <w:top w:val="none" w:sz="0" w:space="0" w:color="auto"/>
        <w:left w:val="none" w:sz="0" w:space="0" w:color="auto"/>
        <w:bottom w:val="none" w:sz="0" w:space="0" w:color="auto"/>
        <w:right w:val="none" w:sz="0" w:space="0" w:color="auto"/>
      </w:divBdr>
    </w:div>
    <w:div w:id="809514151">
      <w:bodyDiv w:val="1"/>
      <w:marLeft w:val="0"/>
      <w:marRight w:val="0"/>
      <w:marTop w:val="0"/>
      <w:marBottom w:val="0"/>
      <w:divBdr>
        <w:top w:val="none" w:sz="0" w:space="0" w:color="auto"/>
        <w:left w:val="none" w:sz="0" w:space="0" w:color="auto"/>
        <w:bottom w:val="none" w:sz="0" w:space="0" w:color="auto"/>
        <w:right w:val="none" w:sz="0" w:space="0" w:color="auto"/>
      </w:divBdr>
    </w:div>
    <w:div w:id="811600583">
      <w:bodyDiv w:val="1"/>
      <w:marLeft w:val="0"/>
      <w:marRight w:val="0"/>
      <w:marTop w:val="0"/>
      <w:marBottom w:val="0"/>
      <w:divBdr>
        <w:top w:val="none" w:sz="0" w:space="0" w:color="auto"/>
        <w:left w:val="none" w:sz="0" w:space="0" w:color="auto"/>
        <w:bottom w:val="none" w:sz="0" w:space="0" w:color="auto"/>
        <w:right w:val="none" w:sz="0" w:space="0" w:color="auto"/>
      </w:divBdr>
    </w:div>
    <w:div w:id="936450557">
      <w:bodyDiv w:val="1"/>
      <w:marLeft w:val="0"/>
      <w:marRight w:val="0"/>
      <w:marTop w:val="0"/>
      <w:marBottom w:val="0"/>
      <w:divBdr>
        <w:top w:val="none" w:sz="0" w:space="0" w:color="auto"/>
        <w:left w:val="none" w:sz="0" w:space="0" w:color="auto"/>
        <w:bottom w:val="none" w:sz="0" w:space="0" w:color="auto"/>
        <w:right w:val="none" w:sz="0" w:space="0" w:color="auto"/>
      </w:divBdr>
    </w:div>
    <w:div w:id="1099133031">
      <w:bodyDiv w:val="1"/>
      <w:marLeft w:val="0"/>
      <w:marRight w:val="0"/>
      <w:marTop w:val="0"/>
      <w:marBottom w:val="0"/>
      <w:divBdr>
        <w:top w:val="none" w:sz="0" w:space="0" w:color="auto"/>
        <w:left w:val="none" w:sz="0" w:space="0" w:color="auto"/>
        <w:bottom w:val="none" w:sz="0" w:space="0" w:color="auto"/>
        <w:right w:val="none" w:sz="0" w:space="0" w:color="auto"/>
      </w:divBdr>
    </w:div>
    <w:div w:id="1135953673">
      <w:bodyDiv w:val="1"/>
      <w:marLeft w:val="0"/>
      <w:marRight w:val="0"/>
      <w:marTop w:val="0"/>
      <w:marBottom w:val="0"/>
      <w:divBdr>
        <w:top w:val="none" w:sz="0" w:space="0" w:color="auto"/>
        <w:left w:val="none" w:sz="0" w:space="0" w:color="auto"/>
        <w:bottom w:val="none" w:sz="0" w:space="0" w:color="auto"/>
        <w:right w:val="none" w:sz="0" w:space="0" w:color="auto"/>
      </w:divBdr>
    </w:div>
    <w:div w:id="1203400507">
      <w:bodyDiv w:val="1"/>
      <w:marLeft w:val="0"/>
      <w:marRight w:val="0"/>
      <w:marTop w:val="0"/>
      <w:marBottom w:val="0"/>
      <w:divBdr>
        <w:top w:val="none" w:sz="0" w:space="0" w:color="auto"/>
        <w:left w:val="none" w:sz="0" w:space="0" w:color="auto"/>
        <w:bottom w:val="none" w:sz="0" w:space="0" w:color="auto"/>
        <w:right w:val="none" w:sz="0" w:space="0" w:color="auto"/>
      </w:divBdr>
    </w:div>
    <w:div w:id="1218322134">
      <w:bodyDiv w:val="1"/>
      <w:marLeft w:val="0"/>
      <w:marRight w:val="0"/>
      <w:marTop w:val="0"/>
      <w:marBottom w:val="0"/>
      <w:divBdr>
        <w:top w:val="none" w:sz="0" w:space="0" w:color="auto"/>
        <w:left w:val="none" w:sz="0" w:space="0" w:color="auto"/>
        <w:bottom w:val="none" w:sz="0" w:space="0" w:color="auto"/>
        <w:right w:val="none" w:sz="0" w:space="0" w:color="auto"/>
      </w:divBdr>
    </w:div>
    <w:div w:id="1226258107">
      <w:bodyDiv w:val="1"/>
      <w:marLeft w:val="0"/>
      <w:marRight w:val="0"/>
      <w:marTop w:val="0"/>
      <w:marBottom w:val="0"/>
      <w:divBdr>
        <w:top w:val="none" w:sz="0" w:space="0" w:color="auto"/>
        <w:left w:val="none" w:sz="0" w:space="0" w:color="auto"/>
        <w:bottom w:val="none" w:sz="0" w:space="0" w:color="auto"/>
        <w:right w:val="none" w:sz="0" w:space="0" w:color="auto"/>
      </w:divBdr>
    </w:div>
    <w:div w:id="1262296307">
      <w:bodyDiv w:val="1"/>
      <w:marLeft w:val="0"/>
      <w:marRight w:val="0"/>
      <w:marTop w:val="0"/>
      <w:marBottom w:val="0"/>
      <w:divBdr>
        <w:top w:val="none" w:sz="0" w:space="0" w:color="auto"/>
        <w:left w:val="none" w:sz="0" w:space="0" w:color="auto"/>
        <w:bottom w:val="none" w:sz="0" w:space="0" w:color="auto"/>
        <w:right w:val="none" w:sz="0" w:space="0" w:color="auto"/>
      </w:divBdr>
    </w:div>
    <w:div w:id="1274941370">
      <w:bodyDiv w:val="1"/>
      <w:marLeft w:val="0"/>
      <w:marRight w:val="0"/>
      <w:marTop w:val="0"/>
      <w:marBottom w:val="0"/>
      <w:divBdr>
        <w:top w:val="none" w:sz="0" w:space="0" w:color="auto"/>
        <w:left w:val="none" w:sz="0" w:space="0" w:color="auto"/>
        <w:bottom w:val="none" w:sz="0" w:space="0" w:color="auto"/>
        <w:right w:val="none" w:sz="0" w:space="0" w:color="auto"/>
      </w:divBdr>
    </w:div>
    <w:div w:id="1301348384">
      <w:bodyDiv w:val="1"/>
      <w:marLeft w:val="0"/>
      <w:marRight w:val="0"/>
      <w:marTop w:val="0"/>
      <w:marBottom w:val="0"/>
      <w:divBdr>
        <w:top w:val="none" w:sz="0" w:space="0" w:color="auto"/>
        <w:left w:val="none" w:sz="0" w:space="0" w:color="auto"/>
        <w:bottom w:val="none" w:sz="0" w:space="0" w:color="auto"/>
        <w:right w:val="none" w:sz="0" w:space="0" w:color="auto"/>
      </w:divBdr>
    </w:div>
    <w:div w:id="1369335935">
      <w:bodyDiv w:val="1"/>
      <w:marLeft w:val="0"/>
      <w:marRight w:val="0"/>
      <w:marTop w:val="0"/>
      <w:marBottom w:val="0"/>
      <w:divBdr>
        <w:top w:val="none" w:sz="0" w:space="0" w:color="auto"/>
        <w:left w:val="none" w:sz="0" w:space="0" w:color="auto"/>
        <w:bottom w:val="none" w:sz="0" w:space="0" w:color="auto"/>
        <w:right w:val="none" w:sz="0" w:space="0" w:color="auto"/>
      </w:divBdr>
    </w:div>
    <w:div w:id="1511336640">
      <w:bodyDiv w:val="1"/>
      <w:marLeft w:val="0"/>
      <w:marRight w:val="0"/>
      <w:marTop w:val="0"/>
      <w:marBottom w:val="0"/>
      <w:divBdr>
        <w:top w:val="none" w:sz="0" w:space="0" w:color="auto"/>
        <w:left w:val="none" w:sz="0" w:space="0" w:color="auto"/>
        <w:bottom w:val="none" w:sz="0" w:space="0" w:color="auto"/>
        <w:right w:val="none" w:sz="0" w:space="0" w:color="auto"/>
      </w:divBdr>
    </w:div>
    <w:div w:id="1513566252">
      <w:bodyDiv w:val="1"/>
      <w:marLeft w:val="0"/>
      <w:marRight w:val="0"/>
      <w:marTop w:val="0"/>
      <w:marBottom w:val="0"/>
      <w:divBdr>
        <w:top w:val="none" w:sz="0" w:space="0" w:color="auto"/>
        <w:left w:val="none" w:sz="0" w:space="0" w:color="auto"/>
        <w:bottom w:val="none" w:sz="0" w:space="0" w:color="auto"/>
        <w:right w:val="none" w:sz="0" w:space="0" w:color="auto"/>
      </w:divBdr>
    </w:div>
    <w:div w:id="1541240405">
      <w:bodyDiv w:val="1"/>
      <w:marLeft w:val="0"/>
      <w:marRight w:val="0"/>
      <w:marTop w:val="0"/>
      <w:marBottom w:val="0"/>
      <w:divBdr>
        <w:top w:val="none" w:sz="0" w:space="0" w:color="auto"/>
        <w:left w:val="none" w:sz="0" w:space="0" w:color="auto"/>
        <w:bottom w:val="none" w:sz="0" w:space="0" w:color="auto"/>
        <w:right w:val="none" w:sz="0" w:space="0" w:color="auto"/>
      </w:divBdr>
    </w:div>
    <w:div w:id="1551455413">
      <w:bodyDiv w:val="1"/>
      <w:marLeft w:val="0"/>
      <w:marRight w:val="0"/>
      <w:marTop w:val="0"/>
      <w:marBottom w:val="0"/>
      <w:divBdr>
        <w:top w:val="none" w:sz="0" w:space="0" w:color="auto"/>
        <w:left w:val="none" w:sz="0" w:space="0" w:color="auto"/>
        <w:bottom w:val="none" w:sz="0" w:space="0" w:color="auto"/>
        <w:right w:val="none" w:sz="0" w:space="0" w:color="auto"/>
      </w:divBdr>
    </w:div>
    <w:div w:id="1610887611">
      <w:bodyDiv w:val="1"/>
      <w:marLeft w:val="0"/>
      <w:marRight w:val="0"/>
      <w:marTop w:val="0"/>
      <w:marBottom w:val="0"/>
      <w:divBdr>
        <w:top w:val="none" w:sz="0" w:space="0" w:color="auto"/>
        <w:left w:val="none" w:sz="0" w:space="0" w:color="auto"/>
        <w:bottom w:val="none" w:sz="0" w:space="0" w:color="auto"/>
        <w:right w:val="none" w:sz="0" w:space="0" w:color="auto"/>
      </w:divBdr>
    </w:div>
    <w:div w:id="1617517354">
      <w:bodyDiv w:val="1"/>
      <w:marLeft w:val="0"/>
      <w:marRight w:val="0"/>
      <w:marTop w:val="0"/>
      <w:marBottom w:val="0"/>
      <w:divBdr>
        <w:top w:val="none" w:sz="0" w:space="0" w:color="auto"/>
        <w:left w:val="none" w:sz="0" w:space="0" w:color="auto"/>
        <w:bottom w:val="none" w:sz="0" w:space="0" w:color="auto"/>
        <w:right w:val="none" w:sz="0" w:space="0" w:color="auto"/>
      </w:divBdr>
    </w:div>
    <w:div w:id="1627275990">
      <w:bodyDiv w:val="1"/>
      <w:marLeft w:val="0"/>
      <w:marRight w:val="0"/>
      <w:marTop w:val="0"/>
      <w:marBottom w:val="0"/>
      <w:divBdr>
        <w:top w:val="none" w:sz="0" w:space="0" w:color="auto"/>
        <w:left w:val="none" w:sz="0" w:space="0" w:color="auto"/>
        <w:bottom w:val="none" w:sz="0" w:space="0" w:color="auto"/>
        <w:right w:val="none" w:sz="0" w:space="0" w:color="auto"/>
      </w:divBdr>
    </w:div>
    <w:div w:id="1710297145">
      <w:bodyDiv w:val="1"/>
      <w:marLeft w:val="0"/>
      <w:marRight w:val="0"/>
      <w:marTop w:val="0"/>
      <w:marBottom w:val="0"/>
      <w:divBdr>
        <w:top w:val="none" w:sz="0" w:space="0" w:color="auto"/>
        <w:left w:val="none" w:sz="0" w:space="0" w:color="auto"/>
        <w:bottom w:val="none" w:sz="0" w:space="0" w:color="auto"/>
        <w:right w:val="none" w:sz="0" w:space="0" w:color="auto"/>
      </w:divBdr>
    </w:div>
    <w:div w:id="1725180369">
      <w:bodyDiv w:val="1"/>
      <w:marLeft w:val="0"/>
      <w:marRight w:val="0"/>
      <w:marTop w:val="0"/>
      <w:marBottom w:val="0"/>
      <w:divBdr>
        <w:top w:val="none" w:sz="0" w:space="0" w:color="auto"/>
        <w:left w:val="none" w:sz="0" w:space="0" w:color="auto"/>
        <w:bottom w:val="none" w:sz="0" w:space="0" w:color="auto"/>
        <w:right w:val="none" w:sz="0" w:space="0" w:color="auto"/>
      </w:divBdr>
    </w:div>
    <w:div w:id="1730494923">
      <w:bodyDiv w:val="1"/>
      <w:marLeft w:val="0"/>
      <w:marRight w:val="0"/>
      <w:marTop w:val="0"/>
      <w:marBottom w:val="0"/>
      <w:divBdr>
        <w:top w:val="none" w:sz="0" w:space="0" w:color="auto"/>
        <w:left w:val="none" w:sz="0" w:space="0" w:color="auto"/>
        <w:bottom w:val="none" w:sz="0" w:space="0" w:color="auto"/>
        <w:right w:val="none" w:sz="0" w:space="0" w:color="auto"/>
      </w:divBdr>
    </w:div>
    <w:div w:id="1898126217">
      <w:bodyDiv w:val="1"/>
      <w:marLeft w:val="0"/>
      <w:marRight w:val="0"/>
      <w:marTop w:val="0"/>
      <w:marBottom w:val="0"/>
      <w:divBdr>
        <w:top w:val="none" w:sz="0" w:space="0" w:color="auto"/>
        <w:left w:val="none" w:sz="0" w:space="0" w:color="auto"/>
        <w:bottom w:val="none" w:sz="0" w:space="0" w:color="auto"/>
        <w:right w:val="none" w:sz="0" w:space="0" w:color="auto"/>
      </w:divBdr>
    </w:div>
    <w:div w:id="1935937090">
      <w:bodyDiv w:val="1"/>
      <w:marLeft w:val="0"/>
      <w:marRight w:val="0"/>
      <w:marTop w:val="0"/>
      <w:marBottom w:val="0"/>
      <w:divBdr>
        <w:top w:val="none" w:sz="0" w:space="0" w:color="auto"/>
        <w:left w:val="none" w:sz="0" w:space="0" w:color="auto"/>
        <w:bottom w:val="none" w:sz="0" w:space="0" w:color="auto"/>
        <w:right w:val="none" w:sz="0" w:space="0" w:color="auto"/>
      </w:divBdr>
    </w:div>
    <w:div w:id="2102213744">
      <w:bodyDiv w:val="1"/>
      <w:marLeft w:val="0"/>
      <w:marRight w:val="0"/>
      <w:marTop w:val="0"/>
      <w:marBottom w:val="0"/>
      <w:divBdr>
        <w:top w:val="none" w:sz="0" w:space="0" w:color="auto"/>
        <w:left w:val="none" w:sz="0" w:space="0" w:color="auto"/>
        <w:bottom w:val="none" w:sz="0" w:space="0" w:color="auto"/>
        <w:right w:val="none" w:sz="0" w:space="0" w:color="auto"/>
      </w:divBdr>
    </w:div>
    <w:div w:id="21154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6:376:0036:0068:LV:PDF" TargetMode="External"/><Relationship Id="rId18" Type="http://schemas.openxmlformats.org/officeDocument/2006/relationships/hyperlink" Target="http://www.nva.gov.lv/index.php?cid=3&amp;mid=3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tvija.lv/" TargetMode="External"/><Relationship Id="rId17" Type="http://schemas.openxmlformats.org/officeDocument/2006/relationships/hyperlink" Target="http://www.nva.gov.lv/index.php?cid=3&amp;mid=311" TargetMode="External"/><Relationship Id="rId2" Type="http://schemas.openxmlformats.org/officeDocument/2006/relationships/numbering" Target="numbering.xml"/><Relationship Id="rId16" Type="http://schemas.openxmlformats.org/officeDocument/2006/relationships/hyperlink" Target="http://www.nva.gov.lv/index.php?cid=2&amp;mid=2&amp;txt=2630&amp;from=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hipo.lv/lv/attistibas_programmas/starta_programma/finansialais_atbalsts" TargetMode="External"/><Relationship Id="rId10" Type="http://schemas.openxmlformats.org/officeDocument/2006/relationships/footer" Target="footer2.xml"/><Relationship Id="rId19" Type="http://schemas.openxmlformats.org/officeDocument/2006/relationships/hyperlink" Target="http://www.likumi.lv/doc.php?id=24265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atvija.lv"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823529411764705E-2"/>
          <c:y val="3.1420765027323917E-2"/>
          <c:w val="0.90890713209500285"/>
          <c:h val="0.87623170075119861"/>
        </c:manualLayout>
      </c:layout>
      <c:lineChart>
        <c:grouping val="standard"/>
        <c:varyColors val="0"/>
        <c:ser>
          <c:idx val="1"/>
          <c:order val="0"/>
          <c:tx>
            <c:strRef>
              <c:f>Sheet1!$A$2</c:f>
              <c:strCache>
                <c:ptCount val="1"/>
                <c:pt idx="0">
                  <c:v>Fakts</c:v>
                </c:pt>
              </c:strCache>
            </c:strRef>
          </c:tx>
          <c:spPr>
            <a:ln w="24019">
              <a:solidFill>
                <a:srgbClr val="800000"/>
              </a:solidFill>
              <a:prstDash val="solid"/>
            </a:ln>
          </c:spPr>
          <c:marker>
            <c:symbol val="none"/>
          </c:marker>
          <c:dLbls>
            <c:delete val="1"/>
          </c:dLbls>
          <c:cat>
            <c:numRef>
              <c:f>Sheet1!$B$1:$M$1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Sheet1!$B$2:$M$2</c:f>
              <c:numCache>
                <c:formatCode>0.0</c:formatCode>
                <c:ptCount val="12"/>
                <c:pt idx="0">
                  <c:v>100</c:v>
                </c:pt>
                <c:pt idx="1">
                  <c:v>111.15426274264044</c:v>
                </c:pt>
                <c:pt idx="2">
                  <c:v>121.82555823228004</c:v>
                </c:pt>
                <c:pt idx="3">
                  <c:v>117.83522643204925</c:v>
                </c:pt>
                <c:pt idx="4">
                  <c:v>96.943968543503203</c:v>
                </c:pt>
                <c:pt idx="5">
                  <c:v>96</c:v>
                </c:pt>
                <c:pt idx="6">
                  <c:v>101.2583060716442</c:v>
                </c:pt>
                <c:pt idx="7">
                  <c:v>106.906792611035</c:v>
                </c:pt>
              </c:numCache>
            </c:numRef>
          </c:val>
          <c:smooth val="0"/>
        </c:ser>
        <c:ser>
          <c:idx val="2"/>
          <c:order val="1"/>
          <c:tx>
            <c:strRef>
              <c:f>Sheet1!$A$3</c:f>
              <c:strCache>
                <c:ptCount val="1"/>
                <c:pt idx="0">
                  <c:v>Straujākas attīstības scenārijs</c:v>
                </c:pt>
              </c:strCache>
            </c:strRef>
          </c:tx>
          <c:spPr>
            <a:ln w="24019" cmpd="sng">
              <a:solidFill>
                <a:srgbClr val="800000"/>
              </a:solidFill>
              <a:prstDash val="dash"/>
            </a:ln>
          </c:spPr>
          <c:marker>
            <c:symbol val="none"/>
          </c:marker>
          <c:dLbls>
            <c:delete val="1"/>
          </c:dLbls>
          <c:cat>
            <c:numRef>
              <c:f>Sheet1!$B$1:$M$1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Sheet1!$B$3:$M$3</c:f>
              <c:numCache>
                <c:formatCode>General</c:formatCode>
                <c:ptCount val="12"/>
                <c:pt idx="7" formatCode="0.0">
                  <c:v>106.906792611035</c:v>
                </c:pt>
                <c:pt idx="8" formatCode="0.0">
                  <c:v>111.18306431547634</c:v>
                </c:pt>
                <c:pt idx="9" formatCode="0.0">
                  <c:v>115.6303868880954</c:v>
                </c:pt>
                <c:pt idx="10" formatCode="0.0">
                  <c:v>120.25560236361925</c:v>
                </c:pt>
                <c:pt idx="11" formatCode="0.0">
                  <c:v>125.06582645816405</c:v>
                </c:pt>
              </c:numCache>
            </c:numRef>
          </c:val>
          <c:smooth val="1"/>
        </c:ser>
        <c:ser>
          <c:idx val="3"/>
          <c:order val="2"/>
          <c:tx>
            <c:strRef>
              <c:f>Sheet1!$A$4</c:f>
              <c:strCache>
                <c:ptCount val="1"/>
                <c:pt idx="0">
                  <c:v>Mērenas attīstības scenārijs</c:v>
                </c:pt>
              </c:strCache>
            </c:strRef>
          </c:tx>
          <c:spPr>
            <a:ln w="24019">
              <a:solidFill>
                <a:srgbClr val="800000"/>
              </a:solidFill>
              <a:prstDash val="sysDash"/>
            </a:ln>
          </c:spPr>
          <c:marker>
            <c:symbol val="none"/>
          </c:marker>
          <c:dLbls>
            <c:delete val="1"/>
          </c:dLbls>
          <c:cat>
            <c:numRef>
              <c:f>Sheet1!$B$1:$M$1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Sheet1!$B$4:$M$4</c:f>
              <c:numCache>
                <c:formatCode>General</c:formatCode>
                <c:ptCount val="12"/>
                <c:pt idx="7" formatCode="0.0">
                  <c:v>106.906792611035</c:v>
                </c:pt>
                <c:pt idx="8" formatCode="0.0">
                  <c:v>110.32780997458811</c:v>
                </c:pt>
                <c:pt idx="9" formatCode="0.0">
                  <c:v>113.85829989377488</c:v>
                </c:pt>
                <c:pt idx="10" formatCode="0.0">
                  <c:v>117.50176549037582</c:v>
                </c:pt>
                <c:pt idx="11" formatCode="0.0">
                  <c:v>121.26182198606783</c:v>
                </c:pt>
              </c:numCache>
            </c:numRef>
          </c:val>
          <c:smooth val="1"/>
        </c:ser>
        <c:dLbls>
          <c:showLegendKey val="0"/>
          <c:showVal val="1"/>
          <c:showCatName val="0"/>
          <c:showSerName val="0"/>
          <c:showPercent val="0"/>
          <c:showBubbleSize val="0"/>
        </c:dLbls>
        <c:marker val="1"/>
        <c:smooth val="0"/>
        <c:axId val="66641280"/>
        <c:axId val="66651264"/>
      </c:lineChart>
      <c:catAx>
        <c:axId val="66641280"/>
        <c:scaling>
          <c:orientation val="minMax"/>
        </c:scaling>
        <c:delete val="0"/>
        <c:axPos val="b"/>
        <c:numFmt formatCode="General" sourceLinked="1"/>
        <c:majorTickMark val="out"/>
        <c:minorTickMark val="none"/>
        <c:tickLblPos val="nextTo"/>
        <c:spPr>
          <a:ln w="3048">
            <a:solidFill>
              <a:srgbClr val="000000"/>
            </a:solidFill>
            <a:prstDash val="solid"/>
          </a:ln>
        </c:spPr>
        <c:txPr>
          <a:bodyPr rot="0" vert="horz"/>
          <a:lstStyle/>
          <a:p>
            <a:pPr>
              <a:defRPr sz="900"/>
            </a:pPr>
            <a:endParaRPr lang="lv-LV"/>
          </a:p>
        </c:txPr>
        <c:crossAx val="66651264"/>
        <c:crosses val="autoZero"/>
        <c:auto val="0"/>
        <c:lblAlgn val="ctr"/>
        <c:lblOffset val="100"/>
        <c:tickLblSkip val="1"/>
        <c:tickMarkSkip val="1"/>
        <c:noMultiLvlLbl val="0"/>
      </c:catAx>
      <c:valAx>
        <c:axId val="66651264"/>
        <c:scaling>
          <c:orientation val="minMax"/>
          <c:max val="125"/>
          <c:min val="95"/>
        </c:scaling>
        <c:delete val="0"/>
        <c:axPos val="l"/>
        <c:numFmt formatCode="0" sourceLinked="0"/>
        <c:majorTickMark val="out"/>
        <c:minorTickMark val="none"/>
        <c:tickLblPos val="nextTo"/>
        <c:spPr>
          <a:ln w="3048">
            <a:solidFill>
              <a:srgbClr val="000000"/>
            </a:solidFill>
            <a:prstDash val="solid"/>
          </a:ln>
        </c:spPr>
        <c:txPr>
          <a:bodyPr rot="0" vert="horz"/>
          <a:lstStyle/>
          <a:p>
            <a:pPr>
              <a:defRPr sz="900"/>
            </a:pPr>
            <a:endParaRPr lang="lv-LV"/>
          </a:p>
        </c:txPr>
        <c:crossAx val="66641280"/>
        <c:crosses val="autoZero"/>
        <c:crossBetween val="midCat"/>
        <c:majorUnit val="5"/>
      </c:valAx>
      <c:spPr>
        <a:solidFill>
          <a:schemeClr val="bg1"/>
        </a:solidFill>
        <a:ln w="24397">
          <a:noFill/>
        </a:ln>
      </c:spPr>
    </c:plotArea>
    <c:plotVisOnly val="1"/>
    <c:dispBlanksAs val="gap"/>
    <c:showDLblsOverMax val="0"/>
  </c:chart>
  <c:spPr>
    <a:noFill/>
    <a:ln>
      <a:noFill/>
    </a:ln>
  </c:spPr>
  <c:txPr>
    <a:bodyPr/>
    <a:lstStyle/>
    <a:p>
      <a:pPr>
        <a:defRPr sz="1135" b="0" i="0" u="none" strike="noStrike" baseline="0">
          <a:solidFill>
            <a:srgbClr val="000000"/>
          </a:solidFill>
          <a:latin typeface="Times New Roman" pitchFamily="18" charset="0"/>
          <a:ea typeface="Arial"/>
          <a:cs typeface="Times New Roman" pitchFamily="18" charset="0"/>
        </a:defRPr>
      </a:pPr>
      <a:endParaRPr lang="lv-LV"/>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0.329</cdr:x>
      <cdr:y>0.5125</cdr:y>
    </cdr:from>
    <cdr:to>
      <cdr:x>0.33375</cdr:x>
      <cdr:y>0.60875</cdr:y>
    </cdr:to>
    <cdr:sp macro="" textlink="">
      <cdr:nvSpPr>
        <cdr:cNvPr id="1028" name="Text Box 4"/>
        <cdr:cNvSpPr txBox="1">
          <a:spLocks xmlns:a="http://schemas.openxmlformats.org/drawingml/2006/main" noChangeArrowheads="1"/>
        </cdr:cNvSpPr>
      </cdr:nvSpPr>
      <cdr:spPr bwMode="auto">
        <a:xfrm xmlns:a="http://schemas.openxmlformats.org/drawingml/2006/main">
          <a:off x="1717700" y="1147405"/>
          <a:ext cx="28904" cy="2097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lv-LV"/>
        </a:p>
      </cdr:txBody>
    </cdr:sp>
  </cdr:relSizeAnchor>
  <cdr:relSizeAnchor xmlns:cdr="http://schemas.openxmlformats.org/drawingml/2006/chartDrawing">
    <cdr:from>
      <cdr:x>0.329</cdr:x>
      <cdr:y>0.5125</cdr:y>
    </cdr:from>
    <cdr:to>
      <cdr:x>0.33375</cdr:x>
      <cdr:y>0.60875</cdr:y>
    </cdr:to>
    <cdr:sp macro="" textlink="">
      <cdr:nvSpPr>
        <cdr:cNvPr id="4" name="Text Box 4"/>
        <cdr:cNvSpPr txBox="1">
          <a:spLocks xmlns:a="http://schemas.openxmlformats.org/drawingml/2006/main" noChangeArrowheads="1"/>
        </cdr:cNvSpPr>
      </cdr:nvSpPr>
      <cdr:spPr bwMode="auto">
        <a:xfrm xmlns:a="http://schemas.openxmlformats.org/drawingml/2006/main">
          <a:off x="1717700" y="1147405"/>
          <a:ext cx="28904" cy="2097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lv-LV"/>
        </a:p>
      </cdr:txBody>
    </cdr:sp>
  </cdr:relSizeAnchor>
  <cdr:relSizeAnchor xmlns:cdr="http://schemas.openxmlformats.org/drawingml/2006/chartDrawing">
    <cdr:from>
      <cdr:x>0.53377</cdr:x>
      <cdr:y>0</cdr:y>
    </cdr:from>
    <cdr:to>
      <cdr:x>0.79775</cdr:x>
      <cdr:y>0.28371</cdr:y>
    </cdr:to>
    <cdr:sp macro="" textlink="">
      <cdr:nvSpPr>
        <cdr:cNvPr id="6" name="TextBox 8"/>
        <cdr:cNvSpPr txBox="1"/>
      </cdr:nvSpPr>
      <cdr:spPr>
        <a:xfrm xmlns:a="http://schemas.openxmlformats.org/drawingml/2006/main">
          <a:off x="2053990" y="0"/>
          <a:ext cx="1015821" cy="477413"/>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defPPr>
            <a:defRPr lang="lv-LV"/>
          </a:defPPr>
          <a:lvl1pPr marL="0" algn="l" defTabSz="914400" rtl="0" eaLnBrk="1" latinLnBrk="0" hangingPunct="1">
            <a:defRPr sz="1800" kern="1200">
              <a:solidFill>
                <a:srgbClr val="000000"/>
              </a:solidFill>
              <a:latin typeface="Verdana"/>
            </a:defRPr>
          </a:lvl1pPr>
          <a:lvl2pPr marL="457200" algn="l" defTabSz="914400" rtl="0" eaLnBrk="1" latinLnBrk="0" hangingPunct="1">
            <a:defRPr sz="1800" kern="1200">
              <a:solidFill>
                <a:srgbClr val="000000"/>
              </a:solidFill>
              <a:latin typeface="Verdana"/>
            </a:defRPr>
          </a:lvl2pPr>
          <a:lvl3pPr marL="914400" algn="l" defTabSz="914400" rtl="0" eaLnBrk="1" latinLnBrk="0" hangingPunct="1">
            <a:defRPr sz="1800" kern="1200">
              <a:solidFill>
                <a:srgbClr val="000000"/>
              </a:solidFill>
              <a:latin typeface="Verdana"/>
            </a:defRPr>
          </a:lvl3pPr>
          <a:lvl4pPr marL="1371600" algn="l" defTabSz="914400" rtl="0" eaLnBrk="1" latinLnBrk="0" hangingPunct="1">
            <a:defRPr sz="1800" kern="1200">
              <a:solidFill>
                <a:srgbClr val="000000"/>
              </a:solidFill>
              <a:latin typeface="Verdana"/>
            </a:defRPr>
          </a:lvl4pPr>
          <a:lvl5pPr marL="1828800" algn="l" defTabSz="914400" rtl="0" eaLnBrk="1" latinLnBrk="0" hangingPunct="1">
            <a:defRPr sz="1800" kern="1200">
              <a:solidFill>
                <a:srgbClr val="000000"/>
              </a:solidFill>
              <a:latin typeface="Verdana"/>
            </a:defRPr>
          </a:lvl5pPr>
          <a:lvl6pPr marL="2286000" algn="l" defTabSz="914400" rtl="0" eaLnBrk="1" latinLnBrk="0" hangingPunct="1">
            <a:defRPr sz="1800" kern="1200">
              <a:solidFill>
                <a:srgbClr val="000000"/>
              </a:solidFill>
              <a:latin typeface="Verdana"/>
            </a:defRPr>
          </a:lvl6pPr>
          <a:lvl7pPr marL="2743200" algn="l" defTabSz="914400" rtl="0" eaLnBrk="1" latinLnBrk="0" hangingPunct="1">
            <a:defRPr sz="1800" kern="1200">
              <a:solidFill>
                <a:srgbClr val="000000"/>
              </a:solidFill>
              <a:latin typeface="Verdana"/>
            </a:defRPr>
          </a:lvl7pPr>
          <a:lvl8pPr marL="3200400" algn="l" defTabSz="914400" rtl="0" eaLnBrk="1" latinLnBrk="0" hangingPunct="1">
            <a:defRPr sz="1800" kern="1200">
              <a:solidFill>
                <a:srgbClr val="000000"/>
              </a:solidFill>
              <a:latin typeface="Verdana"/>
            </a:defRPr>
          </a:lvl8pPr>
          <a:lvl9pPr marL="3657600" algn="l" defTabSz="914400" rtl="0" eaLnBrk="1" latinLnBrk="0" hangingPunct="1">
            <a:defRPr sz="1800" kern="1200">
              <a:solidFill>
                <a:srgbClr val="000000"/>
              </a:solidFill>
              <a:latin typeface="Verdana"/>
            </a:defRPr>
          </a:lvl9pPr>
        </a:lstStyle>
        <a:p xmlns:a="http://schemas.openxmlformats.org/drawingml/2006/main">
          <a:pPr algn="ctr">
            <a:defRPr sz="1800" b="1" i="0" u="none" strike="noStrike" kern="1200" baseline="0">
              <a:solidFill>
                <a:srgbClr val="000000"/>
              </a:solidFill>
              <a:latin typeface="Calibri" pitchFamily="34" charset="0"/>
              <a:ea typeface="Arial"/>
              <a:cs typeface="Times New Roman" pitchFamily="18" charset="0"/>
            </a:defRPr>
          </a:pPr>
          <a:r>
            <a:rPr lang="lv-LV" sz="900" b="0" dirty="0" smtClean="0">
              <a:latin typeface="Times New Roman" pitchFamily="18" charset="0"/>
              <a:cs typeface="Times New Roman" pitchFamily="18" charset="0"/>
            </a:rPr>
            <a:t>Scenārijs ar īstenotās politikas ietekmi</a:t>
          </a:r>
          <a:endParaRPr lang="lv-LV" sz="900" b="0" dirty="0">
            <a:latin typeface="Times New Roman" pitchFamily="18" charset="0"/>
            <a:cs typeface="Times New Roman" pitchFamily="18" charset="0"/>
          </a:endParaRPr>
        </a:p>
      </cdr:txBody>
    </cdr:sp>
  </cdr:relSizeAnchor>
  <cdr:relSizeAnchor xmlns:cdr="http://schemas.openxmlformats.org/drawingml/2006/chartDrawing">
    <cdr:from>
      <cdr:x>0.27731</cdr:x>
      <cdr:y>0.06395</cdr:y>
    </cdr:from>
    <cdr:to>
      <cdr:x>0.42574</cdr:x>
      <cdr:y>0.15975</cdr:y>
    </cdr:to>
    <cdr:sp macro="" textlink="">
      <cdr:nvSpPr>
        <cdr:cNvPr id="5" name="TextBox 8"/>
        <cdr:cNvSpPr txBox="1"/>
      </cdr:nvSpPr>
      <cdr:spPr>
        <a:xfrm xmlns:a="http://schemas.openxmlformats.org/drawingml/2006/main">
          <a:off x="1067116" y="107612"/>
          <a:ext cx="571183" cy="161207"/>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defPPr>
            <a:defRPr lang="lv-LV"/>
          </a:defPPr>
          <a:lvl1pPr marL="0" algn="l" defTabSz="914400" rtl="0" eaLnBrk="1" latinLnBrk="0" hangingPunct="1">
            <a:defRPr sz="1800" kern="1200">
              <a:solidFill>
                <a:srgbClr val="000000"/>
              </a:solidFill>
              <a:latin typeface="Verdana"/>
            </a:defRPr>
          </a:lvl1pPr>
          <a:lvl2pPr marL="457200" algn="l" defTabSz="914400" rtl="0" eaLnBrk="1" latinLnBrk="0" hangingPunct="1">
            <a:defRPr sz="1800" kern="1200">
              <a:solidFill>
                <a:srgbClr val="000000"/>
              </a:solidFill>
              <a:latin typeface="Verdana"/>
            </a:defRPr>
          </a:lvl2pPr>
          <a:lvl3pPr marL="914400" algn="l" defTabSz="914400" rtl="0" eaLnBrk="1" latinLnBrk="0" hangingPunct="1">
            <a:defRPr sz="1800" kern="1200">
              <a:solidFill>
                <a:srgbClr val="000000"/>
              </a:solidFill>
              <a:latin typeface="Verdana"/>
            </a:defRPr>
          </a:lvl3pPr>
          <a:lvl4pPr marL="1371600" algn="l" defTabSz="914400" rtl="0" eaLnBrk="1" latinLnBrk="0" hangingPunct="1">
            <a:defRPr sz="1800" kern="1200">
              <a:solidFill>
                <a:srgbClr val="000000"/>
              </a:solidFill>
              <a:latin typeface="Verdana"/>
            </a:defRPr>
          </a:lvl4pPr>
          <a:lvl5pPr marL="1828800" algn="l" defTabSz="914400" rtl="0" eaLnBrk="1" latinLnBrk="0" hangingPunct="1">
            <a:defRPr sz="1800" kern="1200">
              <a:solidFill>
                <a:srgbClr val="000000"/>
              </a:solidFill>
              <a:latin typeface="Verdana"/>
            </a:defRPr>
          </a:lvl5pPr>
          <a:lvl6pPr marL="2286000" algn="l" defTabSz="914400" rtl="0" eaLnBrk="1" latinLnBrk="0" hangingPunct="1">
            <a:defRPr sz="1800" kern="1200">
              <a:solidFill>
                <a:srgbClr val="000000"/>
              </a:solidFill>
              <a:latin typeface="Verdana"/>
            </a:defRPr>
          </a:lvl6pPr>
          <a:lvl7pPr marL="2743200" algn="l" defTabSz="914400" rtl="0" eaLnBrk="1" latinLnBrk="0" hangingPunct="1">
            <a:defRPr sz="1800" kern="1200">
              <a:solidFill>
                <a:srgbClr val="000000"/>
              </a:solidFill>
              <a:latin typeface="Verdana"/>
            </a:defRPr>
          </a:lvl7pPr>
          <a:lvl8pPr marL="3200400" algn="l" defTabSz="914400" rtl="0" eaLnBrk="1" latinLnBrk="0" hangingPunct="1">
            <a:defRPr sz="1800" kern="1200">
              <a:solidFill>
                <a:srgbClr val="000000"/>
              </a:solidFill>
              <a:latin typeface="Verdana"/>
            </a:defRPr>
          </a:lvl8pPr>
          <a:lvl9pPr marL="3657600" algn="l" defTabSz="914400" rtl="0" eaLnBrk="1" latinLnBrk="0" hangingPunct="1">
            <a:defRPr sz="1800" kern="1200">
              <a:solidFill>
                <a:srgbClr val="000000"/>
              </a:solidFill>
              <a:latin typeface="Verdana"/>
            </a:defRPr>
          </a:lvl9pPr>
        </a:lstStyle>
        <a:p xmlns:a="http://schemas.openxmlformats.org/drawingml/2006/main">
          <a:pPr algn="ctr">
            <a:defRPr sz="1800" b="1" i="0" u="none" strike="noStrike" kern="1200" baseline="0">
              <a:solidFill>
                <a:srgbClr val="000000"/>
              </a:solidFill>
              <a:latin typeface="Calibri" pitchFamily="34" charset="0"/>
              <a:ea typeface="Arial"/>
              <a:cs typeface="Times New Roman" pitchFamily="18" charset="0"/>
            </a:defRPr>
          </a:pPr>
          <a:r>
            <a:rPr lang="lv-LV" sz="900" b="0" dirty="0" smtClean="0">
              <a:latin typeface="Times New Roman" pitchFamily="18" charset="0"/>
              <a:cs typeface="Times New Roman" pitchFamily="18" charset="0"/>
            </a:rPr>
            <a:t>Fakts</a:t>
          </a:r>
          <a:endParaRPr lang="lv-LV" sz="900" b="0" dirty="0">
            <a:latin typeface="Times New Roman" pitchFamily="18" charset="0"/>
            <a:cs typeface="Times New Roman" pitchFamily="18" charset="0"/>
          </a:endParaRPr>
        </a:p>
      </cdr:txBody>
    </cdr:sp>
  </cdr:relSizeAnchor>
  <cdr:relSizeAnchor xmlns:cdr="http://schemas.openxmlformats.org/drawingml/2006/chartDrawing">
    <cdr:from>
      <cdr:x>0.72998</cdr:x>
      <cdr:y>0.45211</cdr:y>
    </cdr:from>
    <cdr:to>
      <cdr:x>0.98678</cdr:x>
      <cdr:y>0.73341</cdr:y>
    </cdr:to>
    <cdr:sp macro="" textlink="">
      <cdr:nvSpPr>
        <cdr:cNvPr id="7" name="TextBox 8"/>
        <cdr:cNvSpPr txBox="1"/>
      </cdr:nvSpPr>
      <cdr:spPr>
        <a:xfrm xmlns:a="http://schemas.openxmlformats.org/drawingml/2006/main">
          <a:off x="2809036" y="760780"/>
          <a:ext cx="988211" cy="473361"/>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defPPr>
            <a:defRPr lang="lv-LV"/>
          </a:defPPr>
          <a:lvl1pPr marL="0" algn="l" defTabSz="914400" rtl="0" eaLnBrk="1" latinLnBrk="0" hangingPunct="1">
            <a:defRPr sz="1800" kern="1200">
              <a:solidFill>
                <a:srgbClr val="000000"/>
              </a:solidFill>
              <a:latin typeface="Verdana"/>
            </a:defRPr>
          </a:lvl1pPr>
          <a:lvl2pPr marL="457200" algn="l" defTabSz="914400" rtl="0" eaLnBrk="1" latinLnBrk="0" hangingPunct="1">
            <a:defRPr sz="1800" kern="1200">
              <a:solidFill>
                <a:srgbClr val="000000"/>
              </a:solidFill>
              <a:latin typeface="Verdana"/>
            </a:defRPr>
          </a:lvl2pPr>
          <a:lvl3pPr marL="914400" algn="l" defTabSz="914400" rtl="0" eaLnBrk="1" latinLnBrk="0" hangingPunct="1">
            <a:defRPr sz="1800" kern="1200">
              <a:solidFill>
                <a:srgbClr val="000000"/>
              </a:solidFill>
              <a:latin typeface="Verdana"/>
            </a:defRPr>
          </a:lvl3pPr>
          <a:lvl4pPr marL="1371600" algn="l" defTabSz="914400" rtl="0" eaLnBrk="1" latinLnBrk="0" hangingPunct="1">
            <a:defRPr sz="1800" kern="1200">
              <a:solidFill>
                <a:srgbClr val="000000"/>
              </a:solidFill>
              <a:latin typeface="Verdana"/>
            </a:defRPr>
          </a:lvl4pPr>
          <a:lvl5pPr marL="1828800" algn="l" defTabSz="914400" rtl="0" eaLnBrk="1" latinLnBrk="0" hangingPunct="1">
            <a:defRPr sz="1800" kern="1200">
              <a:solidFill>
                <a:srgbClr val="000000"/>
              </a:solidFill>
              <a:latin typeface="Verdana"/>
            </a:defRPr>
          </a:lvl5pPr>
          <a:lvl6pPr marL="2286000" algn="l" defTabSz="914400" rtl="0" eaLnBrk="1" latinLnBrk="0" hangingPunct="1">
            <a:defRPr sz="1800" kern="1200">
              <a:solidFill>
                <a:srgbClr val="000000"/>
              </a:solidFill>
              <a:latin typeface="Verdana"/>
            </a:defRPr>
          </a:lvl6pPr>
          <a:lvl7pPr marL="2743200" algn="l" defTabSz="914400" rtl="0" eaLnBrk="1" latinLnBrk="0" hangingPunct="1">
            <a:defRPr sz="1800" kern="1200">
              <a:solidFill>
                <a:srgbClr val="000000"/>
              </a:solidFill>
              <a:latin typeface="Verdana"/>
            </a:defRPr>
          </a:lvl7pPr>
          <a:lvl8pPr marL="3200400" algn="l" defTabSz="914400" rtl="0" eaLnBrk="1" latinLnBrk="0" hangingPunct="1">
            <a:defRPr sz="1800" kern="1200">
              <a:solidFill>
                <a:srgbClr val="000000"/>
              </a:solidFill>
              <a:latin typeface="Verdana"/>
            </a:defRPr>
          </a:lvl8pPr>
          <a:lvl9pPr marL="3657600" algn="l" defTabSz="914400" rtl="0" eaLnBrk="1" latinLnBrk="0" hangingPunct="1">
            <a:defRPr sz="1800" kern="1200">
              <a:solidFill>
                <a:srgbClr val="000000"/>
              </a:solidFill>
              <a:latin typeface="Verdana"/>
            </a:defRPr>
          </a:lvl9pPr>
        </a:lstStyle>
        <a:p xmlns:a="http://schemas.openxmlformats.org/drawingml/2006/main">
          <a:pPr algn="ctr">
            <a:defRPr sz="1800" b="1" i="0" u="none" strike="noStrike" kern="1200" baseline="0">
              <a:solidFill>
                <a:srgbClr val="000000"/>
              </a:solidFill>
              <a:latin typeface="Calibri" pitchFamily="34" charset="0"/>
              <a:ea typeface="Arial"/>
              <a:cs typeface="Times New Roman" pitchFamily="18" charset="0"/>
            </a:defRPr>
          </a:pPr>
          <a:r>
            <a:rPr lang="lv-LV" sz="900" b="0" dirty="0" smtClean="0">
              <a:latin typeface="Times New Roman" pitchFamily="18" charset="0"/>
              <a:cs typeface="Times New Roman" pitchFamily="18" charset="0"/>
            </a:rPr>
            <a:t>Bāzes scenārijs bez reformu ietekmes</a:t>
          </a:r>
          <a:endParaRPr lang="lv-LV" sz="900" b="0" dirty="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332E-9A2B-43EA-A657-BE5EE78B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76</Pages>
  <Words>31111</Words>
  <Characters>229607</Characters>
  <Application>Microsoft Office Word</Application>
  <DocSecurity>0</DocSecurity>
  <Lines>4028</Lines>
  <Paragraphs>1551</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259167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GrzibovskisC</dc:creator>
  <cp:keywords/>
  <dc:description/>
  <cp:lastModifiedBy>Česlavs Gržibovskis</cp:lastModifiedBy>
  <cp:revision>239</cp:revision>
  <cp:lastPrinted>2013-04-22T11:04:00Z</cp:lastPrinted>
  <dcterms:created xsi:type="dcterms:W3CDTF">2013-04-09T10:42:00Z</dcterms:created>
  <dcterms:modified xsi:type="dcterms:W3CDTF">2013-04-26T07:52:00Z</dcterms:modified>
</cp:coreProperties>
</file>