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0E7CD7" w:rsidRDefault="00E668E7" w:rsidP="003B72E4">
      <w:pPr>
        <w:pStyle w:val="Header"/>
        <w:tabs>
          <w:tab w:val="clear" w:pos="4153"/>
          <w:tab w:val="clear" w:pos="8306"/>
        </w:tabs>
        <w:jc w:val="center"/>
        <w:rPr>
          <w:b/>
          <w:smallCaps/>
          <w:sz w:val="28"/>
          <w:szCs w:val="28"/>
        </w:rPr>
      </w:pPr>
      <w:r w:rsidRPr="000E7CD7">
        <w:rPr>
          <w:b/>
          <w:smallCaps/>
          <w:sz w:val="28"/>
          <w:szCs w:val="28"/>
        </w:rPr>
        <w:t xml:space="preserve">Informatīvais </w:t>
      </w:r>
      <w:smartTag w:uri="schemas-tilde-lv/tildestengine" w:element="veidnes">
        <w:smartTagPr>
          <w:attr w:name="text" w:val="ziņojums"/>
          <w:attr w:name="id" w:val="-1"/>
          <w:attr w:name="baseform" w:val="ziņojum|s"/>
        </w:smartTagPr>
        <w:r w:rsidRPr="000E7CD7">
          <w:rPr>
            <w:b/>
            <w:smallCaps/>
            <w:sz w:val="28"/>
            <w:szCs w:val="28"/>
          </w:rPr>
          <w:t>ziņojums</w:t>
        </w:r>
      </w:smartTag>
    </w:p>
    <w:p w:rsidR="00E668E7" w:rsidRDefault="00E668E7" w:rsidP="003B72E4">
      <w:pPr>
        <w:pStyle w:val="Header"/>
        <w:tabs>
          <w:tab w:val="clear" w:pos="4153"/>
          <w:tab w:val="clear" w:pos="8306"/>
        </w:tabs>
        <w:jc w:val="center"/>
        <w:rPr>
          <w:b/>
          <w:sz w:val="28"/>
          <w:szCs w:val="28"/>
        </w:rPr>
      </w:pPr>
    </w:p>
    <w:p w:rsidR="00E668E7" w:rsidRPr="000E7CD7" w:rsidRDefault="00E668E7" w:rsidP="003B72E4">
      <w:pPr>
        <w:jc w:val="center"/>
        <w:rPr>
          <w:b/>
          <w:sz w:val="28"/>
          <w:szCs w:val="28"/>
        </w:rPr>
      </w:pPr>
      <w:bookmarkStart w:id="0" w:name="OLE_LINK3"/>
      <w:bookmarkStart w:id="1" w:name="OLE_LINK4"/>
      <w:r w:rsidRPr="000E7CD7">
        <w:rPr>
          <w:b/>
          <w:sz w:val="28"/>
          <w:szCs w:val="28"/>
        </w:rPr>
        <w:t xml:space="preserve">par </w:t>
      </w:r>
      <w:r w:rsidR="00DF23E2" w:rsidRPr="00DF23E2">
        <w:rPr>
          <w:b/>
          <w:sz w:val="28"/>
          <w:szCs w:val="28"/>
        </w:rPr>
        <w:t>Latvijas nacionālajām pozīcijām</w:t>
      </w:r>
      <w:r w:rsidR="00861DB7">
        <w:rPr>
          <w:b/>
          <w:sz w:val="28"/>
          <w:szCs w:val="28"/>
        </w:rPr>
        <w:t xml:space="preserve"> </w:t>
      </w:r>
      <w:r w:rsidR="00DF23E2" w:rsidRPr="00DF23E2">
        <w:rPr>
          <w:b/>
          <w:sz w:val="28"/>
          <w:szCs w:val="28"/>
        </w:rPr>
        <w:t>Eiropas Savienības Konkurētspējas ministru padomes 2011. gada 29.-30. septembra sanāksmē izskatāmajos Ekonomikas ministrijas</w:t>
      </w:r>
      <w:r w:rsidR="00861DB7">
        <w:rPr>
          <w:b/>
          <w:sz w:val="28"/>
          <w:szCs w:val="28"/>
        </w:rPr>
        <w:t xml:space="preserve"> un Izglītības</w:t>
      </w:r>
      <w:r w:rsidR="00CA4117">
        <w:rPr>
          <w:b/>
          <w:sz w:val="28"/>
          <w:szCs w:val="28"/>
        </w:rPr>
        <w:t xml:space="preserve"> un zinātnes</w:t>
      </w:r>
      <w:r w:rsidR="00861DB7">
        <w:rPr>
          <w:b/>
          <w:sz w:val="28"/>
          <w:szCs w:val="28"/>
        </w:rPr>
        <w:t xml:space="preserve"> ministrijas</w:t>
      </w:r>
      <w:r w:rsidR="00DF23E2" w:rsidRPr="00DF23E2">
        <w:rPr>
          <w:b/>
          <w:sz w:val="28"/>
          <w:szCs w:val="28"/>
        </w:rPr>
        <w:t xml:space="preserve"> kompetences jautājumos</w:t>
      </w:r>
    </w:p>
    <w:bookmarkEnd w:id="0"/>
    <w:bookmarkEnd w:id="1"/>
    <w:p w:rsidR="00E23854" w:rsidRDefault="00E23854" w:rsidP="00E23854">
      <w:pPr>
        <w:spacing w:after="120"/>
        <w:rPr>
          <w:sz w:val="28"/>
          <w:szCs w:val="28"/>
        </w:rPr>
      </w:pPr>
    </w:p>
    <w:p w:rsidR="000116CF" w:rsidRDefault="000116CF" w:rsidP="00E23854">
      <w:pPr>
        <w:spacing w:after="120"/>
        <w:rPr>
          <w:sz w:val="28"/>
          <w:szCs w:val="28"/>
        </w:rPr>
      </w:pPr>
    </w:p>
    <w:p w:rsidR="00E23854" w:rsidRPr="00E23854" w:rsidRDefault="00E23854" w:rsidP="00E23854">
      <w:pPr>
        <w:pStyle w:val="ListParagraph"/>
        <w:numPr>
          <w:ilvl w:val="0"/>
          <w:numId w:val="8"/>
        </w:numPr>
        <w:spacing w:after="120"/>
        <w:rPr>
          <w:b/>
          <w:sz w:val="28"/>
          <w:szCs w:val="28"/>
        </w:rPr>
      </w:pPr>
      <w:r w:rsidRPr="00E23854">
        <w:rPr>
          <w:b/>
          <w:sz w:val="28"/>
          <w:szCs w:val="28"/>
        </w:rPr>
        <w:t>Konkurētspējas ministru padomes sanāksmes darba kārtība</w:t>
      </w:r>
    </w:p>
    <w:p w:rsidR="00897AEF" w:rsidRPr="000E7CD7" w:rsidRDefault="00897AEF" w:rsidP="003B72E4">
      <w:pPr>
        <w:spacing w:after="120"/>
        <w:ind w:firstLine="720"/>
        <w:jc w:val="both"/>
        <w:rPr>
          <w:sz w:val="28"/>
          <w:szCs w:val="28"/>
        </w:rPr>
      </w:pPr>
      <w:r w:rsidRPr="000E7CD7">
        <w:rPr>
          <w:sz w:val="28"/>
          <w:szCs w:val="28"/>
        </w:rPr>
        <w:t xml:space="preserve">2011. gada </w:t>
      </w:r>
      <w:r w:rsidR="00DF23E2">
        <w:rPr>
          <w:sz w:val="28"/>
          <w:szCs w:val="28"/>
        </w:rPr>
        <w:t>29</w:t>
      </w:r>
      <w:r w:rsidRPr="000E7CD7">
        <w:rPr>
          <w:sz w:val="28"/>
          <w:szCs w:val="28"/>
        </w:rPr>
        <w:t>.</w:t>
      </w:r>
      <w:r w:rsidR="003B72E4">
        <w:rPr>
          <w:sz w:val="28"/>
          <w:szCs w:val="28"/>
        </w:rPr>
        <w:t>-3</w:t>
      </w:r>
      <w:r w:rsidR="00DF23E2">
        <w:rPr>
          <w:sz w:val="28"/>
          <w:szCs w:val="28"/>
        </w:rPr>
        <w:t>0.</w:t>
      </w:r>
      <w:r w:rsidRPr="000E7CD7">
        <w:rPr>
          <w:sz w:val="28"/>
          <w:szCs w:val="28"/>
        </w:rPr>
        <w:t xml:space="preserve"> </w:t>
      </w:r>
      <w:r w:rsidR="00DF23E2">
        <w:rPr>
          <w:sz w:val="28"/>
          <w:szCs w:val="28"/>
        </w:rPr>
        <w:t>septembrī</w:t>
      </w:r>
      <w:r w:rsidRPr="000E7CD7">
        <w:rPr>
          <w:sz w:val="28"/>
          <w:szCs w:val="28"/>
        </w:rPr>
        <w:t xml:space="preserve"> Briselē, Beļģijā,  notiks Eiropas Savienības (turpmāk – ES) Konkurētspējas ministru padomes sanāksme</w:t>
      </w:r>
      <w:r w:rsidR="0020630B">
        <w:rPr>
          <w:sz w:val="28"/>
          <w:szCs w:val="28"/>
        </w:rPr>
        <w:t xml:space="preserve"> (turpmāk - sanāksme)</w:t>
      </w:r>
      <w:r w:rsidRPr="000E7CD7">
        <w:rPr>
          <w:sz w:val="28"/>
          <w:szCs w:val="28"/>
        </w:rPr>
        <w:t xml:space="preserve">. </w:t>
      </w:r>
      <w:r w:rsidR="00400843">
        <w:rPr>
          <w:sz w:val="28"/>
          <w:szCs w:val="28"/>
        </w:rPr>
        <w:t>S</w:t>
      </w:r>
      <w:r w:rsidRPr="000E7CD7">
        <w:rPr>
          <w:sz w:val="28"/>
          <w:szCs w:val="28"/>
        </w:rPr>
        <w:t>anāksmes gaitā tiks izskatīti šādi Ekonomikas</w:t>
      </w:r>
      <w:r w:rsidR="003B72E4">
        <w:rPr>
          <w:sz w:val="28"/>
          <w:szCs w:val="28"/>
        </w:rPr>
        <w:t xml:space="preserve"> ministrijas </w:t>
      </w:r>
      <w:r w:rsidRPr="000E7CD7">
        <w:rPr>
          <w:sz w:val="28"/>
          <w:szCs w:val="28"/>
        </w:rPr>
        <w:t>kompetencē esoši jautājumi:</w:t>
      </w:r>
    </w:p>
    <w:p w:rsidR="000116CF" w:rsidRPr="000E7CD7" w:rsidRDefault="000116CF" w:rsidP="003B72E4">
      <w:pPr>
        <w:spacing w:after="120"/>
        <w:ind w:firstLine="720"/>
        <w:jc w:val="both"/>
        <w:rPr>
          <w:sz w:val="28"/>
          <w:szCs w:val="28"/>
        </w:rPr>
      </w:pPr>
    </w:p>
    <w:p w:rsidR="00897AEF" w:rsidRDefault="00897AEF" w:rsidP="003B72E4">
      <w:pPr>
        <w:pBdr>
          <w:bottom w:val="single" w:sz="4" w:space="1" w:color="auto"/>
        </w:pBdr>
        <w:spacing w:after="120"/>
        <w:jc w:val="both"/>
        <w:rPr>
          <w:b/>
          <w:sz w:val="28"/>
          <w:szCs w:val="28"/>
        </w:rPr>
      </w:pPr>
      <w:r w:rsidRPr="000E7CD7">
        <w:rPr>
          <w:b/>
          <w:sz w:val="28"/>
          <w:szCs w:val="28"/>
        </w:rPr>
        <w:t>1.</w:t>
      </w:r>
      <w:r w:rsidR="00E23854">
        <w:rPr>
          <w:b/>
          <w:sz w:val="28"/>
          <w:szCs w:val="28"/>
        </w:rPr>
        <w:t>1.</w:t>
      </w:r>
      <w:r w:rsidR="00B10B7B" w:rsidRPr="000E7CD7">
        <w:rPr>
          <w:b/>
          <w:sz w:val="28"/>
          <w:szCs w:val="28"/>
        </w:rPr>
        <w:t xml:space="preserve"> </w:t>
      </w:r>
      <w:r w:rsidR="003B72E4" w:rsidRPr="003B72E4">
        <w:rPr>
          <w:b/>
          <w:sz w:val="28"/>
          <w:szCs w:val="28"/>
        </w:rPr>
        <w:t>Standartizācijas pasākumu kopums</w:t>
      </w:r>
    </w:p>
    <w:p w:rsidR="003B72E4" w:rsidRPr="003B72E4" w:rsidRDefault="003B72E4" w:rsidP="003B72E4">
      <w:pPr>
        <w:pStyle w:val="ListParagraph"/>
        <w:numPr>
          <w:ilvl w:val="0"/>
          <w:numId w:val="6"/>
        </w:numPr>
        <w:pBdr>
          <w:bottom w:val="single" w:sz="4" w:space="1" w:color="auto"/>
        </w:pBdr>
        <w:spacing w:after="120"/>
        <w:jc w:val="both"/>
        <w:rPr>
          <w:sz w:val="28"/>
          <w:szCs w:val="28"/>
        </w:rPr>
      </w:pPr>
      <w:r w:rsidRPr="003B72E4">
        <w:rPr>
          <w:sz w:val="28"/>
          <w:szCs w:val="28"/>
        </w:rPr>
        <w:t>Priekšlikums - Eiropas Parlamenta un Padomes regula par Eiropas standartizāciju un grozījumiem Padomes Direktīvās 89/686/EEK un 93/15/EEK un Eiropas Parlamenta un Padomes Direktīvās 94/9/EK, 94/25/EK, 95/16/EK, 97/23/EK, 98/34/EK, 2004/22/EK, 2007/23/EK, 2009/105/EK un 2009/23/EK</w:t>
      </w:r>
    </w:p>
    <w:p w:rsidR="003B72E4" w:rsidRPr="003B72E4" w:rsidRDefault="003B72E4" w:rsidP="003B72E4">
      <w:pPr>
        <w:pStyle w:val="ListParagraph"/>
        <w:numPr>
          <w:ilvl w:val="0"/>
          <w:numId w:val="6"/>
        </w:numPr>
        <w:pBdr>
          <w:bottom w:val="single" w:sz="4" w:space="1" w:color="auto"/>
        </w:pBdr>
        <w:spacing w:after="120"/>
        <w:jc w:val="both"/>
        <w:rPr>
          <w:sz w:val="28"/>
          <w:szCs w:val="28"/>
        </w:rPr>
      </w:pPr>
      <w:r w:rsidRPr="003B72E4">
        <w:rPr>
          <w:sz w:val="28"/>
          <w:szCs w:val="28"/>
        </w:rPr>
        <w:t>KOMISIJAS PAZIŅOJUMS EIROPAS PARLAMENTAM, PADOMEI UN EKONOMIKAS UN SOCIĀLO LIETU KOMITEJAI - Eiropas standartu stratēģisks redzējums: virzības mērķis - līdz 2020. gadam sekmēt un paātrināt ilgtspējīgu Eiropas ekonomikas izaugsmi</w:t>
      </w:r>
    </w:p>
    <w:p w:rsidR="00BC4F29" w:rsidRPr="000E7CD7" w:rsidRDefault="00897AEF" w:rsidP="003B72E4">
      <w:pPr>
        <w:jc w:val="both"/>
        <w:rPr>
          <w:sz w:val="28"/>
          <w:szCs w:val="28"/>
        </w:rPr>
      </w:pPr>
      <w:r w:rsidRPr="000E7CD7">
        <w:rPr>
          <w:i/>
          <w:sz w:val="28"/>
          <w:szCs w:val="28"/>
        </w:rPr>
        <w:t xml:space="preserve">- </w:t>
      </w:r>
      <w:r w:rsidR="003B72E4">
        <w:rPr>
          <w:i/>
          <w:sz w:val="28"/>
          <w:szCs w:val="28"/>
        </w:rPr>
        <w:t>Viedokļu apmaiņa</w:t>
      </w:r>
    </w:p>
    <w:p w:rsidR="005C21D5" w:rsidRPr="000E7CD7" w:rsidRDefault="005C21D5" w:rsidP="003B72E4">
      <w:pPr>
        <w:jc w:val="both"/>
        <w:rPr>
          <w:sz w:val="28"/>
          <w:szCs w:val="28"/>
        </w:rPr>
      </w:pPr>
    </w:p>
    <w:p w:rsidR="00050631" w:rsidRDefault="0020630B" w:rsidP="003B72E4">
      <w:pPr>
        <w:spacing w:after="120"/>
        <w:jc w:val="both"/>
        <w:rPr>
          <w:sz w:val="28"/>
          <w:szCs w:val="28"/>
        </w:rPr>
      </w:pPr>
      <w:r>
        <w:rPr>
          <w:sz w:val="28"/>
          <w:szCs w:val="28"/>
        </w:rPr>
        <w:tab/>
      </w:r>
      <w:r w:rsidR="003F2ECD" w:rsidRPr="003F2ECD">
        <w:rPr>
          <w:sz w:val="28"/>
          <w:szCs w:val="28"/>
        </w:rPr>
        <w:t xml:space="preserve">Sanāksmē paredzēta diskusija par </w:t>
      </w:r>
      <w:r w:rsidR="00400843">
        <w:rPr>
          <w:sz w:val="28"/>
          <w:szCs w:val="28"/>
        </w:rPr>
        <w:t>2011.gada 1.</w:t>
      </w:r>
      <w:r w:rsidR="00F31FEC" w:rsidRPr="00F31FEC">
        <w:rPr>
          <w:sz w:val="28"/>
          <w:szCs w:val="28"/>
        </w:rPr>
        <w:t xml:space="preserve">jūnijā </w:t>
      </w:r>
      <w:r w:rsidR="00F31FEC">
        <w:rPr>
          <w:sz w:val="28"/>
          <w:szCs w:val="28"/>
        </w:rPr>
        <w:t>publicēto</w:t>
      </w:r>
      <w:r w:rsidR="00F31FEC" w:rsidRPr="00F31FEC">
        <w:rPr>
          <w:sz w:val="28"/>
          <w:szCs w:val="28"/>
        </w:rPr>
        <w:t xml:space="preserve"> Komisijas paziņojumu </w:t>
      </w:r>
      <w:r w:rsidR="00F31FEC" w:rsidRPr="00F31FEC">
        <w:rPr>
          <w:i/>
          <w:sz w:val="28"/>
          <w:szCs w:val="28"/>
        </w:rPr>
        <w:t>„Eiropas standartu stratēģiskā vīzija: Virzība uz priekšu, lai uzlabotu un paātrinātu E</w:t>
      </w:r>
      <w:r w:rsidR="00400843">
        <w:rPr>
          <w:i/>
          <w:sz w:val="28"/>
          <w:szCs w:val="28"/>
        </w:rPr>
        <w:t>i</w:t>
      </w:r>
      <w:r w:rsidR="00F31FEC" w:rsidRPr="00F31FEC">
        <w:rPr>
          <w:i/>
          <w:sz w:val="28"/>
          <w:szCs w:val="28"/>
        </w:rPr>
        <w:t>ropas ekonomikas ilgtspējīgu izaugsmi līdz 2020.g.”</w:t>
      </w:r>
      <w:r w:rsidR="00F31FEC" w:rsidRPr="00F31FEC">
        <w:rPr>
          <w:sz w:val="28"/>
          <w:szCs w:val="28"/>
        </w:rPr>
        <w:t>,</w:t>
      </w:r>
      <w:r w:rsidR="00F31FEC">
        <w:rPr>
          <w:sz w:val="28"/>
          <w:szCs w:val="28"/>
        </w:rPr>
        <w:t xml:space="preserve"> kā arī ar to saistīto</w:t>
      </w:r>
      <w:r w:rsidR="00F31FEC" w:rsidRPr="00F31FEC">
        <w:rPr>
          <w:sz w:val="28"/>
          <w:szCs w:val="28"/>
        </w:rPr>
        <w:t xml:space="preserve"> priekšlikumu regulai </w:t>
      </w:r>
      <w:r w:rsidR="00F31FEC" w:rsidRPr="00F31FEC">
        <w:rPr>
          <w:i/>
          <w:sz w:val="28"/>
          <w:szCs w:val="28"/>
        </w:rPr>
        <w:t>par Eiropas standartizāciju un grozījumiem Padomes Direktīvās 89/686/EEK un 93/15/EEK un Eiropas Parlamenta un Padomes Direktīvās 94/9/EK, 94/25/EK, 95/16/EK, 97/23/EK, 98/34/EK, 2004/22/EK, 2007/23/EK, 2009/105/EK un 2009/23/EK</w:t>
      </w:r>
      <w:r w:rsidR="00F31FEC">
        <w:rPr>
          <w:sz w:val="28"/>
          <w:szCs w:val="28"/>
        </w:rPr>
        <w:t xml:space="preserve">. </w:t>
      </w:r>
      <w:r w:rsidR="00CD5BC5">
        <w:rPr>
          <w:sz w:val="28"/>
          <w:szCs w:val="28"/>
        </w:rPr>
        <w:t>Šajos dokumentos izvirzīto priekšlikumu mērķis</w:t>
      </w:r>
      <w:r w:rsidR="00F31FEC" w:rsidRPr="00F31FEC">
        <w:rPr>
          <w:sz w:val="28"/>
          <w:szCs w:val="28"/>
        </w:rPr>
        <w:t xml:space="preserve"> ir palielināt standartu un Eiropas standartizācijas ieguldījumu iekšējā tirgus darbības uzlabošanā, izaugsmes un inovācijas veicināšanā un ES uzņēmumu, jo īpaši mazo un vidējo uzņēmumu (turpmāk – MVU), konkurētspējas sekmēšanā.</w:t>
      </w:r>
      <w:r w:rsidR="00F31FEC">
        <w:rPr>
          <w:sz w:val="28"/>
          <w:szCs w:val="28"/>
        </w:rPr>
        <w:t xml:space="preserve"> </w:t>
      </w:r>
      <w:r w:rsidR="003F2ECD" w:rsidRPr="003F2ECD">
        <w:rPr>
          <w:sz w:val="28"/>
          <w:szCs w:val="28"/>
        </w:rPr>
        <w:t>Diskus</w:t>
      </w:r>
      <w:r w:rsidR="00F31FEC">
        <w:rPr>
          <w:sz w:val="28"/>
          <w:szCs w:val="28"/>
        </w:rPr>
        <w:t xml:space="preserve">ija tiks balstīta uz </w:t>
      </w:r>
      <w:r w:rsidR="003F2ECD" w:rsidRPr="003F2ECD">
        <w:rPr>
          <w:sz w:val="28"/>
          <w:szCs w:val="28"/>
        </w:rPr>
        <w:t>sekojošiem iepriekš izplatītiem prezidentūras jautājumiem:</w:t>
      </w:r>
    </w:p>
    <w:p w:rsidR="00F31FEC" w:rsidRDefault="00F31FEC" w:rsidP="003B72E4">
      <w:pPr>
        <w:spacing w:after="120"/>
        <w:jc w:val="both"/>
        <w:rPr>
          <w:sz w:val="28"/>
          <w:szCs w:val="28"/>
        </w:rPr>
      </w:pPr>
    </w:p>
    <w:p w:rsidR="00F72822" w:rsidRDefault="00F72822" w:rsidP="003B72E4">
      <w:pPr>
        <w:spacing w:after="120"/>
        <w:jc w:val="both"/>
        <w:rPr>
          <w:sz w:val="28"/>
          <w:szCs w:val="28"/>
        </w:rPr>
      </w:pPr>
    </w:p>
    <w:p w:rsidR="00AE487B" w:rsidRPr="00AE487B" w:rsidRDefault="00AE487B" w:rsidP="00AE487B">
      <w:pPr>
        <w:pStyle w:val="ListParagraph"/>
        <w:numPr>
          <w:ilvl w:val="0"/>
          <w:numId w:val="9"/>
        </w:numPr>
        <w:spacing w:after="120"/>
        <w:jc w:val="both"/>
        <w:rPr>
          <w:i/>
          <w:sz w:val="28"/>
          <w:szCs w:val="28"/>
        </w:rPr>
      </w:pPr>
      <w:r w:rsidRPr="00AE487B">
        <w:rPr>
          <w:i/>
          <w:sz w:val="28"/>
          <w:szCs w:val="28"/>
        </w:rPr>
        <w:lastRenderedPageBreak/>
        <w:t>Lai dotu būtisku ieguldījumu ES ekonomikā, Eiropas standartiem ir jābūt tādiem, kas atbilst arvien ātrākajiem produktu izstrādes cikliem un kas ir viegli pieejami. Kādus pasākumus Jūs uzskatāt par visbūtiskākajiem, lai paātrinātu tādu Eiropas standartu pieņemšanu, kuru galvenā funkcija ir atbalstīt ES politikas virzienus un tiesību aktus?</w:t>
      </w:r>
    </w:p>
    <w:p w:rsidR="00AE487B" w:rsidRDefault="00AE487B" w:rsidP="00AE487B">
      <w:pPr>
        <w:spacing w:after="120"/>
        <w:jc w:val="both"/>
        <w:rPr>
          <w:sz w:val="28"/>
          <w:szCs w:val="28"/>
        </w:rPr>
      </w:pPr>
    </w:p>
    <w:p w:rsidR="000116CF" w:rsidRPr="000116CF" w:rsidRDefault="000116CF" w:rsidP="00AE487B">
      <w:pPr>
        <w:spacing w:after="120"/>
        <w:jc w:val="both"/>
        <w:rPr>
          <w:b/>
          <w:sz w:val="28"/>
          <w:szCs w:val="28"/>
        </w:rPr>
      </w:pPr>
      <w:r w:rsidRPr="000116CF">
        <w:rPr>
          <w:b/>
          <w:sz w:val="28"/>
          <w:szCs w:val="28"/>
        </w:rPr>
        <w:t>Latvijas pozīcija:</w:t>
      </w:r>
    </w:p>
    <w:p w:rsidR="00D258A8" w:rsidRDefault="00D258A8" w:rsidP="00AE487B">
      <w:pPr>
        <w:spacing w:after="120"/>
        <w:jc w:val="both"/>
        <w:rPr>
          <w:sz w:val="28"/>
          <w:szCs w:val="28"/>
        </w:rPr>
      </w:pPr>
      <w:r>
        <w:rPr>
          <w:sz w:val="28"/>
          <w:szCs w:val="28"/>
        </w:rPr>
        <w:tab/>
      </w:r>
      <w:r w:rsidRPr="00D258A8">
        <w:rPr>
          <w:sz w:val="28"/>
          <w:szCs w:val="28"/>
        </w:rPr>
        <w:t xml:space="preserve">Eiropas standartu pieņemšanas procesa paātrināšanai un Eiropas standartu efektīvākai piemērošanai ir vitāli svarīga loma Eiropas uzņēmumu konkurētspējas nodrošināšanai pasaules tirgos un inovāciju atbalstam. Ir jūtams noturīgs pieprasījums no standartizācijas procesā iesaistītām pusēm paātrināt standartu izstrādes procesu. Tomēr uzskatām, ka šim procesam nekādā gadījumā nevajadzētu apšaubīt, ierobežot vai kā savādāk nonivelēt standartizācijas procesa pamatprincipu - standarti ir uz kopējas vienošanās pamata, ievērojot </w:t>
      </w:r>
      <w:proofErr w:type="spellStart"/>
      <w:r w:rsidRPr="00D258A8">
        <w:rPr>
          <w:sz w:val="28"/>
          <w:szCs w:val="28"/>
        </w:rPr>
        <w:t>konsensusa</w:t>
      </w:r>
      <w:proofErr w:type="spellEnd"/>
      <w:r w:rsidRPr="00D258A8">
        <w:rPr>
          <w:sz w:val="28"/>
          <w:szCs w:val="28"/>
        </w:rPr>
        <w:t xml:space="preserve"> principu, izstrādāti dokumenti. Tas nozīmē, ka standartu kvalitāte nedrīkst ciest nekādā gadījumā. Šim nolūkam, meklējot iespējas paātrināt standartizācijas procesu, sākumā būtu skaidri jāiezīmē un jāizpēta Eiropas standartizācijas procesa posmi. Mūsuprāt, standartizācijas procesu kavē standartu izstrādes pieprasījumu (mandātu) sagatavošanas un finansējuma piešķiršanas procedūras, kas bieži vien ir ļoti laikietilpīgas no administrēšanas viedokļa. Vienlaikus lielāku skaidrību attiecībā uz standartizācijas procesa ilgumu varētu ieviest skaidri noteiktu apturēšanas (</w:t>
      </w:r>
      <w:proofErr w:type="spellStart"/>
      <w:r w:rsidRPr="00D258A8">
        <w:rPr>
          <w:sz w:val="28"/>
          <w:szCs w:val="28"/>
        </w:rPr>
        <w:t>standstill</w:t>
      </w:r>
      <w:proofErr w:type="spellEnd"/>
      <w:r w:rsidRPr="00D258A8">
        <w:rPr>
          <w:sz w:val="28"/>
          <w:szCs w:val="28"/>
        </w:rPr>
        <w:t>) periodu piemērošana standartu saskaņošanas procesā. Savukārt tas, no kā būtu jāatturas, - visu standartizācijas procesa iesaistīto un ieinteresēto pušu ietekmes mazināšanu uz procesa rezultātu.</w:t>
      </w:r>
    </w:p>
    <w:p w:rsidR="00D258A8" w:rsidRPr="00AE487B" w:rsidRDefault="00D258A8" w:rsidP="00AE487B">
      <w:pPr>
        <w:spacing w:after="120"/>
        <w:jc w:val="both"/>
        <w:rPr>
          <w:sz w:val="28"/>
          <w:szCs w:val="28"/>
        </w:rPr>
      </w:pPr>
    </w:p>
    <w:p w:rsidR="00AE487B" w:rsidRPr="00AE487B" w:rsidRDefault="00AE487B" w:rsidP="00AE487B">
      <w:pPr>
        <w:pStyle w:val="ListParagraph"/>
        <w:numPr>
          <w:ilvl w:val="0"/>
          <w:numId w:val="9"/>
        </w:numPr>
        <w:spacing w:after="120"/>
        <w:jc w:val="both"/>
        <w:rPr>
          <w:i/>
          <w:sz w:val="28"/>
          <w:szCs w:val="28"/>
        </w:rPr>
      </w:pPr>
      <w:r w:rsidRPr="00AE487B">
        <w:rPr>
          <w:i/>
          <w:sz w:val="28"/>
          <w:szCs w:val="28"/>
        </w:rPr>
        <w:t xml:space="preserve">Lai pilnībā izmantotu informācijas un komunikācijas tehnoloģiju (IKT) sniegtās priekšrocības, ES ir jānodrošina ierīču, lietotņu, tīklu un pakalpojumu sadarbspēja. Kādi pasākumi, Jūsuprāt, būtu vispiemērotākie, lai izveidotu sistēmu, ar ko publiskā iepirkuma procedūru un ES politikas virzienu vajadzībām varētu izmantot atbilstīgākos IKT </w:t>
      </w:r>
      <w:proofErr w:type="spellStart"/>
      <w:r w:rsidRPr="00AE487B">
        <w:rPr>
          <w:i/>
          <w:sz w:val="28"/>
          <w:szCs w:val="28"/>
        </w:rPr>
        <w:t>de</w:t>
      </w:r>
      <w:proofErr w:type="spellEnd"/>
      <w:r w:rsidRPr="00AE487B">
        <w:rPr>
          <w:i/>
          <w:sz w:val="28"/>
          <w:szCs w:val="28"/>
        </w:rPr>
        <w:t xml:space="preserve"> </w:t>
      </w:r>
      <w:proofErr w:type="spellStart"/>
      <w:r w:rsidRPr="00AE487B">
        <w:rPr>
          <w:i/>
          <w:sz w:val="28"/>
          <w:szCs w:val="28"/>
        </w:rPr>
        <w:t>facto</w:t>
      </w:r>
      <w:proofErr w:type="spellEnd"/>
      <w:r w:rsidRPr="00AE487B">
        <w:rPr>
          <w:i/>
          <w:sz w:val="28"/>
          <w:szCs w:val="28"/>
        </w:rPr>
        <w:t xml:space="preserve"> standartus, ko izstrādājusi globālā IKT kopiena un konsorciji?</w:t>
      </w:r>
    </w:p>
    <w:p w:rsidR="00AE487B" w:rsidRDefault="00AE487B" w:rsidP="00AE487B">
      <w:pPr>
        <w:spacing w:after="120"/>
        <w:jc w:val="both"/>
        <w:rPr>
          <w:sz w:val="28"/>
          <w:szCs w:val="28"/>
        </w:rPr>
      </w:pPr>
    </w:p>
    <w:p w:rsidR="000116CF" w:rsidRPr="000116CF" w:rsidRDefault="000116CF" w:rsidP="000116CF">
      <w:pPr>
        <w:spacing w:after="120"/>
        <w:jc w:val="both"/>
        <w:rPr>
          <w:b/>
          <w:sz w:val="28"/>
          <w:szCs w:val="28"/>
        </w:rPr>
      </w:pPr>
      <w:r w:rsidRPr="000116CF">
        <w:rPr>
          <w:b/>
          <w:sz w:val="28"/>
          <w:szCs w:val="28"/>
        </w:rPr>
        <w:t>Latvijas pozīcija:</w:t>
      </w:r>
    </w:p>
    <w:p w:rsidR="00D258A8" w:rsidRDefault="00D258A8" w:rsidP="00AE487B">
      <w:pPr>
        <w:spacing w:after="120"/>
        <w:jc w:val="both"/>
        <w:rPr>
          <w:sz w:val="28"/>
          <w:szCs w:val="28"/>
        </w:rPr>
      </w:pPr>
      <w:r>
        <w:rPr>
          <w:sz w:val="28"/>
          <w:szCs w:val="28"/>
        </w:rPr>
        <w:tab/>
      </w:r>
      <w:r w:rsidRPr="00D258A8">
        <w:rPr>
          <w:sz w:val="28"/>
          <w:szCs w:val="28"/>
        </w:rPr>
        <w:t xml:space="preserve">IKT standartu plašākas izmantošanas, t.sk., valsts iepirkumos veicināšanai nepieciešama aktīva valsts iestāžu sadarbība ar IKT nozares pārstāvjiem, nozares asociācijām, lai vienotos par starptautisko IKT standartu pieņemšanu. Tai pat laikā absolūti nepieciešams nodrošināt to, ka šādu tehnisko risinājumu dokumentu atzīšana notiek saskaņotā veidā ES mērogā, t.i., lai tiktu </w:t>
      </w:r>
      <w:r w:rsidRPr="00D258A8">
        <w:rPr>
          <w:sz w:val="28"/>
          <w:szCs w:val="28"/>
        </w:rPr>
        <w:lastRenderedPageBreak/>
        <w:t xml:space="preserve">realizēta vienota pieeja un nodrošināts, ka starptautisko IKT standartu plašākas un saskaņotākas izmantošanas rezultātā tiek veicināta pārrobežu tirdzniecība un pakalpojumu sniegšana ES DV starpā, kā arī tas kopumā stiprina Eiropas ar IKT saistītā </w:t>
      </w:r>
      <w:r>
        <w:rPr>
          <w:sz w:val="28"/>
          <w:szCs w:val="28"/>
        </w:rPr>
        <w:t>biznesa pozīcijas globālā tirgū.</w:t>
      </w:r>
    </w:p>
    <w:p w:rsidR="00D258A8" w:rsidRDefault="00D258A8" w:rsidP="00AE487B">
      <w:pPr>
        <w:spacing w:after="120"/>
        <w:jc w:val="both"/>
        <w:rPr>
          <w:sz w:val="28"/>
          <w:szCs w:val="28"/>
        </w:rPr>
      </w:pPr>
    </w:p>
    <w:p w:rsidR="00F31FEC" w:rsidRPr="00AE487B" w:rsidRDefault="00AE487B" w:rsidP="00AE487B">
      <w:pPr>
        <w:pStyle w:val="ListParagraph"/>
        <w:numPr>
          <w:ilvl w:val="0"/>
          <w:numId w:val="9"/>
        </w:numPr>
        <w:spacing w:after="120"/>
        <w:jc w:val="both"/>
        <w:rPr>
          <w:i/>
          <w:sz w:val="28"/>
          <w:szCs w:val="28"/>
        </w:rPr>
      </w:pPr>
      <w:r w:rsidRPr="00AE487B">
        <w:rPr>
          <w:i/>
          <w:sz w:val="28"/>
          <w:szCs w:val="28"/>
        </w:rPr>
        <w:t>Lai nodrošinātu, ka Eiropas standartus atzīst gan uzņēmēji, gan patērētāji, Eiropas standartizācijas sistēmai ir jābūt pēc iespējas aptverošākai. Ar kādiem pasākumiem, Jūsuprāt, varētu panākt MVU un sabiedrības ieinteresēto personu produktīvāku iesaistīšanos Eiropas standartizācijas procesā?</w:t>
      </w:r>
    </w:p>
    <w:p w:rsidR="003F2ECD" w:rsidRDefault="003F2ECD" w:rsidP="003B72E4">
      <w:pPr>
        <w:spacing w:after="120"/>
        <w:jc w:val="both"/>
        <w:rPr>
          <w:sz w:val="28"/>
          <w:szCs w:val="28"/>
        </w:rPr>
      </w:pPr>
    </w:p>
    <w:p w:rsidR="000116CF" w:rsidRPr="000116CF" w:rsidRDefault="000116CF" w:rsidP="000116CF">
      <w:pPr>
        <w:spacing w:after="120"/>
        <w:jc w:val="both"/>
        <w:rPr>
          <w:b/>
          <w:sz w:val="28"/>
          <w:szCs w:val="28"/>
        </w:rPr>
      </w:pPr>
      <w:r w:rsidRPr="000116CF">
        <w:rPr>
          <w:b/>
          <w:sz w:val="28"/>
          <w:szCs w:val="28"/>
        </w:rPr>
        <w:t>Latvijas pozīcija:</w:t>
      </w:r>
    </w:p>
    <w:p w:rsidR="003F2ECD" w:rsidRDefault="00D258A8" w:rsidP="003B72E4">
      <w:pPr>
        <w:spacing w:after="120"/>
        <w:jc w:val="both"/>
        <w:rPr>
          <w:sz w:val="28"/>
          <w:szCs w:val="28"/>
        </w:rPr>
      </w:pPr>
      <w:r>
        <w:rPr>
          <w:sz w:val="28"/>
          <w:szCs w:val="28"/>
        </w:rPr>
        <w:tab/>
      </w:r>
      <w:r w:rsidRPr="00D258A8">
        <w:rPr>
          <w:sz w:val="28"/>
          <w:szCs w:val="28"/>
        </w:rPr>
        <w:t>Svarīgi skaidri noteikt ES valstu lomu Eiropas standartizācijas procesā. Nenoliedzami, Eiropas standartizācijai ir jākļūst par visu ieinteresēto pušu sadarbības platformu, kas ir viegli pieejama visiem, ieskaitot MVU un sociālos partnerus. Tomēr MVU un sociālo partneru iesaistei Eiropas standartizācijas procesā ir jānotiek ES valstu līmenī, tādējādi, veicinot nacionālās pārstāvības principu. Šāds princips ļautu paust konsolidētu nacionālo viedokli, kura formulēšanā piedalījās MVU un sociālie partneri, saglabāt ikvienam skaidru un saprotamu standartizācijas sistēmas konstrukciju un izvairīties no neskaidrības un pretrunīgiem vērtējumiem iesaistīto pušu starpā. Tādējādi šādas ieceres īstenošanā būtiska loma pieder valstu nacionālajiem standartizācijas birojiem, kuru kapacitātes stiprināšanai un darbības finansēšanai būtu jāpievērš uzmanība ES līmenī, lai sasniegtu Eiropas standartizācijai izvirzāmo mērķi panākt MVU un citu sabiedrības ieinteresēto personu produktīvāku iesaistīšanos Eiropas standartizācijas procesā.</w:t>
      </w:r>
    </w:p>
    <w:p w:rsidR="003F2ECD" w:rsidRPr="000E7CD7" w:rsidRDefault="003F2ECD" w:rsidP="003B72E4">
      <w:pPr>
        <w:spacing w:after="120"/>
        <w:jc w:val="both"/>
        <w:rPr>
          <w:sz w:val="28"/>
          <w:szCs w:val="28"/>
        </w:rPr>
      </w:pPr>
    </w:p>
    <w:p w:rsidR="00897AEF" w:rsidRPr="000E7CD7" w:rsidRDefault="00E23854" w:rsidP="003B72E4">
      <w:pPr>
        <w:pBdr>
          <w:bottom w:val="single" w:sz="4" w:space="1" w:color="auto"/>
        </w:pBdr>
        <w:spacing w:after="120"/>
        <w:jc w:val="both"/>
        <w:rPr>
          <w:i/>
          <w:sz w:val="28"/>
          <w:szCs w:val="28"/>
        </w:rPr>
      </w:pPr>
      <w:r>
        <w:rPr>
          <w:b/>
          <w:sz w:val="28"/>
          <w:szCs w:val="28"/>
        </w:rPr>
        <w:t>1.</w:t>
      </w:r>
      <w:r w:rsidR="00FA22E5" w:rsidRPr="000E7CD7">
        <w:rPr>
          <w:b/>
          <w:sz w:val="28"/>
          <w:szCs w:val="28"/>
        </w:rPr>
        <w:t>2</w:t>
      </w:r>
      <w:r w:rsidR="00897AEF" w:rsidRPr="000E7CD7">
        <w:rPr>
          <w:b/>
          <w:sz w:val="28"/>
          <w:szCs w:val="28"/>
        </w:rPr>
        <w:t xml:space="preserve">. </w:t>
      </w:r>
      <w:r w:rsidR="00690EB8" w:rsidRPr="00690EB8">
        <w:rPr>
          <w:b/>
          <w:sz w:val="28"/>
          <w:szCs w:val="28"/>
        </w:rPr>
        <w:t>Konkurētspējīga Eiropas ekonomika: Rūpnieciskā konkurētspēja ievērojot resursu efektivitāti</w:t>
      </w:r>
    </w:p>
    <w:p w:rsidR="00897AEF" w:rsidRPr="000E7CD7" w:rsidRDefault="00897AEF" w:rsidP="003B72E4">
      <w:pPr>
        <w:jc w:val="both"/>
        <w:rPr>
          <w:i/>
          <w:sz w:val="28"/>
          <w:szCs w:val="28"/>
        </w:rPr>
      </w:pPr>
      <w:r w:rsidRPr="000E7CD7">
        <w:rPr>
          <w:i/>
          <w:sz w:val="28"/>
          <w:szCs w:val="28"/>
        </w:rPr>
        <w:t xml:space="preserve">- Padomes </w:t>
      </w:r>
      <w:r w:rsidR="00FA22E5" w:rsidRPr="000E7CD7">
        <w:rPr>
          <w:i/>
          <w:sz w:val="28"/>
          <w:szCs w:val="28"/>
        </w:rPr>
        <w:t xml:space="preserve">secinājumu </w:t>
      </w:r>
      <w:r w:rsidRPr="000E7CD7">
        <w:rPr>
          <w:i/>
          <w:sz w:val="28"/>
          <w:szCs w:val="28"/>
        </w:rPr>
        <w:t>pieņemšana</w:t>
      </w:r>
    </w:p>
    <w:p w:rsidR="00897AEF" w:rsidRDefault="00897AEF" w:rsidP="003B72E4">
      <w:pPr>
        <w:jc w:val="both"/>
        <w:rPr>
          <w:sz w:val="28"/>
          <w:szCs w:val="28"/>
        </w:rPr>
      </w:pPr>
    </w:p>
    <w:p w:rsidR="00B11A67" w:rsidRDefault="0087411D" w:rsidP="00B11A67">
      <w:pPr>
        <w:jc w:val="both"/>
        <w:rPr>
          <w:sz w:val="28"/>
          <w:szCs w:val="28"/>
        </w:rPr>
      </w:pPr>
      <w:r>
        <w:rPr>
          <w:sz w:val="28"/>
          <w:szCs w:val="28"/>
        </w:rPr>
        <w:tab/>
        <w:t xml:space="preserve">Sanāksmē </w:t>
      </w:r>
      <w:r w:rsidRPr="0087411D">
        <w:rPr>
          <w:sz w:val="28"/>
          <w:szCs w:val="28"/>
        </w:rPr>
        <w:t xml:space="preserve">plānots apstiprināt Padomes secinājumus </w:t>
      </w:r>
      <w:r w:rsidRPr="005C59D1">
        <w:rPr>
          <w:i/>
          <w:sz w:val="28"/>
          <w:szCs w:val="28"/>
        </w:rPr>
        <w:t>par konkurētspējīgu Eiropas ekonomiku: Rūpnieciskā konkurētspēja ievērojot resursu efektivitāti</w:t>
      </w:r>
      <w:r w:rsidRPr="0087411D">
        <w:rPr>
          <w:sz w:val="28"/>
          <w:szCs w:val="28"/>
        </w:rPr>
        <w:t xml:space="preserve"> (turpmāk – Padomes secinājumi).</w:t>
      </w:r>
      <w:r w:rsidR="005C59D1">
        <w:rPr>
          <w:sz w:val="28"/>
          <w:szCs w:val="28"/>
        </w:rPr>
        <w:t xml:space="preserve"> </w:t>
      </w:r>
      <w:r w:rsidR="005C59D1" w:rsidRPr="005C59D1">
        <w:rPr>
          <w:sz w:val="28"/>
          <w:szCs w:val="28"/>
        </w:rPr>
        <w:t xml:space="preserve">Padomes secinājumi izstrādāti, lai sasniegtu „ES 2020” stratēģijas vadošo iniciatīvu „Resursu efektīva Eiropa” un „Integrēta rūpniecības politika globalizācijas laikmetam” ietvaros izvirzītos konkurētspējas paaugstināšanas un vides </w:t>
      </w:r>
      <w:r w:rsidR="005C59D1">
        <w:rPr>
          <w:sz w:val="28"/>
          <w:szCs w:val="28"/>
        </w:rPr>
        <w:t>mērķus</w:t>
      </w:r>
      <w:r w:rsidR="005C59D1" w:rsidRPr="005C59D1">
        <w:rPr>
          <w:sz w:val="28"/>
          <w:szCs w:val="28"/>
        </w:rPr>
        <w:t>, tajā skaitā, lai panāktu optimālu līdzsvaru starp resursu efektivitāti un konkurētspējas paaugstināšanu.</w:t>
      </w:r>
      <w:r w:rsidR="00B11A67" w:rsidRPr="00B11A67">
        <w:t xml:space="preserve"> </w:t>
      </w:r>
    </w:p>
    <w:p w:rsidR="00B11A67" w:rsidRDefault="00B11A67" w:rsidP="00B11A67">
      <w:pPr>
        <w:jc w:val="both"/>
        <w:rPr>
          <w:sz w:val="28"/>
          <w:szCs w:val="28"/>
        </w:rPr>
      </w:pPr>
    </w:p>
    <w:p w:rsidR="005A3B4C" w:rsidRDefault="005A3B4C" w:rsidP="00B11A67">
      <w:pPr>
        <w:jc w:val="both"/>
        <w:rPr>
          <w:sz w:val="28"/>
          <w:szCs w:val="28"/>
        </w:rPr>
      </w:pPr>
    </w:p>
    <w:p w:rsidR="005A3B4C" w:rsidRPr="000116CF" w:rsidRDefault="005A3B4C" w:rsidP="005A3B4C">
      <w:pPr>
        <w:spacing w:after="120"/>
        <w:jc w:val="both"/>
        <w:rPr>
          <w:b/>
          <w:sz w:val="28"/>
          <w:szCs w:val="28"/>
        </w:rPr>
      </w:pPr>
      <w:r w:rsidRPr="000116CF">
        <w:rPr>
          <w:b/>
          <w:sz w:val="28"/>
          <w:szCs w:val="28"/>
        </w:rPr>
        <w:lastRenderedPageBreak/>
        <w:t>Latvijas pozīcija:</w:t>
      </w:r>
    </w:p>
    <w:p w:rsidR="00B11A67" w:rsidRPr="00B11A67" w:rsidRDefault="00B11A67" w:rsidP="00B11A67">
      <w:pPr>
        <w:jc w:val="both"/>
        <w:rPr>
          <w:sz w:val="28"/>
          <w:szCs w:val="28"/>
        </w:rPr>
      </w:pPr>
      <w:r>
        <w:rPr>
          <w:sz w:val="28"/>
          <w:szCs w:val="28"/>
        </w:rPr>
        <w:tab/>
      </w:r>
      <w:r w:rsidRPr="00B11A67">
        <w:rPr>
          <w:b/>
          <w:sz w:val="28"/>
          <w:szCs w:val="28"/>
        </w:rPr>
        <w:t>Latvija kopumā atbalsta</w:t>
      </w:r>
      <w:r w:rsidRPr="00B11A67">
        <w:rPr>
          <w:sz w:val="28"/>
          <w:szCs w:val="28"/>
        </w:rPr>
        <w:t xml:space="preserve"> Padomes secinājumu apstiprināšanu, jo tie skaidri iezīmē rīcības virzienus mērķa par resursu efektīvu rūpniecību sasniegšanai.</w:t>
      </w:r>
    </w:p>
    <w:p w:rsidR="00B11A67" w:rsidRPr="00B11A67" w:rsidRDefault="00B11A67" w:rsidP="00B11A67">
      <w:pPr>
        <w:jc w:val="both"/>
        <w:rPr>
          <w:sz w:val="28"/>
          <w:szCs w:val="28"/>
        </w:rPr>
      </w:pPr>
      <w:r>
        <w:rPr>
          <w:sz w:val="28"/>
          <w:szCs w:val="28"/>
        </w:rPr>
        <w:tab/>
      </w:r>
      <w:r w:rsidRPr="00B11A67">
        <w:rPr>
          <w:b/>
          <w:sz w:val="28"/>
          <w:szCs w:val="28"/>
        </w:rPr>
        <w:t>Latvija</w:t>
      </w:r>
      <w:r w:rsidR="00665B1C">
        <w:rPr>
          <w:b/>
          <w:sz w:val="28"/>
          <w:szCs w:val="28"/>
        </w:rPr>
        <w:t xml:space="preserve"> ir</w:t>
      </w:r>
      <w:r w:rsidRPr="00B11A67">
        <w:rPr>
          <w:b/>
          <w:sz w:val="28"/>
          <w:szCs w:val="28"/>
        </w:rPr>
        <w:t xml:space="preserve"> būtiski</w:t>
      </w:r>
      <w:r w:rsidRPr="00B11A67">
        <w:rPr>
          <w:sz w:val="28"/>
          <w:szCs w:val="28"/>
        </w:rPr>
        <w:t>, ka pāreja uz resursu efektīvu ekonomiku, kur dominē otrreizēja resursu izmantošana, izejvielu aizstāšana un otrreizējā pārstrāde, tiek īstenota izsvērti un pakāpeniski, lai nemazinātu ES reģionu (īpaši – mazāk attīstīto) konkurētspēju. Prasības resursu efektivitātes jomā nedrīkst kļūt par iemeslu ES rūpniecības uzņēmumu konkurētspējas samazinājumam, salīdzinot ar citiem uzņēmumiem ārpus ES. Tas īpaši nozīmīgi tādām valstīm kā Latvija, kur energoietilpīgo nozaru (piemēram, metālapstrāde un kokrūpniecība) eksports pārsniedz 72% no nozares realizācijas.</w:t>
      </w:r>
    </w:p>
    <w:p w:rsidR="00B11A67" w:rsidRPr="00B11A67" w:rsidRDefault="00B11A67" w:rsidP="00B11A67">
      <w:pPr>
        <w:jc w:val="both"/>
        <w:rPr>
          <w:sz w:val="28"/>
          <w:szCs w:val="28"/>
        </w:rPr>
      </w:pPr>
      <w:r>
        <w:rPr>
          <w:sz w:val="28"/>
          <w:szCs w:val="28"/>
        </w:rPr>
        <w:tab/>
      </w:r>
      <w:r w:rsidRPr="00B11A67">
        <w:rPr>
          <w:b/>
          <w:sz w:val="28"/>
          <w:szCs w:val="28"/>
        </w:rPr>
        <w:t>Latvija piekrīt</w:t>
      </w:r>
      <w:r w:rsidRPr="00B11A67">
        <w:rPr>
          <w:sz w:val="28"/>
          <w:szCs w:val="28"/>
        </w:rPr>
        <w:t xml:space="preserve"> Padomei, ka ES līmenī jāīsteno tālredzīgs un gudrs regulējums, lai nodrošinātu, ka rūpniecības konkurētspējas paaugstināšanas mērķu sasniegšana saskan ar resursu efektivitātes un vides mērķiem un rīcības virzieniem, nodrošinot, ka šīs politikas ir savstarpēji papildinošas.</w:t>
      </w:r>
    </w:p>
    <w:p w:rsidR="005C59D1" w:rsidRPr="000E7CD7" w:rsidRDefault="00B11A67" w:rsidP="00B11A67">
      <w:pPr>
        <w:jc w:val="both"/>
        <w:rPr>
          <w:sz w:val="28"/>
          <w:szCs w:val="28"/>
        </w:rPr>
      </w:pPr>
      <w:r>
        <w:rPr>
          <w:sz w:val="28"/>
          <w:szCs w:val="28"/>
        </w:rPr>
        <w:tab/>
      </w:r>
      <w:r w:rsidRPr="00B11A67">
        <w:rPr>
          <w:b/>
          <w:sz w:val="28"/>
          <w:szCs w:val="28"/>
        </w:rPr>
        <w:t>Latvija aicina</w:t>
      </w:r>
      <w:r w:rsidRPr="00B11A67">
        <w:rPr>
          <w:sz w:val="28"/>
          <w:szCs w:val="28"/>
        </w:rPr>
        <w:t xml:space="preserve"> īstenot izlēmīgas ES līmeņa rīcības, t.sk. finansiālā atbalsta jomā, lai Eiropas rūpniecības sektoram un jo īpaši MVU tiktu radīti priekšnosacījumi investīciju palielināšanai resursu efektīvos risinājumos, t.sk. otrreizējā pārstrādē un aizvien lielākā izejvielu aizstāšanā. Jāīsteno iniciatīvas, kas veicinātu infrastruktūras modernizāciju un pētniecisko izstrādņu </w:t>
      </w:r>
      <w:proofErr w:type="spellStart"/>
      <w:r w:rsidRPr="00B11A67">
        <w:rPr>
          <w:sz w:val="28"/>
          <w:szCs w:val="28"/>
        </w:rPr>
        <w:t>komercializāciju</w:t>
      </w:r>
      <w:proofErr w:type="spellEnd"/>
      <w:r w:rsidRPr="00B11A67">
        <w:rPr>
          <w:sz w:val="28"/>
          <w:szCs w:val="28"/>
        </w:rPr>
        <w:t xml:space="preserve"> resursu efektīvu risinājumu pielietošanai rūpniecībā un videi draudzīgāku produktu, tehnoloģiju un pakalpojumu izstrādi (t.sk. pilotprojektu īstenošanu). Svarīgi īstenot pasākumus izpratnes paaugstināšanai, lai pārliecinātu rūpniecības komersantus investēt pasākumos, kas sniedz ieguldījumus resursu efektivitātē, vienlaikus uzlabojot informācijas apriti par resursu efektivitātes nozīmi un sniegtajām iespējām.</w:t>
      </w:r>
    </w:p>
    <w:p w:rsidR="00B30E6A" w:rsidRDefault="00B30E6A" w:rsidP="003B72E4">
      <w:pPr>
        <w:jc w:val="both"/>
        <w:rPr>
          <w:sz w:val="28"/>
          <w:szCs w:val="28"/>
        </w:rPr>
      </w:pPr>
    </w:p>
    <w:p w:rsidR="00400843" w:rsidRDefault="00400843" w:rsidP="003B72E4">
      <w:pPr>
        <w:jc w:val="both"/>
        <w:rPr>
          <w:sz w:val="28"/>
          <w:szCs w:val="28"/>
        </w:rPr>
      </w:pPr>
    </w:p>
    <w:p w:rsidR="00897AEF" w:rsidRPr="000E7CD7" w:rsidRDefault="00E23854" w:rsidP="003B72E4">
      <w:pPr>
        <w:pBdr>
          <w:bottom w:val="single" w:sz="4" w:space="1" w:color="auto"/>
        </w:pBdr>
        <w:spacing w:after="120"/>
        <w:jc w:val="both"/>
        <w:rPr>
          <w:b/>
          <w:sz w:val="28"/>
          <w:szCs w:val="28"/>
        </w:rPr>
      </w:pPr>
      <w:r>
        <w:rPr>
          <w:b/>
          <w:sz w:val="28"/>
          <w:szCs w:val="28"/>
        </w:rPr>
        <w:t>1.</w:t>
      </w:r>
      <w:r w:rsidR="00FA22E5" w:rsidRPr="000E7CD7">
        <w:rPr>
          <w:b/>
          <w:sz w:val="28"/>
          <w:szCs w:val="28"/>
        </w:rPr>
        <w:t>3</w:t>
      </w:r>
      <w:r w:rsidR="00897AEF" w:rsidRPr="000E7CD7">
        <w:rPr>
          <w:b/>
          <w:sz w:val="28"/>
          <w:szCs w:val="28"/>
        </w:rPr>
        <w:t xml:space="preserve">. </w:t>
      </w:r>
      <w:r w:rsidR="00B30E6A" w:rsidRPr="00B30E6A">
        <w:rPr>
          <w:b/>
          <w:sz w:val="28"/>
          <w:szCs w:val="28"/>
        </w:rPr>
        <w:t>Progresa ziņojums par administratīvā sloga samazināšanu</w:t>
      </w:r>
    </w:p>
    <w:p w:rsidR="00897AEF" w:rsidRDefault="00B30E6A" w:rsidP="003B72E4">
      <w:pPr>
        <w:jc w:val="both"/>
        <w:rPr>
          <w:i/>
          <w:sz w:val="28"/>
          <w:szCs w:val="28"/>
        </w:rPr>
      </w:pPr>
      <w:r w:rsidRPr="00B30E6A">
        <w:rPr>
          <w:i/>
          <w:sz w:val="28"/>
          <w:szCs w:val="28"/>
        </w:rPr>
        <w:t>-Informācija no Padomes prezidentūras</w:t>
      </w:r>
    </w:p>
    <w:p w:rsidR="00B30E6A" w:rsidRDefault="00B30E6A" w:rsidP="003B72E4">
      <w:pPr>
        <w:jc w:val="both"/>
        <w:rPr>
          <w:sz w:val="28"/>
          <w:szCs w:val="28"/>
        </w:rPr>
      </w:pPr>
    </w:p>
    <w:p w:rsidR="00416433" w:rsidRPr="00416433" w:rsidRDefault="00416433" w:rsidP="00416433">
      <w:pPr>
        <w:jc w:val="both"/>
        <w:rPr>
          <w:sz w:val="28"/>
          <w:szCs w:val="28"/>
        </w:rPr>
      </w:pPr>
      <w:r>
        <w:rPr>
          <w:sz w:val="28"/>
          <w:szCs w:val="28"/>
        </w:rPr>
        <w:tab/>
      </w:r>
      <w:r w:rsidRPr="00416433">
        <w:rPr>
          <w:sz w:val="28"/>
          <w:szCs w:val="28"/>
        </w:rPr>
        <w:t xml:space="preserve">Gatavojoties ES Konkurētspējas ministru padomes 29.-30.septembra sanāksmei, Polijas prezidentūra ir sagatavojusi progresa ziņojumu par administratīvā sloga samazināšanas programmas īstenošanu  Eiropas Savienībā, kurā noteikts mērķis samazināt administratīvo slogu Eiropas Savienībā par 25% līdz 2012.gadam. </w:t>
      </w:r>
    </w:p>
    <w:p w:rsidR="00416433" w:rsidRPr="00416433" w:rsidRDefault="00416433" w:rsidP="00416433">
      <w:pPr>
        <w:jc w:val="both"/>
        <w:rPr>
          <w:sz w:val="28"/>
          <w:szCs w:val="28"/>
        </w:rPr>
      </w:pPr>
      <w:r>
        <w:rPr>
          <w:sz w:val="28"/>
          <w:szCs w:val="28"/>
        </w:rPr>
        <w:tab/>
      </w:r>
      <w:r w:rsidRPr="00416433">
        <w:rPr>
          <w:sz w:val="28"/>
          <w:szCs w:val="28"/>
        </w:rPr>
        <w:t xml:space="preserve">2007.gada janvārī  Komisija izstrādāja Rīcības programmu ar mērķi samazināt administratīvo slogu ES uzņēmumiem par 25 % līdz 2012.gadam. 2007.gada pavasarī Eiropadome apstiprināja kopējo sloga samazināšanas mērķi un aicināja līdzīgi rīkoties arī ES dalībvalstis. </w:t>
      </w:r>
    </w:p>
    <w:p w:rsidR="00416433" w:rsidRPr="00416433" w:rsidRDefault="00416433" w:rsidP="00416433">
      <w:pPr>
        <w:jc w:val="both"/>
        <w:rPr>
          <w:sz w:val="28"/>
          <w:szCs w:val="28"/>
        </w:rPr>
      </w:pPr>
      <w:r>
        <w:rPr>
          <w:sz w:val="28"/>
          <w:szCs w:val="28"/>
        </w:rPr>
        <w:tab/>
      </w:r>
      <w:r w:rsidRPr="00416433">
        <w:rPr>
          <w:sz w:val="28"/>
          <w:szCs w:val="28"/>
        </w:rPr>
        <w:t xml:space="preserve">Faktiskais </w:t>
      </w:r>
      <w:proofErr w:type="spellStart"/>
      <w:r w:rsidRPr="00416433">
        <w:rPr>
          <w:sz w:val="28"/>
          <w:szCs w:val="28"/>
        </w:rPr>
        <w:t>administrtatīvā</w:t>
      </w:r>
      <w:proofErr w:type="spellEnd"/>
      <w:r w:rsidRPr="00416433">
        <w:rPr>
          <w:sz w:val="28"/>
          <w:szCs w:val="28"/>
        </w:rPr>
        <w:t xml:space="preserve"> sloga </w:t>
      </w:r>
      <w:proofErr w:type="spellStart"/>
      <w:r w:rsidRPr="00416433">
        <w:rPr>
          <w:sz w:val="28"/>
          <w:szCs w:val="28"/>
        </w:rPr>
        <w:t>smazināšanas</w:t>
      </w:r>
      <w:proofErr w:type="spellEnd"/>
      <w:r w:rsidRPr="00416433">
        <w:rPr>
          <w:sz w:val="28"/>
          <w:szCs w:val="28"/>
        </w:rPr>
        <w:t xml:space="preserve"> līmenis Eiropas Savienībā ir sasniedzis jau 21,9 %, ietaupot 27 miljardus EUR katru gadu. Tomēr, lai </w:t>
      </w:r>
      <w:r w:rsidRPr="00416433">
        <w:rPr>
          <w:sz w:val="28"/>
          <w:szCs w:val="28"/>
        </w:rPr>
        <w:lastRenderedPageBreak/>
        <w:t xml:space="preserve">sasniegtu kopējo samazināšanas mērķi, vēl nepieciešama </w:t>
      </w:r>
      <w:proofErr w:type="spellStart"/>
      <w:r w:rsidRPr="00416433">
        <w:rPr>
          <w:sz w:val="28"/>
          <w:szCs w:val="28"/>
        </w:rPr>
        <w:t>administartīvā</w:t>
      </w:r>
      <w:proofErr w:type="spellEnd"/>
      <w:r w:rsidRPr="00416433">
        <w:rPr>
          <w:sz w:val="28"/>
          <w:szCs w:val="28"/>
        </w:rPr>
        <w:t xml:space="preserve"> sloga samazināšana par nedaudz vairāk kā 3 %. Ievērojams sloga samazinājums joprojām gaidāms gan uzņēmējdarbības/grāmatvedības, gan nodokļu/muitas tiesību jomās. </w:t>
      </w:r>
    </w:p>
    <w:p w:rsidR="00416433" w:rsidRPr="00416433" w:rsidRDefault="00416433" w:rsidP="00416433">
      <w:pPr>
        <w:jc w:val="both"/>
        <w:rPr>
          <w:sz w:val="28"/>
          <w:szCs w:val="28"/>
        </w:rPr>
      </w:pPr>
      <w:r>
        <w:rPr>
          <w:sz w:val="28"/>
          <w:szCs w:val="28"/>
        </w:rPr>
        <w:tab/>
      </w:r>
      <w:r w:rsidRPr="00416433">
        <w:rPr>
          <w:sz w:val="28"/>
          <w:szCs w:val="28"/>
        </w:rPr>
        <w:t xml:space="preserve">PRES ierosina pielikt visas pūles, lai maksimizētu potenciālo guvumu no </w:t>
      </w:r>
      <w:proofErr w:type="spellStart"/>
      <w:r w:rsidRPr="00416433">
        <w:rPr>
          <w:sz w:val="28"/>
          <w:szCs w:val="28"/>
        </w:rPr>
        <w:t>administartīvā</w:t>
      </w:r>
      <w:proofErr w:type="spellEnd"/>
      <w:r w:rsidRPr="00416433">
        <w:rPr>
          <w:sz w:val="28"/>
          <w:szCs w:val="28"/>
        </w:rPr>
        <w:t xml:space="preserve"> sloga samazināšanas, aicina Padomi un Parlamentu darīt to pašu. Vienlaikus dalībvalstu likumdevējiem vajadzētu savlaicīgi ieviest pieņemtos priekšlikumus, izvairīties no „pārcenšanās” ES tiesību aktu ieviešanas procesā </w:t>
      </w:r>
      <w:r w:rsidRPr="00416433">
        <w:rPr>
          <w:i/>
          <w:sz w:val="28"/>
          <w:szCs w:val="28"/>
        </w:rPr>
        <w:t>(„</w:t>
      </w:r>
      <w:proofErr w:type="spellStart"/>
      <w:r w:rsidRPr="00416433">
        <w:rPr>
          <w:i/>
          <w:sz w:val="28"/>
          <w:szCs w:val="28"/>
        </w:rPr>
        <w:t>goldplating</w:t>
      </w:r>
      <w:proofErr w:type="spellEnd"/>
      <w:r w:rsidRPr="00416433">
        <w:rPr>
          <w:i/>
          <w:sz w:val="28"/>
          <w:szCs w:val="28"/>
        </w:rPr>
        <w:t xml:space="preserve"> – papildus regulējošu pasākumu ieviešana, kas nav paredzēti ES tiesību aktos”)</w:t>
      </w:r>
      <w:r w:rsidRPr="00416433">
        <w:rPr>
          <w:sz w:val="28"/>
          <w:szCs w:val="28"/>
        </w:rPr>
        <w:t xml:space="preserve"> un, cik vien iespējams, sekot labākās prakses piemēriem.</w:t>
      </w:r>
    </w:p>
    <w:p w:rsidR="00416433" w:rsidRDefault="00416433" w:rsidP="00416433">
      <w:pPr>
        <w:jc w:val="both"/>
        <w:rPr>
          <w:sz w:val="28"/>
          <w:szCs w:val="28"/>
        </w:rPr>
      </w:pPr>
    </w:p>
    <w:p w:rsidR="00400843" w:rsidRPr="00416433" w:rsidRDefault="00400843" w:rsidP="00416433">
      <w:pPr>
        <w:jc w:val="both"/>
        <w:rPr>
          <w:sz w:val="28"/>
          <w:szCs w:val="28"/>
        </w:rPr>
      </w:pPr>
    </w:p>
    <w:p w:rsidR="00416433" w:rsidRPr="00416433" w:rsidRDefault="00416433" w:rsidP="00416433">
      <w:pPr>
        <w:jc w:val="both"/>
        <w:rPr>
          <w:b/>
          <w:sz w:val="28"/>
          <w:szCs w:val="28"/>
        </w:rPr>
      </w:pPr>
      <w:r w:rsidRPr="00416433">
        <w:rPr>
          <w:b/>
          <w:sz w:val="28"/>
          <w:szCs w:val="28"/>
        </w:rPr>
        <w:t>Latvijas pozīcija:</w:t>
      </w:r>
    </w:p>
    <w:p w:rsidR="00416433" w:rsidRPr="00416433" w:rsidRDefault="00416433" w:rsidP="00416433">
      <w:pPr>
        <w:jc w:val="both"/>
        <w:rPr>
          <w:sz w:val="28"/>
          <w:szCs w:val="28"/>
        </w:rPr>
      </w:pPr>
    </w:p>
    <w:p w:rsidR="00416433" w:rsidRPr="00416433" w:rsidRDefault="00416433" w:rsidP="00416433">
      <w:pPr>
        <w:jc w:val="both"/>
        <w:rPr>
          <w:sz w:val="28"/>
          <w:szCs w:val="28"/>
        </w:rPr>
      </w:pPr>
      <w:r>
        <w:rPr>
          <w:sz w:val="28"/>
          <w:szCs w:val="28"/>
        </w:rPr>
        <w:tab/>
      </w:r>
      <w:r w:rsidRPr="00416433">
        <w:rPr>
          <w:b/>
          <w:sz w:val="28"/>
          <w:szCs w:val="28"/>
        </w:rPr>
        <w:t>Latvija atzinīgi novērtē</w:t>
      </w:r>
      <w:r w:rsidRPr="00416433">
        <w:rPr>
          <w:sz w:val="28"/>
          <w:szCs w:val="28"/>
        </w:rPr>
        <w:t xml:space="preserve"> PRES progresa ziņojumu par administratīvā sloga samazināšanas programmu Eiropas Savienībā.</w:t>
      </w:r>
    </w:p>
    <w:p w:rsidR="00416433" w:rsidRPr="00416433" w:rsidRDefault="00416433" w:rsidP="00416433">
      <w:pPr>
        <w:jc w:val="both"/>
        <w:rPr>
          <w:sz w:val="28"/>
          <w:szCs w:val="28"/>
        </w:rPr>
      </w:pPr>
      <w:r>
        <w:rPr>
          <w:sz w:val="28"/>
          <w:szCs w:val="28"/>
        </w:rPr>
        <w:tab/>
      </w:r>
      <w:r w:rsidRPr="00416433">
        <w:rPr>
          <w:b/>
          <w:sz w:val="28"/>
          <w:szCs w:val="28"/>
        </w:rPr>
        <w:t>Latvija piekrīt</w:t>
      </w:r>
      <w:r w:rsidRPr="00416433">
        <w:rPr>
          <w:sz w:val="28"/>
          <w:szCs w:val="28"/>
        </w:rPr>
        <w:t xml:space="preserve"> nostādnei, ka ieviešot ES tiesību aktus, dalībvalstīm ir jāizvairās no papildu regulējošu pasākumu ieviešanas tendences („</w:t>
      </w:r>
      <w:proofErr w:type="spellStart"/>
      <w:r w:rsidRPr="00416433">
        <w:rPr>
          <w:sz w:val="28"/>
          <w:szCs w:val="28"/>
        </w:rPr>
        <w:t>goldplating</w:t>
      </w:r>
      <w:proofErr w:type="spellEnd"/>
      <w:r w:rsidRPr="00416433">
        <w:rPr>
          <w:sz w:val="28"/>
          <w:szCs w:val="28"/>
        </w:rPr>
        <w:t>”  – tādu papildu pasākumu ieviešana, kas nav paredzēti ES tiesību aktos).</w:t>
      </w:r>
    </w:p>
    <w:p w:rsidR="00416433" w:rsidRPr="00416433" w:rsidRDefault="00F668C9" w:rsidP="00416433">
      <w:pPr>
        <w:jc w:val="both"/>
        <w:rPr>
          <w:sz w:val="28"/>
          <w:szCs w:val="28"/>
        </w:rPr>
      </w:pPr>
      <w:r>
        <w:rPr>
          <w:sz w:val="28"/>
          <w:szCs w:val="28"/>
        </w:rPr>
        <w:tab/>
      </w:r>
      <w:r w:rsidR="00416433" w:rsidRPr="00416433">
        <w:rPr>
          <w:sz w:val="28"/>
          <w:szCs w:val="28"/>
        </w:rPr>
        <w:t xml:space="preserve">Latvija turpina darbu pie administratīvā sloga samazināšanas nacionālā līmenī un līdz 2013.gadam plāno izpildīt tās noteikto mērķi – 25 % administratīvā sloga samazinājumu. </w:t>
      </w:r>
    </w:p>
    <w:p w:rsidR="00416433" w:rsidRPr="00416433" w:rsidRDefault="00416433" w:rsidP="00416433">
      <w:pPr>
        <w:jc w:val="both"/>
        <w:rPr>
          <w:sz w:val="28"/>
          <w:szCs w:val="28"/>
        </w:rPr>
      </w:pPr>
      <w:r>
        <w:rPr>
          <w:sz w:val="28"/>
          <w:szCs w:val="28"/>
        </w:rPr>
        <w:tab/>
      </w:r>
      <w:r w:rsidRPr="00416433">
        <w:rPr>
          <w:b/>
          <w:sz w:val="28"/>
          <w:szCs w:val="28"/>
        </w:rPr>
        <w:t>Piekrītam</w:t>
      </w:r>
      <w:r w:rsidRPr="00416433">
        <w:rPr>
          <w:sz w:val="28"/>
          <w:szCs w:val="28"/>
        </w:rPr>
        <w:t xml:space="preserve">, ka ir nepieciešams mazināt citas no normatīvā regulējuma  prasībām izrietošās birokrātiskās normas, kas tādējādi sadārdzina ar uzņēmējdarbību saistītās izmaksas un rada neadekvātu birokrātisko slogu. Vienlaikus vēršam uzmanību, ka ne tikai kvantitatīvo mērķu noteikšana (piemēram, % mērķu sasniegšana) ir būtiska turpmākajam darbam, samazinot nevajadzīgās regulējošās prasības. </w:t>
      </w:r>
    </w:p>
    <w:p w:rsidR="00416433" w:rsidRPr="000E7CD7" w:rsidRDefault="00416433" w:rsidP="00416433">
      <w:pPr>
        <w:jc w:val="both"/>
        <w:rPr>
          <w:sz w:val="28"/>
          <w:szCs w:val="28"/>
        </w:rPr>
      </w:pPr>
      <w:r>
        <w:rPr>
          <w:sz w:val="28"/>
          <w:szCs w:val="28"/>
        </w:rPr>
        <w:tab/>
      </w:r>
      <w:r w:rsidRPr="00416433">
        <w:rPr>
          <w:b/>
          <w:sz w:val="28"/>
          <w:szCs w:val="28"/>
        </w:rPr>
        <w:t>Latvija uzskata</w:t>
      </w:r>
      <w:r w:rsidRPr="00416433">
        <w:rPr>
          <w:sz w:val="28"/>
          <w:szCs w:val="28"/>
        </w:rPr>
        <w:t>, ka ir jānodrošina uzņēmējiem kvalitatīvus, šodienas tirgus prasībām atbilstošus valsts pārvaldes pakalpojumus – ne tikai dalībvalstu pārvaldē, bet arī Eiropas institūcijās. Lai to īstenotu, kā vienu no risinājumiem saredzam kvalitatīva monitoringa veikšanu MVU identificētā</w:t>
      </w:r>
      <w:r w:rsidR="00E91EC5">
        <w:rPr>
          <w:sz w:val="28"/>
          <w:szCs w:val="28"/>
        </w:rPr>
        <w:t>s 3 visapgrūtinošākajās jomās (</w:t>
      </w:r>
      <w:r w:rsidRPr="00416433">
        <w:rPr>
          <w:sz w:val="28"/>
          <w:szCs w:val="28"/>
        </w:rPr>
        <w:t>un to sakārtošanā jau no Eiropas līmeņa dokumentācijas līdz pat nacionālā ietvara likumdošanai). Kā labu instrumentu minētās aktivitātes veikšanai saredzam šī gada maijā izveidotās MVU sūtņu augs</w:t>
      </w:r>
      <w:r>
        <w:rPr>
          <w:sz w:val="28"/>
          <w:szCs w:val="28"/>
        </w:rPr>
        <w:t>ta līmeņa darba grupas ietvaru.</w:t>
      </w:r>
    </w:p>
    <w:p w:rsidR="00D0106C" w:rsidRDefault="00D0106C" w:rsidP="003B72E4">
      <w:pPr>
        <w:jc w:val="both"/>
        <w:rPr>
          <w:sz w:val="28"/>
          <w:szCs w:val="28"/>
        </w:rPr>
      </w:pPr>
    </w:p>
    <w:p w:rsidR="00F668C9" w:rsidRDefault="00F668C9" w:rsidP="003B72E4">
      <w:pPr>
        <w:jc w:val="both"/>
        <w:rPr>
          <w:sz w:val="28"/>
          <w:szCs w:val="28"/>
        </w:rPr>
      </w:pPr>
    </w:p>
    <w:p w:rsidR="00F668C9" w:rsidRDefault="00F668C9" w:rsidP="003B72E4">
      <w:pPr>
        <w:jc w:val="both"/>
        <w:rPr>
          <w:sz w:val="28"/>
          <w:szCs w:val="28"/>
        </w:rPr>
      </w:pPr>
    </w:p>
    <w:p w:rsidR="00F668C9" w:rsidRDefault="00F668C9" w:rsidP="003B72E4">
      <w:pPr>
        <w:jc w:val="both"/>
        <w:rPr>
          <w:sz w:val="28"/>
          <w:szCs w:val="28"/>
        </w:rPr>
      </w:pPr>
    </w:p>
    <w:p w:rsidR="00400843" w:rsidRDefault="00400843" w:rsidP="003B72E4">
      <w:pPr>
        <w:jc w:val="both"/>
        <w:rPr>
          <w:sz w:val="28"/>
          <w:szCs w:val="28"/>
        </w:rPr>
      </w:pPr>
    </w:p>
    <w:p w:rsidR="00400843" w:rsidRDefault="00400843" w:rsidP="003B72E4">
      <w:pPr>
        <w:jc w:val="both"/>
        <w:rPr>
          <w:sz w:val="28"/>
          <w:szCs w:val="28"/>
        </w:rPr>
      </w:pPr>
    </w:p>
    <w:p w:rsidR="00400843" w:rsidRDefault="00400843" w:rsidP="003B72E4">
      <w:pPr>
        <w:jc w:val="both"/>
        <w:rPr>
          <w:sz w:val="28"/>
          <w:szCs w:val="28"/>
        </w:rPr>
      </w:pPr>
    </w:p>
    <w:p w:rsidR="002E087D" w:rsidRPr="000E7CD7" w:rsidRDefault="002E087D" w:rsidP="002E087D">
      <w:pPr>
        <w:pBdr>
          <w:bottom w:val="single" w:sz="4" w:space="1" w:color="auto"/>
        </w:pBdr>
        <w:spacing w:after="120"/>
        <w:jc w:val="both"/>
        <w:rPr>
          <w:b/>
          <w:sz w:val="28"/>
          <w:szCs w:val="28"/>
        </w:rPr>
      </w:pPr>
      <w:r>
        <w:rPr>
          <w:b/>
          <w:sz w:val="28"/>
          <w:szCs w:val="28"/>
        </w:rPr>
        <w:lastRenderedPageBreak/>
        <w:t>1.4</w:t>
      </w:r>
      <w:r w:rsidRPr="000E7CD7">
        <w:rPr>
          <w:b/>
          <w:sz w:val="28"/>
          <w:szCs w:val="28"/>
        </w:rPr>
        <w:t xml:space="preserve">. </w:t>
      </w:r>
      <w:r w:rsidRPr="002E087D">
        <w:rPr>
          <w:b/>
          <w:sz w:val="28"/>
          <w:szCs w:val="28"/>
        </w:rPr>
        <w:t>Zaļā grāmata: Profesionālo kvalifikāciju direktīvas modernizēšana</w:t>
      </w:r>
      <w:r w:rsidR="00861DB7">
        <w:rPr>
          <w:b/>
          <w:sz w:val="28"/>
          <w:szCs w:val="28"/>
        </w:rPr>
        <w:t xml:space="preserve"> (Izglītības ministrijas kompetences jautājums)</w:t>
      </w:r>
    </w:p>
    <w:p w:rsidR="002E087D" w:rsidRDefault="002E087D" w:rsidP="002E087D">
      <w:pPr>
        <w:jc w:val="both"/>
        <w:rPr>
          <w:i/>
          <w:sz w:val="28"/>
          <w:szCs w:val="28"/>
        </w:rPr>
      </w:pPr>
      <w:r w:rsidRPr="00B30E6A">
        <w:rPr>
          <w:i/>
          <w:sz w:val="28"/>
          <w:szCs w:val="28"/>
        </w:rPr>
        <w:t>-</w:t>
      </w:r>
      <w:r w:rsidRPr="002E087D">
        <w:rPr>
          <w:i/>
          <w:sz w:val="28"/>
          <w:szCs w:val="28"/>
        </w:rPr>
        <w:t>Komisijas sniegta informācija</w:t>
      </w:r>
    </w:p>
    <w:p w:rsidR="002E087D" w:rsidRDefault="002E087D" w:rsidP="003B72E4">
      <w:pPr>
        <w:jc w:val="both"/>
        <w:rPr>
          <w:sz w:val="28"/>
          <w:szCs w:val="28"/>
        </w:rPr>
      </w:pPr>
    </w:p>
    <w:p w:rsidR="002E087D" w:rsidRPr="002E087D" w:rsidRDefault="002E087D" w:rsidP="002E087D">
      <w:pPr>
        <w:jc w:val="both"/>
        <w:rPr>
          <w:sz w:val="28"/>
          <w:szCs w:val="28"/>
        </w:rPr>
      </w:pPr>
      <w:r>
        <w:rPr>
          <w:sz w:val="28"/>
          <w:szCs w:val="28"/>
        </w:rPr>
        <w:tab/>
      </w:r>
      <w:r w:rsidRPr="002E087D">
        <w:rPr>
          <w:sz w:val="28"/>
          <w:szCs w:val="28"/>
        </w:rPr>
        <w:t xml:space="preserve">ES pilsoņi (arī tie trešo valstu </w:t>
      </w:r>
      <w:proofErr w:type="spellStart"/>
      <w:r w:rsidRPr="002E087D">
        <w:rPr>
          <w:sz w:val="28"/>
          <w:szCs w:val="28"/>
        </w:rPr>
        <w:t>valstspiederīgie</w:t>
      </w:r>
      <w:proofErr w:type="spellEnd"/>
      <w:r w:rsidRPr="002E087D">
        <w:rPr>
          <w:sz w:val="28"/>
          <w:szCs w:val="28"/>
        </w:rPr>
        <w:t>, kuri izmanto Eiropas tiesību aktos paredzētās  tiesības, ES pilsoņu ģimenes locekļi, ilgtermiņa rezidenti, bēgļi un "zilās kartes" turētāji) izmanto profesionālo kvalifikāciju atzīšanu EEZ valstīs. Kā  uzsvērts stratēģijā ES 2020 stratēģijā  (Komisijas paziņojums „Eiropa 2020 — stratēģija gudrai, ilgtspējīgai un integrējošai izaugsmei”, COM(2010) 2020, 3.3.2010.)  un Aktā par vienoto tirgu (Komisijas paziņojums Eiropas Parlamentam, Padomei, Eiropas Ekonomikas un sociālo lietu komitejai un Reģionu komitejai „Akts par vienoto tirgu. Divpadsmit mehānismi, kā veicināt izaugsmi un vairot uzticēšanos, jeb „Kopīgiem spēkiem uz jaunu izaugsmi””, COM(2011) 206, SEC(2011) 467), profesionālā mobilitāte ir Eiropas konkurētspējas pamatnoteikums.</w:t>
      </w:r>
    </w:p>
    <w:p w:rsidR="002E087D" w:rsidRPr="002E087D" w:rsidRDefault="002E087D" w:rsidP="002E087D">
      <w:pPr>
        <w:jc w:val="both"/>
        <w:rPr>
          <w:sz w:val="28"/>
          <w:szCs w:val="28"/>
        </w:rPr>
      </w:pPr>
      <w:r>
        <w:rPr>
          <w:sz w:val="28"/>
          <w:szCs w:val="28"/>
        </w:rPr>
        <w:tab/>
      </w:r>
      <w:r w:rsidRPr="002E087D">
        <w:rPr>
          <w:sz w:val="28"/>
          <w:szCs w:val="28"/>
        </w:rPr>
        <w:t>2010. gada ziņojumā par ES pilsonību  (2010. gada ziņojums par ES pilsonību „Likvidējot šķēršļus ES pilsoņu tiesību īstenošanai”, COM (2010) 603, 27.10.2010.) tika konstatēts, ka apgrūtinošas un neskaidras profesionālās kvalifikācijas atzīšanas procedūras ir viens no galvenajiem šķēršļiem, ar ko joprojām saskaras ES pilsoņi, tādēļ EK ir sagatavojusi Zaļo grāmatu par Profesionālo kvalifikāciju direktīvas modernizēšanu. Direktīvas modernizācija uzlabos profesionālās kvalifikācijas atzīšanu reglamentētajās profesijās un atvieglos personu brīvu kustību.</w:t>
      </w:r>
    </w:p>
    <w:p w:rsidR="002E087D" w:rsidRDefault="002E087D" w:rsidP="002E087D">
      <w:pPr>
        <w:jc w:val="both"/>
        <w:rPr>
          <w:sz w:val="28"/>
          <w:szCs w:val="28"/>
        </w:rPr>
      </w:pPr>
      <w:r>
        <w:rPr>
          <w:sz w:val="28"/>
          <w:szCs w:val="28"/>
        </w:rPr>
        <w:tab/>
      </w:r>
      <w:r w:rsidRPr="002E087D">
        <w:rPr>
          <w:sz w:val="28"/>
          <w:szCs w:val="28"/>
        </w:rPr>
        <w:t>Latvijas Republikā Eiropas Parlamenta un Padomes 2005. gada 7. septembra Direktīva 2005/36/EK par profesionālo kvalifikāciju atzīšanu (Teksts attiecas uz EEZ) ir pilnībā pārņemta ar likumu „Par reglamentētajām profesijām un profesionālās kvalifikācijas atzīšanu”.</w:t>
      </w:r>
    </w:p>
    <w:p w:rsidR="002E087D" w:rsidRPr="002E087D" w:rsidRDefault="00611C7C" w:rsidP="007118B4">
      <w:pPr>
        <w:jc w:val="both"/>
        <w:rPr>
          <w:sz w:val="28"/>
          <w:szCs w:val="28"/>
        </w:rPr>
      </w:pPr>
      <w:r>
        <w:rPr>
          <w:sz w:val="28"/>
          <w:szCs w:val="28"/>
        </w:rPr>
        <w:tab/>
        <w:t>Sākotnējā pozīcija par Zaļo grāmatu šobrīd ir izstrādes procesā</w:t>
      </w:r>
      <w:r w:rsidR="009F38DD">
        <w:rPr>
          <w:sz w:val="28"/>
          <w:szCs w:val="28"/>
        </w:rPr>
        <w:t>.</w:t>
      </w:r>
      <w:r>
        <w:rPr>
          <w:sz w:val="28"/>
          <w:szCs w:val="28"/>
        </w:rPr>
        <w:t xml:space="preserve"> Latvijas </w:t>
      </w:r>
      <w:r w:rsidR="00D12A0E">
        <w:rPr>
          <w:sz w:val="28"/>
          <w:szCs w:val="28"/>
        </w:rPr>
        <w:t>viedoklis par šo</w:t>
      </w:r>
      <w:r>
        <w:rPr>
          <w:sz w:val="28"/>
          <w:szCs w:val="28"/>
        </w:rPr>
        <w:t xml:space="preserve"> jautājumu</w:t>
      </w:r>
      <w:r w:rsidR="00D12A0E">
        <w:rPr>
          <w:sz w:val="28"/>
          <w:szCs w:val="28"/>
        </w:rPr>
        <w:t xml:space="preserve"> pausts Ekonomikas ministrijas</w:t>
      </w:r>
      <w:r w:rsidR="007118B4">
        <w:rPr>
          <w:sz w:val="28"/>
          <w:szCs w:val="28"/>
        </w:rPr>
        <w:t xml:space="preserve"> 2011. gada 23. maija pozīcijā Nr.1. „</w:t>
      </w:r>
      <w:r w:rsidR="007118B4" w:rsidRPr="007118B4">
        <w:rPr>
          <w:sz w:val="28"/>
          <w:szCs w:val="28"/>
        </w:rPr>
        <w:t>Padomes secinājumi Par prioritātēm vienotā tirgus pārskatīšanai (aktivizēšanai)</w:t>
      </w:r>
      <w:r w:rsidR="007118B4">
        <w:rPr>
          <w:sz w:val="28"/>
          <w:szCs w:val="28"/>
        </w:rPr>
        <w:t xml:space="preserve"> u</w:t>
      </w:r>
      <w:r w:rsidR="007118B4" w:rsidRPr="007118B4">
        <w:rPr>
          <w:sz w:val="28"/>
          <w:szCs w:val="28"/>
        </w:rPr>
        <w:t>n</w:t>
      </w:r>
      <w:r w:rsidR="007118B4">
        <w:rPr>
          <w:sz w:val="28"/>
          <w:szCs w:val="28"/>
        </w:rPr>
        <w:t xml:space="preserve"> </w:t>
      </w:r>
      <w:r w:rsidR="007118B4" w:rsidRPr="007118B4">
        <w:rPr>
          <w:sz w:val="28"/>
          <w:szCs w:val="28"/>
        </w:rPr>
        <w:t>Komisijas komunikācija - Vienotā tirgus akts. Divpadsmit mehānismi kā veicināt izaugsmi un vairot uzticēšanos. „Kopīgiem spēkiem jaunai izaugsmei”</w:t>
      </w:r>
      <w:r w:rsidR="007118B4">
        <w:rPr>
          <w:sz w:val="28"/>
          <w:szCs w:val="28"/>
        </w:rPr>
        <w:t>”.</w:t>
      </w:r>
      <w:r>
        <w:rPr>
          <w:sz w:val="28"/>
          <w:szCs w:val="28"/>
        </w:rPr>
        <w:t xml:space="preserve"> </w:t>
      </w:r>
      <w:r w:rsidR="002E087D" w:rsidRPr="002E087D">
        <w:rPr>
          <w:b/>
          <w:sz w:val="28"/>
          <w:szCs w:val="28"/>
        </w:rPr>
        <w:t>Latvija kopumā atbalsta</w:t>
      </w:r>
      <w:r w:rsidR="002E087D" w:rsidRPr="002E087D">
        <w:rPr>
          <w:sz w:val="28"/>
          <w:szCs w:val="28"/>
        </w:rPr>
        <w:t xml:space="preserve"> Profesionālo kvalifikāciju direktīvas modernizēšanu. 2012.gadā jaunas direktīvas, direktīvas grozījumu vai regulas, ar ko tiks grozīta esošā direktīva, veidā plānots apstiprināt profesionālās kvalifikācijas direktīvas modernizēšanu. </w:t>
      </w:r>
    </w:p>
    <w:p w:rsidR="002E087D" w:rsidRDefault="002E087D" w:rsidP="002E087D">
      <w:pPr>
        <w:jc w:val="both"/>
        <w:rPr>
          <w:sz w:val="28"/>
          <w:szCs w:val="28"/>
        </w:rPr>
      </w:pPr>
      <w:r>
        <w:rPr>
          <w:sz w:val="28"/>
          <w:szCs w:val="28"/>
        </w:rPr>
        <w:tab/>
      </w:r>
      <w:r w:rsidRPr="002E087D">
        <w:rPr>
          <w:sz w:val="28"/>
          <w:szCs w:val="28"/>
        </w:rPr>
        <w:t>Zaļās Grāmatas saturs neliecina, ka administratīvais slogs dalībvalstīm varētu pieaugt. Pilnībā ieviešot Iekšējā tirgus informācijas sistēmu profesionālo kvalifikāciju atzīšanā administratīvais slogs ievērojami samazināsies. Savukārt, ja profesionālās kartes izsniegšanu neuzticēs sabiedriskām organizācijām, bet valsts institūcijām, var būt nepieciešamība izveidot jaunu institūciju vai uzticēt papildus funkciju esošai valsts institūcijai. Zaļā grāmata paredz, ka dalībvalstīm profesionālās kartes izsniegšana nebūs obligāta.</w:t>
      </w:r>
    </w:p>
    <w:p w:rsidR="00F33C3C" w:rsidRPr="000E7CD7" w:rsidRDefault="00F33C3C" w:rsidP="003B72E4">
      <w:pPr>
        <w:jc w:val="both"/>
        <w:rPr>
          <w:sz w:val="28"/>
          <w:szCs w:val="28"/>
        </w:rPr>
      </w:pPr>
    </w:p>
    <w:p w:rsidR="00897AEF" w:rsidRPr="00F97495" w:rsidRDefault="002E087D" w:rsidP="003B72E4">
      <w:pPr>
        <w:pBdr>
          <w:bottom w:val="single" w:sz="4" w:space="1" w:color="auto"/>
        </w:pBdr>
        <w:spacing w:after="120"/>
        <w:jc w:val="both"/>
        <w:rPr>
          <w:sz w:val="28"/>
          <w:szCs w:val="28"/>
        </w:rPr>
      </w:pPr>
      <w:r>
        <w:rPr>
          <w:b/>
          <w:sz w:val="28"/>
          <w:szCs w:val="28"/>
        </w:rPr>
        <w:t>1.5</w:t>
      </w:r>
      <w:r w:rsidR="00897AEF" w:rsidRPr="000E7CD7">
        <w:rPr>
          <w:b/>
          <w:sz w:val="28"/>
          <w:szCs w:val="28"/>
        </w:rPr>
        <w:t xml:space="preserve">. </w:t>
      </w:r>
      <w:r w:rsidR="00E23854">
        <w:rPr>
          <w:b/>
          <w:sz w:val="28"/>
          <w:szCs w:val="28"/>
        </w:rPr>
        <w:t>Citi jautājumi</w:t>
      </w:r>
    </w:p>
    <w:p w:rsidR="00C016AF" w:rsidRDefault="00C016AF" w:rsidP="00C016AF">
      <w:pPr>
        <w:pStyle w:val="ListParagraph"/>
        <w:spacing w:after="120"/>
        <w:jc w:val="both"/>
        <w:rPr>
          <w:sz w:val="28"/>
          <w:szCs w:val="28"/>
        </w:rPr>
      </w:pPr>
    </w:p>
    <w:p w:rsidR="00400843" w:rsidRDefault="00400843" w:rsidP="00C016AF">
      <w:pPr>
        <w:pStyle w:val="ListParagraph"/>
        <w:spacing w:after="120"/>
        <w:jc w:val="both"/>
        <w:rPr>
          <w:sz w:val="28"/>
          <w:szCs w:val="28"/>
        </w:rPr>
      </w:pPr>
    </w:p>
    <w:p w:rsidR="00F72822" w:rsidRPr="00F72822" w:rsidRDefault="00F72822" w:rsidP="00F72822">
      <w:pPr>
        <w:pStyle w:val="ListParagraph"/>
        <w:numPr>
          <w:ilvl w:val="0"/>
          <w:numId w:val="10"/>
        </w:numPr>
        <w:spacing w:after="120"/>
        <w:jc w:val="both"/>
        <w:rPr>
          <w:sz w:val="28"/>
          <w:szCs w:val="28"/>
        </w:rPr>
      </w:pPr>
      <w:r w:rsidRPr="00F72822">
        <w:rPr>
          <w:sz w:val="28"/>
          <w:szCs w:val="28"/>
        </w:rPr>
        <w:t xml:space="preserve">Neformālās Konkurētspējas padomes sanāksmes (21.-22.07.2011., </w:t>
      </w:r>
      <w:proofErr w:type="spellStart"/>
      <w:r w:rsidRPr="00F72822">
        <w:rPr>
          <w:sz w:val="28"/>
          <w:szCs w:val="28"/>
        </w:rPr>
        <w:t>Sopota</w:t>
      </w:r>
      <w:proofErr w:type="spellEnd"/>
      <w:r w:rsidRPr="00F72822">
        <w:rPr>
          <w:sz w:val="28"/>
          <w:szCs w:val="28"/>
        </w:rPr>
        <w:t>) rezultāti</w:t>
      </w:r>
    </w:p>
    <w:p w:rsidR="00F72822" w:rsidRPr="00F72822" w:rsidRDefault="00F72822" w:rsidP="00F72822">
      <w:pPr>
        <w:pStyle w:val="ListParagraph"/>
        <w:spacing w:after="120"/>
        <w:jc w:val="both"/>
        <w:rPr>
          <w:i/>
          <w:sz w:val="28"/>
          <w:szCs w:val="28"/>
        </w:rPr>
      </w:pPr>
      <w:r>
        <w:rPr>
          <w:i/>
          <w:sz w:val="28"/>
          <w:szCs w:val="28"/>
        </w:rPr>
        <w:t>-Informācija no Padomes prezidentūras</w:t>
      </w:r>
    </w:p>
    <w:p w:rsidR="00C016AF" w:rsidRDefault="00F72822" w:rsidP="00F72822">
      <w:pPr>
        <w:spacing w:after="120"/>
        <w:jc w:val="both"/>
        <w:rPr>
          <w:sz w:val="28"/>
          <w:szCs w:val="28"/>
        </w:rPr>
      </w:pPr>
      <w:r>
        <w:rPr>
          <w:sz w:val="28"/>
          <w:szCs w:val="28"/>
        </w:rPr>
        <w:tab/>
      </w:r>
    </w:p>
    <w:p w:rsidR="00F72822" w:rsidRPr="00F72822" w:rsidRDefault="00C016AF" w:rsidP="00F72822">
      <w:pPr>
        <w:spacing w:after="120"/>
        <w:jc w:val="both"/>
        <w:rPr>
          <w:sz w:val="28"/>
          <w:szCs w:val="28"/>
        </w:rPr>
      </w:pPr>
      <w:r>
        <w:rPr>
          <w:sz w:val="28"/>
          <w:szCs w:val="28"/>
        </w:rPr>
        <w:tab/>
      </w:r>
      <w:r w:rsidR="00F72822" w:rsidRPr="00F72822">
        <w:rPr>
          <w:sz w:val="28"/>
          <w:szCs w:val="28"/>
        </w:rPr>
        <w:t xml:space="preserve">Laikā no 2011.gada 21.jūlija līdz 22.jūlijam Polijas prezidentūra Polijā, </w:t>
      </w:r>
      <w:proofErr w:type="spellStart"/>
      <w:r w:rsidR="00F72822" w:rsidRPr="00F72822">
        <w:rPr>
          <w:sz w:val="28"/>
          <w:szCs w:val="28"/>
        </w:rPr>
        <w:t>Sopotā</w:t>
      </w:r>
      <w:proofErr w:type="spellEnd"/>
      <w:r w:rsidR="00F72822" w:rsidRPr="00F72822">
        <w:rPr>
          <w:sz w:val="28"/>
          <w:szCs w:val="28"/>
        </w:rPr>
        <w:t xml:space="preserve"> organizēja neformālo ES Konkurētspējas ministru padomes sanāksmi, kurā diskusijas tēma bija rūpniecība, īpašu uzmanību pievēršot ilgtspējīgas rūpniecības attīstīšanai un resursu efektivitātes jautājumiem.</w:t>
      </w:r>
    </w:p>
    <w:p w:rsidR="00F72822" w:rsidRPr="00F72822" w:rsidRDefault="00F72822" w:rsidP="00F72822">
      <w:pPr>
        <w:spacing w:after="120"/>
        <w:jc w:val="both"/>
        <w:rPr>
          <w:sz w:val="28"/>
          <w:szCs w:val="28"/>
        </w:rPr>
      </w:pPr>
      <w:r>
        <w:rPr>
          <w:sz w:val="28"/>
          <w:szCs w:val="28"/>
        </w:rPr>
        <w:tab/>
      </w:r>
      <w:r w:rsidRPr="00F72822">
        <w:rPr>
          <w:sz w:val="28"/>
          <w:szCs w:val="28"/>
        </w:rPr>
        <w:t xml:space="preserve">Prezidentūras izvirzītās diskusijas pamatā bija aicinājums nepieciešamībai mainīt rūpniecības politiku, to balstot uz sabalansētu konkurētspējas attīstīšanu un vides jautājumu, t.sk. resursu efektivitātes sekmēšanu rūpniecības sektorā. Uzņēmējdarbības un rūpniecības komisārs </w:t>
      </w:r>
      <w:proofErr w:type="spellStart"/>
      <w:r w:rsidRPr="00F72822">
        <w:rPr>
          <w:sz w:val="28"/>
          <w:szCs w:val="28"/>
        </w:rPr>
        <w:t>A.Tajani</w:t>
      </w:r>
      <w:proofErr w:type="spellEnd"/>
      <w:r w:rsidRPr="00F72822">
        <w:rPr>
          <w:sz w:val="28"/>
          <w:szCs w:val="28"/>
        </w:rPr>
        <w:t xml:space="preserve"> uzsvēra, ka nedrīkst palielināt rūpniecības izmaksas, norādot, ka nākamajā plānošanas periodā Komisija iecerējusi palielināt ieguldījumus pielietojamās pētniecības attīstīšanai, kas radītu pozitīvu efektu arī rūpniecības ilgtspējai. Komisārs uzsvēra nepieciešamību uzlabot situāciju izglītības jomā, palielinot inženierzinātnēs izglītību ieguvušo personu skaitu.</w:t>
      </w:r>
    </w:p>
    <w:p w:rsidR="00F72822" w:rsidRPr="00F72822" w:rsidRDefault="00F72822" w:rsidP="00F72822">
      <w:pPr>
        <w:spacing w:after="120"/>
        <w:jc w:val="both"/>
        <w:rPr>
          <w:sz w:val="28"/>
          <w:szCs w:val="28"/>
        </w:rPr>
      </w:pPr>
      <w:r>
        <w:rPr>
          <w:sz w:val="28"/>
          <w:szCs w:val="28"/>
        </w:rPr>
        <w:tab/>
      </w:r>
      <w:r w:rsidRPr="00F72822">
        <w:rPr>
          <w:sz w:val="28"/>
          <w:szCs w:val="28"/>
        </w:rPr>
        <w:t xml:space="preserve">Vairākas valstis uzsvēra gudra regulējuma nozīmi Eiropas rūpniecības konkurētspējai, kā arī tika uzsvērta administratīvā sloga mazināšanas nepieciešamība. Kopumā jāpanāk </w:t>
      </w:r>
      <w:proofErr w:type="spellStart"/>
      <w:r w:rsidRPr="00F72822">
        <w:rPr>
          <w:sz w:val="28"/>
          <w:szCs w:val="28"/>
        </w:rPr>
        <w:t>win-win</w:t>
      </w:r>
      <w:proofErr w:type="spellEnd"/>
      <w:r w:rsidRPr="00F72822">
        <w:rPr>
          <w:sz w:val="28"/>
          <w:szCs w:val="28"/>
        </w:rPr>
        <w:t xml:space="preserve"> situācija, kad rūpniecības konkurētspēja iet kopsolī ar vides izaicinājumu risināšanu, bet vides izaicinājumi un </w:t>
      </w:r>
      <w:proofErr w:type="spellStart"/>
      <w:r w:rsidRPr="00F72822">
        <w:rPr>
          <w:sz w:val="28"/>
          <w:szCs w:val="28"/>
        </w:rPr>
        <w:t>ekoefektīvi</w:t>
      </w:r>
      <w:proofErr w:type="spellEnd"/>
      <w:r w:rsidRPr="00F72822">
        <w:rPr>
          <w:sz w:val="28"/>
          <w:szCs w:val="28"/>
        </w:rPr>
        <w:t xml:space="preserve"> risinājumi tiek pārvērsti jaunos biznesa modeļos.</w:t>
      </w:r>
    </w:p>
    <w:p w:rsidR="00F72822" w:rsidRDefault="00F72822" w:rsidP="00F72822">
      <w:pPr>
        <w:spacing w:after="120"/>
        <w:jc w:val="both"/>
        <w:rPr>
          <w:sz w:val="28"/>
          <w:szCs w:val="28"/>
        </w:rPr>
      </w:pPr>
      <w:r>
        <w:rPr>
          <w:sz w:val="28"/>
          <w:szCs w:val="28"/>
        </w:rPr>
        <w:tab/>
      </w:r>
      <w:r w:rsidRPr="00F72822">
        <w:rPr>
          <w:sz w:val="28"/>
          <w:szCs w:val="28"/>
        </w:rPr>
        <w:t>Latvijas pārstāvji pauda viedokli, ka nozīmīga ir uzņēmējdarbības vide, zināšanu ekonomikas attīstīšana, kā arī sapratīga likumdošana, kas var kļūt par pamatu investīciju pieaugumam šo izaicinājumu sasniegšanā. Latvijas pārstāvji norādīja, ka jāstrādā pie modernāku (</w:t>
      </w:r>
      <w:proofErr w:type="spellStart"/>
      <w:r w:rsidRPr="00F72822">
        <w:rPr>
          <w:sz w:val="28"/>
          <w:szCs w:val="28"/>
        </w:rPr>
        <w:t>sophisticated</w:t>
      </w:r>
      <w:proofErr w:type="spellEnd"/>
      <w:r w:rsidRPr="00F72822">
        <w:rPr>
          <w:sz w:val="28"/>
          <w:szCs w:val="28"/>
        </w:rPr>
        <w:t>) biznesa modeļu izveides, atbilstošu atbalsta mehānismu un finanšu pieejamības instrumentu nodrošināšanas.</w:t>
      </w:r>
    </w:p>
    <w:p w:rsidR="00C016AF" w:rsidRPr="00F72822" w:rsidRDefault="00C016AF" w:rsidP="00F72822">
      <w:pPr>
        <w:spacing w:after="120"/>
        <w:jc w:val="both"/>
        <w:rPr>
          <w:sz w:val="28"/>
          <w:szCs w:val="28"/>
        </w:rPr>
      </w:pPr>
    </w:p>
    <w:p w:rsidR="00F72822" w:rsidRDefault="00F72822" w:rsidP="00F72822">
      <w:pPr>
        <w:pStyle w:val="ListParagraph"/>
        <w:numPr>
          <w:ilvl w:val="0"/>
          <w:numId w:val="10"/>
        </w:numPr>
        <w:spacing w:after="120"/>
        <w:jc w:val="both"/>
        <w:rPr>
          <w:sz w:val="28"/>
          <w:szCs w:val="28"/>
        </w:rPr>
      </w:pPr>
      <w:r w:rsidRPr="00F72822">
        <w:rPr>
          <w:sz w:val="28"/>
          <w:szCs w:val="28"/>
        </w:rPr>
        <w:t>Eiropas Tūrisma forums un neformālā ministru sanāksme (2011. gada 5.-7. oktobrī, Krakovā)</w:t>
      </w:r>
    </w:p>
    <w:p w:rsidR="00F72822" w:rsidRPr="00F72822" w:rsidRDefault="00F72822" w:rsidP="00F72822">
      <w:pPr>
        <w:pStyle w:val="ListParagraph"/>
        <w:spacing w:after="120"/>
        <w:jc w:val="both"/>
        <w:rPr>
          <w:i/>
          <w:sz w:val="28"/>
          <w:szCs w:val="28"/>
        </w:rPr>
      </w:pPr>
      <w:r>
        <w:rPr>
          <w:sz w:val="28"/>
          <w:szCs w:val="28"/>
        </w:rPr>
        <w:t>-</w:t>
      </w:r>
      <w:r>
        <w:rPr>
          <w:i/>
          <w:sz w:val="28"/>
          <w:szCs w:val="28"/>
        </w:rPr>
        <w:t>Informācija no Padomes prezidentūras</w:t>
      </w:r>
    </w:p>
    <w:p w:rsidR="00897AEF" w:rsidRDefault="00897AEF" w:rsidP="003B72E4">
      <w:pPr>
        <w:jc w:val="both"/>
        <w:rPr>
          <w:sz w:val="28"/>
          <w:szCs w:val="28"/>
        </w:rPr>
      </w:pPr>
    </w:p>
    <w:p w:rsidR="002E087D" w:rsidRPr="002E087D" w:rsidRDefault="002E087D" w:rsidP="002E087D">
      <w:pPr>
        <w:jc w:val="both"/>
        <w:rPr>
          <w:sz w:val="28"/>
          <w:szCs w:val="28"/>
        </w:rPr>
      </w:pPr>
      <w:r>
        <w:rPr>
          <w:sz w:val="28"/>
          <w:szCs w:val="28"/>
        </w:rPr>
        <w:tab/>
      </w:r>
      <w:r w:rsidRPr="002E087D">
        <w:rPr>
          <w:sz w:val="28"/>
          <w:szCs w:val="28"/>
        </w:rPr>
        <w:t xml:space="preserve">Ikgadējā Eiropas Tūrisma foruma galvenā tēma būs Eiropas tūrisma nozares konkurētspējas veicināšana - pirmā Eiropas Komisijas Tūrisma komunikācijas ziņojumā „Eiropa, tūristu apmeklētākā vieta pasaulē – jaunas </w:t>
      </w:r>
      <w:r w:rsidRPr="002E087D">
        <w:rPr>
          <w:sz w:val="28"/>
          <w:szCs w:val="28"/>
        </w:rPr>
        <w:lastRenderedPageBreak/>
        <w:t>Eiropas tūrisma nozares politiskās pamatnostādnes” definētā prioritāte. Šī uzdevuma efektīva realizācija tika  izvirzīta par svarīgāko Polijā un citās ES dalībvalstīs. Mums nepieciešams stiprs, elastīgs un inovatīvs tūrisma sektors, kas spējīgs nekavējoties reaģēt uz jebkuru kritisku situāciju. Ņemot vērā šo, diskusijas Eiropas tūrisma forumā norisināsies par šādām tēmām: Sociālekonomisko zināšanu bāzes par tūrismu konsolidācija un Inovācijas, informācija un komunikācijas tehnoloģijas tūrismā. Polijas prezidentūra gribēs izprast dalībvalstu vajadzības attiecībā uz Virtuālo Tūrisma Observatoriju un ICT un tūrisma platformu, un par šo instrumentu lomu tūrisma attīstībā.</w:t>
      </w:r>
    </w:p>
    <w:p w:rsidR="002E087D" w:rsidRDefault="002E087D" w:rsidP="002E087D">
      <w:pPr>
        <w:jc w:val="both"/>
        <w:rPr>
          <w:sz w:val="28"/>
          <w:szCs w:val="28"/>
        </w:rPr>
      </w:pPr>
      <w:r>
        <w:rPr>
          <w:sz w:val="28"/>
          <w:szCs w:val="28"/>
        </w:rPr>
        <w:tab/>
      </w:r>
      <w:r w:rsidRPr="002E087D">
        <w:rPr>
          <w:sz w:val="28"/>
          <w:szCs w:val="28"/>
        </w:rPr>
        <w:t>Ne</w:t>
      </w:r>
      <w:r>
        <w:rPr>
          <w:sz w:val="28"/>
          <w:szCs w:val="28"/>
        </w:rPr>
        <w:t>formālās ministru tikšanās tēma būs</w:t>
      </w:r>
      <w:r w:rsidRPr="002E087D">
        <w:rPr>
          <w:sz w:val="28"/>
          <w:szCs w:val="28"/>
        </w:rPr>
        <w:t xml:space="preserve"> “Eiropas Komisijas Tūrisma komunikācijas ziņojuma ieviešanas galvenie aspekti”: Eiropas atpazīstamīb</w:t>
      </w:r>
      <w:r>
        <w:rPr>
          <w:sz w:val="28"/>
          <w:szCs w:val="28"/>
        </w:rPr>
        <w:t>as veicināšana trešajās valstīs,</w:t>
      </w:r>
      <w:r w:rsidRPr="002E087D">
        <w:rPr>
          <w:sz w:val="28"/>
          <w:szCs w:val="28"/>
        </w:rPr>
        <w:t xml:space="preserve"> stiprinot transnacionālo sadarbību starp Eiropas komisiju, Dalībvalstīm (Kandidātvalstīm) un to nacionālajām tūrisma organizācijām, sadarbībā ar Eiropas ceļojumu komisiju.</w:t>
      </w:r>
    </w:p>
    <w:p w:rsidR="008348FC" w:rsidRDefault="008348FC" w:rsidP="00400843">
      <w:pPr>
        <w:spacing w:before="120" w:after="120"/>
        <w:jc w:val="both"/>
        <w:rPr>
          <w:sz w:val="28"/>
          <w:szCs w:val="28"/>
        </w:rPr>
      </w:pPr>
    </w:p>
    <w:p w:rsidR="00F72822" w:rsidRPr="00F72822" w:rsidRDefault="00E01E44" w:rsidP="00F72822">
      <w:pPr>
        <w:pStyle w:val="ListParagraph"/>
        <w:numPr>
          <w:ilvl w:val="0"/>
          <w:numId w:val="10"/>
        </w:numPr>
        <w:spacing w:after="120"/>
        <w:jc w:val="both"/>
        <w:rPr>
          <w:sz w:val="28"/>
          <w:szCs w:val="28"/>
        </w:rPr>
      </w:pPr>
      <w:r w:rsidRPr="00E01E44">
        <w:rPr>
          <w:sz w:val="28"/>
          <w:szCs w:val="28"/>
        </w:rPr>
        <w:t>Vienotā tirgus forums (SIMFO) (2011. gada 2.-4. oktobrī, Krakovā)</w:t>
      </w:r>
    </w:p>
    <w:p w:rsidR="00F72822" w:rsidRPr="00F72822" w:rsidRDefault="00F72822" w:rsidP="00F72822">
      <w:pPr>
        <w:pStyle w:val="ListParagraph"/>
        <w:spacing w:after="120"/>
        <w:jc w:val="both"/>
        <w:rPr>
          <w:i/>
          <w:sz w:val="28"/>
          <w:szCs w:val="28"/>
        </w:rPr>
      </w:pPr>
      <w:r>
        <w:rPr>
          <w:i/>
          <w:sz w:val="28"/>
          <w:szCs w:val="28"/>
        </w:rPr>
        <w:t>-Informācija no Padomes prezidentūra</w:t>
      </w:r>
      <w:r w:rsidR="00E01E44">
        <w:rPr>
          <w:i/>
          <w:sz w:val="28"/>
          <w:szCs w:val="28"/>
        </w:rPr>
        <w:t xml:space="preserve">s </w:t>
      </w:r>
      <w:r w:rsidR="00E01E44" w:rsidRPr="00E01E44">
        <w:rPr>
          <w:i/>
          <w:sz w:val="28"/>
          <w:szCs w:val="28"/>
        </w:rPr>
        <w:t>un Komisijas</w:t>
      </w:r>
    </w:p>
    <w:p w:rsidR="00F72822" w:rsidRDefault="00F72822" w:rsidP="003B72E4">
      <w:pPr>
        <w:jc w:val="both"/>
        <w:rPr>
          <w:sz w:val="28"/>
          <w:szCs w:val="28"/>
        </w:rPr>
      </w:pPr>
    </w:p>
    <w:p w:rsidR="00611C7C" w:rsidRPr="00611C7C" w:rsidRDefault="00611C7C" w:rsidP="00611C7C">
      <w:pPr>
        <w:jc w:val="both"/>
        <w:rPr>
          <w:sz w:val="28"/>
          <w:szCs w:val="28"/>
        </w:rPr>
      </w:pPr>
      <w:r>
        <w:rPr>
          <w:sz w:val="28"/>
          <w:szCs w:val="28"/>
        </w:rPr>
        <w:tab/>
      </w:r>
      <w:r w:rsidRPr="00611C7C">
        <w:rPr>
          <w:sz w:val="28"/>
          <w:szCs w:val="28"/>
        </w:rPr>
        <w:t>2011.g. 2-4.oktobrī Krakovā, Polijā norisināsies augsta līmeņa konference/forums, kas veltīta ES Vienotā tirgus jautājumiem (</w:t>
      </w:r>
      <w:proofErr w:type="spellStart"/>
      <w:r w:rsidRPr="00611C7C">
        <w:rPr>
          <w:sz w:val="28"/>
          <w:szCs w:val="28"/>
        </w:rPr>
        <w:t>Single</w:t>
      </w:r>
      <w:proofErr w:type="spellEnd"/>
      <w:r w:rsidRPr="00611C7C">
        <w:rPr>
          <w:sz w:val="28"/>
          <w:szCs w:val="28"/>
        </w:rPr>
        <w:t xml:space="preserve"> </w:t>
      </w:r>
      <w:proofErr w:type="spellStart"/>
      <w:r w:rsidRPr="00611C7C">
        <w:rPr>
          <w:sz w:val="28"/>
          <w:szCs w:val="28"/>
        </w:rPr>
        <w:t>Market</w:t>
      </w:r>
      <w:proofErr w:type="spellEnd"/>
      <w:r w:rsidRPr="00611C7C">
        <w:rPr>
          <w:sz w:val="28"/>
          <w:szCs w:val="28"/>
        </w:rPr>
        <w:t xml:space="preserve"> </w:t>
      </w:r>
      <w:proofErr w:type="spellStart"/>
      <w:r w:rsidRPr="00611C7C">
        <w:rPr>
          <w:sz w:val="28"/>
          <w:szCs w:val="28"/>
        </w:rPr>
        <w:t>Forum</w:t>
      </w:r>
      <w:proofErr w:type="spellEnd"/>
      <w:r w:rsidRPr="00611C7C">
        <w:rPr>
          <w:sz w:val="28"/>
          <w:szCs w:val="28"/>
        </w:rPr>
        <w:t>). Forums pulcēs uzņēmējus, valsts iestādes u.c. ieinteresētās puses, lai novērtētu Vienotā tirgus pašreizējo funkcionēšanas stāvokli, kā arī diskutētu par idejām tā stiprināšanai, t.sk., Vienotā tirgus aktā (</w:t>
      </w:r>
      <w:proofErr w:type="spellStart"/>
      <w:r w:rsidRPr="00611C7C">
        <w:rPr>
          <w:sz w:val="28"/>
          <w:szCs w:val="28"/>
        </w:rPr>
        <w:t>Single</w:t>
      </w:r>
      <w:proofErr w:type="spellEnd"/>
      <w:r w:rsidRPr="00611C7C">
        <w:rPr>
          <w:sz w:val="28"/>
          <w:szCs w:val="28"/>
        </w:rPr>
        <w:t xml:space="preserve"> </w:t>
      </w:r>
      <w:proofErr w:type="spellStart"/>
      <w:r w:rsidRPr="00611C7C">
        <w:rPr>
          <w:sz w:val="28"/>
          <w:szCs w:val="28"/>
        </w:rPr>
        <w:t>Market</w:t>
      </w:r>
      <w:proofErr w:type="spellEnd"/>
      <w:r w:rsidRPr="00611C7C">
        <w:rPr>
          <w:sz w:val="28"/>
          <w:szCs w:val="28"/>
        </w:rPr>
        <w:t xml:space="preserve"> </w:t>
      </w:r>
      <w:proofErr w:type="spellStart"/>
      <w:r w:rsidRPr="00611C7C">
        <w:rPr>
          <w:sz w:val="28"/>
          <w:szCs w:val="28"/>
        </w:rPr>
        <w:t>Act</w:t>
      </w:r>
      <w:proofErr w:type="spellEnd"/>
      <w:r w:rsidRPr="00611C7C">
        <w:rPr>
          <w:sz w:val="28"/>
          <w:szCs w:val="28"/>
        </w:rPr>
        <w:t>) nosaukto pasākumu kontekstā.</w:t>
      </w:r>
    </w:p>
    <w:p w:rsidR="00611C7C" w:rsidRPr="00611C7C" w:rsidRDefault="00611C7C" w:rsidP="00611C7C">
      <w:pPr>
        <w:jc w:val="both"/>
        <w:rPr>
          <w:sz w:val="28"/>
          <w:szCs w:val="28"/>
        </w:rPr>
      </w:pPr>
      <w:r>
        <w:rPr>
          <w:sz w:val="28"/>
          <w:szCs w:val="28"/>
        </w:rPr>
        <w:tab/>
      </w:r>
      <w:r w:rsidRPr="00611C7C">
        <w:rPr>
          <w:sz w:val="28"/>
          <w:szCs w:val="28"/>
        </w:rPr>
        <w:t xml:space="preserve">Foruma dalībnieku un runātāju vidū ir Eiropas Parlamenta priekšsēdētājs un EP deputāti, Eiropas Komisāri </w:t>
      </w:r>
      <w:proofErr w:type="spellStart"/>
      <w:r w:rsidRPr="00611C7C">
        <w:rPr>
          <w:sz w:val="28"/>
          <w:szCs w:val="28"/>
        </w:rPr>
        <w:t>M.Barnier</w:t>
      </w:r>
      <w:proofErr w:type="spellEnd"/>
      <w:r w:rsidRPr="00611C7C">
        <w:rPr>
          <w:sz w:val="28"/>
          <w:szCs w:val="28"/>
        </w:rPr>
        <w:t xml:space="preserve">, </w:t>
      </w:r>
      <w:proofErr w:type="spellStart"/>
      <w:r w:rsidRPr="00611C7C">
        <w:rPr>
          <w:sz w:val="28"/>
          <w:szCs w:val="28"/>
        </w:rPr>
        <w:t>J.Dalli</w:t>
      </w:r>
      <w:proofErr w:type="spellEnd"/>
      <w:r w:rsidRPr="00611C7C">
        <w:rPr>
          <w:sz w:val="28"/>
          <w:szCs w:val="28"/>
        </w:rPr>
        <w:t xml:space="preserve"> un Komisijas augstākā ranga ierēdņi, prof. M.Monti u.c.</w:t>
      </w:r>
    </w:p>
    <w:p w:rsidR="00611C7C" w:rsidRDefault="00611C7C" w:rsidP="00611C7C">
      <w:pPr>
        <w:jc w:val="both"/>
        <w:rPr>
          <w:sz w:val="28"/>
          <w:szCs w:val="28"/>
        </w:rPr>
      </w:pPr>
      <w:r>
        <w:rPr>
          <w:sz w:val="28"/>
          <w:szCs w:val="28"/>
        </w:rPr>
        <w:tab/>
      </w:r>
      <w:r w:rsidRPr="00611C7C">
        <w:rPr>
          <w:sz w:val="28"/>
          <w:szCs w:val="28"/>
        </w:rPr>
        <w:t>Foruma gaitā plānotas arī paralēlas darba sesijas, kurās foruma dalībnieki, publiskā sektora, ES institūciju darbinieki, kā arī biznesa pārstāvji diskutēs par Vienotā tirgus stiprināšanai svarīgiem jautājumiem.</w:t>
      </w:r>
    </w:p>
    <w:p w:rsidR="00611C7C" w:rsidRDefault="00611C7C" w:rsidP="003B72E4">
      <w:pPr>
        <w:jc w:val="both"/>
        <w:rPr>
          <w:sz w:val="28"/>
          <w:szCs w:val="28"/>
        </w:rPr>
      </w:pPr>
    </w:p>
    <w:p w:rsidR="00B26E7A" w:rsidRDefault="00B26E7A" w:rsidP="003B72E4">
      <w:pPr>
        <w:jc w:val="both"/>
        <w:rPr>
          <w:sz w:val="28"/>
          <w:szCs w:val="28"/>
        </w:rPr>
      </w:pPr>
    </w:p>
    <w:p w:rsidR="00400843" w:rsidRDefault="00400843" w:rsidP="003B72E4">
      <w:pPr>
        <w:jc w:val="both"/>
        <w:rPr>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400843" w:rsidRDefault="00400843" w:rsidP="00675BCD">
      <w:pPr>
        <w:jc w:val="both"/>
        <w:rPr>
          <w:b/>
          <w:sz w:val="28"/>
          <w:szCs w:val="28"/>
        </w:rPr>
      </w:pPr>
    </w:p>
    <w:p w:rsidR="00675BCD" w:rsidRPr="00400843" w:rsidRDefault="00675BCD" w:rsidP="00400843">
      <w:pPr>
        <w:pStyle w:val="ListParagraph"/>
        <w:numPr>
          <w:ilvl w:val="0"/>
          <w:numId w:val="8"/>
        </w:numPr>
        <w:jc w:val="both"/>
        <w:rPr>
          <w:b/>
          <w:sz w:val="28"/>
          <w:szCs w:val="28"/>
        </w:rPr>
      </w:pPr>
      <w:r w:rsidRPr="00400843">
        <w:rPr>
          <w:b/>
          <w:sz w:val="28"/>
          <w:szCs w:val="28"/>
        </w:rPr>
        <w:lastRenderedPageBreak/>
        <w:t>Latvijas delegācija</w:t>
      </w:r>
    </w:p>
    <w:p w:rsidR="00400843" w:rsidRPr="00400843" w:rsidRDefault="00400843" w:rsidP="00400843">
      <w:pPr>
        <w:pStyle w:val="ListParagraph"/>
        <w:ind w:left="360"/>
        <w:jc w:val="both"/>
        <w:rPr>
          <w:b/>
          <w:sz w:val="28"/>
          <w:szCs w:val="28"/>
        </w:rPr>
      </w:pPr>
    </w:p>
    <w:p w:rsidR="00675BCD" w:rsidRPr="00675BCD" w:rsidRDefault="00675BCD" w:rsidP="00B572CF">
      <w:pPr>
        <w:ind w:left="2835" w:hanging="2835"/>
        <w:jc w:val="both"/>
        <w:rPr>
          <w:sz w:val="28"/>
          <w:szCs w:val="28"/>
        </w:rPr>
      </w:pPr>
      <w:r>
        <w:rPr>
          <w:sz w:val="28"/>
          <w:szCs w:val="28"/>
        </w:rPr>
        <w:t xml:space="preserve">Delegācijas vadītājs: </w:t>
      </w:r>
      <w:r w:rsidR="00B572CF">
        <w:rPr>
          <w:sz w:val="28"/>
          <w:szCs w:val="28"/>
        </w:rPr>
        <w:tab/>
      </w:r>
      <w:r w:rsidRPr="00675BCD">
        <w:rPr>
          <w:b/>
          <w:sz w:val="28"/>
          <w:szCs w:val="28"/>
        </w:rPr>
        <w:t>Juris Pūce</w:t>
      </w:r>
      <w:r w:rsidRPr="00675BCD">
        <w:rPr>
          <w:sz w:val="28"/>
          <w:szCs w:val="28"/>
        </w:rPr>
        <w:t>, Ekonomikas ministrijas valsts sekretārs</w:t>
      </w:r>
    </w:p>
    <w:p w:rsidR="00E15608" w:rsidRDefault="00675BCD" w:rsidP="00675BCD">
      <w:pPr>
        <w:ind w:left="2835" w:hanging="2835"/>
        <w:jc w:val="both"/>
        <w:rPr>
          <w:sz w:val="28"/>
          <w:szCs w:val="28"/>
        </w:rPr>
      </w:pPr>
      <w:r w:rsidRPr="00675BCD">
        <w:rPr>
          <w:sz w:val="28"/>
          <w:szCs w:val="28"/>
        </w:rPr>
        <w:t xml:space="preserve">Delegācijas dalībnieki: </w:t>
      </w:r>
      <w:r w:rsidRPr="00675BCD">
        <w:rPr>
          <w:sz w:val="28"/>
          <w:szCs w:val="28"/>
        </w:rPr>
        <w:tab/>
      </w:r>
      <w:r w:rsidR="00E15608" w:rsidRPr="00E15608">
        <w:rPr>
          <w:b/>
          <w:sz w:val="28"/>
          <w:szCs w:val="28"/>
        </w:rPr>
        <w:t xml:space="preserve">Juris </w:t>
      </w:r>
      <w:proofErr w:type="spellStart"/>
      <w:r w:rsidR="00E15608" w:rsidRPr="00E15608">
        <w:rPr>
          <w:b/>
          <w:sz w:val="28"/>
          <w:szCs w:val="28"/>
        </w:rPr>
        <w:t>Štālmeisters</w:t>
      </w:r>
      <w:proofErr w:type="spellEnd"/>
      <w:r w:rsidR="00E15608">
        <w:rPr>
          <w:sz w:val="28"/>
          <w:szCs w:val="28"/>
        </w:rPr>
        <w:t xml:space="preserve">, </w:t>
      </w:r>
      <w:r w:rsidR="00E15608" w:rsidRPr="00E15608">
        <w:rPr>
          <w:sz w:val="28"/>
          <w:szCs w:val="28"/>
        </w:rPr>
        <w:t>Latvijas Republikas pastāvīgā pārst</w:t>
      </w:r>
      <w:r w:rsidR="00E15608">
        <w:rPr>
          <w:sz w:val="28"/>
          <w:szCs w:val="28"/>
        </w:rPr>
        <w:t>āvja Eiropas Savienībā vietnieks</w:t>
      </w:r>
      <w:r w:rsidR="00E15608" w:rsidRPr="00E15608">
        <w:rPr>
          <w:sz w:val="28"/>
          <w:szCs w:val="28"/>
        </w:rPr>
        <w:t>, vēst</w:t>
      </w:r>
      <w:r w:rsidR="00E15608">
        <w:rPr>
          <w:sz w:val="28"/>
          <w:szCs w:val="28"/>
        </w:rPr>
        <w:t>nieks</w:t>
      </w:r>
      <w:r w:rsidR="00E15608" w:rsidRPr="00E15608">
        <w:rPr>
          <w:sz w:val="28"/>
          <w:szCs w:val="28"/>
        </w:rPr>
        <w:t>;</w:t>
      </w:r>
    </w:p>
    <w:p w:rsidR="00675BCD" w:rsidRDefault="00675BCD" w:rsidP="00E15608">
      <w:pPr>
        <w:ind w:left="2835"/>
        <w:jc w:val="both"/>
        <w:rPr>
          <w:sz w:val="28"/>
          <w:szCs w:val="28"/>
        </w:rPr>
      </w:pPr>
      <w:r w:rsidRPr="00675BCD">
        <w:rPr>
          <w:b/>
          <w:sz w:val="28"/>
          <w:szCs w:val="28"/>
        </w:rPr>
        <w:t>Zaiga Liepiņa</w:t>
      </w:r>
      <w:r w:rsidRPr="00675BCD">
        <w:rPr>
          <w:sz w:val="28"/>
          <w:szCs w:val="28"/>
        </w:rPr>
        <w:t>, Ekonomikas ministrijas Valsts sekretāra vietniece</w:t>
      </w:r>
    </w:p>
    <w:p w:rsidR="00675BCD" w:rsidRDefault="00E15608" w:rsidP="00E15608">
      <w:pPr>
        <w:ind w:left="2835" w:hanging="2835"/>
        <w:jc w:val="both"/>
        <w:rPr>
          <w:sz w:val="28"/>
          <w:szCs w:val="28"/>
        </w:rPr>
      </w:pPr>
      <w:r>
        <w:rPr>
          <w:sz w:val="28"/>
          <w:szCs w:val="28"/>
        </w:rPr>
        <w:tab/>
      </w:r>
      <w:r w:rsidR="00675BCD" w:rsidRPr="00675BCD">
        <w:rPr>
          <w:b/>
          <w:sz w:val="28"/>
          <w:szCs w:val="28"/>
        </w:rPr>
        <w:t>Aivars Neimanis</w:t>
      </w:r>
      <w:r w:rsidR="00675BCD" w:rsidRPr="00675BCD">
        <w:rPr>
          <w:sz w:val="28"/>
          <w:szCs w:val="28"/>
        </w:rPr>
        <w:t>, Ekonomikas ministrijas nozares padomnieks Latvijas Republikas pārstāvniecībā Eiropas Savienībā</w:t>
      </w:r>
    </w:p>
    <w:p w:rsidR="00675BCD" w:rsidRPr="00675BCD" w:rsidRDefault="00675BCD" w:rsidP="00675BCD">
      <w:pPr>
        <w:ind w:left="2835"/>
        <w:jc w:val="both"/>
        <w:rPr>
          <w:sz w:val="28"/>
          <w:szCs w:val="28"/>
        </w:rPr>
      </w:pPr>
      <w:r>
        <w:rPr>
          <w:b/>
          <w:sz w:val="28"/>
          <w:szCs w:val="28"/>
        </w:rPr>
        <w:t>Anna Upena</w:t>
      </w:r>
      <w:r w:rsidRPr="00675BCD">
        <w:rPr>
          <w:sz w:val="28"/>
          <w:szCs w:val="28"/>
        </w:rPr>
        <w:t>, Ekonomikas ministrijas nozares padomnieks Latvijas Republikas pārstāvniecībā Eiropas Savienībā</w:t>
      </w:r>
    </w:p>
    <w:p w:rsidR="00675BCD" w:rsidRPr="00675BCD" w:rsidRDefault="00675BCD" w:rsidP="00675BCD">
      <w:pPr>
        <w:ind w:left="2835"/>
        <w:jc w:val="both"/>
        <w:rPr>
          <w:sz w:val="28"/>
          <w:szCs w:val="28"/>
        </w:rPr>
      </w:pPr>
    </w:p>
    <w:p w:rsidR="00526F0D" w:rsidRDefault="00526F0D" w:rsidP="003B72E4">
      <w:pPr>
        <w:spacing w:after="120"/>
        <w:rPr>
          <w:sz w:val="28"/>
          <w:szCs w:val="28"/>
        </w:rPr>
      </w:pPr>
    </w:p>
    <w:p w:rsidR="00400843" w:rsidRDefault="00400843" w:rsidP="003B72E4">
      <w:pPr>
        <w:spacing w:after="120"/>
        <w:rPr>
          <w:sz w:val="28"/>
          <w:szCs w:val="28"/>
        </w:rPr>
      </w:pPr>
    </w:p>
    <w:p w:rsidR="00400843" w:rsidRDefault="00400843" w:rsidP="003B72E4">
      <w:pPr>
        <w:spacing w:after="120"/>
        <w:rPr>
          <w:sz w:val="28"/>
          <w:szCs w:val="28"/>
        </w:rPr>
      </w:pPr>
    </w:p>
    <w:p w:rsidR="002D40CD" w:rsidRDefault="00E21948" w:rsidP="003B72E4">
      <w:pPr>
        <w:spacing w:after="120"/>
        <w:rPr>
          <w:sz w:val="28"/>
          <w:szCs w:val="28"/>
        </w:rPr>
      </w:pPr>
      <w:r w:rsidRPr="000E7CD7">
        <w:rPr>
          <w:sz w:val="28"/>
          <w:szCs w:val="28"/>
        </w:rPr>
        <w:t>Iesniedzējs: Ekonomikas ministrs</w:t>
      </w:r>
      <w:r w:rsidRPr="000E7CD7">
        <w:rPr>
          <w:sz w:val="28"/>
          <w:szCs w:val="28"/>
        </w:rPr>
        <w:tab/>
      </w:r>
      <w:r w:rsidR="00675BCD">
        <w:rPr>
          <w:sz w:val="28"/>
          <w:szCs w:val="28"/>
        </w:rPr>
        <w:tab/>
      </w:r>
      <w:r w:rsidR="00675BCD">
        <w:rPr>
          <w:sz w:val="28"/>
          <w:szCs w:val="28"/>
        </w:rPr>
        <w:tab/>
      </w:r>
      <w:r w:rsidR="00675BCD">
        <w:rPr>
          <w:sz w:val="28"/>
          <w:szCs w:val="28"/>
        </w:rPr>
        <w:tab/>
      </w:r>
      <w:r w:rsidR="00675BCD">
        <w:rPr>
          <w:sz w:val="28"/>
          <w:szCs w:val="28"/>
        </w:rPr>
        <w:tab/>
        <w:t xml:space="preserve">      </w:t>
      </w:r>
      <w:r w:rsidRPr="000E7CD7">
        <w:rPr>
          <w:sz w:val="28"/>
          <w:szCs w:val="28"/>
        </w:rPr>
        <w:t>A. Kampars</w:t>
      </w:r>
    </w:p>
    <w:p w:rsidR="00526F0D" w:rsidRDefault="00526F0D" w:rsidP="003B72E4">
      <w:pPr>
        <w:spacing w:after="120"/>
        <w:rPr>
          <w:sz w:val="28"/>
          <w:szCs w:val="28"/>
        </w:rPr>
      </w:pPr>
    </w:p>
    <w:p w:rsidR="00400843" w:rsidRDefault="00400843" w:rsidP="003B72E4">
      <w:pPr>
        <w:spacing w:after="120"/>
        <w:rPr>
          <w:sz w:val="28"/>
          <w:szCs w:val="28"/>
        </w:rPr>
      </w:pPr>
    </w:p>
    <w:p w:rsidR="00675BCD" w:rsidRPr="000E7CD7" w:rsidRDefault="00675BCD" w:rsidP="003B72E4">
      <w:pPr>
        <w:spacing w:after="120"/>
        <w:rPr>
          <w:sz w:val="28"/>
          <w:szCs w:val="28"/>
        </w:rPr>
      </w:pPr>
    </w:p>
    <w:p w:rsidR="00447246" w:rsidRDefault="00447246" w:rsidP="003B72E4">
      <w:pPr>
        <w:spacing w:after="120"/>
        <w:rPr>
          <w:sz w:val="28"/>
          <w:szCs w:val="28"/>
        </w:rPr>
      </w:pPr>
      <w:r w:rsidRPr="000E7CD7">
        <w:rPr>
          <w:sz w:val="28"/>
          <w:szCs w:val="28"/>
        </w:rPr>
        <w:t>Vizē: Valsts sekretārs</w:t>
      </w:r>
      <w:r w:rsidRPr="000E7CD7">
        <w:rPr>
          <w:sz w:val="28"/>
          <w:szCs w:val="28"/>
        </w:rPr>
        <w:tab/>
      </w:r>
      <w:r w:rsidR="00675BCD">
        <w:rPr>
          <w:sz w:val="28"/>
          <w:szCs w:val="28"/>
        </w:rPr>
        <w:tab/>
      </w:r>
      <w:r w:rsidR="00675BCD">
        <w:rPr>
          <w:sz w:val="28"/>
          <w:szCs w:val="28"/>
        </w:rPr>
        <w:tab/>
      </w:r>
      <w:r w:rsidR="00675BCD">
        <w:rPr>
          <w:sz w:val="28"/>
          <w:szCs w:val="28"/>
        </w:rPr>
        <w:tab/>
      </w:r>
      <w:r w:rsidR="00675BCD">
        <w:rPr>
          <w:sz w:val="28"/>
          <w:szCs w:val="28"/>
        </w:rPr>
        <w:tab/>
      </w:r>
      <w:r w:rsidR="00675BCD">
        <w:rPr>
          <w:sz w:val="28"/>
          <w:szCs w:val="28"/>
        </w:rPr>
        <w:tab/>
      </w:r>
      <w:r w:rsidR="00675BCD">
        <w:rPr>
          <w:sz w:val="28"/>
          <w:szCs w:val="28"/>
        </w:rPr>
        <w:tab/>
      </w:r>
      <w:r w:rsidR="00675BCD">
        <w:rPr>
          <w:sz w:val="28"/>
          <w:szCs w:val="28"/>
        </w:rPr>
        <w:tab/>
        <w:t xml:space="preserve">  </w:t>
      </w:r>
      <w:r w:rsidRPr="000E7CD7">
        <w:rPr>
          <w:sz w:val="28"/>
          <w:szCs w:val="28"/>
        </w:rPr>
        <w:t xml:space="preserve"> J. Pūce</w:t>
      </w:r>
    </w:p>
    <w:p w:rsidR="00675BCD" w:rsidRDefault="00675BCD" w:rsidP="003B72E4">
      <w:pPr>
        <w:spacing w:after="120"/>
        <w:rPr>
          <w:sz w:val="28"/>
          <w:szCs w:val="28"/>
        </w:rPr>
      </w:pPr>
    </w:p>
    <w:p w:rsidR="00400843" w:rsidRDefault="00400843" w:rsidP="003B72E4">
      <w:pPr>
        <w:spacing w:after="120"/>
        <w:rPr>
          <w:sz w:val="28"/>
          <w:szCs w:val="28"/>
        </w:rPr>
      </w:pPr>
    </w:p>
    <w:p w:rsidR="00400843" w:rsidRPr="000E7CD7" w:rsidRDefault="00400843" w:rsidP="003B72E4">
      <w:pPr>
        <w:spacing w:after="120"/>
        <w:rPr>
          <w:sz w:val="28"/>
          <w:szCs w:val="28"/>
        </w:rPr>
      </w:pPr>
    </w:p>
    <w:p w:rsidR="00422C05" w:rsidRPr="000E7CD7" w:rsidRDefault="00422C05" w:rsidP="003B72E4">
      <w:pPr>
        <w:rPr>
          <w:sz w:val="20"/>
          <w:szCs w:val="20"/>
        </w:rPr>
      </w:pPr>
      <w:r w:rsidRPr="000E7CD7">
        <w:rPr>
          <w:sz w:val="20"/>
          <w:szCs w:val="20"/>
        </w:rPr>
        <w:t xml:space="preserve">Atbildīgā amatpersona: </w:t>
      </w:r>
    </w:p>
    <w:p w:rsidR="00447246" w:rsidRPr="000E7CD7" w:rsidRDefault="00675BCD" w:rsidP="003B72E4">
      <w:pPr>
        <w:rPr>
          <w:sz w:val="20"/>
          <w:szCs w:val="20"/>
        </w:rPr>
      </w:pPr>
      <w:r>
        <w:rPr>
          <w:sz w:val="20"/>
          <w:szCs w:val="20"/>
        </w:rPr>
        <w:t>Inese Balode</w:t>
      </w:r>
    </w:p>
    <w:p w:rsidR="00447246" w:rsidRPr="000E7CD7" w:rsidRDefault="00447246" w:rsidP="003B72E4">
      <w:pPr>
        <w:rPr>
          <w:sz w:val="20"/>
          <w:szCs w:val="20"/>
        </w:rPr>
      </w:pPr>
      <w:r w:rsidRPr="000E7CD7">
        <w:rPr>
          <w:sz w:val="20"/>
          <w:szCs w:val="20"/>
        </w:rPr>
        <w:t>Ekonomikas ministrijas</w:t>
      </w:r>
    </w:p>
    <w:p w:rsidR="00447246" w:rsidRPr="000E7CD7" w:rsidRDefault="00447246" w:rsidP="003B72E4">
      <w:pPr>
        <w:rPr>
          <w:sz w:val="20"/>
          <w:szCs w:val="20"/>
        </w:rPr>
      </w:pPr>
      <w:r w:rsidRPr="000E7CD7">
        <w:rPr>
          <w:sz w:val="20"/>
          <w:szCs w:val="20"/>
        </w:rPr>
        <w:t>Ārējo ekonomisko attiecību departamenta direktores vietniece</w:t>
      </w:r>
      <w:r w:rsidR="00675BCD">
        <w:rPr>
          <w:sz w:val="20"/>
          <w:szCs w:val="20"/>
        </w:rPr>
        <w:t xml:space="preserve">s </w:t>
      </w:r>
      <w:proofErr w:type="spellStart"/>
      <w:r w:rsidR="00675BCD">
        <w:rPr>
          <w:sz w:val="20"/>
          <w:szCs w:val="20"/>
        </w:rPr>
        <w:t>p.i</w:t>
      </w:r>
      <w:proofErr w:type="spellEnd"/>
      <w:r w:rsidR="00675BCD">
        <w:rPr>
          <w:sz w:val="20"/>
          <w:szCs w:val="20"/>
        </w:rPr>
        <w:t>.</w:t>
      </w:r>
    </w:p>
    <w:p w:rsidR="00447246" w:rsidRPr="000E7CD7" w:rsidRDefault="00675BCD" w:rsidP="003B72E4">
      <w:pPr>
        <w:rPr>
          <w:sz w:val="20"/>
          <w:szCs w:val="20"/>
        </w:rPr>
      </w:pPr>
      <w:r>
        <w:rPr>
          <w:sz w:val="20"/>
          <w:szCs w:val="20"/>
        </w:rPr>
        <w:t>tālr.:67013064</w:t>
      </w:r>
    </w:p>
    <w:p w:rsidR="00447246" w:rsidRPr="000E7CD7" w:rsidRDefault="00447246" w:rsidP="003B72E4">
      <w:pPr>
        <w:rPr>
          <w:sz w:val="20"/>
          <w:szCs w:val="20"/>
        </w:rPr>
      </w:pPr>
      <w:r w:rsidRPr="000E7CD7">
        <w:rPr>
          <w:sz w:val="20"/>
          <w:szCs w:val="20"/>
        </w:rPr>
        <w:t xml:space="preserve">faksa numurs 67280882 </w:t>
      </w:r>
    </w:p>
    <w:p w:rsidR="00447246" w:rsidRPr="000E7CD7" w:rsidRDefault="00447246" w:rsidP="003B72E4">
      <w:pPr>
        <w:jc w:val="both"/>
        <w:rPr>
          <w:sz w:val="20"/>
          <w:szCs w:val="20"/>
        </w:rPr>
      </w:pPr>
      <w:r w:rsidRPr="000E7CD7">
        <w:rPr>
          <w:sz w:val="20"/>
          <w:szCs w:val="20"/>
        </w:rPr>
        <w:t xml:space="preserve">e-pasts: </w:t>
      </w:r>
      <w:hyperlink r:id="rId8" w:history="1">
        <w:r w:rsidR="00675BCD" w:rsidRPr="006344AF">
          <w:rPr>
            <w:rStyle w:val="Hyperlink"/>
            <w:sz w:val="18"/>
            <w:szCs w:val="18"/>
          </w:rPr>
          <w:t>Inese.Balode@em.gov.lv</w:t>
        </w:r>
      </w:hyperlink>
    </w:p>
    <w:p w:rsidR="00422C05" w:rsidRPr="000E7CD7" w:rsidRDefault="00422C05" w:rsidP="003B72E4">
      <w:pPr>
        <w:jc w:val="both"/>
        <w:rPr>
          <w:u w:val="single"/>
        </w:rPr>
      </w:pPr>
    </w:p>
    <w:p w:rsidR="00447246" w:rsidRPr="003E0DFA" w:rsidRDefault="00A422E5" w:rsidP="003B72E4">
      <w:pPr>
        <w:jc w:val="both"/>
        <w:rPr>
          <w:sz w:val="18"/>
          <w:szCs w:val="18"/>
        </w:rPr>
      </w:pPr>
      <w:fldSimple w:instr=" DATE   \* MERGEFORMAT ">
        <w:r w:rsidR="00D02566" w:rsidRPr="00D02566">
          <w:rPr>
            <w:noProof/>
            <w:sz w:val="18"/>
            <w:szCs w:val="18"/>
          </w:rPr>
          <w:t>23.09.2011</w:t>
        </w:r>
      </w:fldSimple>
      <w:r w:rsidR="00447246" w:rsidRPr="003E0DFA">
        <w:rPr>
          <w:sz w:val="18"/>
          <w:szCs w:val="18"/>
        </w:rPr>
        <w:t xml:space="preserve"> </w:t>
      </w:r>
      <w:r w:rsidRPr="003E0DFA">
        <w:rPr>
          <w:sz w:val="18"/>
          <w:szCs w:val="18"/>
        </w:rPr>
        <w:fldChar w:fldCharType="begin"/>
      </w:r>
      <w:r w:rsidR="00447246" w:rsidRPr="003E0DFA">
        <w:rPr>
          <w:sz w:val="18"/>
          <w:szCs w:val="18"/>
        </w:rPr>
        <w:instrText xml:space="preserve"> TIME  \@ "HH:mm"  \* MERGEFORMAT </w:instrText>
      </w:r>
      <w:r w:rsidRPr="003E0DFA">
        <w:rPr>
          <w:sz w:val="18"/>
          <w:szCs w:val="18"/>
        </w:rPr>
        <w:fldChar w:fldCharType="separate"/>
      </w:r>
      <w:r w:rsidR="00D02566">
        <w:rPr>
          <w:noProof/>
          <w:sz w:val="18"/>
          <w:szCs w:val="18"/>
        </w:rPr>
        <w:t>16:29</w:t>
      </w:r>
      <w:r w:rsidRPr="003E0DFA">
        <w:rPr>
          <w:sz w:val="18"/>
          <w:szCs w:val="18"/>
        </w:rPr>
        <w:fldChar w:fldCharType="end"/>
      </w:r>
    </w:p>
    <w:p w:rsidR="00447246" w:rsidRPr="000E7CD7" w:rsidRDefault="00A422E5" w:rsidP="003B72E4">
      <w:pPr>
        <w:jc w:val="both"/>
        <w:rPr>
          <w:sz w:val="18"/>
          <w:szCs w:val="18"/>
        </w:rPr>
      </w:pPr>
      <w:fldSimple w:instr=" NUMWORDS   \* MERGEFORMAT ">
        <w:r w:rsidR="00D30522" w:rsidRPr="00D30522">
          <w:rPr>
            <w:noProof/>
            <w:sz w:val="18"/>
            <w:szCs w:val="18"/>
          </w:rPr>
          <w:t>2285</w:t>
        </w:r>
      </w:fldSimple>
    </w:p>
    <w:p w:rsidR="00447246" w:rsidRPr="000E7CD7" w:rsidRDefault="00675BCD" w:rsidP="003B72E4">
      <w:pPr>
        <w:rPr>
          <w:sz w:val="18"/>
        </w:rPr>
      </w:pPr>
      <w:r>
        <w:rPr>
          <w:sz w:val="18"/>
        </w:rPr>
        <w:t>Kaspars Stabiņš</w:t>
      </w:r>
    </w:p>
    <w:p w:rsidR="00447246" w:rsidRPr="000E7CD7" w:rsidRDefault="00447246" w:rsidP="003B72E4">
      <w:pPr>
        <w:rPr>
          <w:sz w:val="18"/>
        </w:rPr>
      </w:pPr>
      <w:r w:rsidRPr="000E7CD7">
        <w:rPr>
          <w:sz w:val="18"/>
        </w:rPr>
        <w:t>Ekonomikas ministrijas</w:t>
      </w:r>
    </w:p>
    <w:p w:rsidR="00447246" w:rsidRPr="000E7CD7" w:rsidRDefault="00447246" w:rsidP="003B72E4">
      <w:pPr>
        <w:rPr>
          <w:sz w:val="18"/>
        </w:rPr>
      </w:pPr>
      <w:r w:rsidRPr="000E7CD7">
        <w:rPr>
          <w:sz w:val="18"/>
        </w:rPr>
        <w:t>Ārējo ekonomisko attiecību departaments</w:t>
      </w:r>
    </w:p>
    <w:p w:rsidR="00447246" w:rsidRPr="000E7CD7" w:rsidRDefault="00675BCD" w:rsidP="003B72E4">
      <w:pPr>
        <w:rPr>
          <w:sz w:val="18"/>
        </w:rPr>
      </w:pPr>
      <w:r>
        <w:rPr>
          <w:sz w:val="18"/>
        </w:rPr>
        <w:t>67013046</w:t>
      </w:r>
      <w:r w:rsidR="00447246" w:rsidRPr="000E7CD7">
        <w:rPr>
          <w:sz w:val="18"/>
        </w:rPr>
        <w:t xml:space="preserve">, </w:t>
      </w:r>
      <w:r>
        <w:rPr>
          <w:sz w:val="18"/>
        </w:rPr>
        <w:t>Kaspars.Stabins</w:t>
      </w:r>
      <w:r w:rsidR="00447246" w:rsidRPr="000E7CD7">
        <w:rPr>
          <w:sz w:val="18"/>
        </w:rPr>
        <w:t xml:space="preserve">@em.gov.lv </w:t>
      </w:r>
    </w:p>
    <w:p w:rsidR="00447246" w:rsidRPr="000E7CD7" w:rsidRDefault="00447246" w:rsidP="003B72E4"/>
    <w:sectPr w:rsidR="00447246" w:rsidRPr="000E7CD7" w:rsidSect="00FF6369">
      <w:headerReference w:type="default" r:id="rId9"/>
      <w:footerReference w:type="default" r:id="rId10"/>
      <w:footerReference w:type="first" r:id="rId11"/>
      <w:pgSz w:w="11906" w:h="16838"/>
      <w:pgMar w:top="1276" w:right="1133" w:bottom="1440" w:left="1800"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66" w:rsidRDefault="00D02566" w:rsidP="0079342A">
      <w:r>
        <w:separator/>
      </w:r>
    </w:p>
  </w:endnote>
  <w:endnote w:type="continuationSeparator" w:id="0">
    <w:p w:rsidR="00D02566" w:rsidRDefault="00D02566" w:rsidP="00793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66" w:rsidRPr="00861DB7" w:rsidRDefault="00D02566" w:rsidP="00861DB7">
    <w:pPr>
      <w:jc w:val="both"/>
      <w:rPr>
        <w:sz w:val="20"/>
        <w:szCs w:val="20"/>
        <w:lang w:eastAsia="en-US"/>
      </w:rPr>
    </w:pPr>
    <w:r>
      <w:rPr>
        <w:sz w:val="20"/>
        <w:szCs w:val="20"/>
        <w:lang w:eastAsia="en-US"/>
      </w:rPr>
      <w:t>EMZino_27</w:t>
    </w:r>
    <w:r w:rsidRPr="00D24C05">
      <w:rPr>
        <w:sz w:val="20"/>
        <w:szCs w:val="20"/>
        <w:lang w:eastAsia="en-US"/>
      </w:rPr>
      <w:t>0</w:t>
    </w:r>
    <w:r>
      <w:rPr>
        <w:sz w:val="20"/>
        <w:szCs w:val="20"/>
        <w:lang w:eastAsia="en-US"/>
      </w:rPr>
      <w:t>9</w:t>
    </w:r>
    <w:r w:rsidRPr="00D24C05">
      <w:rPr>
        <w:sz w:val="20"/>
        <w:szCs w:val="20"/>
        <w:lang w:eastAsia="en-US"/>
      </w:rPr>
      <w:t xml:space="preserve">11_COMPET; </w:t>
    </w:r>
    <w:r w:rsidRPr="00E23854">
      <w:rPr>
        <w:sz w:val="20"/>
        <w:szCs w:val="20"/>
        <w:lang w:eastAsia="en-US"/>
      </w:rPr>
      <w:t>par Latvijas nacionālajām pozīcijām Eiropas Savienības Konkurētspējas ministru padomes 2011. gada 29.-30. septembra sanāksmē izskatāmajos Ekonomikas ministrijas</w:t>
    </w:r>
    <w:r>
      <w:rPr>
        <w:sz w:val="20"/>
        <w:szCs w:val="20"/>
        <w:lang w:eastAsia="en-US"/>
      </w:rPr>
      <w:t xml:space="preserve"> un Izglītības un zinātnes ministrijas</w:t>
    </w:r>
    <w:r w:rsidRPr="00E23854">
      <w:rPr>
        <w:sz w:val="20"/>
        <w:szCs w:val="20"/>
        <w:lang w:eastAsia="en-US"/>
      </w:rPr>
      <w:t xml:space="preserve"> kompetences jautājumos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66" w:rsidRPr="00E23854" w:rsidRDefault="00D02566" w:rsidP="00E23854">
    <w:pPr>
      <w:jc w:val="both"/>
      <w:rPr>
        <w:sz w:val="20"/>
        <w:szCs w:val="20"/>
        <w:lang w:eastAsia="en-US"/>
      </w:rPr>
    </w:pPr>
    <w:r>
      <w:rPr>
        <w:sz w:val="20"/>
        <w:szCs w:val="20"/>
        <w:lang w:eastAsia="en-US"/>
      </w:rPr>
      <w:t>EMZino_27</w:t>
    </w:r>
    <w:r w:rsidRPr="00D24C05">
      <w:rPr>
        <w:sz w:val="20"/>
        <w:szCs w:val="20"/>
        <w:lang w:eastAsia="en-US"/>
      </w:rPr>
      <w:t>0</w:t>
    </w:r>
    <w:r>
      <w:rPr>
        <w:sz w:val="20"/>
        <w:szCs w:val="20"/>
        <w:lang w:eastAsia="en-US"/>
      </w:rPr>
      <w:t>9</w:t>
    </w:r>
    <w:r w:rsidRPr="00D24C05">
      <w:rPr>
        <w:sz w:val="20"/>
        <w:szCs w:val="20"/>
        <w:lang w:eastAsia="en-US"/>
      </w:rPr>
      <w:t xml:space="preserve">11_COMPET; </w:t>
    </w:r>
    <w:r w:rsidRPr="00E23854">
      <w:rPr>
        <w:sz w:val="20"/>
        <w:szCs w:val="20"/>
        <w:lang w:eastAsia="en-US"/>
      </w:rPr>
      <w:t xml:space="preserve">par Latvijas nacionālajām pozīcijām Eiropas Savienības Konkurētspējas ministru padomes 2011. gada 29.-30. </w:t>
    </w:r>
    <w:r w:rsidRPr="00E23854">
      <w:rPr>
        <w:sz w:val="20"/>
        <w:szCs w:val="20"/>
        <w:lang w:eastAsia="en-US"/>
      </w:rPr>
      <w:t>septembra sanāksmē izskatāmajos Ekonomikas ministrijas</w:t>
    </w:r>
    <w:r>
      <w:rPr>
        <w:sz w:val="20"/>
        <w:szCs w:val="20"/>
        <w:lang w:eastAsia="en-US"/>
      </w:rPr>
      <w:t xml:space="preserve"> un Izglītības un zinātnes ministrijas</w:t>
    </w:r>
    <w:r w:rsidRPr="00E23854">
      <w:rPr>
        <w:sz w:val="20"/>
        <w:szCs w:val="20"/>
        <w:lang w:eastAsia="en-US"/>
      </w:rPr>
      <w:t xml:space="preserve"> kompetences jautājumos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66" w:rsidRDefault="00D02566" w:rsidP="0079342A">
      <w:r>
        <w:separator/>
      </w:r>
    </w:p>
  </w:footnote>
  <w:footnote w:type="continuationSeparator" w:id="0">
    <w:p w:rsidR="00D02566" w:rsidRDefault="00D02566" w:rsidP="0079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D02566" w:rsidRDefault="00D02566">
        <w:pPr>
          <w:pStyle w:val="Header"/>
          <w:jc w:val="center"/>
        </w:pPr>
        <w:fldSimple w:instr=" PAGE   \* MERGEFORMAT ">
          <w:r w:rsidR="00B16120">
            <w:rPr>
              <w:noProof/>
            </w:rPr>
            <w:t>9</w:t>
          </w:r>
        </w:fldSimple>
      </w:p>
    </w:sdtContent>
  </w:sdt>
  <w:p w:rsidR="00D02566" w:rsidRDefault="00D02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62B"/>
    <w:multiLevelType w:val="hybridMultilevel"/>
    <w:tmpl w:val="E7BCC83C"/>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9B1F21"/>
    <w:multiLevelType w:val="hybridMultilevel"/>
    <w:tmpl w:val="C62632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C55923"/>
    <w:multiLevelType w:val="hybridMultilevel"/>
    <w:tmpl w:val="30FC85EE"/>
    <w:lvl w:ilvl="0" w:tplc="2D4E5870">
      <w:start w:val="1"/>
      <w:numFmt w:val="lowerLetter"/>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3B0F7DEA"/>
    <w:multiLevelType w:val="hybridMultilevel"/>
    <w:tmpl w:val="8E524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9F68C9"/>
    <w:multiLevelType w:val="hybridMultilevel"/>
    <w:tmpl w:val="1F8457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3DE223D"/>
    <w:multiLevelType w:val="hybridMultilevel"/>
    <w:tmpl w:val="F92A7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FE0019"/>
    <w:multiLevelType w:val="hybridMultilevel"/>
    <w:tmpl w:val="C076EA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1A65B1F"/>
    <w:multiLevelType w:val="hybridMultilevel"/>
    <w:tmpl w:val="247871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1634C9"/>
    <w:multiLevelType w:val="hybridMultilevel"/>
    <w:tmpl w:val="9A14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7C24CB"/>
    <w:multiLevelType w:val="multilevel"/>
    <w:tmpl w:val="7096C53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
  </w:num>
  <w:num w:numId="3">
    <w:abstractNumId w:val="0"/>
  </w:num>
  <w:num w:numId="4">
    <w:abstractNumId w:val="3"/>
  </w:num>
  <w:num w:numId="5">
    <w:abstractNumId w:val="9"/>
  </w:num>
  <w:num w:numId="6">
    <w:abstractNumId w:val="2"/>
  </w:num>
  <w:num w:numId="7">
    <w:abstractNumId w:val="4"/>
  </w:num>
  <w:num w:numId="8">
    <w:abstractNumId w:val="10"/>
  </w:num>
  <w:num w:numId="9">
    <w:abstractNumId w:val="6"/>
  </w:num>
  <w:num w:numId="10">
    <w:abstractNumId w:val="8"/>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16CF"/>
    <w:rsid w:val="000163A1"/>
    <w:rsid w:val="00017CA9"/>
    <w:rsid w:val="00022163"/>
    <w:rsid w:val="000230C6"/>
    <w:rsid w:val="000304D8"/>
    <w:rsid w:val="000345DD"/>
    <w:rsid w:val="00037E43"/>
    <w:rsid w:val="000442AD"/>
    <w:rsid w:val="00045380"/>
    <w:rsid w:val="00050631"/>
    <w:rsid w:val="00053471"/>
    <w:rsid w:val="000538D0"/>
    <w:rsid w:val="00054145"/>
    <w:rsid w:val="00060563"/>
    <w:rsid w:val="00060A8D"/>
    <w:rsid w:val="00071F6B"/>
    <w:rsid w:val="00074A8E"/>
    <w:rsid w:val="00076994"/>
    <w:rsid w:val="0008031F"/>
    <w:rsid w:val="0009144F"/>
    <w:rsid w:val="000A0F01"/>
    <w:rsid w:val="000A4383"/>
    <w:rsid w:val="000A599E"/>
    <w:rsid w:val="000A61D6"/>
    <w:rsid w:val="000A7576"/>
    <w:rsid w:val="000B468F"/>
    <w:rsid w:val="000C5C3C"/>
    <w:rsid w:val="000E7CD7"/>
    <w:rsid w:val="00117654"/>
    <w:rsid w:val="00117904"/>
    <w:rsid w:val="00121DEA"/>
    <w:rsid w:val="00126A02"/>
    <w:rsid w:val="00150BB3"/>
    <w:rsid w:val="00156ECD"/>
    <w:rsid w:val="00157C4A"/>
    <w:rsid w:val="001620EA"/>
    <w:rsid w:val="00165624"/>
    <w:rsid w:val="0016779A"/>
    <w:rsid w:val="001754CA"/>
    <w:rsid w:val="001760D9"/>
    <w:rsid w:val="001829A7"/>
    <w:rsid w:val="00184B27"/>
    <w:rsid w:val="00185F95"/>
    <w:rsid w:val="00191F45"/>
    <w:rsid w:val="001B0568"/>
    <w:rsid w:val="001B3F3D"/>
    <w:rsid w:val="001B697D"/>
    <w:rsid w:val="001C32B3"/>
    <w:rsid w:val="001E5AD7"/>
    <w:rsid w:val="001E6160"/>
    <w:rsid w:val="002025A8"/>
    <w:rsid w:val="0020630B"/>
    <w:rsid w:val="0021101E"/>
    <w:rsid w:val="002148A4"/>
    <w:rsid w:val="002173E3"/>
    <w:rsid w:val="00224DC4"/>
    <w:rsid w:val="0023457E"/>
    <w:rsid w:val="00246F3B"/>
    <w:rsid w:val="002609E5"/>
    <w:rsid w:val="002855EB"/>
    <w:rsid w:val="002B0D2A"/>
    <w:rsid w:val="002B221A"/>
    <w:rsid w:val="002C06DC"/>
    <w:rsid w:val="002D40CD"/>
    <w:rsid w:val="002D63C1"/>
    <w:rsid w:val="002D6A46"/>
    <w:rsid w:val="002E087D"/>
    <w:rsid w:val="002E3144"/>
    <w:rsid w:val="002F2254"/>
    <w:rsid w:val="002F7E81"/>
    <w:rsid w:val="003148EC"/>
    <w:rsid w:val="003159AD"/>
    <w:rsid w:val="00316C2A"/>
    <w:rsid w:val="00322A7A"/>
    <w:rsid w:val="00324917"/>
    <w:rsid w:val="00327E46"/>
    <w:rsid w:val="00360015"/>
    <w:rsid w:val="00370A43"/>
    <w:rsid w:val="003721A4"/>
    <w:rsid w:val="0039412A"/>
    <w:rsid w:val="00397317"/>
    <w:rsid w:val="003A2C6E"/>
    <w:rsid w:val="003A2FBC"/>
    <w:rsid w:val="003A3A6A"/>
    <w:rsid w:val="003B72E4"/>
    <w:rsid w:val="003C0B95"/>
    <w:rsid w:val="003D478B"/>
    <w:rsid w:val="003E0DFA"/>
    <w:rsid w:val="003E5D30"/>
    <w:rsid w:val="003E7BA4"/>
    <w:rsid w:val="003F2ECD"/>
    <w:rsid w:val="003F3BE3"/>
    <w:rsid w:val="003F5E8D"/>
    <w:rsid w:val="003F69B8"/>
    <w:rsid w:val="00400142"/>
    <w:rsid w:val="00400843"/>
    <w:rsid w:val="00403309"/>
    <w:rsid w:val="0041089F"/>
    <w:rsid w:val="0041577A"/>
    <w:rsid w:val="00416433"/>
    <w:rsid w:val="00416C71"/>
    <w:rsid w:val="00422C05"/>
    <w:rsid w:val="00425B59"/>
    <w:rsid w:val="00434636"/>
    <w:rsid w:val="00447246"/>
    <w:rsid w:val="00473B73"/>
    <w:rsid w:val="00485409"/>
    <w:rsid w:val="00485CF8"/>
    <w:rsid w:val="00487A4D"/>
    <w:rsid w:val="0049471A"/>
    <w:rsid w:val="004A242B"/>
    <w:rsid w:val="004A70CD"/>
    <w:rsid w:val="004B1495"/>
    <w:rsid w:val="004B1EFF"/>
    <w:rsid w:val="004B6217"/>
    <w:rsid w:val="004C0784"/>
    <w:rsid w:val="004C79B5"/>
    <w:rsid w:val="004E4F37"/>
    <w:rsid w:val="004F6998"/>
    <w:rsid w:val="00513E2C"/>
    <w:rsid w:val="0052189E"/>
    <w:rsid w:val="00526F0D"/>
    <w:rsid w:val="00546424"/>
    <w:rsid w:val="00546D6E"/>
    <w:rsid w:val="005530C8"/>
    <w:rsid w:val="00555DE2"/>
    <w:rsid w:val="005605FC"/>
    <w:rsid w:val="00560716"/>
    <w:rsid w:val="00562471"/>
    <w:rsid w:val="005854CF"/>
    <w:rsid w:val="005A0176"/>
    <w:rsid w:val="005A18ED"/>
    <w:rsid w:val="005A3B4C"/>
    <w:rsid w:val="005B3E55"/>
    <w:rsid w:val="005B51CA"/>
    <w:rsid w:val="005C21D5"/>
    <w:rsid w:val="005C59D1"/>
    <w:rsid w:val="005C626C"/>
    <w:rsid w:val="005D0EFD"/>
    <w:rsid w:val="005E12D5"/>
    <w:rsid w:val="005E3C2B"/>
    <w:rsid w:val="005E404D"/>
    <w:rsid w:val="005F1DED"/>
    <w:rsid w:val="005F63AD"/>
    <w:rsid w:val="005F724E"/>
    <w:rsid w:val="00611C7C"/>
    <w:rsid w:val="006257E0"/>
    <w:rsid w:val="00633000"/>
    <w:rsid w:val="006502E4"/>
    <w:rsid w:val="006503E2"/>
    <w:rsid w:val="00665B1C"/>
    <w:rsid w:val="00667663"/>
    <w:rsid w:val="00675358"/>
    <w:rsid w:val="00675BCD"/>
    <w:rsid w:val="00680623"/>
    <w:rsid w:val="00681AEA"/>
    <w:rsid w:val="006864E7"/>
    <w:rsid w:val="00690EB8"/>
    <w:rsid w:val="00695AE0"/>
    <w:rsid w:val="006A351C"/>
    <w:rsid w:val="006A6F9B"/>
    <w:rsid w:val="006A7943"/>
    <w:rsid w:val="006C6B13"/>
    <w:rsid w:val="006F14FA"/>
    <w:rsid w:val="006F20B1"/>
    <w:rsid w:val="006F43E3"/>
    <w:rsid w:val="006F75AF"/>
    <w:rsid w:val="00710606"/>
    <w:rsid w:val="007118B4"/>
    <w:rsid w:val="00723271"/>
    <w:rsid w:val="00734C81"/>
    <w:rsid w:val="00746BF8"/>
    <w:rsid w:val="00775AA0"/>
    <w:rsid w:val="00786F42"/>
    <w:rsid w:val="0079342A"/>
    <w:rsid w:val="007967D1"/>
    <w:rsid w:val="00796D5E"/>
    <w:rsid w:val="007A1C1C"/>
    <w:rsid w:val="007C77E8"/>
    <w:rsid w:val="007D1D18"/>
    <w:rsid w:val="007D2EBA"/>
    <w:rsid w:val="007F00EE"/>
    <w:rsid w:val="007F117C"/>
    <w:rsid w:val="00825258"/>
    <w:rsid w:val="008348FC"/>
    <w:rsid w:val="00846BE1"/>
    <w:rsid w:val="00850787"/>
    <w:rsid w:val="00854390"/>
    <w:rsid w:val="00861DB7"/>
    <w:rsid w:val="008700B2"/>
    <w:rsid w:val="00870F11"/>
    <w:rsid w:val="0087411D"/>
    <w:rsid w:val="00877D2E"/>
    <w:rsid w:val="008821AF"/>
    <w:rsid w:val="00896F4A"/>
    <w:rsid w:val="00897AEF"/>
    <w:rsid w:val="008A0506"/>
    <w:rsid w:val="008A2C1F"/>
    <w:rsid w:val="008A616D"/>
    <w:rsid w:val="008D4FE7"/>
    <w:rsid w:val="008E3674"/>
    <w:rsid w:val="00904C0B"/>
    <w:rsid w:val="00912896"/>
    <w:rsid w:val="00924B70"/>
    <w:rsid w:val="00934B08"/>
    <w:rsid w:val="00943724"/>
    <w:rsid w:val="00951C74"/>
    <w:rsid w:val="00963DAB"/>
    <w:rsid w:val="0096439C"/>
    <w:rsid w:val="0097688B"/>
    <w:rsid w:val="00977A26"/>
    <w:rsid w:val="00980300"/>
    <w:rsid w:val="00980EB0"/>
    <w:rsid w:val="0098644A"/>
    <w:rsid w:val="009A2C41"/>
    <w:rsid w:val="009A316F"/>
    <w:rsid w:val="009B1561"/>
    <w:rsid w:val="009D085B"/>
    <w:rsid w:val="009E5CC0"/>
    <w:rsid w:val="009E6236"/>
    <w:rsid w:val="009F38DD"/>
    <w:rsid w:val="00A005C0"/>
    <w:rsid w:val="00A0668A"/>
    <w:rsid w:val="00A1088E"/>
    <w:rsid w:val="00A10DC8"/>
    <w:rsid w:val="00A15143"/>
    <w:rsid w:val="00A1553F"/>
    <w:rsid w:val="00A17A32"/>
    <w:rsid w:val="00A210CC"/>
    <w:rsid w:val="00A30D3A"/>
    <w:rsid w:val="00A33C17"/>
    <w:rsid w:val="00A37CB5"/>
    <w:rsid w:val="00A422E5"/>
    <w:rsid w:val="00A55C2C"/>
    <w:rsid w:val="00AA384A"/>
    <w:rsid w:val="00AA3CE0"/>
    <w:rsid w:val="00AA5E1C"/>
    <w:rsid w:val="00AC4C9E"/>
    <w:rsid w:val="00AD16CF"/>
    <w:rsid w:val="00AD3DE8"/>
    <w:rsid w:val="00AE0A6E"/>
    <w:rsid w:val="00AE487B"/>
    <w:rsid w:val="00AE6BB9"/>
    <w:rsid w:val="00AF0F88"/>
    <w:rsid w:val="00AF5DCC"/>
    <w:rsid w:val="00B03397"/>
    <w:rsid w:val="00B10B7B"/>
    <w:rsid w:val="00B11A67"/>
    <w:rsid w:val="00B13B5D"/>
    <w:rsid w:val="00B16120"/>
    <w:rsid w:val="00B17F0A"/>
    <w:rsid w:val="00B213AE"/>
    <w:rsid w:val="00B26E7A"/>
    <w:rsid w:val="00B30428"/>
    <w:rsid w:val="00B30E6A"/>
    <w:rsid w:val="00B3370D"/>
    <w:rsid w:val="00B4215A"/>
    <w:rsid w:val="00B56BD0"/>
    <w:rsid w:val="00B572CF"/>
    <w:rsid w:val="00B63B1C"/>
    <w:rsid w:val="00B77240"/>
    <w:rsid w:val="00B81671"/>
    <w:rsid w:val="00B93D2C"/>
    <w:rsid w:val="00B97E85"/>
    <w:rsid w:val="00BC0957"/>
    <w:rsid w:val="00BC4F29"/>
    <w:rsid w:val="00BC6383"/>
    <w:rsid w:val="00BD3934"/>
    <w:rsid w:val="00C016AF"/>
    <w:rsid w:val="00C03FB0"/>
    <w:rsid w:val="00C23657"/>
    <w:rsid w:val="00C333F6"/>
    <w:rsid w:val="00C34C3A"/>
    <w:rsid w:val="00C35DE6"/>
    <w:rsid w:val="00C41C4F"/>
    <w:rsid w:val="00C71669"/>
    <w:rsid w:val="00C7312E"/>
    <w:rsid w:val="00C749ED"/>
    <w:rsid w:val="00C93E8A"/>
    <w:rsid w:val="00C96037"/>
    <w:rsid w:val="00CA1812"/>
    <w:rsid w:val="00CA4117"/>
    <w:rsid w:val="00CA4B5F"/>
    <w:rsid w:val="00CB6938"/>
    <w:rsid w:val="00CD0C6C"/>
    <w:rsid w:val="00CD5BC5"/>
    <w:rsid w:val="00CD6990"/>
    <w:rsid w:val="00CD7B03"/>
    <w:rsid w:val="00CE051B"/>
    <w:rsid w:val="00D0106C"/>
    <w:rsid w:val="00D02566"/>
    <w:rsid w:val="00D114E1"/>
    <w:rsid w:val="00D12A0E"/>
    <w:rsid w:val="00D24C05"/>
    <w:rsid w:val="00D258A8"/>
    <w:rsid w:val="00D2629B"/>
    <w:rsid w:val="00D30522"/>
    <w:rsid w:val="00D40C4A"/>
    <w:rsid w:val="00D41260"/>
    <w:rsid w:val="00D51484"/>
    <w:rsid w:val="00D5482D"/>
    <w:rsid w:val="00D75B14"/>
    <w:rsid w:val="00D86467"/>
    <w:rsid w:val="00D96C7D"/>
    <w:rsid w:val="00DB28C9"/>
    <w:rsid w:val="00DC183E"/>
    <w:rsid w:val="00DC4379"/>
    <w:rsid w:val="00DC570D"/>
    <w:rsid w:val="00DD2747"/>
    <w:rsid w:val="00DD59D6"/>
    <w:rsid w:val="00DE740D"/>
    <w:rsid w:val="00DF23E2"/>
    <w:rsid w:val="00E01CA3"/>
    <w:rsid w:val="00E01E44"/>
    <w:rsid w:val="00E07C92"/>
    <w:rsid w:val="00E14379"/>
    <w:rsid w:val="00E15608"/>
    <w:rsid w:val="00E21948"/>
    <w:rsid w:val="00E23854"/>
    <w:rsid w:val="00E24AB6"/>
    <w:rsid w:val="00E425A3"/>
    <w:rsid w:val="00E429A1"/>
    <w:rsid w:val="00E44D2E"/>
    <w:rsid w:val="00E618DC"/>
    <w:rsid w:val="00E63036"/>
    <w:rsid w:val="00E64D23"/>
    <w:rsid w:val="00E668E7"/>
    <w:rsid w:val="00E73BA7"/>
    <w:rsid w:val="00E80E96"/>
    <w:rsid w:val="00E91A3C"/>
    <w:rsid w:val="00E91EC5"/>
    <w:rsid w:val="00E967CD"/>
    <w:rsid w:val="00EA0064"/>
    <w:rsid w:val="00EA2D67"/>
    <w:rsid w:val="00EC7A4B"/>
    <w:rsid w:val="00ED2A26"/>
    <w:rsid w:val="00EF37FF"/>
    <w:rsid w:val="00EF384A"/>
    <w:rsid w:val="00F0485B"/>
    <w:rsid w:val="00F11439"/>
    <w:rsid w:val="00F13033"/>
    <w:rsid w:val="00F24451"/>
    <w:rsid w:val="00F31FEC"/>
    <w:rsid w:val="00F33C3C"/>
    <w:rsid w:val="00F354C7"/>
    <w:rsid w:val="00F36847"/>
    <w:rsid w:val="00F46112"/>
    <w:rsid w:val="00F476CA"/>
    <w:rsid w:val="00F618D1"/>
    <w:rsid w:val="00F66029"/>
    <w:rsid w:val="00F668C9"/>
    <w:rsid w:val="00F72822"/>
    <w:rsid w:val="00F74CC4"/>
    <w:rsid w:val="00F772B8"/>
    <w:rsid w:val="00F80F85"/>
    <w:rsid w:val="00F930E0"/>
    <w:rsid w:val="00F93FFB"/>
    <w:rsid w:val="00F97495"/>
    <w:rsid w:val="00FA22E5"/>
    <w:rsid w:val="00FC09B8"/>
    <w:rsid w:val="00FD2BBE"/>
    <w:rsid w:val="00FD7764"/>
    <w:rsid w:val="00FF5A09"/>
    <w:rsid w:val="00FF63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unhideWhenUsed/>
    <w:rsid w:val="008821AF"/>
    <w:rPr>
      <w:sz w:val="20"/>
      <w:szCs w:val="20"/>
    </w:rPr>
  </w:style>
  <w:style w:type="character" w:customStyle="1" w:styleId="FootnoteTextChar">
    <w:name w:val="Footnote Text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customStyle="1" w:styleId="Default">
    <w:name w:val="Default"/>
    <w:rsid w:val="00D0106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ps">
    <w:name w:val="hps"/>
    <w:rsid w:val="00D0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Balod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18F1-FCE7-4EB1-ABE0-67D80219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9</Pages>
  <Words>2316</Words>
  <Characters>17418</Characters>
  <Application>Microsoft Office Word</Application>
  <DocSecurity>0</DocSecurity>
  <Lines>378</Lines>
  <Paragraphs>93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232</cp:revision>
  <cp:lastPrinted>2011-09-23T13:29:00Z</cp:lastPrinted>
  <dcterms:created xsi:type="dcterms:W3CDTF">2010-09-30T07:29:00Z</dcterms:created>
  <dcterms:modified xsi:type="dcterms:W3CDTF">2011-09-23T13:44:00Z</dcterms:modified>
</cp:coreProperties>
</file>