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baseform" w:val="ziņojum|s"/>
          <w:attr w:name="id" w:val="-1"/>
          <w:attr w:name="text"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E668E7" w:rsidRPr="00025B33" w:rsidRDefault="00E668E7" w:rsidP="006031F7">
      <w:pPr>
        <w:jc w:val="center"/>
        <w:rPr>
          <w:b/>
          <w:sz w:val="28"/>
          <w:szCs w:val="28"/>
        </w:rPr>
      </w:pPr>
      <w:bookmarkStart w:id="0" w:name="OLE_LINK3"/>
      <w:bookmarkStart w:id="1" w:name="OLE_LINK4"/>
      <w:r w:rsidRPr="00025B33">
        <w:rPr>
          <w:b/>
          <w:sz w:val="28"/>
          <w:szCs w:val="28"/>
        </w:rPr>
        <w:t>par Latvijas</w:t>
      </w:r>
      <w:r w:rsidR="003B32E1">
        <w:rPr>
          <w:b/>
          <w:sz w:val="28"/>
          <w:szCs w:val="28"/>
        </w:rPr>
        <w:t xml:space="preserve"> Republikas</w:t>
      </w:r>
      <w:r w:rsidRPr="00025B33">
        <w:rPr>
          <w:b/>
          <w:sz w:val="28"/>
          <w:szCs w:val="28"/>
        </w:rPr>
        <w:t xml:space="preserve"> </w:t>
      </w:r>
      <w:r w:rsidR="002357E6">
        <w:rPr>
          <w:b/>
          <w:sz w:val="28"/>
          <w:szCs w:val="28"/>
        </w:rPr>
        <w:t>nostāju</w:t>
      </w:r>
      <w:r w:rsidRPr="00025B33">
        <w:rPr>
          <w:b/>
          <w:sz w:val="28"/>
          <w:szCs w:val="28"/>
        </w:rPr>
        <w:t xml:space="preserve"> Eiropas Savienības Konkurētspējas ministru padomes 201</w:t>
      </w:r>
      <w:r w:rsidR="004F1BA9">
        <w:rPr>
          <w:b/>
          <w:sz w:val="28"/>
          <w:szCs w:val="28"/>
        </w:rPr>
        <w:t>3</w:t>
      </w:r>
      <w:r w:rsidRPr="00025B33">
        <w:rPr>
          <w:b/>
          <w:sz w:val="28"/>
          <w:szCs w:val="28"/>
        </w:rPr>
        <w:t xml:space="preserve">.gada </w:t>
      </w:r>
      <w:r w:rsidR="00887D0C">
        <w:rPr>
          <w:b/>
          <w:sz w:val="28"/>
          <w:szCs w:val="28"/>
        </w:rPr>
        <w:t>2</w:t>
      </w:r>
      <w:r w:rsidR="004F1BA9">
        <w:rPr>
          <w:b/>
          <w:sz w:val="28"/>
          <w:szCs w:val="28"/>
        </w:rPr>
        <w:t>9</w:t>
      </w:r>
      <w:r w:rsidRPr="00025B33">
        <w:rPr>
          <w:b/>
          <w:sz w:val="28"/>
          <w:szCs w:val="28"/>
        </w:rPr>
        <w:t>.</w:t>
      </w:r>
      <w:r w:rsidR="00887D0C">
        <w:rPr>
          <w:b/>
          <w:sz w:val="28"/>
          <w:szCs w:val="28"/>
        </w:rPr>
        <w:t>maija</w:t>
      </w:r>
      <w:r w:rsidRPr="00025B33">
        <w:rPr>
          <w:b/>
          <w:sz w:val="28"/>
          <w:szCs w:val="28"/>
        </w:rPr>
        <w:t xml:space="preserve"> sanāksmē izskat</w:t>
      </w:r>
      <w:r w:rsidR="00505AE3">
        <w:rPr>
          <w:b/>
          <w:sz w:val="28"/>
          <w:szCs w:val="28"/>
        </w:rPr>
        <w:t xml:space="preserve">āmajos </w:t>
      </w:r>
      <w:r w:rsidRPr="00025B33">
        <w:rPr>
          <w:b/>
          <w:sz w:val="28"/>
          <w:szCs w:val="28"/>
        </w:rPr>
        <w:t>jautājumos</w:t>
      </w:r>
    </w:p>
    <w:bookmarkEnd w:id="0"/>
    <w:bookmarkEnd w:id="1"/>
    <w:p w:rsidR="00E668E7" w:rsidRPr="00025B33" w:rsidRDefault="00E668E7" w:rsidP="006031F7">
      <w:pPr>
        <w:spacing w:after="120"/>
        <w:jc w:val="both"/>
        <w:rPr>
          <w:sz w:val="28"/>
          <w:szCs w:val="28"/>
        </w:rPr>
      </w:pPr>
    </w:p>
    <w:p w:rsidR="00E668E7" w:rsidRPr="00025B33" w:rsidRDefault="00E668E7" w:rsidP="006031F7">
      <w:pPr>
        <w:spacing w:before="120" w:after="120"/>
        <w:rPr>
          <w:b/>
          <w:sz w:val="28"/>
          <w:szCs w:val="28"/>
        </w:rPr>
      </w:pPr>
      <w:r w:rsidRPr="00025B33">
        <w:rPr>
          <w:b/>
          <w:sz w:val="28"/>
          <w:szCs w:val="28"/>
        </w:rPr>
        <w:t>1. Konkurētspējas ministru padomes sanāksmes darba kārtība</w:t>
      </w:r>
    </w:p>
    <w:p w:rsidR="00897AEF" w:rsidRPr="00025B33" w:rsidRDefault="00897AEF" w:rsidP="004F0096">
      <w:pPr>
        <w:tabs>
          <w:tab w:val="left" w:pos="9288"/>
        </w:tabs>
        <w:ind w:firstLine="851"/>
        <w:jc w:val="both"/>
        <w:rPr>
          <w:sz w:val="28"/>
          <w:szCs w:val="28"/>
        </w:rPr>
      </w:pPr>
      <w:r w:rsidRPr="00025B33">
        <w:rPr>
          <w:sz w:val="28"/>
          <w:szCs w:val="28"/>
        </w:rPr>
        <w:t>201</w:t>
      </w:r>
      <w:r w:rsidR="004F1BA9">
        <w:rPr>
          <w:sz w:val="28"/>
          <w:szCs w:val="28"/>
        </w:rPr>
        <w:t>3</w:t>
      </w:r>
      <w:r w:rsidR="00505AE3">
        <w:rPr>
          <w:sz w:val="28"/>
          <w:szCs w:val="28"/>
        </w:rPr>
        <w:t>.</w:t>
      </w:r>
      <w:r w:rsidRPr="00025B33">
        <w:rPr>
          <w:sz w:val="28"/>
          <w:szCs w:val="28"/>
        </w:rPr>
        <w:t xml:space="preserve">gada </w:t>
      </w:r>
      <w:r w:rsidR="000B028B">
        <w:rPr>
          <w:sz w:val="28"/>
          <w:szCs w:val="28"/>
        </w:rPr>
        <w:t>29</w:t>
      </w:r>
      <w:r w:rsidRPr="00025B33">
        <w:rPr>
          <w:sz w:val="28"/>
          <w:szCs w:val="28"/>
        </w:rPr>
        <w:t>.</w:t>
      </w:r>
      <w:r w:rsidR="000B028B">
        <w:rPr>
          <w:sz w:val="28"/>
          <w:szCs w:val="28"/>
        </w:rPr>
        <w:t>maijā</w:t>
      </w:r>
      <w:r w:rsidRPr="00025B33">
        <w:rPr>
          <w:sz w:val="28"/>
          <w:szCs w:val="28"/>
        </w:rPr>
        <w:t xml:space="preserve"> </w:t>
      </w:r>
      <w:r w:rsidR="00271604">
        <w:rPr>
          <w:sz w:val="28"/>
          <w:szCs w:val="28"/>
        </w:rPr>
        <w:t>Briselē</w:t>
      </w:r>
      <w:r w:rsidRPr="00025B33">
        <w:rPr>
          <w:sz w:val="28"/>
          <w:szCs w:val="28"/>
        </w:rPr>
        <w:t xml:space="preserve"> notiks Eiropas Savienības (turpmāk – ES) Konkurētspējas ministru padomes sanāksme (turpmāk – </w:t>
      </w:r>
      <w:r w:rsidR="0013164E">
        <w:rPr>
          <w:sz w:val="28"/>
          <w:szCs w:val="28"/>
        </w:rPr>
        <w:t>s</w:t>
      </w:r>
      <w:r w:rsidRPr="00025B33">
        <w:rPr>
          <w:sz w:val="28"/>
          <w:szCs w:val="28"/>
        </w:rPr>
        <w:t>anāksme). Paredzams, ka sanāksmes gaitā tiks izskatīti šādi Ekonomikas ministrijas (</w:t>
      </w:r>
      <w:r w:rsidR="00E730E6" w:rsidRPr="00025B33">
        <w:rPr>
          <w:sz w:val="28"/>
          <w:szCs w:val="28"/>
        </w:rPr>
        <w:t xml:space="preserve">turpmāk - </w:t>
      </w:r>
      <w:r w:rsidR="00505AE3">
        <w:rPr>
          <w:sz w:val="28"/>
          <w:szCs w:val="28"/>
        </w:rPr>
        <w:t>EM),</w:t>
      </w:r>
      <w:r w:rsidR="004F1BA9">
        <w:rPr>
          <w:sz w:val="28"/>
          <w:szCs w:val="28"/>
        </w:rPr>
        <w:t xml:space="preserve"> Finanšu</w:t>
      </w:r>
      <w:r w:rsidR="00271604">
        <w:rPr>
          <w:sz w:val="28"/>
          <w:szCs w:val="28"/>
        </w:rPr>
        <w:t xml:space="preserve"> ministrijas (turpmāk- </w:t>
      </w:r>
      <w:r w:rsidR="004F1BA9">
        <w:rPr>
          <w:sz w:val="28"/>
          <w:szCs w:val="28"/>
        </w:rPr>
        <w:t>F</w:t>
      </w:r>
      <w:r w:rsidR="00271604">
        <w:rPr>
          <w:sz w:val="28"/>
          <w:szCs w:val="28"/>
        </w:rPr>
        <w:t>M)</w:t>
      </w:r>
      <w:r w:rsidR="005A7F37">
        <w:rPr>
          <w:sz w:val="28"/>
          <w:szCs w:val="28"/>
        </w:rPr>
        <w:t xml:space="preserve">, Kultūras ministrijas </w:t>
      </w:r>
      <w:r w:rsidR="003E6BBB">
        <w:rPr>
          <w:sz w:val="28"/>
          <w:szCs w:val="28"/>
        </w:rPr>
        <w:t>(turpmāk – KM),</w:t>
      </w:r>
      <w:r w:rsidR="005A7F37" w:rsidRPr="00025B33">
        <w:rPr>
          <w:sz w:val="28"/>
          <w:szCs w:val="28"/>
        </w:rPr>
        <w:t xml:space="preserve"> </w:t>
      </w:r>
      <w:r w:rsidR="005A7F37">
        <w:rPr>
          <w:sz w:val="28"/>
          <w:szCs w:val="28"/>
        </w:rPr>
        <w:t xml:space="preserve">Satiksmes ministrijas </w:t>
      </w:r>
      <w:r w:rsidR="005A7F37" w:rsidRPr="00025B33">
        <w:rPr>
          <w:sz w:val="28"/>
          <w:szCs w:val="28"/>
        </w:rPr>
        <w:t xml:space="preserve">(turpmāk - </w:t>
      </w:r>
      <w:r w:rsidR="005A7F37">
        <w:rPr>
          <w:sz w:val="28"/>
          <w:szCs w:val="28"/>
        </w:rPr>
        <w:t>SAM)</w:t>
      </w:r>
      <w:r w:rsidR="003E6BBB">
        <w:rPr>
          <w:sz w:val="28"/>
          <w:szCs w:val="28"/>
        </w:rPr>
        <w:t xml:space="preserve"> un Veselības ministrijas (turpmāk - VM)</w:t>
      </w:r>
      <w:r w:rsidR="005A7F37" w:rsidRPr="00025B33">
        <w:rPr>
          <w:sz w:val="28"/>
          <w:szCs w:val="28"/>
        </w:rPr>
        <w:t xml:space="preserve"> </w:t>
      </w:r>
      <w:r w:rsidRPr="00025B33">
        <w:rPr>
          <w:sz w:val="28"/>
          <w:szCs w:val="28"/>
        </w:rPr>
        <w:t>kompetencē esoši jautājumi:</w:t>
      </w:r>
    </w:p>
    <w:p w:rsidR="00BD6689" w:rsidRPr="00025B33" w:rsidRDefault="00BD6689" w:rsidP="004F0096">
      <w:pPr>
        <w:tabs>
          <w:tab w:val="left" w:pos="9288"/>
        </w:tabs>
        <w:ind w:firstLine="851"/>
        <w:jc w:val="both"/>
        <w:rPr>
          <w:sz w:val="28"/>
          <w:szCs w:val="28"/>
        </w:rPr>
      </w:pPr>
    </w:p>
    <w:p w:rsidR="00897AEF" w:rsidRPr="00487328"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sidR="00B03397" w:rsidRPr="00227FFB">
        <w:rPr>
          <w:b/>
          <w:sz w:val="28"/>
          <w:szCs w:val="28"/>
        </w:rPr>
        <w:t>1.</w:t>
      </w:r>
      <w:r w:rsidRPr="00227FFB">
        <w:rPr>
          <w:b/>
          <w:sz w:val="28"/>
          <w:szCs w:val="28"/>
        </w:rPr>
        <w:t xml:space="preserve"> </w:t>
      </w:r>
      <w:r w:rsidR="002D5915" w:rsidRPr="002D5915">
        <w:rPr>
          <w:b/>
          <w:sz w:val="28"/>
          <w:szCs w:val="28"/>
        </w:rPr>
        <w:t xml:space="preserve">Revīzijas </w:t>
      </w:r>
      <w:r w:rsidR="002D5915">
        <w:rPr>
          <w:i/>
          <w:sz w:val="28"/>
          <w:szCs w:val="28"/>
        </w:rPr>
        <w:t>(F</w:t>
      </w:r>
      <w:r w:rsidR="000D0931">
        <w:rPr>
          <w:i/>
          <w:sz w:val="28"/>
          <w:szCs w:val="28"/>
        </w:rPr>
        <w:t>M</w:t>
      </w:r>
      <w:r w:rsidR="004F0096" w:rsidRPr="004F0096">
        <w:rPr>
          <w:i/>
          <w:sz w:val="28"/>
          <w:szCs w:val="28"/>
        </w:rPr>
        <w:t xml:space="preserve"> kompetence</w:t>
      </w:r>
      <w:r w:rsidR="004A5B6D">
        <w:rPr>
          <w:i/>
          <w:sz w:val="28"/>
          <w:szCs w:val="28"/>
        </w:rPr>
        <w:t xml:space="preserve"> – sagatavotas divas pozīcijas</w:t>
      </w:r>
      <w:r w:rsidR="004F0096" w:rsidRPr="004F0096">
        <w:rPr>
          <w:i/>
          <w:sz w:val="28"/>
          <w:szCs w:val="28"/>
        </w:rPr>
        <w:t>)</w:t>
      </w:r>
    </w:p>
    <w:p w:rsidR="000D0931" w:rsidRDefault="000D0931" w:rsidP="006031F7">
      <w:pPr>
        <w:tabs>
          <w:tab w:val="left" w:pos="284"/>
        </w:tabs>
        <w:jc w:val="both"/>
        <w:rPr>
          <w:i/>
          <w:sz w:val="28"/>
          <w:szCs w:val="28"/>
        </w:rPr>
      </w:pPr>
      <w:r w:rsidRPr="000D0931">
        <w:rPr>
          <w:i/>
          <w:sz w:val="28"/>
          <w:szCs w:val="28"/>
        </w:rPr>
        <w:t>a)</w:t>
      </w:r>
      <w:r w:rsidRPr="000D0931">
        <w:rPr>
          <w:i/>
          <w:sz w:val="28"/>
          <w:szCs w:val="28"/>
        </w:rPr>
        <w:tab/>
      </w:r>
      <w:r w:rsidR="002D5915" w:rsidRPr="002D5915">
        <w:rPr>
          <w:i/>
          <w:sz w:val="28"/>
          <w:szCs w:val="28"/>
        </w:rPr>
        <w:t>priekšlikums – Eiropas Parlamenta un Padomes Regula par īpašām prasībām attiecībā uz obligātajām revīzijām sabiedriskas nozīmes struktūrās (pirmais lasījums)</w:t>
      </w:r>
    </w:p>
    <w:p w:rsidR="000D0931" w:rsidRDefault="000D0931" w:rsidP="006031F7">
      <w:pPr>
        <w:tabs>
          <w:tab w:val="left" w:pos="284"/>
        </w:tabs>
        <w:jc w:val="both"/>
        <w:rPr>
          <w:i/>
          <w:sz w:val="28"/>
          <w:szCs w:val="28"/>
        </w:rPr>
      </w:pPr>
      <w:r w:rsidRPr="000D0931">
        <w:rPr>
          <w:i/>
          <w:sz w:val="28"/>
          <w:szCs w:val="28"/>
        </w:rPr>
        <w:t>b)</w:t>
      </w:r>
      <w:r w:rsidR="002D5915">
        <w:rPr>
          <w:i/>
          <w:sz w:val="28"/>
          <w:szCs w:val="28"/>
        </w:rPr>
        <w:t xml:space="preserve"> </w:t>
      </w:r>
      <w:r w:rsidR="002D5915" w:rsidRPr="002D5915">
        <w:rPr>
          <w:i/>
          <w:sz w:val="28"/>
          <w:szCs w:val="28"/>
        </w:rPr>
        <w:t>priekšlikums – Eiropas Parlamenta un Padomes direktīva ar ko groza Direktīvu 2006/43/EK, ar ko paredz gada pārskatu un konsolidēto pārskatu obligātās revīzijas (pirmais lasījums)</w:t>
      </w:r>
    </w:p>
    <w:p w:rsidR="002D5915" w:rsidRDefault="00897AEF" w:rsidP="006031F7">
      <w:pPr>
        <w:tabs>
          <w:tab w:val="left" w:pos="284"/>
        </w:tabs>
        <w:jc w:val="both"/>
        <w:rPr>
          <w:i/>
          <w:sz w:val="28"/>
          <w:szCs w:val="28"/>
        </w:rPr>
      </w:pPr>
      <w:r w:rsidRPr="00227FFB">
        <w:rPr>
          <w:i/>
          <w:sz w:val="28"/>
          <w:szCs w:val="28"/>
        </w:rPr>
        <w:t xml:space="preserve">- </w:t>
      </w:r>
      <w:r w:rsidR="002D5915">
        <w:rPr>
          <w:i/>
          <w:sz w:val="28"/>
          <w:szCs w:val="28"/>
        </w:rPr>
        <w:t>progresa ziņojums</w:t>
      </w:r>
    </w:p>
    <w:p w:rsidR="00E730E6" w:rsidRPr="00227FFB" w:rsidRDefault="002D5915" w:rsidP="006031F7">
      <w:pPr>
        <w:tabs>
          <w:tab w:val="left" w:pos="284"/>
        </w:tabs>
        <w:jc w:val="both"/>
        <w:rPr>
          <w:i/>
          <w:sz w:val="28"/>
          <w:szCs w:val="28"/>
        </w:rPr>
      </w:pPr>
      <w:r>
        <w:rPr>
          <w:i/>
          <w:sz w:val="28"/>
          <w:szCs w:val="28"/>
        </w:rPr>
        <w:t xml:space="preserve">- </w:t>
      </w:r>
      <w:r w:rsidR="000D0931" w:rsidRPr="000D0931">
        <w:rPr>
          <w:i/>
          <w:sz w:val="28"/>
          <w:szCs w:val="28"/>
        </w:rPr>
        <w:t>politikas debates</w:t>
      </w:r>
    </w:p>
    <w:p w:rsidR="00897AEF" w:rsidRPr="00487328" w:rsidRDefault="00897AEF" w:rsidP="006031F7">
      <w:pPr>
        <w:tabs>
          <w:tab w:val="left" w:pos="284"/>
        </w:tabs>
        <w:ind w:firstLine="851"/>
        <w:jc w:val="both"/>
        <w:rPr>
          <w:sz w:val="28"/>
          <w:szCs w:val="28"/>
          <w:highlight w:val="yellow"/>
        </w:rPr>
      </w:pPr>
    </w:p>
    <w:p w:rsidR="0035644F" w:rsidRPr="0035644F" w:rsidRDefault="0035644F" w:rsidP="0035644F">
      <w:pPr>
        <w:ind w:firstLine="720"/>
        <w:jc w:val="both"/>
        <w:rPr>
          <w:iCs/>
          <w:sz w:val="28"/>
          <w:szCs w:val="26"/>
          <w:lang w:eastAsia="en-US"/>
        </w:rPr>
      </w:pPr>
      <w:r w:rsidRPr="00CB7ADD">
        <w:rPr>
          <w:sz w:val="28"/>
          <w:szCs w:val="26"/>
        </w:rPr>
        <w:t>Sanāksmē paredzēts</w:t>
      </w:r>
      <w:r w:rsidRPr="00CB7ADD">
        <w:rPr>
          <w:sz w:val="28"/>
          <w:szCs w:val="26"/>
          <w:lang w:eastAsia="en-US"/>
        </w:rPr>
        <w:t xml:space="preserve"> izskatīt uz pirmo lasījumu </w:t>
      </w:r>
      <w:r w:rsidR="00E32F93" w:rsidRPr="00CB7ADD">
        <w:rPr>
          <w:sz w:val="28"/>
          <w:szCs w:val="26"/>
          <w:lang w:eastAsia="en-US"/>
        </w:rPr>
        <w:t xml:space="preserve">Eiropas Parlamentā virzīto </w:t>
      </w:r>
      <w:r w:rsidRPr="00CB7ADD">
        <w:rPr>
          <w:sz w:val="28"/>
          <w:szCs w:val="26"/>
        </w:rPr>
        <w:t>Eiropas Komisijas (turpmāk - EK)</w:t>
      </w:r>
      <w:r w:rsidRPr="000C6C6B">
        <w:rPr>
          <w:i/>
          <w:sz w:val="28"/>
          <w:szCs w:val="26"/>
        </w:rPr>
        <w:t xml:space="preserve"> priekšlikumu grozījumiem Eiropas Parlamenta un  Padomes 2006.gada 17.</w:t>
      </w:r>
      <w:r w:rsidRPr="000C6C6B">
        <w:rPr>
          <w:i/>
          <w:color w:val="000000"/>
          <w:sz w:val="28"/>
          <w:szCs w:val="26"/>
        </w:rPr>
        <w:t>maija direktīvā 2006/43/EK ar ko paredz gada pārskatu un konsolidēto pārskatu obligātās revīzijas</w:t>
      </w:r>
      <w:r w:rsidRPr="0035644F">
        <w:rPr>
          <w:color w:val="000000"/>
          <w:sz w:val="28"/>
          <w:szCs w:val="26"/>
        </w:rPr>
        <w:t xml:space="preserve"> (turpmāk-  </w:t>
      </w:r>
      <w:r w:rsidRPr="0035644F">
        <w:rPr>
          <w:sz w:val="28"/>
          <w:szCs w:val="26"/>
          <w:lang w:eastAsia="en-US"/>
        </w:rPr>
        <w:t xml:space="preserve">priekšlikums Direktīvai) un </w:t>
      </w:r>
      <w:r>
        <w:rPr>
          <w:sz w:val="28"/>
          <w:szCs w:val="26"/>
        </w:rPr>
        <w:t>EK</w:t>
      </w:r>
      <w:r w:rsidRPr="0035644F">
        <w:rPr>
          <w:b/>
          <w:i/>
          <w:color w:val="000000"/>
          <w:sz w:val="28"/>
          <w:szCs w:val="26"/>
        </w:rPr>
        <w:t xml:space="preserve"> </w:t>
      </w:r>
      <w:r w:rsidRPr="000C6C6B">
        <w:rPr>
          <w:i/>
          <w:sz w:val="28"/>
          <w:szCs w:val="26"/>
        </w:rPr>
        <w:t>priekšlikumu Eiropas Parlamenta un Padomes regulai</w:t>
      </w:r>
      <w:r w:rsidRPr="000C6C6B">
        <w:rPr>
          <w:i/>
          <w:color w:val="000000"/>
          <w:sz w:val="28"/>
          <w:szCs w:val="26"/>
        </w:rPr>
        <w:t xml:space="preserve"> par īpašām prasībām attiecībā uz obligāto revīziju sabiedriskās nozīmes struktūrās</w:t>
      </w:r>
      <w:r w:rsidRPr="0035644F">
        <w:rPr>
          <w:color w:val="000000"/>
          <w:sz w:val="28"/>
          <w:szCs w:val="26"/>
        </w:rPr>
        <w:t xml:space="preserve"> (turpmāk – priekšlikums Regulai) pēc būtības. </w:t>
      </w:r>
      <w:r w:rsidRPr="0035644F">
        <w:rPr>
          <w:sz w:val="28"/>
          <w:szCs w:val="26"/>
          <w:lang w:eastAsia="en-US"/>
        </w:rPr>
        <w:t xml:space="preserve">Tāpat arī ir paredzēts aicināt </w:t>
      </w:r>
      <w:r>
        <w:rPr>
          <w:sz w:val="28"/>
          <w:szCs w:val="26"/>
          <w:lang w:eastAsia="en-US"/>
        </w:rPr>
        <w:t>ES</w:t>
      </w:r>
      <w:r w:rsidRPr="0035644F">
        <w:rPr>
          <w:sz w:val="28"/>
          <w:szCs w:val="26"/>
          <w:lang w:eastAsia="en-US"/>
        </w:rPr>
        <w:t xml:space="preserve"> dalībvalstu  </w:t>
      </w:r>
      <w:r w:rsidRPr="00CB7ADD">
        <w:rPr>
          <w:sz w:val="28"/>
          <w:szCs w:val="26"/>
          <w:lang w:eastAsia="en-US"/>
        </w:rPr>
        <w:t xml:space="preserve">ministrus izteikties par trim būtiskiem </w:t>
      </w:r>
      <w:r w:rsidR="00E32F93" w:rsidRPr="00CB7ADD">
        <w:rPr>
          <w:sz w:val="28"/>
          <w:szCs w:val="26"/>
          <w:lang w:eastAsia="en-US"/>
        </w:rPr>
        <w:t xml:space="preserve">Regulas </w:t>
      </w:r>
      <w:r w:rsidRPr="00CB7ADD">
        <w:rPr>
          <w:sz w:val="28"/>
          <w:szCs w:val="26"/>
          <w:lang w:eastAsia="en-US"/>
        </w:rPr>
        <w:t>priekšlikuma jautājumiem –</w:t>
      </w:r>
      <w:r w:rsidRPr="0035644F">
        <w:rPr>
          <w:sz w:val="28"/>
          <w:szCs w:val="26"/>
          <w:lang w:eastAsia="en-US"/>
        </w:rPr>
        <w:t xml:space="preserve"> obligāto revidentu un revīzijas uzņēmumu rotācija, </w:t>
      </w:r>
      <w:r w:rsidR="00813445" w:rsidRPr="00813445">
        <w:rPr>
          <w:sz w:val="28"/>
          <w:szCs w:val="26"/>
          <w:lang w:eastAsia="en-US"/>
        </w:rPr>
        <w:t xml:space="preserve">ar revīziju nesaistīti pakalpojumi  (turpmāk - ne-revīzijas pakalpojumi) </w:t>
      </w:r>
      <w:r w:rsidRPr="0035644F">
        <w:rPr>
          <w:sz w:val="28"/>
          <w:szCs w:val="26"/>
          <w:lang w:eastAsia="en-US"/>
        </w:rPr>
        <w:t xml:space="preserve">un </w:t>
      </w:r>
      <w:r w:rsidRPr="0035644F">
        <w:rPr>
          <w:sz w:val="28"/>
          <w:szCs w:val="26"/>
        </w:rPr>
        <w:t xml:space="preserve">Eiropas Vērtspapīru un tirgus iestādes (turpmāk – </w:t>
      </w:r>
      <w:r w:rsidRPr="0035644F">
        <w:rPr>
          <w:sz w:val="28"/>
          <w:szCs w:val="26"/>
          <w:lang w:eastAsia="en-US"/>
        </w:rPr>
        <w:t>EVTI) loma. Dienas kārtībā ir paredz</w:t>
      </w:r>
      <w:r w:rsidR="00813445">
        <w:rPr>
          <w:sz w:val="28"/>
          <w:szCs w:val="26"/>
          <w:lang w:eastAsia="en-US"/>
        </w:rPr>
        <w:t>ēts apspriest progresa ziņojumu</w:t>
      </w:r>
      <w:r w:rsidRPr="0035644F">
        <w:rPr>
          <w:sz w:val="28"/>
          <w:szCs w:val="26"/>
          <w:lang w:eastAsia="en-US"/>
        </w:rPr>
        <w:t xml:space="preserve">. </w:t>
      </w:r>
    </w:p>
    <w:p w:rsidR="0035644F" w:rsidRPr="0035644F" w:rsidRDefault="0035644F" w:rsidP="0035644F">
      <w:pPr>
        <w:jc w:val="both"/>
        <w:rPr>
          <w:sz w:val="28"/>
          <w:szCs w:val="26"/>
        </w:rPr>
      </w:pPr>
      <w:r w:rsidRPr="0035644F">
        <w:rPr>
          <w:b/>
          <w:i/>
          <w:color w:val="000000"/>
          <w:sz w:val="28"/>
          <w:szCs w:val="26"/>
        </w:rPr>
        <w:t xml:space="preserve"> </w:t>
      </w:r>
      <w:r w:rsidRPr="0035644F">
        <w:rPr>
          <w:b/>
          <w:i/>
          <w:color w:val="000000"/>
          <w:sz w:val="28"/>
          <w:szCs w:val="26"/>
        </w:rPr>
        <w:tab/>
      </w:r>
      <w:r w:rsidRPr="0035644F">
        <w:rPr>
          <w:sz w:val="28"/>
          <w:szCs w:val="26"/>
        </w:rPr>
        <w:t xml:space="preserve">2011.gada 30.novembrī </w:t>
      </w:r>
      <w:r>
        <w:rPr>
          <w:color w:val="000000"/>
          <w:sz w:val="28"/>
          <w:szCs w:val="26"/>
        </w:rPr>
        <w:t>EK</w:t>
      </w:r>
      <w:r w:rsidRPr="0035644F">
        <w:rPr>
          <w:color w:val="000000"/>
          <w:sz w:val="28"/>
          <w:szCs w:val="26"/>
        </w:rPr>
        <w:t xml:space="preserve"> </w:t>
      </w:r>
      <w:r w:rsidR="00E32F93">
        <w:rPr>
          <w:color w:val="000000"/>
          <w:sz w:val="28"/>
          <w:szCs w:val="26"/>
        </w:rPr>
        <w:t>publicēja</w:t>
      </w:r>
      <w:r w:rsidRPr="0035644F">
        <w:rPr>
          <w:color w:val="000000"/>
          <w:sz w:val="28"/>
          <w:szCs w:val="26"/>
        </w:rPr>
        <w:t xml:space="preserve"> priekšlikumu Direktīvai un Regulai</w:t>
      </w:r>
      <w:r w:rsidR="00E32F93">
        <w:rPr>
          <w:color w:val="000000"/>
          <w:sz w:val="28"/>
          <w:szCs w:val="26"/>
        </w:rPr>
        <w:t xml:space="preserve">. Abi tiesību aktu projekti ir saistīti un </w:t>
      </w:r>
      <w:r w:rsidRPr="0035644F">
        <w:rPr>
          <w:sz w:val="28"/>
          <w:szCs w:val="26"/>
        </w:rPr>
        <w:t xml:space="preserve">tiek virzīti vienlaicīgi. </w:t>
      </w:r>
    </w:p>
    <w:p w:rsidR="0035644F" w:rsidRPr="0035644F" w:rsidRDefault="0035644F" w:rsidP="0035644F">
      <w:pPr>
        <w:ind w:firstLine="360"/>
        <w:jc w:val="both"/>
        <w:rPr>
          <w:sz w:val="28"/>
          <w:szCs w:val="26"/>
        </w:rPr>
      </w:pPr>
      <w:r w:rsidRPr="0035644F">
        <w:rPr>
          <w:sz w:val="28"/>
          <w:szCs w:val="26"/>
        </w:rPr>
        <w:t>Minētie </w:t>
      </w:r>
      <w:r>
        <w:rPr>
          <w:sz w:val="28"/>
          <w:szCs w:val="26"/>
        </w:rPr>
        <w:t>ES</w:t>
      </w:r>
      <w:r w:rsidRPr="0035644F">
        <w:rPr>
          <w:sz w:val="28"/>
          <w:szCs w:val="26"/>
        </w:rPr>
        <w:t xml:space="preserve"> tiesību aktu projekti kopumā paredz:</w:t>
      </w:r>
    </w:p>
    <w:p w:rsidR="0035644F" w:rsidRPr="0035644F" w:rsidRDefault="00813445" w:rsidP="00813445">
      <w:pPr>
        <w:pStyle w:val="ListParagraph"/>
        <w:numPr>
          <w:ilvl w:val="0"/>
          <w:numId w:val="36"/>
        </w:numPr>
        <w:jc w:val="both"/>
        <w:rPr>
          <w:sz w:val="28"/>
          <w:szCs w:val="26"/>
        </w:rPr>
      </w:pPr>
      <w:r>
        <w:rPr>
          <w:sz w:val="28"/>
          <w:szCs w:val="26"/>
        </w:rPr>
        <w:t>o</w:t>
      </w:r>
      <w:r w:rsidRPr="00813445">
        <w:rPr>
          <w:sz w:val="28"/>
          <w:szCs w:val="26"/>
        </w:rPr>
        <w:t xml:space="preserve">bligāto revidentu un </w:t>
      </w:r>
      <w:r w:rsidR="0035644F" w:rsidRPr="0035644F">
        <w:rPr>
          <w:sz w:val="28"/>
          <w:szCs w:val="26"/>
        </w:rPr>
        <w:t>revīzijas uzņēmumu, kas veic sabiedriskās nozīmes struktūru</w:t>
      </w:r>
      <w:r>
        <w:rPr>
          <w:sz w:val="28"/>
          <w:szCs w:val="26"/>
        </w:rPr>
        <w:t xml:space="preserve"> revīzijas, </w:t>
      </w:r>
      <w:r w:rsidR="0035644F" w:rsidRPr="0035644F">
        <w:rPr>
          <w:sz w:val="28"/>
          <w:szCs w:val="26"/>
        </w:rPr>
        <w:t xml:space="preserve"> obligāto rotāciju;</w:t>
      </w:r>
    </w:p>
    <w:p w:rsidR="0035644F" w:rsidRPr="0035644F" w:rsidRDefault="0035644F" w:rsidP="00813445">
      <w:pPr>
        <w:pStyle w:val="ListParagraph"/>
        <w:numPr>
          <w:ilvl w:val="0"/>
          <w:numId w:val="36"/>
        </w:numPr>
        <w:jc w:val="both"/>
        <w:rPr>
          <w:sz w:val="28"/>
          <w:szCs w:val="26"/>
        </w:rPr>
      </w:pPr>
      <w:r w:rsidRPr="0035644F">
        <w:rPr>
          <w:sz w:val="28"/>
          <w:szCs w:val="26"/>
        </w:rPr>
        <w:t>stingrākas prasības obligāto revidentu</w:t>
      </w:r>
      <w:r w:rsidR="00813445">
        <w:rPr>
          <w:sz w:val="28"/>
          <w:szCs w:val="26"/>
        </w:rPr>
        <w:t xml:space="preserve"> </w:t>
      </w:r>
      <w:r w:rsidR="00813445" w:rsidRPr="00813445">
        <w:rPr>
          <w:sz w:val="28"/>
          <w:szCs w:val="26"/>
        </w:rPr>
        <w:t>un revīzijas uzņēmumu</w:t>
      </w:r>
      <w:r w:rsidRPr="0035644F">
        <w:rPr>
          <w:sz w:val="28"/>
          <w:szCs w:val="26"/>
        </w:rPr>
        <w:t xml:space="preserve"> iecelšanai sabiedriskas nozīmes struktūrās;</w:t>
      </w:r>
    </w:p>
    <w:p w:rsidR="0035644F" w:rsidRPr="0035644F" w:rsidRDefault="0035644F" w:rsidP="00813445">
      <w:pPr>
        <w:pStyle w:val="ListParagraph"/>
        <w:numPr>
          <w:ilvl w:val="0"/>
          <w:numId w:val="36"/>
        </w:numPr>
        <w:jc w:val="both"/>
        <w:rPr>
          <w:sz w:val="28"/>
          <w:szCs w:val="26"/>
        </w:rPr>
      </w:pPr>
      <w:r w:rsidRPr="0035644F">
        <w:rPr>
          <w:sz w:val="28"/>
          <w:szCs w:val="26"/>
        </w:rPr>
        <w:lastRenderedPageBreak/>
        <w:t>aizliegumu obligātiem revidentiem</w:t>
      </w:r>
      <w:r w:rsidR="00813445">
        <w:rPr>
          <w:sz w:val="28"/>
          <w:szCs w:val="26"/>
        </w:rPr>
        <w:t xml:space="preserve"> </w:t>
      </w:r>
      <w:r w:rsidR="00813445" w:rsidRPr="00813445">
        <w:rPr>
          <w:sz w:val="28"/>
          <w:szCs w:val="26"/>
        </w:rPr>
        <w:t>un revīzijas uzņēmumiem</w:t>
      </w:r>
      <w:r w:rsidR="00813445">
        <w:rPr>
          <w:sz w:val="28"/>
          <w:szCs w:val="26"/>
        </w:rPr>
        <w:t xml:space="preserve"> sniegt ne-revīzijas pakalpojumus</w:t>
      </w:r>
      <w:r w:rsidRPr="0035644F">
        <w:rPr>
          <w:sz w:val="28"/>
          <w:szCs w:val="26"/>
        </w:rPr>
        <w:t xml:space="preserve"> tām sabiedriskas nozīmes struktūrām, kurām </w:t>
      </w:r>
      <w:r w:rsidR="00813445">
        <w:rPr>
          <w:sz w:val="28"/>
          <w:szCs w:val="26"/>
        </w:rPr>
        <w:t xml:space="preserve">obligātais </w:t>
      </w:r>
      <w:r w:rsidRPr="0035644F">
        <w:rPr>
          <w:sz w:val="28"/>
          <w:szCs w:val="26"/>
        </w:rPr>
        <w:t>revidents</w:t>
      </w:r>
      <w:r w:rsidR="00813445">
        <w:rPr>
          <w:sz w:val="28"/>
          <w:szCs w:val="26"/>
        </w:rPr>
        <w:t xml:space="preserve"> un revīzijas uzņēmums</w:t>
      </w:r>
      <w:r w:rsidRPr="0035644F">
        <w:rPr>
          <w:sz w:val="28"/>
          <w:szCs w:val="26"/>
        </w:rPr>
        <w:t xml:space="preserve"> sniedz revīzijas pakalpojumus;</w:t>
      </w:r>
    </w:p>
    <w:p w:rsidR="0035644F" w:rsidRPr="0035644F" w:rsidRDefault="0035644F" w:rsidP="0035644F">
      <w:pPr>
        <w:pStyle w:val="ListParagraph"/>
        <w:numPr>
          <w:ilvl w:val="0"/>
          <w:numId w:val="36"/>
        </w:numPr>
        <w:jc w:val="both"/>
        <w:rPr>
          <w:sz w:val="28"/>
          <w:szCs w:val="26"/>
        </w:rPr>
      </w:pPr>
      <w:r w:rsidRPr="0035644F">
        <w:rPr>
          <w:sz w:val="28"/>
          <w:szCs w:val="26"/>
        </w:rPr>
        <w:t>stingrākas prasības revīzijas pakalpojumu sniedzēju uzraudzībai nacionālajā līmenī;</w:t>
      </w:r>
    </w:p>
    <w:p w:rsidR="0035644F" w:rsidRPr="0035644F" w:rsidRDefault="0035644F" w:rsidP="0035644F">
      <w:pPr>
        <w:pStyle w:val="ListParagraph"/>
        <w:numPr>
          <w:ilvl w:val="0"/>
          <w:numId w:val="36"/>
        </w:numPr>
        <w:jc w:val="both"/>
        <w:rPr>
          <w:sz w:val="28"/>
          <w:szCs w:val="26"/>
        </w:rPr>
      </w:pPr>
      <w:r w:rsidRPr="0035644F">
        <w:rPr>
          <w:sz w:val="28"/>
          <w:szCs w:val="26"/>
        </w:rPr>
        <w:t xml:space="preserve">jaunas prasības </w:t>
      </w:r>
      <w:r w:rsidR="00813445">
        <w:rPr>
          <w:sz w:val="28"/>
          <w:szCs w:val="26"/>
        </w:rPr>
        <w:t>revīzijas</w:t>
      </w:r>
      <w:r w:rsidRPr="0035644F">
        <w:rPr>
          <w:sz w:val="28"/>
          <w:szCs w:val="26"/>
        </w:rPr>
        <w:t xml:space="preserve"> pakalpojumu sniedzēju uzraudzībai ES līmenī;</w:t>
      </w:r>
    </w:p>
    <w:p w:rsidR="0035644F" w:rsidRPr="0035644F" w:rsidRDefault="0035644F" w:rsidP="0035644F">
      <w:pPr>
        <w:pStyle w:val="ListParagraph"/>
        <w:numPr>
          <w:ilvl w:val="0"/>
          <w:numId w:val="36"/>
        </w:numPr>
        <w:jc w:val="both"/>
        <w:rPr>
          <w:sz w:val="28"/>
          <w:szCs w:val="26"/>
        </w:rPr>
      </w:pPr>
      <w:r w:rsidRPr="0035644F">
        <w:rPr>
          <w:sz w:val="28"/>
          <w:szCs w:val="26"/>
        </w:rPr>
        <w:t>atvieglotas prasības mazo un vidēji lielu uzņēmumu revīzijām.</w:t>
      </w:r>
    </w:p>
    <w:p w:rsidR="0035644F" w:rsidRPr="0035644F" w:rsidRDefault="0035644F" w:rsidP="0035644F">
      <w:pPr>
        <w:pStyle w:val="ListParagraph"/>
        <w:jc w:val="both"/>
        <w:rPr>
          <w:sz w:val="28"/>
          <w:szCs w:val="26"/>
        </w:rPr>
      </w:pPr>
    </w:p>
    <w:p w:rsidR="00242E0C" w:rsidRDefault="00242E0C" w:rsidP="0035644F">
      <w:pPr>
        <w:autoSpaceDE w:val="0"/>
        <w:autoSpaceDN w:val="0"/>
        <w:adjustRightInd w:val="0"/>
        <w:ind w:firstLine="720"/>
        <w:jc w:val="both"/>
        <w:rPr>
          <w:iCs/>
          <w:sz w:val="28"/>
          <w:szCs w:val="26"/>
        </w:rPr>
      </w:pPr>
      <w:r w:rsidRPr="00242E0C">
        <w:rPr>
          <w:iCs/>
          <w:sz w:val="28"/>
          <w:szCs w:val="26"/>
        </w:rPr>
        <w:t>Direktīvas un regulas priekšlikumi ir skatīti E</w:t>
      </w:r>
      <w:r w:rsidR="00813445">
        <w:rPr>
          <w:iCs/>
          <w:sz w:val="28"/>
          <w:szCs w:val="26"/>
        </w:rPr>
        <w:t>S</w:t>
      </w:r>
      <w:r w:rsidRPr="00242E0C">
        <w:rPr>
          <w:iCs/>
          <w:sz w:val="28"/>
          <w:szCs w:val="26"/>
        </w:rPr>
        <w:t xml:space="preserve"> Padomes (turpmāk</w:t>
      </w:r>
      <w:r w:rsidR="00813445">
        <w:rPr>
          <w:iCs/>
          <w:sz w:val="28"/>
          <w:szCs w:val="26"/>
        </w:rPr>
        <w:t xml:space="preserve"> -</w:t>
      </w:r>
      <w:r w:rsidRPr="00242E0C">
        <w:rPr>
          <w:iCs/>
          <w:sz w:val="28"/>
          <w:szCs w:val="26"/>
        </w:rPr>
        <w:t xml:space="preserve"> Padomes) darba grupas sanāksmēs. </w:t>
      </w:r>
    </w:p>
    <w:p w:rsidR="0035644F" w:rsidRDefault="0035644F" w:rsidP="0035644F">
      <w:pPr>
        <w:autoSpaceDE w:val="0"/>
        <w:autoSpaceDN w:val="0"/>
        <w:adjustRightInd w:val="0"/>
        <w:ind w:firstLine="720"/>
        <w:jc w:val="both"/>
        <w:rPr>
          <w:sz w:val="28"/>
          <w:szCs w:val="26"/>
        </w:rPr>
      </w:pPr>
      <w:r w:rsidRPr="0035644F">
        <w:rPr>
          <w:iCs/>
          <w:sz w:val="28"/>
          <w:szCs w:val="26"/>
        </w:rPr>
        <w:t xml:space="preserve">Padomes darba grupas sanāksmēs </w:t>
      </w:r>
      <w:r w:rsidRPr="000C6C6B">
        <w:rPr>
          <w:b/>
          <w:color w:val="000000"/>
          <w:sz w:val="28"/>
          <w:szCs w:val="26"/>
        </w:rPr>
        <w:t>dalībvalstis kopumā atbalstīja</w:t>
      </w:r>
      <w:r w:rsidRPr="0035644F">
        <w:rPr>
          <w:color w:val="000000"/>
          <w:sz w:val="28"/>
          <w:szCs w:val="26"/>
        </w:rPr>
        <w:t xml:space="preserve"> Īrijas Prezidentūras sagatavoto </w:t>
      </w:r>
      <w:r w:rsidR="00E32F93">
        <w:rPr>
          <w:color w:val="000000"/>
          <w:sz w:val="28"/>
          <w:szCs w:val="26"/>
        </w:rPr>
        <w:t xml:space="preserve">Direktīvas un Regulas </w:t>
      </w:r>
      <w:r w:rsidRPr="0035644F">
        <w:rPr>
          <w:color w:val="000000"/>
          <w:sz w:val="28"/>
          <w:szCs w:val="26"/>
        </w:rPr>
        <w:t xml:space="preserve">kompromisa </w:t>
      </w:r>
      <w:r w:rsidR="00E32F93">
        <w:rPr>
          <w:color w:val="000000"/>
          <w:sz w:val="28"/>
          <w:szCs w:val="26"/>
        </w:rPr>
        <w:t>tekstu</w:t>
      </w:r>
      <w:r w:rsidRPr="0035644F">
        <w:rPr>
          <w:color w:val="000000"/>
          <w:sz w:val="28"/>
          <w:szCs w:val="26"/>
        </w:rPr>
        <w:t xml:space="preserve">. </w:t>
      </w:r>
      <w:r w:rsidRPr="0035644F">
        <w:rPr>
          <w:iCs/>
          <w:sz w:val="28"/>
          <w:szCs w:val="26"/>
        </w:rPr>
        <w:t xml:space="preserve">Tomēr vēl joprojām nav panākta vienošanās starp </w:t>
      </w:r>
      <w:r w:rsidR="00813445">
        <w:rPr>
          <w:iCs/>
          <w:sz w:val="28"/>
          <w:szCs w:val="26"/>
        </w:rPr>
        <w:t>dalībvalstīm</w:t>
      </w:r>
      <w:r w:rsidRPr="0035644F">
        <w:rPr>
          <w:iCs/>
          <w:sz w:val="28"/>
          <w:szCs w:val="26"/>
        </w:rPr>
        <w:t xml:space="preserve"> un </w:t>
      </w:r>
      <w:r>
        <w:rPr>
          <w:iCs/>
          <w:sz w:val="28"/>
          <w:szCs w:val="26"/>
        </w:rPr>
        <w:t>EK</w:t>
      </w:r>
      <w:r w:rsidRPr="0035644F">
        <w:rPr>
          <w:iCs/>
          <w:sz w:val="28"/>
          <w:szCs w:val="26"/>
        </w:rPr>
        <w:t xml:space="preserve"> par vairākiem </w:t>
      </w:r>
      <w:r w:rsidR="00845033">
        <w:rPr>
          <w:iCs/>
          <w:sz w:val="28"/>
          <w:szCs w:val="26"/>
        </w:rPr>
        <w:t xml:space="preserve">Regulas </w:t>
      </w:r>
      <w:r w:rsidRPr="0035644F">
        <w:rPr>
          <w:iCs/>
          <w:sz w:val="28"/>
          <w:szCs w:val="26"/>
        </w:rPr>
        <w:t xml:space="preserve">priekšlikuma jautājumiem pēc būtības. </w:t>
      </w:r>
      <w:r w:rsidR="00845033">
        <w:rPr>
          <w:iCs/>
          <w:sz w:val="28"/>
          <w:szCs w:val="26"/>
        </w:rPr>
        <w:t>Tāpē</w:t>
      </w:r>
      <w:r w:rsidR="00813445">
        <w:rPr>
          <w:iCs/>
          <w:sz w:val="28"/>
          <w:szCs w:val="26"/>
        </w:rPr>
        <w:t>c Konkurētspējas ministru padomes sanāksmē</w:t>
      </w:r>
      <w:r w:rsidR="00845033">
        <w:rPr>
          <w:iCs/>
          <w:sz w:val="28"/>
          <w:szCs w:val="26"/>
        </w:rPr>
        <w:t xml:space="preserve"> ir plānots diskutēt par </w:t>
      </w:r>
      <w:r w:rsidR="00813445">
        <w:rPr>
          <w:iCs/>
          <w:sz w:val="28"/>
          <w:szCs w:val="26"/>
        </w:rPr>
        <w:t>šādiem</w:t>
      </w:r>
      <w:r w:rsidR="00845033">
        <w:rPr>
          <w:iCs/>
          <w:sz w:val="28"/>
          <w:szCs w:val="26"/>
        </w:rPr>
        <w:t xml:space="preserve"> jautājumiem: </w:t>
      </w:r>
      <w:r w:rsidRPr="0035644F">
        <w:rPr>
          <w:sz w:val="28"/>
          <w:szCs w:val="26"/>
        </w:rPr>
        <w:t>(1) obligāto revidentu un revīzijas uzņēmumu</w:t>
      </w:r>
      <w:r w:rsidR="00813445">
        <w:rPr>
          <w:sz w:val="28"/>
          <w:szCs w:val="26"/>
        </w:rPr>
        <w:t xml:space="preserve"> obligātā</w:t>
      </w:r>
      <w:r w:rsidRPr="0035644F">
        <w:rPr>
          <w:sz w:val="28"/>
          <w:szCs w:val="26"/>
        </w:rPr>
        <w:t xml:space="preserve"> rotācija, (2) ne-revīzijas pakalpojumi un (3) EVTI loma.</w:t>
      </w:r>
    </w:p>
    <w:p w:rsidR="0035644F" w:rsidRPr="0035644F" w:rsidRDefault="0035644F" w:rsidP="0035644F">
      <w:pPr>
        <w:autoSpaceDE w:val="0"/>
        <w:autoSpaceDN w:val="0"/>
        <w:adjustRightInd w:val="0"/>
        <w:ind w:firstLine="720"/>
        <w:jc w:val="both"/>
        <w:rPr>
          <w:sz w:val="32"/>
        </w:rPr>
      </w:pPr>
    </w:p>
    <w:p w:rsidR="0035644F" w:rsidRPr="0035644F" w:rsidRDefault="0035644F" w:rsidP="0035644F">
      <w:pPr>
        <w:pStyle w:val="BodyText2"/>
        <w:spacing w:after="60"/>
        <w:jc w:val="left"/>
        <w:rPr>
          <w:b/>
          <w:bCs/>
          <w:sz w:val="28"/>
          <w:szCs w:val="26"/>
          <w:u w:val="single"/>
        </w:rPr>
      </w:pPr>
      <w:r w:rsidRPr="0035644F">
        <w:rPr>
          <w:b/>
          <w:bCs/>
          <w:sz w:val="28"/>
          <w:szCs w:val="26"/>
          <w:u w:val="single"/>
        </w:rPr>
        <w:t xml:space="preserve">Latvijas pozīcija par </w:t>
      </w:r>
      <w:r w:rsidR="00845033">
        <w:rPr>
          <w:b/>
          <w:bCs/>
          <w:sz w:val="28"/>
          <w:szCs w:val="26"/>
          <w:u w:val="single"/>
        </w:rPr>
        <w:t xml:space="preserve">Direktīvas </w:t>
      </w:r>
      <w:r w:rsidRPr="0035644F">
        <w:rPr>
          <w:b/>
          <w:bCs/>
          <w:sz w:val="28"/>
          <w:szCs w:val="26"/>
          <w:u w:val="single"/>
        </w:rPr>
        <w:t xml:space="preserve">priekšlikumu: </w:t>
      </w:r>
    </w:p>
    <w:p w:rsidR="0035644F" w:rsidRPr="0035644F" w:rsidRDefault="005C2D2C" w:rsidP="0035644F">
      <w:pPr>
        <w:spacing w:before="120" w:after="120"/>
        <w:jc w:val="both"/>
        <w:rPr>
          <w:color w:val="000000"/>
          <w:sz w:val="28"/>
          <w:szCs w:val="26"/>
        </w:rPr>
      </w:pPr>
      <w:r>
        <w:rPr>
          <w:rStyle w:val="Strong"/>
          <w:bCs w:val="0"/>
          <w:noProof/>
          <w:sz w:val="28"/>
          <w:szCs w:val="26"/>
        </w:rPr>
        <w:tab/>
      </w:r>
      <w:r w:rsidR="0035644F" w:rsidRPr="0035644F">
        <w:rPr>
          <w:rStyle w:val="Strong"/>
          <w:bCs w:val="0"/>
          <w:noProof/>
          <w:sz w:val="28"/>
          <w:szCs w:val="26"/>
        </w:rPr>
        <w:t>Latvija kopumā atbalsta</w:t>
      </w:r>
      <w:r w:rsidR="0035644F" w:rsidRPr="0035644F">
        <w:rPr>
          <w:rStyle w:val="Strong"/>
          <w:b w:val="0"/>
          <w:bCs w:val="0"/>
          <w:noProof/>
          <w:sz w:val="28"/>
          <w:szCs w:val="26"/>
        </w:rPr>
        <w:t xml:space="preserve"> </w:t>
      </w:r>
      <w:r w:rsidR="00845033">
        <w:rPr>
          <w:rStyle w:val="Strong"/>
          <w:b w:val="0"/>
          <w:bCs w:val="0"/>
          <w:noProof/>
          <w:sz w:val="28"/>
          <w:szCs w:val="26"/>
        </w:rPr>
        <w:t xml:space="preserve">Direktīvas </w:t>
      </w:r>
      <w:r w:rsidR="0035644F" w:rsidRPr="0035644F">
        <w:rPr>
          <w:rStyle w:val="Strong"/>
          <w:b w:val="0"/>
          <w:bCs w:val="0"/>
          <w:noProof/>
          <w:sz w:val="28"/>
          <w:szCs w:val="26"/>
        </w:rPr>
        <w:t xml:space="preserve">priekšlikumu, jo tas </w:t>
      </w:r>
      <w:r w:rsidR="0035644F" w:rsidRPr="0035644F">
        <w:rPr>
          <w:sz w:val="28"/>
          <w:szCs w:val="26"/>
        </w:rPr>
        <w:t>atbilst Latvijas tiesiskajam regulējumam. Latvija</w:t>
      </w:r>
      <w:r w:rsidR="00845033">
        <w:rPr>
          <w:sz w:val="28"/>
          <w:szCs w:val="26"/>
        </w:rPr>
        <w:t xml:space="preserve"> ir</w:t>
      </w:r>
      <w:r w:rsidR="0035644F" w:rsidRPr="0035644F">
        <w:rPr>
          <w:sz w:val="28"/>
          <w:szCs w:val="26"/>
        </w:rPr>
        <w:t xml:space="preserve"> </w:t>
      </w:r>
      <w:r w:rsidR="0035644F" w:rsidRPr="0035644F">
        <w:rPr>
          <w:color w:val="000000"/>
          <w:sz w:val="28"/>
          <w:szCs w:val="26"/>
        </w:rPr>
        <w:t xml:space="preserve">ieinteresēta </w:t>
      </w:r>
      <w:r w:rsidR="00845033">
        <w:rPr>
          <w:color w:val="000000"/>
          <w:sz w:val="28"/>
          <w:szCs w:val="26"/>
        </w:rPr>
        <w:t xml:space="preserve">integrētā </w:t>
      </w:r>
      <w:r w:rsidR="0035644F" w:rsidRPr="0035644F">
        <w:rPr>
          <w:color w:val="000000"/>
          <w:sz w:val="28"/>
          <w:szCs w:val="26"/>
        </w:rPr>
        <w:t xml:space="preserve">revīzijas pakalpojumu </w:t>
      </w:r>
      <w:r w:rsidR="00845033" w:rsidRPr="0035644F">
        <w:rPr>
          <w:color w:val="000000"/>
          <w:sz w:val="28"/>
          <w:szCs w:val="26"/>
        </w:rPr>
        <w:t>tirg</w:t>
      </w:r>
      <w:r w:rsidR="00845033">
        <w:rPr>
          <w:color w:val="000000"/>
          <w:sz w:val="28"/>
          <w:szCs w:val="26"/>
        </w:rPr>
        <w:t>ū</w:t>
      </w:r>
      <w:r w:rsidR="00845033" w:rsidRPr="0035644F">
        <w:rPr>
          <w:color w:val="000000"/>
          <w:sz w:val="28"/>
          <w:szCs w:val="26"/>
        </w:rPr>
        <w:t xml:space="preserve"> </w:t>
      </w:r>
      <w:r w:rsidR="0035644F">
        <w:rPr>
          <w:color w:val="000000"/>
          <w:sz w:val="28"/>
          <w:szCs w:val="26"/>
        </w:rPr>
        <w:t>ES</w:t>
      </w:r>
      <w:r w:rsidR="0035644F" w:rsidRPr="0035644F">
        <w:rPr>
          <w:color w:val="000000"/>
          <w:sz w:val="28"/>
          <w:szCs w:val="26"/>
        </w:rPr>
        <w:t xml:space="preserve">, obligāto revidentu darbības caurskatāmībā un kontroles uzlabošanā revīzijas pakalpojumu sniegšanas jomā. </w:t>
      </w:r>
    </w:p>
    <w:p w:rsidR="0035644F" w:rsidRPr="0035644F" w:rsidRDefault="00845033" w:rsidP="0035644F">
      <w:pPr>
        <w:numPr>
          <w:ilvl w:val="0"/>
          <w:numId w:val="37"/>
        </w:numPr>
        <w:spacing w:before="120" w:after="120"/>
        <w:jc w:val="both"/>
        <w:rPr>
          <w:sz w:val="28"/>
          <w:szCs w:val="26"/>
        </w:rPr>
      </w:pPr>
      <w:r>
        <w:rPr>
          <w:b/>
          <w:color w:val="000000"/>
          <w:sz w:val="28"/>
          <w:szCs w:val="26"/>
        </w:rPr>
        <w:t>Jautājumā par ā</w:t>
      </w:r>
      <w:r w:rsidR="0035644F" w:rsidRPr="0035644F">
        <w:rPr>
          <w:b/>
          <w:color w:val="000000"/>
          <w:sz w:val="28"/>
          <w:szCs w:val="26"/>
        </w:rPr>
        <w:t xml:space="preserve">rvalstu revidentu kvalifikācijas atzīšana - </w:t>
      </w:r>
      <w:r w:rsidR="0035644F" w:rsidRPr="0035644F">
        <w:rPr>
          <w:b/>
          <w:sz w:val="28"/>
          <w:szCs w:val="26"/>
        </w:rPr>
        <w:t>Latvija uzsver</w:t>
      </w:r>
      <w:r w:rsidR="0035644F" w:rsidRPr="0035644F">
        <w:rPr>
          <w:sz w:val="28"/>
          <w:szCs w:val="26"/>
        </w:rPr>
        <w:t xml:space="preserve">, ka adaptācijas perioda izvēles gadījumā pastāv šaubas par citas DV obligātā revidenta sniegto pakalpojumu kvalitāti, jo </w:t>
      </w:r>
      <w:r>
        <w:rPr>
          <w:sz w:val="28"/>
          <w:szCs w:val="26"/>
        </w:rPr>
        <w:t xml:space="preserve">katrai DV ir specifiska nacionālā likumdošana </w:t>
      </w:r>
      <w:r w:rsidR="0035644F" w:rsidRPr="0035644F">
        <w:rPr>
          <w:sz w:val="28"/>
          <w:szCs w:val="26"/>
        </w:rPr>
        <w:t xml:space="preserve">(piemēram, </w:t>
      </w:r>
      <w:r w:rsidRPr="0035644F">
        <w:rPr>
          <w:sz w:val="28"/>
          <w:szCs w:val="26"/>
        </w:rPr>
        <w:t>nodokļ</w:t>
      </w:r>
      <w:r>
        <w:rPr>
          <w:sz w:val="28"/>
          <w:szCs w:val="26"/>
        </w:rPr>
        <w:t>u jautājumos</w:t>
      </w:r>
      <w:r w:rsidR="0035644F" w:rsidRPr="0035644F">
        <w:rPr>
          <w:sz w:val="28"/>
          <w:szCs w:val="26"/>
        </w:rPr>
        <w:t>),.</w:t>
      </w:r>
    </w:p>
    <w:p w:rsidR="0035644F" w:rsidRPr="0035644F" w:rsidRDefault="00845033" w:rsidP="0035644F">
      <w:pPr>
        <w:numPr>
          <w:ilvl w:val="0"/>
          <w:numId w:val="37"/>
        </w:numPr>
        <w:spacing w:before="120" w:after="120"/>
        <w:jc w:val="both"/>
        <w:rPr>
          <w:sz w:val="28"/>
          <w:szCs w:val="26"/>
        </w:rPr>
      </w:pPr>
      <w:r>
        <w:rPr>
          <w:b/>
          <w:color w:val="000000"/>
          <w:sz w:val="28"/>
          <w:szCs w:val="26"/>
        </w:rPr>
        <w:t>Attiecībā uz a</w:t>
      </w:r>
      <w:r w:rsidR="0035644F" w:rsidRPr="0035644F">
        <w:rPr>
          <w:b/>
          <w:color w:val="000000"/>
          <w:sz w:val="28"/>
          <w:szCs w:val="26"/>
        </w:rPr>
        <w:t>dministratīv</w:t>
      </w:r>
      <w:r>
        <w:rPr>
          <w:b/>
          <w:color w:val="000000"/>
          <w:sz w:val="28"/>
          <w:szCs w:val="26"/>
        </w:rPr>
        <w:t>ajām</w:t>
      </w:r>
      <w:r w:rsidR="0035644F" w:rsidRPr="0035644F">
        <w:rPr>
          <w:b/>
          <w:color w:val="000000"/>
          <w:sz w:val="28"/>
          <w:szCs w:val="26"/>
        </w:rPr>
        <w:t xml:space="preserve"> </w:t>
      </w:r>
      <w:r w:rsidRPr="0035644F">
        <w:rPr>
          <w:b/>
          <w:color w:val="000000"/>
          <w:sz w:val="28"/>
          <w:szCs w:val="26"/>
        </w:rPr>
        <w:t>sankcij</w:t>
      </w:r>
      <w:r>
        <w:rPr>
          <w:b/>
          <w:color w:val="000000"/>
          <w:sz w:val="28"/>
          <w:szCs w:val="26"/>
        </w:rPr>
        <w:t>ām</w:t>
      </w:r>
      <w:r w:rsidRPr="0035644F">
        <w:rPr>
          <w:b/>
          <w:color w:val="000000"/>
          <w:sz w:val="28"/>
          <w:szCs w:val="26"/>
        </w:rPr>
        <w:t xml:space="preserve"> </w:t>
      </w:r>
      <w:r w:rsidR="002B7000">
        <w:rPr>
          <w:b/>
          <w:color w:val="000000"/>
          <w:sz w:val="28"/>
          <w:szCs w:val="26"/>
        </w:rPr>
        <w:t>un to piemērošanu</w:t>
      </w:r>
      <w:r w:rsidR="0035644F" w:rsidRPr="0035644F">
        <w:rPr>
          <w:b/>
          <w:color w:val="000000"/>
          <w:sz w:val="28"/>
          <w:szCs w:val="26"/>
        </w:rPr>
        <w:t xml:space="preserve"> - Latvija uzskata</w:t>
      </w:r>
      <w:r w:rsidR="0035644F" w:rsidRPr="0035644F">
        <w:rPr>
          <w:color w:val="000000"/>
          <w:sz w:val="28"/>
          <w:szCs w:val="26"/>
        </w:rPr>
        <w:t xml:space="preserve">, ka fiziskai personai piemērojamās sankcijas maksimālā robeža EUR 1 500 000 ir pārāk augsta. Nosakot maksimālo administratīvās soda </w:t>
      </w:r>
      <w:r>
        <w:rPr>
          <w:color w:val="000000"/>
          <w:sz w:val="28"/>
          <w:szCs w:val="26"/>
        </w:rPr>
        <w:t xml:space="preserve">naudas </w:t>
      </w:r>
      <w:r w:rsidR="0035644F" w:rsidRPr="0035644F">
        <w:rPr>
          <w:color w:val="000000"/>
          <w:sz w:val="28"/>
          <w:szCs w:val="26"/>
        </w:rPr>
        <w:t xml:space="preserve">summu ir nepieciešams ņemt vērā proporcionalitātes principu. Tāpat arī administratīvais sods juridiskai personai 10% apmērā no iepriekšējā darbības gada apgrozījuma ir </w:t>
      </w:r>
      <w:r>
        <w:rPr>
          <w:color w:val="000000"/>
          <w:sz w:val="28"/>
          <w:szCs w:val="26"/>
        </w:rPr>
        <w:t>nesamērīgi</w:t>
      </w:r>
      <w:r w:rsidRPr="0035644F">
        <w:rPr>
          <w:color w:val="000000"/>
          <w:sz w:val="28"/>
          <w:szCs w:val="26"/>
        </w:rPr>
        <w:t xml:space="preserve"> </w:t>
      </w:r>
      <w:r w:rsidR="0035644F" w:rsidRPr="0035644F">
        <w:rPr>
          <w:color w:val="000000"/>
          <w:sz w:val="28"/>
          <w:szCs w:val="26"/>
        </w:rPr>
        <w:t>augsts.</w:t>
      </w:r>
    </w:p>
    <w:p w:rsidR="0035644F" w:rsidRPr="0035644F" w:rsidRDefault="0035644F" w:rsidP="000C6C6B">
      <w:pPr>
        <w:numPr>
          <w:ilvl w:val="0"/>
          <w:numId w:val="37"/>
        </w:numPr>
        <w:spacing w:before="120"/>
        <w:jc w:val="both"/>
        <w:rPr>
          <w:sz w:val="28"/>
          <w:szCs w:val="26"/>
        </w:rPr>
      </w:pPr>
      <w:r w:rsidRPr="0035644F">
        <w:rPr>
          <w:b/>
          <w:iCs/>
          <w:sz w:val="28"/>
          <w:szCs w:val="26"/>
        </w:rPr>
        <w:t>Īpaši noteikumi par mazo un vidēji lielo uzņēmumu revīziju –</w:t>
      </w:r>
      <w:r w:rsidRPr="0035644F">
        <w:rPr>
          <w:color w:val="000000"/>
          <w:sz w:val="28"/>
          <w:szCs w:val="26"/>
        </w:rPr>
        <w:t xml:space="preserve"> Ja būs atļauta starptautisko revīzijas standartu proporcionāla piemērošana, tad </w:t>
      </w:r>
      <w:r w:rsidRPr="0035644F">
        <w:rPr>
          <w:b/>
          <w:color w:val="000000"/>
          <w:sz w:val="28"/>
          <w:szCs w:val="26"/>
        </w:rPr>
        <w:t>Latvija uzskata</w:t>
      </w:r>
      <w:r w:rsidRPr="0035644F">
        <w:rPr>
          <w:color w:val="000000"/>
          <w:sz w:val="28"/>
          <w:szCs w:val="26"/>
        </w:rPr>
        <w:t>, ka obligāta</w:t>
      </w:r>
      <w:r w:rsidR="00845033">
        <w:rPr>
          <w:color w:val="000000"/>
          <w:sz w:val="28"/>
          <w:szCs w:val="26"/>
        </w:rPr>
        <w:t>ja</w:t>
      </w:r>
      <w:r w:rsidRPr="0035644F">
        <w:rPr>
          <w:color w:val="000000"/>
          <w:sz w:val="28"/>
          <w:szCs w:val="26"/>
        </w:rPr>
        <w:t xml:space="preserve">m revidentam būs iespēja brīvi izvēlēties, kurus standartus piemērot un kurus nepiemērot. </w:t>
      </w:r>
      <w:r w:rsidRPr="0035644F">
        <w:rPr>
          <w:b/>
          <w:color w:val="000000"/>
          <w:sz w:val="28"/>
          <w:szCs w:val="26"/>
        </w:rPr>
        <w:t>Latvija norāda</w:t>
      </w:r>
      <w:r w:rsidRPr="0035644F">
        <w:rPr>
          <w:color w:val="000000"/>
          <w:sz w:val="28"/>
          <w:szCs w:val="26"/>
        </w:rPr>
        <w:t xml:space="preserve">, ka </w:t>
      </w:r>
      <w:r w:rsidR="00845033">
        <w:rPr>
          <w:color w:val="000000"/>
          <w:sz w:val="28"/>
          <w:szCs w:val="26"/>
        </w:rPr>
        <w:t>jau</w:t>
      </w:r>
      <w:r w:rsidR="00845033" w:rsidRPr="0035644F">
        <w:rPr>
          <w:color w:val="000000"/>
          <w:sz w:val="28"/>
          <w:szCs w:val="26"/>
        </w:rPr>
        <w:t xml:space="preserve"> </w:t>
      </w:r>
      <w:r w:rsidRPr="0035644F">
        <w:rPr>
          <w:color w:val="000000"/>
          <w:sz w:val="28"/>
          <w:szCs w:val="26"/>
        </w:rPr>
        <w:t xml:space="preserve">šobrīd nepastāv </w:t>
      </w:r>
      <w:r w:rsidR="00202CFB">
        <w:rPr>
          <w:color w:val="000000"/>
          <w:sz w:val="28"/>
          <w:szCs w:val="26"/>
        </w:rPr>
        <w:t xml:space="preserve">šķēršļi </w:t>
      </w:r>
      <w:r w:rsidRPr="0035644F">
        <w:rPr>
          <w:color w:val="000000"/>
          <w:sz w:val="28"/>
          <w:szCs w:val="26"/>
        </w:rPr>
        <w:t xml:space="preserve">mazāka apjoma revīzijas </w:t>
      </w:r>
      <w:r w:rsidR="00202CFB">
        <w:rPr>
          <w:color w:val="000000"/>
          <w:sz w:val="28"/>
          <w:szCs w:val="26"/>
        </w:rPr>
        <w:t>veikšanai</w:t>
      </w:r>
      <w:r w:rsidR="00202CFB" w:rsidRPr="0035644F">
        <w:rPr>
          <w:color w:val="000000"/>
          <w:sz w:val="28"/>
          <w:szCs w:val="26"/>
        </w:rPr>
        <w:t xml:space="preserve"> </w:t>
      </w:r>
      <w:r w:rsidRPr="0035644F">
        <w:rPr>
          <w:color w:val="000000"/>
          <w:sz w:val="28"/>
          <w:szCs w:val="26"/>
        </w:rPr>
        <w:t xml:space="preserve">attiecībā uz vienkāršiem posteņiem, posteņiem ar nelielu </w:t>
      </w:r>
      <w:r w:rsidRPr="0035644F">
        <w:rPr>
          <w:color w:val="000000"/>
          <w:sz w:val="28"/>
          <w:szCs w:val="26"/>
        </w:rPr>
        <w:lastRenderedPageBreak/>
        <w:t xml:space="preserve">transakciju skaitu, ja šādiem posteņiem nav piemītošs paaugstināts risks. Līdz ar to </w:t>
      </w:r>
      <w:r w:rsidR="00202CFB">
        <w:rPr>
          <w:color w:val="000000"/>
          <w:sz w:val="28"/>
          <w:szCs w:val="26"/>
        </w:rPr>
        <w:t>Latvija nesaskata ieguvumus no šī priekšlikuma</w:t>
      </w:r>
      <w:r w:rsidRPr="0035644F">
        <w:rPr>
          <w:color w:val="000000"/>
          <w:sz w:val="28"/>
          <w:szCs w:val="26"/>
        </w:rPr>
        <w:t xml:space="preserve">. </w:t>
      </w:r>
    </w:p>
    <w:p w:rsidR="0035644F" w:rsidRPr="00E9103D" w:rsidRDefault="0035644F" w:rsidP="000C6C6B">
      <w:pPr>
        <w:jc w:val="both"/>
        <w:rPr>
          <w:sz w:val="26"/>
          <w:szCs w:val="26"/>
        </w:rPr>
      </w:pPr>
    </w:p>
    <w:p w:rsidR="0035644F" w:rsidRPr="0035644F" w:rsidRDefault="0035644F" w:rsidP="000C6C6B">
      <w:pPr>
        <w:pStyle w:val="BodyText2"/>
        <w:spacing w:after="60" w:line="276" w:lineRule="auto"/>
        <w:jc w:val="left"/>
        <w:rPr>
          <w:b/>
          <w:bCs/>
          <w:sz w:val="28"/>
          <w:szCs w:val="26"/>
          <w:u w:val="single"/>
        </w:rPr>
      </w:pPr>
      <w:r w:rsidRPr="0035644F">
        <w:rPr>
          <w:b/>
          <w:bCs/>
          <w:sz w:val="28"/>
          <w:szCs w:val="26"/>
          <w:u w:val="single"/>
        </w:rPr>
        <w:t xml:space="preserve">Latvijas pozīcija par </w:t>
      </w:r>
      <w:r w:rsidR="000F3D38">
        <w:rPr>
          <w:b/>
          <w:bCs/>
          <w:sz w:val="28"/>
          <w:szCs w:val="26"/>
          <w:u w:val="single"/>
        </w:rPr>
        <w:t xml:space="preserve">Regulas </w:t>
      </w:r>
      <w:r w:rsidRPr="0035644F">
        <w:rPr>
          <w:b/>
          <w:bCs/>
          <w:sz w:val="28"/>
          <w:szCs w:val="26"/>
          <w:u w:val="single"/>
        </w:rPr>
        <w:t xml:space="preserve">priekšlikumu: </w:t>
      </w:r>
    </w:p>
    <w:p w:rsidR="0035644F" w:rsidRPr="0035644F" w:rsidRDefault="005C2D2C" w:rsidP="0035644F">
      <w:pPr>
        <w:spacing w:before="120" w:after="120"/>
        <w:jc w:val="both"/>
        <w:rPr>
          <w:color w:val="000000"/>
          <w:sz w:val="28"/>
          <w:szCs w:val="26"/>
        </w:rPr>
      </w:pPr>
      <w:r>
        <w:rPr>
          <w:rStyle w:val="Strong"/>
          <w:bCs w:val="0"/>
          <w:noProof/>
          <w:sz w:val="28"/>
          <w:szCs w:val="26"/>
        </w:rPr>
        <w:tab/>
      </w:r>
      <w:r w:rsidR="0035644F" w:rsidRPr="0035644F">
        <w:rPr>
          <w:rStyle w:val="Strong"/>
          <w:bCs w:val="0"/>
          <w:noProof/>
          <w:sz w:val="28"/>
          <w:szCs w:val="26"/>
        </w:rPr>
        <w:t>Latvija kopumā atbalsta</w:t>
      </w:r>
      <w:r w:rsidR="0035644F" w:rsidRPr="0035644F">
        <w:rPr>
          <w:rStyle w:val="Strong"/>
          <w:b w:val="0"/>
          <w:bCs w:val="0"/>
          <w:noProof/>
          <w:sz w:val="28"/>
          <w:szCs w:val="26"/>
        </w:rPr>
        <w:t xml:space="preserve"> </w:t>
      </w:r>
      <w:r w:rsidR="000F3D38">
        <w:rPr>
          <w:rStyle w:val="Strong"/>
          <w:b w:val="0"/>
          <w:bCs w:val="0"/>
          <w:noProof/>
          <w:sz w:val="28"/>
          <w:szCs w:val="26"/>
        </w:rPr>
        <w:t xml:space="preserve">Regulas </w:t>
      </w:r>
      <w:r w:rsidR="0035644F" w:rsidRPr="0035644F">
        <w:rPr>
          <w:rStyle w:val="Strong"/>
          <w:b w:val="0"/>
          <w:bCs w:val="0"/>
          <w:noProof/>
          <w:sz w:val="28"/>
          <w:szCs w:val="26"/>
        </w:rPr>
        <w:t xml:space="preserve">priekšlikumu, jo tas </w:t>
      </w:r>
      <w:r w:rsidR="0035644F" w:rsidRPr="0035644F">
        <w:rPr>
          <w:sz w:val="28"/>
          <w:szCs w:val="26"/>
        </w:rPr>
        <w:t xml:space="preserve">atbilst Latvijas tiesiskajam regulējumam. </w:t>
      </w:r>
      <w:r w:rsidR="0035644F" w:rsidRPr="002B7000">
        <w:rPr>
          <w:b/>
          <w:sz w:val="28"/>
          <w:szCs w:val="26"/>
        </w:rPr>
        <w:t>Latvija</w:t>
      </w:r>
      <w:r w:rsidR="000F3D38" w:rsidRPr="002B7000">
        <w:rPr>
          <w:b/>
          <w:sz w:val="28"/>
          <w:szCs w:val="26"/>
        </w:rPr>
        <w:t xml:space="preserve"> ir </w:t>
      </w:r>
      <w:r w:rsidR="0035644F" w:rsidRPr="002B7000">
        <w:rPr>
          <w:b/>
          <w:color w:val="000000"/>
          <w:sz w:val="28"/>
          <w:szCs w:val="26"/>
        </w:rPr>
        <w:t>ieinteresēta</w:t>
      </w:r>
      <w:r w:rsidR="0035644F" w:rsidRPr="0035644F">
        <w:rPr>
          <w:color w:val="000000"/>
          <w:sz w:val="28"/>
          <w:szCs w:val="26"/>
        </w:rPr>
        <w:t xml:space="preserve"> revīzijas pakalpojumu tirgus </w:t>
      </w:r>
      <w:r w:rsidR="000F3D38" w:rsidRPr="0035644F">
        <w:rPr>
          <w:color w:val="000000"/>
          <w:sz w:val="28"/>
          <w:szCs w:val="26"/>
        </w:rPr>
        <w:t>integr</w:t>
      </w:r>
      <w:r w:rsidR="000F3D38">
        <w:rPr>
          <w:color w:val="000000"/>
          <w:sz w:val="28"/>
          <w:szCs w:val="26"/>
        </w:rPr>
        <w:t>ēšanai</w:t>
      </w:r>
      <w:r w:rsidR="000F3D38" w:rsidRPr="0035644F">
        <w:rPr>
          <w:color w:val="000000"/>
          <w:sz w:val="28"/>
          <w:szCs w:val="26"/>
        </w:rPr>
        <w:t xml:space="preserve"> </w:t>
      </w:r>
      <w:r w:rsidR="0035644F">
        <w:rPr>
          <w:color w:val="000000"/>
          <w:sz w:val="28"/>
          <w:szCs w:val="26"/>
        </w:rPr>
        <w:t>ES</w:t>
      </w:r>
      <w:r w:rsidR="0035644F" w:rsidRPr="0035644F">
        <w:rPr>
          <w:color w:val="000000"/>
          <w:sz w:val="28"/>
          <w:szCs w:val="26"/>
        </w:rPr>
        <w:t xml:space="preserve">, </w:t>
      </w:r>
      <w:r w:rsidR="000F3D38" w:rsidRPr="0035644F">
        <w:rPr>
          <w:color w:val="000000"/>
          <w:sz w:val="28"/>
          <w:szCs w:val="26"/>
        </w:rPr>
        <w:t xml:space="preserve">sabiedriskas nozīmes struktūru </w:t>
      </w:r>
      <w:r w:rsidR="0035644F" w:rsidRPr="0035644F">
        <w:rPr>
          <w:color w:val="000000"/>
          <w:sz w:val="28"/>
          <w:szCs w:val="26"/>
        </w:rPr>
        <w:t xml:space="preserve">obligāto revidentu revīzijas, darbības caurskatāmībā un kontroles uzlabošanā revīzijas pakalpojumu sniegšanas jomā. </w:t>
      </w:r>
    </w:p>
    <w:p w:rsidR="0035644F" w:rsidRPr="0035644F" w:rsidRDefault="0035644F" w:rsidP="0035644F">
      <w:pPr>
        <w:pStyle w:val="EntRefer"/>
        <w:spacing w:before="60" w:after="60" w:line="276" w:lineRule="auto"/>
        <w:jc w:val="both"/>
        <w:rPr>
          <w:b w:val="0"/>
          <w:sz w:val="28"/>
          <w:szCs w:val="26"/>
        </w:rPr>
      </w:pPr>
      <w:r w:rsidRPr="0035644F">
        <w:rPr>
          <w:b w:val="0"/>
          <w:sz w:val="28"/>
          <w:szCs w:val="26"/>
        </w:rPr>
        <w:t>Par atsevišķiem jautājumiem Latvijas vēlas uzvērt</w:t>
      </w:r>
      <w:r w:rsidR="000F3D38">
        <w:rPr>
          <w:b w:val="0"/>
          <w:sz w:val="28"/>
          <w:szCs w:val="26"/>
        </w:rPr>
        <w:t>, ka</w:t>
      </w:r>
      <w:r w:rsidRPr="0035644F">
        <w:rPr>
          <w:b w:val="0"/>
          <w:sz w:val="28"/>
          <w:szCs w:val="26"/>
        </w:rPr>
        <w:t>:</w:t>
      </w:r>
    </w:p>
    <w:p w:rsidR="0035644F" w:rsidRPr="0035644F" w:rsidRDefault="0035644F" w:rsidP="0035644F">
      <w:pPr>
        <w:pStyle w:val="EntRefer"/>
        <w:numPr>
          <w:ilvl w:val="0"/>
          <w:numId w:val="38"/>
        </w:numPr>
        <w:ind w:left="714" w:hanging="357"/>
        <w:jc w:val="both"/>
        <w:rPr>
          <w:b w:val="0"/>
          <w:sz w:val="28"/>
          <w:szCs w:val="26"/>
        </w:rPr>
      </w:pPr>
      <w:r w:rsidRPr="0035644F">
        <w:rPr>
          <w:sz w:val="28"/>
          <w:szCs w:val="26"/>
        </w:rPr>
        <w:t>Latvija uzskata</w:t>
      </w:r>
      <w:r w:rsidRPr="0035644F">
        <w:rPr>
          <w:b w:val="0"/>
          <w:sz w:val="28"/>
          <w:szCs w:val="26"/>
        </w:rPr>
        <w:t xml:space="preserve">, ka </w:t>
      </w:r>
      <w:r w:rsidRPr="00CB7ADD">
        <w:rPr>
          <w:sz w:val="28"/>
          <w:szCs w:val="26"/>
        </w:rPr>
        <w:t>EVTI</w:t>
      </w:r>
      <w:r w:rsidRPr="0035644F">
        <w:rPr>
          <w:b w:val="0"/>
          <w:sz w:val="28"/>
          <w:szCs w:val="26"/>
        </w:rPr>
        <w:t xml:space="preserve"> kompetences paplašināšanas ar revīzijas uzraudzības jautājumiem uzliks pārāk lielu administratīvo slogu dalībvalstu nacionālajām uzraudzības iestādēm. Līdz ar to </w:t>
      </w:r>
      <w:r w:rsidRPr="0035644F">
        <w:rPr>
          <w:sz w:val="28"/>
          <w:szCs w:val="26"/>
        </w:rPr>
        <w:t>Latvija atbalstītu</w:t>
      </w:r>
      <w:r w:rsidRPr="0035644F">
        <w:rPr>
          <w:b w:val="0"/>
          <w:sz w:val="28"/>
          <w:szCs w:val="26"/>
        </w:rPr>
        <w:t xml:space="preserve"> kompromisu par </w:t>
      </w:r>
      <w:r w:rsidRPr="0035644F">
        <w:rPr>
          <w:b w:val="0"/>
          <w:sz w:val="28"/>
          <w:szCs w:val="26"/>
          <w:lang w:eastAsia="lv-LV"/>
        </w:rPr>
        <w:t xml:space="preserve">Eiropas Revīzijas pārraudzības institūciju grupas līdzvērtīgas struktūras darbību revīzijas jomā. </w:t>
      </w:r>
    </w:p>
    <w:p w:rsidR="0035644F" w:rsidRDefault="000F3D38" w:rsidP="0035644F">
      <w:pPr>
        <w:pStyle w:val="EntRefer"/>
        <w:numPr>
          <w:ilvl w:val="0"/>
          <w:numId w:val="38"/>
        </w:numPr>
        <w:ind w:left="714" w:hanging="357"/>
        <w:jc w:val="both"/>
        <w:rPr>
          <w:b w:val="0"/>
          <w:sz w:val="28"/>
          <w:szCs w:val="26"/>
        </w:rPr>
      </w:pPr>
      <w:r w:rsidRPr="0035644F">
        <w:rPr>
          <w:sz w:val="28"/>
          <w:szCs w:val="26"/>
        </w:rPr>
        <w:t xml:space="preserve">Latvija konceptuāli atbalsta </w:t>
      </w:r>
      <w:r>
        <w:rPr>
          <w:sz w:val="28"/>
          <w:szCs w:val="26"/>
        </w:rPr>
        <w:t>o</w:t>
      </w:r>
      <w:r w:rsidRPr="0035644F">
        <w:rPr>
          <w:sz w:val="28"/>
          <w:szCs w:val="26"/>
        </w:rPr>
        <w:t xml:space="preserve">bligāto </w:t>
      </w:r>
      <w:r w:rsidR="0035644F" w:rsidRPr="0035644F">
        <w:rPr>
          <w:sz w:val="28"/>
          <w:szCs w:val="26"/>
        </w:rPr>
        <w:t xml:space="preserve">revidentu un revidentu uzņēmumu </w:t>
      </w:r>
      <w:r w:rsidRPr="0035644F">
        <w:rPr>
          <w:sz w:val="28"/>
          <w:szCs w:val="26"/>
        </w:rPr>
        <w:t>obligāt</w:t>
      </w:r>
      <w:r>
        <w:rPr>
          <w:sz w:val="28"/>
          <w:szCs w:val="26"/>
        </w:rPr>
        <w:t>o</w:t>
      </w:r>
      <w:r w:rsidRPr="0035644F">
        <w:rPr>
          <w:sz w:val="28"/>
          <w:szCs w:val="26"/>
        </w:rPr>
        <w:t xml:space="preserve"> rotācij</w:t>
      </w:r>
      <w:r>
        <w:rPr>
          <w:sz w:val="28"/>
          <w:szCs w:val="26"/>
        </w:rPr>
        <w:t>u</w:t>
      </w:r>
      <w:r w:rsidRPr="0035644F">
        <w:rPr>
          <w:b w:val="0"/>
          <w:sz w:val="28"/>
          <w:szCs w:val="26"/>
        </w:rPr>
        <w:t xml:space="preserve"> </w:t>
      </w:r>
      <w:r w:rsidR="0035644F" w:rsidRPr="0035644F">
        <w:rPr>
          <w:b w:val="0"/>
          <w:sz w:val="28"/>
          <w:szCs w:val="26"/>
        </w:rPr>
        <w:t>–</w:t>
      </w:r>
      <w:r w:rsidR="0035644F" w:rsidRPr="0035644F">
        <w:rPr>
          <w:sz w:val="28"/>
          <w:szCs w:val="26"/>
        </w:rPr>
        <w:t>,</w:t>
      </w:r>
      <w:r w:rsidR="0035644F" w:rsidRPr="0035644F">
        <w:rPr>
          <w:b w:val="0"/>
          <w:sz w:val="28"/>
          <w:szCs w:val="26"/>
        </w:rPr>
        <w:t xml:space="preserve"> jo tas ir viens no instrumentiem kā ilggadīgā revidējamā uzņēmuma sadarbībā ar revidentu (un tā komercsabiedrību) mazinātu interešu konflikta risku labas „pazīšanās” dēļ un pastiprinātu profesionālo skepticismu. Tomēr</w:t>
      </w:r>
      <w:r w:rsidR="0035644F" w:rsidRPr="0035644F">
        <w:rPr>
          <w:sz w:val="28"/>
          <w:szCs w:val="26"/>
        </w:rPr>
        <w:t xml:space="preserve"> Latvijas uzsver</w:t>
      </w:r>
      <w:r w:rsidR="0035644F" w:rsidRPr="0035644F">
        <w:rPr>
          <w:b w:val="0"/>
          <w:sz w:val="28"/>
          <w:szCs w:val="26"/>
        </w:rPr>
        <w:t>, ka obligāto revidentu un revīzijas uzņēmumu rotācijas jautājums ir revidējamā uzņēmumu akcionāru</w:t>
      </w:r>
      <w:r w:rsidR="00D67C1F">
        <w:rPr>
          <w:b w:val="0"/>
          <w:sz w:val="28"/>
          <w:szCs w:val="26"/>
        </w:rPr>
        <w:t xml:space="preserve"> (dalībnieku) tiešā kompetence.</w:t>
      </w:r>
    </w:p>
    <w:p w:rsidR="00D67C1F" w:rsidRPr="0035644F" w:rsidRDefault="00D67C1F" w:rsidP="00D67C1F">
      <w:pPr>
        <w:pStyle w:val="EntRefer"/>
        <w:numPr>
          <w:ilvl w:val="0"/>
          <w:numId w:val="38"/>
        </w:numPr>
        <w:jc w:val="both"/>
        <w:rPr>
          <w:b w:val="0"/>
          <w:sz w:val="28"/>
          <w:szCs w:val="26"/>
        </w:rPr>
      </w:pPr>
      <w:r w:rsidRPr="00D67C1F">
        <w:rPr>
          <w:sz w:val="28"/>
          <w:szCs w:val="26"/>
        </w:rPr>
        <w:t>Latvija atbalsta</w:t>
      </w:r>
      <w:r w:rsidRPr="00D67C1F">
        <w:rPr>
          <w:b w:val="0"/>
          <w:sz w:val="28"/>
          <w:szCs w:val="26"/>
        </w:rPr>
        <w:t xml:space="preserve"> </w:t>
      </w:r>
      <w:r w:rsidRPr="00D67C1F">
        <w:rPr>
          <w:sz w:val="28"/>
          <w:szCs w:val="26"/>
        </w:rPr>
        <w:t>garāku revīzijas saistību ilgumu</w:t>
      </w:r>
      <w:r w:rsidRPr="00D67C1F">
        <w:rPr>
          <w:b w:val="0"/>
          <w:sz w:val="28"/>
          <w:szCs w:val="26"/>
        </w:rPr>
        <w:t xml:space="preserve">, īpaši attiecībā uz revīzijas uzņēmumu obligāto rotāciju. Šobrīd priekšlikuma Regulā 33.pantā noteiktais revīzijas saistību ilguma termiņš (ne ilgāk par </w:t>
      </w:r>
      <w:r w:rsidR="002B7000">
        <w:rPr>
          <w:b w:val="0"/>
          <w:sz w:val="28"/>
          <w:szCs w:val="26"/>
        </w:rPr>
        <w:t>7 gadiem</w:t>
      </w:r>
      <w:r w:rsidRPr="00D67C1F">
        <w:rPr>
          <w:b w:val="0"/>
          <w:sz w:val="28"/>
          <w:szCs w:val="26"/>
        </w:rPr>
        <w:t>) un tā pagarinājums (līdz 8 gadiem, kā arī iespēja vēl pagarināt par 3 gadiem, ja sabiedriskās nozīmes struktūra ir saņēmusi kompetentās</w:t>
      </w:r>
      <w:r w:rsidR="002B7000">
        <w:rPr>
          <w:b w:val="0"/>
          <w:sz w:val="28"/>
          <w:szCs w:val="26"/>
        </w:rPr>
        <w:t xml:space="preserve"> institūcijas atļauju) vienādi attieca</w:t>
      </w:r>
      <w:r w:rsidRPr="00D67C1F">
        <w:rPr>
          <w:b w:val="0"/>
          <w:sz w:val="28"/>
          <w:szCs w:val="26"/>
        </w:rPr>
        <w:t xml:space="preserve">s kā uz obligāto revidentu, tā arī uz revīzijas uzņēmumu.  </w:t>
      </w:r>
    </w:p>
    <w:p w:rsidR="0035644F" w:rsidRPr="0035644F" w:rsidRDefault="000F3D38" w:rsidP="00D67C1F">
      <w:pPr>
        <w:pStyle w:val="EntRefer"/>
        <w:numPr>
          <w:ilvl w:val="0"/>
          <w:numId w:val="38"/>
        </w:numPr>
        <w:jc w:val="both"/>
        <w:rPr>
          <w:sz w:val="28"/>
          <w:szCs w:val="26"/>
        </w:rPr>
      </w:pPr>
      <w:r>
        <w:rPr>
          <w:sz w:val="28"/>
          <w:szCs w:val="26"/>
        </w:rPr>
        <w:t>Attiecībā uz n</w:t>
      </w:r>
      <w:r w:rsidRPr="0035644F">
        <w:rPr>
          <w:sz w:val="28"/>
          <w:szCs w:val="26"/>
        </w:rPr>
        <w:t>e</w:t>
      </w:r>
      <w:r w:rsidR="0035644F" w:rsidRPr="0035644F">
        <w:rPr>
          <w:sz w:val="28"/>
          <w:szCs w:val="26"/>
        </w:rPr>
        <w:t xml:space="preserve">-revīzijas pakalpojumu sniegšana klientiem, kuriem obligātais revidents, revīzijas uzņēmums vai revīzijas uzņēmuma tīkla loceklis sniedz revīzijas pakalpojumus </w:t>
      </w:r>
      <w:r w:rsidR="0035644F" w:rsidRPr="0035644F">
        <w:rPr>
          <w:b w:val="0"/>
          <w:sz w:val="28"/>
          <w:szCs w:val="26"/>
        </w:rPr>
        <w:t xml:space="preserve">- </w:t>
      </w:r>
      <w:r w:rsidR="0035644F" w:rsidRPr="0035644F">
        <w:rPr>
          <w:sz w:val="28"/>
          <w:szCs w:val="26"/>
        </w:rPr>
        <w:t>Latvija atbalsta</w:t>
      </w:r>
      <w:r w:rsidR="0035644F" w:rsidRPr="0035644F">
        <w:rPr>
          <w:b w:val="0"/>
          <w:sz w:val="28"/>
          <w:szCs w:val="26"/>
        </w:rPr>
        <w:t xml:space="preserve"> tādu ne-revīzijas pakalpojumu sniegšanas aizliegumu, kas var radīt interešu konflikta risku. </w:t>
      </w:r>
      <w:r w:rsidR="0035644F" w:rsidRPr="0035644F">
        <w:rPr>
          <w:sz w:val="28"/>
          <w:szCs w:val="26"/>
        </w:rPr>
        <w:t>Latvijas uzskata</w:t>
      </w:r>
      <w:r w:rsidR="0035644F" w:rsidRPr="0035644F">
        <w:rPr>
          <w:b w:val="0"/>
          <w:sz w:val="28"/>
          <w:szCs w:val="26"/>
        </w:rPr>
        <w:t>, ka</w:t>
      </w:r>
      <w:r w:rsidR="002B7000">
        <w:rPr>
          <w:b w:val="0"/>
          <w:sz w:val="28"/>
          <w:szCs w:val="26"/>
        </w:rPr>
        <w:t xml:space="preserve"> obligātajam</w:t>
      </w:r>
      <w:r w:rsidR="0035644F" w:rsidRPr="0035644F">
        <w:rPr>
          <w:b w:val="0"/>
          <w:sz w:val="28"/>
          <w:szCs w:val="26"/>
        </w:rPr>
        <w:t xml:space="preserve"> revidentam sniedzot revīzijas pakalpojumus ir jābūt neatkarīgam un objektīvam.</w:t>
      </w:r>
      <w:r w:rsidR="00D67C1F">
        <w:rPr>
          <w:b w:val="0"/>
          <w:sz w:val="28"/>
          <w:szCs w:val="26"/>
        </w:rPr>
        <w:t xml:space="preserve"> </w:t>
      </w:r>
      <w:r w:rsidR="00D67C1F" w:rsidRPr="00D67C1F">
        <w:rPr>
          <w:sz w:val="28"/>
          <w:szCs w:val="26"/>
        </w:rPr>
        <w:t>Latvija uzskata</w:t>
      </w:r>
      <w:r w:rsidR="00D67C1F" w:rsidRPr="00D67C1F">
        <w:rPr>
          <w:b w:val="0"/>
          <w:sz w:val="28"/>
          <w:szCs w:val="26"/>
        </w:rPr>
        <w:t xml:space="preserve">, ka būtu </w:t>
      </w:r>
      <w:r w:rsidR="00D67C1F" w:rsidRPr="00D67C1F">
        <w:rPr>
          <w:sz w:val="28"/>
          <w:szCs w:val="26"/>
        </w:rPr>
        <w:t>jāpalielina revīzijas komitejas loma ne-revīzijas pakalpojumu izvērtēšanā</w:t>
      </w:r>
      <w:r w:rsidR="00D67C1F" w:rsidRPr="00D67C1F">
        <w:rPr>
          <w:b w:val="0"/>
          <w:sz w:val="28"/>
          <w:szCs w:val="26"/>
        </w:rPr>
        <w:t xml:space="preserve">, un </w:t>
      </w:r>
      <w:r w:rsidR="00D67C1F" w:rsidRPr="002B7000">
        <w:rPr>
          <w:sz w:val="28"/>
          <w:szCs w:val="26"/>
        </w:rPr>
        <w:t>atbalsta ne-revīzijas pakalpojumu saraksta pārskatīšanu, norādot tikai tos pakalpojumus, kuri tiešām apdraud revidenta neatkarību</w:t>
      </w:r>
      <w:r w:rsidR="00D67C1F" w:rsidRPr="00D67C1F">
        <w:rPr>
          <w:b w:val="0"/>
          <w:sz w:val="28"/>
          <w:szCs w:val="26"/>
        </w:rPr>
        <w:t>, kā arī</w:t>
      </w:r>
      <w:r w:rsidR="002B7000">
        <w:rPr>
          <w:b w:val="0"/>
          <w:sz w:val="28"/>
          <w:szCs w:val="26"/>
        </w:rPr>
        <w:t xml:space="preserve"> ierosina</w:t>
      </w:r>
      <w:r w:rsidR="00D67C1F" w:rsidRPr="00D67C1F">
        <w:rPr>
          <w:b w:val="0"/>
          <w:sz w:val="28"/>
          <w:szCs w:val="26"/>
        </w:rPr>
        <w:t xml:space="preserve"> papildināt</w:t>
      </w:r>
      <w:r w:rsidR="002B7000">
        <w:rPr>
          <w:b w:val="0"/>
          <w:sz w:val="28"/>
          <w:szCs w:val="26"/>
        </w:rPr>
        <w:t xml:space="preserve"> pakalpojumu</w:t>
      </w:r>
      <w:r w:rsidR="00D67C1F" w:rsidRPr="00D67C1F">
        <w:rPr>
          <w:b w:val="0"/>
          <w:sz w:val="28"/>
          <w:szCs w:val="26"/>
        </w:rPr>
        <w:t xml:space="preserve"> </w:t>
      </w:r>
      <w:r w:rsidR="002B7000">
        <w:rPr>
          <w:b w:val="0"/>
          <w:sz w:val="28"/>
          <w:szCs w:val="26"/>
        </w:rPr>
        <w:t xml:space="preserve">sarakstu </w:t>
      </w:r>
      <w:r w:rsidR="00D67C1F" w:rsidRPr="00D67C1F">
        <w:rPr>
          <w:b w:val="0"/>
          <w:sz w:val="28"/>
          <w:szCs w:val="26"/>
        </w:rPr>
        <w:t>ar skaidrojumiem, kādi pakalpojumi ir domāti kā priekšlikumā minētie eksperta pakalpojumi, kas sevī var ietvert ļoti plašu pakalpojumu loku.</w:t>
      </w:r>
    </w:p>
    <w:p w:rsidR="002B7000" w:rsidRPr="007F75E6" w:rsidRDefault="002B7000" w:rsidP="002B7000">
      <w:pPr>
        <w:pStyle w:val="EntRefer"/>
        <w:numPr>
          <w:ilvl w:val="0"/>
          <w:numId w:val="38"/>
        </w:numPr>
        <w:ind w:left="714" w:hanging="357"/>
        <w:jc w:val="both"/>
        <w:rPr>
          <w:b w:val="0"/>
          <w:sz w:val="28"/>
          <w:szCs w:val="28"/>
        </w:rPr>
      </w:pPr>
      <w:r w:rsidRPr="007F75E6">
        <w:rPr>
          <w:sz w:val="28"/>
          <w:szCs w:val="28"/>
        </w:rPr>
        <w:lastRenderedPageBreak/>
        <w:t>Latvija neatbalsta</w:t>
      </w:r>
      <w:r w:rsidRPr="007F75E6">
        <w:rPr>
          <w:b w:val="0"/>
          <w:sz w:val="28"/>
          <w:szCs w:val="28"/>
        </w:rPr>
        <w:t xml:space="preserve"> ierobežojuma ieviešanu attiecībā uz </w:t>
      </w:r>
      <w:r w:rsidRPr="007F75E6">
        <w:rPr>
          <w:sz w:val="28"/>
          <w:szCs w:val="28"/>
        </w:rPr>
        <w:t xml:space="preserve">ne-revīzijas pakalpojumu </w:t>
      </w:r>
      <w:r>
        <w:rPr>
          <w:sz w:val="28"/>
          <w:szCs w:val="28"/>
        </w:rPr>
        <w:t>maksas</w:t>
      </w:r>
      <w:r w:rsidRPr="007F75E6">
        <w:rPr>
          <w:sz w:val="28"/>
          <w:szCs w:val="28"/>
        </w:rPr>
        <w:t xml:space="preserve"> lielumu</w:t>
      </w:r>
      <w:r w:rsidRPr="007F75E6">
        <w:rPr>
          <w:b w:val="0"/>
          <w:sz w:val="28"/>
          <w:szCs w:val="28"/>
        </w:rPr>
        <w:t xml:space="preserve">, kas pašreizējā priekšlikumā ir noteikts </w:t>
      </w:r>
      <w:r>
        <w:rPr>
          <w:b w:val="0"/>
          <w:sz w:val="28"/>
          <w:szCs w:val="28"/>
        </w:rPr>
        <w:t xml:space="preserve">uz citiem kas nav ne-revīzijas pakalpojumi </w:t>
      </w:r>
      <w:r w:rsidRPr="007F75E6">
        <w:rPr>
          <w:b w:val="0"/>
          <w:sz w:val="28"/>
          <w:szCs w:val="28"/>
        </w:rPr>
        <w:t xml:space="preserve"> 70% </w:t>
      </w:r>
      <w:r>
        <w:rPr>
          <w:b w:val="0"/>
          <w:sz w:val="28"/>
          <w:szCs w:val="28"/>
        </w:rPr>
        <w:t xml:space="preserve">apmērā </w:t>
      </w:r>
      <w:r w:rsidRPr="007F75E6">
        <w:rPr>
          <w:b w:val="0"/>
          <w:sz w:val="28"/>
          <w:szCs w:val="28"/>
        </w:rPr>
        <w:t xml:space="preserve">attiecībā pret jebkuru trīs gadu perioda revīzijas </w:t>
      </w:r>
      <w:r>
        <w:rPr>
          <w:b w:val="0"/>
          <w:sz w:val="28"/>
          <w:szCs w:val="28"/>
        </w:rPr>
        <w:t>maksu</w:t>
      </w:r>
      <w:r w:rsidRPr="007F75E6">
        <w:rPr>
          <w:b w:val="0"/>
          <w:sz w:val="28"/>
          <w:szCs w:val="28"/>
        </w:rPr>
        <w:t xml:space="preserve">. Šāda ierobežojuma noteikšana </w:t>
      </w:r>
      <w:r>
        <w:rPr>
          <w:b w:val="0"/>
          <w:sz w:val="28"/>
          <w:szCs w:val="28"/>
        </w:rPr>
        <w:t>būtu</w:t>
      </w:r>
      <w:r w:rsidRPr="007F75E6">
        <w:rPr>
          <w:b w:val="0"/>
          <w:sz w:val="28"/>
          <w:szCs w:val="28"/>
        </w:rPr>
        <w:t xml:space="preserve"> neobjektīva. Aizliegums neproporcionāli  ietekmē</w:t>
      </w:r>
      <w:r>
        <w:rPr>
          <w:b w:val="0"/>
          <w:sz w:val="28"/>
          <w:szCs w:val="28"/>
        </w:rPr>
        <w:t>tu</w:t>
      </w:r>
      <w:r w:rsidRPr="007F75E6">
        <w:rPr>
          <w:b w:val="0"/>
          <w:sz w:val="28"/>
          <w:szCs w:val="28"/>
        </w:rPr>
        <w:t xml:space="preserve"> atšķirīgus sabiedriskās nozīmes uzņēmumus, negatīvi ietekmējot tieši mazākos šādus uzņēmumus, kam revīzijas</w:t>
      </w:r>
      <w:r>
        <w:rPr>
          <w:b w:val="0"/>
          <w:sz w:val="28"/>
          <w:szCs w:val="28"/>
        </w:rPr>
        <w:t xml:space="preserve"> maksa</w:t>
      </w:r>
      <w:r w:rsidRPr="007F75E6">
        <w:rPr>
          <w:b w:val="0"/>
          <w:sz w:val="28"/>
          <w:szCs w:val="28"/>
        </w:rPr>
        <w:t>, iespējams, ir neliel</w:t>
      </w:r>
      <w:r>
        <w:rPr>
          <w:b w:val="0"/>
          <w:sz w:val="28"/>
          <w:szCs w:val="28"/>
        </w:rPr>
        <w:t>a</w:t>
      </w:r>
      <w:r w:rsidRPr="007F75E6">
        <w:rPr>
          <w:b w:val="0"/>
          <w:sz w:val="28"/>
          <w:szCs w:val="28"/>
        </w:rPr>
        <w:t>, taču ir nepieciešamība pēc ne-revīzijas pakalpojumiem, kurus visefektīvāk varētu sniegt tieši obligātais revidents. Maziem sabiedrisk</w:t>
      </w:r>
      <w:r>
        <w:rPr>
          <w:b w:val="0"/>
          <w:sz w:val="28"/>
          <w:szCs w:val="28"/>
        </w:rPr>
        <w:t>a</w:t>
      </w:r>
      <w:r w:rsidRPr="007F75E6">
        <w:rPr>
          <w:b w:val="0"/>
          <w:sz w:val="28"/>
          <w:szCs w:val="28"/>
        </w:rPr>
        <w:t>s nozīmes uzņēmumiem var nebūt pietiekami daudz resursu, lai nodrošinātu vairāku pakalpojumu sniedzēju iesaisti.</w:t>
      </w:r>
    </w:p>
    <w:p w:rsidR="00943764" w:rsidRPr="002C657D" w:rsidRDefault="00943764" w:rsidP="00C94ACC">
      <w:pPr>
        <w:autoSpaceDE w:val="0"/>
        <w:autoSpaceDN w:val="0"/>
        <w:adjustRightInd w:val="0"/>
        <w:spacing w:after="120"/>
        <w:jc w:val="both"/>
        <w:rPr>
          <w:noProof/>
          <w:sz w:val="28"/>
        </w:rPr>
      </w:pPr>
    </w:p>
    <w:p w:rsidR="00897AEF" w:rsidRPr="00DE07DD" w:rsidRDefault="00B03397" w:rsidP="006031F7">
      <w:pPr>
        <w:pBdr>
          <w:bottom w:val="single" w:sz="4" w:space="1" w:color="auto"/>
        </w:pBdr>
        <w:autoSpaceDE w:val="0"/>
        <w:autoSpaceDN w:val="0"/>
        <w:adjustRightInd w:val="0"/>
        <w:jc w:val="both"/>
        <w:rPr>
          <w:i/>
          <w:sz w:val="28"/>
          <w:szCs w:val="28"/>
          <w:u w:val="single"/>
        </w:rPr>
      </w:pPr>
      <w:r w:rsidRPr="00DE07DD">
        <w:rPr>
          <w:b/>
          <w:sz w:val="28"/>
          <w:szCs w:val="28"/>
        </w:rPr>
        <w:t>1.</w:t>
      </w:r>
      <w:r w:rsidR="00897AEF" w:rsidRPr="00DE07DD">
        <w:rPr>
          <w:b/>
          <w:sz w:val="28"/>
          <w:szCs w:val="28"/>
        </w:rPr>
        <w:t xml:space="preserve">2. </w:t>
      </w:r>
      <w:r w:rsidR="00C718DB">
        <w:rPr>
          <w:b/>
          <w:sz w:val="28"/>
          <w:szCs w:val="28"/>
        </w:rPr>
        <w:t>Valsts atbalsta modernizācija</w:t>
      </w:r>
      <w:r w:rsidR="00920D5B" w:rsidRPr="00DE07DD">
        <w:rPr>
          <w:b/>
          <w:sz w:val="28"/>
          <w:szCs w:val="28"/>
        </w:rPr>
        <w:t xml:space="preserve"> </w:t>
      </w:r>
      <w:r w:rsidR="00920D5B" w:rsidRPr="00DE07DD">
        <w:rPr>
          <w:i/>
          <w:sz w:val="28"/>
          <w:szCs w:val="28"/>
        </w:rPr>
        <w:t>(</w:t>
      </w:r>
      <w:r w:rsidR="00C718DB">
        <w:rPr>
          <w:i/>
          <w:sz w:val="28"/>
          <w:szCs w:val="28"/>
        </w:rPr>
        <w:t>FM</w:t>
      </w:r>
      <w:r w:rsidR="00920D5B" w:rsidRPr="00DE07DD">
        <w:rPr>
          <w:i/>
          <w:sz w:val="28"/>
          <w:szCs w:val="28"/>
        </w:rPr>
        <w:t xml:space="preserve"> kompetence)</w:t>
      </w:r>
      <w:r w:rsidR="00B65751" w:rsidRPr="00B65751">
        <w:rPr>
          <w:rStyle w:val="FootnoteReference"/>
          <w:bCs/>
          <w:sz w:val="28"/>
          <w:szCs w:val="28"/>
        </w:rPr>
        <w:footnoteReference w:id="1"/>
      </w:r>
    </w:p>
    <w:p w:rsidR="00C718DB" w:rsidRDefault="00C718DB" w:rsidP="00C718DB">
      <w:pPr>
        <w:tabs>
          <w:tab w:val="left" w:pos="284"/>
        </w:tabs>
        <w:jc w:val="both"/>
        <w:rPr>
          <w:i/>
          <w:sz w:val="28"/>
          <w:szCs w:val="28"/>
        </w:rPr>
      </w:pPr>
      <w:r w:rsidRPr="000D0931">
        <w:rPr>
          <w:i/>
          <w:sz w:val="28"/>
          <w:szCs w:val="28"/>
        </w:rPr>
        <w:t>a)</w:t>
      </w:r>
      <w:r w:rsidRPr="000D0931">
        <w:rPr>
          <w:i/>
          <w:sz w:val="28"/>
          <w:szCs w:val="28"/>
        </w:rPr>
        <w:tab/>
      </w:r>
      <w:r w:rsidRPr="00C718DB">
        <w:rPr>
          <w:i/>
          <w:sz w:val="28"/>
          <w:szCs w:val="28"/>
        </w:rPr>
        <w:t>priekšlikums – Padomes Regula, ar kuru groza Regulu (EK) Nr. 659/1999, ar ko nosaka sīki izstrādātus noteikumus EK līguma 93. panta piemērošanai (Procedūras regula)</w:t>
      </w:r>
    </w:p>
    <w:p w:rsidR="00C718DB" w:rsidRDefault="00C718DB" w:rsidP="00C718DB">
      <w:pPr>
        <w:tabs>
          <w:tab w:val="left" w:pos="284"/>
        </w:tabs>
        <w:jc w:val="both"/>
        <w:rPr>
          <w:i/>
          <w:sz w:val="28"/>
          <w:szCs w:val="28"/>
        </w:rPr>
      </w:pPr>
      <w:r w:rsidRPr="000D0931">
        <w:rPr>
          <w:i/>
          <w:sz w:val="28"/>
          <w:szCs w:val="28"/>
        </w:rPr>
        <w:t>b)</w:t>
      </w:r>
      <w:r>
        <w:rPr>
          <w:i/>
          <w:sz w:val="28"/>
          <w:szCs w:val="28"/>
        </w:rPr>
        <w:t xml:space="preserve"> </w:t>
      </w:r>
      <w:r w:rsidRPr="00C718DB">
        <w:rPr>
          <w:i/>
          <w:sz w:val="28"/>
          <w:szCs w:val="28"/>
        </w:rPr>
        <w:t>priekšlikums – Padomes Regula, ar ko groza Padomes Regulu (EK) Nr. 994/98 (1998. gada 7. maijs) par to, kā piemērot Eiropas Kopienas dibināšanas līguma 92. un 93. pantu attiecībā uz dažu kategoriju valsts horizontālo atbalstu, un Eiropas Parlamenta un Padomes Regulu (EK) Nr. 1370/2007 (2007. gada 23. oktobris) par sabiedriskā pasažieru transporta pakalpojumiem, izmantojot dzelzceļu un autoceļus (Pilnvarojuma regula)</w:t>
      </w:r>
    </w:p>
    <w:p w:rsidR="00C718DB" w:rsidRPr="00227FFB" w:rsidRDefault="00C718DB" w:rsidP="00C718DB">
      <w:pPr>
        <w:tabs>
          <w:tab w:val="left" w:pos="284"/>
        </w:tabs>
        <w:jc w:val="both"/>
        <w:rPr>
          <w:i/>
          <w:sz w:val="28"/>
          <w:szCs w:val="28"/>
        </w:rPr>
      </w:pPr>
      <w:r w:rsidRPr="00227FFB">
        <w:rPr>
          <w:i/>
          <w:sz w:val="28"/>
          <w:szCs w:val="28"/>
        </w:rPr>
        <w:t>-</w:t>
      </w:r>
      <w:r>
        <w:rPr>
          <w:i/>
          <w:sz w:val="28"/>
          <w:szCs w:val="28"/>
        </w:rPr>
        <w:t xml:space="preserve"> politiska vienošanās</w:t>
      </w:r>
    </w:p>
    <w:p w:rsidR="001D356E" w:rsidRDefault="001D356E" w:rsidP="001D356E">
      <w:pPr>
        <w:jc w:val="both"/>
        <w:rPr>
          <w:bCs/>
          <w:sz w:val="28"/>
          <w:highlight w:val="yellow"/>
        </w:rPr>
      </w:pPr>
    </w:p>
    <w:p w:rsidR="005C2D2C" w:rsidRPr="005C2D2C" w:rsidRDefault="005C2D2C" w:rsidP="005C2D2C">
      <w:pPr>
        <w:pStyle w:val="BodyText2"/>
        <w:jc w:val="both"/>
        <w:rPr>
          <w:bCs/>
          <w:sz w:val="28"/>
        </w:rPr>
      </w:pPr>
      <w:r>
        <w:rPr>
          <w:bCs/>
          <w:sz w:val="28"/>
        </w:rPr>
        <w:tab/>
      </w:r>
      <w:r w:rsidRPr="005C2D2C">
        <w:rPr>
          <w:bCs/>
          <w:sz w:val="28"/>
        </w:rPr>
        <w:t>Prezidentūra uz Konkurētspējas ministru padomes sanāksmi virza divus priekšlikumus Padomes regulām</w:t>
      </w:r>
      <w:r w:rsidRPr="005C2D2C">
        <w:rPr>
          <w:rStyle w:val="FootnoteReference"/>
          <w:bCs/>
          <w:sz w:val="28"/>
        </w:rPr>
        <w:footnoteReference w:id="2"/>
      </w:r>
      <w:r w:rsidRPr="005C2D2C">
        <w:rPr>
          <w:bCs/>
          <w:sz w:val="28"/>
        </w:rPr>
        <w:t xml:space="preserve"> – pilnvarojošo un procesuālo. Īrijas Prezidentūra vēlas panākt </w:t>
      </w:r>
      <w:r w:rsidR="00923F93">
        <w:rPr>
          <w:bCs/>
          <w:sz w:val="28"/>
        </w:rPr>
        <w:t xml:space="preserve">politisku </w:t>
      </w:r>
      <w:r w:rsidRPr="005C2D2C">
        <w:rPr>
          <w:bCs/>
          <w:sz w:val="28"/>
        </w:rPr>
        <w:t xml:space="preserve">vienošanos par abiem regulu </w:t>
      </w:r>
      <w:r w:rsidR="00923F93" w:rsidRPr="005C2D2C">
        <w:rPr>
          <w:bCs/>
          <w:sz w:val="28"/>
        </w:rPr>
        <w:t>kompromis</w:t>
      </w:r>
      <w:r w:rsidR="00923F93">
        <w:rPr>
          <w:bCs/>
          <w:sz w:val="28"/>
        </w:rPr>
        <w:t>a tekstiem</w:t>
      </w:r>
      <w:r w:rsidRPr="005C2D2C">
        <w:rPr>
          <w:bCs/>
          <w:sz w:val="28"/>
        </w:rPr>
        <w:t xml:space="preserve">. </w:t>
      </w:r>
      <w:r w:rsidR="00B65751">
        <w:rPr>
          <w:bCs/>
          <w:sz w:val="28"/>
        </w:rPr>
        <w:t>EK</w:t>
      </w:r>
      <w:r w:rsidRPr="005C2D2C">
        <w:rPr>
          <w:bCs/>
          <w:sz w:val="28"/>
        </w:rPr>
        <w:t xml:space="preserve"> un Prezidentūra redz abas regulas kā vienas pakotnes divas sastāvdaļas un nepiekritīs apstiprināt tikai vienu no abām. Dalībvalstu ministri tiks aicināti izteikties arī par citiem jautājumiem valsts atbalsta modernizācijas kontekstā.</w:t>
      </w:r>
      <w:r>
        <w:rPr>
          <w:bCs/>
          <w:sz w:val="28"/>
        </w:rPr>
        <w:tab/>
      </w:r>
      <w:r w:rsidRPr="005C2D2C">
        <w:rPr>
          <w:bCs/>
          <w:sz w:val="28"/>
        </w:rPr>
        <w:t xml:space="preserve">Lai vienkāršotu administratīvo pārvaldību un nodrošinātu tās īstenošanu, nemazinot </w:t>
      </w:r>
      <w:r w:rsidR="00B65751">
        <w:rPr>
          <w:bCs/>
          <w:sz w:val="28"/>
        </w:rPr>
        <w:t>EK</w:t>
      </w:r>
      <w:r w:rsidRPr="005C2D2C">
        <w:rPr>
          <w:bCs/>
          <w:sz w:val="28"/>
        </w:rPr>
        <w:t xml:space="preserve"> kontroli, </w:t>
      </w:r>
      <w:r w:rsidRPr="005C2D2C">
        <w:rPr>
          <w:b/>
          <w:bCs/>
          <w:sz w:val="28"/>
        </w:rPr>
        <w:t>Pilnvarojošajā regulā</w:t>
      </w:r>
      <w:r w:rsidRPr="005C2D2C">
        <w:rPr>
          <w:bCs/>
          <w:sz w:val="28"/>
        </w:rPr>
        <w:t xml:space="preserve"> </w:t>
      </w:r>
      <w:r w:rsidR="00B65751">
        <w:rPr>
          <w:bCs/>
          <w:sz w:val="28"/>
        </w:rPr>
        <w:t>EK</w:t>
      </w:r>
      <w:r w:rsidRPr="005C2D2C">
        <w:rPr>
          <w:bCs/>
          <w:sz w:val="28"/>
        </w:rPr>
        <w:t xml:space="preserve"> ir pilnvarota ar regulām paziņot, ka dažas valsts atbalsta kategorijas ir saderīgas ar kopējo tirgu un ka uz tām neattiecas Līguma par Eiropas Savienības darbību (</w:t>
      </w:r>
      <w:r w:rsidR="00B65751">
        <w:rPr>
          <w:bCs/>
          <w:sz w:val="28"/>
        </w:rPr>
        <w:t xml:space="preserve">turpmāk - </w:t>
      </w:r>
      <w:r w:rsidRPr="005C2D2C">
        <w:rPr>
          <w:bCs/>
          <w:sz w:val="28"/>
        </w:rPr>
        <w:t xml:space="preserve">LESD) 108. panta 3. punktā paredzētās paziņošanas prasības. Tas attiecas uz </w:t>
      </w:r>
      <w:proofErr w:type="spellStart"/>
      <w:r w:rsidRPr="005C2D2C">
        <w:rPr>
          <w:bCs/>
          <w:i/>
          <w:sz w:val="28"/>
        </w:rPr>
        <w:t>de</w:t>
      </w:r>
      <w:proofErr w:type="spellEnd"/>
      <w:r w:rsidRPr="005C2D2C">
        <w:rPr>
          <w:bCs/>
          <w:i/>
          <w:sz w:val="28"/>
        </w:rPr>
        <w:t xml:space="preserve"> </w:t>
      </w:r>
      <w:proofErr w:type="spellStart"/>
      <w:r w:rsidRPr="005C2D2C">
        <w:rPr>
          <w:bCs/>
          <w:i/>
          <w:sz w:val="28"/>
        </w:rPr>
        <w:t>minimis</w:t>
      </w:r>
      <w:proofErr w:type="spellEnd"/>
      <w:r w:rsidRPr="005C2D2C">
        <w:rPr>
          <w:bCs/>
          <w:sz w:val="28"/>
        </w:rPr>
        <w:t xml:space="preserve"> atbalstu, atbalstu </w:t>
      </w:r>
      <w:r w:rsidR="00B65751">
        <w:rPr>
          <w:bCs/>
          <w:sz w:val="28"/>
        </w:rPr>
        <w:t>maziem un vidējiem uzņēmumiem (turpmāk - MVU)</w:t>
      </w:r>
      <w:r w:rsidRPr="005C2D2C">
        <w:rPr>
          <w:bCs/>
          <w:sz w:val="28"/>
        </w:rPr>
        <w:t xml:space="preserve">, atbalstu pētniecībai un attīstībai, vides aizsardzībai, nodarbinātības veicināšanai un izglītībai, kā arī atbalstu, kas atbilst reģionālā atbalsta kartei, ko </w:t>
      </w:r>
      <w:r w:rsidR="00B65751">
        <w:rPr>
          <w:bCs/>
          <w:sz w:val="28"/>
        </w:rPr>
        <w:t>EK</w:t>
      </w:r>
      <w:r w:rsidRPr="005C2D2C">
        <w:rPr>
          <w:bCs/>
          <w:sz w:val="28"/>
        </w:rPr>
        <w:t xml:space="preserve"> apstiprinājusi katrai dalībvalstij </w:t>
      </w:r>
      <w:r w:rsidR="00923F93">
        <w:rPr>
          <w:bCs/>
          <w:sz w:val="28"/>
        </w:rPr>
        <w:t xml:space="preserve">atsevišķi </w:t>
      </w:r>
      <w:r w:rsidRPr="005C2D2C">
        <w:rPr>
          <w:bCs/>
          <w:sz w:val="28"/>
        </w:rPr>
        <w:t xml:space="preserve">reģionālā atbalsta piešķiršanai. </w:t>
      </w:r>
    </w:p>
    <w:p w:rsidR="005C2D2C" w:rsidRPr="005C2D2C" w:rsidRDefault="005C2D2C" w:rsidP="005C2D2C">
      <w:pPr>
        <w:pStyle w:val="BodyText2"/>
        <w:jc w:val="both"/>
        <w:rPr>
          <w:bCs/>
          <w:sz w:val="28"/>
        </w:rPr>
      </w:pPr>
      <w:r>
        <w:rPr>
          <w:bCs/>
          <w:sz w:val="28"/>
        </w:rPr>
        <w:tab/>
      </w:r>
      <w:r w:rsidRPr="005C2D2C">
        <w:rPr>
          <w:bCs/>
          <w:sz w:val="28"/>
        </w:rPr>
        <w:t xml:space="preserve">Valsts atbalsta modernizācijas kontekstā pārskatot izņēmumu režīmu (pilnvarojošo regulu), </w:t>
      </w:r>
      <w:r w:rsidR="00B65751">
        <w:rPr>
          <w:bCs/>
          <w:sz w:val="28"/>
        </w:rPr>
        <w:t>EK</w:t>
      </w:r>
      <w:r w:rsidRPr="005C2D2C">
        <w:rPr>
          <w:bCs/>
          <w:sz w:val="28"/>
        </w:rPr>
        <w:t xml:space="preserve"> paredz nodrošināt stingrāku kontroli pār apjomīgiem un iespējami konkurenci kropļojošiem atbalsta pasākumiem, kā arī piemērot vienkāršotu analīzi attiecībā uz pasākumiem ar nelielu ietekmi uz tirdzniecību. Piedāvājums iekļaut pilnvarojošajā regulā noteiktas jaunas kategorijas </w:t>
      </w:r>
      <w:r w:rsidRPr="00B65751">
        <w:rPr>
          <w:b/>
          <w:bCs/>
          <w:sz w:val="28"/>
        </w:rPr>
        <w:t>neparedz nedz tūlītēju grupu atbrīvojumu visām šīm kategorijām, nedz arī pilnu grupu atbrīvojumu visiem kategorijā iekļautiem pasākumiem</w:t>
      </w:r>
      <w:r w:rsidRPr="005C2D2C">
        <w:rPr>
          <w:bCs/>
          <w:sz w:val="28"/>
        </w:rPr>
        <w:t xml:space="preserve">. Gluži pretēji, tas ļauj </w:t>
      </w:r>
      <w:r w:rsidR="00B65751">
        <w:rPr>
          <w:bCs/>
          <w:sz w:val="28"/>
        </w:rPr>
        <w:t>EK</w:t>
      </w:r>
      <w:r w:rsidRPr="005C2D2C">
        <w:rPr>
          <w:bCs/>
          <w:sz w:val="28"/>
        </w:rPr>
        <w:t xml:space="preserve"> pieņemt grupu atbrīvojumu pakāpeniski, kad </w:t>
      </w:r>
      <w:r w:rsidR="00B65751">
        <w:rPr>
          <w:bCs/>
          <w:sz w:val="28"/>
        </w:rPr>
        <w:t>EK</w:t>
      </w:r>
      <w:r w:rsidRPr="005C2D2C">
        <w:rPr>
          <w:bCs/>
          <w:sz w:val="28"/>
        </w:rPr>
        <w:t xml:space="preserve"> gūtā pieredze ļaus tai noteikt precīzus atbilstības kritērijus dažiem atbalsta pasākumu veidiem, kas nodrošina ierobežotu ietekmi uz konkurenci un tirdzniecību starp dalībvalstīm.</w:t>
      </w:r>
    </w:p>
    <w:p w:rsidR="005C2D2C" w:rsidRPr="005C2D2C" w:rsidRDefault="005C2D2C" w:rsidP="005C2D2C">
      <w:pPr>
        <w:pStyle w:val="BodyText2"/>
        <w:jc w:val="both"/>
        <w:rPr>
          <w:bCs/>
          <w:sz w:val="28"/>
        </w:rPr>
      </w:pPr>
      <w:r>
        <w:rPr>
          <w:bCs/>
          <w:sz w:val="28"/>
        </w:rPr>
        <w:tab/>
      </w:r>
      <w:r w:rsidRPr="005C2D2C">
        <w:rPr>
          <w:bCs/>
          <w:sz w:val="28"/>
        </w:rPr>
        <w:t xml:space="preserve">Prezidentūras kompromiss par </w:t>
      </w:r>
      <w:r w:rsidR="00B65751">
        <w:rPr>
          <w:bCs/>
          <w:sz w:val="28"/>
        </w:rPr>
        <w:t>EK</w:t>
      </w:r>
      <w:r w:rsidRPr="005C2D2C">
        <w:rPr>
          <w:bCs/>
          <w:sz w:val="28"/>
        </w:rPr>
        <w:t xml:space="preserve"> priekšlikumu paredz papildināt regulu ar </w:t>
      </w:r>
      <w:r w:rsidRPr="00B65751">
        <w:rPr>
          <w:b/>
          <w:bCs/>
          <w:sz w:val="28"/>
        </w:rPr>
        <w:t>vairākām jaunām kategorijām</w:t>
      </w:r>
      <w:r w:rsidRPr="005C2D2C">
        <w:rPr>
          <w:bCs/>
          <w:sz w:val="28"/>
        </w:rPr>
        <w:t xml:space="preserve">: </w:t>
      </w:r>
      <w:r w:rsidR="00923F93">
        <w:rPr>
          <w:bCs/>
          <w:sz w:val="28"/>
        </w:rPr>
        <w:t>v</w:t>
      </w:r>
      <w:r w:rsidRPr="005C2D2C">
        <w:rPr>
          <w:bCs/>
          <w:sz w:val="28"/>
        </w:rPr>
        <w:t>alsts atbalsts kultūras un kultūrvēsturiskā mantojuma saglabāšanas jomā</w:t>
      </w:r>
      <w:r w:rsidR="00923F93">
        <w:rPr>
          <w:bCs/>
          <w:sz w:val="28"/>
        </w:rPr>
        <w:t>,</w:t>
      </w:r>
      <w:r w:rsidRPr="005C2D2C">
        <w:rPr>
          <w:bCs/>
          <w:sz w:val="28"/>
        </w:rPr>
        <w:t xml:space="preserve"> </w:t>
      </w:r>
      <w:r w:rsidR="00923F93">
        <w:rPr>
          <w:bCs/>
          <w:sz w:val="28"/>
        </w:rPr>
        <w:t>v</w:t>
      </w:r>
      <w:r w:rsidRPr="005C2D2C">
        <w:rPr>
          <w:bCs/>
          <w:sz w:val="28"/>
        </w:rPr>
        <w:t>alsts atbalsts saistībā ar dabas katastrofām</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attiecībā uz noteiktiem nelabvēlīgiem laika apstākļiem zvejniecībā</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inovācijām</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mežsaimniecībai</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I pielikumā neietverto produktu veicināšanas pasākumiem pārtikas nozarē</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jūras bioloģisko resursu saglabāšanai</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sportam</w:t>
      </w:r>
      <w:r w:rsidR="00923F93">
        <w:rPr>
          <w:bCs/>
          <w:sz w:val="28"/>
        </w:rPr>
        <w:t>,</w:t>
      </w:r>
      <w:r w:rsidR="00923F93" w:rsidRPr="005C2D2C">
        <w:rPr>
          <w:bCs/>
          <w:sz w:val="28"/>
        </w:rPr>
        <w:t xml:space="preserve"> </w:t>
      </w:r>
      <w:r w:rsidR="00923F93">
        <w:rPr>
          <w:bCs/>
          <w:sz w:val="28"/>
        </w:rPr>
        <w:t>s</w:t>
      </w:r>
      <w:r w:rsidR="00923F93" w:rsidRPr="005C2D2C">
        <w:rPr>
          <w:bCs/>
          <w:sz w:val="28"/>
        </w:rPr>
        <w:t xml:space="preserve">ociālais </w:t>
      </w:r>
      <w:r w:rsidRPr="005C2D2C">
        <w:rPr>
          <w:bCs/>
          <w:sz w:val="28"/>
        </w:rPr>
        <w:t>atbalsts transporta pakalpojumu sniegšanai attālāko reģionu iedzīvotājiem</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noteiktai platjoslas infrastruktūrai</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atbalsts infrastruktūrai, lai atbalstītu iepriekšminēto paragrāfu 1(a) un 1(b) mērķus un mērķus ar kopīgu interesi, īpaši, ES 2020 mērķus.</w:t>
      </w:r>
    </w:p>
    <w:p w:rsidR="005C2D2C" w:rsidRPr="005C2D2C" w:rsidRDefault="005C2D2C" w:rsidP="005C2D2C">
      <w:pPr>
        <w:pStyle w:val="BodyText2"/>
        <w:jc w:val="both"/>
        <w:rPr>
          <w:bCs/>
          <w:sz w:val="28"/>
        </w:rPr>
      </w:pPr>
      <w:r>
        <w:rPr>
          <w:bCs/>
          <w:sz w:val="28"/>
        </w:rPr>
        <w:tab/>
      </w:r>
      <w:r w:rsidRPr="005C2D2C">
        <w:rPr>
          <w:bCs/>
          <w:sz w:val="28"/>
        </w:rPr>
        <w:t xml:space="preserve">Prezidentūras kompromiss paredz neietvert starp kategorijām valsts atbalstu </w:t>
      </w:r>
      <w:r w:rsidRPr="00B65751">
        <w:rPr>
          <w:b/>
          <w:bCs/>
          <w:sz w:val="28"/>
        </w:rPr>
        <w:t>transporta nozarei</w:t>
      </w:r>
      <w:r w:rsidRPr="005C2D2C">
        <w:rPr>
          <w:bCs/>
          <w:sz w:val="28"/>
        </w:rPr>
        <w:t xml:space="preserve"> saskaņā ar LESD 93.pantu. Diskusiju procesā Padomes juridiskais dienests</w:t>
      </w:r>
      <w:r w:rsidR="00923F93">
        <w:rPr>
          <w:bCs/>
          <w:sz w:val="28"/>
        </w:rPr>
        <w:t xml:space="preserve"> sniedza</w:t>
      </w:r>
      <w:r w:rsidRPr="005C2D2C">
        <w:rPr>
          <w:bCs/>
          <w:sz w:val="28"/>
        </w:rPr>
        <w:t xml:space="preserve"> </w:t>
      </w:r>
      <w:r w:rsidR="00923F93" w:rsidRPr="005C2D2C">
        <w:rPr>
          <w:bCs/>
          <w:sz w:val="28"/>
        </w:rPr>
        <w:t>atzin</w:t>
      </w:r>
      <w:r w:rsidR="00923F93">
        <w:rPr>
          <w:bCs/>
          <w:sz w:val="28"/>
        </w:rPr>
        <w:t>umu</w:t>
      </w:r>
      <w:r w:rsidRPr="005C2D2C">
        <w:rPr>
          <w:bCs/>
          <w:sz w:val="28"/>
        </w:rPr>
        <w:t>, ka Padomei nav obligāti jāietver Pilnvarojošajā regulā atbalsts transporta nozarei.</w:t>
      </w:r>
    </w:p>
    <w:p w:rsidR="005C2D2C" w:rsidRPr="005C2D2C" w:rsidRDefault="005C2D2C" w:rsidP="005C2D2C">
      <w:pPr>
        <w:pStyle w:val="BodyText2"/>
        <w:jc w:val="both"/>
        <w:rPr>
          <w:bCs/>
          <w:sz w:val="28"/>
        </w:rPr>
      </w:pPr>
    </w:p>
    <w:p w:rsidR="005C2D2C" w:rsidRPr="005C2D2C" w:rsidRDefault="005C2D2C" w:rsidP="005C2D2C">
      <w:pPr>
        <w:pStyle w:val="BodyText2"/>
        <w:jc w:val="both"/>
        <w:rPr>
          <w:bCs/>
          <w:sz w:val="28"/>
        </w:rPr>
      </w:pPr>
      <w:r>
        <w:rPr>
          <w:bCs/>
          <w:sz w:val="28"/>
        </w:rPr>
        <w:tab/>
      </w:r>
      <w:r w:rsidRPr="005C2D2C">
        <w:rPr>
          <w:bCs/>
          <w:sz w:val="28"/>
        </w:rPr>
        <w:t xml:space="preserve">Savukārt, </w:t>
      </w:r>
      <w:r w:rsidRPr="005C2D2C">
        <w:rPr>
          <w:b/>
          <w:bCs/>
          <w:sz w:val="28"/>
        </w:rPr>
        <w:t>Procesuālā regula</w:t>
      </w:r>
      <w:r w:rsidRPr="005C2D2C">
        <w:rPr>
          <w:bCs/>
          <w:sz w:val="28"/>
        </w:rPr>
        <w:t xml:space="preserve"> nosaka, ka dalībvalstis nevar sniegt atbalstu, pirms </w:t>
      </w:r>
      <w:r w:rsidR="00B65751">
        <w:rPr>
          <w:bCs/>
          <w:sz w:val="28"/>
        </w:rPr>
        <w:t>EK</w:t>
      </w:r>
      <w:r w:rsidRPr="005C2D2C">
        <w:rPr>
          <w:bCs/>
          <w:sz w:val="28"/>
        </w:rPr>
        <w:t xml:space="preserve"> nav to atļāvusi, izņemot</w:t>
      </w:r>
      <w:r w:rsidR="00923F93">
        <w:rPr>
          <w:bCs/>
          <w:sz w:val="28"/>
        </w:rPr>
        <w:t xml:space="preserve"> gadījumus</w:t>
      </w:r>
      <w:r w:rsidRPr="005C2D2C">
        <w:rPr>
          <w:bCs/>
          <w:sz w:val="28"/>
        </w:rPr>
        <w:t xml:space="preserve">, kad piemērojas vispārējā izņēmuma regula. Procesuālā regula nosaka procedūras atbalsta paziņošanai </w:t>
      </w:r>
      <w:r w:rsidR="00B65751">
        <w:rPr>
          <w:bCs/>
          <w:sz w:val="28"/>
        </w:rPr>
        <w:t>EK</w:t>
      </w:r>
      <w:r w:rsidR="00923F93">
        <w:rPr>
          <w:bCs/>
          <w:sz w:val="28"/>
        </w:rPr>
        <w:t xml:space="preserve"> -</w:t>
      </w:r>
      <w:r w:rsidRPr="005C2D2C">
        <w:rPr>
          <w:bCs/>
          <w:sz w:val="28"/>
        </w:rPr>
        <w:t xml:space="preserve"> termiņus un procedūru, </w:t>
      </w:r>
      <w:r w:rsidR="00923F93">
        <w:rPr>
          <w:bCs/>
          <w:sz w:val="28"/>
        </w:rPr>
        <w:t xml:space="preserve">paziņojumu izskatīšanas kārtību EK, , kārtību </w:t>
      </w:r>
      <w:r w:rsidRPr="005C2D2C">
        <w:rPr>
          <w:bCs/>
          <w:sz w:val="28"/>
        </w:rPr>
        <w:t>kā</w:t>
      </w:r>
      <w:r w:rsidR="00923F93">
        <w:rPr>
          <w:bCs/>
          <w:sz w:val="28"/>
        </w:rPr>
        <w:t>dā</w:t>
      </w:r>
      <w:r w:rsidRPr="005C2D2C">
        <w:rPr>
          <w:bCs/>
          <w:sz w:val="28"/>
        </w:rPr>
        <w:t xml:space="preserve"> </w:t>
      </w:r>
      <w:r w:rsidR="00B65751">
        <w:rPr>
          <w:bCs/>
          <w:sz w:val="28"/>
        </w:rPr>
        <w:t>EK</w:t>
      </w:r>
      <w:r w:rsidRPr="005C2D2C">
        <w:rPr>
          <w:bCs/>
          <w:sz w:val="28"/>
        </w:rPr>
        <w:t xml:space="preserve"> vai nu apstiprina atbalstu, vai arī uzsāk padziļinātu izpēti, procedūru, kā </w:t>
      </w:r>
      <w:r w:rsidR="00B65751">
        <w:rPr>
          <w:bCs/>
          <w:sz w:val="28"/>
        </w:rPr>
        <w:t>EK</w:t>
      </w:r>
      <w:r w:rsidRPr="005C2D2C">
        <w:rPr>
          <w:bCs/>
          <w:sz w:val="28"/>
        </w:rPr>
        <w:t xml:space="preserve"> izskata saņemtās sūdzības, kā arī procedūru, kā atgūstams nelikumīg</w:t>
      </w:r>
      <w:r w:rsidR="00923F93">
        <w:rPr>
          <w:bCs/>
          <w:sz w:val="28"/>
        </w:rPr>
        <w:t>i izsniegtais</w:t>
      </w:r>
      <w:r w:rsidRPr="005C2D2C">
        <w:rPr>
          <w:bCs/>
          <w:sz w:val="28"/>
        </w:rPr>
        <w:t xml:space="preserve"> atbalsts.</w:t>
      </w:r>
    </w:p>
    <w:p w:rsidR="005C2D2C" w:rsidRPr="005C2D2C" w:rsidRDefault="005C2D2C" w:rsidP="005C2D2C">
      <w:pPr>
        <w:pStyle w:val="BodyText2"/>
        <w:jc w:val="both"/>
        <w:rPr>
          <w:bCs/>
          <w:sz w:val="28"/>
        </w:rPr>
      </w:pPr>
      <w:r>
        <w:rPr>
          <w:bCs/>
          <w:sz w:val="28"/>
        </w:rPr>
        <w:tab/>
      </w:r>
      <w:r w:rsidR="00923F93">
        <w:rPr>
          <w:bCs/>
          <w:sz w:val="28"/>
        </w:rPr>
        <w:t>L</w:t>
      </w:r>
      <w:r w:rsidR="00923F93" w:rsidRPr="005C2D2C">
        <w:rPr>
          <w:bCs/>
          <w:sz w:val="28"/>
        </w:rPr>
        <w:t>ai padarītu normas efektīvākas</w:t>
      </w:r>
      <w:r w:rsidR="00923F93">
        <w:rPr>
          <w:bCs/>
          <w:sz w:val="28"/>
        </w:rPr>
        <w:t>,</w:t>
      </w:r>
      <w:r w:rsidR="00923F93" w:rsidRPr="005C2D2C">
        <w:rPr>
          <w:bCs/>
          <w:sz w:val="28"/>
        </w:rPr>
        <w:t xml:space="preserve"> </w:t>
      </w:r>
      <w:r w:rsidR="00923F93">
        <w:rPr>
          <w:bCs/>
          <w:sz w:val="28"/>
        </w:rPr>
        <w:t>v</w:t>
      </w:r>
      <w:r w:rsidR="00923F93" w:rsidRPr="005C2D2C">
        <w:rPr>
          <w:bCs/>
          <w:sz w:val="28"/>
        </w:rPr>
        <w:t xml:space="preserve">alsts </w:t>
      </w:r>
      <w:r w:rsidRPr="005C2D2C">
        <w:rPr>
          <w:bCs/>
          <w:sz w:val="28"/>
        </w:rPr>
        <w:t xml:space="preserve">atbalsta modernizācijas kontekstā, , </w:t>
      </w:r>
      <w:r w:rsidR="00B65751">
        <w:rPr>
          <w:bCs/>
          <w:sz w:val="28"/>
        </w:rPr>
        <w:t>EK</w:t>
      </w:r>
      <w:r w:rsidRPr="005C2D2C">
        <w:rPr>
          <w:bCs/>
          <w:sz w:val="28"/>
        </w:rPr>
        <w:t xml:space="preserve"> priekšlikums grozījumiem procesuālajā regulā paredz </w:t>
      </w:r>
      <w:r w:rsidRPr="00B65751">
        <w:rPr>
          <w:b/>
          <w:bCs/>
          <w:sz w:val="28"/>
        </w:rPr>
        <w:t>papildināt to ar jaunām normām</w:t>
      </w:r>
      <w:r w:rsidRPr="005C2D2C">
        <w:rPr>
          <w:bCs/>
          <w:sz w:val="28"/>
        </w:rPr>
        <w:t xml:space="preserve">: iespēju </w:t>
      </w:r>
      <w:r w:rsidR="00B65751">
        <w:rPr>
          <w:bCs/>
          <w:sz w:val="28"/>
        </w:rPr>
        <w:t>EK</w:t>
      </w:r>
      <w:r w:rsidRPr="005C2D2C">
        <w:rPr>
          <w:bCs/>
          <w:sz w:val="28"/>
        </w:rPr>
        <w:t xml:space="preserve"> vērsties pie tirgus dalībniekiem datu pieprasīšanai pa tiešo (MIT – </w:t>
      </w:r>
      <w:proofErr w:type="spellStart"/>
      <w:r w:rsidRPr="005C2D2C">
        <w:rPr>
          <w:bCs/>
          <w:i/>
          <w:sz w:val="28"/>
        </w:rPr>
        <w:t>market</w:t>
      </w:r>
      <w:proofErr w:type="spellEnd"/>
      <w:r w:rsidRPr="005C2D2C">
        <w:rPr>
          <w:bCs/>
          <w:i/>
          <w:sz w:val="28"/>
        </w:rPr>
        <w:t xml:space="preserve"> </w:t>
      </w:r>
      <w:proofErr w:type="spellStart"/>
      <w:r w:rsidRPr="005C2D2C">
        <w:rPr>
          <w:bCs/>
          <w:i/>
          <w:sz w:val="28"/>
        </w:rPr>
        <w:t>information</w:t>
      </w:r>
      <w:proofErr w:type="spellEnd"/>
      <w:r w:rsidRPr="005C2D2C">
        <w:rPr>
          <w:bCs/>
          <w:i/>
          <w:sz w:val="28"/>
        </w:rPr>
        <w:t xml:space="preserve"> </w:t>
      </w:r>
      <w:proofErr w:type="spellStart"/>
      <w:r w:rsidRPr="005C2D2C">
        <w:rPr>
          <w:bCs/>
          <w:i/>
          <w:sz w:val="28"/>
        </w:rPr>
        <w:t>tools</w:t>
      </w:r>
      <w:proofErr w:type="spellEnd"/>
      <w:r w:rsidRPr="005C2D2C">
        <w:rPr>
          <w:bCs/>
          <w:sz w:val="28"/>
        </w:rPr>
        <w:t>) un sodu uzlikšanu par informācijas nesniegšanu, nepatiesas, maldinošas vai nepilnīgas informācijas sniegšanu</w:t>
      </w:r>
      <w:r w:rsidR="00923F93">
        <w:rPr>
          <w:bCs/>
          <w:sz w:val="28"/>
        </w:rPr>
        <w:t>,</w:t>
      </w:r>
      <w:r w:rsidR="00923F93" w:rsidRPr="005C2D2C">
        <w:rPr>
          <w:bCs/>
          <w:sz w:val="28"/>
        </w:rPr>
        <w:t xml:space="preserve"> </w:t>
      </w:r>
      <w:r w:rsidRPr="005C2D2C">
        <w:rPr>
          <w:bCs/>
          <w:sz w:val="28"/>
        </w:rPr>
        <w:t xml:space="preserve">iespēju </w:t>
      </w:r>
      <w:r w:rsidR="00B65751">
        <w:rPr>
          <w:bCs/>
          <w:sz w:val="28"/>
        </w:rPr>
        <w:t>EK</w:t>
      </w:r>
      <w:r w:rsidRPr="005C2D2C">
        <w:rPr>
          <w:bCs/>
          <w:sz w:val="28"/>
        </w:rPr>
        <w:t xml:space="preserve"> veikt izmeklēšanas sektoru griezumā, kas varētu skart vienlaikus vairākas ES dalībvalstis (SI – </w:t>
      </w:r>
      <w:proofErr w:type="spellStart"/>
      <w:r w:rsidRPr="005C2D2C">
        <w:rPr>
          <w:bCs/>
          <w:i/>
          <w:sz w:val="28"/>
        </w:rPr>
        <w:t>sectoral</w:t>
      </w:r>
      <w:proofErr w:type="spellEnd"/>
      <w:r w:rsidRPr="005C2D2C">
        <w:rPr>
          <w:bCs/>
          <w:i/>
          <w:sz w:val="28"/>
        </w:rPr>
        <w:t xml:space="preserve"> </w:t>
      </w:r>
      <w:proofErr w:type="spellStart"/>
      <w:r w:rsidRPr="005C2D2C">
        <w:rPr>
          <w:bCs/>
          <w:i/>
          <w:sz w:val="28"/>
        </w:rPr>
        <w:t>inquiries</w:t>
      </w:r>
      <w:proofErr w:type="spellEnd"/>
      <w:r w:rsidRPr="005C2D2C">
        <w:rPr>
          <w:bCs/>
          <w:sz w:val="28"/>
        </w:rPr>
        <w:t>)</w:t>
      </w:r>
      <w:r w:rsidR="00923F93">
        <w:rPr>
          <w:bCs/>
          <w:sz w:val="28"/>
        </w:rPr>
        <w:t xml:space="preserve"> un</w:t>
      </w:r>
      <w:r w:rsidRPr="005C2D2C">
        <w:rPr>
          <w:bCs/>
          <w:sz w:val="28"/>
        </w:rPr>
        <w:t xml:space="preserve"> iespēju </w:t>
      </w:r>
      <w:r w:rsidR="00B65751">
        <w:rPr>
          <w:bCs/>
          <w:sz w:val="28"/>
        </w:rPr>
        <w:t>EK</w:t>
      </w:r>
      <w:r w:rsidRPr="005C2D2C">
        <w:rPr>
          <w:bCs/>
          <w:sz w:val="28"/>
        </w:rPr>
        <w:t xml:space="preserve"> sadarboties ar nacionālajām tiesām.</w:t>
      </w:r>
    </w:p>
    <w:p w:rsidR="005C2D2C" w:rsidRPr="005C2D2C" w:rsidRDefault="005C2D2C" w:rsidP="005C2D2C">
      <w:pPr>
        <w:pStyle w:val="BodyText2"/>
        <w:jc w:val="both"/>
        <w:rPr>
          <w:bCs/>
          <w:sz w:val="28"/>
        </w:rPr>
      </w:pPr>
      <w:r>
        <w:rPr>
          <w:bCs/>
          <w:sz w:val="28"/>
        </w:rPr>
        <w:tab/>
      </w:r>
      <w:r w:rsidRPr="005C2D2C">
        <w:rPr>
          <w:bCs/>
          <w:sz w:val="28"/>
        </w:rPr>
        <w:t xml:space="preserve">Priekšlikums arī skaidrāk nosaka, kāda </w:t>
      </w:r>
      <w:r w:rsidR="00B65751">
        <w:rPr>
          <w:bCs/>
          <w:sz w:val="28"/>
        </w:rPr>
        <w:t>EK</w:t>
      </w:r>
      <w:r w:rsidRPr="005C2D2C">
        <w:rPr>
          <w:bCs/>
          <w:sz w:val="28"/>
        </w:rPr>
        <w:t xml:space="preserve"> saņemtā informācija kvalificējama kā sūdzība, kuras gadījumā </w:t>
      </w:r>
      <w:r w:rsidR="00B65751">
        <w:rPr>
          <w:bCs/>
          <w:sz w:val="28"/>
        </w:rPr>
        <w:t>EK</w:t>
      </w:r>
      <w:r w:rsidRPr="005C2D2C">
        <w:rPr>
          <w:bCs/>
          <w:sz w:val="28"/>
        </w:rPr>
        <w:t xml:space="preserve"> jāpieņem lēmums.</w:t>
      </w:r>
    </w:p>
    <w:p w:rsidR="005C2D2C" w:rsidRPr="005C2D2C" w:rsidRDefault="005C2D2C" w:rsidP="005C2D2C">
      <w:pPr>
        <w:pStyle w:val="BodyText2"/>
        <w:jc w:val="both"/>
        <w:rPr>
          <w:bCs/>
          <w:sz w:val="28"/>
        </w:rPr>
      </w:pPr>
      <w:r>
        <w:rPr>
          <w:bCs/>
          <w:sz w:val="28"/>
        </w:rPr>
        <w:tab/>
      </w:r>
      <w:r w:rsidRPr="005C2D2C">
        <w:rPr>
          <w:bCs/>
          <w:sz w:val="28"/>
        </w:rPr>
        <w:t xml:space="preserve">Diskusiju procesā savus viedokļus ir sagatavojuši </w:t>
      </w:r>
      <w:r w:rsidR="00B65751">
        <w:rPr>
          <w:bCs/>
          <w:sz w:val="28"/>
        </w:rPr>
        <w:t>EK</w:t>
      </w:r>
      <w:r w:rsidRPr="005C2D2C">
        <w:rPr>
          <w:bCs/>
          <w:sz w:val="28"/>
        </w:rPr>
        <w:t xml:space="preserve"> juridiskais dienests un Padomes juridiskais dienests. Abi dienesti atzinuši, ka LESD 109.pants, kurš runā par Padomes pilnvarām pieņemt noteikumus LESD 108.panta piemērošanai, ir </w:t>
      </w:r>
      <w:r w:rsidRPr="00E752DA">
        <w:rPr>
          <w:b/>
          <w:bCs/>
          <w:sz w:val="28"/>
        </w:rPr>
        <w:t>pietiekama juridiskā bāze</w:t>
      </w:r>
      <w:r w:rsidRPr="005C2D2C">
        <w:rPr>
          <w:bCs/>
          <w:sz w:val="28"/>
        </w:rPr>
        <w:t xml:space="preserve">, lai paredzētu iespēju </w:t>
      </w:r>
      <w:r w:rsidR="00B65751">
        <w:rPr>
          <w:bCs/>
          <w:sz w:val="28"/>
        </w:rPr>
        <w:t>EK</w:t>
      </w:r>
      <w:r w:rsidRPr="005C2D2C">
        <w:rPr>
          <w:bCs/>
          <w:sz w:val="28"/>
        </w:rPr>
        <w:t xml:space="preserve"> pa tiešo vērsties pie uzņēmējiem un to asociācijām valsts atbalsta jomā (lai gan LESD nosaka tikai </w:t>
      </w:r>
      <w:r w:rsidR="00E752DA">
        <w:rPr>
          <w:bCs/>
          <w:sz w:val="28"/>
        </w:rPr>
        <w:t>EK</w:t>
      </w:r>
      <w:r w:rsidRPr="005C2D2C">
        <w:rPr>
          <w:bCs/>
          <w:sz w:val="28"/>
        </w:rPr>
        <w:t xml:space="preserve"> un dalībvalstu attiecības valsts atbalsta jomā) un attiecīgi uzlikt sodus, kā arī sadarboties ar nacionālajām tiesām, tām sniedzot un no tām pieprasot informāciju. </w:t>
      </w:r>
    </w:p>
    <w:p w:rsidR="00943764" w:rsidRDefault="00943764" w:rsidP="005C2D2C">
      <w:pPr>
        <w:jc w:val="both"/>
        <w:rPr>
          <w:sz w:val="28"/>
          <w:highlight w:val="yellow"/>
        </w:rPr>
      </w:pPr>
    </w:p>
    <w:p w:rsidR="005C2D2C" w:rsidRPr="005C2D2C" w:rsidRDefault="005C2D2C" w:rsidP="005C2D2C">
      <w:pPr>
        <w:pStyle w:val="BodyText2"/>
        <w:jc w:val="left"/>
        <w:rPr>
          <w:b/>
          <w:bCs/>
          <w:sz w:val="28"/>
          <w:szCs w:val="28"/>
          <w:u w:val="single"/>
        </w:rPr>
      </w:pPr>
      <w:r w:rsidRPr="005C2D2C">
        <w:rPr>
          <w:b/>
          <w:bCs/>
          <w:sz w:val="28"/>
          <w:szCs w:val="28"/>
          <w:u w:val="single"/>
        </w:rPr>
        <w:t>Latvijas pozīcija</w:t>
      </w:r>
      <w:r>
        <w:rPr>
          <w:b/>
          <w:bCs/>
          <w:sz w:val="28"/>
          <w:szCs w:val="28"/>
          <w:u w:val="single"/>
        </w:rPr>
        <w:t>:</w:t>
      </w:r>
    </w:p>
    <w:p w:rsidR="005C2D2C" w:rsidRPr="005C2D2C" w:rsidRDefault="005C2D2C" w:rsidP="005C2D2C">
      <w:pPr>
        <w:jc w:val="both"/>
        <w:rPr>
          <w:color w:val="000000"/>
          <w:sz w:val="28"/>
          <w:szCs w:val="28"/>
        </w:rPr>
      </w:pPr>
    </w:p>
    <w:p w:rsidR="005C2D2C" w:rsidRPr="005C2D2C" w:rsidRDefault="005C2D2C" w:rsidP="005C2D2C">
      <w:pPr>
        <w:jc w:val="both"/>
        <w:rPr>
          <w:color w:val="000000"/>
          <w:sz w:val="28"/>
          <w:szCs w:val="28"/>
        </w:rPr>
      </w:pPr>
      <w:r>
        <w:rPr>
          <w:b/>
          <w:color w:val="000000"/>
          <w:sz w:val="28"/>
          <w:szCs w:val="28"/>
        </w:rPr>
        <w:tab/>
      </w:r>
      <w:r w:rsidRPr="005C2D2C">
        <w:rPr>
          <w:b/>
          <w:color w:val="000000"/>
          <w:sz w:val="28"/>
          <w:szCs w:val="28"/>
        </w:rPr>
        <w:t xml:space="preserve">Latvija atbalsta </w:t>
      </w:r>
      <w:r w:rsidRPr="005C2D2C">
        <w:rPr>
          <w:color w:val="000000"/>
          <w:sz w:val="28"/>
          <w:szCs w:val="28"/>
        </w:rPr>
        <w:t>Prezidentūras priekšlikumu pilnvarojošajai regulai. Latvijas pateicas Prezidentūrai par būtisko ieguldījumu priekšlikuma precizēšanā un rūpīgo attieksmi pret dalībvalstu viedokļiem.</w:t>
      </w:r>
    </w:p>
    <w:p w:rsidR="008E6DD3" w:rsidRDefault="005C2D2C" w:rsidP="005C2D2C">
      <w:pPr>
        <w:jc w:val="both"/>
        <w:rPr>
          <w:sz w:val="28"/>
          <w:szCs w:val="28"/>
        </w:rPr>
      </w:pPr>
      <w:r>
        <w:rPr>
          <w:b/>
          <w:color w:val="000000"/>
          <w:sz w:val="28"/>
          <w:szCs w:val="28"/>
        </w:rPr>
        <w:tab/>
      </w:r>
      <w:r w:rsidRPr="005C2D2C">
        <w:rPr>
          <w:b/>
          <w:color w:val="000000"/>
          <w:sz w:val="28"/>
          <w:szCs w:val="28"/>
        </w:rPr>
        <w:t>Latvija</w:t>
      </w:r>
      <w:r w:rsidRPr="005C2D2C">
        <w:rPr>
          <w:color w:val="000000"/>
          <w:sz w:val="28"/>
          <w:szCs w:val="28"/>
        </w:rPr>
        <w:t xml:space="preserve"> </w:t>
      </w:r>
      <w:r w:rsidRPr="005C2D2C">
        <w:rPr>
          <w:b/>
          <w:color w:val="000000"/>
          <w:sz w:val="28"/>
          <w:szCs w:val="28"/>
        </w:rPr>
        <w:t>kopumā</w:t>
      </w:r>
      <w:r w:rsidRPr="005C2D2C">
        <w:rPr>
          <w:color w:val="000000"/>
          <w:sz w:val="28"/>
          <w:szCs w:val="28"/>
        </w:rPr>
        <w:t xml:space="preserve"> </w:t>
      </w:r>
      <w:r w:rsidRPr="005C2D2C">
        <w:rPr>
          <w:rStyle w:val="Strong"/>
          <w:color w:val="000000"/>
          <w:sz w:val="28"/>
          <w:szCs w:val="28"/>
        </w:rPr>
        <w:t xml:space="preserve">atbalsta </w:t>
      </w:r>
      <w:r w:rsidRPr="005C2D2C">
        <w:rPr>
          <w:sz w:val="28"/>
          <w:szCs w:val="28"/>
        </w:rPr>
        <w:t>Prezidentūras priekšlikumu procesuālajai regulai (ņemot vērā, ka lēmums pieņemams ar kvalificēto balstu vairākumu).</w:t>
      </w:r>
      <w:r w:rsidRPr="005C2D2C">
        <w:rPr>
          <w:color w:val="000000"/>
          <w:sz w:val="28"/>
          <w:szCs w:val="28"/>
        </w:rPr>
        <w:t xml:space="preserve"> </w:t>
      </w:r>
      <w:r w:rsidRPr="008E6DD3">
        <w:rPr>
          <w:b/>
          <w:color w:val="000000"/>
          <w:sz w:val="28"/>
          <w:szCs w:val="28"/>
        </w:rPr>
        <w:t>Latvija uzsver</w:t>
      </w:r>
      <w:r w:rsidRPr="005C2D2C">
        <w:rPr>
          <w:color w:val="000000"/>
          <w:sz w:val="28"/>
          <w:szCs w:val="28"/>
        </w:rPr>
        <w:t xml:space="preserve">, ka </w:t>
      </w:r>
      <w:r w:rsidR="008E6DD3">
        <w:rPr>
          <w:color w:val="000000"/>
          <w:sz w:val="28"/>
          <w:szCs w:val="28"/>
        </w:rPr>
        <w:t>EK</w:t>
      </w:r>
      <w:r w:rsidRPr="005C2D2C">
        <w:rPr>
          <w:color w:val="000000"/>
          <w:sz w:val="28"/>
          <w:szCs w:val="28"/>
        </w:rPr>
        <w:t xml:space="preserve"> un nacionālo tiesu sadarbībai jānorisinās tikai uz brīvprātības principiem. Pateicamies par Prezidentūras veiktajiem precizējumiem, tomēr aicinām atbilstoši 14.preambulā minētajam precizēt Procesuālās regulas 23.a.panta 2.punkta otro daļu, nosakot, ka dalībvalsts tiesa </w:t>
      </w:r>
      <w:r w:rsidRPr="005C2D2C">
        <w:rPr>
          <w:sz w:val="28"/>
          <w:szCs w:val="28"/>
        </w:rPr>
        <w:t>pēc EK lūguma var EK nosūtīt attiecīgos dokumentus, ciktāl to pieļauj nacionālie</w:t>
      </w:r>
      <w:r w:rsidR="008E6DD3">
        <w:rPr>
          <w:sz w:val="28"/>
          <w:szCs w:val="28"/>
        </w:rPr>
        <w:t xml:space="preserve"> normatīvie akti. </w:t>
      </w:r>
    </w:p>
    <w:p w:rsidR="005C2D2C" w:rsidRPr="005C2D2C" w:rsidRDefault="008E6DD3" w:rsidP="005C2D2C">
      <w:pPr>
        <w:jc w:val="both"/>
        <w:rPr>
          <w:sz w:val="28"/>
          <w:szCs w:val="28"/>
        </w:rPr>
      </w:pPr>
      <w:r>
        <w:rPr>
          <w:sz w:val="28"/>
          <w:szCs w:val="28"/>
        </w:rPr>
        <w:tab/>
        <w:t xml:space="preserve">Tāpat </w:t>
      </w:r>
      <w:r w:rsidRPr="008E6DD3">
        <w:rPr>
          <w:b/>
          <w:sz w:val="28"/>
          <w:szCs w:val="28"/>
        </w:rPr>
        <w:t>Latvija</w:t>
      </w:r>
      <w:r w:rsidR="005C2D2C" w:rsidRPr="008E6DD3">
        <w:rPr>
          <w:b/>
          <w:sz w:val="28"/>
          <w:szCs w:val="28"/>
        </w:rPr>
        <w:t xml:space="preserve"> joprojām uzskata</w:t>
      </w:r>
      <w:r w:rsidR="005C2D2C" w:rsidRPr="005C2D2C">
        <w:rPr>
          <w:sz w:val="28"/>
          <w:szCs w:val="28"/>
        </w:rPr>
        <w:t xml:space="preserve">, ka </w:t>
      </w:r>
      <w:r w:rsidR="005C2D2C" w:rsidRPr="008E6DD3">
        <w:rPr>
          <w:b/>
          <w:sz w:val="28"/>
          <w:szCs w:val="28"/>
        </w:rPr>
        <w:t>nav pietiekams juridiskais pamats</w:t>
      </w:r>
      <w:r w:rsidR="005C2D2C" w:rsidRPr="005C2D2C">
        <w:rPr>
          <w:sz w:val="28"/>
          <w:szCs w:val="28"/>
        </w:rPr>
        <w:t xml:space="preserve"> Procesuālās regulas projektā 6.a un 6.b pantos ietvertajām normām, kas paredz iespēju </w:t>
      </w:r>
      <w:r>
        <w:rPr>
          <w:sz w:val="28"/>
          <w:szCs w:val="28"/>
        </w:rPr>
        <w:t>EK</w:t>
      </w:r>
      <w:r w:rsidR="005C2D2C" w:rsidRPr="005C2D2C">
        <w:rPr>
          <w:sz w:val="28"/>
          <w:szCs w:val="28"/>
        </w:rPr>
        <w:t xml:space="preserve"> </w:t>
      </w:r>
      <w:r w:rsidR="005C2D2C" w:rsidRPr="008E6DD3">
        <w:rPr>
          <w:b/>
          <w:sz w:val="28"/>
          <w:szCs w:val="28"/>
        </w:rPr>
        <w:t>vērsties pie tirgus dalībniekiem datu pieprasīšanai pa tiešo</w:t>
      </w:r>
      <w:r w:rsidR="005C2D2C" w:rsidRPr="005C2D2C">
        <w:rPr>
          <w:sz w:val="28"/>
          <w:szCs w:val="28"/>
        </w:rPr>
        <w:t xml:space="preserve"> no tiem un sodu uzlikšanu par informācijas nesniegšanu, nepatiesas, maldinošas vai nepilnīgas informācijas sniegšanu (pretruna ar LESD 108.pantu). Kontekstā ar administratīvo slogu uzņēmējiem informācijas nosūtīšanā Eiropas Komisijai </w:t>
      </w:r>
      <w:r w:rsidR="005C2D2C" w:rsidRPr="008E6DD3">
        <w:rPr>
          <w:b/>
          <w:sz w:val="28"/>
          <w:szCs w:val="28"/>
        </w:rPr>
        <w:t>Latvija uzsver</w:t>
      </w:r>
      <w:r w:rsidR="005C2D2C" w:rsidRPr="005C2D2C">
        <w:rPr>
          <w:sz w:val="28"/>
          <w:szCs w:val="28"/>
        </w:rPr>
        <w:t>, ka MIT būtu jāizmanto tikai</w:t>
      </w:r>
      <w:r w:rsidR="008B61E4">
        <w:rPr>
          <w:sz w:val="28"/>
          <w:szCs w:val="28"/>
        </w:rPr>
        <w:t xml:space="preserve"> tad</w:t>
      </w:r>
      <w:r w:rsidR="005C2D2C" w:rsidRPr="005C2D2C">
        <w:rPr>
          <w:sz w:val="28"/>
          <w:szCs w:val="28"/>
        </w:rPr>
        <w:t xml:space="preserve">, kad visas citas procedūras informācijas ieguvei no dalībvalsts </w:t>
      </w:r>
      <w:r w:rsidR="008B61E4">
        <w:rPr>
          <w:sz w:val="28"/>
          <w:szCs w:val="28"/>
        </w:rPr>
        <w:t xml:space="preserve">ir </w:t>
      </w:r>
      <w:r w:rsidR="005C2D2C" w:rsidRPr="005C2D2C">
        <w:rPr>
          <w:sz w:val="28"/>
          <w:szCs w:val="28"/>
        </w:rPr>
        <w:t>izsmeltas.</w:t>
      </w:r>
    </w:p>
    <w:p w:rsidR="005C2D2C" w:rsidRPr="005C2D2C" w:rsidRDefault="005C2D2C" w:rsidP="005C2D2C">
      <w:pPr>
        <w:jc w:val="both"/>
        <w:rPr>
          <w:color w:val="000000"/>
          <w:sz w:val="28"/>
          <w:szCs w:val="28"/>
        </w:rPr>
      </w:pPr>
      <w:r>
        <w:rPr>
          <w:b/>
          <w:color w:val="000000"/>
          <w:sz w:val="28"/>
          <w:szCs w:val="28"/>
        </w:rPr>
        <w:tab/>
      </w:r>
      <w:r w:rsidRPr="005C2D2C">
        <w:rPr>
          <w:b/>
          <w:color w:val="000000"/>
          <w:sz w:val="28"/>
          <w:szCs w:val="28"/>
        </w:rPr>
        <w:t>Latvija kopumā atbalsta</w:t>
      </w:r>
      <w:r w:rsidRPr="005C2D2C">
        <w:rPr>
          <w:color w:val="000000"/>
          <w:sz w:val="28"/>
          <w:szCs w:val="28"/>
        </w:rPr>
        <w:t xml:space="preserve"> valsts atbalsta modernizācijas procesu, kas tiek veikts ar mērķi </w:t>
      </w:r>
      <w:r w:rsidRPr="008E6DD3">
        <w:rPr>
          <w:b/>
          <w:color w:val="000000"/>
          <w:sz w:val="28"/>
          <w:szCs w:val="28"/>
        </w:rPr>
        <w:t>palielināt Eiropas izaugsmes potenciālu</w:t>
      </w:r>
      <w:r w:rsidRPr="005C2D2C">
        <w:rPr>
          <w:color w:val="000000"/>
          <w:sz w:val="28"/>
          <w:szCs w:val="28"/>
        </w:rPr>
        <w:t xml:space="preserve">, labāk koncentrējot valsts izdevumus un radot tādus apstākļus, lai </w:t>
      </w:r>
      <w:r w:rsidR="008B61E4">
        <w:rPr>
          <w:color w:val="000000"/>
          <w:sz w:val="28"/>
          <w:szCs w:val="28"/>
        </w:rPr>
        <w:t xml:space="preserve">notiktu </w:t>
      </w:r>
      <w:r w:rsidRPr="005C2D2C">
        <w:rPr>
          <w:color w:val="000000"/>
          <w:sz w:val="28"/>
          <w:szCs w:val="28"/>
        </w:rPr>
        <w:t xml:space="preserve">ekonomikas atkopšanās un lai tā būtu noturīga. </w:t>
      </w:r>
      <w:r w:rsidRPr="008E6DD3">
        <w:rPr>
          <w:b/>
          <w:color w:val="000000"/>
          <w:sz w:val="28"/>
          <w:szCs w:val="28"/>
        </w:rPr>
        <w:t>Latvija atbalsta</w:t>
      </w:r>
      <w:r w:rsidRPr="005C2D2C">
        <w:rPr>
          <w:color w:val="000000"/>
          <w:sz w:val="28"/>
          <w:szCs w:val="28"/>
        </w:rPr>
        <w:t xml:space="preserve">, ka valsts izdevumiem būtu jākļūst lietderīgākiem un efektīvākiem. Pašlaik valsts atbalsta paziņošanas procedūra ir laikietilpīga un atsevišķos gadījumos ir noderīgi izvērtēt </w:t>
      </w:r>
      <w:r w:rsidRPr="008E6DD3">
        <w:rPr>
          <w:b/>
          <w:color w:val="000000"/>
          <w:sz w:val="28"/>
          <w:szCs w:val="28"/>
        </w:rPr>
        <w:t>procedūras saīsināšanu</w:t>
      </w:r>
      <w:r w:rsidRPr="005C2D2C">
        <w:rPr>
          <w:color w:val="000000"/>
          <w:sz w:val="28"/>
          <w:szCs w:val="28"/>
        </w:rPr>
        <w:t xml:space="preserve"> (proti, gan ar piedāvātajiem grozījumiem procesuālajā regulā, gan ar grozījumiem pilnvarojošajā regulā). Latvijas </w:t>
      </w:r>
      <w:r w:rsidR="008B61E4">
        <w:rPr>
          <w:color w:val="000000"/>
          <w:sz w:val="28"/>
          <w:szCs w:val="28"/>
        </w:rPr>
        <w:t>uzskata</w:t>
      </w:r>
      <w:r w:rsidRPr="005C2D2C">
        <w:rPr>
          <w:color w:val="000000"/>
          <w:sz w:val="28"/>
          <w:szCs w:val="28"/>
        </w:rPr>
        <w:t xml:space="preserve">, ka ES regulējumam ir jābūt skaidram, viegli saprotamam un nepārprotamam. Papildus tam ir jāsasniedz noteiktais mērķis, neradot papildus administratīvo slogu uzņēmējiem, iedzīvotājiem un atbildīgajām iestādēm. </w:t>
      </w:r>
    </w:p>
    <w:p w:rsidR="005C2D2C" w:rsidRPr="0079483C" w:rsidRDefault="005C2D2C" w:rsidP="005C2D2C">
      <w:pPr>
        <w:jc w:val="both"/>
        <w:rPr>
          <w:color w:val="000000"/>
          <w:sz w:val="28"/>
          <w:szCs w:val="28"/>
        </w:rPr>
      </w:pPr>
      <w:r>
        <w:rPr>
          <w:color w:val="000000"/>
          <w:sz w:val="28"/>
          <w:szCs w:val="28"/>
        </w:rPr>
        <w:tab/>
      </w:r>
      <w:r w:rsidRPr="008E6DD3">
        <w:rPr>
          <w:b/>
          <w:color w:val="000000"/>
          <w:sz w:val="28"/>
          <w:szCs w:val="28"/>
        </w:rPr>
        <w:t>Latvija vēlas atkārtoti norādīt</w:t>
      </w:r>
      <w:r w:rsidRPr="005C2D2C">
        <w:rPr>
          <w:color w:val="000000"/>
          <w:sz w:val="28"/>
          <w:szCs w:val="28"/>
        </w:rPr>
        <w:t xml:space="preserve"> </w:t>
      </w:r>
      <w:r w:rsidR="008B61E4">
        <w:rPr>
          <w:color w:val="000000"/>
          <w:sz w:val="28"/>
          <w:szCs w:val="28"/>
        </w:rPr>
        <w:t>EK</w:t>
      </w:r>
      <w:r w:rsidRPr="005C2D2C">
        <w:rPr>
          <w:color w:val="000000"/>
          <w:sz w:val="28"/>
          <w:szCs w:val="28"/>
        </w:rPr>
        <w:t>, ka</w:t>
      </w:r>
      <w:r w:rsidR="008E6DD3">
        <w:rPr>
          <w:color w:val="000000"/>
          <w:sz w:val="28"/>
          <w:szCs w:val="28"/>
        </w:rPr>
        <w:t xml:space="preserve"> r</w:t>
      </w:r>
      <w:r w:rsidR="008E6DD3" w:rsidRPr="005C2D2C">
        <w:rPr>
          <w:color w:val="000000"/>
          <w:sz w:val="28"/>
          <w:szCs w:val="28"/>
        </w:rPr>
        <w:t>eģionālā valsts atbalsta regulējuma pārskatīšanas kontekstā</w:t>
      </w:r>
      <w:r w:rsidRPr="005C2D2C">
        <w:rPr>
          <w:color w:val="000000"/>
          <w:sz w:val="28"/>
          <w:szCs w:val="28"/>
        </w:rPr>
        <w:t xml:space="preserve"> </w:t>
      </w:r>
      <w:r w:rsidRPr="008E6DD3">
        <w:rPr>
          <w:b/>
          <w:color w:val="000000"/>
          <w:sz w:val="28"/>
          <w:szCs w:val="28"/>
        </w:rPr>
        <w:t>priekšlikums nav sabalansēts</w:t>
      </w:r>
      <w:r w:rsidRPr="005C2D2C">
        <w:rPr>
          <w:color w:val="000000"/>
          <w:sz w:val="28"/>
          <w:szCs w:val="28"/>
        </w:rPr>
        <w:t xml:space="preserve">, jo atbalsta intensitātes joprojām nav pietiekami harmonizētas. </w:t>
      </w:r>
      <w:r w:rsidRPr="008E6DD3">
        <w:rPr>
          <w:b/>
          <w:color w:val="000000"/>
          <w:sz w:val="28"/>
          <w:szCs w:val="28"/>
        </w:rPr>
        <w:t>Latvija nepiekrīt</w:t>
      </w:r>
      <w:r w:rsidRPr="005C2D2C">
        <w:rPr>
          <w:color w:val="000000"/>
          <w:sz w:val="28"/>
          <w:szCs w:val="28"/>
        </w:rPr>
        <w:t xml:space="preserve"> intensitāšu samazinājumam „a” reģionos un vēlas saglabāt esošos līmeņus. </w:t>
      </w:r>
    </w:p>
    <w:p w:rsidR="008227B5" w:rsidRPr="000D0931" w:rsidRDefault="008227B5" w:rsidP="00BD6689">
      <w:pPr>
        <w:ind w:firstLine="720"/>
        <w:jc w:val="both"/>
        <w:rPr>
          <w:sz w:val="28"/>
          <w:highlight w:val="yellow"/>
        </w:rPr>
      </w:pPr>
    </w:p>
    <w:p w:rsidR="00F25B38" w:rsidRPr="00DE07DD" w:rsidRDefault="003840A0" w:rsidP="006031F7">
      <w:pPr>
        <w:pBdr>
          <w:bottom w:val="single" w:sz="4" w:space="1" w:color="auto"/>
        </w:pBdr>
        <w:tabs>
          <w:tab w:val="left" w:pos="284"/>
        </w:tabs>
        <w:jc w:val="both"/>
        <w:rPr>
          <w:b/>
          <w:sz w:val="28"/>
          <w:szCs w:val="28"/>
        </w:rPr>
      </w:pPr>
      <w:r w:rsidRPr="00DE07DD">
        <w:rPr>
          <w:b/>
          <w:sz w:val="28"/>
          <w:szCs w:val="28"/>
        </w:rPr>
        <w:t>1.</w:t>
      </w:r>
      <w:r w:rsidR="000A4384" w:rsidRPr="00DE07DD">
        <w:rPr>
          <w:b/>
          <w:sz w:val="28"/>
          <w:szCs w:val="28"/>
        </w:rPr>
        <w:t>3</w:t>
      </w:r>
      <w:r w:rsidRPr="00DE07DD">
        <w:rPr>
          <w:b/>
          <w:sz w:val="28"/>
          <w:szCs w:val="28"/>
        </w:rPr>
        <w:t xml:space="preserve">. </w:t>
      </w:r>
      <w:r w:rsidR="004A5B6D" w:rsidRPr="004A5B6D">
        <w:rPr>
          <w:b/>
          <w:sz w:val="28"/>
          <w:szCs w:val="28"/>
        </w:rPr>
        <w:t xml:space="preserve">ES autortiesību modernizācija </w:t>
      </w:r>
      <w:r w:rsidR="00CA30F2">
        <w:rPr>
          <w:i/>
          <w:sz w:val="28"/>
          <w:szCs w:val="28"/>
        </w:rPr>
        <w:t>(</w:t>
      </w:r>
      <w:r w:rsidR="004A5B6D">
        <w:rPr>
          <w:i/>
          <w:sz w:val="28"/>
          <w:szCs w:val="28"/>
        </w:rPr>
        <w:t>KM</w:t>
      </w:r>
      <w:r w:rsidR="003A5335">
        <w:rPr>
          <w:i/>
          <w:sz w:val="28"/>
          <w:szCs w:val="28"/>
        </w:rPr>
        <w:t xml:space="preserve"> kompetence</w:t>
      </w:r>
      <w:r w:rsidR="004F0096" w:rsidRPr="00DE07DD">
        <w:rPr>
          <w:i/>
          <w:sz w:val="28"/>
          <w:szCs w:val="28"/>
        </w:rPr>
        <w:t>)</w:t>
      </w:r>
    </w:p>
    <w:p w:rsidR="00DE07DD" w:rsidRDefault="00DE07DD" w:rsidP="00DE07DD">
      <w:pPr>
        <w:tabs>
          <w:tab w:val="left" w:pos="9288"/>
        </w:tabs>
        <w:jc w:val="both"/>
        <w:rPr>
          <w:i/>
          <w:sz w:val="28"/>
          <w:szCs w:val="28"/>
        </w:rPr>
      </w:pPr>
      <w:r w:rsidRPr="00DE07DD">
        <w:rPr>
          <w:i/>
          <w:sz w:val="28"/>
          <w:szCs w:val="28"/>
        </w:rPr>
        <w:t>a)</w:t>
      </w:r>
      <w:r w:rsidR="004A5B6D" w:rsidRPr="004A5B6D">
        <w:t xml:space="preserve"> </w:t>
      </w:r>
      <w:r w:rsidR="004A5B6D" w:rsidRPr="004A5B6D">
        <w:rPr>
          <w:i/>
          <w:sz w:val="28"/>
          <w:szCs w:val="28"/>
        </w:rPr>
        <w:t>Komisijas paziņojums – Par saturu digitālajā vienotajā tirgū</w:t>
      </w:r>
    </w:p>
    <w:p w:rsidR="004A5B6D" w:rsidRPr="004A5B6D" w:rsidRDefault="004A5B6D" w:rsidP="004A5B6D">
      <w:pPr>
        <w:rPr>
          <w:i/>
          <w:sz w:val="28"/>
          <w:szCs w:val="28"/>
        </w:rPr>
      </w:pPr>
      <w:r>
        <w:rPr>
          <w:i/>
          <w:sz w:val="28"/>
          <w:szCs w:val="28"/>
        </w:rPr>
        <w:t xml:space="preserve">- </w:t>
      </w:r>
      <w:r w:rsidRPr="004A5B6D">
        <w:rPr>
          <w:i/>
          <w:sz w:val="28"/>
          <w:szCs w:val="28"/>
        </w:rPr>
        <w:t>Komisijas sniegts situācijas izklāsts</w:t>
      </w:r>
    </w:p>
    <w:p w:rsidR="00DE07DD" w:rsidRPr="00DE07DD" w:rsidRDefault="00DE07DD" w:rsidP="00DE07DD">
      <w:pPr>
        <w:tabs>
          <w:tab w:val="left" w:pos="9288"/>
        </w:tabs>
        <w:jc w:val="both"/>
        <w:rPr>
          <w:i/>
          <w:sz w:val="28"/>
          <w:szCs w:val="28"/>
        </w:rPr>
      </w:pPr>
      <w:r w:rsidRPr="00DE07DD">
        <w:rPr>
          <w:i/>
          <w:sz w:val="28"/>
          <w:szCs w:val="28"/>
        </w:rPr>
        <w:t>b)</w:t>
      </w:r>
      <w:r w:rsidR="004A5B6D" w:rsidRPr="004A5B6D">
        <w:t xml:space="preserve"> </w:t>
      </w:r>
      <w:r w:rsidR="004A5B6D" w:rsidRPr="004A5B6D">
        <w:rPr>
          <w:i/>
          <w:sz w:val="28"/>
          <w:szCs w:val="28"/>
        </w:rPr>
        <w:t xml:space="preserve">"Ieteikumi, kas sagatavoti pēc starpniecības procesa par privātās kopēšanas un </w:t>
      </w:r>
      <w:proofErr w:type="spellStart"/>
      <w:r w:rsidR="004A5B6D" w:rsidRPr="004A5B6D">
        <w:rPr>
          <w:i/>
          <w:sz w:val="28"/>
          <w:szCs w:val="28"/>
        </w:rPr>
        <w:t>reprogrāfijas</w:t>
      </w:r>
      <w:proofErr w:type="spellEnd"/>
      <w:r w:rsidR="004A5B6D" w:rsidRPr="004A5B6D">
        <w:rPr>
          <w:i/>
          <w:sz w:val="28"/>
          <w:szCs w:val="28"/>
        </w:rPr>
        <w:t xml:space="preserve"> nodevām" – </w:t>
      </w:r>
      <w:proofErr w:type="spellStart"/>
      <w:r w:rsidR="004A5B6D" w:rsidRPr="004A5B6D">
        <w:rPr>
          <w:i/>
          <w:sz w:val="28"/>
          <w:szCs w:val="28"/>
        </w:rPr>
        <w:t>António</w:t>
      </w:r>
      <w:proofErr w:type="spellEnd"/>
      <w:r w:rsidR="004A5B6D" w:rsidRPr="004A5B6D">
        <w:rPr>
          <w:i/>
          <w:sz w:val="28"/>
          <w:szCs w:val="28"/>
        </w:rPr>
        <w:t xml:space="preserve"> </w:t>
      </w:r>
      <w:proofErr w:type="spellStart"/>
      <w:r w:rsidR="004A5B6D" w:rsidRPr="004A5B6D">
        <w:rPr>
          <w:i/>
          <w:sz w:val="28"/>
          <w:szCs w:val="28"/>
        </w:rPr>
        <w:t>Vitorino</w:t>
      </w:r>
      <w:proofErr w:type="spellEnd"/>
      <w:r w:rsidR="004A5B6D" w:rsidRPr="004A5B6D">
        <w:rPr>
          <w:i/>
          <w:sz w:val="28"/>
          <w:szCs w:val="28"/>
        </w:rPr>
        <w:t xml:space="preserve"> kunga 2013. gada 31. janvāra ziņojums, kas adresēts komisāram </w:t>
      </w:r>
      <w:proofErr w:type="spellStart"/>
      <w:r w:rsidR="004A5B6D" w:rsidRPr="004A5B6D">
        <w:rPr>
          <w:i/>
          <w:sz w:val="28"/>
          <w:szCs w:val="28"/>
        </w:rPr>
        <w:t>Barnier</w:t>
      </w:r>
      <w:proofErr w:type="spellEnd"/>
    </w:p>
    <w:p w:rsidR="004A5B6D" w:rsidRPr="004A5B6D" w:rsidRDefault="004A5B6D" w:rsidP="004A5B6D">
      <w:pPr>
        <w:pStyle w:val="ListParagraph"/>
        <w:numPr>
          <w:ilvl w:val="0"/>
          <w:numId w:val="22"/>
        </w:numPr>
        <w:rPr>
          <w:i/>
          <w:sz w:val="28"/>
          <w:szCs w:val="28"/>
        </w:rPr>
      </w:pPr>
      <w:proofErr w:type="spellStart"/>
      <w:r w:rsidRPr="004A5B6D">
        <w:rPr>
          <w:i/>
          <w:sz w:val="28"/>
          <w:szCs w:val="28"/>
        </w:rPr>
        <w:t>Vitorino</w:t>
      </w:r>
      <w:proofErr w:type="spellEnd"/>
      <w:r w:rsidRPr="004A5B6D">
        <w:rPr>
          <w:i/>
          <w:sz w:val="28"/>
          <w:szCs w:val="28"/>
        </w:rPr>
        <w:t xml:space="preserve"> kunga sniegta informācija </w:t>
      </w:r>
    </w:p>
    <w:p w:rsidR="003840A0" w:rsidRPr="00DE07DD" w:rsidRDefault="004A5B6D" w:rsidP="00DE07DD">
      <w:pPr>
        <w:pStyle w:val="ListParagraph"/>
        <w:numPr>
          <w:ilvl w:val="0"/>
          <w:numId w:val="22"/>
        </w:numPr>
        <w:jc w:val="both"/>
        <w:rPr>
          <w:i/>
          <w:sz w:val="28"/>
          <w:szCs w:val="28"/>
        </w:rPr>
      </w:pPr>
      <w:r>
        <w:rPr>
          <w:i/>
          <w:sz w:val="28"/>
          <w:szCs w:val="28"/>
        </w:rPr>
        <w:t>v</w:t>
      </w:r>
      <w:r w:rsidR="00DE07DD" w:rsidRPr="00DE07DD">
        <w:rPr>
          <w:i/>
          <w:sz w:val="28"/>
          <w:szCs w:val="28"/>
        </w:rPr>
        <w:t>iedokļu apmaiņa</w:t>
      </w:r>
    </w:p>
    <w:p w:rsidR="00DE07DD" w:rsidRDefault="00DE07DD" w:rsidP="00CC0AAE">
      <w:pPr>
        <w:jc w:val="both"/>
        <w:rPr>
          <w:sz w:val="28"/>
          <w:szCs w:val="28"/>
          <w:highlight w:val="yellow"/>
        </w:rPr>
      </w:pPr>
    </w:p>
    <w:p w:rsidR="0075704F" w:rsidRPr="0075704F" w:rsidRDefault="0075704F" w:rsidP="0075704F">
      <w:pPr>
        <w:autoSpaceDE w:val="0"/>
        <w:autoSpaceDN w:val="0"/>
        <w:adjustRightInd w:val="0"/>
        <w:ind w:firstLine="720"/>
        <w:jc w:val="both"/>
        <w:rPr>
          <w:sz w:val="28"/>
        </w:rPr>
      </w:pPr>
      <w:r w:rsidRPr="0075704F">
        <w:rPr>
          <w:sz w:val="28"/>
        </w:rPr>
        <w:t xml:space="preserve">Privātās kopēšanas (nesēja) un </w:t>
      </w:r>
      <w:proofErr w:type="spellStart"/>
      <w:r w:rsidRPr="0075704F">
        <w:rPr>
          <w:sz w:val="28"/>
        </w:rPr>
        <w:t>reprogrāfiskās</w:t>
      </w:r>
      <w:proofErr w:type="spellEnd"/>
      <w:r w:rsidRPr="0075704F">
        <w:rPr>
          <w:sz w:val="28"/>
        </w:rPr>
        <w:t xml:space="preserve"> reproducēšanas atlīdzības sistēmu saskaņošana ar iekšējā tirgus pienācīgu darbību ir bijis aktuāls jautājums jau kopš </w:t>
      </w:r>
      <w:r>
        <w:rPr>
          <w:sz w:val="28"/>
        </w:rPr>
        <w:t>to</w:t>
      </w:r>
      <w:r w:rsidRPr="0075704F">
        <w:rPr>
          <w:sz w:val="28"/>
        </w:rPr>
        <w:t xml:space="preserve"> ieviešanas. Tas izraisījis diametrāli pretējus ieinteresēto pušu viedokļus, un visi iepriekšējie mēģinājumi risināt šo jautājumu ir bijuši neveiksmīgi.</w:t>
      </w:r>
    </w:p>
    <w:p w:rsidR="0075704F" w:rsidRPr="0075704F" w:rsidRDefault="0075704F" w:rsidP="0075704F">
      <w:pPr>
        <w:autoSpaceDE w:val="0"/>
        <w:autoSpaceDN w:val="0"/>
        <w:adjustRightInd w:val="0"/>
        <w:ind w:firstLine="720"/>
        <w:jc w:val="both"/>
        <w:rPr>
          <w:sz w:val="28"/>
        </w:rPr>
      </w:pPr>
      <w:r w:rsidRPr="0075704F">
        <w:rPr>
          <w:sz w:val="28"/>
        </w:rPr>
        <w:t xml:space="preserve">Pēc iekšējā tirgus un pakalpojumu komisāra </w:t>
      </w:r>
      <w:proofErr w:type="spellStart"/>
      <w:r w:rsidRPr="0075704F">
        <w:rPr>
          <w:i/>
          <w:sz w:val="28"/>
        </w:rPr>
        <w:t>Michel</w:t>
      </w:r>
      <w:proofErr w:type="spellEnd"/>
      <w:r w:rsidRPr="0075704F">
        <w:rPr>
          <w:i/>
          <w:sz w:val="28"/>
        </w:rPr>
        <w:t xml:space="preserve"> </w:t>
      </w:r>
      <w:proofErr w:type="spellStart"/>
      <w:r w:rsidRPr="0075704F">
        <w:rPr>
          <w:i/>
          <w:sz w:val="28"/>
        </w:rPr>
        <w:t>Barnier</w:t>
      </w:r>
      <w:proofErr w:type="spellEnd"/>
      <w:r w:rsidRPr="0075704F">
        <w:rPr>
          <w:sz w:val="28"/>
        </w:rPr>
        <w:t xml:space="preserve"> lūguma bijušais tieslietu un iekšlietu komisārs </w:t>
      </w:r>
      <w:r w:rsidRPr="0075704F">
        <w:rPr>
          <w:i/>
          <w:sz w:val="28"/>
        </w:rPr>
        <w:t xml:space="preserve">Antonio </w:t>
      </w:r>
      <w:proofErr w:type="spellStart"/>
      <w:r w:rsidRPr="0075704F">
        <w:rPr>
          <w:i/>
          <w:sz w:val="28"/>
        </w:rPr>
        <w:t>Vitorino</w:t>
      </w:r>
      <w:proofErr w:type="spellEnd"/>
      <w:r w:rsidRPr="0075704F">
        <w:rPr>
          <w:sz w:val="28"/>
        </w:rPr>
        <w:t xml:space="preserve"> 2012.gadā vadīja vidutāja procesu, kura ietvaros tika īstenots dialogs starp iesaistītajām pusēm un izstrādāti ieteikumi, kā atlīdzības sistēmas padarīt caurskatāmākas, saprotamākas un atbilstošākas mūsdienu digitālajai videi. Šie ieteikumi 2013.gada 31.janvārī tika iesniegti komisāram </w:t>
      </w:r>
      <w:proofErr w:type="spellStart"/>
      <w:r w:rsidRPr="0075704F">
        <w:rPr>
          <w:i/>
          <w:sz w:val="28"/>
        </w:rPr>
        <w:t>Barnier</w:t>
      </w:r>
      <w:proofErr w:type="spellEnd"/>
      <w:r w:rsidRPr="0075704F">
        <w:rPr>
          <w:sz w:val="28"/>
        </w:rPr>
        <w:t>, kurš ir norādījis, ka šos ieteikumus būtu vērts apspriest ar dalībvalstīm.</w:t>
      </w:r>
    </w:p>
    <w:p w:rsidR="008227B5" w:rsidRDefault="0075704F" w:rsidP="0075704F">
      <w:pPr>
        <w:autoSpaceDE w:val="0"/>
        <w:autoSpaceDN w:val="0"/>
        <w:adjustRightInd w:val="0"/>
        <w:ind w:firstLine="720"/>
        <w:jc w:val="both"/>
        <w:rPr>
          <w:sz w:val="28"/>
          <w:szCs w:val="28"/>
          <w:highlight w:val="yellow"/>
        </w:rPr>
      </w:pPr>
      <w:r w:rsidRPr="0075704F">
        <w:rPr>
          <w:sz w:val="28"/>
        </w:rPr>
        <w:t xml:space="preserve">Tāpēc </w:t>
      </w:r>
      <w:r w:rsidR="008B61E4">
        <w:rPr>
          <w:sz w:val="28"/>
        </w:rPr>
        <w:t xml:space="preserve">Prezidentūra </w:t>
      </w:r>
      <w:r w:rsidRPr="0075704F">
        <w:rPr>
          <w:sz w:val="28"/>
        </w:rPr>
        <w:t>ir ierosinājusi viedokļu apmaiņu par minētajiem ieteikumiem</w:t>
      </w:r>
      <w:r>
        <w:rPr>
          <w:sz w:val="28"/>
        </w:rPr>
        <w:t xml:space="preserve"> un diskusiju </w:t>
      </w:r>
      <w:r w:rsidR="008227B5" w:rsidRPr="008227B5">
        <w:rPr>
          <w:sz w:val="28"/>
          <w:szCs w:val="28"/>
        </w:rPr>
        <w:t xml:space="preserve">strukturēšanai sanāksmē ir sagatavojusi </w:t>
      </w:r>
      <w:r w:rsidR="008227B5">
        <w:rPr>
          <w:sz w:val="28"/>
          <w:szCs w:val="28"/>
        </w:rPr>
        <w:t xml:space="preserve">šādus </w:t>
      </w:r>
      <w:r w:rsidR="008227B5" w:rsidRPr="008227B5">
        <w:rPr>
          <w:sz w:val="28"/>
          <w:szCs w:val="28"/>
          <w:u w:val="single"/>
        </w:rPr>
        <w:t>diskusiju jautājumus</w:t>
      </w:r>
      <w:r w:rsidR="008227B5" w:rsidRPr="008227B5">
        <w:rPr>
          <w:sz w:val="28"/>
          <w:szCs w:val="28"/>
        </w:rPr>
        <w:t>:</w:t>
      </w:r>
    </w:p>
    <w:p w:rsidR="008227B5" w:rsidRDefault="008227B5" w:rsidP="00CC0AAE">
      <w:pPr>
        <w:jc w:val="both"/>
        <w:rPr>
          <w:sz w:val="28"/>
          <w:szCs w:val="28"/>
          <w:highlight w:val="yellow"/>
        </w:rPr>
      </w:pPr>
    </w:p>
    <w:p w:rsidR="00A57BEB" w:rsidRDefault="0075704F" w:rsidP="0075704F">
      <w:pPr>
        <w:pStyle w:val="ListParagraph"/>
        <w:numPr>
          <w:ilvl w:val="0"/>
          <w:numId w:val="30"/>
        </w:numPr>
        <w:jc w:val="both"/>
        <w:rPr>
          <w:b/>
          <w:i/>
          <w:sz w:val="28"/>
          <w:szCs w:val="28"/>
        </w:rPr>
      </w:pPr>
      <w:r w:rsidRPr="0075704F">
        <w:rPr>
          <w:b/>
          <w:i/>
          <w:sz w:val="28"/>
          <w:szCs w:val="28"/>
        </w:rPr>
        <w:t xml:space="preserve">Vai saistībā ar privātās kopēšanas un </w:t>
      </w:r>
      <w:proofErr w:type="spellStart"/>
      <w:r w:rsidRPr="0075704F">
        <w:rPr>
          <w:b/>
          <w:i/>
          <w:sz w:val="28"/>
          <w:szCs w:val="28"/>
        </w:rPr>
        <w:t>reprogrāfijas</w:t>
      </w:r>
      <w:proofErr w:type="spellEnd"/>
      <w:r w:rsidRPr="0075704F">
        <w:rPr>
          <w:b/>
          <w:i/>
          <w:sz w:val="28"/>
          <w:szCs w:val="28"/>
        </w:rPr>
        <w:t xml:space="preserve"> izņēmumu piemērošanu jūsu dalībvalstī pēdējā laikā ir bijusi vērojama kāda notikumu attīstība?</w:t>
      </w:r>
      <w:r w:rsidR="00A57BEB">
        <w:rPr>
          <w:b/>
          <w:i/>
          <w:sz w:val="28"/>
          <w:szCs w:val="28"/>
        </w:rPr>
        <w:t xml:space="preserve"> </w:t>
      </w:r>
    </w:p>
    <w:p w:rsidR="00395770" w:rsidRPr="002837CA" w:rsidRDefault="00395770" w:rsidP="005832F8">
      <w:pPr>
        <w:spacing w:before="120" w:after="120"/>
        <w:jc w:val="both"/>
        <w:rPr>
          <w:rFonts w:eastAsia="Calibri"/>
          <w:b/>
          <w:sz w:val="28"/>
          <w:szCs w:val="28"/>
          <w:u w:val="single"/>
          <w:lang w:eastAsia="en-US"/>
        </w:rPr>
      </w:pPr>
      <w:r w:rsidRPr="002837CA">
        <w:rPr>
          <w:rFonts w:eastAsia="Calibri"/>
          <w:b/>
          <w:sz w:val="28"/>
          <w:szCs w:val="28"/>
          <w:u w:val="single"/>
          <w:lang w:eastAsia="en-US"/>
        </w:rPr>
        <w:t xml:space="preserve">Latvijas </w:t>
      </w:r>
      <w:r w:rsidR="0075704F">
        <w:rPr>
          <w:rFonts w:eastAsia="Calibri"/>
          <w:b/>
          <w:sz w:val="28"/>
          <w:szCs w:val="28"/>
          <w:u w:val="single"/>
          <w:lang w:eastAsia="en-US"/>
        </w:rPr>
        <w:t>atbilde</w:t>
      </w:r>
      <w:r w:rsidRPr="002837CA">
        <w:rPr>
          <w:rFonts w:eastAsia="Calibri"/>
          <w:b/>
          <w:sz w:val="28"/>
          <w:szCs w:val="28"/>
          <w:u w:val="single"/>
          <w:lang w:eastAsia="en-US"/>
        </w:rPr>
        <w:t>:</w:t>
      </w:r>
    </w:p>
    <w:p w:rsidR="0075704F" w:rsidRPr="0075704F" w:rsidRDefault="00395770" w:rsidP="0075704F">
      <w:pPr>
        <w:jc w:val="both"/>
        <w:rPr>
          <w:noProof/>
          <w:sz w:val="28"/>
        </w:rPr>
      </w:pPr>
      <w:r>
        <w:rPr>
          <w:b/>
          <w:noProof/>
          <w:sz w:val="28"/>
        </w:rPr>
        <w:tab/>
      </w:r>
      <w:r w:rsidR="0075704F" w:rsidRPr="0075704F">
        <w:rPr>
          <w:noProof/>
          <w:sz w:val="28"/>
        </w:rPr>
        <w:t>Latvijā pagājušā gada novembrī stājās spēkā grozījumi Ministru kabineta noteikumos par nesēja atlīdzību. Šie grozījumi tika izstrādāti, ņemot vērā Satversmes tiesas spriedumu (pieņemts 2012.gada maijā), kas paredzēja pienākumu Ministru kabinetam pārvērtēt tukšo datu nesēju un kopēšanas iekārtu saraksta, par ko maksājama nesēja atlīdzība, atbilstību tehnoloģiju attīstības radītajām pārmaiņām.</w:t>
      </w:r>
    </w:p>
    <w:p w:rsidR="0075704F" w:rsidRPr="0075704F" w:rsidRDefault="0075704F" w:rsidP="0075704F">
      <w:pPr>
        <w:jc w:val="both"/>
        <w:rPr>
          <w:noProof/>
          <w:sz w:val="28"/>
        </w:rPr>
      </w:pPr>
      <w:r>
        <w:rPr>
          <w:noProof/>
          <w:sz w:val="28"/>
        </w:rPr>
        <w:tab/>
      </w:r>
      <w:r w:rsidRPr="0075704F">
        <w:rPr>
          <w:noProof/>
          <w:sz w:val="28"/>
        </w:rPr>
        <w:t>Grozījumu rezultātā nesēja atlīdzība nav jāmaksā par datu nesējiem un iekārtām, kas vairs netiek izmantotas kopēšanai privātai lietošanai (piemēram, audiokasetēm, videokasetēm, audiomagnetofoniem un videomagnetofoniem).</w:t>
      </w:r>
    </w:p>
    <w:p w:rsidR="00395770" w:rsidRPr="0075704F" w:rsidRDefault="0075704F" w:rsidP="0075704F">
      <w:pPr>
        <w:jc w:val="both"/>
        <w:rPr>
          <w:noProof/>
          <w:sz w:val="28"/>
        </w:rPr>
      </w:pPr>
      <w:r>
        <w:rPr>
          <w:noProof/>
          <w:sz w:val="28"/>
        </w:rPr>
        <w:tab/>
      </w:r>
      <w:r w:rsidRPr="0075704F">
        <w:rPr>
          <w:noProof/>
          <w:sz w:val="28"/>
        </w:rPr>
        <w:t>Vienlaikus saraksts ir papildināts, nesēja atlīdzību attiecinot uz USB zibatmiņām un personālajiem datoriem.</w:t>
      </w:r>
    </w:p>
    <w:p w:rsidR="00395770" w:rsidRPr="00395770" w:rsidRDefault="00395770" w:rsidP="00395770">
      <w:pPr>
        <w:jc w:val="both"/>
        <w:rPr>
          <w:sz w:val="28"/>
          <w:szCs w:val="28"/>
        </w:rPr>
      </w:pPr>
    </w:p>
    <w:p w:rsidR="00C608C5" w:rsidRPr="00A57BEB" w:rsidRDefault="0075704F" w:rsidP="0075704F">
      <w:pPr>
        <w:pStyle w:val="ListParagraph"/>
        <w:numPr>
          <w:ilvl w:val="0"/>
          <w:numId w:val="30"/>
        </w:numPr>
        <w:jc w:val="both"/>
        <w:rPr>
          <w:b/>
          <w:i/>
          <w:sz w:val="28"/>
          <w:szCs w:val="28"/>
        </w:rPr>
      </w:pPr>
      <w:r w:rsidRPr="0075704F">
        <w:rPr>
          <w:b/>
          <w:i/>
          <w:sz w:val="28"/>
          <w:szCs w:val="28"/>
        </w:rPr>
        <w:t>Vai ir nepieciešams precizēt privātās kopēšanas izņēmuma definīciju?</w:t>
      </w:r>
    </w:p>
    <w:p w:rsidR="00395770" w:rsidRPr="002837CA" w:rsidRDefault="00395770" w:rsidP="005832F8">
      <w:pPr>
        <w:spacing w:before="120" w:after="120"/>
        <w:jc w:val="both"/>
        <w:rPr>
          <w:rFonts w:eastAsia="Calibri"/>
          <w:b/>
          <w:sz w:val="28"/>
          <w:szCs w:val="28"/>
          <w:u w:val="single"/>
          <w:lang w:eastAsia="en-US"/>
        </w:rPr>
      </w:pPr>
      <w:r w:rsidRPr="002837CA">
        <w:rPr>
          <w:rFonts w:eastAsia="Calibri"/>
          <w:b/>
          <w:sz w:val="28"/>
          <w:szCs w:val="28"/>
          <w:u w:val="single"/>
          <w:lang w:eastAsia="en-US"/>
        </w:rPr>
        <w:t xml:space="preserve">Latvijas </w:t>
      </w:r>
      <w:r w:rsidR="0075704F">
        <w:rPr>
          <w:rFonts w:eastAsia="Calibri"/>
          <w:b/>
          <w:sz w:val="28"/>
          <w:szCs w:val="28"/>
          <w:u w:val="single"/>
          <w:lang w:eastAsia="en-US"/>
        </w:rPr>
        <w:t>nostāja</w:t>
      </w:r>
      <w:r w:rsidRPr="002837CA">
        <w:rPr>
          <w:rFonts w:eastAsia="Calibri"/>
          <w:b/>
          <w:sz w:val="28"/>
          <w:szCs w:val="28"/>
          <w:u w:val="single"/>
          <w:lang w:eastAsia="en-US"/>
        </w:rPr>
        <w:t>:</w:t>
      </w:r>
    </w:p>
    <w:p w:rsidR="0075704F" w:rsidRPr="0075704F" w:rsidRDefault="00861264" w:rsidP="0075704F">
      <w:pPr>
        <w:spacing w:before="75" w:after="75"/>
        <w:jc w:val="both"/>
        <w:rPr>
          <w:noProof/>
          <w:sz w:val="28"/>
        </w:rPr>
      </w:pPr>
      <w:r>
        <w:rPr>
          <w:b/>
          <w:noProof/>
          <w:sz w:val="28"/>
        </w:rPr>
        <w:tab/>
      </w:r>
      <w:r w:rsidR="0075704F" w:rsidRPr="0075704F">
        <w:rPr>
          <w:b/>
          <w:noProof/>
          <w:sz w:val="28"/>
        </w:rPr>
        <w:t>Latvija uzskata</w:t>
      </w:r>
      <w:r w:rsidR="0075704F" w:rsidRPr="0075704F">
        <w:rPr>
          <w:noProof/>
          <w:sz w:val="28"/>
        </w:rPr>
        <w:t xml:space="preserve">, ka nebūtu pieļaujama atlīdzības dubulta iekasēšana par iespēju kopēt ar autortiesībām aizsargātus darbus privātai lietošanai un var piekrist Vitorino kunga viedoklim, ka nesēja atlīdzība nebūtu jāmaksā gadījumos, kad lietotājs par iespēju kopēt jau samaksājis, iegādājoties attiecīgo autordarbu tiešsaistē vai samaksājot par tiešsaistes pakalpojumu. </w:t>
      </w:r>
    </w:p>
    <w:p w:rsidR="001118E5" w:rsidRPr="001118E5" w:rsidRDefault="0075704F" w:rsidP="0075704F">
      <w:pPr>
        <w:spacing w:before="75" w:after="75"/>
        <w:jc w:val="both"/>
        <w:rPr>
          <w:noProof/>
          <w:sz w:val="28"/>
        </w:rPr>
      </w:pPr>
      <w:r>
        <w:rPr>
          <w:noProof/>
          <w:sz w:val="28"/>
        </w:rPr>
        <w:tab/>
      </w:r>
      <w:r w:rsidRPr="0075704F">
        <w:rPr>
          <w:noProof/>
          <w:sz w:val="28"/>
        </w:rPr>
        <w:t xml:space="preserve">Līdz ar to </w:t>
      </w:r>
      <w:r w:rsidRPr="0075704F">
        <w:rPr>
          <w:b/>
          <w:noProof/>
          <w:sz w:val="28"/>
        </w:rPr>
        <w:t>Latvija atbalsta</w:t>
      </w:r>
      <w:r w:rsidRPr="0075704F">
        <w:rPr>
          <w:noProof/>
          <w:sz w:val="28"/>
        </w:rPr>
        <w:t xml:space="preserve"> ierosinājumu atbilstoši precizēt privātās kopēšanas izņēmuma definīciju.</w:t>
      </w:r>
    </w:p>
    <w:p w:rsidR="00943764" w:rsidRDefault="00943764" w:rsidP="00767B38">
      <w:pPr>
        <w:spacing w:before="75" w:after="75"/>
        <w:ind w:firstLine="709"/>
        <w:jc w:val="both"/>
        <w:rPr>
          <w:b/>
          <w:bCs/>
          <w:iCs/>
        </w:rPr>
      </w:pPr>
    </w:p>
    <w:p w:rsidR="0075704F" w:rsidRPr="00A57BEB" w:rsidRDefault="0075704F" w:rsidP="0075704F">
      <w:pPr>
        <w:pStyle w:val="ListParagraph"/>
        <w:numPr>
          <w:ilvl w:val="0"/>
          <w:numId w:val="30"/>
        </w:numPr>
        <w:jc w:val="both"/>
        <w:rPr>
          <w:b/>
          <w:i/>
          <w:sz w:val="28"/>
          <w:szCs w:val="28"/>
        </w:rPr>
      </w:pPr>
      <w:r w:rsidRPr="0075704F">
        <w:rPr>
          <w:b/>
          <w:i/>
          <w:sz w:val="28"/>
          <w:szCs w:val="28"/>
        </w:rPr>
        <w:t xml:space="preserve">Kādas darbības – nacionālā vai ES līmenī – varētu veikt, lai īstenotu </w:t>
      </w:r>
      <w:proofErr w:type="spellStart"/>
      <w:r w:rsidRPr="0075704F">
        <w:rPr>
          <w:b/>
          <w:i/>
          <w:sz w:val="28"/>
          <w:szCs w:val="28"/>
        </w:rPr>
        <w:t>Vitorino</w:t>
      </w:r>
      <w:proofErr w:type="spellEnd"/>
      <w:r w:rsidRPr="0075704F">
        <w:rPr>
          <w:b/>
          <w:i/>
          <w:sz w:val="28"/>
          <w:szCs w:val="28"/>
        </w:rPr>
        <w:t xml:space="preserve"> kunga ieteikumus ar mērķi risināt problēmas, kas izriet no attiecīgo atlīdzību sistēmu pašreizējās piemērošanas dalībvalstīs?</w:t>
      </w:r>
    </w:p>
    <w:p w:rsidR="0075704F" w:rsidRPr="002837CA" w:rsidRDefault="0075704F" w:rsidP="0075704F">
      <w:pPr>
        <w:spacing w:before="120" w:after="120"/>
        <w:jc w:val="both"/>
        <w:rPr>
          <w:rFonts w:eastAsia="Calibri"/>
          <w:b/>
          <w:sz w:val="28"/>
          <w:szCs w:val="28"/>
          <w:u w:val="single"/>
          <w:lang w:eastAsia="en-US"/>
        </w:rPr>
      </w:pPr>
      <w:r w:rsidRPr="002837CA">
        <w:rPr>
          <w:rFonts w:eastAsia="Calibri"/>
          <w:b/>
          <w:sz w:val="28"/>
          <w:szCs w:val="28"/>
          <w:u w:val="single"/>
          <w:lang w:eastAsia="en-US"/>
        </w:rPr>
        <w:t xml:space="preserve">Latvijas </w:t>
      </w:r>
      <w:r>
        <w:rPr>
          <w:rFonts w:eastAsia="Calibri"/>
          <w:b/>
          <w:sz w:val="28"/>
          <w:szCs w:val="28"/>
          <w:u w:val="single"/>
          <w:lang w:eastAsia="en-US"/>
        </w:rPr>
        <w:t>nostāja</w:t>
      </w:r>
      <w:r w:rsidRPr="002837CA">
        <w:rPr>
          <w:rFonts w:eastAsia="Calibri"/>
          <w:b/>
          <w:sz w:val="28"/>
          <w:szCs w:val="28"/>
          <w:u w:val="single"/>
          <w:lang w:eastAsia="en-US"/>
        </w:rPr>
        <w:t>:</w:t>
      </w:r>
    </w:p>
    <w:p w:rsidR="0075704F" w:rsidRPr="0075704F" w:rsidRDefault="0075704F" w:rsidP="0075704F">
      <w:pPr>
        <w:spacing w:before="75" w:after="75"/>
        <w:jc w:val="both"/>
        <w:rPr>
          <w:noProof/>
          <w:sz w:val="28"/>
        </w:rPr>
      </w:pPr>
      <w:r>
        <w:rPr>
          <w:b/>
          <w:noProof/>
          <w:sz w:val="28"/>
        </w:rPr>
        <w:tab/>
      </w:r>
      <w:r w:rsidRPr="0075704F">
        <w:rPr>
          <w:b/>
          <w:noProof/>
          <w:sz w:val="28"/>
        </w:rPr>
        <w:t>Latvija var atbalstīt</w:t>
      </w:r>
      <w:r w:rsidRPr="0075704F">
        <w:rPr>
          <w:noProof/>
          <w:sz w:val="28"/>
        </w:rPr>
        <w:t xml:space="preserve"> lielāko daļu </w:t>
      </w:r>
      <w:r w:rsidRPr="0075704F">
        <w:rPr>
          <w:i/>
          <w:noProof/>
          <w:sz w:val="28"/>
        </w:rPr>
        <w:t>Vitorino</w:t>
      </w:r>
      <w:r w:rsidRPr="0075704F">
        <w:rPr>
          <w:noProof/>
          <w:sz w:val="28"/>
        </w:rPr>
        <w:t xml:space="preserve"> kunga ieteikumu, it īpaši ierosinājumu harmonizēt ES līmenī autortiesību un blakustiesību īpašniekiem nodarītā „kaitējuma” jēdzienu un vienkāršot atlīdzību administrēšanas sistēmas.</w:t>
      </w:r>
    </w:p>
    <w:p w:rsidR="0075704F" w:rsidRPr="0075704F" w:rsidRDefault="0075704F" w:rsidP="0075704F">
      <w:pPr>
        <w:spacing w:before="75" w:after="75"/>
        <w:jc w:val="both"/>
        <w:rPr>
          <w:noProof/>
          <w:sz w:val="28"/>
        </w:rPr>
      </w:pPr>
      <w:r>
        <w:rPr>
          <w:noProof/>
          <w:sz w:val="28"/>
        </w:rPr>
        <w:tab/>
      </w:r>
      <w:r w:rsidRPr="0075704F">
        <w:rPr>
          <w:noProof/>
          <w:sz w:val="28"/>
        </w:rPr>
        <w:t xml:space="preserve">Vienlaikus </w:t>
      </w:r>
      <w:r w:rsidRPr="0075704F">
        <w:rPr>
          <w:b/>
          <w:noProof/>
          <w:sz w:val="28"/>
        </w:rPr>
        <w:t>Latvija uzskata</w:t>
      </w:r>
      <w:r w:rsidRPr="0075704F">
        <w:rPr>
          <w:noProof/>
          <w:sz w:val="28"/>
        </w:rPr>
        <w:t xml:space="preserve">, ka nepieciešama papildu izpēte un tiesisko un ekonomisko seku izvērtēšana attiecībā uz ierosinājumu atlīdzības maksāšanas pienākumu pārnest no importētājiem/ražotājiem uz mazumtirgotājiem. Tā kā šādu izmaiņu rezultātā būtiski palielināsies nesēja atlīdzības maksātāju skaits, pastāv risks, ka ievērojami pieaugs arī atlīdzības administrēšanas izmaksas un attiecīgi samazināsies tiesību īpašniekiem izmaksājamās atlīdzības apmērs. </w:t>
      </w:r>
    </w:p>
    <w:p w:rsidR="0075704F" w:rsidRPr="0075704F" w:rsidRDefault="0075704F" w:rsidP="0075704F">
      <w:pPr>
        <w:spacing w:before="75" w:after="75"/>
        <w:jc w:val="both"/>
        <w:rPr>
          <w:noProof/>
          <w:sz w:val="28"/>
        </w:rPr>
      </w:pPr>
      <w:r>
        <w:rPr>
          <w:noProof/>
          <w:sz w:val="28"/>
        </w:rPr>
        <w:tab/>
      </w:r>
      <w:r w:rsidRPr="0075704F">
        <w:rPr>
          <w:noProof/>
          <w:sz w:val="28"/>
        </w:rPr>
        <w:t xml:space="preserve">Tāpat jāvērtē, cik lielā mērā pienākums lietotāju informēšanai atspoguļot nesēja atlīdzības lielumu attiecībā uz katru konkrēto datu nesēju un kopēšanas iekārtu (norādot nesēja atlīdzību pie preces cenas), radīs papildu slogu šo nesēju un iekārtu izplatītājiem, tostarp mazumtirgotājiem. </w:t>
      </w:r>
    </w:p>
    <w:p w:rsidR="0075704F" w:rsidRDefault="0075704F" w:rsidP="00767B38">
      <w:pPr>
        <w:spacing w:before="75" w:after="75"/>
        <w:ind w:firstLine="709"/>
        <w:jc w:val="both"/>
        <w:rPr>
          <w:b/>
          <w:bCs/>
          <w:iCs/>
        </w:rPr>
      </w:pPr>
    </w:p>
    <w:p w:rsidR="004A5B6D" w:rsidRPr="00487328" w:rsidRDefault="004A5B6D" w:rsidP="004A5B6D">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Pr>
          <w:b/>
          <w:sz w:val="28"/>
          <w:szCs w:val="28"/>
        </w:rPr>
        <w:t>4</w:t>
      </w:r>
      <w:r w:rsidRPr="00227FFB">
        <w:rPr>
          <w:b/>
          <w:sz w:val="28"/>
          <w:szCs w:val="28"/>
        </w:rPr>
        <w:t xml:space="preserve">. </w:t>
      </w:r>
      <w:r w:rsidRPr="004A5B6D">
        <w:rPr>
          <w:b/>
          <w:sz w:val="28"/>
          <w:szCs w:val="28"/>
        </w:rPr>
        <w:t xml:space="preserve">Rūpniecības politika </w:t>
      </w:r>
      <w:r>
        <w:rPr>
          <w:i/>
          <w:sz w:val="28"/>
          <w:szCs w:val="28"/>
        </w:rPr>
        <w:t>(EM</w:t>
      </w:r>
      <w:r w:rsidRPr="004F0096">
        <w:rPr>
          <w:i/>
          <w:sz w:val="28"/>
          <w:szCs w:val="28"/>
        </w:rPr>
        <w:t xml:space="preserve"> kompetence)</w:t>
      </w:r>
    </w:p>
    <w:p w:rsidR="004A5B6D" w:rsidRPr="00227FFB" w:rsidRDefault="004A5B6D" w:rsidP="004A5B6D">
      <w:pPr>
        <w:tabs>
          <w:tab w:val="left" w:pos="284"/>
        </w:tabs>
        <w:jc w:val="both"/>
        <w:rPr>
          <w:i/>
          <w:sz w:val="28"/>
          <w:szCs w:val="28"/>
        </w:rPr>
      </w:pPr>
      <w:r>
        <w:rPr>
          <w:i/>
          <w:sz w:val="28"/>
          <w:szCs w:val="28"/>
        </w:rPr>
        <w:t xml:space="preserve">- </w:t>
      </w:r>
      <w:r w:rsidRPr="004A5B6D">
        <w:rPr>
          <w:i/>
          <w:sz w:val="28"/>
          <w:szCs w:val="28"/>
        </w:rPr>
        <w:t>Komisijas un prezidentvalsts sniegta mutiska informācija</w:t>
      </w:r>
    </w:p>
    <w:p w:rsidR="00185F79" w:rsidRPr="00C177D7" w:rsidRDefault="00185F79" w:rsidP="00C177D7">
      <w:pPr>
        <w:jc w:val="both"/>
        <w:rPr>
          <w:bCs/>
          <w:iCs/>
          <w:sz w:val="28"/>
        </w:rPr>
      </w:pPr>
    </w:p>
    <w:p w:rsidR="00C177D7" w:rsidRDefault="00C177D7" w:rsidP="00C177D7">
      <w:pPr>
        <w:jc w:val="both"/>
        <w:rPr>
          <w:bCs/>
          <w:iCs/>
          <w:sz w:val="28"/>
        </w:rPr>
      </w:pPr>
      <w:r>
        <w:rPr>
          <w:bCs/>
          <w:iCs/>
          <w:sz w:val="28"/>
        </w:rPr>
        <w:tab/>
      </w:r>
      <w:r w:rsidRPr="00C177D7">
        <w:rPr>
          <w:bCs/>
          <w:iCs/>
          <w:sz w:val="28"/>
        </w:rPr>
        <w:t xml:space="preserve">2012.gada 10.oktobrī </w:t>
      </w:r>
      <w:r>
        <w:rPr>
          <w:bCs/>
          <w:iCs/>
          <w:sz w:val="28"/>
        </w:rPr>
        <w:t xml:space="preserve">EK </w:t>
      </w:r>
      <w:r w:rsidRPr="00C177D7">
        <w:rPr>
          <w:bCs/>
          <w:iCs/>
          <w:sz w:val="28"/>
        </w:rPr>
        <w:t>publicē</w:t>
      </w:r>
      <w:r>
        <w:rPr>
          <w:bCs/>
          <w:iCs/>
          <w:sz w:val="28"/>
        </w:rPr>
        <w:t>ja</w:t>
      </w:r>
      <w:r w:rsidRPr="00C177D7">
        <w:rPr>
          <w:bCs/>
          <w:iCs/>
          <w:sz w:val="28"/>
        </w:rPr>
        <w:t xml:space="preserve"> paziņojumu „Spēcīgāka Eiropas rūpniecība izaugsmei un ekonomikas atveseļošanai: Atjaunināts paziņojums par rūpniecības politiku”</w:t>
      </w:r>
      <w:r w:rsidR="004C7C91">
        <w:rPr>
          <w:bCs/>
          <w:iCs/>
          <w:sz w:val="28"/>
        </w:rPr>
        <w:t>,</w:t>
      </w:r>
      <w:r w:rsidRPr="00C177D7">
        <w:rPr>
          <w:bCs/>
          <w:iCs/>
          <w:sz w:val="28"/>
        </w:rPr>
        <w:t xml:space="preserve"> </w:t>
      </w:r>
      <w:r>
        <w:rPr>
          <w:bCs/>
          <w:iCs/>
          <w:sz w:val="28"/>
        </w:rPr>
        <w:t xml:space="preserve">par ko </w:t>
      </w:r>
      <w:r w:rsidRPr="00C177D7">
        <w:rPr>
          <w:bCs/>
          <w:iCs/>
          <w:sz w:val="28"/>
        </w:rPr>
        <w:t xml:space="preserve">ES Padome </w:t>
      </w:r>
      <w:r>
        <w:rPr>
          <w:bCs/>
          <w:iCs/>
          <w:sz w:val="28"/>
        </w:rPr>
        <w:t>2012.gada 10.decembra</w:t>
      </w:r>
      <w:r w:rsidRPr="00C177D7">
        <w:rPr>
          <w:bCs/>
          <w:iCs/>
          <w:sz w:val="28"/>
        </w:rPr>
        <w:t xml:space="preserve"> </w:t>
      </w:r>
      <w:r>
        <w:rPr>
          <w:bCs/>
          <w:iCs/>
          <w:sz w:val="28"/>
        </w:rPr>
        <w:t>ES</w:t>
      </w:r>
      <w:r w:rsidRPr="00C177D7">
        <w:rPr>
          <w:bCs/>
          <w:iCs/>
          <w:sz w:val="28"/>
        </w:rPr>
        <w:t xml:space="preserve"> Konkurētspējas ministru padomes sanāksmē </w:t>
      </w:r>
      <w:r>
        <w:rPr>
          <w:bCs/>
          <w:iCs/>
          <w:sz w:val="28"/>
        </w:rPr>
        <w:t>apstiprināja padomes secinājumus, kuros</w:t>
      </w:r>
      <w:r w:rsidRPr="00C177D7">
        <w:rPr>
          <w:bCs/>
          <w:iCs/>
          <w:sz w:val="28"/>
        </w:rPr>
        <w:t xml:space="preserve"> </w:t>
      </w:r>
      <w:r>
        <w:rPr>
          <w:bCs/>
          <w:iCs/>
          <w:sz w:val="28"/>
        </w:rPr>
        <w:t>tika izvirzīti galvenie virzieni</w:t>
      </w:r>
      <w:r w:rsidRPr="00C177D7">
        <w:rPr>
          <w:bCs/>
          <w:iCs/>
          <w:sz w:val="28"/>
        </w:rPr>
        <w:t xml:space="preserve"> ES rūpniecības konkurētspējas un izaugsmes atjaunošanai.</w:t>
      </w:r>
    </w:p>
    <w:p w:rsidR="00C177D7" w:rsidRPr="00C177D7" w:rsidRDefault="00C177D7" w:rsidP="00C177D7">
      <w:pPr>
        <w:jc w:val="both"/>
        <w:rPr>
          <w:bCs/>
          <w:iCs/>
          <w:sz w:val="28"/>
        </w:rPr>
      </w:pPr>
      <w:r>
        <w:rPr>
          <w:bCs/>
          <w:iCs/>
          <w:sz w:val="28"/>
        </w:rPr>
        <w:tab/>
      </w:r>
      <w:r w:rsidRPr="00C177D7">
        <w:rPr>
          <w:bCs/>
          <w:iCs/>
          <w:sz w:val="28"/>
        </w:rPr>
        <w:t xml:space="preserve">Padome secinājumos </w:t>
      </w:r>
      <w:r>
        <w:rPr>
          <w:bCs/>
          <w:iCs/>
          <w:sz w:val="28"/>
        </w:rPr>
        <w:t>tika izvirzīti</w:t>
      </w:r>
      <w:r w:rsidRPr="00C177D7">
        <w:rPr>
          <w:bCs/>
          <w:iCs/>
          <w:sz w:val="28"/>
        </w:rPr>
        <w:t xml:space="preserve"> šād</w:t>
      </w:r>
      <w:r>
        <w:rPr>
          <w:bCs/>
          <w:iCs/>
          <w:sz w:val="28"/>
        </w:rPr>
        <w:t>i</w:t>
      </w:r>
      <w:r w:rsidRPr="00C177D7">
        <w:rPr>
          <w:bCs/>
          <w:iCs/>
          <w:sz w:val="28"/>
        </w:rPr>
        <w:t xml:space="preserve"> prioritār</w:t>
      </w:r>
      <w:r>
        <w:rPr>
          <w:bCs/>
          <w:iCs/>
          <w:sz w:val="28"/>
        </w:rPr>
        <w:t>ie virzieni</w:t>
      </w:r>
      <w:r w:rsidRPr="00C177D7">
        <w:rPr>
          <w:bCs/>
          <w:iCs/>
          <w:sz w:val="28"/>
        </w:rPr>
        <w:t xml:space="preserve">, kuros nepieciešams uzlabot Komisijas un dalībvalstu un citu ieinteresēto pušu centienus: </w:t>
      </w:r>
    </w:p>
    <w:p w:rsidR="00C177D7" w:rsidRPr="00C177D7" w:rsidRDefault="00C177D7" w:rsidP="00C177D7">
      <w:pPr>
        <w:pStyle w:val="ListParagraph"/>
        <w:numPr>
          <w:ilvl w:val="0"/>
          <w:numId w:val="41"/>
        </w:numPr>
        <w:jc w:val="both"/>
        <w:rPr>
          <w:bCs/>
          <w:iCs/>
          <w:sz w:val="28"/>
        </w:rPr>
      </w:pPr>
      <w:r w:rsidRPr="00C177D7">
        <w:rPr>
          <w:bCs/>
          <w:iCs/>
          <w:sz w:val="28"/>
        </w:rPr>
        <w:t xml:space="preserve">investīciju palielināšana jaunu tehnoloģiju ieviešanai tirgū un atbalsts visa veida inovācijai, </w:t>
      </w:r>
    </w:p>
    <w:p w:rsidR="00C177D7" w:rsidRPr="00C177D7" w:rsidRDefault="00C177D7" w:rsidP="00C177D7">
      <w:pPr>
        <w:pStyle w:val="ListParagraph"/>
        <w:numPr>
          <w:ilvl w:val="0"/>
          <w:numId w:val="41"/>
        </w:numPr>
        <w:jc w:val="both"/>
        <w:rPr>
          <w:bCs/>
          <w:iCs/>
          <w:sz w:val="28"/>
        </w:rPr>
      </w:pPr>
      <w:r w:rsidRPr="00C177D7">
        <w:rPr>
          <w:bCs/>
          <w:iCs/>
          <w:sz w:val="28"/>
        </w:rPr>
        <w:t xml:space="preserve">vienotā tirgus, tostarp vienotā enerģētikas tirgus tālāka stiprināšana, </w:t>
      </w:r>
    </w:p>
    <w:p w:rsidR="00C177D7" w:rsidRPr="00C177D7" w:rsidRDefault="00C177D7" w:rsidP="00C177D7">
      <w:pPr>
        <w:pStyle w:val="ListParagraph"/>
        <w:numPr>
          <w:ilvl w:val="0"/>
          <w:numId w:val="41"/>
        </w:numPr>
        <w:jc w:val="both"/>
        <w:rPr>
          <w:bCs/>
          <w:iCs/>
          <w:sz w:val="28"/>
        </w:rPr>
      </w:pPr>
      <w:r w:rsidRPr="00C177D7">
        <w:rPr>
          <w:bCs/>
          <w:iCs/>
          <w:sz w:val="28"/>
        </w:rPr>
        <w:t xml:space="preserve">administratīvā sloga mazināšana un konkurētspējas novērtēšana, </w:t>
      </w:r>
    </w:p>
    <w:p w:rsidR="00C177D7" w:rsidRPr="00C177D7" w:rsidRDefault="00C177D7" w:rsidP="00C177D7">
      <w:pPr>
        <w:pStyle w:val="ListParagraph"/>
        <w:numPr>
          <w:ilvl w:val="0"/>
          <w:numId w:val="41"/>
        </w:numPr>
        <w:jc w:val="both"/>
        <w:rPr>
          <w:bCs/>
          <w:iCs/>
          <w:sz w:val="28"/>
        </w:rPr>
      </w:pPr>
      <w:r w:rsidRPr="00C177D7">
        <w:rPr>
          <w:bCs/>
          <w:iCs/>
          <w:sz w:val="28"/>
        </w:rPr>
        <w:t xml:space="preserve">efektīva ES intelektuālā īpašuma tiesību sistēma, </w:t>
      </w:r>
    </w:p>
    <w:p w:rsidR="00C177D7" w:rsidRPr="00C177D7" w:rsidRDefault="00C177D7" w:rsidP="00C177D7">
      <w:pPr>
        <w:pStyle w:val="ListParagraph"/>
        <w:numPr>
          <w:ilvl w:val="0"/>
          <w:numId w:val="41"/>
        </w:numPr>
        <w:jc w:val="both"/>
        <w:rPr>
          <w:bCs/>
          <w:iCs/>
          <w:sz w:val="28"/>
        </w:rPr>
      </w:pPr>
      <w:r w:rsidRPr="00C177D7">
        <w:rPr>
          <w:bCs/>
          <w:iCs/>
          <w:sz w:val="28"/>
        </w:rPr>
        <w:t xml:space="preserve">ES uzņēmumu piekļuve finansējumam, </w:t>
      </w:r>
    </w:p>
    <w:p w:rsidR="00C177D7" w:rsidRPr="00C177D7" w:rsidRDefault="00C177D7" w:rsidP="00C177D7">
      <w:pPr>
        <w:pStyle w:val="ListParagraph"/>
        <w:numPr>
          <w:ilvl w:val="0"/>
          <w:numId w:val="41"/>
        </w:numPr>
        <w:jc w:val="both"/>
        <w:rPr>
          <w:bCs/>
          <w:iCs/>
          <w:sz w:val="28"/>
        </w:rPr>
      </w:pPr>
      <w:r w:rsidRPr="00C177D7">
        <w:rPr>
          <w:bCs/>
          <w:iCs/>
          <w:sz w:val="28"/>
        </w:rPr>
        <w:t xml:space="preserve">prasmju un cilvēka kapitāla attīstība, </w:t>
      </w:r>
    </w:p>
    <w:p w:rsidR="00C177D7" w:rsidRPr="00C177D7" w:rsidRDefault="00C177D7" w:rsidP="00C177D7">
      <w:pPr>
        <w:pStyle w:val="ListParagraph"/>
        <w:numPr>
          <w:ilvl w:val="0"/>
          <w:numId w:val="41"/>
        </w:numPr>
        <w:jc w:val="both"/>
        <w:rPr>
          <w:bCs/>
          <w:iCs/>
          <w:sz w:val="28"/>
        </w:rPr>
      </w:pPr>
      <w:r w:rsidRPr="00C177D7">
        <w:rPr>
          <w:bCs/>
          <w:iCs/>
          <w:sz w:val="28"/>
        </w:rPr>
        <w:t>saiknes veidošana starp saistītajām politikām.</w:t>
      </w:r>
    </w:p>
    <w:p w:rsidR="00C177D7" w:rsidRDefault="00C177D7" w:rsidP="004A5B6D">
      <w:pPr>
        <w:spacing w:before="75" w:after="75"/>
        <w:jc w:val="both"/>
        <w:rPr>
          <w:bCs/>
          <w:iCs/>
          <w:sz w:val="28"/>
        </w:rPr>
      </w:pPr>
      <w:r>
        <w:rPr>
          <w:bCs/>
          <w:iCs/>
          <w:sz w:val="28"/>
        </w:rPr>
        <w:tab/>
      </w:r>
      <w:r w:rsidRPr="00C177D7">
        <w:rPr>
          <w:bCs/>
          <w:iCs/>
          <w:sz w:val="28"/>
        </w:rPr>
        <w:t xml:space="preserve">Sanāksmē </w:t>
      </w:r>
      <w:r>
        <w:rPr>
          <w:bCs/>
          <w:iCs/>
          <w:sz w:val="28"/>
        </w:rPr>
        <w:t>ministru neformālajās pusdienās paredzētas diskusijas par progresu rūpniecības politikas īstenošan</w:t>
      </w:r>
      <w:r w:rsidR="006D0D2A">
        <w:rPr>
          <w:bCs/>
          <w:iCs/>
          <w:sz w:val="28"/>
        </w:rPr>
        <w:t>ā, bet formālajā daļā paredzēts</w:t>
      </w:r>
      <w:r>
        <w:rPr>
          <w:bCs/>
          <w:iCs/>
          <w:sz w:val="28"/>
        </w:rPr>
        <w:t xml:space="preserve"> prezidentvalsts ziņojums par diskusiju rezultātiem.</w:t>
      </w:r>
      <w:r w:rsidR="00B67FB5">
        <w:rPr>
          <w:bCs/>
          <w:iCs/>
          <w:sz w:val="28"/>
        </w:rPr>
        <w:t xml:space="preserve"> Diskusiju strukturēšanai prezidentvalsts ir izplatījusi darba dokumentu, kurā iekļauti sekojoši jautājumi:</w:t>
      </w:r>
    </w:p>
    <w:p w:rsidR="00813445" w:rsidRPr="0066198E" w:rsidRDefault="00B67FB5" w:rsidP="0066198E">
      <w:pPr>
        <w:pStyle w:val="ListParagraph"/>
        <w:numPr>
          <w:ilvl w:val="0"/>
          <w:numId w:val="43"/>
        </w:numPr>
        <w:spacing w:before="120" w:after="120"/>
        <w:ind w:left="357" w:hanging="357"/>
        <w:jc w:val="both"/>
        <w:rPr>
          <w:b/>
          <w:bCs/>
          <w:i/>
          <w:iCs/>
          <w:sz w:val="28"/>
        </w:rPr>
      </w:pPr>
      <w:r w:rsidRPr="0066198E">
        <w:rPr>
          <w:b/>
          <w:bCs/>
          <w:i/>
          <w:iCs/>
          <w:sz w:val="28"/>
        </w:rPr>
        <w:t>Galvenais ES izaicinājums ir panākt pārmaiņas Eiropas ražošanas konkurētspējā, kas aptver tādas jomas, kā finansējums (</w:t>
      </w:r>
      <w:proofErr w:type="spellStart"/>
      <w:r w:rsidRPr="0066198E">
        <w:rPr>
          <w:b/>
          <w:bCs/>
          <w:i/>
          <w:iCs/>
          <w:sz w:val="28"/>
        </w:rPr>
        <w:t>t.sk</w:t>
      </w:r>
      <w:proofErr w:type="spellEnd"/>
      <w:r w:rsidRPr="0066198E">
        <w:rPr>
          <w:b/>
          <w:bCs/>
          <w:i/>
          <w:iCs/>
          <w:sz w:val="28"/>
        </w:rPr>
        <w:t xml:space="preserve">. valsts atbalsts), tirdzniecība, enerģētika, klimata pārmaiņas, vide, infrastruktūra, pētniecība un attīstība, izglītība un apmācība </w:t>
      </w:r>
      <w:proofErr w:type="spellStart"/>
      <w:r w:rsidRPr="0066198E">
        <w:rPr>
          <w:b/>
          <w:bCs/>
          <w:i/>
          <w:iCs/>
          <w:sz w:val="28"/>
        </w:rPr>
        <w:t>u.c</w:t>
      </w:r>
      <w:proofErr w:type="spellEnd"/>
      <w:r w:rsidRPr="0066198E">
        <w:rPr>
          <w:b/>
          <w:bCs/>
          <w:i/>
          <w:iCs/>
          <w:sz w:val="28"/>
        </w:rPr>
        <w:t>. Vai ir pienācis laiks īstenot plaša mēroga iniciatīvu ES un dalībvalstu līmenī, lai pārbaudītu to galveno politikas jomu ietekmi uz konkurētspēju („</w:t>
      </w:r>
      <w:proofErr w:type="spellStart"/>
      <w:r w:rsidRPr="0066198E">
        <w:rPr>
          <w:b/>
          <w:bCs/>
          <w:i/>
          <w:iCs/>
          <w:sz w:val="28"/>
        </w:rPr>
        <w:t>competitiveness</w:t>
      </w:r>
      <w:proofErr w:type="spellEnd"/>
      <w:r w:rsidRPr="0066198E">
        <w:rPr>
          <w:b/>
          <w:bCs/>
          <w:i/>
          <w:iCs/>
          <w:sz w:val="28"/>
        </w:rPr>
        <w:t xml:space="preserve"> </w:t>
      </w:r>
      <w:proofErr w:type="spellStart"/>
      <w:r w:rsidRPr="0066198E">
        <w:rPr>
          <w:b/>
          <w:bCs/>
          <w:i/>
          <w:iCs/>
          <w:sz w:val="28"/>
        </w:rPr>
        <w:t>proof</w:t>
      </w:r>
      <w:proofErr w:type="spellEnd"/>
      <w:r w:rsidRPr="0066198E">
        <w:rPr>
          <w:b/>
          <w:bCs/>
          <w:i/>
          <w:iCs/>
          <w:sz w:val="28"/>
        </w:rPr>
        <w:t>”), kas ir būtiskas, lai attīstītu globāli konkurētspējīgu rūpniecības ekosistēmu? Kā mēs varam nodrošināt, ka Padomes lēmumi par mikroekonomikas politikas jautājumiem ir pietiekami efektīvi formulēti un virzīti uz mūsu konkurētspējas mērķu sasniegšanu?</w:t>
      </w:r>
    </w:p>
    <w:p w:rsidR="00B67FB5" w:rsidRDefault="00B67FB5" w:rsidP="00B67FB5">
      <w:pPr>
        <w:spacing w:before="75" w:after="75"/>
        <w:jc w:val="both"/>
        <w:rPr>
          <w:bCs/>
          <w:iCs/>
          <w:sz w:val="28"/>
        </w:rPr>
      </w:pPr>
      <w:r>
        <w:rPr>
          <w:bCs/>
          <w:iCs/>
          <w:sz w:val="28"/>
        </w:rPr>
        <w:tab/>
      </w:r>
      <w:r w:rsidRPr="00B67FB5">
        <w:rPr>
          <w:b/>
          <w:bCs/>
          <w:iCs/>
          <w:sz w:val="28"/>
        </w:rPr>
        <w:t>Latvija pozitīvi vērtē</w:t>
      </w:r>
      <w:r w:rsidRPr="00B67FB5">
        <w:rPr>
          <w:bCs/>
          <w:iCs/>
          <w:sz w:val="28"/>
        </w:rPr>
        <w:t xml:space="preserve"> rūpniecības konkurētspējas lomas stiprināšanu Eiropas Savienības līmenī, vienlaikus uzsver, ka ir </w:t>
      </w:r>
      <w:r w:rsidRPr="004A20A2">
        <w:rPr>
          <w:b/>
          <w:bCs/>
          <w:iCs/>
          <w:sz w:val="28"/>
        </w:rPr>
        <w:t>nepieciešams veidot plašu instrumentu un politikas iniciatīvu klāstu</w:t>
      </w:r>
      <w:r w:rsidRPr="00B67FB5">
        <w:rPr>
          <w:bCs/>
          <w:iCs/>
          <w:sz w:val="28"/>
        </w:rPr>
        <w:t xml:space="preserve">, jo īpaši ņemot vērā apstākli, ka konkurētspējas izaicinājumi ir atšķirīgi ne tikai Eiropas Savienības reģionu līmenī, bet arī dalībvalstu līmenī. Latvija uzskata, ka nozīmīga loma būtu </w:t>
      </w:r>
      <w:r w:rsidRPr="004A20A2">
        <w:rPr>
          <w:b/>
          <w:bCs/>
          <w:iCs/>
          <w:sz w:val="28"/>
        </w:rPr>
        <w:t>stiprināt reģionālās sadarbības iniciatīvas</w:t>
      </w:r>
      <w:r w:rsidR="004C7C91">
        <w:rPr>
          <w:bCs/>
          <w:iCs/>
          <w:sz w:val="28"/>
        </w:rPr>
        <w:t xml:space="preserve">, </w:t>
      </w:r>
      <w:r w:rsidRPr="00B67FB5">
        <w:rPr>
          <w:bCs/>
          <w:iCs/>
          <w:sz w:val="28"/>
        </w:rPr>
        <w:t xml:space="preserve">kā arī turpināt </w:t>
      </w:r>
      <w:r w:rsidRPr="004A20A2">
        <w:rPr>
          <w:b/>
          <w:bCs/>
          <w:iCs/>
          <w:sz w:val="28"/>
        </w:rPr>
        <w:t>stiprināt un attīstīt</w:t>
      </w:r>
      <w:r w:rsidRPr="00B67FB5">
        <w:rPr>
          <w:bCs/>
          <w:iCs/>
          <w:sz w:val="28"/>
        </w:rPr>
        <w:t xml:space="preserve"> </w:t>
      </w:r>
      <w:r w:rsidRPr="004A20A2">
        <w:rPr>
          <w:b/>
          <w:bCs/>
          <w:iCs/>
          <w:sz w:val="28"/>
        </w:rPr>
        <w:t>vienotā tirgus principus</w:t>
      </w:r>
      <w:r w:rsidRPr="00B67FB5">
        <w:rPr>
          <w:bCs/>
          <w:iCs/>
          <w:sz w:val="28"/>
        </w:rPr>
        <w:t>.</w:t>
      </w:r>
    </w:p>
    <w:p w:rsidR="00A87A3A" w:rsidRPr="00A87A3A" w:rsidRDefault="00A87A3A" w:rsidP="00A87A3A">
      <w:pPr>
        <w:spacing w:before="75" w:after="75"/>
        <w:jc w:val="both"/>
        <w:rPr>
          <w:bCs/>
          <w:iCs/>
          <w:sz w:val="28"/>
        </w:rPr>
      </w:pPr>
      <w:r>
        <w:rPr>
          <w:bCs/>
          <w:iCs/>
          <w:sz w:val="28"/>
        </w:rPr>
        <w:tab/>
      </w:r>
      <w:r w:rsidRPr="00A87A3A">
        <w:rPr>
          <w:bCs/>
          <w:iCs/>
          <w:sz w:val="28"/>
        </w:rPr>
        <w:t xml:space="preserve">Viens no būtiskiem uzņēmumu un arī valstu konkurētspējas noteicošiem faktoriem ir </w:t>
      </w:r>
      <w:r w:rsidRPr="00A87A3A">
        <w:rPr>
          <w:b/>
          <w:bCs/>
          <w:iCs/>
          <w:sz w:val="28"/>
        </w:rPr>
        <w:t>spēja būt inovatīviem</w:t>
      </w:r>
      <w:r w:rsidRPr="00A87A3A">
        <w:rPr>
          <w:bCs/>
          <w:iCs/>
          <w:sz w:val="28"/>
        </w:rPr>
        <w:t xml:space="preserve">, paredzēt un pielāgoties mainīgajiem globālās tirgus apstākļiem un atbilstoši būt ātrākiem par konkurentiem. Eiropas Savienība nevar nodrošināt savu uzņēmumu konkurētspēju ar zemām resursu izmaksām, tāpēc galvenais uzsvars ir jāliek uz </w:t>
      </w:r>
      <w:r w:rsidRPr="00A87A3A">
        <w:rPr>
          <w:b/>
          <w:bCs/>
          <w:iCs/>
          <w:sz w:val="28"/>
        </w:rPr>
        <w:t>inovācijas atbalstu</w:t>
      </w:r>
      <w:r w:rsidRPr="00A87A3A">
        <w:rPr>
          <w:bCs/>
          <w:iCs/>
          <w:sz w:val="28"/>
        </w:rPr>
        <w:t xml:space="preserve">, ietverot arī atbilstošu </w:t>
      </w:r>
      <w:r w:rsidRPr="00A87A3A">
        <w:rPr>
          <w:b/>
          <w:bCs/>
          <w:iCs/>
          <w:sz w:val="28"/>
        </w:rPr>
        <w:t>darbaspēka izglītību, inovatīvus risinājumus nepieciešamajiem finanšu instrumentiem</w:t>
      </w:r>
      <w:r w:rsidRPr="00A87A3A">
        <w:rPr>
          <w:bCs/>
          <w:iCs/>
          <w:sz w:val="28"/>
        </w:rPr>
        <w:t>.</w:t>
      </w:r>
    </w:p>
    <w:p w:rsidR="00A87A3A" w:rsidRDefault="00A87A3A" w:rsidP="00B67FB5">
      <w:pPr>
        <w:spacing w:before="75" w:after="75"/>
        <w:jc w:val="both"/>
        <w:rPr>
          <w:bCs/>
          <w:iCs/>
          <w:sz w:val="28"/>
        </w:rPr>
      </w:pPr>
      <w:r w:rsidRPr="00A87A3A">
        <w:rPr>
          <w:bCs/>
          <w:iCs/>
          <w:sz w:val="28"/>
        </w:rPr>
        <w:tab/>
        <w:t xml:space="preserve">Latvijā nupat valdība </w:t>
      </w:r>
      <w:r>
        <w:rPr>
          <w:bCs/>
          <w:iCs/>
          <w:sz w:val="28"/>
        </w:rPr>
        <w:t>ir atbalstījusi</w:t>
      </w:r>
      <w:r w:rsidRPr="00A87A3A">
        <w:rPr>
          <w:bCs/>
          <w:iCs/>
          <w:sz w:val="28"/>
        </w:rPr>
        <w:t xml:space="preserve"> </w:t>
      </w:r>
      <w:r w:rsidRPr="00A87A3A">
        <w:rPr>
          <w:b/>
          <w:bCs/>
          <w:iCs/>
          <w:sz w:val="28"/>
        </w:rPr>
        <w:t>Nacionālo industriālo politiku</w:t>
      </w:r>
      <w:r w:rsidRPr="00A87A3A">
        <w:rPr>
          <w:bCs/>
          <w:iCs/>
          <w:sz w:val="28"/>
        </w:rPr>
        <w:t xml:space="preserve">, kuras pamatā ir ne tikai tautsaimniecības novērtējums no makroekonomiskā viedokļa, bet arī plašas diskusijas ar uzņēmējiem un to pārstāvošajām organizācijām. Mūsuprāt šis </w:t>
      </w:r>
      <w:r w:rsidRPr="00A87A3A">
        <w:rPr>
          <w:b/>
          <w:bCs/>
          <w:iCs/>
          <w:sz w:val="28"/>
        </w:rPr>
        <w:t>dialogs ar uzņēmējiem</w:t>
      </w:r>
      <w:r w:rsidRPr="00A87A3A">
        <w:rPr>
          <w:bCs/>
          <w:iCs/>
          <w:sz w:val="28"/>
        </w:rPr>
        <w:t xml:space="preserve"> ir pamats nākotnes konkurētspējas nodrošināšanā un tas ir nepārtraukts process, kurā visiem spēlētājiem jābūt radošiem un elastīgiem attiecībā uz nepieciešamajām izmaiņām to darbībā.</w:t>
      </w:r>
    </w:p>
    <w:p w:rsidR="00A62015" w:rsidRPr="00A62015" w:rsidRDefault="00A87A3A" w:rsidP="00A87A3A">
      <w:pPr>
        <w:spacing w:before="75" w:after="75"/>
        <w:jc w:val="both"/>
        <w:rPr>
          <w:bCs/>
          <w:iCs/>
          <w:sz w:val="28"/>
        </w:rPr>
      </w:pPr>
      <w:r>
        <w:rPr>
          <w:bCs/>
          <w:iCs/>
          <w:sz w:val="28"/>
        </w:rPr>
        <w:tab/>
        <w:t xml:space="preserve">Konkurētspējas veicināšanai un darba vietu skaita palielināšanai svarīgi ir </w:t>
      </w:r>
      <w:r w:rsidRPr="00A87A3A">
        <w:rPr>
          <w:b/>
          <w:bCs/>
          <w:iCs/>
          <w:sz w:val="28"/>
        </w:rPr>
        <w:t>administratīvā sloga samazināšanas</w:t>
      </w:r>
      <w:r>
        <w:rPr>
          <w:bCs/>
          <w:iCs/>
          <w:sz w:val="28"/>
        </w:rPr>
        <w:t xml:space="preserve"> pasākumi, no kuriem </w:t>
      </w:r>
      <w:r w:rsidRPr="00A87A3A">
        <w:rPr>
          <w:b/>
          <w:bCs/>
          <w:iCs/>
          <w:sz w:val="28"/>
        </w:rPr>
        <w:t>Latvijas skatījumā būtiskākie</w:t>
      </w:r>
      <w:r>
        <w:rPr>
          <w:bCs/>
          <w:iCs/>
          <w:sz w:val="28"/>
        </w:rPr>
        <w:t xml:space="preserve"> ir</w:t>
      </w:r>
      <w:r w:rsidR="00A62015" w:rsidRPr="00A62015">
        <w:rPr>
          <w:bCs/>
          <w:iCs/>
          <w:sz w:val="28"/>
        </w:rPr>
        <w:t xml:space="preserve">: </w:t>
      </w:r>
    </w:p>
    <w:p w:rsidR="00A62015" w:rsidRDefault="00A62015" w:rsidP="00A62015">
      <w:pPr>
        <w:pStyle w:val="ListParagraph"/>
        <w:numPr>
          <w:ilvl w:val="0"/>
          <w:numId w:val="44"/>
        </w:numPr>
        <w:ind w:left="426" w:hanging="426"/>
        <w:jc w:val="both"/>
        <w:rPr>
          <w:bCs/>
          <w:iCs/>
          <w:sz w:val="28"/>
        </w:rPr>
      </w:pPr>
      <w:r w:rsidRPr="00E75342">
        <w:rPr>
          <w:b/>
          <w:bCs/>
          <w:iCs/>
          <w:sz w:val="28"/>
        </w:rPr>
        <w:t>pārliekas regulācijas novēršana</w:t>
      </w:r>
      <w:r w:rsidRPr="00A62015">
        <w:rPr>
          <w:bCs/>
          <w:iCs/>
          <w:sz w:val="28"/>
        </w:rPr>
        <w:t xml:space="preserve"> – ES pārņemto normatīvo aktu prasību pārbaude, novēršot iespējas neadekvāti striktu prasību pārņemšanai nacionālajā likumdošanā, maksimāli samazinot administratīvo slogu;</w:t>
      </w:r>
    </w:p>
    <w:p w:rsidR="00A62015" w:rsidRDefault="00A62015" w:rsidP="00A62015">
      <w:pPr>
        <w:pStyle w:val="ListParagraph"/>
        <w:numPr>
          <w:ilvl w:val="0"/>
          <w:numId w:val="44"/>
        </w:numPr>
        <w:ind w:left="426" w:hanging="426"/>
        <w:jc w:val="both"/>
        <w:rPr>
          <w:bCs/>
          <w:iCs/>
          <w:sz w:val="28"/>
        </w:rPr>
      </w:pPr>
      <w:r w:rsidRPr="00E75342">
        <w:rPr>
          <w:b/>
          <w:bCs/>
          <w:iCs/>
          <w:sz w:val="28"/>
        </w:rPr>
        <w:t>tiesību aktu</w:t>
      </w:r>
      <w:r w:rsidRPr="00A62015">
        <w:rPr>
          <w:bCs/>
          <w:iCs/>
          <w:sz w:val="28"/>
        </w:rPr>
        <w:t xml:space="preserve"> </w:t>
      </w:r>
      <w:r w:rsidRPr="00E75342">
        <w:rPr>
          <w:b/>
          <w:bCs/>
          <w:iCs/>
          <w:sz w:val="28"/>
        </w:rPr>
        <w:t>sākotnējās novērtēšanas mehānisma pilnveidošana</w:t>
      </w:r>
      <w:r w:rsidRPr="00A62015">
        <w:rPr>
          <w:bCs/>
          <w:iCs/>
          <w:sz w:val="28"/>
        </w:rPr>
        <w:t>, nodrošinot, ka uzņēmējiem radītais administratīvais slogs tiek pēc iespējas minimizēts. Tas sevī ietver gan sākotnējās izvērtēšanas procesa uzlabošanu (sākotnēju novērtējumu par informācijas sniegšanas pienākumu radītajām izmaksām uzņēmumiem), kā arī tiesību aktu izstrādē iesaistīto zināšanu un izpratnes līmeņa paaugstināšanu.</w:t>
      </w:r>
    </w:p>
    <w:p w:rsidR="00D6075A" w:rsidRPr="00D6075A" w:rsidRDefault="00D6075A" w:rsidP="00D6075A">
      <w:pPr>
        <w:jc w:val="both"/>
        <w:rPr>
          <w:bCs/>
          <w:iCs/>
          <w:sz w:val="28"/>
        </w:rPr>
      </w:pPr>
      <w:r>
        <w:rPr>
          <w:b/>
          <w:bCs/>
          <w:iCs/>
          <w:sz w:val="28"/>
        </w:rPr>
        <w:tab/>
      </w:r>
      <w:r w:rsidRPr="00A62015">
        <w:rPr>
          <w:b/>
          <w:bCs/>
          <w:iCs/>
          <w:sz w:val="28"/>
        </w:rPr>
        <w:t>Latvija atzinīgi vērtē</w:t>
      </w:r>
      <w:r w:rsidRPr="00A62015">
        <w:rPr>
          <w:bCs/>
          <w:iCs/>
          <w:sz w:val="28"/>
        </w:rPr>
        <w:t xml:space="preserve"> uzsākto Valsts atbalsta sistēmas modernizāciju, </w:t>
      </w:r>
      <w:r>
        <w:rPr>
          <w:bCs/>
          <w:iCs/>
          <w:sz w:val="28"/>
        </w:rPr>
        <w:t xml:space="preserve">un uzskata, ka </w:t>
      </w:r>
      <w:r w:rsidRPr="00E75342">
        <w:rPr>
          <w:b/>
          <w:bCs/>
          <w:iCs/>
          <w:sz w:val="28"/>
        </w:rPr>
        <w:t xml:space="preserve">valsts atbalsta sistēmai </w:t>
      </w:r>
      <w:r>
        <w:rPr>
          <w:b/>
          <w:bCs/>
          <w:iCs/>
          <w:sz w:val="28"/>
        </w:rPr>
        <w:t>jā</w:t>
      </w:r>
      <w:r w:rsidRPr="00E75342">
        <w:rPr>
          <w:b/>
          <w:bCs/>
          <w:iCs/>
          <w:sz w:val="28"/>
        </w:rPr>
        <w:t>būt caurspīdīgai, viegli saprotamai un vienādi attiecināmai uz visām iesaistītajām pusēm</w:t>
      </w:r>
      <w:r>
        <w:rPr>
          <w:bCs/>
          <w:iCs/>
          <w:sz w:val="28"/>
        </w:rPr>
        <w:t xml:space="preserve">. </w:t>
      </w:r>
      <w:r w:rsidRPr="00A62015">
        <w:rPr>
          <w:bCs/>
          <w:iCs/>
          <w:sz w:val="28"/>
        </w:rPr>
        <w:t xml:space="preserve">Ir svarīgi apzināties, ka Eiropas Savienības valstu uzņēmējiem ir grūti konkurēt globālajā tirgū ar to valstu uzņēmumiem, kuriem ir liels valsts atbalsts, kā piemēram, Amerikas un Ķīnas uzņēmumiem, tāpēc </w:t>
      </w:r>
      <w:r w:rsidRPr="00E75342">
        <w:rPr>
          <w:b/>
          <w:bCs/>
          <w:iCs/>
          <w:sz w:val="28"/>
        </w:rPr>
        <w:t>valsts atbalsta sistēmai Eiropas Savienībā ir jābūt konkurētspējīgai ar trešajām valstīm</w:t>
      </w:r>
      <w:r w:rsidRPr="00A62015">
        <w:rPr>
          <w:bCs/>
          <w:iCs/>
          <w:sz w:val="28"/>
        </w:rPr>
        <w:t>, īpaši tādās jomās kā inovācijas, izpēte un pieeja finansējumam.</w:t>
      </w:r>
      <w:r>
        <w:rPr>
          <w:bCs/>
          <w:iCs/>
          <w:sz w:val="28"/>
        </w:rPr>
        <w:t xml:space="preserve"> </w:t>
      </w:r>
      <w:r w:rsidRPr="00A62015">
        <w:rPr>
          <w:bCs/>
          <w:iCs/>
          <w:sz w:val="28"/>
        </w:rPr>
        <w:t>Tāpat</w:t>
      </w:r>
      <w:r w:rsidRPr="00A62015">
        <w:rPr>
          <w:b/>
          <w:bCs/>
          <w:iCs/>
          <w:sz w:val="28"/>
        </w:rPr>
        <w:t xml:space="preserve"> uzskatām</w:t>
      </w:r>
      <w:r w:rsidRPr="00A62015">
        <w:rPr>
          <w:bCs/>
          <w:iCs/>
          <w:sz w:val="28"/>
        </w:rPr>
        <w:t xml:space="preserve">, ka lai veicinātu vienlīdzīgu uzņēmumu attīstību, ir </w:t>
      </w:r>
      <w:r w:rsidRPr="00E75342">
        <w:rPr>
          <w:b/>
          <w:bCs/>
          <w:iCs/>
          <w:sz w:val="28"/>
        </w:rPr>
        <w:t>svarīgi nojaukt atlikušās pārrobežu tirdzniecības un investīcijas barjeras</w:t>
      </w:r>
      <w:r w:rsidRPr="00A62015">
        <w:rPr>
          <w:bCs/>
          <w:iCs/>
          <w:sz w:val="28"/>
        </w:rPr>
        <w:t>, pilnībā nodrošinot vienotā tirgus pilnvērtīgu funkcionēšanu Eiropas Savienībā.</w:t>
      </w:r>
    </w:p>
    <w:p w:rsidR="00B67FB5" w:rsidRDefault="00B67FB5" w:rsidP="00B67FB5">
      <w:pPr>
        <w:spacing w:before="75" w:after="75"/>
        <w:jc w:val="both"/>
        <w:rPr>
          <w:bCs/>
          <w:iCs/>
          <w:sz w:val="28"/>
        </w:rPr>
      </w:pPr>
    </w:p>
    <w:p w:rsidR="00813445" w:rsidRPr="0066198E" w:rsidRDefault="00B67FB5" w:rsidP="0066198E">
      <w:pPr>
        <w:pStyle w:val="ListParagraph"/>
        <w:numPr>
          <w:ilvl w:val="0"/>
          <w:numId w:val="43"/>
        </w:numPr>
        <w:spacing w:before="120" w:after="120"/>
        <w:ind w:left="357" w:hanging="357"/>
        <w:jc w:val="both"/>
        <w:rPr>
          <w:b/>
          <w:bCs/>
          <w:i/>
          <w:iCs/>
          <w:sz w:val="28"/>
        </w:rPr>
      </w:pPr>
      <w:r w:rsidRPr="0066198E">
        <w:rPr>
          <w:b/>
          <w:bCs/>
          <w:i/>
          <w:iCs/>
          <w:sz w:val="28"/>
        </w:rPr>
        <w:t>Kādi pasākumi ir jāveic, lai nodrošinātu, ka</w:t>
      </w:r>
      <w:r w:rsidR="001169E7" w:rsidRPr="0066198E">
        <w:rPr>
          <w:b/>
          <w:bCs/>
          <w:i/>
          <w:iCs/>
          <w:sz w:val="28"/>
        </w:rPr>
        <w:t xml:space="preserve"> tiek veicināta informācijas apmaiņa starp ES dalībvalstīm par</w:t>
      </w:r>
      <w:r w:rsidRPr="0066198E">
        <w:rPr>
          <w:b/>
          <w:bCs/>
          <w:i/>
          <w:iCs/>
          <w:sz w:val="28"/>
        </w:rPr>
        <w:t xml:space="preserve"> labāko p</w:t>
      </w:r>
      <w:r w:rsidR="001169E7" w:rsidRPr="0066198E">
        <w:rPr>
          <w:b/>
          <w:bCs/>
          <w:i/>
          <w:iCs/>
          <w:sz w:val="28"/>
        </w:rPr>
        <w:t>raksi produktivitātes uzlabošanā, un</w:t>
      </w:r>
      <w:r w:rsidR="004C7C91">
        <w:rPr>
          <w:b/>
          <w:bCs/>
          <w:i/>
          <w:iCs/>
          <w:sz w:val="28"/>
        </w:rPr>
        <w:t>,</w:t>
      </w:r>
      <w:r w:rsidR="001169E7" w:rsidRPr="0066198E">
        <w:rPr>
          <w:b/>
          <w:bCs/>
          <w:i/>
          <w:iCs/>
          <w:sz w:val="28"/>
        </w:rPr>
        <w:t xml:space="preserve"> lai vis</w:t>
      </w:r>
      <w:r w:rsidR="004C7C91">
        <w:rPr>
          <w:b/>
          <w:bCs/>
          <w:i/>
          <w:iCs/>
          <w:sz w:val="28"/>
        </w:rPr>
        <w:t>i uzņēmumi</w:t>
      </w:r>
      <w:r w:rsidRPr="0066198E">
        <w:rPr>
          <w:b/>
          <w:bCs/>
          <w:i/>
          <w:iCs/>
          <w:sz w:val="28"/>
        </w:rPr>
        <w:t xml:space="preserve">, neatkarīgi no </w:t>
      </w:r>
      <w:r w:rsidR="001169E7" w:rsidRPr="0066198E">
        <w:rPr>
          <w:b/>
          <w:bCs/>
          <w:i/>
          <w:iCs/>
          <w:sz w:val="28"/>
        </w:rPr>
        <w:t xml:space="preserve">to </w:t>
      </w:r>
      <w:r w:rsidRPr="0066198E">
        <w:rPr>
          <w:b/>
          <w:bCs/>
          <w:i/>
          <w:iCs/>
          <w:sz w:val="28"/>
        </w:rPr>
        <w:t>apjoma</w:t>
      </w:r>
      <w:r w:rsidR="001169E7" w:rsidRPr="0066198E">
        <w:rPr>
          <w:b/>
          <w:bCs/>
          <w:i/>
          <w:iCs/>
          <w:sz w:val="28"/>
        </w:rPr>
        <w:t>, tiktu</w:t>
      </w:r>
      <w:r w:rsidRPr="0066198E">
        <w:rPr>
          <w:b/>
          <w:bCs/>
          <w:i/>
          <w:iCs/>
          <w:sz w:val="28"/>
        </w:rPr>
        <w:t xml:space="preserve"> </w:t>
      </w:r>
      <w:r w:rsidR="001169E7" w:rsidRPr="0066198E">
        <w:rPr>
          <w:b/>
          <w:bCs/>
          <w:i/>
          <w:iCs/>
          <w:sz w:val="28"/>
        </w:rPr>
        <w:t>rosināti aktīvi spert soļus</w:t>
      </w:r>
      <w:r w:rsidRPr="0066198E">
        <w:rPr>
          <w:b/>
          <w:bCs/>
          <w:i/>
          <w:iCs/>
          <w:sz w:val="28"/>
        </w:rPr>
        <w:t xml:space="preserve"> </w:t>
      </w:r>
      <w:r w:rsidR="001169E7" w:rsidRPr="0066198E">
        <w:rPr>
          <w:b/>
          <w:bCs/>
          <w:i/>
          <w:iCs/>
          <w:sz w:val="28"/>
        </w:rPr>
        <w:t xml:space="preserve">savu </w:t>
      </w:r>
      <w:r w:rsidRPr="0066198E">
        <w:rPr>
          <w:b/>
          <w:bCs/>
          <w:i/>
          <w:iCs/>
          <w:sz w:val="28"/>
        </w:rPr>
        <w:t>spēju</w:t>
      </w:r>
      <w:r w:rsidR="004C7C91">
        <w:rPr>
          <w:b/>
          <w:bCs/>
          <w:i/>
          <w:iCs/>
          <w:sz w:val="28"/>
        </w:rPr>
        <w:t xml:space="preserve"> uzlabošanā,</w:t>
      </w:r>
      <w:r w:rsidR="001169E7" w:rsidRPr="0066198E">
        <w:rPr>
          <w:b/>
          <w:bCs/>
          <w:i/>
          <w:iCs/>
          <w:sz w:val="28"/>
        </w:rPr>
        <w:t xml:space="preserve"> tehnoloģiju pārņemšanā</w:t>
      </w:r>
      <w:r w:rsidRPr="0066198E">
        <w:rPr>
          <w:b/>
          <w:bCs/>
          <w:i/>
          <w:iCs/>
          <w:sz w:val="28"/>
        </w:rPr>
        <w:t xml:space="preserve">, </w:t>
      </w:r>
      <w:r w:rsidR="001169E7" w:rsidRPr="0066198E">
        <w:rPr>
          <w:b/>
          <w:bCs/>
          <w:i/>
          <w:iCs/>
          <w:sz w:val="28"/>
        </w:rPr>
        <w:t>ilgtspējīgas darbības</w:t>
      </w:r>
      <w:r w:rsidRPr="0066198E">
        <w:rPr>
          <w:b/>
          <w:bCs/>
          <w:i/>
          <w:iCs/>
          <w:sz w:val="28"/>
        </w:rPr>
        <w:t xml:space="preserve"> un enerģijas efektivitātes </w:t>
      </w:r>
      <w:r w:rsidR="001169E7" w:rsidRPr="0066198E">
        <w:rPr>
          <w:b/>
          <w:bCs/>
          <w:i/>
          <w:iCs/>
          <w:sz w:val="28"/>
        </w:rPr>
        <w:t>ieviešanā u.t.t.?</w:t>
      </w:r>
    </w:p>
    <w:p w:rsidR="001169E7" w:rsidRDefault="001169E7" w:rsidP="001169E7">
      <w:pPr>
        <w:spacing w:before="75" w:after="75"/>
        <w:jc w:val="both"/>
        <w:rPr>
          <w:bCs/>
          <w:iCs/>
          <w:sz w:val="28"/>
        </w:rPr>
      </w:pPr>
      <w:r>
        <w:rPr>
          <w:bCs/>
          <w:iCs/>
          <w:sz w:val="28"/>
        </w:rPr>
        <w:tab/>
      </w:r>
      <w:r w:rsidRPr="001169E7">
        <w:rPr>
          <w:b/>
          <w:bCs/>
          <w:iCs/>
          <w:sz w:val="28"/>
        </w:rPr>
        <w:t>Latvija atzinīgi vērtē</w:t>
      </w:r>
      <w:r w:rsidRPr="001169E7">
        <w:rPr>
          <w:bCs/>
          <w:iCs/>
          <w:sz w:val="28"/>
        </w:rPr>
        <w:t xml:space="preserve"> </w:t>
      </w:r>
      <w:r>
        <w:rPr>
          <w:bCs/>
          <w:iCs/>
          <w:sz w:val="28"/>
        </w:rPr>
        <w:t>prezidentvalsts</w:t>
      </w:r>
      <w:r w:rsidRPr="001169E7">
        <w:rPr>
          <w:bCs/>
          <w:iCs/>
          <w:sz w:val="28"/>
        </w:rPr>
        <w:t xml:space="preserve"> piedāvājumu par </w:t>
      </w:r>
      <w:r w:rsidRPr="004A20A2">
        <w:rPr>
          <w:b/>
          <w:bCs/>
          <w:iCs/>
          <w:sz w:val="28"/>
        </w:rPr>
        <w:t>labākās prakses pārņemšanu starp dalībvalstīm</w:t>
      </w:r>
      <w:r w:rsidRPr="001169E7">
        <w:rPr>
          <w:bCs/>
          <w:iCs/>
          <w:sz w:val="28"/>
        </w:rPr>
        <w:t>, taču uzskatām, ka ir svarīgi la</w:t>
      </w:r>
      <w:r w:rsidR="004A20A2">
        <w:rPr>
          <w:bCs/>
          <w:iCs/>
          <w:sz w:val="28"/>
        </w:rPr>
        <w:t>bākās prakses apmaiņas ietvaros</w:t>
      </w:r>
      <w:r w:rsidRPr="001169E7">
        <w:rPr>
          <w:bCs/>
          <w:iCs/>
          <w:sz w:val="28"/>
        </w:rPr>
        <w:t xml:space="preserve"> atspoguļot  sasniegto rezultātu, nepieciešamos ieguldījumus un gūto labumu, tādējādi ļaujot novērtēt risinājumu efektivitāti un pieredzes pārņemšanas iespējamību uz citiem ģeogrāfiskajiem un ekonomiskajiem reģioniem.</w:t>
      </w:r>
    </w:p>
    <w:p w:rsidR="00A62015" w:rsidRDefault="00D6075A" w:rsidP="00A62015">
      <w:pPr>
        <w:spacing w:before="75" w:after="75"/>
        <w:jc w:val="both"/>
        <w:rPr>
          <w:bCs/>
          <w:iCs/>
          <w:sz w:val="28"/>
        </w:rPr>
      </w:pPr>
      <w:r>
        <w:rPr>
          <w:bCs/>
          <w:iCs/>
          <w:sz w:val="28"/>
        </w:rPr>
        <w:tab/>
      </w:r>
      <w:r w:rsidRPr="00D6075A">
        <w:rPr>
          <w:b/>
          <w:bCs/>
          <w:iCs/>
          <w:sz w:val="28"/>
        </w:rPr>
        <w:t>Labās prakses piemēri</w:t>
      </w:r>
      <w:r w:rsidRPr="00D6075A">
        <w:rPr>
          <w:bCs/>
          <w:iCs/>
          <w:sz w:val="28"/>
        </w:rPr>
        <w:t xml:space="preserve"> var kalpot par būtisku ieguldījumu katras dalībvalsts konkurētspējas veicināšanā, tāpēc būtiski strādāt pie tā, lai šie piemēri būtu konkrēti, tādējādi visām ieinteresētajām personām sniegtu skaidru priekšstatu par ieviesto pasākumu raksturu, kas ļauj izvērtēt to tālāko iedzīvināšanu gan uzņēmumu līmenī, gan dalībvalstu un Eiropas mērogā. Lai panāktu šo prakšu plašāku izmantošanu ir jādomā par </w:t>
      </w:r>
      <w:r w:rsidRPr="00D6075A">
        <w:rPr>
          <w:b/>
          <w:bCs/>
          <w:iCs/>
          <w:sz w:val="28"/>
        </w:rPr>
        <w:t>vienotu informācijas resursu ar plašu atpazīstamību</w:t>
      </w:r>
      <w:r w:rsidRPr="00D6075A">
        <w:rPr>
          <w:bCs/>
          <w:iCs/>
          <w:sz w:val="28"/>
        </w:rPr>
        <w:t>, lai sasniegtu mērķa auditoriju.</w:t>
      </w:r>
    </w:p>
    <w:p w:rsidR="001F4412" w:rsidRDefault="001F4412" w:rsidP="001169E7">
      <w:pPr>
        <w:spacing w:before="75" w:after="75"/>
        <w:jc w:val="both"/>
        <w:rPr>
          <w:bCs/>
          <w:iCs/>
          <w:sz w:val="28"/>
        </w:rPr>
      </w:pPr>
    </w:p>
    <w:p w:rsidR="001F4412" w:rsidRPr="0066198E" w:rsidRDefault="001F4412" w:rsidP="0066198E">
      <w:pPr>
        <w:pStyle w:val="ListParagraph"/>
        <w:numPr>
          <w:ilvl w:val="0"/>
          <w:numId w:val="43"/>
        </w:numPr>
        <w:spacing w:before="120" w:after="120"/>
        <w:ind w:left="357" w:hanging="357"/>
        <w:jc w:val="both"/>
        <w:rPr>
          <w:b/>
          <w:bCs/>
          <w:i/>
          <w:iCs/>
          <w:sz w:val="28"/>
        </w:rPr>
      </w:pPr>
      <w:r w:rsidRPr="0066198E">
        <w:rPr>
          <w:b/>
          <w:bCs/>
          <w:i/>
          <w:iCs/>
          <w:sz w:val="28"/>
        </w:rPr>
        <w:t>Eiropas stratēģija par svarīgām pamattehnoloģijām ir būtisks solis uz priekšu, lai nodrošinātu, ka Eiropa ieņem pasaulē vadošās pozīcijas nākamās paaudzes ražošanā. Kādi papildu pasākumi būtu jāveic, lai palielinātu nozares iesaisti (īpaši MVU), un lai nodrošinātu, ka Eiropas rūpniecība galu galā gūst labumu no tehnoloģisko sasniegumu izmantošanas un pētniecisko rezultātu pārnešanas tirgojamās precēs un pakalpojumos globālajos tirgos?</w:t>
      </w:r>
    </w:p>
    <w:p w:rsidR="001F4412" w:rsidRPr="001F4412" w:rsidRDefault="001F4412" w:rsidP="001F4412">
      <w:pPr>
        <w:spacing w:before="75" w:after="75"/>
        <w:jc w:val="both"/>
        <w:rPr>
          <w:bCs/>
          <w:iCs/>
          <w:sz w:val="28"/>
        </w:rPr>
      </w:pPr>
      <w:r>
        <w:rPr>
          <w:bCs/>
          <w:iCs/>
          <w:sz w:val="28"/>
        </w:rPr>
        <w:tab/>
      </w:r>
      <w:r w:rsidRPr="001F4412">
        <w:rPr>
          <w:b/>
          <w:bCs/>
          <w:iCs/>
          <w:sz w:val="28"/>
        </w:rPr>
        <w:t>Latvija pozitīvi vērtē</w:t>
      </w:r>
      <w:r w:rsidRPr="001F4412">
        <w:rPr>
          <w:bCs/>
          <w:iCs/>
          <w:sz w:val="28"/>
        </w:rPr>
        <w:t xml:space="preserve"> </w:t>
      </w:r>
      <w:r>
        <w:rPr>
          <w:bCs/>
          <w:iCs/>
          <w:sz w:val="28"/>
        </w:rPr>
        <w:t xml:space="preserve"> svarīgo pamattehnoloģiju (turpmāk –</w:t>
      </w:r>
      <w:r w:rsidRPr="001F4412">
        <w:rPr>
          <w:bCs/>
          <w:iCs/>
          <w:sz w:val="28"/>
        </w:rPr>
        <w:t xml:space="preserve"> KET</w:t>
      </w:r>
      <w:r>
        <w:rPr>
          <w:bCs/>
          <w:iCs/>
          <w:sz w:val="28"/>
        </w:rPr>
        <w:t>)</w:t>
      </w:r>
      <w:r w:rsidRPr="001F4412">
        <w:rPr>
          <w:bCs/>
          <w:iCs/>
          <w:sz w:val="28"/>
        </w:rPr>
        <w:t xml:space="preserve"> definēšanas stratēģiju Eiropā. Piekrītam, ka </w:t>
      </w:r>
      <w:r w:rsidRPr="004A20A2">
        <w:rPr>
          <w:b/>
          <w:bCs/>
          <w:iCs/>
          <w:sz w:val="28"/>
        </w:rPr>
        <w:t>KET var būt nozīmīgs inovācijas avots</w:t>
      </w:r>
      <w:r w:rsidRPr="001F4412">
        <w:rPr>
          <w:bCs/>
          <w:iCs/>
          <w:sz w:val="28"/>
        </w:rPr>
        <w:t xml:space="preserve">, jo īpaši ņemot vērā KET sniegto efektu uz produktu, tehnoloģiju vai pakalpojumu attīstību citās nozarēs. Lai industrija gūtu labumu no KET ietvaros veiktā pētniecības darba, ir nepieciešama tālāka darbība, lai </w:t>
      </w:r>
      <w:r w:rsidRPr="004A20A2">
        <w:rPr>
          <w:b/>
          <w:bCs/>
          <w:iCs/>
          <w:sz w:val="28"/>
        </w:rPr>
        <w:t>veicinātu tehnoloģiju pārnesi un zinātnes un industrijas sadarbību</w:t>
      </w:r>
      <w:r w:rsidRPr="001F4412">
        <w:rPr>
          <w:bCs/>
          <w:iCs/>
          <w:sz w:val="28"/>
        </w:rPr>
        <w:t>. Lai mazinātu plaisu starp industriju un zinātni</w:t>
      </w:r>
      <w:r w:rsidR="004C7C91">
        <w:rPr>
          <w:bCs/>
          <w:iCs/>
          <w:sz w:val="28"/>
        </w:rPr>
        <w:t>,</w:t>
      </w:r>
      <w:r w:rsidRPr="001F4412">
        <w:rPr>
          <w:bCs/>
          <w:iCs/>
          <w:sz w:val="28"/>
        </w:rPr>
        <w:t xml:space="preserve"> ir </w:t>
      </w:r>
      <w:r w:rsidRPr="004A20A2">
        <w:rPr>
          <w:b/>
          <w:bCs/>
          <w:iCs/>
          <w:sz w:val="28"/>
        </w:rPr>
        <w:t>nepieciešams finansējums visiem inovācijas procesa posmiem</w:t>
      </w:r>
      <w:r w:rsidRPr="001F4412">
        <w:rPr>
          <w:bCs/>
          <w:iCs/>
          <w:sz w:val="28"/>
        </w:rPr>
        <w:t xml:space="preserve">. Papildus </w:t>
      </w:r>
      <w:r w:rsidRPr="001F4412">
        <w:rPr>
          <w:b/>
          <w:bCs/>
          <w:iCs/>
          <w:sz w:val="28"/>
        </w:rPr>
        <w:t>Latvija uzsver</w:t>
      </w:r>
      <w:r w:rsidRPr="001F4412">
        <w:rPr>
          <w:bCs/>
          <w:iCs/>
          <w:sz w:val="28"/>
        </w:rPr>
        <w:t xml:space="preserve">, ka rūpniecības lomas stiprināšanai </w:t>
      </w:r>
      <w:r w:rsidRPr="004A20A2">
        <w:rPr>
          <w:b/>
          <w:bCs/>
          <w:iCs/>
          <w:sz w:val="28"/>
        </w:rPr>
        <w:t>svarīgs ir gudra, izglītota un prasmīga darba spēka jautājums</w:t>
      </w:r>
      <w:r w:rsidRPr="001F4412">
        <w:rPr>
          <w:bCs/>
          <w:iCs/>
          <w:sz w:val="28"/>
        </w:rPr>
        <w:t>, kas spēj nodrošināt tehnoloģiju pārņemšanu un izmantošanu efektīvākajā veidā.</w:t>
      </w:r>
    </w:p>
    <w:p w:rsidR="00813445" w:rsidRDefault="00813445" w:rsidP="00813445">
      <w:pPr>
        <w:jc w:val="both"/>
        <w:rPr>
          <w:b/>
          <w:bCs/>
        </w:rPr>
      </w:pPr>
    </w:p>
    <w:p w:rsidR="004A5B6D" w:rsidRPr="00487328" w:rsidRDefault="004A5B6D" w:rsidP="004A5B6D">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Pr>
          <w:b/>
          <w:sz w:val="28"/>
          <w:szCs w:val="28"/>
        </w:rPr>
        <w:t>5</w:t>
      </w:r>
      <w:r w:rsidRPr="00227FFB">
        <w:rPr>
          <w:b/>
          <w:sz w:val="28"/>
          <w:szCs w:val="28"/>
        </w:rPr>
        <w:t xml:space="preserve">. </w:t>
      </w:r>
      <w:r w:rsidRPr="004A5B6D">
        <w:rPr>
          <w:b/>
          <w:sz w:val="28"/>
          <w:szCs w:val="28"/>
        </w:rPr>
        <w:t xml:space="preserve">Vienotā tirgus akts I + II </w:t>
      </w:r>
      <w:r>
        <w:rPr>
          <w:i/>
          <w:sz w:val="28"/>
          <w:szCs w:val="28"/>
        </w:rPr>
        <w:t>(EM</w:t>
      </w:r>
      <w:r w:rsidRPr="004F0096">
        <w:rPr>
          <w:i/>
          <w:sz w:val="28"/>
          <w:szCs w:val="28"/>
        </w:rPr>
        <w:t xml:space="preserve"> kompetence)</w:t>
      </w:r>
      <w:r w:rsidR="00E110BE">
        <w:rPr>
          <w:rStyle w:val="FootnoteReference"/>
          <w:i/>
          <w:sz w:val="28"/>
          <w:szCs w:val="28"/>
        </w:rPr>
        <w:footnoteReference w:id="3"/>
      </w:r>
    </w:p>
    <w:p w:rsidR="004A5B6D" w:rsidRPr="00227FFB" w:rsidRDefault="004A5B6D" w:rsidP="004A5B6D">
      <w:pPr>
        <w:tabs>
          <w:tab w:val="left" w:pos="284"/>
        </w:tabs>
        <w:jc w:val="both"/>
        <w:rPr>
          <w:i/>
          <w:sz w:val="28"/>
          <w:szCs w:val="28"/>
        </w:rPr>
      </w:pPr>
      <w:r>
        <w:rPr>
          <w:i/>
          <w:sz w:val="28"/>
          <w:szCs w:val="28"/>
        </w:rPr>
        <w:t xml:space="preserve">- </w:t>
      </w:r>
      <w:r w:rsidRPr="004A5B6D">
        <w:rPr>
          <w:i/>
          <w:sz w:val="28"/>
          <w:szCs w:val="28"/>
        </w:rPr>
        <w:t>pašreizējais stāvoklis</w:t>
      </w:r>
    </w:p>
    <w:p w:rsidR="004A5B6D" w:rsidRPr="00130680" w:rsidRDefault="004A5B6D" w:rsidP="00130680">
      <w:pPr>
        <w:jc w:val="both"/>
        <w:rPr>
          <w:bCs/>
          <w:iCs/>
          <w:sz w:val="28"/>
          <w:szCs w:val="28"/>
        </w:rPr>
      </w:pPr>
    </w:p>
    <w:p w:rsidR="00FD1332" w:rsidRPr="00130680" w:rsidRDefault="00130680" w:rsidP="00130680">
      <w:pPr>
        <w:jc w:val="both"/>
        <w:rPr>
          <w:bCs/>
          <w:iCs/>
          <w:sz w:val="28"/>
          <w:szCs w:val="28"/>
        </w:rPr>
      </w:pPr>
      <w:r>
        <w:rPr>
          <w:bCs/>
          <w:iCs/>
          <w:sz w:val="28"/>
          <w:szCs w:val="28"/>
        </w:rPr>
        <w:tab/>
      </w:r>
      <w:r w:rsidRPr="00130680">
        <w:rPr>
          <w:bCs/>
          <w:iCs/>
          <w:sz w:val="28"/>
          <w:szCs w:val="28"/>
        </w:rPr>
        <w:t>Sanāksmē paredzēts sniegt informāciju par pašreizējo stāvokli Vienotā tirgus akta pasākumu izstrādē un apstiprināšanā. 2010.gada 27.oktobrī Komisija pieņēma paziņojumu Ceļā uz Vienotā tirgus aktu, nosaucot 50 prioritārus pasākumus, kam sekoja Eiropas līmeņa s</w:t>
      </w:r>
      <w:r w:rsidR="004C7C91">
        <w:rPr>
          <w:bCs/>
          <w:iCs/>
          <w:sz w:val="28"/>
          <w:szCs w:val="28"/>
        </w:rPr>
        <w:t>abiedriskā apspriešana. Pēc tās</w:t>
      </w:r>
      <w:r w:rsidRPr="00130680">
        <w:rPr>
          <w:bCs/>
          <w:iCs/>
          <w:sz w:val="28"/>
          <w:szCs w:val="28"/>
        </w:rPr>
        <w:t xml:space="preserve"> 2011.gada 13.aprīlī Komisija pieņēma galējo </w:t>
      </w:r>
      <w:r w:rsidRPr="00130680">
        <w:rPr>
          <w:b/>
          <w:bCs/>
          <w:iCs/>
          <w:sz w:val="28"/>
          <w:szCs w:val="28"/>
        </w:rPr>
        <w:t>Vienotā tirgus aktu</w:t>
      </w:r>
      <w:r w:rsidRPr="00130680">
        <w:rPr>
          <w:bCs/>
          <w:iCs/>
          <w:sz w:val="28"/>
          <w:szCs w:val="28"/>
        </w:rPr>
        <w:t xml:space="preserve"> (turpmāk - Vienotā tirgus akts I), nosaucot 12 prioritāros rīcības virzienus un 12 pamatdarbības ES Vienotā tirgus stiprināšanā. Komisijas apņemšanās bija šīs 12 pamatdarbības realizēt, pieņemt Komisijā līdz 2011.g. beigām un panākt pieņemšanu Padomē un Eiropas Parlamentā līdz 2012.g. beigām.</w:t>
      </w:r>
    </w:p>
    <w:p w:rsidR="00FD1332" w:rsidRDefault="00FD1332" w:rsidP="00FD1332">
      <w:pPr>
        <w:jc w:val="both"/>
        <w:rPr>
          <w:bCs/>
          <w:iCs/>
          <w:sz w:val="28"/>
          <w:szCs w:val="28"/>
        </w:rPr>
      </w:pPr>
      <w:r>
        <w:rPr>
          <w:bCs/>
          <w:iCs/>
          <w:sz w:val="28"/>
          <w:szCs w:val="28"/>
        </w:rPr>
        <w:tab/>
        <w:t xml:space="preserve">Savukārt </w:t>
      </w:r>
      <w:r w:rsidRPr="00FD1332">
        <w:rPr>
          <w:bCs/>
          <w:iCs/>
          <w:sz w:val="28"/>
          <w:szCs w:val="28"/>
        </w:rPr>
        <w:t>2012.gada 3.oktobrī tika publicēts Komisijas Paziņojums Eiropas Parlamentam, Padomei, Eiropas Ekonomikas un sociālo lietu komitejai un Reģionu komitejai „</w:t>
      </w:r>
      <w:r w:rsidR="004C7C91" w:rsidRPr="004C7C91">
        <w:rPr>
          <w:b/>
          <w:bCs/>
          <w:iCs/>
          <w:sz w:val="28"/>
          <w:szCs w:val="28"/>
        </w:rPr>
        <w:t>V</w:t>
      </w:r>
      <w:r w:rsidRPr="00FD1332">
        <w:rPr>
          <w:b/>
          <w:bCs/>
          <w:iCs/>
          <w:sz w:val="28"/>
          <w:szCs w:val="28"/>
        </w:rPr>
        <w:t>ienotā tirgus akts</w:t>
      </w:r>
      <w:r w:rsidR="004C7C91">
        <w:rPr>
          <w:b/>
          <w:bCs/>
          <w:iCs/>
          <w:sz w:val="28"/>
          <w:szCs w:val="28"/>
        </w:rPr>
        <w:t xml:space="preserve"> II</w:t>
      </w:r>
      <w:r w:rsidRPr="00FD1332">
        <w:rPr>
          <w:bCs/>
          <w:iCs/>
          <w:sz w:val="28"/>
          <w:szCs w:val="28"/>
        </w:rPr>
        <w:t xml:space="preserve"> – Kopā jaunai izaugsmei” </w:t>
      </w:r>
      <w:r>
        <w:rPr>
          <w:bCs/>
          <w:iCs/>
          <w:sz w:val="28"/>
          <w:szCs w:val="28"/>
        </w:rPr>
        <w:t xml:space="preserve"> </w:t>
      </w:r>
      <w:r w:rsidRPr="00FD1332">
        <w:rPr>
          <w:bCs/>
          <w:iCs/>
          <w:sz w:val="28"/>
          <w:szCs w:val="28"/>
        </w:rPr>
        <w:t>(turpmāk – Vienotā tirgus akts II). Vienotā tirgus akts II izvirza četrus turpmākos prioritāros attīstības virzienus un 12 pasākumus, kuri sniegs ieguldījumu turpmākā Eiropas izaugsmē un veicinās nodarbinātību, kā arī sociālo kohēziju.</w:t>
      </w:r>
    </w:p>
    <w:p w:rsidR="00D209C6" w:rsidRDefault="00D209C6" w:rsidP="00FD1332">
      <w:pPr>
        <w:jc w:val="both"/>
        <w:rPr>
          <w:bCs/>
          <w:iCs/>
          <w:sz w:val="28"/>
          <w:szCs w:val="28"/>
        </w:rPr>
      </w:pPr>
      <w:r>
        <w:rPr>
          <w:bCs/>
          <w:iCs/>
          <w:sz w:val="28"/>
          <w:szCs w:val="28"/>
        </w:rPr>
        <w:tab/>
      </w:r>
    </w:p>
    <w:p w:rsidR="00FD1332" w:rsidRPr="00CB7ADD" w:rsidRDefault="00FD1332" w:rsidP="00FD1332">
      <w:pPr>
        <w:jc w:val="both"/>
        <w:rPr>
          <w:b/>
          <w:bCs/>
          <w:i/>
          <w:iCs/>
          <w:sz w:val="28"/>
          <w:szCs w:val="28"/>
        </w:rPr>
      </w:pPr>
      <w:r w:rsidRPr="00CB7ADD">
        <w:rPr>
          <w:b/>
          <w:bCs/>
          <w:i/>
          <w:iCs/>
          <w:sz w:val="28"/>
          <w:szCs w:val="28"/>
        </w:rPr>
        <w:t>Vienotā tirgus akts I</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Seši pasākumi ir </w:t>
      </w:r>
      <w:r w:rsidRPr="00102C66">
        <w:rPr>
          <w:bCs/>
          <w:iCs/>
          <w:sz w:val="28"/>
          <w:szCs w:val="28"/>
          <w:u w:val="single"/>
        </w:rPr>
        <w:t>pieņemti</w:t>
      </w:r>
      <w:r w:rsidRPr="00FD1332">
        <w:rPr>
          <w:bCs/>
          <w:iCs/>
          <w:sz w:val="28"/>
          <w:szCs w:val="28"/>
        </w:rPr>
        <w:t xml:space="preserve"> – </w:t>
      </w:r>
      <w:r w:rsidRPr="00FD1332">
        <w:rPr>
          <w:b/>
          <w:bCs/>
          <w:iCs/>
          <w:sz w:val="28"/>
          <w:szCs w:val="28"/>
        </w:rPr>
        <w:t>Standartizācijas regula</w:t>
      </w:r>
      <w:r w:rsidRPr="00FD1332">
        <w:rPr>
          <w:bCs/>
          <w:iCs/>
          <w:sz w:val="28"/>
          <w:szCs w:val="28"/>
        </w:rPr>
        <w:t xml:space="preserve">, </w:t>
      </w:r>
      <w:r w:rsidRPr="00FD1332">
        <w:rPr>
          <w:b/>
          <w:bCs/>
          <w:iCs/>
          <w:sz w:val="28"/>
          <w:szCs w:val="28"/>
        </w:rPr>
        <w:t>Sociālās uzņēmējdarbības regula</w:t>
      </w:r>
      <w:r w:rsidRPr="00FD1332">
        <w:rPr>
          <w:bCs/>
          <w:iCs/>
          <w:sz w:val="28"/>
          <w:szCs w:val="28"/>
        </w:rPr>
        <w:t xml:space="preserve">, </w:t>
      </w:r>
      <w:r w:rsidRPr="00FD1332">
        <w:rPr>
          <w:b/>
          <w:bCs/>
          <w:iCs/>
          <w:sz w:val="28"/>
          <w:szCs w:val="28"/>
        </w:rPr>
        <w:t>Piekļuves riska kapitālam regula</w:t>
      </w:r>
      <w:r w:rsidRPr="00FD1332">
        <w:rPr>
          <w:bCs/>
          <w:iCs/>
          <w:sz w:val="28"/>
          <w:szCs w:val="28"/>
        </w:rPr>
        <w:t xml:space="preserve">, </w:t>
      </w:r>
      <w:r w:rsidRPr="00FD1332">
        <w:rPr>
          <w:b/>
          <w:bCs/>
          <w:iCs/>
          <w:sz w:val="28"/>
          <w:szCs w:val="28"/>
        </w:rPr>
        <w:t>Eiropas Enerģētikas tīkla regula</w:t>
      </w:r>
      <w:r w:rsidRPr="00FD1332">
        <w:rPr>
          <w:bCs/>
          <w:iCs/>
          <w:sz w:val="28"/>
          <w:szCs w:val="28"/>
        </w:rPr>
        <w:t xml:space="preserve">, </w:t>
      </w:r>
      <w:r w:rsidRPr="00FD1332">
        <w:rPr>
          <w:b/>
          <w:bCs/>
          <w:iCs/>
          <w:sz w:val="28"/>
          <w:szCs w:val="28"/>
        </w:rPr>
        <w:t>Alternatīvās strīdu risināšanas direktīva</w:t>
      </w:r>
      <w:r w:rsidRPr="00FD1332">
        <w:rPr>
          <w:bCs/>
          <w:iCs/>
          <w:sz w:val="28"/>
          <w:szCs w:val="28"/>
        </w:rPr>
        <w:t xml:space="preserve"> (vēl nav publicēta) un </w:t>
      </w:r>
      <w:r w:rsidRPr="00FD1332">
        <w:rPr>
          <w:b/>
          <w:bCs/>
          <w:iCs/>
          <w:sz w:val="28"/>
          <w:szCs w:val="28"/>
        </w:rPr>
        <w:t>Alternatīvās strīdu risināšanas tiešsaistē regula</w:t>
      </w:r>
      <w:r w:rsidRPr="00FD1332">
        <w:rPr>
          <w:bCs/>
          <w:iCs/>
          <w:sz w:val="28"/>
          <w:szCs w:val="28"/>
        </w:rPr>
        <w:t xml:space="preserve"> (vēl nav publicēta), </w:t>
      </w:r>
      <w:r w:rsidRPr="00FD1332">
        <w:rPr>
          <w:b/>
          <w:bCs/>
          <w:iCs/>
          <w:sz w:val="28"/>
          <w:szCs w:val="28"/>
        </w:rPr>
        <w:t>Vienotās patentaizsardzības sistēma</w:t>
      </w:r>
      <w:r w:rsidRPr="00FD1332">
        <w:rPr>
          <w:bCs/>
          <w:iCs/>
          <w:sz w:val="28"/>
          <w:szCs w:val="28"/>
        </w:rPr>
        <w:t xml:space="preserve"> (dalībvalstīm jāvienojas par </w:t>
      </w:r>
      <w:r>
        <w:rPr>
          <w:bCs/>
          <w:iCs/>
          <w:sz w:val="28"/>
          <w:szCs w:val="28"/>
        </w:rPr>
        <w:t>tiesas infrastruktūras izveidi).</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Īrijas prezidentūras laikā </w:t>
      </w:r>
      <w:r w:rsidRPr="00102C66">
        <w:rPr>
          <w:bCs/>
          <w:iCs/>
          <w:sz w:val="28"/>
          <w:szCs w:val="28"/>
          <w:u w:val="single"/>
        </w:rPr>
        <w:t>plānots pieņemt</w:t>
      </w:r>
      <w:r w:rsidRPr="00FD1332">
        <w:rPr>
          <w:bCs/>
          <w:iCs/>
          <w:sz w:val="28"/>
          <w:szCs w:val="28"/>
        </w:rPr>
        <w:t xml:space="preserve"> </w:t>
      </w:r>
      <w:r w:rsidRPr="00FD1332">
        <w:rPr>
          <w:b/>
          <w:bCs/>
          <w:iCs/>
          <w:sz w:val="28"/>
          <w:szCs w:val="28"/>
        </w:rPr>
        <w:t>Vienotu grāmatvedības standartu direktīvu</w:t>
      </w:r>
      <w:r w:rsidRPr="00FD1332">
        <w:rPr>
          <w:bCs/>
          <w:iCs/>
          <w:sz w:val="28"/>
          <w:szCs w:val="28"/>
        </w:rPr>
        <w:t xml:space="preserve">, kā arī pirmajā lasījumā Eiropas Parlamentā vienoties par četru pasākumu kopumiem – </w:t>
      </w:r>
      <w:r w:rsidRPr="00FD1332">
        <w:rPr>
          <w:b/>
          <w:bCs/>
          <w:iCs/>
          <w:sz w:val="28"/>
          <w:szCs w:val="28"/>
        </w:rPr>
        <w:t>trīs Publisko iepirkumu direktīvas</w:t>
      </w:r>
      <w:r w:rsidRPr="00FD1332">
        <w:rPr>
          <w:bCs/>
          <w:iCs/>
          <w:sz w:val="28"/>
          <w:szCs w:val="28"/>
        </w:rPr>
        <w:t xml:space="preserve">, </w:t>
      </w:r>
      <w:r w:rsidRPr="00FD1332">
        <w:rPr>
          <w:b/>
          <w:bCs/>
          <w:iCs/>
          <w:sz w:val="28"/>
          <w:szCs w:val="28"/>
        </w:rPr>
        <w:t>Profesionālo kvalifikāciju atzīšanas direktīva</w:t>
      </w:r>
      <w:r w:rsidRPr="00FD1332">
        <w:rPr>
          <w:bCs/>
          <w:iCs/>
          <w:sz w:val="28"/>
          <w:szCs w:val="28"/>
        </w:rPr>
        <w:t xml:space="preserve">, </w:t>
      </w:r>
      <w:r w:rsidRPr="00FD1332">
        <w:rPr>
          <w:b/>
          <w:bCs/>
          <w:iCs/>
          <w:sz w:val="28"/>
          <w:szCs w:val="28"/>
        </w:rPr>
        <w:t>Eiropas infrastruktūras savienošanas finansēšanas instruments</w:t>
      </w:r>
      <w:r w:rsidRPr="00FD1332">
        <w:rPr>
          <w:bCs/>
          <w:iCs/>
          <w:sz w:val="28"/>
          <w:szCs w:val="28"/>
        </w:rPr>
        <w:t xml:space="preserve">, </w:t>
      </w:r>
      <w:r w:rsidRPr="00FD1332">
        <w:rPr>
          <w:b/>
          <w:bCs/>
          <w:iCs/>
          <w:sz w:val="28"/>
          <w:szCs w:val="28"/>
        </w:rPr>
        <w:t>Eiropas Transporta tīkla regula</w:t>
      </w:r>
      <w:r w:rsidRPr="00FD1332">
        <w:rPr>
          <w:bCs/>
          <w:iCs/>
          <w:sz w:val="28"/>
          <w:szCs w:val="28"/>
        </w:rPr>
        <w:t xml:space="preserve">. </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Vienu pasākumu </w:t>
      </w:r>
      <w:r w:rsidRPr="00102C66">
        <w:rPr>
          <w:bCs/>
          <w:iCs/>
          <w:sz w:val="28"/>
          <w:szCs w:val="28"/>
          <w:u w:val="single"/>
        </w:rPr>
        <w:t>plānots pieņemt Lietuvas prezidentūras laikā</w:t>
      </w:r>
      <w:r w:rsidRPr="00FD1332">
        <w:rPr>
          <w:bCs/>
          <w:iCs/>
          <w:sz w:val="28"/>
          <w:szCs w:val="28"/>
        </w:rPr>
        <w:t xml:space="preserve"> – </w:t>
      </w:r>
      <w:r w:rsidRPr="00102C66">
        <w:rPr>
          <w:b/>
          <w:bCs/>
          <w:iCs/>
          <w:sz w:val="28"/>
          <w:szCs w:val="28"/>
        </w:rPr>
        <w:t>Eiropas Telekomunikāciju tīkla regula</w:t>
      </w:r>
      <w:r w:rsidRPr="00FD1332">
        <w:rPr>
          <w:bCs/>
          <w:iCs/>
          <w:sz w:val="28"/>
          <w:szCs w:val="28"/>
        </w:rPr>
        <w:t>.</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Ņemot vērā novēlotu priekšlikumu iesniegšanu, šobrīd regulējuma </w:t>
      </w:r>
      <w:r w:rsidRPr="00102C66">
        <w:rPr>
          <w:bCs/>
          <w:iCs/>
          <w:sz w:val="28"/>
          <w:szCs w:val="28"/>
          <w:u w:val="single"/>
        </w:rPr>
        <w:t>izstrādes sākuma stadijā</w:t>
      </w:r>
      <w:r w:rsidRPr="00FD1332">
        <w:rPr>
          <w:bCs/>
          <w:iCs/>
          <w:sz w:val="28"/>
          <w:szCs w:val="28"/>
        </w:rPr>
        <w:t xml:space="preserve"> ir </w:t>
      </w:r>
      <w:r w:rsidRPr="00102C66">
        <w:rPr>
          <w:b/>
          <w:bCs/>
          <w:iCs/>
          <w:sz w:val="28"/>
          <w:szCs w:val="28"/>
        </w:rPr>
        <w:t>E-paraksta regula</w:t>
      </w:r>
      <w:r w:rsidRPr="00FD1332">
        <w:rPr>
          <w:bCs/>
          <w:iCs/>
          <w:sz w:val="28"/>
          <w:szCs w:val="28"/>
        </w:rPr>
        <w:t xml:space="preserve">, kurā iesaistīts ievērojams darbs pie tehniskā nodrošinājuma, kā arī </w:t>
      </w:r>
      <w:r w:rsidRPr="00102C66">
        <w:rPr>
          <w:b/>
          <w:bCs/>
          <w:iCs/>
          <w:sz w:val="28"/>
          <w:szCs w:val="28"/>
        </w:rPr>
        <w:t>Darbinieku norīkošanas direktīva</w:t>
      </w:r>
      <w:r w:rsidRPr="00FD1332">
        <w:rPr>
          <w:bCs/>
          <w:iCs/>
          <w:sz w:val="28"/>
          <w:szCs w:val="28"/>
        </w:rPr>
        <w:t>, par kuru</w:t>
      </w:r>
      <w:r w:rsidR="00102C66">
        <w:rPr>
          <w:bCs/>
          <w:iCs/>
          <w:sz w:val="28"/>
          <w:szCs w:val="28"/>
        </w:rPr>
        <w:t xml:space="preserve"> dalībvalstīm ir grūtības</w:t>
      </w:r>
      <w:r w:rsidRPr="00FD1332">
        <w:rPr>
          <w:bCs/>
          <w:iCs/>
          <w:sz w:val="28"/>
          <w:szCs w:val="28"/>
        </w:rPr>
        <w:t xml:space="preserve"> vienoties, ņemot vērā politiski </w:t>
      </w:r>
      <w:proofErr w:type="spellStart"/>
      <w:r w:rsidRPr="00FD1332">
        <w:rPr>
          <w:bCs/>
          <w:iCs/>
          <w:sz w:val="28"/>
          <w:szCs w:val="28"/>
        </w:rPr>
        <w:t>sensitīvus</w:t>
      </w:r>
      <w:proofErr w:type="spellEnd"/>
      <w:r w:rsidRPr="00FD1332">
        <w:rPr>
          <w:bCs/>
          <w:iCs/>
          <w:sz w:val="28"/>
          <w:szCs w:val="28"/>
        </w:rPr>
        <w:t xml:space="preserve"> jautājumus (administratīvās procedūras un uzņēmumu kontroles, solidārā atbildība par citā dalībvalstī norīkotiem darbiniekiem).</w:t>
      </w:r>
    </w:p>
    <w:p w:rsidR="00FD1332" w:rsidRPr="00FD1332" w:rsidRDefault="00FD1332" w:rsidP="00FD1332">
      <w:pPr>
        <w:jc w:val="both"/>
        <w:rPr>
          <w:bCs/>
          <w:iCs/>
          <w:sz w:val="28"/>
          <w:szCs w:val="28"/>
        </w:rPr>
      </w:pPr>
    </w:p>
    <w:p w:rsidR="00FD1332" w:rsidRPr="00CB7ADD" w:rsidRDefault="00FD1332" w:rsidP="00FD1332">
      <w:pPr>
        <w:jc w:val="both"/>
        <w:rPr>
          <w:b/>
          <w:bCs/>
          <w:i/>
          <w:iCs/>
          <w:sz w:val="28"/>
          <w:szCs w:val="28"/>
        </w:rPr>
      </w:pPr>
      <w:r w:rsidRPr="00CB7ADD">
        <w:rPr>
          <w:b/>
          <w:bCs/>
          <w:i/>
          <w:iCs/>
          <w:sz w:val="28"/>
          <w:szCs w:val="28"/>
        </w:rPr>
        <w:t>Vienotā tirgus akts II</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Eiropas Komisijas līmenī ir </w:t>
      </w:r>
      <w:r w:rsidRPr="00102C66">
        <w:rPr>
          <w:bCs/>
          <w:iCs/>
          <w:sz w:val="28"/>
          <w:szCs w:val="28"/>
          <w:u w:val="single"/>
        </w:rPr>
        <w:t>izstrādāti</w:t>
      </w:r>
      <w:r w:rsidRPr="00FD1332">
        <w:rPr>
          <w:bCs/>
          <w:iCs/>
          <w:sz w:val="28"/>
          <w:szCs w:val="28"/>
        </w:rPr>
        <w:t xml:space="preserve"> un pieņemti priekšlikumi trīs jomās – </w:t>
      </w:r>
      <w:r w:rsidRPr="00102C66">
        <w:rPr>
          <w:b/>
          <w:bCs/>
          <w:iCs/>
          <w:sz w:val="28"/>
          <w:szCs w:val="28"/>
        </w:rPr>
        <w:t>Ceturtais dzelzceļa pasākumu kopums</w:t>
      </w:r>
      <w:r w:rsidRPr="00FD1332">
        <w:rPr>
          <w:bCs/>
          <w:iCs/>
          <w:sz w:val="28"/>
          <w:szCs w:val="28"/>
        </w:rPr>
        <w:t xml:space="preserve">, </w:t>
      </w:r>
      <w:r w:rsidRPr="00102C66">
        <w:rPr>
          <w:b/>
          <w:bCs/>
          <w:iCs/>
          <w:sz w:val="28"/>
          <w:szCs w:val="28"/>
        </w:rPr>
        <w:t>ES maksātnespējas noteikumu modernizācija</w:t>
      </w:r>
      <w:r w:rsidRPr="00FD1332">
        <w:rPr>
          <w:bCs/>
          <w:iCs/>
          <w:sz w:val="28"/>
          <w:szCs w:val="28"/>
        </w:rPr>
        <w:t xml:space="preserve">, </w:t>
      </w:r>
      <w:r w:rsidRPr="00102C66">
        <w:rPr>
          <w:b/>
          <w:bCs/>
          <w:iCs/>
          <w:sz w:val="28"/>
          <w:szCs w:val="28"/>
        </w:rPr>
        <w:t>Ātrdarbīgas sakaru infrastruktūras izvēršana</w:t>
      </w:r>
      <w:r w:rsidRPr="00FD1332">
        <w:rPr>
          <w:bCs/>
          <w:iCs/>
          <w:sz w:val="28"/>
          <w:szCs w:val="28"/>
        </w:rPr>
        <w:t>.</w:t>
      </w:r>
    </w:p>
    <w:p w:rsidR="00FD1332" w:rsidRPr="00FD1332" w:rsidRDefault="00FD1332" w:rsidP="00FD1332">
      <w:pPr>
        <w:pStyle w:val="ListParagraph"/>
        <w:numPr>
          <w:ilvl w:val="0"/>
          <w:numId w:val="32"/>
        </w:numPr>
        <w:jc w:val="both"/>
        <w:rPr>
          <w:bCs/>
          <w:iCs/>
          <w:sz w:val="28"/>
          <w:szCs w:val="28"/>
        </w:rPr>
      </w:pPr>
      <w:r w:rsidRPr="00FD1332">
        <w:rPr>
          <w:bCs/>
          <w:iCs/>
          <w:sz w:val="28"/>
          <w:szCs w:val="28"/>
        </w:rPr>
        <w:t xml:space="preserve">Eiropas Komisijas līmenī </w:t>
      </w:r>
      <w:r w:rsidRPr="00102C66">
        <w:rPr>
          <w:bCs/>
          <w:iCs/>
          <w:sz w:val="28"/>
          <w:szCs w:val="28"/>
          <w:u w:val="single"/>
        </w:rPr>
        <w:t>iesākts darbs</w:t>
      </w:r>
      <w:r w:rsidRPr="00FD1332">
        <w:rPr>
          <w:bCs/>
          <w:iCs/>
          <w:sz w:val="28"/>
          <w:szCs w:val="28"/>
        </w:rPr>
        <w:t xml:space="preserve"> diviem priekšlikumiem – </w:t>
      </w:r>
      <w:r w:rsidRPr="00102C66">
        <w:rPr>
          <w:b/>
          <w:bCs/>
          <w:iCs/>
          <w:sz w:val="28"/>
          <w:szCs w:val="28"/>
        </w:rPr>
        <w:t>Piekļuve ilgtermiņa ieguldījumu fondiem</w:t>
      </w:r>
      <w:r w:rsidRPr="00FD1332">
        <w:rPr>
          <w:bCs/>
          <w:iCs/>
          <w:sz w:val="28"/>
          <w:szCs w:val="28"/>
        </w:rPr>
        <w:t xml:space="preserve">, </w:t>
      </w:r>
      <w:r w:rsidRPr="00102C66">
        <w:rPr>
          <w:b/>
          <w:bCs/>
          <w:iCs/>
          <w:sz w:val="28"/>
          <w:szCs w:val="28"/>
        </w:rPr>
        <w:t xml:space="preserve">Bankas kontu pieejamības un </w:t>
      </w:r>
      <w:r w:rsidR="00102C66" w:rsidRPr="00102C66">
        <w:rPr>
          <w:b/>
          <w:bCs/>
          <w:iCs/>
          <w:sz w:val="28"/>
          <w:szCs w:val="28"/>
        </w:rPr>
        <w:t>nomaiņas noteikumu atvieglošana</w:t>
      </w:r>
      <w:r w:rsidR="00102C66">
        <w:rPr>
          <w:bCs/>
          <w:iCs/>
          <w:sz w:val="28"/>
          <w:szCs w:val="28"/>
        </w:rPr>
        <w:t>.</w:t>
      </w:r>
    </w:p>
    <w:p w:rsidR="00FD1332" w:rsidRPr="00FD1332" w:rsidRDefault="00FD1332" w:rsidP="00091A36">
      <w:pPr>
        <w:jc w:val="both"/>
        <w:rPr>
          <w:b/>
          <w:bCs/>
          <w:iCs/>
          <w:sz w:val="28"/>
          <w:szCs w:val="28"/>
        </w:rPr>
      </w:pPr>
    </w:p>
    <w:p w:rsidR="00FD1332" w:rsidRPr="00FD1332" w:rsidRDefault="00FD1332" w:rsidP="00091A36">
      <w:pPr>
        <w:spacing w:after="120"/>
        <w:jc w:val="both"/>
        <w:rPr>
          <w:rFonts w:eastAsia="Calibri"/>
          <w:b/>
          <w:sz w:val="28"/>
          <w:szCs w:val="28"/>
          <w:u w:val="single"/>
          <w:lang w:eastAsia="en-US"/>
        </w:rPr>
      </w:pPr>
      <w:r w:rsidRPr="00FD1332">
        <w:rPr>
          <w:rFonts w:eastAsia="Calibri"/>
          <w:b/>
          <w:sz w:val="28"/>
          <w:szCs w:val="28"/>
          <w:u w:val="single"/>
          <w:lang w:eastAsia="en-US"/>
        </w:rPr>
        <w:t>Latvijas nostāja:</w:t>
      </w:r>
    </w:p>
    <w:p w:rsidR="00B92A91" w:rsidRDefault="00FD1332" w:rsidP="00B92A91">
      <w:pPr>
        <w:jc w:val="both"/>
        <w:rPr>
          <w:noProof/>
          <w:sz w:val="28"/>
          <w:szCs w:val="28"/>
        </w:rPr>
      </w:pPr>
      <w:r w:rsidRPr="00FD1332">
        <w:rPr>
          <w:b/>
          <w:noProof/>
          <w:sz w:val="28"/>
          <w:szCs w:val="28"/>
        </w:rPr>
        <w:tab/>
      </w:r>
      <w:r w:rsidR="00B92A91" w:rsidRPr="00B92A91">
        <w:rPr>
          <w:b/>
          <w:noProof/>
          <w:sz w:val="28"/>
          <w:szCs w:val="28"/>
        </w:rPr>
        <w:t>Latvija uzsver</w:t>
      </w:r>
      <w:r w:rsidR="00B92A91" w:rsidRPr="00B92A91">
        <w:rPr>
          <w:noProof/>
          <w:sz w:val="28"/>
          <w:szCs w:val="28"/>
        </w:rPr>
        <w:t xml:space="preserve">, ka ir jādara viss, lai nodrošinātu ES Vienotā tirgus pastāvīgu stiprināšanu un nodrošinātu sekmīgu kooperācijas un integrācijas padziļināšanu, lai Vienotā tirgus akta I un II jautājumus risinātu pēc iespējas efektīvāk un dinamiskāk. </w:t>
      </w:r>
    </w:p>
    <w:p w:rsidR="00FD1332" w:rsidRPr="00B92A91" w:rsidRDefault="00B92A91" w:rsidP="00B92A91">
      <w:pPr>
        <w:jc w:val="both"/>
        <w:rPr>
          <w:noProof/>
          <w:sz w:val="28"/>
          <w:szCs w:val="28"/>
        </w:rPr>
      </w:pPr>
      <w:r>
        <w:rPr>
          <w:noProof/>
          <w:sz w:val="28"/>
          <w:szCs w:val="28"/>
        </w:rPr>
        <w:tab/>
      </w:r>
      <w:r w:rsidRPr="00B92A91">
        <w:rPr>
          <w:b/>
          <w:noProof/>
          <w:sz w:val="28"/>
          <w:szCs w:val="28"/>
        </w:rPr>
        <w:t>Latvijai ir svarīga</w:t>
      </w:r>
      <w:r w:rsidRPr="00B92A91">
        <w:rPr>
          <w:noProof/>
          <w:sz w:val="28"/>
          <w:szCs w:val="28"/>
        </w:rPr>
        <w:t xml:space="preserve"> ne tikai jaunu iniciatīvu efektīva ieviešana un tiesību aktu izstrādāšana, bet arī pastāvošā tiesiskā regulējuma (piemēram, Pakalpojumu direktīvas) pārskatīšana, tā kvalitātes uzlabošana, pielāgojot to aktuālajām norisēm un ekonomiskajai attīstībai, vienlaikus mazinot administratīvo slogu visā Eiropas Savienībā.</w:t>
      </w:r>
    </w:p>
    <w:p w:rsidR="00A07FC8" w:rsidRDefault="00A07FC8" w:rsidP="004A5B6D">
      <w:pPr>
        <w:spacing w:before="75" w:after="75"/>
        <w:jc w:val="both"/>
        <w:rPr>
          <w:b/>
          <w:bCs/>
          <w:iCs/>
        </w:rPr>
      </w:pPr>
    </w:p>
    <w:p w:rsidR="004A5B6D" w:rsidRPr="00487328" w:rsidRDefault="004A5B6D" w:rsidP="004A5B6D">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Pr>
          <w:b/>
          <w:sz w:val="28"/>
          <w:szCs w:val="28"/>
        </w:rPr>
        <w:t>6</w:t>
      </w:r>
      <w:r w:rsidRPr="00227FFB">
        <w:rPr>
          <w:b/>
          <w:sz w:val="28"/>
          <w:szCs w:val="28"/>
        </w:rPr>
        <w:t xml:space="preserve">. </w:t>
      </w:r>
      <w:r w:rsidRPr="004A5B6D">
        <w:rPr>
          <w:b/>
          <w:sz w:val="28"/>
          <w:szCs w:val="28"/>
        </w:rPr>
        <w:t xml:space="preserve">Lietpratīgs regulējums </w:t>
      </w:r>
      <w:r>
        <w:rPr>
          <w:i/>
          <w:sz w:val="28"/>
          <w:szCs w:val="28"/>
        </w:rPr>
        <w:t>(EM</w:t>
      </w:r>
      <w:r w:rsidRPr="004F0096">
        <w:rPr>
          <w:i/>
          <w:sz w:val="28"/>
          <w:szCs w:val="28"/>
        </w:rPr>
        <w:t xml:space="preserve"> kompetence</w:t>
      </w:r>
      <w:r>
        <w:rPr>
          <w:i/>
          <w:sz w:val="28"/>
          <w:szCs w:val="28"/>
        </w:rPr>
        <w:t xml:space="preserve"> – sagatavota pozīcija</w:t>
      </w:r>
      <w:r w:rsidRPr="004F0096">
        <w:rPr>
          <w:i/>
          <w:sz w:val="28"/>
          <w:szCs w:val="28"/>
        </w:rPr>
        <w:t>)</w:t>
      </w:r>
    </w:p>
    <w:p w:rsidR="004A5B6D" w:rsidRPr="00227FFB" w:rsidRDefault="004A5B6D" w:rsidP="004A5B6D">
      <w:pPr>
        <w:tabs>
          <w:tab w:val="left" w:pos="284"/>
        </w:tabs>
        <w:jc w:val="both"/>
        <w:rPr>
          <w:i/>
          <w:sz w:val="28"/>
          <w:szCs w:val="28"/>
        </w:rPr>
      </w:pPr>
      <w:r>
        <w:rPr>
          <w:i/>
          <w:sz w:val="28"/>
          <w:szCs w:val="28"/>
        </w:rPr>
        <w:t>- Padomes secinājumu pieņemšana</w:t>
      </w:r>
    </w:p>
    <w:p w:rsidR="004A5B6D" w:rsidRPr="005B2C5A" w:rsidRDefault="004A5B6D" w:rsidP="005B2C5A">
      <w:pPr>
        <w:jc w:val="both"/>
        <w:rPr>
          <w:bCs/>
          <w:iCs/>
          <w:sz w:val="28"/>
        </w:rPr>
      </w:pPr>
    </w:p>
    <w:p w:rsidR="005B2C5A" w:rsidRDefault="005B2C5A" w:rsidP="005B2C5A">
      <w:pPr>
        <w:jc w:val="both"/>
        <w:rPr>
          <w:bCs/>
          <w:iCs/>
          <w:sz w:val="28"/>
        </w:rPr>
      </w:pPr>
      <w:r w:rsidRPr="005B2C5A">
        <w:rPr>
          <w:bCs/>
          <w:iCs/>
          <w:sz w:val="28"/>
        </w:rPr>
        <w:tab/>
        <w:t xml:space="preserve">Sanāksmē </w:t>
      </w:r>
      <w:r>
        <w:rPr>
          <w:bCs/>
          <w:iCs/>
          <w:sz w:val="28"/>
        </w:rPr>
        <w:t xml:space="preserve">paredzēts pieņemt Padomes secinājumus, kas </w:t>
      </w:r>
      <w:r w:rsidRPr="005B2C5A">
        <w:rPr>
          <w:bCs/>
          <w:iCs/>
          <w:sz w:val="28"/>
        </w:rPr>
        <w:t>balstās uz 2013.gada 14. un 15</w:t>
      </w:r>
      <w:r>
        <w:rPr>
          <w:bCs/>
          <w:iCs/>
          <w:sz w:val="28"/>
        </w:rPr>
        <w:t>.marta Eiropadomes secinājumiem</w:t>
      </w:r>
      <w:r w:rsidRPr="005B2C5A">
        <w:rPr>
          <w:bCs/>
          <w:iCs/>
          <w:sz w:val="28"/>
        </w:rPr>
        <w:t>, E</w:t>
      </w:r>
      <w:r>
        <w:rPr>
          <w:bCs/>
          <w:iCs/>
          <w:sz w:val="28"/>
        </w:rPr>
        <w:t>K</w:t>
      </w:r>
      <w:r w:rsidRPr="005B2C5A">
        <w:rPr>
          <w:bCs/>
          <w:iCs/>
          <w:sz w:val="28"/>
        </w:rPr>
        <w:t xml:space="preserve"> 2012.gada 12.decembra paziņojumu </w:t>
      </w:r>
      <w:r>
        <w:rPr>
          <w:bCs/>
          <w:iCs/>
          <w:sz w:val="28"/>
        </w:rPr>
        <w:t>„</w:t>
      </w:r>
      <w:r w:rsidRPr="005B2C5A">
        <w:rPr>
          <w:bCs/>
          <w:iCs/>
          <w:sz w:val="28"/>
        </w:rPr>
        <w:t>ES tiesību aktu normatīvā atbilstība</w:t>
      </w:r>
      <w:r>
        <w:rPr>
          <w:bCs/>
          <w:iCs/>
          <w:sz w:val="28"/>
        </w:rPr>
        <w:t>”</w:t>
      </w:r>
      <w:r w:rsidRPr="005B2C5A">
        <w:rPr>
          <w:bCs/>
          <w:iCs/>
          <w:sz w:val="28"/>
        </w:rPr>
        <w:t xml:space="preserve">, kā arī </w:t>
      </w:r>
      <w:r>
        <w:rPr>
          <w:bCs/>
          <w:iCs/>
          <w:sz w:val="28"/>
        </w:rPr>
        <w:t>EK</w:t>
      </w:r>
      <w:r w:rsidRPr="005B2C5A">
        <w:rPr>
          <w:bCs/>
          <w:iCs/>
          <w:sz w:val="28"/>
        </w:rPr>
        <w:t xml:space="preserve"> 2013.gada 7.marta paziņojumu </w:t>
      </w:r>
      <w:r>
        <w:rPr>
          <w:bCs/>
          <w:iCs/>
          <w:sz w:val="28"/>
        </w:rPr>
        <w:t>„</w:t>
      </w:r>
      <w:r w:rsidRPr="005B2C5A">
        <w:rPr>
          <w:bCs/>
          <w:iCs/>
          <w:sz w:val="28"/>
        </w:rPr>
        <w:t>Lietpratīgs regulējums – reaģējot uz maz</w:t>
      </w:r>
      <w:r>
        <w:rPr>
          <w:bCs/>
          <w:iCs/>
          <w:sz w:val="28"/>
        </w:rPr>
        <w:t>o un vidēju uzņēmumu vajadzībām”</w:t>
      </w:r>
      <w:r w:rsidRPr="005B2C5A">
        <w:rPr>
          <w:bCs/>
          <w:iCs/>
          <w:sz w:val="28"/>
        </w:rPr>
        <w:t>.</w:t>
      </w:r>
      <w:r>
        <w:rPr>
          <w:bCs/>
          <w:iCs/>
          <w:sz w:val="28"/>
        </w:rPr>
        <w:t xml:space="preserve"> </w:t>
      </w:r>
    </w:p>
    <w:p w:rsidR="005B2C5A" w:rsidRDefault="005B2C5A" w:rsidP="005B2C5A">
      <w:pPr>
        <w:jc w:val="both"/>
        <w:rPr>
          <w:bCs/>
          <w:iCs/>
          <w:sz w:val="28"/>
        </w:rPr>
      </w:pPr>
      <w:r>
        <w:rPr>
          <w:bCs/>
          <w:iCs/>
          <w:sz w:val="28"/>
        </w:rPr>
        <w:tab/>
        <w:t xml:space="preserve">Secinājumos </w:t>
      </w:r>
      <w:r w:rsidRPr="005B2C5A">
        <w:rPr>
          <w:bCs/>
          <w:iCs/>
          <w:sz w:val="28"/>
        </w:rPr>
        <w:t>Padome atzīst, ka efektīvi īstenoti un ieviesti ES tiesību akti ir ļoti būtiski, lai sasniegtu Līgumā par Eiropas Savienību noteiktos mērķus ar pēc iespējas zemākām izmaksām un radītu nosacījumus gudrai, ilgtspējīgai un iekļaujošai izaugsmei, kas sniedz labumu iedzīvotājiem, uzņēmumiem un darba ņēmējiem.</w:t>
      </w:r>
      <w:r>
        <w:rPr>
          <w:bCs/>
          <w:iCs/>
          <w:sz w:val="28"/>
        </w:rPr>
        <w:t xml:space="preserve"> L</w:t>
      </w:r>
      <w:r w:rsidRPr="005B2C5A">
        <w:rPr>
          <w:bCs/>
          <w:iCs/>
          <w:sz w:val="28"/>
        </w:rPr>
        <w:t>ietpratīgam regulējumam jābūt virzītam uz pasākumiem, kas veicina konkurētspēju un nodrošina darbavietu skaita palielināšano</w:t>
      </w:r>
      <w:r>
        <w:rPr>
          <w:bCs/>
          <w:iCs/>
          <w:sz w:val="28"/>
        </w:rPr>
        <w:t xml:space="preserve">s, it īpaši mazākajos uzņēmumos. </w:t>
      </w:r>
    </w:p>
    <w:p w:rsidR="005B2C5A" w:rsidRDefault="005B2C5A" w:rsidP="005B2C5A">
      <w:pPr>
        <w:jc w:val="both"/>
        <w:rPr>
          <w:bCs/>
          <w:iCs/>
          <w:sz w:val="28"/>
        </w:rPr>
      </w:pPr>
      <w:r>
        <w:rPr>
          <w:bCs/>
          <w:iCs/>
          <w:sz w:val="28"/>
        </w:rPr>
        <w:tab/>
      </w:r>
      <w:r w:rsidRPr="005B2C5A">
        <w:rPr>
          <w:bCs/>
          <w:iCs/>
          <w:sz w:val="28"/>
        </w:rPr>
        <w:t xml:space="preserve">Padome atbalsta visa-politikas-cikla pieeju lietpratīgam regulējumam, vienlaicīgi arī samazinot nevajadzīgo regulatīvo slogu, it īpaši maziem un mikrouzņēmumiem. </w:t>
      </w:r>
      <w:r w:rsidR="00CA2A1A">
        <w:rPr>
          <w:bCs/>
          <w:iCs/>
          <w:sz w:val="28"/>
        </w:rPr>
        <w:t xml:space="preserve">Atbalstāma ir </w:t>
      </w:r>
      <w:r w:rsidRPr="005B2C5A">
        <w:rPr>
          <w:bCs/>
          <w:iCs/>
          <w:sz w:val="28"/>
        </w:rPr>
        <w:t xml:space="preserve">Komisijas </w:t>
      </w:r>
      <w:r w:rsidR="00CA2A1A">
        <w:rPr>
          <w:bCs/>
          <w:iCs/>
          <w:sz w:val="28"/>
        </w:rPr>
        <w:t>2012.gada 12.decembra paziņojumā</w:t>
      </w:r>
      <w:r w:rsidRPr="005B2C5A">
        <w:rPr>
          <w:bCs/>
          <w:iCs/>
          <w:sz w:val="28"/>
        </w:rPr>
        <w:t xml:space="preserve"> </w:t>
      </w:r>
      <w:r>
        <w:rPr>
          <w:bCs/>
          <w:iCs/>
          <w:sz w:val="28"/>
        </w:rPr>
        <w:t>„</w:t>
      </w:r>
      <w:r w:rsidRPr="005B2C5A">
        <w:rPr>
          <w:bCs/>
          <w:iCs/>
          <w:sz w:val="28"/>
        </w:rPr>
        <w:t>ES tiesību aktu normatīvā atbilstība</w:t>
      </w:r>
      <w:r>
        <w:rPr>
          <w:bCs/>
          <w:iCs/>
          <w:sz w:val="28"/>
        </w:rPr>
        <w:t>”</w:t>
      </w:r>
      <w:r w:rsidR="00CA2A1A">
        <w:rPr>
          <w:bCs/>
          <w:iCs/>
          <w:sz w:val="28"/>
        </w:rPr>
        <w:t xml:space="preserve"> paustā apņemšanās uzsākt </w:t>
      </w:r>
      <w:r w:rsidRPr="005B2C5A">
        <w:rPr>
          <w:bCs/>
          <w:iCs/>
          <w:sz w:val="28"/>
        </w:rPr>
        <w:t xml:space="preserve">regulējuma piemērotības un izpildes programmu (turpmāk - </w:t>
      </w:r>
      <w:r w:rsidRPr="005B2C5A">
        <w:rPr>
          <w:bCs/>
          <w:i/>
          <w:iCs/>
          <w:sz w:val="28"/>
        </w:rPr>
        <w:t>REFIT</w:t>
      </w:r>
      <w:r w:rsidRPr="005B2C5A">
        <w:rPr>
          <w:bCs/>
          <w:iCs/>
          <w:sz w:val="28"/>
        </w:rPr>
        <w:t xml:space="preserve"> programma), ar kuras palīdzību tiks apzināts slogs, neatbilstības, trūkumi un neefektīvi pasākumi.</w:t>
      </w:r>
    </w:p>
    <w:p w:rsidR="005B2C5A" w:rsidRDefault="005B2C5A" w:rsidP="005B2C5A">
      <w:pPr>
        <w:jc w:val="both"/>
        <w:rPr>
          <w:bCs/>
          <w:iCs/>
          <w:sz w:val="28"/>
        </w:rPr>
      </w:pPr>
      <w:r>
        <w:rPr>
          <w:bCs/>
          <w:iCs/>
          <w:sz w:val="28"/>
        </w:rPr>
        <w:tab/>
      </w:r>
      <w:r w:rsidRPr="005B2C5A">
        <w:rPr>
          <w:bCs/>
          <w:iCs/>
          <w:sz w:val="28"/>
        </w:rPr>
        <w:t xml:space="preserve">Padome aicina Komisiju ar </w:t>
      </w:r>
      <w:r w:rsidRPr="005B2C5A">
        <w:rPr>
          <w:bCs/>
          <w:i/>
          <w:iCs/>
          <w:sz w:val="28"/>
        </w:rPr>
        <w:t>REFIT</w:t>
      </w:r>
      <w:r w:rsidRPr="005B2C5A">
        <w:rPr>
          <w:bCs/>
          <w:iCs/>
          <w:sz w:val="28"/>
        </w:rPr>
        <w:t xml:space="preserve"> programmas palīdzību identificēt un līdz 2013.gada rudenim ierosināt atcelt spēkā esošu regulējumu un vēl nepieņemtus priekšlikumus </w:t>
      </w:r>
      <w:r w:rsidRPr="005B2C5A">
        <w:rPr>
          <w:bCs/>
          <w:i/>
          <w:iCs/>
          <w:sz w:val="28"/>
        </w:rPr>
        <w:t>(</w:t>
      </w:r>
      <w:proofErr w:type="spellStart"/>
      <w:r w:rsidRPr="005B2C5A">
        <w:rPr>
          <w:bCs/>
          <w:i/>
          <w:iCs/>
          <w:sz w:val="28"/>
        </w:rPr>
        <w:t>pending</w:t>
      </w:r>
      <w:proofErr w:type="spellEnd"/>
      <w:r w:rsidRPr="005B2C5A">
        <w:rPr>
          <w:bCs/>
          <w:i/>
          <w:iCs/>
          <w:sz w:val="28"/>
        </w:rPr>
        <w:t xml:space="preserve"> </w:t>
      </w:r>
      <w:proofErr w:type="spellStart"/>
      <w:r w:rsidRPr="005B2C5A">
        <w:rPr>
          <w:bCs/>
          <w:i/>
          <w:iCs/>
          <w:sz w:val="28"/>
        </w:rPr>
        <w:t>proposals</w:t>
      </w:r>
      <w:proofErr w:type="spellEnd"/>
      <w:r w:rsidRPr="005B2C5A">
        <w:rPr>
          <w:bCs/>
          <w:i/>
          <w:iCs/>
          <w:sz w:val="28"/>
        </w:rPr>
        <w:t>)</w:t>
      </w:r>
      <w:r w:rsidRPr="005B2C5A">
        <w:rPr>
          <w:bCs/>
          <w:iCs/>
          <w:sz w:val="28"/>
        </w:rPr>
        <w:t>, kuri vairs nav efektīvi un lietderīgi, kā arī turpināt spēkā esošā regulējuma konsolidēšanu kā daļu no tiesību aktu vienkāršošanas.</w:t>
      </w:r>
    </w:p>
    <w:p w:rsidR="005B2C5A" w:rsidRDefault="005B2C5A" w:rsidP="005B2C5A">
      <w:pPr>
        <w:jc w:val="both"/>
        <w:rPr>
          <w:bCs/>
          <w:iCs/>
          <w:sz w:val="28"/>
        </w:rPr>
      </w:pPr>
      <w:r>
        <w:rPr>
          <w:bCs/>
          <w:iCs/>
          <w:sz w:val="28"/>
        </w:rPr>
        <w:tab/>
      </w:r>
      <w:r w:rsidRPr="005B2C5A">
        <w:rPr>
          <w:bCs/>
          <w:iCs/>
          <w:sz w:val="28"/>
        </w:rPr>
        <w:t xml:space="preserve">Tā kā lietpratīga regulējuma īstenošana ir ES institūciju un dalībvalstu kopīga atbildība, Padome atbalsta Komisijas ierosinājumu veikt kopīgus regulējuma izvērtējuma pilota projektus ar ieinteresētajām dalībvalstīm, kā arī </w:t>
      </w:r>
      <w:r w:rsidRPr="005B2C5A">
        <w:rPr>
          <w:bCs/>
          <w:i/>
          <w:iCs/>
          <w:sz w:val="28"/>
        </w:rPr>
        <w:t>ABR Plus</w:t>
      </w:r>
      <w:r>
        <w:rPr>
          <w:rStyle w:val="FootnoteReference"/>
          <w:bCs/>
          <w:i/>
          <w:iCs/>
          <w:sz w:val="28"/>
        </w:rPr>
        <w:footnoteReference w:id="4"/>
      </w:r>
      <w:r w:rsidRPr="005B2C5A">
        <w:rPr>
          <w:bCs/>
          <w:iCs/>
          <w:sz w:val="28"/>
        </w:rPr>
        <w:t xml:space="preserve"> iniciatīvas, kas koncentrēsies uz administratīvā sloga samazināšanas programmu īstenošanu dalībvalstīs.</w:t>
      </w:r>
    </w:p>
    <w:p w:rsidR="005B2C5A" w:rsidRDefault="005B2C5A" w:rsidP="005B2C5A">
      <w:pPr>
        <w:jc w:val="both"/>
        <w:rPr>
          <w:bCs/>
          <w:iCs/>
          <w:sz w:val="28"/>
        </w:rPr>
      </w:pPr>
    </w:p>
    <w:p w:rsidR="005B2C5A" w:rsidRPr="00FD1332" w:rsidRDefault="005B2C5A" w:rsidP="005B2C5A">
      <w:pPr>
        <w:spacing w:before="120" w:after="120"/>
        <w:jc w:val="both"/>
        <w:rPr>
          <w:rFonts w:eastAsia="Calibri"/>
          <w:b/>
          <w:sz w:val="28"/>
          <w:szCs w:val="28"/>
          <w:u w:val="single"/>
          <w:lang w:eastAsia="en-US"/>
        </w:rPr>
      </w:pPr>
      <w:r w:rsidRPr="00FD1332">
        <w:rPr>
          <w:rFonts w:eastAsia="Calibri"/>
          <w:b/>
          <w:sz w:val="28"/>
          <w:szCs w:val="28"/>
          <w:u w:val="single"/>
          <w:lang w:eastAsia="en-US"/>
        </w:rPr>
        <w:t xml:space="preserve">Latvijas </w:t>
      </w:r>
      <w:r>
        <w:rPr>
          <w:rFonts w:eastAsia="Calibri"/>
          <w:b/>
          <w:sz w:val="28"/>
          <w:szCs w:val="28"/>
          <w:u w:val="single"/>
          <w:lang w:eastAsia="en-US"/>
        </w:rPr>
        <w:t>pozīcija</w:t>
      </w:r>
      <w:r w:rsidRPr="00FD1332">
        <w:rPr>
          <w:rFonts w:eastAsia="Calibri"/>
          <w:b/>
          <w:sz w:val="28"/>
          <w:szCs w:val="28"/>
          <w:u w:val="single"/>
          <w:lang w:eastAsia="en-US"/>
        </w:rPr>
        <w:t>:</w:t>
      </w:r>
    </w:p>
    <w:p w:rsidR="005B2C5A" w:rsidRPr="000E727E" w:rsidRDefault="005B2C5A" w:rsidP="005B2C5A">
      <w:pPr>
        <w:jc w:val="both"/>
        <w:rPr>
          <w:noProof/>
          <w:sz w:val="28"/>
          <w:szCs w:val="28"/>
        </w:rPr>
      </w:pPr>
      <w:r w:rsidRPr="000E727E">
        <w:rPr>
          <w:noProof/>
          <w:sz w:val="28"/>
          <w:szCs w:val="28"/>
        </w:rPr>
        <w:tab/>
      </w:r>
      <w:r w:rsidR="000E727E" w:rsidRPr="000E727E">
        <w:rPr>
          <w:b/>
          <w:noProof/>
          <w:sz w:val="28"/>
          <w:szCs w:val="28"/>
        </w:rPr>
        <w:t>Latvija atbalsta</w:t>
      </w:r>
      <w:r w:rsidR="000E727E" w:rsidRPr="000E727E">
        <w:rPr>
          <w:noProof/>
          <w:sz w:val="28"/>
          <w:szCs w:val="28"/>
        </w:rPr>
        <w:t xml:space="preserve"> Padomes secinājumus par lietpratīgu regulējumu, jo lietpratīgs regulējums palīdz uzlabot ES tiesību aktu kvalitāti, tādējādi sekmējot vienotu tir</w:t>
      </w:r>
      <w:r w:rsidR="004C7C91">
        <w:rPr>
          <w:noProof/>
          <w:sz w:val="28"/>
          <w:szCs w:val="28"/>
        </w:rPr>
        <w:t>gu, novēršot tā sadrumstalotību</w:t>
      </w:r>
      <w:r w:rsidR="000E727E" w:rsidRPr="000E727E">
        <w:rPr>
          <w:noProof/>
          <w:sz w:val="28"/>
          <w:szCs w:val="28"/>
        </w:rPr>
        <w:t xml:space="preserve"> un veicinot uzņēmumu konkurētspēju, lai ES varētu atgriezties uz ilgtspējīgas izaugsmes ceļa.</w:t>
      </w:r>
      <w:r w:rsidRPr="000E727E">
        <w:rPr>
          <w:noProof/>
          <w:sz w:val="28"/>
          <w:szCs w:val="28"/>
        </w:rPr>
        <w:t xml:space="preserve"> </w:t>
      </w:r>
    </w:p>
    <w:p w:rsidR="005B2C5A" w:rsidRDefault="000E727E" w:rsidP="005B2C5A">
      <w:pPr>
        <w:jc w:val="both"/>
        <w:rPr>
          <w:bCs/>
          <w:iCs/>
          <w:sz w:val="28"/>
        </w:rPr>
      </w:pPr>
      <w:r>
        <w:rPr>
          <w:bCs/>
          <w:iCs/>
          <w:sz w:val="28"/>
        </w:rPr>
        <w:tab/>
      </w:r>
      <w:r w:rsidRPr="000E727E">
        <w:rPr>
          <w:b/>
          <w:bCs/>
          <w:iCs/>
          <w:sz w:val="28"/>
        </w:rPr>
        <w:t>Latvija atzinīgi vērtē</w:t>
      </w:r>
      <w:r w:rsidRPr="000E727E">
        <w:rPr>
          <w:bCs/>
          <w:iCs/>
          <w:sz w:val="28"/>
        </w:rPr>
        <w:t xml:space="preserve"> Komisijas izstrādāto jauna regulējuma piemērotības un izpildes programmu </w:t>
      </w:r>
      <w:r w:rsidRPr="000E727E">
        <w:rPr>
          <w:bCs/>
          <w:i/>
          <w:iCs/>
          <w:sz w:val="28"/>
        </w:rPr>
        <w:t>(REFIT)</w:t>
      </w:r>
      <w:r w:rsidRPr="000E727E">
        <w:rPr>
          <w:bCs/>
          <w:iCs/>
          <w:sz w:val="28"/>
        </w:rPr>
        <w:t>, ar kuras palīdzību sistemātiski tiks identificētas un pārredzamā veidā īstenotas iniciatīvas,</w:t>
      </w:r>
      <w:r w:rsidR="00CA2A1A">
        <w:rPr>
          <w:bCs/>
          <w:iCs/>
          <w:sz w:val="28"/>
        </w:rPr>
        <w:t xml:space="preserve"> kuras ļaus ievērojami samazinā</w:t>
      </w:r>
      <w:r w:rsidRPr="000E727E">
        <w:rPr>
          <w:bCs/>
          <w:iCs/>
          <w:sz w:val="28"/>
        </w:rPr>
        <w:t>t un vi</w:t>
      </w:r>
      <w:r w:rsidR="00CA2A1A">
        <w:rPr>
          <w:bCs/>
          <w:iCs/>
          <w:sz w:val="28"/>
        </w:rPr>
        <w:t>enkāršo</w:t>
      </w:r>
      <w:r>
        <w:rPr>
          <w:bCs/>
          <w:iCs/>
          <w:sz w:val="28"/>
        </w:rPr>
        <w:t>t regulatīvās izmaksas.</w:t>
      </w:r>
    </w:p>
    <w:p w:rsidR="000E727E" w:rsidRDefault="000E727E" w:rsidP="005B2C5A">
      <w:pPr>
        <w:jc w:val="both"/>
        <w:rPr>
          <w:bCs/>
          <w:iCs/>
          <w:sz w:val="28"/>
        </w:rPr>
      </w:pPr>
      <w:r>
        <w:rPr>
          <w:bCs/>
          <w:iCs/>
          <w:sz w:val="28"/>
        </w:rPr>
        <w:tab/>
      </w:r>
      <w:r w:rsidRPr="000E727E">
        <w:rPr>
          <w:b/>
          <w:bCs/>
          <w:iCs/>
          <w:sz w:val="28"/>
        </w:rPr>
        <w:t>Latvija pauž atbalstu</w:t>
      </w:r>
      <w:r w:rsidRPr="000E727E">
        <w:rPr>
          <w:bCs/>
          <w:iCs/>
          <w:sz w:val="28"/>
        </w:rPr>
        <w:t xml:space="preserve"> Eiropas Komisijas centieniem uzlabot uz MVU un mikrouzņēmumiem attiecināmo ES tiesību aktu kopumu, atvieglojot slogu, ko rada 10 </w:t>
      </w:r>
      <w:r>
        <w:rPr>
          <w:bCs/>
          <w:iCs/>
          <w:sz w:val="28"/>
        </w:rPr>
        <w:t>apgrūtinošākie ES tiesību akti</w:t>
      </w:r>
      <w:r w:rsidRPr="000E727E">
        <w:rPr>
          <w:bCs/>
          <w:iCs/>
          <w:sz w:val="28"/>
        </w:rPr>
        <w:t>, kā arī sistemātiski piemērojot MVU testu un principu „vispirms domāt par mazākajiem”.</w:t>
      </w:r>
    </w:p>
    <w:p w:rsidR="000E727E" w:rsidRPr="000E727E" w:rsidRDefault="000E727E" w:rsidP="000E727E">
      <w:pPr>
        <w:jc w:val="both"/>
        <w:rPr>
          <w:bCs/>
          <w:iCs/>
          <w:sz w:val="28"/>
        </w:rPr>
      </w:pPr>
      <w:r>
        <w:rPr>
          <w:bCs/>
          <w:iCs/>
          <w:sz w:val="28"/>
        </w:rPr>
        <w:tab/>
      </w:r>
      <w:r w:rsidRPr="000E727E">
        <w:rPr>
          <w:b/>
          <w:bCs/>
          <w:iCs/>
          <w:sz w:val="28"/>
        </w:rPr>
        <w:t>Latvijas galvenie akcenti</w:t>
      </w:r>
      <w:r w:rsidRPr="000E727E">
        <w:rPr>
          <w:bCs/>
          <w:iCs/>
          <w:sz w:val="28"/>
        </w:rPr>
        <w:t xml:space="preserve"> turpmākajā administratīvā sloga samazināšanas pasākumu īstenošanā Latvijā ir: </w:t>
      </w:r>
    </w:p>
    <w:p w:rsidR="000E727E" w:rsidRPr="000E727E" w:rsidRDefault="000E727E" w:rsidP="000E727E">
      <w:pPr>
        <w:ind w:left="284"/>
        <w:jc w:val="both"/>
        <w:rPr>
          <w:bCs/>
          <w:iCs/>
          <w:sz w:val="28"/>
        </w:rPr>
      </w:pPr>
      <w:r w:rsidRPr="000E727E">
        <w:rPr>
          <w:bCs/>
          <w:iCs/>
          <w:sz w:val="28"/>
        </w:rPr>
        <w:t>1)</w:t>
      </w:r>
      <w:r>
        <w:rPr>
          <w:b/>
          <w:bCs/>
          <w:iCs/>
          <w:sz w:val="28"/>
        </w:rPr>
        <w:t xml:space="preserve"> </w:t>
      </w:r>
      <w:r w:rsidRPr="000E727E">
        <w:rPr>
          <w:b/>
          <w:bCs/>
          <w:iCs/>
          <w:sz w:val="28"/>
        </w:rPr>
        <w:t>pārliekas regulācijas novēršana</w:t>
      </w:r>
      <w:r w:rsidRPr="000E727E">
        <w:rPr>
          <w:bCs/>
          <w:iCs/>
          <w:sz w:val="28"/>
        </w:rPr>
        <w:t xml:space="preserve"> – ES pārņemto normatīvo aktu prasību pārbaude, novēršot iespējas neadekvāti striktu prasību pārņemšanai nacionālajā likumdošanā, maksimāli samazinot administratīvo slogu;</w:t>
      </w:r>
    </w:p>
    <w:p w:rsidR="005B2C5A" w:rsidRPr="000E727E" w:rsidRDefault="000E727E" w:rsidP="000E727E">
      <w:pPr>
        <w:ind w:left="284"/>
        <w:jc w:val="both"/>
        <w:rPr>
          <w:bCs/>
          <w:iCs/>
          <w:sz w:val="28"/>
        </w:rPr>
      </w:pPr>
      <w:r w:rsidRPr="000E727E">
        <w:rPr>
          <w:bCs/>
          <w:iCs/>
          <w:sz w:val="28"/>
        </w:rPr>
        <w:t>2)</w:t>
      </w:r>
      <w:r>
        <w:rPr>
          <w:b/>
          <w:bCs/>
          <w:iCs/>
          <w:sz w:val="28"/>
        </w:rPr>
        <w:t xml:space="preserve"> </w:t>
      </w:r>
      <w:r w:rsidRPr="000E727E">
        <w:rPr>
          <w:b/>
          <w:bCs/>
          <w:iCs/>
          <w:sz w:val="28"/>
        </w:rPr>
        <w:t>tiesību aktu sākotnējās novērtēšanas mehānisma pilnveidošana</w:t>
      </w:r>
      <w:r w:rsidRPr="000E727E">
        <w:rPr>
          <w:bCs/>
          <w:iCs/>
          <w:sz w:val="28"/>
        </w:rPr>
        <w:t>, nodrošinot, ka uzņēmējiem radītais administratīvais slogs tiek pēc iespējas minimizēts. Tas sevī ietver gan sākotnējās izvērtēšanas procesa uzlabošanu (sākotnēju novērtējumu par informācijas sniegšanas pienākumu ra</w:t>
      </w:r>
      <w:r w:rsidR="004C7C91">
        <w:rPr>
          <w:bCs/>
          <w:iCs/>
          <w:sz w:val="28"/>
        </w:rPr>
        <w:t>dītajām izmaksām uzņēmumiem), gan</w:t>
      </w:r>
      <w:r w:rsidRPr="000E727E">
        <w:rPr>
          <w:bCs/>
          <w:iCs/>
          <w:sz w:val="28"/>
        </w:rPr>
        <w:t xml:space="preserve"> arī tiesību aktu izstrādē iesaistīto zināšanu un izpratnes līmeņa paaugstināšanu.</w:t>
      </w:r>
    </w:p>
    <w:p w:rsidR="000E727E" w:rsidRDefault="000E727E" w:rsidP="000E727E">
      <w:pPr>
        <w:jc w:val="both"/>
        <w:rPr>
          <w:bCs/>
          <w:iCs/>
          <w:sz w:val="28"/>
        </w:rPr>
      </w:pPr>
      <w:r>
        <w:rPr>
          <w:bCs/>
          <w:iCs/>
          <w:sz w:val="28"/>
        </w:rPr>
        <w:tab/>
      </w:r>
      <w:r w:rsidRPr="000E727E">
        <w:rPr>
          <w:b/>
          <w:bCs/>
          <w:iCs/>
          <w:sz w:val="28"/>
        </w:rPr>
        <w:t>Latvija atbalsta</w:t>
      </w:r>
      <w:r w:rsidRPr="000E727E">
        <w:rPr>
          <w:bCs/>
          <w:iCs/>
          <w:sz w:val="28"/>
        </w:rPr>
        <w:t xml:space="preserve"> Komisijas apņemšanos vēl vairāk uzlabot likumdošanas iniciatīvu izmaksu un ieguvumu </w:t>
      </w:r>
      <w:proofErr w:type="spellStart"/>
      <w:r w:rsidRPr="000C343D">
        <w:rPr>
          <w:bCs/>
          <w:i/>
          <w:iCs/>
          <w:sz w:val="28"/>
        </w:rPr>
        <w:t>ex</w:t>
      </w:r>
      <w:proofErr w:type="spellEnd"/>
      <w:r w:rsidRPr="000C343D">
        <w:rPr>
          <w:bCs/>
          <w:i/>
          <w:iCs/>
          <w:sz w:val="28"/>
        </w:rPr>
        <w:t xml:space="preserve"> </w:t>
      </w:r>
      <w:proofErr w:type="spellStart"/>
      <w:r w:rsidRPr="000C343D">
        <w:rPr>
          <w:bCs/>
          <w:i/>
          <w:iCs/>
          <w:sz w:val="28"/>
        </w:rPr>
        <w:t>ante</w:t>
      </w:r>
      <w:proofErr w:type="spellEnd"/>
      <w:r w:rsidRPr="000E727E">
        <w:rPr>
          <w:bCs/>
          <w:iCs/>
          <w:sz w:val="28"/>
        </w:rPr>
        <w:t xml:space="preserve"> novērtējumu. Latvijā šis jautājums ir aktuāls, un </w:t>
      </w:r>
      <w:proofErr w:type="spellStart"/>
      <w:r w:rsidRPr="000C343D">
        <w:rPr>
          <w:bCs/>
          <w:i/>
          <w:iCs/>
          <w:sz w:val="28"/>
        </w:rPr>
        <w:t>ex</w:t>
      </w:r>
      <w:proofErr w:type="spellEnd"/>
      <w:r w:rsidRPr="000C343D">
        <w:rPr>
          <w:bCs/>
          <w:i/>
          <w:iCs/>
          <w:sz w:val="28"/>
        </w:rPr>
        <w:t xml:space="preserve"> </w:t>
      </w:r>
      <w:proofErr w:type="spellStart"/>
      <w:r w:rsidRPr="000C343D">
        <w:rPr>
          <w:bCs/>
          <w:i/>
          <w:iCs/>
          <w:sz w:val="28"/>
        </w:rPr>
        <w:t>ante</w:t>
      </w:r>
      <w:proofErr w:type="spellEnd"/>
      <w:r w:rsidRPr="000E727E">
        <w:rPr>
          <w:bCs/>
          <w:iCs/>
          <w:sz w:val="28"/>
        </w:rPr>
        <w:t xml:space="preserve"> ietekmes novērtējumā tiesību akta projekta administratīvo izmaksu un administratīvā sloga aspektam tiek pievērsta arvien nozīmīgāka loma.</w:t>
      </w:r>
    </w:p>
    <w:p w:rsidR="005B2C5A" w:rsidRPr="005B2C5A" w:rsidRDefault="005B2C5A" w:rsidP="005B2C5A">
      <w:pPr>
        <w:jc w:val="both"/>
        <w:rPr>
          <w:bCs/>
          <w:iCs/>
          <w:sz w:val="28"/>
        </w:rPr>
      </w:pPr>
    </w:p>
    <w:p w:rsidR="00B03397" w:rsidRPr="002837CA" w:rsidRDefault="00B120E4" w:rsidP="009C3C35">
      <w:pPr>
        <w:pBdr>
          <w:bottom w:val="single" w:sz="4" w:space="1" w:color="auto"/>
        </w:pBdr>
        <w:tabs>
          <w:tab w:val="left" w:pos="9288"/>
        </w:tabs>
        <w:spacing w:after="120"/>
        <w:jc w:val="both"/>
        <w:rPr>
          <w:b/>
          <w:sz w:val="28"/>
          <w:szCs w:val="28"/>
        </w:rPr>
      </w:pPr>
      <w:r w:rsidRPr="002837CA">
        <w:rPr>
          <w:b/>
          <w:sz w:val="28"/>
          <w:szCs w:val="28"/>
        </w:rPr>
        <w:t>1.</w:t>
      </w:r>
      <w:r w:rsidR="004A5B6D">
        <w:rPr>
          <w:b/>
          <w:sz w:val="28"/>
          <w:szCs w:val="28"/>
        </w:rPr>
        <w:t>7</w:t>
      </w:r>
      <w:r w:rsidR="00B03397" w:rsidRPr="002837CA">
        <w:rPr>
          <w:b/>
          <w:sz w:val="28"/>
          <w:szCs w:val="28"/>
        </w:rPr>
        <w:t xml:space="preserve">. Citi jautājumi </w:t>
      </w:r>
    </w:p>
    <w:p w:rsidR="00B03397" w:rsidRPr="000D0931" w:rsidRDefault="00B03397" w:rsidP="004C1552">
      <w:pPr>
        <w:jc w:val="both"/>
        <w:rPr>
          <w:sz w:val="28"/>
          <w:szCs w:val="28"/>
          <w:highlight w:val="yellow"/>
        </w:rPr>
      </w:pPr>
    </w:p>
    <w:p w:rsidR="00B03397" w:rsidRPr="00730AEA" w:rsidRDefault="00134B9F" w:rsidP="00134B9F">
      <w:pPr>
        <w:pStyle w:val="ListParagraph"/>
        <w:numPr>
          <w:ilvl w:val="0"/>
          <w:numId w:val="3"/>
        </w:numPr>
        <w:tabs>
          <w:tab w:val="left" w:pos="284"/>
        </w:tabs>
        <w:jc w:val="both"/>
        <w:rPr>
          <w:b/>
          <w:sz w:val="28"/>
          <w:szCs w:val="28"/>
        </w:rPr>
      </w:pPr>
      <w:r w:rsidRPr="00134B9F">
        <w:rPr>
          <w:b/>
          <w:sz w:val="28"/>
          <w:szCs w:val="28"/>
        </w:rPr>
        <w:t xml:space="preserve">priekšlikums – Eiropas Parlamenta un Padomes direktīva par autortiesību un blakustiesību kolektīvo pārvaldījumu un muzikālo darbu tiešsaistes tiesību </w:t>
      </w:r>
      <w:proofErr w:type="spellStart"/>
      <w:r w:rsidRPr="00134B9F">
        <w:rPr>
          <w:b/>
          <w:sz w:val="28"/>
          <w:szCs w:val="28"/>
        </w:rPr>
        <w:t>daudzteritoriālo</w:t>
      </w:r>
      <w:proofErr w:type="spellEnd"/>
      <w:r w:rsidRPr="00134B9F">
        <w:rPr>
          <w:b/>
          <w:sz w:val="28"/>
          <w:szCs w:val="28"/>
        </w:rPr>
        <w:t xml:space="preserve"> licencēšanu iekšējā tirgū (pirmais lasījums) </w:t>
      </w:r>
      <w:r w:rsidR="00730AEA" w:rsidRPr="00730AEA">
        <w:rPr>
          <w:i/>
          <w:sz w:val="28"/>
          <w:szCs w:val="28"/>
        </w:rPr>
        <w:t>(</w:t>
      </w:r>
      <w:r>
        <w:rPr>
          <w:i/>
          <w:sz w:val="28"/>
          <w:szCs w:val="28"/>
        </w:rPr>
        <w:t>KM</w:t>
      </w:r>
      <w:r w:rsidR="00730AEA" w:rsidRPr="00730AEA">
        <w:rPr>
          <w:i/>
          <w:sz w:val="28"/>
          <w:szCs w:val="28"/>
        </w:rPr>
        <w:t xml:space="preserve"> kompetence</w:t>
      </w:r>
      <w:r w:rsidR="00013A67" w:rsidRPr="00730AEA">
        <w:rPr>
          <w:i/>
          <w:sz w:val="28"/>
          <w:szCs w:val="28"/>
        </w:rPr>
        <w:t>)</w:t>
      </w:r>
    </w:p>
    <w:p w:rsidR="00B03397" w:rsidRPr="00730AEA" w:rsidRDefault="00730AEA" w:rsidP="00730AEA">
      <w:pPr>
        <w:tabs>
          <w:tab w:val="left" w:pos="284"/>
        </w:tabs>
        <w:ind w:left="360"/>
        <w:jc w:val="both"/>
        <w:rPr>
          <w:i/>
          <w:sz w:val="28"/>
          <w:szCs w:val="28"/>
        </w:rPr>
      </w:pPr>
      <w:r w:rsidRPr="00730AEA">
        <w:rPr>
          <w:i/>
          <w:sz w:val="28"/>
          <w:szCs w:val="28"/>
        </w:rPr>
        <w:t xml:space="preserve">- </w:t>
      </w:r>
      <w:r w:rsidR="00134B9F" w:rsidRPr="00134B9F">
        <w:rPr>
          <w:i/>
          <w:sz w:val="28"/>
          <w:szCs w:val="28"/>
        </w:rPr>
        <w:t>prezidentvalsts sniegta informācija par pašreizējo stāvokli</w:t>
      </w:r>
    </w:p>
    <w:p w:rsidR="00F87D49" w:rsidRDefault="00F87D49" w:rsidP="00C90A02">
      <w:pPr>
        <w:jc w:val="both"/>
        <w:rPr>
          <w:sz w:val="28"/>
          <w:szCs w:val="28"/>
          <w:highlight w:val="yellow"/>
        </w:rPr>
      </w:pPr>
    </w:p>
    <w:p w:rsidR="00557BF9" w:rsidRPr="00557BF9" w:rsidRDefault="00CD417C" w:rsidP="00557BF9">
      <w:pPr>
        <w:jc w:val="both"/>
        <w:rPr>
          <w:sz w:val="28"/>
          <w:szCs w:val="28"/>
        </w:rPr>
      </w:pPr>
      <w:r>
        <w:rPr>
          <w:sz w:val="28"/>
          <w:szCs w:val="28"/>
        </w:rPr>
        <w:tab/>
      </w:r>
      <w:r w:rsidR="00557BF9" w:rsidRPr="00557BF9">
        <w:rPr>
          <w:sz w:val="28"/>
          <w:szCs w:val="28"/>
        </w:rPr>
        <w:t xml:space="preserve">Priekšlikums direktīvai tika publicēts 2012.gada 17.jūlijā, un tā mērķis ir radīt atbilstošu tiesisko regulējumu autortiesību un blakustiesību kolektīvajam pārvaldījumam, ko veic mantisko tiesību kolektīvā pārvaldījuma organizācijas, paredzot noteikumus, kas nodrošinātu minēto organizāciju labāku pārvaldību un caurskatāmību, kā arī sekmējot muzikālo darbu autortiesību </w:t>
      </w:r>
      <w:proofErr w:type="spellStart"/>
      <w:r w:rsidR="00557BF9" w:rsidRPr="00557BF9">
        <w:rPr>
          <w:sz w:val="28"/>
          <w:szCs w:val="28"/>
        </w:rPr>
        <w:t>daudzteritoriālo</w:t>
      </w:r>
      <w:proofErr w:type="spellEnd"/>
      <w:r w:rsidR="00557BF9" w:rsidRPr="00557BF9">
        <w:rPr>
          <w:sz w:val="28"/>
          <w:szCs w:val="28"/>
        </w:rPr>
        <w:t xml:space="preserve"> licencēšanu tiešsaistē.</w:t>
      </w:r>
    </w:p>
    <w:p w:rsidR="00557BF9" w:rsidRPr="00557BF9" w:rsidRDefault="00557BF9" w:rsidP="00557BF9">
      <w:pPr>
        <w:jc w:val="both"/>
        <w:rPr>
          <w:sz w:val="28"/>
          <w:szCs w:val="28"/>
        </w:rPr>
      </w:pPr>
      <w:r>
        <w:rPr>
          <w:sz w:val="28"/>
          <w:szCs w:val="28"/>
        </w:rPr>
        <w:tab/>
      </w:r>
      <w:r w:rsidRPr="00557BF9">
        <w:rPr>
          <w:sz w:val="28"/>
          <w:szCs w:val="28"/>
        </w:rPr>
        <w:t>Priekšlikums direktīvai ir vairakkārt izvērtēts ES Padomes Intelektuālā īpašuma (autortiesību) darba grupā, un 2013.gada 5.aprīlī prezidentvalsts nosūtīja dalībvalstīm sagatavoto kompromisa priekšlikumu.</w:t>
      </w:r>
    </w:p>
    <w:p w:rsidR="00CD417C" w:rsidRPr="00AD3FE2" w:rsidRDefault="00557BF9" w:rsidP="00557BF9">
      <w:pPr>
        <w:jc w:val="both"/>
        <w:rPr>
          <w:sz w:val="28"/>
          <w:szCs w:val="28"/>
        </w:rPr>
      </w:pPr>
      <w:r>
        <w:rPr>
          <w:sz w:val="28"/>
          <w:szCs w:val="28"/>
        </w:rPr>
        <w:tab/>
      </w:r>
      <w:r w:rsidRPr="00557BF9">
        <w:rPr>
          <w:sz w:val="28"/>
          <w:szCs w:val="28"/>
        </w:rPr>
        <w:t>Paredzams, ka Eiropas Parlamenta Juridiskā komiteja pieņems ziņojumu par priekšlikumu 2013.gada jūlijā.</w:t>
      </w:r>
    </w:p>
    <w:p w:rsidR="00CD417C" w:rsidRDefault="00CD417C" w:rsidP="00C90A02">
      <w:pPr>
        <w:jc w:val="both"/>
        <w:rPr>
          <w:sz w:val="28"/>
          <w:szCs w:val="28"/>
          <w:highlight w:val="yellow"/>
        </w:rPr>
      </w:pPr>
    </w:p>
    <w:p w:rsidR="00F87D49" w:rsidRPr="00730AEA" w:rsidRDefault="00134B9F" w:rsidP="00134B9F">
      <w:pPr>
        <w:pStyle w:val="ListParagraph"/>
        <w:numPr>
          <w:ilvl w:val="0"/>
          <w:numId w:val="3"/>
        </w:numPr>
        <w:jc w:val="both"/>
        <w:rPr>
          <w:b/>
          <w:sz w:val="28"/>
          <w:szCs w:val="28"/>
        </w:rPr>
      </w:pPr>
      <w:r w:rsidRPr="00134B9F">
        <w:rPr>
          <w:b/>
          <w:sz w:val="28"/>
          <w:szCs w:val="28"/>
        </w:rPr>
        <w:t>priekšlikums – Eiropas Parlamenta un Padomes Regula, ar ko izveido Uzņēmumu konkurētspējas un mazo un vidējo uzņēmumu programmu (COSME) (2014.–2020. gadam) (pirmais lasījums)</w:t>
      </w:r>
      <w:r w:rsidR="00730AEA" w:rsidRPr="00730AEA">
        <w:rPr>
          <w:b/>
          <w:sz w:val="28"/>
          <w:szCs w:val="28"/>
        </w:rPr>
        <w:t xml:space="preserve"> </w:t>
      </w:r>
      <w:r w:rsidR="0046554A" w:rsidRPr="00730AEA">
        <w:rPr>
          <w:i/>
          <w:sz w:val="28"/>
          <w:szCs w:val="28"/>
        </w:rPr>
        <w:t>(</w:t>
      </w:r>
      <w:r>
        <w:rPr>
          <w:i/>
          <w:sz w:val="28"/>
          <w:szCs w:val="28"/>
        </w:rPr>
        <w:t>E</w:t>
      </w:r>
      <w:r w:rsidR="00730AEA" w:rsidRPr="00730AEA">
        <w:rPr>
          <w:i/>
          <w:sz w:val="28"/>
          <w:szCs w:val="28"/>
        </w:rPr>
        <w:t>M</w:t>
      </w:r>
      <w:r w:rsidR="0046554A" w:rsidRPr="00730AEA">
        <w:rPr>
          <w:i/>
          <w:sz w:val="28"/>
          <w:szCs w:val="28"/>
        </w:rPr>
        <w:t xml:space="preserve"> kompetence)</w:t>
      </w:r>
    </w:p>
    <w:p w:rsidR="00F87D49" w:rsidRPr="00134B9F" w:rsidRDefault="00134B9F" w:rsidP="00134B9F">
      <w:pPr>
        <w:ind w:left="360"/>
        <w:jc w:val="both"/>
        <w:rPr>
          <w:i/>
          <w:sz w:val="28"/>
          <w:szCs w:val="28"/>
        </w:rPr>
      </w:pPr>
      <w:r>
        <w:rPr>
          <w:i/>
          <w:sz w:val="28"/>
          <w:szCs w:val="28"/>
        </w:rPr>
        <w:t xml:space="preserve">- </w:t>
      </w:r>
      <w:r w:rsidRPr="00134B9F">
        <w:rPr>
          <w:i/>
          <w:sz w:val="28"/>
          <w:szCs w:val="28"/>
        </w:rPr>
        <w:t>Prezidentvalsts sniegta informācija</w:t>
      </w:r>
    </w:p>
    <w:p w:rsidR="001129BD" w:rsidRDefault="001129BD" w:rsidP="00C90A02">
      <w:pPr>
        <w:jc w:val="both"/>
        <w:rPr>
          <w:sz w:val="28"/>
          <w:szCs w:val="28"/>
          <w:highlight w:val="yellow"/>
        </w:rPr>
      </w:pPr>
    </w:p>
    <w:p w:rsidR="00E85892" w:rsidRPr="0027763C" w:rsidRDefault="00030F27" w:rsidP="00E85892">
      <w:pPr>
        <w:jc w:val="both"/>
        <w:rPr>
          <w:sz w:val="28"/>
          <w:szCs w:val="28"/>
        </w:rPr>
      </w:pPr>
      <w:r>
        <w:rPr>
          <w:sz w:val="28"/>
          <w:szCs w:val="28"/>
        </w:rPr>
        <w:tab/>
      </w:r>
      <w:r w:rsidR="00E85892" w:rsidRPr="0027763C">
        <w:rPr>
          <w:sz w:val="28"/>
          <w:szCs w:val="28"/>
        </w:rPr>
        <w:t>Lai  uzlabotu uzņēmumu konkurētspēju, īpašu uzmanību pievēršot maziem un vidējiem komersantiem, un nodrošinātu Konkurētspējas un inovācijas programmas</w:t>
      </w:r>
      <w:r>
        <w:rPr>
          <w:sz w:val="28"/>
          <w:szCs w:val="28"/>
        </w:rPr>
        <w:t xml:space="preserve"> (turpmāk - CIP)</w:t>
      </w:r>
      <w:r w:rsidR="00E85892" w:rsidRPr="0027763C">
        <w:rPr>
          <w:sz w:val="28"/>
          <w:szCs w:val="28"/>
        </w:rPr>
        <w:t xml:space="preserve"> īstenoto pasākumu ilgtspēju, 2011.gada 30.novembrī Eiropas Komisija nāca klajā ar priekšlikumu</w:t>
      </w:r>
      <w:r>
        <w:rPr>
          <w:sz w:val="28"/>
          <w:szCs w:val="28"/>
        </w:rPr>
        <w:t xml:space="preserve"> -</w:t>
      </w:r>
      <w:r w:rsidRPr="00030F27">
        <w:rPr>
          <w:sz w:val="28"/>
          <w:szCs w:val="28"/>
        </w:rPr>
        <w:t xml:space="preserve"> Eiropas Parlamenta un Padomes Regula, ar ko izveido Uzņēmumu konkurētspējas un mazo un vidējo uzņēmumu programmu (</w:t>
      </w:r>
      <w:r>
        <w:rPr>
          <w:sz w:val="28"/>
          <w:szCs w:val="28"/>
        </w:rPr>
        <w:t xml:space="preserve">turpmāk – </w:t>
      </w:r>
      <w:r w:rsidRPr="00030F27">
        <w:rPr>
          <w:sz w:val="28"/>
          <w:szCs w:val="28"/>
        </w:rPr>
        <w:t>COSME</w:t>
      </w:r>
      <w:r>
        <w:rPr>
          <w:sz w:val="28"/>
          <w:szCs w:val="28"/>
        </w:rPr>
        <w:t xml:space="preserve"> programma</w:t>
      </w:r>
      <w:r w:rsidRPr="00030F27">
        <w:rPr>
          <w:sz w:val="28"/>
          <w:szCs w:val="28"/>
        </w:rPr>
        <w:t>)</w:t>
      </w:r>
      <w:r w:rsidR="00E85892" w:rsidRPr="00030F27">
        <w:rPr>
          <w:sz w:val="28"/>
          <w:szCs w:val="28"/>
        </w:rPr>
        <w:t xml:space="preserve">, </w:t>
      </w:r>
      <w:r w:rsidR="00E85892" w:rsidRPr="0027763C">
        <w:rPr>
          <w:sz w:val="28"/>
          <w:szCs w:val="28"/>
        </w:rPr>
        <w:t>kas ietver daļu no C</w:t>
      </w:r>
      <w:r w:rsidR="00E85892">
        <w:rPr>
          <w:sz w:val="28"/>
          <w:szCs w:val="28"/>
        </w:rPr>
        <w:t xml:space="preserve">IP ietvaros atbalstītajām jomām. </w:t>
      </w:r>
      <w:r w:rsidR="00E85892" w:rsidRPr="0027763C">
        <w:rPr>
          <w:sz w:val="28"/>
          <w:szCs w:val="28"/>
        </w:rPr>
        <w:t xml:space="preserve">COSME </w:t>
      </w:r>
      <w:r w:rsidR="00E85892">
        <w:rPr>
          <w:sz w:val="28"/>
          <w:szCs w:val="28"/>
        </w:rPr>
        <w:t xml:space="preserve">programmas </w:t>
      </w:r>
      <w:r w:rsidR="00E85892" w:rsidRPr="0027763C">
        <w:rPr>
          <w:sz w:val="28"/>
          <w:szCs w:val="28"/>
        </w:rPr>
        <w:t xml:space="preserve">ietvaros galvenie atbalsta </w:t>
      </w:r>
      <w:r w:rsidR="00E85892">
        <w:rPr>
          <w:sz w:val="28"/>
          <w:szCs w:val="28"/>
        </w:rPr>
        <w:t>saņēmēji būs uzņēmēji, īpaši mazie un vidējie uzņēmumi (turpmāk - MVU)</w:t>
      </w:r>
      <w:r w:rsidR="00E85892" w:rsidRPr="0027763C">
        <w:rPr>
          <w:sz w:val="28"/>
          <w:szCs w:val="28"/>
        </w:rPr>
        <w:t xml:space="preserve">, kam būs iespēja piekļūt finansējumam sava biznesa attīstībai un izaugsmei. </w:t>
      </w:r>
      <w:r w:rsidR="00E85892" w:rsidRPr="00E85892">
        <w:rPr>
          <w:sz w:val="28"/>
          <w:szCs w:val="28"/>
        </w:rPr>
        <w:t>COSME programmas īstenošanai laika posmā no 2014.gada 1.janvāra līdz 2020.gada 31.decembrim plānots finansējums EUR 2,522 miljardi apmērā, no tā vismaz 60% novirzot finanšu tirgus instrumentiem mazo un vidējo komersantu attīstībai.</w:t>
      </w:r>
    </w:p>
    <w:p w:rsidR="00E85892" w:rsidRPr="0027763C" w:rsidRDefault="00E85892" w:rsidP="00E85892">
      <w:pPr>
        <w:jc w:val="both"/>
        <w:rPr>
          <w:sz w:val="28"/>
          <w:szCs w:val="28"/>
        </w:rPr>
      </w:pPr>
      <w:r w:rsidRPr="0027763C">
        <w:rPr>
          <w:sz w:val="28"/>
          <w:szCs w:val="28"/>
        </w:rPr>
        <w:t xml:space="preserve">  </w:t>
      </w:r>
      <w:r w:rsidRPr="0027763C">
        <w:rPr>
          <w:sz w:val="28"/>
          <w:szCs w:val="28"/>
        </w:rPr>
        <w:tab/>
        <w:t xml:space="preserve">COSME </w:t>
      </w:r>
      <w:r>
        <w:rPr>
          <w:sz w:val="28"/>
          <w:szCs w:val="28"/>
        </w:rPr>
        <w:t>programmas i</w:t>
      </w:r>
      <w:r w:rsidRPr="0027763C">
        <w:rPr>
          <w:sz w:val="28"/>
          <w:szCs w:val="28"/>
        </w:rPr>
        <w:t>etvaros ir noteikti četri konkrētie mērķi un rīcības jomas:</w:t>
      </w:r>
    </w:p>
    <w:p w:rsidR="00E85892" w:rsidRPr="0027763C" w:rsidRDefault="00E85892" w:rsidP="00E85892">
      <w:pPr>
        <w:numPr>
          <w:ilvl w:val="0"/>
          <w:numId w:val="33"/>
        </w:numPr>
        <w:autoSpaceDE w:val="0"/>
        <w:autoSpaceDN w:val="0"/>
        <w:adjustRightInd w:val="0"/>
        <w:jc w:val="both"/>
        <w:rPr>
          <w:sz w:val="28"/>
          <w:szCs w:val="28"/>
        </w:rPr>
      </w:pPr>
      <w:r w:rsidRPr="0027763C">
        <w:rPr>
          <w:sz w:val="28"/>
          <w:szCs w:val="28"/>
        </w:rPr>
        <w:t xml:space="preserve">ES uzņēmumu konkurētspējas un ilgtspējas pamatnosacījumu uzlabošanai veicamās darbības; </w:t>
      </w:r>
    </w:p>
    <w:p w:rsidR="00E85892" w:rsidRPr="0027763C" w:rsidRDefault="00E85892" w:rsidP="00E85892">
      <w:pPr>
        <w:numPr>
          <w:ilvl w:val="0"/>
          <w:numId w:val="33"/>
        </w:numPr>
        <w:autoSpaceDE w:val="0"/>
        <w:autoSpaceDN w:val="0"/>
        <w:adjustRightInd w:val="0"/>
        <w:jc w:val="both"/>
        <w:rPr>
          <w:sz w:val="28"/>
          <w:szCs w:val="28"/>
        </w:rPr>
      </w:pPr>
      <w:r w:rsidRPr="0027763C">
        <w:rPr>
          <w:sz w:val="28"/>
          <w:szCs w:val="28"/>
        </w:rPr>
        <w:t>Uzņēmējdarbības veicināšanas darbības;</w:t>
      </w:r>
    </w:p>
    <w:p w:rsidR="00E85892" w:rsidRPr="0027763C" w:rsidRDefault="00E85892" w:rsidP="00E85892">
      <w:pPr>
        <w:numPr>
          <w:ilvl w:val="0"/>
          <w:numId w:val="34"/>
        </w:numPr>
        <w:autoSpaceDE w:val="0"/>
        <w:autoSpaceDN w:val="0"/>
        <w:adjustRightInd w:val="0"/>
        <w:rPr>
          <w:sz w:val="28"/>
          <w:szCs w:val="28"/>
        </w:rPr>
      </w:pPr>
      <w:r w:rsidRPr="0027763C">
        <w:rPr>
          <w:sz w:val="28"/>
          <w:szCs w:val="28"/>
        </w:rPr>
        <w:t>Darbības, lai uzlabotu finansējuma pieejamību;</w:t>
      </w:r>
    </w:p>
    <w:p w:rsidR="00E85892" w:rsidRPr="0027763C" w:rsidRDefault="00E85892" w:rsidP="00E85892">
      <w:pPr>
        <w:numPr>
          <w:ilvl w:val="0"/>
          <w:numId w:val="34"/>
        </w:numPr>
        <w:autoSpaceDE w:val="0"/>
        <w:autoSpaceDN w:val="0"/>
        <w:adjustRightInd w:val="0"/>
        <w:rPr>
          <w:sz w:val="28"/>
          <w:szCs w:val="28"/>
        </w:rPr>
      </w:pPr>
      <w:r w:rsidRPr="0027763C">
        <w:rPr>
          <w:sz w:val="28"/>
          <w:szCs w:val="28"/>
        </w:rPr>
        <w:t>Darbības, lai uzlabotu piekļuvi tirgiem.</w:t>
      </w:r>
    </w:p>
    <w:p w:rsidR="000017A5" w:rsidRDefault="00E85892" w:rsidP="00440F51">
      <w:pPr>
        <w:ind w:firstLine="720"/>
        <w:jc w:val="both"/>
        <w:rPr>
          <w:sz w:val="28"/>
          <w:szCs w:val="28"/>
        </w:rPr>
      </w:pPr>
      <w:r w:rsidRPr="0027763C">
        <w:rPr>
          <w:sz w:val="28"/>
          <w:szCs w:val="28"/>
        </w:rPr>
        <w:t>Pēc izvērstajām diskusijām darba grupu un Pastāvīgo pārstāvju komitejas sanāksmēs 2012.gada 30.maija ES Konkurētspējas ministru padomes sanāksmē tika panākta vienošanās par daļēji vispārējo pieeju</w:t>
      </w:r>
      <w:r>
        <w:rPr>
          <w:sz w:val="28"/>
          <w:szCs w:val="28"/>
        </w:rPr>
        <w:t xml:space="preserve"> par COSME regulas priekšlikumu, ko</w:t>
      </w:r>
      <w:r w:rsidRPr="0027763C">
        <w:rPr>
          <w:sz w:val="28"/>
          <w:szCs w:val="28"/>
        </w:rPr>
        <w:t xml:space="preserve"> </w:t>
      </w:r>
      <w:r w:rsidRPr="00E85892">
        <w:rPr>
          <w:sz w:val="28"/>
          <w:szCs w:val="28"/>
        </w:rPr>
        <w:t>Latvija atbalstīja</w:t>
      </w:r>
      <w:r w:rsidRPr="0027763C">
        <w:rPr>
          <w:sz w:val="28"/>
          <w:szCs w:val="28"/>
        </w:rPr>
        <w:t xml:space="preserve">. </w:t>
      </w:r>
      <w:r>
        <w:rPr>
          <w:sz w:val="28"/>
          <w:szCs w:val="28"/>
        </w:rPr>
        <w:t xml:space="preserve">Normatīvos aktus par COSME programmu plānots pieņemt 2013.gada vidū. </w:t>
      </w:r>
    </w:p>
    <w:p w:rsidR="00440F51" w:rsidRPr="00440F51" w:rsidRDefault="00440F51" w:rsidP="00440F51">
      <w:pPr>
        <w:ind w:firstLine="720"/>
        <w:jc w:val="both"/>
        <w:rPr>
          <w:sz w:val="28"/>
          <w:szCs w:val="28"/>
        </w:rPr>
      </w:pPr>
      <w:r>
        <w:rPr>
          <w:sz w:val="28"/>
          <w:szCs w:val="28"/>
        </w:rPr>
        <w:t xml:space="preserve">Ņemot vērā 2013.gada </w:t>
      </w:r>
      <w:r w:rsidR="0079483C" w:rsidRPr="00630538">
        <w:rPr>
          <w:sz w:val="28"/>
          <w:szCs w:val="28"/>
        </w:rPr>
        <w:t>1</w:t>
      </w:r>
      <w:r w:rsidRPr="00630538">
        <w:rPr>
          <w:sz w:val="28"/>
          <w:szCs w:val="28"/>
        </w:rPr>
        <w:t>5.maijā</w:t>
      </w:r>
      <w:r w:rsidRPr="00440F51">
        <w:rPr>
          <w:sz w:val="28"/>
          <w:szCs w:val="28"/>
        </w:rPr>
        <w:t xml:space="preserve"> notikušo otro neformālo trialogu ar Eiropas Parlamentu par COSME programmu,  sanāksmes laikā prezidentvalsts plāno sniegt aktuālo informāciju par diskusiju progresu.</w:t>
      </w:r>
    </w:p>
    <w:p w:rsidR="000017A5" w:rsidRPr="000D0931" w:rsidRDefault="000017A5" w:rsidP="00C90A02">
      <w:pPr>
        <w:jc w:val="both"/>
        <w:rPr>
          <w:sz w:val="28"/>
          <w:szCs w:val="28"/>
          <w:highlight w:val="yellow"/>
        </w:rPr>
      </w:pPr>
    </w:p>
    <w:p w:rsidR="00C90A02" w:rsidRPr="00730AEA" w:rsidRDefault="00134B9F" w:rsidP="00134B9F">
      <w:pPr>
        <w:pStyle w:val="ListParagraph"/>
        <w:numPr>
          <w:ilvl w:val="0"/>
          <w:numId w:val="3"/>
        </w:numPr>
        <w:jc w:val="both"/>
        <w:rPr>
          <w:b/>
          <w:sz w:val="28"/>
          <w:szCs w:val="28"/>
        </w:rPr>
      </w:pPr>
      <w:proofErr w:type="spellStart"/>
      <w:r w:rsidRPr="00134B9F">
        <w:rPr>
          <w:b/>
          <w:i/>
          <w:sz w:val="28"/>
          <w:szCs w:val="28"/>
        </w:rPr>
        <w:t>LeaderSHIP</w:t>
      </w:r>
      <w:proofErr w:type="spellEnd"/>
      <w:r w:rsidRPr="00134B9F">
        <w:rPr>
          <w:b/>
          <w:i/>
          <w:sz w:val="28"/>
          <w:szCs w:val="28"/>
        </w:rPr>
        <w:t xml:space="preserve"> 2020</w:t>
      </w:r>
      <w:r w:rsidRPr="00134B9F">
        <w:rPr>
          <w:b/>
          <w:sz w:val="28"/>
          <w:szCs w:val="28"/>
        </w:rPr>
        <w:t xml:space="preserve"> </w:t>
      </w:r>
      <w:r w:rsidR="0046554A" w:rsidRPr="00730AEA">
        <w:rPr>
          <w:i/>
          <w:sz w:val="28"/>
          <w:szCs w:val="28"/>
        </w:rPr>
        <w:t>(EM kompetence)</w:t>
      </w:r>
    </w:p>
    <w:p w:rsidR="00C90A02" w:rsidRPr="00730AEA" w:rsidRDefault="00730AEA" w:rsidP="002902E4">
      <w:pPr>
        <w:pStyle w:val="ListParagraph"/>
        <w:numPr>
          <w:ilvl w:val="0"/>
          <w:numId w:val="2"/>
        </w:numPr>
        <w:jc w:val="both"/>
        <w:rPr>
          <w:i/>
          <w:sz w:val="28"/>
          <w:szCs w:val="28"/>
        </w:rPr>
      </w:pPr>
      <w:r w:rsidRPr="00730AEA">
        <w:rPr>
          <w:i/>
          <w:sz w:val="28"/>
          <w:szCs w:val="28"/>
        </w:rPr>
        <w:t>Komisijas</w:t>
      </w:r>
      <w:r w:rsidR="00C90A02" w:rsidRPr="00730AEA">
        <w:rPr>
          <w:i/>
          <w:sz w:val="28"/>
          <w:szCs w:val="28"/>
        </w:rPr>
        <w:t xml:space="preserve"> sniegta informācija</w:t>
      </w:r>
    </w:p>
    <w:p w:rsidR="00D354CF" w:rsidRDefault="00D354CF" w:rsidP="00D354CF">
      <w:pPr>
        <w:spacing w:line="276" w:lineRule="auto"/>
        <w:rPr>
          <w:i/>
          <w:sz w:val="28"/>
          <w:szCs w:val="28"/>
        </w:rPr>
      </w:pPr>
    </w:p>
    <w:p w:rsidR="003D62AC" w:rsidRDefault="003D62AC" w:rsidP="003D62AC">
      <w:pPr>
        <w:spacing w:line="276" w:lineRule="auto"/>
        <w:jc w:val="both"/>
        <w:rPr>
          <w:sz w:val="28"/>
          <w:szCs w:val="28"/>
        </w:rPr>
      </w:pPr>
      <w:r>
        <w:rPr>
          <w:sz w:val="28"/>
          <w:szCs w:val="28"/>
        </w:rPr>
        <w:tab/>
        <w:t xml:space="preserve">2002.gadā Eiropas kuģubūves rūpniecība attīstīja redzējumu un stratēģiju 2015.gadam </w:t>
      </w:r>
      <w:proofErr w:type="spellStart"/>
      <w:r w:rsidRPr="005064B6">
        <w:rPr>
          <w:i/>
          <w:sz w:val="28"/>
          <w:szCs w:val="28"/>
        </w:rPr>
        <w:t>LeaderSHIP</w:t>
      </w:r>
      <w:proofErr w:type="spellEnd"/>
      <w:r w:rsidRPr="005064B6">
        <w:rPr>
          <w:i/>
          <w:sz w:val="28"/>
          <w:szCs w:val="28"/>
        </w:rPr>
        <w:t xml:space="preserve"> 2015</w:t>
      </w:r>
      <w:r>
        <w:rPr>
          <w:sz w:val="28"/>
          <w:szCs w:val="28"/>
        </w:rPr>
        <w:t>, lai nodrošinātu šīs jomas ilgtermiņa attīstību. Šis redzējums balstījās uz pieciem galvenajiem stratēģiskajiem elementiem:</w:t>
      </w:r>
    </w:p>
    <w:p w:rsidR="003D62AC" w:rsidRDefault="003D62AC" w:rsidP="003D62AC">
      <w:pPr>
        <w:pStyle w:val="ListParagraph"/>
        <w:numPr>
          <w:ilvl w:val="0"/>
          <w:numId w:val="42"/>
        </w:numPr>
        <w:spacing w:line="276" w:lineRule="auto"/>
        <w:jc w:val="both"/>
        <w:rPr>
          <w:sz w:val="28"/>
          <w:szCs w:val="28"/>
        </w:rPr>
      </w:pPr>
      <w:r w:rsidRPr="003D62AC">
        <w:rPr>
          <w:sz w:val="28"/>
          <w:szCs w:val="28"/>
        </w:rPr>
        <w:t>Līderības</w:t>
      </w:r>
      <w:r>
        <w:rPr>
          <w:sz w:val="28"/>
          <w:szCs w:val="28"/>
        </w:rPr>
        <w:t xml:space="preserve"> uzlabošana atsevišķos jūras nozares tirgus segmentos;</w:t>
      </w:r>
    </w:p>
    <w:p w:rsidR="003D62AC" w:rsidRDefault="003D62AC" w:rsidP="003D62AC">
      <w:pPr>
        <w:pStyle w:val="ListParagraph"/>
        <w:numPr>
          <w:ilvl w:val="0"/>
          <w:numId w:val="42"/>
        </w:numPr>
        <w:spacing w:line="276" w:lineRule="auto"/>
        <w:jc w:val="both"/>
        <w:rPr>
          <w:sz w:val="28"/>
          <w:szCs w:val="28"/>
        </w:rPr>
      </w:pPr>
      <w:r>
        <w:rPr>
          <w:sz w:val="28"/>
          <w:szCs w:val="28"/>
        </w:rPr>
        <w:t>Inovācijas veicināšana un aizsardzība;</w:t>
      </w:r>
    </w:p>
    <w:p w:rsidR="003D62AC" w:rsidRDefault="003D62AC" w:rsidP="003D62AC">
      <w:pPr>
        <w:pStyle w:val="ListParagraph"/>
        <w:numPr>
          <w:ilvl w:val="0"/>
          <w:numId w:val="42"/>
        </w:numPr>
        <w:spacing w:line="276" w:lineRule="auto"/>
        <w:jc w:val="both"/>
        <w:rPr>
          <w:sz w:val="28"/>
          <w:szCs w:val="28"/>
        </w:rPr>
      </w:pPr>
      <w:r>
        <w:rPr>
          <w:sz w:val="28"/>
          <w:szCs w:val="28"/>
        </w:rPr>
        <w:t>Stiprināta koncentrēšanās uz patērētājiem;</w:t>
      </w:r>
    </w:p>
    <w:p w:rsidR="003D62AC" w:rsidRDefault="003D62AC" w:rsidP="003D62AC">
      <w:pPr>
        <w:pStyle w:val="ListParagraph"/>
        <w:numPr>
          <w:ilvl w:val="0"/>
          <w:numId w:val="42"/>
        </w:numPr>
        <w:spacing w:line="276" w:lineRule="auto"/>
        <w:jc w:val="both"/>
        <w:rPr>
          <w:sz w:val="28"/>
          <w:szCs w:val="28"/>
        </w:rPr>
      </w:pPr>
      <w:r>
        <w:rPr>
          <w:sz w:val="28"/>
          <w:szCs w:val="28"/>
        </w:rPr>
        <w:t xml:space="preserve">Uzlabota rūpniecības struktūra un </w:t>
      </w:r>
      <w:r w:rsidR="005064B6">
        <w:rPr>
          <w:sz w:val="28"/>
          <w:szCs w:val="28"/>
        </w:rPr>
        <w:t>īstenots tīkla darbības modelis;</w:t>
      </w:r>
    </w:p>
    <w:p w:rsidR="005064B6" w:rsidRPr="003D62AC" w:rsidRDefault="005064B6" w:rsidP="003D62AC">
      <w:pPr>
        <w:pStyle w:val="ListParagraph"/>
        <w:numPr>
          <w:ilvl w:val="0"/>
          <w:numId w:val="42"/>
        </w:numPr>
        <w:spacing w:line="276" w:lineRule="auto"/>
        <w:jc w:val="both"/>
        <w:rPr>
          <w:sz w:val="28"/>
          <w:szCs w:val="28"/>
        </w:rPr>
      </w:pPr>
      <w:r>
        <w:rPr>
          <w:sz w:val="28"/>
          <w:szCs w:val="28"/>
        </w:rPr>
        <w:t>Uzsvars uz ražošanas optimi</w:t>
      </w:r>
      <w:r w:rsidR="004C7C91">
        <w:rPr>
          <w:sz w:val="28"/>
          <w:szCs w:val="28"/>
        </w:rPr>
        <w:t>zāciju un virzīšanos uz zināšanām</w:t>
      </w:r>
      <w:r>
        <w:rPr>
          <w:sz w:val="28"/>
          <w:szCs w:val="28"/>
        </w:rPr>
        <w:t xml:space="preserve"> bāzētu ražošanu.</w:t>
      </w:r>
    </w:p>
    <w:p w:rsidR="002F6F25" w:rsidRDefault="005064B6" w:rsidP="002F6F25">
      <w:pPr>
        <w:jc w:val="both"/>
        <w:rPr>
          <w:sz w:val="28"/>
          <w:szCs w:val="28"/>
        </w:rPr>
      </w:pPr>
      <w:r>
        <w:rPr>
          <w:sz w:val="28"/>
          <w:szCs w:val="28"/>
        </w:rPr>
        <w:tab/>
        <w:t xml:space="preserve">Stratēģija </w:t>
      </w:r>
      <w:proofErr w:type="spellStart"/>
      <w:r w:rsidRPr="005064B6">
        <w:rPr>
          <w:i/>
          <w:sz w:val="28"/>
          <w:szCs w:val="28"/>
        </w:rPr>
        <w:t>LeaderSHIP</w:t>
      </w:r>
      <w:proofErr w:type="spellEnd"/>
      <w:r w:rsidRPr="005064B6">
        <w:rPr>
          <w:i/>
          <w:sz w:val="28"/>
          <w:szCs w:val="28"/>
        </w:rPr>
        <w:t xml:space="preserve"> 2015</w:t>
      </w:r>
      <w:r>
        <w:rPr>
          <w:sz w:val="28"/>
          <w:szCs w:val="28"/>
        </w:rPr>
        <w:t xml:space="preserve"> tika attīstīta</w:t>
      </w:r>
      <w:r w:rsidR="004C7C91">
        <w:rPr>
          <w:sz w:val="28"/>
          <w:szCs w:val="28"/>
        </w:rPr>
        <w:t>,</w:t>
      </w:r>
      <w:r>
        <w:rPr>
          <w:sz w:val="28"/>
          <w:szCs w:val="28"/>
        </w:rPr>
        <w:t xml:space="preserve"> EK cieši sadarbojoties ar rūpniecības nozari, un kļuva par paraugu modernai rūpniecības politikai. Savukārt pārskatītā un 2013.gada 20.februārī publicētā stratēģija </w:t>
      </w:r>
      <w:proofErr w:type="spellStart"/>
      <w:r w:rsidRPr="005064B6">
        <w:rPr>
          <w:i/>
          <w:sz w:val="28"/>
          <w:szCs w:val="28"/>
        </w:rPr>
        <w:t>LeaderSHIP</w:t>
      </w:r>
      <w:proofErr w:type="spellEnd"/>
      <w:r w:rsidRPr="005064B6">
        <w:rPr>
          <w:i/>
          <w:sz w:val="28"/>
          <w:szCs w:val="28"/>
        </w:rPr>
        <w:t xml:space="preserve"> 2020</w:t>
      </w:r>
      <w:r>
        <w:rPr>
          <w:sz w:val="28"/>
          <w:szCs w:val="28"/>
        </w:rPr>
        <w:t xml:space="preserve"> ir izstrādāta iesaistot rūpniecību, arodbiedrības, nevalstiskās organizācijas un dažādus Eiropas, nacionālā un reģionālā līmeņa iesaistītos pārstāvjus. Tās mērķis ir piedāvāt rekomendācijas īstermiņa un vidēja termiņa ilgtspējīgas izaugsmes veicināšan</w:t>
      </w:r>
      <w:r w:rsidR="00C05062">
        <w:rPr>
          <w:sz w:val="28"/>
          <w:szCs w:val="28"/>
        </w:rPr>
        <w:t>ai</w:t>
      </w:r>
      <w:r>
        <w:rPr>
          <w:sz w:val="28"/>
          <w:szCs w:val="28"/>
        </w:rPr>
        <w:t>, augstas-līmeņa darba vietu saglabāšan</w:t>
      </w:r>
      <w:r w:rsidR="00C05062">
        <w:rPr>
          <w:sz w:val="28"/>
          <w:szCs w:val="28"/>
        </w:rPr>
        <w:t>ai</w:t>
      </w:r>
      <w:r>
        <w:rPr>
          <w:sz w:val="28"/>
          <w:szCs w:val="28"/>
        </w:rPr>
        <w:t xml:space="preserve">, kā arī </w:t>
      </w:r>
      <w:r w:rsidR="00C05062">
        <w:rPr>
          <w:sz w:val="28"/>
          <w:szCs w:val="28"/>
        </w:rPr>
        <w:t xml:space="preserve">Eiropas </w:t>
      </w:r>
      <w:r>
        <w:rPr>
          <w:sz w:val="28"/>
          <w:szCs w:val="28"/>
        </w:rPr>
        <w:t xml:space="preserve">sociālo izaicinājumu </w:t>
      </w:r>
      <w:r w:rsidR="00C05062">
        <w:rPr>
          <w:sz w:val="28"/>
          <w:szCs w:val="28"/>
        </w:rPr>
        <w:t>pārvarēšanā.</w:t>
      </w:r>
      <w:r w:rsidR="002F6F25">
        <w:rPr>
          <w:sz w:val="28"/>
          <w:szCs w:val="28"/>
        </w:rPr>
        <w:t xml:space="preserve"> </w:t>
      </w:r>
    </w:p>
    <w:p w:rsidR="00D354CF" w:rsidRPr="00624F83" w:rsidRDefault="002F6F25" w:rsidP="00624F83">
      <w:pPr>
        <w:jc w:val="both"/>
        <w:rPr>
          <w:sz w:val="28"/>
          <w:szCs w:val="28"/>
        </w:rPr>
      </w:pPr>
      <w:r>
        <w:rPr>
          <w:sz w:val="28"/>
          <w:szCs w:val="28"/>
        </w:rPr>
        <w:tab/>
        <w:t xml:space="preserve">Latvijai svarīgākie jautājumi šajā kontekstā </w:t>
      </w:r>
      <w:r w:rsidR="007662DA">
        <w:rPr>
          <w:sz w:val="28"/>
          <w:szCs w:val="28"/>
        </w:rPr>
        <w:t>i</w:t>
      </w:r>
      <w:r>
        <w:rPr>
          <w:sz w:val="28"/>
          <w:szCs w:val="28"/>
        </w:rPr>
        <w:t>r tirgus pieejamība, p</w:t>
      </w:r>
      <w:r w:rsidRPr="002F6F25">
        <w:rPr>
          <w:sz w:val="28"/>
          <w:szCs w:val="28"/>
        </w:rPr>
        <w:t>ieeja finansējumam, apdrošināšana, valsts atbalsta nosacījumi</w:t>
      </w:r>
      <w:r>
        <w:rPr>
          <w:sz w:val="28"/>
          <w:szCs w:val="28"/>
        </w:rPr>
        <w:t>, p</w:t>
      </w:r>
      <w:r w:rsidR="00F56B55">
        <w:rPr>
          <w:sz w:val="28"/>
          <w:szCs w:val="28"/>
        </w:rPr>
        <w:t>ētniecība, attīstība un</w:t>
      </w:r>
      <w:r w:rsidRPr="002F6F25">
        <w:rPr>
          <w:sz w:val="28"/>
          <w:szCs w:val="28"/>
        </w:rPr>
        <w:t xml:space="preserve"> i</w:t>
      </w:r>
      <w:r w:rsidR="00F56B55">
        <w:rPr>
          <w:sz w:val="28"/>
          <w:szCs w:val="28"/>
        </w:rPr>
        <w:t>novācija.</w:t>
      </w:r>
    </w:p>
    <w:p w:rsidR="00CD417C" w:rsidRPr="000D0931" w:rsidRDefault="00CD417C" w:rsidP="00134B9F">
      <w:pPr>
        <w:jc w:val="both"/>
        <w:rPr>
          <w:sz w:val="28"/>
          <w:highlight w:val="yellow"/>
        </w:rPr>
      </w:pPr>
    </w:p>
    <w:p w:rsidR="00134B9F" w:rsidRPr="00730AEA" w:rsidRDefault="00134B9F" w:rsidP="00134B9F">
      <w:pPr>
        <w:pStyle w:val="ListParagraph"/>
        <w:numPr>
          <w:ilvl w:val="0"/>
          <w:numId w:val="3"/>
        </w:numPr>
        <w:jc w:val="both"/>
        <w:rPr>
          <w:b/>
          <w:sz w:val="28"/>
          <w:szCs w:val="28"/>
        </w:rPr>
      </w:pPr>
      <w:r w:rsidRPr="00134B9F">
        <w:rPr>
          <w:b/>
          <w:i/>
          <w:sz w:val="28"/>
          <w:szCs w:val="28"/>
        </w:rPr>
        <w:t xml:space="preserve">Pārskatīti noteikumi par pasažieru automobiļu un vieglo kravas automobiļu CO2 emisijām, ņemot vērā Eiropas vieglo automobiļu ražotāju konkurētspēju </w:t>
      </w:r>
      <w:r>
        <w:rPr>
          <w:i/>
          <w:sz w:val="28"/>
          <w:szCs w:val="28"/>
        </w:rPr>
        <w:t>(SAM</w:t>
      </w:r>
      <w:r w:rsidRPr="00730AEA">
        <w:rPr>
          <w:i/>
          <w:sz w:val="28"/>
          <w:szCs w:val="28"/>
        </w:rPr>
        <w:t xml:space="preserve"> kompetence)</w:t>
      </w:r>
    </w:p>
    <w:p w:rsidR="00134B9F" w:rsidRPr="00134B9F" w:rsidRDefault="00134B9F" w:rsidP="00134B9F">
      <w:pPr>
        <w:pStyle w:val="ListParagraph"/>
        <w:numPr>
          <w:ilvl w:val="0"/>
          <w:numId w:val="2"/>
        </w:numPr>
        <w:spacing w:after="200" w:line="276" w:lineRule="auto"/>
        <w:rPr>
          <w:b/>
          <w:sz w:val="28"/>
          <w:szCs w:val="28"/>
        </w:rPr>
      </w:pPr>
      <w:r w:rsidRPr="00134B9F">
        <w:rPr>
          <w:i/>
          <w:sz w:val="28"/>
          <w:szCs w:val="28"/>
        </w:rPr>
        <w:t>Spānijas delegācijas lūgums, kuru atbalsta Slovākijas un Čehijas delegācijas</w:t>
      </w:r>
    </w:p>
    <w:p w:rsidR="00151AE5" w:rsidRPr="00151AE5" w:rsidRDefault="00151AE5" w:rsidP="00151AE5">
      <w:pPr>
        <w:jc w:val="both"/>
        <w:rPr>
          <w:sz w:val="28"/>
          <w:szCs w:val="28"/>
        </w:rPr>
      </w:pPr>
      <w:r>
        <w:rPr>
          <w:sz w:val="28"/>
          <w:szCs w:val="28"/>
        </w:rPr>
        <w:tab/>
      </w:r>
      <w:r w:rsidRPr="00151AE5">
        <w:rPr>
          <w:sz w:val="28"/>
          <w:szCs w:val="28"/>
        </w:rPr>
        <w:t>Regulā (ES) Nr. 510/2011 un Regulā (EK) Nr. 443/2009 ir noteikta pamatsistēma, kā līdz 2020. gadam samazināmas CO2 emisijas no jauniem v</w:t>
      </w:r>
      <w:r>
        <w:rPr>
          <w:sz w:val="28"/>
          <w:szCs w:val="28"/>
        </w:rPr>
        <w:t>ieglajiem kravas automobiļiem un</w:t>
      </w:r>
      <w:r w:rsidRPr="00151AE5">
        <w:rPr>
          <w:sz w:val="28"/>
          <w:szCs w:val="28"/>
        </w:rPr>
        <w:t xml:space="preserve"> jauniem vieglajiem automobiļiem.</w:t>
      </w:r>
    </w:p>
    <w:p w:rsidR="00151AE5" w:rsidRPr="00151AE5" w:rsidRDefault="00151AE5" w:rsidP="00151AE5">
      <w:pPr>
        <w:jc w:val="both"/>
        <w:rPr>
          <w:sz w:val="28"/>
          <w:szCs w:val="28"/>
        </w:rPr>
      </w:pPr>
      <w:r>
        <w:rPr>
          <w:sz w:val="28"/>
          <w:szCs w:val="28"/>
        </w:rPr>
        <w:tab/>
      </w:r>
      <w:r w:rsidRPr="00151AE5">
        <w:rPr>
          <w:sz w:val="28"/>
          <w:szCs w:val="28"/>
        </w:rPr>
        <w:t xml:space="preserve">Ja kārtība netiktu noteikta vai īstenota, tas nelabvēlīgi ietekmētu transportlīdzekļu ražotājus un rezerves daļu piegādātājus, kam vajadzīga noteiktība attiecībā uz tehnoloģiju un transportlīdzekļiem, kas ir priekšnoteikums mērķa sasniegšanai. </w:t>
      </w:r>
    </w:p>
    <w:p w:rsidR="00151AE5" w:rsidRPr="00151AE5" w:rsidRDefault="00151AE5" w:rsidP="00151AE5">
      <w:pPr>
        <w:jc w:val="both"/>
        <w:rPr>
          <w:sz w:val="28"/>
          <w:szCs w:val="28"/>
        </w:rPr>
      </w:pPr>
      <w:r>
        <w:rPr>
          <w:sz w:val="28"/>
          <w:szCs w:val="28"/>
        </w:rPr>
        <w:tab/>
      </w:r>
      <w:r w:rsidRPr="00151AE5">
        <w:rPr>
          <w:sz w:val="28"/>
          <w:szCs w:val="28"/>
        </w:rPr>
        <w:t xml:space="preserve">Kārtība nosaka īstenošanas aspektus, kas ietekmē veidu, kā tiek sasniegti emisiju mērķi. Galvenie noteikumi pašreizējā regulā ir robežvērtību līkne, kas ir atkarīga no lietderības parametra, un funkcija, kas attēlo sakarību starp lietderības parametru un CO2 emisijām (nosaka līknes formu un slīpumu). Citi kārtības aspekti ir maksa par pārsniegtajām emisijām, </w:t>
      </w:r>
      <w:proofErr w:type="spellStart"/>
      <w:r w:rsidRPr="00151AE5">
        <w:rPr>
          <w:sz w:val="28"/>
          <w:szCs w:val="28"/>
        </w:rPr>
        <w:t>ekoinovācijas</w:t>
      </w:r>
      <w:proofErr w:type="spellEnd"/>
      <w:r w:rsidRPr="00151AE5">
        <w:rPr>
          <w:sz w:val="28"/>
          <w:szCs w:val="28"/>
        </w:rPr>
        <w:t xml:space="preserve">, atkāpes, noteikumi par apvienošanos grupā, mērķu pakāpeniska ieviešana un </w:t>
      </w:r>
      <w:proofErr w:type="spellStart"/>
      <w:r w:rsidRPr="00151AE5">
        <w:rPr>
          <w:sz w:val="28"/>
          <w:szCs w:val="28"/>
        </w:rPr>
        <w:t>superkredītu</w:t>
      </w:r>
      <w:proofErr w:type="spellEnd"/>
      <w:r w:rsidRPr="00151AE5">
        <w:rPr>
          <w:sz w:val="28"/>
          <w:szCs w:val="28"/>
        </w:rPr>
        <w:t xml:space="preserve"> piešķiršana ierobežotā laikposmā.</w:t>
      </w:r>
    </w:p>
    <w:p w:rsidR="00151AE5" w:rsidRPr="00151AE5" w:rsidRDefault="00151AE5" w:rsidP="00151AE5">
      <w:pPr>
        <w:jc w:val="both"/>
        <w:rPr>
          <w:sz w:val="28"/>
          <w:szCs w:val="28"/>
        </w:rPr>
      </w:pPr>
      <w:r>
        <w:rPr>
          <w:sz w:val="28"/>
          <w:szCs w:val="28"/>
        </w:rPr>
        <w:tab/>
      </w:r>
      <w:r w:rsidRPr="00151AE5">
        <w:rPr>
          <w:b/>
          <w:sz w:val="28"/>
          <w:szCs w:val="28"/>
        </w:rPr>
        <w:t>Latvijā šobrīd nav</w:t>
      </w:r>
      <w:r w:rsidRPr="00151AE5">
        <w:rPr>
          <w:sz w:val="28"/>
          <w:szCs w:val="28"/>
        </w:rPr>
        <w:t xml:space="preserve"> tādu komerciālo</w:t>
      </w:r>
      <w:r w:rsidR="00813445">
        <w:rPr>
          <w:sz w:val="28"/>
          <w:szCs w:val="28"/>
        </w:rPr>
        <w:t xml:space="preserve"> un vieglo</w:t>
      </w:r>
      <w:r w:rsidRPr="00151AE5">
        <w:rPr>
          <w:sz w:val="28"/>
          <w:szCs w:val="28"/>
        </w:rPr>
        <w:t xml:space="preserve"> automobiļu ražotāju (N1 kategorijas transportlīdzekļi un M1 kategorijas transportlīdzekļi), uz </w:t>
      </w:r>
      <w:r w:rsidR="00813445">
        <w:rPr>
          <w:sz w:val="28"/>
          <w:szCs w:val="28"/>
        </w:rPr>
        <w:t>kuriem attiecas Regulas projekti</w:t>
      </w:r>
      <w:r w:rsidRPr="00151AE5">
        <w:rPr>
          <w:sz w:val="28"/>
          <w:szCs w:val="28"/>
        </w:rPr>
        <w:t>, līdz ar to Latvijai nav īpašu interešu saistībā ar šiem regulas projektiem.</w:t>
      </w:r>
    </w:p>
    <w:p w:rsidR="00134B9F" w:rsidRDefault="00151AE5" w:rsidP="00151AE5">
      <w:pPr>
        <w:jc w:val="both"/>
        <w:rPr>
          <w:sz w:val="28"/>
          <w:szCs w:val="28"/>
        </w:rPr>
      </w:pPr>
      <w:r>
        <w:rPr>
          <w:sz w:val="28"/>
          <w:szCs w:val="28"/>
        </w:rPr>
        <w:tab/>
      </w:r>
      <w:r w:rsidRPr="00151AE5">
        <w:rPr>
          <w:sz w:val="28"/>
          <w:szCs w:val="28"/>
        </w:rPr>
        <w:t xml:space="preserve">Šobrīd Latvija un citas dalībvalstis atbilstoši Regulas (ES) Nr.510/2011 </w:t>
      </w:r>
      <w:r w:rsidR="00813445" w:rsidRPr="00813445">
        <w:rPr>
          <w:sz w:val="28"/>
          <w:szCs w:val="28"/>
        </w:rPr>
        <w:t xml:space="preserve">un Regulas (EK) Nr.443/2009 </w:t>
      </w:r>
      <w:r w:rsidRPr="00151AE5">
        <w:rPr>
          <w:sz w:val="28"/>
          <w:szCs w:val="28"/>
        </w:rPr>
        <w:t xml:space="preserve">nosacījumiem Komisijai katru gadu par katru reģistrēto jauno automobili sniedz šādus monitoringa datus: izgatavotājs, tips, īpatnējās CO2 emisijas (g/km), masa, </w:t>
      </w:r>
      <w:proofErr w:type="spellStart"/>
      <w:r w:rsidRPr="00151AE5">
        <w:rPr>
          <w:sz w:val="28"/>
          <w:szCs w:val="28"/>
        </w:rPr>
        <w:t>garenbāze</w:t>
      </w:r>
      <w:proofErr w:type="spellEnd"/>
      <w:r w:rsidRPr="00151AE5">
        <w:rPr>
          <w:sz w:val="28"/>
          <w:szCs w:val="28"/>
        </w:rPr>
        <w:t xml:space="preserve">, </w:t>
      </w:r>
      <w:proofErr w:type="spellStart"/>
      <w:r w:rsidRPr="00151AE5">
        <w:rPr>
          <w:sz w:val="28"/>
          <w:szCs w:val="28"/>
        </w:rPr>
        <w:t>šķērsbāze</w:t>
      </w:r>
      <w:proofErr w:type="spellEnd"/>
      <w:r w:rsidRPr="00151AE5">
        <w:rPr>
          <w:sz w:val="28"/>
          <w:szCs w:val="28"/>
        </w:rPr>
        <w:t xml:space="preserve"> un tehniski pieļaujamā maksimālā pilnā masa. Šos datus Latvijā apkopo VAS „Ceļu satiksmes drošības direkcija” un nosūta attiecīgai Komisijas institūcijai, kas attiecīgi veido visas ES kopsavilkumu.</w:t>
      </w:r>
    </w:p>
    <w:p w:rsidR="00151AE5" w:rsidRPr="00151AE5" w:rsidRDefault="00151AE5" w:rsidP="00151AE5">
      <w:pPr>
        <w:jc w:val="both"/>
        <w:rPr>
          <w:sz w:val="28"/>
          <w:szCs w:val="28"/>
        </w:rPr>
      </w:pPr>
    </w:p>
    <w:p w:rsidR="00134B9F" w:rsidRPr="00730AEA" w:rsidRDefault="00134B9F" w:rsidP="00134B9F">
      <w:pPr>
        <w:pStyle w:val="ListParagraph"/>
        <w:numPr>
          <w:ilvl w:val="0"/>
          <w:numId w:val="3"/>
        </w:numPr>
        <w:jc w:val="both"/>
        <w:rPr>
          <w:b/>
          <w:sz w:val="28"/>
          <w:szCs w:val="28"/>
        </w:rPr>
      </w:pPr>
      <w:r w:rsidRPr="00134B9F">
        <w:rPr>
          <w:b/>
          <w:i/>
          <w:sz w:val="28"/>
          <w:szCs w:val="28"/>
        </w:rPr>
        <w:t xml:space="preserve">priekšlikums – Eiropas Parlamenta un Padomes Direktīva par dalībvalstu normatīvo un administratīvo aktu tuvināšanu attiecībā uz tabakas un saistīto izstrādājumu ražošanu, noformēšanu un pārdošanu (pirmais lasījums) </w:t>
      </w:r>
      <w:r>
        <w:rPr>
          <w:i/>
          <w:sz w:val="28"/>
          <w:szCs w:val="28"/>
        </w:rPr>
        <w:t>(VM</w:t>
      </w:r>
      <w:r w:rsidRPr="00730AEA">
        <w:rPr>
          <w:i/>
          <w:sz w:val="28"/>
          <w:szCs w:val="28"/>
        </w:rPr>
        <w:t xml:space="preserve"> kompetence)</w:t>
      </w:r>
    </w:p>
    <w:p w:rsidR="00134B9F" w:rsidRPr="00134B9F" w:rsidRDefault="00134B9F" w:rsidP="00134B9F">
      <w:pPr>
        <w:pStyle w:val="ListParagraph"/>
        <w:numPr>
          <w:ilvl w:val="0"/>
          <w:numId w:val="2"/>
        </w:numPr>
        <w:rPr>
          <w:i/>
          <w:sz w:val="28"/>
          <w:szCs w:val="28"/>
        </w:rPr>
      </w:pPr>
      <w:r w:rsidRPr="00134B9F">
        <w:rPr>
          <w:i/>
          <w:sz w:val="28"/>
          <w:szCs w:val="28"/>
        </w:rPr>
        <w:t>Polijas un Čehijas delegāciju lūgums</w:t>
      </w:r>
    </w:p>
    <w:p w:rsidR="00D563DD" w:rsidRDefault="00D563DD" w:rsidP="00D563DD">
      <w:pPr>
        <w:spacing w:line="276" w:lineRule="auto"/>
        <w:rPr>
          <w:i/>
          <w:sz w:val="28"/>
          <w:szCs w:val="28"/>
        </w:rPr>
      </w:pPr>
    </w:p>
    <w:p w:rsidR="00972DB8" w:rsidRDefault="00972DB8" w:rsidP="00972DB8">
      <w:pPr>
        <w:jc w:val="both"/>
        <w:rPr>
          <w:sz w:val="28"/>
          <w:szCs w:val="28"/>
        </w:rPr>
      </w:pPr>
      <w:r>
        <w:rPr>
          <w:sz w:val="28"/>
          <w:szCs w:val="28"/>
        </w:rPr>
        <w:tab/>
      </w:r>
      <w:r w:rsidRPr="00972DB8">
        <w:rPr>
          <w:i/>
          <w:sz w:val="28"/>
          <w:szCs w:val="28"/>
        </w:rPr>
        <w:t>Eiropas Parlamenta un Padomes Direktīva 2001/37/EK par dalībvalstu normatīvo un administratīvo aktu tuvināšanu attiecībā uz tabakas izstrādājumu ražošanu, noformēšanu un pārdošanu</w:t>
      </w:r>
      <w:r w:rsidRPr="00972DB8">
        <w:rPr>
          <w:sz w:val="28"/>
          <w:szCs w:val="28"/>
        </w:rPr>
        <w:t xml:space="preserve"> (turpmāk -  Tabakas direktīva) tika pieņemta 2001. gada 5.jūnijā. Ņemot vērā tirgus un zinātnes attīstību un starptautiskās norises, ir kļuvis nepieciešams atjaunināt un papildināt Tabakas direktīvu. Pārskatīšana ir paredzēta pašreizējās Tabakas direktīvas 11. pantā.</w:t>
      </w:r>
      <w:r>
        <w:rPr>
          <w:sz w:val="28"/>
          <w:szCs w:val="28"/>
        </w:rPr>
        <w:t xml:space="preserve"> </w:t>
      </w:r>
    </w:p>
    <w:p w:rsidR="00972DB8" w:rsidRDefault="00972DB8" w:rsidP="00972DB8">
      <w:pPr>
        <w:jc w:val="both"/>
        <w:rPr>
          <w:sz w:val="28"/>
          <w:szCs w:val="28"/>
        </w:rPr>
      </w:pPr>
      <w:r>
        <w:rPr>
          <w:sz w:val="28"/>
          <w:szCs w:val="28"/>
        </w:rPr>
        <w:tab/>
      </w:r>
      <w:r w:rsidRPr="00972DB8">
        <w:rPr>
          <w:sz w:val="28"/>
          <w:szCs w:val="28"/>
        </w:rPr>
        <w:t>2012.gada 19.decembrī Eiropas Komisija publicēja priekšlikumu grozījumiem Tabakas direktīvā.</w:t>
      </w:r>
      <w:r>
        <w:rPr>
          <w:sz w:val="28"/>
          <w:szCs w:val="28"/>
        </w:rPr>
        <w:t xml:space="preserve"> </w:t>
      </w:r>
      <w:r w:rsidRPr="00972DB8">
        <w:rPr>
          <w:sz w:val="28"/>
          <w:szCs w:val="28"/>
        </w:rPr>
        <w:t>Priekšlikums paredz būtiski grozīt pašreiz spēkā esošo direktīvu šādas jomās:</w:t>
      </w:r>
    </w:p>
    <w:p w:rsidR="00972DB8" w:rsidRPr="00972DB8" w:rsidRDefault="00972DB8" w:rsidP="00972DB8">
      <w:pPr>
        <w:pStyle w:val="ListParagraph"/>
        <w:numPr>
          <w:ilvl w:val="0"/>
          <w:numId w:val="39"/>
        </w:numPr>
        <w:jc w:val="both"/>
        <w:rPr>
          <w:sz w:val="28"/>
          <w:szCs w:val="28"/>
        </w:rPr>
      </w:pPr>
      <w:r w:rsidRPr="00972DB8">
        <w:rPr>
          <w:b/>
          <w:sz w:val="28"/>
          <w:szCs w:val="28"/>
        </w:rPr>
        <w:t>Marķējums un iepakojums</w:t>
      </w:r>
      <w:r w:rsidRPr="00972DB8">
        <w:rPr>
          <w:sz w:val="28"/>
          <w:szCs w:val="28"/>
        </w:rPr>
        <w:t>: Uz cigarešu un tinamo tabakas izstrādājumu iepakojuma jābūt kombinētam attēla un rakstiskam brīdinājumam par ietekmi uz veselību, kas aizņem 75 % virsmas – iepakojuma priekšpusē un aizmugurē, un uz tā nedrīkst būt reklāmas elementu. Pašreizējo informāciju par darvas, nikotīna un oglekļa monoksīda saturu paciņas sānos aizstāj ar informatīvu paziņojumu par to, ka tabakas dūmi satur 70 vielas, kas izraisa vēzi.</w:t>
      </w:r>
    </w:p>
    <w:p w:rsidR="00972DB8" w:rsidRPr="00972DB8" w:rsidRDefault="00972DB8" w:rsidP="00972DB8">
      <w:pPr>
        <w:pStyle w:val="ListParagraph"/>
        <w:numPr>
          <w:ilvl w:val="0"/>
          <w:numId w:val="39"/>
        </w:numPr>
        <w:jc w:val="both"/>
        <w:rPr>
          <w:sz w:val="28"/>
          <w:szCs w:val="28"/>
        </w:rPr>
      </w:pPr>
      <w:r w:rsidRPr="00972DB8">
        <w:rPr>
          <w:b/>
          <w:sz w:val="28"/>
          <w:szCs w:val="28"/>
        </w:rPr>
        <w:t>Sastāvdaļas</w:t>
      </w:r>
      <w:r w:rsidRPr="00972DB8">
        <w:rPr>
          <w:sz w:val="28"/>
          <w:szCs w:val="28"/>
        </w:rPr>
        <w:t>: Tiks ieviests elektroniskās ziņošanas formāts par sastāvdaļām un emisijām. Priekšlikumā paredzēts aizliegt cigaretes, tinamos tabakas izstrādājumus un bezdūmu tabaku ar raksturīgu aromātu (</w:t>
      </w:r>
      <w:proofErr w:type="spellStart"/>
      <w:r w:rsidRPr="00972DB8">
        <w:rPr>
          <w:sz w:val="28"/>
          <w:szCs w:val="28"/>
        </w:rPr>
        <w:t>piem</w:t>
      </w:r>
      <w:proofErr w:type="spellEnd"/>
      <w:r w:rsidRPr="00972DB8">
        <w:rPr>
          <w:sz w:val="28"/>
          <w:szCs w:val="28"/>
        </w:rPr>
        <w:t xml:space="preserve">., </w:t>
      </w:r>
      <w:proofErr w:type="spellStart"/>
      <w:r w:rsidRPr="00972DB8">
        <w:rPr>
          <w:sz w:val="28"/>
          <w:szCs w:val="28"/>
        </w:rPr>
        <w:t>mentol</w:t>
      </w:r>
      <w:proofErr w:type="spellEnd"/>
      <w:r w:rsidRPr="00972DB8">
        <w:rPr>
          <w:sz w:val="28"/>
          <w:szCs w:val="28"/>
        </w:rPr>
        <w:t>) un izstrādājumus ar palielinātu toksiskumu un spēju izraisīt atkarību. Plānots aizliegt cigaretes, kuru diametrs ir mazāks par 7.5mm, jo tās uzskata par maldinošām (</w:t>
      </w:r>
      <w:proofErr w:type="spellStart"/>
      <w:r w:rsidRPr="00972DB8">
        <w:rPr>
          <w:sz w:val="28"/>
          <w:szCs w:val="28"/>
        </w:rPr>
        <w:t>slim</w:t>
      </w:r>
      <w:proofErr w:type="spellEnd"/>
      <w:r w:rsidRPr="00972DB8">
        <w:rPr>
          <w:sz w:val="28"/>
          <w:szCs w:val="28"/>
        </w:rPr>
        <w:t xml:space="preserve"> cigaretes).</w:t>
      </w:r>
    </w:p>
    <w:p w:rsidR="00972DB8" w:rsidRPr="00972DB8" w:rsidRDefault="00972DB8" w:rsidP="00972DB8">
      <w:pPr>
        <w:pStyle w:val="ListParagraph"/>
        <w:numPr>
          <w:ilvl w:val="0"/>
          <w:numId w:val="39"/>
        </w:numPr>
        <w:jc w:val="both"/>
        <w:rPr>
          <w:sz w:val="28"/>
          <w:szCs w:val="28"/>
        </w:rPr>
      </w:pPr>
      <w:r w:rsidRPr="00972DB8">
        <w:rPr>
          <w:b/>
          <w:sz w:val="28"/>
          <w:szCs w:val="28"/>
        </w:rPr>
        <w:t>Bezdūmu tabaka</w:t>
      </w:r>
      <w:r w:rsidRPr="00972DB8">
        <w:rPr>
          <w:sz w:val="28"/>
          <w:szCs w:val="28"/>
        </w:rPr>
        <w:t xml:space="preserve">: Tiek saglabāts </w:t>
      </w:r>
      <w:proofErr w:type="spellStart"/>
      <w:r w:rsidRPr="00972DB8">
        <w:rPr>
          <w:sz w:val="28"/>
          <w:szCs w:val="28"/>
        </w:rPr>
        <w:t>orālai</w:t>
      </w:r>
      <w:proofErr w:type="spellEnd"/>
      <w:r w:rsidRPr="00972DB8">
        <w:rPr>
          <w:sz w:val="28"/>
          <w:szCs w:val="28"/>
        </w:rPr>
        <w:t xml:space="preserve"> lietošanai paredzētas tabakas (</w:t>
      </w:r>
      <w:proofErr w:type="spellStart"/>
      <w:r w:rsidRPr="00972DB8">
        <w:rPr>
          <w:sz w:val="28"/>
          <w:szCs w:val="28"/>
        </w:rPr>
        <w:t>snus</w:t>
      </w:r>
      <w:proofErr w:type="spellEnd"/>
      <w:r w:rsidRPr="00972DB8">
        <w:rPr>
          <w:sz w:val="28"/>
          <w:szCs w:val="28"/>
        </w:rPr>
        <w:t xml:space="preserve">) aizliegums, izņemot Zviedriju. Uz bezdūmu tabakas izstrādājumu iepakojuma redzamākās virsmas jābūt brīdinājumiem par ietekmi uz veselību, un nedrīkst pārdot izstrādājumus ar raksturīgu aromātu. Iepriekš jāziņo par </w:t>
      </w:r>
      <w:proofErr w:type="spellStart"/>
      <w:r w:rsidRPr="00972DB8">
        <w:rPr>
          <w:sz w:val="28"/>
          <w:szCs w:val="28"/>
        </w:rPr>
        <w:t>jaunieviestiem</w:t>
      </w:r>
      <w:proofErr w:type="spellEnd"/>
      <w:r w:rsidRPr="00972DB8">
        <w:rPr>
          <w:sz w:val="28"/>
          <w:szCs w:val="28"/>
        </w:rPr>
        <w:t xml:space="preserve"> izstrādājumiem.</w:t>
      </w:r>
    </w:p>
    <w:p w:rsidR="00972DB8" w:rsidRPr="00972DB8" w:rsidRDefault="00972DB8" w:rsidP="00972DB8">
      <w:pPr>
        <w:pStyle w:val="ListParagraph"/>
        <w:numPr>
          <w:ilvl w:val="0"/>
          <w:numId w:val="39"/>
        </w:numPr>
        <w:jc w:val="both"/>
        <w:rPr>
          <w:sz w:val="28"/>
          <w:szCs w:val="28"/>
        </w:rPr>
      </w:pPr>
      <w:r w:rsidRPr="00972DB8">
        <w:rPr>
          <w:b/>
          <w:sz w:val="28"/>
          <w:szCs w:val="28"/>
        </w:rPr>
        <w:t>Direktīvas darbības jomas paplašināšana</w:t>
      </w:r>
      <w:r w:rsidRPr="00972DB8">
        <w:rPr>
          <w:sz w:val="28"/>
          <w:szCs w:val="28"/>
        </w:rPr>
        <w:t>: Tirgū atļauts laist tādus nikotīnu saturošus izstrādājumus (</w:t>
      </w:r>
      <w:proofErr w:type="spellStart"/>
      <w:r w:rsidRPr="00972DB8">
        <w:rPr>
          <w:sz w:val="28"/>
          <w:szCs w:val="28"/>
        </w:rPr>
        <w:t>piem</w:t>
      </w:r>
      <w:proofErr w:type="spellEnd"/>
      <w:r w:rsidRPr="00972DB8">
        <w:rPr>
          <w:sz w:val="28"/>
          <w:szCs w:val="28"/>
        </w:rPr>
        <w:t>., elektroniskās cigaretes), kuru nikotīna deva ir zemāka par noteikto nikotīna maksimālo saturu, taču uz šiem izstrādājumiem jābūt brīdinājumiem par ietekmi uz veselību; ja nikotīna deva izstrādājumos ir virs noteiktā maksimālā satura, tos atļauj tikai tad, ja tie apstiprināti kā zāles, piemēram, nikotīna aizvietošanas terapijā. Uz augu izcelsmes cigaretēm jābūt brīdinājumiem par ietekmi uz veselību.</w:t>
      </w:r>
    </w:p>
    <w:p w:rsidR="00972DB8" w:rsidRPr="00972DB8" w:rsidRDefault="00972DB8" w:rsidP="00972DB8">
      <w:pPr>
        <w:pStyle w:val="ListParagraph"/>
        <w:numPr>
          <w:ilvl w:val="0"/>
          <w:numId w:val="39"/>
        </w:numPr>
        <w:jc w:val="both"/>
        <w:rPr>
          <w:sz w:val="28"/>
          <w:szCs w:val="28"/>
        </w:rPr>
      </w:pPr>
      <w:r w:rsidRPr="00972DB8">
        <w:rPr>
          <w:b/>
          <w:sz w:val="28"/>
          <w:szCs w:val="28"/>
        </w:rPr>
        <w:t xml:space="preserve">Pārrobežu </w:t>
      </w:r>
      <w:proofErr w:type="spellStart"/>
      <w:r w:rsidRPr="00972DB8">
        <w:rPr>
          <w:b/>
          <w:sz w:val="28"/>
          <w:szCs w:val="28"/>
        </w:rPr>
        <w:t>tālpārdošana</w:t>
      </w:r>
      <w:proofErr w:type="spellEnd"/>
      <w:r w:rsidRPr="00972DB8">
        <w:rPr>
          <w:sz w:val="28"/>
          <w:szCs w:val="28"/>
        </w:rPr>
        <w:t>: Lai nodrošinātu, ka tabakas izstrādājumi netiek pārdoti bērniem un pusaudžiem, ir paredzēts, ka mazumtirgotājiem, kuri vēlas pārdot izstrādājumus internetā, ir jāziņo par savu darbību un jāievieš vecuma pārbaudes mehānisms.</w:t>
      </w:r>
    </w:p>
    <w:p w:rsidR="00972DB8" w:rsidRPr="00972DB8" w:rsidRDefault="00972DB8" w:rsidP="00972DB8">
      <w:pPr>
        <w:pStyle w:val="ListParagraph"/>
        <w:numPr>
          <w:ilvl w:val="0"/>
          <w:numId w:val="39"/>
        </w:numPr>
        <w:jc w:val="both"/>
        <w:rPr>
          <w:sz w:val="28"/>
          <w:szCs w:val="28"/>
        </w:rPr>
      </w:pPr>
      <w:r w:rsidRPr="00972DB8">
        <w:rPr>
          <w:b/>
          <w:sz w:val="28"/>
          <w:szCs w:val="28"/>
        </w:rPr>
        <w:t>Nelegāla tirdzniecība</w:t>
      </w:r>
      <w:r w:rsidRPr="00972DB8">
        <w:rPr>
          <w:sz w:val="28"/>
          <w:szCs w:val="28"/>
        </w:rPr>
        <w:t>: Paredzēts ieviest uzraudzības un izsekošanas sistēmu un drošības elementus (</w:t>
      </w:r>
      <w:proofErr w:type="spellStart"/>
      <w:r w:rsidRPr="00972DB8">
        <w:rPr>
          <w:sz w:val="28"/>
          <w:szCs w:val="28"/>
        </w:rPr>
        <w:t>piem</w:t>
      </w:r>
      <w:proofErr w:type="spellEnd"/>
      <w:r w:rsidRPr="00972DB8">
        <w:rPr>
          <w:sz w:val="28"/>
          <w:szCs w:val="28"/>
        </w:rPr>
        <w:t>., hologrammas), lai nodrošinātu, ka tirdzniecībā Eiropas Savienībā nonāk tikai direktīvas prasībām atbilstoši izstrādājumi.</w:t>
      </w:r>
    </w:p>
    <w:p w:rsidR="00972DB8" w:rsidRDefault="00972DB8" w:rsidP="00972DB8">
      <w:pPr>
        <w:jc w:val="both"/>
        <w:rPr>
          <w:sz w:val="28"/>
          <w:szCs w:val="28"/>
        </w:rPr>
      </w:pPr>
    </w:p>
    <w:p w:rsidR="00972DB8" w:rsidRDefault="00972DB8" w:rsidP="00972DB8">
      <w:pPr>
        <w:jc w:val="both"/>
        <w:rPr>
          <w:sz w:val="28"/>
          <w:szCs w:val="28"/>
        </w:rPr>
      </w:pPr>
      <w:r>
        <w:rPr>
          <w:sz w:val="28"/>
          <w:szCs w:val="28"/>
        </w:rPr>
        <w:tab/>
      </w:r>
      <w:r w:rsidR="00F06F52" w:rsidRPr="00F06F52">
        <w:rPr>
          <w:sz w:val="28"/>
          <w:szCs w:val="28"/>
        </w:rPr>
        <w:t>Priekšlikums tiks skatīts šā gada 20.-21. jūnija EPSCO Padomē. Šobrīd priekšlikumu turpina skatīt ES Padomes Sabiedrības veselības darba grupā.</w:t>
      </w:r>
      <w:r w:rsidR="00F06F52">
        <w:rPr>
          <w:sz w:val="28"/>
          <w:szCs w:val="28"/>
        </w:rPr>
        <w:t xml:space="preserve"> </w:t>
      </w:r>
      <w:r w:rsidRPr="00972DB8">
        <w:rPr>
          <w:sz w:val="28"/>
          <w:szCs w:val="28"/>
        </w:rPr>
        <w:t xml:space="preserve">Saskaņā ar Līguma par Eiropas Savienības darbību 114. pantu </w:t>
      </w:r>
      <w:r w:rsidRPr="00972DB8">
        <w:rPr>
          <w:b/>
          <w:sz w:val="28"/>
          <w:szCs w:val="28"/>
        </w:rPr>
        <w:t>augsts veselības aizsardzības līmenis</w:t>
      </w:r>
      <w:r w:rsidRPr="00972DB8">
        <w:rPr>
          <w:sz w:val="28"/>
          <w:szCs w:val="28"/>
        </w:rPr>
        <w:t xml:space="preserve"> ir noteicošais, izvēloties starp dažādiem politikas risinājumiem, kas formulēti Tabak</w:t>
      </w:r>
      <w:r w:rsidR="0000312B">
        <w:rPr>
          <w:sz w:val="28"/>
          <w:szCs w:val="28"/>
        </w:rPr>
        <w:t>a</w:t>
      </w:r>
      <w:r w:rsidRPr="00972DB8">
        <w:rPr>
          <w:sz w:val="28"/>
          <w:szCs w:val="28"/>
        </w:rPr>
        <w:t>s direktīvas pārskatīšanā. Priekšlikuma mērķis ir izveidot tādu tabakas izstrādājumu regulējumu, kas atspoguļo to specifiskās īpašības (nikotīns izraisa atkarību) un patēriņa negatīvās sekas (mutes, kakla un plaušu vēzis; sirds un asinsvadu slimības, ieskaitot infarkt</w:t>
      </w:r>
      <w:r w:rsidR="004C7C91">
        <w:rPr>
          <w:sz w:val="28"/>
          <w:szCs w:val="28"/>
        </w:rPr>
        <w:t>u</w:t>
      </w:r>
      <w:r w:rsidRPr="00972DB8">
        <w:rPr>
          <w:sz w:val="28"/>
          <w:szCs w:val="28"/>
        </w:rPr>
        <w:t>, insult</w:t>
      </w:r>
      <w:r w:rsidR="004C7C91">
        <w:rPr>
          <w:sz w:val="28"/>
          <w:szCs w:val="28"/>
        </w:rPr>
        <w:t>u</w:t>
      </w:r>
      <w:r w:rsidRPr="00972DB8">
        <w:rPr>
          <w:sz w:val="28"/>
          <w:szCs w:val="28"/>
        </w:rPr>
        <w:t xml:space="preserve">, nosprostotas artērijas; palielināts akluma risks; impotence; pazemināta auglība; ietekme uz vēl nedzimušu bērnu </w:t>
      </w:r>
      <w:proofErr w:type="spellStart"/>
      <w:r w:rsidRPr="00972DB8">
        <w:rPr>
          <w:sz w:val="28"/>
          <w:szCs w:val="28"/>
        </w:rPr>
        <w:t>utt</w:t>
      </w:r>
      <w:proofErr w:type="spellEnd"/>
      <w:r w:rsidRPr="00972DB8">
        <w:rPr>
          <w:sz w:val="28"/>
          <w:szCs w:val="28"/>
        </w:rPr>
        <w:t>.).</w:t>
      </w:r>
    </w:p>
    <w:p w:rsidR="00C05062" w:rsidRPr="00972DB8" w:rsidRDefault="00C05062" w:rsidP="00B7324C">
      <w:pPr>
        <w:jc w:val="both"/>
        <w:rPr>
          <w:sz w:val="28"/>
          <w:szCs w:val="28"/>
        </w:rPr>
      </w:pPr>
      <w:r>
        <w:rPr>
          <w:sz w:val="28"/>
          <w:szCs w:val="28"/>
        </w:rPr>
        <w:tab/>
      </w:r>
      <w:r w:rsidR="00B7324C">
        <w:rPr>
          <w:sz w:val="28"/>
          <w:szCs w:val="28"/>
        </w:rPr>
        <w:t>Latvijas nostāja par direktīvas projektu ir iekļauta</w:t>
      </w:r>
      <w:r w:rsidR="00041EC0">
        <w:rPr>
          <w:sz w:val="28"/>
          <w:szCs w:val="28"/>
        </w:rPr>
        <w:t xml:space="preserve"> </w:t>
      </w:r>
      <w:r w:rsidR="00B0050E">
        <w:rPr>
          <w:sz w:val="28"/>
          <w:szCs w:val="28"/>
        </w:rPr>
        <w:t>VM</w:t>
      </w:r>
      <w:r w:rsidR="00B7324C">
        <w:rPr>
          <w:sz w:val="28"/>
          <w:szCs w:val="28"/>
        </w:rPr>
        <w:t xml:space="preserve"> pozīcijā Nr.1 </w:t>
      </w:r>
      <w:r w:rsidR="00B7324C" w:rsidRPr="00B7324C">
        <w:rPr>
          <w:i/>
          <w:sz w:val="28"/>
          <w:szCs w:val="28"/>
        </w:rPr>
        <w:t>Priekšlikums Eiropas Parlamenta un Padomes direktīvai par dalībvalstu normatīvo un administratīvo aktu tuvināšanu attiecībā uz tabakas izstrādājumu ražošanu, noformēšanu un pārdošanu</w:t>
      </w:r>
      <w:r w:rsidR="001865A3" w:rsidRPr="001865A3">
        <w:rPr>
          <w:sz w:val="28"/>
          <w:szCs w:val="28"/>
        </w:rPr>
        <w:t xml:space="preserve">, </w:t>
      </w:r>
      <w:r w:rsidR="001865A3">
        <w:rPr>
          <w:sz w:val="28"/>
          <w:szCs w:val="28"/>
        </w:rPr>
        <w:t>kas apstiprināta 2013.gada 16.aprīļa Ministru kabineta sēdē</w:t>
      </w:r>
      <w:r w:rsidR="00B7324C">
        <w:rPr>
          <w:sz w:val="28"/>
          <w:szCs w:val="28"/>
        </w:rPr>
        <w:t>.</w:t>
      </w:r>
    </w:p>
    <w:p w:rsidR="00D563DD" w:rsidRPr="00D563DD" w:rsidRDefault="00D563DD" w:rsidP="00D563DD">
      <w:pPr>
        <w:rPr>
          <w:i/>
          <w:sz w:val="28"/>
          <w:szCs w:val="28"/>
        </w:rPr>
      </w:pPr>
    </w:p>
    <w:p w:rsidR="00134B9F" w:rsidRPr="00730AEA" w:rsidRDefault="00134B9F" w:rsidP="00134B9F">
      <w:pPr>
        <w:pStyle w:val="ListParagraph"/>
        <w:numPr>
          <w:ilvl w:val="0"/>
          <w:numId w:val="3"/>
        </w:numPr>
        <w:jc w:val="both"/>
        <w:rPr>
          <w:b/>
          <w:sz w:val="28"/>
          <w:szCs w:val="28"/>
        </w:rPr>
      </w:pPr>
      <w:r w:rsidRPr="00134B9F">
        <w:rPr>
          <w:b/>
          <w:i/>
          <w:sz w:val="28"/>
          <w:szCs w:val="28"/>
        </w:rPr>
        <w:t xml:space="preserve">Inovācijas politikas pārvaldības jautājumu augsta līmeņa grupas ieteikumi </w:t>
      </w:r>
      <w:r w:rsidRPr="00730AEA">
        <w:rPr>
          <w:i/>
          <w:sz w:val="28"/>
          <w:szCs w:val="28"/>
        </w:rPr>
        <w:t>(EM kompetence)</w:t>
      </w:r>
    </w:p>
    <w:p w:rsidR="00134B9F" w:rsidRPr="00134B9F" w:rsidRDefault="00134B9F" w:rsidP="00134B9F">
      <w:pPr>
        <w:pStyle w:val="ListParagraph"/>
        <w:numPr>
          <w:ilvl w:val="0"/>
          <w:numId w:val="2"/>
        </w:numPr>
        <w:rPr>
          <w:i/>
          <w:sz w:val="28"/>
          <w:szCs w:val="28"/>
        </w:rPr>
      </w:pPr>
      <w:r w:rsidRPr="00134B9F">
        <w:rPr>
          <w:i/>
          <w:sz w:val="28"/>
          <w:szCs w:val="28"/>
        </w:rPr>
        <w:t>Polijas delegācijas sniegta informācija</w:t>
      </w:r>
    </w:p>
    <w:p w:rsidR="00D563DD" w:rsidRPr="00A30FB4" w:rsidRDefault="00D563DD" w:rsidP="00A30FB4">
      <w:pPr>
        <w:spacing w:line="276" w:lineRule="auto"/>
        <w:jc w:val="both"/>
        <w:rPr>
          <w:sz w:val="28"/>
          <w:szCs w:val="28"/>
        </w:rPr>
      </w:pPr>
    </w:p>
    <w:p w:rsidR="00A30FB4" w:rsidRPr="00A30FB4" w:rsidRDefault="00A30FB4" w:rsidP="00A30FB4">
      <w:pPr>
        <w:spacing w:line="276" w:lineRule="auto"/>
        <w:jc w:val="both"/>
        <w:rPr>
          <w:sz w:val="28"/>
          <w:szCs w:val="28"/>
        </w:rPr>
      </w:pPr>
      <w:r>
        <w:rPr>
          <w:sz w:val="28"/>
          <w:szCs w:val="28"/>
        </w:rPr>
        <w:tab/>
      </w:r>
      <w:r w:rsidRPr="00A30FB4">
        <w:rPr>
          <w:sz w:val="28"/>
          <w:szCs w:val="28"/>
        </w:rPr>
        <w:t xml:space="preserve">Inovācijas politikas pārvaldības jautājumu augsta līmeņa grupu nodibināja Polija savas ES Padomē prezidentūras laikā. Sastāvā ietilpst augsta līmeņa uzņēmumu pārstāvji no dažādām nozarēm, kas izvēlētas to inovācijas potenciāla dēļ, zinātnieki, kā arī ES dalībvalstu (Polija, Somija, Vācija, Lielbritānija, Francija, Spānija, Nīderlande) pārstāvji un </w:t>
      </w:r>
      <w:r>
        <w:rPr>
          <w:sz w:val="28"/>
          <w:szCs w:val="28"/>
        </w:rPr>
        <w:t>EK</w:t>
      </w:r>
      <w:r w:rsidRPr="00A30FB4">
        <w:rPr>
          <w:sz w:val="28"/>
          <w:szCs w:val="28"/>
        </w:rPr>
        <w:t xml:space="preserve">.  Grupa darbojās laika posmā no 2012.gada septembra līdz 2013.gada martam. Tās darbības mērķis bija sagatavot dokumentu, kas ierosina virkni konkrētu jaunu politiku un pasākumu, lai uzlabotu inovācijas pārvaldību Eiropā. Sagatavoto dokumentu 2013.gada pavasarī plānots iesniegt Eiropadomei, Eiropas Parlamentam un Eiropas Komisijai. </w:t>
      </w:r>
      <w:r>
        <w:rPr>
          <w:sz w:val="28"/>
          <w:szCs w:val="28"/>
        </w:rPr>
        <w:t>S</w:t>
      </w:r>
      <w:r w:rsidRPr="00A30FB4">
        <w:rPr>
          <w:sz w:val="28"/>
          <w:szCs w:val="28"/>
        </w:rPr>
        <w:t>anāksmes laikā Polijas pārstāvji plāno sniegt informāciju par Inovācijas politikas pārvaldības jautājumu augsta līmeņa grupas sagatavotajiem ieteikumiem.</w:t>
      </w:r>
    </w:p>
    <w:p w:rsidR="00D563DD" w:rsidRPr="00D563DD" w:rsidRDefault="00D563DD" w:rsidP="00D563DD">
      <w:pPr>
        <w:rPr>
          <w:i/>
          <w:sz w:val="28"/>
          <w:szCs w:val="28"/>
        </w:rPr>
      </w:pPr>
    </w:p>
    <w:p w:rsidR="00134B9F" w:rsidRPr="00730AEA" w:rsidRDefault="009F5B9C" w:rsidP="00134B9F">
      <w:pPr>
        <w:pStyle w:val="ListParagraph"/>
        <w:numPr>
          <w:ilvl w:val="0"/>
          <w:numId w:val="3"/>
        </w:numPr>
        <w:jc w:val="both"/>
        <w:rPr>
          <w:b/>
          <w:sz w:val="28"/>
          <w:szCs w:val="28"/>
        </w:rPr>
      </w:pPr>
      <w:r>
        <w:rPr>
          <w:b/>
          <w:i/>
          <w:sz w:val="28"/>
          <w:szCs w:val="28"/>
        </w:rPr>
        <w:t>U</w:t>
      </w:r>
      <w:r w:rsidR="00134B9F" w:rsidRPr="00134B9F">
        <w:rPr>
          <w:b/>
          <w:i/>
          <w:sz w:val="28"/>
          <w:szCs w:val="28"/>
        </w:rPr>
        <w:t>zņēmējdarbība, finansējuma pieejamība un internacionalizācija saistībā ar MVU neformālas Padomes sanāksmes Dublinā rezultāti</w:t>
      </w:r>
      <w:r w:rsidR="004C7C91">
        <w:rPr>
          <w:b/>
          <w:i/>
          <w:sz w:val="28"/>
          <w:szCs w:val="28"/>
        </w:rPr>
        <w:t>em</w:t>
      </w:r>
      <w:r w:rsidR="00134B9F" w:rsidRPr="00134B9F">
        <w:rPr>
          <w:b/>
          <w:i/>
          <w:sz w:val="28"/>
          <w:szCs w:val="28"/>
        </w:rPr>
        <w:t xml:space="preserve"> </w:t>
      </w:r>
      <w:r w:rsidR="00134B9F" w:rsidRPr="00730AEA">
        <w:rPr>
          <w:i/>
          <w:sz w:val="28"/>
          <w:szCs w:val="28"/>
        </w:rPr>
        <w:t>(EM kompetence)</w:t>
      </w:r>
    </w:p>
    <w:p w:rsidR="00134B9F" w:rsidRPr="00730AEA" w:rsidRDefault="00134B9F" w:rsidP="00134B9F">
      <w:pPr>
        <w:pStyle w:val="ListParagraph"/>
        <w:numPr>
          <w:ilvl w:val="0"/>
          <w:numId w:val="2"/>
        </w:numPr>
        <w:jc w:val="both"/>
        <w:rPr>
          <w:i/>
          <w:sz w:val="28"/>
          <w:szCs w:val="28"/>
        </w:rPr>
      </w:pPr>
      <w:r>
        <w:rPr>
          <w:i/>
          <w:sz w:val="28"/>
          <w:szCs w:val="28"/>
        </w:rPr>
        <w:t>prezidentvalsts</w:t>
      </w:r>
      <w:r w:rsidRPr="00730AEA">
        <w:rPr>
          <w:i/>
          <w:sz w:val="28"/>
          <w:szCs w:val="28"/>
        </w:rPr>
        <w:t xml:space="preserve"> sniegta informācija</w:t>
      </w:r>
    </w:p>
    <w:p w:rsidR="00D563DD" w:rsidRPr="00D563DD" w:rsidRDefault="00D563DD" w:rsidP="00D563DD">
      <w:pPr>
        <w:spacing w:line="276" w:lineRule="auto"/>
        <w:ind w:left="360"/>
        <w:rPr>
          <w:i/>
          <w:sz w:val="28"/>
          <w:szCs w:val="28"/>
        </w:rPr>
      </w:pPr>
    </w:p>
    <w:p w:rsidR="0051795D" w:rsidRDefault="00603AFF" w:rsidP="00603AFF">
      <w:pPr>
        <w:jc w:val="both"/>
        <w:rPr>
          <w:sz w:val="28"/>
          <w:szCs w:val="28"/>
        </w:rPr>
      </w:pPr>
      <w:r>
        <w:rPr>
          <w:sz w:val="28"/>
          <w:szCs w:val="28"/>
        </w:rPr>
        <w:tab/>
      </w:r>
      <w:r w:rsidRPr="00603AFF">
        <w:rPr>
          <w:sz w:val="28"/>
          <w:szCs w:val="28"/>
        </w:rPr>
        <w:t>201</w:t>
      </w:r>
      <w:r>
        <w:rPr>
          <w:sz w:val="28"/>
          <w:szCs w:val="28"/>
        </w:rPr>
        <w:t xml:space="preserve">3.gada 2.-3.maijā Dublinā notika neformālā ES </w:t>
      </w:r>
      <w:r w:rsidRPr="00603AFF">
        <w:rPr>
          <w:sz w:val="28"/>
          <w:szCs w:val="28"/>
        </w:rPr>
        <w:t>Konkurēt</w:t>
      </w:r>
      <w:r>
        <w:rPr>
          <w:sz w:val="28"/>
          <w:szCs w:val="28"/>
        </w:rPr>
        <w:t>spējas ministru padomes sanāksme</w:t>
      </w:r>
      <w:r w:rsidRPr="00603AFF">
        <w:rPr>
          <w:sz w:val="28"/>
          <w:szCs w:val="28"/>
        </w:rPr>
        <w:t xml:space="preserve">, kuras galvenais vadmotīvs </w:t>
      </w:r>
      <w:r>
        <w:rPr>
          <w:sz w:val="28"/>
          <w:szCs w:val="28"/>
        </w:rPr>
        <w:t>bija</w:t>
      </w:r>
      <w:r w:rsidRPr="00603AFF">
        <w:rPr>
          <w:sz w:val="28"/>
          <w:szCs w:val="28"/>
        </w:rPr>
        <w:t xml:space="preserve"> „Inovatīvi ceļi uz nodarbinātību un izaugsmi”.</w:t>
      </w:r>
      <w:r>
        <w:rPr>
          <w:sz w:val="28"/>
          <w:szCs w:val="28"/>
        </w:rPr>
        <w:t xml:space="preserve"> Sanāksmes </w:t>
      </w:r>
      <w:proofErr w:type="spellStart"/>
      <w:r>
        <w:rPr>
          <w:sz w:val="28"/>
          <w:szCs w:val="28"/>
        </w:rPr>
        <w:t>plenārsesijā</w:t>
      </w:r>
      <w:proofErr w:type="spellEnd"/>
      <w:r>
        <w:rPr>
          <w:sz w:val="28"/>
          <w:szCs w:val="28"/>
        </w:rPr>
        <w:t xml:space="preserve"> uzstājā</w:t>
      </w:r>
      <w:r w:rsidRPr="00603AFF">
        <w:rPr>
          <w:sz w:val="28"/>
          <w:szCs w:val="28"/>
        </w:rPr>
        <w:t xml:space="preserve">s vairāki vieslektori, tostarp </w:t>
      </w:r>
      <w:r>
        <w:rPr>
          <w:sz w:val="28"/>
          <w:szCs w:val="28"/>
        </w:rPr>
        <w:t>EK</w:t>
      </w:r>
      <w:r w:rsidRPr="00603AFF">
        <w:rPr>
          <w:sz w:val="28"/>
          <w:szCs w:val="28"/>
        </w:rPr>
        <w:t xml:space="preserve"> viceprezidents un uzņēmējdarbības un rūpn</w:t>
      </w:r>
      <w:r w:rsidR="0051795D">
        <w:rPr>
          <w:sz w:val="28"/>
          <w:szCs w:val="28"/>
        </w:rPr>
        <w:t xml:space="preserve">iecības komisārs </w:t>
      </w:r>
      <w:r w:rsidR="0051795D" w:rsidRPr="00513117">
        <w:rPr>
          <w:i/>
          <w:sz w:val="28"/>
          <w:szCs w:val="28"/>
        </w:rPr>
        <w:t xml:space="preserve">Antonio </w:t>
      </w:r>
      <w:proofErr w:type="spellStart"/>
      <w:r w:rsidR="0051795D" w:rsidRPr="00513117">
        <w:rPr>
          <w:i/>
          <w:sz w:val="28"/>
          <w:szCs w:val="28"/>
        </w:rPr>
        <w:t>Tajani</w:t>
      </w:r>
      <w:proofErr w:type="spellEnd"/>
      <w:r w:rsidR="0051795D">
        <w:rPr>
          <w:sz w:val="28"/>
          <w:szCs w:val="28"/>
        </w:rPr>
        <w:t xml:space="preserve">. </w:t>
      </w:r>
      <w:proofErr w:type="spellStart"/>
      <w:r w:rsidR="0051795D" w:rsidRPr="00513117">
        <w:rPr>
          <w:i/>
          <w:sz w:val="28"/>
          <w:szCs w:val="28"/>
        </w:rPr>
        <w:t>Tajani</w:t>
      </w:r>
      <w:proofErr w:type="spellEnd"/>
      <w:r w:rsidR="0051795D">
        <w:rPr>
          <w:sz w:val="28"/>
          <w:szCs w:val="28"/>
        </w:rPr>
        <w:t xml:space="preserve"> </w:t>
      </w:r>
      <w:r w:rsidR="0051795D" w:rsidRPr="0051795D">
        <w:rPr>
          <w:sz w:val="28"/>
          <w:szCs w:val="28"/>
        </w:rPr>
        <w:t>uzsvēra MV</w:t>
      </w:r>
      <w:r w:rsidR="0051795D">
        <w:rPr>
          <w:sz w:val="28"/>
          <w:szCs w:val="28"/>
        </w:rPr>
        <w:t>U</w:t>
      </w:r>
      <w:r w:rsidR="0051795D" w:rsidRPr="0051795D">
        <w:rPr>
          <w:sz w:val="28"/>
          <w:szCs w:val="28"/>
        </w:rPr>
        <w:t xml:space="preserve"> lielo nozīmi ES izaugsmes nodrošināšanā, grūtības finansējuma pieejamībā, kā arī klasteru principa un internacionalizācijas ietekmi uz MV</w:t>
      </w:r>
      <w:r w:rsidR="0051795D">
        <w:rPr>
          <w:sz w:val="28"/>
          <w:szCs w:val="28"/>
        </w:rPr>
        <w:t>I</w:t>
      </w:r>
      <w:r w:rsidR="0051795D" w:rsidRPr="0051795D">
        <w:rPr>
          <w:sz w:val="28"/>
          <w:szCs w:val="28"/>
        </w:rPr>
        <w:t xml:space="preserve"> attīstību. </w:t>
      </w:r>
      <w:r w:rsidR="0051795D">
        <w:rPr>
          <w:sz w:val="28"/>
          <w:szCs w:val="28"/>
        </w:rPr>
        <w:t xml:space="preserve">Tāpat </w:t>
      </w:r>
      <w:proofErr w:type="spellStart"/>
      <w:r w:rsidR="0051795D" w:rsidRPr="00513117">
        <w:rPr>
          <w:i/>
          <w:sz w:val="28"/>
          <w:szCs w:val="28"/>
        </w:rPr>
        <w:t>Tajani</w:t>
      </w:r>
      <w:proofErr w:type="spellEnd"/>
      <w:r w:rsidR="0051795D">
        <w:rPr>
          <w:sz w:val="28"/>
          <w:szCs w:val="28"/>
        </w:rPr>
        <w:t xml:space="preserve"> s</w:t>
      </w:r>
      <w:r w:rsidR="0051795D" w:rsidRPr="0051795D">
        <w:rPr>
          <w:sz w:val="28"/>
          <w:szCs w:val="28"/>
        </w:rPr>
        <w:t>niedza informāciju par ES līmeņa iniciatīvām, kuru ietvaros tiek p</w:t>
      </w:r>
      <w:r w:rsidR="0051795D">
        <w:rPr>
          <w:sz w:val="28"/>
          <w:szCs w:val="28"/>
        </w:rPr>
        <w:t>lānots sniegt atbalstu MVU attīstībai, kā arī</w:t>
      </w:r>
      <w:r w:rsidR="0051795D" w:rsidRPr="0051795D">
        <w:rPr>
          <w:sz w:val="28"/>
          <w:szCs w:val="28"/>
        </w:rPr>
        <w:t xml:space="preserve"> </w:t>
      </w:r>
      <w:r w:rsidR="0051795D">
        <w:rPr>
          <w:sz w:val="28"/>
          <w:szCs w:val="28"/>
        </w:rPr>
        <w:t>n</w:t>
      </w:r>
      <w:r w:rsidR="0051795D" w:rsidRPr="0051795D">
        <w:rPr>
          <w:sz w:val="28"/>
          <w:szCs w:val="28"/>
        </w:rPr>
        <w:t xml:space="preserve">orādīja, ka saistībā ar finansējuma pieejamības problēmu pašreiz </w:t>
      </w:r>
      <w:r w:rsidR="004C7C91">
        <w:rPr>
          <w:sz w:val="28"/>
          <w:szCs w:val="28"/>
        </w:rPr>
        <w:t>Eiropas Centrālā banka sadarbībā</w:t>
      </w:r>
      <w:r w:rsidR="0051795D" w:rsidRPr="0051795D">
        <w:rPr>
          <w:sz w:val="28"/>
          <w:szCs w:val="28"/>
        </w:rPr>
        <w:t xml:space="preserve"> ar Eiropas Investīciju fondu meklē inovatīvus risinājumus</w:t>
      </w:r>
      <w:r w:rsidR="0051795D">
        <w:rPr>
          <w:sz w:val="28"/>
          <w:szCs w:val="28"/>
        </w:rPr>
        <w:t xml:space="preserve"> papildu finansējuma avotiem MVU</w:t>
      </w:r>
      <w:r w:rsidR="0051795D" w:rsidRPr="0051795D">
        <w:rPr>
          <w:sz w:val="28"/>
          <w:szCs w:val="28"/>
        </w:rPr>
        <w:t xml:space="preserve"> attīstībai, </w:t>
      </w:r>
      <w:proofErr w:type="spellStart"/>
      <w:r w:rsidR="0051795D" w:rsidRPr="0051795D">
        <w:rPr>
          <w:sz w:val="28"/>
          <w:szCs w:val="28"/>
        </w:rPr>
        <w:t>t.sk</w:t>
      </w:r>
      <w:proofErr w:type="spellEnd"/>
      <w:r w:rsidR="0051795D" w:rsidRPr="0051795D">
        <w:rPr>
          <w:sz w:val="28"/>
          <w:szCs w:val="28"/>
        </w:rPr>
        <w:t xml:space="preserve">., iniciatīvas privātā sektora jomā. </w:t>
      </w:r>
      <w:proofErr w:type="spellStart"/>
      <w:r w:rsidRPr="00603AFF">
        <w:rPr>
          <w:sz w:val="28"/>
          <w:szCs w:val="28"/>
        </w:rPr>
        <w:t>Plenārsesijas</w:t>
      </w:r>
      <w:proofErr w:type="spellEnd"/>
      <w:r w:rsidRPr="00603AFF">
        <w:rPr>
          <w:sz w:val="28"/>
          <w:szCs w:val="28"/>
        </w:rPr>
        <w:t xml:space="preserve"> lektori snie</w:t>
      </w:r>
      <w:r>
        <w:rPr>
          <w:sz w:val="28"/>
          <w:szCs w:val="28"/>
        </w:rPr>
        <w:t>dza</w:t>
      </w:r>
      <w:r w:rsidRPr="00603AFF">
        <w:rPr>
          <w:sz w:val="28"/>
          <w:szCs w:val="28"/>
        </w:rPr>
        <w:t xml:space="preserve"> savu redzējumu par tādiem jautājumiem, kā </w:t>
      </w:r>
      <w:r>
        <w:rPr>
          <w:sz w:val="28"/>
          <w:szCs w:val="28"/>
        </w:rPr>
        <w:t>MVU</w:t>
      </w:r>
      <w:r w:rsidRPr="00603AFF">
        <w:rPr>
          <w:sz w:val="28"/>
          <w:szCs w:val="28"/>
        </w:rPr>
        <w:t xml:space="preserve"> loma ekonomiskās izaugsmes sekmēšanā, piekļuve finansējumam, pilsētu un reģionu loma uzņēmējdarbības, inovācijas un nodarbinātības sekmēšanā, kā arī MVU internacionalizācija. </w:t>
      </w:r>
      <w:r>
        <w:rPr>
          <w:sz w:val="28"/>
          <w:szCs w:val="28"/>
        </w:rPr>
        <w:t>Par šiem jautājumiem notika arī vairākas atsevišķas paralēlās darba sesijas, bet Latvijas pārstāvis piedalījā</w:t>
      </w:r>
      <w:r w:rsidRPr="00603AFF">
        <w:rPr>
          <w:sz w:val="28"/>
          <w:szCs w:val="28"/>
        </w:rPr>
        <w:t>s paralēlajā sesijā „Piekļuve finansējumam”.</w:t>
      </w:r>
      <w:r>
        <w:rPr>
          <w:sz w:val="28"/>
          <w:szCs w:val="28"/>
        </w:rPr>
        <w:t xml:space="preserve"> Sanāksmē plānots sniegt informāciju par neformālās ministru padomes diskusiju rezultātiem.</w:t>
      </w:r>
    </w:p>
    <w:p w:rsidR="00E56454" w:rsidRDefault="00E56454" w:rsidP="00603AFF">
      <w:pPr>
        <w:jc w:val="both"/>
        <w:rPr>
          <w:sz w:val="28"/>
          <w:szCs w:val="28"/>
        </w:rPr>
      </w:pPr>
    </w:p>
    <w:p w:rsidR="00E56454" w:rsidRPr="00730AEA" w:rsidRDefault="00E56454" w:rsidP="00E56454">
      <w:pPr>
        <w:pStyle w:val="ListParagraph"/>
        <w:numPr>
          <w:ilvl w:val="0"/>
          <w:numId w:val="3"/>
        </w:numPr>
        <w:jc w:val="both"/>
        <w:rPr>
          <w:b/>
          <w:sz w:val="28"/>
          <w:szCs w:val="28"/>
        </w:rPr>
      </w:pPr>
      <w:r w:rsidRPr="00E56454">
        <w:rPr>
          <w:b/>
          <w:i/>
          <w:sz w:val="28"/>
          <w:szCs w:val="28"/>
        </w:rPr>
        <w:t xml:space="preserve">ES tirdzniecības aizsardzības instrumentu modernizēšana </w:t>
      </w:r>
      <w:r w:rsidRPr="00730AEA">
        <w:rPr>
          <w:i/>
          <w:sz w:val="28"/>
          <w:szCs w:val="28"/>
        </w:rPr>
        <w:t>(EM kompetence)</w:t>
      </w:r>
    </w:p>
    <w:p w:rsidR="00E56454" w:rsidRPr="00730AEA" w:rsidRDefault="00E56454" w:rsidP="00E56454">
      <w:pPr>
        <w:pStyle w:val="ListParagraph"/>
        <w:numPr>
          <w:ilvl w:val="0"/>
          <w:numId w:val="2"/>
        </w:numPr>
        <w:jc w:val="both"/>
        <w:rPr>
          <w:i/>
          <w:sz w:val="28"/>
          <w:szCs w:val="28"/>
        </w:rPr>
      </w:pPr>
      <w:r>
        <w:rPr>
          <w:i/>
          <w:sz w:val="28"/>
          <w:szCs w:val="28"/>
        </w:rPr>
        <w:t>prezidentvalsts</w:t>
      </w:r>
      <w:r w:rsidRPr="00730AEA">
        <w:rPr>
          <w:i/>
          <w:sz w:val="28"/>
          <w:szCs w:val="28"/>
        </w:rPr>
        <w:t xml:space="preserve"> sniegta informācija</w:t>
      </w:r>
    </w:p>
    <w:p w:rsidR="00E56454" w:rsidRDefault="00E56454" w:rsidP="00603AFF">
      <w:pPr>
        <w:jc w:val="both"/>
        <w:rPr>
          <w:sz w:val="28"/>
          <w:szCs w:val="28"/>
        </w:rPr>
      </w:pPr>
    </w:p>
    <w:p w:rsidR="00E56454" w:rsidRPr="00E56454" w:rsidRDefault="00E56454" w:rsidP="00E56454">
      <w:pPr>
        <w:jc w:val="both"/>
        <w:rPr>
          <w:sz w:val="28"/>
          <w:szCs w:val="28"/>
        </w:rPr>
      </w:pPr>
      <w:r>
        <w:rPr>
          <w:sz w:val="28"/>
          <w:szCs w:val="28"/>
        </w:rPr>
        <w:tab/>
        <w:t xml:space="preserve">Sanāksmē paredzēts sniegt īsu informāciju par EK </w:t>
      </w:r>
      <w:r w:rsidRPr="00E56454">
        <w:rPr>
          <w:sz w:val="28"/>
          <w:szCs w:val="28"/>
        </w:rPr>
        <w:t>iniciatīvu modernizēt tirdzniecības aizsardzības instrumentu (turpmāk – TAI)</w:t>
      </w:r>
      <w:r>
        <w:rPr>
          <w:sz w:val="28"/>
          <w:szCs w:val="28"/>
        </w:rPr>
        <w:t xml:space="preserve"> sistēmu</w:t>
      </w:r>
      <w:r w:rsidRPr="00E56454">
        <w:rPr>
          <w:sz w:val="28"/>
          <w:szCs w:val="28"/>
        </w:rPr>
        <w:t xml:space="preserve"> atbilstoši mūsdienu Eiropas ekonomikas prasībām</w:t>
      </w:r>
      <w:r>
        <w:rPr>
          <w:sz w:val="28"/>
          <w:szCs w:val="28"/>
        </w:rPr>
        <w:t>. ES</w:t>
      </w:r>
      <w:r w:rsidRPr="00E56454">
        <w:rPr>
          <w:sz w:val="28"/>
          <w:szCs w:val="28"/>
        </w:rPr>
        <w:t xml:space="preserve"> tāpat kā lielākajā daļā citu pasaules valstu, kas importē citu valstu preces un izejvielas, darbojas </w:t>
      </w:r>
      <w:r>
        <w:rPr>
          <w:sz w:val="28"/>
          <w:szCs w:val="28"/>
        </w:rPr>
        <w:t xml:space="preserve">TAI </w:t>
      </w:r>
      <w:r w:rsidRPr="00E56454">
        <w:rPr>
          <w:sz w:val="28"/>
          <w:szCs w:val="28"/>
        </w:rPr>
        <w:t xml:space="preserve">sistēma – antidempinga, </w:t>
      </w:r>
      <w:proofErr w:type="spellStart"/>
      <w:r w:rsidRPr="00E56454">
        <w:rPr>
          <w:sz w:val="28"/>
          <w:szCs w:val="28"/>
        </w:rPr>
        <w:t>pretsubsīdiju</w:t>
      </w:r>
      <w:proofErr w:type="spellEnd"/>
      <w:r w:rsidRPr="00E56454">
        <w:rPr>
          <w:sz w:val="28"/>
          <w:szCs w:val="28"/>
        </w:rPr>
        <w:t xml:space="preserve"> un iekšējā tirgus aizsardzības pasākumi. Antidempinga un </w:t>
      </w:r>
      <w:proofErr w:type="spellStart"/>
      <w:r w:rsidRPr="00E56454">
        <w:rPr>
          <w:sz w:val="28"/>
          <w:szCs w:val="28"/>
        </w:rPr>
        <w:t>pretsubsīdiju</w:t>
      </w:r>
      <w:proofErr w:type="spellEnd"/>
      <w:r w:rsidRPr="00E56454">
        <w:rPr>
          <w:sz w:val="28"/>
          <w:szCs w:val="28"/>
        </w:rPr>
        <w:t xml:space="preserve"> pasākumu mērķis ir aizsargāt ES ražotājus pret zaudējumiem, kurus nodara trešo valstu uzņēmumu negodīga konkurence vai valdību piešķirtās subsīdijas, savukārt iekšējā tirgus aizsardzības pasākumu piemērošanai izšķirošais pamats ir tāds importa pieaugums, kas nodara zaudējumus vietējiem ražotājiem, bet nav negodīgas konkurences pazīme. </w:t>
      </w:r>
    </w:p>
    <w:p w:rsidR="00E56454" w:rsidRPr="00E56454" w:rsidRDefault="00E56454" w:rsidP="00E56454">
      <w:pPr>
        <w:jc w:val="both"/>
        <w:rPr>
          <w:sz w:val="28"/>
          <w:szCs w:val="28"/>
        </w:rPr>
      </w:pPr>
      <w:r>
        <w:rPr>
          <w:sz w:val="28"/>
          <w:szCs w:val="28"/>
        </w:rPr>
        <w:tab/>
      </w:r>
      <w:r w:rsidRPr="00E56454">
        <w:rPr>
          <w:sz w:val="28"/>
          <w:szCs w:val="28"/>
        </w:rPr>
        <w:t>Ņemot vērā, ka pēdējo gadu laikā ir būtiski mainījusies globālā ekonomikas vide, taču ES TAI sistēma nav būtiski mainīta kopš 1995. gada, kā arī Pasaules Tirdzniecības organizā</w:t>
      </w:r>
      <w:r w:rsidR="004C7C91">
        <w:rPr>
          <w:sz w:val="28"/>
          <w:szCs w:val="28"/>
        </w:rPr>
        <w:t xml:space="preserve">cijas </w:t>
      </w:r>
      <w:proofErr w:type="spellStart"/>
      <w:r w:rsidR="004C7C91">
        <w:rPr>
          <w:sz w:val="28"/>
          <w:szCs w:val="28"/>
        </w:rPr>
        <w:t>Dohas</w:t>
      </w:r>
      <w:proofErr w:type="spellEnd"/>
      <w:r w:rsidR="004C7C91">
        <w:rPr>
          <w:sz w:val="28"/>
          <w:szCs w:val="28"/>
        </w:rPr>
        <w:t xml:space="preserve"> tirdzniecības sarunā</w:t>
      </w:r>
      <w:r w:rsidRPr="00E56454">
        <w:rPr>
          <w:sz w:val="28"/>
          <w:szCs w:val="28"/>
        </w:rPr>
        <w:t xml:space="preserve">s nav vērojama būtiska virzība, ir nepieciešams šo sistēmu modernizēt atbilstoši mūsdienu ekonomikas prasībām. Eiropas Komisijas iniciatīvas mērķis nav fundamentāli mainīt TAI kā tādus, bet gan ieviest atsevišķus sistēmas uzlabojumus, padarot tos ražotājiem un importētājiem pārskatāmākus, efektīvākus un vienkāršākus. </w:t>
      </w:r>
    </w:p>
    <w:p w:rsidR="00E56454" w:rsidRDefault="00E56454" w:rsidP="00E56454">
      <w:pPr>
        <w:jc w:val="both"/>
        <w:rPr>
          <w:sz w:val="28"/>
          <w:szCs w:val="28"/>
        </w:rPr>
      </w:pPr>
      <w:r>
        <w:rPr>
          <w:sz w:val="28"/>
          <w:szCs w:val="28"/>
        </w:rPr>
        <w:tab/>
      </w:r>
      <w:r w:rsidRPr="00E56454">
        <w:rPr>
          <w:sz w:val="28"/>
          <w:szCs w:val="28"/>
        </w:rPr>
        <w:t xml:space="preserve">Ņemot vērā, ka Latvija TAI pārbaudēs iestājas par atvērtu tirdzniecību, ražotājiem un lietotājiem nepieciešamo izejvielu, starppatēriņa preču pieejamību, kā arī to piegāžu ķēžu dažādību, </w:t>
      </w:r>
      <w:r w:rsidRPr="00E56454">
        <w:rPr>
          <w:b/>
          <w:sz w:val="28"/>
          <w:szCs w:val="28"/>
        </w:rPr>
        <w:t>atzinīgi vērtējam</w:t>
      </w:r>
      <w:r w:rsidRPr="00E56454">
        <w:rPr>
          <w:sz w:val="28"/>
          <w:szCs w:val="28"/>
        </w:rPr>
        <w:t xml:space="preserve"> </w:t>
      </w:r>
      <w:r>
        <w:rPr>
          <w:sz w:val="28"/>
          <w:szCs w:val="28"/>
        </w:rPr>
        <w:t xml:space="preserve">EK </w:t>
      </w:r>
      <w:r w:rsidRPr="00E56454">
        <w:rPr>
          <w:sz w:val="28"/>
          <w:szCs w:val="28"/>
        </w:rPr>
        <w:t>iniciatīvu modernizēt TAI atbilstoši mūsdienu Eiropas ekonomikas prasībām.</w:t>
      </w:r>
    </w:p>
    <w:p w:rsidR="006E0C4F" w:rsidRPr="00603AFF" w:rsidRDefault="006E0C4F" w:rsidP="00603AFF">
      <w:pPr>
        <w:jc w:val="both"/>
        <w:rPr>
          <w:sz w:val="28"/>
          <w:szCs w:val="28"/>
        </w:rPr>
      </w:pPr>
      <w:r w:rsidRPr="00603AFF">
        <w:rPr>
          <w:sz w:val="28"/>
          <w:szCs w:val="28"/>
        </w:rPr>
        <w:br w:type="page"/>
      </w:r>
    </w:p>
    <w:p w:rsidR="0049471A" w:rsidRPr="00025B33" w:rsidRDefault="0049471A" w:rsidP="000017A5">
      <w:pPr>
        <w:jc w:val="both"/>
        <w:rPr>
          <w:b/>
          <w:sz w:val="28"/>
          <w:szCs w:val="28"/>
        </w:rPr>
      </w:pPr>
      <w:r w:rsidRPr="00025B33">
        <w:rPr>
          <w:b/>
          <w:sz w:val="28"/>
          <w:szCs w:val="28"/>
        </w:rPr>
        <w:t>2.  Latvijas delegācija</w:t>
      </w:r>
    </w:p>
    <w:p w:rsidR="0066585F" w:rsidRDefault="0066585F" w:rsidP="0066585F">
      <w:pPr>
        <w:ind w:left="2977" w:hanging="2977"/>
        <w:jc w:val="both"/>
        <w:rPr>
          <w:sz w:val="28"/>
          <w:szCs w:val="28"/>
        </w:rPr>
      </w:pPr>
      <w:r w:rsidRPr="001F33E5">
        <w:rPr>
          <w:sz w:val="28"/>
          <w:szCs w:val="28"/>
        </w:rPr>
        <w:t xml:space="preserve">Delegācijas vadītājs: </w:t>
      </w:r>
      <w:r w:rsidRPr="001F33E5">
        <w:rPr>
          <w:sz w:val="28"/>
          <w:szCs w:val="28"/>
        </w:rPr>
        <w:tab/>
      </w:r>
      <w:r w:rsidR="00C718DB">
        <w:rPr>
          <w:b/>
          <w:sz w:val="28"/>
          <w:szCs w:val="28"/>
        </w:rPr>
        <w:t>Juris</w:t>
      </w:r>
      <w:r w:rsidR="000D0931">
        <w:rPr>
          <w:b/>
          <w:sz w:val="28"/>
          <w:szCs w:val="28"/>
        </w:rPr>
        <w:t xml:space="preserve"> </w:t>
      </w:r>
      <w:r w:rsidR="00C718DB">
        <w:rPr>
          <w:b/>
          <w:sz w:val="28"/>
          <w:szCs w:val="28"/>
        </w:rPr>
        <w:t>Pūce</w:t>
      </w:r>
      <w:r w:rsidRPr="001F33E5">
        <w:rPr>
          <w:sz w:val="28"/>
          <w:szCs w:val="28"/>
        </w:rPr>
        <w:t xml:space="preserve">, </w:t>
      </w:r>
      <w:r w:rsidR="0000312B">
        <w:rPr>
          <w:sz w:val="28"/>
          <w:szCs w:val="28"/>
        </w:rPr>
        <w:t>Ekonomikas ministrijas valsts sekretārs</w:t>
      </w:r>
      <w:r w:rsidRPr="001F33E5">
        <w:rPr>
          <w:sz w:val="28"/>
          <w:szCs w:val="28"/>
        </w:rPr>
        <w:t>.</w:t>
      </w:r>
    </w:p>
    <w:p w:rsidR="0066585F" w:rsidRPr="001F33E5" w:rsidRDefault="0066585F" w:rsidP="0066585F">
      <w:pPr>
        <w:ind w:left="2977" w:hanging="2977"/>
        <w:jc w:val="both"/>
        <w:rPr>
          <w:sz w:val="28"/>
          <w:szCs w:val="28"/>
        </w:rPr>
      </w:pPr>
    </w:p>
    <w:p w:rsidR="00601F9C" w:rsidRPr="00767288" w:rsidRDefault="0066585F" w:rsidP="00601F9C">
      <w:pPr>
        <w:ind w:left="2977" w:hanging="2977"/>
        <w:jc w:val="both"/>
        <w:rPr>
          <w:sz w:val="28"/>
          <w:szCs w:val="28"/>
        </w:rPr>
      </w:pPr>
      <w:r w:rsidRPr="001F33E5">
        <w:rPr>
          <w:sz w:val="28"/>
          <w:szCs w:val="28"/>
        </w:rPr>
        <w:t xml:space="preserve">Delegācijas dalībnieki: </w:t>
      </w:r>
      <w:r w:rsidRPr="001F33E5">
        <w:rPr>
          <w:sz w:val="28"/>
          <w:szCs w:val="28"/>
        </w:rPr>
        <w:tab/>
      </w:r>
      <w:r w:rsidR="00601F9C" w:rsidRPr="00767288">
        <w:rPr>
          <w:b/>
          <w:sz w:val="28"/>
          <w:szCs w:val="28"/>
        </w:rPr>
        <w:t>J</w:t>
      </w:r>
      <w:r w:rsidR="004D1754" w:rsidRPr="00767288">
        <w:rPr>
          <w:b/>
          <w:sz w:val="28"/>
          <w:szCs w:val="28"/>
        </w:rPr>
        <w:t xml:space="preserve">uris </w:t>
      </w:r>
      <w:proofErr w:type="spellStart"/>
      <w:r w:rsidR="00601F9C" w:rsidRPr="00767288">
        <w:rPr>
          <w:b/>
          <w:sz w:val="28"/>
          <w:szCs w:val="28"/>
        </w:rPr>
        <w:t>Štālmeistars</w:t>
      </w:r>
      <w:proofErr w:type="spellEnd"/>
      <w:r w:rsidR="00601F9C" w:rsidRPr="00767288">
        <w:rPr>
          <w:sz w:val="28"/>
          <w:szCs w:val="28"/>
        </w:rPr>
        <w:t>, Latvijas Republikas pastāvīgā pārstāvja Eiropas Savienībā vietnieks;</w:t>
      </w:r>
    </w:p>
    <w:p w:rsidR="00601F9C" w:rsidRDefault="00766219" w:rsidP="00601F9C">
      <w:pPr>
        <w:ind w:left="2977"/>
        <w:jc w:val="both"/>
        <w:rPr>
          <w:sz w:val="28"/>
          <w:szCs w:val="28"/>
        </w:rPr>
      </w:pPr>
      <w:r>
        <w:rPr>
          <w:b/>
          <w:sz w:val="28"/>
          <w:szCs w:val="28"/>
        </w:rPr>
        <w:t>Māra Rone</w:t>
      </w:r>
      <w:r w:rsidR="0066585F" w:rsidRPr="00767288">
        <w:rPr>
          <w:sz w:val="28"/>
          <w:szCs w:val="28"/>
        </w:rPr>
        <w:t xml:space="preserve">, Ekonomikas ministrijas </w:t>
      </w:r>
      <w:r w:rsidRPr="00766219">
        <w:rPr>
          <w:sz w:val="28"/>
          <w:szCs w:val="28"/>
        </w:rPr>
        <w:t xml:space="preserve">Ārējo ekonomisko attiecību departamenta </w:t>
      </w:r>
      <w:r>
        <w:rPr>
          <w:sz w:val="28"/>
          <w:szCs w:val="28"/>
        </w:rPr>
        <w:t>Eiropas Savienības lietu nodaļas vadītāja</w:t>
      </w:r>
      <w:r w:rsidR="0066585F" w:rsidRPr="00767288">
        <w:rPr>
          <w:sz w:val="28"/>
          <w:szCs w:val="28"/>
        </w:rPr>
        <w:t>;</w:t>
      </w:r>
    </w:p>
    <w:p w:rsidR="005C725A" w:rsidRDefault="005C725A" w:rsidP="005C725A">
      <w:pPr>
        <w:ind w:left="2977"/>
        <w:jc w:val="both"/>
        <w:rPr>
          <w:sz w:val="28"/>
          <w:szCs w:val="28"/>
        </w:rPr>
      </w:pPr>
      <w:r w:rsidRPr="005C725A">
        <w:rPr>
          <w:b/>
          <w:sz w:val="28"/>
          <w:szCs w:val="28"/>
        </w:rPr>
        <w:t>Ilona Tomsone</w:t>
      </w:r>
      <w:r>
        <w:rPr>
          <w:sz w:val="28"/>
          <w:szCs w:val="28"/>
        </w:rPr>
        <w:t xml:space="preserve">, Kultūras ministrijas </w:t>
      </w:r>
      <w:r w:rsidRPr="005C725A">
        <w:rPr>
          <w:sz w:val="28"/>
          <w:szCs w:val="28"/>
        </w:rPr>
        <w:t>J</w:t>
      </w:r>
      <w:r>
        <w:rPr>
          <w:sz w:val="28"/>
          <w:szCs w:val="28"/>
        </w:rPr>
        <w:t>uridiskās nodaļas juriskonsulte;</w:t>
      </w:r>
    </w:p>
    <w:p w:rsidR="000A5454" w:rsidRDefault="000A5454" w:rsidP="005C725A">
      <w:pPr>
        <w:ind w:left="2977"/>
        <w:jc w:val="both"/>
        <w:rPr>
          <w:sz w:val="28"/>
          <w:szCs w:val="28"/>
        </w:rPr>
      </w:pPr>
      <w:r w:rsidRPr="000A5454">
        <w:rPr>
          <w:b/>
          <w:sz w:val="28"/>
          <w:szCs w:val="28"/>
        </w:rPr>
        <w:t>Edīte Bērziņa</w:t>
      </w:r>
      <w:r>
        <w:rPr>
          <w:sz w:val="28"/>
          <w:szCs w:val="28"/>
        </w:rPr>
        <w:t>,</w:t>
      </w:r>
      <w:r w:rsidRPr="000A5454">
        <w:rPr>
          <w:sz w:val="28"/>
          <w:szCs w:val="28"/>
        </w:rPr>
        <w:t xml:space="preserve"> </w:t>
      </w:r>
      <w:r>
        <w:rPr>
          <w:sz w:val="28"/>
          <w:szCs w:val="28"/>
        </w:rPr>
        <w:t xml:space="preserve">Finanšu ministrijas </w:t>
      </w:r>
      <w:r w:rsidRPr="000A5454">
        <w:rPr>
          <w:sz w:val="28"/>
          <w:szCs w:val="28"/>
        </w:rPr>
        <w:t>Komercdarbības atbalsta kontroles de</w:t>
      </w:r>
      <w:r>
        <w:rPr>
          <w:sz w:val="28"/>
          <w:szCs w:val="28"/>
        </w:rPr>
        <w:t>partamenta direktores vietniece;</w:t>
      </w:r>
    </w:p>
    <w:p w:rsidR="00675A3F" w:rsidRPr="00767288" w:rsidRDefault="00675A3F" w:rsidP="005C725A">
      <w:pPr>
        <w:ind w:left="2977"/>
        <w:jc w:val="both"/>
        <w:rPr>
          <w:sz w:val="28"/>
          <w:szCs w:val="28"/>
        </w:rPr>
      </w:pPr>
      <w:r w:rsidRPr="00675A3F">
        <w:rPr>
          <w:b/>
          <w:sz w:val="28"/>
          <w:szCs w:val="28"/>
        </w:rPr>
        <w:t xml:space="preserve">Ronalds </w:t>
      </w:r>
      <w:proofErr w:type="spellStart"/>
      <w:r w:rsidRPr="00675A3F">
        <w:rPr>
          <w:b/>
          <w:sz w:val="28"/>
          <w:szCs w:val="28"/>
        </w:rPr>
        <w:t>Fišers</w:t>
      </w:r>
      <w:proofErr w:type="spellEnd"/>
      <w:r>
        <w:rPr>
          <w:sz w:val="28"/>
          <w:szCs w:val="28"/>
        </w:rPr>
        <w:t xml:space="preserve">, </w:t>
      </w:r>
      <w:r w:rsidRPr="00675A3F">
        <w:rPr>
          <w:sz w:val="28"/>
          <w:szCs w:val="28"/>
        </w:rPr>
        <w:t xml:space="preserve">Finanšu ministrijas nozares </w:t>
      </w:r>
      <w:r>
        <w:rPr>
          <w:sz w:val="28"/>
          <w:szCs w:val="28"/>
        </w:rPr>
        <w:t xml:space="preserve">padomnieks </w:t>
      </w:r>
      <w:r w:rsidRPr="00675A3F">
        <w:rPr>
          <w:sz w:val="28"/>
          <w:szCs w:val="28"/>
        </w:rPr>
        <w:t>Latvijas Republikas Pastāvīgajā pārstāvniecībā Eiropas Savienībā</w:t>
      </w:r>
      <w:r>
        <w:rPr>
          <w:sz w:val="28"/>
          <w:szCs w:val="28"/>
        </w:rPr>
        <w:t>;</w:t>
      </w:r>
    </w:p>
    <w:p w:rsidR="0066585F" w:rsidRPr="00767288" w:rsidRDefault="004D1754" w:rsidP="0066585F">
      <w:pPr>
        <w:ind w:left="2977"/>
        <w:jc w:val="both"/>
        <w:rPr>
          <w:sz w:val="28"/>
          <w:szCs w:val="28"/>
        </w:rPr>
      </w:pPr>
      <w:r w:rsidRPr="00767288">
        <w:rPr>
          <w:b/>
          <w:sz w:val="28"/>
          <w:szCs w:val="28"/>
        </w:rPr>
        <w:t xml:space="preserve">Aivars </w:t>
      </w:r>
      <w:r w:rsidR="0066585F" w:rsidRPr="00767288">
        <w:rPr>
          <w:b/>
          <w:sz w:val="28"/>
          <w:szCs w:val="28"/>
        </w:rPr>
        <w:t>Neimanis</w:t>
      </w:r>
      <w:r w:rsidR="0066585F" w:rsidRPr="00767288">
        <w:rPr>
          <w:sz w:val="28"/>
          <w:szCs w:val="28"/>
        </w:rPr>
        <w:t>, Ekonomikas ministrijas nozares padomnieks Latvijas Republikas Pastāvīgajā pārstāvniecībā Eiropas Savienībā;</w:t>
      </w:r>
    </w:p>
    <w:p w:rsidR="0066585F" w:rsidRPr="00767288" w:rsidRDefault="0066585F" w:rsidP="0066585F">
      <w:pPr>
        <w:ind w:left="2977"/>
        <w:jc w:val="both"/>
        <w:rPr>
          <w:bCs/>
          <w:sz w:val="28"/>
          <w:szCs w:val="28"/>
        </w:rPr>
      </w:pPr>
      <w:r w:rsidRPr="00767288">
        <w:rPr>
          <w:b/>
          <w:bCs/>
          <w:sz w:val="28"/>
          <w:szCs w:val="28"/>
        </w:rPr>
        <w:t>Anna Upena</w:t>
      </w:r>
      <w:r w:rsidRPr="00767288">
        <w:rPr>
          <w:bCs/>
          <w:sz w:val="28"/>
          <w:szCs w:val="28"/>
        </w:rPr>
        <w:t>,</w:t>
      </w:r>
      <w:r w:rsidRPr="00767288">
        <w:rPr>
          <w:b/>
          <w:bCs/>
          <w:sz w:val="28"/>
          <w:szCs w:val="28"/>
        </w:rPr>
        <w:t xml:space="preserve"> </w:t>
      </w:r>
      <w:r w:rsidRPr="00767288">
        <w:rPr>
          <w:bCs/>
          <w:sz w:val="28"/>
          <w:szCs w:val="28"/>
        </w:rPr>
        <w:t xml:space="preserve">Ekonomikas ministrijas nozares padomniece Latvijas Republikas </w:t>
      </w:r>
      <w:r w:rsidRPr="00767288">
        <w:rPr>
          <w:sz w:val="28"/>
          <w:szCs w:val="28"/>
        </w:rPr>
        <w:t xml:space="preserve">Pastāvīgajā pārstāvniecībā </w:t>
      </w:r>
      <w:r w:rsidR="0046554A" w:rsidRPr="00767288">
        <w:rPr>
          <w:bCs/>
          <w:sz w:val="28"/>
          <w:szCs w:val="28"/>
        </w:rPr>
        <w:t>Eiropas Savienībā</w:t>
      </w:r>
      <w:r w:rsidR="0076578F">
        <w:rPr>
          <w:bCs/>
          <w:sz w:val="28"/>
          <w:szCs w:val="28"/>
        </w:rPr>
        <w:t>.</w:t>
      </w:r>
    </w:p>
    <w:p w:rsidR="0049471A" w:rsidRDefault="0049471A" w:rsidP="00CA30F2">
      <w:pPr>
        <w:tabs>
          <w:tab w:val="right" w:pos="9071"/>
        </w:tabs>
        <w:spacing w:after="120"/>
        <w:jc w:val="both"/>
        <w:rPr>
          <w:sz w:val="28"/>
          <w:szCs w:val="28"/>
        </w:rPr>
      </w:pPr>
    </w:p>
    <w:p w:rsidR="00AC618A" w:rsidRPr="00025B33" w:rsidRDefault="00AC618A" w:rsidP="00CA30F2">
      <w:pPr>
        <w:tabs>
          <w:tab w:val="right" w:pos="9071"/>
        </w:tabs>
        <w:spacing w:after="120"/>
        <w:jc w:val="both"/>
        <w:rPr>
          <w:sz w:val="28"/>
          <w:szCs w:val="28"/>
        </w:rPr>
      </w:pPr>
    </w:p>
    <w:p w:rsidR="00084744" w:rsidRDefault="003840A0" w:rsidP="00025B33">
      <w:pPr>
        <w:tabs>
          <w:tab w:val="right" w:pos="8931"/>
        </w:tabs>
        <w:spacing w:after="120"/>
        <w:rPr>
          <w:sz w:val="28"/>
          <w:szCs w:val="28"/>
        </w:rPr>
      </w:pPr>
      <w:r w:rsidRPr="00025B33">
        <w:rPr>
          <w:sz w:val="28"/>
          <w:szCs w:val="28"/>
        </w:rPr>
        <w:t xml:space="preserve">Iesniedzējs: </w:t>
      </w:r>
      <w:bookmarkStart w:id="2" w:name="_GoBack"/>
      <w:bookmarkEnd w:id="2"/>
      <w:r w:rsidR="00025B33">
        <w:rPr>
          <w:sz w:val="28"/>
          <w:szCs w:val="28"/>
        </w:rPr>
        <w:tab/>
      </w:r>
    </w:p>
    <w:p w:rsidR="00484651" w:rsidRPr="00025B33" w:rsidRDefault="00D813CF" w:rsidP="00D813CF">
      <w:pPr>
        <w:tabs>
          <w:tab w:val="right" w:pos="8931"/>
        </w:tabs>
        <w:spacing w:after="120"/>
        <w:rPr>
          <w:sz w:val="28"/>
          <w:szCs w:val="28"/>
        </w:rPr>
      </w:pPr>
      <w:r>
        <w:rPr>
          <w:sz w:val="28"/>
          <w:szCs w:val="28"/>
        </w:rPr>
        <w:t xml:space="preserve">Ekonomikas </w:t>
      </w:r>
      <w:r w:rsidR="00084744" w:rsidRPr="00084744">
        <w:rPr>
          <w:sz w:val="28"/>
          <w:szCs w:val="28"/>
        </w:rPr>
        <w:t>ministrs</w:t>
      </w:r>
      <w:r>
        <w:rPr>
          <w:sz w:val="28"/>
          <w:szCs w:val="28"/>
        </w:rPr>
        <w:tab/>
        <w:t>D</w:t>
      </w:r>
      <w:r w:rsidR="00084744" w:rsidRPr="00084744">
        <w:rPr>
          <w:sz w:val="28"/>
          <w:szCs w:val="28"/>
        </w:rPr>
        <w:t>.</w:t>
      </w:r>
      <w:r>
        <w:rPr>
          <w:sz w:val="28"/>
          <w:szCs w:val="28"/>
        </w:rPr>
        <w:t>Pavļuts</w:t>
      </w:r>
    </w:p>
    <w:p w:rsidR="003840A0" w:rsidRDefault="003840A0" w:rsidP="00977FEC">
      <w:pPr>
        <w:spacing w:after="120"/>
        <w:jc w:val="both"/>
        <w:rPr>
          <w:sz w:val="28"/>
          <w:szCs w:val="28"/>
        </w:rPr>
      </w:pPr>
    </w:p>
    <w:p w:rsidR="00B77079" w:rsidRPr="00025B33" w:rsidRDefault="00B77079" w:rsidP="00977FEC">
      <w:pPr>
        <w:spacing w:after="120"/>
        <w:jc w:val="both"/>
        <w:rPr>
          <w:sz w:val="28"/>
          <w:szCs w:val="28"/>
        </w:rPr>
      </w:pPr>
    </w:p>
    <w:p w:rsidR="0066585F" w:rsidRDefault="001B24AB" w:rsidP="00025B33">
      <w:pPr>
        <w:tabs>
          <w:tab w:val="right" w:pos="8931"/>
        </w:tabs>
        <w:spacing w:after="120"/>
        <w:rPr>
          <w:sz w:val="28"/>
          <w:szCs w:val="28"/>
        </w:rPr>
      </w:pPr>
      <w:r>
        <w:rPr>
          <w:sz w:val="28"/>
          <w:szCs w:val="28"/>
        </w:rPr>
        <w:t>Vī</w:t>
      </w:r>
      <w:r w:rsidR="003840A0" w:rsidRPr="00025B33">
        <w:rPr>
          <w:sz w:val="28"/>
          <w:szCs w:val="28"/>
        </w:rPr>
        <w:t xml:space="preserve">zē: </w:t>
      </w:r>
      <w:r w:rsidR="00025B33">
        <w:rPr>
          <w:sz w:val="28"/>
          <w:szCs w:val="28"/>
        </w:rPr>
        <w:tab/>
      </w:r>
      <w:r w:rsidR="003840A0"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422C05" w:rsidRPr="00271604" w:rsidRDefault="00422C05" w:rsidP="00025B33">
      <w:pPr>
        <w:jc w:val="both"/>
        <w:rPr>
          <w:sz w:val="20"/>
          <w:szCs w:val="18"/>
        </w:rPr>
      </w:pPr>
      <w:r w:rsidRPr="00271604">
        <w:rPr>
          <w:sz w:val="20"/>
          <w:szCs w:val="18"/>
        </w:rPr>
        <w:t xml:space="preserve">Atbildīgā amatpersona: </w:t>
      </w:r>
    </w:p>
    <w:p w:rsidR="00447246" w:rsidRPr="00271604" w:rsidRDefault="003840A0" w:rsidP="00025B33">
      <w:pPr>
        <w:jc w:val="both"/>
        <w:rPr>
          <w:sz w:val="20"/>
          <w:szCs w:val="18"/>
        </w:rPr>
      </w:pPr>
      <w:r w:rsidRPr="00271604">
        <w:rPr>
          <w:sz w:val="20"/>
          <w:szCs w:val="18"/>
        </w:rPr>
        <w:t>Inese Balode</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tabs>
          <w:tab w:val="left" w:pos="6882"/>
        </w:tabs>
        <w:jc w:val="both"/>
        <w:rPr>
          <w:sz w:val="20"/>
          <w:szCs w:val="18"/>
        </w:rPr>
      </w:pPr>
      <w:r w:rsidRPr="00271604">
        <w:rPr>
          <w:sz w:val="20"/>
          <w:szCs w:val="18"/>
        </w:rPr>
        <w:t>Ārējo ekonomisko at</w:t>
      </w:r>
      <w:r w:rsidR="003840A0" w:rsidRPr="00271604">
        <w:rPr>
          <w:sz w:val="20"/>
          <w:szCs w:val="18"/>
        </w:rPr>
        <w:t>tiecību departamenta direktore</w:t>
      </w:r>
      <w:r w:rsidR="00850787" w:rsidRPr="00271604">
        <w:rPr>
          <w:sz w:val="20"/>
          <w:szCs w:val="18"/>
        </w:rPr>
        <w:tab/>
      </w:r>
    </w:p>
    <w:p w:rsidR="00447246" w:rsidRPr="00271604" w:rsidRDefault="00447246" w:rsidP="00025B33">
      <w:pPr>
        <w:jc w:val="both"/>
        <w:rPr>
          <w:sz w:val="20"/>
          <w:szCs w:val="18"/>
        </w:rPr>
      </w:pPr>
      <w:r w:rsidRPr="00271604">
        <w:rPr>
          <w:sz w:val="20"/>
          <w:szCs w:val="18"/>
        </w:rPr>
        <w:t>tālr.:67013</w:t>
      </w:r>
      <w:r w:rsidR="003840A0" w:rsidRPr="00271604">
        <w:rPr>
          <w:sz w:val="20"/>
          <w:szCs w:val="18"/>
        </w:rPr>
        <w:t>064</w:t>
      </w:r>
    </w:p>
    <w:p w:rsidR="00447246" w:rsidRPr="00271604" w:rsidRDefault="00447246" w:rsidP="00025B33">
      <w:pPr>
        <w:jc w:val="both"/>
        <w:rPr>
          <w:sz w:val="20"/>
          <w:szCs w:val="18"/>
        </w:rPr>
      </w:pPr>
      <w:r w:rsidRPr="00271604">
        <w:rPr>
          <w:sz w:val="20"/>
          <w:szCs w:val="18"/>
        </w:rPr>
        <w:t xml:space="preserve">faksa numurs 67280882 </w:t>
      </w:r>
    </w:p>
    <w:p w:rsidR="00447246" w:rsidRPr="00271604" w:rsidRDefault="00447246" w:rsidP="00025B33">
      <w:pPr>
        <w:jc w:val="both"/>
        <w:rPr>
          <w:sz w:val="20"/>
          <w:szCs w:val="18"/>
        </w:rPr>
      </w:pPr>
      <w:r w:rsidRPr="00271604">
        <w:rPr>
          <w:sz w:val="20"/>
          <w:szCs w:val="18"/>
        </w:rPr>
        <w:t xml:space="preserve">e-pasts: </w:t>
      </w:r>
      <w:r w:rsidR="003840A0" w:rsidRPr="00271604">
        <w:rPr>
          <w:sz w:val="20"/>
          <w:szCs w:val="18"/>
        </w:rPr>
        <w:t>Inese.Balode@em.gov.lv</w:t>
      </w:r>
    </w:p>
    <w:p w:rsidR="00422C05" w:rsidRPr="00025B33" w:rsidRDefault="00422C05" w:rsidP="00025B33">
      <w:pPr>
        <w:jc w:val="both"/>
        <w:rPr>
          <w:sz w:val="18"/>
          <w:szCs w:val="18"/>
          <w:u w:val="single"/>
        </w:rPr>
      </w:pPr>
    </w:p>
    <w:p w:rsidR="00271604" w:rsidRPr="00B77079" w:rsidRDefault="000C1FAA" w:rsidP="00025B33">
      <w:pPr>
        <w:jc w:val="both"/>
        <w:rPr>
          <w:sz w:val="20"/>
        </w:rPr>
      </w:pPr>
      <w:r>
        <w:rPr>
          <w:sz w:val="20"/>
        </w:rPr>
        <w:t>2</w:t>
      </w:r>
      <w:r w:rsidR="00492566">
        <w:rPr>
          <w:sz w:val="20"/>
        </w:rPr>
        <w:t>7</w:t>
      </w:r>
      <w:r w:rsidR="00767288" w:rsidRPr="00B77079">
        <w:rPr>
          <w:sz w:val="20"/>
        </w:rPr>
        <w:t>.0</w:t>
      </w:r>
      <w:r w:rsidR="004E6111">
        <w:rPr>
          <w:sz w:val="20"/>
        </w:rPr>
        <w:t>5</w:t>
      </w:r>
      <w:r w:rsidR="00271604" w:rsidRPr="00B77079">
        <w:rPr>
          <w:sz w:val="20"/>
        </w:rPr>
        <w:t>.201</w:t>
      </w:r>
      <w:r w:rsidR="00492566">
        <w:rPr>
          <w:sz w:val="20"/>
        </w:rPr>
        <w:t>3. 13</w:t>
      </w:r>
      <w:r w:rsidR="00271604" w:rsidRPr="00B77079">
        <w:rPr>
          <w:sz w:val="20"/>
        </w:rPr>
        <w:t>:</w:t>
      </w:r>
      <w:r w:rsidR="00492566">
        <w:rPr>
          <w:sz w:val="20"/>
        </w:rPr>
        <w:t>3</w:t>
      </w:r>
      <w:r w:rsidR="00767288" w:rsidRPr="00B77079">
        <w:rPr>
          <w:sz w:val="20"/>
        </w:rPr>
        <w:t>0</w:t>
      </w:r>
    </w:p>
    <w:p w:rsidR="00447246" w:rsidRPr="00271604" w:rsidRDefault="004D1754" w:rsidP="00025B33">
      <w:pPr>
        <w:jc w:val="both"/>
        <w:rPr>
          <w:sz w:val="20"/>
          <w:szCs w:val="18"/>
        </w:rPr>
      </w:pPr>
      <w:r w:rsidRPr="00B77079">
        <w:rPr>
          <w:sz w:val="28"/>
        </w:rPr>
        <w:fldChar w:fldCharType="begin"/>
      </w:r>
      <w:r w:rsidRPr="00B77079">
        <w:rPr>
          <w:sz w:val="28"/>
        </w:rPr>
        <w:instrText xml:space="preserve"> NUMWORDS   \* MERGEFORMAT </w:instrText>
      </w:r>
      <w:r w:rsidRPr="00B77079">
        <w:rPr>
          <w:sz w:val="28"/>
        </w:rPr>
        <w:fldChar w:fldCharType="separate"/>
      </w:r>
      <w:r w:rsidR="00492566" w:rsidRPr="00492566">
        <w:rPr>
          <w:noProof/>
          <w:sz w:val="20"/>
          <w:szCs w:val="18"/>
        </w:rPr>
        <w:t>6092</w:t>
      </w:r>
      <w:r w:rsidRPr="00B77079">
        <w:rPr>
          <w:noProof/>
          <w:sz w:val="20"/>
          <w:szCs w:val="18"/>
        </w:rPr>
        <w:fldChar w:fldCharType="end"/>
      </w:r>
    </w:p>
    <w:p w:rsidR="00447246" w:rsidRPr="00271604" w:rsidRDefault="00DC4512" w:rsidP="00025B33">
      <w:pPr>
        <w:jc w:val="both"/>
        <w:rPr>
          <w:sz w:val="20"/>
          <w:szCs w:val="18"/>
        </w:rPr>
      </w:pPr>
      <w:r w:rsidRPr="00271604">
        <w:rPr>
          <w:sz w:val="20"/>
          <w:szCs w:val="18"/>
        </w:rPr>
        <w:t>K</w:t>
      </w:r>
      <w:r w:rsidR="00447246" w:rsidRPr="00271604">
        <w:rPr>
          <w:sz w:val="20"/>
          <w:szCs w:val="18"/>
        </w:rPr>
        <w:t>.</w:t>
      </w:r>
      <w:r w:rsidRPr="00271604">
        <w:rPr>
          <w:sz w:val="20"/>
          <w:szCs w:val="18"/>
        </w:rPr>
        <w:t>Stabiņš</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jc w:val="both"/>
        <w:rPr>
          <w:sz w:val="20"/>
          <w:szCs w:val="18"/>
        </w:rPr>
      </w:pPr>
      <w:r w:rsidRPr="00271604">
        <w:rPr>
          <w:sz w:val="20"/>
          <w:szCs w:val="18"/>
        </w:rPr>
        <w:t>Ārējo ekonomisko attiecību departaments</w:t>
      </w:r>
    </w:p>
    <w:p w:rsidR="00447246" w:rsidRPr="00271604" w:rsidRDefault="00DC4512" w:rsidP="00025B33">
      <w:pPr>
        <w:jc w:val="both"/>
        <w:rPr>
          <w:sz w:val="32"/>
          <w:szCs w:val="28"/>
        </w:rPr>
      </w:pPr>
      <w:r w:rsidRPr="00271604">
        <w:rPr>
          <w:sz w:val="20"/>
          <w:szCs w:val="18"/>
        </w:rPr>
        <w:t>67013046</w:t>
      </w:r>
      <w:r w:rsidR="00447246" w:rsidRPr="00271604">
        <w:rPr>
          <w:sz w:val="20"/>
          <w:szCs w:val="18"/>
        </w:rPr>
        <w:t xml:space="preserve">, </w:t>
      </w:r>
      <w:r w:rsidRPr="00271604">
        <w:rPr>
          <w:sz w:val="20"/>
          <w:szCs w:val="18"/>
        </w:rPr>
        <w:t>Kaspars</w:t>
      </w:r>
      <w:r w:rsidR="00447246" w:rsidRPr="00271604">
        <w:rPr>
          <w:sz w:val="20"/>
          <w:szCs w:val="18"/>
        </w:rPr>
        <w:t>.</w:t>
      </w:r>
      <w:r w:rsidRPr="00271604">
        <w:rPr>
          <w:sz w:val="20"/>
          <w:szCs w:val="18"/>
        </w:rPr>
        <w:t>Stabins</w:t>
      </w:r>
      <w:r w:rsidR="00447246" w:rsidRPr="00271604">
        <w:rPr>
          <w:sz w:val="20"/>
          <w:szCs w:val="18"/>
        </w:rPr>
        <w:t xml:space="preserve">@em.gov.lv </w:t>
      </w:r>
    </w:p>
    <w:sectPr w:rsidR="00447246" w:rsidRPr="00271604"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3B" w:rsidRDefault="00332C3B" w:rsidP="0079342A">
      <w:r>
        <w:separator/>
      </w:r>
    </w:p>
  </w:endnote>
  <w:endnote w:type="continuationSeparator" w:id="0">
    <w:p w:rsidR="00332C3B" w:rsidRDefault="00332C3B"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A95769" w:rsidRDefault="00115604">
    <w:pPr>
      <w:rPr>
        <w:szCs w:val="20"/>
      </w:rPr>
    </w:pPr>
    <w:r>
      <w:rPr>
        <w:sz w:val="20"/>
        <w:szCs w:val="20"/>
        <w:lang w:eastAsia="en-US"/>
      </w:rPr>
      <w:t>EMZino_28</w:t>
    </w:r>
    <w:r w:rsidR="00A95769" w:rsidRPr="00A95769">
      <w:rPr>
        <w:sz w:val="20"/>
        <w:szCs w:val="20"/>
        <w:lang w:eastAsia="en-US"/>
      </w:rPr>
      <w:t>0</w:t>
    </w:r>
    <w:r>
      <w:rPr>
        <w:sz w:val="20"/>
        <w:szCs w:val="20"/>
        <w:lang w:eastAsia="en-US"/>
      </w:rPr>
      <w:t>5</w:t>
    </w:r>
    <w:r w:rsidR="00A95769" w:rsidRPr="00A95769">
      <w:rPr>
        <w:sz w:val="20"/>
        <w:szCs w:val="20"/>
        <w:lang w:eastAsia="en-US"/>
      </w:rPr>
      <w:t>13_COMPET; Informatīvais zi</w:t>
    </w:r>
    <w:r w:rsidR="00A95769">
      <w:rPr>
        <w:sz w:val="20"/>
        <w:szCs w:val="20"/>
        <w:lang w:eastAsia="en-US"/>
      </w:rPr>
      <w:t>ņojums par</w:t>
    </w:r>
    <w:r w:rsidR="00A95769" w:rsidRPr="00A95769">
      <w:rPr>
        <w:sz w:val="20"/>
        <w:szCs w:val="20"/>
        <w:lang w:eastAsia="en-US"/>
      </w:rPr>
      <w:t xml:space="preserve"> Latvijas Republikas nostāju Eiropas Savienības Konkurētspē</w:t>
    </w:r>
    <w:r>
      <w:rPr>
        <w:sz w:val="20"/>
        <w:szCs w:val="20"/>
        <w:lang w:eastAsia="en-US"/>
      </w:rPr>
      <w:t>jas ministru padomes 2013.gada 2</w:t>
    </w:r>
    <w:r w:rsidR="00A95769" w:rsidRPr="00A95769">
      <w:rPr>
        <w:sz w:val="20"/>
        <w:szCs w:val="20"/>
        <w:lang w:eastAsia="en-US"/>
      </w:rPr>
      <w:t>9.</w:t>
    </w:r>
    <w:r>
      <w:rPr>
        <w:sz w:val="20"/>
        <w:szCs w:val="20"/>
        <w:lang w:eastAsia="en-US"/>
      </w:rPr>
      <w:t>maija</w:t>
    </w:r>
    <w:r w:rsidR="00A95769" w:rsidRPr="00A95769">
      <w:rPr>
        <w:sz w:val="20"/>
        <w:szCs w:val="20"/>
        <w:lang w:eastAsia="en-US"/>
      </w:rPr>
      <w:t xml:space="preserve">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3840A0" w:rsidRDefault="00713692" w:rsidP="00A95769">
    <w:pPr>
      <w:rPr>
        <w:szCs w:val="20"/>
      </w:rPr>
    </w:pPr>
    <w:r w:rsidRPr="00A95769">
      <w:rPr>
        <w:sz w:val="20"/>
        <w:szCs w:val="20"/>
        <w:lang w:eastAsia="en-US"/>
      </w:rPr>
      <w:t>EMZino_</w:t>
    </w:r>
    <w:r w:rsidR="00115604">
      <w:rPr>
        <w:sz w:val="20"/>
        <w:szCs w:val="20"/>
        <w:lang w:eastAsia="en-US"/>
      </w:rPr>
      <w:t>28</w:t>
    </w:r>
    <w:r w:rsidR="001D3D90" w:rsidRPr="00A95769">
      <w:rPr>
        <w:sz w:val="20"/>
        <w:szCs w:val="20"/>
        <w:lang w:eastAsia="en-US"/>
      </w:rPr>
      <w:t>0</w:t>
    </w:r>
    <w:r w:rsidR="00115604">
      <w:rPr>
        <w:sz w:val="20"/>
        <w:szCs w:val="20"/>
        <w:lang w:eastAsia="en-US"/>
      </w:rPr>
      <w:t>5</w:t>
    </w:r>
    <w:r w:rsidRPr="00A95769">
      <w:rPr>
        <w:sz w:val="20"/>
        <w:szCs w:val="20"/>
        <w:lang w:eastAsia="en-US"/>
      </w:rPr>
      <w:t>1</w:t>
    </w:r>
    <w:r w:rsidR="001D3D90" w:rsidRPr="00A95769">
      <w:rPr>
        <w:sz w:val="20"/>
        <w:szCs w:val="20"/>
        <w:lang w:eastAsia="en-US"/>
      </w:rPr>
      <w:t xml:space="preserve">3_COMPET; </w:t>
    </w:r>
    <w:r w:rsidR="00A95769" w:rsidRPr="00A95769">
      <w:rPr>
        <w:sz w:val="20"/>
        <w:szCs w:val="20"/>
        <w:lang w:eastAsia="en-US"/>
      </w:rPr>
      <w:t>Informatīvais ziņojums par Latvijas Republikas nostāju Eiropas Savienības Konkurētspē</w:t>
    </w:r>
    <w:r w:rsidR="00115604">
      <w:rPr>
        <w:sz w:val="20"/>
        <w:szCs w:val="20"/>
        <w:lang w:eastAsia="en-US"/>
      </w:rPr>
      <w:t>jas ministru padomes 2013.gada 2</w:t>
    </w:r>
    <w:r w:rsidR="00A95769" w:rsidRPr="00A95769">
      <w:rPr>
        <w:sz w:val="20"/>
        <w:szCs w:val="20"/>
        <w:lang w:eastAsia="en-US"/>
      </w:rPr>
      <w:t>9.</w:t>
    </w:r>
    <w:r w:rsidR="00115604">
      <w:rPr>
        <w:sz w:val="20"/>
        <w:szCs w:val="20"/>
        <w:lang w:eastAsia="en-US"/>
      </w:rPr>
      <w:t>maija</w:t>
    </w:r>
    <w:r w:rsidR="00A95769" w:rsidRPr="00A95769">
      <w:rPr>
        <w:sz w:val="20"/>
        <w:szCs w:val="20"/>
        <w:lang w:eastAsia="en-US"/>
      </w:rPr>
      <w:t xml:space="preserve">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3B" w:rsidRDefault="00332C3B" w:rsidP="0079342A">
      <w:r>
        <w:separator/>
      </w:r>
    </w:p>
  </w:footnote>
  <w:footnote w:type="continuationSeparator" w:id="0">
    <w:p w:rsidR="00332C3B" w:rsidRDefault="00332C3B" w:rsidP="0079342A">
      <w:r>
        <w:continuationSeparator/>
      </w:r>
    </w:p>
  </w:footnote>
  <w:footnote w:id="1">
    <w:p w:rsidR="00B65751" w:rsidRPr="00D563DD" w:rsidRDefault="00B65751" w:rsidP="00B65751">
      <w:pPr>
        <w:pStyle w:val="FootnoteText"/>
        <w:jc w:val="both"/>
        <w:rPr>
          <w:sz w:val="22"/>
          <w:szCs w:val="22"/>
        </w:rPr>
      </w:pPr>
      <w:r w:rsidRPr="00D563DD">
        <w:rPr>
          <w:rStyle w:val="FootnoteReference"/>
          <w:sz w:val="22"/>
          <w:szCs w:val="22"/>
        </w:rPr>
        <w:footnoteRef/>
      </w:r>
      <w:r w:rsidRPr="00D563DD">
        <w:rPr>
          <w:sz w:val="22"/>
          <w:szCs w:val="22"/>
        </w:rPr>
        <w:t xml:space="preserve"> Spēkā ir </w:t>
      </w:r>
      <w:r w:rsidRPr="00D563DD">
        <w:rPr>
          <w:i/>
          <w:sz w:val="22"/>
          <w:szCs w:val="22"/>
        </w:rPr>
        <w:t xml:space="preserve">Pozīcija Nr.1 par Prezidentūras izstrādāto kompromisa redakciju Padomes regulas priekšlikumam, ar kuru groza Regulu (EK) </w:t>
      </w:r>
      <w:proofErr w:type="spellStart"/>
      <w:r w:rsidRPr="00D563DD">
        <w:rPr>
          <w:i/>
          <w:sz w:val="22"/>
          <w:szCs w:val="22"/>
        </w:rPr>
        <w:t>Nr</w:t>
      </w:r>
      <w:proofErr w:type="spellEnd"/>
      <w:r w:rsidRPr="00D563DD">
        <w:rPr>
          <w:i/>
          <w:sz w:val="22"/>
          <w:szCs w:val="22"/>
        </w:rPr>
        <w:t>. 659/1999, ar ko nosaka sīki izstrādātus noteikumus EK līguma 93. panta piemērošanai</w:t>
      </w:r>
      <w:r w:rsidRPr="00D563DD">
        <w:rPr>
          <w:sz w:val="22"/>
          <w:szCs w:val="22"/>
        </w:rPr>
        <w:t xml:space="preserve">, 22.03.2013; un </w:t>
      </w:r>
      <w:r w:rsidRPr="00D563DD">
        <w:rPr>
          <w:i/>
          <w:sz w:val="22"/>
          <w:szCs w:val="22"/>
        </w:rPr>
        <w:t xml:space="preserve">Pozīcija Nr.1 par Eiropas Komisijas Priekšlikumu, ar ko groza Padomes Regulu (EK) </w:t>
      </w:r>
      <w:proofErr w:type="spellStart"/>
      <w:r w:rsidRPr="00D563DD">
        <w:rPr>
          <w:i/>
          <w:sz w:val="22"/>
          <w:szCs w:val="22"/>
        </w:rPr>
        <w:t>Nr</w:t>
      </w:r>
      <w:proofErr w:type="spellEnd"/>
      <w:r w:rsidRPr="00D563DD">
        <w:rPr>
          <w:i/>
          <w:sz w:val="22"/>
          <w:szCs w:val="22"/>
        </w:rPr>
        <w:t xml:space="preserve">. 994/98 (1998. gada 7. maijs) par to, kā piemērot Eiropas Kopienas dibināšanas līguma 92. un 93. pantu attiecībā uz dažu kategoriju valsts horizontālo atbalstu, un Eiropas Parlamenta un Padomes Regulu (EK) </w:t>
      </w:r>
      <w:proofErr w:type="spellStart"/>
      <w:r w:rsidRPr="00D563DD">
        <w:rPr>
          <w:i/>
          <w:sz w:val="22"/>
          <w:szCs w:val="22"/>
        </w:rPr>
        <w:t>Nr</w:t>
      </w:r>
      <w:proofErr w:type="spellEnd"/>
      <w:r w:rsidRPr="00D563DD">
        <w:rPr>
          <w:i/>
          <w:sz w:val="22"/>
          <w:szCs w:val="22"/>
        </w:rPr>
        <w:t>. 1370/2007 (2007. gada 23. oktobris) par sabiedriskā pasažieru transporta pakalpojumiem, izmantojot dzelzceļu un autoceļus</w:t>
      </w:r>
      <w:r w:rsidRPr="00D563DD">
        <w:rPr>
          <w:sz w:val="22"/>
          <w:szCs w:val="22"/>
        </w:rPr>
        <w:t>, 23.04.2013.</w:t>
      </w:r>
    </w:p>
  </w:footnote>
  <w:footnote w:id="2">
    <w:p w:rsidR="005C2D2C" w:rsidRPr="00562B18" w:rsidRDefault="005C2D2C" w:rsidP="00B65751">
      <w:pPr>
        <w:pStyle w:val="FootnoteText"/>
        <w:spacing w:before="120"/>
        <w:jc w:val="both"/>
      </w:pPr>
      <w:r w:rsidRPr="00D563DD">
        <w:rPr>
          <w:rStyle w:val="FootnoteReference"/>
          <w:sz w:val="22"/>
          <w:szCs w:val="22"/>
        </w:rPr>
        <w:footnoteRef/>
      </w:r>
      <w:r w:rsidRPr="00D563DD">
        <w:rPr>
          <w:sz w:val="22"/>
          <w:szCs w:val="22"/>
        </w:rPr>
        <w:t xml:space="preserve"> </w:t>
      </w:r>
      <w:r w:rsidRPr="00D563DD">
        <w:rPr>
          <w:i/>
          <w:sz w:val="22"/>
          <w:szCs w:val="22"/>
        </w:rPr>
        <w:t xml:space="preserve">Priekšlikums Padomes regulai, ar kuru groza Regulu (EK) </w:t>
      </w:r>
      <w:proofErr w:type="spellStart"/>
      <w:r w:rsidRPr="00D563DD">
        <w:rPr>
          <w:i/>
          <w:sz w:val="22"/>
          <w:szCs w:val="22"/>
        </w:rPr>
        <w:t>Nr</w:t>
      </w:r>
      <w:proofErr w:type="spellEnd"/>
      <w:r w:rsidRPr="00D563DD">
        <w:rPr>
          <w:i/>
          <w:sz w:val="22"/>
          <w:szCs w:val="22"/>
        </w:rPr>
        <w:t>. 659/1999, ar ko nosaka sīki izstrādātus noteikumus EK līguma 93. panta piemērošanai</w:t>
      </w:r>
      <w:r w:rsidRPr="00D563DD">
        <w:rPr>
          <w:sz w:val="22"/>
          <w:szCs w:val="22"/>
        </w:rPr>
        <w:t xml:space="preserve"> </w:t>
      </w:r>
      <w:r w:rsidRPr="00D563DD">
        <w:rPr>
          <w:b/>
          <w:sz w:val="22"/>
          <w:szCs w:val="22"/>
        </w:rPr>
        <w:t>(Procesuālā regula)</w:t>
      </w:r>
      <w:r w:rsidRPr="00D563DD">
        <w:rPr>
          <w:sz w:val="22"/>
          <w:szCs w:val="22"/>
        </w:rPr>
        <w:t xml:space="preserve"> un </w:t>
      </w:r>
      <w:r w:rsidRPr="00D563DD">
        <w:rPr>
          <w:i/>
          <w:sz w:val="22"/>
          <w:szCs w:val="22"/>
        </w:rPr>
        <w:t xml:space="preserve">Priekšlikums Padomes regulai, ar ko groza Padomes regulu (EK) </w:t>
      </w:r>
      <w:proofErr w:type="spellStart"/>
      <w:r w:rsidRPr="00D563DD">
        <w:rPr>
          <w:i/>
          <w:sz w:val="22"/>
          <w:szCs w:val="22"/>
        </w:rPr>
        <w:t>Nr</w:t>
      </w:r>
      <w:proofErr w:type="spellEnd"/>
      <w:r w:rsidRPr="00D563DD">
        <w:rPr>
          <w:i/>
          <w:sz w:val="22"/>
          <w:szCs w:val="22"/>
        </w:rPr>
        <w:t xml:space="preserve">. 994/98 (1998. gada 7. maijs) par to, kā piemērot Eiropas Kopienas dibināšanas līguma 92. un 93. pantu attiecībā uz dažu kategoriju valsts horizontālo atbalstu, un Eiropas Parlamenta un Padomes regulu (EK) </w:t>
      </w:r>
      <w:proofErr w:type="spellStart"/>
      <w:r w:rsidRPr="00D563DD">
        <w:rPr>
          <w:i/>
          <w:sz w:val="22"/>
          <w:szCs w:val="22"/>
        </w:rPr>
        <w:t>Nr</w:t>
      </w:r>
      <w:proofErr w:type="spellEnd"/>
      <w:r w:rsidRPr="00D563DD">
        <w:rPr>
          <w:i/>
          <w:sz w:val="22"/>
          <w:szCs w:val="22"/>
        </w:rPr>
        <w:t xml:space="preserve">. 1370/2007 (2007. gada 23. oktobris) par sabiedriskā pasažieru transporta pakalpojumiem, izmantojot dzelzceļu un autoceļus </w:t>
      </w:r>
      <w:r w:rsidRPr="00D563DD">
        <w:rPr>
          <w:b/>
          <w:sz w:val="22"/>
          <w:szCs w:val="22"/>
        </w:rPr>
        <w:t>(Pilnvarojošā regula)</w:t>
      </w:r>
      <w:r w:rsidR="002F40AD" w:rsidRPr="00D563DD">
        <w:rPr>
          <w:sz w:val="22"/>
          <w:szCs w:val="22"/>
        </w:rPr>
        <w:t>.</w:t>
      </w:r>
    </w:p>
  </w:footnote>
  <w:footnote w:id="3">
    <w:p w:rsidR="00E110BE" w:rsidRPr="00D563DD" w:rsidRDefault="00E110BE" w:rsidP="00E110BE">
      <w:pPr>
        <w:pStyle w:val="FootnoteText"/>
        <w:rPr>
          <w:sz w:val="22"/>
          <w:szCs w:val="22"/>
        </w:rPr>
      </w:pPr>
      <w:r w:rsidRPr="00D563DD">
        <w:rPr>
          <w:rStyle w:val="FootnoteReference"/>
          <w:sz w:val="22"/>
          <w:szCs w:val="22"/>
        </w:rPr>
        <w:footnoteRef/>
      </w:r>
      <w:r w:rsidRPr="00D563DD">
        <w:rPr>
          <w:sz w:val="22"/>
          <w:szCs w:val="22"/>
        </w:rPr>
        <w:t xml:space="preserve"> Spēkā ir </w:t>
      </w:r>
      <w:r w:rsidRPr="00D563DD">
        <w:rPr>
          <w:i/>
          <w:sz w:val="22"/>
          <w:szCs w:val="22"/>
        </w:rPr>
        <w:t>Pozīcija Nr.1 Par Padomes secinājumu projektu par Vienotā tirgus aktu II - Kopā jaunai izaugsmei</w:t>
      </w:r>
      <w:r w:rsidRPr="00D563DD">
        <w:rPr>
          <w:sz w:val="22"/>
          <w:szCs w:val="22"/>
        </w:rPr>
        <w:t xml:space="preserve">, </w:t>
      </w:r>
      <w:r w:rsidR="002041E0" w:rsidRPr="00D563DD">
        <w:rPr>
          <w:sz w:val="22"/>
          <w:szCs w:val="22"/>
        </w:rPr>
        <w:t>30.11.2012</w:t>
      </w:r>
      <w:r w:rsidRPr="00D563DD">
        <w:rPr>
          <w:sz w:val="22"/>
          <w:szCs w:val="22"/>
        </w:rPr>
        <w:t>.</w:t>
      </w:r>
    </w:p>
  </w:footnote>
  <w:footnote w:id="4">
    <w:p w:rsidR="005B2C5A" w:rsidRPr="00D563DD" w:rsidRDefault="005B2C5A">
      <w:pPr>
        <w:pStyle w:val="FootnoteText"/>
        <w:rPr>
          <w:sz w:val="22"/>
          <w:szCs w:val="22"/>
        </w:rPr>
      </w:pPr>
      <w:r w:rsidRPr="00D563DD">
        <w:rPr>
          <w:rStyle w:val="FootnoteReference"/>
          <w:sz w:val="22"/>
          <w:szCs w:val="22"/>
        </w:rPr>
        <w:footnoteRef/>
      </w:r>
      <w:r w:rsidRPr="00D563DD">
        <w:rPr>
          <w:sz w:val="22"/>
          <w:szCs w:val="22"/>
        </w:rPr>
        <w:t xml:space="preserve"> </w:t>
      </w:r>
      <w:r w:rsidRPr="00D563DD">
        <w:rPr>
          <w:i/>
          <w:sz w:val="22"/>
          <w:szCs w:val="22"/>
        </w:rPr>
        <w:t>ABR</w:t>
      </w:r>
      <w:r w:rsidRPr="00D563DD">
        <w:rPr>
          <w:sz w:val="22"/>
          <w:szCs w:val="22"/>
        </w:rPr>
        <w:t xml:space="preserve"> - administratīvā sloga samazināšana </w:t>
      </w:r>
      <w:r w:rsidRPr="00D563DD">
        <w:rPr>
          <w:i/>
          <w:sz w:val="22"/>
          <w:szCs w:val="22"/>
        </w:rPr>
        <w:t>(</w:t>
      </w:r>
      <w:proofErr w:type="spellStart"/>
      <w:r w:rsidRPr="00D563DD">
        <w:rPr>
          <w:i/>
          <w:sz w:val="22"/>
          <w:szCs w:val="22"/>
        </w:rPr>
        <w:t>administrative</w:t>
      </w:r>
      <w:proofErr w:type="spellEnd"/>
      <w:r w:rsidRPr="00D563DD">
        <w:rPr>
          <w:i/>
          <w:sz w:val="22"/>
          <w:szCs w:val="22"/>
        </w:rPr>
        <w:t xml:space="preserve"> </w:t>
      </w:r>
      <w:proofErr w:type="spellStart"/>
      <w:r w:rsidRPr="00D563DD">
        <w:rPr>
          <w:i/>
          <w:sz w:val="22"/>
          <w:szCs w:val="22"/>
        </w:rPr>
        <w:t>burden</w:t>
      </w:r>
      <w:proofErr w:type="spellEnd"/>
      <w:r w:rsidRPr="00D563DD">
        <w:rPr>
          <w:i/>
          <w:sz w:val="22"/>
          <w:szCs w:val="22"/>
        </w:rPr>
        <w:t xml:space="preserve"> </w:t>
      </w:r>
      <w:proofErr w:type="spellStart"/>
      <w:r w:rsidRPr="00D563DD">
        <w:rPr>
          <w:i/>
          <w:sz w:val="22"/>
          <w:szCs w:val="22"/>
        </w:rPr>
        <w:t>reduction</w:t>
      </w:r>
      <w:proofErr w:type="spellEnd"/>
      <w:r w:rsidRPr="00D563DD">
        <w:rPr>
          <w:i/>
          <w:sz w:val="22"/>
          <w:szCs w:val="22"/>
        </w:rPr>
        <w:t>)</w:t>
      </w:r>
      <w:r w:rsidRPr="00D563DD">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492566">
          <w:rPr>
            <w:noProof/>
          </w:rPr>
          <w:t>21</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9C"/>
    <w:multiLevelType w:val="hybridMultilevel"/>
    <w:tmpl w:val="C6CE5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E045E1"/>
    <w:multiLevelType w:val="hybridMultilevel"/>
    <w:tmpl w:val="407666B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nsid w:val="010F4BCA"/>
    <w:multiLevelType w:val="hybridMultilevel"/>
    <w:tmpl w:val="720CCDA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31C74E4"/>
    <w:multiLevelType w:val="hybridMultilevel"/>
    <w:tmpl w:val="7F30BD40"/>
    <w:lvl w:ilvl="0" w:tplc="83C21008">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7823B45"/>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07904939"/>
    <w:multiLevelType w:val="hybridMultilevel"/>
    <w:tmpl w:val="A0E89520"/>
    <w:lvl w:ilvl="0" w:tplc="04260011">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6">
    <w:nsid w:val="0E504798"/>
    <w:multiLevelType w:val="hybridMultilevel"/>
    <w:tmpl w:val="506E2326"/>
    <w:lvl w:ilvl="0" w:tplc="B26A2A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E24C7F"/>
    <w:multiLevelType w:val="hybridMultilevel"/>
    <w:tmpl w:val="DF6A9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7B7BBB"/>
    <w:multiLevelType w:val="hybridMultilevel"/>
    <w:tmpl w:val="119871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BFB2F7C"/>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A3A8B"/>
    <w:multiLevelType w:val="hybridMultilevel"/>
    <w:tmpl w:val="4D3EB860"/>
    <w:lvl w:ilvl="0" w:tplc="2A36E7E6">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1F8E4949"/>
    <w:multiLevelType w:val="hybridMultilevel"/>
    <w:tmpl w:val="72967E16"/>
    <w:lvl w:ilvl="0" w:tplc="75E67668">
      <w:start w:val="3"/>
      <w:numFmt w:val="bullet"/>
      <w:lvlText w:val="–"/>
      <w:lvlJc w:val="left"/>
      <w:pPr>
        <w:ind w:left="360" w:hanging="360"/>
      </w:pPr>
      <w:rPr>
        <w:rFonts w:ascii="Times New Roman" w:eastAsia="Times New Roman" w:hAnsi="Times New Roman" w:cs="Times New Roman" w:hint="default"/>
      </w:rPr>
    </w:lvl>
    <w:lvl w:ilvl="1" w:tplc="AA5C32D4">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4CB3610"/>
    <w:multiLevelType w:val="hybridMultilevel"/>
    <w:tmpl w:val="8BF02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F87D94"/>
    <w:multiLevelType w:val="hybridMultilevel"/>
    <w:tmpl w:val="6A50F06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25DE5E3E"/>
    <w:multiLevelType w:val="hybridMultilevel"/>
    <w:tmpl w:val="7B7CC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043EBA"/>
    <w:multiLevelType w:val="hybridMultilevel"/>
    <w:tmpl w:val="9F5C1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A716C51"/>
    <w:multiLevelType w:val="hybridMultilevel"/>
    <w:tmpl w:val="8820BBEA"/>
    <w:lvl w:ilvl="0" w:tplc="5CEA0A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1B74FB"/>
    <w:multiLevelType w:val="hybridMultilevel"/>
    <w:tmpl w:val="43DE12F2"/>
    <w:lvl w:ilvl="0" w:tplc="F58699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3F465C"/>
    <w:multiLevelType w:val="hybridMultilevel"/>
    <w:tmpl w:val="80BC3572"/>
    <w:lvl w:ilvl="0" w:tplc="FCE6B056">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AD48F8"/>
    <w:multiLevelType w:val="hybridMultilevel"/>
    <w:tmpl w:val="E5AA5E98"/>
    <w:lvl w:ilvl="0" w:tplc="A9CC90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3D0453"/>
    <w:multiLevelType w:val="hybridMultilevel"/>
    <w:tmpl w:val="1DC8F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93D1EA4"/>
    <w:multiLevelType w:val="hybridMultilevel"/>
    <w:tmpl w:val="B7C47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75568E"/>
    <w:multiLevelType w:val="hybridMultilevel"/>
    <w:tmpl w:val="93D035CC"/>
    <w:lvl w:ilvl="0" w:tplc="B8B0B76A">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3">
    <w:nsid w:val="3D4968C2"/>
    <w:multiLevelType w:val="hybridMultilevel"/>
    <w:tmpl w:val="014278DE"/>
    <w:lvl w:ilvl="0" w:tplc="B8B0B76A">
      <w:start w:val="1"/>
      <w:numFmt w:val="lowerLetter"/>
      <w:lvlText w:val="%1)"/>
      <w:lvlJc w:val="left"/>
      <w:pPr>
        <w:ind w:left="1080" w:hanging="360"/>
      </w:pPr>
      <w:rPr>
        <w:rFonts w:hint="default"/>
      </w:rPr>
    </w:lvl>
    <w:lvl w:ilvl="1" w:tplc="819249D4">
      <w:start w:val="1"/>
      <w:numFmt w:val="decimal"/>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E69774D"/>
    <w:multiLevelType w:val="hybridMultilevel"/>
    <w:tmpl w:val="223014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2933E4F"/>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2DF37F4"/>
    <w:multiLevelType w:val="hybridMultilevel"/>
    <w:tmpl w:val="1BD8780C"/>
    <w:lvl w:ilvl="0" w:tplc="C71C23FE">
      <w:start w:val="1"/>
      <w:numFmt w:val="lowerLetter"/>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7141CAA"/>
    <w:multiLevelType w:val="hybridMultilevel"/>
    <w:tmpl w:val="D3FC1D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34B2A81"/>
    <w:multiLevelType w:val="hybridMultilevel"/>
    <w:tmpl w:val="9F727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50C795B"/>
    <w:multiLevelType w:val="hybridMultilevel"/>
    <w:tmpl w:val="CEAAD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62A4CCA"/>
    <w:multiLevelType w:val="hybridMultilevel"/>
    <w:tmpl w:val="65F6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0E7EB9"/>
    <w:multiLevelType w:val="hybridMultilevel"/>
    <w:tmpl w:val="B42C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BD07D52"/>
    <w:multiLevelType w:val="hybridMultilevel"/>
    <w:tmpl w:val="A358DBE0"/>
    <w:lvl w:ilvl="0" w:tplc="C2AA8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681665"/>
    <w:multiLevelType w:val="hybridMultilevel"/>
    <w:tmpl w:val="18328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9E7782"/>
    <w:multiLevelType w:val="hybridMultilevel"/>
    <w:tmpl w:val="C8BA3E48"/>
    <w:lvl w:ilvl="0" w:tplc="B4C8FB56">
      <w:start w:val="201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692A2E08"/>
    <w:multiLevelType w:val="hybridMultilevel"/>
    <w:tmpl w:val="222C454C"/>
    <w:lvl w:ilvl="0" w:tplc="4CD2646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5E22DB"/>
    <w:multiLevelType w:val="hybridMultilevel"/>
    <w:tmpl w:val="B4605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5016CB5"/>
    <w:multiLevelType w:val="hybridMultilevel"/>
    <w:tmpl w:val="89D89576"/>
    <w:lvl w:ilvl="0" w:tplc="F6F22E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8581204"/>
    <w:multiLevelType w:val="hybridMultilevel"/>
    <w:tmpl w:val="A21EF22E"/>
    <w:lvl w:ilvl="0" w:tplc="B26A2A7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7B19E4"/>
    <w:multiLevelType w:val="hybridMultilevel"/>
    <w:tmpl w:val="C914C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C452FE1"/>
    <w:multiLevelType w:val="hybridMultilevel"/>
    <w:tmpl w:val="F86E52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7D242272"/>
    <w:multiLevelType w:val="hybridMultilevel"/>
    <w:tmpl w:val="08947A90"/>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4"/>
  </w:num>
  <w:num w:numId="2">
    <w:abstractNumId w:val="17"/>
  </w:num>
  <w:num w:numId="3">
    <w:abstractNumId w:val="29"/>
  </w:num>
  <w:num w:numId="4">
    <w:abstractNumId w:val="34"/>
  </w:num>
  <w:num w:numId="5">
    <w:abstractNumId w:val="19"/>
  </w:num>
  <w:num w:numId="6">
    <w:abstractNumId w:val="16"/>
  </w:num>
  <w:num w:numId="7">
    <w:abstractNumId w:val="35"/>
  </w:num>
  <w:num w:numId="8">
    <w:abstractNumId w:val="31"/>
  </w:num>
  <w:num w:numId="9">
    <w:abstractNumId w:val="6"/>
  </w:num>
  <w:num w:numId="10">
    <w:abstractNumId w:val="40"/>
  </w:num>
  <w:num w:numId="11">
    <w:abstractNumId w:val="33"/>
  </w:num>
  <w:num w:numId="12">
    <w:abstractNumId w:val="3"/>
  </w:num>
  <w:num w:numId="13">
    <w:abstractNumId w:val="30"/>
  </w:num>
  <w:num w:numId="14">
    <w:abstractNumId w:val="10"/>
  </w:num>
  <w:num w:numId="15">
    <w:abstractNumId w:val="32"/>
  </w:num>
  <w:num w:numId="16">
    <w:abstractNumId w:val="23"/>
  </w:num>
  <w:num w:numId="17">
    <w:abstractNumId w:val="27"/>
  </w:num>
  <w:num w:numId="18">
    <w:abstractNumId w:val="41"/>
  </w:num>
  <w:num w:numId="19">
    <w:abstractNumId w:val="14"/>
  </w:num>
  <w:num w:numId="20">
    <w:abstractNumId w:val="22"/>
  </w:num>
  <w:num w:numId="21">
    <w:abstractNumId w:val="1"/>
  </w:num>
  <w:num w:numId="22">
    <w:abstractNumId w:val="11"/>
  </w:num>
  <w:num w:numId="23">
    <w:abstractNumId w:val="5"/>
  </w:num>
  <w:num w:numId="24">
    <w:abstractNumId w:val="7"/>
  </w:num>
  <w:num w:numId="25">
    <w:abstractNumId w:val="21"/>
  </w:num>
  <w:num w:numId="26">
    <w:abstractNumId w:val="9"/>
  </w:num>
  <w:num w:numId="27">
    <w:abstractNumId w:val="26"/>
  </w:num>
  <w:num w:numId="28">
    <w:abstractNumId w:val="43"/>
  </w:num>
  <w:num w:numId="29">
    <w:abstractNumId w:val="8"/>
  </w:num>
  <w:num w:numId="30">
    <w:abstractNumId w:val="4"/>
  </w:num>
  <w:num w:numId="31">
    <w:abstractNumId w:val="28"/>
  </w:num>
  <w:num w:numId="32">
    <w:abstractNumId w:val="36"/>
  </w:num>
  <w:num w:numId="33">
    <w:abstractNumId w:val="15"/>
  </w:num>
  <w:num w:numId="34">
    <w:abstractNumId w:val="0"/>
  </w:num>
  <w:num w:numId="35">
    <w:abstractNumId w:val="37"/>
  </w:num>
  <w:num w:numId="36">
    <w:abstractNumId w:val="42"/>
  </w:num>
  <w:num w:numId="37">
    <w:abstractNumId w:val="12"/>
  </w:num>
  <w:num w:numId="38">
    <w:abstractNumId w:val="38"/>
  </w:num>
  <w:num w:numId="39">
    <w:abstractNumId w:val="2"/>
  </w:num>
  <w:num w:numId="40">
    <w:abstractNumId w:val="20"/>
  </w:num>
  <w:num w:numId="41">
    <w:abstractNumId w:val="39"/>
  </w:num>
  <w:num w:numId="42">
    <w:abstractNumId w:val="2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0312B"/>
    <w:rsid w:val="00010DE8"/>
    <w:rsid w:val="00013A67"/>
    <w:rsid w:val="00014E4E"/>
    <w:rsid w:val="000163A1"/>
    <w:rsid w:val="00017CA9"/>
    <w:rsid w:val="00022163"/>
    <w:rsid w:val="000230C6"/>
    <w:rsid w:val="00025B33"/>
    <w:rsid w:val="000304D8"/>
    <w:rsid w:val="00030F27"/>
    <w:rsid w:val="00033500"/>
    <w:rsid w:val="00037E43"/>
    <w:rsid w:val="00041EC0"/>
    <w:rsid w:val="00045380"/>
    <w:rsid w:val="00053471"/>
    <w:rsid w:val="000538D0"/>
    <w:rsid w:val="00054145"/>
    <w:rsid w:val="00060563"/>
    <w:rsid w:val="00071F6B"/>
    <w:rsid w:val="00074A8E"/>
    <w:rsid w:val="00076994"/>
    <w:rsid w:val="00077875"/>
    <w:rsid w:val="0008031F"/>
    <w:rsid w:val="00084744"/>
    <w:rsid w:val="0009144F"/>
    <w:rsid w:val="0009145C"/>
    <w:rsid w:val="00091A36"/>
    <w:rsid w:val="00096172"/>
    <w:rsid w:val="000A4383"/>
    <w:rsid w:val="000A4384"/>
    <w:rsid w:val="000A5454"/>
    <w:rsid w:val="000A599E"/>
    <w:rsid w:val="000A61D6"/>
    <w:rsid w:val="000A7576"/>
    <w:rsid w:val="000A7F3E"/>
    <w:rsid w:val="000B028B"/>
    <w:rsid w:val="000B468F"/>
    <w:rsid w:val="000B5EF5"/>
    <w:rsid w:val="000B652B"/>
    <w:rsid w:val="000C1FAA"/>
    <w:rsid w:val="000C343D"/>
    <w:rsid w:val="000C5C3C"/>
    <w:rsid w:val="000C66EB"/>
    <w:rsid w:val="000C6C6B"/>
    <w:rsid w:val="000D0931"/>
    <w:rsid w:val="000D4D8D"/>
    <w:rsid w:val="000E2988"/>
    <w:rsid w:val="000E727E"/>
    <w:rsid w:val="000F3D38"/>
    <w:rsid w:val="00102C66"/>
    <w:rsid w:val="001118E5"/>
    <w:rsid w:val="001129BD"/>
    <w:rsid w:val="00115604"/>
    <w:rsid w:val="00115BF7"/>
    <w:rsid w:val="001169E7"/>
    <w:rsid w:val="001172C0"/>
    <w:rsid w:val="00117654"/>
    <w:rsid w:val="00117904"/>
    <w:rsid w:val="00121DEA"/>
    <w:rsid w:val="00122F72"/>
    <w:rsid w:val="00126A02"/>
    <w:rsid w:val="00130680"/>
    <w:rsid w:val="0013164E"/>
    <w:rsid w:val="00134B9F"/>
    <w:rsid w:val="001445E2"/>
    <w:rsid w:val="00150BB3"/>
    <w:rsid w:val="00151AE5"/>
    <w:rsid w:val="00155A62"/>
    <w:rsid w:val="00156ECD"/>
    <w:rsid w:val="00157C4A"/>
    <w:rsid w:val="001620EA"/>
    <w:rsid w:val="0016420F"/>
    <w:rsid w:val="00165624"/>
    <w:rsid w:val="0016779A"/>
    <w:rsid w:val="001734C8"/>
    <w:rsid w:val="001754CA"/>
    <w:rsid w:val="001829A7"/>
    <w:rsid w:val="00184B27"/>
    <w:rsid w:val="00185F79"/>
    <w:rsid w:val="00185F95"/>
    <w:rsid w:val="0018606F"/>
    <w:rsid w:val="001865A3"/>
    <w:rsid w:val="00190A30"/>
    <w:rsid w:val="00191F45"/>
    <w:rsid w:val="00191FBE"/>
    <w:rsid w:val="001A59C1"/>
    <w:rsid w:val="001B0568"/>
    <w:rsid w:val="001B24AB"/>
    <w:rsid w:val="001B3F3D"/>
    <w:rsid w:val="001B697D"/>
    <w:rsid w:val="001C32B3"/>
    <w:rsid w:val="001C7C93"/>
    <w:rsid w:val="001D1B26"/>
    <w:rsid w:val="001D356E"/>
    <w:rsid w:val="001D3D90"/>
    <w:rsid w:val="001D4277"/>
    <w:rsid w:val="001E5AD7"/>
    <w:rsid w:val="001E6160"/>
    <w:rsid w:val="001E7413"/>
    <w:rsid w:val="001E7D11"/>
    <w:rsid w:val="001F4412"/>
    <w:rsid w:val="002025A8"/>
    <w:rsid w:val="00202CFB"/>
    <w:rsid w:val="002041E0"/>
    <w:rsid w:val="002077AF"/>
    <w:rsid w:val="0021101E"/>
    <w:rsid w:val="002148A4"/>
    <w:rsid w:val="002173E3"/>
    <w:rsid w:val="00224DC4"/>
    <w:rsid w:val="00227FFB"/>
    <w:rsid w:val="0023457E"/>
    <w:rsid w:val="0023512B"/>
    <w:rsid w:val="002357E6"/>
    <w:rsid w:val="00242E0C"/>
    <w:rsid w:val="0024322A"/>
    <w:rsid w:val="00246F3B"/>
    <w:rsid w:val="002508A5"/>
    <w:rsid w:val="002609E5"/>
    <w:rsid w:val="00271604"/>
    <w:rsid w:val="00272170"/>
    <w:rsid w:val="00276553"/>
    <w:rsid w:val="0028329A"/>
    <w:rsid w:val="002837CA"/>
    <w:rsid w:val="002855EB"/>
    <w:rsid w:val="002902E4"/>
    <w:rsid w:val="002948F4"/>
    <w:rsid w:val="002B0D2A"/>
    <w:rsid w:val="002B221A"/>
    <w:rsid w:val="002B7000"/>
    <w:rsid w:val="002B7AA4"/>
    <w:rsid w:val="002C06DC"/>
    <w:rsid w:val="002C657D"/>
    <w:rsid w:val="002D40CD"/>
    <w:rsid w:val="002D5915"/>
    <w:rsid w:val="002D63C1"/>
    <w:rsid w:val="002D6A46"/>
    <w:rsid w:val="002E3144"/>
    <w:rsid w:val="002F2F94"/>
    <w:rsid w:val="002F40AD"/>
    <w:rsid w:val="002F4A07"/>
    <w:rsid w:val="002F6F25"/>
    <w:rsid w:val="002F7E81"/>
    <w:rsid w:val="003148EC"/>
    <w:rsid w:val="003159AD"/>
    <w:rsid w:val="00316C2A"/>
    <w:rsid w:val="003221A2"/>
    <w:rsid w:val="00322629"/>
    <w:rsid w:val="00322A7A"/>
    <w:rsid w:val="00324917"/>
    <w:rsid w:val="00327E46"/>
    <w:rsid w:val="003313D6"/>
    <w:rsid w:val="00332C3B"/>
    <w:rsid w:val="00340539"/>
    <w:rsid w:val="00340656"/>
    <w:rsid w:val="00340D8E"/>
    <w:rsid w:val="0034189E"/>
    <w:rsid w:val="00342A27"/>
    <w:rsid w:val="00347129"/>
    <w:rsid w:val="0035644F"/>
    <w:rsid w:val="00360015"/>
    <w:rsid w:val="00370A43"/>
    <w:rsid w:val="00373C0C"/>
    <w:rsid w:val="003840A0"/>
    <w:rsid w:val="0039412A"/>
    <w:rsid w:val="00395770"/>
    <w:rsid w:val="00397317"/>
    <w:rsid w:val="003A2C6E"/>
    <w:rsid w:val="003A2FBC"/>
    <w:rsid w:val="003A3A6A"/>
    <w:rsid w:val="003A5335"/>
    <w:rsid w:val="003A7387"/>
    <w:rsid w:val="003B0E9A"/>
    <w:rsid w:val="003B32E1"/>
    <w:rsid w:val="003C0B95"/>
    <w:rsid w:val="003C7819"/>
    <w:rsid w:val="003D004F"/>
    <w:rsid w:val="003D478B"/>
    <w:rsid w:val="003D62AC"/>
    <w:rsid w:val="003E1378"/>
    <w:rsid w:val="003E1585"/>
    <w:rsid w:val="003E5D30"/>
    <w:rsid w:val="003E6BBB"/>
    <w:rsid w:val="003E7BA4"/>
    <w:rsid w:val="003F0D2C"/>
    <w:rsid w:val="003F3BE3"/>
    <w:rsid w:val="003F5E8D"/>
    <w:rsid w:val="003F69B8"/>
    <w:rsid w:val="00400142"/>
    <w:rsid w:val="0040145B"/>
    <w:rsid w:val="00403309"/>
    <w:rsid w:val="0041089F"/>
    <w:rsid w:val="0041577A"/>
    <w:rsid w:val="00415CBE"/>
    <w:rsid w:val="00416C71"/>
    <w:rsid w:val="00422C05"/>
    <w:rsid w:val="00422C77"/>
    <w:rsid w:val="00425B59"/>
    <w:rsid w:val="00426FD3"/>
    <w:rsid w:val="00434636"/>
    <w:rsid w:val="00440F51"/>
    <w:rsid w:val="00441C49"/>
    <w:rsid w:val="004459DC"/>
    <w:rsid w:val="00447246"/>
    <w:rsid w:val="0046554A"/>
    <w:rsid w:val="004718E2"/>
    <w:rsid w:val="00473B73"/>
    <w:rsid w:val="004806CF"/>
    <w:rsid w:val="00484651"/>
    <w:rsid w:val="00485409"/>
    <w:rsid w:val="00485CF8"/>
    <w:rsid w:val="00487328"/>
    <w:rsid w:val="00487A4D"/>
    <w:rsid w:val="00492566"/>
    <w:rsid w:val="00492CE1"/>
    <w:rsid w:val="0049471A"/>
    <w:rsid w:val="004973D5"/>
    <w:rsid w:val="004A20A2"/>
    <w:rsid w:val="004A242B"/>
    <w:rsid w:val="004A40D6"/>
    <w:rsid w:val="004A5B6D"/>
    <w:rsid w:val="004A5BAC"/>
    <w:rsid w:val="004A70CD"/>
    <w:rsid w:val="004B1495"/>
    <w:rsid w:val="004B1EFF"/>
    <w:rsid w:val="004B6217"/>
    <w:rsid w:val="004C1552"/>
    <w:rsid w:val="004C559D"/>
    <w:rsid w:val="004C79B5"/>
    <w:rsid w:val="004C79CA"/>
    <w:rsid w:val="004C7C91"/>
    <w:rsid w:val="004D1284"/>
    <w:rsid w:val="004D1754"/>
    <w:rsid w:val="004D3C1B"/>
    <w:rsid w:val="004E4F37"/>
    <w:rsid w:val="004E6111"/>
    <w:rsid w:val="004F0096"/>
    <w:rsid w:val="004F1BA9"/>
    <w:rsid w:val="004F6998"/>
    <w:rsid w:val="004F7D9E"/>
    <w:rsid w:val="00505AE3"/>
    <w:rsid w:val="005064B6"/>
    <w:rsid w:val="00510883"/>
    <w:rsid w:val="005125D9"/>
    <w:rsid w:val="00512B4C"/>
    <w:rsid w:val="00513109"/>
    <w:rsid w:val="00513117"/>
    <w:rsid w:val="00513E2C"/>
    <w:rsid w:val="005140D4"/>
    <w:rsid w:val="0051795D"/>
    <w:rsid w:val="00546424"/>
    <w:rsid w:val="00546D6E"/>
    <w:rsid w:val="005506F5"/>
    <w:rsid w:val="005530C8"/>
    <w:rsid w:val="00557BF9"/>
    <w:rsid w:val="005605FC"/>
    <w:rsid w:val="00560716"/>
    <w:rsid w:val="0056075A"/>
    <w:rsid w:val="00562471"/>
    <w:rsid w:val="00567871"/>
    <w:rsid w:val="005832F8"/>
    <w:rsid w:val="005854CF"/>
    <w:rsid w:val="00590FA5"/>
    <w:rsid w:val="005A0176"/>
    <w:rsid w:val="005A080A"/>
    <w:rsid w:val="005A18ED"/>
    <w:rsid w:val="005A7F37"/>
    <w:rsid w:val="005B2C5A"/>
    <w:rsid w:val="005B3E55"/>
    <w:rsid w:val="005B51CA"/>
    <w:rsid w:val="005C2D2C"/>
    <w:rsid w:val="005C4CFD"/>
    <w:rsid w:val="005C626C"/>
    <w:rsid w:val="005C725A"/>
    <w:rsid w:val="005D0EFD"/>
    <w:rsid w:val="005E12D5"/>
    <w:rsid w:val="005E3C2B"/>
    <w:rsid w:val="005E404D"/>
    <w:rsid w:val="005E628E"/>
    <w:rsid w:val="005E7680"/>
    <w:rsid w:val="005F1DED"/>
    <w:rsid w:val="005F63AD"/>
    <w:rsid w:val="00601F9C"/>
    <w:rsid w:val="006031F7"/>
    <w:rsid w:val="00603AFF"/>
    <w:rsid w:val="00604D12"/>
    <w:rsid w:val="006165B4"/>
    <w:rsid w:val="0062313A"/>
    <w:rsid w:val="00624F83"/>
    <w:rsid w:val="006257E0"/>
    <w:rsid w:val="0062606F"/>
    <w:rsid w:val="00630538"/>
    <w:rsid w:val="00633000"/>
    <w:rsid w:val="00634469"/>
    <w:rsid w:val="00644203"/>
    <w:rsid w:val="00645A81"/>
    <w:rsid w:val="00650183"/>
    <w:rsid w:val="0065425C"/>
    <w:rsid w:val="0066198E"/>
    <w:rsid w:val="0066585F"/>
    <w:rsid w:val="00667663"/>
    <w:rsid w:val="00675A3F"/>
    <w:rsid w:val="00680623"/>
    <w:rsid w:val="00681AEA"/>
    <w:rsid w:val="006839D7"/>
    <w:rsid w:val="00683E64"/>
    <w:rsid w:val="006864E7"/>
    <w:rsid w:val="00695AE0"/>
    <w:rsid w:val="006A351C"/>
    <w:rsid w:val="006A6785"/>
    <w:rsid w:val="006B1326"/>
    <w:rsid w:val="006B4243"/>
    <w:rsid w:val="006B7C72"/>
    <w:rsid w:val="006C1461"/>
    <w:rsid w:val="006C47A5"/>
    <w:rsid w:val="006C6B13"/>
    <w:rsid w:val="006D0D2A"/>
    <w:rsid w:val="006E0C4F"/>
    <w:rsid w:val="006E1708"/>
    <w:rsid w:val="006E6817"/>
    <w:rsid w:val="006F14FA"/>
    <w:rsid w:val="006F20B1"/>
    <w:rsid w:val="006F43E3"/>
    <w:rsid w:val="006F63B2"/>
    <w:rsid w:val="006F75AF"/>
    <w:rsid w:val="00701C77"/>
    <w:rsid w:val="00710606"/>
    <w:rsid w:val="00711538"/>
    <w:rsid w:val="00713692"/>
    <w:rsid w:val="00722983"/>
    <w:rsid w:val="00723271"/>
    <w:rsid w:val="00723387"/>
    <w:rsid w:val="00730AEA"/>
    <w:rsid w:val="00734C81"/>
    <w:rsid w:val="0074076F"/>
    <w:rsid w:val="00746BF8"/>
    <w:rsid w:val="007549E1"/>
    <w:rsid w:val="0075704F"/>
    <w:rsid w:val="0076578F"/>
    <w:rsid w:val="00766219"/>
    <w:rsid w:val="007662DA"/>
    <w:rsid w:val="00767288"/>
    <w:rsid w:val="00767B38"/>
    <w:rsid w:val="00767D2C"/>
    <w:rsid w:val="007742B9"/>
    <w:rsid w:val="00775AA0"/>
    <w:rsid w:val="00785D93"/>
    <w:rsid w:val="00786F42"/>
    <w:rsid w:val="00792331"/>
    <w:rsid w:val="0079342A"/>
    <w:rsid w:val="00793C52"/>
    <w:rsid w:val="00793F22"/>
    <w:rsid w:val="0079483C"/>
    <w:rsid w:val="007967D1"/>
    <w:rsid w:val="00796BEA"/>
    <w:rsid w:val="007A1C1C"/>
    <w:rsid w:val="007A66B5"/>
    <w:rsid w:val="007B7E2A"/>
    <w:rsid w:val="007C28E9"/>
    <w:rsid w:val="007C418C"/>
    <w:rsid w:val="007C77E8"/>
    <w:rsid w:val="007D1D18"/>
    <w:rsid w:val="007E262E"/>
    <w:rsid w:val="007F00EE"/>
    <w:rsid w:val="007F4FBC"/>
    <w:rsid w:val="00802906"/>
    <w:rsid w:val="00806061"/>
    <w:rsid w:val="00813445"/>
    <w:rsid w:val="008172F3"/>
    <w:rsid w:val="008227B5"/>
    <w:rsid w:val="00835194"/>
    <w:rsid w:val="008441C1"/>
    <w:rsid w:val="00845033"/>
    <w:rsid w:val="00846BE1"/>
    <w:rsid w:val="00850787"/>
    <w:rsid w:val="00850B6B"/>
    <w:rsid w:val="0085787A"/>
    <w:rsid w:val="00861264"/>
    <w:rsid w:val="0086412A"/>
    <w:rsid w:val="008700B2"/>
    <w:rsid w:val="00870885"/>
    <w:rsid w:val="00870F11"/>
    <w:rsid w:val="008821AF"/>
    <w:rsid w:val="00887393"/>
    <w:rsid w:val="00887D0C"/>
    <w:rsid w:val="008944A8"/>
    <w:rsid w:val="00895A74"/>
    <w:rsid w:val="00897AEF"/>
    <w:rsid w:val="008A2C1F"/>
    <w:rsid w:val="008A7414"/>
    <w:rsid w:val="008B10DC"/>
    <w:rsid w:val="008B61E4"/>
    <w:rsid w:val="008B6386"/>
    <w:rsid w:val="008C25BB"/>
    <w:rsid w:val="008C37EF"/>
    <w:rsid w:val="008D4FE7"/>
    <w:rsid w:val="008E3674"/>
    <w:rsid w:val="008E6DD3"/>
    <w:rsid w:val="00903C50"/>
    <w:rsid w:val="00904C0B"/>
    <w:rsid w:val="00913690"/>
    <w:rsid w:val="00916B92"/>
    <w:rsid w:val="00920D5B"/>
    <w:rsid w:val="00923F93"/>
    <w:rsid w:val="00924B70"/>
    <w:rsid w:val="00924C1F"/>
    <w:rsid w:val="00934B08"/>
    <w:rsid w:val="00937056"/>
    <w:rsid w:val="00943764"/>
    <w:rsid w:val="00951B2F"/>
    <w:rsid w:val="00951C74"/>
    <w:rsid w:val="009571CF"/>
    <w:rsid w:val="00963DAB"/>
    <w:rsid w:val="0096439C"/>
    <w:rsid w:val="00966CAE"/>
    <w:rsid w:val="009673C3"/>
    <w:rsid w:val="00972DB8"/>
    <w:rsid w:val="0097688B"/>
    <w:rsid w:val="00977A26"/>
    <w:rsid w:val="00977FEC"/>
    <w:rsid w:val="00980300"/>
    <w:rsid w:val="009831FF"/>
    <w:rsid w:val="0098644A"/>
    <w:rsid w:val="009908C1"/>
    <w:rsid w:val="009A2C41"/>
    <w:rsid w:val="009B1561"/>
    <w:rsid w:val="009B22CA"/>
    <w:rsid w:val="009C3BAD"/>
    <w:rsid w:val="009C3C35"/>
    <w:rsid w:val="009D085B"/>
    <w:rsid w:val="009D2DE7"/>
    <w:rsid w:val="009D3FB4"/>
    <w:rsid w:val="009E0216"/>
    <w:rsid w:val="009E5CC0"/>
    <w:rsid w:val="009F0BE2"/>
    <w:rsid w:val="009F5B9C"/>
    <w:rsid w:val="00A00574"/>
    <w:rsid w:val="00A005C0"/>
    <w:rsid w:val="00A02671"/>
    <w:rsid w:val="00A0668A"/>
    <w:rsid w:val="00A07FC8"/>
    <w:rsid w:val="00A1088E"/>
    <w:rsid w:val="00A10DC8"/>
    <w:rsid w:val="00A12727"/>
    <w:rsid w:val="00A1553F"/>
    <w:rsid w:val="00A16DF9"/>
    <w:rsid w:val="00A17A32"/>
    <w:rsid w:val="00A210CC"/>
    <w:rsid w:val="00A2191E"/>
    <w:rsid w:val="00A27AF2"/>
    <w:rsid w:val="00A30479"/>
    <w:rsid w:val="00A30D3A"/>
    <w:rsid w:val="00A30FB4"/>
    <w:rsid w:val="00A33C17"/>
    <w:rsid w:val="00A37CB5"/>
    <w:rsid w:val="00A50C8B"/>
    <w:rsid w:val="00A50CE7"/>
    <w:rsid w:val="00A55C2C"/>
    <w:rsid w:val="00A57BEB"/>
    <w:rsid w:val="00A62015"/>
    <w:rsid w:val="00A86514"/>
    <w:rsid w:val="00A87A3A"/>
    <w:rsid w:val="00A95769"/>
    <w:rsid w:val="00AA384A"/>
    <w:rsid w:val="00AA3CE0"/>
    <w:rsid w:val="00AA4E1F"/>
    <w:rsid w:val="00AA5E1C"/>
    <w:rsid w:val="00AB472F"/>
    <w:rsid w:val="00AC4C9E"/>
    <w:rsid w:val="00AC618A"/>
    <w:rsid w:val="00AC7D60"/>
    <w:rsid w:val="00AD06FC"/>
    <w:rsid w:val="00AD16CF"/>
    <w:rsid w:val="00AD3DE8"/>
    <w:rsid w:val="00AE0A6E"/>
    <w:rsid w:val="00AE6BB9"/>
    <w:rsid w:val="00AF0F88"/>
    <w:rsid w:val="00AF1DE3"/>
    <w:rsid w:val="00AF5DCC"/>
    <w:rsid w:val="00AF61D5"/>
    <w:rsid w:val="00B0050E"/>
    <w:rsid w:val="00B006D2"/>
    <w:rsid w:val="00B011C1"/>
    <w:rsid w:val="00B03397"/>
    <w:rsid w:val="00B04358"/>
    <w:rsid w:val="00B05021"/>
    <w:rsid w:val="00B120E4"/>
    <w:rsid w:val="00B13B5D"/>
    <w:rsid w:val="00B17F0A"/>
    <w:rsid w:val="00B213AE"/>
    <w:rsid w:val="00B222DB"/>
    <w:rsid w:val="00B30030"/>
    <w:rsid w:val="00B3370D"/>
    <w:rsid w:val="00B35468"/>
    <w:rsid w:val="00B4215A"/>
    <w:rsid w:val="00B5276D"/>
    <w:rsid w:val="00B54D3B"/>
    <w:rsid w:val="00B56BD0"/>
    <w:rsid w:val="00B65751"/>
    <w:rsid w:val="00B67FB5"/>
    <w:rsid w:val="00B7324C"/>
    <w:rsid w:val="00B76071"/>
    <w:rsid w:val="00B768EB"/>
    <w:rsid w:val="00B77079"/>
    <w:rsid w:val="00B81671"/>
    <w:rsid w:val="00B92A91"/>
    <w:rsid w:val="00B93D2C"/>
    <w:rsid w:val="00B97E85"/>
    <w:rsid w:val="00BA4D1F"/>
    <w:rsid w:val="00BC2BEF"/>
    <w:rsid w:val="00BC5C11"/>
    <w:rsid w:val="00BC6383"/>
    <w:rsid w:val="00BC63CF"/>
    <w:rsid w:val="00BC652F"/>
    <w:rsid w:val="00BD3934"/>
    <w:rsid w:val="00BD6689"/>
    <w:rsid w:val="00BF1FF9"/>
    <w:rsid w:val="00C02122"/>
    <w:rsid w:val="00C03FB0"/>
    <w:rsid w:val="00C04CB6"/>
    <w:rsid w:val="00C05062"/>
    <w:rsid w:val="00C053B2"/>
    <w:rsid w:val="00C1024F"/>
    <w:rsid w:val="00C177D7"/>
    <w:rsid w:val="00C23657"/>
    <w:rsid w:val="00C25DFD"/>
    <w:rsid w:val="00C333F6"/>
    <w:rsid w:val="00C34C3A"/>
    <w:rsid w:val="00C36131"/>
    <w:rsid w:val="00C41C4F"/>
    <w:rsid w:val="00C4225A"/>
    <w:rsid w:val="00C5515B"/>
    <w:rsid w:val="00C56D9B"/>
    <w:rsid w:val="00C608C5"/>
    <w:rsid w:val="00C6391A"/>
    <w:rsid w:val="00C70903"/>
    <w:rsid w:val="00C71669"/>
    <w:rsid w:val="00C71685"/>
    <w:rsid w:val="00C718DB"/>
    <w:rsid w:val="00C7312E"/>
    <w:rsid w:val="00C749ED"/>
    <w:rsid w:val="00C90A02"/>
    <w:rsid w:val="00C93E8A"/>
    <w:rsid w:val="00C94ACC"/>
    <w:rsid w:val="00C96037"/>
    <w:rsid w:val="00CA2A1A"/>
    <w:rsid w:val="00CA30F2"/>
    <w:rsid w:val="00CA35A0"/>
    <w:rsid w:val="00CA4B5F"/>
    <w:rsid w:val="00CB6938"/>
    <w:rsid w:val="00CB7ADD"/>
    <w:rsid w:val="00CC0AAE"/>
    <w:rsid w:val="00CD0C6C"/>
    <w:rsid w:val="00CD417C"/>
    <w:rsid w:val="00CD6990"/>
    <w:rsid w:val="00CD7727"/>
    <w:rsid w:val="00CF2763"/>
    <w:rsid w:val="00D00F9B"/>
    <w:rsid w:val="00D114E1"/>
    <w:rsid w:val="00D209C6"/>
    <w:rsid w:val="00D24C05"/>
    <w:rsid w:val="00D2629B"/>
    <w:rsid w:val="00D34A1A"/>
    <w:rsid w:val="00D354CF"/>
    <w:rsid w:val="00D35CDE"/>
    <w:rsid w:val="00D40A79"/>
    <w:rsid w:val="00D40C4A"/>
    <w:rsid w:val="00D41260"/>
    <w:rsid w:val="00D469F2"/>
    <w:rsid w:val="00D51484"/>
    <w:rsid w:val="00D5482D"/>
    <w:rsid w:val="00D563DD"/>
    <w:rsid w:val="00D603C1"/>
    <w:rsid w:val="00D6075A"/>
    <w:rsid w:val="00D67C1F"/>
    <w:rsid w:val="00D739DF"/>
    <w:rsid w:val="00D75B14"/>
    <w:rsid w:val="00D773D0"/>
    <w:rsid w:val="00D813CF"/>
    <w:rsid w:val="00D86467"/>
    <w:rsid w:val="00D96C7D"/>
    <w:rsid w:val="00DA05BD"/>
    <w:rsid w:val="00DB28C9"/>
    <w:rsid w:val="00DC0DC2"/>
    <w:rsid w:val="00DC4512"/>
    <w:rsid w:val="00DC570D"/>
    <w:rsid w:val="00DC7C9D"/>
    <w:rsid w:val="00DD2747"/>
    <w:rsid w:val="00DD3197"/>
    <w:rsid w:val="00DD59D6"/>
    <w:rsid w:val="00DD5D86"/>
    <w:rsid w:val="00DE07DD"/>
    <w:rsid w:val="00DE740D"/>
    <w:rsid w:val="00DF2B1E"/>
    <w:rsid w:val="00E01CA3"/>
    <w:rsid w:val="00E07C92"/>
    <w:rsid w:val="00E110BE"/>
    <w:rsid w:val="00E14379"/>
    <w:rsid w:val="00E145F1"/>
    <w:rsid w:val="00E14B01"/>
    <w:rsid w:val="00E204B9"/>
    <w:rsid w:val="00E21948"/>
    <w:rsid w:val="00E24AB6"/>
    <w:rsid w:val="00E32C1F"/>
    <w:rsid w:val="00E32F93"/>
    <w:rsid w:val="00E34604"/>
    <w:rsid w:val="00E369AA"/>
    <w:rsid w:val="00E44D2E"/>
    <w:rsid w:val="00E56454"/>
    <w:rsid w:val="00E618DC"/>
    <w:rsid w:val="00E63036"/>
    <w:rsid w:val="00E64D23"/>
    <w:rsid w:val="00E668E7"/>
    <w:rsid w:val="00E730E6"/>
    <w:rsid w:val="00E73BA7"/>
    <w:rsid w:val="00E752DA"/>
    <w:rsid w:val="00E75342"/>
    <w:rsid w:val="00E80E96"/>
    <w:rsid w:val="00E85613"/>
    <w:rsid w:val="00E85892"/>
    <w:rsid w:val="00E91A3C"/>
    <w:rsid w:val="00EA0064"/>
    <w:rsid w:val="00EA2D67"/>
    <w:rsid w:val="00EA682D"/>
    <w:rsid w:val="00EB53B9"/>
    <w:rsid w:val="00EC7A4B"/>
    <w:rsid w:val="00ED2A26"/>
    <w:rsid w:val="00ED4F7F"/>
    <w:rsid w:val="00ED6E57"/>
    <w:rsid w:val="00EE285B"/>
    <w:rsid w:val="00EE47E2"/>
    <w:rsid w:val="00EE66F8"/>
    <w:rsid w:val="00EF384A"/>
    <w:rsid w:val="00F0485B"/>
    <w:rsid w:val="00F048D2"/>
    <w:rsid w:val="00F06F52"/>
    <w:rsid w:val="00F11439"/>
    <w:rsid w:val="00F13033"/>
    <w:rsid w:val="00F24451"/>
    <w:rsid w:val="00F24D17"/>
    <w:rsid w:val="00F25B38"/>
    <w:rsid w:val="00F354C7"/>
    <w:rsid w:val="00F363BE"/>
    <w:rsid w:val="00F36847"/>
    <w:rsid w:val="00F40DA5"/>
    <w:rsid w:val="00F46112"/>
    <w:rsid w:val="00F476CA"/>
    <w:rsid w:val="00F56B55"/>
    <w:rsid w:val="00F56DFF"/>
    <w:rsid w:val="00F618D1"/>
    <w:rsid w:val="00F62D75"/>
    <w:rsid w:val="00F66029"/>
    <w:rsid w:val="00F71F1B"/>
    <w:rsid w:val="00F74CC4"/>
    <w:rsid w:val="00F772B8"/>
    <w:rsid w:val="00F80F85"/>
    <w:rsid w:val="00F87D49"/>
    <w:rsid w:val="00F930E0"/>
    <w:rsid w:val="00F93FFB"/>
    <w:rsid w:val="00FB168B"/>
    <w:rsid w:val="00FB544A"/>
    <w:rsid w:val="00FC09B8"/>
    <w:rsid w:val="00FC1C37"/>
    <w:rsid w:val="00FC2F31"/>
    <w:rsid w:val="00FD1332"/>
    <w:rsid w:val="00FD2BBE"/>
    <w:rsid w:val="00FD5BAA"/>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006515892">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8472-DD14-4AEE-94EA-66CE9244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21</Pages>
  <Words>6111</Words>
  <Characters>44190</Characters>
  <Application>Microsoft Office Word</Application>
  <DocSecurity>0</DocSecurity>
  <Lines>866</Lines>
  <Paragraphs>240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136</cp:revision>
  <cp:lastPrinted>2013-05-27T10:30:00Z</cp:lastPrinted>
  <dcterms:created xsi:type="dcterms:W3CDTF">2013-02-08T09:35:00Z</dcterms:created>
  <dcterms:modified xsi:type="dcterms:W3CDTF">2013-05-27T10:38:00Z</dcterms:modified>
</cp:coreProperties>
</file>