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3F1EC0" w:rsidRDefault="00E668E7" w:rsidP="007D3580">
      <w:pPr>
        <w:pStyle w:val="Header"/>
        <w:tabs>
          <w:tab w:val="clear" w:pos="4153"/>
          <w:tab w:val="clear" w:pos="8306"/>
        </w:tabs>
        <w:jc w:val="center"/>
        <w:rPr>
          <w:b/>
          <w:smallCaps/>
          <w:sz w:val="28"/>
          <w:szCs w:val="28"/>
        </w:rPr>
      </w:pPr>
      <w:r w:rsidRPr="003F1EC0">
        <w:rPr>
          <w:b/>
          <w:smallCaps/>
          <w:sz w:val="28"/>
          <w:szCs w:val="28"/>
        </w:rPr>
        <w:t xml:space="preserve">Informatīvais </w:t>
      </w:r>
      <w:smartTag w:uri="schemas-tilde-lv/tildestengine" w:element="veidnes">
        <w:smartTagPr>
          <w:attr w:name="text" w:val="ziņojums"/>
          <w:attr w:name="id" w:val="-1"/>
          <w:attr w:name="baseform" w:val="ziņojum|s"/>
        </w:smartTagPr>
        <w:r w:rsidRPr="003F1EC0">
          <w:rPr>
            <w:b/>
            <w:smallCaps/>
            <w:sz w:val="28"/>
            <w:szCs w:val="28"/>
          </w:rPr>
          <w:t>ziņojums</w:t>
        </w:r>
      </w:smartTag>
    </w:p>
    <w:p w:rsidR="00E668E7" w:rsidRPr="003F1EC0" w:rsidRDefault="00E668E7" w:rsidP="007D3580">
      <w:pPr>
        <w:pStyle w:val="Header"/>
        <w:tabs>
          <w:tab w:val="clear" w:pos="4153"/>
          <w:tab w:val="clear" w:pos="8306"/>
        </w:tabs>
        <w:jc w:val="center"/>
        <w:rPr>
          <w:b/>
          <w:sz w:val="28"/>
          <w:szCs w:val="28"/>
        </w:rPr>
      </w:pPr>
    </w:p>
    <w:p w:rsidR="00E668E7" w:rsidRPr="003F1EC0" w:rsidRDefault="00E668E7" w:rsidP="007D3580">
      <w:pPr>
        <w:jc w:val="center"/>
        <w:rPr>
          <w:b/>
          <w:sz w:val="28"/>
          <w:szCs w:val="28"/>
        </w:rPr>
      </w:pPr>
      <w:bookmarkStart w:id="0" w:name="OLE_LINK3"/>
      <w:bookmarkStart w:id="1" w:name="OLE_LINK4"/>
      <w:r w:rsidRPr="003F1EC0">
        <w:rPr>
          <w:b/>
          <w:sz w:val="28"/>
          <w:szCs w:val="28"/>
        </w:rPr>
        <w:t xml:space="preserve">par </w:t>
      </w:r>
      <w:r w:rsidR="00DF23E2" w:rsidRPr="003F1EC0">
        <w:rPr>
          <w:b/>
          <w:sz w:val="28"/>
          <w:szCs w:val="28"/>
        </w:rPr>
        <w:t>Latvijas nacionālajām pozīcijām</w:t>
      </w:r>
      <w:r w:rsidR="00861DB7" w:rsidRPr="003F1EC0">
        <w:rPr>
          <w:b/>
          <w:sz w:val="28"/>
          <w:szCs w:val="28"/>
        </w:rPr>
        <w:t xml:space="preserve"> </w:t>
      </w:r>
      <w:r w:rsidR="00DF23E2" w:rsidRPr="003F1EC0">
        <w:rPr>
          <w:b/>
          <w:sz w:val="28"/>
          <w:szCs w:val="28"/>
        </w:rPr>
        <w:t xml:space="preserve">Eiropas Savienības Konkurētspējas ministru padomes 2011. gada </w:t>
      </w:r>
      <w:r w:rsidR="00C71EB3" w:rsidRPr="003F1EC0">
        <w:rPr>
          <w:b/>
          <w:sz w:val="28"/>
          <w:szCs w:val="28"/>
        </w:rPr>
        <w:t>5.</w:t>
      </w:r>
      <w:r w:rsidR="00DF23E2" w:rsidRPr="003F1EC0">
        <w:rPr>
          <w:b/>
          <w:sz w:val="28"/>
          <w:szCs w:val="28"/>
        </w:rPr>
        <w:t xml:space="preserve"> </w:t>
      </w:r>
      <w:r w:rsidR="00C71EB3" w:rsidRPr="003F1EC0">
        <w:rPr>
          <w:b/>
          <w:sz w:val="28"/>
          <w:szCs w:val="28"/>
        </w:rPr>
        <w:t>decembra</w:t>
      </w:r>
      <w:r w:rsidR="00DF23E2" w:rsidRPr="003F1EC0">
        <w:rPr>
          <w:b/>
          <w:sz w:val="28"/>
          <w:szCs w:val="28"/>
        </w:rPr>
        <w:t xml:space="preserve"> sanāksmē izskatāmajos Ekonomikas ministrijas</w:t>
      </w:r>
      <w:r w:rsidR="003B6331" w:rsidRPr="003F1EC0">
        <w:rPr>
          <w:b/>
          <w:sz w:val="28"/>
          <w:szCs w:val="28"/>
        </w:rPr>
        <w:t xml:space="preserve"> un</w:t>
      </w:r>
      <w:r w:rsidR="00C71EB3" w:rsidRPr="003F1EC0">
        <w:rPr>
          <w:b/>
          <w:sz w:val="28"/>
          <w:szCs w:val="28"/>
        </w:rPr>
        <w:t xml:space="preserve"> Finanšu ministrijas</w:t>
      </w:r>
      <w:r w:rsidR="00DF23E2" w:rsidRPr="003F1EC0">
        <w:rPr>
          <w:b/>
          <w:sz w:val="28"/>
          <w:szCs w:val="28"/>
        </w:rPr>
        <w:t xml:space="preserve"> kompetences jautājumos</w:t>
      </w:r>
    </w:p>
    <w:bookmarkEnd w:id="0"/>
    <w:bookmarkEnd w:id="1"/>
    <w:p w:rsidR="000116CF" w:rsidRPr="003F1EC0" w:rsidRDefault="000116CF" w:rsidP="007D3580">
      <w:pPr>
        <w:rPr>
          <w:sz w:val="28"/>
          <w:szCs w:val="28"/>
        </w:rPr>
      </w:pPr>
    </w:p>
    <w:p w:rsidR="00E23854" w:rsidRPr="003F1EC0" w:rsidRDefault="00E23854" w:rsidP="007D3580">
      <w:pPr>
        <w:pStyle w:val="ListParagraph"/>
        <w:numPr>
          <w:ilvl w:val="0"/>
          <w:numId w:val="8"/>
        </w:numPr>
        <w:contextualSpacing w:val="0"/>
        <w:rPr>
          <w:b/>
          <w:sz w:val="28"/>
          <w:szCs w:val="28"/>
        </w:rPr>
      </w:pPr>
      <w:r w:rsidRPr="003F1EC0">
        <w:rPr>
          <w:b/>
          <w:sz w:val="28"/>
          <w:szCs w:val="28"/>
        </w:rPr>
        <w:t>Konkurētspējas ministru padomes sanāksmes darba kārtība</w:t>
      </w:r>
    </w:p>
    <w:p w:rsidR="00C71EB3" w:rsidRPr="003F1EC0" w:rsidRDefault="00897AEF" w:rsidP="007D3580">
      <w:pPr>
        <w:tabs>
          <w:tab w:val="left" w:pos="9288"/>
        </w:tabs>
        <w:ind w:firstLine="720"/>
        <w:jc w:val="both"/>
        <w:rPr>
          <w:sz w:val="28"/>
          <w:szCs w:val="28"/>
        </w:rPr>
      </w:pPr>
      <w:r w:rsidRPr="003F1EC0">
        <w:rPr>
          <w:sz w:val="28"/>
          <w:szCs w:val="28"/>
        </w:rPr>
        <w:t xml:space="preserve">2011. gada </w:t>
      </w:r>
      <w:r w:rsidR="00C71EB3" w:rsidRPr="003F1EC0">
        <w:rPr>
          <w:sz w:val="28"/>
          <w:szCs w:val="28"/>
        </w:rPr>
        <w:t>5.decembrī</w:t>
      </w:r>
      <w:r w:rsidRPr="003F1EC0">
        <w:rPr>
          <w:sz w:val="28"/>
          <w:szCs w:val="28"/>
        </w:rPr>
        <w:t xml:space="preserve"> Briselē, Beļģijā,  notiks Eiropas Savienības (turpmāk – ES) Konkurētspējas ministru padomes sanāksme</w:t>
      </w:r>
      <w:r w:rsidR="0020630B" w:rsidRPr="003F1EC0">
        <w:rPr>
          <w:sz w:val="28"/>
          <w:szCs w:val="28"/>
        </w:rPr>
        <w:t xml:space="preserve"> (turpmāk - sanāksme)</w:t>
      </w:r>
      <w:r w:rsidRPr="003F1EC0">
        <w:rPr>
          <w:sz w:val="28"/>
          <w:szCs w:val="28"/>
        </w:rPr>
        <w:t xml:space="preserve">. </w:t>
      </w:r>
      <w:r w:rsidR="00C71EB3" w:rsidRPr="003F1EC0">
        <w:rPr>
          <w:sz w:val="28"/>
          <w:szCs w:val="28"/>
        </w:rPr>
        <w:t xml:space="preserve">Pirmajā daļā ir plānotas diskusijas par aktuālajām problēmām rūpniecībā ES </w:t>
      </w:r>
      <w:r w:rsidR="00D46622" w:rsidRPr="003F1EC0">
        <w:rPr>
          <w:sz w:val="28"/>
          <w:szCs w:val="28"/>
        </w:rPr>
        <w:t xml:space="preserve">Komisijas priekšsēdētāja vietnieka Antonio </w:t>
      </w:r>
      <w:proofErr w:type="spellStart"/>
      <w:r w:rsidR="00D46622" w:rsidRPr="003F1EC0">
        <w:rPr>
          <w:sz w:val="28"/>
          <w:szCs w:val="28"/>
        </w:rPr>
        <w:t>Tajā</w:t>
      </w:r>
      <w:r w:rsidR="00C71EB3" w:rsidRPr="003F1EC0">
        <w:rPr>
          <w:sz w:val="28"/>
          <w:szCs w:val="28"/>
        </w:rPr>
        <w:t>ni</w:t>
      </w:r>
      <w:proofErr w:type="spellEnd"/>
      <w:r w:rsidR="00C71EB3" w:rsidRPr="003F1EC0">
        <w:rPr>
          <w:sz w:val="28"/>
          <w:szCs w:val="28"/>
        </w:rPr>
        <w:t xml:space="preserve"> vadībā, savukārt, otrajā daļā ES Iekšējā tirgus un pakalpojumu komisārs </w:t>
      </w:r>
      <w:proofErr w:type="spellStart"/>
      <w:r w:rsidR="00C71EB3" w:rsidRPr="003F1EC0">
        <w:rPr>
          <w:sz w:val="28"/>
          <w:szCs w:val="28"/>
        </w:rPr>
        <w:t>Mišels</w:t>
      </w:r>
      <w:proofErr w:type="spellEnd"/>
      <w:r w:rsidR="00C71EB3" w:rsidRPr="003F1EC0">
        <w:rPr>
          <w:sz w:val="28"/>
          <w:szCs w:val="28"/>
        </w:rPr>
        <w:t xml:space="preserve"> </w:t>
      </w:r>
      <w:proofErr w:type="spellStart"/>
      <w:r w:rsidR="00C71EB3" w:rsidRPr="003F1EC0">
        <w:rPr>
          <w:sz w:val="28"/>
          <w:szCs w:val="28"/>
        </w:rPr>
        <w:t>Barnjē</w:t>
      </w:r>
      <w:proofErr w:type="spellEnd"/>
      <w:r w:rsidR="00C71EB3" w:rsidRPr="003F1EC0">
        <w:rPr>
          <w:sz w:val="28"/>
          <w:szCs w:val="28"/>
        </w:rPr>
        <w:t xml:space="preserve"> aicinās ministrus diskutēt par iekšējā tirgus jautājumiem.</w:t>
      </w:r>
    </w:p>
    <w:p w:rsidR="000116CF" w:rsidRPr="003F1EC0" w:rsidRDefault="00C71EB3" w:rsidP="007D3580">
      <w:pPr>
        <w:tabs>
          <w:tab w:val="left" w:pos="9288"/>
        </w:tabs>
        <w:ind w:firstLine="720"/>
        <w:jc w:val="both"/>
        <w:rPr>
          <w:sz w:val="28"/>
          <w:szCs w:val="28"/>
        </w:rPr>
      </w:pPr>
      <w:r w:rsidRPr="003F1EC0">
        <w:rPr>
          <w:sz w:val="28"/>
          <w:szCs w:val="28"/>
        </w:rPr>
        <w:t xml:space="preserve">Paredzams, ka sanāksmes gaitā tiks izskatīti šādi Ekonomikas ministrijas (EM), </w:t>
      </w:r>
      <w:r w:rsidR="00D46622" w:rsidRPr="003F1EC0">
        <w:rPr>
          <w:sz w:val="28"/>
          <w:szCs w:val="28"/>
        </w:rPr>
        <w:t>Finanšu</w:t>
      </w:r>
      <w:r w:rsidRPr="003F1EC0">
        <w:rPr>
          <w:sz w:val="28"/>
          <w:szCs w:val="28"/>
        </w:rPr>
        <w:t xml:space="preserve"> ministrijas (</w:t>
      </w:r>
      <w:r w:rsidR="00D46622" w:rsidRPr="003F1EC0">
        <w:rPr>
          <w:sz w:val="28"/>
          <w:szCs w:val="28"/>
        </w:rPr>
        <w:t>F</w:t>
      </w:r>
      <w:r w:rsidRPr="003F1EC0">
        <w:rPr>
          <w:sz w:val="28"/>
          <w:szCs w:val="28"/>
        </w:rPr>
        <w:t>M)</w:t>
      </w:r>
      <w:r w:rsidR="00D46622" w:rsidRPr="003F1EC0">
        <w:rPr>
          <w:sz w:val="28"/>
          <w:szCs w:val="28"/>
        </w:rPr>
        <w:t xml:space="preserve">, </w:t>
      </w:r>
      <w:r w:rsidRPr="003F1EC0">
        <w:rPr>
          <w:sz w:val="28"/>
          <w:szCs w:val="28"/>
        </w:rPr>
        <w:t xml:space="preserve"> </w:t>
      </w:r>
      <w:r w:rsidR="00D46622" w:rsidRPr="003F1EC0">
        <w:rPr>
          <w:sz w:val="28"/>
          <w:szCs w:val="28"/>
        </w:rPr>
        <w:t>Kultūras ministrijas (KM) un Vides aizsardzības un reģionālās attīstības ministrijas (VARAM) kompetencē</w:t>
      </w:r>
      <w:r w:rsidRPr="003F1EC0">
        <w:rPr>
          <w:sz w:val="28"/>
          <w:szCs w:val="28"/>
        </w:rPr>
        <w:t xml:space="preserve"> esoši jautājumi:</w:t>
      </w:r>
    </w:p>
    <w:p w:rsidR="005C21D5" w:rsidRPr="003F1EC0" w:rsidRDefault="005C21D5" w:rsidP="007D3580">
      <w:pPr>
        <w:ind w:firstLine="720"/>
        <w:jc w:val="both"/>
        <w:rPr>
          <w:sz w:val="28"/>
          <w:szCs w:val="28"/>
        </w:rPr>
      </w:pPr>
    </w:p>
    <w:p w:rsidR="0060055E" w:rsidRPr="003F1EC0" w:rsidRDefault="0060055E" w:rsidP="007D3580">
      <w:pPr>
        <w:pStyle w:val="ListParagraph"/>
        <w:numPr>
          <w:ilvl w:val="1"/>
          <w:numId w:val="13"/>
        </w:numPr>
        <w:pBdr>
          <w:bottom w:val="single" w:sz="4" w:space="1" w:color="auto"/>
        </w:pBdr>
        <w:tabs>
          <w:tab w:val="left" w:pos="709"/>
          <w:tab w:val="left" w:pos="9288"/>
        </w:tabs>
        <w:ind w:left="0" w:firstLine="0"/>
        <w:contextualSpacing w:val="0"/>
        <w:jc w:val="both"/>
        <w:rPr>
          <w:b/>
          <w:sz w:val="28"/>
          <w:szCs w:val="28"/>
        </w:rPr>
      </w:pPr>
      <w:r w:rsidRPr="003F1EC0">
        <w:rPr>
          <w:b/>
          <w:sz w:val="28"/>
          <w:szCs w:val="28"/>
        </w:rPr>
        <w:t>Uzņēmējdarbības konkurētspējas un MVU programma</w:t>
      </w:r>
    </w:p>
    <w:p w:rsidR="0060055E" w:rsidRPr="003F1EC0" w:rsidRDefault="0060055E" w:rsidP="007D3580">
      <w:pPr>
        <w:tabs>
          <w:tab w:val="left" w:pos="9288"/>
        </w:tabs>
        <w:jc w:val="both"/>
        <w:rPr>
          <w:i/>
          <w:sz w:val="28"/>
          <w:szCs w:val="28"/>
        </w:rPr>
      </w:pPr>
      <w:r w:rsidRPr="003F1EC0">
        <w:rPr>
          <w:i/>
          <w:sz w:val="28"/>
          <w:szCs w:val="28"/>
        </w:rPr>
        <w:t>EM kompetence</w:t>
      </w:r>
    </w:p>
    <w:p w:rsidR="0060055E" w:rsidRPr="003F1EC0" w:rsidRDefault="0060055E" w:rsidP="007D3580">
      <w:pPr>
        <w:jc w:val="both"/>
        <w:rPr>
          <w:sz w:val="28"/>
          <w:szCs w:val="28"/>
        </w:rPr>
      </w:pPr>
      <w:r w:rsidRPr="003F1EC0">
        <w:rPr>
          <w:i/>
          <w:sz w:val="28"/>
          <w:szCs w:val="28"/>
        </w:rPr>
        <w:t>- Komisijas sniegtā informācija</w:t>
      </w:r>
    </w:p>
    <w:p w:rsidR="0060055E" w:rsidRPr="003F1EC0" w:rsidRDefault="0060055E" w:rsidP="00CE506C">
      <w:pPr>
        <w:ind w:firstLine="720"/>
        <w:jc w:val="both"/>
        <w:rPr>
          <w:sz w:val="28"/>
          <w:szCs w:val="28"/>
        </w:rPr>
      </w:pPr>
    </w:p>
    <w:p w:rsidR="00AA15A0" w:rsidRDefault="00CE506C" w:rsidP="0097510E">
      <w:pPr>
        <w:ind w:firstLine="720"/>
        <w:jc w:val="both"/>
        <w:rPr>
          <w:sz w:val="28"/>
          <w:szCs w:val="28"/>
        </w:rPr>
      </w:pPr>
      <w:r w:rsidRPr="003F1EC0">
        <w:rPr>
          <w:sz w:val="28"/>
          <w:szCs w:val="28"/>
        </w:rPr>
        <w:t xml:space="preserve">Sanāksmes laikā Eiropas Komisija sniegs informāciju par </w:t>
      </w:r>
      <w:r w:rsidR="00F7605E" w:rsidRPr="003F1EC0">
        <w:rPr>
          <w:sz w:val="28"/>
          <w:szCs w:val="28"/>
        </w:rPr>
        <w:t>U</w:t>
      </w:r>
      <w:r w:rsidRPr="003F1EC0">
        <w:rPr>
          <w:sz w:val="28"/>
          <w:szCs w:val="28"/>
        </w:rPr>
        <w:t>zņēmējdarbības konkurētspējas un mazo un vidējo uzņēmumu (</w:t>
      </w:r>
      <w:r w:rsidR="00AA15A0" w:rsidRPr="003F1EC0">
        <w:rPr>
          <w:sz w:val="28"/>
          <w:szCs w:val="28"/>
        </w:rPr>
        <w:t xml:space="preserve">turpmāk - </w:t>
      </w:r>
      <w:r w:rsidRPr="003F1EC0">
        <w:rPr>
          <w:sz w:val="28"/>
          <w:szCs w:val="28"/>
        </w:rPr>
        <w:t xml:space="preserve">MVU) programmu, </w:t>
      </w:r>
      <w:r w:rsidR="00F7605E" w:rsidRPr="003F1EC0">
        <w:rPr>
          <w:sz w:val="28"/>
          <w:szCs w:val="28"/>
        </w:rPr>
        <w:t>kas tiks publicēta š.g. 30.novembrī.</w:t>
      </w:r>
      <w:r w:rsidR="0097510E">
        <w:rPr>
          <w:sz w:val="28"/>
          <w:szCs w:val="28"/>
        </w:rPr>
        <w:t xml:space="preserve"> </w:t>
      </w:r>
      <w:r w:rsidR="00F7605E" w:rsidRPr="0097510E">
        <w:rPr>
          <w:sz w:val="28"/>
          <w:szCs w:val="28"/>
        </w:rPr>
        <w:t xml:space="preserve">Uzņēmējdarbības konkurētspējas un MVU programma ir viens no </w:t>
      </w:r>
      <w:r w:rsidR="003128C8" w:rsidRPr="0097510E">
        <w:rPr>
          <w:sz w:val="28"/>
          <w:szCs w:val="28"/>
        </w:rPr>
        <w:t xml:space="preserve">ES budžeta 2020.gada instrumentiem, kas </w:t>
      </w:r>
      <w:r w:rsidRPr="0097510E">
        <w:rPr>
          <w:sz w:val="28"/>
          <w:szCs w:val="28"/>
        </w:rPr>
        <w:t>balstīsies uz Eiropas Komisijas paziņojuma „Rūpniecības politika – konkurētspējas uzlabošana”.</w:t>
      </w:r>
      <w:r w:rsidRPr="003F1EC0">
        <w:rPr>
          <w:sz w:val="28"/>
          <w:szCs w:val="28"/>
        </w:rPr>
        <w:t xml:space="preserve"> </w:t>
      </w:r>
    </w:p>
    <w:p w:rsidR="008F40B3" w:rsidRDefault="008F40B3" w:rsidP="0097510E">
      <w:pPr>
        <w:ind w:firstLine="720"/>
        <w:jc w:val="both"/>
        <w:rPr>
          <w:sz w:val="28"/>
          <w:szCs w:val="28"/>
        </w:rPr>
      </w:pPr>
    </w:p>
    <w:p w:rsidR="008F40B3" w:rsidRPr="003F1EC0" w:rsidRDefault="008F40B3" w:rsidP="008F40B3">
      <w:pPr>
        <w:pStyle w:val="ListParagraph"/>
        <w:numPr>
          <w:ilvl w:val="1"/>
          <w:numId w:val="13"/>
        </w:numPr>
        <w:pBdr>
          <w:bottom w:val="single" w:sz="4" w:space="1" w:color="auto"/>
        </w:pBdr>
        <w:tabs>
          <w:tab w:val="left" w:pos="709"/>
          <w:tab w:val="left" w:pos="9288"/>
        </w:tabs>
        <w:jc w:val="both"/>
        <w:rPr>
          <w:b/>
          <w:sz w:val="28"/>
          <w:szCs w:val="28"/>
        </w:rPr>
      </w:pPr>
      <w:r w:rsidRPr="003F1EC0">
        <w:rPr>
          <w:b/>
          <w:sz w:val="28"/>
          <w:szCs w:val="28"/>
        </w:rPr>
        <w:t xml:space="preserve">Rūpniecības politikas </w:t>
      </w:r>
      <w:proofErr w:type="spellStart"/>
      <w:r w:rsidRPr="003F1EC0">
        <w:rPr>
          <w:b/>
          <w:sz w:val="28"/>
          <w:szCs w:val="28"/>
        </w:rPr>
        <w:t>pamatiniciatīva</w:t>
      </w:r>
      <w:proofErr w:type="spellEnd"/>
      <w:r w:rsidRPr="003F1EC0">
        <w:rPr>
          <w:b/>
          <w:sz w:val="28"/>
          <w:szCs w:val="28"/>
        </w:rPr>
        <w:t xml:space="preserve"> – rūpniecības politikas īstenošanas stiprināšana visā ES</w:t>
      </w:r>
    </w:p>
    <w:p w:rsidR="008F40B3" w:rsidRPr="003F1EC0" w:rsidRDefault="008F40B3" w:rsidP="008F40B3">
      <w:pPr>
        <w:tabs>
          <w:tab w:val="left" w:pos="9288"/>
        </w:tabs>
        <w:jc w:val="both"/>
        <w:rPr>
          <w:i/>
          <w:sz w:val="28"/>
          <w:szCs w:val="28"/>
        </w:rPr>
      </w:pPr>
      <w:r w:rsidRPr="003F1EC0">
        <w:rPr>
          <w:i/>
          <w:sz w:val="28"/>
          <w:szCs w:val="28"/>
        </w:rPr>
        <w:t>EM kompetence</w:t>
      </w:r>
    </w:p>
    <w:p w:rsidR="008F40B3" w:rsidRPr="003F1EC0" w:rsidRDefault="008F40B3" w:rsidP="008F40B3">
      <w:pPr>
        <w:jc w:val="both"/>
        <w:rPr>
          <w:i/>
          <w:sz w:val="28"/>
          <w:szCs w:val="28"/>
        </w:rPr>
      </w:pPr>
      <w:r w:rsidRPr="003F1EC0">
        <w:rPr>
          <w:i/>
          <w:sz w:val="28"/>
          <w:szCs w:val="28"/>
        </w:rPr>
        <w:t>- Padomes secinājumu pieņemšana</w:t>
      </w:r>
    </w:p>
    <w:p w:rsidR="008F40B3" w:rsidRPr="003F1EC0" w:rsidRDefault="008F40B3" w:rsidP="008F40B3">
      <w:pPr>
        <w:jc w:val="both"/>
        <w:rPr>
          <w:sz w:val="28"/>
          <w:szCs w:val="28"/>
        </w:rPr>
      </w:pPr>
    </w:p>
    <w:p w:rsidR="008F40B3" w:rsidRPr="003F1EC0" w:rsidRDefault="008F40B3" w:rsidP="008F40B3">
      <w:pPr>
        <w:ind w:firstLine="851"/>
        <w:jc w:val="both"/>
        <w:rPr>
          <w:sz w:val="28"/>
          <w:szCs w:val="28"/>
        </w:rPr>
      </w:pPr>
      <w:r w:rsidRPr="003F1EC0">
        <w:rPr>
          <w:sz w:val="28"/>
          <w:szCs w:val="28"/>
        </w:rPr>
        <w:t xml:space="preserve">Sanāksmes laikā ir plānots apstiprināt </w:t>
      </w:r>
      <w:r>
        <w:rPr>
          <w:sz w:val="28"/>
          <w:szCs w:val="28"/>
        </w:rPr>
        <w:t>„</w:t>
      </w:r>
      <w:r w:rsidRPr="003F1EC0">
        <w:rPr>
          <w:sz w:val="28"/>
          <w:szCs w:val="28"/>
        </w:rPr>
        <w:t xml:space="preserve">Padomes secinājumus par rūpniecības politikas </w:t>
      </w:r>
      <w:proofErr w:type="spellStart"/>
      <w:r w:rsidRPr="003F1EC0">
        <w:rPr>
          <w:sz w:val="28"/>
          <w:szCs w:val="28"/>
        </w:rPr>
        <w:t>pamatiniciatīvu</w:t>
      </w:r>
      <w:proofErr w:type="spellEnd"/>
      <w:r w:rsidRPr="003F1EC0">
        <w:rPr>
          <w:sz w:val="28"/>
          <w:szCs w:val="28"/>
        </w:rPr>
        <w:t xml:space="preserve"> – rūpniecības politikas īstenošanas pastiprināšana visā ES</w:t>
      </w:r>
      <w:r>
        <w:rPr>
          <w:sz w:val="28"/>
          <w:szCs w:val="28"/>
        </w:rPr>
        <w:t>”</w:t>
      </w:r>
      <w:r w:rsidRPr="003F1EC0">
        <w:rPr>
          <w:sz w:val="28"/>
          <w:szCs w:val="28"/>
        </w:rPr>
        <w:t>. Padome secinājumus izstrādājusi, balstoties uz vairākiem Komisijas paziņojumiem, kā arī atsaucoties uz saviem līdzšinējiem secinājumiem, kas iezīmē galvenos izaicinājumus rūpniecības jomā. Vienlaikus Padome secinājumus izstrādājusi ievērojot standartizācijas jomā īstenoto pasākumu kopumu.</w:t>
      </w:r>
    </w:p>
    <w:p w:rsidR="008F40B3" w:rsidRPr="003F1EC0" w:rsidRDefault="008F40B3" w:rsidP="008F40B3">
      <w:pPr>
        <w:ind w:firstLine="851"/>
        <w:jc w:val="both"/>
        <w:rPr>
          <w:sz w:val="28"/>
          <w:szCs w:val="28"/>
        </w:rPr>
      </w:pPr>
      <w:r w:rsidRPr="003F1EC0">
        <w:rPr>
          <w:sz w:val="28"/>
          <w:szCs w:val="28"/>
        </w:rPr>
        <w:t>Padomes secinājumi pievēršas diviem būtiskiem aspektiem: ES rūpniecības konkurētspējas palielināšana un MVU globālo iespēju izmantošana.</w:t>
      </w:r>
    </w:p>
    <w:p w:rsidR="008F40B3" w:rsidRPr="003F1EC0" w:rsidRDefault="008F40B3" w:rsidP="008F40B3">
      <w:pPr>
        <w:ind w:firstLine="851"/>
        <w:jc w:val="both"/>
        <w:rPr>
          <w:sz w:val="28"/>
          <w:szCs w:val="28"/>
        </w:rPr>
      </w:pPr>
      <w:r w:rsidRPr="003F1EC0">
        <w:rPr>
          <w:sz w:val="28"/>
          <w:szCs w:val="28"/>
        </w:rPr>
        <w:lastRenderedPageBreak/>
        <w:t xml:space="preserve">Latvija </w:t>
      </w:r>
      <w:r w:rsidRPr="003F1EC0">
        <w:rPr>
          <w:b/>
          <w:sz w:val="28"/>
          <w:szCs w:val="28"/>
        </w:rPr>
        <w:t>kopumā atbalsta</w:t>
      </w:r>
      <w:r w:rsidRPr="003F1EC0">
        <w:rPr>
          <w:sz w:val="28"/>
          <w:szCs w:val="28"/>
        </w:rPr>
        <w:t xml:space="preserve"> Padomes secinājumu apstiprināšanu, jo tie akcentē galvenos rīcības virzienus gan nacionālā, gan ES līmenī Eiropas rūpniecības konkurētspējas palielināšanai. </w:t>
      </w:r>
    </w:p>
    <w:p w:rsidR="008F40B3" w:rsidRPr="003F1EC0" w:rsidRDefault="008F40B3" w:rsidP="008F40B3">
      <w:pPr>
        <w:ind w:firstLine="851"/>
        <w:jc w:val="both"/>
        <w:rPr>
          <w:sz w:val="28"/>
          <w:szCs w:val="28"/>
        </w:rPr>
      </w:pPr>
      <w:r w:rsidRPr="003F1EC0">
        <w:rPr>
          <w:sz w:val="28"/>
          <w:szCs w:val="28"/>
        </w:rPr>
        <w:t xml:space="preserve">Latvija </w:t>
      </w:r>
      <w:r w:rsidRPr="003F1EC0">
        <w:rPr>
          <w:b/>
          <w:sz w:val="28"/>
          <w:szCs w:val="28"/>
        </w:rPr>
        <w:t>atzinīgi vērtē</w:t>
      </w:r>
      <w:r w:rsidRPr="003F1EC0">
        <w:rPr>
          <w:sz w:val="28"/>
          <w:szCs w:val="28"/>
        </w:rPr>
        <w:t xml:space="preserve"> visu Padomes secinājumos uzsvērto pasākumu nozīmīgumu. Tajā pat laikā Latvija norāda uz šādiem rīcības virzieniem rūpniecības konkurētspējas paaugstināšanai, kuriem īsākā un vidējā termiņā pievēršama pastiprināta uzmanība:</w:t>
      </w:r>
    </w:p>
    <w:p w:rsidR="008F40B3" w:rsidRPr="003F1EC0" w:rsidRDefault="008F40B3" w:rsidP="008F40B3">
      <w:pPr>
        <w:pStyle w:val="ListParagraph"/>
        <w:numPr>
          <w:ilvl w:val="0"/>
          <w:numId w:val="28"/>
        </w:numPr>
        <w:tabs>
          <w:tab w:val="left" w:pos="284"/>
        </w:tabs>
        <w:ind w:left="0" w:firstLine="0"/>
        <w:jc w:val="both"/>
        <w:rPr>
          <w:sz w:val="28"/>
          <w:szCs w:val="28"/>
        </w:rPr>
      </w:pPr>
      <w:r w:rsidRPr="003F1EC0">
        <w:rPr>
          <w:sz w:val="28"/>
          <w:szCs w:val="28"/>
        </w:rPr>
        <w:t>Visa veida inovācijas un inovatīvu risinājumu attīstīšana, pielietošana un izplatīšana ilgtspējīgai un globāli konkurētspējīgai rūpniecība</w:t>
      </w:r>
      <w:r w:rsidR="00FA1081">
        <w:rPr>
          <w:sz w:val="28"/>
          <w:szCs w:val="28"/>
        </w:rPr>
        <w:t>i</w:t>
      </w:r>
      <w:r w:rsidRPr="003F1EC0">
        <w:rPr>
          <w:sz w:val="28"/>
          <w:szCs w:val="28"/>
        </w:rPr>
        <w:t>;</w:t>
      </w:r>
    </w:p>
    <w:p w:rsidR="008F40B3" w:rsidRPr="003F1EC0" w:rsidRDefault="008F40B3" w:rsidP="008F40B3">
      <w:pPr>
        <w:pStyle w:val="ListParagraph"/>
        <w:numPr>
          <w:ilvl w:val="0"/>
          <w:numId w:val="28"/>
        </w:numPr>
        <w:tabs>
          <w:tab w:val="left" w:pos="284"/>
        </w:tabs>
        <w:ind w:left="0" w:firstLine="0"/>
        <w:jc w:val="both"/>
        <w:rPr>
          <w:sz w:val="28"/>
          <w:szCs w:val="28"/>
        </w:rPr>
      </w:pPr>
      <w:r w:rsidRPr="003F1EC0">
        <w:rPr>
          <w:sz w:val="28"/>
          <w:szCs w:val="28"/>
        </w:rPr>
        <w:t>Enerģētikas infrastruktūras attīstība, izveidojot vienotu Baltijas enerģētikas tirgu un integrējot to Eiropas enerģētikas tirgū;</w:t>
      </w:r>
    </w:p>
    <w:p w:rsidR="008F40B3" w:rsidRPr="003F1EC0" w:rsidRDefault="008F40B3" w:rsidP="008F40B3">
      <w:pPr>
        <w:pStyle w:val="ListParagraph"/>
        <w:numPr>
          <w:ilvl w:val="0"/>
          <w:numId w:val="28"/>
        </w:numPr>
        <w:tabs>
          <w:tab w:val="left" w:pos="284"/>
        </w:tabs>
        <w:ind w:left="0" w:firstLine="0"/>
        <w:jc w:val="both"/>
        <w:rPr>
          <w:sz w:val="28"/>
          <w:szCs w:val="28"/>
        </w:rPr>
      </w:pPr>
      <w:r w:rsidRPr="003F1EC0">
        <w:rPr>
          <w:sz w:val="28"/>
          <w:szCs w:val="28"/>
        </w:rPr>
        <w:t>ES un dalībvalstu regulējuma uzlabošana, administratīvā sloga samazināšana;</w:t>
      </w:r>
    </w:p>
    <w:p w:rsidR="008F40B3" w:rsidRPr="003F1EC0" w:rsidRDefault="008F40B3" w:rsidP="008F40B3">
      <w:pPr>
        <w:pStyle w:val="ListParagraph"/>
        <w:numPr>
          <w:ilvl w:val="0"/>
          <w:numId w:val="28"/>
        </w:numPr>
        <w:tabs>
          <w:tab w:val="left" w:pos="284"/>
        </w:tabs>
        <w:ind w:left="0" w:firstLine="0"/>
        <w:jc w:val="both"/>
        <w:rPr>
          <w:sz w:val="28"/>
          <w:szCs w:val="28"/>
        </w:rPr>
      </w:pPr>
      <w:r w:rsidRPr="003F1EC0">
        <w:rPr>
          <w:sz w:val="28"/>
          <w:szCs w:val="28"/>
        </w:rPr>
        <w:t>Aktuāls nacionālā un ES līmeņa izaicinājums ir labākas finanšu pieejamības MVU nodrošināšana;</w:t>
      </w:r>
    </w:p>
    <w:p w:rsidR="008F40B3" w:rsidRPr="003F1EC0" w:rsidRDefault="008F40B3" w:rsidP="008F40B3">
      <w:pPr>
        <w:pStyle w:val="ListParagraph"/>
        <w:numPr>
          <w:ilvl w:val="0"/>
          <w:numId w:val="28"/>
        </w:numPr>
        <w:tabs>
          <w:tab w:val="left" w:pos="284"/>
        </w:tabs>
        <w:ind w:left="0" w:firstLine="0"/>
        <w:jc w:val="both"/>
        <w:rPr>
          <w:sz w:val="28"/>
          <w:szCs w:val="28"/>
        </w:rPr>
      </w:pPr>
      <w:r w:rsidRPr="003F1EC0">
        <w:rPr>
          <w:sz w:val="28"/>
          <w:szCs w:val="28"/>
        </w:rPr>
        <w:t>To iniciatīvu atbalsts, kas vecina industriālo klasteru attīstību, jo īpaši dažādu reģiona pārrobežu klasteru sadarbības iniciatīvu.</w:t>
      </w:r>
    </w:p>
    <w:p w:rsidR="008F40B3" w:rsidRDefault="00FA1081" w:rsidP="008F40B3">
      <w:pPr>
        <w:pStyle w:val="ListParagraph"/>
        <w:tabs>
          <w:tab w:val="left" w:pos="284"/>
        </w:tabs>
        <w:ind w:left="0" w:firstLine="851"/>
        <w:jc w:val="both"/>
        <w:rPr>
          <w:sz w:val="28"/>
          <w:szCs w:val="28"/>
        </w:rPr>
      </w:pPr>
      <w:r>
        <w:rPr>
          <w:sz w:val="28"/>
          <w:szCs w:val="28"/>
        </w:rPr>
        <w:t>MVU globālo iespēju izmantošanas sekmēšanai</w:t>
      </w:r>
      <w:r w:rsidR="008F40B3" w:rsidRPr="003F1EC0">
        <w:rPr>
          <w:sz w:val="28"/>
          <w:szCs w:val="28"/>
        </w:rPr>
        <w:t xml:space="preserve">, Latvija </w:t>
      </w:r>
      <w:r w:rsidR="008F40B3" w:rsidRPr="003F1EC0">
        <w:rPr>
          <w:b/>
          <w:sz w:val="28"/>
          <w:szCs w:val="28"/>
        </w:rPr>
        <w:t>uzskata</w:t>
      </w:r>
      <w:r w:rsidR="008F40B3" w:rsidRPr="003F1EC0">
        <w:rPr>
          <w:sz w:val="28"/>
          <w:szCs w:val="28"/>
        </w:rPr>
        <w:t>, ka Eiropas, tostarp Latvijas, uzņēmumu, kas galvenokārt ir MVU, tirgus pieejamības interešu trešajās valstīs sekmēšanai ES būtiski ir realizēt pārdomātu un mērķtiecīgu tirdzniecības politiku, ar kuras palīdzību tiktu nodrošināti pieņemami starptautiskās tirdzniecības nosacījumi ES preču un pakalpojumu eksporta tirgos, kā arī piekļuve trešo valstu izejvielām un publisko iepirkumu tirgiem. Līdztekus tam ES līmenī ir jānodrošina efektīvs atbalsts MVU globālās konkurētspējas stiprināšanai caur dažādām iniciatīvām.</w:t>
      </w:r>
      <w:r w:rsidR="00197C91">
        <w:rPr>
          <w:sz w:val="28"/>
          <w:szCs w:val="28"/>
        </w:rPr>
        <w:t xml:space="preserve"> </w:t>
      </w:r>
    </w:p>
    <w:p w:rsidR="008F40B3" w:rsidRDefault="00197C91" w:rsidP="00197C91">
      <w:pPr>
        <w:ind w:firstLine="851"/>
        <w:jc w:val="both"/>
        <w:rPr>
          <w:sz w:val="28"/>
          <w:szCs w:val="28"/>
        </w:rPr>
      </w:pPr>
      <w:r>
        <w:rPr>
          <w:sz w:val="28"/>
          <w:szCs w:val="28"/>
        </w:rPr>
        <w:t xml:space="preserve">Padomes </w:t>
      </w:r>
      <w:r w:rsidRPr="00197C91">
        <w:rPr>
          <w:sz w:val="28"/>
          <w:szCs w:val="28"/>
        </w:rPr>
        <w:t>secinājumi uzsver arī korporatīvās sociālas atbildības lomu vispārējā ES rūpniecības konkurētspējas kontekstā</w:t>
      </w:r>
      <w:r>
        <w:rPr>
          <w:sz w:val="28"/>
          <w:szCs w:val="28"/>
        </w:rPr>
        <w:t xml:space="preserve">. </w:t>
      </w:r>
      <w:r w:rsidRPr="00197C91">
        <w:rPr>
          <w:sz w:val="28"/>
          <w:szCs w:val="28"/>
        </w:rPr>
        <w:t xml:space="preserve">Latvija </w:t>
      </w:r>
      <w:r w:rsidRPr="00B3226F">
        <w:rPr>
          <w:b/>
          <w:sz w:val="28"/>
          <w:szCs w:val="28"/>
        </w:rPr>
        <w:t>uzskata</w:t>
      </w:r>
      <w:r w:rsidRPr="00197C91">
        <w:rPr>
          <w:sz w:val="28"/>
          <w:szCs w:val="28"/>
        </w:rPr>
        <w:t xml:space="preserve">, ka ES un dalībvalstu pārvaldes institūcijas ar sociālo partneru aktīvu atbalstu un iesaisti var aicināt ikvienu uzņēmumu korporatīvo sociālo atbildību iekļaut nākotnes biznesa vīziju pamatos, uzsverot tās pievienoto vērtību uzņēmējdarbības izaugsmes veicināšanā un izvirzot par vienu no konkurētspējas priekšrocībām. Vienlaikus </w:t>
      </w:r>
      <w:r>
        <w:rPr>
          <w:sz w:val="28"/>
          <w:szCs w:val="28"/>
        </w:rPr>
        <w:t xml:space="preserve">Latvija </w:t>
      </w:r>
      <w:r w:rsidRPr="00B3226F">
        <w:rPr>
          <w:b/>
          <w:sz w:val="28"/>
          <w:szCs w:val="28"/>
        </w:rPr>
        <w:t>vērš uzmanību</w:t>
      </w:r>
      <w:r>
        <w:rPr>
          <w:sz w:val="28"/>
          <w:szCs w:val="28"/>
        </w:rPr>
        <w:t xml:space="preserve">, ka </w:t>
      </w:r>
      <w:r w:rsidRPr="00197C91">
        <w:rPr>
          <w:sz w:val="28"/>
          <w:szCs w:val="28"/>
        </w:rPr>
        <w:t>korporatīvās sociālās atbildības īstenošanai ir jābūt brīvprātīgai iniciatīvai.</w:t>
      </w:r>
    </w:p>
    <w:p w:rsidR="00197C91" w:rsidRPr="003F1EC0" w:rsidRDefault="00197C91" w:rsidP="0097510E">
      <w:pPr>
        <w:ind w:firstLine="720"/>
        <w:jc w:val="both"/>
        <w:rPr>
          <w:sz w:val="28"/>
          <w:szCs w:val="28"/>
        </w:rPr>
      </w:pPr>
    </w:p>
    <w:p w:rsidR="00EB2989" w:rsidRPr="003F1EC0" w:rsidRDefault="00EB2989" w:rsidP="001A0EC1">
      <w:pPr>
        <w:pStyle w:val="ListParagraph"/>
        <w:numPr>
          <w:ilvl w:val="1"/>
          <w:numId w:val="13"/>
        </w:numPr>
        <w:pBdr>
          <w:bottom w:val="single" w:sz="4" w:space="1" w:color="auto"/>
        </w:pBdr>
        <w:tabs>
          <w:tab w:val="left" w:pos="709"/>
          <w:tab w:val="left" w:pos="9288"/>
        </w:tabs>
        <w:ind w:left="0" w:firstLine="0"/>
        <w:contextualSpacing w:val="0"/>
        <w:jc w:val="both"/>
        <w:rPr>
          <w:b/>
          <w:sz w:val="28"/>
          <w:szCs w:val="28"/>
        </w:rPr>
      </w:pPr>
      <w:r w:rsidRPr="003F1EC0">
        <w:rPr>
          <w:b/>
          <w:sz w:val="28"/>
          <w:szCs w:val="28"/>
        </w:rPr>
        <w:t>Ietekmes novērtējumi Padomē</w:t>
      </w:r>
    </w:p>
    <w:p w:rsidR="00EB2989" w:rsidRPr="003F1EC0" w:rsidRDefault="00EB2989" w:rsidP="007D3580">
      <w:pPr>
        <w:tabs>
          <w:tab w:val="left" w:pos="9288"/>
        </w:tabs>
        <w:jc w:val="both"/>
        <w:rPr>
          <w:i/>
          <w:sz w:val="28"/>
          <w:szCs w:val="28"/>
        </w:rPr>
      </w:pPr>
      <w:r w:rsidRPr="003F1EC0">
        <w:rPr>
          <w:i/>
          <w:sz w:val="28"/>
          <w:szCs w:val="28"/>
        </w:rPr>
        <w:t>EM kompetence</w:t>
      </w:r>
    </w:p>
    <w:p w:rsidR="00EB2989" w:rsidRPr="003F1EC0" w:rsidRDefault="00EB2989" w:rsidP="007D3580">
      <w:pPr>
        <w:jc w:val="both"/>
        <w:rPr>
          <w:i/>
          <w:sz w:val="28"/>
          <w:szCs w:val="28"/>
        </w:rPr>
      </w:pPr>
      <w:r w:rsidRPr="003F1EC0">
        <w:rPr>
          <w:i/>
          <w:sz w:val="28"/>
          <w:szCs w:val="28"/>
        </w:rPr>
        <w:t>- Padomes secinājumu pieņemšana</w:t>
      </w:r>
    </w:p>
    <w:p w:rsidR="00EB2989" w:rsidRPr="003F1EC0" w:rsidRDefault="00EB2989" w:rsidP="007D3580">
      <w:pPr>
        <w:jc w:val="both"/>
        <w:rPr>
          <w:i/>
          <w:sz w:val="28"/>
          <w:szCs w:val="28"/>
        </w:rPr>
      </w:pPr>
    </w:p>
    <w:p w:rsidR="00990198" w:rsidRPr="003F1EC0" w:rsidRDefault="00990198" w:rsidP="00990198">
      <w:pPr>
        <w:ind w:firstLine="851"/>
        <w:jc w:val="both"/>
        <w:rPr>
          <w:snapToGrid w:val="0"/>
          <w:sz w:val="28"/>
          <w:szCs w:val="28"/>
        </w:rPr>
      </w:pPr>
      <w:r w:rsidRPr="003F1EC0">
        <w:rPr>
          <w:snapToGrid w:val="0"/>
          <w:sz w:val="28"/>
          <w:szCs w:val="28"/>
        </w:rPr>
        <w:t xml:space="preserve">Sanāksmes laikā tiek plānots </w:t>
      </w:r>
      <w:r w:rsidR="008F40B3">
        <w:rPr>
          <w:snapToGrid w:val="0"/>
          <w:sz w:val="28"/>
          <w:szCs w:val="28"/>
        </w:rPr>
        <w:t>apstiprināt</w:t>
      </w:r>
      <w:r w:rsidRPr="003F1EC0">
        <w:rPr>
          <w:snapToGrid w:val="0"/>
          <w:sz w:val="28"/>
          <w:szCs w:val="28"/>
        </w:rPr>
        <w:t xml:space="preserve"> </w:t>
      </w:r>
      <w:r w:rsidR="008F40B3">
        <w:rPr>
          <w:snapToGrid w:val="0"/>
          <w:sz w:val="28"/>
          <w:szCs w:val="28"/>
        </w:rPr>
        <w:t>„</w:t>
      </w:r>
      <w:r w:rsidRPr="003F1EC0">
        <w:rPr>
          <w:snapToGrid w:val="0"/>
          <w:sz w:val="28"/>
          <w:szCs w:val="28"/>
        </w:rPr>
        <w:t>Padomes secinājumu</w:t>
      </w:r>
      <w:r w:rsidR="008F40B3">
        <w:rPr>
          <w:snapToGrid w:val="0"/>
          <w:sz w:val="28"/>
          <w:szCs w:val="28"/>
        </w:rPr>
        <w:t>s</w:t>
      </w:r>
      <w:r w:rsidRPr="003F1EC0">
        <w:rPr>
          <w:snapToGrid w:val="0"/>
          <w:sz w:val="28"/>
          <w:szCs w:val="28"/>
        </w:rPr>
        <w:t xml:space="preserve"> par ietekmes novērtējumu</w:t>
      </w:r>
      <w:r w:rsidR="008F40B3">
        <w:rPr>
          <w:snapToGrid w:val="0"/>
          <w:sz w:val="28"/>
          <w:szCs w:val="28"/>
        </w:rPr>
        <w:t xml:space="preserve"> veikšanu</w:t>
      </w:r>
      <w:r w:rsidRPr="003F1EC0">
        <w:rPr>
          <w:snapToGrid w:val="0"/>
          <w:sz w:val="28"/>
          <w:szCs w:val="28"/>
        </w:rPr>
        <w:t xml:space="preserve"> Padomē</w:t>
      </w:r>
      <w:r w:rsidR="008F40B3">
        <w:rPr>
          <w:snapToGrid w:val="0"/>
          <w:sz w:val="28"/>
          <w:szCs w:val="28"/>
        </w:rPr>
        <w:t>”</w:t>
      </w:r>
      <w:r w:rsidRPr="003F1EC0">
        <w:rPr>
          <w:snapToGrid w:val="0"/>
          <w:sz w:val="28"/>
          <w:szCs w:val="28"/>
        </w:rPr>
        <w:t xml:space="preserve">. Padomes secinājumos uzsvērta Lietpratīga regulējuma loma ekonomikas atveseļošanās un izaugsmes veicināšanas procesā, kā arī tajā noteikto principu sistemātisks pielietojums visā Eiropas Savienības politikas veidošanās procesā. </w:t>
      </w:r>
    </w:p>
    <w:p w:rsidR="00990198" w:rsidRPr="003F1EC0" w:rsidRDefault="00990198" w:rsidP="00990198">
      <w:pPr>
        <w:pStyle w:val="5Normal"/>
        <w:spacing w:after="0"/>
        <w:ind w:firstLine="851"/>
        <w:rPr>
          <w:rFonts w:ascii="Times New Roman" w:hAnsi="Times New Roman"/>
          <w:snapToGrid/>
          <w:spacing w:val="0"/>
          <w:sz w:val="28"/>
          <w:szCs w:val="28"/>
          <w:lang w:val="lv-LV"/>
        </w:rPr>
      </w:pPr>
      <w:r w:rsidRPr="003F1EC0">
        <w:rPr>
          <w:rFonts w:ascii="Times New Roman" w:hAnsi="Times New Roman"/>
          <w:spacing w:val="0"/>
          <w:sz w:val="28"/>
          <w:szCs w:val="28"/>
          <w:lang w:val="lv-LV"/>
        </w:rPr>
        <w:lastRenderedPageBreak/>
        <w:t xml:space="preserve">Likumdošanas procesā, pieņemot izvērtētus lēmumus, ir svarīgi ņemt vērā atbilstošu informāciju par Padomes grozījumu potenciālo īstermiņa un ilgtermiņa sociālo, vides un ekonomikas ietekmi, ieskaitot ietekmi uz konkurētspēju, MVU un valsts budžetu. Ietekmes novērtējumi tiek gatavoti  kā palīdzība uz vispusīgas  informācijas analīzes balstītu un izvērtētu Padomes lēmumu pieņemšanā. </w:t>
      </w:r>
    </w:p>
    <w:p w:rsidR="00990198" w:rsidRPr="003F1EC0" w:rsidRDefault="00990198" w:rsidP="00990198">
      <w:pPr>
        <w:pStyle w:val="5Normal"/>
        <w:spacing w:after="0"/>
        <w:rPr>
          <w:rFonts w:ascii="Times New Roman" w:hAnsi="Times New Roman"/>
          <w:color w:val="0D0D0D"/>
          <w:spacing w:val="0"/>
          <w:sz w:val="28"/>
          <w:szCs w:val="28"/>
          <w:lang w:val="lv-LV"/>
        </w:rPr>
      </w:pPr>
      <w:r w:rsidRPr="003F1EC0">
        <w:rPr>
          <w:rFonts w:ascii="Calibri" w:hAnsi="Calibri"/>
          <w:color w:val="0D0D0D"/>
          <w:spacing w:val="0"/>
          <w:sz w:val="28"/>
          <w:szCs w:val="28"/>
          <w:lang w:val="lv-LV"/>
        </w:rPr>
        <w:t xml:space="preserve">            </w:t>
      </w:r>
      <w:r w:rsidRPr="003F1EC0">
        <w:rPr>
          <w:rFonts w:ascii="Times New Roman" w:hAnsi="Times New Roman"/>
          <w:color w:val="0D0D0D"/>
          <w:spacing w:val="0"/>
          <w:sz w:val="28"/>
          <w:szCs w:val="28"/>
          <w:lang w:val="lv-LV"/>
        </w:rPr>
        <w:t xml:space="preserve">Secinājumos </w:t>
      </w:r>
      <w:r w:rsidRPr="003F1EC0">
        <w:rPr>
          <w:rFonts w:ascii="Times New Roman" w:hAnsi="Times New Roman"/>
          <w:color w:val="0D0D0D"/>
          <w:sz w:val="28"/>
          <w:szCs w:val="28"/>
          <w:lang w:val="lv-LV"/>
        </w:rPr>
        <w:t xml:space="preserve">dalībvalstis tiek mudinātas, balstoties uz nepieciešamību un pieejamību, prezentēt un apspriest informāciju par Padomes </w:t>
      </w:r>
      <w:r w:rsidR="008F40B3">
        <w:rPr>
          <w:rFonts w:ascii="Times New Roman" w:hAnsi="Times New Roman"/>
          <w:color w:val="0D0D0D"/>
          <w:sz w:val="28"/>
          <w:szCs w:val="28"/>
          <w:lang w:val="lv-LV"/>
        </w:rPr>
        <w:t xml:space="preserve">rosināto </w:t>
      </w:r>
      <w:r w:rsidRPr="003F1EC0">
        <w:rPr>
          <w:rFonts w:ascii="Times New Roman" w:hAnsi="Times New Roman"/>
          <w:color w:val="0D0D0D"/>
          <w:sz w:val="28"/>
          <w:szCs w:val="28"/>
          <w:lang w:val="lv-LV"/>
        </w:rPr>
        <w:t>grozījumu tiesību aktu priekšlikumos ietekmi uz ekonomikas, vides, sociālo un citām jomām dalībvalstīs.</w:t>
      </w:r>
    </w:p>
    <w:p w:rsidR="00990198" w:rsidRPr="003F1EC0" w:rsidRDefault="00990198" w:rsidP="00990198">
      <w:pPr>
        <w:pStyle w:val="5Normal"/>
        <w:spacing w:after="0"/>
        <w:ind w:firstLine="851"/>
        <w:rPr>
          <w:rFonts w:ascii="Times New Roman" w:hAnsi="Times New Roman"/>
          <w:spacing w:val="0"/>
          <w:sz w:val="28"/>
          <w:szCs w:val="28"/>
          <w:lang w:val="lv-LV"/>
        </w:rPr>
      </w:pPr>
      <w:r w:rsidRPr="003F1EC0">
        <w:rPr>
          <w:rFonts w:ascii="Times New Roman" w:hAnsi="Times New Roman"/>
          <w:spacing w:val="0"/>
          <w:sz w:val="28"/>
          <w:szCs w:val="28"/>
          <w:lang w:val="lv-LV"/>
        </w:rPr>
        <w:t xml:space="preserve">Latvija kopumā </w:t>
      </w:r>
      <w:r w:rsidRPr="003F1EC0">
        <w:rPr>
          <w:rFonts w:ascii="Times New Roman" w:hAnsi="Times New Roman"/>
          <w:b/>
          <w:bCs/>
          <w:spacing w:val="0"/>
          <w:sz w:val="28"/>
          <w:szCs w:val="28"/>
          <w:lang w:val="lv-LV"/>
        </w:rPr>
        <w:t>atzinīgi vērtē</w:t>
      </w:r>
      <w:r w:rsidRPr="003F1EC0">
        <w:rPr>
          <w:rFonts w:ascii="Times New Roman" w:hAnsi="Times New Roman"/>
          <w:spacing w:val="0"/>
          <w:sz w:val="28"/>
          <w:szCs w:val="28"/>
          <w:lang w:val="lv-LV"/>
        </w:rPr>
        <w:t xml:space="preserve"> Padomes secinājumu projektu par ietekmes novērtējumiem Padomē un uzskata, ka šie secinājumi ir solis uz priekšu, lai izpildītu Starpinstitūciju vienošanos par labāku likumdošanas procesu ar mērķi uzlabot ES likumdošanas procesa kvalitāti. Latvija </w:t>
      </w:r>
      <w:r w:rsidRPr="003F1EC0">
        <w:rPr>
          <w:rFonts w:ascii="Times New Roman" w:hAnsi="Times New Roman"/>
          <w:b/>
          <w:bCs/>
          <w:spacing w:val="0"/>
          <w:sz w:val="28"/>
          <w:szCs w:val="28"/>
          <w:lang w:val="lv-LV"/>
        </w:rPr>
        <w:t>augstu vērtē</w:t>
      </w:r>
      <w:r w:rsidRPr="003F1EC0">
        <w:rPr>
          <w:rFonts w:ascii="Times New Roman" w:hAnsi="Times New Roman"/>
          <w:spacing w:val="0"/>
          <w:sz w:val="28"/>
          <w:szCs w:val="28"/>
          <w:lang w:val="lv-LV"/>
        </w:rPr>
        <w:t xml:space="preserve"> Komisijas izveidoto ietekmes novērtējumu sistēmu un tās nozīmīgo lomu Eiropas Savienības likumdošanas procesa kvalitātes uzlabošanā. Latvija viennozīmīgi </w:t>
      </w:r>
      <w:r w:rsidRPr="003F1EC0">
        <w:rPr>
          <w:rFonts w:ascii="Times New Roman" w:hAnsi="Times New Roman"/>
          <w:b/>
          <w:bCs/>
          <w:spacing w:val="0"/>
          <w:sz w:val="28"/>
          <w:szCs w:val="28"/>
          <w:lang w:val="lv-LV"/>
        </w:rPr>
        <w:t>uzskata</w:t>
      </w:r>
      <w:r w:rsidRPr="003F1EC0">
        <w:rPr>
          <w:rFonts w:ascii="Times New Roman" w:hAnsi="Times New Roman"/>
          <w:spacing w:val="0"/>
          <w:sz w:val="28"/>
          <w:szCs w:val="28"/>
          <w:lang w:val="lv-LV"/>
        </w:rPr>
        <w:t>, ka ir nepieciešams pilnveidot ietekmes novērtējuma procesu un vēlas uzsvērt, ka, ņemot vērā pašreizējo ekonomikas situāciju Latvijā un visā Eiropas Savienībā, Padomei īpašs uzsvars būtu liekams un atbilstoši būtu jāizvērtē savu jauno likumdošanas iniciatīvu ietekme uz konkurētspēju, MVU un dalībvalstu budžetiem.</w:t>
      </w:r>
    </w:p>
    <w:p w:rsidR="0039752E" w:rsidRPr="003F1EC0" w:rsidRDefault="0039752E" w:rsidP="0039752E">
      <w:pPr>
        <w:jc w:val="both"/>
        <w:rPr>
          <w:i/>
          <w:sz w:val="28"/>
          <w:szCs w:val="28"/>
        </w:rPr>
      </w:pPr>
    </w:p>
    <w:p w:rsidR="00EB2989" w:rsidRPr="00C61A6A" w:rsidRDefault="00EB2989" w:rsidP="001A0EC1">
      <w:pPr>
        <w:pStyle w:val="ListParagraph"/>
        <w:numPr>
          <w:ilvl w:val="1"/>
          <w:numId w:val="13"/>
        </w:numPr>
        <w:pBdr>
          <w:bottom w:val="single" w:sz="4" w:space="1" w:color="auto"/>
        </w:pBdr>
        <w:tabs>
          <w:tab w:val="left" w:pos="709"/>
          <w:tab w:val="left" w:pos="9288"/>
        </w:tabs>
        <w:ind w:left="0" w:firstLine="0"/>
        <w:contextualSpacing w:val="0"/>
        <w:jc w:val="both"/>
        <w:rPr>
          <w:b/>
          <w:sz w:val="28"/>
          <w:szCs w:val="28"/>
        </w:rPr>
      </w:pPr>
      <w:r w:rsidRPr="00C61A6A">
        <w:rPr>
          <w:b/>
          <w:sz w:val="28"/>
          <w:szCs w:val="28"/>
        </w:rPr>
        <w:t>Vienotā tirgus foruma rezultāti</w:t>
      </w:r>
    </w:p>
    <w:p w:rsidR="00EB2989" w:rsidRPr="00C61A6A" w:rsidRDefault="00EB2989" w:rsidP="007D3580">
      <w:pPr>
        <w:tabs>
          <w:tab w:val="left" w:pos="9288"/>
        </w:tabs>
        <w:jc w:val="both"/>
        <w:rPr>
          <w:i/>
          <w:sz w:val="28"/>
          <w:szCs w:val="28"/>
        </w:rPr>
      </w:pPr>
      <w:r w:rsidRPr="00C61A6A">
        <w:rPr>
          <w:i/>
          <w:sz w:val="28"/>
          <w:szCs w:val="28"/>
        </w:rPr>
        <w:t>EM kompetence</w:t>
      </w:r>
    </w:p>
    <w:p w:rsidR="00EB2989" w:rsidRPr="00C61A6A" w:rsidRDefault="00EB2989" w:rsidP="007D3580">
      <w:pPr>
        <w:rPr>
          <w:i/>
          <w:sz w:val="28"/>
          <w:szCs w:val="28"/>
        </w:rPr>
      </w:pPr>
      <w:r w:rsidRPr="00C61A6A">
        <w:rPr>
          <w:i/>
          <w:sz w:val="28"/>
          <w:szCs w:val="28"/>
        </w:rPr>
        <w:t>- Viedokļu apmaiņa</w:t>
      </w:r>
    </w:p>
    <w:p w:rsidR="00EB2989" w:rsidRDefault="00EB2989" w:rsidP="007D3580">
      <w:pPr>
        <w:rPr>
          <w:i/>
          <w:sz w:val="28"/>
          <w:szCs w:val="28"/>
        </w:rPr>
      </w:pPr>
      <w:r w:rsidRPr="00C61A6A">
        <w:rPr>
          <w:i/>
          <w:sz w:val="28"/>
          <w:szCs w:val="28"/>
        </w:rPr>
        <w:t>- Padomes secinājumu pieņemšana</w:t>
      </w:r>
    </w:p>
    <w:p w:rsidR="00361512" w:rsidRDefault="00361512" w:rsidP="007D3580">
      <w:pPr>
        <w:rPr>
          <w:i/>
          <w:sz w:val="28"/>
          <w:szCs w:val="28"/>
        </w:rPr>
      </w:pPr>
    </w:p>
    <w:p w:rsidR="00C61A6A" w:rsidRDefault="00C61A6A" w:rsidP="00C61A6A">
      <w:pPr>
        <w:ind w:firstLine="851"/>
        <w:jc w:val="both"/>
        <w:rPr>
          <w:snapToGrid w:val="0"/>
          <w:sz w:val="28"/>
          <w:szCs w:val="28"/>
          <w:lang w:eastAsia="en-GB"/>
        </w:rPr>
      </w:pPr>
      <w:r>
        <w:rPr>
          <w:snapToGrid w:val="0"/>
          <w:sz w:val="28"/>
          <w:szCs w:val="28"/>
          <w:lang w:eastAsia="en-GB"/>
        </w:rPr>
        <w:t>Sanāksmes laikā ir plānots apstiprināt „</w:t>
      </w:r>
      <w:r w:rsidRPr="00C61A6A">
        <w:rPr>
          <w:snapToGrid w:val="0"/>
          <w:sz w:val="28"/>
          <w:szCs w:val="28"/>
          <w:lang w:eastAsia="en-GB"/>
        </w:rPr>
        <w:t>Padomes secinājumu</w:t>
      </w:r>
      <w:r>
        <w:rPr>
          <w:snapToGrid w:val="0"/>
          <w:sz w:val="28"/>
          <w:szCs w:val="28"/>
          <w:lang w:eastAsia="en-GB"/>
        </w:rPr>
        <w:t xml:space="preserve">s par </w:t>
      </w:r>
      <w:r w:rsidR="007319F1" w:rsidRPr="00C61A6A">
        <w:rPr>
          <w:snapToGrid w:val="0"/>
          <w:sz w:val="28"/>
          <w:szCs w:val="28"/>
          <w:lang w:eastAsia="en-GB"/>
        </w:rPr>
        <w:t>Vienotā tirgus foruma</w:t>
      </w:r>
      <w:r w:rsidR="007319F1">
        <w:rPr>
          <w:snapToGrid w:val="0"/>
          <w:sz w:val="28"/>
          <w:szCs w:val="28"/>
          <w:lang w:eastAsia="en-GB"/>
        </w:rPr>
        <w:t xml:space="preserve"> rezultātiem</w:t>
      </w:r>
      <w:r>
        <w:rPr>
          <w:snapToGrid w:val="0"/>
          <w:sz w:val="28"/>
          <w:szCs w:val="28"/>
          <w:lang w:eastAsia="en-GB"/>
        </w:rPr>
        <w:t>”</w:t>
      </w:r>
      <w:r w:rsidR="007319F1">
        <w:rPr>
          <w:snapToGrid w:val="0"/>
          <w:sz w:val="28"/>
          <w:szCs w:val="28"/>
          <w:lang w:eastAsia="en-GB"/>
        </w:rPr>
        <w:t xml:space="preserve">, kurus ir sagatavojusi </w:t>
      </w:r>
      <w:r w:rsidRPr="00C61A6A">
        <w:rPr>
          <w:snapToGrid w:val="0"/>
          <w:sz w:val="28"/>
          <w:szCs w:val="28"/>
          <w:lang w:eastAsia="en-GB"/>
        </w:rPr>
        <w:t xml:space="preserve">Polijas </w:t>
      </w:r>
      <w:r w:rsidR="007319F1">
        <w:rPr>
          <w:snapToGrid w:val="0"/>
          <w:sz w:val="28"/>
          <w:szCs w:val="28"/>
          <w:lang w:eastAsia="en-GB"/>
        </w:rPr>
        <w:t>P</w:t>
      </w:r>
      <w:r w:rsidRPr="00C61A6A">
        <w:rPr>
          <w:snapToGrid w:val="0"/>
          <w:sz w:val="28"/>
          <w:szCs w:val="28"/>
          <w:lang w:eastAsia="en-GB"/>
        </w:rPr>
        <w:t>rezidentūra, lai uzsvērtu Vienotā tirgus foruma nozīmīgumu. Secinājum</w:t>
      </w:r>
      <w:r w:rsidR="007319F1">
        <w:rPr>
          <w:snapToGrid w:val="0"/>
          <w:sz w:val="28"/>
          <w:szCs w:val="28"/>
          <w:lang w:eastAsia="en-GB"/>
        </w:rPr>
        <w:t>os</w:t>
      </w:r>
      <w:r w:rsidRPr="00C61A6A">
        <w:rPr>
          <w:snapToGrid w:val="0"/>
          <w:sz w:val="28"/>
          <w:szCs w:val="28"/>
          <w:lang w:eastAsia="en-GB"/>
        </w:rPr>
        <w:t xml:space="preserve"> </w:t>
      </w:r>
      <w:r w:rsidR="007319F1">
        <w:rPr>
          <w:snapToGrid w:val="0"/>
          <w:sz w:val="28"/>
          <w:szCs w:val="28"/>
          <w:lang w:eastAsia="en-GB"/>
        </w:rPr>
        <w:t xml:space="preserve">tiek </w:t>
      </w:r>
      <w:r w:rsidRPr="00C61A6A">
        <w:rPr>
          <w:snapToGrid w:val="0"/>
          <w:sz w:val="28"/>
          <w:szCs w:val="28"/>
          <w:lang w:eastAsia="en-GB"/>
        </w:rPr>
        <w:t xml:space="preserve">uzrunātas tādas lietas kā Eiropas profesionālā karte, </w:t>
      </w:r>
      <w:r w:rsidR="007319F1">
        <w:rPr>
          <w:snapToGrid w:val="0"/>
          <w:sz w:val="28"/>
          <w:szCs w:val="28"/>
          <w:lang w:eastAsia="en-GB"/>
        </w:rPr>
        <w:t>a</w:t>
      </w:r>
      <w:r w:rsidR="007319F1" w:rsidRPr="00C61A6A">
        <w:rPr>
          <w:snapToGrid w:val="0"/>
          <w:sz w:val="28"/>
          <w:szCs w:val="28"/>
          <w:lang w:eastAsia="en-GB"/>
        </w:rPr>
        <w:t>lternatīva strīdu risināšana un strīdu risināšana tiešsaistē</w:t>
      </w:r>
      <w:r w:rsidR="007319F1">
        <w:rPr>
          <w:snapToGrid w:val="0"/>
          <w:sz w:val="28"/>
          <w:szCs w:val="28"/>
          <w:lang w:eastAsia="en-GB"/>
        </w:rPr>
        <w:t xml:space="preserve">, </w:t>
      </w:r>
      <w:r w:rsidRPr="00C61A6A">
        <w:rPr>
          <w:snapToGrid w:val="0"/>
          <w:sz w:val="28"/>
          <w:szCs w:val="28"/>
          <w:lang w:eastAsia="en-GB"/>
        </w:rPr>
        <w:t>„Vienotie kontaktpunkti”, e-komercija, ES valsts iepirkuma likumdošana, labāka sabiedrības iesaistīšana ES likumdošanas izstrādes procesos, Vienotā tirgus likumdošanas labākas ieviešanas jautājumi, kā arī sniegt politiska apņemšanās no Padomes puses, aicinājumi Komisijai strādāt pie Vienotā tirgus akta ieviešanas, kā arī turpmākiem soļiem Vienotā tirgus stiprināšanā.</w:t>
      </w:r>
    </w:p>
    <w:p w:rsidR="007319F1" w:rsidRPr="00C61A6A" w:rsidRDefault="000B77DA" w:rsidP="00C61A6A">
      <w:pPr>
        <w:ind w:firstLine="851"/>
        <w:jc w:val="both"/>
        <w:rPr>
          <w:snapToGrid w:val="0"/>
          <w:sz w:val="28"/>
          <w:szCs w:val="28"/>
          <w:lang w:eastAsia="en-GB"/>
        </w:rPr>
      </w:pPr>
      <w:r>
        <w:rPr>
          <w:snapToGrid w:val="0"/>
          <w:sz w:val="28"/>
          <w:szCs w:val="28"/>
          <w:lang w:eastAsia="en-GB"/>
        </w:rPr>
        <w:t>Latvija</w:t>
      </w:r>
      <w:r w:rsidR="007319F1" w:rsidRPr="007319F1">
        <w:rPr>
          <w:snapToGrid w:val="0"/>
          <w:sz w:val="28"/>
          <w:szCs w:val="28"/>
          <w:lang w:eastAsia="en-GB"/>
        </w:rPr>
        <w:t xml:space="preserve"> konsekventi </w:t>
      </w:r>
      <w:r w:rsidR="007319F1" w:rsidRPr="007319F1">
        <w:rPr>
          <w:b/>
          <w:snapToGrid w:val="0"/>
          <w:sz w:val="28"/>
          <w:szCs w:val="28"/>
          <w:lang w:eastAsia="en-GB"/>
        </w:rPr>
        <w:t>kopumā atbalsta</w:t>
      </w:r>
      <w:r w:rsidR="007319F1" w:rsidRPr="007319F1">
        <w:rPr>
          <w:snapToGrid w:val="0"/>
          <w:sz w:val="28"/>
          <w:szCs w:val="28"/>
          <w:lang w:eastAsia="en-GB"/>
        </w:rPr>
        <w:t xml:space="preserve"> ES Vienotā tirgus stiprināšanu un ar to saistītos pasākumus. Efektīvi funkcionējošs Vienotais tirgus ir Eiropas un līdz ar to arī Latvijas ekonomikas konkurētspējas stūrakmens. Vienkāršāka, brīvāka pārrobežu tirdzniecība un pakalpojumu sniegšana ir svarīga Latvijas ekonomikas konkurētspējas stiprināšanai ES kontekstā.</w:t>
      </w:r>
    </w:p>
    <w:p w:rsidR="00EB2989" w:rsidRPr="003F1EC0" w:rsidRDefault="00EB2989" w:rsidP="008D4DD1">
      <w:pPr>
        <w:shd w:val="clear" w:color="auto" w:fill="FFFFFF" w:themeFill="background1"/>
        <w:ind w:left="567"/>
      </w:pPr>
    </w:p>
    <w:p w:rsidR="00EB2989" w:rsidRPr="003F1EC0" w:rsidRDefault="00EB2989" w:rsidP="001A0EC1">
      <w:pPr>
        <w:pStyle w:val="ListParagraph"/>
        <w:numPr>
          <w:ilvl w:val="1"/>
          <w:numId w:val="13"/>
        </w:numPr>
        <w:pBdr>
          <w:bottom w:val="single" w:sz="4" w:space="1" w:color="auto"/>
        </w:pBdr>
        <w:shd w:val="clear" w:color="auto" w:fill="FFFFFF" w:themeFill="background1"/>
        <w:tabs>
          <w:tab w:val="left" w:pos="709"/>
          <w:tab w:val="left" w:pos="9288"/>
        </w:tabs>
        <w:ind w:left="0" w:firstLine="0"/>
        <w:contextualSpacing w:val="0"/>
        <w:jc w:val="both"/>
        <w:rPr>
          <w:b/>
          <w:sz w:val="28"/>
          <w:szCs w:val="28"/>
        </w:rPr>
      </w:pPr>
      <w:r w:rsidRPr="003F1EC0">
        <w:rPr>
          <w:b/>
          <w:sz w:val="28"/>
          <w:szCs w:val="28"/>
        </w:rPr>
        <w:lastRenderedPageBreak/>
        <w:t>Sadarbība ar austrumu kaimiņvalstīm muitas jomā</w:t>
      </w:r>
    </w:p>
    <w:p w:rsidR="00EB2989" w:rsidRPr="003F1EC0" w:rsidRDefault="00EB2989" w:rsidP="008D4DD1">
      <w:pPr>
        <w:shd w:val="clear" w:color="auto" w:fill="FFFFFF" w:themeFill="background1"/>
        <w:tabs>
          <w:tab w:val="left" w:pos="9288"/>
        </w:tabs>
        <w:jc w:val="both"/>
        <w:rPr>
          <w:i/>
          <w:sz w:val="28"/>
          <w:szCs w:val="28"/>
        </w:rPr>
      </w:pPr>
      <w:r w:rsidRPr="003F1EC0">
        <w:rPr>
          <w:i/>
          <w:sz w:val="28"/>
          <w:szCs w:val="28"/>
        </w:rPr>
        <w:t>FM kompetence</w:t>
      </w:r>
    </w:p>
    <w:p w:rsidR="00EB2989" w:rsidRPr="003F1EC0" w:rsidRDefault="00EB2989" w:rsidP="008D4DD1">
      <w:pPr>
        <w:shd w:val="clear" w:color="auto" w:fill="FFFFFF" w:themeFill="background1"/>
        <w:jc w:val="both"/>
        <w:rPr>
          <w:i/>
          <w:sz w:val="28"/>
          <w:szCs w:val="28"/>
        </w:rPr>
      </w:pPr>
      <w:r w:rsidRPr="003F1EC0">
        <w:rPr>
          <w:i/>
          <w:sz w:val="28"/>
          <w:szCs w:val="28"/>
        </w:rPr>
        <w:t>- Padomes secinājumu pieņemšana</w:t>
      </w:r>
    </w:p>
    <w:p w:rsidR="00D46622" w:rsidRPr="003F1EC0" w:rsidRDefault="00D46622" w:rsidP="007D3580">
      <w:pPr>
        <w:jc w:val="both"/>
        <w:rPr>
          <w:sz w:val="28"/>
          <w:szCs w:val="28"/>
        </w:rPr>
      </w:pPr>
    </w:p>
    <w:p w:rsidR="00593BA0" w:rsidRPr="003F1EC0" w:rsidRDefault="00051200" w:rsidP="00593BA0">
      <w:pPr>
        <w:ind w:firstLine="720"/>
        <w:jc w:val="both"/>
        <w:rPr>
          <w:sz w:val="28"/>
          <w:szCs w:val="28"/>
        </w:rPr>
      </w:pPr>
      <w:r w:rsidRPr="003F1EC0">
        <w:rPr>
          <w:sz w:val="28"/>
          <w:szCs w:val="28"/>
        </w:rPr>
        <w:t xml:space="preserve">Sanāksmes laikā ir plānots, ka </w:t>
      </w:r>
      <w:r w:rsidR="00593BA0" w:rsidRPr="003F1EC0">
        <w:rPr>
          <w:sz w:val="28"/>
          <w:szCs w:val="28"/>
        </w:rPr>
        <w:t xml:space="preserve">tiks pieņemti </w:t>
      </w:r>
      <w:r w:rsidRPr="003F1EC0">
        <w:rPr>
          <w:sz w:val="28"/>
          <w:szCs w:val="28"/>
        </w:rPr>
        <w:t>Padomes secinājumi par sadarbību ar Austrumu kaimiņvalstīm muitas jomā</w:t>
      </w:r>
      <w:r w:rsidR="00593BA0" w:rsidRPr="003F1EC0">
        <w:rPr>
          <w:sz w:val="28"/>
          <w:szCs w:val="28"/>
        </w:rPr>
        <w:t xml:space="preserve">. </w:t>
      </w:r>
    </w:p>
    <w:p w:rsidR="00593BA0" w:rsidRPr="003F1EC0" w:rsidRDefault="00593BA0" w:rsidP="00593BA0">
      <w:pPr>
        <w:ind w:firstLine="720"/>
        <w:jc w:val="both"/>
        <w:rPr>
          <w:sz w:val="28"/>
          <w:szCs w:val="28"/>
        </w:rPr>
      </w:pPr>
      <w:r w:rsidRPr="003F1EC0">
        <w:rPr>
          <w:sz w:val="28"/>
          <w:szCs w:val="28"/>
        </w:rPr>
        <w:t>ES kaimiņattiecību politikas galvenais mērķis ir nepieļaut ES kaimiņvalstu diskriminēšanu un nodrošināt vienlīdzīgas iespējas katrai no tām, ievērojot vienotus noteikumus un principus. ES Austrumu kaimiņvalstis – Armēnija, Azerbaidžāna, Gruzija, Moldova, Ukraina, Baltkrievija, Krievija un Kazahstāna ir izteikušas gatavību veikt politiskās, sociālās un ekonomiskās reformas. Muitai kā vienai no robežkontrolē iesaistītajām institūcijām ir būtiska loma starptautiskās sadarbības un godīgas starptautiskās tirdzniecības veicināšanā.</w:t>
      </w:r>
    </w:p>
    <w:p w:rsidR="00051200" w:rsidRPr="003F1EC0" w:rsidRDefault="00051200" w:rsidP="00593BA0">
      <w:pPr>
        <w:ind w:firstLine="720"/>
        <w:jc w:val="both"/>
        <w:rPr>
          <w:sz w:val="28"/>
          <w:szCs w:val="28"/>
        </w:rPr>
      </w:pPr>
      <w:r w:rsidRPr="003F1EC0">
        <w:rPr>
          <w:sz w:val="28"/>
          <w:szCs w:val="28"/>
        </w:rPr>
        <w:t>Padomes secinājumi par sadarbību ar Austrumu kaimiņvalstīm muitas jomā balstās uz šādiem principiem:</w:t>
      </w:r>
      <w:r w:rsidR="00593BA0" w:rsidRPr="003F1EC0">
        <w:rPr>
          <w:sz w:val="28"/>
          <w:szCs w:val="28"/>
        </w:rPr>
        <w:t xml:space="preserve"> (1) </w:t>
      </w:r>
      <w:r w:rsidRPr="003F1EC0">
        <w:rPr>
          <w:sz w:val="28"/>
          <w:szCs w:val="28"/>
        </w:rPr>
        <w:t>Drošas un raitas tirdzniecības veicināšana</w:t>
      </w:r>
      <w:r w:rsidR="00593BA0" w:rsidRPr="003F1EC0">
        <w:rPr>
          <w:sz w:val="28"/>
          <w:szCs w:val="28"/>
        </w:rPr>
        <w:t xml:space="preserve">; (2) </w:t>
      </w:r>
      <w:r w:rsidRPr="003F1EC0">
        <w:rPr>
          <w:sz w:val="28"/>
          <w:szCs w:val="28"/>
        </w:rPr>
        <w:t>Riska pārvaldība un kontrabandas apkarošana</w:t>
      </w:r>
      <w:r w:rsidR="00593BA0" w:rsidRPr="003F1EC0">
        <w:rPr>
          <w:sz w:val="28"/>
          <w:szCs w:val="28"/>
        </w:rPr>
        <w:t xml:space="preserve">; (3) </w:t>
      </w:r>
      <w:r w:rsidRPr="003F1EC0">
        <w:rPr>
          <w:sz w:val="28"/>
          <w:szCs w:val="28"/>
        </w:rPr>
        <w:t>Muitas modernizācija</w:t>
      </w:r>
      <w:r w:rsidR="00593BA0" w:rsidRPr="003F1EC0">
        <w:rPr>
          <w:sz w:val="28"/>
          <w:szCs w:val="28"/>
        </w:rPr>
        <w:t xml:space="preserve">; (4) </w:t>
      </w:r>
      <w:r w:rsidRPr="003F1EC0">
        <w:rPr>
          <w:sz w:val="28"/>
          <w:szCs w:val="28"/>
        </w:rPr>
        <w:t>Pieejamo finanšu atbalsta mehānismu izpēte</w:t>
      </w:r>
      <w:r w:rsidR="00593BA0" w:rsidRPr="003F1EC0">
        <w:rPr>
          <w:sz w:val="28"/>
          <w:szCs w:val="28"/>
        </w:rPr>
        <w:t xml:space="preserve">; (5) </w:t>
      </w:r>
      <w:r w:rsidRPr="003F1EC0">
        <w:rPr>
          <w:sz w:val="28"/>
          <w:szCs w:val="28"/>
        </w:rPr>
        <w:t>Stratēģisko muitas sadarbības ietvaru ar Armēniju, Azerbaidžānu un Gruziju izstrādāšana un apstiprināšana</w:t>
      </w:r>
      <w:r w:rsidR="00593BA0" w:rsidRPr="003F1EC0">
        <w:rPr>
          <w:sz w:val="28"/>
          <w:szCs w:val="28"/>
        </w:rPr>
        <w:t xml:space="preserve">; (6) </w:t>
      </w:r>
      <w:r w:rsidRPr="003F1EC0">
        <w:rPr>
          <w:sz w:val="28"/>
          <w:szCs w:val="28"/>
        </w:rPr>
        <w:t>ES un Austrumu kaimiņvalstu muitas dialogu noteiktos un regulāros forumos turpināšana.</w:t>
      </w:r>
      <w:r w:rsidR="00593BA0" w:rsidRPr="003F1EC0">
        <w:rPr>
          <w:sz w:val="28"/>
          <w:szCs w:val="28"/>
        </w:rPr>
        <w:t xml:space="preserve"> Secinājumi arī</w:t>
      </w:r>
      <w:r w:rsidRPr="003F1EC0">
        <w:rPr>
          <w:sz w:val="28"/>
          <w:szCs w:val="28"/>
        </w:rPr>
        <w:t xml:space="preserve"> nosaka, ka 2013.gada beigās Eiropas Komisija sniedz ziņojumu Padomei par panākto progresu.</w:t>
      </w:r>
    </w:p>
    <w:p w:rsidR="00051200" w:rsidRPr="003F1EC0" w:rsidRDefault="00051200" w:rsidP="000745EB">
      <w:pPr>
        <w:spacing w:afterLines="80"/>
        <w:ind w:firstLine="720"/>
        <w:jc w:val="both"/>
        <w:rPr>
          <w:sz w:val="28"/>
          <w:szCs w:val="28"/>
        </w:rPr>
      </w:pPr>
      <w:r w:rsidRPr="003F1EC0">
        <w:rPr>
          <w:b/>
          <w:sz w:val="28"/>
          <w:szCs w:val="28"/>
        </w:rPr>
        <w:t>Latvija kopumā atbalsta</w:t>
      </w:r>
      <w:r w:rsidRPr="003F1EC0">
        <w:rPr>
          <w:sz w:val="28"/>
          <w:szCs w:val="28"/>
        </w:rPr>
        <w:t xml:space="preserve"> Padomes secinājumu projektu par sadarbību ar Austrumu kaimiņvalstīm muitas jomā, jo Austrumu kaimiņvalstu integrācija ES ir  Latvijas stabilitātes un izaugsmes interesēs.</w:t>
      </w:r>
    </w:p>
    <w:p w:rsidR="00051200" w:rsidRPr="003F1EC0" w:rsidRDefault="00051200" w:rsidP="007D3580">
      <w:pPr>
        <w:jc w:val="both"/>
        <w:rPr>
          <w:sz w:val="28"/>
          <w:szCs w:val="28"/>
        </w:rPr>
      </w:pPr>
    </w:p>
    <w:p w:rsidR="00897AEF" w:rsidRPr="003F1EC0" w:rsidRDefault="002E087D" w:rsidP="007D3580">
      <w:pPr>
        <w:pBdr>
          <w:bottom w:val="single" w:sz="4" w:space="1" w:color="auto"/>
        </w:pBdr>
        <w:jc w:val="both"/>
        <w:rPr>
          <w:sz w:val="28"/>
          <w:szCs w:val="28"/>
        </w:rPr>
      </w:pPr>
      <w:r w:rsidRPr="003F1EC0">
        <w:rPr>
          <w:b/>
          <w:sz w:val="28"/>
          <w:szCs w:val="28"/>
        </w:rPr>
        <w:t>1.5</w:t>
      </w:r>
      <w:r w:rsidR="00897AEF" w:rsidRPr="003F1EC0">
        <w:rPr>
          <w:b/>
          <w:sz w:val="28"/>
          <w:szCs w:val="28"/>
        </w:rPr>
        <w:t xml:space="preserve">. </w:t>
      </w:r>
      <w:r w:rsidR="00E23854" w:rsidRPr="003F1EC0">
        <w:rPr>
          <w:b/>
          <w:sz w:val="28"/>
          <w:szCs w:val="28"/>
        </w:rPr>
        <w:t>Citi jautājumi</w:t>
      </w: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"Eiropas kuģubūve"</w:t>
      </w:r>
    </w:p>
    <w:p w:rsidR="007D3580" w:rsidRPr="003F1EC0" w:rsidRDefault="00E81BEE" w:rsidP="00E81BEE">
      <w:pPr>
        <w:tabs>
          <w:tab w:val="left" w:pos="284"/>
          <w:tab w:val="left" w:pos="567"/>
        </w:tabs>
        <w:jc w:val="both"/>
        <w:rPr>
          <w:i/>
          <w:sz w:val="28"/>
          <w:szCs w:val="28"/>
        </w:rPr>
      </w:pPr>
      <w:r w:rsidRPr="003F1EC0">
        <w:rPr>
          <w:i/>
          <w:sz w:val="28"/>
          <w:szCs w:val="28"/>
        </w:rPr>
        <w:tab/>
      </w:r>
      <w:r w:rsidRPr="003F1EC0">
        <w:rPr>
          <w:i/>
          <w:sz w:val="28"/>
          <w:szCs w:val="28"/>
        </w:rPr>
        <w:tab/>
      </w:r>
      <w:r w:rsidR="007D3580" w:rsidRPr="003F1EC0">
        <w:rPr>
          <w:i/>
          <w:sz w:val="28"/>
          <w:szCs w:val="28"/>
        </w:rPr>
        <w:t>EM kompetence</w:t>
      </w:r>
    </w:p>
    <w:p w:rsidR="00EB2989" w:rsidRPr="003F1EC0" w:rsidRDefault="00E81BEE" w:rsidP="00E81BEE">
      <w:pPr>
        <w:tabs>
          <w:tab w:val="left" w:pos="284"/>
          <w:tab w:val="left" w:pos="567"/>
        </w:tabs>
        <w:jc w:val="both"/>
        <w:rPr>
          <w:i/>
          <w:sz w:val="28"/>
          <w:szCs w:val="28"/>
        </w:rPr>
      </w:pPr>
      <w:r w:rsidRPr="003F1EC0">
        <w:rPr>
          <w:i/>
          <w:sz w:val="28"/>
          <w:szCs w:val="28"/>
        </w:rPr>
        <w:tab/>
      </w:r>
      <w:r w:rsidRPr="003F1EC0">
        <w:rPr>
          <w:i/>
          <w:sz w:val="28"/>
          <w:szCs w:val="28"/>
        </w:rPr>
        <w:tab/>
      </w:r>
      <w:r w:rsidR="00EB2989" w:rsidRPr="003F1EC0">
        <w:rPr>
          <w:i/>
          <w:sz w:val="28"/>
          <w:szCs w:val="28"/>
        </w:rPr>
        <w:t>Komisijas sniegt</w:t>
      </w:r>
      <w:r w:rsidR="007D3580" w:rsidRPr="003F1EC0">
        <w:rPr>
          <w:i/>
          <w:sz w:val="28"/>
          <w:szCs w:val="28"/>
        </w:rPr>
        <w:t>ā</w:t>
      </w:r>
      <w:r w:rsidR="00EB2989" w:rsidRPr="003F1EC0">
        <w:rPr>
          <w:i/>
          <w:sz w:val="28"/>
          <w:szCs w:val="28"/>
        </w:rPr>
        <w:t xml:space="preserve"> informācija</w:t>
      </w:r>
    </w:p>
    <w:p w:rsidR="003128C8" w:rsidRPr="003F1EC0" w:rsidRDefault="003128C8" w:rsidP="00E81BEE">
      <w:pPr>
        <w:tabs>
          <w:tab w:val="left" w:pos="284"/>
          <w:tab w:val="left" w:pos="567"/>
        </w:tabs>
        <w:jc w:val="both"/>
        <w:rPr>
          <w:i/>
          <w:sz w:val="28"/>
          <w:szCs w:val="28"/>
        </w:rPr>
      </w:pPr>
    </w:p>
    <w:p w:rsidR="001B0566" w:rsidRPr="003F1EC0" w:rsidRDefault="001B0566" w:rsidP="003128C8">
      <w:pPr>
        <w:ind w:firstLine="720"/>
        <w:jc w:val="both"/>
        <w:rPr>
          <w:sz w:val="28"/>
          <w:szCs w:val="28"/>
        </w:rPr>
      </w:pPr>
      <w:r w:rsidRPr="003F1EC0">
        <w:rPr>
          <w:sz w:val="28"/>
          <w:szCs w:val="28"/>
        </w:rPr>
        <w:t xml:space="preserve">Sagaidāms, ka Eiropas Komisija sniegs informāciju par aktuālo situāciju kuģubūves sektorā, ņemot vērā pašreizējo ekonomisko situāciju Eiropā un pasaulē, kā arī vērtējumu par tā turpmākās attīstības perspektīvām. Lai stātos pretī šī brīža izaicinājumiem, EK aicina izmantot iespējas, ko piedāvā attīstības valstu tirgi, kā arī </w:t>
      </w:r>
      <w:r w:rsidR="008F40B3">
        <w:rPr>
          <w:sz w:val="28"/>
          <w:szCs w:val="28"/>
        </w:rPr>
        <w:t xml:space="preserve">palielināt </w:t>
      </w:r>
      <w:r w:rsidRPr="003F1EC0">
        <w:rPr>
          <w:sz w:val="28"/>
          <w:szCs w:val="28"/>
        </w:rPr>
        <w:t>Eiropas kuģubūves industrijas inovāciju kapacitāti. EK aicina uz aktīvu sadarbību rūpniecību, sociālos partnerus un valsts un pašvaldības institūcijas, īpaši uzsverot nepieciešamību fokusēties uz sekojošiem aspektiem: izaugsme, attīstība un inovācijas, pieeja fi</w:t>
      </w:r>
      <w:r w:rsidR="003128C8" w:rsidRPr="003F1EC0">
        <w:rPr>
          <w:sz w:val="28"/>
          <w:szCs w:val="28"/>
        </w:rPr>
        <w:t xml:space="preserve">nansējumam, godīgas konkurences </w:t>
      </w:r>
      <w:r w:rsidRPr="003F1EC0">
        <w:rPr>
          <w:sz w:val="28"/>
          <w:szCs w:val="28"/>
        </w:rPr>
        <w:t>nodrošināšana.</w:t>
      </w:r>
    </w:p>
    <w:p w:rsidR="007D3580" w:rsidRDefault="007D3580" w:rsidP="003128C8">
      <w:pPr>
        <w:ind w:firstLine="720"/>
        <w:jc w:val="both"/>
        <w:rPr>
          <w:sz w:val="28"/>
          <w:szCs w:val="28"/>
        </w:rPr>
      </w:pPr>
    </w:p>
    <w:p w:rsidR="00B3226F" w:rsidRPr="003F1EC0" w:rsidRDefault="00B3226F" w:rsidP="003128C8">
      <w:pPr>
        <w:ind w:firstLine="720"/>
        <w:jc w:val="both"/>
        <w:rPr>
          <w:sz w:val="28"/>
          <w:szCs w:val="28"/>
        </w:rPr>
      </w:pP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lastRenderedPageBreak/>
        <w:t xml:space="preserve">Priekšlikums Regulai par Eiropas mēroga standartizāciju </w:t>
      </w:r>
    </w:p>
    <w:p w:rsidR="007D3580" w:rsidRPr="003F1EC0" w:rsidRDefault="00E81BEE" w:rsidP="00E81BEE">
      <w:pPr>
        <w:tabs>
          <w:tab w:val="left" w:pos="284"/>
          <w:tab w:val="left" w:pos="567"/>
        </w:tabs>
        <w:jc w:val="both"/>
        <w:rPr>
          <w:i/>
          <w:sz w:val="28"/>
          <w:szCs w:val="28"/>
        </w:rPr>
      </w:pPr>
      <w:r w:rsidRPr="003F1EC0">
        <w:rPr>
          <w:i/>
          <w:sz w:val="28"/>
          <w:szCs w:val="28"/>
        </w:rPr>
        <w:tab/>
      </w:r>
      <w:r w:rsidRPr="003F1EC0">
        <w:rPr>
          <w:i/>
          <w:sz w:val="28"/>
          <w:szCs w:val="28"/>
        </w:rPr>
        <w:tab/>
      </w:r>
      <w:r w:rsidR="007D3580" w:rsidRPr="003F1EC0">
        <w:rPr>
          <w:i/>
          <w:sz w:val="28"/>
          <w:szCs w:val="28"/>
        </w:rPr>
        <w:t>EM kompetence</w:t>
      </w:r>
    </w:p>
    <w:p w:rsidR="007D3580" w:rsidRPr="003F1EC0" w:rsidRDefault="00E81BEE" w:rsidP="001B0566">
      <w:pPr>
        <w:tabs>
          <w:tab w:val="left" w:pos="284"/>
          <w:tab w:val="left" w:pos="567"/>
        </w:tabs>
        <w:jc w:val="both"/>
        <w:rPr>
          <w:i/>
          <w:sz w:val="28"/>
          <w:szCs w:val="28"/>
        </w:rPr>
      </w:pPr>
      <w:r w:rsidRPr="003F1EC0">
        <w:rPr>
          <w:i/>
          <w:sz w:val="28"/>
          <w:szCs w:val="28"/>
        </w:rPr>
        <w:tab/>
      </w:r>
      <w:r w:rsidRPr="003F1EC0">
        <w:rPr>
          <w:i/>
          <w:sz w:val="28"/>
          <w:szCs w:val="28"/>
        </w:rPr>
        <w:tab/>
      </w:r>
      <w:r w:rsidR="007D3580" w:rsidRPr="003F1EC0">
        <w:rPr>
          <w:i/>
          <w:sz w:val="28"/>
          <w:szCs w:val="28"/>
        </w:rPr>
        <w:t>P</w:t>
      </w:r>
      <w:r w:rsidR="00EB2989" w:rsidRPr="003F1EC0">
        <w:rPr>
          <w:i/>
          <w:sz w:val="28"/>
          <w:szCs w:val="28"/>
        </w:rPr>
        <w:t>rezidentvalsts sniegt</w:t>
      </w:r>
      <w:r w:rsidR="007D3580" w:rsidRPr="003F1EC0">
        <w:rPr>
          <w:i/>
          <w:sz w:val="28"/>
          <w:szCs w:val="28"/>
        </w:rPr>
        <w:t>ā</w:t>
      </w:r>
      <w:r w:rsidR="00EB2989" w:rsidRPr="003F1EC0">
        <w:rPr>
          <w:i/>
          <w:sz w:val="28"/>
          <w:szCs w:val="28"/>
        </w:rPr>
        <w:t xml:space="preserve"> informācija</w:t>
      </w:r>
    </w:p>
    <w:p w:rsidR="001B0566" w:rsidRPr="003F1EC0" w:rsidRDefault="001B0566" w:rsidP="001B0566">
      <w:pPr>
        <w:tabs>
          <w:tab w:val="left" w:pos="284"/>
          <w:tab w:val="left" w:pos="567"/>
        </w:tabs>
        <w:jc w:val="both"/>
        <w:rPr>
          <w:i/>
          <w:sz w:val="28"/>
          <w:szCs w:val="28"/>
        </w:rPr>
      </w:pPr>
    </w:p>
    <w:p w:rsidR="001B0566" w:rsidRPr="003F1EC0" w:rsidRDefault="003128C8" w:rsidP="003128C8">
      <w:pPr>
        <w:ind w:firstLine="720"/>
        <w:jc w:val="both"/>
        <w:rPr>
          <w:sz w:val="28"/>
          <w:szCs w:val="28"/>
        </w:rPr>
      </w:pPr>
      <w:r w:rsidRPr="003F1EC0">
        <w:rPr>
          <w:sz w:val="28"/>
          <w:szCs w:val="28"/>
        </w:rPr>
        <w:t>Š.g.</w:t>
      </w:r>
      <w:r w:rsidR="001B0566" w:rsidRPr="003F1EC0">
        <w:rPr>
          <w:sz w:val="28"/>
          <w:szCs w:val="28"/>
        </w:rPr>
        <w:t xml:space="preserve"> 1.jūnijā Eiropas Komisija nāca klajā ar priekšlikumu regulai par Eiropas standartizāciju ar mērķi palielināt standartu un Eiropas standartizācijas ieguldījumu iekšējā tirgus darbības uzlabošanā, izaugsmes un inovācijas veicināšanā un ES uzņēmumu, jo īpaši mazo un vidējo uzņēmumu (turpmāk – MVU), konkurētspējas sekmēšanā. Regulas projekts paredz risināt trīs galvenās problēmas:</w:t>
      </w:r>
      <w:r w:rsidRPr="003F1EC0">
        <w:rPr>
          <w:sz w:val="28"/>
          <w:szCs w:val="28"/>
        </w:rPr>
        <w:t xml:space="preserve"> (1)</w:t>
      </w:r>
      <w:r w:rsidR="001B0566" w:rsidRPr="003F1EC0">
        <w:rPr>
          <w:sz w:val="28"/>
          <w:szCs w:val="28"/>
        </w:rPr>
        <w:t xml:space="preserve"> Pēc Eiropas Komisijas pieprasījuma izstrādāto standartu standartizācijas procesa ilgumu samazināšana;</w:t>
      </w:r>
      <w:r w:rsidRPr="003F1EC0">
        <w:rPr>
          <w:sz w:val="28"/>
          <w:szCs w:val="28"/>
        </w:rPr>
        <w:t xml:space="preserve"> (2)</w:t>
      </w:r>
      <w:r w:rsidR="001B0566" w:rsidRPr="003F1EC0">
        <w:rPr>
          <w:sz w:val="28"/>
          <w:szCs w:val="28"/>
        </w:rPr>
        <w:t xml:space="preserve"> MVU un citu ieinteresēto pušu pārstāvju atbilstošas pārstāvības nodrošināšana standartizācijas procesā, jo īpaši standartu izstrādē pēc Eiropas Komisijas pieprasījuma;</w:t>
      </w:r>
      <w:r w:rsidRPr="003F1EC0">
        <w:rPr>
          <w:sz w:val="28"/>
          <w:szCs w:val="28"/>
        </w:rPr>
        <w:t xml:space="preserve"> (3)</w:t>
      </w:r>
      <w:r w:rsidR="001B0566" w:rsidRPr="003F1EC0">
        <w:rPr>
          <w:sz w:val="28"/>
          <w:szCs w:val="28"/>
        </w:rPr>
        <w:t xml:space="preserve"> IKT standartu izmantošanas paplašināšana ieviešot jaunu sistēmu, kas publiskā iepirkuma jomā ļauj izmantot IKT standartus, kurus izstrādā organizācijas, kas nav Eiropas standartizācijas organizācijas.</w:t>
      </w:r>
    </w:p>
    <w:p w:rsidR="001B0566" w:rsidRPr="003F1EC0" w:rsidRDefault="001B0566" w:rsidP="003128C8">
      <w:pPr>
        <w:ind w:firstLine="720"/>
        <w:jc w:val="both"/>
        <w:rPr>
          <w:sz w:val="28"/>
          <w:szCs w:val="28"/>
        </w:rPr>
      </w:pPr>
      <w:r w:rsidRPr="003F1EC0">
        <w:rPr>
          <w:sz w:val="28"/>
          <w:szCs w:val="28"/>
        </w:rPr>
        <w:t>Latvija kopumā atbalsta regulas projekta mērķi palielināt standartu un Eiropas standartizācijas ieguldījumu iekšējā tirgus darbības uzlabošanā, izaugsmes un inovācijas veicināšanā un ES uzņēmumu konkurētspējas sekmēšanā. Latvija kopumā atbalsta regulas projektā ietvertos risinājumus standartizācijas procedūru paātrināšanai, ieinteresēto pušu iesaistīšanai un starptautisko IKT tehnisko specifikāciju „atzīšanai” Eiropā. Latvijai ir būtiskas uzsāktās diskusijas par obligāti piemērojamo standartu pieejamības uzlabošanu, kas paredzētu risinājumus standartu tulkošanas izmaksu samazināšanai, kas tiek segtas no valsts budžeta līdzekļiem.  Latvija ir aicinājusi skaidri noteikt, ka ES politikas virzienu un tiesību aktu atbalstam izmantojamo Eiropas standartu (obligāti piemērojamos standartus, uz kuriem ir atsauces ES tiesību aktos) gadījumā ES (ES institūcijām) ir jānodrošina to tulkošana ES valstu oficiālajās valodās līdzīgi kā tas tiek darīts ar ES tiesību aktu tekstiem.</w:t>
      </w:r>
    </w:p>
    <w:p w:rsidR="001B0566" w:rsidRPr="003F1EC0" w:rsidRDefault="001B0566" w:rsidP="001B0566">
      <w:pPr>
        <w:tabs>
          <w:tab w:val="left" w:pos="284"/>
          <w:tab w:val="left" w:pos="567"/>
        </w:tabs>
        <w:jc w:val="both"/>
        <w:rPr>
          <w:sz w:val="28"/>
          <w:szCs w:val="28"/>
        </w:rPr>
      </w:pPr>
    </w:p>
    <w:p w:rsidR="007D3580"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Priekšlikums ražojumu saskaņošan</w:t>
      </w:r>
      <w:r w:rsidR="007D3580" w:rsidRPr="003F1EC0">
        <w:rPr>
          <w:b/>
          <w:sz w:val="28"/>
          <w:szCs w:val="28"/>
        </w:rPr>
        <w:t>as direktīvas pielāgot Lēmumam</w:t>
      </w:r>
      <w:r w:rsidR="007D3580" w:rsidRPr="003F1EC0">
        <w:rPr>
          <w:sz w:val="28"/>
          <w:szCs w:val="28"/>
        </w:rPr>
        <w:t xml:space="preserve"> </w:t>
      </w:r>
      <w:r w:rsidRPr="003F1EC0">
        <w:rPr>
          <w:b/>
          <w:sz w:val="28"/>
          <w:szCs w:val="28"/>
        </w:rPr>
        <w:t>Nr. 768/2008 (jaunais tiesiskais regulējums)</w:t>
      </w:r>
    </w:p>
    <w:p w:rsidR="007D3580" w:rsidRPr="003F1EC0" w:rsidRDefault="00E81BEE" w:rsidP="00E81BEE">
      <w:pPr>
        <w:tabs>
          <w:tab w:val="left" w:pos="284"/>
          <w:tab w:val="left" w:pos="567"/>
        </w:tabs>
        <w:jc w:val="both"/>
        <w:rPr>
          <w:i/>
          <w:sz w:val="28"/>
          <w:szCs w:val="28"/>
        </w:rPr>
      </w:pPr>
      <w:r w:rsidRPr="003F1EC0">
        <w:rPr>
          <w:i/>
          <w:sz w:val="28"/>
          <w:szCs w:val="28"/>
        </w:rPr>
        <w:tab/>
      </w:r>
      <w:r w:rsidRPr="003F1EC0">
        <w:rPr>
          <w:i/>
          <w:sz w:val="28"/>
          <w:szCs w:val="28"/>
        </w:rPr>
        <w:tab/>
      </w:r>
      <w:r w:rsidR="007D3580" w:rsidRPr="003F1EC0">
        <w:rPr>
          <w:i/>
          <w:sz w:val="28"/>
          <w:szCs w:val="28"/>
        </w:rPr>
        <w:t>EM kompetence</w:t>
      </w:r>
    </w:p>
    <w:p w:rsidR="00EB2989" w:rsidRPr="003F1EC0" w:rsidRDefault="00E81BEE" w:rsidP="00E81BEE">
      <w:pPr>
        <w:tabs>
          <w:tab w:val="left" w:pos="284"/>
          <w:tab w:val="left" w:pos="567"/>
        </w:tabs>
        <w:jc w:val="both"/>
        <w:rPr>
          <w:i/>
          <w:sz w:val="28"/>
          <w:szCs w:val="28"/>
        </w:rPr>
      </w:pPr>
      <w:r w:rsidRPr="003F1EC0">
        <w:rPr>
          <w:i/>
          <w:sz w:val="28"/>
          <w:szCs w:val="28"/>
        </w:rPr>
        <w:tab/>
      </w:r>
      <w:r w:rsidRPr="003F1EC0">
        <w:rPr>
          <w:i/>
          <w:sz w:val="28"/>
          <w:szCs w:val="28"/>
        </w:rPr>
        <w:tab/>
      </w:r>
      <w:r w:rsidR="00EB2989" w:rsidRPr="003F1EC0">
        <w:rPr>
          <w:i/>
          <w:sz w:val="28"/>
          <w:szCs w:val="28"/>
        </w:rPr>
        <w:t>Komisijas sniegt</w:t>
      </w:r>
      <w:r w:rsidRPr="003F1EC0">
        <w:rPr>
          <w:i/>
          <w:sz w:val="28"/>
          <w:szCs w:val="28"/>
        </w:rPr>
        <w:t>ā</w:t>
      </w:r>
      <w:r w:rsidR="00EB2989" w:rsidRPr="003F1EC0">
        <w:rPr>
          <w:i/>
          <w:sz w:val="28"/>
          <w:szCs w:val="28"/>
        </w:rPr>
        <w:t xml:space="preserve"> informācija</w:t>
      </w:r>
    </w:p>
    <w:p w:rsidR="003128C8" w:rsidRPr="003F1EC0" w:rsidRDefault="003128C8" w:rsidP="003128C8">
      <w:pPr>
        <w:ind w:firstLine="720"/>
        <w:jc w:val="both"/>
        <w:rPr>
          <w:sz w:val="28"/>
          <w:szCs w:val="28"/>
        </w:rPr>
      </w:pPr>
    </w:p>
    <w:p w:rsidR="001B0566" w:rsidRPr="003F1EC0" w:rsidRDefault="001B0566" w:rsidP="003128C8">
      <w:pPr>
        <w:ind w:firstLine="720"/>
        <w:jc w:val="both"/>
        <w:rPr>
          <w:sz w:val="28"/>
          <w:szCs w:val="28"/>
        </w:rPr>
      </w:pPr>
      <w:r w:rsidRPr="003F1EC0">
        <w:rPr>
          <w:sz w:val="28"/>
          <w:szCs w:val="28"/>
        </w:rPr>
        <w:t>Jaunajā tiesiskajā regulējumā (JTR) ietilpst trīs savstarpēji papildinoši ES tiesību instrumenti: Regula Nr. 764/2008 par procedūrām, lai dažus valstu tehniskos noteikumus piemērotu citā dalībvalstī likumīgi tirgotiem produktiem, Regula (EK) Nr. 765/2008 par akreditāciju un tirgus uzraudzību un Lēmums Nr. 768/2008/EK par produktu tirdzniecības vienotas sistēmas izveidi.</w:t>
      </w:r>
    </w:p>
    <w:p w:rsidR="001B0566" w:rsidRPr="003F1EC0" w:rsidRDefault="001B0566" w:rsidP="003128C8">
      <w:pPr>
        <w:ind w:firstLine="720"/>
        <w:jc w:val="both"/>
        <w:rPr>
          <w:sz w:val="28"/>
          <w:szCs w:val="28"/>
        </w:rPr>
      </w:pPr>
      <w:r w:rsidRPr="003F1EC0">
        <w:rPr>
          <w:sz w:val="28"/>
          <w:szCs w:val="28"/>
        </w:rPr>
        <w:t xml:space="preserve">Regula Nr. 764/2008 nosaka kārtību, kādā savstarpējās atzīšanas princips ir jāievēro valsts institūciju darbā, piemērojot valsts tehniskos noteikumus EEZ valstīs ražotajām vai brīvā apgrozībā likumīgi laistajām precēm; tiesību un </w:t>
      </w:r>
      <w:r w:rsidRPr="003F1EC0">
        <w:rPr>
          <w:sz w:val="28"/>
          <w:szCs w:val="28"/>
        </w:rPr>
        <w:lastRenderedPageBreak/>
        <w:t>pienākumu sadalījumu starp valsts kompetentajām iestādēm un komersantiem savstarpējās atzīšanas procedūras ietvaros, kā arī īstenojamo administratīvo procedūru vienkāršošanas nolūkā nosaka pienākumu valstij izveidot vienu vai vairākus produktu informācijas punktus komersantu informatīvajam atbalstam.</w:t>
      </w:r>
    </w:p>
    <w:p w:rsidR="001B0566" w:rsidRPr="003F1EC0" w:rsidRDefault="001B0566" w:rsidP="003128C8">
      <w:pPr>
        <w:ind w:firstLine="720"/>
        <w:jc w:val="both"/>
        <w:rPr>
          <w:sz w:val="28"/>
          <w:szCs w:val="28"/>
        </w:rPr>
      </w:pPr>
      <w:r w:rsidRPr="003F1EC0">
        <w:rPr>
          <w:sz w:val="28"/>
          <w:szCs w:val="28"/>
        </w:rPr>
        <w:t>Regula Nr. 765/2008 ieviesa noteikumus par akreditāciju (instrumentu, ar ko novērtēt atbilstības novērtēšanas struktūru kompetenci) un prasības attiecībā uz trešo valstu produktu tirgus uzraudzības un kontroles organizēšanu un veikšanu. No 2010. gada 1. janvāra šis regulējums ir tieši piemērojams visās ES valstīs.</w:t>
      </w:r>
    </w:p>
    <w:p w:rsidR="001B0566" w:rsidRPr="003F1EC0" w:rsidRDefault="001B0566" w:rsidP="003128C8">
      <w:pPr>
        <w:ind w:firstLine="720"/>
        <w:jc w:val="both"/>
        <w:rPr>
          <w:sz w:val="28"/>
          <w:szCs w:val="28"/>
        </w:rPr>
      </w:pPr>
      <w:r w:rsidRPr="003F1EC0">
        <w:rPr>
          <w:sz w:val="28"/>
          <w:szCs w:val="28"/>
        </w:rPr>
        <w:t xml:space="preserve">Lēmums 768/2008/EK izveido kopēju ES ietvaru saskaņošanas tiesību aktiem par produktiem. Šajā ietvarā ietilpst noteikumi, kurus parasti izmanto ES tiesību aktos par produktiem (piem., definīcijas, uzņēmēju pienākumi, paziņotās struktūras, drošības mehānismi u. c.). Minētie kopējie noteikumi ir pastiprināti, lai nodrošinātu direktīvu efektīvāku piemērošanu un izpildi praksē. Ieviesti jauni elementi, kā, piemēram, importētāju pienākumi, kas ļauj ievērojami uzlabot produktu drošumu tirgū. </w:t>
      </w:r>
    </w:p>
    <w:p w:rsidR="001B0566" w:rsidRPr="003F1EC0" w:rsidRDefault="001B0566" w:rsidP="003128C8">
      <w:pPr>
        <w:ind w:firstLine="720"/>
        <w:jc w:val="both"/>
        <w:rPr>
          <w:sz w:val="28"/>
          <w:szCs w:val="28"/>
        </w:rPr>
      </w:pPr>
      <w:r w:rsidRPr="003F1EC0">
        <w:rPr>
          <w:sz w:val="28"/>
          <w:szCs w:val="28"/>
        </w:rPr>
        <w:t xml:space="preserve">Pielāgot JTR tika izstrādātas direktīvas attiecībā uz civilām vajadzībām paredzēto sprāgstvielu laišanu tirgū un pārraudzību;  iekārtām un aizsardzības sistēmām, kas paredzētas lietošanai sprādzienbīstamā vidē; liftiem; spiediena iekārtām; mērinstrumentiem; elektromagnētisko savietojamību; elektroiekārtām, kas paredzētas lietošanai noteiktās sprieguma robežās; pirotehnisko izstrādājumu laišanu tirgū; neautomātiskiem svariem; ka arī par vienkāršām spiedtvertnēm. </w:t>
      </w:r>
    </w:p>
    <w:p w:rsidR="001B0566" w:rsidRPr="003F1EC0" w:rsidRDefault="001B0566" w:rsidP="007D3580">
      <w:pPr>
        <w:tabs>
          <w:tab w:val="left" w:pos="284"/>
        </w:tabs>
        <w:jc w:val="both"/>
        <w:rPr>
          <w:sz w:val="28"/>
          <w:szCs w:val="28"/>
        </w:rPr>
      </w:pP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Eiropas Tūrisma foruma un neoficiālās ministru sanāksmes rezultāti (Krakova, 2011. gada 5.−7. oktobris)</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EM kompetence</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Prezidentvalsts sniegtā informācija</w:t>
      </w:r>
    </w:p>
    <w:p w:rsidR="001B0566" w:rsidRPr="003F1EC0" w:rsidRDefault="001B0566" w:rsidP="00E81BEE">
      <w:pPr>
        <w:pStyle w:val="ListParagraph"/>
        <w:tabs>
          <w:tab w:val="left" w:pos="284"/>
          <w:tab w:val="left" w:pos="567"/>
        </w:tabs>
        <w:jc w:val="both"/>
        <w:rPr>
          <w:i/>
          <w:sz w:val="28"/>
          <w:szCs w:val="28"/>
        </w:rPr>
      </w:pPr>
    </w:p>
    <w:p w:rsidR="001B0566" w:rsidRPr="003F1EC0" w:rsidRDefault="001B0566" w:rsidP="003128C8">
      <w:pPr>
        <w:ind w:firstLine="720"/>
        <w:jc w:val="both"/>
        <w:rPr>
          <w:sz w:val="28"/>
          <w:szCs w:val="28"/>
        </w:rPr>
      </w:pPr>
      <w:r w:rsidRPr="003F1EC0">
        <w:rPr>
          <w:sz w:val="28"/>
          <w:szCs w:val="28"/>
        </w:rPr>
        <w:t>Ikgadējā Eiropas Tūrisma foruma</w:t>
      </w:r>
      <w:r w:rsidR="003128C8" w:rsidRPr="003F1EC0">
        <w:rPr>
          <w:sz w:val="28"/>
          <w:szCs w:val="28"/>
        </w:rPr>
        <w:t>, kas notika š.g. 5.-7.oktobrī Krakovā Polijā</w:t>
      </w:r>
      <w:r w:rsidRPr="003F1EC0">
        <w:rPr>
          <w:sz w:val="28"/>
          <w:szCs w:val="28"/>
        </w:rPr>
        <w:t xml:space="preserve"> galvenā tēma bija Eiropas tūrisma nozares konkurētspējas veicināšana – pirmā Eiropas Komisijas Tūrisma komunikācijas ziņojumā „Eiropa, tūristu apmeklētākā vieta pasaulē – jaunas Eiropas tūrisma nozares politiskās pamatnostādnes” definētā prioritāte. Šī uzdevuma efektīva realizācija tika  izvirzīta par svarīgāko Polijā un citās ES dalībvalstīs. ES</w:t>
      </w:r>
      <w:r w:rsidR="003128C8" w:rsidRPr="003F1EC0">
        <w:rPr>
          <w:sz w:val="28"/>
          <w:szCs w:val="28"/>
        </w:rPr>
        <w:t xml:space="preserve"> ir</w:t>
      </w:r>
      <w:r w:rsidRPr="003F1EC0">
        <w:rPr>
          <w:sz w:val="28"/>
          <w:szCs w:val="28"/>
        </w:rPr>
        <w:t xml:space="preserve"> nepieciešams stiprs, elastīgs un inovatīvs tūrisma sektors, kas spējīgs nekavējoties reaģēt uz jebkuru kritisku situāciju, tāpēc diskusijas Eiropas tūrisma forumā norisinājās par šādām tēmām: sociālekonomisko zināšanu bāzes par tūrismu konsolidācija un inovācijas, informācija un komunikācijas tehnoloģijas tūrismā.</w:t>
      </w:r>
    </w:p>
    <w:p w:rsidR="001B0566" w:rsidRPr="003F1EC0" w:rsidRDefault="001B0566" w:rsidP="003128C8">
      <w:pPr>
        <w:ind w:firstLine="720"/>
        <w:jc w:val="both"/>
        <w:rPr>
          <w:sz w:val="28"/>
          <w:szCs w:val="28"/>
        </w:rPr>
      </w:pPr>
      <w:r w:rsidRPr="003F1EC0">
        <w:rPr>
          <w:sz w:val="28"/>
          <w:szCs w:val="28"/>
        </w:rPr>
        <w:t>Neformālās</w:t>
      </w:r>
      <w:r w:rsidR="003128C8" w:rsidRPr="003F1EC0">
        <w:rPr>
          <w:sz w:val="28"/>
          <w:szCs w:val="28"/>
        </w:rPr>
        <w:t xml:space="preserve"> ministru tikšanās tēma bija: „Komisijas</w:t>
      </w:r>
      <w:r w:rsidRPr="003F1EC0">
        <w:rPr>
          <w:sz w:val="28"/>
          <w:szCs w:val="28"/>
        </w:rPr>
        <w:t xml:space="preserve"> Tūrisma komunikācijas ziņojuma ieviešanas galvenie aspekti”: Eiropas atpazīstamības veicināšana trešajās valstīs: stiprinot transnacionālo sadarbību starp </w:t>
      </w:r>
      <w:r w:rsidR="003128C8" w:rsidRPr="003F1EC0">
        <w:rPr>
          <w:sz w:val="28"/>
          <w:szCs w:val="28"/>
        </w:rPr>
        <w:t>Komisiju</w:t>
      </w:r>
      <w:r w:rsidRPr="003F1EC0">
        <w:rPr>
          <w:sz w:val="28"/>
          <w:szCs w:val="28"/>
        </w:rPr>
        <w:t xml:space="preserve">, </w:t>
      </w:r>
      <w:r w:rsidRPr="003F1EC0">
        <w:rPr>
          <w:sz w:val="28"/>
          <w:szCs w:val="28"/>
        </w:rPr>
        <w:lastRenderedPageBreak/>
        <w:t xml:space="preserve">dalībvalstīm (kandidātvalstīm) un to nacionālajām tūrisma organizācijām (sadarbībā ar Eiropas Ceļojumu komisiju (ECK)). </w:t>
      </w:r>
    </w:p>
    <w:p w:rsidR="001B0566" w:rsidRPr="003F1EC0" w:rsidRDefault="001B0566" w:rsidP="003128C8">
      <w:pPr>
        <w:ind w:firstLine="720"/>
        <w:jc w:val="both"/>
        <w:rPr>
          <w:sz w:val="28"/>
          <w:szCs w:val="28"/>
        </w:rPr>
      </w:pPr>
      <w:r w:rsidRPr="003F1EC0">
        <w:rPr>
          <w:sz w:val="28"/>
          <w:szCs w:val="28"/>
        </w:rPr>
        <w:t>Likumdošanas iniciatīva „Eiropas zīmols tūrisma sektorā” tika iekļauta EK Darba programmā 2012.gadam.</w:t>
      </w:r>
    </w:p>
    <w:p w:rsidR="001B0566" w:rsidRPr="003F1EC0" w:rsidRDefault="001B0566" w:rsidP="003128C8">
      <w:pPr>
        <w:ind w:firstLine="720"/>
        <w:jc w:val="both"/>
        <w:rPr>
          <w:sz w:val="28"/>
          <w:szCs w:val="28"/>
        </w:rPr>
      </w:pPr>
      <w:r w:rsidRPr="003F1EC0">
        <w:rPr>
          <w:sz w:val="28"/>
          <w:szCs w:val="28"/>
        </w:rPr>
        <w:t>Pēc neformālās ministru sanāksmes tika</w:t>
      </w:r>
      <w:r w:rsidR="003128C8" w:rsidRPr="003F1EC0">
        <w:rPr>
          <w:sz w:val="28"/>
          <w:szCs w:val="28"/>
        </w:rPr>
        <w:t xml:space="preserve"> parakstīta vienošanās starp </w:t>
      </w:r>
      <w:r w:rsidRPr="003F1EC0">
        <w:rPr>
          <w:sz w:val="28"/>
          <w:szCs w:val="28"/>
        </w:rPr>
        <w:t>K</w:t>
      </w:r>
      <w:r w:rsidR="003128C8" w:rsidRPr="003F1EC0">
        <w:rPr>
          <w:sz w:val="28"/>
          <w:szCs w:val="28"/>
        </w:rPr>
        <w:t>omisija</w:t>
      </w:r>
      <w:r w:rsidRPr="003F1EC0">
        <w:rPr>
          <w:sz w:val="28"/>
          <w:szCs w:val="28"/>
        </w:rPr>
        <w:t xml:space="preserve"> un ECK, kas nosaka pamatus Eiropas kā tūrisma galamērķa popularizēšanai nākotnē, tas paredz </w:t>
      </w:r>
      <w:r w:rsidR="003128C8" w:rsidRPr="003F1EC0">
        <w:rPr>
          <w:sz w:val="28"/>
          <w:szCs w:val="28"/>
        </w:rPr>
        <w:t>Komisija</w:t>
      </w:r>
      <w:r w:rsidRPr="003F1EC0">
        <w:rPr>
          <w:sz w:val="28"/>
          <w:szCs w:val="28"/>
        </w:rPr>
        <w:t xml:space="preserve"> un ECK dalībvalstu kopējus veicināšanas pasākumus, lai popularizētu Eiropu kā tūrisma galamērķi tālajos tirgos (Brazīlija, Ķīna, ASV, Kanāda un Japāna). Vienošanās nosaka, ka portāls </w:t>
      </w:r>
      <w:hyperlink r:id="rId8" w:history="1">
        <w:r w:rsidRPr="003F1EC0">
          <w:rPr>
            <w:sz w:val="28"/>
            <w:szCs w:val="28"/>
          </w:rPr>
          <w:t>www.visiteurope.com</w:t>
        </w:r>
      </w:hyperlink>
      <w:r w:rsidRPr="003F1EC0">
        <w:rPr>
          <w:sz w:val="28"/>
          <w:szCs w:val="28"/>
        </w:rPr>
        <w:t xml:space="preserve"> būs primārā mārketinga platforma paredzot valstīm lielākas iespējas līdzdarboties portāla saturā.</w:t>
      </w:r>
    </w:p>
    <w:p w:rsidR="001B0566" w:rsidRPr="003F1EC0" w:rsidRDefault="001B0566" w:rsidP="001B0566">
      <w:pPr>
        <w:jc w:val="both"/>
        <w:rPr>
          <w:rStyle w:val="hps"/>
          <w:rFonts w:ascii="Calibri" w:hAnsi="Calibri"/>
          <w:sz w:val="22"/>
          <w:szCs w:val="22"/>
        </w:rPr>
      </w:pPr>
    </w:p>
    <w:p w:rsidR="00EB2989" w:rsidRPr="003F1EC0" w:rsidRDefault="001B0566" w:rsidP="001B0566">
      <w:pPr>
        <w:pStyle w:val="ListParagraph"/>
        <w:numPr>
          <w:ilvl w:val="0"/>
          <w:numId w:val="15"/>
        </w:numPr>
        <w:tabs>
          <w:tab w:val="left" w:pos="284"/>
        </w:tabs>
        <w:ind w:left="0" w:firstLine="0"/>
        <w:contextualSpacing w:val="0"/>
        <w:jc w:val="both"/>
        <w:rPr>
          <w:b/>
          <w:sz w:val="28"/>
          <w:szCs w:val="28"/>
        </w:rPr>
      </w:pPr>
      <w:r w:rsidRPr="003F1EC0">
        <w:rPr>
          <w:b/>
          <w:sz w:val="28"/>
          <w:szCs w:val="28"/>
        </w:rPr>
        <w:t xml:space="preserve"> </w:t>
      </w:r>
      <w:r w:rsidR="00EB2989" w:rsidRPr="003F1EC0">
        <w:rPr>
          <w:b/>
          <w:sz w:val="28"/>
          <w:szCs w:val="28"/>
        </w:rPr>
        <w:t xml:space="preserve">Konference par </w:t>
      </w:r>
      <w:r w:rsidR="008F40B3">
        <w:rPr>
          <w:b/>
          <w:sz w:val="28"/>
          <w:szCs w:val="28"/>
        </w:rPr>
        <w:t>Vadošo tirgu iniciatīvu</w:t>
      </w:r>
      <w:r w:rsidR="00EB2989" w:rsidRPr="003F1EC0">
        <w:rPr>
          <w:b/>
          <w:sz w:val="28"/>
          <w:szCs w:val="28"/>
        </w:rPr>
        <w:t xml:space="preserve"> un Eiropas inovācijas partnerību īstenošanu – rezultāti (Varšava, 2011. gada 26. un 27. oktobris)</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Prezidentvalsts sniegtā informācija</w:t>
      </w:r>
    </w:p>
    <w:p w:rsidR="003128C8" w:rsidRPr="003F1EC0" w:rsidRDefault="003128C8" w:rsidP="003128C8">
      <w:pPr>
        <w:ind w:firstLine="360"/>
        <w:jc w:val="both"/>
        <w:rPr>
          <w:sz w:val="28"/>
          <w:szCs w:val="28"/>
        </w:rPr>
      </w:pPr>
    </w:p>
    <w:p w:rsidR="003128C8" w:rsidRPr="003F1EC0" w:rsidRDefault="001B0566" w:rsidP="003128C8">
      <w:pPr>
        <w:ind w:firstLine="360"/>
        <w:jc w:val="both"/>
        <w:rPr>
          <w:sz w:val="28"/>
          <w:szCs w:val="28"/>
        </w:rPr>
      </w:pPr>
      <w:r w:rsidRPr="003F1EC0">
        <w:rPr>
          <w:sz w:val="28"/>
          <w:szCs w:val="28"/>
        </w:rPr>
        <w:t>Polijas prezidentū</w:t>
      </w:r>
      <w:r w:rsidR="003128C8" w:rsidRPr="003F1EC0">
        <w:rPr>
          <w:sz w:val="28"/>
          <w:szCs w:val="28"/>
        </w:rPr>
        <w:t xml:space="preserve">ra un Eiropas Komisija </w:t>
      </w:r>
      <w:r w:rsidRPr="003F1EC0">
        <w:rPr>
          <w:sz w:val="28"/>
          <w:szCs w:val="28"/>
        </w:rPr>
        <w:t>organizēja politikas līmeņa semināru (konferenci), kuras mērķis bija novērtēt Vadošo tirgu iniciatīvu (</w:t>
      </w:r>
      <w:proofErr w:type="spellStart"/>
      <w:r w:rsidR="003128C8" w:rsidRPr="003F1EC0">
        <w:rPr>
          <w:i/>
          <w:sz w:val="28"/>
          <w:szCs w:val="28"/>
        </w:rPr>
        <w:t>Lead</w:t>
      </w:r>
      <w:proofErr w:type="spellEnd"/>
      <w:r w:rsidR="003128C8" w:rsidRPr="003F1EC0">
        <w:rPr>
          <w:i/>
          <w:sz w:val="28"/>
          <w:szCs w:val="28"/>
        </w:rPr>
        <w:t xml:space="preserve"> </w:t>
      </w:r>
      <w:proofErr w:type="spellStart"/>
      <w:r w:rsidR="003128C8" w:rsidRPr="003F1EC0">
        <w:rPr>
          <w:i/>
          <w:sz w:val="28"/>
          <w:szCs w:val="28"/>
        </w:rPr>
        <w:t>market</w:t>
      </w:r>
      <w:proofErr w:type="spellEnd"/>
      <w:r w:rsidR="003128C8" w:rsidRPr="003F1EC0">
        <w:rPr>
          <w:i/>
          <w:sz w:val="28"/>
          <w:szCs w:val="28"/>
        </w:rPr>
        <w:t xml:space="preserve"> </w:t>
      </w:r>
      <w:proofErr w:type="spellStart"/>
      <w:r w:rsidR="003128C8" w:rsidRPr="003F1EC0">
        <w:rPr>
          <w:i/>
          <w:sz w:val="28"/>
          <w:szCs w:val="28"/>
        </w:rPr>
        <w:t>initiative</w:t>
      </w:r>
      <w:proofErr w:type="spellEnd"/>
      <w:r w:rsidR="003128C8" w:rsidRPr="003F1EC0">
        <w:rPr>
          <w:sz w:val="28"/>
          <w:szCs w:val="28"/>
        </w:rPr>
        <w:t xml:space="preserve"> – </w:t>
      </w:r>
      <w:r w:rsidRPr="003F1EC0">
        <w:rPr>
          <w:sz w:val="28"/>
          <w:szCs w:val="28"/>
        </w:rPr>
        <w:t>LMI) un Eiropas Inovāc</w:t>
      </w:r>
      <w:r w:rsidR="003128C8" w:rsidRPr="003F1EC0">
        <w:rPr>
          <w:sz w:val="28"/>
          <w:szCs w:val="28"/>
        </w:rPr>
        <w:t>ijas partnerību iniciatīvu (EIP</w:t>
      </w:r>
      <w:r w:rsidRPr="003F1EC0">
        <w:rPr>
          <w:sz w:val="28"/>
          <w:szCs w:val="28"/>
        </w:rPr>
        <w:t xml:space="preserve">). </w:t>
      </w:r>
    </w:p>
    <w:p w:rsidR="001B0566" w:rsidRPr="003F1EC0" w:rsidRDefault="001B0566" w:rsidP="003128C8">
      <w:pPr>
        <w:ind w:firstLine="360"/>
        <w:jc w:val="both"/>
        <w:rPr>
          <w:sz w:val="28"/>
          <w:szCs w:val="28"/>
        </w:rPr>
      </w:pPr>
      <w:r w:rsidRPr="003F1EC0">
        <w:rPr>
          <w:sz w:val="28"/>
          <w:szCs w:val="28"/>
        </w:rPr>
        <w:t>LMI ir iniciatīva ar mērķi likvidēt šķēršļus inovācijas attīstībai (jaunu produktu un pakalpojumu ienākšanai tirgū) sešos sektoros (e-veselība, ilgtspējīga būvniecība, „inteliģenti” audumi, bioloģiskie produkti, otrreizējā pārstrāde, atjaunojamā enerģija). Galaziņojums par LMI, kas tika publicēts 2011.gada jūlijā, norādīja uz nepieciešamību pēc lielāka uzsvara uz pieprasījuma stimuliem inovācijai attīstīšanai. Konferencē tika diskutēti jautājumi par LMI iniciatīvas novērtējumu, kā arī par to, kā apvienot pieprasījuma un piedāvājuma inovācijas politikas, piemēram, Eiropas Inovāciju partnerībās. Konference īpaši pievērsās arī jautājumam, kā pastiprināt saikni starp industrijas un inovācijas politikām. Vienlaikus tika diskutēts par trim galvenajiem jautājumiem:</w:t>
      </w:r>
      <w:r w:rsidR="003128C8" w:rsidRPr="003F1EC0">
        <w:rPr>
          <w:sz w:val="28"/>
          <w:szCs w:val="28"/>
        </w:rPr>
        <w:t xml:space="preserve"> (1) </w:t>
      </w:r>
      <w:r w:rsidRPr="003F1EC0">
        <w:rPr>
          <w:sz w:val="28"/>
          <w:szCs w:val="28"/>
        </w:rPr>
        <w:t>Kāda varētu būt LMI nākotne?</w:t>
      </w:r>
      <w:r w:rsidR="003128C8" w:rsidRPr="003F1EC0">
        <w:rPr>
          <w:sz w:val="28"/>
          <w:szCs w:val="28"/>
        </w:rPr>
        <w:t xml:space="preserve"> (2) </w:t>
      </w:r>
      <w:r w:rsidRPr="003F1EC0">
        <w:rPr>
          <w:sz w:val="28"/>
          <w:szCs w:val="28"/>
        </w:rPr>
        <w:t>Kāda varētu būt EIP nākotne un vai EIP jāsaista ar LMI?</w:t>
      </w:r>
      <w:r w:rsidR="003128C8" w:rsidRPr="003F1EC0">
        <w:rPr>
          <w:sz w:val="28"/>
          <w:szCs w:val="28"/>
        </w:rPr>
        <w:t xml:space="preserve"> (3)</w:t>
      </w:r>
      <w:r w:rsidRPr="003F1EC0">
        <w:rPr>
          <w:sz w:val="28"/>
          <w:szCs w:val="28"/>
        </w:rPr>
        <w:t>Vai būtu jāsasaista pieprasījuma un piedāvājuma pušu inovācijas politikas, piemēram, apvienojot LMI un EIP iniciatīvas?</w:t>
      </w:r>
    </w:p>
    <w:p w:rsidR="001B0566" w:rsidRPr="003F1EC0" w:rsidRDefault="001B0566" w:rsidP="003128C8">
      <w:pPr>
        <w:ind w:firstLine="360"/>
        <w:jc w:val="both"/>
        <w:rPr>
          <w:sz w:val="28"/>
          <w:szCs w:val="28"/>
        </w:rPr>
      </w:pPr>
      <w:r w:rsidRPr="003F1EC0">
        <w:rPr>
          <w:sz w:val="28"/>
          <w:szCs w:val="28"/>
        </w:rPr>
        <w:t xml:space="preserve">Konferencē piedalījās gan uzņēmumu pārstāvji, gan valsts sektora pārstāvji, gan ES, nacionāla un reģionāla līmeņa politikas veidotāji. </w:t>
      </w:r>
    </w:p>
    <w:p w:rsidR="00E81BEE" w:rsidRPr="003F1EC0" w:rsidRDefault="00E81BEE" w:rsidP="007D3580">
      <w:pPr>
        <w:tabs>
          <w:tab w:val="left" w:pos="284"/>
        </w:tabs>
        <w:jc w:val="both"/>
        <w:rPr>
          <w:sz w:val="28"/>
          <w:szCs w:val="28"/>
        </w:rPr>
      </w:pPr>
    </w:p>
    <w:p w:rsidR="00EB2989" w:rsidRPr="003F1EC0" w:rsidRDefault="003128C8"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„Apvārsnis 2020”</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Komisijas sniegtā informācija</w:t>
      </w:r>
    </w:p>
    <w:p w:rsidR="002F1BB4" w:rsidRPr="003F1EC0" w:rsidRDefault="002F1BB4" w:rsidP="00E81BEE">
      <w:pPr>
        <w:pStyle w:val="ListParagraph"/>
        <w:tabs>
          <w:tab w:val="left" w:pos="284"/>
          <w:tab w:val="left" w:pos="567"/>
        </w:tabs>
        <w:jc w:val="both"/>
        <w:rPr>
          <w:i/>
          <w:sz w:val="28"/>
          <w:szCs w:val="28"/>
        </w:rPr>
      </w:pPr>
    </w:p>
    <w:p w:rsidR="003128C8" w:rsidRPr="003F1EC0" w:rsidRDefault="001B0566" w:rsidP="003128C8">
      <w:pPr>
        <w:ind w:firstLine="360"/>
        <w:jc w:val="both"/>
        <w:rPr>
          <w:sz w:val="28"/>
          <w:szCs w:val="28"/>
        </w:rPr>
      </w:pPr>
      <w:r w:rsidRPr="003F1EC0">
        <w:rPr>
          <w:sz w:val="28"/>
          <w:szCs w:val="28"/>
        </w:rPr>
        <w:t>Paredzams, ka</w:t>
      </w:r>
      <w:r w:rsidR="003128C8" w:rsidRPr="003F1EC0">
        <w:rPr>
          <w:sz w:val="28"/>
          <w:szCs w:val="28"/>
        </w:rPr>
        <w:t xml:space="preserve"> sanāksmes laikā</w:t>
      </w:r>
      <w:r w:rsidRPr="003F1EC0">
        <w:rPr>
          <w:sz w:val="28"/>
          <w:szCs w:val="28"/>
        </w:rPr>
        <w:t xml:space="preserve"> Eiropas Komisija prezentēs vienoto pētniecības un inovācijas s</w:t>
      </w:r>
      <w:r w:rsidR="003128C8" w:rsidRPr="003F1EC0">
        <w:rPr>
          <w:sz w:val="28"/>
          <w:szCs w:val="28"/>
        </w:rPr>
        <w:t>tratēģisko ietvaru „</w:t>
      </w:r>
      <w:proofErr w:type="spellStart"/>
      <w:r w:rsidR="003128C8" w:rsidRPr="003F1EC0">
        <w:rPr>
          <w:sz w:val="28"/>
          <w:szCs w:val="28"/>
        </w:rPr>
        <w:t>Horizon</w:t>
      </w:r>
      <w:proofErr w:type="spellEnd"/>
      <w:r w:rsidRPr="003F1EC0">
        <w:rPr>
          <w:sz w:val="28"/>
          <w:szCs w:val="28"/>
        </w:rPr>
        <w:t xml:space="preserve"> 2020”</w:t>
      </w:r>
      <w:r w:rsidR="003128C8" w:rsidRPr="003F1EC0">
        <w:rPr>
          <w:sz w:val="28"/>
          <w:szCs w:val="28"/>
        </w:rPr>
        <w:t xml:space="preserve"> („Apvārsnis 2020”). </w:t>
      </w:r>
    </w:p>
    <w:p w:rsidR="001B0566" w:rsidRPr="003F1EC0" w:rsidRDefault="001B0566" w:rsidP="003128C8">
      <w:pPr>
        <w:ind w:firstLine="360"/>
        <w:jc w:val="both"/>
        <w:rPr>
          <w:sz w:val="28"/>
          <w:szCs w:val="28"/>
        </w:rPr>
      </w:pPr>
      <w:r w:rsidRPr="003F1EC0">
        <w:rPr>
          <w:sz w:val="28"/>
          <w:szCs w:val="28"/>
        </w:rPr>
        <w:t xml:space="preserve">Stratēģijā „Eiropa 2020” ir nosprausts mērķis panākt finansējumu pētniecībai un attīstībai 3% apmērā no iekšzemes kopprodukta gadā. Lai panāktu šo mērķi </w:t>
      </w:r>
      <w:r w:rsidRPr="003F1EC0">
        <w:rPr>
          <w:sz w:val="28"/>
          <w:szCs w:val="28"/>
        </w:rPr>
        <w:lastRenderedPageBreak/>
        <w:t xml:space="preserve">viens no </w:t>
      </w:r>
      <w:r w:rsidR="003128C8" w:rsidRPr="003F1EC0">
        <w:rPr>
          <w:sz w:val="28"/>
          <w:szCs w:val="28"/>
        </w:rPr>
        <w:t>Komisijas</w:t>
      </w:r>
      <w:r w:rsidRPr="003F1EC0">
        <w:rPr>
          <w:sz w:val="28"/>
          <w:szCs w:val="28"/>
        </w:rPr>
        <w:t xml:space="preserve"> ierosinājumiem bija pārskatīt ES finanšu instrumentus pētniecībai un inovācijai, izveidojot vienotu stratēģisko ietvaru (</w:t>
      </w:r>
      <w:r w:rsidR="003128C8" w:rsidRPr="003F1EC0">
        <w:rPr>
          <w:sz w:val="28"/>
          <w:szCs w:val="28"/>
        </w:rPr>
        <w:t>Apvārsnis 2020</w:t>
      </w:r>
      <w:r w:rsidRPr="003F1EC0">
        <w:rPr>
          <w:sz w:val="28"/>
          <w:szCs w:val="28"/>
        </w:rPr>
        <w:t>), kas novērstu sektora sadrumstalotību un apvienotu nacionālās pētniecības programmas. Pētniecībai un inovācijai vienotajā stratēģiskajā ietvarā „</w:t>
      </w:r>
      <w:r w:rsidR="003128C8" w:rsidRPr="003F1EC0">
        <w:rPr>
          <w:sz w:val="28"/>
          <w:szCs w:val="28"/>
        </w:rPr>
        <w:t>Apvārsnis 2020</w:t>
      </w:r>
      <w:r w:rsidRPr="003F1EC0">
        <w:rPr>
          <w:sz w:val="28"/>
          <w:szCs w:val="28"/>
        </w:rPr>
        <w:t>” laika posmam no 2014. līdz 2020.gadam EK iecerējusi piešķirt 80 miljardus eiro.</w:t>
      </w:r>
    </w:p>
    <w:p w:rsidR="001B0566" w:rsidRPr="003F1EC0" w:rsidRDefault="002F1BB4" w:rsidP="003128C8">
      <w:pPr>
        <w:ind w:firstLine="360"/>
        <w:jc w:val="both"/>
        <w:rPr>
          <w:sz w:val="28"/>
          <w:szCs w:val="28"/>
        </w:rPr>
      </w:pPr>
      <w:r w:rsidRPr="003F1EC0">
        <w:rPr>
          <w:sz w:val="28"/>
          <w:szCs w:val="28"/>
        </w:rPr>
        <w:t xml:space="preserve">Š.g. </w:t>
      </w:r>
      <w:r w:rsidR="001B0566" w:rsidRPr="003F1EC0">
        <w:rPr>
          <w:sz w:val="28"/>
          <w:szCs w:val="28"/>
        </w:rPr>
        <w:t>30.novembrī EK nāks klajā ar pirmo oficiālo dokumentu par vienoto stratēģisko ietvaru „</w:t>
      </w:r>
      <w:r w:rsidRPr="003F1EC0">
        <w:rPr>
          <w:sz w:val="28"/>
          <w:szCs w:val="28"/>
        </w:rPr>
        <w:t>Apvārsnis 2020</w:t>
      </w:r>
      <w:r w:rsidR="001B0566" w:rsidRPr="003F1EC0">
        <w:rPr>
          <w:sz w:val="28"/>
          <w:szCs w:val="28"/>
        </w:rPr>
        <w:t>”, kurā tiks piedāvāts redzējums tādos svarīgos aspektos, kā pētniecības un inovācijas finansējuma sadalījums, programmas, atbalsts lielajiem projektiem (piemēram, ITERA, GALILEO, GMS).</w:t>
      </w:r>
    </w:p>
    <w:p w:rsidR="00E81BEE" w:rsidRPr="003F1EC0" w:rsidRDefault="00E81BEE" w:rsidP="00E81BEE">
      <w:pPr>
        <w:pStyle w:val="ListParagraph"/>
        <w:tabs>
          <w:tab w:val="left" w:pos="284"/>
          <w:tab w:val="left" w:pos="567"/>
        </w:tabs>
        <w:jc w:val="both"/>
        <w:rPr>
          <w:i/>
          <w:sz w:val="28"/>
          <w:szCs w:val="28"/>
        </w:rPr>
      </w:pPr>
    </w:p>
    <w:p w:rsidR="00EB2989" w:rsidRPr="003F1EC0" w:rsidRDefault="00E81BEE"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Vienotā tirgus akta īstenošana</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EM kompetence</w:t>
      </w:r>
    </w:p>
    <w:p w:rsidR="00EB2989" w:rsidRPr="003F1EC0" w:rsidRDefault="00EB2989" w:rsidP="00E81BEE">
      <w:pPr>
        <w:pStyle w:val="ListParagraph"/>
        <w:tabs>
          <w:tab w:val="left" w:pos="284"/>
          <w:tab w:val="left" w:pos="567"/>
        </w:tabs>
        <w:jc w:val="both"/>
        <w:rPr>
          <w:i/>
          <w:sz w:val="28"/>
          <w:szCs w:val="28"/>
        </w:rPr>
      </w:pPr>
      <w:r w:rsidRPr="003F1EC0">
        <w:rPr>
          <w:i/>
          <w:sz w:val="28"/>
          <w:szCs w:val="28"/>
        </w:rPr>
        <w:t>Komisijas sniegt</w:t>
      </w:r>
      <w:r w:rsidR="00E81BEE" w:rsidRPr="003F1EC0">
        <w:rPr>
          <w:i/>
          <w:sz w:val="28"/>
          <w:szCs w:val="28"/>
        </w:rPr>
        <w:t>ā</w:t>
      </w:r>
      <w:r w:rsidRPr="003F1EC0">
        <w:rPr>
          <w:i/>
          <w:sz w:val="28"/>
          <w:szCs w:val="28"/>
        </w:rPr>
        <w:t xml:space="preserve"> mutiska informācija par akta īstenošanu</w:t>
      </w:r>
    </w:p>
    <w:p w:rsidR="002F1BB4" w:rsidRPr="003F1EC0" w:rsidRDefault="001B0566" w:rsidP="002F1BB4">
      <w:pPr>
        <w:ind w:firstLine="360"/>
        <w:jc w:val="both"/>
      </w:pPr>
      <w:r w:rsidRPr="003F1EC0">
        <w:tab/>
      </w:r>
    </w:p>
    <w:p w:rsidR="001B0566" w:rsidRPr="003F1EC0" w:rsidRDefault="001B0566" w:rsidP="002F1BB4">
      <w:pPr>
        <w:ind w:firstLine="360"/>
        <w:jc w:val="both"/>
        <w:rPr>
          <w:sz w:val="28"/>
          <w:szCs w:val="28"/>
        </w:rPr>
      </w:pPr>
      <w:r w:rsidRPr="003F1EC0">
        <w:rPr>
          <w:sz w:val="28"/>
          <w:szCs w:val="28"/>
        </w:rPr>
        <w:t xml:space="preserve">Pēc Eiropas Komisijas prezidenta </w:t>
      </w:r>
      <w:proofErr w:type="spellStart"/>
      <w:r w:rsidRPr="003F1EC0">
        <w:rPr>
          <w:sz w:val="28"/>
          <w:szCs w:val="28"/>
        </w:rPr>
        <w:t>J.M.Barroso</w:t>
      </w:r>
      <w:proofErr w:type="spellEnd"/>
      <w:r w:rsidRPr="003F1EC0">
        <w:rPr>
          <w:sz w:val="28"/>
          <w:szCs w:val="28"/>
        </w:rPr>
        <w:t xml:space="preserve"> lūguma prof.</w:t>
      </w:r>
      <w:r w:rsidR="002F1BB4" w:rsidRPr="003F1EC0">
        <w:rPr>
          <w:sz w:val="28"/>
          <w:szCs w:val="28"/>
        </w:rPr>
        <w:t xml:space="preserve"> </w:t>
      </w:r>
      <w:proofErr w:type="spellStart"/>
      <w:r w:rsidRPr="003F1EC0">
        <w:rPr>
          <w:sz w:val="28"/>
          <w:szCs w:val="28"/>
        </w:rPr>
        <w:t>M.Monti</w:t>
      </w:r>
      <w:proofErr w:type="spellEnd"/>
      <w:r w:rsidRPr="003F1EC0">
        <w:rPr>
          <w:sz w:val="28"/>
          <w:szCs w:val="28"/>
        </w:rPr>
        <w:t xml:space="preserve"> 2010.g. maijā sagatavoja ziņojumu par trūkumiem un iespējām stiprināt vienoto tirgu. 2010.g. 27.oktobrī Komisija pieņēma paziņojumu Ceļā uz Vienotā tirgus aktu, nosaucot 50 prioritārus pasākumus, kam sekoja Eiropas līmeņa sabiedriskā apspriešana. Pēc tās, 2011.g. aprīlī Komisija pieņēma galējo Vienotā tirgus aktu, nosaucot 12 prioritāros rīcības virzienus un 12 pamatdarbības ES Vienotā tirgus stiprināšanā. Par šiem paziņojumiem sagatavotas un apstiprinātas attiecīgas nacionālās pozīcijas. Komisijas apņemšanās ir šīs 12 pamatdarbības (MVU piekļuve finansējumam, iedzīvotāju mobilitāte, intelektuālā īpašuma tiesības, patērētāji  - vienotā tirgus dalībnieki, pakalpojumi, enerģētikas un transporta infrastruktūras tīkli, digitālais vienotais tirgus, sociālā uzņēmējdarbība, enerģijas nodokļu direktīva, sociālā kohēzija, uzņēmumu regulatīvā vide, publiskie iepirkumi) realizēt, pieņemt Komisijā līdz 2011.g. beigām un panākt pieņemšanu Padomē un Eiropas Parlamentā līdz 2012.g. beigām.</w:t>
      </w:r>
    </w:p>
    <w:p w:rsidR="001B0566" w:rsidRPr="003F1EC0" w:rsidRDefault="001B0566" w:rsidP="002F1BB4">
      <w:pPr>
        <w:ind w:firstLine="360"/>
        <w:jc w:val="both"/>
        <w:rPr>
          <w:sz w:val="28"/>
          <w:szCs w:val="28"/>
        </w:rPr>
      </w:pPr>
      <w:r w:rsidRPr="003F1EC0">
        <w:rPr>
          <w:sz w:val="28"/>
          <w:szCs w:val="28"/>
        </w:rPr>
        <w:tab/>
        <w:t>Latvija pilnībā atbalsta Vienotā tirgus stiprināšanu un Vienotā tirgus akta iniciatīvu. Detalizētāks viedoklis atspoguļots apstiprinātajās (2011.g. janvāra un 2011.g. maija) pozīcijās, kā arī nacionālajās pozīcijās pie konkrēta Komisijas priekšlikuma, kas jau ir pieņemts un par kuru uzsāktas diskusijas, vai kas vēl tikai tiks publicēts.</w:t>
      </w:r>
    </w:p>
    <w:p w:rsidR="001B0566" w:rsidRPr="003F1EC0" w:rsidRDefault="001B0566" w:rsidP="002F1BB4">
      <w:pPr>
        <w:ind w:firstLine="360"/>
        <w:jc w:val="both"/>
        <w:rPr>
          <w:sz w:val="28"/>
          <w:szCs w:val="28"/>
        </w:rPr>
      </w:pPr>
      <w:r w:rsidRPr="003F1EC0">
        <w:rPr>
          <w:sz w:val="28"/>
          <w:szCs w:val="28"/>
        </w:rPr>
        <w:tab/>
        <w:t xml:space="preserve">Latvijas interesēs ir nodrošināt pēc iespējas ātrāku </w:t>
      </w:r>
      <w:r w:rsidR="00FF1517">
        <w:rPr>
          <w:sz w:val="28"/>
          <w:szCs w:val="28"/>
        </w:rPr>
        <w:t>12</w:t>
      </w:r>
      <w:r w:rsidRPr="003F1EC0">
        <w:rPr>
          <w:sz w:val="28"/>
          <w:szCs w:val="28"/>
        </w:rPr>
        <w:t xml:space="preserve"> pamatdarbību realizēšanu, ievērojot Latvijas nacionālās intereses, kā arī raudzīties plašākā perspektīvā uz ES Vienotā tirgus stiprināšanu arī pēc Vienotā tirgus akta. Minētās 12 pamatdarbības ir vairāku nozaru ministrijas kompetencē, tomēr to mērķis ir atvieglot uzņēmēju un ES iedzīvotāju iespēju </w:t>
      </w:r>
      <w:r w:rsidR="00FF1517" w:rsidRPr="003F1EC0">
        <w:rPr>
          <w:sz w:val="28"/>
          <w:szCs w:val="28"/>
        </w:rPr>
        <w:t>realizēšanu</w:t>
      </w:r>
      <w:r w:rsidRPr="003F1EC0">
        <w:rPr>
          <w:sz w:val="28"/>
          <w:szCs w:val="28"/>
        </w:rPr>
        <w:t xml:space="preserve"> ES Vienotajā tirgū. Septiņām no </w:t>
      </w:r>
      <w:r w:rsidR="00FF1517" w:rsidRPr="003F1EC0">
        <w:rPr>
          <w:sz w:val="28"/>
          <w:szCs w:val="28"/>
        </w:rPr>
        <w:t>divpadsmit</w:t>
      </w:r>
      <w:r w:rsidRPr="003F1EC0">
        <w:rPr>
          <w:sz w:val="28"/>
          <w:szCs w:val="28"/>
        </w:rPr>
        <w:t xml:space="preserve"> SMA nosauktajām pamatdarbībām ir pieņemti konkrēti Komisijas priekšlikumi (direktīvas un regulas), kā arī veiktas citas darbības SMA nosaukto pamatdarbību kontekstā.</w:t>
      </w:r>
    </w:p>
    <w:p w:rsidR="00E81BEE" w:rsidRPr="003F1EC0" w:rsidRDefault="00E81BEE" w:rsidP="00E81BEE">
      <w:pPr>
        <w:pStyle w:val="ListParagraph"/>
        <w:tabs>
          <w:tab w:val="left" w:pos="284"/>
          <w:tab w:val="left" w:pos="567"/>
        </w:tabs>
        <w:jc w:val="both"/>
        <w:rPr>
          <w:sz w:val="28"/>
          <w:szCs w:val="28"/>
        </w:rPr>
      </w:pP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Pakalpojumu direktīva: īs</w:t>
      </w:r>
      <w:r w:rsidR="00E81BEE" w:rsidRPr="003F1EC0">
        <w:rPr>
          <w:b/>
          <w:sz w:val="28"/>
          <w:szCs w:val="28"/>
        </w:rPr>
        <w:t>tenošanas stāvoklis</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EM kompetence</w:t>
      </w:r>
    </w:p>
    <w:p w:rsidR="00EB2989" w:rsidRPr="003F1EC0" w:rsidRDefault="00EB2989" w:rsidP="00E81BEE">
      <w:pPr>
        <w:pStyle w:val="ListParagraph"/>
        <w:tabs>
          <w:tab w:val="left" w:pos="284"/>
          <w:tab w:val="left" w:pos="567"/>
        </w:tabs>
        <w:jc w:val="both"/>
        <w:rPr>
          <w:i/>
          <w:sz w:val="28"/>
          <w:szCs w:val="28"/>
        </w:rPr>
      </w:pPr>
      <w:r w:rsidRPr="003F1EC0">
        <w:rPr>
          <w:i/>
          <w:sz w:val="28"/>
          <w:szCs w:val="28"/>
        </w:rPr>
        <w:t>Komisijas sniegta mutiska informācija</w:t>
      </w:r>
    </w:p>
    <w:p w:rsidR="002F1BB4" w:rsidRPr="003F1EC0" w:rsidRDefault="002F1BB4" w:rsidP="002F1BB4">
      <w:pPr>
        <w:ind w:firstLine="720"/>
        <w:jc w:val="both"/>
        <w:rPr>
          <w:sz w:val="28"/>
          <w:szCs w:val="28"/>
        </w:rPr>
      </w:pPr>
    </w:p>
    <w:p w:rsidR="001B0566" w:rsidRPr="003F1EC0" w:rsidRDefault="007302F4" w:rsidP="002F1BB4">
      <w:pPr>
        <w:ind w:firstLine="720"/>
        <w:jc w:val="both"/>
        <w:rPr>
          <w:sz w:val="28"/>
          <w:szCs w:val="28"/>
        </w:rPr>
      </w:pPr>
      <w:r w:rsidRPr="003F1EC0">
        <w:rPr>
          <w:sz w:val="28"/>
          <w:szCs w:val="28"/>
        </w:rPr>
        <w:t xml:space="preserve">Sanāksmes laikā ir sagaidāms, ka Komisija sniegs mutisko informāciju par Pakalpojumu direktīvas īstenošanu. </w:t>
      </w:r>
      <w:r w:rsidR="001B0566" w:rsidRPr="003F1EC0">
        <w:rPr>
          <w:sz w:val="28"/>
          <w:szCs w:val="28"/>
        </w:rPr>
        <w:t>Ieviešot Pakalpojumu direktīvas prasības Latvijā, tika veikti šādi pasākumi:</w:t>
      </w:r>
    </w:p>
    <w:p w:rsidR="001B0566" w:rsidRPr="003F1EC0" w:rsidRDefault="001B0566" w:rsidP="007302F4">
      <w:pPr>
        <w:pStyle w:val="ListParagraph"/>
        <w:numPr>
          <w:ilvl w:val="0"/>
          <w:numId w:val="23"/>
        </w:numPr>
        <w:tabs>
          <w:tab w:val="left" w:pos="284"/>
        </w:tabs>
        <w:ind w:left="0" w:firstLine="0"/>
        <w:jc w:val="both"/>
        <w:rPr>
          <w:sz w:val="28"/>
          <w:szCs w:val="28"/>
        </w:rPr>
      </w:pPr>
      <w:r w:rsidRPr="003F1EC0">
        <w:rPr>
          <w:sz w:val="28"/>
          <w:szCs w:val="28"/>
        </w:rPr>
        <w:t>Horizontālās normas tika noteiktas Brīvas pakalpojumu sniegšanas likumā, nosakot organizatoriskos un tiesiskos pamatus pakalpojuma sniegšanai un saņemšanai. Pilnveidojot regulējumu, kas pārņem Pakalpojumu direktīvas prasības, izstrādāts likumprojekts „Grozījumi Brīvas pakalpojumu sniegšanas likumā” (16.11.2011. atbalstīts 1.lasījumā) Likumprojekta mērķis ir novērst Komisijas konstatētās nepilnības.</w:t>
      </w:r>
    </w:p>
    <w:p w:rsidR="001B0566" w:rsidRPr="003F1EC0" w:rsidRDefault="001B0566" w:rsidP="007302F4">
      <w:pPr>
        <w:pStyle w:val="ListParagraph"/>
        <w:numPr>
          <w:ilvl w:val="0"/>
          <w:numId w:val="23"/>
        </w:numPr>
        <w:tabs>
          <w:tab w:val="left" w:pos="284"/>
        </w:tabs>
        <w:ind w:left="0" w:firstLine="0"/>
        <w:jc w:val="both"/>
        <w:rPr>
          <w:sz w:val="28"/>
          <w:szCs w:val="28"/>
        </w:rPr>
      </w:pPr>
      <w:r w:rsidRPr="003F1EC0">
        <w:rPr>
          <w:sz w:val="28"/>
          <w:szCs w:val="28"/>
        </w:rPr>
        <w:t xml:space="preserve">Vienotais kontaktpunkts tika ieviests, balstoties uz koncepciju, kura ir apstiprināta ar Ministru kabineta 2009.gada 28.maija </w:t>
      </w:r>
      <w:hyperlink r:id="rId9" w:history="1">
        <w:r w:rsidRPr="003F1EC0">
          <w:rPr>
            <w:sz w:val="28"/>
            <w:szCs w:val="28"/>
          </w:rPr>
          <w:t>rīkojumu Nr.342</w:t>
        </w:r>
      </w:hyperlink>
      <w:r w:rsidRPr="003F1EC0">
        <w:rPr>
          <w:sz w:val="28"/>
          <w:szCs w:val="28"/>
        </w:rPr>
        <w:t xml:space="preserve">. Par Latvijas vienoto kontaktpunktu ir izvēlēts vienotais valsts un pašvaldību pakalpojumu portāls </w:t>
      </w:r>
      <w:hyperlink r:id="rId10" w:history="1">
        <w:r w:rsidRPr="003F1EC0">
          <w:rPr>
            <w:sz w:val="28"/>
            <w:szCs w:val="28"/>
          </w:rPr>
          <w:t>www.latvija.lv</w:t>
        </w:r>
      </w:hyperlink>
      <w:r w:rsidRPr="003F1EC0">
        <w:rPr>
          <w:sz w:val="28"/>
          <w:szCs w:val="28"/>
        </w:rPr>
        <w:t>. Turpinās darbs pie portāla pilnveidošanas.</w:t>
      </w:r>
    </w:p>
    <w:p w:rsidR="001B0566" w:rsidRPr="003F1EC0" w:rsidRDefault="001B0566" w:rsidP="007302F4">
      <w:pPr>
        <w:pStyle w:val="ListParagraph"/>
        <w:numPr>
          <w:ilvl w:val="0"/>
          <w:numId w:val="23"/>
        </w:numPr>
        <w:tabs>
          <w:tab w:val="left" w:pos="284"/>
        </w:tabs>
        <w:ind w:left="0" w:firstLine="0"/>
        <w:jc w:val="both"/>
        <w:rPr>
          <w:sz w:val="28"/>
          <w:szCs w:val="28"/>
        </w:rPr>
      </w:pPr>
      <w:r w:rsidRPr="003F1EC0">
        <w:rPr>
          <w:sz w:val="28"/>
          <w:szCs w:val="28"/>
        </w:rPr>
        <w:t xml:space="preserve">Tika paplašināta Iekšējā tirgus informācijas sistēma (IMI), kura nodrošina drošu un ātru datu apmaiņu starp ES dalībvalstu atbildīgajām valsts līmeņa, reģionu un pašvaldību iestādēm. 2011.gada novembrī IMI sistēmā bija reģistrētas 52 Latvijas iestādes. </w:t>
      </w:r>
    </w:p>
    <w:p w:rsidR="00E81BEE" w:rsidRPr="003F1EC0" w:rsidRDefault="00E81BEE" w:rsidP="00E81BEE">
      <w:pPr>
        <w:pStyle w:val="ListParagraph"/>
        <w:tabs>
          <w:tab w:val="left" w:pos="284"/>
          <w:tab w:val="left" w:pos="567"/>
        </w:tabs>
        <w:jc w:val="both"/>
        <w:rPr>
          <w:i/>
          <w:sz w:val="28"/>
          <w:szCs w:val="28"/>
        </w:rPr>
      </w:pP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Patēriņa tirgu rezultātu apkopojums</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EM kompetence</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Komisijas sniegtā informācija</w:t>
      </w:r>
    </w:p>
    <w:p w:rsidR="007302F4" w:rsidRPr="003F1EC0" w:rsidRDefault="007302F4" w:rsidP="001B0566">
      <w:pPr>
        <w:pStyle w:val="ManualNumPar1"/>
        <w:spacing w:before="0" w:after="0"/>
        <w:ind w:left="-142" w:right="-58" w:firstLine="567"/>
        <w:contextualSpacing/>
        <w:rPr>
          <w:snapToGrid/>
          <w:sz w:val="28"/>
          <w:szCs w:val="28"/>
          <w:lang w:eastAsia="lv-LV"/>
        </w:rPr>
      </w:pPr>
    </w:p>
    <w:p w:rsidR="001B0566" w:rsidRPr="003F1EC0" w:rsidRDefault="001B0566" w:rsidP="007302F4">
      <w:pPr>
        <w:pStyle w:val="ManualNumPar1"/>
        <w:spacing w:before="0" w:after="0"/>
        <w:ind w:left="-142" w:right="-58" w:firstLine="851"/>
        <w:contextualSpacing/>
        <w:rPr>
          <w:snapToGrid/>
          <w:sz w:val="28"/>
          <w:szCs w:val="28"/>
          <w:lang w:eastAsia="lv-LV"/>
        </w:rPr>
      </w:pPr>
      <w:r w:rsidRPr="003F1EC0">
        <w:rPr>
          <w:snapToGrid/>
          <w:sz w:val="28"/>
          <w:szCs w:val="28"/>
          <w:lang w:eastAsia="lv-LV"/>
        </w:rPr>
        <w:t>Kopš 2008.gada Eiropas Komisija ir publiskojusi kopumā jau sešus patēriņa tirgu pārskata ziņojumus (sestais ir publicēts 21.10.</w:t>
      </w:r>
      <w:r w:rsidR="007302F4" w:rsidRPr="003F1EC0">
        <w:rPr>
          <w:snapToGrid/>
          <w:sz w:val="28"/>
          <w:szCs w:val="28"/>
          <w:lang w:eastAsia="lv-LV"/>
        </w:rPr>
        <w:t>20</w:t>
      </w:r>
      <w:r w:rsidRPr="003F1EC0">
        <w:rPr>
          <w:snapToGrid/>
          <w:sz w:val="28"/>
          <w:szCs w:val="28"/>
          <w:lang w:eastAsia="lv-LV"/>
        </w:rPr>
        <w:t>11.), kuru galvenais mērķis ir noteikt, kuras tirgus daļas nedarbojas sekmīgi attiecībā uz patērētājiem. Pārskata ziņojuma veikšana ir galvenais Komisijas instruments, lai identificētu minētās tirgus daļas, veiktu to padziļinātu analīzi un noteiktu risinājuma variantus to darbības uzlabošanai. Ziņojums tiek publicēts divas reizes gadā.</w:t>
      </w:r>
    </w:p>
    <w:p w:rsidR="001B0566" w:rsidRPr="003F1EC0" w:rsidRDefault="001B0566" w:rsidP="007302F4">
      <w:pPr>
        <w:pStyle w:val="ManualNumPar1"/>
        <w:spacing w:before="0" w:after="0"/>
        <w:ind w:left="-142" w:right="-58" w:firstLine="851"/>
        <w:contextualSpacing/>
        <w:rPr>
          <w:sz w:val="28"/>
          <w:szCs w:val="28"/>
        </w:rPr>
      </w:pPr>
      <w:r w:rsidRPr="003F1EC0">
        <w:rPr>
          <w:snapToGrid/>
          <w:sz w:val="28"/>
          <w:szCs w:val="28"/>
          <w:lang w:eastAsia="lv-LV"/>
        </w:rPr>
        <w:t>Rudens pārskata ziņojumā tiek apskatīti tādi rādītāji kā piedāvājumu salīdzinājums, patērētāju apmierinātība, uzticība mazumtirgotājiem, sūdzības, preču cenas un drošums.</w:t>
      </w:r>
      <w:r w:rsidR="007302F4" w:rsidRPr="003F1EC0">
        <w:rPr>
          <w:snapToGrid/>
          <w:sz w:val="28"/>
          <w:szCs w:val="28"/>
          <w:lang w:eastAsia="lv-LV"/>
        </w:rPr>
        <w:t xml:space="preserve"> </w:t>
      </w:r>
      <w:r w:rsidRPr="003F1EC0">
        <w:rPr>
          <w:sz w:val="28"/>
          <w:szCs w:val="28"/>
        </w:rPr>
        <w:t>2011.gada 21.oktobra publicētajā sestajā patēriņa tirgu pārskata ziņojumā konstatēts, ka pakalpojumu tirgus sfēras rādītāji joprojām ir neapmierinoši, zem vidējā līmeņa rādītājiem ir infrastruktūras  (pasta, ūdensapgādes, elektroapgādes, vilciena) un finanšu pakalpojumi.</w:t>
      </w:r>
    </w:p>
    <w:p w:rsidR="001B0566" w:rsidRPr="003F1EC0" w:rsidRDefault="001B0566" w:rsidP="007302F4">
      <w:pPr>
        <w:ind w:left="-142" w:firstLine="851"/>
        <w:contextualSpacing/>
        <w:jc w:val="both"/>
        <w:rPr>
          <w:sz w:val="28"/>
          <w:szCs w:val="28"/>
        </w:rPr>
      </w:pPr>
      <w:r w:rsidRPr="003F1EC0">
        <w:rPr>
          <w:sz w:val="28"/>
          <w:szCs w:val="28"/>
        </w:rPr>
        <w:t xml:space="preserve">Lielākie uzlabojumi visā ES ir konstatēti tādās pakalpojumu sfērās kā investīcijas, pensijas un vērtspapīri; kafejnīcas, bāri, restorāni; ne pirmās nepieciešamības preces. Tomēr neskatoties uz to, investīcijas, pensijas un vērtspapīru pakalpojumu tirgus ieņem pēdējo vietu starp rādītājiem. Savukārt </w:t>
      </w:r>
      <w:r w:rsidRPr="003F1EC0">
        <w:rPr>
          <w:sz w:val="28"/>
          <w:szCs w:val="28"/>
        </w:rPr>
        <w:lastRenderedPageBreak/>
        <w:t xml:space="preserve">degvielas un elektrības pakalpojumi uzrāda lielāko kritumu starp līdzīgu pakalpojumu tirgu rādītājiem. Pārskata ziņojumā norādīts, ka Latvijas pakalpojumu tirgus rādītāji dažās pozīcijās, tādās kā fiksētie un mobilie sakari, vilcienu un banku pakalpojumi,  ierindojas augstākā pozīcijā nekā ES kopumā. </w:t>
      </w:r>
    </w:p>
    <w:p w:rsidR="001B0566" w:rsidRPr="003F1EC0" w:rsidRDefault="001B0566" w:rsidP="007302F4">
      <w:pPr>
        <w:ind w:left="-142" w:firstLine="851"/>
        <w:contextualSpacing/>
        <w:jc w:val="both"/>
        <w:rPr>
          <w:sz w:val="28"/>
          <w:szCs w:val="28"/>
        </w:rPr>
      </w:pPr>
      <w:r w:rsidRPr="003F1EC0">
        <w:rPr>
          <w:sz w:val="28"/>
          <w:szCs w:val="28"/>
        </w:rPr>
        <w:t>Savukārt preču tirgos ar dažiem izņēmumiem (lietots autotransports, degviela) ES kopumā preču tirgu funkcionēšanas rādītāji ir ievērojami uzlabojušies.</w:t>
      </w:r>
    </w:p>
    <w:p w:rsidR="001B0566" w:rsidRPr="003F1EC0" w:rsidRDefault="001B0566" w:rsidP="007302F4">
      <w:pPr>
        <w:ind w:left="-142" w:firstLine="851"/>
        <w:contextualSpacing/>
        <w:jc w:val="both"/>
        <w:rPr>
          <w:sz w:val="28"/>
          <w:szCs w:val="28"/>
        </w:rPr>
      </w:pPr>
      <w:r w:rsidRPr="003F1EC0">
        <w:rPr>
          <w:sz w:val="28"/>
          <w:szCs w:val="28"/>
        </w:rPr>
        <w:t xml:space="preserve">Attiecībā uz dalībvalstu sūdzībām Eiropas Komisija šobrīd strādā ar  attiecīgajām valstu iestādēm, lai izpildītu Sūdzību rekomendācijas (C(2010)3021 </w:t>
      </w:r>
      <w:proofErr w:type="spellStart"/>
      <w:r w:rsidRPr="003F1EC0">
        <w:rPr>
          <w:sz w:val="28"/>
          <w:szCs w:val="28"/>
        </w:rPr>
        <w:t>final</w:t>
      </w:r>
      <w:proofErr w:type="spellEnd"/>
      <w:r w:rsidRPr="003F1EC0">
        <w:rPr>
          <w:sz w:val="28"/>
          <w:szCs w:val="28"/>
        </w:rPr>
        <w:t>), kas nodrošinās turpmākajiem pārskatiem salīdzināmus datus par sūdzībām visā ES.</w:t>
      </w:r>
    </w:p>
    <w:p w:rsidR="001B0566" w:rsidRPr="003F1EC0" w:rsidRDefault="001B0566" w:rsidP="001B0566">
      <w:pPr>
        <w:ind w:left="1134"/>
        <w:rPr>
          <w:b/>
          <w:color w:val="FF0000"/>
        </w:rPr>
      </w:pPr>
    </w:p>
    <w:p w:rsidR="007D3580"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Priekšlikums Direktīvai par nenosakāmu autortiesību darbu aizsardzību</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KM kompetence</w:t>
      </w:r>
    </w:p>
    <w:p w:rsidR="00E81BEE" w:rsidRPr="003F1EC0" w:rsidRDefault="00E81BEE" w:rsidP="00E81BEE">
      <w:pPr>
        <w:pStyle w:val="ListParagraph"/>
        <w:tabs>
          <w:tab w:val="left" w:pos="284"/>
        </w:tabs>
        <w:contextualSpacing w:val="0"/>
        <w:jc w:val="both"/>
        <w:rPr>
          <w:i/>
          <w:sz w:val="28"/>
          <w:szCs w:val="28"/>
        </w:rPr>
      </w:pPr>
      <w:r w:rsidRPr="003F1EC0">
        <w:rPr>
          <w:i/>
          <w:sz w:val="28"/>
          <w:szCs w:val="28"/>
        </w:rPr>
        <w:t>Prezidentvalsts sniegta informācija par panākto progresu</w:t>
      </w:r>
    </w:p>
    <w:p w:rsidR="000A020A" w:rsidRPr="003F1EC0" w:rsidRDefault="000A020A" w:rsidP="000A020A">
      <w:pPr>
        <w:tabs>
          <w:tab w:val="left" w:pos="284"/>
        </w:tabs>
        <w:jc w:val="both"/>
        <w:rPr>
          <w:sz w:val="28"/>
          <w:szCs w:val="28"/>
        </w:rPr>
      </w:pPr>
    </w:p>
    <w:p w:rsidR="000A020A" w:rsidRPr="003F1EC0" w:rsidRDefault="000A020A" w:rsidP="000A020A">
      <w:pPr>
        <w:tabs>
          <w:tab w:val="left" w:pos="284"/>
        </w:tabs>
        <w:ind w:firstLine="709"/>
        <w:jc w:val="both"/>
        <w:rPr>
          <w:sz w:val="28"/>
          <w:szCs w:val="28"/>
        </w:rPr>
      </w:pPr>
      <w:r w:rsidRPr="003F1EC0">
        <w:rPr>
          <w:sz w:val="28"/>
          <w:szCs w:val="28"/>
        </w:rPr>
        <w:t xml:space="preserve">Priekšlikuma mērķis ir radīt tiesisko regulējumu, lai nodrošinātu likumīgu pārrobežu piekļuvi tiešsaistē pieejamiem nenosakāmu autoru darbiem (t.i. tādiem darbiem, kuru autortiesību īpašnieki nav zināmi vai atrasti), kas atrodas publiski pieejamās bibliotēkās, izglītības iestādēs, muzejos, arhīvos, filmu mantojuma iestādēs un sabiedriskajās raidorganizācijās, ja šīs iestādes izmanto nenosakāmu autoru darbus ar sabiedrības interesēm saistītu mērķu īstenošanai. </w:t>
      </w:r>
    </w:p>
    <w:p w:rsidR="00E81BEE" w:rsidRPr="003F1EC0" w:rsidRDefault="000A020A" w:rsidP="000A020A">
      <w:pPr>
        <w:tabs>
          <w:tab w:val="left" w:pos="284"/>
        </w:tabs>
        <w:ind w:firstLine="709"/>
        <w:jc w:val="both"/>
        <w:rPr>
          <w:sz w:val="28"/>
          <w:szCs w:val="28"/>
        </w:rPr>
      </w:pPr>
      <w:r w:rsidRPr="003F1EC0">
        <w:rPr>
          <w:sz w:val="28"/>
          <w:szCs w:val="28"/>
        </w:rPr>
        <w:t>Polijas prezidentūras laikā ES dalībvalstis ir uzsākušas diskusijas par priekšlikumu direktīvai.</w:t>
      </w:r>
    </w:p>
    <w:p w:rsidR="000A020A" w:rsidRPr="003F1EC0" w:rsidRDefault="000A020A" w:rsidP="000A020A">
      <w:pPr>
        <w:tabs>
          <w:tab w:val="left" w:pos="284"/>
        </w:tabs>
        <w:jc w:val="both"/>
        <w:rPr>
          <w:i/>
          <w:sz w:val="28"/>
          <w:szCs w:val="28"/>
        </w:rPr>
      </w:pPr>
    </w:p>
    <w:p w:rsidR="00EB2989" w:rsidRPr="003F1EC0" w:rsidRDefault="00EB2989" w:rsidP="00E81BEE">
      <w:pPr>
        <w:pStyle w:val="ListParagraph"/>
        <w:numPr>
          <w:ilvl w:val="0"/>
          <w:numId w:val="15"/>
        </w:numPr>
        <w:tabs>
          <w:tab w:val="left" w:pos="284"/>
        </w:tabs>
        <w:ind w:left="0" w:firstLine="0"/>
        <w:contextualSpacing w:val="0"/>
        <w:jc w:val="both"/>
        <w:rPr>
          <w:b/>
          <w:sz w:val="28"/>
          <w:szCs w:val="28"/>
        </w:rPr>
      </w:pPr>
      <w:r w:rsidRPr="003F1EC0">
        <w:rPr>
          <w:b/>
          <w:sz w:val="28"/>
          <w:szCs w:val="28"/>
        </w:rPr>
        <w:t xml:space="preserve">Priekšlikums – Eiropas Parlamenta un Padomes Regula par muitas darbu </w:t>
      </w:r>
      <w:r w:rsidR="00E81BEE" w:rsidRPr="003F1EC0">
        <w:rPr>
          <w:b/>
          <w:sz w:val="28"/>
          <w:szCs w:val="28"/>
        </w:rPr>
        <w:t xml:space="preserve"> </w:t>
      </w:r>
      <w:r w:rsidRPr="003F1EC0">
        <w:rPr>
          <w:b/>
          <w:sz w:val="28"/>
          <w:szCs w:val="28"/>
        </w:rPr>
        <w:t>intelektuālā īpašuma tiesību īstenošanā</w:t>
      </w:r>
    </w:p>
    <w:p w:rsidR="00E81BEE" w:rsidRPr="003F1EC0" w:rsidRDefault="00E81BEE" w:rsidP="00E81BEE">
      <w:pPr>
        <w:pStyle w:val="ListParagraph"/>
        <w:tabs>
          <w:tab w:val="left" w:pos="284"/>
          <w:tab w:val="left" w:pos="567"/>
        </w:tabs>
        <w:jc w:val="both"/>
        <w:rPr>
          <w:i/>
          <w:sz w:val="28"/>
          <w:szCs w:val="28"/>
        </w:rPr>
      </w:pPr>
      <w:r w:rsidRPr="003F1EC0">
        <w:rPr>
          <w:i/>
          <w:sz w:val="28"/>
          <w:szCs w:val="28"/>
        </w:rPr>
        <w:t>FM kompetence</w:t>
      </w:r>
    </w:p>
    <w:p w:rsidR="00EB2989" w:rsidRPr="003F1EC0" w:rsidRDefault="00E81BEE" w:rsidP="007D3580">
      <w:pPr>
        <w:tabs>
          <w:tab w:val="left" w:pos="284"/>
        </w:tabs>
        <w:jc w:val="both"/>
        <w:rPr>
          <w:i/>
          <w:sz w:val="28"/>
          <w:szCs w:val="28"/>
        </w:rPr>
      </w:pPr>
      <w:r w:rsidRPr="003F1EC0">
        <w:rPr>
          <w:i/>
          <w:sz w:val="28"/>
          <w:szCs w:val="28"/>
        </w:rPr>
        <w:tab/>
      </w:r>
      <w:r w:rsidRPr="003F1EC0">
        <w:rPr>
          <w:i/>
          <w:sz w:val="28"/>
          <w:szCs w:val="28"/>
        </w:rPr>
        <w:tab/>
        <w:t>P</w:t>
      </w:r>
      <w:r w:rsidR="00EB2989" w:rsidRPr="003F1EC0">
        <w:rPr>
          <w:i/>
          <w:sz w:val="28"/>
          <w:szCs w:val="28"/>
        </w:rPr>
        <w:t>rogresa ziņojums</w:t>
      </w:r>
    </w:p>
    <w:p w:rsidR="000A020A" w:rsidRPr="003F1EC0" w:rsidRDefault="000A020A" w:rsidP="000A020A">
      <w:pPr>
        <w:jc w:val="both"/>
        <w:rPr>
          <w:rFonts w:eastAsiaTheme="minorHAnsi"/>
          <w:sz w:val="28"/>
        </w:rPr>
      </w:pPr>
    </w:p>
    <w:p w:rsidR="000A020A" w:rsidRPr="003F1EC0" w:rsidRDefault="000A020A" w:rsidP="000A020A">
      <w:pPr>
        <w:ind w:firstLine="709"/>
        <w:jc w:val="both"/>
        <w:rPr>
          <w:rFonts w:eastAsiaTheme="minorHAnsi"/>
          <w:b/>
          <w:bCs/>
          <w:sz w:val="28"/>
        </w:rPr>
      </w:pPr>
      <w:r w:rsidRPr="003F1EC0">
        <w:rPr>
          <w:rFonts w:eastAsiaTheme="minorHAnsi"/>
          <w:sz w:val="28"/>
        </w:rPr>
        <w:t xml:space="preserve">Š.g. jūnijā tika sagatavota sākotnējā pozīcija „Priekšlikums – Eiropas Parlamenta un Padomes regulai par muitas darbu intelektuālā īpašuma tiesību īstenošanā”, kurā tika pausts, ka Latvija kopumā atbalsta regulas projektu, jo tas precizē iesaistīto pušu tiesības un pienākumus, un darbības termiņus, </w:t>
      </w:r>
      <w:r w:rsidRPr="003F1EC0">
        <w:rPr>
          <w:rFonts w:eastAsiaTheme="minorHAnsi"/>
          <w:bCs/>
          <w:sz w:val="28"/>
        </w:rPr>
        <w:t>ar nosacījumu, ka tajā tiek veiktas izmaiņas, kas ļautu regulu piemērot atbilstoši Latvijas situācijai un interesēm, it īpaši attiecībā uz prasību muitas iestādēm piemērot īpašu procedūru mazos sūtījumos sūtītu viltoto preču iznīcināšanai.</w:t>
      </w:r>
    </w:p>
    <w:p w:rsidR="000A020A" w:rsidRPr="003F1EC0" w:rsidRDefault="000A020A" w:rsidP="000A020A">
      <w:pPr>
        <w:ind w:firstLine="709"/>
        <w:jc w:val="both"/>
        <w:rPr>
          <w:rFonts w:eastAsiaTheme="minorHAnsi"/>
          <w:sz w:val="28"/>
        </w:rPr>
      </w:pPr>
      <w:r w:rsidRPr="003F1EC0">
        <w:rPr>
          <w:rFonts w:eastAsiaTheme="minorHAnsi"/>
          <w:sz w:val="28"/>
        </w:rPr>
        <w:t>Viens no Latvijai aktuālākajiem jautājumiem ir regulas projekta 24.pants, kurš paredz iespēju izmantot speciālu procedūru attiecībā uz mazu sūtījumu iznīcināšanu, jo:</w:t>
      </w:r>
    </w:p>
    <w:p w:rsidR="000A020A" w:rsidRPr="003F1EC0" w:rsidRDefault="000A020A" w:rsidP="007302F4">
      <w:pPr>
        <w:pStyle w:val="ListParagraph"/>
        <w:numPr>
          <w:ilvl w:val="0"/>
          <w:numId w:val="24"/>
        </w:numPr>
        <w:tabs>
          <w:tab w:val="left" w:pos="284"/>
        </w:tabs>
        <w:ind w:left="0" w:firstLine="0"/>
        <w:jc w:val="both"/>
        <w:rPr>
          <w:rFonts w:eastAsiaTheme="minorHAnsi"/>
          <w:sz w:val="28"/>
        </w:rPr>
      </w:pPr>
      <w:r w:rsidRPr="003F1EC0">
        <w:rPr>
          <w:rFonts w:eastAsiaTheme="minorHAnsi"/>
          <w:sz w:val="28"/>
        </w:rPr>
        <w:t>nav skaidri definētas tās robežvērtības, ko uzskata par maziem sūtījumiem;</w:t>
      </w:r>
    </w:p>
    <w:p w:rsidR="000A020A" w:rsidRPr="003F1EC0" w:rsidRDefault="000A020A" w:rsidP="007302F4">
      <w:pPr>
        <w:pStyle w:val="ListParagraph"/>
        <w:numPr>
          <w:ilvl w:val="0"/>
          <w:numId w:val="24"/>
        </w:numPr>
        <w:tabs>
          <w:tab w:val="left" w:pos="284"/>
        </w:tabs>
        <w:ind w:left="0" w:firstLine="0"/>
        <w:jc w:val="both"/>
        <w:rPr>
          <w:rFonts w:eastAsiaTheme="minorHAnsi"/>
          <w:sz w:val="28"/>
        </w:rPr>
      </w:pPr>
      <w:r w:rsidRPr="003F1EC0">
        <w:rPr>
          <w:rFonts w:eastAsiaTheme="minorHAnsi"/>
          <w:sz w:val="28"/>
        </w:rPr>
        <w:t>„valstij nebūtu jāuzņemas viltotu preču iznīcināšanas izmaksas (tajās ietilpst arī administratīvās izmaksas par iznīcināšanas organizēšanu);</w:t>
      </w:r>
    </w:p>
    <w:p w:rsidR="000A020A" w:rsidRPr="003F1EC0" w:rsidRDefault="000A020A" w:rsidP="007302F4">
      <w:pPr>
        <w:pStyle w:val="ListParagraph"/>
        <w:numPr>
          <w:ilvl w:val="0"/>
          <w:numId w:val="24"/>
        </w:numPr>
        <w:tabs>
          <w:tab w:val="left" w:pos="284"/>
        </w:tabs>
        <w:ind w:left="0" w:firstLine="0"/>
        <w:jc w:val="both"/>
        <w:rPr>
          <w:rFonts w:eastAsiaTheme="minorHAnsi"/>
          <w:sz w:val="28"/>
        </w:rPr>
      </w:pPr>
      <w:r w:rsidRPr="003F1EC0">
        <w:rPr>
          <w:rFonts w:eastAsiaTheme="minorHAnsi"/>
          <w:sz w:val="28"/>
        </w:rPr>
        <w:lastRenderedPageBreak/>
        <w:t>muitas iestādes nevar uzņemties atbildību noteikt, ka preces ir viltotas, nesaņemot attiecīgu apstiprinājumu no tiesību īpašnieka;</w:t>
      </w:r>
    </w:p>
    <w:p w:rsidR="000A020A" w:rsidRPr="003F1EC0" w:rsidRDefault="000A020A" w:rsidP="007302F4">
      <w:pPr>
        <w:pStyle w:val="ListParagraph"/>
        <w:numPr>
          <w:ilvl w:val="0"/>
          <w:numId w:val="24"/>
        </w:numPr>
        <w:tabs>
          <w:tab w:val="left" w:pos="284"/>
        </w:tabs>
        <w:ind w:left="0" w:firstLine="0"/>
        <w:jc w:val="both"/>
        <w:rPr>
          <w:rFonts w:eastAsiaTheme="minorHAnsi"/>
          <w:sz w:val="28"/>
        </w:rPr>
      </w:pPr>
      <w:r w:rsidRPr="003F1EC0">
        <w:rPr>
          <w:rFonts w:eastAsiaTheme="minorHAnsi"/>
          <w:sz w:val="28"/>
        </w:rPr>
        <w:t>šī procedūra kopumā nesamazinās administratīvo slogu, bet administratīvais slogs tiks pārdalīts samazinot to tiesību īpašniekiem un palielinot muitas iestādēm (jo muitas iestādei nevis tiesību subjektam būs jāpierāda, ka ir pārkāptas IĪT un tas attiecīgi jānorāda lēmuma pamatojumā, kuru nosūtīs preču īpašniekam.</w:t>
      </w:r>
    </w:p>
    <w:p w:rsidR="000A020A" w:rsidRPr="003F1EC0" w:rsidRDefault="000A020A" w:rsidP="000A020A">
      <w:pPr>
        <w:ind w:firstLine="709"/>
        <w:jc w:val="both"/>
        <w:rPr>
          <w:rFonts w:eastAsiaTheme="minorHAnsi"/>
          <w:sz w:val="28"/>
        </w:rPr>
      </w:pPr>
      <w:r w:rsidRPr="003F1EC0">
        <w:rPr>
          <w:rFonts w:eastAsiaTheme="minorHAnsi"/>
          <w:sz w:val="28"/>
        </w:rPr>
        <w:t>Ņemot vērā augstākminēto, uzskatām, ka 24.pantu no Priekšlikuma Eiropas Parlamenta un Padomes regulai par muitas darbu intelektuālā īpašuma tiesību īstenošanā nepieciešams svītrot. Lietderīgāk būtu deleģēt muitas iestādēm tiesības pieņemt lēmumu par viltotu preču iznīcināšanu, pamatojoties uz tiesību īpašnieka sniegto apstiprinājumu, ka attiecīgās preces pārkāpj intelektuālā īpašuma tiesības. Tādējādi nebūtu nepieciešami tiesas spriedumi, lai atzītu preces par viltotām, un  līdz ar to ievērojami paātrinātos viltoto preču iznīcināšanas procedūra, kā arī tiktu ietaupīti administratīvie izdevumi tiesību īpašniekiem.</w:t>
      </w:r>
    </w:p>
    <w:p w:rsidR="000A020A" w:rsidRPr="003F1EC0" w:rsidRDefault="000A020A" w:rsidP="000A020A">
      <w:pPr>
        <w:ind w:firstLine="709"/>
        <w:jc w:val="both"/>
        <w:rPr>
          <w:rFonts w:eastAsiaTheme="minorHAnsi"/>
          <w:sz w:val="28"/>
        </w:rPr>
      </w:pPr>
      <w:r w:rsidRPr="003F1EC0">
        <w:rPr>
          <w:rFonts w:eastAsiaTheme="minorHAnsi"/>
          <w:sz w:val="28"/>
        </w:rPr>
        <w:t>Pašlaik ir noslēdzies regulas 1.lasījums, un tiek gatavota jauna šī regulas projekta redakcija.</w:t>
      </w:r>
      <w:bookmarkStart w:id="2" w:name="_GoBack"/>
      <w:bookmarkEnd w:id="2"/>
    </w:p>
    <w:p w:rsidR="00E81BEE" w:rsidRPr="003F1EC0" w:rsidRDefault="00E81BEE" w:rsidP="007D3580">
      <w:pPr>
        <w:tabs>
          <w:tab w:val="left" w:pos="284"/>
        </w:tabs>
        <w:jc w:val="both"/>
        <w:rPr>
          <w:i/>
          <w:sz w:val="32"/>
          <w:szCs w:val="28"/>
        </w:rPr>
      </w:pPr>
    </w:p>
    <w:p w:rsidR="00EB2989" w:rsidRPr="000745EB" w:rsidRDefault="00EB2989" w:rsidP="000745EB">
      <w:pPr>
        <w:pStyle w:val="ListParagraph"/>
        <w:numPr>
          <w:ilvl w:val="0"/>
          <w:numId w:val="15"/>
        </w:numPr>
        <w:tabs>
          <w:tab w:val="left" w:pos="284"/>
        </w:tabs>
        <w:jc w:val="both"/>
        <w:rPr>
          <w:b/>
          <w:sz w:val="28"/>
          <w:szCs w:val="28"/>
        </w:rPr>
      </w:pPr>
      <w:r w:rsidRPr="000745EB">
        <w:rPr>
          <w:b/>
          <w:sz w:val="28"/>
          <w:szCs w:val="28"/>
        </w:rPr>
        <w:t>Priekšlikums Direktīvai par alternatīvu strīdu izšķiršanu (</w:t>
      </w:r>
      <w:r w:rsidRPr="000745EB">
        <w:rPr>
          <w:b/>
          <w:i/>
          <w:iCs/>
          <w:sz w:val="28"/>
          <w:szCs w:val="28"/>
        </w:rPr>
        <w:t>ADR</w:t>
      </w:r>
      <w:r w:rsidRPr="000745EB">
        <w:rPr>
          <w:b/>
          <w:sz w:val="28"/>
          <w:szCs w:val="28"/>
        </w:rPr>
        <w:t>) un priekšlikums Regulai par strīdu izšķiršanu tiešsaistē (</w:t>
      </w:r>
      <w:r w:rsidRPr="000745EB">
        <w:rPr>
          <w:b/>
          <w:i/>
          <w:iCs/>
          <w:sz w:val="28"/>
          <w:szCs w:val="28"/>
        </w:rPr>
        <w:t>ODR</w:t>
      </w:r>
      <w:r w:rsidRPr="000745EB">
        <w:rPr>
          <w:b/>
          <w:sz w:val="28"/>
          <w:szCs w:val="28"/>
        </w:rPr>
        <w:t xml:space="preserve">) </w:t>
      </w:r>
    </w:p>
    <w:p w:rsidR="00E81AEB" w:rsidRPr="003F1EC0" w:rsidRDefault="00E81AEB" w:rsidP="000A020A">
      <w:pPr>
        <w:pStyle w:val="ListParagraph"/>
        <w:tabs>
          <w:tab w:val="left" w:pos="284"/>
          <w:tab w:val="left" w:pos="567"/>
        </w:tabs>
        <w:jc w:val="both"/>
        <w:rPr>
          <w:i/>
          <w:sz w:val="28"/>
          <w:szCs w:val="28"/>
        </w:rPr>
      </w:pPr>
      <w:r w:rsidRPr="003F1EC0">
        <w:rPr>
          <w:i/>
          <w:sz w:val="28"/>
          <w:szCs w:val="28"/>
        </w:rPr>
        <w:t>EM kompetence</w:t>
      </w:r>
    </w:p>
    <w:p w:rsidR="00E81AEB" w:rsidRPr="003F1EC0" w:rsidRDefault="00E81AEB" w:rsidP="000A020A">
      <w:pPr>
        <w:pStyle w:val="ListParagraph"/>
        <w:tabs>
          <w:tab w:val="left" w:pos="284"/>
          <w:tab w:val="left" w:pos="567"/>
        </w:tabs>
        <w:jc w:val="both"/>
        <w:rPr>
          <w:i/>
          <w:sz w:val="28"/>
          <w:szCs w:val="28"/>
        </w:rPr>
      </w:pPr>
      <w:r w:rsidRPr="003F1EC0">
        <w:rPr>
          <w:i/>
          <w:sz w:val="28"/>
          <w:szCs w:val="28"/>
        </w:rPr>
        <w:t>Komisijas sniegtā informācija</w:t>
      </w:r>
    </w:p>
    <w:p w:rsidR="00E81BEE" w:rsidRPr="003F1EC0" w:rsidRDefault="00E81BEE" w:rsidP="007D3580">
      <w:pPr>
        <w:tabs>
          <w:tab w:val="left" w:pos="284"/>
        </w:tabs>
        <w:jc w:val="both"/>
        <w:rPr>
          <w:sz w:val="28"/>
          <w:szCs w:val="28"/>
        </w:rPr>
      </w:pPr>
    </w:p>
    <w:p w:rsidR="007302F4" w:rsidRPr="003F1EC0" w:rsidRDefault="007302F4" w:rsidP="007302F4">
      <w:pPr>
        <w:ind w:firstLine="709"/>
        <w:jc w:val="both"/>
        <w:rPr>
          <w:sz w:val="28"/>
          <w:szCs w:val="28"/>
        </w:rPr>
      </w:pPr>
      <w:r w:rsidRPr="003F1EC0">
        <w:rPr>
          <w:sz w:val="28"/>
          <w:szCs w:val="28"/>
        </w:rPr>
        <w:t>Tiek plānots, ka sanāksmes laikā Komisija sniegs informāciju par Priekšlikumu Direktīvai par alternatīvu strīdu izšķiršanu (ADR) un priekšlikums Regulai par strīdu izšķiršanu tiešsaistē (ODR), kas tiks publicēts š.g. 29. novembrī.</w:t>
      </w:r>
    </w:p>
    <w:p w:rsidR="007302F4" w:rsidRPr="003F1EC0" w:rsidRDefault="007302F4" w:rsidP="007D3580">
      <w:pPr>
        <w:tabs>
          <w:tab w:val="left" w:pos="284"/>
        </w:tabs>
        <w:jc w:val="both"/>
        <w:rPr>
          <w:sz w:val="28"/>
          <w:szCs w:val="28"/>
        </w:rPr>
      </w:pPr>
    </w:p>
    <w:p w:rsidR="00EB2989" w:rsidRPr="003F1EC0" w:rsidRDefault="00EB2989" w:rsidP="007D3580">
      <w:pPr>
        <w:pStyle w:val="ListParagraph"/>
        <w:numPr>
          <w:ilvl w:val="0"/>
          <w:numId w:val="15"/>
        </w:numPr>
        <w:tabs>
          <w:tab w:val="left" w:pos="284"/>
        </w:tabs>
        <w:ind w:left="0" w:firstLine="0"/>
        <w:contextualSpacing w:val="0"/>
        <w:jc w:val="both"/>
        <w:rPr>
          <w:b/>
          <w:sz w:val="28"/>
          <w:szCs w:val="28"/>
        </w:rPr>
      </w:pPr>
      <w:r w:rsidRPr="003F1EC0">
        <w:rPr>
          <w:b/>
          <w:sz w:val="28"/>
          <w:szCs w:val="28"/>
        </w:rPr>
        <w:t xml:space="preserve">Priekšlikums Eiropas Parlamenta un Padomes Regulai par patērētāju aizsardzības programmu (2014 –2020) </w:t>
      </w:r>
    </w:p>
    <w:p w:rsidR="00E81AEB" w:rsidRPr="003F1EC0" w:rsidRDefault="00E81AEB" w:rsidP="00E81AEB">
      <w:pPr>
        <w:pStyle w:val="ListParagraph"/>
        <w:tabs>
          <w:tab w:val="left" w:pos="284"/>
          <w:tab w:val="left" w:pos="567"/>
        </w:tabs>
        <w:jc w:val="both"/>
        <w:rPr>
          <w:i/>
          <w:sz w:val="28"/>
          <w:szCs w:val="28"/>
        </w:rPr>
      </w:pPr>
      <w:r w:rsidRPr="003F1EC0">
        <w:rPr>
          <w:i/>
          <w:sz w:val="28"/>
          <w:szCs w:val="28"/>
        </w:rPr>
        <w:t>EM kompetence</w:t>
      </w:r>
    </w:p>
    <w:p w:rsidR="00E81AEB" w:rsidRPr="003F1EC0" w:rsidRDefault="00E81AEB" w:rsidP="00E81AEB">
      <w:pPr>
        <w:pStyle w:val="ListParagraph"/>
        <w:tabs>
          <w:tab w:val="left" w:pos="284"/>
          <w:tab w:val="left" w:pos="567"/>
        </w:tabs>
        <w:jc w:val="both"/>
        <w:rPr>
          <w:i/>
          <w:sz w:val="28"/>
          <w:szCs w:val="28"/>
        </w:rPr>
      </w:pPr>
      <w:r w:rsidRPr="003F1EC0">
        <w:rPr>
          <w:i/>
          <w:sz w:val="28"/>
          <w:szCs w:val="28"/>
        </w:rPr>
        <w:t>Komisijas sniegtā informācija</w:t>
      </w:r>
    </w:p>
    <w:p w:rsidR="00E81AEB" w:rsidRPr="003F1EC0" w:rsidRDefault="00E81AEB" w:rsidP="00E81AEB">
      <w:pPr>
        <w:pStyle w:val="ListParagraph"/>
        <w:tabs>
          <w:tab w:val="left" w:pos="284"/>
          <w:tab w:val="left" w:pos="567"/>
        </w:tabs>
        <w:jc w:val="both"/>
        <w:rPr>
          <w:i/>
          <w:sz w:val="28"/>
          <w:szCs w:val="28"/>
        </w:rPr>
      </w:pPr>
    </w:p>
    <w:p w:rsidR="001B0566" w:rsidRPr="003F1EC0" w:rsidRDefault="007302F4" w:rsidP="007302F4">
      <w:pPr>
        <w:ind w:firstLine="709"/>
        <w:jc w:val="both"/>
        <w:rPr>
          <w:sz w:val="28"/>
          <w:szCs w:val="28"/>
        </w:rPr>
      </w:pPr>
      <w:r w:rsidRPr="003F1EC0">
        <w:rPr>
          <w:sz w:val="28"/>
          <w:szCs w:val="28"/>
        </w:rPr>
        <w:t>Š.g.</w:t>
      </w:r>
      <w:r w:rsidR="001B0566" w:rsidRPr="003F1EC0">
        <w:rPr>
          <w:sz w:val="28"/>
          <w:szCs w:val="28"/>
        </w:rPr>
        <w:t xml:space="preserve"> 9.novembrī Eiropas Komisija apstiprināja priekšlikumu Eiropas Parlamenta un Padomes regulai par Patērētāju tiesību aizsardzības programmu 2014.–2020.gadam (</w:t>
      </w:r>
      <w:r w:rsidRPr="003F1EC0">
        <w:rPr>
          <w:sz w:val="28"/>
          <w:szCs w:val="28"/>
        </w:rPr>
        <w:t xml:space="preserve">turpmāk - </w:t>
      </w:r>
      <w:r w:rsidR="001B0566" w:rsidRPr="003F1EC0">
        <w:rPr>
          <w:sz w:val="28"/>
          <w:szCs w:val="28"/>
        </w:rPr>
        <w:t xml:space="preserve">Regulas projekts), kuras mērķis ir turpināt 2007.–2013. gada Kopienas rīcības programmas patērētāju tiesību aizsardzības politikas jomā iesākto – nodrošināt, lai ES iedzīvotāji, baudot drošību un ekonomisko interešu pienācīgu aizsardzību, visā pilnībā varētu izmantot vienotā tirgus priekšrocības. Regulas projekts, tāpat kā citi ES patērētāju aizsardzības politikas instrumenti, atzīst, ka izmantojot tieši patērētāju izdevumu vareno spēku (šie izdevumi ir 56 % no ES IKP), tiks veicināta virzība uz mērķi atjaunot </w:t>
      </w:r>
      <w:r w:rsidR="001B0566" w:rsidRPr="003F1EC0">
        <w:rPr>
          <w:sz w:val="28"/>
          <w:szCs w:val="28"/>
        </w:rPr>
        <w:lastRenderedPageBreak/>
        <w:t>ES izaugsmi. Lai to paveiktu, nepieciešams vienotajā tirgū galveno uzmanību veltīt pilntiesīgam patērētājam.</w:t>
      </w:r>
    </w:p>
    <w:p w:rsidR="001B0566" w:rsidRPr="003F1EC0" w:rsidRDefault="001B0566" w:rsidP="007302F4">
      <w:pPr>
        <w:pStyle w:val="ListParagraph"/>
        <w:numPr>
          <w:ilvl w:val="0"/>
          <w:numId w:val="25"/>
        </w:numPr>
        <w:tabs>
          <w:tab w:val="left" w:pos="284"/>
        </w:tabs>
        <w:ind w:left="0" w:firstLine="0"/>
        <w:jc w:val="both"/>
        <w:rPr>
          <w:sz w:val="28"/>
          <w:szCs w:val="28"/>
        </w:rPr>
      </w:pPr>
      <w:r w:rsidRPr="003F1EC0">
        <w:rPr>
          <w:sz w:val="28"/>
          <w:szCs w:val="28"/>
        </w:rPr>
        <w:t>Jaunās programmas finansējums paredzēts pamatā četru konkrētu mērķu atbalstam ES līmenī:</w:t>
      </w:r>
    </w:p>
    <w:p w:rsidR="001B0566" w:rsidRPr="003F1EC0" w:rsidRDefault="001B0566" w:rsidP="007302F4">
      <w:pPr>
        <w:pStyle w:val="ListParagraph"/>
        <w:numPr>
          <w:ilvl w:val="0"/>
          <w:numId w:val="25"/>
        </w:numPr>
        <w:tabs>
          <w:tab w:val="left" w:pos="284"/>
        </w:tabs>
        <w:ind w:left="0" w:firstLine="0"/>
        <w:jc w:val="both"/>
        <w:rPr>
          <w:sz w:val="28"/>
          <w:szCs w:val="28"/>
        </w:rPr>
      </w:pPr>
      <w:r w:rsidRPr="003F1EC0">
        <w:rPr>
          <w:sz w:val="28"/>
          <w:szCs w:val="28"/>
        </w:rPr>
        <w:t>Drošums — ar efektīvu tirgus pārraudzību visā ES teritorijā nostiprināt un palielināt ražojumu drošumu.</w:t>
      </w:r>
    </w:p>
    <w:p w:rsidR="001B0566" w:rsidRPr="003F1EC0" w:rsidRDefault="001B0566" w:rsidP="007302F4">
      <w:pPr>
        <w:pStyle w:val="ListParagraph"/>
        <w:numPr>
          <w:ilvl w:val="0"/>
          <w:numId w:val="25"/>
        </w:numPr>
        <w:tabs>
          <w:tab w:val="left" w:pos="284"/>
        </w:tabs>
        <w:ind w:left="0" w:firstLine="0"/>
        <w:jc w:val="both"/>
        <w:rPr>
          <w:sz w:val="28"/>
          <w:szCs w:val="28"/>
        </w:rPr>
      </w:pPr>
      <w:r w:rsidRPr="003F1EC0">
        <w:rPr>
          <w:sz w:val="28"/>
          <w:szCs w:val="28"/>
        </w:rPr>
        <w:t>Informēšana un izglītošana — pilnveidot patērētāju izglītotību, informētību un izpratni par savām tiesībām, izstrādāt faktu bāzi patērētāju politikai un atbalstīt patērētāju organizācijas.</w:t>
      </w:r>
    </w:p>
    <w:p w:rsidR="001B0566" w:rsidRPr="003F1EC0" w:rsidRDefault="001B0566" w:rsidP="007302F4">
      <w:pPr>
        <w:pStyle w:val="ListParagraph"/>
        <w:numPr>
          <w:ilvl w:val="0"/>
          <w:numId w:val="25"/>
        </w:numPr>
        <w:tabs>
          <w:tab w:val="left" w:pos="284"/>
        </w:tabs>
        <w:ind w:left="0" w:firstLine="0"/>
        <w:jc w:val="both"/>
        <w:rPr>
          <w:sz w:val="28"/>
          <w:szCs w:val="28"/>
        </w:rPr>
      </w:pPr>
      <w:r w:rsidRPr="003F1EC0">
        <w:rPr>
          <w:sz w:val="28"/>
          <w:szCs w:val="28"/>
        </w:rPr>
        <w:t>Tiesības un to aizsardzība — konsolidēt patērētāju tiesības jo īpaši ar regulatīvām darbībām un darīt vieglāk pieejamu tiesību aizsardzību, tostarp alternatīvu strīdu izšķiršanu.</w:t>
      </w:r>
    </w:p>
    <w:p w:rsidR="001B0566" w:rsidRPr="003F1EC0" w:rsidRDefault="001B0566" w:rsidP="007302F4">
      <w:pPr>
        <w:pStyle w:val="ListParagraph"/>
        <w:numPr>
          <w:ilvl w:val="0"/>
          <w:numId w:val="25"/>
        </w:numPr>
        <w:tabs>
          <w:tab w:val="left" w:pos="284"/>
        </w:tabs>
        <w:ind w:left="0" w:firstLine="0"/>
        <w:jc w:val="both"/>
        <w:rPr>
          <w:sz w:val="28"/>
          <w:szCs w:val="28"/>
        </w:rPr>
      </w:pPr>
      <w:r w:rsidRPr="003F1EC0">
        <w:rPr>
          <w:sz w:val="28"/>
          <w:szCs w:val="28"/>
        </w:rPr>
        <w:t xml:space="preserve">Tiesību īstenošana — atbalstīt patērētāju tiesību īstenošanu, nostiprinot sadarbību starp valstu </w:t>
      </w:r>
      <w:proofErr w:type="spellStart"/>
      <w:r w:rsidRPr="003F1EC0">
        <w:rPr>
          <w:sz w:val="28"/>
          <w:szCs w:val="28"/>
        </w:rPr>
        <w:t>izpildiestādēm</w:t>
      </w:r>
      <w:proofErr w:type="spellEnd"/>
      <w:r w:rsidRPr="003F1EC0">
        <w:rPr>
          <w:sz w:val="28"/>
          <w:szCs w:val="28"/>
        </w:rPr>
        <w:t xml:space="preserve"> un sniedzot padomus patērētājiem.</w:t>
      </w:r>
    </w:p>
    <w:p w:rsidR="001B0566" w:rsidRPr="003F1EC0" w:rsidRDefault="001B0566" w:rsidP="007302F4">
      <w:pPr>
        <w:ind w:firstLine="709"/>
        <w:jc w:val="both"/>
        <w:rPr>
          <w:sz w:val="28"/>
          <w:szCs w:val="28"/>
        </w:rPr>
      </w:pPr>
      <w:r w:rsidRPr="003F1EC0">
        <w:rPr>
          <w:sz w:val="28"/>
          <w:szCs w:val="28"/>
        </w:rPr>
        <w:t xml:space="preserve">Minētie četri programmas mērķi izaugsmes un konkurētspējas aspektā atbalsta stratēģiju “Eiropa 2020” attiecībā uz tādu </w:t>
      </w:r>
      <w:proofErr w:type="spellStart"/>
      <w:r w:rsidRPr="003F1EC0">
        <w:rPr>
          <w:sz w:val="28"/>
          <w:szCs w:val="28"/>
        </w:rPr>
        <w:t>problēmaspektu</w:t>
      </w:r>
      <w:proofErr w:type="spellEnd"/>
      <w:r w:rsidRPr="003F1EC0">
        <w:rPr>
          <w:sz w:val="28"/>
          <w:szCs w:val="28"/>
        </w:rPr>
        <w:t xml:space="preserve"> risināšanu kā </w:t>
      </w:r>
      <w:proofErr w:type="spellStart"/>
      <w:r w:rsidRPr="003F1EC0">
        <w:rPr>
          <w:sz w:val="28"/>
          <w:szCs w:val="28"/>
        </w:rPr>
        <w:t>digitalizācijas</w:t>
      </w:r>
      <w:proofErr w:type="spellEnd"/>
      <w:r w:rsidRPr="003F1EC0">
        <w:rPr>
          <w:sz w:val="28"/>
          <w:szCs w:val="28"/>
        </w:rPr>
        <w:t xml:space="preserve"> programma (nodrošināt, lai </w:t>
      </w:r>
      <w:proofErr w:type="spellStart"/>
      <w:r w:rsidRPr="003F1EC0">
        <w:rPr>
          <w:sz w:val="28"/>
          <w:szCs w:val="28"/>
        </w:rPr>
        <w:t>digitalizācijas</w:t>
      </w:r>
      <w:proofErr w:type="spellEnd"/>
      <w:r w:rsidRPr="003F1EC0">
        <w:rPr>
          <w:sz w:val="28"/>
          <w:szCs w:val="28"/>
        </w:rPr>
        <w:t xml:space="preserve"> faktiskais rezultāts būtu lielāka patērētāju labklājība), ilgtspējīga izaugsme (pāriet uz ilgtspējīgākiem patēriņa modeļiem), sociālā iekļaušana (ņemt vērā mazaizsargātu patērētāju īpašo stāvokli un novecojošas sabiedrības vajadzības) un lietpratīgs regulējums (patērētāju tirgu pārraudzīt tā, lai palīdzētu izstrādāt lietpratīgus, precīzi orientētus noteikumus).</w:t>
      </w:r>
    </w:p>
    <w:p w:rsidR="001B0566" w:rsidRPr="003F1EC0" w:rsidRDefault="001B0566" w:rsidP="007302F4">
      <w:pPr>
        <w:ind w:firstLine="709"/>
        <w:jc w:val="both"/>
        <w:rPr>
          <w:sz w:val="28"/>
          <w:szCs w:val="28"/>
        </w:rPr>
      </w:pPr>
      <w:r w:rsidRPr="003F1EC0">
        <w:rPr>
          <w:sz w:val="28"/>
          <w:szCs w:val="28"/>
        </w:rPr>
        <w:t xml:space="preserve">Regulas projektā paredzētās programmas īstenošanai laikā no 2014. gada 1. janvāra līdz 2020. gada 31. decembrim ir paredzēti 197 miljoni eiro. </w:t>
      </w:r>
    </w:p>
    <w:p w:rsidR="001B0566" w:rsidRPr="003F1EC0" w:rsidRDefault="001B0566" w:rsidP="00E81AEB">
      <w:pPr>
        <w:pStyle w:val="ListParagraph"/>
        <w:tabs>
          <w:tab w:val="left" w:pos="284"/>
          <w:tab w:val="left" w:pos="567"/>
        </w:tabs>
        <w:jc w:val="both"/>
        <w:rPr>
          <w:i/>
          <w:sz w:val="28"/>
          <w:szCs w:val="28"/>
        </w:rPr>
      </w:pPr>
    </w:p>
    <w:p w:rsidR="00EB2989" w:rsidRPr="007319F1" w:rsidRDefault="00EB2989" w:rsidP="007319F1">
      <w:pPr>
        <w:pStyle w:val="ListParagraph"/>
        <w:numPr>
          <w:ilvl w:val="0"/>
          <w:numId w:val="15"/>
        </w:numPr>
        <w:tabs>
          <w:tab w:val="left" w:pos="426"/>
        </w:tabs>
        <w:ind w:left="0" w:firstLine="0"/>
        <w:contextualSpacing w:val="0"/>
        <w:jc w:val="both"/>
        <w:rPr>
          <w:b/>
          <w:sz w:val="28"/>
          <w:szCs w:val="28"/>
        </w:rPr>
      </w:pPr>
      <w:r w:rsidRPr="007319F1">
        <w:rPr>
          <w:b/>
          <w:sz w:val="28"/>
          <w:szCs w:val="28"/>
        </w:rPr>
        <w:t>Kohēzijas politika</w:t>
      </w:r>
    </w:p>
    <w:p w:rsidR="00E81AEB" w:rsidRPr="007319F1" w:rsidRDefault="00E81AEB" w:rsidP="00E81AEB">
      <w:pPr>
        <w:pStyle w:val="ListParagraph"/>
        <w:tabs>
          <w:tab w:val="left" w:pos="284"/>
          <w:tab w:val="left" w:pos="567"/>
        </w:tabs>
        <w:jc w:val="both"/>
        <w:rPr>
          <w:i/>
          <w:sz w:val="28"/>
          <w:szCs w:val="28"/>
        </w:rPr>
      </w:pPr>
      <w:r w:rsidRPr="007319F1">
        <w:rPr>
          <w:i/>
          <w:sz w:val="28"/>
          <w:szCs w:val="28"/>
        </w:rPr>
        <w:t>FM kompetence</w:t>
      </w:r>
    </w:p>
    <w:p w:rsidR="00E81AEB" w:rsidRDefault="00E81AEB" w:rsidP="00E81AEB">
      <w:pPr>
        <w:pStyle w:val="ListParagraph"/>
        <w:tabs>
          <w:tab w:val="left" w:pos="284"/>
          <w:tab w:val="left" w:pos="567"/>
        </w:tabs>
        <w:jc w:val="both"/>
        <w:rPr>
          <w:i/>
          <w:sz w:val="28"/>
          <w:szCs w:val="28"/>
        </w:rPr>
      </w:pPr>
      <w:r w:rsidRPr="007319F1">
        <w:rPr>
          <w:i/>
          <w:sz w:val="28"/>
          <w:szCs w:val="28"/>
        </w:rPr>
        <w:t>Komisijas sniegtā informācija</w:t>
      </w:r>
    </w:p>
    <w:p w:rsidR="007319F1" w:rsidRDefault="007319F1" w:rsidP="00E81AEB">
      <w:pPr>
        <w:pStyle w:val="ListParagraph"/>
        <w:tabs>
          <w:tab w:val="left" w:pos="284"/>
          <w:tab w:val="left" w:pos="567"/>
        </w:tabs>
        <w:jc w:val="both"/>
        <w:rPr>
          <w:i/>
          <w:sz w:val="28"/>
          <w:szCs w:val="28"/>
        </w:rPr>
      </w:pPr>
    </w:p>
    <w:p w:rsidR="007319F1" w:rsidRDefault="007319F1" w:rsidP="007319F1">
      <w:pPr>
        <w:pStyle w:val="ListParagraph"/>
        <w:ind w:left="0" w:firstLine="709"/>
        <w:jc w:val="both"/>
        <w:rPr>
          <w:sz w:val="28"/>
          <w:szCs w:val="28"/>
        </w:rPr>
      </w:pPr>
      <w:r>
        <w:rPr>
          <w:sz w:val="28"/>
          <w:szCs w:val="28"/>
        </w:rPr>
        <w:t>Š</w:t>
      </w:r>
      <w:r w:rsidRPr="007319F1">
        <w:rPr>
          <w:sz w:val="28"/>
          <w:szCs w:val="28"/>
        </w:rPr>
        <w:t>.g. 6</w:t>
      </w:r>
      <w:r>
        <w:rPr>
          <w:sz w:val="28"/>
          <w:szCs w:val="28"/>
        </w:rPr>
        <w:t xml:space="preserve">. oktobrī Eiropas Komisija </w:t>
      </w:r>
      <w:r w:rsidRPr="007319F1">
        <w:rPr>
          <w:sz w:val="28"/>
          <w:szCs w:val="28"/>
        </w:rPr>
        <w:t>nāca klajā ar regulu priekšlikumiem</w:t>
      </w:r>
      <w:r>
        <w:rPr>
          <w:sz w:val="28"/>
          <w:szCs w:val="28"/>
        </w:rPr>
        <w:t xml:space="preserve"> </w:t>
      </w:r>
      <w:r w:rsidRPr="007319F1">
        <w:rPr>
          <w:sz w:val="28"/>
          <w:szCs w:val="28"/>
        </w:rPr>
        <w:t>2014. – 2020. gada plānošanas periodam, kas nosaka Kohēzijas politikas finansējuma sadalījuma principus dalībvalstu starpā, atbalsta jomas, kā arī kopīgos noteikumus Eiropas Reģionālās attīstības fonda</w:t>
      </w:r>
      <w:r>
        <w:rPr>
          <w:sz w:val="28"/>
          <w:szCs w:val="28"/>
        </w:rPr>
        <w:t>, Eiropas Sociālo fonda</w:t>
      </w:r>
      <w:r w:rsidRPr="007319F1">
        <w:rPr>
          <w:sz w:val="28"/>
          <w:szCs w:val="28"/>
        </w:rPr>
        <w:t>, Kohēzijas fonda</w:t>
      </w:r>
      <w:r>
        <w:rPr>
          <w:sz w:val="28"/>
          <w:szCs w:val="28"/>
        </w:rPr>
        <w:t>,</w:t>
      </w:r>
      <w:r w:rsidRPr="007319F1">
        <w:rPr>
          <w:sz w:val="28"/>
          <w:szCs w:val="28"/>
        </w:rPr>
        <w:t xml:space="preserve"> Eiropas Lauksaimniecības fonda lauku attīstībai un Eiropas Jūrlietu un zivsaimniecības fondu vadības un ieviešanas jautājumos.</w:t>
      </w:r>
      <w:r>
        <w:rPr>
          <w:sz w:val="28"/>
          <w:szCs w:val="28"/>
        </w:rPr>
        <w:t xml:space="preserve"> Sanāksmes laikā ir plānots, ka Komisija sniegs papildus informāciju par Kohēzijas politikas nākotni.</w:t>
      </w:r>
    </w:p>
    <w:p w:rsidR="000745EB" w:rsidRDefault="000745EB" w:rsidP="000745EB">
      <w:pPr>
        <w:pStyle w:val="ListParagraph"/>
        <w:ind w:left="0" w:firstLine="709"/>
        <w:jc w:val="both"/>
        <w:rPr>
          <w:sz w:val="28"/>
          <w:szCs w:val="28"/>
        </w:rPr>
      </w:pPr>
      <w:r>
        <w:rPr>
          <w:sz w:val="28"/>
          <w:szCs w:val="28"/>
        </w:rPr>
        <w:t xml:space="preserve">Š.g. 15. novembrī tika apstiprināta FM sagatavotā Latvijas Republikas Pozīcija Nr.1 „Par ES Kohēzijas politikas regulu priekšlikumiem 2014. – 2020. gada plānošanas periodam”. Šajā pozīcijā ir atspoguļotas Vispārējās regulas priekšlikuma normas, kā arī Latvijas pozīcija attiecībā uz stratēģiskās plānošanas jautājumiem. </w:t>
      </w:r>
    </w:p>
    <w:p w:rsidR="000745EB" w:rsidRPr="007319F1" w:rsidRDefault="000745EB" w:rsidP="007319F1">
      <w:pPr>
        <w:pStyle w:val="ListParagraph"/>
        <w:ind w:left="0" w:firstLine="709"/>
        <w:jc w:val="both"/>
        <w:rPr>
          <w:sz w:val="28"/>
          <w:szCs w:val="28"/>
        </w:rPr>
      </w:pPr>
    </w:p>
    <w:p w:rsidR="00E81BEE" w:rsidRPr="003F1EC0" w:rsidRDefault="00E81BEE" w:rsidP="007D3580">
      <w:pPr>
        <w:tabs>
          <w:tab w:val="left" w:pos="284"/>
        </w:tabs>
        <w:jc w:val="both"/>
        <w:rPr>
          <w:sz w:val="28"/>
          <w:szCs w:val="28"/>
        </w:rPr>
      </w:pPr>
    </w:p>
    <w:p w:rsidR="007D3580" w:rsidRDefault="00EB2989" w:rsidP="007319F1">
      <w:pPr>
        <w:pStyle w:val="ListParagraph"/>
        <w:numPr>
          <w:ilvl w:val="0"/>
          <w:numId w:val="15"/>
        </w:numPr>
        <w:tabs>
          <w:tab w:val="left" w:pos="284"/>
          <w:tab w:val="left" w:pos="709"/>
        </w:tabs>
        <w:ind w:left="0" w:firstLine="0"/>
        <w:contextualSpacing w:val="0"/>
        <w:jc w:val="both"/>
        <w:rPr>
          <w:b/>
          <w:sz w:val="28"/>
          <w:szCs w:val="28"/>
        </w:rPr>
      </w:pPr>
      <w:r w:rsidRPr="007319F1">
        <w:rPr>
          <w:b/>
          <w:iCs/>
          <w:sz w:val="28"/>
          <w:szCs w:val="28"/>
        </w:rPr>
        <w:t>REACH </w:t>
      </w:r>
      <w:r w:rsidRPr="007319F1">
        <w:rPr>
          <w:b/>
          <w:sz w:val="28"/>
          <w:szCs w:val="28"/>
        </w:rPr>
        <w:t>– ziņojums un pārskatīšana, ņemot vērā ES konkurētspējas jautājumus</w:t>
      </w:r>
    </w:p>
    <w:p w:rsidR="00B3226F" w:rsidRPr="003F1EC0" w:rsidRDefault="00B3226F" w:rsidP="00B3226F">
      <w:pPr>
        <w:pStyle w:val="ListParagraph"/>
        <w:tabs>
          <w:tab w:val="left" w:pos="284"/>
          <w:tab w:val="left" w:pos="567"/>
        </w:tabs>
        <w:jc w:val="both"/>
        <w:rPr>
          <w:i/>
          <w:sz w:val="28"/>
          <w:szCs w:val="28"/>
        </w:rPr>
      </w:pPr>
      <w:r w:rsidRPr="003F1EC0">
        <w:rPr>
          <w:i/>
          <w:sz w:val="28"/>
          <w:szCs w:val="28"/>
        </w:rPr>
        <w:t>VARAM kompetence</w:t>
      </w:r>
    </w:p>
    <w:p w:rsidR="00B3226F" w:rsidRPr="003F1EC0" w:rsidRDefault="00B3226F" w:rsidP="00B3226F">
      <w:pPr>
        <w:pStyle w:val="ListParagraph"/>
        <w:tabs>
          <w:tab w:val="left" w:pos="284"/>
          <w:tab w:val="left" w:pos="567"/>
        </w:tabs>
        <w:jc w:val="both"/>
        <w:rPr>
          <w:i/>
          <w:sz w:val="28"/>
          <w:szCs w:val="28"/>
        </w:rPr>
      </w:pPr>
      <w:r w:rsidRPr="003F1EC0">
        <w:rPr>
          <w:i/>
          <w:sz w:val="28"/>
          <w:szCs w:val="28"/>
        </w:rPr>
        <w:t>Čehijas Republikas delegācijas sniegta informācija</w:t>
      </w:r>
    </w:p>
    <w:p w:rsidR="007319F1" w:rsidRPr="007319F1" w:rsidRDefault="007319F1" w:rsidP="007319F1">
      <w:pPr>
        <w:pStyle w:val="ListParagraph"/>
        <w:numPr>
          <w:ilvl w:val="0"/>
          <w:numId w:val="15"/>
        </w:numPr>
        <w:tabs>
          <w:tab w:val="left" w:pos="284"/>
          <w:tab w:val="left" w:pos="709"/>
        </w:tabs>
        <w:ind w:left="0" w:firstLine="0"/>
        <w:contextualSpacing w:val="0"/>
        <w:jc w:val="both"/>
        <w:rPr>
          <w:b/>
          <w:sz w:val="28"/>
          <w:szCs w:val="28"/>
        </w:rPr>
      </w:pPr>
      <w:r w:rsidRPr="007319F1">
        <w:rPr>
          <w:b/>
          <w:iCs/>
          <w:sz w:val="28"/>
          <w:szCs w:val="28"/>
        </w:rPr>
        <w:t xml:space="preserve">REACH un to </w:t>
      </w:r>
      <w:proofErr w:type="spellStart"/>
      <w:r w:rsidRPr="007319F1">
        <w:rPr>
          <w:b/>
          <w:iCs/>
          <w:sz w:val="28"/>
          <w:szCs w:val="28"/>
        </w:rPr>
        <w:t>kandidātvielu</w:t>
      </w:r>
      <w:proofErr w:type="spellEnd"/>
      <w:r w:rsidRPr="007319F1">
        <w:rPr>
          <w:b/>
          <w:iCs/>
          <w:sz w:val="28"/>
          <w:szCs w:val="28"/>
        </w:rPr>
        <w:t xml:space="preserve"> saraksts, kuras rada ļoti lielas bažas</w:t>
      </w:r>
    </w:p>
    <w:p w:rsidR="00E81AEB" w:rsidRPr="003F1EC0" w:rsidRDefault="00E81AEB" w:rsidP="00E81AEB">
      <w:pPr>
        <w:pStyle w:val="ListParagraph"/>
        <w:tabs>
          <w:tab w:val="left" w:pos="284"/>
          <w:tab w:val="left" w:pos="567"/>
        </w:tabs>
        <w:jc w:val="both"/>
        <w:rPr>
          <w:i/>
          <w:sz w:val="28"/>
          <w:szCs w:val="28"/>
        </w:rPr>
      </w:pPr>
      <w:r w:rsidRPr="003F1EC0">
        <w:rPr>
          <w:i/>
          <w:sz w:val="28"/>
          <w:szCs w:val="28"/>
        </w:rPr>
        <w:t>VARAM kompetence</w:t>
      </w:r>
    </w:p>
    <w:p w:rsidR="007302F4" w:rsidRPr="003F1EC0" w:rsidRDefault="007302F4" w:rsidP="007302F4">
      <w:pPr>
        <w:pStyle w:val="ListParagraph"/>
        <w:tabs>
          <w:tab w:val="left" w:pos="284"/>
          <w:tab w:val="left" w:pos="567"/>
        </w:tabs>
        <w:jc w:val="both"/>
        <w:rPr>
          <w:sz w:val="28"/>
          <w:szCs w:val="28"/>
        </w:rPr>
      </w:pPr>
      <w:r w:rsidRPr="003F1EC0">
        <w:rPr>
          <w:i/>
          <w:sz w:val="28"/>
          <w:szCs w:val="28"/>
        </w:rPr>
        <w:t>Komisijas sniegtā informācija</w:t>
      </w:r>
    </w:p>
    <w:p w:rsidR="007302F4" w:rsidRPr="003F1EC0" w:rsidRDefault="007302F4" w:rsidP="00E81AEB">
      <w:pPr>
        <w:pStyle w:val="ListParagraph"/>
        <w:tabs>
          <w:tab w:val="left" w:pos="284"/>
          <w:tab w:val="left" w:pos="567"/>
        </w:tabs>
        <w:jc w:val="both"/>
        <w:rPr>
          <w:sz w:val="28"/>
          <w:szCs w:val="28"/>
          <w:highlight w:val="yellow"/>
        </w:rPr>
      </w:pPr>
    </w:p>
    <w:p w:rsidR="008F40B3" w:rsidRDefault="007302F4" w:rsidP="007302F4">
      <w:pPr>
        <w:pStyle w:val="ListParagraph"/>
        <w:tabs>
          <w:tab w:val="left" w:pos="284"/>
          <w:tab w:val="left" w:pos="567"/>
        </w:tabs>
        <w:ind w:left="0" w:firstLine="709"/>
        <w:jc w:val="both"/>
        <w:rPr>
          <w:sz w:val="28"/>
          <w:szCs w:val="28"/>
        </w:rPr>
      </w:pPr>
      <w:r w:rsidRPr="003F1EC0">
        <w:rPr>
          <w:sz w:val="28"/>
          <w:szCs w:val="28"/>
        </w:rPr>
        <w:t xml:space="preserve">Plānots, ka sanāksmes laikā tiks sniegta informāciju par REACH. </w:t>
      </w:r>
    </w:p>
    <w:p w:rsidR="00B64B5B" w:rsidRDefault="007302F4" w:rsidP="007302F4">
      <w:pPr>
        <w:pStyle w:val="ListParagraph"/>
        <w:tabs>
          <w:tab w:val="left" w:pos="284"/>
          <w:tab w:val="left" w:pos="567"/>
        </w:tabs>
        <w:ind w:left="0" w:firstLine="709"/>
        <w:jc w:val="both"/>
        <w:rPr>
          <w:sz w:val="28"/>
          <w:szCs w:val="28"/>
        </w:rPr>
      </w:pPr>
      <w:r w:rsidRPr="003F1EC0">
        <w:rPr>
          <w:sz w:val="28"/>
          <w:szCs w:val="28"/>
        </w:rPr>
        <w:t>Pirmkārt, Čehijas Republika informēs dalībvalstis par</w:t>
      </w:r>
      <w:r w:rsidR="008F40B3">
        <w:rPr>
          <w:sz w:val="28"/>
          <w:szCs w:val="28"/>
        </w:rPr>
        <w:t xml:space="preserve"> tās sagatavoto </w:t>
      </w:r>
      <w:proofErr w:type="spellStart"/>
      <w:r w:rsidR="008F40B3">
        <w:rPr>
          <w:sz w:val="28"/>
          <w:szCs w:val="28"/>
        </w:rPr>
        <w:t>nepapīru</w:t>
      </w:r>
      <w:proofErr w:type="spellEnd"/>
      <w:r w:rsidR="008F40B3">
        <w:rPr>
          <w:sz w:val="28"/>
          <w:szCs w:val="28"/>
        </w:rPr>
        <w:t xml:space="preserve"> par</w:t>
      </w:r>
      <w:r w:rsidRPr="003F1EC0">
        <w:rPr>
          <w:sz w:val="28"/>
          <w:szCs w:val="28"/>
        </w:rPr>
        <w:t xml:space="preserve"> REACH pārskatīšanu saistībā ar ES konkurētspējas veicināšanu. Latvija</w:t>
      </w:r>
      <w:r w:rsidR="00B64B5B">
        <w:rPr>
          <w:sz w:val="28"/>
          <w:szCs w:val="28"/>
        </w:rPr>
        <w:t xml:space="preserve">, iepazīstoties ar izplatīto </w:t>
      </w:r>
      <w:proofErr w:type="spellStart"/>
      <w:r w:rsidR="00B64B5B">
        <w:rPr>
          <w:sz w:val="28"/>
          <w:szCs w:val="28"/>
        </w:rPr>
        <w:t>nepapīru</w:t>
      </w:r>
      <w:proofErr w:type="spellEnd"/>
      <w:r w:rsidR="00B64B5B">
        <w:rPr>
          <w:sz w:val="28"/>
          <w:szCs w:val="28"/>
        </w:rPr>
        <w:t>,</w:t>
      </w:r>
      <w:r w:rsidRPr="003F1EC0">
        <w:rPr>
          <w:sz w:val="28"/>
          <w:szCs w:val="28"/>
        </w:rPr>
        <w:t xml:space="preserve"> uzskata, ka Čehijas Republikas priekšlikums ir ļoti vienpusīgs un neņem vērā ilgtermiņa efektus, kas attiektos uz cilvēku veselību un vidi, tāpēc tam ir nepieciešams papildus izvērtējums. </w:t>
      </w:r>
    </w:p>
    <w:p w:rsidR="00E81BEE" w:rsidRPr="003F1EC0" w:rsidRDefault="007302F4" w:rsidP="007319F1">
      <w:pPr>
        <w:pStyle w:val="ListParagraph"/>
        <w:tabs>
          <w:tab w:val="left" w:pos="284"/>
          <w:tab w:val="left" w:pos="567"/>
        </w:tabs>
        <w:ind w:left="0" w:firstLine="709"/>
        <w:jc w:val="both"/>
        <w:rPr>
          <w:sz w:val="28"/>
          <w:szCs w:val="28"/>
          <w:highlight w:val="yellow"/>
        </w:rPr>
      </w:pPr>
      <w:r w:rsidRPr="003F1EC0">
        <w:rPr>
          <w:sz w:val="28"/>
          <w:szCs w:val="28"/>
        </w:rPr>
        <w:t>Otrkārt,</w:t>
      </w:r>
      <w:r w:rsidR="00B64B5B">
        <w:rPr>
          <w:sz w:val="28"/>
          <w:szCs w:val="28"/>
        </w:rPr>
        <w:t xml:space="preserve"> ir paredzēts, ka sanāksmes laikā</w:t>
      </w:r>
      <w:r w:rsidRPr="003F1EC0">
        <w:rPr>
          <w:sz w:val="28"/>
          <w:szCs w:val="28"/>
        </w:rPr>
        <w:t xml:space="preserve"> Eiropas Komisija sniegs informāciju par tādu REACH </w:t>
      </w:r>
      <w:proofErr w:type="spellStart"/>
      <w:r w:rsidRPr="003F1EC0">
        <w:rPr>
          <w:sz w:val="28"/>
          <w:szCs w:val="28"/>
        </w:rPr>
        <w:t>kandidātvielu</w:t>
      </w:r>
      <w:proofErr w:type="spellEnd"/>
      <w:r w:rsidRPr="003F1EC0">
        <w:rPr>
          <w:sz w:val="28"/>
          <w:szCs w:val="28"/>
        </w:rPr>
        <w:t xml:space="preserve"> sarakstu, kuras rada ļoti lielas bažas.</w:t>
      </w:r>
    </w:p>
    <w:p w:rsidR="000A020A" w:rsidRPr="003F1EC0" w:rsidRDefault="000A020A">
      <w:pPr>
        <w:spacing w:after="200" w:line="276" w:lineRule="auto"/>
        <w:rPr>
          <w:sz w:val="28"/>
          <w:szCs w:val="28"/>
        </w:rPr>
      </w:pPr>
      <w:r w:rsidRPr="003F1EC0">
        <w:rPr>
          <w:sz w:val="28"/>
          <w:szCs w:val="28"/>
        </w:rPr>
        <w:br w:type="page"/>
      </w:r>
    </w:p>
    <w:p w:rsidR="00675BCD" w:rsidRPr="003F1EC0" w:rsidRDefault="00675BCD" w:rsidP="007D3580">
      <w:pPr>
        <w:pStyle w:val="ListParagraph"/>
        <w:numPr>
          <w:ilvl w:val="0"/>
          <w:numId w:val="8"/>
        </w:numPr>
        <w:contextualSpacing w:val="0"/>
        <w:jc w:val="both"/>
        <w:rPr>
          <w:b/>
          <w:sz w:val="28"/>
          <w:szCs w:val="28"/>
        </w:rPr>
      </w:pPr>
      <w:r w:rsidRPr="003F1EC0">
        <w:rPr>
          <w:b/>
          <w:sz w:val="28"/>
          <w:szCs w:val="28"/>
        </w:rPr>
        <w:lastRenderedPageBreak/>
        <w:t>Latvijas delegācija</w:t>
      </w:r>
    </w:p>
    <w:p w:rsidR="00400843" w:rsidRPr="003F1EC0" w:rsidRDefault="00400843" w:rsidP="007D3580">
      <w:pPr>
        <w:pStyle w:val="ListParagraph"/>
        <w:ind w:left="360"/>
        <w:contextualSpacing w:val="0"/>
        <w:jc w:val="both"/>
        <w:rPr>
          <w:b/>
          <w:sz w:val="28"/>
          <w:szCs w:val="28"/>
        </w:rPr>
      </w:pPr>
    </w:p>
    <w:p w:rsidR="00675BCD" w:rsidRPr="00C61A6A" w:rsidRDefault="00675BCD" w:rsidP="00EA1F23">
      <w:pPr>
        <w:ind w:left="2835" w:hanging="2835"/>
        <w:jc w:val="both"/>
        <w:rPr>
          <w:sz w:val="28"/>
          <w:szCs w:val="28"/>
        </w:rPr>
      </w:pPr>
      <w:r w:rsidRPr="00C61A6A">
        <w:rPr>
          <w:sz w:val="28"/>
          <w:szCs w:val="28"/>
        </w:rPr>
        <w:t xml:space="preserve">Delegācijas vadītājs: </w:t>
      </w:r>
      <w:r w:rsidR="00B572CF" w:rsidRPr="00C61A6A">
        <w:rPr>
          <w:sz w:val="28"/>
          <w:szCs w:val="28"/>
        </w:rPr>
        <w:tab/>
      </w:r>
      <w:r w:rsidR="00EA1F23" w:rsidRPr="00C61A6A">
        <w:rPr>
          <w:b/>
          <w:sz w:val="28"/>
          <w:szCs w:val="28"/>
        </w:rPr>
        <w:t>Juris Pūce</w:t>
      </w:r>
      <w:r w:rsidRPr="00C61A6A">
        <w:rPr>
          <w:sz w:val="28"/>
          <w:szCs w:val="28"/>
        </w:rPr>
        <w:t xml:space="preserve">, </w:t>
      </w:r>
      <w:r w:rsidR="00EA1F23" w:rsidRPr="00C61A6A">
        <w:rPr>
          <w:sz w:val="28"/>
          <w:szCs w:val="28"/>
        </w:rPr>
        <w:t>Ekonomikas ministrijas valsts sekretārs</w:t>
      </w:r>
    </w:p>
    <w:p w:rsidR="00D46622" w:rsidRPr="00C61A6A" w:rsidRDefault="00D46622" w:rsidP="007D3580">
      <w:pPr>
        <w:ind w:left="2835" w:hanging="2835"/>
        <w:jc w:val="both"/>
        <w:rPr>
          <w:sz w:val="28"/>
          <w:szCs w:val="28"/>
        </w:rPr>
      </w:pPr>
    </w:p>
    <w:p w:rsidR="00675BCD" w:rsidRPr="00C61A6A" w:rsidRDefault="00675BCD" w:rsidP="007D3580">
      <w:pPr>
        <w:ind w:left="2835" w:hanging="2835"/>
        <w:jc w:val="both"/>
        <w:rPr>
          <w:sz w:val="28"/>
          <w:szCs w:val="28"/>
        </w:rPr>
      </w:pPr>
      <w:r w:rsidRPr="00C61A6A">
        <w:rPr>
          <w:sz w:val="28"/>
          <w:szCs w:val="28"/>
        </w:rPr>
        <w:t xml:space="preserve">Delegācijas dalībnieki: </w:t>
      </w:r>
      <w:r w:rsidRPr="00C61A6A">
        <w:rPr>
          <w:sz w:val="28"/>
          <w:szCs w:val="28"/>
        </w:rPr>
        <w:tab/>
      </w:r>
      <w:r w:rsidR="00C61A6A" w:rsidRPr="00C61A6A">
        <w:rPr>
          <w:b/>
          <w:sz w:val="28"/>
          <w:szCs w:val="28"/>
        </w:rPr>
        <w:t xml:space="preserve">Juris </w:t>
      </w:r>
      <w:proofErr w:type="spellStart"/>
      <w:r w:rsidR="00C61A6A" w:rsidRPr="00C61A6A">
        <w:rPr>
          <w:b/>
          <w:sz w:val="28"/>
          <w:szCs w:val="28"/>
        </w:rPr>
        <w:t>Štālmeistars</w:t>
      </w:r>
      <w:proofErr w:type="spellEnd"/>
      <w:r w:rsidR="00C61A6A" w:rsidRPr="00C61A6A">
        <w:rPr>
          <w:b/>
          <w:sz w:val="28"/>
          <w:szCs w:val="28"/>
        </w:rPr>
        <w:t>,</w:t>
      </w:r>
      <w:r w:rsidR="00C61A6A" w:rsidRPr="00C61A6A">
        <w:rPr>
          <w:sz w:val="28"/>
          <w:szCs w:val="28"/>
        </w:rPr>
        <w:t xml:space="preserve"> Latvijas Republikas pastāvīgā pārstā</w:t>
      </w:r>
      <w:r w:rsidR="00C61A6A">
        <w:rPr>
          <w:sz w:val="28"/>
          <w:szCs w:val="28"/>
        </w:rPr>
        <w:t>vja Eiropas Savienībā vietnieks</w:t>
      </w:r>
    </w:p>
    <w:p w:rsidR="00675BCD" w:rsidRPr="00C61A6A" w:rsidRDefault="00E15608" w:rsidP="007D3580">
      <w:pPr>
        <w:ind w:left="2835" w:hanging="2835"/>
        <w:jc w:val="both"/>
        <w:rPr>
          <w:sz w:val="28"/>
          <w:szCs w:val="28"/>
        </w:rPr>
      </w:pPr>
      <w:r w:rsidRPr="00C61A6A">
        <w:rPr>
          <w:sz w:val="28"/>
          <w:szCs w:val="28"/>
        </w:rPr>
        <w:tab/>
      </w:r>
      <w:r w:rsidR="00675BCD" w:rsidRPr="00C61A6A">
        <w:rPr>
          <w:b/>
          <w:sz w:val="28"/>
          <w:szCs w:val="28"/>
        </w:rPr>
        <w:t>Aivars Neimanis</w:t>
      </w:r>
      <w:r w:rsidR="00675BCD" w:rsidRPr="00C61A6A">
        <w:rPr>
          <w:sz w:val="28"/>
          <w:szCs w:val="28"/>
        </w:rPr>
        <w:t>, Ekonomikas ministrijas nozares padomnieks Latvijas Republikas pārstāvniecībā Eiropas Savienībā</w:t>
      </w:r>
    </w:p>
    <w:p w:rsidR="00675BCD" w:rsidRDefault="00675BCD" w:rsidP="007D3580">
      <w:pPr>
        <w:ind w:left="2835"/>
        <w:jc w:val="both"/>
        <w:rPr>
          <w:sz w:val="28"/>
          <w:szCs w:val="28"/>
        </w:rPr>
      </w:pPr>
      <w:r w:rsidRPr="00C61A6A">
        <w:rPr>
          <w:b/>
          <w:sz w:val="28"/>
          <w:szCs w:val="28"/>
        </w:rPr>
        <w:t>Anna Upena</w:t>
      </w:r>
      <w:r w:rsidRPr="00C61A6A">
        <w:rPr>
          <w:sz w:val="28"/>
          <w:szCs w:val="28"/>
        </w:rPr>
        <w:t>, Ekonomikas ministrijas nozares padomnieks Latvijas Republikas pārstāvniecībā Eiropas Savienībā</w:t>
      </w:r>
    </w:p>
    <w:p w:rsidR="00C61A6A" w:rsidRDefault="00C61A6A" w:rsidP="00C61A6A">
      <w:pPr>
        <w:ind w:left="2835"/>
        <w:jc w:val="both"/>
        <w:rPr>
          <w:sz w:val="28"/>
          <w:szCs w:val="28"/>
        </w:rPr>
      </w:pPr>
      <w:proofErr w:type="spellStart"/>
      <w:r>
        <w:rPr>
          <w:b/>
          <w:sz w:val="28"/>
          <w:szCs w:val="28"/>
        </w:rPr>
        <w:t>Larijs</w:t>
      </w:r>
      <w:proofErr w:type="spellEnd"/>
      <w:r>
        <w:rPr>
          <w:b/>
          <w:sz w:val="28"/>
          <w:szCs w:val="28"/>
        </w:rPr>
        <w:t xml:space="preserve"> </w:t>
      </w:r>
      <w:proofErr w:type="spellStart"/>
      <w:r>
        <w:rPr>
          <w:b/>
          <w:sz w:val="28"/>
          <w:szCs w:val="28"/>
        </w:rPr>
        <w:t>Martinsons</w:t>
      </w:r>
      <w:proofErr w:type="spellEnd"/>
      <w:r>
        <w:rPr>
          <w:sz w:val="28"/>
          <w:szCs w:val="28"/>
        </w:rPr>
        <w:t xml:space="preserve">, Finanšu ministrijas </w:t>
      </w:r>
      <w:r w:rsidRPr="00C61A6A">
        <w:rPr>
          <w:sz w:val="28"/>
          <w:szCs w:val="28"/>
        </w:rPr>
        <w:t>nozares padomnieks Latvijas Republikas pārstāvniecībā Eiropas Savienībā</w:t>
      </w:r>
    </w:p>
    <w:p w:rsidR="00C61A6A" w:rsidRPr="00C61A6A" w:rsidRDefault="00C61A6A" w:rsidP="007D3580">
      <w:pPr>
        <w:ind w:left="2835"/>
        <w:jc w:val="both"/>
        <w:rPr>
          <w:sz w:val="28"/>
          <w:szCs w:val="28"/>
        </w:rPr>
      </w:pPr>
    </w:p>
    <w:p w:rsidR="00675BCD" w:rsidRPr="003F1EC0" w:rsidRDefault="00675BCD" w:rsidP="007D3580">
      <w:pPr>
        <w:ind w:left="2835"/>
        <w:jc w:val="both"/>
        <w:rPr>
          <w:sz w:val="28"/>
          <w:szCs w:val="28"/>
        </w:rPr>
      </w:pPr>
    </w:p>
    <w:p w:rsidR="00526F0D" w:rsidRPr="003F1EC0" w:rsidRDefault="00526F0D" w:rsidP="007D3580">
      <w:pPr>
        <w:rPr>
          <w:sz w:val="28"/>
          <w:szCs w:val="28"/>
        </w:rPr>
      </w:pPr>
    </w:p>
    <w:p w:rsidR="00400843" w:rsidRPr="003F1EC0" w:rsidRDefault="00400843" w:rsidP="007D3580">
      <w:pPr>
        <w:rPr>
          <w:sz w:val="28"/>
          <w:szCs w:val="28"/>
        </w:rPr>
      </w:pPr>
    </w:p>
    <w:p w:rsidR="00400843" w:rsidRPr="003F1EC0" w:rsidRDefault="00400843" w:rsidP="007D3580">
      <w:pPr>
        <w:rPr>
          <w:sz w:val="28"/>
          <w:szCs w:val="28"/>
        </w:rPr>
      </w:pPr>
    </w:p>
    <w:p w:rsidR="002D40CD" w:rsidRPr="003F1EC0" w:rsidRDefault="00E21948" w:rsidP="007D3580">
      <w:pPr>
        <w:rPr>
          <w:sz w:val="28"/>
          <w:szCs w:val="28"/>
        </w:rPr>
      </w:pPr>
      <w:r w:rsidRPr="003F1EC0">
        <w:rPr>
          <w:sz w:val="28"/>
          <w:szCs w:val="28"/>
        </w:rPr>
        <w:t>Iesniedzējs: Ekonomikas ministrs</w:t>
      </w:r>
      <w:r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t xml:space="preserve">      </w:t>
      </w:r>
      <w:proofErr w:type="spellStart"/>
      <w:r w:rsidR="00D46622" w:rsidRPr="003F1EC0">
        <w:rPr>
          <w:sz w:val="28"/>
          <w:szCs w:val="28"/>
        </w:rPr>
        <w:t>D.Pavļuts</w:t>
      </w:r>
      <w:proofErr w:type="spellEnd"/>
    </w:p>
    <w:p w:rsidR="00526F0D" w:rsidRPr="003F1EC0" w:rsidRDefault="00526F0D" w:rsidP="007D3580">
      <w:pPr>
        <w:rPr>
          <w:sz w:val="28"/>
          <w:szCs w:val="28"/>
        </w:rPr>
      </w:pPr>
    </w:p>
    <w:p w:rsidR="00400843" w:rsidRPr="003F1EC0" w:rsidRDefault="00400843" w:rsidP="007D3580">
      <w:pPr>
        <w:rPr>
          <w:sz w:val="28"/>
          <w:szCs w:val="28"/>
        </w:rPr>
      </w:pPr>
    </w:p>
    <w:p w:rsidR="00675BCD" w:rsidRPr="003F1EC0" w:rsidRDefault="00675BCD" w:rsidP="007D3580">
      <w:pPr>
        <w:rPr>
          <w:sz w:val="28"/>
          <w:szCs w:val="28"/>
        </w:rPr>
      </w:pPr>
    </w:p>
    <w:p w:rsidR="00447246" w:rsidRPr="003F1EC0" w:rsidRDefault="00447246" w:rsidP="007D3580">
      <w:pPr>
        <w:rPr>
          <w:sz w:val="28"/>
          <w:szCs w:val="28"/>
        </w:rPr>
      </w:pPr>
      <w:r w:rsidRPr="003F1EC0">
        <w:rPr>
          <w:sz w:val="28"/>
          <w:szCs w:val="28"/>
        </w:rPr>
        <w:t>Vizē: Valsts sekretārs</w:t>
      </w:r>
      <w:r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r>
      <w:r w:rsidR="00675BCD" w:rsidRPr="003F1EC0">
        <w:rPr>
          <w:sz w:val="28"/>
          <w:szCs w:val="28"/>
        </w:rPr>
        <w:tab/>
        <w:t xml:space="preserve">  </w:t>
      </w:r>
      <w:r w:rsidRPr="003F1EC0">
        <w:rPr>
          <w:sz w:val="28"/>
          <w:szCs w:val="28"/>
        </w:rPr>
        <w:t xml:space="preserve"> J. Pūce</w:t>
      </w:r>
    </w:p>
    <w:p w:rsidR="00675BCD" w:rsidRPr="003F1EC0" w:rsidRDefault="00675BCD" w:rsidP="007D3580">
      <w:pPr>
        <w:rPr>
          <w:sz w:val="28"/>
          <w:szCs w:val="28"/>
        </w:rPr>
      </w:pPr>
    </w:p>
    <w:p w:rsidR="00400843" w:rsidRPr="003F1EC0" w:rsidRDefault="00400843" w:rsidP="007D3580">
      <w:pPr>
        <w:rPr>
          <w:sz w:val="28"/>
          <w:szCs w:val="28"/>
        </w:rPr>
      </w:pPr>
    </w:p>
    <w:p w:rsidR="00400843" w:rsidRPr="003F1EC0" w:rsidRDefault="00400843" w:rsidP="007D3580">
      <w:pPr>
        <w:rPr>
          <w:sz w:val="28"/>
          <w:szCs w:val="28"/>
        </w:rPr>
      </w:pPr>
    </w:p>
    <w:p w:rsidR="00422C05" w:rsidRPr="003F1EC0" w:rsidRDefault="00422C05" w:rsidP="007D3580">
      <w:pPr>
        <w:rPr>
          <w:sz w:val="20"/>
          <w:szCs w:val="20"/>
        </w:rPr>
      </w:pPr>
      <w:r w:rsidRPr="003F1EC0">
        <w:rPr>
          <w:sz w:val="20"/>
          <w:szCs w:val="20"/>
        </w:rPr>
        <w:t xml:space="preserve">Atbildīgā amatpersona: </w:t>
      </w:r>
    </w:p>
    <w:p w:rsidR="00447246" w:rsidRPr="003F1EC0" w:rsidRDefault="00675BCD" w:rsidP="007D3580">
      <w:pPr>
        <w:rPr>
          <w:sz w:val="20"/>
          <w:szCs w:val="20"/>
        </w:rPr>
      </w:pPr>
      <w:r w:rsidRPr="003F1EC0">
        <w:rPr>
          <w:sz w:val="20"/>
          <w:szCs w:val="20"/>
        </w:rPr>
        <w:t>Inese Balode</w:t>
      </w:r>
    </w:p>
    <w:p w:rsidR="00447246" w:rsidRPr="003F1EC0" w:rsidRDefault="00447246" w:rsidP="007D3580">
      <w:pPr>
        <w:rPr>
          <w:sz w:val="20"/>
          <w:szCs w:val="20"/>
        </w:rPr>
      </w:pPr>
      <w:r w:rsidRPr="003F1EC0">
        <w:rPr>
          <w:sz w:val="20"/>
          <w:szCs w:val="20"/>
        </w:rPr>
        <w:t>Ekonomikas ministrijas</w:t>
      </w:r>
    </w:p>
    <w:p w:rsidR="00447246" w:rsidRPr="003F1EC0" w:rsidRDefault="00447246" w:rsidP="007D3580">
      <w:pPr>
        <w:rPr>
          <w:sz w:val="20"/>
          <w:szCs w:val="20"/>
        </w:rPr>
      </w:pPr>
      <w:r w:rsidRPr="003F1EC0">
        <w:rPr>
          <w:sz w:val="20"/>
          <w:szCs w:val="20"/>
        </w:rPr>
        <w:t>Ārējo ekonomisko attiecību departamenta direktores vietniece</w:t>
      </w:r>
      <w:r w:rsidR="00675BCD" w:rsidRPr="003F1EC0">
        <w:rPr>
          <w:sz w:val="20"/>
          <w:szCs w:val="20"/>
        </w:rPr>
        <w:t xml:space="preserve">s </w:t>
      </w:r>
      <w:proofErr w:type="spellStart"/>
      <w:r w:rsidR="00675BCD" w:rsidRPr="003F1EC0">
        <w:rPr>
          <w:sz w:val="20"/>
          <w:szCs w:val="20"/>
        </w:rPr>
        <w:t>p.i</w:t>
      </w:r>
      <w:proofErr w:type="spellEnd"/>
      <w:r w:rsidR="00675BCD" w:rsidRPr="003F1EC0">
        <w:rPr>
          <w:sz w:val="20"/>
          <w:szCs w:val="20"/>
        </w:rPr>
        <w:t>.</w:t>
      </w:r>
    </w:p>
    <w:p w:rsidR="00447246" w:rsidRPr="003F1EC0" w:rsidRDefault="00675BCD" w:rsidP="007D3580">
      <w:pPr>
        <w:rPr>
          <w:sz w:val="20"/>
          <w:szCs w:val="20"/>
        </w:rPr>
      </w:pPr>
      <w:r w:rsidRPr="003F1EC0">
        <w:rPr>
          <w:sz w:val="20"/>
          <w:szCs w:val="20"/>
        </w:rPr>
        <w:t>tālr.:67013064</w:t>
      </w:r>
    </w:p>
    <w:p w:rsidR="00447246" w:rsidRPr="003F1EC0" w:rsidRDefault="00447246" w:rsidP="007D3580">
      <w:pPr>
        <w:rPr>
          <w:sz w:val="20"/>
          <w:szCs w:val="20"/>
        </w:rPr>
      </w:pPr>
      <w:r w:rsidRPr="003F1EC0">
        <w:rPr>
          <w:sz w:val="20"/>
          <w:szCs w:val="20"/>
        </w:rPr>
        <w:t xml:space="preserve">faksa numurs 67280882 </w:t>
      </w:r>
    </w:p>
    <w:p w:rsidR="00447246" w:rsidRPr="003F1EC0" w:rsidRDefault="00447246" w:rsidP="007D3580">
      <w:pPr>
        <w:jc w:val="both"/>
        <w:rPr>
          <w:sz w:val="20"/>
          <w:szCs w:val="20"/>
        </w:rPr>
      </w:pPr>
      <w:r w:rsidRPr="003F1EC0">
        <w:rPr>
          <w:sz w:val="20"/>
          <w:szCs w:val="20"/>
        </w:rPr>
        <w:t xml:space="preserve">e-pasts: </w:t>
      </w:r>
      <w:hyperlink r:id="rId11" w:history="1">
        <w:r w:rsidR="00675BCD" w:rsidRPr="003F1EC0">
          <w:rPr>
            <w:rStyle w:val="Hyperlink"/>
            <w:sz w:val="18"/>
            <w:szCs w:val="18"/>
          </w:rPr>
          <w:t>Inese.Balode@em.gov.lv</w:t>
        </w:r>
      </w:hyperlink>
    </w:p>
    <w:p w:rsidR="00422C05" w:rsidRPr="003F1EC0" w:rsidRDefault="00422C05" w:rsidP="007D3580">
      <w:pPr>
        <w:jc w:val="both"/>
        <w:rPr>
          <w:u w:val="single"/>
        </w:rPr>
      </w:pPr>
    </w:p>
    <w:p w:rsidR="00D46622" w:rsidRPr="008A1C11" w:rsidRDefault="00502C11" w:rsidP="007D3580">
      <w:pPr>
        <w:jc w:val="both"/>
        <w:rPr>
          <w:sz w:val="18"/>
          <w:szCs w:val="18"/>
        </w:rPr>
      </w:pPr>
      <w:fldSimple w:instr=" DATE   \* MERGEFORMAT ">
        <w:r w:rsidR="000745EB" w:rsidRPr="000745EB">
          <w:rPr>
            <w:noProof/>
            <w:sz w:val="18"/>
            <w:szCs w:val="18"/>
          </w:rPr>
          <w:t>28.11.2011</w:t>
        </w:r>
      </w:fldSimple>
      <w:r w:rsidR="00D46622" w:rsidRPr="008A1C11">
        <w:rPr>
          <w:sz w:val="18"/>
          <w:szCs w:val="18"/>
        </w:rPr>
        <w:t xml:space="preserve"> </w:t>
      </w:r>
      <w:r w:rsidRPr="008A1C11">
        <w:rPr>
          <w:sz w:val="18"/>
          <w:szCs w:val="18"/>
        </w:rPr>
        <w:fldChar w:fldCharType="begin"/>
      </w:r>
      <w:r w:rsidR="00D46622" w:rsidRPr="008A1C11">
        <w:rPr>
          <w:sz w:val="18"/>
          <w:szCs w:val="18"/>
        </w:rPr>
        <w:instrText xml:space="preserve"> TIME  \@ "HH:mm"  \* MERGEFORMAT </w:instrText>
      </w:r>
      <w:r w:rsidRPr="008A1C11">
        <w:rPr>
          <w:sz w:val="18"/>
          <w:szCs w:val="18"/>
        </w:rPr>
        <w:fldChar w:fldCharType="separate"/>
      </w:r>
      <w:r w:rsidR="000745EB">
        <w:rPr>
          <w:noProof/>
          <w:sz w:val="18"/>
          <w:szCs w:val="18"/>
        </w:rPr>
        <w:t>15:38</w:t>
      </w:r>
      <w:r w:rsidRPr="008A1C11">
        <w:rPr>
          <w:sz w:val="18"/>
          <w:szCs w:val="18"/>
        </w:rPr>
        <w:fldChar w:fldCharType="end"/>
      </w:r>
    </w:p>
    <w:p w:rsidR="00D46622" w:rsidRPr="008A1C11" w:rsidRDefault="00502C11" w:rsidP="007D3580">
      <w:pPr>
        <w:jc w:val="both"/>
        <w:rPr>
          <w:sz w:val="18"/>
          <w:szCs w:val="18"/>
        </w:rPr>
      </w:pPr>
      <w:fldSimple w:instr=" NUMWORDS   \* MERGEFORMAT ">
        <w:r w:rsidR="00165719" w:rsidRPr="00165719">
          <w:rPr>
            <w:noProof/>
            <w:sz w:val="18"/>
            <w:szCs w:val="18"/>
          </w:rPr>
          <w:t>3842</w:t>
        </w:r>
      </w:fldSimple>
    </w:p>
    <w:p w:rsidR="00D46622" w:rsidRPr="008A1C11" w:rsidRDefault="00D46622" w:rsidP="007D3580">
      <w:pPr>
        <w:rPr>
          <w:sz w:val="18"/>
        </w:rPr>
      </w:pPr>
      <w:r w:rsidRPr="008A1C11">
        <w:rPr>
          <w:sz w:val="18"/>
        </w:rPr>
        <w:t>M.Zjurikova</w:t>
      </w:r>
    </w:p>
    <w:p w:rsidR="00D46622" w:rsidRPr="008A1C11" w:rsidRDefault="00D46622" w:rsidP="007D3580">
      <w:pPr>
        <w:rPr>
          <w:sz w:val="18"/>
        </w:rPr>
      </w:pPr>
      <w:r w:rsidRPr="008A1C11">
        <w:rPr>
          <w:sz w:val="18"/>
        </w:rPr>
        <w:t>Ekonomikas ministrijas</w:t>
      </w:r>
    </w:p>
    <w:p w:rsidR="00D46622" w:rsidRPr="008A1C11" w:rsidRDefault="00D46622" w:rsidP="007D3580">
      <w:pPr>
        <w:rPr>
          <w:sz w:val="18"/>
        </w:rPr>
      </w:pPr>
      <w:r w:rsidRPr="008A1C11">
        <w:rPr>
          <w:sz w:val="18"/>
        </w:rPr>
        <w:t>Ārējo ekonomisko attiecību departaments</w:t>
      </w:r>
    </w:p>
    <w:p w:rsidR="00D46622" w:rsidRPr="003F1EC0" w:rsidRDefault="00D46622" w:rsidP="007D3580">
      <w:pPr>
        <w:rPr>
          <w:sz w:val="18"/>
        </w:rPr>
      </w:pPr>
      <w:r w:rsidRPr="008A1C11">
        <w:rPr>
          <w:sz w:val="18"/>
        </w:rPr>
        <w:t>67013001, Marija.Zjurikova@em.gov.lv</w:t>
      </w:r>
      <w:r w:rsidRPr="003F1EC0">
        <w:rPr>
          <w:sz w:val="18"/>
        </w:rPr>
        <w:t xml:space="preserve"> </w:t>
      </w:r>
    </w:p>
    <w:p w:rsidR="00447246" w:rsidRPr="003F1EC0" w:rsidRDefault="00447246" w:rsidP="007D3580"/>
    <w:sectPr w:rsidR="00447246" w:rsidRPr="003F1EC0" w:rsidSect="00B3226F">
      <w:headerReference w:type="default" r:id="rId12"/>
      <w:footerReference w:type="default" r:id="rId13"/>
      <w:footerReference w:type="first" r:id="rId14"/>
      <w:pgSz w:w="11906" w:h="16838"/>
      <w:pgMar w:top="1134" w:right="1134" w:bottom="170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11" w:rsidRDefault="008A1C11" w:rsidP="0079342A">
      <w:r>
        <w:separator/>
      </w:r>
    </w:p>
  </w:endnote>
  <w:endnote w:type="continuationSeparator" w:id="0">
    <w:p w:rsidR="008A1C11" w:rsidRDefault="008A1C11" w:rsidP="0079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11" w:rsidRPr="008A1C11" w:rsidRDefault="008A1C11" w:rsidP="008A1C11">
    <w:pPr>
      <w:rPr>
        <w:sz w:val="20"/>
        <w:szCs w:val="20"/>
        <w:lang w:eastAsia="en-US"/>
      </w:rPr>
    </w:pPr>
    <w:r>
      <w:rPr>
        <w:sz w:val="20"/>
        <w:szCs w:val="20"/>
        <w:lang w:eastAsia="en-US"/>
      </w:rPr>
      <w:t>EMZino_2811</w:t>
    </w:r>
    <w:r w:rsidRPr="00D24C05">
      <w:rPr>
        <w:sz w:val="20"/>
        <w:szCs w:val="20"/>
        <w:lang w:eastAsia="en-US"/>
      </w:rPr>
      <w:t xml:space="preserve">11_COMPET; </w:t>
    </w:r>
    <w:r>
      <w:rPr>
        <w:sz w:val="20"/>
        <w:szCs w:val="20"/>
        <w:lang w:eastAsia="en-US"/>
      </w:rPr>
      <w:t xml:space="preserve">Informatīvais ziņojums </w:t>
    </w:r>
    <w:r w:rsidRPr="0097510E">
      <w:rPr>
        <w:sz w:val="20"/>
        <w:szCs w:val="20"/>
        <w:lang w:eastAsia="en-US"/>
      </w:rPr>
      <w:t>par Latvijas nacionālajām pozīcijām Eiropas Savienības Konkurētspējas ministru padomes 2011. gada 5. decembra sanāksmē izskatāmajos Ekonomikas ministrijas un Finanšu min</w:t>
    </w:r>
    <w:r>
      <w:rPr>
        <w:sz w:val="20"/>
        <w:szCs w:val="20"/>
        <w:lang w:eastAsia="en-US"/>
      </w:rPr>
      <w:t>istrijas kompetences jautājumos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11" w:rsidRPr="0097510E" w:rsidRDefault="008A1C11" w:rsidP="0097510E">
    <w:pPr>
      <w:rPr>
        <w:sz w:val="20"/>
        <w:szCs w:val="20"/>
        <w:lang w:eastAsia="en-US"/>
      </w:rPr>
    </w:pPr>
    <w:r>
      <w:rPr>
        <w:sz w:val="20"/>
        <w:szCs w:val="20"/>
        <w:lang w:eastAsia="en-US"/>
      </w:rPr>
      <w:t>EMZino_2811</w:t>
    </w:r>
    <w:r w:rsidRPr="00D24C05">
      <w:rPr>
        <w:sz w:val="20"/>
        <w:szCs w:val="20"/>
        <w:lang w:eastAsia="en-US"/>
      </w:rPr>
      <w:t xml:space="preserve">11_COMPET; </w:t>
    </w:r>
    <w:r>
      <w:rPr>
        <w:sz w:val="20"/>
        <w:szCs w:val="20"/>
        <w:lang w:eastAsia="en-US"/>
      </w:rPr>
      <w:t xml:space="preserve">Informatīvais ziņojums </w:t>
    </w:r>
    <w:r w:rsidRPr="0097510E">
      <w:rPr>
        <w:sz w:val="20"/>
        <w:szCs w:val="20"/>
        <w:lang w:eastAsia="en-US"/>
      </w:rPr>
      <w:t>par Latvijas nacionālajām pozīcijām Eiropas Savienības Konkurētspējas ministru padomes 2011. gada 5. decembra sanāksmē izskatāmajos Ekonomikas ministrijas un Finanšu ministrijas kompetences jautājumos</w:t>
    </w:r>
  </w:p>
  <w:p w:rsidR="008A1C11" w:rsidRPr="00E23854" w:rsidRDefault="008A1C11" w:rsidP="000A020A">
    <w:pPr>
      <w:rPr>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11" w:rsidRDefault="008A1C11" w:rsidP="0079342A">
      <w:r>
        <w:separator/>
      </w:r>
    </w:p>
  </w:footnote>
  <w:footnote w:type="continuationSeparator" w:id="0">
    <w:p w:rsidR="008A1C11" w:rsidRDefault="008A1C11" w:rsidP="0079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8A1C11" w:rsidRDefault="00502C11">
        <w:pPr>
          <w:pStyle w:val="Header"/>
          <w:jc w:val="center"/>
        </w:pPr>
        <w:fldSimple w:instr=" PAGE   \* MERGEFORMAT ">
          <w:r w:rsidR="00165719">
            <w:rPr>
              <w:noProof/>
            </w:rPr>
            <w:t>14</w:t>
          </w:r>
        </w:fldSimple>
      </w:p>
    </w:sdtContent>
  </w:sdt>
  <w:p w:rsidR="008A1C11" w:rsidRDefault="008A1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477"/>
    <w:multiLevelType w:val="hybridMultilevel"/>
    <w:tmpl w:val="8A3A5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75562B"/>
    <w:multiLevelType w:val="hybridMultilevel"/>
    <w:tmpl w:val="E7BCC83C"/>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C628F0"/>
    <w:multiLevelType w:val="hybridMultilevel"/>
    <w:tmpl w:val="9E1AD324"/>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189B1F21"/>
    <w:multiLevelType w:val="hybridMultilevel"/>
    <w:tmpl w:val="C62632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370991"/>
    <w:multiLevelType w:val="hybridMultilevel"/>
    <w:tmpl w:val="DC5E8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4474D1"/>
    <w:multiLevelType w:val="hybridMultilevel"/>
    <w:tmpl w:val="82EE53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C55923"/>
    <w:multiLevelType w:val="hybridMultilevel"/>
    <w:tmpl w:val="30FC85EE"/>
    <w:lvl w:ilvl="0" w:tplc="2D4E5870">
      <w:start w:val="1"/>
      <w:numFmt w:val="lowerLetter"/>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0945505"/>
    <w:multiLevelType w:val="hybridMultilevel"/>
    <w:tmpl w:val="CEBA5182"/>
    <w:lvl w:ilvl="0" w:tplc="04260017">
      <w:start w:val="1"/>
      <w:numFmt w:val="lowerLetter"/>
      <w:lvlText w:val="%1)"/>
      <w:lvlJc w:val="left"/>
      <w:pPr>
        <w:ind w:left="720" w:hanging="360"/>
      </w:pPr>
      <w:rPr>
        <w:rFonts w:hint="default"/>
      </w:rPr>
    </w:lvl>
    <w:lvl w:ilvl="1" w:tplc="3EE4061A">
      <w:start w:val="1"/>
      <w:numFmt w:val="bullet"/>
      <w:lvlText w:val="-"/>
      <w:lvlJc w:val="left"/>
      <w:pPr>
        <w:ind w:left="1800" w:hanging="72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CF2DB9"/>
    <w:multiLevelType w:val="multilevel"/>
    <w:tmpl w:val="A38A64EA"/>
    <w:lvl w:ilvl="0">
      <w:start w:val="2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0F7DEA"/>
    <w:multiLevelType w:val="hybridMultilevel"/>
    <w:tmpl w:val="8E524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9F68C9"/>
    <w:multiLevelType w:val="hybridMultilevel"/>
    <w:tmpl w:val="1F8457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312DED"/>
    <w:multiLevelType w:val="multilevel"/>
    <w:tmpl w:val="980A6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8E55E7"/>
    <w:multiLevelType w:val="multilevel"/>
    <w:tmpl w:val="980A6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7E2A5F"/>
    <w:multiLevelType w:val="hybridMultilevel"/>
    <w:tmpl w:val="AA4A7DC2"/>
    <w:lvl w:ilvl="0" w:tplc="8C0E7F56">
      <w:start w:val="4"/>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nsid w:val="53DE223D"/>
    <w:multiLevelType w:val="hybridMultilevel"/>
    <w:tmpl w:val="F92A7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62C137A"/>
    <w:multiLevelType w:val="hybridMultilevel"/>
    <w:tmpl w:val="0058947E"/>
    <w:lvl w:ilvl="0" w:tplc="04260017">
      <w:start w:val="1"/>
      <w:numFmt w:val="lowerLetter"/>
      <w:lvlText w:val="%1)"/>
      <w:lvlJc w:val="left"/>
      <w:pPr>
        <w:ind w:left="360" w:hanging="360"/>
      </w:pPr>
      <w:rPr>
        <w:rFonts w:hint="default"/>
      </w:rPr>
    </w:lvl>
    <w:lvl w:ilvl="1" w:tplc="04260019">
      <w:start w:val="1"/>
      <w:numFmt w:val="lowerLetter"/>
      <w:lvlText w:val="%2."/>
      <w:lvlJc w:val="left"/>
      <w:pPr>
        <w:ind w:left="1779"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AFE0019"/>
    <w:multiLevelType w:val="hybridMultilevel"/>
    <w:tmpl w:val="C076EA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1A65B1F"/>
    <w:multiLevelType w:val="hybridMultilevel"/>
    <w:tmpl w:val="247871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1634C9"/>
    <w:multiLevelType w:val="hybridMultilevel"/>
    <w:tmpl w:val="9A14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2A8042C"/>
    <w:multiLevelType w:val="singleLevel"/>
    <w:tmpl w:val="CCF20C06"/>
    <w:name w:val="Bullet 3"/>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2F102E5"/>
    <w:multiLevelType w:val="multilevel"/>
    <w:tmpl w:val="62FE23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BA1262"/>
    <w:multiLevelType w:val="hybridMultilevel"/>
    <w:tmpl w:val="D0FCFD0E"/>
    <w:lvl w:ilvl="0" w:tplc="19D6807C">
      <w:start w:val="2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6C083601"/>
    <w:multiLevelType w:val="hybridMultilevel"/>
    <w:tmpl w:val="953EE33E"/>
    <w:lvl w:ilvl="0" w:tplc="81BC956A">
      <w:start w:val="1"/>
      <w:numFmt w:val="decimal"/>
      <w:lvlText w:val="%1)"/>
      <w:lvlJc w:val="left"/>
      <w:pPr>
        <w:ind w:left="1280" w:hanging="855"/>
      </w:pPr>
      <w:rPr>
        <w:rFonts w:hint="default"/>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4">
    <w:nsid w:val="72B9736C"/>
    <w:multiLevelType w:val="hybridMultilevel"/>
    <w:tmpl w:val="6D12EC56"/>
    <w:lvl w:ilvl="0" w:tplc="19D6807C">
      <w:start w:val="2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737C24CB"/>
    <w:multiLevelType w:val="multilevel"/>
    <w:tmpl w:val="7096C53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3E43652"/>
    <w:multiLevelType w:val="hybridMultilevel"/>
    <w:tmpl w:val="72F0F050"/>
    <w:lvl w:ilvl="0" w:tplc="19D6807C">
      <w:start w:val="21"/>
      <w:numFmt w:val="bullet"/>
      <w:lvlText w:val="-"/>
      <w:lvlJc w:val="left"/>
      <w:pPr>
        <w:ind w:left="1571" w:hanging="360"/>
      </w:pPr>
      <w:rPr>
        <w:rFonts w:ascii="Times New Roman" w:eastAsia="Times New Roman" w:hAnsi="Times New Roman" w:cs="Times New Roman"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7">
    <w:nsid w:val="77C16B58"/>
    <w:multiLevelType w:val="hybridMultilevel"/>
    <w:tmpl w:val="92706082"/>
    <w:lvl w:ilvl="0" w:tplc="19D6807C">
      <w:start w:val="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9A90B80"/>
    <w:multiLevelType w:val="hybridMultilevel"/>
    <w:tmpl w:val="AC48D42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3"/>
  </w:num>
  <w:num w:numId="3">
    <w:abstractNumId w:val="1"/>
  </w:num>
  <w:num w:numId="4">
    <w:abstractNumId w:val="7"/>
  </w:num>
  <w:num w:numId="5">
    <w:abstractNumId w:val="19"/>
  </w:num>
  <w:num w:numId="6">
    <w:abstractNumId w:val="6"/>
  </w:num>
  <w:num w:numId="7">
    <w:abstractNumId w:val="10"/>
  </w:num>
  <w:num w:numId="8">
    <w:abstractNumId w:val="25"/>
  </w:num>
  <w:num w:numId="9">
    <w:abstractNumId w:val="15"/>
  </w:num>
  <w:num w:numId="10">
    <w:abstractNumId w:val="18"/>
  </w:num>
  <w:num w:numId="11">
    <w:abstractNumId w:val="11"/>
  </w:num>
  <w:num w:numId="12">
    <w:abstractNumId w:val="21"/>
  </w:num>
  <w:num w:numId="13">
    <w:abstractNumId w:val="13"/>
  </w:num>
  <w:num w:numId="14">
    <w:abstractNumId w:val="8"/>
  </w:num>
  <w:num w:numId="15">
    <w:abstractNumId w:val="1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2"/>
  </w:num>
  <w:num w:numId="21">
    <w:abstractNumId w:val="12"/>
  </w:num>
  <w:num w:numId="22">
    <w:abstractNumId w:val="27"/>
  </w:num>
  <w:num w:numId="23">
    <w:abstractNumId w:val="9"/>
  </w:num>
  <w:num w:numId="24">
    <w:abstractNumId w:val="22"/>
  </w:num>
  <w:num w:numId="25">
    <w:abstractNumId w:val="24"/>
  </w:num>
  <w:num w:numId="26">
    <w:abstractNumId w:val="4"/>
  </w:num>
  <w:num w:numId="27">
    <w:abstractNumId w:val="14"/>
  </w:num>
  <w:num w:numId="28">
    <w:abstractNumId w:val="26"/>
  </w:num>
  <w:num w:numId="29">
    <w:abstractNumId w:val="0"/>
  </w:num>
  <w:num w:numId="3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16CF"/>
    <w:rsid w:val="000163A1"/>
    <w:rsid w:val="00017CA9"/>
    <w:rsid w:val="00022163"/>
    <w:rsid w:val="000230C6"/>
    <w:rsid w:val="000304D8"/>
    <w:rsid w:val="000345DD"/>
    <w:rsid w:val="00037E43"/>
    <w:rsid w:val="000442AD"/>
    <w:rsid w:val="00045380"/>
    <w:rsid w:val="00050631"/>
    <w:rsid w:val="00051200"/>
    <w:rsid w:val="00053471"/>
    <w:rsid w:val="000538D0"/>
    <w:rsid w:val="00054145"/>
    <w:rsid w:val="00060563"/>
    <w:rsid w:val="00060A8D"/>
    <w:rsid w:val="00071F6B"/>
    <w:rsid w:val="000745EB"/>
    <w:rsid w:val="00074A8E"/>
    <w:rsid w:val="00076994"/>
    <w:rsid w:val="0008031F"/>
    <w:rsid w:val="0009144F"/>
    <w:rsid w:val="00096089"/>
    <w:rsid w:val="000A020A"/>
    <w:rsid w:val="000A0F01"/>
    <w:rsid w:val="000A4383"/>
    <w:rsid w:val="000A599E"/>
    <w:rsid w:val="000A61D6"/>
    <w:rsid w:val="000A7576"/>
    <w:rsid w:val="000B468F"/>
    <w:rsid w:val="000B77DA"/>
    <w:rsid w:val="000C5C3C"/>
    <w:rsid w:val="000E7CD7"/>
    <w:rsid w:val="00113D52"/>
    <w:rsid w:val="00117654"/>
    <w:rsid w:val="00117904"/>
    <w:rsid w:val="00121DEA"/>
    <w:rsid w:val="00126A02"/>
    <w:rsid w:val="00150BB3"/>
    <w:rsid w:val="00156ECD"/>
    <w:rsid w:val="00157C4A"/>
    <w:rsid w:val="001620EA"/>
    <w:rsid w:val="00165624"/>
    <w:rsid w:val="00165719"/>
    <w:rsid w:val="0016779A"/>
    <w:rsid w:val="001754CA"/>
    <w:rsid w:val="001760D9"/>
    <w:rsid w:val="001829A7"/>
    <w:rsid w:val="00184B27"/>
    <w:rsid w:val="00185F95"/>
    <w:rsid w:val="00191F45"/>
    <w:rsid w:val="00197C91"/>
    <w:rsid w:val="001A0EC1"/>
    <w:rsid w:val="001B0566"/>
    <w:rsid w:val="001B0568"/>
    <w:rsid w:val="001B3F3D"/>
    <w:rsid w:val="001B697D"/>
    <w:rsid w:val="001C32B3"/>
    <w:rsid w:val="001E5AD7"/>
    <w:rsid w:val="001E6160"/>
    <w:rsid w:val="002025A8"/>
    <w:rsid w:val="0020630B"/>
    <w:rsid w:val="0021101E"/>
    <w:rsid w:val="002148A4"/>
    <w:rsid w:val="002173E3"/>
    <w:rsid w:val="00224DC4"/>
    <w:rsid w:val="00232C87"/>
    <w:rsid w:val="0023457E"/>
    <w:rsid w:val="00246F3B"/>
    <w:rsid w:val="002609E5"/>
    <w:rsid w:val="002855EB"/>
    <w:rsid w:val="002A0645"/>
    <w:rsid w:val="002B0D2A"/>
    <w:rsid w:val="002B221A"/>
    <w:rsid w:val="002C06DC"/>
    <w:rsid w:val="002D40CD"/>
    <w:rsid w:val="002D63C1"/>
    <w:rsid w:val="002D6A46"/>
    <w:rsid w:val="002E087D"/>
    <w:rsid w:val="002E3144"/>
    <w:rsid w:val="002F1BB4"/>
    <w:rsid w:val="002F2254"/>
    <w:rsid w:val="002F7E81"/>
    <w:rsid w:val="003128C8"/>
    <w:rsid w:val="003148EC"/>
    <w:rsid w:val="003159AD"/>
    <w:rsid w:val="00316C2A"/>
    <w:rsid w:val="00322A7A"/>
    <w:rsid w:val="00324917"/>
    <w:rsid w:val="00327E46"/>
    <w:rsid w:val="003467E6"/>
    <w:rsid w:val="00360015"/>
    <w:rsid w:val="00361512"/>
    <w:rsid w:val="00370A43"/>
    <w:rsid w:val="003721A4"/>
    <w:rsid w:val="0039412A"/>
    <w:rsid w:val="00397317"/>
    <w:rsid w:val="0039752E"/>
    <w:rsid w:val="003A2C6E"/>
    <w:rsid w:val="003A2FBC"/>
    <w:rsid w:val="003A3A6A"/>
    <w:rsid w:val="003B6331"/>
    <w:rsid w:val="003B72E4"/>
    <w:rsid w:val="003C0B95"/>
    <w:rsid w:val="003D478B"/>
    <w:rsid w:val="003E0DFA"/>
    <w:rsid w:val="003E5D30"/>
    <w:rsid w:val="003E7BA4"/>
    <w:rsid w:val="003F1EC0"/>
    <w:rsid w:val="003F2ECD"/>
    <w:rsid w:val="003F3BE3"/>
    <w:rsid w:val="003F5E8D"/>
    <w:rsid w:val="003F69B8"/>
    <w:rsid w:val="00400142"/>
    <w:rsid w:val="00400843"/>
    <w:rsid w:val="00403309"/>
    <w:rsid w:val="0041089F"/>
    <w:rsid w:val="0041577A"/>
    <w:rsid w:val="00416433"/>
    <w:rsid w:val="00416C71"/>
    <w:rsid w:val="00422C05"/>
    <w:rsid w:val="00425B59"/>
    <w:rsid w:val="00434636"/>
    <w:rsid w:val="00447246"/>
    <w:rsid w:val="00473B73"/>
    <w:rsid w:val="00485409"/>
    <w:rsid w:val="00485CF8"/>
    <w:rsid w:val="00487A4D"/>
    <w:rsid w:val="0049471A"/>
    <w:rsid w:val="004A242B"/>
    <w:rsid w:val="004A70CD"/>
    <w:rsid w:val="004B1495"/>
    <w:rsid w:val="004B1EFF"/>
    <w:rsid w:val="004B6217"/>
    <w:rsid w:val="004C0784"/>
    <w:rsid w:val="004C79B5"/>
    <w:rsid w:val="004E4F37"/>
    <w:rsid w:val="004F6998"/>
    <w:rsid w:val="00502C11"/>
    <w:rsid w:val="00513E2C"/>
    <w:rsid w:val="0052189E"/>
    <w:rsid w:val="00526F0D"/>
    <w:rsid w:val="00546424"/>
    <w:rsid w:val="00546D6E"/>
    <w:rsid w:val="005530C8"/>
    <w:rsid w:val="00555DE2"/>
    <w:rsid w:val="005605FC"/>
    <w:rsid w:val="00560716"/>
    <w:rsid w:val="00562471"/>
    <w:rsid w:val="005829B3"/>
    <w:rsid w:val="005854CF"/>
    <w:rsid w:val="00593BA0"/>
    <w:rsid w:val="00596CA6"/>
    <w:rsid w:val="00597ECC"/>
    <w:rsid w:val="005A0176"/>
    <w:rsid w:val="005A18ED"/>
    <w:rsid w:val="005A3B4C"/>
    <w:rsid w:val="005B3E55"/>
    <w:rsid w:val="005B51CA"/>
    <w:rsid w:val="005C21D5"/>
    <w:rsid w:val="005C59D1"/>
    <w:rsid w:val="005C626C"/>
    <w:rsid w:val="005D0EFD"/>
    <w:rsid w:val="005D2590"/>
    <w:rsid w:val="005E12D5"/>
    <w:rsid w:val="005E3C2B"/>
    <w:rsid w:val="005E404D"/>
    <w:rsid w:val="005F1DED"/>
    <w:rsid w:val="005F63AD"/>
    <w:rsid w:val="005F724E"/>
    <w:rsid w:val="0060055E"/>
    <w:rsid w:val="00601E4D"/>
    <w:rsid w:val="00611C7C"/>
    <w:rsid w:val="006257E0"/>
    <w:rsid w:val="00633000"/>
    <w:rsid w:val="006502E4"/>
    <w:rsid w:val="006503E2"/>
    <w:rsid w:val="00665B1C"/>
    <w:rsid w:val="00667663"/>
    <w:rsid w:val="00675358"/>
    <w:rsid w:val="00675BCD"/>
    <w:rsid w:val="00680623"/>
    <w:rsid w:val="00681AEA"/>
    <w:rsid w:val="006864E7"/>
    <w:rsid w:val="00690EB8"/>
    <w:rsid w:val="00695AE0"/>
    <w:rsid w:val="006A351C"/>
    <w:rsid w:val="006A6F9B"/>
    <w:rsid w:val="006A7943"/>
    <w:rsid w:val="006C6B13"/>
    <w:rsid w:val="006F14FA"/>
    <w:rsid w:val="006F20B1"/>
    <w:rsid w:val="006F43E3"/>
    <w:rsid w:val="006F4D08"/>
    <w:rsid w:val="006F75AF"/>
    <w:rsid w:val="00710606"/>
    <w:rsid w:val="007118B4"/>
    <w:rsid w:val="00723271"/>
    <w:rsid w:val="007302F4"/>
    <w:rsid w:val="007319F1"/>
    <w:rsid w:val="00734C81"/>
    <w:rsid w:val="00746BF8"/>
    <w:rsid w:val="00772DBC"/>
    <w:rsid w:val="00775AA0"/>
    <w:rsid w:val="00786F42"/>
    <w:rsid w:val="0079342A"/>
    <w:rsid w:val="007967D1"/>
    <w:rsid w:val="00796D5E"/>
    <w:rsid w:val="007A1C1C"/>
    <w:rsid w:val="007C77E8"/>
    <w:rsid w:val="007D1D18"/>
    <w:rsid w:val="007D2EBA"/>
    <w:rsid w:val="007D3580"/>
    <w:rsid w:val="007F00EE"/>
    <w:rsid w:val="007F117C"/>
    <w:rsid w:val="00825258"/>
    <w:rsid w:val="008348FC"/>
    <w:rsid w:val="00846BE1"/>
    <w:rsid w:val="00850787"/>
    <w:rsid w:val="00854390"/>
    <w:rsid w:val="00861DB7"/>
    <w:rsid w:val="008700B2"/>
    <w:rsid w:val="00870F11"/>
    <w:rsid w:val="0087411D"/>
    <w:rsid w:val="00877D2E"/>
    <w:rsid w:val="008821AF"/>
    <w:rsid w:val="00896F4A"/>
    <w:rsid w:val="00897AEF"/>
    <w:rsid w:val="008A0506"/>
    <w:rsid w:val="008A1C11"/>
    <w:rsid w:val="008A2C1F"/>
    <w:rsid w:val="008A616D"/>
    <w:rsid w:val="008D4DD1"/>
    <w:rsid w:val="008D4FE7"/>
    <w:rsid w:val="008D5EE8"/>
    <w:rsid w:val="008E3674"/>
    <w:rsid w:val="008F40B3"/>
    <w:rsid w:val="00904C0B"/>
    <w:rsid w:val="00912896"/>
    <w:rsid w:val="00924B70"/>
    <w:rsid w:val="00934B08"/>
    <w:rsid w:val="00943724"/>
    <w:rsid w:val="00951C74"/>
    <w:rsid w:val="00963DAB"/>
    <w:rsid w:val="0096439C"/>
    <w:rsid w:val="0097510E"/>
    <w:rsid w:val="0097688B"/>
    <w:rsid w:val="00977A26"/>
    <w:rsid w:val="00980300"/>
    <w:rsid w:val="00980EB0"/>
    <w:rsid w:val="0098644A"/>
    <w:rsid w:val="00990198"/>
    <w:rsid w:val="009A2C41"/>
    <w:rsid w:val="009A316F"/>
    <w:rsid w:val="009B1561"/>
    <w:rsid w:val="009D085B"/>
    <w:rsid w:val="009E5CC0"/>
    <w:rsid w:val="009E6236"/>
    <w:rsid w:val="009F38DD"/>
    <w:rsid w:val="00A005C0"/>
    <w:rsid w:val="00A0668A"/>
    <w:rsid w:val="00A1088E"/>
    <w:rsid w:val="00A10DC8"/>
    <w:rsid w:val="00A15143"/>
    <w:rsid w:val="00A1553F"/>
    <w:rsid w:val="00A17A32"/>
    <w:rsid w:val="00A210CC"/>
    <w:rsid w:val="00A258CC"/>
    <w:rsid w:val="00A30D3A"/>
    <w:rsid w:val="00A33C17"/>
    <w:rsid w:val="00A37CB5"/>
    <w:rsid w:val="00A422E5"/>
    <w:rsid w:val="00A55C2C"/>
    <w:rsid w:val="00AA15A0"/>
    <w:rsid w:val="00AA384A"/>
    <w:rsid w:val="00AA3CE0"/>
    <w:rsid w:val="00AA5E1C"/>
    <w:rsid w:val="00AC4C9E"/>
    <w:rsid w:val="00AD16CF"/>
    <w:rsid w:val="00AD3DE8"/>
    <w:rsid w:val="00AE0A6E"/>
    <w:rsid w:val="00AE487B"/>
    <w:rsid w:val="00AE6BB9"/>
    <w:rsid w:val="00AF0F88"/>
    <w:rsid w:val="00AF5DCC"/>
    <w:rsid w:val="00B03397"/>
    <w:rsid w:val="00B10B7B"/>
    <w:rsid w:val="00B11A67"/>
    <w:rsid w:val="00B13B5D"/>
    <w:rsid w:val="00B16120"/>
    <w:rsid w:val="00B17F0A"/>
    <w:rsid w:val="00B213AE"/>
    <w:rsid w:val="00B26E7A"/>
    <w:rsid w:val="00B30428"/>
    <w:rsid w:val="00B30E6A"/>
    <w:rsid w:val="00B3226F"/>
    <w:rsid w:val="00B3370D"/>
    <w:rsid w:val="00B4215A"/>
    <w:rsid w:val="00B56BD0"/>
    <w:rsid w:val="00B572CF"/>
    <w:rsid w:val="00B63B1C"/>
    <w:rsid w:val="00B64B5B"/>
    <w:rsid w:val="00B77240"/>
    <w:rsid w:val="00B81671"/>
    <w:rsid w:val="00B93D2C"/>
    <w:rsid w:val="00B97E85"/>
    <w:rsid w:val="00BA417C"/>
    <w:rsid w:val="00BC0957"/>
    <w:rsid w:val="00BC1C26"/>
    <w:rsid w:val="00BC4F29"/>
    <w:rsid w:val="00BC6383"/>
    <w:rsid w:val="00BD3934"/>
    <w:rsid w:val="00BF66FA"/>
    <w:rsid w:val="00C016AF"/>
    <w:rsid w:val="00C03FB0"/>
    <w:rsid w:val="00C23657"/>
    <w:rsid w:val="00C333F6"/>
    <w:rsid w:val="00C34C3A"/>
    <w:rsid w:val="00C35DE6"/>
    <w:rsid w:val="00C41C4F"/>
    <w:rsid w:val="00C4365F"/>
    <w:rsid w:val="00C61A6A"/>
    <w:rsid w:val="00C71669"/>
    <w:rsid w:val="00C71EB3"/>
    <w:rsid w:val="00C7312E"/>
    <w:rsid w:val="00C749ED"/>
    <w:rsid w:val="00C93E8A"/>
    <w:rsid w:val="00C96037"/>
    <w:rsid w:val="00CA1812"/>
    <w:rsid w:val="00CA4117"/>
    <w:rsid w:val="00CA4B5F"/>
    <w:rsid w:val="00CB6938"/>
    <w:rsid w:val="00CC40CD"/>
    <w:rsid w:val="00CD0C6C"/>
    <w:rsid w:val="00CD5BC5"/>
    <w:rsid w:val="00CD6990"/>
    <w:rsid w:val="00CD7B03"/>
    <w:rsid w:val="00CE051B"/>
    <w:rsid w:val="00CE506C"/>
    <w:rsid w:val="00D0106C"/>
    <w:rsid w:val="00D02566"/>
    <w:rsid w:val="00D114E1"/>
    <w:rsid w:val="00D12A0E"/>
    <w:rsid w:val="00D24C05"/>
    <w:rsid w:val="00D258A8"/>
    <w:rsid w:val="00D2629B"/>
    <w:rsid w:val="00D30522"/>
    <w:rsid w:val="00D40C4A"/>
    <w:rsid w:val="00D41260"/>
    <w:rsid w:val="00D46622"/>
    <w:rsid w:val="00D51484"/>
    <w:rsid w:val="00D5482D"/>
    <w:rsid w:val="00D75B14"/>
    <w:rsid w:val="00D86467"/>
    <w:rsid w:val="00D96C7D"/>
    <w:rsid w:val="00DB28C9"/>
    <w:rsid w:val="00DC183E"/>
    <w:rsid w:val="00DC4379"/>
    <w:rsid w:val="00DC570D"/>
    <w:rsid w:val="00DD2747"/>
    <w:rsid w:val="00DD59D6"/>
    <w:rsid w:val="00DE740D"/>
    <w:rsid w:val="00DF23E2"/>
    <w:rsid w:val="00DF40E5"/>
    <w:rsid w:val="00E01CA3"/>
    <w:rsid w:val="00E01E44"/>
    <w:rsid w:val="00E07C92"/>
    <w:rsid w:val="00E14379"/>
    <w:rsid w:val="00E15608"/>
    <w:rsid w:val="00E21948"/>
    <w:rsid w:val="00E23854"/>
    <w:rsid w:val="00E24AB6"/>
    <w:rsid w:val="00E425A3"/>
    <w:rsid w:val="00E429A1"/>
    <w:rsid w:val="00E44D2E"/>
    <w:rsid w:val="00E618DC"/>
    <w:rsid w:val="00E63036"/>
    <w:rsid w:val="00E64D23"/>
    <w:rsid w:val="00E668E7"/>
    <w:rsid w:val="00E73BA7"/>
    <w:rsid w:val="00E80E96"/>
    <w:rsid w:val="00E81AEB"/>
    <w:rsid w:val="00E81BEE"/>
    <w:rsid w:val="00E91A3C"/>
    <w:rsid w:val="00E91EC5"/>
    <w:rsid w:val="00E967CD"/>
    <w:rsid w:val="00EA0064"/>
    <w:rsid w:val="00EA1F23"/>
    <w:rsid w:val="00EA2D67"/>
    <w:rsid w:val="00EB2989"/>
    <w:rsid w:val="00EC7A4B"/>
    <w:rsid w:val="00ED2A26"/>
    <w:rsid w:val="00EF37FF"/>
    <w:rsid w:val="00EF384A"/>
    <w:rsid w:val="00F0485B"/>
    <w:rsid w:val="00F11439"/>
    <w:rsid w:val="00F13033"/>
    <w:rsid w:val="00F16C2F"/>
    <w:rsid w:val="00F24451"/>
    <w:rsid w:val="00F31FEC"/>
    <w:rsid w:val="00F33C3C"/>
    <w:rsid w:val="00F354C7"/>
    <w:rsid w:val="00F36847"/>
    <w:rsid w:val="00F408B3"/>
    <w:rsid w:val="00F46112"/>
    <w:rsid w:val="00F476CA"/>
    <w:rsid w:val="00F618D1"/>
    <w:rsid w:val="00F66029"/>
    <w:rsid w:val="00F668C9"/>
    <w:rsid w:val="00F72822"/>
    <w:rsid w:val="00F74CC4"/>
    <w:rsid w:val="00F7605E"/>
    <w:rsid w:val="00F772B8"/>
    <w:rsid w:val="00F80F85"/>
    <w:rsid w:val="00F930E0"/>
    <w:rsid w:val="00F93FFB"/>
    <w:rsid w:val="00F97495"/>
    <w:rsid w:val="00FA1081"/>
    <w:rsid w:val="00FA22E5"/>
    <w:rsid w:val="00FC09B8"/>
    <w:rsid w:val="00FD2BBE"/>
    <w:rsid w:val="00FD7764"/>
    <w:rsid w:val="00FF1517"/>
    <w:rsid w:val="00FF5A09"/>
    <w:rsid w:val="00FF63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unhideWhenUsed/>
    <w:rsid w:val="008821AF"/>
    <w:rPr>
      <w:sz w:val="20"/>
      <w:szCs w:val="20"/>
    </w:rPr>
  </w:style>
  <w:style w:type="character" w:customStyle="1" w:styleId="FootnoteTextChar">
    <w:name w:val="Footnote Text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customStyle="1" w:styleId="Default">
    <w:name w:val="Default"/>
    <w:rsid w:val="00D0106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ps">
    <w:name w:val="hps"/>
    <w:rsid w:val="00D0106C"/>
  </w:style>
  <w:style w:type="paragraph" w:customStyle="1" w:styleId="ListDash1">
    <w:name w:val="List Dash 1"/>
    <w:basedOn w:val="Normal"/>
    <w:rsid w:val="001B0566"/>
    <w:pPr>
      <w:numPr>
        <w:numId w:val="18"/>
      </w:numPr>
      <w:snapToGrid w:val="0"/>
      <w:spacing w:before="120" w:after="120"/>
      <w:jc w:val="both"/>
    </w:pPr>
    <w:rPr>
      <w:rFonts w:eastAsia="Calibri"/>
      <w:lang w:val="en-US" w:eastAsia="en-US"/>
    </w:rPr>
  </w:style>
  <w:style w:type="character" w:customStyle="1" w:styleId="apple-style-span">
    <w:name w:val="apple-style-span"/>
    <w:basedOn w:val="DefaultParagraphFont"/>
    <w:rsid w:val="001B0566"/>
  </w:style>
  <w:style w:type="paragraph" w:customStyle="1" w:styleId="ManualNumPar1">
    <w:name w:val="Manual NumPar 1"/>
    <w:basedOn w:val="Normal"/>
    <w:next w:val="Normal"/>
    <w:rsid w:val="001B0566"/>
    <w:pPr>
      <w:spacing w:before="120" w:after="120"/>
      <w:ind w:left="850" w:hanging="850"/>
      <w:jc w:val="both"/>
    </w:pPr>
    <w:rPr>
      <w:snapToGrid w:val="0"/>
      <w:lang w:eastAsia="en-GB"/>
    </w:rPr>
  </w:style>
  <w:style w:type="character" w:customStyle="1" w:styleId="at2">
    <w:name w:val="a__t2"/>
    <w:basedOn w:val="DefaultParagraphFont"/>
    <w:rsid w:val="001B0566"/>
  </w:style>
  <w:style w:type="paragraph" w:customStyle="1" w:styleId="5Normal">
    <w:name w:val="5 Normal"/>
    <w:rsid w:val="003975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296105022">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2527547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645863949">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828794282">
      <w:bodyDiv w:val="1"/>
      <w:marLeft w:val="0"/>
      <w:marRight w:val="0"/>
      <w:marTop w:val="0"/>
      <w:marBottom w:val="0"/>
      <w:divBdr>
        <w:top w:val="none" w:sz="0" w:space="0" w:color="auto"/>
        <w:left w:val="none" w:sz="0" w:space="0" w:color="auto"/>
        <w:bottom w:val="none" w:sz="0" w:space="0" w:color="auto"/>
        <w:right w:val="none" w:sz="0" w:space="0" w:color="auto"/>
      </w:divBdr>
    </w:div>
    <w:div w:id="880942674">
      <w:bodyDiv w:val="1"/>
      <w:marLeft w:val="0"/>
      <w:marRight w:val="0"/>
      <w:marTop w:val="0"/>
      <w:marBottom w:val="0"/>
      <w:divBdr>
        <w:top w:val="none" w:sz="0" w:space="0" w:color="auto"/>
        <w:left w:val="none" w:sz="0" w:space="0" w:color="auto"/>
        <w:bottom w:val="none" w:sz="0" w:space="0" w:color="auto"/>
        <w:right w:val="none" w:sz="0" w:space="0" w:color="auto"/>
      </w:divBdr>
    </w:div>
    <w:div w:id="915214194">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095632263">
      <w:bodyDiv w:val="1"/>
      <w:marLeft w:val="0"/>
      <w:marRight w:val="0"/>
      <w:marTop w:val="0"/>
      <w:marBottom w:val="0"/>
      <w:divBdr>
        <w:top w:val="none" w:sz="0" w:space="0" w:color="auto"/>
        <w:left w:val="none" w:sz="0" w:space="0" w:color="auto"/>
        <w:bottom w:val="none" w:sz="0" w:space="0" w:color="auto"/>
        <w:right w:val="none" w:sz="0" w:space="0" w:color="auto"/>
      </w:divBdr>
    </w:div>
    <w:div w:id="1191607470">
      <w:bodyDiv w:val="1"/>
      <w:marLeft w:val="0"/>
      <w:marRight w:val="0"/>
      <w:marTop w:val="0"/>
      <w:marBottom w:val="0"/>
      <w:divBdr>
        <w:top w:val="none" w:sz="0" w:space="0" w:color="auto"/>
        <w:left w:val="none" w:sz="0" w:space="0" w:color="auto"/>
        <w:bottom w:val="none" w:sz="0" w:space="0" w:color="auto"/>
        <w:right w:val="none" w:sz="0" w:space="0" w:color="auto"/>
      </w:divBdr>
    </w:div>
    <w:div w:id="1396978178">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427917845">
      <w:bodyDiv w:val="1"/>
      <w:marLeft w:val="0"/>
      <w:marRight w:val="0"/>
      <w:marTop w:val="0"/>
      <w:marBottom w:val="0"/>
      <w:divBdr>
        <w:top w:val="none" w:sz="0" w:space="0" w:color="auto"/>
        <w:left w:val="none" w:sz="0" w:space="0" w:color="auto"/>
        <w:bottom w:val="none" w:sz="0" w:space="0" w:color="auto"/>
        <w:right w:val="none" w:sz="0" w:space="0" w:color="auto"/>
      </w:divBdr>
    </w:div>
    <w:div w:id="1454589550">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593008057">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europ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Balod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ikumi.lv/doc.php?id=1926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CE56-7846-4852-9244-30E8D2CA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5444</TotalTime>
  <Pages>14</Pages>
  <Words>3880</Words>
  <Characters>28332</Characters>
  <Application>Microsoft Office Word</Application>
  <DocSecurity>0</DocSecurity>
  <Lines>590</Lines>
  <Paragraphs>190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22</cp:revision>
  <cp:lastPrinted>2011-11-28T12:45:00Z</cp:lastPrinted>
  <dcterms:created xsi:type="dcterms:W3CDTF">2011-11-24T13:13:00Z</dcterms:created>
  <dcterms:modified xsi:type="dcterms:W3CDTF">2011-11-28T13:59:00Z</dcterms:modified>
</cp:coreProperties>
</file>