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BE" w:rsidRPr="00426EEF" w:rsidRDefault="007A65BE" w:rsidP="00C25731">
      <w:pPr>
        <w:rPr>
          <w:rFonts w:cs="Times New Roman"/>
        </w:rPr>
      </w:pPr>
    </w:p>
    <w:p w:rsidR="00825505" w:rsidRPr="00426EEF" w:rsidRDefault="00825505" w:rsidP="00C25731">
      <w:pPr>
        <w:jc w:val="center"/>
        <w:rPr>
          <w:rFonts w:cs="Times New Roman"/>
          <w:b/>
          <w:color w:val="1F497D" w:themeColor="text2"/>
          <w:sz w:val="32"/>
        </w:rPr>
      </w:pPr>
    </w:p>
    <w:p w:rsidR="005E0E3A" w:rsidRPr="00426EEF" w:rsidRDefault="005E0E3A" w:rsidP="00C25731">
      <w:pPr>
        <w:jc w:val="center"/>
        <w:rPr>
          <w:rFonts w:cs="Times New Roman"/>
          <w:b/>
          <w:color w:val="1F497D" w:themeColor="text2"/>
          <w:sz w:val="32"/>
        </w:rPr>
      </w:pPr>
    </w:p>
    <w:p w:rsidR="005E0E3A" w:rsidRPr="00426EEF" w:rsidRDefault="005E0E3A" w:rsidP="00755F84"/>
    <w:p w:rsidR="005E0E3A" w:rsidRPr="00426EEF" w:rsidRDefault="005E0E3A" w:rsidP="00C25731">
      <w:pPr>
        <w:jc w:val="center"/>
        <w:rPr>
          <w:rFonts w:cs="Times New Roman"/>
          <w:b/>
          <w:color w:val="1F497D" w:themeColor="text2"/>
          <w:sz w:val="32"/>
        </w:rPr>
      </w:pPr>
    </w:p>
    <w:p w:rsidR="005E0E3A" w:rsidRPr="00426EEF" w:rsidRDefault="005E0E3A" w:rsidP="00C25731">
      <w:pPr>
        <w:jc w:val="center"/>
        <w:rPr>
          <w:rFonts w:cs="Times New Roman"/>
          <w:b/>
          <w:color w:val="1F497D" w:themeColor="text2"/>
          <w:sz w:val="32"/>
        </w:rPr>
      </w:pPr>
    </w:p>
    <w:p w:rsidR="005E0E3A" w:rsidRPr="00426EEF" w:rsidRDefault="005E0E3A" w:rsidP="00C25731">
      <w:pPr>
        <w:jc w:val="center"/>
        <w:rPr>
          <w:rFonts w:cs="Times New Roman"/>
          <w:b/>
          <w:color w:val="1F497D" w:themeColor="text2"/>
        </w:rPr>
      </w:pPr>
    </w:p>
    <w:p w:rsidR="00825505" w:rsidRPr="00426EEF" w:rsidRDefault="00825505" w:rsidP="00C25731">
      <w:pPr>
        <w:jc w:val="center"/>
        <w:rPr>
          <w:rFonts w:cs="Times New Roman"/>
          <w:b/>
          <w:sz w:val="28"/>
          <w:szCs w:val="28"/>
        </w:rPr>
      </w:pPr>
    </w:p>
    <w:p w:rsidR="00825505" w:rsidRPr="00543C2D" w:rsidRDefault="007772FF" w:rsidP="00C25731">
      <w:pPr>
        <w:jc w:val="center"/>
        <w:rPr>
          <w:rFonts w:cs="Times New Roman"/>
          <w:b/>
          <w:sz w:val="32"/>
          <w:szCs w:val="32"/>
        </w:rPr>
      </w:pPr>
      <w:r w:rsidRPr="00543C2D">
        <w:rPr>
          <w:rFonts w:cs="Times New Roman"/>
          <w:b/>
          <w:sz w:val="32"/>
          <w:szCs w:val="32"/>
        </w:rPr>
        <w:t xml:space="preserve">Informatīvais ziņojums </w:t>
      </w:r>
    </w:p>
    <w:p w:rsidR="00825505" w:rsidRPr="00543C2D" w:rsidRDefault="00825505" w:rsidP="00C25731">
      <w:pPr>
        <w:jc w:val="center"/>
        <w:rPr>
          <w:rFonts w:cs="Times New Roman"/>
          <w:b/>
          <w:sz w:val="32"/>
          <w:szCs w:val="32"/>
        </w:rPr>
      </w:pPr>
    </w:p>
    <w:p w:rsidR="00C557C4" w:rsidRPr="00543C2D" w:rsidRDefault="007772FF" w:rsidP="00C25731">
      <w:pPr>
        <w:jc w:val="center"/>
        <w:rPr>
          <w:rFonts w:cs="Times New Roman"/>
          <w:b/>
          <w:sz w:val="32"/>
          <w:szCs w:val="32"/>
        </w:rPr>
      </w:pPr>
      <w:r w:rsidRPr="00543C2D">
        <w:rPr>
          <w:rFonts w:cs="Times New Roman"/>
          <w:b/>
          <w:sz w:val="32"/>
          <w:szCs w:val="32"/>
        </w:rPr>
        <w:t xml:space="preserve">Valsts akciju sabiedrības „Privatizācijas aģentūra” </w:t>
      </w:r>
    </w:p>
    <w:p w:rsidR="00EB465A" w:rsidRPr="00543C2D" w:rsidRDefault="007772FF" w:rsidP="00C25731">
      <w:pPr>
        <w:jc w:val="center"/>
        <w:rPr>
          <w:rFonts w:cs="Times New Roman"/>
          <w:b/>
          <w:sz w:val="32"/>
          <w:szCs w:val="32"/>
        </w:rPr>
      </w:pPr>
      <w:r w:rsidRPr="00543C2D">
        <w:rPr>
          <w:rFonts w:cs="Times New Roman"/>
          <w:b/>
          <w:sz w:val="32"/>
          <w:szCs w:val="32"/>
        </w:rPr>
        <w:t xml:space="preserve">darbības izbeigšanas stratēģija </w:t>
      </w: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rPr>
          <w:rFonts w:cs="Times New Roman"/>
        </w:rPr>
      </w:pPr>
    </w:p>
    <w:p w:rsidR="0079473A" w:rsidRPr="00426EEF" w:rsidRDefault="0079473A" w:rsidP="00C25731">
      <w:pPr>
        <w:jc w:val="center"/>
        <w:rPr>
          <w:rFonts w:cs="Times New Roman"/>
        </w:rPr>
      </w:pPr>
    </w:p>
    <w:p w:rsidR="0079473A" w:rsidRPr="00426EEF" w:rsidRDefault="0079473A"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073125" w:rsidRPr="00426EEF" w:rsidRDefault="0046383B" w:rsidP="0046383B">
      <w:pPr>
        <w:tabs>
          <w:tab w:val="left" w:pos="3375"/>
        </w:tabs>
        <w:rPr>
          <w:rFonts w:cs="Times New Roman"/>
        </w:rPr>
      </w:pPr>
      <w:r>
        <w:rPr>
          <w:rFonts w:cs="Times New Roman"/>
        </w:rPr>
        <w:tab/>
      </w:r>
    </w:p>
    <w:p w:rsidR="00073125" w:rsidRPr="00426EEF" w:rsidRDefault="00073125" w:rsidP="00C25731">
      <w:pPr>
        <w:jc w:val="center"/>
        <w:rPr>
          <w:rFonts w:cs="Times New Roman"/>
        </w:rPr>
      </w:pPr>
    </w:p>
    <w:p w:rsidR="00073125" w:rsidRPr="00426EEF" w:rsidRDefault="00073125" w:rsidP="00C25731">
      <w:pPr>
        <w:jc w:val="center"/>
        <w:rPr>
          <w:rFonts w:cs="Times New Roman"/>
        </w:rPr>
      </w:pPr>
    </w:p>
    <w:p w:rsidR="0079473A" w:rsidRPr="00426EEF" w:rsidRDefault="0079473A" w:rsidP="00C25731">
      <w:pPr>
        <w:jc w:val="center"/>
        <w:rPr>
          <w:rFonts w:cs="Times New Roman"/>
        </w:rPr>
      </w:pPr>
    </w:p>
    <w:p w:rsidR="0079473A" w:rsidRPr="00426EEF" w:rsidRDefault="0079473A" w:rsidP="00C25731">
      <w:pPr>
        <w:jc w:val="center"/>
        <w:rPr>
          <w:rFonts w:cs="Times New Roman"/>
        </w:rPr>
      </w:pPr>
    </w:p>
    <w:p w:rsidR="0079473A" w:rsidRPr="00426EEF" w:rsidRDefault="00D60709" w:rsidP="00C25731">
      <w:pPr>
        <w:rPr>
          <w:rFonts w:cs="Times New Roman"/>
        </w:rPr>
      </w:pPr>
      <w:r>
        <w:rPr>
          <w:rFonts w:cs="Times New Roman"/>
          <w:noProof/>
          <w:lang w:eastAsia="lv-LV"/>
        </w:rPr>
        <mc:AlternateContent>
          <mc:Choice Requires="wps">
            <w:drawing>
              <wp:anchor distT="0" distB="0" distL="114300" distR="114300" simplePos="0" relativeHeight="251667456" behindDoc="0" locked="0" layoutInCell="1" allowOverlap="1" wp14:anchorId="43C8B535" wp14:editId="05DC879A">
                <wp:simplePos x="0" y="0"/>
                <wp:positionH relativeFrom="column">
                  <wp:posOffset>4928870</wp:posOffset>
                </wp:positionH>
                <wp:positionV relativeFrom="paragraph">
                  <wp:posOffset>299720</wp:posOffset>
                </wp:positionV>
                <wp:extent cx="603250" cy="338455"/>
                <wp:effectExtent l="0" t="0" r="635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C7F" w:rsidRDefault="00355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8.1pt;margin-top:23.6pt;width:47.5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" fillcolor="white [3201]" stroked="f" strokeweight=".5pt">
                <v:path arrowok="t"/>
                <v:textbox>
                  <w:txbxContent>
                    <w:p w:rsidR="00355C7F" w:rsidRDefault="00355C7F"/>
                  </w:txbxContent>
                </v:textbox>
              </v:shape>
            </w:pict>
          </mc:Fallback>
        </mc:AlternateContent>
      </w:r>
      <w:r w:rsidR="0079473A" w:rsidRPr="00426EEF">
        <w:rPr>
          <w:rFonts w:cs="Times New Roman"/>
        </w:rPr>
        <w:br w:type="page"/>
      </w:r>
    </w:p>
    <w:p w:rsidR="0079473A" w:rsidRPr="00426EEF" w:rsidRDefault="0079473A" w:rsidP="00C25731">
      <w:pPr>
        <w:rPr>
          <w:rFonts w:cs="Times New Roman"/>
        </w:rPr>
      </w:pPr>
    </w:p>
    <w:p w:rsidR="0079473A" w:rsidRPr="00426EEF" w:rsidRDefault="0079473A" w:rsidP="00C25731">
      <w:pPr>
        <w:rPr>
          <w:rFonts w:cs="Times New Roman"/>
        </w:rPr>
      </w:pPr>
    </w:p>
    <w:p w:rsidR="00C22E10" w:rsidRPr="00426EEF" w:rsidRDefault="00C22E10" w:rsidP="00FE3FF4">
      <w:pPr>
        <w:jc w:val="center"/>
        <w:rPr>
          <w:rFonts w:cs="Times New Roman"/>
          <w:sz w:val="22"/>
        </w:rPr>
      </w:pPr>
      <w:r w:rsidRPr="00426EEF">
        <w:rPr>
          <w:rFonts w:cs="Times New Roman"/>
          <w:b/>
          <w:color w:val="1F497D" w:themeColor="text2"/>
        </w:rPr>
        <w:t>SATURA RĀDĪTĀJS</w:t>
      </w:r>
    </w:p>
    <w:sdt>
      <w:sdtPr>
        <w:rPr>
          <w:rFonts w:eastAsiaTheme="minorEastAsia" w:cstheme="minorBidi"/>
          <w:b w:val="0"/>
          <w:bCs w:val="0"/>
          <w:sz w:val="24"/>
          <w:szCs w:val="24"/>
          <w:lang w:val="lv-LV" w:eastAsia="zh-CN"/>
        </w:rPr>
        <w:id w:val="1646773073"/>
        <w:docPartObj>
          <w:docPartGallery w:val="Table of Contents"/>
          <w:docPartUnique/>
        </w:docPartObj>
      </w:sdtPr>
      <w:sdtEndPr>
        <w:rPr>
          <w:rFonts w:cs="Times New Roman"/>
          <w:noProof/>
        </w:rPr>
      </w:sdtEndPr>
      <w:sdtContent>
        <w:p w:rsidR="00217BD9" w:rsidRPr="00426EEF" w:rsidRDefault="00217BD9" w:rsidP="00C25731">
          <w:pPr>
            <w:pStyle w:val="TOCHeading"/>
            <w:spacing w:line="240" w:lineRule="auto"/>
            <w:rPr>
              <w:lang w:val="lv-LV"/>
            </w:rPr>
          </w:pPr>
        </w:p>
        <w:p w:rsidR="008152AE" w:rsidRDefault="007772FF">
          <w:pPr>
            <w:pStyle w:val="TOC1"/>
            <w:rPr>
              <w:rFonts w:asciiTheme="minorHAnsi" w:hAnsiTheme="minorHAnsi"/>
              <w:sz w:val="22"/>
              <w:szCs w:val="22"/>
            </w:rPr>
          </w:pPr>
          <w:r w:rsidRPr="00426EEF">
            <w:rPr>
              <w:rFonts w:cs="Times New Roman"/>
            </w:rPr>
            <w:fldChar w:fldCharType="begin"/>
          </w:r>
          <w:r w:rsidR="00217BD9" w:rsidRPr="00426EEF">
            <w:rPr>
              <w:rFonts w:cs="Times New Roman"/>
            </w:rPr>
            <w:instrText xml:space="preserve"> TOC \o "1-3" \h \z \u </w:instrText>
          </w:r>
          <w:r w:rsidRPr="00426EEF">
            <w:rPr>
              <w:rFonts w:cs="Times New Roman"/>
            </w:rPr>
            <w:fldChar w:fldCharType="separate"/>
          </w:r>
          <w:hyperlink w:anchor="_Toc354069790" w:history="1">
            <w:r w:rsidR="008152AE" w:rsidRPr="00E66E9A">
              <w:rPr>
                <w:rStyle w:val="Hyperlink"/>
              </w:rPr>
              <w:t>I AĢENTŪRAS TURPMĀKĀS DARBĪBAS MĒRĶIS</w:t>
            </w:r>
            <w:r w:rsidR="008152AE">
              <w:rPr>
                <w:webHidden/>
              </w:rPr>
              <w:tab/>
            </w:r>
            <w:r>
              <w:rPr>
                <w:webHidden/>
              </w:rPr>
              <w:fldChar w:fldCharType="begin"/>
            </w:r>
            <w:r w:rsidR="008152AE">
              <w:rPr>
                <w:webHidden/>
              </w:rPr>
              <w:instrText xml:space="preserve"> PAGEREF _Toc354069790 \h </w:instrText>
            </w:r>
            <w:r>
              <w:rPr>
                <w:webHidden/>
              </w:rPr>
            </w:r>
            <w:r>
              <w:rPr>
                <w:webHidden/>
              </w:rPr>
              <w:fldChar w:fldCharType="separate"/>
            </w:r>
            <w:r w:rsidR="003B6B75">
              <w:rPr>
                <w:webHidden/>
              </w:rPr>
              <w:t>4</w:t>
            </w:r>
            <w:r>
              <w:rPr>
                <w:webHidden/>
              </w:rPr>
              <w:fldChar w:fldCharType="end"/>
            </w:r>
          </w:hyperlink>
        </w:p>
        <w:p w:rsidR="008152AE" w:rsidRDefault="00AA0326">
          <w:pPr>
            <w:pStyle w:val="TOC1"/>
            <w:rPr>
              <w:rFonts w:asciiTheme="minorHAnsi" w:hAnsiTheme="minorHAnsi"/>
              <w:sz w:val="22"/>
              <w:szCs w:val="22"/>
            </w:rPr>
          </w:pPr>
          <w:hyperlink w:anchor="_Toc354069791" w:history="1">
            <w:r w:rsidR="008152AE" w:rsidRPr="00E66E9A">
              <w:rPr>
                <w:rStyle w:val="Hyperlink"/>
              </w:rPr>
              <w:t>II ESOŠĀS FUNKCIJAS UN DARBĪBA</w:t>
            </w:r>
            <w:r w:rsidR="008152AE">
              <w:rPr>
                <w:webHidden/>
              </w:rPr>
              <w:tab/>
            </w:r>
            <w:r w:rsidR="007772FF">
              <w:rPr>
                <w:webHidden/>
              </w:rPr>
              <w:fldChar w:fldCharType="begin"/>
            </w:r>
            <w:r w:rsidR="008152AE">
              <w:rPr>
                <w:webHidden/>
              </w:rPr>
              <w:instrText xml:space="preserve"> PAGEREF _Toc354069791 \h </w:instrText>
            </w:r>
            <w:r w:rsidR="007772FF">
              <w:rPr>
                <w:webHidden/>
              </w:rPr>
            </w:r>
            <w:r w:rsidR="007772FF">
              <w:rPr>
                <w:webHidden/>
              </w:rPr>
              <w:fldChar w:fldCharType="separate"/>
            </w:r>
            <w:r w:rsidR="003B6B75">
              <w:rPr>
                <w:webHidden/>
              </w:rPr>
              <w:t>5</w:t>
            </w:r>
            <w:r w:rsidR="007772FF">
              <w:rPr>
                <w:webHidden/>
              </w:rPr>
              <w:fldChar w:fldCharType="end"/>
            </w:r>
          </w:hyperlink>
        </w:p>
        <w:p w:rsidR="008152AE" w:rsidRDefault="00AA0326">
          <w:pPr>
            <w:pStyle w:val="TOC1"/>
            <w:rPr>
              <w:rFonts w:asciiTheme="minorHAnsi" w:hAnsiTheme="minorHAnsi"/>
              <w:sz w:val="22"/>
              <w:szCs w:val="22"/>
            </w:rPr>
          </w:pPr>
          <w:hyperlink w:anchor="_Toc354069792" w:history="1">
            <w:r w:rsidR="008152AE" w:rsidRPr="00E66E9A">
              <w:rPr>
                <w:rStyle w:val="Hyperlink"/>
              </w:rPr>
              <w:t>III ĪPAŠUMA STRUKTŪRA UN PORTFELIS</w:t>
            </w:r>
            <w:r w:rsidR="008152AE">
              <w:rPr>
                <w:webHidden/>
              </w:rPr>
              <w:tab/>
            </w:r>
            <w:r w:rsidR="007772FF">
              <w:rPr>
                <w:webHidden/>
              </w:rPr>
              <w:fldChar w:fldCharType="begin"/>
            </w:r>
            <w:r w:rsidR="008152AE">
              <w:rPr>
                <w:webHidden/>
              </w:rPr>
              <w:instrText xml:space="preserve"> PAGEREF _Toc354069792 \h </w:instrText>
            </w:r>
            <w:r w:rsidR="007772FF">
              <w:rPr>
                <w:webHidden/>
              </w:rPr>
            </w:r>
            <w:r w:rsidR="007772FF">
              <w:rPr>
                <w:webHidden/>
              </w:rPr>
              <w:fldChar w:fldCharType="separate"/>
            </w:r>
            <w:r w:rsidR="003B6B75">
              <w:rPr>
                <w:webHidden/>
              </w:rPr>
              <w:t>8</w:t>
            </w:r>
            <w:r w:rsidR="007772FF">
              <w:rPr>
                <w:webHidden/>
              </w:rPr>
              <w:fldChar w:fldCharType="end"/>
            </w:r>
          </w:hyperlink>
        </w:p>
        <w:p w:rsidR="008152AE" w:rsidRDefault="00AA0326">
          <w:pPr>
            <w:pStyle w:val="TOC1"/>
            <w:rPr>
              <w:rFonts w:asciiTheme="minorHAnsi" w:hAnsiTheme="minorHAnsi"/>
              <w:sz w:val="22"/>
              <w:szCs w:val="22"/>
            </w:rPr>
          </w:pPr>
          <w:hyperlink w:anchor="_Toc354069793" w:history="1">
            <w:r w:rsidR="008152AE" w:rsidRPr="00E66E9A">
              <w:rPr>
                <w:rStyle w:val="Hyperlink"/>
                <w:rFonts w:cs="Times New Roman"/>
              </w:rPr>
              <w:t>IV PORTFEĻA IZSTRĀDES PROGNOZE LĪDZ 2014.GADAM</w:t>
            </w:r>
            <w:r w:rsidR="008152AE">
              <w:rPr>
                <w:webHidden/>
              </w:rPr>
              <w:tab/>
            </w:r>
            <w:r w:rsidR="007772FF">
              <w:rPr>
                <w:webHidden/>
              </w:rPr>
              <w:fldChar w:fldCharType="begin"/>
            </w:r>
            <w:r w:rsidR="008152AE">
              <w:rPr>
                <w:webHidden/>
              </w:rPr>
              <w:instrText xml:space="preserve"> PAGEREF _Toc354069793 \h </w:instrText>
            </w:r>
            <w:r w:rsidR="007772FF">
              <w:rPr>
                <w:webHidden/>
              </w:rPr>
            </w:r>
            <w:r w:rsidR="007772FF">
              <w:rPr>
                <w:webHidden/>
              </w:rPr>
              <w:fldChar w:fldCharType="separate"/>
            </w:r>
            <w:r w:rsidR="003B6B75">
              <w:rPr>
                <w:webHidden/>
              </w:rPr>
              <w:t>10</w:t>
            </w:r>
            <w:r w:rsidR="007772FF">
              <w:rPr>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794" w:history="1">
            <w:r w:rsidR="008152AE" w:rsidRPr="00E66E9A">
              <w:rPr>
                <w:rStyle w:val="Hyperlink"/>
                <w:noProof/>
              </w:rPr>
              <w:t>Valsts nekustamā īpašuma objektu privatizācijas process</w:t>
            </w:r>
            <w:r w:rsidR="008152AE">
              <w:rPr>
                <w:noProof/>
                <w:webHidden/>
              </w:rPr>
              <w:tab/>
            </w:r>
            <w:r w:rsidR="007772FF">
              <w:rPr>
                <w:noProof/>
                <w:webHidden/>
              </w:rPr>
              <w:fldChar w:fldCharType="begin"/>
            </w:r>
            <w:r w:rsidR="008152AE">
              <w:rPr>
                <w:noProof/>
                <w:webHidden/>
              </w:rPr>
              <w:instrText xml:space="preserve"> PAGEREF _Toc354069794 \h </w:instrText>
            </w:r>
            <w:r w:rsidR="007772FF">
              <w:rPr>
                <w:noProof/>
                <w:webHidden/>
              </w:rPr>
            </w:r>
            <w:r w:rsidR="007772FF">
              <w:rPr>
                <w:noProof/>
                <w:webHidden/>
              </w:rPr>
              <w:fldChar w:fldCharType="separate"/>
            </w:r>
            <w:r w:rsidR="003B6B75">
              <w:rPr>
                <w:noProof/>
                <w:webHidden/>
              </w:rPr>
              <w:t>11</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795" w:history="1">
            <w:r w:rsidR="008152AE" w:rsidRPr="00E66E9A">
              <w:rPr>
                <w:rStyle w:val="Hyperlink"/>
                <w:noProof/>
              </w:rPr>
              <w:t>Valsts zemesgabalu privatizācijas process</w:t>
            </w:r>
            <w:r w:rsidR="008152AE">
              <w:rPr>
                <w:noProof/>
                <w:webHidden/>
              </w:rPr>
              <w:tab/>
            </w:r>
            <w:r w:rsidR="007772FF">
              <w:rPr>
                <w:noProof/>
                <w:webHidden/>
              </w:rPr>
              <w:fldChar w:fldCharType="begin"/>
            </w:r>
            <w:r w:rsidR="008152AE">
              <w:rPr>
                <w:noProof/>
                <w:webHidden/>
              </w:rPr>
              <w:instrText xml:space="preserve"> PAGEREF _Toc354069795 \h </w:instrText>
            </w:r>
            <w:r w:rsidR="007772FF">
              <w:rPr>
                <w:noProof/>
                <w:webHidden/>
              </w:rPr>
            </w:r>
            <w:r w:rsidR="007772FF">
              <w:rPr>
                <w:noProof/>
                <w:webHidden/>
              </w:rPr>
              <w:fldChar w:fldCharType="separate"/>
            </w:r>
            <w:r w:rsidR="003B6B75">
              <w:rPr>
                <w:noProof/>
                <w:webHidden/>
              </w:rPr>
              <w:t>13</w:t>
            </w:r>
            <w:r w:rsidR="007772FF">
              <w:rPr>
                <w:noProof/>
                <w:webHidden/>
              </w:rPr>
              <w:fldChar w:fldCharType="end"/>
            </w:r>
          </w:hyperlink>
        </w:p>
        <w:p w:rsidR="008152AE" w:rsidRDefault="00AA0326">
          <w:pPr>
            <w:pStyle w:val="TOC3"/>
            <w:tabs>
              <w:tab w:val="right" w:leader="dot" w:pos="8296"/>
            </w:tabs>
            <w:rPr>
              <w:rFonts w:asciiTheme="minorHAnsi" w:hAnsiTheme="minorHAnsi"/>
              <w:noProof/>
              <w:sz w:val="22"/>
              <w:szCs w:val="22"/>
            </w:rPr>
          </w:pPr>
          <w:hyperlink w:anchor="_Toc354069796" w:history="1">
            <w:r w:rsidR="008152AE" w:rsidRPr="00E66E9A">
              <w:rPr>
                <w:rStyle w:val="Hyperlink"/>
                <w:noProof/>
              </w:rPr>
              <w:t>Rīcība ar valsts nekustamā īpašuma objektiem un valsts zemesgabaliem, kuriem pastāv tiesiski šķēršļi privatizācijas darbību veikšanai</w:t>
            </w:r>
            <w:r w:rsidR="008152AE">
              <w:rPr>
                <w:noProof/>
                <w:webHidden/>
              </w:rPr>
              <w:tab/>
            </w:r>
            <w:r w:rsidR="007772FF">
              <w:rPr>
                <w:noProof/>
                <w:webHidden/>
              </w:rPr>
              <w:fldChar w:fldCharType="begin"/>
            </w:r>
            <w:r w:rsidR="008152AE">
              <w:rPr>
                <w:noProof/>
                <w:webHidden/>
              </w:rPr>
              <w:instrText xml:space="preserve"> PAGEREF _Toc354069796 \h </w:instrText>
            </w:r>
            <w:r w:rsidR="007772FF">
              <w:rPr>
                <w:noProof/>
                <w:webHidden/>
              </w:rPr>
            </w:r>
            <w:r w:rsidR="007772FF">
              <w:rPr>
                <w:noProof/>
                <w:webHidden/>
              </w:rPr>
              <w:fldChar w:fldCharType="separate"/>
            </w:r>
            <w:r w:rsidR="003B6B75">
              <w:rPr>
                <w:noProof/>
                <w:webHidden/>
              </w:rPr>
              <w:t>16</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797" w:history="1">
            <w:r w:rsidR="008152AE" w:rsidRPr="00E66E9A">
              <w:rPr>
                <w:rStyle w:val="Hyperlink"/>
                <w:noProof/>
              </w:rPr>
              <w:t>Dzīvojamo māju un dzīvokļu privatizācija, atsavināšana un pārvaldīšana</w:t>
            </w:r>
            <w:r w:rsidR="008152AE">
              <w:rPr>
                <w:noProof/>
                <w:webHidden/>
              </w:rPr>
              <w:tab/>
            </w:r>
            <w:r w:rsidR="007772FF">
              <w:rPr>
                <w:noProof/>
                <w:webHidden/>
              </w:rPr>
              <w:fldChar w:fldCharType="begin"/>
            </w:r>
            <w:r w:rsidR="008152AE">
              <w:rPr>
                <w:noProof/>
                <w:webHidden/>
              </w:rPr>
              <w:instrText xml:space="preserve"> PAGEREF _Toc354069797 \h </w:instrText>
            </w:r>
            <w:r w:rsidR="007772FF">
              <w:rPr>
                <w:noProof/>
                <w:webHidden/>
              </w:rPr>
            </w:r>
            <w:r w:rsidR="007772FF">
              <w:rPr>
                <w:noProof/>
                <w:webHidden/>
              </w:rPr>
              <w:fldChar w:fldCharType="separate"/>
            </w:r>
            <w:r w:rsidR="003B6B75">
              <w:rPr>
                <w:noProof/>
                <w:webHidden/>
              </w:rPr>
              <w:t>17</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798" w:history="1">
            <w:r w:rsidR="008152AE" w:rsidRPr="00E66E9A">
              <w:rPr>
                <w:rStyle w:val="Hyperlink"/>
                <w:noProof/>
              </w:rPr>
              <w:t>Valsts kapitāla daļu privatizācija, atsavināšana un pārvaldīšana</w:t>
            </w:r>
            <w:r w:rsidR="008152AE">
              <w:rPr>
                <w:noProof/>
                <w:webHidden/>
              </w:rPr>
              <w:tab/>
            </w:r>
            <w:r w:rsidR="007772FF">
              <w:rPr>
                <w:noProof/>
                <w:webHidden/>
              </w:rPr>
              <w:fldChar w:fldCharType="begin"/>
            </w:r>
            <w:r w:rsidR="008152AE">
              <w:rPr>
                <w:noProof/>
                <w:webHidden/>
              </w:rPr>
              <w:instrText xml:space="preserve"> PAGEREF _Toc354069798 \h </w:instrText>
            </w:r>
            <w:r w:rsidR="007772FF">
              <w:rPr>
                <w:noProof/>
                <w:webHidden/>
              </w:rPr>
            </w:r>
            <w:r w:rsidR="007772FF">
              <w:rPr>
                <w:noProof/>
                <w:webHidden/>
              </w:rPr>
              <w:fldChar w:fldCharType="separate"/>
            </w:r>
            <w:r w:rsidR="003B6B75">
              <w:rPr>
                <w:noProof/>
                <w:webHidden/>
              </w:rPr>
              <w:t>21</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799" w:history="1">
            <w:r w:rsidR="008152AE" w:rsidRPr="00E66E9A">
              <w:rPr>
                <w:rStyle w:val="Hyperlink"/>
                <w:noProof/>
              </w:rPr>
              <w:t>Noslēgto līgumu un tajos ietverto nosacījumu izpildes kontrole</w:t>
            </w:r>
            <w:r w:rsidR="008152AE">
              <w:rPr>
                <w:noProof/>
                <w:webHidden/>
              </w:rPr>
              <w:tab/>
            </w:r>
            <w:r w:rsidR="007772FF">
              <w:rPr>
                <w:noProof/>
                <w:webHidden/>
              </w:rPr>
              <w:fldChar w:fldCharType="begin"/>
            </w:r>
            <w:r w:rsidR="008152AE">
              <w:rPr>
                <w:noProof/>
                <w:webHidden/>
              </w:rPr>
              <w:instrText xml:space="preserve"> PAGEREF _Toc354069799 \h </w:instrText>
            </w:r>
            <w:r w:rsidR="007772FF">
              <w:rPr>
                <w:noProof/>
                <w:webHidden/>
              </w:rPr>
            </w:r>
            <w:r w:rsidR="007772FF">
              <w:rPr>
                <w:noProof/>
                <w:webHidden/>
              </w:rPr>
              <w:fldChar w:fldCharType="separate"/>
            </w:r>
            <w:r w:rsidR="003B6B75">
              <w:rPr>
                <w:noProof/>
                <w:webHidden/>
              </w:rPr>
              <w:t>24</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800" w:history="1">
            <w:r w:rsidR="008152AE" w:rsidRPr="00E66E9A">
              <w:rPr>
                <w:rStyle w:val="Hyperlink"/>
                <w:noProof/>
              </w:rPr>
              <w:t>Tiesvedības</w:t>
            </w:r>
            <w:r w:rsidR="008152AE">
              <w:rPr>
                <w:noProof/>
                <w:webHidden/>
              </w:rPr>
              <w:tab/>
            </w:r>
            <w:r w:rsidR="007772FF">
              <w:rPr>
                <w:noProof/>
                <w:webHidden/>
              </w:rPr>
              <w:fldChar w:fldCharType="begin"/>
            </w:r>
            <w:r w:rsidR="008152AE">
              <w:rPr>
                <w:noProof/>
                <w:webHidden/>
              </w:rPr>
              <w:instrText xml:space="preserve"> PAGEREF _Toc354069800 \h </w:instrText>
            </w:r>
            <w:r w:rsidR="007772FF">
              <w:rPr>
                <w:noProof/>
                <w:webHidden/>
              </w:rPr>
            </w:r>
            <w:r w:rsidR="007772FF">
              <w:rPr>
                <w:noProof/>
                <w:webHidden/>
              </w:rPr>
              <w:fldChar w:fldCharType="separate"/>
            </w:r>
            <w:r w:rsidR="003B6B75">
              <w:rPr>
                <w:noProof/>
                <w:webHidden/>
              </w:rPr>
              <w:t>25</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801" w:history="1">
            <w:r w:rsidR="008152AE" w:rsidRPr="00E66E9A">
              <w:rPr>
                <w:rStyle w:val="Hyperlink"/>
                <w:noProof/>
              </w:rPr>
              <w:t>Privatizācijas sertifikāti</w:t>
            </w:r>
            <w:r w:rsidR="008152AE">
              <w:rPr>
                <w:noProof/>
                <w:webHidden/>
              </w:rPr>
              <w:tab/>
            </w:r>
            <w:r w:rsidR="007772FF">
              <w:rPr>
                <w:noProof/>
                <w:webHidden/>
              </w:rPr>
              <w:fldChar w:fldCharType="begin"/>
            </w:r>
            <w:r w:rsidR="008152AE">
              <w:rPr>
                <w:noProof/>
                <w:webHidden/>
              </w:rPr>
              <w:instrText xml:space="preserve"> PAGEREF _Toc354069801 \h </w:instrText>
            </w:r>
            <w:r w:rsidR="007772FF">
              <w:rPr>
                <w:noProof/>
                <w:webHidden/>
              </w:rPr>
            </w:r>
            <w:r w:rsidR="007772FF">
              <w:rPr>
                <w:noProof/>
                <w:webHidden/>
              </w:rPr>
              <w:fldChar w:fldCharType="separate"/>
            </w:r>
            <w:r w:rsidR="003B6B75">
              <w:rPr>
                <w:noProof/>
                <w:webHidden/>
              </w:rPr>
              <w:t>26</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802" w:history="1">
            <w:r w:rsidR="003B6B75" w:rsidRPr="003B6B75">
              <w:rPr>
                <w:rStyle w:val="Hyperlink"/>
                <w:noProof/>
              </w:rPr>
              <w:t>Par Aģentūras līdzdalību citās sabiedrībās</w:t>
            </w:r>
            <w:r w:rsidR="008152AE">
              <w:rPr>
                <w:noProof/>
                <w:webHidden/>
              </w:rPr>
              <w:tab/>
            </w:r>
            <w:r w:rsidR="007772FF">
              <w:rPr>
                <w:noProof/>
                <w:webHidden/>
              </w:rPr>
              <w:fldChar w:fldCharType="begin"/>
            </w:r>
            <w:r w:rsidR="008152AE">
              <w:rPr>
                <w:noProof/>
                <w:webHidden/>
              </w:rPr>
              <w:instrText xml:space="preserve"> PAGEREF _Toc354069802 \h </w:instrText>
            </w:r>
            <w:r w:rsidR="007772FF">
              <w:rPr>
                <w:noProof/>
                <w:webHidden/>
              </w:rPr>
            </w:r>
            <w:r w:rsidR="007772FF">
              <w:rPr>
                <w:noProof/>
                <w:webHidden/>
              </w:rPr>
              <w:fldChar w:fldCharType="separate"/>
            </w:r>
            <w:r w:rsidR="003B6B75">
              <w:rPr>
                <w:noProof/>
                <w:webHidden/>
              </w:rPr>
              <w:t>27</w:t>
            </w:r>
            <w:r w:rsidR="007772FF">
              <w:rPr>
                <w:noProof/>
                <w:webHidden/>
              </w:rPr>
              <w:fldChar w:fldCharType="end"/>
            </w:r>
          </w:hyperlink>
        </w:p>
        <w:p w:rsidR="008152AE" w:rsidRDefault="00AA0326">
          <w:pPr>
            <w:pStyle w:val="TOC3"/>
            <w:tabs>
              <w:tab w:val="right" w:leader="dot" w:pos="8296"/>
            </w:tabs>
            <w:rPr>
              <w:rFonts w:asciiTheme="minorHAnsi" w:hAnsiTheme="minorHAnsi"/>
              <w:noProof/>
              <w:sz w:val="22"/>
              <w:szCs w:val="22"/>
            </w:rPr>
          </w:pPr>
          <w:hyperlink w:anchor="_Toc354069803" w:history="1">
            <w:r w:rsidR="0032084C">
              <w:rPr>
                <w:rStyle w:val="Hyperlink"/>
                <w:noProof/>
              </w:rPr>
              <w:t>Akciju sabiedrība</w:t>
            </w:r>
            <w:r w:rsidR="008152AE" w:rsidRPr="00E66E9A">
              <w:rPr>
                <w:rStyle w:val="Hyperlink"/>
                <w:noProof/>
              </w:rPr>
              <w:t xml:space="preserve"> „Citadele banka”</w:t>
            </w:r>
            <w:r w:rsidR="008152AE">
              <w:rPr>
                <w:noProof/>
                <w:webHidden/>
              </w:rPr>
              <w:tab/>
            </w:r>
            <w:r w:rsidR="007772FF">
              <w:rPr>
                <w:noProof/>
                <w:webHidden/>
              </w:rPr>
              <w:fldChar w:fldCharType="begin"/>
            </w:r>
            <w:r w:rsidR="008152AE">
              <w:rPr>
                <w:noProof/>
                <w:webHidden/>
              </w:rPr>
              <w:instrText xml:space="preserve"> PAGEREF _Toc354069803 \h </w:instrText>
            </w:r>
            <w:r w:rsidR="007772FF">
              <w:rPr>
                <w:noProof/>
                <w:webHidden/>
              </w:rPr>
            </w:r>
            <w:r w:rsidR="007772FF">
              <w:rPr>
                <w:noProof/>
                <w:webHidden/>
              </w:rPr>
              <w:fldChar w:fldCharType="separate"/>
            </w:r>
            <w:r w:rsidR="003B6B75">
              <w:rPr>
                <w:noProof/>
                <w:webHidden/>
              </w:rPr>
              <w:t>27</w:t>
            </w:r>
            <w:r w:rsidR="007772FF">
              <w:rPr>
                <w:noProof/>
                <w:webHidden/>
              </w:rPr>
              <w:fldChar w:fldCharType="end"/>
            </w:r>
          </w:hyperlink>
        </w:p>
        <w:p w:rsidR="008152AE" w:rsidRDefault="00AA0326">
          <w:pPr>
            <w:pStyle w:val="TOC3"/>
            <w:tabs>
              <w:tab w:val="right" w:leader="dot" w:pos="8296"/>
            </w:tabs>
            <w:rPr>
              <w:rFonts w:asciiTheme="minorHAnsi" w:hAnsiTheme="minorHAnsi"/>
              <w:noProof/>
              <w:sz w:val="22"/>
              <w:szCs w:val="22"/>
            </w:rPr>
          </w:pPr>
          <w:hyperlink w:anchor="_Toc354069804" w:history="1">
            <w:r w:rsidR="0032084C">
              <w:rPr>
                <w:rStyle w:val="Hyperlink"/>
                <w:noProof/>
              </w:rPr>
              <w:t>Akciju sabiedrība</w:t>
            </w:r>
            <w:r w:rsidR="008152AE" w:rsidRPr="00E66E9A">
              <w:rPr>
                <w:rStyle w:val="Hyperlink"/>
                <w:noProof/>
              </w:rPr>
              <w:t xml:space="preserve"> „Reverta”</w:t>
            </w:r>
            <w:r w:rsidR="008152AE">
              <w:rPr>
                <w:noProof/>
                <w:webHidden/>
              </w:rPr>
              <w:tab/>
            </w:r>
            <w:r w:rsidR="007772FF">
              <w:rPr>
                <w:noProof/>
                <w:webHidden/>
              </w:rPr>
              <w:fldChar w:fldCharType="begin"/>
            </w:r>
            <w:r w:rsidR="008152AE">
              <w:rPr>
                <w:noProof/>
                <w:webHidden/>
              </w:rPr>
              <w:instrText xml:space="preserve"> PAGEREF _Toc354069804 \h </w:instrText>
            </w:r>
            <w:r w:rsidR="007772FF">
              <w:rPr>
                <w:noProof/>
                <w:webHidden/>
              </w:rPr>
            </w:r>
            <w:r w:rsidR="007772FF">
              <w:rPr>
                <w:noProof/>
                <w:webHidden/>
              </w:rPr>
              <w:fldChar w:fldCharType="separate"/>
            </w:r>
            <w:r w:rsidR="003B6B75">
              <w:rPr>
                <w:noProof/>
                <w:webHidden/>
              </w:rPr>
              <w:t>28</w:t>
            </w:r>
            <w:r w:rsidR="007772FF">
              <w:rPr>
                <w:noProof/>
                <w:webHidden/>
              </w:rPr>
              <w:fldChar w:fldCharType="end"/>
            </w:r>
          </w:hyperlink>
        </w:p>
        <w:p w:rsidR="008152AE" w:rsidRDefault="00AA0326">
          <w:pPr>
            <w:pStyle w:val="TOC3"/>
            <w:tabs>
              <w:tab w:val="right" w:leader="dot" w:pos="8296"/>
            </w:tabs>
            <w:rPr>
              <w:rFonts w:asciiTheme="minorHAnsi" w:hAnsiTheme="minorHAnsi"/>
              <w:noProof/>
              <w:sz w:val="22"/>
              <w:szCs w:val="22"/>
            </w:rPr>
          </w:pPr>
          <w:hyperlink w:anchor="_Toc354069805" w:history="1">
            <w:r w:rsidR="00A51225">
              <w:t>S</w:t>
            </w:r>
            <w:r w:rsidR="00A51225">
              <w:rPr>
                <w:rStyle w:val="Hyperlink"/>
                <w:noProof/>
              </w:rPr>
              <w:t>abiedrība</w:t>
            </w:r>
            <w:r w:rsidR="00A51225" w:rsidRPr="00A51225">
              <w:rPr>
                <w:rStyle w:val="Hyperlink"/>
                <w:noProof/>
              </w:rPr>
              <w:t xml:space="preserve"> ar ierobežotu atbildību „Hipotēku bankas nekustamā īpašuma aģentūra”</w:t>
            </w:r>
            <w:r w:rsidR="008152AE" w:rsidRPr="00E66E9A">
              <w:rPr>
                <w:rStyle w:val="Hyperlink"/>
                <w:noProof/>
              </w:rPr>
              <w:t xml:space="preserve"> </w:t>
            </w:r>
            <w:r w:rsidR="008152AE">
              <w:rPr>
                <w:noProof/>
                <w:webHidden/>
              </w:rPr>
              <w:tab/>
            </w:r>
            <w:r w:rsidR="007772FF">
              <w:rPr>
                <w:noProof/>
                <w:webHidden/>
              </w:rPr>
              <w:fldChar w:fldCharType="begin"/>
            </w:r>
            <w:r w:rsidR="008152AE">
              <w:rPr>
                <w:noProof/>
                <w:webHidden/>
              </w:rPr>
              <w:instrText xml:space="preserve"> PAGEREF _Toc354069805 \h </w:instrText>
            </w:r>
            <w:r w:rsidR="007772FF">
              <w:rPr>
                <w:noProof/>
                <w:webHidden/>
              </w:rPr>
            </w:r>
            <w:r w:rsidR="007772FF">
              <w:rPr>
                <w:noProof/>
                <w:webHidden/>
              </w:rPr>
              <w:fldChar w:fldCharType="separate"/>
            </w:r>
            <w:r w:rsidR="003B6B75">
              <w:rPr>
                <w:noProof/>
                <w:webHidden/>
              </w:rPr>
              <w:t>29</w:t>
            </w:r>
            <w:r w:rsidR="007772FF">
              <w:rPr>
                <w:noProof/>
                <w:webHidden/>
              </w:rPr>
              <w:fldChar w:fldCharType="end"/>
            </w:r>
          </w:hyperlink>
        </w:p>
        <w:p w:rsidR="008152AE" w:rsidRDefault="00AA0326">
          <w:pPr>
            <w:pStyle w:val="TOC2"/>
            <w:tabs>
              <w:tab w:val="right" w:leader="dot" w:pos="8296"/>
            </w:tabs>
            <w:rPr>
              <w:rFonts w:asciiTheme="minorHAnsi" w:hAnsiTheme="minorHAnsi"/>
              <w:noProof/>
              <w:sz w:val="22"/>
              <w:szCs w:val="22"/>
            </w:rPr>
          </w:pPr>
          <w:hyperlink w:anchor="_Toc354069806" w:history="1">
            <w:r w:rsidR="008152AE" w:rsidRPr="00E66E9A">
              <w:rPr>
                <w:rStyle w:val="Hyperlink"/>
                <w:noProof/>
              </w:rPr>
              <w:t>Valsts līdzdalības nodrošināšana ogļūdeņražu ieguvē</w:t>
            </w:r>
            <w:r w:rsidR="008152AE">
              <w:rPr>
                <w:noProof/>
                <w:webHidden/>
              </w:rPr>
              <w:tab/>
            </w:r>
            <w:r w:rsidR="007772FF">
              <w:rPr>
                <w:noProof/>
                <w:webHidden/>
              </w:rPr>
              <w:fldChar w:fldCharType="begin"/>
            </w:r>
            <w:r w:rsidR="008152AE">
              <w:rPr>
                <w:noProof/>
                <w:webHidden/>
              </w:rPr>
              <w:instrText xml:space="preserve"> PAGEREF _Toc354069806 \h </w:instrText>
            </w:r>
            <w:r w:rsidR="007772FF">
              <w:rPr>
                <w:noProof/>
                <w:webHidden/>
              </w:rPr>
            </w:r>
            <w:r w:rsidR="007772FF">
              <w:rPr>
                <w:noProof/>
                <w:webHidden/>
              </w:rPr>
              <w:fldChar w:fldCharType="separate"/>
            </w:r>
            <w:r w:rsidR="003B6B75">
              <w:rPr>
                <w:noProof/>
                <w:webHidden/>
              </w:rPr>
              <w:t>29</w:t>
            </w:r>
            <w:r w:rsidR="007772FF">
              <w:rPr>
                <w:noProof/>
                <w:webHidden/>
              </w:rPr>
              <w:fldChar w:fldCharType="end"/>
            </w:r>
          </w:hyperlink>
        </w:p>
        <w:p w:rsidR="008152AE" w:rsidRDefault="00AA0326">
          <w:pPr>
            <w:pStyle w:val="TOC1"/>
            <w:rPr>
              <w:rFonts w:asciiTheme="minorHAnsi" w:hAnsiTheme="minorHAnsi"/>
              <w:sz w:val="22"/>
              <w:szCs w:val="22"/>
            </w:rPr>
          </w:pPr>
          <w:hyperlink w:anchor="_Toc354069807" w:history="1">
            <w:r w:rsidR="008152AE" w:rsidRPr="00E66E9A">
              <w:rPr>
                <w:rStyle w:val="Hyperlink"/>
                <w:rFonts w:cs="Times New Roman"/>
              </w:rPr>
              <w:t>V DARBĪBAS NODROŠINĀŠANA</w:t>
            </w:r>
            <w:r w:rsidR="008152AE">
              <w:rPr>
                <w:webHidden/>
              </w:rPr>
              <w:tab/>
            </w:r>
            <w:r w:rsidR="007772FF">
              <w:rPr>
                <w:webHidden/>
              </w:rPr>
              <w:fldChar w:fldCharType="begin"/>
            </w:r>
            <w:r w:rsidR="008152AE">
              <w:rPr>
                <w:webHidden/>
              </w:rPr>
              <w:instrText xml:space="preserve"> PAGEREF _Toc354069807 \h </w:instrText>
            </w:r>
            <w:r w:rsidR="007772FF">
              <w:rPr>
                <w:webHidden/>
              </w:rPr>
            </w:r>
            <w:r w:rsidR="007772FF">
              <w:rPr>
                <w:webHidden/>
              </w:rPr>
              <w:fldChar w:fldCharType="separate"/>
            </w:r>
            <w:r w:rsidR="003B6B75">
              <w:rPr>
                <w:webHidden/>
              </w:rPr>
              <w:t>31</w:t>
            </w:r>
            <w:r w:rsidR="007772FF">
              <w:rPr>
                <w:webHidden/>
              </w:rPr>
              <w:fldChar w:fldCharType="end"/>
            </w:r>
          </w:hyperlink>
        </w:p>
        <w:p w:rsidR="008152AE" w:rsidRDefault="00AA0326">
          <w:pPr>
            <w:pStyle w:val="TOC1"/>
            <w:rPr>
              <w:rFonts w:asciiTheme="minorHAnsi" w:hAnsiTheme="minorHAnsi"/>
              <w:sz w:val="22"/>
              <w:szCs w:val="22"/>
            </w:rPr>
          </w:pPr>
          <w:hyperlink w:anchor="_Toc354069808" w:history="1">
            <w:r w:rsidR="008152AE" w:rsidRPr="00E66E9A">
              <w:rPr>
                <w:rStyle w:val="Hyperlink"/>
              </w:rPr>
              <w:t>VII NEPIECIEŠAMĀS IZMAIŅAS NORMATĪVAJOS AKTOS</w:t>
            </w:r>
            <w:r w:rsidR="008152AE">
              <w:rPr>
                <w:webHidden/>
              </w:rPr>
              <w:tab/>
            </w:r>
            <w:r w:rsidR="007772FF">
              <w:rPr>
                <w:webHidden/>
              </w:rPr>
              <w:fldChar w:fldCharType="begin"/>
            </w:r>
            <w:r w:rsidR="008152AE">
              <w:rPr>
                <w:webHidden/>
              </w:rPr>
              <w:instrText xml:space="preserve"> PAGEREF _Toc354069808 \h </w:instrText>
            </w:r>
            <w:r w:rsidR="007772FF">
              <w:rPr>
                <w:webHidden/>
              </w:rPr>
            </w:r>
            <w:r w:rsidR="007772FF">
              <w:rPr>
                <w:webHidden/>
              </w:rPr>
              <w:fldChar w:fldCharType="separate"/>
            </w:r>
            <w:r w:rsidR="003B6B75">
              <w:rPr>
                <w:webHidden/>
              </w:rPr>
              <w:t>43</w:t>
            </w:r>
            <w:r w:rsidR="007772FF">
              <w:rPr>
                <w:webHidden/>
              </w:rPr>
              <w:fldChar w:fldCharType="end"/>
            </w:r>
          </w:hyperlink>
        </w:p>
        <w:p w:rsidR="00217BD9" w:rsidRPr="00426EEF" w:rsidRDefault="007772FF" w:rsidP="00C25731">
          <w:pPr>
            <w:rPr>
              <w:rFonts w:cs="Times New Roman"/>
            </w:rPr>
          </w:pPr>
          <w:r w:rsidRPr="00426EEF">
            <w:rPr>
              <w:rFonts w:cs="Times New Roman"/>
              <w:b/>
              <w:bCs/>
              <w:noProof/>
            </w:rPr>
            <w:fldChar w:fldCharType="end"/>
          </w:r>
        </w:p>
      </w:sdtContent>
    </w:sdt>
    <w:p w:rsidR="00C22E10" w:rsidRPr="00426EEF" w:rsidRDefault="00C22E10" w:rsidP="00C25731">
      <w:pPr>
        <w:rPr>
          <w:rFonts w:cs="Times New Roman"/>
        </w:rPr>
      </w:pPr>
      <w:r w:rsidRPr="00426EEF">
        <w:rPr>
          <w:rFonts w:cs="Times New Roman"/>
        </w:rPr>
        <w:br w:type="page"/>
      </w:r>
    </w:p>
    <w:p w:rsidR="00FA789B" w:rsidRPr="00426EEF" w:rsidRDefault="00FA789B" w:rsidP="00C25731">
      <w:pPr>
        <w:ind w:firstLine="720"/>
        <w:jc w:val="both"/>
        <w:rPr>
          <w:rFonts w:cs="Times New Roman"/>
        </w:rPr>
      </w:pPr>
    </w:p>
    <w:p w:rsidR="0084291E" w:rsidRPr="00426EEF" w:rsidRDefault="0084291E" w:rsidP="00C25731">
      <w:pPr>
        <w:ind w:firstLine="720"/>
        <w:jc w:val="both"/>
        <w:rPr>
          <w:rFonts w:cs="Times New Roman"/>
        </w:rPr>
      </w:pPr>
    </w:p>
    <w:p w:rsidR="00C557C4" w:rsidRPr="00426EEF" w:rsidRDefault="00C557C4" w:rsidP="00C25731">
      <w:pPr>
        <w:ind w:firstLine="720"/>
        <w:jc w:val="both"/>
        <w:rPr>
          <w:rFonts w:cs="Times New Roman"/>
        </w:rPr>
      </w:pPr>
    </w:p>
    <w:p w:rsidR="00B46053" w:rsidRPr="000237B3" w:rsidRDefault="00B46053" w:rsidP="00C25731">
      <w:pPr>
        <w:ind w:firstLine="720"/>
        <w:jc w:val="both"/>
        <w:rPr>
          <w:rFonts w:cs="Times New Roman"/>
          <w:sz w:val="28"/>
          <w:szCs w:val="28"/>
        </w:rPr>
      </w:pPr>
      <w:r w:rsidRPr="000237B3">
        <w:rPr>
          <w:rFonts w:cs="Times New Roman"/>
          <w:sz w:val="28"/>
          <w:szCs w:val="28"/>
        </w:rPr>
        <w:t xml:space="preserve">Izpildot </w:t>
      </w:r>
      <w:r w:rsidR="007C3102" w:rsidRPr="000237B3">
        <w:rPr>
          <w:rFonts w:cs="Times New Roman"/>
          <w:sz w:val="28"/>
          <w:szCs w:val="28"/>
        </w:rPr>
        <w:t>Ministru kabinet</w:t>
      </w:r>
      <w:r w:rsidRPr="000237B3">
        <w:rPr>
          <w:rFonts w:cs="Times New Roman"/>
          <w:sz w:val="28"/>
          <w:szCs w:val="28"/>
        </w:rPr>
        <w:t>a 2012.gada 9.oktobra</w:t>
      </w:r>
      <w:r w:rsidR="00C64894" w:rsidRPr="000237B3">
        <w:rPr>
          <w:rFonts w:cs="Times New Roman"/>
          <w:sz w:val="28"/>
          <w:szCs w:val="28"/>
        </w:rPr>
        <w:t xml:space="preserve"> </w:t>
      </w:r>
      <w:r w:rsidR="007C3102" w:rsidRPr="000237B3">
        <w:rPr>
          <w:rFonts w:cs="Times New Roman"/>
          <w:sz w:val="28"/>
          <w:szCs w:val="28"/>
        </w:rPr>
        <w:t xml:space="preserve">sēdē (prot.Nr.56 20.§ 3.punkts) </w:t>
      </w:r>
      <w:r w:rsidRPr="000237B3">
        <w:rPr>
          <w:rFonts w:cs="Times New Roman"/>
          <w:sz w:val="28"/>
          <w:szCs w:val="28"/>
        </w:rPr>
        <w:t>lemto, ir izstrādāta</w:t>
      </w:r>
      <w:r w:rsidR="007C3102" w:rsidRPr="000237B3">
        <w:rPr>
          <w:rFonts w:cs="Times New Roman"/>
          <w:sz w:val="28"/>
          <w:szCs w:val="28"/>
        </w:rPr>
        <w:t xml:space="preserve"> valsts akciju sabiedrības „Privatizācijas aģentūra” (turpmāk – </w:t>
      </w:r>
      <w:r w:rsidR="00265D74" w:rsidRPr="000237B3">
        <w:rPr>
          <w:rFonts w:cs="Times New Roman"/>
          <w:sz w:val="28"/>
          <w:szCs w:val="28"/>
        </w:rPr>
        <w:t>Aģentūra</w:t>
      </w:r>
      <w:r w:rsidR="007C3102" w:rsidRPr="000237B3">
        <w:rPr>
          <w:rFonts w:cs="Times New Roman"/>
          <w:sz w:val="28"/>
          <w:szCs w:val="28"/>
        </w:rPr>
        <w:t>) darbības izbeigšanas stratēģij</w:t>
      </w:r>
      <w:r w:rsidRPr="000237B3">
        <w:rPr>
          <w:rFonts w:cs="Times New Roman"/>
          <w:sz w:val="28"/>
          <w:szCs w:val="28"/>
        </w:rPr>
        <w:t>a</w:t>
      </w:r>
      <w:r w:rsidR="007C3102" w:rsidRPr="000237B3">
        <w:rPr>
          <w:rFonts w:cs="Times New Roman"/>
          <w:sz w:val="28"/>
          <w:szCs w:val="28"/>
        </w:rPr>
        <w:t xml:space="preserve">. </w:t>
      </w:r>
    </w:p>
    <w:p w:rsidR="00D529EF" w:rsidRPr="000237B3" w:rsidRDefault="00D529EF" w:rsidP="00C25731">
      <w:pPr>
        <w:ind w:firstLine="720"/>
        <w:jc w:val="both"/>
        <w:rPr>
          <w:rFonts w:cs="Times New Roman"/>
          <w:sz w:val="28"/>
          <w:szCs w:val="28"/>
        </w:rPr>
      </w:pPr>
    </w:p>
    <w:p w:rsidR="006171B1" w:rsidRPr="000237B3" w:rsidRDefault="00D529EF" w:rsidP="00F5419B">
      <w:pPr>
        <w:ind w:firstLine="720"/>
        <w:jc w:val="both"/>
        <w:rPr>
          <w:rFonts w:cs="Times New Roman"/>
          <w:b/>
          <w:sz w:val="28"/>
          <w:szCs w:val="28"/>
        </w:rPr>
      </w:pPr>
      <w:r w:rsidRPr="000237B3">
        <w:rPr>
          <w:rFonts w:cs="Times New Roman"/>
          <w:b/>
          <w:sz w:val="28"/>
          <w:szCs w:val="28"/>
        </w:rPr>
        <w:t>Šī stratē</w:t>
      </w:r>
      <w:r w:rsidR="00F5419B" w:rsidRPr="000237B3">
        <w:rPr>
          <w:rFonts w:cs="Times New Roman"/>
          <w:b/>
          <w:sz w:val="28"/>
          <w:szCs w:val="28"/>
        </w:rPr>
        <w:t xml:space="preserve">ģija neietver </w:t>
      </w:r>
      <w:r w:rsidR="006171B1" w:rsidRPr="000237B3">
        <w:rPr>
          <w:rFonts w:cs="Times New Roman"/>
          <w:b/>
          <w:sz w:val="28"/>
          <w:szCs w:val="28"/>
        </w:rPr>
        <w:t xml:space="preserve">vairākus jautājumus, kas varētu būtiski ietekmēt </w:t>
      </w:r>
      <w:r w:rsidR="004635AF">
        <w:rPr>
          <w:rFonts w:cs="Times New Roman"/>
          <w:b/>
          <w:sz w:val="28"/>
          <w:szCs w:val="28"/>
        </w:rPr>
        <w:t xml:space="preserve">turpmāko </w:t>
      </w:r>
      <w:r w:rsidR="007F4C29" w:rsidRPr="000237B3">
        <w:rPr>
          <w:rFonts w:cs="Times New Roman"/>
          <w:b/>
          <w:sz w:val="28"/>
          <w:szCs w:val="28"/>
        </w:rPr>
        <w:t>Aģentūras</w:t>
      </w:r>
      <w:r w:rsidR="006171B1" w:rsidRPr="000237B3">
        <w:rPr>
          <w:rFonts w:cs="Times New Roman"/>
          <w:b/>
          <w:sz w:val="28"/>
          <w:szCs w:val="28"/>
        </w:rPr>
        <w:t xml:space="preserve"> darbību un izmaksas:</w:t>
      </w:r>
    </w:p>
    <w:p w:rsidR="006171B1" w:rsidRPr="000237B3" w:rsidRDefault="00D529EF" w:rsidP="00186954">
      <w:pPr>
        <w:numPr>
          <w:ilvl w:val="0"/>
          <w:numId w:val="2"/>
        </w:numPr>
        <w:jc w:val="both"/>
        <w:rPr>
          <w:rFonts w:cs="Times New Roman"/>
          <w:sz w:val="28"/>
          <w:szCs w:val="28"/>
        </w:rPr>
      </w:pPr>
      <w:r w:rsidRPr="000237B3">
        <w:rPr>
          <w:rFonts w:cs="Times New Roman"/>
          <w:sz w:val="28"/>
          <w:szCs w:val="28"/>
        </w:rPr>
        <w:t>Ministru kabinet</w:t>
      </w:r>
      <w:r w:rsidR="00AB6B32">
        <w:rPr>
          <w:rFonts w:cs="Times New Roman"/>
          <w:sz w:val="28"/>
          <w:szCs w:val="28"/>
        </w:rPr>
        <w:t>s</w:t>
      </w:r>
      <w:r w:rsidRPr="000237B3">
        <w:rPr>
          <w:rFonts w:cs="Times New Roman"/>
          <w:sz w:val="28"/>
          <w:szCs w:val="28"/>
        </w:rPr>
        <w:t xml:space="preserve"> </w:t>
      </w:r>
      <w:r w:rsidR="00CF49A3" w:rsidRPr="000237B3">
        <w:rPr>
          <w:rFonts w:cs="Times New Roman"/>
          <w:sz w:val="28"/>
          <w:szCs w:val="28"/>
        </w:rPr>
        <w:t>201</w:t>
      </w:r>
      <w:r w:rsidR="00CF49A3">
        <w:rPr>
          <w:rFonts w:cs="Times New Roman"/>
          <w:sz w:val="28"/>
          <w:szCs w:val="28"/>
        </w:rPr>
        <w:t>3</w:t>
      </w:r>
      <w:r w:rsidRPr="000237B3">
        <w:rPr>
          <w:rFonts w:cs="Times New Roman"/>
          <w:sz w:val="28"/>
          <w:szCs w:val="28"/>
        </w:rPr>
        <w:t>.</w:t>
      </w:r>
      <w:r w:rsidR="00A007BF" w:rsidRPr="000237B3">
        <w:rPr>
          <w:rFonts w:cs="Times New Roman"/>
          <w:sz w:val="28"/>
          <w:szCs w:val="28"/>
        </w:rPr>
        <w:t xml:space="preserve">gada </w:t>
      </w:r>
      <w:r w:rsidR="00CF49A3">
        <w:rPr>
          <w:rFonts w:cs="Times New Roman"/>
          <w:sz w:val="28"/>
          <w:szCs w:val="28"/>
        </w:rPr>
        <w:t>2</w:t>
      </w:r>
      <w:r w:rsidR="00A007BF" w:rsidRPr="000237B3">
        <w:rPr>
          <w:rFonts w:cs="Times New Roman"/>
          <w:sz w:val="28"/>
          <w:szCs w:val="28"/>
        </w:rPr>
        <w:t>.</w:t>
      </w:r>
      <w:r w:rsidR="00CF49A3">
        <w:rPr>
          <w:rFonts w:cs="Times New Roman"/>
          <w:sz w:val="28"/>
          <w:szCs w:val="28"/>
        </w:rPr>
        <w:t>aprīļa</w:t>
      </w:r>
      <w:r w:rsidR="00AB6B32">
        <w:rPr>
          <w:rFonts w:cs="Times New Roman"/>
          <w:sz w:val="28"/>
          <w:szCs w:val="28"/>
        </w:rPr>
        <w:t xml:space="preserve"> sēdē </w:t>
      </w:r>
      <w:r w:rsidR="00AB6B32" w:rsidRPr="00AB6B32">
        <w:rPr>
          <w:rFonts w:cs="Times New Roman"/>
          <w:sz w:val="28"/>
          <w:szCs w:val="28"/>
        </w:rPr>
        <w:t xml:space="preserve">(prot.Nr.17 55.§) </w:t>
      </w:r>
      <w:r w:rsidR="00AB6B32">
        <w:rPr>
          <w:rFonts w:cs="Times New Roman"/>
          <w:sz w:val="28"/>
          <w:szCs w:val="28"/>
        </w:rPr>
        <w:t>pieņēma</w:t>
      </w:r>
      <w:r w:rsidR="00CF49A3">
        <w:rPr>
          <w:rFonts w:cs="Times New Roman"/>
          <w:sz w:val="28"/>
          <w:szCs w:val="28"/>
        </w:rPr>
        <w:t xml:space="preserve"> lēmum</w:t>
      </w:r>
      <w:r w:rsidR="00AB6B32">
        <w:rPr>
          <w:rFonts w:cs="Times New Roman"/>
          <w:sz w:val="28"/>
          <w:szCs w:val="28"/>
        </w:rPr>
        <w:t>u</w:t>
      </w:r>
      <w:r w:rsidR="00CF49A3">
        <w:rPr>
          <w:rFonts w:cs="Times New Roman"/>
          <w:sz w:val="28"/>
          <w:szCs w:val="28"/>
        </w:rPr>
        <w:t xml:space="preserve">, ka </w:t>
      </w:r>
      <w:r w:rsidR="00CF49A3" w:rsidRPr="00CF49A3">
        <w:rPr>
          <w:rFonts w:cs="Times New Roman"/>
          <w:sz w:val="28"/>
          <w:szCs w:val="28"/>
        </w:rPr>
        <w:t xml:space="preserve">Aģentūra pārņems lielāko daļu no </w:t>
      </w:r>
      <w:r w:rsidR="00CF49A3">
        <w:rPr>
          <w:rFonts w:cs="Times New Roman"/>
          <w:sz w:val="28"/>
          <w:szCs w:val="28"/>
        </w:rPr>
        <w:t>valsts akciju sabiedrības</w:t>
      </w:r>
      <w:r w:rsidR="00CF49A3" w:rsidRPr="00CF49A3">
        <w:rPr>
          <w:rFonts w:cs="Times New Roman"/>
          <w:sz w:val="28"/>
          <w:szCs w:val="28"/>
        </w:rPr>
        <w:t xml:space="preserve"> "Latvijas Hipotēku un zemes banka" atlikuš</w:t>
      </w:r>
      <w:r w:rsidR="0035065D">
        <w:rPr>
          <w:rFonts w:cs="Times New Roman"/>
          <w:sz w:val="28"/>
          <w:szCs w:val="28"/>
        </w:rPr>
        <w:t xml:space="preserve">ajiem </w:t>
      </w:r>
      <w:r w:rsidR="00CF49A3" w:rsidRPr="00CF49A3">
        <w:rPr>
          <w:rFonts w:cs="Times New Roman"/>
          <w:sz w:val="28"/>
          <w:szCs w:val="28"/>
        </w:rPr>
        <w:t>komercaktīv</w:t>
      </w:r>
      <w:r w:rsidR="0035065D">
        <w:rPr>
          <w:rFonts w:cs="Times New Roman"/>
          <w:sz w:val="28"/>
          <w:szCs w:val="28"/>
        </w:rPr>
        <w:t>iem</w:t>
      </w:r>
      <w:r w:rsidR="00CF49A3" w:rsidRPr="00CF49A3">
        <w:rPr>
          <w:rFonts w:cs="Times New Roman"/>
          <w:sz w:val="28"/>
          <w:szCs w:val="28"/>
        </w:rPr>
        <w:t xml:space="preserve"> </w:t>
      </w:r>
      <w:r w:rsidR="00A6307E">
        <w:rPr>
          <w:rFonts w:cs="Times New Roman"/>
          <w:sz w:val="28"/>
          <w:szCs w:val="28"/>
        </w:rPr>
        <w:t xml:space="preserve">- </w:t>
      </w:r>
      <w:r w:rsidR="00A6307E" w:rsidRPr="00CF49A3">
        <w:rPr>
          <w:rFonts w:cs="Times New Roman"/>
          <w:sz w:val="28"/>
          <w:szCs w:val="28"/>
        </w:rPr>
        <w:t>kavēto</w:t>
      </w:r>
      <w:r w:rsidR="00A6307E">
        <w:rPr>
          <w:rFonts w:cs="Times New Roman"/>
          <w:sz w:val="28"/>
          <w:szCs w:val="28"/>
        </w:rPr>
        <w:t xml:space="preserve"> aktīvu pārvaldītāju </w:t>
      </w:r>
      <w:r w:rsidR="00F57826">
        <w:rPr>
          <w:rFonts w:cs="Times New Roman"/>
          <w:sz w:val="28"/>
          <w:szCs w:val="28"/>
        </w:rPr>
        <w:t>sabiedrību ar ierobežotu atbildību</w:t>
      </w:r>
      <w:r w:rsidR="00A6307E">
        <w:rPr>
          <w:rFonts w:cs="Times New Roman"/>
          <w:sz w:val="28"/>
          <w:szCs w:val="28"/>
        </w:rPr>
        <w:t xml:space="preserve"> </w:t>
      </w:r>
      <w:r w:rsidR="00D26A0F" w:rsidRPr="00D26A0F">
        <w:rPr>
          <w:rFonts w:cs="Times New Roman"/>
          <w:sz w:val="28"/>
          <w:szCs w:val="28"/>
        </w:rPr>
        <w:t>„Hipotēku</w:t>
      </w:r>
      <w:r w:rsidR="00D26A0F">
        <w:rPr>
          <w:rFonts w:cs="Times New Roman"/>
          <w:sz w:val="28"/>
          <w:szCs w:val="28"/>
        </w:rPr>
        <w:t xml:space="preserve"> </w:t>
      </w:r>
      <w:r w:rsidR="00D26A0F" w:rsidRPr="00D26A0F">
        <w:rPr>
          <w:rFonts w:cs="Times New Roman"/>
          <w:sz w:val="28"/>
          <w:szCs w:val="28"/>
        </w:rPr>
        <w:t>bankas nekustamā</w:t>
      </w:r>
      <w:r w:rsidR="00D26A0F">
        <w:rPr>
          <w:rFonts w:cs="Times New Roman"/>
          <w:sz w:val="28"/>
          <w:szCs w:val="28"/>
        </w:rPr>
        <w:t xml:space="preserve"> </w:t>
      </w:r>
      <w:r w:rsidR="00D26A0F" w:rsidRPr="00D26A0F">
        <w:rPr>
          <w:rFonts w:cs="Times New Roman"/>
          <w:sz w:val="28"/>
          <w:szCs w:val="28"/>
        </w:rPr>
        <w:t>īpašuma aģentūra”</w:t>
      </w:r>
      <w:r w:rsidR="00D26A0F">
        <w:rPr>
          <w:rFonts w:cs="Times New Roman"/>
          <w:sz w:val="28"/>
          <w:szCs w:val="28"/>
        </w:rPr>
        <w:t xml:space="preserve"> (turpmāk – HipoNIA)</w:t>
      </w:r>
      <w:r w:rsidR="00CF49A3">
        <w:rPr>
          <w:rFonts w:cs="Times New Roman"/>
          <w:sz w:val="28"/>
          <w:szCs w:val="28"/>
        </w:rPr>
        <w:t xml:space="preserve">. </w:t>
      </w:r>
      <w:r w:rsidR="00AB6B32">
        <w:rPr>
          <w:rFonts w:cs="Times New Roman"/>
          <w:sz w:val="28"/>
          <w:szCs w:val="28"/>
        </w:rPr>
        <w:t xml:space="preserve">Saskaņā ar Ministru kabineta 2013.gada 21.maija sēdē (prot.Nr.30 63.§) lemto 2013.gada 28.maijā ir noslēgts līgums par </w:t>
      </w:r>
      <w:proofErr w:type="spellStart"/>
      <w:r w:rsidR="00AB6B32" w:rsidRPr="00AB6B32">
        <w:rPr>
          <w:rFonts w:cs="Times New Roman"/>
          <w:sz w:val="28"/>
          <w:szCs w:val="28"/>
        </w:rPr>
        <w:t>HipoNIA</w:t>
      </w:r>
      <w:proofErr w:type="spellEnd"/>
      <w:r w:rsidR="00AB6B32" w:rsidRPr="00AB6B32" w:rsidDel="00CF49A3">
        <w:rPr>
          <w:rFonts w:cs="Times New Roman"/>
          <w:sz w:val="28"/>
          <w:szCs w:val="28"/>
        </w:rPr>
        <w:t xml:space="preserve"> </w:t>
      </w:r>
      <w:r w:rsidR="00AB6B32">
        <w:rPr>
          <w:rFonts w:cs="Times New Roman"/>
          <w:sz w:val="28"/>
          <w:szCs w:val="28"/>
        </w:rPr>
        <w:t>kapitāla daļu iegādi</w:t>
      </w:r>
      <w:r w:rsidR="00186954">
        <w:rPr>
          <w:rFonts w:cs="Times New Roman"/>
          <w:sz w:val="28"/>
          <w:szCs w:val="28"/>
        </w:rPr>
        <w:t xml:space="preserve"> un 2013.gada 28.jūnijā Aģentūra kļuva par </w:t>
      </w:r>
      <w:proofErr w:type="spellStart"/>
      <w:r w:rsidR="00186954" w:rsidRPr="00186954">
        <w:rPr>
          <w:rFonts w:cs="Times New Roman"/>
          <w:sz w:val="28"/>
          <w:szCs w:val="28"/>
        </w:rPr>
        <w:t>HipoNIA</w:t>
      </w:r>
      <w:proofErr w:type="spellEnd"/>
      <w:r w:rsidR="00186954" w:rsidRPr="00186954">
        <w:rPr>
          <w:rFonts w:cs="Times New Roman"/>
          <w:sz w:val="28"/>
          <w:szCs w:val="28"/>
        </w:rPr>
        <w:t xml:space="preserve"> kapitāla daļu</w:t>
      </w:r>
      <w:r w:rsidR="00186954">
        <w:rPr>
          <w:rFonts w:cs="Times New Roman"/>
          <w:sz w:val="28"/>
          <w:szCs w:val="28"/>
        </w:rPr>
        <w:t xml:space="preserve"> īpašnieci</w:t>
      </w:r>
      <w:r w:rsidR="00AB6B32">
        <w:rPr>
          <w:rFonts w:cs="Times New Roman"/>
          <w:sz w:val="28"/>
          <w:szCs w:val="28"/>
        </w:rPr>
        <w:t xml:space="preserve">. </w:t>
      </w:r>
      <w:r w:rsidRPr="000237B3">
        <w:rPr>
          <w:rFonts w:cs="Times New Roman"/>
          <w:sz w:val="28"/>
          <w:szCs w:val="28"/>
        </w:rPr>
        <w:t xml:space="preserve">Izdevumi, kas </w:t>
      </w:r>
      <w:r w:rsidR="007F4C29" w:rsidRPr="000237B3">
        <w:rPr>
          <w:rFonts w:cs="Times New Roman"/>
          <w:sz w:val="28"/>
          <w:szCs w:val="28"/>
        </w:rPr>
        <w:t>Aģentūrai</w:t>
      </w:r>
      <w:r w:rsidRPr="000237B3">
        <w:rPr>
          <w:rFonts w:cs="Times New Roman"/>
          <w:sz w:val="28"/>
          <w:szCs w:val="28"/>
        </w:rPr>
        <w:t xml:space="preserve"> </w:t>
      </w:r>
      <w:r w:rsidR="00543C2D">
        <w:rPr>
          <w:rFonts w:cs="Times New Roman"/>
          <w:sz w:val="28"/>
          <w:szCs w:val="28"/>
        </w:rPr>
        <w:t>radīsies</w:t>
      </w:r>
      <w:r w:rsidR="00543C2D" w:rsidRPr="000237B3">
        <w:rPr>
          <w:rFonts w:cs="Times New Roman"/>
          <w:sz w:val="28"/>
          <w:szCs w:val="28"/>
        </w:rPr>
        <w:t xml:space="preserve"> </w:t>
      </w:r>
      <w:r w:rsidRPr="000237B3">
        <w:rPr>
          <w:rFonts w:cs="Times New Roman"/>
          <w:sz w:val="28"/>
          <w:szCs w:val="28"/>
        </w:rPr>
        <w:t>saistībā ar minēt</w:t>
      </w:r>
      <w:r w:rsidR="00543C2D">
        <w:rPr>
          <w:rFonts w:cs="Times New Roman"/>
          <w:sz w:val="28"/>
          <w:szCs w:val="28"/>
        </w:rPr>
        <w:t>ajiem</w:t>
      </w:r>
      <w:r w:rsidRPr="000237B3">
        <w:rPr>
          <w:rFonts w:cs="Times New Roman"/>
          <w:sz w:val="28"/>
          <w:szCs w:val="28"/>
        </w:rPr>
        <w:t xml:space="preserve"> Ministru kabineta lēmum</w:t>
      </w:r>
      <w:r w:rsidR="00543C2D">
        <w:rPr>
          <w:rFonts w:cs="Times New Roman"/>
          <w:sz w:val="28"/>
          <w:szCs w:val="28"/>
        </w:rPr>
        <w:t>iem</w:t>
      </w:r>
      <w:r w:rsidRPr="000237B3">
        <w:rPr>
          <w:rFonts w:cs="Times New Roman"/>
          <w:sz w:val="28"/>
          <w:szCs w:val="28"/>
        </w:rPr>
        <w:t xml:space="preserve">, nav ietverti </w:t>
      </w:r>
      <w:r w:rsidR="007F4C29" w:rsidRPr="000237B3">
        <w:rPr>
          <w:rFonts w:cs="Times New Roman"/>
          <w:sz w:val="28"/>
          <w:szCs w:val="28"/>
        </w:rPr>
        <w:t>Aģentūras</w:t>
      </w:r>
      <w:r w:rsidR="00C64894" w:rsidRPr="000237B3">
        <w:rPr>
          <w:rFonts w:cs="Times New Roman"/>
          <w:sz w:val="28"/>
          <w:szCs w:val="28"/>
        </w:rPr>
        <w:t xml:space="preserve"> izmaksu un ieņēmumu aprēķinos.</w:t>
      </w:r>
    </w:p>
    <w:p w:rsidR="007770EB" w:rsidRPr="000237B3" w:rsidRDefault="00085BCA" w:rsidP="00D97F55">
      <w:pPr>
        <w:numPr>
          <w:ilvl w:val="0"/>
          <w:numId w:val="2"/>
        </w:numPr>
        <w:jc w:val="both"/>
        <w:rPr>
          <w:rFonts w:cs="Times New Roman"/>
          <w:sz w:val="28"/>
          <w:szCs w:val="28"/>
        </w:rPr>
      </w:pPr>
      <w:r w:rsidRPr="000237B3">
        <w:rPr>
          <w:rFonts w:cs="Times New Roman"/>
          <w:sz w:val="28"/>
          <w:szCs w:val="28"/>
        </w:rPr>
        <w:t>Aģentūras</w:t>
      </w:r>
      <w:r w:rsidR="003F15AC" w:rsidRPr="000237B3">
        <w:rPr>
          <w:rFonts w:cs="Times New Roman"/>
          <w:sz w:val="28"/>
          <w:szCs w:val="28"/>
        </w:rPr>
        <w:t xml:space="preserve"> izmaksās un ienākumos nav iekļauti ienākumi un izdevumi sakarā ar </w:t>
      </w:r>
      <w:r w:rsidR="00D97F55">
        <w:rPr>
          <w:rFonts w:cs="Times New Roman"/>
          <w:sz w:val="28"/>
          <w:szCs w:val="28"/>
        </w:rPr>
        <w:t>sabiedrības ar ierobežotu atbildību</w:t>
      </w:r>
      <w:r w:rsidR="00D97F55" w:rsidRPr="000237B3">
        <w:rPr>
          <w:rFonts w:cs="Times New Roman"/>
          <w:sz w:val="28"/>
          <w:szCs w:val="28"/>
        </w:rPr>
        <w:t xml:space="preserve"> </w:t>
      </w:r>
      <w:r w:rsidR="003F15AC" w:rsidRPr="000237B3">
        <w:rPr>
          <w:rFonts w:cs="Times New Roman"/>
          <w:sz w:val="28"/>
          <w:szCs w:val="28"/>
        </w:rPr>
        <w:t>„</w:t>
      </w:r>
      <w:proofErr w:type="spellStart"/>
      <w:r w:rsidR="003F15AC" w:rsidRPr="000237B3">
        <w:rPr>
          <w:rFonts w:cs="Times New Roman"/>
          <w:sz w:val="28"/>
          <w:szCs w:val="28"/>
        </w:rPr>
        <w:t>Lattelecom</w:t>
      </w:r>
      <w:proofErr w:type="spellEnd"/>
      <w:r w:rsidR="003F15AC" w:rsidRPr="000237B3">
        <w:rPr>
          <w:rFonts w:cs="Times New Roman"/>
          <w:sz w:val="28"/>
          <w:szCs w:val="28"/>
        </w:rPr>
        <w:t xml:space="preserve">” un </w:t>
      </w:r>
      <w:r w:rsidR="00D97F55" w:rsidRPr="00D97F55">
        <w:rPr>
          <w:rFonts w:cs="Times New Roman"/>
          <w:sz w:val="28"/>
          <w:szCs w:val="28"/>
        </w:rPr>
        <w:t>sabiedrības ar ierobežotu atbildību</w:t>
      </w:r>
      <w:r w:rsidR="003F15AC" w:rsidRPr="000237B3">
        <w:rPr>
          <w:rFonts w:cs="Times New Roman"/>
          <w:sz w:val="28"/>
          <w:szCs w:val="28"/>
        </w:rPr>
        <w:t xml:space="preserve"> „Latvijas Mobilais Telefons” privatizāciju, ja Ministru kabinets pieņems attiecīgu lēmumu par šo kapitāla daļu privatizācij</w:t>
      </w:r>
      <w:r w:rsidR="00C64894" w:rsidRPr="000237B3">
        <w:rPr>
          <w:rFonts w:cs="Times New Roman"/>
          <w:sz w:val="28"/>
          <w:szCs w:val="28"/>
        </w:rPr>
        <w:t xml:space="preserve">as īstenošanas modeli. </w:t>
      </w:r>
      <w:r w:rsidR="003F15AC" w:rsidRPr="000237B3">
        <w:rPr>
          <w:rFonts w:cs="Times New Roman"/>
          <w:sz w:val="28"/>
          <w:szCs w:val="28"/>
        </w:rPr>
        <w:t xml:space="preserve"> </w:t>
      </w:r>
    </w:p>
    <w:p w:rsidR="007770EB" w:rsidRPr="000237B3" w:rsidRDefault="007770EB" w:rsidP="00D97F55">
      <w:pPr>
        <w:numPr>
          <w:ilvl w:val="0"/>
          <w:numId w:val="2"/>
        </w:numPr>
        <w:jc w:val="both"/>
        <w:rPr>
          <w:rFonts w:cs="Times New Roman"/>
          <w:sz w:val="28"/>
          <w:szCs w:val="28"/>
        </w:rPr>
      </w:pPr>
      <w:r w:rsidRPr="000237B3">
        <w:rPr>
          <w:rFonts w:cs="Times New Roman"/>
          <w:sz w:val="28"/>
          <w:szCs w:val="28"/>
        </w:rPr>
        <w:t>Jautājum</w:t>
      </w:r>
      <w:r w:rsidR="00871423" w:rsidRPr="000237B3">
        <w:rPr>
          <w:rFonts w:cs="Times New Roman"/>
          <w:sz w:val="28"/>
          <w:szCs w:val="28"/>
        </w:rPr>
        <w:t>u</w:t>
      </w:r>
      <w:r w:rsidRPr="000237B3">
        <w:rPr>
          <w:rFonts w:cs="Times New Roman"/>
          <w:sz w:val="28"/>
          <w:szCs w:val="28"/>
        </w:rPr>
        <w:t xml:space="preserve"> par </w:t>
      </w:r>
      <w:r w:rsidRPr="000237B3">
        <w:rPr>
          <w:sz w:val="28"/>
          <w:szCs w:val="28"/>
        </w:rPr>
        <w:t xml:space="preserve">saņemto līdzekļu no </w:t>
      </w:r>
      <w:r w:rsidR="00D97F55">
        <w:rPr>
          <w:sz w:val="28"/>
          <w:szCs w:val="28"/>
        </w:rPr>
        <w:t xml:space="preserve">akciju </w:t>
      </w:r>
      <w:r w:rsidR="00D97F55" w:rsidRPr="00D97F55">
        <w:rPr>
          <w:sz w:val="28"/>
          <w:szCs w:val="28"/>
        </w:rPr>
        <w:t xml:space="preserve">sabiedrības </w:t>
      </w:r>
      <w:r w:rsidRPr="000237B3">
        <w:rPr>
          <w:sz w:val="28"/>
          <w:szCs w:val="28"/>
        </w:rPr>
        <w:t xml:space="preserve"> „Citadele banka” pārvaldīšanas vai akciju atsavināšanas ieskaitīšanu valsts budžetā.</w:t>
      </w:r>
    </w:p>
    <w:p w:rsidR="00D74D44" w:rsidRPr="000237B3" w:rsidRDefault="00D74D44" w:rsidP="00D97F55">
      <w:pPr>
        <w:numPr>
          <w:ilvl w:val="0"/>
          <w:numId w:val="2"/>
        </w:numPr>
        <w:jc w:val="both"/>
        <w:rPr>
          <w:color w:val="000000"/>
          <w:sz w:val="28"/>
          <w:szCs w:val="28"/>
        </w:rPr>
      </w:pPr>
      <w:r w:rsidRPr="000237B3">
        <w:rPr>
          <w:color w:val="000000"/>
          <w:sz w:val="28"/>
          <w:szCs w:val="28"/>
        </w:rPr>
        <w:t xml:space="preserve">Nav iekļauta </w:t>
      </w:r>
      <w:r w:rsidR="00D97F55">
        <w:rPr>
          <w:color w:val="000000"/>
          <w:sz w:val="28"/>
          <w:szCs w:val="28"/>
        </w:rPr>
        <w:t xml:space="preserve">akciju </w:t>
      </w:r>
      <w:r w:rsidR="00D97F55" w:rsidRPr="00D97F55">
        <w:rPr>
          <w:color w:val="000000"/>
          <w:sz w:val="28"/>
          <w:szCs w:val="28"/>
        </w:rPr>
        <w:t xml:space="preserve">sabiedrības </w:t>
      </w:r>
      <w:r w:rsidRPr="000237B3">
        <w:rPr>
          <w:color w:val="000000"/>
          <w:sz w:val="28"/>
          <w:szCs w:val="28"/>
        </w:rPr>
        <w:t xml:space="preserve">„Citadele banka” un </w:t>
      </w:r>
      <w:r w:rsidR="00D97F55">
        <w:rPr>
          <w:color w:val="000000"/>
          <w:sz w:val="28"/>
          <w:szCs w:val="28"/>
        </w:rPr>
        <w:t xml:space="preserve">akciju </w:t>
      </w:r>
      <w:r w:rsidR="00D97F55" w:rsidRPr="00D97F55">
        <w:rPr>
          <w:color w:val="000000"/>
          <w:sz w:val="28"/>
          <w:szCs w:val="28"/>
        </w:rPr>
        <w:t xml:space="preserve">sabiedrības </w:t>
      </w:r>
      <w:r w:rsidRPr="000237B3">
        <w:rPr>
          <w:color w:val="000000"/>
          <w:sz w:val="28"/>
          <w:szCs w:val="28"/>
        </w:rPr>
        <w:t xml:space="preserve"> „</w:t>
      </w:r>
      <w:proofErr w:type="spellStart"/>
      <w:r w:rsidRPr="000237B3">
        <w:rPr>
          <w:color w:val="000000"/>
          <w:sz w:val="28"/>
          <w:szCs w:val="28"/>
        </w:rPr>
        <w:t>Reverta</w:t>
      </w:r>
      <w:proofErr w:type="spellEnd"/>
      <w:r w:rsidRPr="000237B3">
        <w:rPr>
          <w:color w:val="000000"/>
          <w:sz w:val="28"/>
          <w:szCs w:val="28"/>
        </w:rPr>
        <w:t>” pārvaldības izdevumu atguve.</w:t>
      </w:r>
    </w:p>
    <w:p w:rsidR="00D74D44" w:rsidRPr="000237B3" w:rsidRDefault="00D74D44" w:rsidP="00D97F55">
      <w:pPr>
        <w:numPr>
          <w:ilvl w:val="0"/>
          <w:numId w:val="2"/>
        </w:numPr>
        <w:jc w:val="both"/>
        <w:rPr>
          <w:color w:val="000000"/>
          <w:sz w:val="28"/>
          <w:szCs w:val="28"/>
        </w:rPr>
      </w:pPr>
      <w:r w:rsidRPr="000237B3">
        <w:rPr>
          <w:color w:val="000000"/>
          <w:sz w:val="28"/>
          <w:szCs w:val="28"/>
        </w:rPr>
        <w:t xml:space="preserve">Nav atainoti procentu ienākumi no ieguldījuma </w:t>
      </w:r>
      <w:r w:rsidR="00D97F55">
        <w:rPr>
          <w:color w:val="000000"/>
          <w:sz w:val="28"/>
          <w:szCs w:val="28"/>
        </w:rPr>
        <w:t xml:space="preserve">akciju </w:t>
      </w:r>
      <w:r w:rsidR="00D97F55" w:rsidRPr="00D97F55">
        <w:rPr>
          <w:color w:val="000000"/>
          <w:sz w:val="28"/>
          <w:szCs w:val="28"/>
        </w:rPr>
        <w:t xml:space="preserve">sabiedrības </w:t>
      </w:r>
      <w:r w:rsidRPr="000237B3">
        <w:rPr>
          <w:color w:val="000000"/>
          <w:sz w:val="28"/>
          <w:szCs w:val="28"/>
        </w:rPr>
        <w:t xml:space="preserve">„Citadele banka” subordinētajā kapitālā un procentu  izdevumi Valsts kasei, jo procentu ieņēmumu un izdevumi ir vienādi un neietekmē Aģentūras tīro naudas plūsmu.  </w:t>
      </w:r>
    </w:p>
    <w:p w:rsidR="00085BCA" w:rsidRPr="000237B3" w:rsidRDefault="000428E3" w:rsidP="00A641D3">
      <w:pPr>
        <w:numPr>
          <w:ilvl w:val="0"/>
          <w:numId w:val="2"/>
        </w:numPr>
        <w:jc w:val="both"/>
        <w:rPr>
          <w:rFonts w:cs="Times New Roman"/>
          <w:sz w:val="28"/>
          <w:szCs w:val="28"/>
        </w:rPr>
      </w:pPr>
      <w:r w:rsidRPr="000237B3">
        <w:rPr>
          <w:color w:val="000000"/>
          <w:sz w:val="28"/>
          <w:szCs w:val="28"/>
        </w:rPr>
        <w:t xml:space="preserve">Izdevumus, kas radīsies Aģentūrai, īstenojot valsts līdzdalību </w:t>
      </w:r>
      <w:r w:rsidRPr="000237B3">
        <w:rPr>
          <w:sz w:val="28"/>
          <w:szCs w:val="28"/>
        </w:rPr>
        <w:t>ogļūdeņražu ieguvē</w:t>
      </w:r>
      <w:r w:rsidRPr="000237B3">
        <w:rPr>
          <w:color w:val="000000"/>
          <w:sz w:val="28"/>
          <w:szCs w:val="28"/>
        </w:rPr>
        <w:t xml:space="preserve"> saskaņā ar </w:t>
      </w:r>
      <w:r w:rsidRPr="000237B3">
        <w:rPr>
          <w:sz w:val="28"/>
          <w:szCs w:val="28"/>
        </w:rPr>
        <w:t>Ministru kabineta noteikumu projektā „Noteikumi par ogļūdeņražu meklēšanu, izpēti un ieguvi” (TA-857) noteikto</w:t>
      </w:r>
      <w:r w:rsidR="00287A26" w:rsidRPr="000237B3">
        <w:rPr>
          <w:sz w:val="28"/>
          <w:szCs w:val="28"/>
        </w:rPr>
        <w:t xml:space="preserve"> (</w:t>
      </w:r>
      <w:r w:rsidR="00A641D3" w:rsidRPr="000237B3">
        <w:rPr>
          <w:sz w:val="28"/>
          <w:szCs w:val="28"/>
        </w:rPr>
        <w:t>izsludināts valsts sekretāru sanāksmē 2011.gada 1.septembrī (Prot. Nr.34 2.§) un izskatīts Ministru kabineta komitejas 2012.gada 28.maija sēdē (Prot. Nr.20 1.§)</w:t>
      </w:r>
      <w:r w:rsidR="00287A26" w:rsidRPr="000237B3">
        <w:rPr>
          <w:sz w:val="28"/>
          <w:szCs w:val="28"/>
        </w:rPr>
        <w:t>)</w:t>
      </w:r>
      <w:r w:rsidRPr="000237B3">
        <w:rPr>
          <w:sz w:val="28"/>
          <w:szCs w:val="28"/>
        </w:rPr>
        <w:t>.</w:t>
      </w:r>
    </w:p>
    <w:p w:rsidR="00763462" w:rsidRDefault="00763462">
      <w:pPr>
        <w:rPr>
          <w:rFonts w:eastAsiaTheme="majorEastAsia" w:cstheme="majorBidi"/>
          <w:b/>
          <w:bCs/>
          <w:sz w:val="28"/>
          <w:szCs w:val="28"/>
        </w:rPr>
      </w:pPr>
    </w:p>
    <w:p w:rsidR="00D97F55" w:rsidRDefault="00D97F55">
      <w:pPr>
        <w:rPr>
          <w:rFonts w:eastAsiaTheme="majorEastAsia" w:cstheme="majorBidi"/>
          <w:b/>
          <w:bCs/>
          <w:sz w:val="28"/>
          <w:szCs w:val="28"/>
        </w:rPr>
      </w:pPr>
    </w:p>
    <w:p w:rsidR="00D97F55" w:rsidRDefault="00D97F55">
      <w:pPr>
        <w:rPr>
          <w:rFonts w:eastAsiaTheme="majorEastAsia" w:cstheme="majorBidi"/>
          <w:b/>
          <w:bCs/>
          <w:sz w:val="28"/>
          <w:szCs w:val="28"/>
        </w:rPr>
      </w:pPr>
    </w:p>
    <w:p w:rsidR="00D97F55" w:rsidRPr="000237B3" w:rsidRDefault="00D97F55">
      <w:pPr>
        <w:rPr>
          <w:rFonts w:eastAsiaTheme="majorEastAsia" w:cstheme="majorBidi"/>
          <w:b/>
          <w:bCs/>
          <w:sz w:val="28"/>
          <w:szCs w:val="28"/>
        </w:rPr>
      </w:pPr>
    </w:p>
    <w:p w:rsidR="001F44A9" w:rsidRPr="000237B3" w:rsidRDefault="00AA454A" w:rsidP="001F44A9">
      <w:pPr>
        <w:pStyle w:val="Heading1"/>
      </w:pPr>
      <w:bookmarkStart w:id="0" w:name="_Toc354069790"/>
      <w:r w:rsidRPr="000237B3">
        <w:t xml:space="preserve">I </w:t>
      </w:r>
      <w:r w:rsidR="005425C9" w:rsidRPr="000237B3">
        <w:t>AĢENTŪRAS</w:t>
      </w:r>
      <w:r w:rsidR="00D175E9" w:rsidRPr="000237B3">
        <w:t xml:space="preserve"> </w:t>
      </w:r>
      <w:r w:rsidR="00CC3F5A" w:rsidRPr="000237B3">
        <w:t>TURPMĀKĀS DARBĪBAS MĒRĶIS</w:t>
      </w:r>
      <w:bookmarkEnd w:id="0"/>
      <w:r w:rsidR="00CC3F5A" w:rsidRPr="000237B3">
        <w:t xml:space="preserve">  </w:t>
      </w:r>
    </w:p>
    <w:p w:rsidR="001F44A9" w:rsidRPr="000237B3" w:rsidRDefault="001F44A9" w:rsidP="001F44A9">
      <w:pPr>
        <w:ind w:firstLine="720"/>
        <w:jc w:val="both"/>
        <w:rPr>
          <w:rFonts w:cs="Times New Roman"/>
          <w:b/>
          <w:sz w:val="28"/>
          <w:szCs w:val="28"/>
          <w:highlight w:val="yellow"/>
        </w:rPr>
      </w:pPr>
    </w:p>
    <w:p w:rsidR="00D1088A" w:rsidRPr="000237B3" w:rsidRDefault="00D1088A" w:rsidP="00D1088A">
      <w:pPr>
        <w:pStyle w:val="BodyText2"/>
        <w:ind w:firstLine="720"/>
        <w:jc w:val="both"/>
        <w:rPr>
          <w:rFonts w:eastAsiaTheme="minorEastAsia"/>
          <w:sz w:val="28"/>
          <w:szCs w:val="28"/>
          <w:lang w:eastAsia="zh-CN"/>
        </w:rPr>
      </w:pPr>
      <w:r w:rsidRPr="000237B3">
        <w:rPr>
          <w:rFonts w:eastAsiaTheme="minorEastAsia"/>
          <w:sz w:val="28"/>
          <w:szCs w:val="28"/>
          <w:lang w:eastAsia="zh-CN"/>
        </w:rPr>
        <w:t xml:space="preserve">Aģentūras īpašnieks ir Latvijas Republika un </w:t>
      </w:r>
      <w:r w:rsidR="00374C51">
        <w:rPr>
          <w:rFonts w:eastAsiaTheme="minorEastAsia"/>
          <w:sz w:val="28"/>
          <w:szCs w:val="28"/>
          <w:lang w:eastAsia="zh-CN"/>
        </w:rPr>
        <w:t xml:space="preserve">tās </w:t>
      </w:r>
      <w:r w:rsidRPr="000237B3">
        <w:rPr>
          <w:rFonts w:eastAsiaTheme="minorEastAsia"/>
          <w:sz w:val="28"/>
          <w:szCs w:val="28"/>
          <w:lang w:eastAsia="zh-CN"/>
        </w:rPr>
        <w:t>100% akciju turētājs ir Ekonomikas ministrija,</w:t>
      </w:r>
      <w:r w:rsidR="00374C51">
        <w:rPr>
          <w:rFonts w:eastAsiaTheme="minorEastAsia"/>
          <w:sz w:val="28"/>
          <w:szCs w:val="28"/>
          <w:lang w:eastAsia="zh-CN"/>
        </w:rPr>
        <w:t xml:space="preserve"> bet</w:t>
      </w:r>
      <w:r w:rsidRPr="000237B3">
        <w:rPr>
          <w:rFonts w:eastAsiaTheme="minorEastAsia"/>
          <w:sz w:val="28"/>
          <w:szCs w:val="28"/>
          <w:lang w:eastAsia="zh-CN"/>
        </w:rPr>
        <w:t xml:space="preserve"> </w:t>
      </w:r>
      <w:r w:rsidR="00374C51">
        <w:rPr>
          <w:rFonts w:eastAsiaTheme="minorEastAsia"/>
          <w:sz w:val="28"/>
          <w:szCs w:val="28"/>
          <w:lang w:eastAsia="zh-CN"/>
        </w:rPr>
        <w:t xml:space="preserve">valsts </w:t>
      </w:r>
      <w:r w:rsidRPr="000237B3">
        <w:rPr>
          <w:rFonts w:eastAsiaTheme="minorEastAsia"/>
          <w:sz w:val="28"/>
          <w:szCs w:val="28"/>
          <w:lang w:eastAsia="zh-CN"/>
        </w:rPr>
        <w:t xml:space="preserve">akciju turētāja pārstāvis ir ekonomikas ministrs. </w:t>
      </w:r>
      <w:r w:rsidRPr="000237B3">
        <w:rPr>
          <w:rFonts w:eastAsiaTheme="minorEastAsia"/>
          <w:b/>
          <w:sz w:val="28"/>
          <w:szCs w:val="28"/>
          <w:lang w:eastAsia="zh-CN"/>
        </w:rPr>
        <w:t>Aģentūrai uz 201</w:t>
      </w:r>
      <w:r>
        <w:rPr>
          <w:rFonts w:eastAsiaTheme="minorEastAsia"/>
          <w:b/>
          <w:sz w:val="28"/>
          <w:szCs w:val="28"/>
          <w:lang w:eastAsia="zh-CN"/>
        </w:rPr>
        <w:t>3</w:t>
      </w:r>
      <w:r w:rsidRPr="000237B3">
        <w:rPr>
          <w:rFonts w:eastAsiaTheme="minorEastAsia"/>
          <w:b/>
          <w:sz w:val="28"/>
          <w:szCs w:val="28"/>
          <w:lang w:eastAsia="zh-CN"/>
        </w:rPr>
        <w:t xml:space="preserve">.gada </w:t>
      </w:r>
      <w:r w:rsidR="00A51225">
        <w:rPr>
          <w:rFonts w:eastAsiaTheme="minorEastAsia"/>
          <w:b/>
          <w:sz w:val="28"/>
          <w:szCs w:val="28"/>
          <w:lang w:eastAsia="zh-CN"/>
        </w:rPr>
        <w:t>1.jūliju</w:t>
      </w:r>
      <w:r>
        <w:rPr>
          <w:rFonts w:eastAsiaTheme="minorEastAsia"/>
          <w:b/>
          <w:sz w:val="28"/>
          <w:szCs w:val="28"/>
          <w:lang w:eastAsia="zh-CN"/>
        </w:rPr>
        <w:t xml:space="preserve"> </w:t>
      </w:r>
      <w:r w:rsidRPr="000237B3">
        <w:rPr>
          <w:rFonts w:eastAsiaTheme="minorEastAsia"/>
          <w:b/>
          <w:sz w:val="28"/>
          <w:szCs w:val="28"/>
          <w:lang w:eastAsia="zh-CN"/>
        </w:rPr>
        <w:t>pieder</w:t>
      </w:r>
      <w:r w:rsidRPr="000237B3">
        <w:rPr>
          <w:rFonts w:eastAsiaTheme="minorEastAsia"/>
          <w:sz w:val="28"/>
          <w:szCs w:val="28"/>
          <w:lang w:eastAsia="zh-CN"/>
        </w:rPr>
        <w:t>:</w:t>
      </w:r>
    </w:p>
    <w:p w:rsidR="00D1088A" w:rsidRPr="000237B3" w:rsidRDefault="00D1088A" w:rsidP="00D1088A">
      <w:pPr>
        <w:numPr>
          <w:ilvl w:val="0"/>
          <w:numId w:val="2"/>
        </w:numPr>
        <w:ind w:hanging="357"/>
        <w:jc w:val="both"/>
        <w:rPr>
          <w:rFonts w:cs="Times New Roman"/>
          <w:sz w:val="28"/>
          <w:szCs w:val="28"/>
        </w:rPr>
      </w:pPr>
      <w:r w:rsidRPr="000237B3">
        <w:rPr>
          <w:rFonts w:cs="Times New Roman"/>
          <w:sz w:val="28"/>
          <w:szCs w:val="28"/>
        </w:rPr>
        <w:t xml:space="preserve">84,15% </w:t>
      </w:r>
      <w:r w:rsidR="0088175B">
        <w:rPr>
          <w:rFonts w:cs="Times New Roman"/>
          <w:sz w:val="28"/>
          <w:szCs w:val="28"/>
        </w:rPr>
        <w:t>akciju sabiedrības</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(bijusī </w:t>
      </w:r>
      <w:r w:rsidR="0088175B">
        <w:rPr>
          <w:rFonts w:cs="Times New Roman"/>
          <w:sz w:val="28"/>
          <w:szCs w:val="28"/>
        </w:rPr>
        <w:t>akciju sabiedrība</w:t>
      </w:r>
      <w:r w:rsidRPr="000237B3">
        <w:rPr>
          <w:rFonts w:cs="Times New Roman"/>
          <w:sz w:val="28"/>
          <w:szCs w:val="28"/>
        </w:rPr>
        <w:t xml:space="preserve"> „Parex banka”) akciju;</w:t>
      </w:r>
    </w:p>
    <w:p w:rsidR="00D1088A" w:rsidRDefault="00D1088A" w:rsidP="0088175B">
      <w:pPr>
        <w:numPr>
          <w:ilvl w:val="0"/>
          <w:numId w:val="2"/>
        </w:numPr>
        <w:jc w:val="both"/>
        <w:rPr>
          <w:rFonts w:cs="Times New Roman"/>
          <w:sz w:val="28"/>
          <w:szCs w:val="28"/>
        </w:rPr>
      </w:pPr>
      <w:r w:rsidRPr="000237B3">
        <w:rPr>
          <w:rFonts w:cs="Times New Roman"/>
          <w:sz w:val="28"/>
          <w:szCs w:val="28"/>
        </w:rPr>
        <w:t xml:space="preserve">75% mīnus viena </w:t>
      </w:r>
      <w:r w:rsidR="0088175B" w:rsidRPr="0088175B">
        <w:rPr>
          <w:rFonts w:cs="Times New Roman"/>
          <w:sz w:val="28"/>
          <w:szCs w:val="28"/>
        </w:rPr>
        <w:t>akciju sabiedrības</w:t>
      </w:r>
      <w:r w:rsidRPr="000237B3">
        <w:rPr>
          <w:rFonts w:cs="Times New Roman"/>
          <w:sz w:val="28"/>
          <w:szCs w:val="28"/>
        </w:rPr>
        <w:t xml:space="preserve"> „Citadele banka” akcija;</w:t>
      </w:r>
    </w:p>
    <w:p w:rsidR="00A51225" w:rsidRPr="000237B3" w:rsidRDefault="00A51225" w:rsidP="00A51225">
      <w:pPr>
        <w:numPr>
          <w:ilvl w:val="0"/>
          <w:numId w:val="2"/>
        </w:numPr>
        <w:jc w:val="both"/>
        <w:rPr>
          <w:rFonts w:cs="Times New Roman"/>
          <w:sz w:val="28"/>
          <w:szCs w:val="28"/>
        </w:rPr>
      </w:pPr>
      <w:r>
        <w:rPr>
          <w:rFonts w:cs="Times New Roman"/>
          <w:sz w:val="28"/>
          <w:szCs w:val="28"/>
        </w:rPr>
        <w:t xml:space="preserve">100% </w:t>
      </w:r>
      <w:proofErr w:type="spellStart"/>
      <w:r w:rsidRPr="00A51225">
        <w:rPr>
          <w:rFonts w:cs="Times New Roman"/>
          <w:sz w:val="28"/>
          <w:szCs w:val="28"/>
        </w:rPr>
        <w:t>HipoNIA</w:t>
      </w:r>
      <w:proofErr w:type="spellEnd"/>
      <w:r>
        <w:rPr>
          <w:rFonts w:cs="Times New Roman"/>
          <w:sz w:val="28"/>
          <w:szCs w:val="28"/>
        </w:rPr>
        <w:t xml:space="preserve"> kapitāla daļu.</w:t>
      </w:r>
    </w:p>
    <w:p w:rsidR="00D1088A" w:rsidRPr="00AB3D02" w:rsidRDefault="00D1088A" w:rsidP="00D1088A">
      <w:pPr>
        <w:ind w:firstLine="720"/>
        <w:jc w:val="both"/>
        <w:rPr>
          <w:rFonts w:cs="Times New Roman"/>
          <w:sz w:val="28"/>
          <w:szCs w:val="28"/>
        </w:rPr>
      </w:pPr>
      <w:r>
        <w:rPr>
          <w:rFonts w:cs="Times New Roman"/>
          <w:sz w:val="28"/>
          <w:szCs w:val="28"/>
        </w:rPr>
        <w:t xml:space="preserve">Uz 2012.gada 31.decembri Aģentūrai bija līdzdalība </w:t>
      </w:r>
      <w:r w:rsidR="00374C51">
        <w:rPr>
          <w:rFonts w:cs="Times New Roman"/>
          <w:sz w:val="28"/>
          <w:szCs w:val="28"/>
        </w:rPr>
        <w:t>sabiedrībā ar ierobežotu atbildību</w:t>
      </w:r>
      <w:r w:rsidRPr="00AB3D02">
        <w:rPr>
          <w:rFonts w:cs="Times New Roman"/>
          <w:sz w:val="28"/>
          <w:szCs w:val="28"/>
        </w:rPr>
        <w:t xml:space="preserve"> „Latvijas Starptautiskā šķīrējtiesa”</w:t>
      </w:r>
      <w:r w:rsidR="00374C51">
        <w:rPr>
          <w:rFonts w:cs="Times New Roman"/>
          <w:sz w:val="28"/>
          <w:szCs w:val="28"/>
        </w:rPr>
        <w:t>, kas 2013.gadā tika</w:t>
      </w:r>
      <w:r w:rsidRPr="00AB3D02">
        <w:rPr>
          <w:rFonts w:cs="Times New Roman"/>
          <w:sz w:val="28"/>
          <w:szCs w:val="28"/>
        </w:rPr>
        <w:t xml:space="preserve"> likvidēta un </w:t>
      </w:r>
      <w:r w:rsidR="00374C51">
        <w:rPr>
          <w:rFonts w:cs="Times New Roman"/>
          <w:sz w:val="28"/>
          <w:szCs w:val="28"/>
        </w:rPr>
        <w:t xml:space="preserve">attiecīgi </w:t>
      </w:r>
      <w:r w:rsidRPr="00AB3D02">
        <w:rPr>
          <w:rFonts w:cs="Times New Roman"/>
          <w:sz w:val="28"/>
          <w:szCs w:val="28"/>
        </w:rPr>
        <w:t>izslēgta no Latvijas Republikas Uzņēmumu reģistra komercreģistra 2013.gada 18.martā.</w:t>
      </w:r>
    </w:p>
    <w:p w:rsidR="00D1088A" w:rsidRDefault="00D1088A" w:rsidP="007C2500">
      <w:pPr>
        <w:ind w:firstLine="720"/>
        <w:jc w:val="both"/>
        <w:rPr>
          <w:rFonts w:cs="Times New Roman"/>
          <w:sz w:val="28"/>
          <w:szCs w:val="28"/>
        </w:rPr>
      </w:pPr>
    </w:p>
    <w:p w:rsidR="002F6E18" w:rsidRPr="000237B3" w:rsidRDefault="002F6E18" w:rsidP="007C2500">
      <w:pPr>
        <w:ind w:firstLine="720"/>
        <w:jc w:val="both"/>
        <w:rPr>
          <w:rFonts w:cs="Times New Roman"/>
          <w:sz w:val="28"/>
          <w:szCs w:val="28"/>
        </w:rPr>
      </w:pPr>
      <w:r w:rsidRPr="000237B3">
        <w:rPr>
          <w:rFonts w:cs="Times New Roman"/>
          <w:sz w:val="28"/>
          <w:szCs w:val="28"/>
        </w:rPr>
        <w:t xml:space="preserve">Atbilstoši likuma „Par valsts un pašvaldību īpašuma objektu privatizāciju” 5.panta pirmo daļu Aģentūru dibināja, lai ar </w:t>
      </w:r>
      <w:r w:rsidR="00167712" w:rsidRPr="000237B3">
        <w:rPr>
          <w:rFonts w:cs="Times New Roman"/>
          <w:sz w:val="28"/>
          <w:szCs w:val="28"/>
        </w:rPr>
        <w:t>š</w:t>
      </w:r>
      <w:r w:rsidR="00167712">
        <w:rPr>
          <w:rFonts w:cs="Times New Roman"/>
          <w:sz w:val="28"/>
          <w:szCs w:val="28"/>
        </w:rPr>
        <w:t>o</w:t>
      </w:r>
      <w:r w:rsidR="00167712" w:rsidRPr="000237B3">
        <w:rPr>
          <w:rFonts w:cs="Times New Roman"/>
          <w:sz w:val="28"/>
          <w:szCs w:val="28"/>
        </w:rPr>
        <w:t xml:space="preserve"> instrument</w:t>
      </w:r>
      <w:r w:rsidR="00167712">
        <w:rPr>
          <w:rFonts w:cs="Times New Roman"/>
          <w:sz w:val="28"/>
          <w:szCs w:val="28"/>
        </w:rPr>
        <w:t>u</w:t>
      </w:r>
      <w:r w:rsidR="00167712" w:rsidRPr="000237B3">
        <w:rPr>
          <w:rFonts w:cs="Times New Roman"/>
          <w:sz w:val="28"/>
          <w:szCs w:val="28"/>
        </w:rPr>
        <w:t xml:space="preserve"> </w:t>
      </w:r>
      <w:r w:rsidRPr="000237B3">
        <w:rPr>
          <w:rFonts w:cs="Times New Roman"/>
          <w:sz w:val="28"/>
          <w:szCs w:val="28"/>
        </w:rPr>
        <w:t>organizētu valsts īpašumu objektu un zemesgabalu privatizāciju. Tādejādi Aģentūra veic komercdarbību, kas pamatā saistīta ar pakalpojuma sniegšanu valstij (izpilda tai deleģētos uzdevumus) – nodrošina valsts īpašuma objektu un zemesgabalu privatizāciju (likuma „Par valsts un pašvaldību īpašuma objektu privatizāciju” 8.panta pirmā daļa). Laika gaitā Aģentūra valstij papildus sāka sniegt atsevišķus pakalpojumus (izpildīja tai deleģētos uzdevumus), piemēram, saskaņā ar Ministru kabineta 2003.gada 5.februāra noteikumu Nr.71 „Privatizācijas sertifikātu piešķiršanas un privatizācijas sertifikātu kontu atvēršanas noteikumi” 5.punktu uzraudzīja un nodrošināja privatizācijas sertifikātu emitēšanu un izmantošanu. Aģentūras, kā privāto tiesību subjekta darbībām, kas veiktas, izpildot tai ar ārējo normatīvo aktu deleģētos valsts pārvaldes uzdevumus, ir publisko tiesību raksturs.</w:t>
      </w:r>
    </w:p>
    <w:p w:rsidR="007C2500" w:rsidRPr="000237B3" w:rsidRDefault="007C2500" w:rsidP="007C2500">
      <w:pPr>
        <w:ind w:firstLine="720"/>
        <w:jc w:val="both"/>
        <w:rPr>
          <w:rFonts w:ascii="Verdana" w:hAnsi="Verdana"/>
          <w:sz w:val="28"/>
          <w:szCs w:val="28"/>
        </w:rPr>
      </w:pPr>
      <w:r w:rsidRPr="000237B3">
        <w:rPr>
          <w:rFonts w:cs="Times New Roman"/>
          <w:sz w:val="28"/>
          <w:szCs w:val="28"/>
        </w:rPr>
        <w:t xml:space="preserve">Latvijā īstenotās masveida privatizācijas mērķis – mainot valsts vai pašvaldības īpašuma īpašnieku, radīt labvēlīgu vidi privātā kapitāla darbībai Latvijas tautsaimniecības interesēs un sašaurināt darbību, ko valsts un pašvaldības veic kā komersanti, - pamatā ir sasniegts. Šobrīd </w:t>
      </w:r>
      <w:r w:rsidR="00FA789B" w:rsidRPr="000237B3">
        <w:rPr>
          <w:rFonts w:cs="Times New Roman"/>
          <w:sz w:val="28"/>
          <w:szCs w:val="28"/>
        </w:rPr>
        <w:t>būtiski</w:t>
      </w:r>
      <w:r w:rsidRPr="000237B3">
        <w:rPr>
          <w:rFonts w:cs="Times New Roman"/>
          <w:sz w:val="28"/>
          <w:szCs w:val="28"/>
        </w:rPr>
        <w:t xml:space="preserve"> ir nodrošināt privatizācijas procesa pabeigšanu.</w:t>
      </w:r>
      <w:r w:rsidRPr="000237B3">
        <w:rPr>
          <w:rFonts w:ascii="Verdana" w:hAnsi="Verdana"/>
          <w:sz w:val="28"/>
          <w:szCs w:val="28"/>
        </w:rPr>
        <w:t xml:space="preserve"> </w:t>
      </w:r>
    </w:p>
    <w:p w:rsidR="00A641D3" w:rsidRPr="000237B3" w:rsidRDefault="00A641D3" w:rsidP="007C2500">
      <w:pPr>
        <w:ind w:firstLine="720"/>
        <w:jc w:val="both"/>
        <w:rPr>
          <w:rFonts w:cs="Times New Roman"/>
          <w:sz w:val="28"/>
          <w:szCs w:val="28"/>
        </w:rPr>
      </w:pPr>
    </w:p>
    <w:p w:rsidR="001F44A9" w:rsidRPr="000237B3" w:rsidRDefault="0064717F" w:rsidP="001F44A9">
      <w:pPr>
        <w:ind w:firstLine="720"/>
        <w:jc w:val="both"/>
        <w:rPr>
          <w:rFonts w:cs="Times New Roman"/>
          <w:sz w:val="28"/>
          <w:szCs w:val="28"/>
        </w:rPr>
      </w:pPr>
      <w:r w:rsidRPr="000237B3">
        <w:rPr>
          <w:rFonts w:cs="Times New Roman"/>
          <w:b/>
          <w:sz w:val="28"/>
          <w:szCs w:val="28"/>
        </w:rPr>
        <w:t xml:space="preserve">Attiecīgi </w:t>
      </w:r>
      <w:r w:rsidR="0033271A" w:rsidRPr="000237B3">
        <w:rPr>
          <w:rFonts w:cs="Times New Roman"/>
          <w:b/>
          <w:sz w:val="28"/>
          <w:szCs w:val="28"/>
        </w:rPr>
        <w:t>Aģentūras</w:t>
      </w:r>
      <w:r w:rsidR="001F44A9" w:rsidRPr="000237B3">
        <w:rPr>
          <w:rFonts w:cs="Times New Roman"/>
          <w:b/>
          <w:sz w:val="28"/>
          <w:szCs w:val="28"/>
        </w:rPr>
        <w:t xml:space="preserve"> </w:t>
      </w:r>
      <w:r w:rsidRPr="000237B3">
        <w:rPr>
          <w:rFonts w:cs="Times New Roman"/>
          <w:b/>
          <w:sz w:val="28"/>
          <w:szCs w:val="28"/>
        </w:rPr>
        <w:t xml:space="preserve">pašreizējais </w:t>
      </w:r>
      <w:r w:rsidR="001F44A9" w:rsidRPr="000237B3">
        <w:rPr>
          <w:rFonts w:cs="Times New Roman"/>
          <w:b/>
          <w:sz w:val="28"/>
          <w:szCs w:val="28"/>
        </w:rPr>
        <w:t>mērķis ir</w:t>
      </w:r>
      <w:r w:rsidR="001F44A9" w:rsidRPr="000237B3">
        <w:rPr>
          <w:rFonts w:cs="Times New Roman"/>
          <w:sz w:val="28"/>
          <w:szCs w:val="28"/>
        </w:rPr>
        <w:t xml:space="preserve"> </w:t>
      </w:r>
      <w:r w:rsidR="001F44A9" w:rsidRPr="000237B3">
        <w:rPr>
          <w:rFonts w:cs="Times New Roman"/>
          <w:b/>
          <w:sz w:val="28"/>
          <w:szCs w:val="28"/>
        </w:rPr>
        <w:t xml:space="preserve">pabeigt </w:t>
      </w:r>
      <w:r w:rsidR="004C0881" w:rsidRPr="000237B3">
        <w:rPr>
          <w:rFonts w:cs="Times New Roman"/>
          <w:b/>
          <w:sz w:val="28"/>
          <w:szCs w:val="28"/>
        </w:rPr>
        <w:t xml:space="preserve">tās </w:t>
      </w:r>
      <w:r w:rsidR="00506026" w:rsidRPr="000237B3">
        <w:rPr>
          <w:rFonts w:cs="Times New Roman"/>
          <w:b/>
          <w:sz w:val="28"/>
          <w:szCs w:val="28"/>
        </w:rPr>
        <w:t xml:space="preserve">organizēto </w:t>
      </w:r>
      <w:r w:rsidR="001F44A9" w:rsidRPr="000237B3">
        <w:rPr>
          <w:rFonts w:cs="Times New Roman"/>
          <w:b/>
          <w:sz w:val="28"/>
          <w:szCs w:val="28"/>
        </w:rPr>
        <w:t>privatizācijas procesu</w:t>
      </w:r>
      <w:r w:rsidR="000D1695" w:rsidRPr="000237B3">
        <w:rPr>
          <w:rFonts w:cs="Times New Roman"/>
          <w:b/>
          <w:sz w:val="28"/>
          <w:szCs w:val="28"/>
        </w:rPr>
        <w:t xml:space="preserve"> līdz 201</w:t>
      </w:r>
      <w:r w:rsidR="00567529" w:rsidRPr="000237B3">
        <w:rPr>
          <w:rFonts w:cs="Times New Roman"/>
          <w:b/>
          <w:sz w:val="28"/>
          <w:szCs w:val="28"/>
        </w:rPr>
        <w:t>4</w:t>
      </w:r>
      <w:r w:rsidR="000D1695" w:rsidRPr="000237B3">
        <w:rPr>
          <w:rFonts w:cs="Times New Roman"/>
          <w:b/>
          <w:sz w:val="28"/>
          <w:szCs w:val="28"/>
        </w:rPr>
        <w:t>.gada</w:t>
      </w:r>
      <w:r w:rsidR="00567529" w:rsidRPr="000237B3">
        <w:rPr>
          <w:rFonts w:cs="Times New Roman"/>
          <w:b/>
          <w:sz w:val="28"/>
          <w:szCs w:val="28"/>
        </w:rPr>
        <w:t xml:space="preserve"> beigām</w:t>
      </w:r>
      <w:r w:rsidR="001F44A9" w:rsidRPr="000237B3">
        <w:rPr>
          <w:rFonts w:cs="Times New Roman"/>
          <w:b/>
          <w:sz w:val="28"/>
          <w:szCs w:val="28"/>
        </w:rPr>
        <w:t xml:space="preserve">, profesionāli un efektīvi veicot </w:t>
      </w:r>
      <w:r w:rsidR="0033271A" w:rsidRPr="000237B3">
        <w:rPr>
          <w:rFonts w:cs="Times New Roman"/>
          <w:b/>
          <w:sz w:val="28"/>
          <w:szCs w:val="28"/>
        </w:rPr>
        <w:t>Aģentūras</w:t>
      </w:r>
      <w:r w:rsidR="001F44A9" w:rsidRPr="000237B3">
        <w:rPr>
          <w:rFonts w:cs="Times New Roman"/>
          <w:b/>
          <w:sz w:val="28"/>
          <w:szCs w:val="28"/>
        </w:rPr>
        <w:t xml:space="preserve"> portfeļa izstrādi ar sabalansētu resursu izmantošanu</w:t>
      </w:r>
      <w:r w:rsidR="00FA789B" w:rsidRPr="000237B3">
        <w:rPr>
          <w:rFonts w:cs="Times New Roman"/>
          <w:b/>
          <w:sz w:val="28"/>
          <w:szCs w:val="28"/>
        </w:rPr>
        <w:t xml:space="preserve">, kā arī </w:t>
      </w:r>
      <w:r w:rsidR="00316A93" w:rsidRPr="000237B3">
        <w:rPr>
          <w:rFonts w:cs="Times New Roman"/>
          <w:b/>
          <w:sz w:val="28"/>
          <w:szCs w:val="28"/>
        </w:rPr>
        <w:t xml:space="preserve">izstrādāt </w:t>
      </w:r>
      <w:r w:rsidR="007425A4" w:rsidRPr="000237B3">
        <w:rPr>
          <w:rFonts w:cs="Times New Roman"/>
          <w:b/>
          <w:sz w:val="28"/>
          <w:szCs w:val="28"/>
        </w:rPr>
        <w:t xml:space="preserve">priekšlikumus </w:t>
      </w:r>
      <w:r w:rsidR="00316A93" w:rsidRPr="000237B3">
        <w:rPr>
          <w:rFonts w:cs="Times New Roman"/>
          <w:b/>
          <w:sz w:val="28"/>
          <w:szCs w:val="28"/>
        </w:rPr>
        <w:t>normatīv</w:t>
      </w:r>
      <w:r w:rsidR="007425A4" w:rsidRPr="000237B3">
        <w:rPr>
          <w:rFonts w:cs="Times New Roman"/>
          <w:b/>
          <w:sz w:val="28"/>
          <w:szCs w:val="28"/>
        </w:rPr>
        <w:t>ajai</w:t>
      </w:r>
      <w:r w:rsidR="00316A93" w:rsidRPr="000237B3">
        <w:rPr>
          <w:rFonts w:cs="Times New Roman"/>
          <w:b/>
          <w:sz w:val="28"/>
          <w:szCs w:val="28"/>
        </w:rPr>
        <w:t xml:space="preserve"> bāz</w:t>
      </w:r>
      <w:r w:rsidR="007425A4" w:rsidRPr="000237B3">
        <w:rPr>
          <w:rFonts w:cs="Times New Roman"/>
          <w:b/>
          <w:sz w:val="28"/>
          <w:szCs w:val="28"/>
        </w:rPr>
        <w:t>ei</w:t>
      </w:r>
      <w:r w:rsidR="00316A93" w:rsidRPr="000237B3">
        <w:rPr>
          <w:rFonts w:cs="Times New Roman"/>
          <w:b/>
          <w:sz w:val="28"/>
          <w:szCs w:val="28"/>
        </w:rPr>
        <w:t>, nodrošinot</w:t>
      </w:r>
      <w:r w:rsidR="00FA789B" w:rsidRPr="000237B3">
        <w:rPr>
          <w:rFonts w:cs="Times New Roman"/>
          <w:b/>
          <w:sz w:val="28"/>
          <w:szCs w:val="28"/>
        </w:rPr>
        <w:t xml:space="preserve"> īstenojamo funkciju pēctecību </w:t>
      </w:r>
      <w:r w:rsidR="0033271A" w:rsidRPr="000237B3">
        <w:rPr>
          <w:rFonts w:cs="Times New Roman"/>
          <w:b/>
          <w:sz w:val="28"/>
          <w:szCs w:val="28"/>
        </w:rPr>
        <w:t>Aģentūras</w:t>
      </w:r>
      <w:r w:rsidR="00FA789B" w:rsidRPr="000237B3">
        <w:rPr>
          <w:rFonts w:cs="Times New Roman"/>
          <w:b/>
          <w:sz w:val="28"/>
          <w:szCs w:val="28"/>
        </w:rPr>
        <w:t xml:space="preserve"> darbības izbeigšanas</w:t>
      </w:r>
      <w:r w:rsidR="005237B5" w:rsidRPr="000237B3">
        <w:rPr>
          <w:rFonts w:cs="Times New Roman"/>
          <w:b/>
          <w:sz w:val="28"/>
          <w:szCs w:val="28"/>
        </w:rPr>
        <w:t xml:space="preserve"> procesā</w:t>
      </w:r>
      <w:r w:rsidR="00FA789B" w:rsidRPr="000237B3">
        <w:rPr>
          <w:rFonts w:cs="Times New Roman"/>
          <w:b/>
          <w:sz w:val="28"/>
          <w:szCs w:val="28"/>
        </w:rPr>
        <w:t>.</w:t>
      </w:r>
      <w:r w:rsidR="00FA789B" w:rsidRPr="000237B3">
        <w:rPr>
          <w:rFonts w:cs="Times New Roman"/>
          <w:sz w:val="28"/>
          <w:szCs w:val="28"/>
        </w:rPr>
        <w:t xml:space="preserve"> </w:t>
      </w:r>
    </w:p>
    <w:p w:rsidR="00FA789B" w:rsidRPr="00426EEF" w:rsidRDefault="00FA789B" w:rsidP="001F44A9">
      <w:pPr>
        <w:ind w:firstLine="720"/>
        <w:jc w:val="both"/>
        <w:rPr>
          <w:rFonts w:cs="Times New Roman"/>
          <w:b/>
        </w:rPr>
      </w:pPr>
    </w:p>
    <w:p w:rsidR="001F44A9" w:rsidRPr="000237B3" w:rsidRDefault="0033271A" w:rsidP="001F44A9">
      <w:pPr>
        <w:ind w:firstLine="720"/>
        <w:jc w:val="both"/>
        <w:rPr>
          <w:rFonts w:cs="Times New Roman"/>
          <w:sz w:val="28"/>
          <w:szCs w:val="28"/>
        </w:rPr>
      </w:pPr>
      <w:r w:rsidRPr="000237B3">
        <w:rPr>
          <w:rFonts w:cs="Times New Roman"/>
          <w:b/>
          <w:sz w:val="28"/>
          <w:szCs w:val="28"/>
        </w:rPr>
        <w:lastRenderedPageBreak/>
        <w:t>Aģentūras</w:t>
      </w:r>
      <w:r w:rsidR="001F44A9" w:rsidRPr="000237B3">
        <w:rPr>
          <w:rFonts w:cs="Times New Roman"/>
          <w:b/>
          <w:sz w:val="28"/>
          <w:szCs w:val="28"/>
        </w:rPr>
        <w:t xml:space="preserve"> uzdevumi mērķa sasniegšanai</w:t>
      </w:r>
      <w:r w:rsidR="003547F2" w:rsidRPr="000237B3">
        <w:rPr>
          <w:rFonts w:cs="Times New Roman"/>
          <w:sz w:val="28"/>
          <w:szCs w:val="28"/>
        </w:rPr>
        <w:t xml:space="preserve"> ir šādi:</w:t>
      </w:r>
    </w:p>
    <w:p w:rsidR="001F44A9" w:rsidRPr="000237B3" w:rsidRDefault="001F44A9" w:rsidP="009D1B01">
      <w:pPr>
        <w:numPr>
          <w:ilvl w:val="0"/>
          <w:numId w:val="2"/>
        </w:numPr>
        <w:ind w:hanging="357"/>
        <w:jc w:val="both"/>
        <w:rPr>
          <w:rFonts w:cs="Times New Roman"/>
          <w:sz w:val="28"/>
          <w:szCs w:val="28"/>
        </w:rPr>
      </w:pPr>
      <w:r w:rsidRPr="000237B3">
        <w:rPr>
          <w:rFonts w:cs="Times New Roman"/>
          <w:sz w:val="28"/>
          <w:szCs w:val="28"/>
        </w:rPr>
        <w:t xml:space="preserve">līdz </w:t>
      </w:r>
      <w:r w:rsidR="00621130" w:rsidRPr="000237B3">
        <w:rPr>
          <w:rFonts w:cs="Times New Roman"/>
          <w:sz w:val="28"/>
          <w:szCs w:val="28"/>
        </w:rPr>
        <w:t>201</w:t>
      </w:r>
      <w:r w:rsidR="00621130">
        <w:rPr>
          <w:rFonts w:cs="Times New Roman"/>
          <w:sz w:val="28"/>
          <w:szCs w:val="28"/>
        </w:rPr>
        <w:t>4</w:t>
      </w:r>
      <w:r w:rsidRPr="000237B3">
        <w:rPr>
          <w:rFonts w:cs="Times New Roman"/>
          <w:sz w:val="28"/>
          <w:szCs w:val="28"/>
        </w:rPr>
        <w:t>.</w:t>
      </w:r>
      <w:r w:rsidR="00F11E91" w:rsidRPr="000237B3">
        <w:rPr>
          <w:rFonts w:cs="Times New Roman"/>
          <w:sz w:val="28"/>
          <w:szCs w:val="28"/>
        </w:rPr>
        <w:t xml:space="preserve">gada </w:t>
      </w:r>
      <w:r w:rsidR="00621130">
        <w:rPr>
          <w:rFonts w:cs="Times New Roman"/>
          <w:sz w:val="28"/>
          <w:szCs w:val="28"/>
        </w:rPr>
        <w:t>pirmajai pusei</w:t>
      </w:r>
      <w:r w:rsidR="00621130" w:rsidRPr="000237B3">
        <w:rPr>
          <w:rFonts w:cs="Times New Roman"/>
          <w:sz w:val="28"/>
          <w:szCs w:val="28"/>
        </w:rPr>
        <w:t xml:space="preserve"> </w:t>
      </w:r>
      <w:r w:rsidRPr="000237B3">
        <w:rPr>
          <w:rFonts w:cs="Times New Roman"/>
          <w:sz w:val="28"/>
          <w:szCs w:val="28"/>
        </w:rPr>
        <w:t xml:space="preserve">nodrošināt informācijas uzskaiti, kontroli, tirgus informācijas apkopošanu </w:t>
      </w:r>
      <w:r w:rsidR="001E608F" w:rsidRPr="000237B3">
        <w:rPr>
          <w:rFonts w:cs="Times New Roman"/>
          <w:sz w:val="28"/>
          <w:szCs w:val="28"/>
        </w:rPr>
        <w:t xml:space="preserve">un citas </w:t>
      </w:r>
      <w:r w:rsidRPr="000237B3">
        <w:rPr>
          <w:rFonts w:cs="Times New Roman"/>
          <w:sz w:val="28"/>
          <w:szCs w:val="28"/>
        </w:rPr>
        <w:t>funkcijas saistībā ar privatizācijas sertifikātiem;</w:t>
      </w:r>
    </w:p>
    <w:p w:rsidR="001F44A9" w:rsidRDefault="001F44A9" w:rsidP="0088175B">
      <w:pPr>
        <w:numPr>
          <w:ilvl w:val="0"/>
          <w:numId w:val="2"/>
        </w:numPr>
        <w:jc w:val="both"/>
        <w:rPr>
          <w:rFonts w:cs="Times New Roman"/>
          <w:sz w:val="28"/>
          <w:szCs w:val="28"/>
        </w:rPr>
      </w:pPr>
      <w:r w:rsidRPr="000237B3">
        <w:rPr>
          <w:rFonts w:cs="Times New Roman"/>
          <w:sz w:val="28"/>
          <w:szCs w:val="28"/>
        </w:rPr>
        <w:t>atbilstoši Eiropas Komisijas</w:t>
      </w:r>
      <w:r w:rsidR="008B32B7" w:rsidRPr="000237B3">
        <w:rPr>
          <w:rFonts w:cs="Times New Roman"/>
          <w:sz w:val="28"/>
          <w:szCs w:val="28"/>
        </w:rPr>
        <w:t xml:space="preserve"> apstiprinātajam</w:t>
      </w:r>
      <w:r w:rsidRPr="000237B3">
        <w:rPr>
          <w:rFonts w:cs="Times New Roman"/>
          <w:sz w:val="28"/>
          <w:szCs w:val="28"/>
        </w:rPr>
        <w:t xml:space="preserve"> restrukturizācijas plānam </w:t>
      </w:r>
      <w:r w:rsidR="00FE217C" w:rsidRPr="000237B3">
        <w:rPr>
          <w:rFonts w:cs="Times New Roman"/>
          <w:sz w:val="28"/>
          <w:szCs w:val="28"/>
        </w:rPr>
        <w:t xml:space="preserve">un Ministru kabineta lēmumiem </w:t>
      </w:r>
      <w:r w:rsidRPr="000237B3">
        <w:rPr>
          <w:rFonts w:cs="Times New Roman"/>
          <w:sz w:val="28"/>
          <w:szCs w:val="28"/>
        </w:rPr>
        <w:t xml:space="preserve">nodrošināt </w:t>
      </w:r>
      <w:r w:rsidR="0088175B" w:rsidRPr="0088175B">
        <w:rPr>
          <w:rFonts w:cs="Times New Roman"/>
          <w:sz w:val="28"/>
          <w:szCs w:val="28"/>
        </w:rPr>
        <w:t>akciju sabiedrības</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(bijusī </w:t>
      </w:r>
      <w:r w:rsidR="0088175B">
        <w:rPr>
          <w:rFonts w:cs="Times New Roman"/>
          <w:sz w:val="28"/>
          <w:szCs w:val="28"/>
        </w:rPr>
        <w:t>akciju sabiedrība</w:t>
      </w:r>
      <w:r w:rsidRPr="000237B3">
        <w:rPr>
          <w:rFonts w:cs="Times New Roman"/>
          <w:sz w:val="28"/>
          <w:szCs w:val="28"/>
        </w:rPr>
        <w:t xml:space="preserve"> „Parex banka”) un </w:t>
      </w:r>
      <w:r w:rsidR="0088175B" w:rsidRPr="0088175B">
        <w:rPr>
          <w:rFonts w:cs="Times New Roman"/>
          <w:sz w:val="28"/>
          <w:szCs w:val="28"/>
        </w:rPr>
        <w:t>akciju sabiedrības</w:t>
      </w:r>
      <w:r w:rsidRPr="000237B3">
        <w:rPr>
          <w:rFonts w:cs="Times New Roman"/>
          <w:sz w:val="28"/>
          <w:szCs w:val="28"/>
        </w:rPr>
        <w:t xml:space="preserve"> „Citadele banka” pārvaldību un pārdošanu;</w:t>
      </w:r>
    </w:p>
    <w:p w:rsidR="0009769B" w:rsidRPr="000237B3" w:rsidRDefault="0009769B" w:rsidP="00D26A0F">
      <w:pPr>
        <w:numPr>
          <w:ilvl w:val="0"/>
          <w:numId w:val="2"/>
        </w:numPr>
        <w:ind w:hanging="357"/>
        <w:jc w:val="both"/>
        <w:rPr>
          <w:rFonts w:cs="Times New Roman"/>
          <w:sz w:val="28"/>
          <w:szCs w:val="28"/>
        </w:rPr>
      </w:pPr>
      <w:r>
        <w:rPr>
          <w:rFonts w:cs="Times New Roman"/>
          <w:sz w:val="28"/>
          <w:szCs w:val="28"/>
        </w:rPr>
        <w:t xml:space="preserve">atbilstoši Ministru kabineta lēmumiem </w:t>
      </w:r>
      <w:r w:rsidRPr="00CF49A3">
        <w:rPr>
          <w:rFonts w:cs="Times New Roman"/>
          <w:sz w:val="28"/>
          <w:szCs w:val="28"/>
        </w:rPr>
        <w:t>pārņem</w:t>
      </w:r>
      <w:r>
        <w:rPr>
          <w:rFonts w:cs="Times New Roman"/>
          <w:sz w:val="28"/>
          <w:szCs w:val="28"/>
        </w:rPr>
        <w:t>t</w:t>
      </w:r>
      <w:r w:rsidRPr="00CF49A3">
        <w:rPr>
          <w:rFonts w:cs="Times New Roman"/>
          <w:sz w:val="28"/>
          <w:szCs w:val="28"/>
        </w:rPr>
        <w:t xml:space="preserve"> lielāko daļu no </w:t>
      </w:r>
      <w:r>
        <w:rPr>
          <w:rFonts w:cs="Times New Roman"/>
          <w:sz w:val="28"/>
          <w:szCs w:val="28"/>
        </w:rPr>
        <w:t>valsts akciju sabiedrības</w:t>
      </w:r>
      <w:r w:rsidRPr="00CF49A3">
        <w:rPr>
          <w:rFonts w:cs="Times New Roman"/>
          <w:sz w:val="28"/>
          <w:szCs w:val="28"/>
        </w:rPr>
        <w:t xml:space="preserve"> "Latvijas Hipotēku un zemes banka" atlikuš</w:t>
      </w:r>
      <w:r>
        <w:rPr>
          <w:rFonts w:cs="Times New Roman"/>
          <w:sz w:val="28"/>
          <w:szCs w:val="28"/>
        </w:rPr>
        <w:t xml:space="preserve">ajiem </w:t>
      </w:r>
      <w:r w:rsidRPr="00CF49A3">
        <w:rPr>
          <w:rFonts w:cs="Times New Roman"/>
          <w:sz w:val="28"/>
          <w:szCs w:val="28"/>
        </w:rPr>
        <w:t>komercaktīv</w:t>
      </w:r>
      <w:r>
        <w:rPr>
          <w:rFonts w:cs="Times New Roman"/>
          <w:sz w:val="28"/>
          <w:szCs w:val="28"/>
        </w:rPr>
        <w:t>iem</w:t>
      </w:r>
      <w:r w:rsidRPr="00CF49A3">
        <w:rPr>
          <w:rFonts w:cs="Times New Roman"/>
          <w:sz w:val="28"/>
          <w:szCs w:val="28"/>
        </w:rPr>
        <w:t xml:space="preserve"> </w:t>
      </w:r>
      <w:r w:rsidR="0009573D">
        <w:rPr>
          <w:rFonts w:cs="Times New Roman"/>
          <w:sz w:val="28"/>
          <w:szCs w:val="28"/>
        </w:rPr>
        <w:t>-</w:t>
      </w:r>
      <w:r w:rsidRPr="00CF49A3">
        <w:rPr>
          <w:rFonts w:cs="Times New Roman"/>
          <w:sz w:val="28"/>
          <w:szCs w:val="28"/>
        </w:rPr>
        <w:t xml:space="preserve"> kavēto</w:t>
      </w:r>
      <w:r>
        <w:rPr>
          <w:rFonts w:cs="Times New Roman"/>
          <w:sz w:val="28"/>
          <w:szCs w:val="28"/>
        </w:rPr>
        <w:t xml:space="preserve"> aktīvu pārvaldītāj</w:t>
      </w:r>
      <w:r w:rsidR="0009573D">
        <w:rPr>
          <w:rFonts w:cs="Times New Roman"/>
          <w:sz w:val="28"/>
          <w:szCs w:val="28"/>
        </w:rPr>
        <w:t xml:space="preserve">u </w:t>
      </w:r>
      <w:r w:rsidR="00D26A0F">
        <w:rPr>
          <w:rFonts w:cs="Times New Roman"/>
          <w:sz w:val="28"/>
          <w:szCs w:val="28"/>
        </w:rPr>
        <w:t>HipoNIA</w:t>
      </w:r>
      <w:r w:rsidR="00AB3D02">
        <w:rPr>
          <w:rFonts w:cs="Times New Roman"/>
          <w:sz w:val="28"/>
          <w:szCs w:val="28"/>
        </w:rPr>
        <w:t xml:space="preserve"> un </w:t>
      </w:r>
      <w:r w:rsidR="00D26A0F">
        <w:rPr>
          <w:rFonts w:cs="Times New Roman"/>
          <w:sz w:val="28"/>
          <w:szCs w:val="28"/>
        </w:rPr>
        <w:t xml:space="preserve">nodrošināt </w:t>
      </w:r>
      <w:r w:rsidR="00AB3D02">
        <w:rPr>
          <w:rFonts w:cs="Times New Roman"/>
          <w:sz w:val="28"/>
          <w:szCs w:val="28"/>
        </w:rPr>
        <w:t xml:space="preserve"> meitas sabiedrības</w:t>
      </w:r>
      <w:r>
        <w:rPr>
          <w:rFonts w:cs="Times New Roman"/>
          <w:sz w:val="28"/>
          <w:szCs w:val="28"/>
        </w:rPr>
        <w:t xml:space="preserve"> </w:t>
      </w:r>
      <w:proofErr w:type="spellStart"/>
      <w:r w:rsidR="00D26A0F">
        <w:rPr>
          <w:rFonts w:cs="Times New Roman"/>
          <w:sz w:val="28"/>
          <w:szCs w:val="28"/>
        </w:rPr>
        <w:t>HipoNIA</w:t>
      </w:r>
      <w:proofErr w:type="spellEnd"/>
      <w:r w:rsidR="00D26A0F">
        <w:rPr>
          <w:rFonts w:cs="Times New Roman"/>
          <w:sz w:val="28"/>
          <w:szCs w:val="28"/>
        </w:rPr>
        <w:t xml:space="preserve"> </w:t>
      </w:r>
      <w:r>
        <w:rPr>
          <w:rFonts w:cs="Times New Roman"/>
          <w:sz w:val="28"/>
          <w:szCs w:val="28"/>
        </w:rPr>
        <w:t>pārvaldību;</w:t>
      </w:r>
    </w:p>
    <w:p w:rsidR="001F44A9" w:rsidRPr="000237B3" w:rsidRDefault="001F44A9" w:rsidP="009D1B01">
      <w:pPr>
        <w:numPr>
          <w:ilvl w:val="0"/>
          <w:numId w:val="2"/>
        </w:numPr>
        <w:ind w:hanging="357"/>
        <w:jc w:val="both"/>
        <w:rPr>
          <w:rFonts w:cs="Times New Roman"/>
          <w:sz w:val="28"/>
          <w:szCs w:val="28"/>
        </w:rPr>
      </w:pPr>
      <w:r w:rsidRPr="000237B3">
        <w:rPr>
          <w:rFonts w:cs="Times New Roman"/>
          <w:sz w:val="28"/>
          <w:szCs w:val="28"/>
        </w:rPr>
        <w:t xml:space="preserve">līdz 2014.gada beigām nodrošināt </w:t>
      </w:r>
      <w:r w:rsidR="004C0881" w:rsidRPr="000237B3">
        <w:rPr>
          <w:rFonts w:cs="Times New Roman"/>
          <w:sz w:val="28"/>
          <w:szCs w:val="28"/>
        </w:rPr>
        <w:t xml:space="preserve">valsts </w:t>
      </w:r>
      <w:r w:rsidRPr="000237B3">
        <w:rPr>
          <w:rFonts w:cs="Times New Roman"/>
          <w:sz w:val="28"/>
          <w:szCs w:val="28"/>
        </w:rPr>
        <w:t>kapitāla daļu privatizāciju, atsavināšanu un pārvaldīšanu;</w:t>
      </w:r>
    </w:p>
    <w:p w:rsidR="00570166" w:rsidRPr="000237B3" w:rsidRDefault="001F44A9" w:rsidP="009D1B01">
      <w:pPr>
        <w:numPr>
          <w:ilvl w:val="0"/>
          <w:numId w:val="2"/>
        </w:numPr>
        <w:ind w:hanging="357"/>
        <w:jc w:val="both"/>
        <w:rPr>
          <w:rFonts w:cs="Times New Roman"/>
          <w:sz w:val="28"/>
          <w:szCs w:val="28"/>
        </w:rPr>
      </w:pPr>
      <w:r w:rsidRPr="000237B3">
        <w:rPr>
          <w:rFonts w:cs="Times New Roman"/>
          <w:sz w:val="28"/>
          <w:szCs w:val="28"/>
        </w:rPr>
        <w:t>līdz</w:t>
      </w:r>
      <w:r w:rsidRPr="000237B3">
        <w:rPr>
          <w:sz w:val="28"/>
          <w:szCs w:val="28"/>
        </w:rPr>
        <w:t xml:space="preserve"> 201</w:t>
      </w:r>
      <w:r w:rsidR="00567529" w:rsidRPr="000237B3">
        <w:rPr>
          <w:sz w:val="28"/>
          <w:szCs w:val="28"/>
        </w:rPr>
        <w:t>4</w:t>
      </w:r>
      <w:r w:rsidRPr="000237B3">
        <w:rPr>
          <w:sz w:val="28"/>
          <w:szCs w:val="28"/>
        </w:rPr>
        <w:t xml:space="preserve">.gada </w:t>
      </w:r>
      <w:r w:rsidR="00316983" w:rsidRPr="000237B3">
        <w:rPr>
          <w:sz w:val="28"/>
          <w:szCs w:val="28"/>
        </w:rPr>
        <w:t>beigām</w:t>
      </w:r>
      <w:r w:rsidRPr="000237B3">
        <w:rPr>
          <w:sz w:val="28"/>
          <w:szCs w:val="28"/>
        </w:rPr>
        <w:t xml:space="preserve"> pabeigt dzīvojamo māju un dzīvokļu plānveida privatiz</w:t>
      </w:r>
      <w:r w:rsidR="0084291E" w:rsidRPr="000237B3">
        <w:rPr>
          <w:sz w:val="28"/>
          <w:szCs w:val="28"/>
        </w:rPr>
        <w:t xml:space="preserve">āciju. </w:t>
      </w:r>
      <w:r w:rsidR="00570166" w:rsidRPr="000237B3" w:rsidDel="001F44A9">
        <w:rPr>
          <w:sz w:val="28"/>
          <w:szCs w:val="28"/>
        </w:rPr>
        <w:t xml:space="preserve"> </w:t>
      </w:r>
    </w:p>
    <w:p w:rsidR="001F44A9" w:rsidRPr="000237B3" w:rsidRDefault="001F44A9" w:rsidP="009D1B01">
      <w:pPr>
        <w:numPr>
          <w:ilvl w:val="0"/>
          <w:numId w:val="2"/>
        </w:numPr>
        <w:ind w:hanging="357"/>
        <w:jc w:val="both"/>
        <w:rPr>
          <w:rFonts w:cs="Times New Roman"/>
          <w:sz w:val="28"/>
          <w:szCs w:val="28"/>
        </w:rPr>
      </w:pPr>
      <w:r w:rsidRPr="000237B3">
        <w:rPr>
          <w:rFonts w:cs="Times New Roman"/>
          <w:sz w:val="28"/>
          <w:szCs w:val="28"/>
        </w:rPr>
        <w:t xml:space="preserve">līdz </w:t>
      </w:r>
      <w:r w:rsidR="00316983" w:rsidRPr="000237B3">
        <w:rPr>
          <w:rFonts w:cs="Times New Roman"/>
          <w:sz w:val="28"/>
          <w:szCs w:val="28"/>
        </w:rPr>
        <w:t>201</w:t>
      </w:r>
      <w:r w:rsidR="00567529" w:rsidRPr="000237B3">
        <w:rPr>
          <w:rFonts w:cs="Times New Roman"/>
          <w:sz w:val="28"/>
          <w:szCs w:val="28"/>
        </w:rPr>
        <w:t>4</w:t>
      </w:r>
      <w:r w:rsidR="00316983" w:rsidRPr="000237B3">
        <w:rPr>
          <w:rFonts w:cs="Times New Roman"/>
          <w:sz w:val="28"/>
          <w:szCs w:val="28"/>
        </w:rPr>
        <w:t>.gada beigām</w:t>
      </w:r>
      <w:r w:rsidRPr="000237B3">
        <w:rPr>
          <w:rFonts w:cs="Times New Roman"/>
          <w:sz w:val="28"/>
          <w:szCs w:val="28"/>
        </w:rPr>
        <w:t xml:space="preserve"> </w:t>
      </w:r>
      <w:r w:rsidR="00744F58" w:rsidRPr="000237B3">
        <w:rPr>
          <w:rFonts w:cs="Times New Roman"/>
          <w:sz w:val="28"/>
          <w:szCs w:val="28"/>
        </w:rPr>
        <w:t xml:space="preserve">būtiski </w:t>
      </w:r>
      <w:r w:rsidRPr="000237B3">
        <w:rPr>
          <w:rFonts w:cs="Times New Roman"/>
          <w:sz w:val="28"/>
          <w:szCs w:val="28"/>
        </w:rPr>
        <w:t xml:space="preserve">samazināt </w:t>
      </w:r>
      <w:r w:rsidR="004C0881" w:rsidRPr="000237B3">
        <w:rPr>
          <w:rFonts w:cs="Times New Roman"/>
          <w:sz w:val="28"/>
          <w:szCs w:val="28"/>
        </w:rPr>
        <w:t xml:space="preserve">valsts </w:t>
      </w:r>
      <w:r w:rsidRPr="000237B3">
        <w:rPr>
          <w:rFonts w:cs="Times New Roman"/>
          <w:sz w:val="28"/>
          <w:szCs w:val="28"/>
        </w:rPr>
        <w:t xml:space="preserve">zemesgabalu portfeli un valsts </w:t>
      </w:r>
      <w:r w:rsidR="004C0881" w:rsidRPr="000237B3">
        <w:rPr>
          <w:rFonts w:cs="Times New Roman"/>
          <w:sz w:val="28"/>
          <w:szCs w:val="28"/>
        </w:rPr>
        <w:t xml:space="preserve">nekustamā </w:t>
      </w:r>
      <w:r w:rsidRPr="000237B3">
        <w:rPr>
          <w:rFonts w:cs="Times New Roman"/>
          <w:sz w:val="28"/>
          <w:szCs w:val="28"/>
        </w:rPr>
        <w:t>īpašuma objektu portfeli;</w:t>
      </w:r>
    </w:p>
    <w:p w:rsidR="00C11C58" w:rsidRPr="000237B3" w:rsidRDefault="001F44A9" w:rsidP="009D1B01">
      <w:pPr>
        <w:pStyle w:val="ListParagraph"/>
        <w:numPr>
          <w:ilvl w:val="0"/>
          <w:numId w:val="2"/>
        </w:numPr>
        <w:ind w:hanging="357"/>
        <w:jc w:val="both"/>
        <w:rPr>
          <w:rFonts w:cs="Times New Roman"/>
          <w:sz w:val="28"/>
          <w:szCs w:val="28"/>
        </w:rPr>
      </w:pPr>
      <w:r w:rsidRPr="000237B3">
        <w:rPr>
          <w:rFonts w:cs="Times New Roman"/>
          <w:sz w:val="28"/>
          <w:szCs w:val="28"/>
        </w:rPr>
        <w:t xml:space="preserve">pastāvīgi kontrolēt noslēgto līgumu un </w:t>
      </w:r>
      <w:r w:rsidR="004C0881" w:rsidRPr="000237B3">
        <w:rPr>
          <w:rFonts w:cs="Times New Roman"/>
          <w:sz w:val="28"/>
          <w:szCs w:val="28"/>
        </w:rPr>
        <w:t xml:space="preserve">tajos ietverto </w:t>
      </w:r>
      <w:r w:rsidRPr="000237B3">
        <w:rPr>
          <w:rFonts w:cs="Times New Roman"/>
          <w:sz w:val="28"/>
          <w:szCs w:val="28"/>
        </w:rPr>
        <w:t xml:space="preserve">privatizācijas nosacījumu izpildi un </w:t>
      </w:r>
      <w:r w:rsidR="004C0881" w:rsidRPr="000237B3">
        <w:rPr>
          <w:rFonts w:cs="Times New Roman"/>
          <w:sz w:val="28"/>
          <w:szCs w:val="28"/>
        </w:rPr>
        <w:t>pār</w:t>
      </w:r>
      <w:r w:rsidRPr="000237B3">
        <w:rPr>
          <w:rFonts w:cs="Times New Roman"/>
          <w:sz w:val="28"/>
          <w:szCs w:val="28"/>
        </w:rPr>
        <w:t>stāvē</w:t>
      </w:r>
      <w:r w:rsidR="00967516" w:rsidRPr="000237B3">
        <w:rPr>
          <w:rFonts w:cs="Times New Roman"/>
          <w:sz w:val="28"/>
          <w:szCs w:val="28"/>
        </w:rPr>
        <w:t>t</w:t>
      </w:r>
      <w:r w:rsidRPr="000237B3">
        <w:rPr>
          <w:rFonts w:cs="Times New Roman"/>
          <w:sz w:val="28"/>
          <w:szCs w:val="28"/>
        </w:rPr>
        <w:t xml:space="preserve"> </w:t>
      </w:r>
      <w:r w:rsidR="0033271A" w:rsidRPr="000237B3">
        <w:rPr>
          <w:rFonts w:cs="Times New Roman"/>
          <w:sz w:val="28"/>
          <w:szCs w:val="28"/>
        </w:rPr>
        <w:t xml:space="preserve">Aģentūras </w:t>
      </w:r>
      <w:r w:rsidRPr="000237B3">
        <w:rPr>
          <w:rFonts w:cs="Times New Roman"/>
          <w:sz w:val="28"/>
          <w:szCs w:val="28"/>
        </w:rPr>
        <w:t>intereses tiesās</w:t>
      </w:r>
      <w:r w:rsidR="00360CD7" w:rsidRPr="000237B3">
        <w:rPr>
          <w:rFonts w:cs="Times New Roman"/>
          <w:sz w:val="28"/>
          <w:szCs w:val="28"/>
        </w:rPr>
        <w:t xml:space="preserve"> (arī pēc funkcijas nodošanas citām institūcijām)</w:t>
      </w:r>
      <w:r w:rsidRPr="000237B3">
        <w:rPr>
          <w:rFonts w:cs="Times New Roman"/>
          <w:sz w:val="28"/>
          <w:szCs w:val="28"/>
        </w:rPr>
        <w:t>;</w:t>
      </w:r>
    </w:p>
    <w:p w:rsidR="00C11C58" w:rsidRPr="000237B3" w:rsidRDefault="00F9606A" w:rsidP="00BC3243">
      <w:pPr>
        <w:pStyle w:val="ListParagraph"/>
        <w:numPr>
          <w:ilvl w:val="0"/>
          <w:numId w:val="2"/>
        </w:numPr>
        <w:jc w:val="both"/>
        <w:rPr>
          <w:rFonts w:cs="Times New Roman"/>
          <w:sz w:val="28"/>
          <w:szCs w:val="28"/>
        </w:rPr>
      </w:pPr>
      <w:r w:rsidRPr="000237B3">
        <w:rPr>
          <w:sz w:val="28"/>
          <w:szCs w:val="28"/>
        </w:rPr>
        <w:t>līdz 2014.gada beigām nodot dzīvokļu īpašnieku pārvaldīšanā visas privatizētās dzīvojamās mājas</w:t>
      </w:r>
      <w:r w:rsidR="002F55EE" w:rsidRPr="000237B3">
        <w:rPr>
          <w:sz w:val="28"/>
          <w:szCs w:val="28"/>
        </w:rPr>
        <w:t xml:space="preserve">, lielāko daļu neprivatizēto īpašumā vai valdījumā esošo dzīvokļu </w:t>
      </w:r>
      <w:r w:rsidRPr="000237B3">
        <w:rPr>
          <w:sz w:val="28"/>
          <w:szCs w:val="28"/>
        </w:rPr>
        <w:t>pašvaldībām</w:t>
      </w:r>
      <w:r w:rsidR="00507B49">
        <w:rPr>
          <w:sz w:val="28"/>
          <w:szCs w:val="28"/>
        </w:rPr>
        <w:t xml:space="preserve">, tai </w:t>
      </w:r>
      <w:r w:rsidR="00853812">
        <w:rPr>
          <w:sz w:val="28"/>
          <w:szCs w:val="28"/>
        </w:rPr>
        <w:t xml:space="preserve">piekrītot pārņemt minētās </w:t>
      </w:r>
      <w:r w:rsidR="00507B49">
        <w:rPr>
          <w:sz w:val="28"/>
          <w:szCs w:val="28"/>
        </w:rPr>
        <w:t>dzīvojam</w:t>
      </w:r>
      <w:r w:rsidR="00853812">
        <w:rPr>
          <w:sz w:val="28"/>
          <w:szCs w:val="28"/>
        </w:rPr>
        <w:t>ās mājas vai dzīvokļa īpašumus</w:t>
      </w:r>
      <w:r w:rsidR="00507B49">
        <w:rPr>
          <w:sz w:val="28"/>
          <w:szCs w:val="28"/>
        </w:rPr>
        <w:t>,</w:t>
      </w:r>
      <w:r w:rsidRPr="000237B3">
        <w:rPr>
          <w:sz w:val="28"/>
          <w:szCs w:val="28"/>
        </w:rPr>
        <w:t xml:space="preserve"> vai </w:t>
      </w:r>
      <w:r w:rsidR="00BC3243">
        <w:rPr>
          <w:sz w:val="28"/>
          <w:szCs w:val="28"/>
        </w:rPr>
        <w:t xml:space="preserve">valsts </w:t>
      </w:r>
      <w:r w:rsidR="00BC3243" w:rsidRPr="00BC3243">
        <w:rPr>
          <w:sz w:val="28"/>
          <w:szCs w:val="28"/>
        </w:rPr>
        <w:t>akciju sabiedrības</w:t>
      </w:r>
      <w:r w:rsidRPr="000237B3">
        <w:rPr>
          <w:sz w:val="28"/>
          <w:szCs w:val="28"/>
        </w:rPr>
        <w:t xml:space="preserve"> „Valsts nekustamie īpašumi</w:t>
      </w:r>
      <w:r w:rsidR="008A0925" w:rsidRPr="000237B3">
        <w:rPr>
          <w:sz w:val="28"/>
          <w:szCs w:val="28"/>
        </w:rPr>
        <w:t>”</w:t>
      </w:r>
      <w:r w:rsidR="00C11C58" w:rsidRPr="000237B3">
        <w:rPr>
          <w:sz w:val="28"/>
          <w:szCs w:val="28"/>
        </w:rPr>
        <w:t>;</w:t>
      </w:r>
    </w:p>
    <w:p w:rsidR="001F44A9" w:rsidRPr="000237B3" w:rsidRDefault="001F44A9" w:rsidP="009D1B01">
      <w:pPr>
        <w:pStyle w:val="ListParagraph"/>
        <w:numPr>
          <w:ilvl w:val="0"/>
          <w:numId w:val="2"/>
        </w:numPr>
        <w:ind w:hanging="357"/>
        <w:jc w:val="both"/>
        <w:rPr>
          <w:rFonts w:cs="Times New Roman"/>
          <w:sz w:val="28"/>
          <w:szCs w:val="28"/>
        </w:rPr>
      </w:pPr>
      <w:r w:rsidRPr="000237B3">
        <w:rPr>
          <w:rFonts w:cs="Times New Roman"/>
          <w:sz w:val="28"/>
          <w:szCs w:val="28"/>
        </w:rPr>
        <w:t xml:space="preserve">izstrādāt </w:t>
      </w:r>
      <w:r w:rsidR="007425A4" w:rsidRPr="000237B3">
        <w:rPr>
          <w:rFonts w:cs="Times New Roman"/>
          <w:sz w:val="28"/>
          <w:szCs w:val="28"/>
        </w:rPr>
        <w:t>priekšlikumus tiesību aktu projektiem</w:t>
      </w:r>
      <w:r w:rsidR="00A00239" w:rsidRPr="000237B3">
        <w:rPr>
          <w:rFonts w:cs="Times New Roman"/>
          <w:sz w:val="28"/>
          <w:szCs w:val="28"/>
        </w:rPr>
        <w:t xml:space="preserve"> </w:t>
      </w:r>
      <w:r w:rsidR="0033271A" w:rsidRPr="000237B3">
        <w:rPr>
          <w:rFonts w:cs="Times New Roman"/>
          <w:sz w:val="28"/>
          <w:szCs w:val="28"/>
        </w:rPr>
        <w:t>Aģentūras</w:t>
      </w:r>
      <w:r w:rsidR="00A00239" w:rsidRPr="000237B3">
        <w:rPr>
          <w:rFonts w:cs="Times New Roman"/>
          <w:sz w:val="28"/>
          <w:szCs w:val="28"/>
        </w:rPr>
        <w:t xml:space="preserve"> darbības izbeigšanas stratēģijā noteikto procesu īstenošanai.  </w:t>
      </w:r>
    </w:p>
    <w:p w:rsidR="009706FB" w:rsidRPr="000237B3" w:rsidRDefault="009706FB" w:rsidP="00F11BDC">
      <w:pPr>
        <w:rPr>
          <w:rFonts w:cs="Times New Roman"/>
          <w:color w:val="FF0000"/>
          <w:sz w:val="28"/>
          <w:szCs w:val="28"/>
        </w:rPr>
      </w:pPr>
    </w:p>
    <w:p w:rsidR="00745A40" w:rsidRPr="000237B3" w:rsidRDefault="00AA454A" w:rsidP="00C25731">
      <w:pPr>
        <w:pStyle w:val="Heading1"/>
      </w:pPr>
      <w:bookmarkStart w:id="1" w:name="_Toc354069791"/>
      <w:r w:rsidRPr="000237B3">
        <w:t xml:space="preserve">II </w:t>
      </w:r>
      <w:r w:rsidR="00946FBF" w:rsidRPr="000237B3">
        <w:t>ESOŠ</w:t>
      </w:r>
      <w:r w:rsidR="00220F29" w:rsidRPr="000237B3">
        <w:t>ĀS FUNKCIJAS</w:t>
      </w:r>
      <w:r w:rsidR="00A80F2B" w:rsidRPr="000237B3">
        <w:t xml:space="preserve"> UN DARBĪBA</w:t>
      </w:r>
      <w:bookmarkEnd w:id="1"/>
    </w:p>
    <w:p w:rsidR="009E3544" w:rsidRPr="000237B3" w:rsidRDefault="009E3544" w:rsidP="00C25731">
      <w:pPr>
        <w:pStyle w:val="BodyText"/>
        <w:spacing w:after="0"/>
        <w:ind w:firstLine="720"/>
        <w:jc w:val="both"/>
        <w:rPr>
          <w:rFonts w:cs="Times New Roman"/>
          <w:sz w:val="28"/>
          <w:szCs w:val="28"/>
        </w:rPr>
      </w:pPr>
    </w:p>
    <w:p w:rsidR="00C41250" w:rsidRPr="000237B3" w:rsidRDefault="0033271A" w:rsidP="00C25731">
      <w:pPr>
        <w:pStyle w:val="BodyText"/>
        <w:spacing w:after="0"/>
        <w:ind w:firstLine="720"/>
        <w:jc w:val="both"/>
        <w:rPr>
          <w:rFonts w:cs="Times New Roman"/>
          <w:sz w:val="28"/>
          <w:szCs w:val="28"/>
        </w:rPr>
      </w:pPr>
      <w:r w:rsidRPr="000237B3">
        <w:rPr>
          <w:rFonts w:cs="Times New Roman"/>
          <w:sz w:val="28"/>
          <w:szCs w:val="28"/>
        </w:rPr>
        <w:t>Aģentūra</w:t>
      </w:r>
      <w:r w:rsidR="00C41250" w:rsidRPr="000237B3">
        <w:rPr>
          <w:rFonts w:cs="Times New Roman"/>
          <w:sz w:val="28"/>
          <w:szCs w:val="28"/>
        </w:rPr>
        <w:t xml:space="preserve"> veic tai deleģēto valsts pārvaldes </w:t>
      </w:r>
      <w:r w:rsidR="009E5F98" w:rsidRPr="000237B3">
        <w:rPr>
          <w:rFonts w:cs="Times New Roman"/>
          <w:sz w:val="28"/>
          <w:szCs w:val="28"/>
        </w:rPr>
        <w:t>uzdevumu</w:t>
      </w:r>
      <w:r w:rsidR="00C41250" w:rsidRPr="000237B3">
        <w:rPr>
          <w:rFonts w:cs="Times New Roman"/>
          <w:sz w:val="28"/>
          <w:szCs w:val="28"/>
        </w:rPr>
        <w:t xml:space="preserve"> – valsts īpašuma objektu, valsts zemesgabalu un dzīvokļu īpašumu privatizāciju likumā “Par valsts un pašvaldību īpašuma objektu privatizāciju”, “Par valsts un pašvaldību dzīvojamo māju privatizāciju” un Valsts un pašvaldību īpašuma privatizācijas un privatizācijas sertifikātu izmantošanas pabeigšanas likumā noteiktās kompetences </w:t>
      </w:r>
      <w:r w:rsidR="00C17248" w:rsidRPr="000237B3">
        <w:rPr>
          <w:rFonts w:cs="Times New Roman"/>
          <w:sz w:val="28"/>
          <w:szCs w:val="28"/>
        </w:rPr>
        <w:t>ietvaros</w:t>
      </w:r>
      <w:r w:rsidR="00C41250" w:rsidRPr="000237B3">
        <w:rPr>
          <w:rFonts w:cs="Times New Roman"/>
          <w:sz w:val="28"/>
          <w:szCs w:val="28"/>
        </w:rPr>
        <w:t xml:space="preserve">, </w:t>
      </w:r>
      <w:r w:rsidR="009E5F98" w:rsidRPr="000237B3">
        <w:rPr>
          <w:rFonts w:cs="Times New Roman"/>
          <w:sz w:val="28"/>
          <w:szCs w:val="28"/>
        </w:rPr>
        <w:t>kā arī valsts kapitāla daļu atsavināšanu</w:t>
      </w:r>
      <w:r w:rsidR="00C41250" w:rsidRPr="000237B3">
        <w:rPr>
          <w:rFonts w:cs="Times New Roman"/>
          <w:sz w:val="28"/>
          <w:szCs w:val="28"/>
        </w:rPr>
        <w:t xml:space="preserve"> </w:t>
      </w:r>
      <w:r w:rsidR="009E5F98" w:rsidRPr="000237B3">
        <w:rPr>
          <w:rFonts w:cs="Times New Roman"/>
          <w:sz w:val="28"/>
          <w:szCs w:val="28"/>
        </w:rPr>
        <w:t>saskaņā ar</w:t>
      </w:r>
      <w:r w:rsidR="00C41250" w:rsidRPr="000237B3">
        <w:rPr>
          <w:rFonts w:cs="Times New Roman"/>
          <w:sz w:val="28"/>
          <w:szCs w:val="28"/>
        </w:rPr>
        <w:t xml:space="preserve"> likum</w:t>
      </w:r>
      <w:r w:rsidR="009E5F98" w:rsidRPr="000237B3">
        <w:rPr>
          <w:rFonts w:cs="Times New Roman"/>
          <w:sz w:val="28"/>
          <w:szCs w:val="28"/>
        </w:rPr>
        <w:t>u</w:t>
      </w:r>
      <w:r w:rsidR="00C41250" w:rsidRPr="000237B3">
        <w:rPr>
          <w:rFonts w:cs="Times New Roman"/>
          <w:sz w:val="28"/>
          <w:szCs w:val="28"/>
        </w:rPr>
        <w:t xml:space="preserve"> “Par valsts un pašvaldību kapitāla daļām un kapitālsabiedr</w:t>
      </w:r>
      <w:r w:rsidR="009E5F98" w:rsidRPr="000237B3">
        <w:rPr>
          <w:rFonts w:cs="Times New Roman"/>
          <w:sz w:val="28"/>
          <w:szCs w:val="28"/>
        </w:rPr>
        <w:t xml:space="preserve">ībām” un </w:t>
      </w:r>
      <w:r w:rsidR="00C41250" w:rsidRPr="000237B3">
        <w:rPr>
          <w:rFonts w:cs="Times New Roman"/>
          <w:sz w:val="28"/>
          <w:szCs w:val="28"/>
        </w:rPr>
        <w:t>Publiskas personas mantas atsavināšanas likumā paredzēto dzīvojamo māju, to domājamo daļu vai dzīvokļu īpašumu atsavināšanu.</w:t>
      </w:r>
    </w:p>
    <w:p w:rsidR="006D6E46" w:rsidRPr="000237B3" w:rsidRDefault="006D6E46" w:rsidP="00C25731">
      <w:pPr>
        <w:ind w:firstLine="720"/>
        <w:jc w:val="both"/>
        <w:rPr>
          <w:rFonts w:cs="Times New Roman"/>
          <w:sz w:val="28"/>
          <w:szCs w:val="28"/>
        </w:rPr>
      </w:pPr>
      <w:r w:rsidRPr="000237B3">
        <w:rPr>
          <w:rFonts w:cs="Times New Roman"/>
          <w:sz w:val="28"/>
          <w:szCs w:val="28"/>
        </w:rPr>
        <w:t xml:space="preserve">Saskaņā ar normatīvajiem aktiem </w:t>
      </w:r>
      <w:r w:rsidR="009E5F98" w:rsidRPr="000237B3">
        <w:rPr>
          <w:rFonts w:cs="Times New Roman"/>
          <w:sz w:val="28"/>
          <w:szCs w:val="28"/>
        </w:rPr>
        <w:t>galvenās</w:t>
      </w:r>
      <w:r w:rsidR="00395D6C" w:rsidRPr="000237B3">
        <w:rPr>
          <w:rFonts w:cs="Times New Roman"/>
          <w:sz w:val="28"/>
          <w:szCs w:val="28"/>
        </w:rPr>
        <w:t xml:space="preserve"> </w:t>
      </w:r>
      <w:r w:rsidR="00755F84" w:rsidRPr="000237B3">
        <w:rPr>
          <w:rFonts w:cs="Times New Roman"/>
          <w:sz w:val="28"/>
          <w:szCs w:val="28"/>
        </w:rPr>
        <w:t>Aģentūras</w:t>
      </w:r>
      <w:r w:rsidRPr="000237B3">
        <w:rPr>
          <w:rFonts w:cs="Times New Roman"/>
          <w:sz w:val="28"/>
          <w:szCs w:val="28"/>
        </w:rPr>
        <w:t xml:space="preserve"> </w:t>
      </w:r>
      <w:r w:rsidR="00395D6C" w:rsidRPr="000237B3">
        <w:rPr>
          <w:rFonts w:cs="Times New Roman"/>
          <w:sz w:val="28"/>
          <w:szCs w:val="28"/>
        </w:rPr>
        <w:t xml:space="preserve">funkcijas </w:t>
      </w:r>
      <w:r w:rsidRPr="000237B3">
        <w:rPr>
          <w:rFonts w:cs="Times New Roman"/>
          <w:sz w:val="28"/>
          <w:szCs w:val="28"/>
        </w:rPr>
        <w:t>ir šādas:</w:t>
      </w:r>
    </w:p>
    <w:p w:rsidR="00D30A51" w:rsidRPr="000237B3" w:rsidRDefault="009E5F98" w:rsidP="00004894">
      <w:pPr>
        <w:numPr>
          <w:ilvl w:val="0"/>
          <w:numId w:val="2"/>
        </w:numPr>
        <w:ind w:hanging="357"/>
        <w:jc w:val="both"/>
        <w:rPr>
          <w:rFonts w:cs="Times New Roman"/>
          <w:sz w:val="28"/>
          <w:szCs w:val="28"/>
        </w:rPr>
      </w:pPr>
      <w:r w:rsidRPr="000237B3">
        <w:rPr>
          <w:rFonts w:cs="Times New Roman"/>
          <w:sz w:val="28"/>
          <w:szCs w:val="28"/>
        </w:rPr>
        <w:lastRenderedPageBreak/>
        <w:t>Valsts ī</w:t>
      </w:r>
      <w:r w:rsidR="00D30A51" w:rsidRPr="000237B3">
        <w:rPr>
          <w:rFonts w:cs="Times New Roman"/>
          <w:sz w:val="28"/>
          <w:szCs w:val="28"/>
        </w:rPr>
        <w:t>pašum</w:t>
      </w:r>
      <w:r w:rsidRPr="000237B3">
        <w:rPr>
          <w:rFonts w:cs="Times New Roman"/>
          <w:sz w:val="28"/>
          <w:szCs w:val="28"/>
        </w:rPr>
        <w:t>a objektu</w:t>
      </w:r>
      <w:r w:rsidR="00D30A51" w:rsidRPr="000237B3">
        <w:rPr>
          <w:rFonts w:cs="Times New Roman"/>
          <w:sz w:val="28"/>
          <w:szCs w:val="28"/>
        </w:rPr>
        <w:t xml:space="preserve"> </w:t>
      </w:r>
      <w:r w:rsidR="00621130">
        <w:rPr>
          <w:rFonts w:cs="Times New Roman"/>
          <w:sz w:val="28"/>
          <w:szCs w:val="28"/>
        </w:rPr>
        <w:t xml:space="preserve">un zemesgabalu </w:t>
      </w:r>
      <w:r w:rsidR="00D30A51" w:rsidRPr="000237B3">
        <w:rPr>
          <w:rFonts w:cs="Times New Roman"/>
          <w:sz w:val="28"/>
          <w:szCs w:val="28"/>
        </w:rPr>
        <w:t>privatizācija un pārvaldīšana</w:t>
      </w:r>
      <w:r w:rsidR="006D6E46" w:rsidRPr="000237B3">
        <w:rPr>
          <w:rFonts w:cs="Times New Roman"/>
          <w:sz w:val="28"/>
          <w:szCs w:val="28"/>
        </w:rPr>
        <w:t>.</w:t>
      </w:r>
    </w:p>
    <w:p w:rsidR="00D30A51" w:rsidRPr="000237B3" w:rsidRDefault="00D30A51" w:rsidP="00004894">
      <w:pPr>
        <w:numPr>
          <w:ilvl w:val="0"/>
          <w:numId w:val="2"/>
        </w:numPr>
        <w:ind w:hanging="357"/>
        <w:jc w:val="both"/>
        <w:rPr>
          <w:rFonts w:cs="Times New Roman"/>
          <w:sz w:val="28"/>
          <w:szCs w:val="28"/>
        </w:rPr>
      </w:pPr>
      <w:r w:rsidRPr="000237B3">
        <w:rPr>
          <w:rFonts w:cs="Times New Roman"/>
          <w:sz w:val="28"/>
          <w:szCs w:val="28"/>
        </w:rPr>
        <w:t>Dzīvojamo māju un dzīvokļu privatizācija, atsavināšana un pārvaldīšana</w:t>
      </w:r>
      <w:r w:rsidR="006D6E46" w:rsidRPr="000237B3">
        <w:rPr>
          <w:rFonts w:cs="Times New Roman"/>
          <w:sz w:val="28"/>
          <w:szCs w:val="28"/>
        </w:rPr>
        <w:t>.</w:t>
      </w:r>
    </w:p>
    <w:p w:rsidR="00D30A51" w:rsidRPr="000237B3" w:rsidRDefault="009E5F98" w:rsidP="00004894">
      <w:pPr>
        <w:numPr>
          <w:ilvl w:val="0"/>
          <w:numId w:val="2"/>
        </w:numPr>
        <w:ind w:hanging="357"/>
        <w:jc w:val="both"/>
        <w:rPr>
          <w:rFonts w:cs="Times New Roman"/>
          <w:sz w:val="28"/>
          <w:szCs w:val="28"/>
        </w:rPr>
      </w:pPr>
      <w:r w:rsidRPr="000237B3">
        <w:rPr>
          <w:rFonts w:cs="Times New Roman"/>
          <w:sz w:val="28"/>
          <w:szCs w:val="28"/>
        </w:rPr>
        <w:t>Valsts k</w:t>
      </w:r>
      <w:r w:rsidR="00D30A51" w:rsidRPr="000237B3">
        <w:rPr>
          <w:rFonts w:cs="Times New Roman"/>
          <w:sz w:val="28"/>
          <w:szCs w:val="28"/>
        </w:rPr>
        <w:t>apitāla daļu privatizācija, atsavināšana un pārvaldīšana</w:t>
      </w:r>
      <w:r w:rsidR="006D6E46" w:rsidRPr="000237B3">
        <w:rPr>
          <w:rFonts w:cs="Times New Roman"/>
          <w:sz w:val="28"/>
          <w:szCs w:val="28"/>
        </w:rPr>
        <w:t>.</w:t>
      </w:r>
    </w:p>
    <w:p w:rsidR="00D30A51" w:rsidRPr="000237B3" w:rsidRDefault="00BC3243" w:rsidP="00BC3243">
      <w:pPr>
        <w:numPr>
          <w:ilvl w:val="0"/>
          <w:numId w:val="2"/>
        </w:numPr>
        <w:jc w:val="both"/>
        <w:rPr>
          <w:rFonts w:cs="Times New Roman"/>
          <w:sz w:val="28"/>
          <w:szCs w:val="28"/>
        </w:rPr>
      </w:pPr>
      <w:r w:rsidRPr="00BC3243">
        <w:rPr>
          <w:rFonts w:cs="Times New Roman"/>
          <w:sz w:val="28"/>
          <w:szCs w:val="28"/>
        </w:rPr>
        <w:t>akciju sabiedrības</w:t>
      </w:r>
      <w:r w:rsidR="006D6E46" w:rsidRPr="000237B3">
        <w:rPr>
          <w:rFonts w:cs="Times New Roman"/>
          <w:sz w:val="28"/>
          <w:szCs w:val="28"/>
        </w:rPr>
        <w:t xml:space="preserve"> „</w:t>
      </w:r>
      <w:proofErr w:type="spellStart"/>
      <w:r w:rsidR="00D30A51" w:rsidRPr="000237B3">
        <w:rPr>
          <w:rFonts w:cs="Times New Roman"/>
          <w:sz w:val="28"/>
          <w:szCs w:val="28"/>
        </w:rPr>
        <w:t>Reverta</w:t>
      </w:r>
      <w:proofErr w:type="spellEnd"/>
      <w:r w:rsidR="006D6E46" w:rsidRPr="000237B3">
        <w:rPr>
          <w:rFonts w:cs="Times New Roman"/>
          <w:sz w:val="28"/>
          <w:szCs w:val="28"/>
        </w:rPr>
        <w:t>”</w:t>
      </w:r>
      <w:r w:rsidR="00D30A51" w:rsidRPr="000237B3">
        <w:rPr>
          <w:rFonts w:cs="Times New Roman"/>
          <w:sz w:val="28"/>
          <w:szCs w:val="28"/>
        </w:rPr>
        <w:t xml:space="preserve"> (</w:t>
      </w:r>
      <w:r w:rsidR="006D6E46" w:rsidRPr="000237B3">
        <w:rPr>
          <w:rFonts w:cs="Times New Roman"/>
          <w:sz w:val="28"/>
          <w:szCs w:val="28"/>
        </w:rPr>
        <w:t xml:space="preserve">bijusī </w:t>
      </w:r>
      <w:r>
        <w:rPr>
          <w:rFonts w:cs="Times New Roman"/>
          <w:sz w:val="28"/>
          <w:szCs w:val="28"/>
        </w:rPr>
        <w:t>akciju sabiedrība</w:t>
      </w:r>
      <w:r w:rsidR="006D6E46" w:rsidRPr="000237B3">
        <w:rPr>
          <w:rFonts w:cs="Times New Roman"/>
          <w:sz w:val="28"/>
          <w:szCs w:val="28"/>
        </w:rPr>
        <w:t xml:space="preserve"> „</w:t>
      </w:r>
      <w:r w:rsidR="00D30A51" w:rsidRPr="000237B3">
        <w:rPr>
          <w:rFonts w:cs="Times New Roman"/>
          <w:sz w:val="28"/>
          <w:szCs w:val="28"/>
        </w:rPr>
        <w:t>Parex</w:t>
      </w:r>
      <w:r w:rsidR="00960CE4" w:rsidRPr="000237B3">
        <w:rPr>
          <w:rFonts w:cs="Times New Roman"/>
          <w:sz w:val="28"/>
          <w:szCs w:val="28"/>
        </w:rPr>
        <w:t xml:space="preserve"> banka</w:t>
      </w:r>
      <w:r w:rsidR="006D6E46" w:rsidRPr="000237B3">
        <w:rPr>
          <w:rFonts w:cs="Times New Roman"/>
          <w:sz w:val="28"/>
          <w:szCs w:val="28"/>
        </w:rPr>
        <w:t>”</w:t>
      </w:r>
      <w:r w:rsidR="00D30A51" w:rsidRPr="000237B3">
        <w:rPr>
          <w:rFonts w:cs="Times New Roman"/>
          <w:sz w:val="28"/>
          <w:szCs w:val="28"/>
        </w:rPr>
        <w:t xml:space="preserve">) un </w:t>
      </w:r>
      <w:r w:rsidRPr="00BC3243">
        <w:rPr>
          <w:rFonts w:cs="Times New Roman"/>
          <w:sz w:val="28"/>
          <w:szCs w:val="28"/>
        </w:rPr>
        <w:t>akciju sabiedrības</w:t>
      </w:r>
      <w:r w:rsidR="006D6E46" w:rsidRPr="000237B3">
        <w:rPr>
          <w:rFonts w:cs="Times New Roman"/>
          <w:sz w:val="28"/>
          <w:szCs w:val="28"/>
        </w:rPr>
        <w:t xml:space="preserve"> „</w:t>
      </w:r>
      <w:r w:rsidR="00D30A51" w:rsidRPr="000237B3">
        <w:rPr>
          <w:rFonts w:cs="Times New Roman"/>
          <w:sz w:val="28"/>
          <w:szCs w:val="28"/>
        </w:rPr>
        <w:t>Citadele</w:t>
      </w:r>
      <w:r w:rsidR="006D6E46" w:rsidRPr="000237B3">
        <w:rPr>
          <w:rFonts w:cs="Times New Roman"/>
          <w:sz w:val="28"/>
          <w:szCs w:val="28"/>
        </w:rPr>
        <w:t xml:space="preserve"> banka” pārvaldība un </w:t>
      </w:r>
      <w:r w:rsidR="00395D6C" w:rsidRPr="000237B3">
        <w:rPr>
          <w:rFonts w:cs="Times New Roman"/>
          <w:sz w:val="28"/>
          <w:szCs w:val="28"/>
        </w:rPr>
        <w:t>atsavināšana</w:t>
      </w:r>
      <w:r w:rsidR="00BA0F38" w:rsidRPr="000237B3">
        <w:rPr>
          <w:rFonts w:cs="Times New Roman"/>
          <w:sz w:val="28"/>
          <w:szCs w:val="28"/>
        </w:rPr>
        <w:t xml:space="preserve"> saskaņā ar Eiropas Komisijas apstiprināto restrukturizācijas plānu un Ministru kabineta lēmumiem. </w:t>
      </w:r>
    </w:p>
    <w:p w:rsidR="00745A40" w:rsidRPr="000237B3" w:rsidRDefault="00D30A51" w:rsidP="00004894">
      <w:pPr>
        <w:numPr>
          <w:ilvl w:val="0"/>
          <w:numId w:val="2"/>
        </w:numPr>
        <w:ind w:hanging="357"/>
        <w:jc w:val="both"/>
        <w:rPr>
          <w:rFonts w:cs="Times New Roman"/>
          <w:sz w:val="28"/>
          <w:szCs w:val="28"/>
        </w:rPr>
      </w:pPr>
      <w:r w:rsidRPr="000237B3">
        <w:rPr>
          <w:rFonts w:cs="Times New Roman"/>
          <w:sz w:val="28"/>
          <w:szCs w:val="28"/>
        </w:rPr>
        <w:t xml:space="preserve">Noslēgto līgumu un </w:t>
      </w:r>
      <w:r w:rsidR="00E851E9" w:rsidRPr="000237B3">
        <w:rPr>
          <w:rFonts w:cs="Times New Roman"/>
          <w:sz w:val="28"/>
          <w:szCs w:val="28"/>
        </w:rPr>
        <w:t xml:space="preserve">tajos ietverto </w:t>
      </w:r>
      <w:r w:rsidRPr="000237B3">
        <w:rPr>
          <w:rFonts w:cs="Times New Roman"/>
          <w:sz w:val="28"/>
          <w:szCs w:val="28"/>
        </w:rPr>
        <w:t>privatizācijas nosacījumu izpildes kontrole,</w:t>
      </w:r>
      <w:r w:rsidR="000F7584" w:rsidRPr="000237B3">
        <w:rPr>
          <w:rFonts w:cs="Times New Roman"/>
          <w:sz w:val="28"/>
          <w:szCs w:val="28"/>
        </w:rPr>
        <w:t xml:space="preserve"> Aģentūras pārstāvība </w:t>
      </w:r>
      <w:r w:rsidR="00825FB7" w:rsidRPr="000237B3">
        <w:rPr>
          <w:rFonts w:cs="Times New Roman"/>
          <w:sz w:val="28"/>
          <w:szCs w:val="28"/>
        </w:rPr>
        <w:t>tiesvedībā</w:t>
      </w:r>
      <w:r w:rsidRPr="000237B3">
        <w:rPr>
          <w:rFonts w:cs="Times New Roman"/>
          <w:sz w:val="28"/>
          <w:szCs w:val="28"/>
        </w:rPr>
        <w:t>s</w:t>
      </w:r>
      <w:r w:rsidR="006D6E46" w:rsidRPr="000237B3">
        <w:rPr>
          <w:rFonts w:cs="Times New Roman"/>
          <w:sz w:val="28"/>
          <w:szCs w:val="28"/>
        </w:rPr>
        <w:t>.</w:t>
      </w:r>
    </w:p>
    <w:p w:rsidR="004838F1" w:rsidRPr="000237B3" w:rsidRDefault="00960CE4" w:rsidP="00004894">
      <w:pPr>
        <w:numPr>
          <w:ilvl w:val="0"/>
          <w:numId w:val="2"/>
        </w:numPr>
        <w:ind w:hanging="357"/>
        <w:jc w:val="both"/>
        <w:rPr>
          <w:rFonts w:cs="Times New Roman"/>
          <w:sz w:val="28"/>
          <w:szCs w:val="28"/>
        </w:rPr>
      </w:pPr>
      <w:r w:rsidRPr="000237B3">
        <w:rPr>
          <w:rFonts w:cs="Times New Roman"/>
          <w:sz w:val="28"/>
          <w:szCs w:val="28"/>
        </w:rPr>
        <w:t>Ar privatizācijas sertifikātiem saistītās i</w:t>
      </w:r>
      <w:r w:rsidR="004838F1" w:rsidRPr="000237B3">
        <w:rPr>
          <w:rFonts w:cs="Times New Roman"/>
          <w:sz w:val="28"/>
          <w:szCs w:val="28"/>
        </w:rPr>
        <w:t>nformācijas uzskait</w:t>
      </w:r>
      <w:r w:rsidR="0079473A" w:rsidRPr="000237B3">
        <w:rPr>
          <w:rFonts w:cs="Times New Roman"/>
          <w:sz w:val="28"/>
          <w:szCs w:val="28"/>
        </w:rPr>
        <w:t>e</w:t>
      </w:r>
      <w:r w:rsidR="004838F1" w:rsidRPr="000237B3">
        <w:rPr>
          <w:rFonts w:cs="Times New Roman"/>
          <w:sz w:val="28"/>
          <w:szCs w:val="28"/>
        </w:rPr>
        <w:t>, kontrol</w:t>
      </w:r>
      <w:r w:rsidR="0079473A" w:rsidRPr="000237B3">
        <w:rPr>
          <w:rFonts w:cs="Times New Roman"/>
          <w:sz w:val="28"/>
          <w:szCs w:val="28"/>
        </w:rPr>
        <w:t>e</w:t>
      </w:r>
      <w:r w:rsidR="004838F1" w:rsidRPr="000237B3">
        <w:rPr>
          <w:rFonts w:cs="Times New Roman"/>
          <w:sz w:val="28"/>
          <w:szCs w:val="28"/>
        </w:rPr>
        <w:t>, tirgus informācijas apkopošan</w:t>
      </w:r>
      <w:r w:rsidR="0079473A" w:rsidRPr="000237B3">
        <w:rPr>
          <w:rFonts w:cs="Times New Roman"/>
          <w:sz w:val="28"/>
          <w:szCs w:val="28"/>
        </w:rPr>
        <w:t>a</w:t>
      </w:r>
      <w:r w:rsidRPr="000237B3">
        <w:rPr>
          <w:rFonts w:cs="Times New Roman"/>
          <w:sz w:val="28"/>
          <w:szCs w:val="28"/>
        </w:rPr>
        <w:t xml:space="preserve">. </w:t>
      </w:r>
    </w:p>
    <w:p w:rsidR="00772258" w:rsidRPr="000237B3" w:rsidRDefault="00772258" w:rsidP="00772258">
      <w:pPr>
        <w:ind w:firstLine="720"/>
        <w:jc w:val="both"/>
        <w:rPr>
          <w:rFonts w:cs="Times New Roman"/>
          <w:sz w:val="28"/>
          <w:szCs w:val="28"/>
        </w:rPr>
      </w:pPr>
      <w:r w:rsidRPr="000237B3">
        <w:rPr>
          <w:rFonts w:cs="Times New Roman"/>
          <w:sz w:val="28"/>
          <w:szCs w:val="28"/>
        </w:rPr>
        <w:t xml:space="preserve">Ņemot vērā </w:t>
      </w:r>
      <w:r w:rsidR="0033271A" w:rsidRPr="000237B3">
        <w:rPr>
          <w:rFonts w:cs="Times New Roman"/>
          <w:sz w:val="28"/>
          <w:szCs w:val="28"/>
        </w:rPr>
        <w:t>Aģentūras</w:t>
      </w:r>
      <w:r w:rsidRPr="000237B3">
        <w:rPr>
          <w:rFonts w:cs="Times New Roman"/>
          <w:sz w:val="28"/>
          <w:szCs w:val="28"/>
        </w:rPr>
        <w:t xml:space="preserve"> pieredzi valsts kapitāla daļu pārvaldībā, privatizācijā un atsavināšanā, </w:t>
      </w:r>
      <w:r w:rsidR="00C17248" w:rsidRPr="000237B3">
        <w:rPr>
          <w:rFonts w:cs="Times New Roman"/>
          <w:sz w:val="28"/>
          <w:szCs w:val="28"/>
        </w:rPr>
        <w:t>p</w:t>
      </w:r>
      <w:r w:rsidR="006D6E46" w:rsidRPr="000237B3">
        <w:rPr>
          <w:rFonts w:cs="Times New Roman"/>
          <w:sz w:val="28"/>
          <w:szCs w:val="28"/>
        </w:rPr>
        <w:t xml:space="preserve">apildus minētajām funkcijām </w:t>
      </w:r>
      <w:r w:rsidR="0033271A" w:rsidRPr="000237B3">
        <w:rPr>
          <w:rFonts w:cs="Times New Roman"/>
          <w:sz w:val="28"/>
          <w:szCs w:val="28"/>
        </w:rPr>
        <w:t>Aģentūra</w:t>
      </w:r>
      <w:r w:rsidR="006D6E46" w:rsidRPr="000237B3">
        <w:rPr>
          <w:rFonts w:cs="Times New Roman"/>
          <w:sz w:val="28"/>
          <w:szCs w:val="28"/>
        </w:rPr>
        <w:t xml:space="preserve"> nodrošina </w:t>
      </w:r>
      <w:r w:rsidR="000E0939" w:rsidRPr="000237B3">
        <w:rPr>
          <w:rFonts w:cs="Times New Roman"/>
          <w:sz w:val="28"/>
          <w:szCs w:val="28"/>
        </w:rPr>
        <w:t xml:space="preserve">citu uzdevumu izpildi, </w:t>
      </w:r>
      <w:r w:rsidR="00960CE4" w:rsidRPr="000237B3">
        <w:rPr>
          <w:rFonts w:cs="Times New Roman"/>
          <w:sz w:val="28"/>
          <w:szCs w:val="28"/>
        </w:rPr>
        <w:t>tajā skaitā</w:t>
      </w:r>
      <w:r w:rsidR="0079473A" w:rsidRPr="000237B3">
        <w:rPr>
          <w:rFonts w:cs="Times New Roman"/>
          <w:sz w:val="28"/>
          <w:szCs w:val="28"/>
        </w:rPr>
        <w:t xml:space="preserve"> v</w:t>
      </w:r>
      <w:r w:rsidR="000E0939" w:rsidRPr="000237B3">
        <w:rPr>
          <w:rFonts w:cs="Times New Roman"/>
          <w:sz w:val="28"/>
          <w:szCs w:val="28"/>
        </w:rPr>
        <w:t xml:space="preserve">alsts </w:t>
      </w:r>
      <w:r w:rsidR="006D6E46" w:rsidRPr="000237B3">
        <w:rPr>
          <w:rFonts w:cs="Times New Roman"/>
          <w:sz w:val="28"/>
          <w:szCs w:val="28"/>
        </w:rPr>
        <w:t>līdzdalīb</w:t>
      </w:r>
      <w:r w:rsidR="00A43741" w:rsidRPr="000237B3">
        <w:rPr>
          <w:rFonts w:cs="Times New Roman"/>
          <w:sz w:val="28"/>
          <w:szCs w:val="28"/>
        </w:rPr>
        <w:t>a</w:t>
      </w:r>
      <w:r w:rsidR="0079473A" w:rsidRPr="000237B3">
        <w:rPr>
          <w:rFonts w:cs="Times New Roman"/>
          <w:sz w:val="28"/>
          <w:szCs w:val="28"/>
        </w:rPr>
        <w:t>s nodrošināšana</w:t>
      </w:r>
      <w:r w:rsidR="00C22E10" w:rsidRPr="000237B3">
        <w:rPr>
          <w:rFonts w:cs="Times New Roman"/>
          <w:sz w:val="28"/>
          <w:szCs w:val="28"/>
        </w:rPr>
        <w:t xml:space="preserve"> </w:t>
      </w:r>
      <w:r w:rsidR="000E0939" w:rsidRPr="000237B3">
        <w:rPr>
          <w:rFonts w:cs="Times New Roman"/>
          <w:sz w:val="28"/>
          <w:szCs w:val="28"/>
        </w:rPr>
        <w:t>ogļūdeņražu ieguvē</w:t>
      </w:r>
      <w:r w:rsidR="005F552F" w:rsidRPr="000237B3">
        <w:rPr>
          <w:rFonts w:cs="Times New Roman"/>
          <w:sz w:val="28"/>
          <w:szCs w:val="28"/>
        </w:rPr>
        <w:t xml:space="preserve">, </w:t>
      </w:r>
      <w:r w:rsidR="00ED3CC2" w:rsidRPr="000237B3">
        <w:rPr>
          <w:rFonts w:cs="Times New Roman"/>
          <w:sz w:val="28"/>
          <w:szCs w:val="28"/>
        </w:rPr>
        <w:t xml:space="preserve">līdzdarbojusies </w:t>
      </w:r>
      <w:r w:rsidR="006D6E46" w:rsidRPr="000237B3">
        <w:rPr>
          <w:rFonts w:cs="Times New Roman"/>
          <w:sz w:val="28"/>
          <w:szCs w:val="28"/>
        </w:rPr>
        <w:t>valsts kapitāla daļu pārvaldības reforma</w:t>
      </w:r>
      <w:r w:rsidR="00ED3CC2" w:rsidRPr="000237B3">
        <w:rPr>
          <w:rFonts w:cs="Times New Roman"/>
          <w:sz w:val="28"/>
          <w:szCs w:val="28"/>
        </w:rPr>
        <w:t>s sagatavošanā</w:t>
      </w:r>
      <w:r w:rsidR="006D6E46" w:rsidRPr="000237B3">
        <w:rPr>
          <w:rFonts w:cs="Times New Roman"/>
          <w:sz w:val="28"/>
          <w:szCs w:val="28"/>
        </w:rPr>
        <w:t xml:space="preserve"> un tās ie</w:t>
      </w:r>
      <w:r w:rsidRPr="000237B3">
        <w:rPr>
          <w:rFonts w:cs="Times New Roman"/>
          <w:sz w:val="28"/>
          <w:szCs w:val="28"/>
        </w:rPr>
        <w:t>viešan</w:t>
      </w:r>
      <w:r w:rsidR="00ED3CC2" w:rsidRPr="000237B3">
        <w:rPr>
          <w:rFonts w:cs="Times New Roman"/>
          <w:sz w:val="28"/>
          <w:szCs w:val="28"/>
        </w:rPr>
        <w:t>ā</w:t>
      </w:r>
      <w:r w:rsidRPr="000237B3">
        <w:rPr>
          <w:rFonts w:cs="Times New Roman"/>
          <w:sz w:val="28"/>
          <w:szCs w:val="28"/>
        </w:rPr>
        <w:t xml:space="preserve">. </w:t>
      </w:r>
    </w:p>
    <w:p w:rsidR="00245AD2" w:rsidRPr="000237B3" w:rsidRDefault="00245AD2" w:rsidP="00245AD2">
      <w:pPr>
        <w:jc w:val="right"/>
        <w:rPr>
          <w:rFonts w:cs="Times New Roman"/>
          <w:sz w:val="28"/>
          <w:szCs w:val="28"/>
        </w:rPr>
      </w:pPr>
      <w:r w:rsidRPr="000237B3">
        <w:rPr>
          <w:rFonts w:cs="Times New Roman"/>
          <w:sz w:val="28"/>
          <w:szCs w:val="28"/>
        </w:rPr>
        <w:t>Tabula Nr.1</w:t>
      </w:r>
    </w:p>
    <w:p w:rsidR="00245AD2" w:rsidRPr="000237B3" w:rsidRDefault="0033271A" w:rsidP="004867E1">
      <w:pPr>
        <w:pStyle w:val="BodyText"/>
        <w:keepNext/>
        <w:spacing w:after="0"/>
        <w:ind w:left="720"/>
        <w:jc w:val="center"/>
        <w:rPr>
          <w:b/>
          <w:i/>
          <w:sz w:val="28"/>
          <w:szCs w:val="28"/>
        </w:rPr>
      </w:pPr>
      <w:r w:rsidRPr="000237B3">
        <w:rPr>
          <w:b/>
          <w:sz w:val="28"/>
          <w:szCs w:val="28"/>
        </w:rPr>
        <w:t>Aģentūras</w:t>
      </w:r>
      <w:r w:rsidR="00245AD2" w:rsidRPr="000237B3">
        <w:rPr>
          <w:b/>
          <w:sz w:val="28"/>
          <w:szCs w:val="28"/>
        </w:rPr>
        <w:t xml:space="preserve"> 2012.gadā </w:t>
      </w:r>
      <w:r w:rsidR="0028515A">
        <w:rPr>
          <w:b/>
          <w:sz w:val="28"/>
          <w:szCs w:val="28"/>
        </w:rPr>
        <w:t xml:space="preserve">un 2013.gada I ceturksnī </w:t>
      </w:r>
      <w:r w:rsidR="00245AD2" w:rsidRPr="000237B3">
        <w:rPr>
          <w:b/>
          <w:sz w:val="28"/>
          <w:szCs w:val="28"/>
        </w:rPr>
        <w:t>sasniegtie rezultatīvie rādītāji</w:t>
      </w:r>
      <w:r w:rsidR="00A21A34" w:rsidRPr="000237B3">
        <w:rPr>
          <w:sz w:val="28"/>
          <w:szCs w:val="28"/>
        </w:rPr>
        <w:t xml:space="preserve"> </w:t>
      </w:r>
    </w:p>
    <w:tbl>
      <w:tblPr>
        <w:tblW w:w="8414" w:type="dxa"/>
        <w:tblInd w:w="93" w:type="dxa"/>
        <w:tblLook w:val="04A0" w:firstRow="1" w:lastRow="0" w:firstColumn="1" w:lastColumn="0" w:noHBand="0" w:noVBand="1"/>
      </w:tblPr>
      <w:tblGrid>
        <w:gridCol w:w="837"/>
        <w:gridCol w:w="4848"/>
        <w:gridCol w:w="1459"/>
        <w:gridCol w:w="1270"/>
      </w:tblGrid>
      <w:tr w:rsidR="0028515A"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28515A" w:rsidRPr="000237B3" w:rsidRDefault="0028515A" w:rsidP="006F3F0F">
            <w:pPr>
              <w:jc w:val="center"/>
              <w:rPr>
                <w:rFonts w:cs="Times New Roman"/>
                <w:b/>
                <w:bCs/>
                <w:color w:val="FFFFFF" w:themeColor="background1"/>
              </w:rPr>
            </w:pPr>
            <w:r w:rsidRPr="000237B3">
              <w:rPr>
                <w:rFonts w:cs="Times New Roman"/>
                <w:b/>
                <w:bCs/>
                <w:color w:val="FFFFFF" w:themeColor="background1"/>
              </w:rPr>
              <w:t>N.p.k.</w:t>
            </w:r>
          </w:p>
        </w:tc>
        <w:tc>
          <w:tcPr>
            <w:tcW w:w="4848" w:type="dxa"/>
            <w:tcBorders>
              <w:top w:val="single" w:sz="4" w:space="0" w:color="auto"/>
              <w:left w:val="nil"/>
              <w:bottom w:val="single" w:sz="4" w:space="0" w:color="auto"/>
              <w:right w:val="single" w:sz="4" w:space="0" w:color="auto"/>
            </w:tcBorders>
            <w:shd w:val="clear" w:color="auto" w:fill="1F497D" w:themeFill="text2"/>
            <w:vAlign w:val="center"/>
            <w:hideMark/>
          </w:tcPr>
          <w:p w:rsidR="0028515A" w:rsidRPr="000237B3" w:rsidRDefault="0028515A" w:rsidP="006F3F0F">
            <w:pPr>
              <w:jc w:val="center"/>
              <w:rPr>
                <w:rFonts w:cs="Times New Roman"/>
                <w:b/>
                <w:bCs/>
                <w:color w:val="FFFFFF" w:themeColor="background1"/>
              </w:rPr>
            </w:pPr>
            <w:r w:rsidRPr="000237B3">
              <w:rPr>
                <w:rFonts w:cs="Times New Roman"/>
                <w:b/>
                <w:bCs/>
                <w:color w:val="FFFFFF" w:themeColor="background1"/>
              </w:rPr>
              <w:t>Darbības rezultatīvā rādītāja nosaukums</w:t>
            </w:r>
          </w:p>
        </w:tc>
        <w:tc>
          <w:tcPr>
            <w:tcW w:w="1459" w:type="dxa"/>
            <w:tcBorders>
              <w:top w:val="single" w:sz="4" w:space="0" w:color="auto"/>
              <w:left w:val="nil"/>
              <w:bottom w:val="single" w:sz="4" w:space="0" w:color="auto"/>
              <w:right w:val="single" w:sz="4" w:space="0" w:color="auto"/>
            </w:tcBorders>
            <w:shd w:val="clear" w:color="auto" w:fill="1F497D" w:themeFill="text2"/>
            <w:vAlign w:val="center"/>
            <w:hideMark/>
          </w:tcPr>
          <w:p w:rsidR="0028515A" w:rsidRPr="000237B3" w:rsidRDefault="0028515A" w:rsidP="0028515A">
            <w:pPr>
              <w:jc w:val="center"/>
              <w:rPr>
                <w:rFonts w:cs="Times New Roman"/>
                <w:b/>
                <w:bCs/>
                <w:color w:val="FFFFFF" w:themeColor="background1"/>
              </w:rPr>
            </w:pPr>
            <w:r>
              <w:rPr>
                <w:rFonts w:cs="Times New Roman"/>
                <w:b/>
                <w:bCs/>
                <w:color w:val="FFFFFF" w:themeColor="background1"/>
              </w:rPr>
              <w:t>2012.gads</w:t>
            </w:r>
            <w:r w:rsidRPr="000237B3">
              <w:rPr>
                <w:rFonts w:cs="Times New Roman"/>
                <w:b/>
                <w:bCs/>
                <w:color w:val="FFFFFF" w:themeColor="background1"/>
              </w:rPr>
              <w:t xml:space="preserve"> </w:t>
            </w:r>
          </w:p>
        </w:tc>
        <w:tc>
          <w:tcPr>
            <w:tcW w:w="1270" w:type="dxa"/>
            <w:tcBorders>
              <w:top w:val="single" w:sz="4" w:space="0" w:color="auto"/>
              <w:left w:val="nil"/>
              <w:bottom w:val="single" w:sz="4" w:space="0" w:color="auto"/>
              <w:right w:val="single" w:sz="4" w:space="0" w:color="auto"/>
            </w:tcBorders>
            <w:shd w:val="clear" w:color="auto" w:fill="1F497D" w:themeFill="text2"/>
          </w:tcPr>
          <w:p w:rsidR="0028515A" w:rsidRPr="000237B3" w:rsidDel="0028515A" w:rsidRDefault="0028515A" w:rsidP="0028515A">
            <w:pPr>
              <w:jc w:val="center"/>
              <w:rPr>
                <w:rFonts w:cs="Times New Roman"/>
                <w:b/>
                <w:bCs/>
                <w:color w:val="FFFFFF" w:themeColor="background1"/>
              </w:rPr>
            </w:pPr>
            <w:r>
              <w:rPr>
                <w:rFonts w:cs="Times New Roman"/>
                <w:b/>
                <w:bCs/>
                <w:color w:val="FFFFFF" w:themeColor="background1"/>
              </w:rPr>
              <w:t>2013.gada I ceturksnis</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652C97" w:rsidRPr="000237B3" w:rsidRDefault="00652C97" w:rsidP="006F3F0F">
            <w:pPr>
              <w:jc w:val="center"/>
              <w:rPr>
                <w:rFonts w:cs="Times New Roman"/>
                <w:color w:val="000000"/>
              </w:rPr>
            </w:pPr>
            <w:r w:rsidRPr="000237B3">
              <w:rPr>
                <w:rFonts w:cs="Times New Roman"/>
                <w:color w:val="000000"/>
              </w:rPr>
              <w:t>1</w:t>
            </w:r>
          </w:p>
        </w:tc>
        <w:tc>
          <w:tcPr>
            <w:tcW w:w="4848"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6F3F0F">
            <w:pPr>
              <w:rPr>
                <w:rFonts w:cs="Times New Roman"/>
                <w:color w:val="000000"/>
              </w:rPr>
            </w:pPr>
            <w:r w:rsidRPr="000237B3">
              <w:rPr>
                <w:rFonts w:cs="Times New Roman"/>
                <w:color w:val="000000"/>
              </w:rPr>
              <w:t>Apstiprinātie apbūvētu zemesgabalu privatizācijas paziņojumi</w:t>
            </w:r>
          </w:p>
        </w:tc>
        <w:tc>
          <w:tcPr>
            <w:tcW w:w="1459"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color w:val="000000"/>
              </w:rPr>
            </w:pPr>
            <w:r w:rsidRPr="000237B3">
              <w:rPr>
                <w:rFonts w:cs="Times New Roman"/>
                <w:color w:val="000000"/>
              </w:rPr>
              <w:t>90</w:t>
            </w:r>
          </w:p>
        </w:tc>
        <w:tc>
          <w:tcPr>
            <w:tcW w:w="1270" w:type="dxa"/>
            <w:tcBorders>
              <w:top w:val="nil"/>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color w:val="000000"/>
              </w:rPr>
              <w:t>13</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652C97" w:rsidRPr="000237B3" w:rsidRDefault="00652C97" w:rsidP="006F3F0F">
            <w:pPr>
              <w:jc w:val="center"/>
              <w:rPr>
                <w:rFonts w:cs="Times New Roman"/>
                <w:color w:val="000000"/>
              </w:rPr>
            </w:pPr>
            <w:r w:rsidRPr="000237B3">
              <w:rPr>
                <w:rFonts w:cs="Times New Roman"/>
                <w:color w:val="000000"/>
              </w:rPr>
              <w:t>2</w:t>
            </w:r>
          </w:p>
        </w:tc>
        <w:tc>
          <w:tcPr>
            <w:tcW w:w="4848"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6F3F0F">
            <w:pPr>
              <w:rPr>
                <w:rFonts w:cs="Times New Roman"/>
                <w:color w:val="000000"/>
              </w:rPr>
            </w:pPr>
            <w:r w:rsidRPr="000237B3">
              <w:rPr>
                <w:rFonts w:cs="Times New Roman"/>
                <w:color w:val="000000"/>
              </w:rPr>
              <w:t>Apstiprinātie neapbūvētu zemesgabalu privatizācijas noteikumi</w:t>
            </w:r>
          </w:p>
        </w:tc>
        <w:tc>
          <w:tcPr>
            <w:tcW w:w="1459"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color w:val="000000"/>
              </w:rPr>
            </w:pPr>
            <w:r w:rsidRPr="000237B3">
              <w:rPr>
                <w:rFonts w:cs="Times New Roman"/>
                <w:color w:val="000000"/>
              </w:rPr>
              <w:t>15</w:t>
            </w:r>
          </w:p>
        </w:tc>
        <w:tc>
          <w:tcPr>
            <w:tcW w:w="1270" w:type="dxa"/>
            <w:tcBorders>
              <w:top w:val="nil"/>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color w:val="000000"/>
              </w:rPr>
              <w:t>0</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652C97" w:rsidRPr="000237B3" w:rsidRDefault="00652C97" w:rsidP="006F3F0F">
            <w:pPr>
              <w:jc w:val="center"/>
              <w:rPr>
                <w:rFonts w:cs="Times New Roman"/>
                <w:color w:val="000000"/>
              </w:rPr>
            </w:pPr>
            <w:r w:rsidRPr="000237B3">
              <w:rPr>
                <w:rFonts w:cs="Times New Roman"/>
                <w:color w:val="000000"/>
              </w:rPr>
              <w:t>3</w:t>
            </w:r>
          </w:p>
        </w:tc>
        <w:tc>
          <w:tcPr>
            <w:tcW w:w="4848"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6F3F0F">
            <w:pPr>
              <w:rPr>
                <w:rFonts w:cs="Times New Roman"/>
                <w:color w:val="000000"/>
              </w:rPr>
            </w:pPr>
            <w:r w:rsidRPr="000237B3">
              <w:rPr>
                <w:rFonts w:cs="Times New Roman"/>
                <w:color w:val="000000"/>
              </w:rPr>
              <w:t>Apstiprinātie valsts nekustamo īpašumu privatizācijas noteikumi</w:t>
            </w:r>
          </w:p>
        </w:tc>
        <w:tc>
          <w:tcPr>
            <w:tcW w:w="1459"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color w:val="000000"/>
              </w:rPr>
            </w:pPr>
            <w:r w:rsidRPr="000237B3">
              <w:rPr>
                <w:rFonts w:cs="Times New Roman"/>
                <w:color w:val="000000"/>
              </w:rPr>
              <w:t>28</w:t>
            </w:r>
          </w:p>
        </w:tc>
        <w:tc>
          <w:tcPr>
            <w:tcW w:w="1270" w:type="dxa"/>
            <w:tcBorders>
              <w:top w:val="nil"/>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color w:val="000000"/>
              </w:rPr>
              <w:t>5</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000000" w:fill="FFFFFF"/>
            <w:vAlign w:val="center"/>
            <w:hideMark/>
          </w:tcPr>
          <w:p w:rsidR="00652C97" w:rsidRPr="000237B3" w:rsidRDefault="00652C97" w:rsidP="006F3F0F">
            <w:pPr>
              <w:jc w:val="center"/>
              <w:rPr>
                <w:rFonts w:cs="Times New Roman"/>
                <w:color w:val="000000"/>
              </w:rPr>
            </w:pPr>
            <w:r w:rsidRPr="000237B3">
              <w:rPr>
                <w:rFonts w:cs="Times New Roman"/>
                <w:color w:val="000000"/>
              </w:rPr>
              <w:t>4</w:t>
            </w:r>
          </w:p>
        </w:tc>
        <w:tc>
          <w:tcPr>
            <w:tcW w:w="4848" w:type="dxa"/>
            <w:tcBorders>
              <w:top w:val="nil"/>
              <w:left w:val="nil"/>
              <w:bottom w:val="single" w:sz="4" w:space="0" w:color="auto"/>
              <w:right w:val="single" w:sz="4" w:space="0" w:color="auto"/>
            </w:tcBorders>
            <w:shd w:val="clear" w:color="000000" w:fill="FFFFFF"/>
            <w:vAlign w:val="center"/>
            <w:hideMark/>
          </w:tcPr>
          <w:p w:rsidR="00652C97" w:rsidRPr="000237B3" w:rsidRDefault="00652C97" w:rsidP="006F3F0F">
            <w:pPr>
              <w:rPr>
                <w:rFonts w:cs="Times New Roman"/>
                <w:color w:val="000000"/>
              </w:rPr>
            </w:pPr>
            <w:r w:rsidRPr="000237B3">
              <w:rPr>
                <w:rFonts w:cs="Times New Roman"/>
                <w:color w:val="000000"/>
              </w:rPr>
              <w:t>Noslēgtie apbūvētu zemesgabalu pirkuma līgumi</w:t>
            </w:r>
          </w:p>
        </w:tc>
        <w:tc>
          <w:tcPr>
            <w:tcW w:w="1459"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rPr>
            </w:pPr>
            <w:r w:rsidRPr="000237B3">
              <w:rPr>
                <w:rFonts w:cs="Times New Roman"/>
              </w:rPr>
              <w:t>57</w:t>
            </w:r>
          </w:p>
        </w:tc>
        <w:tc>
          <w:tcPr>
            <w:tcW w:w="1270" w:type="dxa"/>
            <w:tcBorders>
              <w:top w:val="nil"/>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rPr>
              <w:t>7</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C97" w:rsidRPr="000237B3" w:rsidRDefault="00652C97" w:rsidP="006F3F0F">
            <w:pPr>
              <w:jc w:val="center"/>
              <w:rPr>
                <w:rFonts w:cs="Times New Roman"/>
                <w:color w:val="000000"/>
              </w:rPr>
            </w:pPr>
            <w:r w:rsidRPr="000237B3">
              <w:rPr>
                <w:rFonts w:cs="Times New Roman"/>
                <w:color w:val="000000"/>
              </w:rPr>
              <w:t>5</w:t>
            </w:r>
          </w:p>
        </w:tc>
        <w:tc>
          <w:tcPr>
            <w:tcW w:w="4848" w:type="dxa"/>
            <w:tcBorders>
              <w:top w:val="single" w:sz="4" w:space="0" w:color="auto"/>
              <w:left w:val="nil"/>
              <w:bottom w:val="single" w:sz="4" w:space="0" w:color="auto"/>
              <w:right w:val="single" w:sz="4" w:space="0" w:color="auto"/>
            </w:tcBorders>
            <w:shd w:val="clear" w:color="000000" w:fill="FFFFFF"/>
            <w:vAlign w:val="center"/>
            <w:hideMark/>
          </w:tcPr>
          <w:p w:rsidR="00652C97" w:rsidRPr="000237B3" w:rsidRDefault="00652C97" w:rsidP="006F3F0F">
            <w:pPr>
              <w:rPr>
                <w:rFonts w:cs="Times New Roman"/>
                <w:color w:val="000000"/>
              </w:rPr>
            </w:pPr>
            <w:r w:rsidRPr="000237B3">
              <w:rPr>
                <w:rFonts w:cs="Times New Roman"/>
                <w:color w:val="000000"/>
              </w:rPr>
              <w:t>Noslēgtie neapbūvētu zemesgabalu pirkuma līgumi</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rPr>
            </w:pPr>
            <w:r w:rsidRPr="000237B3">
              <w:rPr>
                <w:rFonts w:cs="Times New Roman"/>
              </w:rPr>
              <w:t>11</w:t>
            </w:r>
          </w:p>
        </w:tc>
        <w:tc>
          <w:tcPr>
            <w:tcW w:w="1270" w:type="dxa"/>
            <w:tcBorders>
              <w:top w:val="single" w:sz="4" w:space="0" w:color="auto"/>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rPr>
              <w:t>0</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2C97" w:rsidRPr="000237B3" w:rsidRDefault="00652C97" w:rsidP="006F3F0F">
            <w:pPr>
              <w:jc w:val="center"/>
              <w:rPr>
                <w:rFonts w:cs="Times New Roman"/>
                <w:color w:val="000000"/>
              </w:rPr>
            </w:pPr>
            <w:r w:rsidRPr="000237B3">
              <w:rPr>
                <w:rFonts w:cs="Times New Roman"/>
                <w:color w:val="000000"/>
              </w:rPr>
              <w:t>6</w:t>
            </w:r>
          </w:p>
        </w:tc>
        <w:tc>
          <w:tcPr>
            <w:tcW w:w="4848" w:type="dxa"/>
            <w:tcBorders>
              <w:top w:val="single" w:sz="4" w:space="0" w:color="auto"/>
              <w:left w:val="nil"/>
              <w:bottom w:val="single" w:sz="4" w:space="0" w:color="auto"/>
              <w:right w:val="single" w:sz="4" w:space="0" w:color="auto"/>
            </w:tcBorders>
            <w:shd w:val="clear" w:color="000000" w:fill="FFFFFF"/>
            <w:vAlign w:val="center"/>
            <w:hideMark/>
          </w:tcPr>
          <w:p w:rsidR="00652C97" w:rsidRPr="000237B3" w:rsidRDefault="00652C97" w:rsidP="006F3F0F">
            <w:pPr>
              <w:rPr>
                <w:rFonts w:cs="Times New Roman"/>
                <w:color w:val="000000"/>
              </w:rPr>
            </w:pPr>
            <w:r w:rsidRPr="000237B3">
              <w:rPr>
                <w:rFonts w:cs="Times New Roman"/>
                <w:color w:val="000000"/>
              </w:rPr>
              <w:t>Noslēgtie valsts nekustamo īpašumu pirkuma līgumi</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rPr>
            </w:pPr>
            <w:r w:rsidRPr="000237B3">
              <w:rPr>
                <w:rFonts w:cs="Times New Roman"/>
              </w:rPr>
              <w:t>12</w:t>
            </w:r>
          </w:p>
        </w:tc>
        <w:tc>
          <w:tcPr>
            <w:tcW w:w="1270" w:type="dxa"/>
            <w:tcBorders>
              <w:top w:val="single" w:sz="4" w:space="0" w:color="auto"/>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rPr>
              <w:t>3</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652C97" w:rsidRPr="000237B3" w:rsidRDefault="00652C97" w:rsidP="006F3F0F">
            <w:pPr>
              <w:jc w:val="center"/>
              <w:rPr>
                <w:rFonts w:cs="Times New Roman"/>
                <w:color w:val="000000"/>
              </w:rPr>
            </w:pPr>
            <w:r w:rsidRPr="000237B3">
              <w:rPr>
                <w:rFonts w:cs="Times New Roman"/>
                <w:color w:val="000000"/>
              </w:rPr>
              <w:t>7</w:t>
            </w:r>
          </w:p>
        </w:tc>
        <w:tc>
          <w:tcPr>
            <w:tcW w:w="4848"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6F3F0F">
            <w:pPr>
              <w:rPr>
                <w:rFonts w:cs="Times New Roman"/>
                <w:color w:val="000000"/>
              </w:rPr>
            </w:pPr>
            <w:r w:rsidRPr="000237B3">
              <w:rPr>
                <w:rFonts w:cs="Times New Roman"/>
                <w:color w:val="000000"/>
              </w:rPr>
              <w:t>Noslēgtie apbūvētu un neapbūvētu zemesgabalu nomas līgumi vai vienošanās par grozījumiem tajos, noslēgtie valsts nekustamo īpašumu nomas līgumi vai vienošanās par grozījumiem nomas līgumos</w:t>
            </w:r>
          </w:p>
        </w:tc>
        <w:tc>
          <w:tcPr>
            <w:tcW w:w="1459"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color w:val="000000"/>
              </w:rPr>
            </w:pPr>
            <w:r w:rsidRPr="000237B3">
              <w:rPr>
                <w:rFonts w:cs="Times New Roman"/>
                <w:color w:val="000000"/>
              </w:rPr>
              <w:t>111</w:t>
            </w:r>
          </w:p>
        </w:tc>
        <w:tc>
          <w:tcPr>
            <w:tcW w:w="1270" w:type="dxa"/>
            <w:tcBorders>
              <w:top w:val="nil"/>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color w:val="000000"/>
              </w:rPr>
              <w:t>52</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652C97" w:rsidRPr="000237B3" w:rsidRDefault="00652C97" w:rsidP="006F3F0F">
            <w:pPr>
              <w:jc w:val="center"/>
              <w:rPr>
                <w:rFonts w:cs="Times New Roman"/>
                <w:color w:val="000000"/>
              </w:rPr>
            </w:pPr>
            <w:r w:rsidRPr="000237B3">
              <w:rPr>
                <w:rFonts w:cs="Times New Roman"/>
                <w:color w:val="000000"/>
              </w:rPr>
              <w:t>8</w:t>
            </w:r>
          </w:p>
        </w:tc>
        <w:tc>
          <w:tcPr>
            <w:tcW w:w="4848"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B35A90">
            <w:pPr>
              <w:rPr>
                <w:rFonts w:cs="Times New Roman"/>
                <w:color w:val="000000"/>
              </w:rPr>
            </w:pPr>
            <w:r w:rsidRPr="000237B3">
              <w:rPr>
                <w:rFonts w:cs="Times New Roman"/>
                <w:color w:val="000000"/>
              </w:rPr>
              <w:t>Paziņojumi par nomas maksas izmaiņām</w:t>
            </w:r>
          </w:p>
        </w:tc>
        <w:tc>
          <w:tcPr>
            <w:tcW w:w="1459" w:type="dxa"/>
            <w:tcBorders>
              <w:top w:val="nil"/>
              <w:left w:val="nil"/>
              <w:bottom w:val="single" w:sz="4" w:space="0" w:color="auto"/>
              <w:right w:val="single" w:sz="4" w:space="0" w:color="auto"/>
            </w:tcBorders>
            <w:shd w:val="clear" w:color="auto" w:fill="auto"/>
            <w:vAlign w:val="center"/>
            <w:hideMark/>
          </w:tcPr>
          <w:p w:rsidR="00652C97" w:rsidRPr="000237B3" w:rsidRDefault="00652C97" w:rsidP="0028515A">
            <w:pPr>
              <w:jc w:val="center"/>
              <w:rPr>
                <w:rFonts w:cs="Times New Roman"/>
                <w:color w:val="000000"/>
              </w:rPr>
            </w:pPr>
            <w:r w:rsidRPr="000237B3">
              <w:rPr>
                <w:rFonts w:cs="Times New Roman"/>
                <w:color w:val="000000"/>
              </w:rPr>
              <w:t>349</w:t>
            </w:r>
          </w:p>
        </w:tc>
        <w:tc>
          <w:tcPr>
            <w:tcW w:w="1270" w:type="dxa"/>
            <w:tcBorders>
              <w:top w:val="nil"/>
              <w:left w:val="nil"/>
              <w:bottom w:val="single" w:sz="4" w:space="0" w:color="auto"/>
              <w:right w:val="single" w:sz="4" w:space="0" w:color="auto"/>
            </w:tcBorders>
            <w:vAlign w:val="center"/>
          </w:tcPr>
          <w:p w:rsidR="00652C97" w:rsidRPr="00652C97" w:rsidRDefault="00652C97" w:rsidP="0028515A">
            <w:pPr>
              <w:jc w:val="center"/>
              <w:rPr>
                <w:rFonts w:cs="Times New Roman"/>
                <w:color w:val="000000"/>
              </w:rPr>
            </w:pPr>
            <w:r w:rsidRPr="00652C97">
              <w:rPr>
                <w:rFonts w:cs="Times New Roman"/>
                <w:color w:val="000000"/>
              </w:rPr>
              <w:t>28</w:t>
            </w:r>
          </w:p>
        </w:tc>
      </w:tr>
      <w:tr w:rsidR="00652C97" w:rsidRPr="00426EEF" w:rsidTr="008152AE">
        <w:trPr>
          <w:trHeight w:val="20"/>
        </w:trPr>
        <w:tc>
          <w:tcPr>
            <w:tcW w:w="837" w:type="dxa"/>
            <w:tcBorders>
              <w:top w:val="nil"/>
              <w:left w:val="single" w:sz="4" w:space="0" w:color="auto"/>
              <w:bottom w:val="single" w:sz="4" w:space="0" w:color="auto"/>
              <w:right w:val="single" w:sz="4" w:space="0" w:color="auto"/>
            </w:tcBorders>
            <w:shd w:val="clear" w:color="auto" w:fill="auto"/>
            <w:vAlign w:val="center"/>
            <w:hideMark/>
          </w:tcPr>
          <w:p w:rsidR="00652C97" w:rsidRPr="000237B3" w:rsidRDefault="00652C97" w:rsidP="006F3F0F">
            <w:pPr>
              <w:jc w:val="center"/>
              <w:rPr>
                <w:rFonts w:cs="Times New Roman"/>
                <w:color w:val="000000"/>
              </w:rPr>
            </w:pPr>
            <w:r w:rsidRPr="000237B3">
              <w:rPr>
                <w:rFonts w:cs="Times New Roman"/>
                <w:color w:val="000000"/>
              </w:rPr>
              <w:t>9</w:t>
            </w:r>
          </w:p>
        </w:tc>
        <w:tc>
          <w:tcPr>
            <w:tcW w:w="4848" w:type="dxa"/>
            <w:tcBorders>
              <w:top w:val="nil"/>
              <w:left w:val="nil"/>
              <w:bottom w:val="single" w:sz="4" w:space="0" w:color="auto"/>
              <w:right w:val="single" w:sz="4" w:space="0" w:color="auto"/>
            </w:tcBorders>
            <w:shd w:val="clear" w:color="auto" w:fill="auto"/>
            <w:vAlign w:val="center"/>
          </w:tcPr>
          <w:p w:rsidR="00652C97" w:rsidRPr="000237B3" w:rsidRDefault="00652C97" w:rsidP="00B35A90">
            <w:pPr>
              <w:rPr>
                <w:rFonts w:cs="Times New Roman"/>
                <w:color w:val="000000"/>
              </w:rPr>
            </w:pPr>
            <w:r w:rsidRPr="000237B3">
              <w:rPr>
                <w:rFonts w:cs="Times New Roman"/>
              </w:rPr>
              <w:t>Pieņemti lēmumi par dzīvojamo māju privatizācijas uzsākšanu</w:t>
            </w:r>
          </w:p>
        </w:tc>
        <w:tc>
          <w:tcPr>
            <w:tcW w:w="1459" w:type="dxa"/>
            <w:tcBorders>
              <w:top w:val="nil"/>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20</w:t>
            </w:r>
          </w:p>
        </w:tc>
        <w:tc>
          <w:tcPr>
            <w:tcW w:w="1270" w:type="dxa"/>
            <w:tcBorders>
              <w:top w:val="nil"/>
              <w:left w:val="nil"/>
              <w:bottom w:val="single" w:sz="4" w:space="0" w:color="auto"/>
              <w:right w:val="single" w:sz="4" w:space="0" w:color="auto"/>
            </w:tcBorders>
          </w:tcPr>
          <w:p w:rsidR="00652C97" w:rsidRPr="00652C97" w:rsidRDefault="00652C97" w:rsidP="0028515A">
            <w:pPr>
              <w:jc w:val="center"/>
              <w:rPr>
                <w:rFonts w:cs="Times New Roman"/>
                <w:color w:val="000000"/>
              </w:rPr>
            </w:pPr>
            <w:r w:rsidRPr="00652C97">
              <w:rPr>
                <w:rFonts w:cs="Times New Roman"/>
                <w:color w:val="000000"/>
              </w:rPr>
              <w:t>4</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52C97" w:rsidRPr="000237B3" w:rsidRDefault="00652C97" w:rsidP="006F3F0F">
            <w:pPr>
              <w:jc w:val="center"/>
              <w:rPr>
                <w:rFonts w:cs="Times New Roman"/>
                <w:color w:val="000000"/>
              </w:rPr>
            </w:pPr>
            <w:r w:rsidRPr="000237B3">
              <w:rPr>
                <w:rFonts w:cs="Times New Roman"/>
                <w:color w:val="000000"/>
              </w:rPr>
              <w:t>10</w:t>
            </w:r>
          </w:p>
        </w:tc>
        <w:tc>
          <w:tcPr>
            <w:tcW w:w="4848"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B35A90">
            <w:pPr>
              <w:rPr>
                <w:rFonts w:cs="Times New Roman"/>
                <w:color w:val="000000"/>
              </w:rPr>
            </w:pPr>
            <w:r w:rsidRPr="000237B3">
              <w:rPr>
                <w:rFonts w:cs="Times New Roman"/>
              </w:rPr>
              <w:t xml:space="preserve">Nosūtīti  privatizācijas paziņojumi </w:t>
            </w:r>
          </w:p>
        </w:tc>
        <w:tc>
          <w:tcPr>
            <w:tcW w:w="1459"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67</w:t>
            </w:r>
          </w:p>
        </w:tc>
        <w:tc>
          <w:tcPr>
            <w:tcW w:w="1270" w:type="dxa"/>
            <w:tcBorders>
              <w:top w:val="single" w:sz="4" w:space="0" w:color="auto"/>
              <w:left w:val="nil"/>
              <w:bottom w:val="single" w:sz="4" w:space="0" w:color="auto"/>
              <w:right w:val="single" w:sz="4" w:space="0" w:color="auto"/>
            </w:tcBorders>
          </w:tcPr>
          <w:p w:rsidR="00652C97" w:rsidRPr="00652C97" w:rsidRDefault="00652C97" w:rsidP="0028515A">
            <w:pPr>
              <w:jc w:val="center"/>
              <w:rPr>
                <w:rFonts w:cs="Times New Roman"/>
                <w:color w:val="000000"/>
              </w:rPr>
            </w:pPr>
            <w:r w:rsidRPr="00652C97">
              <w:rPr>
                <w:rFonts w:cs="Times New Roman"/>
                <w:color w:val="000000"/>
              </w:rPr>
              <w:t>46</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52C97" w:rsidRPr="000237B3" w:rsidRDefault="00652C97" w:rsidP="006F3F0F">
            <w:pPr>
              <w:jc w:val="center"/>
              <w:rPr>
                <w:rFonts w:cs="Times New Roman"/>
                <w:color w:val="000000"/>
              </w:rPr>
            </w:pPr>
            <w:r w:rsidRPr="000237B3">
              <w:rPr>
                <w:rFonts w:cs="Times New Roman"/>
                <w:color w:val="000000"/>
              </w:rPr>
              <w:t>11</w:t>
            </w:r>
          </w:p>
        </w:tc>
        <w:tc>
          <w:tcPr>
            <w:tcW w:w="4848"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B35A90">
            <w:pPr>
              <w:jc w:val="both"/>
              <w:rPr>
                <w:rFonts w:cs="Times New Roman"/>
              </w:rPr>
            </w:pPr>
            <w:r w:rsidRPr="000237B3">
              <w:rPr>
                <w:rFonts w:cs="Times New Roman"/>
              </w:rPr>
              <w:t>Noslēgti dzīvokļa īpašumu un viendzīvokļa dzīvojamo māju</w:t>
            </w:r>
            <w:r>
              <w:rPr>
                <w:rFonts w:cs="Times New Roman"/>
              </w:rPr>
              <w:t xml:space="preserve"> privatizācijas</w:t>
            </w:r>
            <w:r w:rsidRPr="000237B3">
              <w:rPr>
                <w:rFonts w:cs="Times New Roman"/>
              </w:rPr>
              <w:t xml:space="preserve"> pirkuma līgumi</w:t>
            </w:r>
          </w:p>
        </w:tc>
        <w:tc>
          <w:tcPr>
            <w:tcW w:w="1459"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60</w:t>
            </w:r>
          </w:p>
        </w:tc>
        <w:tc>
          <w:tcPr>
            <w:tcW w:w="1270" w:type="dxa"/>
            <w:tcBorders>
              <w:top w:val="single" w:sz="4" w:space="0" w:color="auto"/>
              <w:left w:val="nil"/>
              <w:bottom w:val="single" w:sz="4" w:space="0" w:color="auto"/>
              <w:right w:val="single" w:sz="4" w:space="0" w:color="auto"/>
            </w:tcBorders>
          </w:tcPr>
          <w:p w:rsidR="00652C97" w:rsidRPr="00652C97" w:rsidRDefault="00652C97" w:rsidP="0028515A">
            <w:pPr>
              <w:jc w:val="center"/>
              <w:rPr>
                <w:rFonts w:cs="Times New Roman"/>
                <w:color w:val="000000"/>
              </w:rPr>
            </w:pPr>
            <w:r w:rsidRPr="00652C97">
              <w:rPr>
                <w:rFonts w:cs="Times New Roman"/>
                <w:color w:val="000000"/>
              </w:rPr>
              <w:t>47</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52C97" w:rsidRPr="000237B3" w:rsidRDefault="00652C97" w:rsidP="006F3F0F">
            <w:pPr>
              <w:jc w:val="center"/>
              <w:rPr>
                <w:rFonts w:cs="Times New Roman"/>
                <w:color w:val="000000"/>
              </w:rPr>
            </w:pPr>
            <w:r w:rsidRPr="000237B3">
              <w:rPr>
                <w:rFonts w:cs="Times New Roman"/>
                <w:color w:val="000000"/>
              </w:rPr>
              <w:lastRenderedPageBreak/>
              <w:t>12</w:t>
            </w:r>
          </w:p>
        </w:tc>
        <w:tc>
          <w:tcPr>
            <w:tcW w:w="4848"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B35A90">
            <w:pPr>
              <w:jc w:val="both"/>
              <w:rPr>
                <w:rFonts w:cs="Times New Roman"/>
              </w:rPr>
            </w:pPr>
            <w:r w:rsidRPr="000237B3">
              <w:rPr>
                <w:rFonts w:cs="Times New Roman"/>
              </w:rPr>
              <w:t>Pieņemtie lēmumi par valsts īpašuma objektu, valsts kapitāla daļu, apbūvētu (neapbūvētu) zemesgabalu privatizācijas pabeigšanu</w:t>
            </w:r>
          </w:p>
        </w:tc>
        <w:tc>
          <w:tcPr>
            <w:tcW w:w="1459"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65</w:t>
            </w:r>
          </w:p>
        </w:tc>
        <w:tc>
          <w:tcPr>
            <w:tcW w:w="1270" w:type="dxa"/>
            <w:tcBorders>
              <w:top w:val="single" w:sz="4" w:space="0" w:color="auto"/>
              <w:left w:val="nil"/>
              <w:bottom w:val="single" w:sz="4" w:space="0" w:color="auto"/>
              <w:right w:val="single" w:sz="4" w:space="0" w:color="auto"/>
            </w:tcBorders>
          </w:tcPr>
          <w:p w:rsidR="00652C97" w:rsidRPr="000237B3" w:rsidRDefault="00B079F9" w:rsidP="0028515A">
            <w:pPr>
              <w:jc w:val="center"/>
              <w:rPr>
                <w:rFonts w:cs="Times New Roman"/>
                <w:color w:val="000000"/>
              </w:rPr>
            </w:pPr>
            <w:r>
              <w:rPr>
                <w:rFonts w:cs="Times New Roman"/>
                <w:color w:val="000000"/>
              </w:rPr>
              <w:t>39</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52C97" w:rsidRPr="000237B3" w:rsidRDefault="00652C97" w:rsidP="006F3F0F">
            <w:pPr>
              <w:jc w:val="center"/>
              <w:rPr>
                <w:rFonts w:cs="Times New Roman"/>
                <w:color w:val="000000"/>
              </w:rPr>
            </w:pPr>
            <w:r w:rsidRPr="000237B3">
              <w:rPr>
                <w:rFonts w:cs="Times New Roman"/>
                <w:color w:val="000000"/>
              </w:rPr>
              <w:t>13</w:t>
            </w:r>
          </w:p>
        </w:tc>
        <w:tc>
          <w:tcPr>
            <w:tcW w:w="4848"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C478A2">
            <w:pPr>
              <w:jc w:val="both"/>
              <w:rPr>
                <w:rFonts w:cs="Times New Roman"/>
              </w:rPr>
            </w:pPr>
            <w:r w:rsidRPr="000237B3">
              <w:rPr>
                <w:rFonts w:cs="Times New Roman"/>
              </w:rPr>
              <w:t>Pieņemtie valsts kapitāla daļu pārdošanas noteikumi</w:t>
            </w:r>
          </w:p>
        </w:tc>
        <w:tc>
          <w:tcPr>
            <w:tcW w:w="1459"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3</w:t>
            </w:r>
          </w:p>
        </w:tc>
        <w:tc>
          <w:tcPr>
            <w:tcW w:w="1270" w:type="dxa"/>
            <w:tcBorders>
              <w:top w:val="single" w:sz="4" w:space="0" w:color="auto"/>
              <w:left w:val="nil"/>
              <w:bottom w:val="single" w:sz="4" w:space="0" w:color="auto"/>
              <w:right w:val="single" w:sz="4" w:space="0" w:color="auto"/>
            </w:tcBorders>
          </w:tcPr>
          <w:p w:rsidR="00652C97" w:rsidRPr="000237B3" w:rsidRDefault="00277ACC" w:rsidP="0028515A">
            <w:pPr>
              <w:jc w:val="center"/>
              <w:rPr>
                <w:rFonts w:cs="Times New Roman"/>
                <w:color w:val="000000"/>
              </w:rPr>
            </w:pPr>
            <w:r>
              <w:rPr>
                <w:rFonts w:cs="Times New Roman"/>
                <w:color w:val="000000"/>
              </w:rPr>
              <w:t>1</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52C97" w:rsidRPr="000237B3" w:rsidRDefault="00652C97" w:rsidP="006F3F0F">
            <w:pPr>
              <w:jc w:val="center"/>
              <w:rPr>
                <w:rFonts w:cs="Times New Roman"/>
                <w:color w:val="000000"/>
              </w:rPr>
            </w:pPr>
            <w:r w:rsidRPr="000237B3">
              <w:rPr>
                <w:rFonts w:cs="Times New Roman"/>
                <w:color w:val="000000"/>
              </w:rPr>
              <w:t>14</w:t>
            </w:r>
          </w:p>
        </w:tc>
        <w:tc>
          <w:tcPr>
            <w:tcW w:w="4848"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C478A2">
            <w:pPr>
              <w:jc w:val="both"/>
              <w:rPr>
                <w:rFonts w:cs="Times New Roman"/>
              </w:rPr>
            </w:pPr>
            <w:r w:rsidRPr="000237B3">
              <w:rPr>
                <w:rFonts w:cs="Times New Roman"/>
              </w:rPr>
              <w:t>Pašvaldību īpašumā nodotie dzīvokļu īpašumi</w:t>
            </w:r>
          </w:p>
        </w:tc>
        <w:tc>
          <w:tcPr>
            <w:tcW w:w="1459"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320</w:t>
            </w:r>
          </w:p>
        </w:tc>
        <w:tc>
          <w:tcPr>
            <w:tcW w:w="1270" w:type="dxa"/>
            <w:tcBorders>
              <w:top w:val="single" w:sz="4" w:space="0" w:color="auto"/>
              <w:left w:val="nil"/>
              <w:bottom w:val="single" w:sz="4" w:space="0" w:color="auto"/>
              <w:right w:val="single" w:sz="4" w:space="0" w:color="auto"/>
            </w:tcBorders>
          </w:tcPr>
          <w:p w:rsidR="00652C97" w:rsidRPr="000237B3" w:rsidRDefault="00652C97" w:rsidP="0028515A">
            <w:pPr>
              <w:jc w:val="center"/>
              <w:rPr>
                <w:rFonts w:cs="Times New Roman"/>
                <w:color w:val="000000"/>
              </w:rPr>
            </w:pPr>
            <w:r>
              <w:rPr>
                <w:rFonts w:cs="Times New Roman"/>
                <w:color w:val="000000"/>
              </w:rPr>
              <w:t>18</w:t>
            </w:r>
          </w:p>
        </w:tc>
      </w:tr>
      <w:tr w:rsidR="00652C97" w:rsidRPr="00426EEF" w:rsidTr="008152AE">
        <w:trPr>
          <w:trHeight w:val="20"/>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652C97" w:rsidRPr="000237B3" w:rsidRDefault="00652C97" w:rsidP="006F3F0F">
            <w:pPr>
              <w:jc w:val="center"/>
              <w:rPr>
                <w:rFonts w:cs="Times New Roman"/>
                <w:color w:val="000000"/>
              </w:rPr>
            </w:pPr>
            <w:r w:rsidRPr="000237B3">
              <w:rPr>
                <w:rFonts w:cs="Times New Roman"/>
                <w:color w:val="000000"/>
              </w:rPr>
              <w:t>15</w:t>
            </w:r>
          </w:p>
        </w:tc>
        <w:tc>
          <w:tcPr>
            <w:tcW w:w="4848"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6337D3">
            <w:pPr>
              <w:jc w:val="both"/>
              <w:rPr>
                <w:rFonts w:cs="Times New Roman"/>
              </w:rPr>
            </w:pPr>
            <w:r w:rsidRPr="000237B3">
              <w:rPr>
                <w:rFonts w:cs="Times New Roman"/>
              </w:rPr>
              <w:t>Privatizēto dzīvokļa īpašumu īpašniekiem pārvaldīšanā nodotās dzīvojamās mājas</w:t>
            </w:r>
          </w:p>
        </w:tc>
        <w:tc>
          <w:tcPr>
            <w:tcW w:w="1459" w:type="dxa"/>
            <w:tcBorders>
              <w:top w:val="single" w:sz="4" w:space="0" w:color="auto"/>
              <w:left w:val="nil"/>
              <w:bottom w:val="single" w:sz="4" w:space="0" w:color="auto"/>
              <w:right w:val="single" w:sz="4" w:space="0" w:color="auto"/>
            </w:tcBorders>
            <w:shd w:val="clear" w:color="auto" w:fill="auto"/>
            <w:vAlign w:val="center"/>
          </w:tcPr>
          <w:p w:rsidR="00652C97" w:rsidRPr="000237B3" w:rsidRDefault="00652C97" w:rsidP="0028515A">
            <w:pPr>
              <w:jc w:val="center"/>
              <w:rPr>
                <w:rFonts w:cs="Times New Roman"/>
                <w:color w:val="000000"/>
              </w:rPr>
            </w:pPr>
            <w:r w:rsidRPr="000237B3">
              <w:rPr>
                <w:rFonts w:cs="Times New Roman"/>
                <w:color w:val="000000"/>
              </w:rPr>
              <w:t>41</w:t>
            </w:r>
          </w:p>
        </w:tc>
        <w:tc>
          <w:tcPr>
            <w:tcW w:w="1270" w:type="dxa"/>
            <w:tcBorders>
              <w:top w:val="single" w:sz="4" w:space="0" w:color="auto"/>
              <w:left w:val="nil"/>
              <w:bottom w:val="single" w:sz="4" w:space="0" w:color="auto"/>
              <w:right w:val="single" w:sz="4" w:space="0" w:color="auto"/>
            </w:tcBorders>
          </w:tcPr>
          <w:p w:rsidR="00652C97" w:rsidRPr="000237B3" w:rsidRDefault="00652C97" w:rsidP="0028515A">
            <w:pPr>
              <w:jc w:val="center"/>
              <w:rPr>
                <w:rFonts w:cs="Times New Roman"/>
                <w:color w:val="000000"/>
              </w:rPr>
            </w:pPr>
            <w:r>
              <w:rPr>
                <w:rFonts w:cs="Times New Roman"/>
                <w:color w:val="000000"/>
              </w:rPr>
              <w:t>13</w:t>
            </w:r>
          </w:p>
        </w:tc>
      </w:tr>
    </w:tbl>
    <w:p w:rsidR="00354882" w:rsidRPr="00426EEF" w:rsidRDefault="00354882" w:rsidP="00354882">
      <w:pPr>
        <w:pStyle w:val="BodyText"/>
        <w:spacing w:after="0"/>
        <w:ind w:firstLine="720"/>
        <w:rPr>
          <w:rFonts w:cs="Times New Roman"/>
        </w:rPr>
      </w:pPr>
    </w:p>
    <w:p w:rsidR="00C0286D" w:rsidRPr="000237B3" w:rsidRDefault="00354882" w:rsidP="00C0286D">
      <w:pPr>
        <w:pStyle w:val="BodyText"/>
        <w:spacing w:after="0"/>
        <w:ind w:firstLine="720"/>
        <w:jc w:val="both"/>
        <w:rPr>
          <w:rFonts w:cs="Times New Roman"/>
          <w:sz w:val="28"/>
          <w:szCs w:val="28"/>
        </w:rPr>
      </w:pPr>
      <w:r w:rsidRPr="000237B3">
        <w:rPr>
          <w:rFonts w:cs="Times New Roman"/>
          <w:sz w:val="28"/>
          <w:szCs w:val="28"/>
        </w:rPr>
        <w:t xml:space="preserve">Ar Ministru kabineta rīkojumiem </w:t>
      </w:r>
      <w:r w:rsidR="00B46571">
        <w:rPr>
          <w:rFonts w:cs="Times New Roman"/>
          <w:sz w:val="28"/>
          <w:szCs w:val="28"/>
        </w:rPr>
        <w:t>uz 2013.gada 31.martu A</w:t>
      </w:r>
      <w:r w:rsidRPr="000237B3">
        <w:rPr>
          <w:rFonts w:cs="Times New Roman"/>
          <w:sz w:val="28"/>
          <w:szCs w:val="28"/>
        </w:rPr>
        <w:t xml:space="preserve">ģentūrai atļauts pārdot izsolē </w:t>
      </w:r>
      <w:r w:rsidR="00B46571" w:rsidRPr="000237B3">
        <w:rPr>
          <w:rFonts w:cs="Times New Roman"/>
          <w:sz w:val="28"/>
          <w:szCs w:val="28"/>
        </w:rPr>
        <w:t>2</w:t>
      </w:r>
      <w:r w:rsidR="00B46571">
        <w:rPr>
          <w:rFonts w:cs="Times New Roman"/>
          <w:sz w:val="28"/>
          <w:szCs w:val="28"/>
        </w:rPr>
        <w:t>21</w:t>
      </w:r>
      <w:r w:rsidR="00B46571" w:rsidRPr="000237B3">
        <w:rPr>
          <w:rFonts w:cs="Times New Roman"/>
          <w:sz w:val="28"/>
          <w:szCs w:val="28"/>
        </w:rPr>
        <w:t xml:space="preserve"> </w:t>
      </w:r>
      <w:r w:rsidRPr="000237B3">
        <w:rPr>
          <w:rFonts w:cs="Times New Roman"/>
          <w:sz w:val="28"/>
          <w:szCs w:val="28"/>
        </w:rPr>
        <w:t xml:space="preserve">dzīvokļa īpašumu, tostarp pašvaldību nepārņemtos neprivatizētos tukšos dzīvokļus un par bezmantinieku mantu atzītos dzīvokļa īpašumus un dzīvojamās mājas, to domājamās daļas. </w:t>
      </w:r>
      <w:r w:rsidR="00590C26">
        <w:rPr>
          <w:rFonts w:cs="Times New Roman"/>
          <w:sz w:val="28"/>
          <w:szCs w:val="28"/>
        </w:rPr>
        <w:t xml:space="preserve">2012.gadā </w:t>
      </w:r>
      <w:r w:rsidR="0033271A" w:rsidRPr="000237B3">
        <w:rPr>
          <w:rFonts w:cs="Times New Roman"/>
          <w:sz w:val="28"/>
          <w:szCs w:val="28"/>
        </w:rPr>
        <w:t>Aģentūra</w:t>
      </w:r>
      <w:r w:rsidRPr="000237B3">
        <w:rPr>
          <w:rFonts w:cs="Times New Roman"/>
          <w:sz w:val="28"/>
          <w:szCs w:val="28"/>
        </w:rPr>
        <w:t xml:space="preserve"> apstiprinājusi </w:t>
      </w:r>
      <w:r w:rsidR="002A6145" w:rsidRPr="000237B3">
        <w:rPr>
          <w:rFonts w:cs="Times New Roman"/>
          <w:sz w:val="28"/>
          <w:szCs w:val="28"/>
        </w:rPr>
        <w:t>58</w:t>
      </w:r>
      <w:r w:rsidRPr="000237B3">
        <w:rPr>
          <w:rFonts w:cs="Times New Roman"/>
          <w:sz w:val="28"/>
          <w:szCs w:val="28"/>
        </w:rPr>
        <w:t xml:space="preserve"> dzīvokļa īpašumu, dzīvojamo māju, to domājamo daļu izsoles noteikumus un atsavināšanas paziņojumus īrniekiem, kā arī noslēgusi </w:t>
      </w:r>
      <w:r w:rsidR="002A6145" w:rsidRPr="000237B3">
        <w:rPr>
          <w:rFonts w:cs="Times New Roman"/>
          <w:sz w:val="28"/>
          <w:szCs w:val="28"/>
        </w:rPr>
        <w:t xml:space="preserve">20 </w:t>
      </w:r>
      <w:r w:rsidRPr="000237B3">
        <w:rPr>
          <w:rFonts w:cs="Times New Roman"/>
          <w:sz w:val="28"/>
          <w:szCs w:val="28"/>
        </w:rPr>
        <w:t xml:space="preserve">atsavināmo dzīvokļa īpašumu pirkuma līgumus par kopējo summu </w:t>
      </w:r>
      <w:r w:rsidR="002A6145" w:rsidRPr="000237B3">
        <w:rPr>
          <w:rFonts w:cs="Times New Roman"/>
          <w:sz w:val="28"/>
          <w:szCs w:val="28"/>
        </w:rPr>
        <w:t>53 525</w:t>
      </w:r>
      <w:r w:rsidRPr="000237B3">
        <w:rPr>
          <w:rFonts w:cs="Times New Roman"/>
          <w:sz w:val="28"/>
          <w:szCs w:val="28"/>
        </w:rPr>
        <w:t xml:space="preserve"> </w:t>
      </w:r>
      <w:r w:rsidR="000D28AD" w:rsidRPr="000237B3">
        <w:rPr>
          <w:rFonts w:cs="Times New Roman"/>
          <w:sz w:val="28"/>
          <w:szCs w:val="28"/>
        </w:rPr>
        <w:t>lati</w:t>
      </w:r>
      <w:r w:rsidRPr="000237B3">
        <w:rPr>
          <w:rFonts w:cs="Times New Roman"/>
          <w:sz w:val="28"/>
          <w:szCs w:val="28"/>
        </w:rPr>
        <w:t xml:space="preserve">. </w:t>
      </w:r>
      <w:r w:rsidR="001273EA" w:rsidRPr="001273EA">
        <w:rPr>
          <w:rFonts w:cs="Times New Roman"/>
          <w:sz w:val="28"/>
          <w:szCs w:val="28"/>
        </w:rPr>
        <w:t xml:space="preserve">2013.gada </w:t>
      </w:r>
      <w:r w:rsidR="00590C26">
        <w:rPr>
          <w:rFonts w:cs="Times New Roman"/>
          <w:sz w:val="28"/>
          <w:szCs w:val="28"/>
        </w:rPr>
        <w:t>I ceturksnī</w:t>
      </w:r>
      <w:r w:rsidR="001273EA" w:rsidRPr="001273EA">
        <w:rPr>
          <w:rFonts w:cs="Times New Roman"/>
          <w:sz w:val="28"/>
          <w:szCs w:val="28"/>
        </w:rPr>
        <w:t xml:space="preserve"> apstiprināti 28 dzīvokļa īpašumu, dzīvojamo māju, to domājamo daļu izsoles noteikumi, kā arī noslēgti 6 atsavināmo dzīvokļa īpašumu un dzīvojamo māju pirkuma līgumi par kopējo summu 28 890 lati.</w:t>
      </w:r>
    </w:p>
    <w:p w:rsidR="00C0286D" w:rsidRPr="000237B3" w:rsidRDefault="00C0286D" w:rsidP="00C0286D">
      <w:pPr>
        <w:pStyle w:val="BodyText"/>
        <w:spacing w:after="0"/>
        <w:ind w:firstLine="720"/>
        <w:jc w:val="both"/>
        <w:rPr>
          <w:rFonts w:cs="Times New Roman"/>
          <w:sz w:val="28"/>
          <w:szCs w:val="28"/>
        </w:rPr>
      </w:pPr>
      <w:r w:rsidRPr="000237B3">
        <w:rPr>
          <w:sz w:val="28"/>
          <w:szCs w:val="28"/>
        </w:rPr>
        <w:t>2012. gad</w:t>
      </w:r>
      <w:r w:rsidR="000B1AC7" w:rsidRPr="000237B3">
        <w:rPr>
          <w:sz w:val="28"/>
          <w:szCs w:val="28"/>
        </w:rPr>
        <w:t>ā</w:t>
      </w:r>
      <w:r w:rsidRPr="000237B3">
        <w:rPr>
          <w:sz w:val="28"/>
          <w:szCs w:val="28"/>
        </w:rPr>
        <w:t xml:space="preserve"> </w:t>
      </w:r>
      <w:r w:rsidR="0033271A" w:rsidRPr="000237B3">
        <w:rPr>
          <w:sz w:val="28"/>
          <w:szCs w:val="28"/>
        </w:rPr>
        <w:t>Aģentūra</w:t>
      </w:r>
      <w:r w:rsidRPr="000237B3">
        <w:rPr>
          <w:sz w:val="28"/>
          <w:szCs w:val="28"/>
        </w:rPr>
        <w:t xml:space="preserve"> ir noslēgusi </w:t>
      </w:r>
      <w:r w:rsidR="00A329CC" w:rsidRPr="000237B3">
        <w:rPr>
          <w:sz w:val="28"/>
          <w:szCs w:val="28"/>
        </w:rPr>
        <w:t xml:space="preserve">102 </w:t>
      </w:r>
      <w:r w:rsidRPr="000237B3">
        <w:rPr>
          <w:sz w:val="28"/>
          <w:szCs w:val="28"/>
        </w:rPr>
        <w:t xml:space="preserve">līgumus par kopējo summu </w:t>
      </w:r>
      <w:r w:rsidR="00A329CC" w:rsidRPr="000237B3">
        <w:rPr>
          <w:sz w:val="28"/>
          <w:szCs w:val="28"/>
        </w:rPr>
        <w:t>3,59</w:t>
      </w:r>
      <w:r w:rsidRPr="000237B3">
        <w:rPr>
          <w:sz w:val="28"/>
          <w:szCs w:val="28"/>
        </w:rPr>
        <w:t xml:space="preserve"> milj. lati, no tiem:</w:t>
      </w:r>
    </w:p>
    <w:p w:rsidR="00C0286D" w:rsidRPr="000237B3" w:rsidRDefault="00A329CC" w:rsidP="00004894">
      <w:pPr>
        <w:numPr>
          <w:ilvl w:val="0"/>
          <w:numId w:val="2"/>
        </w:numPr>
        <w:ind w:hanging="357"/>
        <w:jc w:val="both"/>
        <w:rPr>
          <w:rFonts w:cs="Times New Roman"/>
          <w:sz w:val="28"/>
          <w:szCs w:val="28"/>
        </w:rPr>
      </w:pPr>
      <w:r w:rsidRPr="000237B3">
        <w:rPr>
          <w:rFonts w:cs="Times New Roman"/>
          <w:sz w:val="28"/>
          <w:szCs w:val="28"/>
        </w:rPr>
        <w:t>68</w:t>
      </w:r>
      <w:r w:rsidR="00C0286D" w:rsidRPr="000237B3">
        <w:rPr>
          <w:rFonts w:cs="Times New Roman"/>
          <w:sz w:val="28"/>
          <w:szCs w:val="28"/>
        </w:rPr>
        <w:t xml:space="preserve"> zemesgabalu pirkuma līgumu par kopējo summu 1,</w:t>
      </w:r>
      <w:r w:rsidRPr="000237B3">
        <w:rPr>
          <w:rFonts w:cs="Times New Roman"/>
          <w:sz w:val="28"/>
          <w:szCs w:val="28"/>
        </w:rPr>
        <w:t xml:space="preserve">02 </w:t>
      </w:r>
      <w:r w:rsidR="00C0286D" w:rsidRPr="000237B3">
        <w:rPr>
          <w:rFonts w:cs="Times New Roman"/>
          <w:sz w:val="28"/>
          <w:szCs w:val="28"/>
        </w:rPr>
        <w:t xml:space="preserve">milj. </w:t>
      </w:r>
      <w:r w:rsidRPr="000237B3">
        <w:rPr>
          <w:rFonts w:cs="Times New Roman"/>
          <w:sz w:val="28"/>
          <w:szCs w:val="28"/>
        </w:rPr>
        <w:t>latu</w:t>
      </w:r>
      <w:r w:rsidR="00C0286D" w:rsidRPr="000237B3">
        <w:rPr>
          <w:rFonts w:cs="Times New Roman"/>
          <w:sz w:val="28"/>
          <w:szCs w:val="28"/>
        </w:rPr>
        <w:t xml:space="preserve">; </w:t>
      </w:r>
    </w:p>
    <w:p w:rsidR="00C0286D" w:rsidRPr="000237B3" w:rsidRDefault="00A329CC" w:rsidP="00004894">
      <w:pPr>
        <w:numPr>
          <w:ilvl w:val="0"/>
          <w:numId w:val="2"/>
        </w:numPr>
        <w:ind w:hanging="357"/>
        <w:jc w:val="both"/>
        <w:rPr>
          <w:rFonts w:cs="Times New Roman"/>
          <w:sz w:val="28"/>
          <w:szCs w:val="28"/>
        </w:rPr>
      </w:pPr>
      <w:r w:rsidRPr="000237B3">
        <w:rPr>
          <w:rFonts w:cs="Times New Roman"/>
          <w:sz w:val="28"/>
          <w:szCs w:val="28"/>
        </w:rPr>
        <w:t xml:space="preserve">11 </w:t>
      </w:r>
      <w:r w:rsidR="00C0286D" w:rsidRPr="000237B3">
        <w:rPr>
          <w:rFonts w:cs="Times New Roman"/>
          <w:sz w:val="28"/>
          <w:szCs w:val="28"/>
        </w:rPr>
        <w:t>valsts nekustamā īpašuma objektu un tiem piekrītošo zemesgabalu pirkuma līgumus, par kopējo summu 2,</w:t>
      </w:r>
      <w:r w:rsidRPr="000237B3">
        <w:rPr>
          <w:rFonts w:cs="Times New Roman"/>
          <w:sz w:val="28"/>
          <w:szCs w:val="28"/>
        </w:rPr>
        <w:t xml:space="preserve">03 </w:t>
      </w:r>
      <w:r w:rsidR="00C0286D" w:rsidRPr="000237B3">
        <w:rPr>
          <w:rFonts w:cs="Times New Roman"/>
          <w:sz w:val="28"/>
          <w:szCs w:val="28"/>
        </w:rPr>
        <w:t xml:space="preserve">milj. </w:t>
      </w:r>
      <w:r w:rsidRPr="000237B3">
        <w:rPr>
          <w:rFonts w:cs="Times New Roman"/>
          <w:sz w:val="28"/>
          <w:szCs w:val="28"/>
        </w:rPr>
        <w:t>latu</w:t>
      </w:r>
      <w:r w:rsidR="00C0286D" w:rsidRPr="000237B3">
        <w:rPr>
          <w:rFonts w:cs="Times New Roman"/>
          <w:sz w:val="28"/>
          <w:szCs w:val="28"/>
        </w:rPr>
        <w:t>;</w:t>
      </w:r>
    </w:p>
    <w:p w:rsidR="00C0286D" w:rsidRPr="000237B3" w:rsidRDefault="002A6145" w:rsidP="00004894">
      <w:pPr>
        <w:numPr>
          <w:ilvl w:val="0"/>
          <w:numId w:val="2"/>
        </w:numPr>
        <w:ind w:hanging="357"/>
        <w:jc w:val="both"/>
        <w:rPr>
          <w:rFonts w:cs="Times New Roman"/>
          <w:sz w:val="28"/>
          <w:szCs w:val="28"/>
        </w:rPr>
      </w:pPr>
      <w:r w:rsidRPr="000237B3">
        <w:rPr>
          <w:rFonts w:cs="Times New Roman"/>
          <w:sz w:val="28"/>
          <w:szCs w:val="28"/>
        </w:rPr>
        <w:t xml:space="preserve">20 </w:t>
      </w:r>
      <w:r w:rsidR="00C0286D" w:rsidRPr="000237B3">
        <w:rPr>
          <w:rFonts w:cs="Times New Roman"/>
          <w:sz w:val="28"/>
          <w:szCs w:val="28"/>
        </w:rPr>
        <w:t>dzīvokļu atsavināšanas līgumus par kopējo summu 0,0</w:t>
      </w:r>
      <w:r w:rsidRPr="000237B3">
        <w:rPr>
          <w:rFonts w:cs="Times New Roman"/>
          <w:sz w:val="28"/>
          <w:szCs w:val="28"/>
        </w:rPr>
        <w:t>5</w:t>
      </w:r>
      <w:r w:rsidR="00C0286D" w:rsidRPr="000237B3">
        <w:rPr>
          <w:rFonts w:cs="Times New Roman"/>
          <w:sz w:val="28"/>
          <w:szCs w:val="28"/>
        </w:rPr>
        <w:t xml:space="preserve"> milj. </w:t>
      </w:r>
      <w:r w:rsidR="00A329CC" w:rsidRPr="000237B3">
        <w:rPr>
          <w:rFonts w:cs="Times New Roman"/>
          <w:sz w:val="28"/>
          <w:szCs w:val="28"/>
        </w:rPr>
        <w:t>latu;</w:t>
      </w:r>
    </w:p>
    <w:p w:rsidR="000B1AC7" w:rsidRPr="000237B3" w:rsidRDefault="000B1AC7" w:rsidP="00004894">
      <w:pPr>
        <w:numPr>
          <w:ilvl w:val="0"/>
          <w:numId w:val="2"/>
        </w:numPr>
        <w:ind w:hanging="357"/>
        <w:jc w:val="both"/>
        <w:rPr>
          <w:rFonts w:cs="Times New Roman"/>
          <w:sz w:val="28"/>
          <w:szCs w:val="28"/>
        </w:rPr>
      </w:pPr>
      <w:r w:rsidRPr="000237B3">
        <w:rPr>
          <w:rFonts w:cs="Times New Roman"/>
          <w:sz w:val="28"/>
          <w:szCs w:val="28"/>
        </w:rPr>
        <w:t xml:space="preserve">3 valsts kapitāla daļu pirkuma līgumus par kopējo summu </w:t>
      </w:r>
      <w:r w:rsidR="00A329CC" w:rsidRPr="000237B3">
        <w:rPr>
          <w:rFonts w:cs="Times New Roman"/>
          <w:sz w:val="28"/>
          <w:szCs w:val="28"/>
        </w:rPr>
        <w:t>0,</w:t>
      </w:r>
      <w:r w:rsidRPr="000237B3">
        <w:rPr>
          <w:rFonts w:cs="Times New Roman"/>
          <w:sz w:val="28"/>
          <w:szCs w:val="28"/>
        </w:rPr>
        <w:t>49</w:t>
      </w:r>
      <w:r w:rsidR="00A329CC" w:rsidRPr="000237B3">
        <w:rPr>
          <w:rFonts w:cs="Times New Roman"/>
          <w:sz w:val="28"/>
          <w:szCs w:val="28"/>
        </w:rPr>
        <w:t xml:space="preserve"> milj.</w:t>
      </w:r>
      <w:r w:rsidRPr="000237B3">
        <w:rPr>
          <w:rFonts w:cs="Times New Roman"/>
          <w:sz w:val="28"/>
          <w:szCs w:val="28"/>
        </w:rPr>
        <w:t xml:space="preserve">latu. </w:t>
      </w:r>
    </w:p>
    <w:p w:rsidR="009F38BE" w:rsidRDefault="009F38BE" w:rsidP="009F38BE">
      <w:pPr>
        <w:ind w:firstLine="720"/>
        <w:jc w:val="both"/>
        <w:rPr>
          <w:sz w:val="28"/>
          <w:szCs w:val="28"/>
        </w:rPr>
      </w:pPr>
      <w:r>
        <w:rPr>
          <w:sz w:val="28"/>
          <w:szCs w:val="28"/>
        </w:rPr>
        <w:t>2013. gada I ceturksnī Aģentūra ir noslēgusi 16 līgumus par kopējo summu 0,7 milj. lati, no tiem:</w:t>
      </w:r>
      <w:r>
        <w:rPr>
          <w:rStyle w:val="CommentReference"/>
          <w:sz w:val="20"/>
          <w:szCs w:val="20"/>
        </w:rPr>
        <w:t> </w:t>
      </w:r>
      <w:r>
        <w:rPr>
          <w:sz w:val="16"/>
          <w:szCs w:val="16"/>
        </w:rPr>
        <w:t> </w:t>
      </w:r>
      <w:r>
        <w:rPr>
          <w:rStyle w:val="CommentReference"/>
          <w:sz w:val="20"/>
          <w:szCs w:val="20"/>
        </w:rPr>
        <w:t> </w:t>
      </w:r>
      <w:r>
        <w:rPr>
          <w:sz w:val="16"/>
          <w:szCs w:val="16"/>
        </w:rPr>
        <w:t> </w:t>
      </w:r>
    </w:p>
    <w:p w:rsidR="009F38BE" w:rsidRPr="009F38BE" w:rsidRDefault="009F38BE" w:rsidP="009F38BE">
      <w:pPr>
        <w:numPr>
          <w:ilvl w:val="0"/>
          <w:numId w:val="2"/>
        </w:numPr>
        <w:ind w:hanging="357"/>
        <w:jc w:val="both"/>
        <w:rPr>
          <w:rFonts w:cs="Times New Roman"/>
          <w:sz w:val="28"/>
          <w:szCs w:val="28"/>
        </w:rPr>
      </w:pPr>
      <w:r w:rsidRPr="009F38BE">
        <w:rPr>
          <w:rFonts w:cs="Times New Roman"/>
          <w:sz w:val="28"/>
          <w:szCs w:val="28"/>
        </w:rPr>
        <w:t xml:space="preserve">7 zemesgabalu pirkuma līgumu par kopējo summu 0,04 milj. latu; </w:t>
      </w:r>
    </w:p>
    <w:p w:rsidR="009F38BE" w:rsidRPr="0006152D" w:rsidRDefault="009F38BE" w:rsidP="009F38BE">
      <w:pPr>
        <w:numPr>
          <w:ilvl w:val="0"/>
          <w:numId w:val="2"/>
        </w:numPr>
        <w:ind w:hanging="357"/>
        <w:jc w:val="both"/>
        <w:rPr>
          <w:rFonts w:cs="Times New Roman"/>
          <w:sz w:val="28"/>
          <w:szCs w:val="28"/>
        </w:rPr>
      </w:pPr>
      <w:r w:rsidRPr="0006152D">
        <w:rPr>
          <w:rFonts w:cs="Times New Roman"/>
          <w:sz w:val="28"/>
          <w:szCs w:val="28"/>
        </w:rPr>
        <w:t>3 valsts nekustamā īpašuma objektu un tiem piekrītošo zemesgabalu pirkuma līgumus, par kopējo summu 0,63 milj. latu;</w:t>
      </w:r>
    </w:p>
    <w:p w:rsidR="009F38BE" w:rsidRPr="00860319" w:rsidRDefault="009F38BE" w:rsidP="009F38BE">
      <w:pPr>
        <w:numPr>
          <w:ilvl w:val="0"/>
          <w:numId w:val="2"/>
        </w:numPr>
        <w:ind w:hanging="357"/>
        <w:jc w:val="both"/>
        <w:rPr>
          <w:rFonts w:cs="Times New Roman"/>
          <w:sz w:val="28"/>
          <w:szCs w:val="28"/>
        </w:rPr>
      </w:pPr>
      <w:r w:rsidRPr="00860319">
        <w:rPr>
          <w:rFonts w:cs="Times New Roman"/>
          <w:sz w:val="28"/>
          <w:szCs w:val="28"/>
        </w:rPr>
        <w:t>6 dzīvokļu atsavināšanas līgumus par kopējo summu 0,03 milj. latu.</w:t>
      </w:r>
    </w:p>
    <w:p w:rsidR="00EB2721" w:rsidRPr="000237B3" w:rsidRDefault="00EB2721" w:rsidP="00A21A34">
      <w:pPr>
        <w:jc w:val="right"/>
        <w:rPr>
          <w:rFonts w:cs="Times New Roman"/>
          <w:sz w:val="28"/>
          <w:szCs w:val="28"/>
        </w:rPr>
      </w:pPr>
    </w:p>
    <w:p w:rsidR="008816FE" w:rsidRDefault="008816FE" w:rsidP="00A21A34">
      <w:pPr>
        <w:jc w:val="right"/>
        <w:rPr>
          <w:rFonts w:cs="Times New Roman"/>
          <w:sz w:val="28"/>
          <w:szCs w:val="28"/>
        </w:rPr>
      </w:pPr>
    </w:p>
    <w:p w:rsidR="008816FE" w:rsidRDefault="008816FE" w:rsidP="00A21A34">
      <w:pPr>
        <w:jc w:val="right"/>
        <w:rPr>
          <w:rFonts w:cs="Times New Roman"/>
          <w:sz w:val="28"/>
          <w:szCs w:val="28"/>
        </w:rPr>
      </w:pPr>
    </w:p>
    <w:p w:rsidR="008816FE" w:rsidRDefault="008816FE" w:rsidP="00A21A34">
      <w:pPr>
        <w:jc w:val="right"/>
        <w:rPr>
          <w:rFonts w:cs="Times New Roman"/>
          <w:sz w:val="28"/>
          <w:szCs w:val="28"/>
        </w:rPr>
      </w:pPr>
    </w:p>
    <w:p w:rsidR="008816FE" w:rsidRDefault="008816FE" w:rsidP="00A21A34">
      <w:pPr>
        <w:jc w:val="right"/>
        <w:rPr>
          <w:rFonts w:cs="Times New Roman"/>
          <w:sz w:val="28"/>
          <w:szCs w:val="28"/>
        </w:rPr>
      </w:pPr>
    </w:p>
    <w:p w:rsidR="00A21A34" w:rsidRPr="000237B3" w:rsidRDefault="00A21A34" w:rsidP="00A21A34">
      <w:pPr>
        <w:jc w:val="right"/>
        <w:rPr>
          <w:b/>
          <w:i/>
          <w:sz w:val="28"/>
          <w:szCs w:val="28"/>
          <w:u w:val="single"/>
        </w:rPr>
      </w:pPr>
      <w:r w:rsidRPr="000237B3">
        <w:rPr>
          <w:rFonts w:cs="Times New Roman"/>
          <w:sz w:val="28"/>
          <w:szCs w:val="28"/>
        </w:rPr>
        <w:t>Tabula Nr.2</w:t>
      </w:r>
    </w:p>
    <w:p w:rsidR="00A21A34" w:rsidRPr="000237B3" w:rsidRDefault="00A21A34" w:rsidP="00A21A34">
      <w:pPr>
        <w:jc w:val="center"/>
        <w:rPr>
          <w:b/>
          <w:sz w:val="28"/>
          <w:szCs w:val="28"/>
        </w:rPr>
      </w:pPr>
      <w:r w:rsidRPr="000237B3">
        <w:rPr>
          <w:b/>
          <w:sz w:val="28"/>
          <w:szCs w:val="28"/>
        </w:rPr>
        <w:t>Valsts budžetā pārskaitītie un tiem pielīdzināmie maksājumi</w:t>
      </w:r>
      <w:r w:rsidR="008152AE">
        <w:rPr>
          <w:b/>
          <w:sz w:val="28"/>
          <w:szCs w:val="28"/>
        </w:rPr>
        <w:t xml:space="preserve"> </w:t>
      </w:r>
      <w:r w:rsidRPr="000237B3">
        <w:rPr>
          <w:b/>
          <w:sz w:val="28"/>
          <w:szCs w:val="28"/>
        </w:rPr>
        <w:t xml:space="preserve"> (latos)</w:t>
      </w:r>
    </w:p>
    <w:tbl>
      <w:tblPr>
        <w:tblpPr w:leftFromText="180" w:rightFromText="180" w:vertAnchor="text" w:horzAnchor="margin" w:tblpXSpec="center" w:tblpY="19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8"/>
        <w:gridCol w:w="1559"/>
        <w:gridCol w:w="1559"/>
        <w:gridCol w:w="1418"/>
        <w:gridCol w:w="1418"/>
      </w:tblGrid>
      <w:tr w:rsidR="009F38BE" w:rsidRPr="000237B3" w:rsidTr="008152AE">
        <w:trPr>
          <w:trHeight w:val="20"/>
        </w:trPr>
        <w:tc>
          <w:tcPr>
            <w:tcW w:w="2093" w:type="dxa"/>
            <w:shd w:val="clear" w:color="auto" w:fill="1F497D" w:themeFill="text2"/>
          </w:tcPr>
          <w:p w:rsidR="009F38BE" w:rsidRPr="000237B3" w:rsidRDefault="009F38BE" w:rsidP="008152AE">
            <w:pPr>
              <w:jc w:val="center"/>
              <w:rPr>
                <w:rFonts w:cs="Times New Roman"/>
                <w:b/>
                <w:bCs/>
                <w:color w:val="FFFFFF" w:themeColor="background1"/>
                <w:lang w:eastAsia="ja-JP"/>
              </w:rPr>
            </w:pPr>
            <w:r w:rsidRPr="000237B3">
              <w:rPr>
                <w:rFonts w:cs="Times New Roman"/>
                <w:b/>
                <w:bCs/>
                <w:color w:val="FFFFFF" w:themeColor="background1"/>
                <w:lang w:eastAsia="ja-JP"/>
              </w:rPr>
              <w:t>Pozīcijas nosaukums</w:t>
            </w:r>
          </w:p>
        </w:tc>
        <w:tc>
          <w:tcPr>
            <w:tcW w:w="1418" w:type="dxa"/>
            <w:shd w:val="clear" w:color="auto" w:fill="1F497D" w:themeFill="text2"/>
          </w:tcPr>
          <w:p w:rsidR="009F38BE" w:rsidRPr="000237B3" w:rsidRDefault="009F38BE" w:rsidP="008152AE">
            <w:pPr>
              <w:jc w:val="center"/>
              <w:rPr>
                <w:rFonts w:cs="Times New Roman"/>
                <w:b/>
                <w:bCs/>
                <w:color w:val="FFFFFF" w:themeColor="background1"/>
                <w:lang w:eastAsia="ja-JP"/>
              </w:rPr>
            </w:pPr>
            <w:r w:rsidRPr="000237B3">
              <w:rPr>
                <w:rFonts w:cs="Times New Roman"/>
                <w:b/>
                <w:bCs/>
                <w:color w:val="FFFFFF" w:themeColor="background1"/>
                <w:lang w:eastAsia="ja-JP"/>
              </w:rPr>
              <w:t>2009</w:t>
            </w:r>
          </w:p>
        </w:tc>
        <w:tc>
          <w:tcPr>
            <w:tcW w:w="1559" w:type="dxa"/>
            <w:shd w:val="clear" w:color="auto" w:fill="1F497D" w:themeFill="text2"/>
          </w:tcPr>
          <w:p w:rsidR="009F38BE" w:rsidRPr="000237B3" w:rsidRDefault="009F38BE" w:rsidP="008152AE">
            <w:pPr>
              <w:jc w:val="center"/>
              <w:rPr>
                <w:rFonts w:cs="Times New Roman"/>
                <w:b/>
                <w:bCs/>
                <w:color w:val="FFFFFF" w:themeColor="background1"/>
                <w:lang w:eastAsia="ja-JP"/>
              </w:rPr>
            </w:pPr>
            <w:r w:rsidRPr="000237B3">
              <w:rPr>
                <w:rFonts w:cs="Times New Roman"/>
                <w:b/>
                <w:bCs/>
                <w:color w:val="FFFFFF" w:themeColor="background1"/>
                <w:lang w:eastAsia="ja-JP"/>
              </w:rPr>
              <w:t>2010</w:t>
            </w:r>
          </w:p>
        </w:tc>
        <w:tc>
          <w:tcPr>
            <w:tcW w:w="1559" w:type="dxa"/>
            <w:shd w:val="clear" w:color="auto" w:fill="1F497D" w:themeFill="text2"/>
          </w:tcPr>
          <w:p w:rsidR="009F38BE" w:rsidRPr="000237B3" w:rsidRDefault="009F38BE" w:rsidP="008152AE">
            <w:pPr>
              <w:jc w:val="center"/>
              <w:rPr>
                <w:rFonts w:cs="Times New Roman"/>
                <w:b/>
                <w:bCs/>
                <w:color w:val="FFFFFF" w:themeColor="background1"/>
                <w:lang w:eastAsia="ja-JP"/>
              </w:rPr>
            </w:pPr>
            <w:r w:rsidRPr="000237B3">
              <w:rPr>
                <w:rFonts w:cs="Times New Roman"/>
                <w:b/>
                <w:bCs/>
                <w:color w:val="FFFFFF" w:themeColor="background1"/>
                <w:lang w:eastAsia="ja-JP"/>
              </w:rPr>
              <w:t>2011</w:t>
            </w:r>
          </w:p>
        </w:tc>
        <w:tc>
          <w:tcPr>
            <w:tcW w:w="1418" w:type="dxa"/>
            <w:shd w:val="clear" w:color="auto" w:fill="1F497D" w:themeFill="text2"/>
          </w:tcPr>
          <w:p w:rsidR="009F38BE" w:rsidRPr="000237B3" w:rsidRDefault="009F38BE" w:rsidP="008152AE">
            <w:pPr>
              <w:jc w:val="center"/>
              <w:rPr>
                <w:rFonts w:cs="Times New Roman"/>
                <w:b/>
                <w:bCs/>
                <w:color w:val="FFFFFF" w:themeColor="background1"/>
                <w:lang w:eastAsia="ja-JP"/>
              </w:rPr>
            </w:pPr>
            <w:r w:rsidRPr="000237B3">
              <w:rPr>
                <w:rFonts w:cs="Times New Roman"/>
                <w:b/>
                <w:bCs/>
                <w:color w:val="FFFFFF" w:themeColor="background1"/>
                <w:lang w:eastAsia="ja-JP"/>
              </w:rPr>
              <w:t>2012</w:t>
            </w:r>
          </w:p>
        </w:tc>
        <w:tc>
          <w:tcPr>
            <w:tcW w:w="1418" w:type="dxa"/>
            <w:shd w:val="clear" w:color="auto" w:fill="1F497D" w:themeFill="text2"/>
          </w:tcPr>
          <w:p w:rsidR="009F38BE" w:rsidRDefault="009F38BE" w:rsidP="008152AE">
            <w:pPr>
              <w:jc w:val="center"/>
              <w:rPr>
                <w:rFonts w:cs="Times New Roman"/>
                <w:b/>
                <w:bCs/>
                <w:color w:val="FFFFFF" w:themeColor="background1"/>
                <w:lang w:eastAsia="ja-JP"/>
              </w:rPr>
            </w:pPr>
            <w:r>
              <w:rPr>
                <w:rFonts w:cs="Times New Roman"/>
                <w:b/>
                <w:bCs/>
                <w:color w:val="FFFFFF" w:themeColor="background1"/>
                <w:lang w:eastAsia="ja-JP"/>
              </w:rPr>
              <w:t>2013.gada</w:t>
            </w:r>
          </w:p>
          <w:p w:rsidR="009F38BE" w:rsidRPr="000237B3" w:rsidRDefault="009F38BE" w:rsidP="008152AE">
            <w:pPr>
              <w:jc w:val="center"/>
              <w:rPr>
                <w:rFonts w:cs="Times New Roman"/>
                <w:b/>
                <w:bCs/>
                <w:color w:val="FFFFFF" w:themeColor="background1"/>
                <w:lang w:eastAsia="ja-JP"/>
              </w:rPr>
            </w:pPr>
            <w:r>
              <w:rPr>
                <w:rFonts w:cs="Times New Roman"/>
                <w:b/>
                <w:bCs/>
                <w:color w:val="FFFFFF" w:themeColor="background1"/>
                <w:lang w:eastAsia="ja-JP"/>
              </w:rPr>
              <w:t>I cet</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lastRenderedPageBreak/>
              <w:t>Privatizācijas procesā gūtie līdzekļi</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5 891 020</w:t>
            </w:r>
          </w:p>
        </w:tc>
        <w:tc>
          <w:tcPr>
            <w:tcW w:w="1559" w:type="dxa"/>
            <w:shd w:val="clear" w:color="auto" w:fill="auto"/>
            <w:hideMark/>
          </w:tcPr>
          <w:p w:rsidR="001A5CEC" w:rsidRDefault="001A5CEC" w:rsidP="008152AE">
            <w:pPr>
              <w:rPr>
                <w:rFonts w:cs="Times New Roman"/>
                <w:b/>
                <w:bCs/>
                <w:color w:val="000000"/>
                <w:lang w:eastAsia="ja-JP"/>
              </w:rPr>
            </w:pPr>
            <w:r>
              <w:rPr>
                <w:rFonts w:cs="Times New Roman"/>
                <w:b/>
                <w:bCs/>
                <w:color w:val="000000"/>
                <w:lang w:eastAsia="ja-JP"/>
              </w:rPr>
              <w:t> </w:t>
            </w:r>
          </w:p>
          <w:p w:rsidR="009F38BE" w:rsidRPr="000237B3" w:rsidRDefault="001A5CEC" w:rsidP="008152AE">
            <w:pPr>
              <w:rPr>
                <w:rFonts w:cs="Times New Roman"/>
                <w:b/>
                <w:bCs/>
                <w:color w:val="000000"/>
                <w:lang w:eastAsia="ja-JP"/>
              </w:rPr>
            </w:pPr>
            <w:r>
              <w:rPr>
                <w:rFonts w:cs="Times New Roman"/>
                <w:b/>
                <w:bCs/>
                <w:color w:val="000000"/>
                <w:lang w:eastAsia="ja-JP"/>
              </w:rPr>
              <w:t>4 594 070</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5 586 116</w:t>
            </w:r>
          </w:p>
        </w:tc>
        <w:tc>
          <w:tcPr>
            <w:tcW w:w="1418" w:type="dxa"/>
            <w:shd w:val="clear" w:color="auto" w:fill="auto"/>
            <w:hideMark/>
          </w:tcPr>
          <w:p w:rsidR="009F38BE" w:rsidRDefault="001A5CEC" w:rsidP="001A5CEC">
            <w:pPr>
              <w:rPr>
                <w:rFonts w:cs="Times New Roman"/>
                <w:b/>
                <w:bCs/>
                <w:color w:val="000000"/>
                <w:lang w:eastAsia="ja-JP"/>
              </w:rPr>
            </w:pPr>
            <w:r>
              <w:rPr>
                <w:rFonts w:cs="Times New Roman"/>
                <w:b/>
                <w:bCs/>
                <w:color w:val="000000"/>
                <w:lang w:eastAsia="ja-JP"/>
              </w:rPr>
              <w:t>5 284 303</w:t>
            </w:r>
          </w:p>
          <w:p w:rsidR="001A5CEC" w:rsidRPr="000237B3" w:rsidRDefault="001A5CEC" w:rsidP="001A5CEC">
            <w:pPr>
              <w:rPr>
                <w:rFonts w:cs="Times New Roman"/>
                <w:b/>
                <w:bCs/>
                <w:color w:val="000000"/>
                <w:lang w:eastAsia="ja-JP"/>
              </w:rPr>
            </w:pPr>
          </w:p>
        </w:tc>
        <w:tc>
          <w:tcPr>
            <w:tcW w:w="1418" w:type="dxa"/>
          </w:tcPr>
          <w:p w:rsidR="009F38BE" w:rsidRPr="000237B3" w:rsidRDefault="009F38BE" w:rsidP="008152AE">
            <w:pPr>
              <w:rPr>
                <w:rFonts w:cs="Times New Roman"/>
                <w:b/>
                <w:bCs/>
                <w:color w:val="000000"/>
                <w:lang w:eastAsia="ja-JP"/>
              </w:rPr>
            </w:pPr>
            <w:r>
              <w:rPr>
                <w:b/>
                <w:bCs/>
                <w:color w:val="000000"/>
                <w:lang w:eastAsia="ja-JP"/>
              </w:rPr>
              <w:t>1 475 833</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 xml:space="preserve">Pārskaitījumi valsts budžetā </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0 </w:t>
            </w:r>
          </w:p>
        </w:tc>
        <w:tc>
          <w:tcPr>
            <w:tcW w:w="1559" w:type="dxa"/>
            <w:shd w:val="clear" w:color="auto" w:fill="auto"/>
            <w:hideMark/>
          </w:tcPr>
          <w:p w:rsidR="009F38BE" w:rsidRDefault="001A5CEC" w:rsidP="008152AE">
            <w:pPr>
              <w:rPr>
                <w:rFonts w:cs="Times New Roman"/>
                <w:iCs/>
                <w:color w:val="000000"/>
                <w:lang w:eastAsia="ja-JP"/>
              </w:rPr>
            </w:pPr>
            <w:r>
              <w:rPr>
                <w:rFonts w:cs="Times New Roman"/>
                <w:iCs/>
                <w:color w:val="000000"/>
                <w:lang w:eastAsia="ja-JP"/>
              </w:rPr>
              <w:t> </w:t>
            </w:r>
          </w:p>
          <w:p w:rsidR="001A5CEC" w:rsidRPr="000237B3" w:rsidRDefault="001A5CEC" w:rsidP="008152AE">
            <w:pPr>
              <w:rPr>
                <w:rFonts w:cs="Times New Roman"/>
                <w:iCs/>
                <w:color w:val="000000"/>
                <w:lang w:eastAsia="ja-JP"/>
              </w:rPr>
            </w:pPr>
            <w:r>
              <w:rPr>
                <w:rFonts w:cs="Times New Roman"/>
                <w:iCs/>
                <w:color w:val="000000"/>
                <w:lang w:eastAsia="ja-JP"/>
              </w:rPr>
              <w:t>1 507 026</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5 479 676</w:t>
            </w:r>
          </w:p>
        </w:tc>
        <w:tc>
          <w:tcPr>
            <w:tcW w:w="1418" w:type="dxa"/>
            <w:shd w:val="clear" w:color="auto" w:fill="auto"/>
            <w:hideMark/>
          </w:tcPr>
          <w:p w:rsidR="009F38BE" w:rsidRPr="000237B3" w:rsidRDefault="001A5CEC" w:rsidP="001A5CEC">
            <w:pPr>
              <w:rPr>
                <w:rFonts w:cs="Times New Roman"/>
                <w:iCs/>
                <w:color w:val="000000"/>
                <w:lang w:eastAsia="ja-JP"/>
              </w:rPr>
            </w:pPr>
            <w:r>
              <w:rPr>
                <w:rFonts w:cs="Times New Roman"/>
                <w:iCs/>
                <w:color w:val="000000"/>
                <w:lang w:eastAsia="ja-JP"/>
              </w:rPr>
              <w:t xml:space="preserve">5 282 783 </w:t>
            </w:r>
          </w:p>
        </w:tc>
        <w:tc>
          <w:tcPr>
            <w:tcW w:w="1418" w:type="dxa"/>
          </w:tcPr>
          <w:p w:rsidR="009F38BE" w:rsidRPr="000237B3" w:rsidRDefault="009F38BE" w:rsidP="008152AE">
            <w:pPr>
              <w:rPr>
                <w:rFonts w:cs="Times New Roman"/>
                <w:iCs/>
                <w:color w:val="000000"/>
                <w:lang w:eastAsia="ja-JP"/>
              </w:rPr>
            </w:pPr>
            <w:r>
              <w:rPr>
                <w:color w:val="000000"/>
                <w:lang w:eastAsia="ja-JP"/>
              </w:rPr>
              <w:t>1 464 477</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Pārskaitījumi pašvaldību īpašuma privatizācijas fondos</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1 650 239</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0 </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0 </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w:t>
            </w:r>
          </w:p>
        </w:tc>
        <w:tc>
          <w:tcPr>
            <w:tcW w:w="1418" w:type="dxa"/>
          </w:tcPr>
          <w:p w:rsidR="009F38BE" w:rsidRPr="000237B3" w:rsidRDefault="009F38BE" w:rsidP="008152AE">
            <w:pPr>
              <w:rPr>
                <w:rFonts w:cs="Times New Roman"/>
                <w:iCs/>
                <w:color w:val="000000"/>
                <w:lang w:eastAsia="ja-JP"/>
              </w:rPr>
            </w:pPr>
            <w:r>
              <w:rPr>
                <w:color w:val="000000"/>
                <w:lang w:eastAsia="ja-JP"/>
              </w:rPr>
              <w:t>0</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Pārskaitījumi atbilstoši Ministru kabineta rīkojumiem</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4 192 461</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3 031 573</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0 </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w:t>
            </w:r>
          </w:p>
        </w:tc>
        <w:tc>
          <w:tcPr>
            <w:tcW w:w="1418" w:type="dxa"/>
          </w:tcPr>
          <w:p w:rsidR="009F38BE" w:rsidRPr="000237B3" w:rsidRDefault="009F38BE" w:rsidP="008152AE">
            <w:pPr>
              <w:rPr>
                <w:rFonts w:cs="Times New Roman"/>
                <w:iCs/>
                <w:color w:val="000000"/>
                <w:lang w:eastAsia="ja-JP"/>
              </w:rPr>
            </w:pPr>
            <w:r>
              <w:rPr>
                <w:color w:val="000000"/>
                <w:lang w:eastAsia="ja-JP"/>
              </w:rPr>
              <w:t>0</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Izglītības uz zinātnes ministrijai</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48 320</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55 471</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106 440</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1520</w:t>
            </w:r>
          </w:p>
        </w:tc>
        <w:tc>
          <w:tcPr>
            <w:tcW w:w="1418" w:type="dxa"/>
          </w:tcPr>
          <w:p w:rsidR="009F38BE" w:rsidRPr="000237B3" w:rsidRDefault="009F38BE" w:rsidP="008152AE">
            <w:pPr>
              <w:rPr>
                <w:rFonts w:cs="Times New Roman"/>
                <w:iCs/>
                <w:color w:val="000000"/>
                <w:lang w:eastAsia="ja-JP"/>
              </w:rPr>
            </w:pPr>
            <w:r>
              <w:rPr>
                <w:color w:val="000000"/>
                <w:lang w:eastAsia="ja-JP"/>
              </w:rPr>
              <w:t>11356</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Līdzekļi no kapitāla daļu atsavināšanas</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43 662</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18 974</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5 263</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1872</w:t>
            </w:r>
          </w:p>
        </w:tc>
        <w:tc>
          <w:tcPr>
            <w:tcW w:w="1418" w:type="dxa"/>
          </w:tcPr>
          <w:p w:rsidR="009F38BE" w:rsidRPr="000237B3" w:rsidRDefault="009F38BE" w:rsidP="008152AE">
            <w:pPr>
              <w:rPr>
                <w:rFonts w:cs="Times New Roman"/>
                <w:b/>
                <w:bCs/>
                <w:color w:val="000000"/>
                <w:lang w:eastAsia="ja-JP"/>
              </w:rPr>
            </w:pPr>
            <w:r>
              <w:rPr>
                <w:b/>
                <w:bCs/>
                <w:color w:val="000000"/>
                <w:lang w:eastAsia="ja-JP"/>
              </w:rPr>
              <w:t>304 053</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Valsts pensiju speciālajā budžetā</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1 966</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5 263</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1872</w:t>
            </w:r>
          </w:p>
        </w:tc>
        <w:tc>
          <w:tcPr>
            <w:tcW w:w="1418" w:type="dxa"/>
          </w:tcPr>
          <w:p w:rsidR="009F38BE" w:rsidRPr="000237B3" w:rsidRDefault="009F38BE" w:rsidP="008152AE">
            <w:pPr>
              <w:rPr>
                <w:rFonts w:cs="Times New Roman"/>
                <w:iCs/>
                <w:color w:val="000000"/>
                <w:lang w:eastAsia="ja-JP"/>
              </w:rPr>
            </w:pPr>
            <w:r>
              <w:rPr>
                <w:color w:val="000000"/>
                <w:lang w:eastAsia="ja-JP"/>
              </w:rPr>
              <w:t>1 996</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Valsts budžetā</w:t>
            </w:r>
          </w:p>
        </w:tc>
        <w:tc>
          <w:tcPr>
            <w:tcW w:w="1418"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41 696</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18 974</w:t>
            </w:r>
          </w:p>
        </w:tc>
        <w:tc>
          <w:tcPr>
            <w:tcW w:w="1559" w:type="dxa"/>
            <w:shd w:val="clear" w:color="auto" w:fill="auto"/>
            <w:hideMark/>
          </w:tcPr>
          <w:p w:rsidR="009F38BE" w:rsidRPr="000237B3" w:rsidRDefault="009F38BE" w:rsidP="008152AE">
            <w:pPr>
              <w:rPr>
                <w:rFonts w:cs="Times New Roman"/>
                <w:iCs/>
                <w:color w:val="000000"/>
                <w:lang w:eastAsia="ja-JP"/>
              </w:rPr>
            </w:pPr>
            <w:r w:rsidRPr="000237B3">
              <w:rPr>
                <w:rFonts w:cs="Times New Roman"/>
                <w:iCs/>
                <w:color w:val="000000"/>
                <w:lang w:eastAsia="ja-JP"/>
              </w:rPr>
              <w:t>0</w:t>
            </w:r>
          </w:p>
        </w:tc>
        <w:tc>
          <w:tcPr>
            <w:tcW w:w="1418" w:type="dxa"/>
            <w:shd w:val="clear" w:color="auto" w:fill="auto"/>
            <w:hideMark/>
          </w:tcPr>
          <w:p w:rsidR="009F38BE" w:rsidRPr="000237B3" w:rsidRDefault="009F38BE" w:rsidP="008152AE">
            <w:pPr>
              <w:rPr>
                <w:rFonts w:cs="Times New Roman"/>
                <w:color w:val="000000"/>
                <w:lang w:eastAsia="ja-JP"/>
              </w:rPr>
            </w:pPr>
            <w:r w:rsidRPr="000237B3">
              <w:rPr>
                <w:rFonts w:cs="Times New Roman"/>
                <w:color w:val="000000"/>
                <w:lang w:eastAsia="ja-JP"/>
              </w:rPr>
              <w:t>0</w:t>
            </w:r>
          </w:p>
        </w:tc>
        <w:tc>
          <w:tcPr>
            <w:tcW w:w="1418" w:type="dxa"/>
          </w:tcPr>
          <w:p w:rsidR="009F38BE" w:rsidRPr="000237B3" w:rsidRDefault="009F38BE" w:rsidP="008152AE">
            <w:pPr>
              <w:rPr>
                <w:rFonts w:cs="Times New Roman"/>
                <w:color w:val="000000"/>
                <w:lang w:eastAsia="ja-JP"/>
              </w:rPr>
            </w:pPr>
            <w:r>
              <w:rPr>
                <w:color w:val="000000"/>
                <w:lang w:eastAsia="ja-JP"/>
              </w:rPr>
              <w:t>302 057</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 xml:space="preserve">Līdzekļi no nodokļu parādu kapitalizācijas </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25 615</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71 266</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4 504</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7314</w:t>
            </w:r>
          </w:p>
        </w:tc>
        <w:tc>
          <w:tcPr>
            <w:tcW w:w="1418" w:type="dxa"/>
          </w:tcPr>
          <w:p w:rsidR="009F38BE" w:rsidRPr="000237B3" w:rsidRDefault="009F38BE" w:rsidP="008152AE">
            <w:pPr>
              <w:rPr>
                <w:rFonts w:cs="Times New Roman"/>
                <w:b/>
                <w:bCs/>
                <w:color w:val="000000"/>
                <w:lang w:eastAsia="ja-JP"/>
              </w:rPr>
            </w:pPr>
            <w:r>
              <w:rPr>
                <w:b/>
                <w:bCs/>
                <w:color w:val="000000"/>
                <w:lang w:eastAsia="ja-JP"/>
              </w:rPr>
              <w:t>163</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Nekustamā īpašuma nomas maksa par ēkām un zemi</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523 039</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510 392</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444 946</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329311</w:t>
            </w:r>
          </w:p>
        </w:tc>
        <w:tc>
          <w:tcPr>
            <w:tcW w:w="1418" w:type="dxa"/>
          </w:tcPr>
          <w:p w:rsidR="009F38BE" w:rsidRPr="000237B3" w:rsidRDefault="009F38BE" w:rsidP="008152AE">
            <w:pPr>
              <w:rPr>
                <w:rFonts w:cs="Times New Roman"/>
                <w:b/>
                <w:bCs/>
                <w:color w:val="000000"/>
                <w:lang w:eastAsia="ja-JP"/>
              </w:rPr>
            </w:pPr>
            <w:r>
              <w:rPr>
                <w:b/>
                <w:bCs/>
                <w:color w:val="000000"/>
                <w:lang w:eastAsia="ja-JP"/>
              </w:rPr>
              <w:t>105897</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Uzņēmumu ienākuma nodoklis</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1 105 933</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0</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0</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0</w:t>
            </w:r>
          </w:p>
        </w:tc>
        <w:tc>
          <w:tcPr>
            <w:tcW w:w="1418" w:type="dxa"/>
          </w:tcPr>
          <w:p w:rsidR="009F38BE" w:rsidRPr="000237B3" w:rsidRDefault="009F38BE" w:rsidP="008152AE">
            <w:pPr>
              <w:rPr>
                <w:rFonts w:cs="Times New Roman"/>
                <w:b/>
                <w:bCs/>
                <w:color w:val="000000"/>
                <w:lang w:eastAsia="ja-JP"/>
              </w:rPr>
            </w:pPr>
            <w:r>
              <w:rPr>
                <w:b/>
                <w:bCs/>
                <w:color w:val="000000"/>
                <w:lang w:eastAsia="ja-JP"/>
              </w:rPr>
              <w:t>0</w:t>
            </w:r>
          </w:p>
        </w:tc>
      </w:tr>
      <w:tr w:rsidR="009F38BE" w:rsidRPr="000237B3" w:rsidTr="008152AE">
        <w:trPr>
          <w:trHeight w:val="20"/>
        </w:trPr>
        <w:tc>
          <w:tcPr>
            <w:tcW w:w="2093"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Dividendes</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3 119 039</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0</w:t>
            </w:r>
          </w:p>
        </w:tc>
        <w:tc>
          <w:tcPr>
            <w:tcW w:w="1559"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0</w:t>
            </w:r>
          </w:p>
        </w:tc>
        <w:tc>
          <w:tcPr>
            <w:tcW w:w="1418" w:type="dxa"/>
            <w:shd w:val="clear" w:color="auto" w:fill="auto"/>
            <w:hideMark/>
          </w:tcPr>
          <w:p w:rsidR="009F38BE" w:rsidRPr="000237B3" w:rsidRDefault="009F38BE" w:rsidP="008152AE">
            <w:pPr>
              <w:rPr>
                <w:rFonts w:cs="Times New Roman"/>
                <w:b/>
                <w:bCs/>
                <w:color w:val="000000"/>
                <w:lang w:eastAsia="ja-JP"/>
              </w:rPr>
            </w:pPr>
            <w:r w:rsidRPr="000237B3">
              <w:rPr>
                <w:rFonts w:cs="Times New Roman"/>
                <w:b/>
                <w:bCs/>
                <w:color w:val="000000"/>
                <w:lang w:eastAsia="ja-JP"/>
              </w:rPr>
              <w:t>0</w:t>
            </w:r>
          </w:p>
        </w:tc>
        <w:tc>
          <w:tcPr>
            <w:tcW w:w="1418" w:type="dxa"/>
          </w:tcPr>
          <w:p w:rsidR="009F38BE" w:rsidRPr="000237B3" w:rsidRDefault="002C04DC" w:rsidP="008152AE">
            <w:pPr>
              <w:rPr>
                <w:rFonts w:cs="Times New Roman"/>
                <w:b/>
                <w:bCs/>
                <w:color w:val="000000"/>
                <w:lang w:eastAsia="ja-JP"/>
              </w:rPr>
            </w:pPr>
            <w:r>
              <w:rPr>
                <w:rFonts w:cs="Times New Roman"/>
                <w:b/>
                <w:bCs/>
                <w:color w:val="000000"/>
                <w:lang w:eastAsia="ja-JP"/>
              </w:rPr>
              <w:t>0</w:t>
            </w:r>
          </w:p>
        </w:tc>
      </w:tr>
      <w:tr w:rsidR="009F38BE" w:rsidRPr="000237B3" w:rsidTr="008152AE">
        <w:trPr>
          <w:trHeight w:val="20"/>
        </w:trPr>
        <w:tc>
          <w:tcPr>
            <w:tcW w:w="2093" w:type="dxa"/>
            <w:shd w:val="clear" w:color="auto" w:fill="1F497D" w:themeFill="text2"/>
            <w:hideMark/>
          </w:tcPr>
          <w:p w:rsidR="009F38BE" w:rsidRPr="000237B3" w:rsidRDefault="009F38BE" w:rsidP="008152AE">
            <w:pPr>
              <w:rPr>
                <w:rFonts w:cs="Times New Roman"/>
                <w:b/>
                <w:bCs/>
                <w:color w:val="FFFFFF" w:themeColor="background1"/>
                <w:lang w:eastAsia="ja-JP"/>
              </w:rPr>
            </w:pPr>
            <w:r w:rsidRPr="000237B3">
              <w:rPr>
                <w:rFonts w:cs="Times New Roman"/>
                <w:b/>
                <w:bCs/>
                <w:color w:val="FFFFFF" w:themeColor="background1"/>
                <w:lang w:eastAsia="ja-JP"/>
              </w:rPr>
              <w:t>Pavisam kopā</w:t>
            </w:r>
          </w:p>
        </w:tc>
        <w:tc>
          <w:tcPr>
            <w:tcW w:w="1418" w:type="dxa"/>
            <w:shd w:val="clear" w:color="auto" w:fill="1F497D" w:themeFill="text2"/>
            <w:hideMark/>
          </w:tcPr>
          <w:p w:rsidR="009F38BE" w:rsidRPr="000237B3" w:rsidRDefault="009F38BE" w:rsidP="008152AE">
            <w:pPr>
              <w:rPr>
                <w:rFonts w:cs="Times New Roman"/>
                <w:b/>
                <w:bCs/>
                <w:color w:val="FFFFFF" w:themeColor="background1"/>
                <w:lang w:eastAsia="ja-JP"/>
              </w:rPr>
            </w:pPr>
            <w:r w:rsidRPr="000237B3">
              <w:rPr>
                <w:rFonts w:cs="Times New Roman"/>
                <w:b/>
                <w:bCs/>
                <w:color w:val="FFFFFF" w:themeColor="background1"/>
                <w:lang w:eastAsia="ja-JP"/>
              </w:rPr>
              <w:t>10 708 308</w:t>
            </w:r>
          </w:p>
        </w:tc>
        <w:tc>
          <w:tcPr>
            <w:tcW w:w="1559" w:type="dxa"/>
            <w:shd w:val="clear" w:color="auto" w:fill="1F497D" w:themeFill="text2"/>
            <w:hideMark/>
          </w:tcPr>
          <w:p w:rsidR="009F38BE" w:rsidRPr="000237B3" w:rsidRDefault="009F38BE" w:rsidP="001A5CEC">
            <w:pPr>
              <w:rPr>
                <w:rFonts w:cs="Times New Roman"/>
                <w:b/>
                <w:bCs/>
                <w:color w:val="FFFFFF" w:themeColor="background1"/>
                <w:lang w:eastAsia="ja-JP"/>
              </w:rPr>
            </w:pPr>
            <w:r w:rsidRPr="000237B3">
              <w:rPr>
                <w:rFonts w:cs="Times New Roman"/>
                <w:b/>
                <w:bCs/>
                <w:color w:val="FFFFFF" w:themeColor="background1"/>
                <w:lang w:eastAsia="ja-JP"/>
              </w:rPr>
              <w:t xml:space="preserve">5 194 </w:t>
            </w:r>
            <w:r w:rsidR="001A5CEC">
              <w:rPr>
                <w:rFonts w:cs="Times New Roman"/>
                <w:b/>
                <w:bCs/>
                <w:color w:val="FFFFFF" w:themeColor="background1"/>
                <w:lang w:eastAsia="ja-JP"/>
              </w:rPr>
              <w:t>702</w:t>
            </w:r>
          </w:p>
        </w:tc>
        <w:tc>
          <w:tcPr>
            <w:tcW w:w="1559" w:type="dxa"/>
            <w:shd w:val="clear" w:color="auto" w:fill="1F497D" w:themeFill="text2"/>
            <w:hideMark/>
          </w:tcPr>
          <w:p w:rsidR="009F38BE" w:rsidRPr="000237B3" w:rsidRDefault="009F38BE" w:rsidP="008152AE">
            <w:pPr>
              <w:rPr>
                <w:rFonts w:cs="Times New Roman"/>
                <w:b/>
                <w:bCs/>
                <w:color w:val="FFFFFF" w:themeColor="background1"/>
                <w:lang w:eastAsia="ja-JP"/>
              </w:rPr>
            </w:pPr>
            <w:r w:rsidRPr="000237B3">
              <w:rPr>
                <w:rFonts w:cs="Times New Roman"/>
                <w:b/>
                <w:bCs/>
                <w:color w:val="FFFFFF" w:themeColor="background1"/>
                <w:lang w:eastAsia="ja-JP"/>
              </w:rPr>
              <w:t>6 040 828</w:t>
            </w:r>
          </w:p>
        </w:tc>
        <w:tc>
          <w:tcPr>
            <w:tcW w:w="1418" w:type="dxa"/>
            <w:shd w:val="clear" w:color="auto" w:fill="1F497D" w:themeFill="text2"/>
            <w:hideMark/>
          </w:tcPr>
          <w:p w:rsidR="009F38BE" w:rsidRDefault="009F38BE" w:rsidP="001A5CEC">
            <w:pPr>
              <w:rPr>
                <w:rFonts w:cs="Times New Roman"/>
                <w:b/>
                <w:bCs/>
                <w:color w:val="FFFFFF" w:themeColor="background1"/>
                <w:lang w:eastAsia="ja-JP"/>
              </w:rPr>
            </w:pPr>
            <w:r w:rsidRPr="000237B3">
              <w:rPr>
                <w:rFonts w:cs="Times New Roman"/>
                <w:b/>
                <w:bCs/>
                <w:color w:val="FFFFFF" w:themeColor="background1"/>
                <w:lang w:eastAsia="ja-JP"/>
              </w:rPr>
              <w:t> </w:t>
            </w:r>
            <w:r w:rsidR="001A5CEC">
              <w:rPr>
                <w:rFonts w:cs="Times New Roman"/>
                <w:b/>
                <w:bCs/>
                <w:color w:val="FFFFFF" w:themeColor="background1"/>
                <w:lang w:eastAsia="ja-JP"/>
              </w:rPr>
              <w:t> </w:t>
            </w:r>
          </w:p>
          <w:p w:rsidR="001A5CEC" w:rsidRPr="000237B3" w:rsidRDefault="001A5CEC" w:rsidP="001A5CEC">
            <w:pPr>
              <w:rPr>
                <w:rFonts w:cs="Times New Roman"/>
                <w:b/>
                <w:bCs/>
                <w:color w:val="FFFFFF" w:themeColor="background1"/>
                <w:lang w:eastAsia="ja-JP"/>
              </w:rPr>
            </w:pPr>
            <w:r>
              <w:rPr>
                <w:rFonts w:cs="Times New Roman"/>
                <w:b/>
                <w:bCs/>
                <w:color w:val="FFFFFF" w:themeColor="background1"/>
                <w:lang w:eastAsia="ja-JP"/>
              </w:rPr>
              <w:t>5 622 800</w:t>
            </w:r>
          </w:p>
        </w:tc>
        <w:tc>
          <w:tcPr>
            <w:tcW w:w="1418" w:type="dxa"/>
            <w:shd w:val="clear" w:color="auto" w:fill="1F497D" w:themeFill="text2"/>
          </w:tcPr>
          <w:p w:rsidR="009F38BE" w:rsidRPr="000237B3" w:rsidRDefault="002C04DC" w:rsidP="008152AE">
            <w:pPr>
              <w:rPr>
                <w:rFonts w:cs="Times New Roman"/>
                <w:b/>
                <w:bCs/>
                <w:color w:val="FFFFFF" w:themeColor="background1"/>
                <w:lang w:eastAsia="ja-JP"/>
              </w:rPr>
            </w:pPr>
            <w:r>
              <w:rPr>
                <w:rFonts w:cs="Times New Roman"/>
                <w:b/>
                <w:bCs/>
                <w:color w:val="FFFFFF" w:themeColor="background1"/>
                <w:lang w:eastAsia="ja-JP"/>
              </w:rPr>
              <w:t>1 885 946</w:t>
            </w:r>
          </w:p>
        </w:tc>
      </w:tr>
    </w:tbl>
    <w:p w:rsidR="008816FE" w:rsidRDefault="008816FE" w:rsidP="00C25731">
      <w:pPr>
        <w:pStyle w:val="Heading1"/>
      </w:pPr>
      <w:bookmarkStart w:id="2" w:name="_Toc354069792"/>
    </w:p>
    <w:p w:rsidR="009B6D49" w:rsidRPr="000237B3" w:rsidRDefault="00AA454A" w:rsidP="00C25731">
      <w:pPr>
        <w:pStyle w:val="Heading1"/>
      </w:pPr>
      <w:r w:rsidRPr="000237B3">
        <w:t xml:space="preserve">III </w:t>
      </w:r>
      <w:r w:rsidR="00DA7AA5" w:rsidRPr="000237B3">
        <w:t>ĪPAŠUMA STRUKTŪRA UN PORTFELIS</w:t>
      </w:r>
      <w:bookmarkEnd w:id="2"/>
    </w:p>
    <w:p w:rsidR="00DA7AA5" w:rsidRPr="000237B3" w:rsidRDefault="00DA7AA5" w:rsidP="00C25731">
      <w:pPr>
        <w:pStyle w:val="BodyText2"/>
        <w:ind w:firstLine="720"/>
        <w:jc w:val="both"/>
        <w:rPr>
          <w:rFonts w:eastAsiaTheme="minorEastAsia"/>
          <w:sz w:val="28"/>
          <w:szCs w:val="28"/>
          <w:lang w:eastAsia="zh-CN"/>
        </w:rPr>
      </w:pPr>
    </w:p>
    <w:p w:rsidR="00D831A9" w:rsidRPr="000237B3" w:rsidRDefault="0033271A" w:rsidP="00D831A9">
      <w:pPr>
        <w:ind w:firstLine="720"/>
        <w:jc w:val="both"/>
        <w:rPr>
          <w:rFonts w:cs="Times New Roman"/>
          <w:sz w:val="28"/>
          <w:szCs w:val="28"/>
        </w:rPr>
      </w:pPr>
      <w:r w:rsidRPr="000237B3">
        <w:rPr>
          <w:rFonts w:cs="Times New Roman"/>
          <w:b/>
          <w:iCs/>
          <w:sz w:val="28"/>
          <w:szCs w:val="28"/>
        </w:rPr>
        <w:t>Aģentūras</w:t>
      </w:r>
      <w:r w:rsidR="00DD6FD5" w:rsidRPr="000237B3">
        <w:rPr>
          <w:rFonts w:cs="Times New Roman"/>
          <w:b/>
          <w:iCs/>
          <w:sz w:val="28"/>
          <w:szCs w:val="28"/>
        </w:rPr>
        <w:t xml:space="preserve"> portfeļa</w:t>
      </w:r>
      <w:r w:rsidR="00DD6FD5" w:rsidRPr="000237B3">
        <w:rPr>
          <w:rFonts w:cs="Times New Roman"/>
          <w:b/>
          <w:sz w:val="28"/>
          <w:szCs w:val="28"/>
        </w:rPr>
        <w:t xml:space="preserve"> stāvoklis ir dinamisks</w:t>
      </w:r>
      <w:r w:rsidR="00DD6FD5" w:rsidRPr="000237B3">
        <w:rPr>
          <w:rFonts w:cs="Times New Roman"/>
          <w:sz w:val="28"/>
          <w:szCs w:val="28"/>
        </w:rPr>
        <w:t xml:space="preserve"> – tas samazinās, </w:t>
      </w:r>
      <w:r w:rsidR="00D831A9" w:rsidRPr="000237B3">
        <w:rPr>
          <w:rFonts w:cs="Times New Roman"/>
          <w:sz w:val="28"/>
          <w:szCs w:val="28"/>
        </w:rPr>
        <w:t xml:space="preserve">veicot </w:t>
      </w:r>
      <w:r w:rsidR="00DD3B62" w:rsidRPr="000237B3">
        <w:rPr>
          <w:rFonts w:cs="Times New Roman"/>
          <w:sz w:val="28"/>
          <w:szCs w:val="28"/>
        </w:rPr>
        <w:t xml:space="preserve">īpašuma objektu </w:t>
      </w:r>
      <w:r w:rsidR="00DD6FD5" w:rsidRPr="000237B3">
        <w:rPr>
          <w:rFonts w:cs="Times New Roman"/>
          <w:sz w:val="28"/>
          <w:szCs w:val="28"/>
        </w:rPr>
        <w:t>privatizācij</w:t>
      </w:r>
      <w:r w:rsidR="00D831A9" w:rsidRPr="000237B3">
        <w:rPr>
          <w:rFonts w:cs="Times New Roman"/>
          <w:sz w:val="28"/>
          <w:szCs w:val="28"/>
        </w:rPr>
        <w:t>u</w:t>
      </w:r>
      <w:r w:rsidR="00DD6FD5" w:rsidRPr="000237B3">
        <w:rPr>
          <w:rFonts w:cs="Times New Roman"/>
          <w:sz w:val="28"/>
          <w:szCs w:val="28"/>
        </w:rPr>
        <w:t xml:space="preserve"> </w:t>
      </w:r>
      <w:r w:rsidR="00DD3B62" w:rsidRPr="000237B3">
        <w:rPr>
          <w:rFonts w:cs="Times New Roman"/>
          <w:sz w:val="28"/>
          <w:szCs w:val="28"/>
        </w:rPr>
        <w:t xml:space="preserve">un </w:t>
      </w:r>
      <w:r w:rsidR="00D831A9" w:rsidRPr="000237B3">
        <w:rPr>
          <w:rFonts w:cs="Times New Roman"/>
          <w:sz w:val="28"/>
          <w:szCs w:val="28"/>
        </w:rPr>
        <w:t>atsavināšanu</w:t>
      </w:r>
      <w:r w:rsidR="00DD6FD5" w:rsidRPr="000237B3">
        <w:rPr>
          <w:rFonts w:cs="Times New Roman"/>
          <w:sz w:val="28"/>
          <w:szCs w:val="28"/>
        </w:rPr>
        <w:t xml:space="preserve">, bet vienlaikus </w:t>
      </w:r>
      <w:r w:rsidR="002D43D9" w:rsidRPr="000237B3">
        <w:rPr>
          <w:rFonts w:cs="Times New Roman"/>
          <w:sz w:val="28"/>
          <w:szCs w:val="28"/>
        </w:rPr>
        <w:t>Aģentūras</w:t>
      </w:r>
      <w:r w:rsidR="00DD6FD5" w:rsidRPr="000237B3">
        <w:rPr>
          <w:rFonts w:cs="Times New Roman"/>
          <w:sz w:val="28"/>
          <w:szCs w:val="28"/>
        </w:rPr>
        <w:t xml:space="preserve"> portfeli papildina īpašumi, kurus </w:t>
      </w:r>
      <w:r w:rsidR="002D43D9" w:rsidRPr="000237B3">
        <w:rPr>
          <w:rFonts w:cs="Times New Roman"/>
          <w:sz w:val="28"/>
          <w:szCs w:val="28"/>
        </w:rPr>
        <w:t>Aģentūra</w:t>
      </w:r>
      <w:r w:rsidR="00DD6FD5" w:rsidRPr="000237B3">
        <w:rPr>
          <w:rFonts w:cs="Times New Roman"/>
          <w:sz w:val="28"/>
          <w:szCs w:val="28"/>
        </w:rPr>
        <w:t xml:space="preserve"> pārņem savā valdījumā vai turējumā</w:t>
      </w:r>
      <w:r w:rsidR="00E66F77" w:rsidRPr="000237B3">
        <w:rPr>
          <w:rFonts w:cs="Times New Roman"/>
          <w:sz w:val="28"/>
          <w:szCs w:val="28"/>
        </w:rPr>
        <w:t xml:space="preserve"> atbilstoši Ministru kabinet</w:t>
      </w:r>
      <w:r w:rsidR="00EB2721" w:rsidRPr="000237B3">
        <w:rPr>
          <w:rFonts w:cs="Times New Roman"/>
          <w:sz w:val="28"/>
          <w:szCs w:val="28"/>
        </w:rPr>
        <w:t>a lēmumiem</w:t>
      </w:r>
      <w:r w:rsidR="00DA7AA5" w:rsidRPr="000237B3">
        <w:rPr>
          <w:rFonts w:cs="Times New Roman"/>
          <w:sz w:val="28"/>
          <w:szCs w:val="28"/>
        </w:rPr>
        <w:t xml:space="preserve">. </w:t>
      </w:r>
    </w:p>
    <w:p w:rsidR="003E4923" w:rsidRPr="000237B3" w:rsidRDefault="0033271A" w:rsidP="00AC480A">
      <w:pPr>
        <w:ind w:firstLine="720"/>
        <w:jc w:val="both"/>
        <w:rPr>
          <w:rFonts w:cs="Times New Roman"/>
          <w:b/>
          <w:sz w:val="28"/>
          <w:szCs w:val="28"/>
        </w:rPr>
      </w:pPr>
      <w:r w:rsidRPr="000237B3">
        <w:rPr>
          <w:rFonts w:cs="Times New Roman"/>
          <w:b/>
          <w:sz w:val="28"/>
          <w:szCs w:val="28"/>
        </w:rPr>
        <w:t>Aģentūras</w:t>
      </w:r>
      <w:r w:rsidR="00DD6FD5" w:rsidRPr="000237B3">
        <w:rPr>
          <w:rFonts w:cs="Times New Roman"/>
          <w:b/>
          <w:sz w:val="28"/>
          <w:szCs w:val="28"/>
        </w:rPr>
        <w:t xml:space="preserve"> portfelī uz </w:t>
      </w:r>
      <w:r w:rsidR="005148F6" w:rsidRPr="000237B3">
        <w:rPr>
          <w:rFonts w:cs="Times New Roman"/>
          <w:b/>
          <w:sz w:val="28"/>
          <w:szCs w:val="28"/>
        </w:rPr>
        <w:t>201</w:t>
      </w:r>
      <w:r w:rsidR="005148F6">
        <w:rPr>
          <w:rFonts w:cs="Times New Roman"/>
          <w:b/>
          <w:sz w:val="28"/>
          <w:szCs w:val="28"/>
        </w:rPr>
        <w:t>3</w:t>
      </w:r>
      <w:r w:rsidR="008C5996" w:rsidRPr="000237B3">
        <w:rPr>
          <w:rFonts w:cs="Times New Roman"/>
          <w:b/>
          <w:sz w:val="28"/>
          <w:szCs w:val="28"/>
        </w:rPr>
        <w:t>.</w:t>
      </w:r>
      <w:r w:rsidR="00743191" w:rsidRPr="000237B3">
        <w:rPr>
          <w:rFonts w:cs="Times New Roman"/>
          <w:b/>
          <w:sz w:val="28"/>
          <w:szCs w:val="28"/>
        </w:rPr>
        <w:t>gada 31.</w:t>
      </w:r>
      <w:r w:rsidR="005148F6">
        <w:rPr>
          <w:rFonts w:cs="Times New Roman"/>
          <w:b/>
          <w:sz w:val="28"/>
          <w:szCs w:val="28"/>
        </w:rPr>
        <w:t>martu</w:t>
      </w:r>
      <w:r w:rsidR="005148F6" w:rsidRPr="000237B3">
        <w:rPr>
          <w:rFonts w:cs="Times New Roman"/>
          <w:b/>
          <w:sz w:val="28"/>
          <w:szCs w:val="28"/>
        </w:rPr>
        <w:t xml:space="preserve"> </w:t>
      </w:r>
      <w:r w:rsidR="00AF7FE7" w:rsidRPr="000237B3">
        <w:rPr>
          <w:rFonts w:cs="Times New Roman"/>
          <w:b/>
          <w:sz w:val="28"/>
          <w:szCs w:val="28"/>
        </w:rPr>
        <w:t>bija</w:t>
      </w:r>
      <w:r w:rsidR="003E4923" w:rsidRPr="000237B3">
        <w:rPr>
          <w:rFonts w:cs="Times New Roman"/>
          <w:b/>
          <w:sz w:val="28"/>
          <w:szCs w:val="28"/>
        </w:rPr>
        <w:t>:</w:t>
      </w:r>
    </w:p>
    <w:p w:rsidR="003E4923" w:rsidRPr="000237B3" w:rsidRDefault="005148F6" w:rsidP="003E4923">
      <w:pPr>
        <w:numPr>
          <w:ilvl w:val="0"/>
          <w:numId w:val="2"/>
        </w:numPr>
        <w:jc w:val="both"/>
        <w:rPr>
          <w:sz w:val="28"/>
          <w:szCs w:val="28"/>
        </w:rPr>
      </w:pPr>
      <w:r>
        <w:rPr>
          <w:rFonts w:cs="Times New Roman"/>
          <w:sz w:val="28"/>
          <w:szCs w:val="28"/>
        </w:rPr>
        <w:t>1590</w:t>
      </w:r>
      <w:r w:rsidRPr="000237B3">
        <w:rPr>
          <w:rFonts w:cs="Times New Roman"/>
          <w:sz w:val="28"/>
          <w:szCs w:val="28"/>
        </w:rPr>
        <w:t xml:space="preserve"> </w:t>
      </w:r>
      <w:r w:rsidR="001A2395" w:rsidRPr="000237B3">
        <w:rPr>
          <w:rFonts w:cs="Times New Roman"/>
          <w:sz w:val="28"/>
          <w:szCs w:val="28"/>
        </w:rPr>
        <w:t xml:space="preserve">dzīvokļu īpašumi, tajā skaitā </w:t>
      </w:r>
      <w:r>
        <w:rPr>
          <w:rFonts w:cs="Times New Roman"/>
          <w:sz w:val="28"/>
          <w:szCs w:val="28"/>
        </w:rPr>
        <w:t>1068</w:t>
      </w:r>
      <w:r w:rsidRPr="000237B3">
        <w:rPr>
          <w:rFonts w:cs="Times New Roman"/>
          <w:sz w:val="28"/>
          <w:szCs w:val="28"/>
        </w:rPr>
        <w:t xml:space="preserve"> </w:t>
      </w:r>
      <w:r w:rsidR="001A2395" w:rsidRPr="000237B3">
        <w:rPr>
          <w:rFonts w:cs="Times New Roman"/>
          <w:sz w:val="28"/>
          <w:szCs w:val="28"/>
        </w:rPr>
        <w:t xml:space="preserve">dzīvokļi </w:t>
      </w:r>
      <w:r w:rsidR="0033271A" w:rsidRPr="000237B3">
        <w:rPr>
          <w:rFonts w:cs="Times New Roman"/>
          <w:sz w:val="28"/>
          <w:szCs w:val="28"/>
        </w:rPr>
        <w:t>Aģentūras</w:t>
      </w:r>
      <w:r w:rsidR="001A2395" w:rsidRPr="000237B3">
        <w:rPr>
          <w:rFonts w:cs="Times New Roman"/>
          <w:sz w:val="28"/>
          <w:szCs w:val="28"/>
        </w:rPr>
        <w:t xml:space="preserve"> valdījumā esošajās mājās un </w:t>
      </w:r>
      <w:r>
        <w:rPr>
          <w:rFonts w:cs="Times New Roman"/>
          <w:sz w:val="28"/>
          <w:szCs w:val="28"/>
        </w:rPr>
        <w:t>522</w:t>
      </w:r>
      <w:r w:rsidRPr="000237B3">
        <w:rPr>
          <w:rFonts w:cs="Times New Roman"/>
          <w:sz w:val="28"/>
          <w:szCs w:val="28"/>
        </w:rPr>
        <w:t xml:space="preserve"> </w:t>
      </w:r>
      <w:r w:rsidR="001A2395" w:rsidRPr="000237B3">
        <w:rPr>
          <w:rFonts w:cs="Times New Roman"/>
          <w:sz w:val="28"/>
          <w:szCs w:val="28"/>
        </w:rPr>
        <w:t>dzīvokļi pri</w:t>
      </w:r>
      <w:r w:rsidR="003E4923" w:rsidRPr="000237B3">
        <w:rPr>
          <w:rFonts w:cs="Times New Roman"/>
          <w:sz w:val="28"/>
          <w:szCs w:val="28"/>
        </w:rPr>
        <w:t>vātīpašniekiem nodotajās mājās;</w:t>
      </w:r>
    </w:p>
    <w:p w:rsidR="003E4923" w:rsidRPr="000237B3" w:rsidRDefault="005148F6" w:rsidP="003E4923">
      <w:pPr>
        <w:numPr>
          <w:ilvl w:val="0"/>
          <w:numId w:val="2"/>
        </w:numPr>
        <w:jc w:val="both"/>
        <w:rPr>
          <w:sz w:val="28"/>
          <w:szCs w:val="28"/>
        </w:rPr>
      </w:pPr>
      <w:r>
        <w:rPr>
          <w:rFonts w:cs="Times New Roman"/>
          <w:sz w:val="28"/>
          <w:szCs w:val="28"/>
        </w:rPr>
        <w:t>384</w:t>
      </w:r>
      <w:r w:rsidRPr="000237B3">
        <w:rPr>
          <w:rFonts w:cs="Times New Roman"/>
          <w:sz w:val="28"/>
          <w:szCs w:val="28"/>
        </w:rPr>
        <w:t xml:space="preserve"> </w:t>
      </w:r>
      <w:r w:rsidR="001A2395" w:rsidRPr="000237B3">
        <w:rPr>
          <w:rFonts w:cs="Times New Roman"/>
          <w:sz w:val="28"/>
          <w:szCs w:val="28"/>
        </w:rPr>
        <w:t>dzīvojamās mājas</w:t>
      </w:r>
      <w:r w:rsidR="003E4923" w:rsidRPr="000237B3">
        <w:rPr>
          <w:rFonts w:cs="Times New Roman"/>
          <w:color w:val="000000" w:themeColor="text1"/>
          <w:sz w:val="28"/>
          <w:szCs w:val="28"/>
        </w:rPr>
        <w:t>;</w:t>
      </w:r>
    </w:p>
    <w:p w:rsidR="003E4923" w:rsidRPr="000237B3" w:rsidRDefault="00652C97" w:rsidP="003E4923">
      <w:pPr>
        <w:numPr>
          <w:ilvl w:val="0"/>
          <w:numId w:val="2"/>
        </w:numPr>
        <w:jc w:val="both"/>
        <w:rPr>
          <w:sz w:val="28"/>
          <w:szCs w:val="28"/>
        </w:rPr>
      </w:pPr>
      <w:r>
        <w:rPr>
          <w:rFonts w:cs="Times New Roman"/>
          <w:color w:val="000000" w:themeColor="text1"/>
          <w:sz w:val="28"/>
          <w:szCs w:val="28"/>
        </w:rPr>
        <w:lastRenderedPageBreak/>
        <w:t>50</w:t>
      </w:r>
      <w:r w:rsidRPr="000237B3">
        <w:rPr>
          <w:rFonts w:cs="Times New Roman"/>
          <w:color w:val="000000" w:themeColor="text1"/>
          <w:sz w:val="28"/>
          <w:szCs w:val="28"/>
        </w:rPr>
        <w:t xml:space="preserve"> </w:t>
      </w:r>
      <w:r w:rsidR="00F032B7" w:rsidRPr="000237B3">
        <w:rPr>
          <w:rFonts w:cs="Times New Roman"/>
          <w:color w:val="000000" w:themeColor="text1"/>
          <w:sz w:val="28"/>
          <w:szCs w:val="28"/>
        </w:rPr>
        <w:t>valsts īpašuma objekti</w:t>
      </w:r>
      <w:r w:rsidR="00F032B7" w:rsidRPr="000237B3">
        <w:rPr>
          <w:rStyle w:val="FootnoteReference"/>
          <w:rFonts w:cs="Times New Roman"/>
          <w:color w:val="000000" w:themeColor="text1"/>
          <w:sz w:val="28"/>
          <w:szCs w:val="28"/>
        </w:rPr>
        <w:footnoteReference w:id="1"/>
      </w:r>
      <w:r w:rsidR="003E4923" w:rsidRPr="000237B3">
        <w:rPr>
          <w:rFonts w:cs="Times New Roman"/>
          <w:color w:val="000000" w:themeColor="text1"/>
          <w:sz w:val="28"/>
          <w:szCs w:val="28"/>
        </w:rPr>
        <w:t>;</w:t>
      </w:r>
    </w:p>
    <w:p w:rsidR="003E4923" w:rsidRPr="000237B3" w:rsidRDefault="008152AE" w:rsidP="003E4923">
      <w:pPr>
        <w:numPr>
          <w:ilvl w:val="0"/>
          <w:numId w:val="2"/>
        </w:numPr>
        <w:jc w:val="both"/>
        <w:rPr>
          <w:sz w:val="28"/>
          <w:szCs w:val="28"/>
        </w:rPr>
      </w:pPr>
      <w:r>
        <w:rPr>
          <w:rFonts w:cs="Times New Roman"/>
          <w:color w:val="000000" w:themeColor="text1"/>
          <w:sz w:val="28"/>
          <w:szCs w:val="28"/>
        </w:rPr>
        <w:t>4</w:t>
      </w:r>
      <w:r w:rsidRPr="000237B3">
        <w:rPr>
          <w:rFonts w:cs="Times New Roman"/>
          <w:color w:val="000000" w:themeColor="text1"/>
          <w:sz w:val="28"/>
          <w:szCs w:val="28"/>
        </w:rPr>
        <w:t xml:space="preserve"> </w:t>
      </w:r>
      <w:r w:rsidR="00DD6FD5" w:rsidRPr="000237B3">
        <w:rPr>
          <w:rFonts w:cs="Times New Roman"/>
          <w:color w:val="000000" w:themeColor="text1"/>
          <w:sz w:val="28"/>
          <w:szCs w:val="28"/>
        </w:rPr>
        <w:t>neapbūvēti zeme</w:t>
      </w:r>
      <w:r w:rsidR="003E4923" w:rsidRPr="000237B3">
        <w:rPr>
          <w:rFonts w:cs="Times New Roman"/>
          <w:color w:val="000000" w:themeColor="text1"/>
          <w:sz w:val="28"/>
          <w:szCs w:val="28"/>
        </w:rPr>
        <w:t xml:space="preserve">sgabali un </w:t>
      </w:r>
      <w:r w:rsidR="00652C97" w:rsidRPr="000237B3">
        <w:rPr>
          <w:rFonts w:cs="Times New Roman"/>
          <w:color w:val="000000" w:themeColor="text1"/>
          <w:sz w:val="28"/>
          <w:szCs w:val="28"/>
        </w:rPr>
        <w:t>69</w:t>
      </w:r>
      <w:r>
        <w:rPr>
          <w:rFonts w:cs="Times New Roman"/>
          <w:color w:val="000000" w:themeColor="text1"/>
          <w:sz w:val="28"/>
          <w:szCs w:val="28"/>
        </w:rPr>
        <w:t>2</w:t>
      </w:r>
      <w:r w:rsidR="00652C97" w:rsidRPr="000237B3">
        <w:rPr>
          <w:rFonts w:cs="Times New Roman"/>
          <w:color w:val="000000" w:themeColor="text1"/>
          <w:sz w:val="28"/>
          <w:szCs w:val="28"/>
        </w:rPr>
        <w:t xml:space="preserve"> </w:t>
      </w:r>
      <w:r w:rsidR="003E4923" w:rsidRPr="000237B3">
        <w:rPr>
          <w:rFonts w:cs="Times New Roman"/>
          <w:color w:val="000000" w:themeColor="text1"/>
          <w:sz w:val="28"/>
          <w:szCs w:val="28"/>
        </w:rPr>
        <w:t>apbūvēti zemesgabali;</w:t>
      </w:r>
      <w:r w:rsidR="00DD6FD5" w:rsidRPr="000237B3">
        <w:rPr>
          <w:rFonts w:cs="Times New Roman"/>
          <w:color w:val="000000" w:themeColor="text1"/>
          <w:sz w:val="28"/>
          <w:szCs w:val="28"/>
        </w:rPr>
        <w:t xml:space="preserve"> </w:t>
      </w:r>
    </w:p>
    <w:p w:rsidR="003E4923" w:rsidRPr="00DB4F02" w:rsidRDefault="00DB4F02" w:rsidP="003E4923">
      <w:pPr>
        <w:numPr>
          <w:ilvl w:val="0"/>
          <w:numId w:val="2"/>
        </w:numPr>
        <w:jc w:val="both"/>
        <w:rPr>
          <w:sz w:val="28"/>
          <w:szCs w:val="28"/>
        </w:rPr>
      </w:pPr>
      <w:r w:rsidRPr="00DB4F02">
        <w:rPr>
          <w:rFonts w:cs="Times New Roman"/>
          <w:sz w:val="28"/>
          <w:szCs w:val="28"/>
        </w:rPr>
        <w:t xml:space="preserve">10 </w:t>
      </w:r>
      <w:r w:rsidR="00AA5E90" w:rsidRPr="00DB4F02">
        <w:rPr>
          <w:rFonts w:cs="Times New Roman"/>
          <w:sz w:val="28"/>
          <w:szCs w:val="28"/>
        </w:rPr>
        <w:t>kapitāl</w:t>
      </w:r>
      <w:r w:rsidR="00DD6FD5" w:rsidRPr="00DB4F02">
        <w:rPr>
          <w:rFonts w:cs="Times New Roman"/>
          <w:sz w:val="28"/>
          <w:szCs w:val="28"/>
        </w:rPr>
        <w:t>sabiedrīb</w:t>
      </w:r>
      <w:r w:rsidR="00AA5E90" w:rsidRPr="00DB4F02">
        <w:rPr>
          <w:rFonts w:cs="Times New Roman"/>
          <w:sz w:val="28"/>
          <w:szCs w:val="28"/>
        </w:rPr>
        <w:t>u</w:t>
      </w:r>
      <w:r w:rsidR="00DD6FD5" w:rsidRPr="00DB4F02">
        <w:rPr>
          <w:rFonts w:cs="Times New Roman"/>
          <w:sz w:val="28"/>
          <w:szCs w:val="28"/>
        </w:rPr>
        <w:t xml:space="preserve"> valsts kapitāla daļ</w:t>
      </w:r>
      <w:r w:rsidR="00AA5E90" w:rsidRPr="00DB4F02">
        <w:rPr>
          <w:rFonts w:cs="Times New Roman"/>
          <w:sz w:val="28"/>
          <w:szCs w:val="28"/>
        </w:rPr>
        <w:t>as</w:t>
      </w:r>
      <w:r w:rsidR="0076271A" w:rsidRPr="00DB4F02">
        <w:rPr>
          <w:rFonts w:cs="Times New Roman"/>
          <w:sz w:val="28"/>
          <w:szCs w:val="28"/>
        </w:rPr>
        <w:t xml:space="preserve"> (</w:t>
      </w:r>
      <w:r w:rsidR="0076271A" w:rsidRPr="00DB4F02">
        <w:rPr>
          <w:sz w:val="28"/>
          <w:szCs w:val="28"/>
        </w:rPr>
        <w:t>pielikums Nr.1)</w:t>
      </w:r>
      <w:r w:rsidR="003A6D4B" w:rsidRPr="00DB4F02">
        <w:rPr>
          <w:sz w:val="28"/>
          <w:szCs w:val="28"/>
        </w:rPr>
        <w:t xml:space="preserve">, no </w:t>
      </w:r>
      <w:r w:rsidR="001375E7" w:rsidRPr="00DB4F02">
        <w:rPr>
          <w:sz w:val="28"/>
          <w:szCs w:val="28"/>
        </w:rPr>
        <w:t xml:space="preserve">kurām </w:t>
      </w:r>
      <w:r w:rsidRPr="00DB4F02">
        <w:rPr>
          <w:sz w:val="28"/>
          <w:szCs w:val="28"/>
        </w:rPr>
        <w:t xml:space="preserve">4 </w:t>
      </w:r>
      <w:r w:rsidR="003A6D4B" w:rsidRPr="00DB4F02">
        <w:rPr>
          <w:sz w:val="28"/>
          <w:szCs w:val="28"/>
        </w:rPr>
        <w:t xml:space="preserve">maksātnespējīgās </w:t>
      </w:r>
      <w:r w:rsidR="00D53296" w:rsidRPr="00DB4F02">
        <w:rPr>
          <w:sz w:val="28"/>
          <w:szCs w:val="28"/>
        </w:rPr>
        <w:t xml:space="preserve">vai </w:t>
      </w:r>
      <w:r w:rsidR="003A6D4B" w:rsidRPr="00DB4F02">
        <w:rPr>
          <w:sz w:val="28"/>
          <w:szCs w:val="28"/>
        </w:rPr>
        <w:t>likvidējamās sabiedrībās</w:t>
      </w:r>
      <w:r w:rsidR="003E4923" w:rsidRPr="00DB4F02">
        <w:rPr>
          <w:rFonts w:cs="Times New Roman"/>
          <w:sz w:val="28"/>
          <w:szCs w:val="28"/>
        </w:rPr>
        <w:t>;</w:t>
      </w:r>
    </w:p>
    <w:p w:rsidR="00DA7AA5" w:rsidRPr="000237B3" w:rsidRDefault="0033271A" w:rsidP="003E4923">
      <w:pPr>
        <w:numPr>
          <w:ilvl w:val="0"/>
          <w:numId w:val="2"/>
        </w:numPr>
        <w:jc w:val="both"/>
        <w:rPr>
          <w:sz w:val="28"/>
          <w:szCs w:val="28"/>
        </w:rPr>
      </w:pPr>
      <w:r w:rsidRPr="000237B3">
        <w:rPr>
          <w:sz w:val="28"/>
          <w:szCs w:val="28"/>
        </w:rPr>
        <w:t>Aģentūras</w:t>
      </w:r>
      <w:r w:rsidR="00335471" w:rsidRPr="000237B3">
        <w:rPr>
          <w:sz w:val="28"/>
          <w:szCs w:val="28"/>
        </w:rPr>
        <w:t xml:space="preserve"> turējumā </w:t>
      </w:r>
      <w:r w:rsidR="005148F6">
        <w:rPr>
          <w:sz w:val="28"/>
          <w:szCs w:val="28"/>
        </w:rPr>
        <w:t>(</w:t>
      </w:r>
      <w:r w:rsidR="00AA5E90" w:rsidRPr="000237B3">
        <w:rPr>
          <w:sz w:val="28"/>
          <w:szCs w:val="28"/>
        </w:rPr>
        <w:t xml:space="preserve">uz </w:t>
      </w:r>
      <w:r w:rsidR="000B1AC7" w:rsidRPr="000237B3">
        <w:rPr>
          <w:sz w:val="28"/>
          <w:szCs w:val="28"/>
        </w:rPr>
        <w:t>31.12</w:t>
      </w:r>
      <w:r w:rsidR="00335471" w:rsidRPr="000237B3">
        <w:rPr>
          <w:sz w:val="28"/>
          <w:szCs w:val="28"/>
        </w:rPr>
        <w:t>.201</w:t>
      </w:r>
      <w:r w:rsidR="006771A5" w:rsidRPr="000237B3">
        <w:rPr>
          <w:sz w:val="28"/>
          <w:szCs w:val="28"/>
        </w:rPr>
        <w:t>2</w:t>
      </w:r>
      <w:r w:rsidR="005148F6">
        <w:rPr>
          <w:sz w:val="28"/>
          <w:szCs w:val="28"/>
        </w:rPr>
        <w:t>)</w:t>
      </w:r>
      <w:r w:rsidR="00335471" w:rsidRPr="000237B3">
        <w:rPr>
          <w:sz w:val="28"/>
          <w:szCs w:val="28"/>
        </w:rPr>
        <w:t xml:space="preserve">. </w:t>
      </w:r>
      <w:r w:rsidR="00AF7FE7" w:rsidRPr="000237B3">
        <w:rPr>
          <w:sz w:val="28"/>
          <w:szCs w:val="28"/>
        </w:rPr>
        <w:t>bija</w:t>
      </w:r>
      <w:r w:rsidR="00335471" w:rsidRPr="000237B3">
        <w:rPr>
          <w:sz w:val="28"/>
          <w:szCs w:val="28"/>
        </w:rPr>
        <w:t xml:space="preserve"> valstij piekrītošās</w:t>
      </w:r>
      <w:r w:rsidRPr="000237B3">
        <w:rPr>
          <w:sz w:val="28"/>
          <w:szCs w:val="28"/>
        </w:rPr>
        <w:t xml:space="preserve"> un Aģentūras</w:t>
      </w:r>
      <w:r w:rsidR="00395D6C" w:rsidRPr="000237B3">
        <w:rPr>
          <w:sz w:val="28"/>
          <w:szCs w:val="28"/>
        </w:rPr>
        <w:t xml:space="preserve"> turējumā esošās</w:t>
      </w:r>
      <w:r w:rsidR="00335471" w:rsidRPr="000237B3">
        <w:rPr>
          <w:sz w:val="28"/>
          <w:szCs w:val="28"/>
        </w:rPr>
        <w:t xml:space="preserve"> bezmantiniek</w:t>
      </w:r>
      <w:r w:rsidR="00395D6C" w:rsidRPr="000237B3">
        <w:rPr>
          <w:sz w:val="28"/>
          <w:szCs w:val="28"/>
        </w:rPr>
        <w:t>u</w:t>
      </w:r>
      <w:r w:rsidR="00335471" w:rsidRPr="000237B3">
        <w:rPr>
          <w:sz w:val="28"/>
          <w:szCs w:val="28"/>
        </w:rPr>
        <w:t xml:space="preserve"> kapitāla daļas 4</w:t>
      </w:r>
      <w:r w:rsidR="00266F44" w:rsidRPr="000237B3">
        <w:rPr>
          <w:sz w:val="28"/>
          <w:szCs w:val="28"/>
        </w:rPr>
        <w:t>3</w:t>
      </w:r>
      <w:r w:rsidR="00335471" w:rsidRPr="000237B3">
        <w:rPr>
          <w:sz w:val="28"/>
          <w:szCs w:val="28"/>
        </w:rPr>
        <w:t xml:space="preserve"> kapitālsabiedrībā</w:t>
      </w:r>
      <w:r w:rsidR="00266F44" w:rsidRPr="000237B3">
        <w:rPr>
          <w:sz w:val="28"/>
          <w:szCs w:val="28"/>
        </w:rPr>
        <w:t>s</w:t>
      </w:r>
      <w:r w:rsidR="004C6391" w:rsidRPr="000237B3">
        <w:rPr>
          <w:sz w:val="28"/>
          <w:szCs w:val="28"/>
        </w:rPr>
        <w:t xml:space="preserve"> (p</w:t>
      </w:r>
      <w:r w:rsidR="00E71553" w:rsidRPr="000237B3">
        <w:rPr>
          <w:sz w:val="28"/>
          <w:szCs w:val="28"/>
        </w:rPr>
        <w:t>ielikum</w:t>
      </w:r>
      <w:r w:rsidR="004C6391" w:rsidRPr="000237B3">
        <w:rPr>
          <w:sz w:val="28"/>
          <w:szCs w:val="28"/>
        </w:rPr>
        <w:t>s</w:t>
      </w:r>
      <w:r w:rsidR="00E71553" w:rsidRPr="000237B3">
        <w:rPr>
          <w:sz w:val="28"/>
          <w:szCs w:val="28"/>
        </w:rPr>
        <w:t xml:space="preserve"> Nr</w:t>
      </w:r>
      <w:r w:rsidR="003E4923" w:rsidRPr="000237B3">
        <w:rPr>
          <w:sz w:val="28"/>
          <w:szCs w:val="28"/>
        </w:rPr>
        <w:t>.2);</w:t>
      </w:r>
    </w:p>
    <w:p w:rsidR="003E4923" w:rsidRPr="000237B3" w:rsidRDefault="005148F6" w:rsidP="00BC3243">
      <w:pPr>
        <w:numPr>
          <w:ilvl w:val="0"/>
          <w:numId w:val="2"/>
        </w:numPr>
        <w:jc w:val="both"/>
        <w:rPr>
          <w:sz w:val="28"/>
          <w:szCs w:val="28"/>
        </w:rPr>
      </w:pPr>
      <w:r>
        <w:rPr>
          <w:sz w:val="28"/>
          <w:szCs w:val="28"/>
        </w:rPr>
        <w:t>2</w:t>
      </w:r>
      <w:r w:rsidRPr="000237B3">
        <w:rPr>
          <w:sz w:val="28"/>
          <w:szCs w:val="28"/>
        </w:rPr>
        <w:t xml:space="preserve"> </w:t>
      </w:r>
      <w:r w:rsidR="00484CB8">
        <w:rPr>
          <w:sz w:val="28"/>
          <w:szCs w:val="28"/>
        </w:rPr>
        <w:t>līdzdalības citās</w:t>
      </w:r>
      <w:r w:rsidR="003E4923" w:rsidRPr="000237B3">
        <w:rPr>
          <w:sz w:val="28"/>
          <w:szCs w:val="28"/>
        </w:rPr>
        <w:t xml:space="preserve"> sabiedrīb</w:t>
      </w:r>
      <w:r w:rsidR="00484CB8">
        <w:rPr>
          <w:sz w:val="28"/>
          <w:szCs w:val="28"/>
        </w:rPr>
        <w:t>ā</w:t>
      </w:r>
      <w:r w:rsidR="003E4923" w:rsidRPr="000237B3">
        <w:rPr>
          <w:sz w:val="28"/>
          <w:szCs w:val="28"/>
        </w:rPr>
        <w:t xml:space="preserve">s </w:t>
      </w:r>
      <w:r w:rsidR="00484CB8">
        <w:rPr>
          <w:sz w:val="28"/>
          <w:szCs w:val="28"/>
        </w:rPr>
        <w:t xml:space="preserve">(meitas sabiedrības) </w:t>
      </w:r>
      <w:r w:rsidR="003E4923" w:rsidRPr="000237B3">
        <w:rPr>
          <w:sz w:val="28"/>
          <w:szCs w:val="28"/>
        </w:rPr>
        <w:t xml:space="preserve">– </w:t>
      </w:r>
      <w:r>
        <w:rPr>
          <w:sz w:val="28"/>
          <w:szCs w:val="28"/>
        </w:rPr>
        <w:t xml:space="preserve">akcijas </w:t>
      </w:r>
      <w:r w:rsidR="00BC3243">
        <w:rPr>
          <w:sz w:val="28"/>
          <w:szCs w:val="28"/>
        </w:rPr>
        <w:t>akciju sabiedrībā</w:t>
      </w:r>
      <w:r w:rsidR="00BC3243" w:rsidRPr="00BC3243">
        <w:rPr>
          <w:sz w:val="28"/>
          <w:szCs w:val="28"/>
        </w:rPr>
        <w:t xml:space="preserve"> </w:t>
      </w:r>
      <w:r w:rsidR="003E4923" w:rsidRPr="000237B3">
        <w:rPr>
          <w:sz w:val="28"/>
          <w:szCs w:val="28"/>
        </w:rPr>
        <w:t>„Citadele banka</w:t>
      </w:r>
      <w:r w:rsidRPr="000237B3">
        <w:rPr>
          <w:sz w:val="28"/>
          <w:szCs w:val="28"/>
        </w:rPr>
        <w:t>”</w:t>
      </w:r>
      <w:r>
        <w:rPr>
          <w:sz w:val="28"/>
          <w:szCs w:val="28"/>
        </w:rPr>
        <w:t xml:space="preserve"> un</w:t>
      </w:r>
      <w:r w:rsidRPr="000237B3">
        <w:rPr>
          <w:sz w:val="28"/>
          <w:szCs w:val="28"/>
        </w:rPr>
        <w:t xml:space="preserve"> </w:t>
      </w:r>
      <w:r w:rsidR="00BC3243">
        <w:rPr>
          <w:sz w:val="28"/>
          <w:szCs w:val="28"/>
        </w:rPr>
        <w:t>akciju sabiedrībā</w:t>
      </w:r>
      <w:r w:rsidR="003E4923" w:rsidRPr="000237B3">
        <w:rPr>
          <w:sz w:val="28"/>
          <w:szCs w:val="28"/>
        </w:rPr>
        <w:t xml:space="preserve"> „</w:t>
      </w:r>
      <w:proofErr w:type="spellStart"/>
      <w:r w:rsidR="003E4923" w:rsidRPr="000237B3">
        <w:rPr>
          <w:sz w:val="28"/>
          <w:szCs w:val="28"/>
        </w:rPr>
        <w:t>Reverta</w:t>
      </w:r>
      <w:proofErr w:type="spellEnd"/>
      <w:r w:rsidR="003E4923" w:rsidRPr="000237B3">
        <w:rPr>
          <w:sz w:val="28"/>
          <w:szCs w:val="28"/>
        </w:rPr>
        <w:t>”</w:t>
      </w:r>
      <w:r w:rsidR="005F552F" w:rsidRPr="000237B3">
        <w:rPr>
          <w:rFonts w:cs="Times New Roman"/>
          <w:sz w:val="28"/>
          <w:szCs w:val="28"/>
        </w:rPr>
        <w:t>.</w:t>
      </w:r>
      <w:r w:rsidR="00495CFA" w:rsidRPr="000237B3">
        <w:rPr>
          <w:rFonts w:cs="Times New Roman"/>
          <w:sz w:val="28"/>
          <w:szCs w:val="28"/>
        </w:rPr>
        <w:t xml:space="preserve"> </w:t>
      </w:r>
    </w:p>
    <w:p w:rsidR="00B35A90" w:rsidRDefault="00B35A90" w:rsidP="002C25BE">
      <w:pPr>
        <w:pStyle w:val="BodyText2"/>
        <w:ind w:firstLine="720"/>
        <w:jc w:val="right"/>
        <w:rPr>
          <w:rStyle w:val="CommentReference"/>
          <w:rFonts w:eastAsiaTheme="minorEastAsia" w:cstheme="minorBidi"/>
          <w:sz w:val="24"/>
          <w:lang w:eastAsia="zh-CN"/>
        </w:rPr>
      </w:pPr>
    </w:p>
    <w:p w:rsidR="002C25BE" w:rsidRPr="000237B3" w:rsidRDefault="002C25BE" w:rsidP="002C25BE">
      <w:pPr>
        <w:pStyle w:val="BodyText2"/>
        <w:ind w:firstLine="720"/>
        <w:jc w:val="right"/>
        <w:rPr>
          <w:rStyle w:val="CommentReference"/>
          <w:rFonts w:eastAsiaTheme="minorEastAsia" w:cstheme="minorBidi"/>
          <w:sz w:val="28"/>
          <w:szCs w:val="28"/>
          <w:lang w:eastAsia="zh-CN"/>
        </w:rPr>
      </w:pPr>
      <w:r w:rsidRPr="00DB4F02">
        <w:rPr>
          <w:rStyle w:val="CommentReference"/>
          <w:rFonts w:eastAsiaTheme="minorEastAsia" w:cstheme="minorBidi"/>
          <w:sz w:val="28"/>
          <w:szCs w:val="28"/>
          <w:lang w:eastAsia="zh-CN"/>
        </w:rPr>
        <w:t>Grafiks Nr.1</w:t>
      </w:r>
    </w:p>
    <w:p w:rsidR="00A07217" w:rsidRDefault="00DB4F02" w:rsidP="008152AE">
      <w:pPr>
        <w:pStyle w:val="BodyText2"/>
        <w:jc w:val="both"/>
        <w:rPr>
          <w:color w:val="000000"/>
          <w:sz w:val="24"/>
          <w:szCs w:val="24"/>
        </w:rPr>
      </w:pPr>
      <w:r>
        <w:rPr>
          <w:noProof/>
          <w:color w:val="000000"/>
          <w:sz w:val="24"/>
          <w:szCs w:val="24"/>
          <w:lang w:eastAsia="lv-LV"/>
        </w:rPr>
        <w:drawing>
          <wp:inline distT="0" distB="0" distL="0" distR="0" wp14:anchorId="10D70F4F" wp14:editId="2572F4C9">
            <wp:extent cx="5240052" cy="53962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1358" cy="5407890"/>
                    </a:xfrm>
                    <a:prstGeom prst="rect">
                      <a:avLst/>
                    </a:prstGeom>
                    <a:noFill/>
                  </pic:spPr>
                </pic:pic>
              </a:graphicData>
            </a:graphic>
          </wp:inline>
        </w:drawing>
      </w:r>
    </w:p>
    <w:p w:rsidR="000237B3" w:rsidRPr="000237B3" w:rsidRDefault="000237B3" w:rsidP="000237B3"/>
    <w:p w:rsidR="009B6D49" w:rsidRPr="000237B3" w:rsidRDefault="00AA454A" w:rsidP="00C25731">
      <w:pPr>
        <w:pStyle w:val="Heading1"/>
        <w:rPr>
          <w:rFonts w:cs="Times New Roman"/>
        </w:rPr>
      </w:pPr>
      <w:bookmarkStart w:id="3" w:name="_Toc354069793"/>
      <w:r w:rsidRPr="000237B3">
        <w:rPr>
          <w:rFonts w:cs="Times New Roman"/>
        </w:rPr>
        <w:t xml:space="preserve">IV </w:t>
      </w:r>
      <w:r w:rsidR="00946FBF" w:rsidRPr="000237B3">
        <w:rPr>
          <w:rFonts w:cs="Times New Roman"/>
        </w:rPr>
        <w:t>PORTFEĻA IZSTRĀDES PROGNOZE LĪDZ 2014.GADAM</w:t>
      </w:r>
      <w:bookmarkEnd w:id="3"/>
    </w:p>
    <w:p w:rsidR="005A1BE3" w:rsidRPr="000237B3" w:rsidRDefault="005A1BE3" w:rsidP="00663DD3">
      <w:pPr>
        <w:jc w:val="right"/>
        <w:rPr>
          <w:rFonts w:cs="Times New Roman"/>
          <w:sz w:val="28"/>
          <w:szCs w:val="28"/>
        </w:rPr>
      </w:pPr>
    </w:p>
    <w:p w:rsidR="00663DD3" w:rsidRPr="000237B3" w:rsidRDefault="00663DD3" w:rsidP="00663DD3">
      <w:pPr>
        <w:jc w:val="right"/>
        <w:rPr>
          <w:rFonts w:cs="Times New Roman"/>
          <w:sz w:val="28"/>
          <w:szCs w:val="28"/>
        </w:rPr>
      </w:pPr>
      <w:r w:rsidRPr="000237B3">
        <w:rPr>
          <w:rFonts w:cs="Times New Roman"/>
          <w:sz w:val="28"/>
          <w:szCs w:val="28"/>
        </w:rPr>
        <w:t>Tabula Nr.</w:t>
      </w:r>
      <w:r w:rsidR="0001461D" w:rsidRPr="000237B3">
        <w:rPr>
          <w:rFonts w:cs="Times New Roman"/>
          <w:sz w:val="28"/>
          <w:szCs w:val="28"/>
        </w:rPr>
        <w:t>3</w:t>
      </w:r>
    </w:p>
    <w:p w:rsidR="00663DD3" w:rsidRDefault="00C72F49" w:rsidP="00663DD3">
      <w:pPr>
        <w:jc w:val="center"/>
        <w:rPr>
          <w:b/>
          <w:sz w:val="28"/>
          <w:szCs w:val="28"/>
        </w:rPr>
      </w:pPr>
      <w:r w:rsidRPr="000237B3">
        <w:rPr>
          <w:b/>
          <w:sz w:val="28"/>
          <w:szCs w:val="28"/>
        </w:rPr>
        <w:lastRenderedPageBreak/>
        <w:t>Aģentūras</w:t>
      </w:r>
      <w:r w:rsidR="00210636" w:rsidRPr="000237B3">
        <w:rPr>
          <w:b/>
          <w:sz w:val="28"/>
          <w:szCs w:val="28"/>
        </w:rPr>
        <w:t xml:space="preserve"> portfeļa izstrādes prognoze</w:t>
      </w:r>
      <w:r w:rsidR="00F438F2" w:rsidRPr="000237B3">
        <w:rPr>
          <w:b/>
          <w:sz w:val="28"/>
          <w:szCs w:val="28"/>
        </w:rPr>
        <w:t xml:space="preserve"> 2013.-2014.gadā</w:t>
      </w:r>
      <w:r w:rsidR="00820580" w:rsidRPr="000237B3">
        <w:rPr>
          <w:b/>
          <w:sz w:val="28"/>
          <w:szCs w:val="28"/>
        </w:rPr>
        <w:t xml:space="preserve"> (kopsavilkums)</w:t>
      </w:r>
    </w:p>
    <w:p w:rsidR="000237B3" w:rsidRPr="000237B3" w:rsidRDefault="000237B3" w:rsidP="00663DD3">
      <w:pPr>
        <w:jc w:val="center"/>
        <w:rPr>
          <w:b/>
          <w:sz w:val="28"/>
          <w:szCs w:val="28"/>
        </w:rPr>
      </w:pPr>
    </w:p>
    <w:tbl>
      <w:tblPr>
        <w:tblStyle w:val="LightList-Accent1"/>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764"/>
        <w:gridCol w:w="805"/>
        <w:gridCol w:w="831"/>
        <w:gridCol w:w="771"/>
        <w:gridCol w:w="771"/>
        <w:gridCol w:w="791"/>
      </w:tblGrid>
      <w:tr w:rsidR="00C0067C" w:rsidRPr="00735456" w:rsidTr="00860319">
        <w:trPr>
          <w:cnfStyle w:val="100000000000" w:firstRow="1" w:lastRow="0" w:firstColumn="0" w:lastColumn="0" w:oddVBand="0" w:evenVBand="0" w:oddHBand="0" w:evenHBand="0" w:firstRowFirstColumn="0" w:firstRowLastColumn="0" w:lastRowFirstColumn="0" w:lastRowLastColumn="0"/>
          <w:trHeight w:val="573"/>
        </w:trPr>
        <w:tc>
          <w:tcPr>
            <w:tcW w:w="3764" w:type="dxa"/>
            <w:hideMark/>
          </w:tcPr>
          <w:p w:rsidR="00C0067C" w:rsidRPr="00C1747E" w:rsidRDefault="00C0067C" w:rsidP="00F438F2">
            <w:pPr>
              <w:rPr>
                <w:rFonts w:cs="Times New Roman"/>
                <w:noProof/>
                <w:sz w:val="22"/>
                <w:szCs w:val="22"/>
              </w:rPr>
            </w:pPr>
          </w:p>
        </w:tc>
        <w:tc>
          <w:tcPr>
            <w:tcW w:w="805" w:type="dxa"/>
            <w:hideMark/>
          </w:tcPr>
          <w:p w:rsidR="00C0067C" w:rsidRPr="00C1747E" w:rsidRDefault="00C0067C" w:rsidP="00F438F2">
            <w:pPr>
              <w:rPr>
                <w:rFonts w:cs="Times New Roman"/>
                <w:b w:val="0"/>
                <w:noProof/>
                <w:sz w:val="22"/>
                <w:szCs w:val="22"/>
              </w:rPr>
            </w:pPr>
            <w:r w:rsidRPr="00C1747E">
              <w:rPr>
                <w:rFonts w:cs="Times New Roman"/>
                <w:b w:val="0"/>
                <w:noProof/>
                <w:sz w:val="22"/>
                <w:szCs w:val="22"/>
              </w:rPr>
              <w:t>31.12.</w:t>
            </w:r>
          </w:p>
          <w:p w:rsidR="00C0067C" w:rsidRPr="00C1747E" w:rsidRDefault="00C0067C" w:rsidP="00F438F2">
            <w:pPr>
              <w:rPr>
                <w:rFonts w:cs="Times New Roman"/>
                <w:bCs w:val="0"/>
                <w:noProof/>
                <w:sz w:val="22"/>
                <w:szCs w:val="22"/>
              </w:rPr>
            </w:pPr>
            <w:r w:rsidRPr="00C1747E">
              <w:rPr>
                <w:rFonts w:cs="Times New Roman"/>
                <w:noProof/>
                <w:sz w:val="22"/>
                <w:szCs w:val="22"/>
              </w:rPr>
              <w:t>2011.</w:t>
            </w:r>
          </w:p>
          <w:p w:rsidR="00C0067C" w:rsidRPr="00C1747E" w:rsidRDefault="00C0067C" w:rsidP="00F438F2">
            <w:pPr>
              <w:rPr>
                <w:rFonts w:cs="Times New Roman"/>
                <w:noProof/>
                <w:sz w:val="22"/>
                <w:szCs w:val="22"/>
              </w:rPr>
            </w:pPr>
          </w:p>
        </w:tc>
        <w:tc>
          <w:tcPr>
            <w:tcW w:w="831" w:type="dxa"/>
          </w:tcPr>
          <w:p w:rsidR="00C0067C" w:rsidRPr="00C1747E" w:rsidRDefault="00C0067C" w:rsidP="00F438F2">
            <w:pPr>
              <w:ind w:firstLine="35"/>
              <w:rPr>
                <w:rFonts w:cs="Times New Roman"/>
                <w:b w:val="0"/>
                <w:noProof/>
                <w:sz w:val="22"/>
                <w:szCs w:val="22"/>
              </w:rPr>
            </w:pPr>
            <w:r w:rsidRPr="00C1747E">
              <w:rPr>
                <w:rFonts w:cs="Times New Roman"/>
                <w:b w:val="0"/>
                <w:noProof/>
                <w:sz w:val="22"/>
                <w:szCs w:val="22"/>
              </w:rPr>
              <w:t>31.12.</w:t>
            </w:r>
          </w:p>
          <w:p w:rsidR="00C0067C" w:rsidRPr="00C1747E" w:rsidRDefault="00C0067C" w:rsidP="00F438F2">
            <w:pPr>
              <w:ind w:firstLine="35"/>
              <w:rPr>
                <w:rFonts w:cs="Times New Roman"/>
                <w:noProof/>
                <w:sz w:val="22"/>
                <w:szCs w:val="22"/>
              </w:rPr>
            </w:pPr>
            <w:r w:rsidRPr="00C1747E">
              <w:rPr>
                <w:rFonts w:cs="Times New Roman"/>
                <w:noProof/>
                <w:sz w:val="22"/>
                <w:szCs w:val="22"/>
              </w:rPr>
              <w:t>2012.</w:t>
            </w:r>
          </w:p>
        </w:tc>
        <w:tc>
          <w:tcPr>
            <w:tcW w:w="771" w:type="dxa"/>
            <w:shd w:val="clear" w:color="auto" w:fill="F2F2F2" w:themeFill="background1" w:themeFillShade="F2"/>
          </w:tcPr>
          <w:p w:rsidR="00C0067C" w:rsidRPr="00C1747E" w:rsidRDefault="00C0067C" w:rsidP="00C1747E">
            <w:pPr>
              <w:rPr>
                <w:rFonts w:cs="Times New Roman"/>
                <w:b w:val="0"/>
                <w:noProof/>
                <w:sz w:val="22"/>
                <w:szCs w:val="22"/>
              </w:rPr>
            </w:pPr>
            <w:r w:rsidRPr="00C1747E">
              <w:rPr>
                <w:rFonts w:cs="Times New Roman"/>
                <w:b w:val="0"/>
                <w:noProof/>
                <w:sz w:val="22"/>
                <w:szCs w:val="22"/>
              </w:rPr>
              <w:t>31.03.</w:t>
            </w:r>
            <w:r w:rsidR="00C1747E" w:rsidRPr="00C1747E">
              <w:rPr>
                <w:rFonts w:cs="Times New Roman"/>
                <w:b w:val="0"/>
                <w:noProof/>
                <w:sz w:val="22"/>
                <w:szCs w:val="22"/>
              </w:rPr>
              <w:t xml:space="preserve"> </w:t>
            </w:r>
            <w:r w:rsidRPr="00C1747E">
              <w:rPr>
                <w:rFonts w:cs="Times New Roman"/>
                <w:b w:val="0"/>
                <w:noProof/>
                <w:sz w:val="22"/>
                <w:szCs w:val="22"/>
              </w:rPr>
              <w:t>2013.</w:t>
            </w:r>
          </w:p>
        </w:tc>
        <w:tc>
          <w:tcPr>
            <w:tcW w:w="771" w:type="dxa"/>
            <w:hideMark/>
          </w:tcPr>
          <w:p w:rsidR="00C0067C" w:rsidRPr="00C1747E" w:rsidRDefault="00C0067C" w:rsidP="00C1747E">
            <w:pPr>
              <w:rPr>
                <w:rFonts w:cs="Times New Roman"/>
                <w:b w:val="0"/>
                <w:noProof/>
                <w:sz w:val="22"/>
                <w:szCs w:val="22"/>
              </w:rPr>
            </w:pPr>
            <w:r w:rsidRPr="00C1747E">
              <w:rPr>
                <w:rFonts w:cs="Times New Roman"/>
                <w:b w:val="0"/>
                <w:noProof/>
                <w:sz w:val="22"/>
                <w:szCs w:val="22"/>
              </w:rPr>
              <w:t>31.12.</w:t>
            </w:r>
          </w:p>
          <w:p w:rsidR="00C0067C" w:rsidRPr="00C1747E" w:rsidRDefault="00C0067C" w:rsidP="00F438F2">
            <w:pPr>
              <w:ind w:firstLine="35"/>
              <w:rPr>
                <w:rFonts w:cs="Times New Roman"/>
                <w:noProof/>
                <w:sz w:val="22"/>
                <w:szCs w:val="22"/>
              </w:rPr>
            </w:pPr>
            <w:r w:rsidRPr="00C1747E">
              <w:rPr>
                <w:rFonts w:cs="Times New Roman"/>
                <w:noProof/>
                <w:sz w:val="22"/>
                <w:szCs w:val="22"/>
              </w:rPr>
              <w:t>2013.</w:t>
            </w:r>
          </w:p>
        </w:tc>
        <w:tc>
          <w:tcPr>
            <w:tcW w:w="791" w:type="dxa"/>
            <w:hideMark/>
          </w:tcPr>
          <w:p w:rsidR="00C0067C" w:rsidRPr="00C1747E" w:rsidRDefault="00C0067C" w:rsidP="00F438F2">
            <w:pPr>
              <w:rPr>
                <w:rFonts w:cs="Times New Roman"/>
                <w:b w:val="0"/>
                <w:noProof/>
                <w:sz w:val="22"/>
                <w:szCs w:val="22"/>
              </w:rPr>
            </w:pPr>
            <w:r w:rsidRPr="00C1747E">
              <w:rPr>
                <w:rFonts w:cs="Times New Roman"/>
                <w:b w:val="0"/>
                <w:noProof/>
                <w:sz w:val="22"/>
                <w:szCs w:val="22"/>
              </w:rPr>
              <w:t>31.12.</w:t>
            </w:r>
          </w:p>
          <w:p w:rsidR="00C0067C" w:rsidRPr="00C1747E" w:rsidRDefault="00C0067C" w:rsidP="00F438F2">
            <w:pPr>
              <w:rPr>
                <w:rFonts w:cs="Times New Roman"/>
                <w:noProof/>
                <w:sz w:val="22"/>
                <w:szCs w:val="22"/>
              </w:rPr>
            </w:pPr>
            <w:r w:rsidRPr="00C1747E">
              <w:rPr>
                <w:rFonts w:cs="Times New Roman"/>
                <w:noProof/>
                <w:sz w:val="22"/>
                <w:szCs w:val="22"/>
              </w:rPr>
              <w:t>2014.</w:t>
            </w:r>
          </w:p>
        </w:tc>
      </w:tr>
      <w:tr w:rsidR="00C0067C" w:rsidRPr="00735456" w:rsidTr="00860319">
        <w:trPr>
          <w:cnfStyle w:val="000000100000" w:firstRow="0" w:lastRow="0" w:firstColumn="0" w:lastColumn="0" w:oddVBand="0" w:evenVBand="0" w:oddHBand="1" w:evenHBand="0" w:firstRowFirstColumn="0" w:firstRowLastColumn="0" w:lastRowFirstColumn="0" w:lastRowLastColumn="0"/>
          <w:trHeight w:val="20"/>
        </w:trPr>
        <w:tc>
          <w:tcPr>
            <w:tcW w:w="3764" w:type="dxa"/>
            <w:hideMark/>
          </w:tcPr>
          <w:p w:rsidR="00C0067C" w:rsidRPr="00C1747E" w:rsidRDefault="00C0067C" w:rsidP="00F438F2">
            <w:pPr>
              <w:spacing w:after="40"/>
              <w:ind w:hanging="2"/>
              <w:rPr>
                <w:rFonts w:cs="Times New Roman"/>
                <w:b/>
                <w:noProof/>
                <w:sz w:val="22"/>
                <w:szCs w:val="22"/>
              </w:rPr>
            </w:pPr>
            <w:r w:rsidRPr="00C1747E">
              <w:rPr>
                <w:rFonts w:cs="Times New Roman"/>
                <w:b/>
                <w:noProof/>
                <w:sz w:val="22"/>
                <w:szCs w:val="22"/>
              </w:rPr>
              <w:t>Valsts zemesgabali</w:t>
            </w:r>
          </w:p>
        </w:tc>
        <w:tc>
          <w:tcPr>
            <w:tcW w:w="805" w:type="dxa"/>
            <w:hideMark/>
          </w:tcPr>
          <w:p w:rsidR="00C0067C" w:rsidRPr="00C1747E" w:rsidRDefault="00C0067C" w:rsidP="00652C97">
            <w:pPr>
              <w:ind w:firstLine="9"/>
              <w:jc w:val="right"/>
              <w:rPr>
                <w:rFonts w:cs="Times New Roman"/>
                <w:noProof/>
                <w:sz w:val="22"/>
                <w:szCs w:val="22"/>
              </w:rPr>
            </w:pPr>
            <w:r w:rsidRPr="00C1747E">
              <w:rPr>
                <w:rFonts w:cs="Times New Roman"/>
                <w:noProof/>
                <w:sz w:val="22"/>
                <w:szCs w:val="22"/>
              </w:rPr>
              <w:t>687</w:t>
            </w:r>
          </w:p>
        </w:tc>
        <w:tc>
          <w:tcPr>
            <w:tcW w:w="831" w:type="dxa"/>
          </w:tcPr>
          <w:p w:rsidR="00C0067C" w:rsidRPr="00C1747E" w:rsidRDefault="00C0067C" w:rsidP="00652C97">
            <w:pPr>
              <w:jc w:val="right"/>
              <w:rPr>
                <w:rFonts w:cs="Times New Roman"/>
                <w:noProof/>
                <w:sz w:val="22"/>
                <w:szCs w:val="22"/>
              </w:rPr>
            </w:pPr>
            <w:r w:rsidRPr="00C1747E">
              <w:rPr>
                <w:rFonts w:cs="Times New Roman"/>
                <w:noProof/>
                <w:sz w:val="22"/>
                <w:szCs w:val="22"/>
              </w:rPr>
              <w:t>704</w:t>
            </w:r>
            <w:r w:rsidRPr="00C1747E">
              <w:rPr>
                <w:rStyle w:val="FootnoteReference"/>
                <w:rFonts w:cs="Times New Roman"/>
                <w:noProof/>
                <w:sz w:val="22"/>
                <w:szCs w:val="22"/>
              </w:rPr>
              <w:footnoteReference w:id="2"/>
            </w:r>
          </w:p>
        </w:tc>
        <w:tc>
          <w:tcPr>
            <w:tcW w:w="771" w:type="dxa"/>
            <w:shd w:val="clear" w:color="auto" w:fill="F2F2F2" w:themeFill="background1" w:themeFillShade="F2"/>
          </w:tcPr>
          <w:p w:rsidR="00C0067C" w:rsidRPr="00C1747E" w:rsidRDefault="00652C97" w:rsidP="00652C97">
            <w:pPr>
              <w:jc w:val="right"/>
              <w:rPr>
                <w:rFonts w:cs="Times New Roman"/>
                <w:noProof/>
                <w:sz w:val="22"/>
                <w:szCs w:val="22"/>
              </w:rPr>
            </w:pPr>
            <w:r>
              <w:rPr>
                <w:rFonts w:cs="Times New Roman"/>
                <w:noProof/>
                <w:sz w:val="22"/>
                <w:szCs w:val="22"/>
              </w:rPr>
              <w:t>696</w:t>
            </w:r>
          </w:p>
        </w:tc>
        <w:tc>
          <w:tcPr>
            <w:tcW w:w="771"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600</w:t>
            </w:r>
          </w:p>
        </w:tc>
        <w:tc>
          <w:tcPr>
            <w:tcW w:w="791"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560</w:t>
            </w:r>
          </w:p>
        </w:tc>
      </w:tr>
      <w:tr w:rsidR="00C0067C" w:rsidRPr="00735456" w:rsidTr="00860319">
        <w:trPr>
          <w:trHeight w:val="20"/>
        </w:trPr>
        <w:tc>
          <w:tcPr>
            <w:tcW w:w="3764" w:type="dxa"/>
            <w:hideMark/>
          </w:tcPr>
          <w:p w:rsidR="00C0067C" w:rsidRPr="00C1747E" w:rsidRDefault="00C0067C" w:rsidP="00F438F2">
            <w:pPr>
              <w:spacing w:after="40"/>
              <w:rPr>
                <w:rFonts w:cs="Times New Roman"/>
                <w:b/>
                <w:noProof/>
                <w:sz w:val="22"/>
                <w:szCs w:val="22"/>
              </w:rPr>
            </w:pPr>
            <w:r w:rsidRPr="00C1747E">
              <w:rPr>
                <w:rFonts w:cs="Times New Roman"/>
                <w:b/>
                <w:noProof/>
                <w:sz w:val="22"/>
                <w:szCs w:val="22"/>
              </w:rPr>
              <w:t>Valsts nekustamā īpašuma objekti</w:t>
            </w:r>
          </w:p>
        </w:tc>
        <w:tc>
          <w:tcPr>
            <w:tcW w:w="805" w:type="dxa"/>
            <w:hideMark/>
          </w:tcPr>
          <w:p w:rsidR="00C0067C" w:rsidRPr="00C1747E" w:rsidRDefault="00C0067C" w:rsidP="00652C97">
            <w:pPr>
              <w:ind w:firstLine="9"/>
              <w:jc w:val="right"/>
              <w:rPr>
                <w:rFonts w:cs="Times New Roman"/>
                <w:noProof/>
                <w:sz w:val="22"/>
                <w:szCs w:val="22"/>
              </w:rPr>
            </w:pPr>
            <w:r w:rsidRPr="00C1747E">
              <w:rPr>
                <w:rFonts w:cs="Times New Roman"/>
                <w:noProof/>
                <w:sz w:val="22"/>
                <w:szCs w:val="22"/>
              </w:rPr>
              <w:t>79</w:t>
            </w:r>
          </w:p>
        </w:tc>
        <w:tc>
          <w:tcPr>
            <w:tcW w:w="831" w:type="dxa"/>
          </w:tcPr>
          <w:p w:rsidR="00C0067C" w:rsidRPr="00C1747E" w:rsidRDefault="00C0067C" w:rsidP="00652C97">
            <w:pPr>
              <w:ind w:firstLine="9"/>
              <w:jc w:val="right"/>
              <w:rPr>
                <w:rFonts w:cs="Times New Roman"/>
                <w:noProof/>
                <w:sz w:val="22"/>
                <w:szCs w:val="22"/>
              </w:rPr>
            </w:pPr>
            <w:r w:rsidRPr="00C1747E">
              <w:rPr>
                <w:rFonts w:cs="Times New Roman"/>
                <w:noProof/>
                <w:sz w:val="22"/>
                <w:szCs w:val="22"/>
              </w:rPr>
              <w:t>53</w:t>
            </w:r>
            <w:r w:rsidRPr="00C1747E">
              <w:rPr>
                <w:rStyle w:val="FootnoteReference"/>
                <w:rFonts w:cs="Times New Roman"/>
                <w:noProof/>
                <w:sz w:val="22"/>
                <w:szCs w:val="22"/>
              </w:rPr>
              <w:footnoteReference w:id="3"/>
            </w:r>
          </w:p>
        </w:tc>
        <w:tc>
          <w:tcPr>
            <w:tcW w:w="771" w:type="dxa"/>
            <w:shd w:val="clear" w:color="auto" w:fill="F2F2F2" w:themeFill="background1" w:themeFillShade="F2"/>
          </w:tcPr>
          <w:p w:rsidR="00C0067C" w:rsidRPr="00C1747E" w:rsidRDefault="00652C97" w:rsidP="00652C97">
            <w:pPr>
              <w:ind w:firstLine="9"/>
              <w:jc w:val="right"/>
              <w:rPr>
                <w:rFonts w:cs="Times New Roman"/>
                <w:noProof/>
                <w:sz w:val="22"/>
                <w:szCs w:val="22"/>
              </w:rPr>
            </w:pPr>
            <w:r>
              <w:rPr>
                <w:rFonts w:cs="Times New Roman"/>
                <w:noProof/>
                <w:sz w:val="22"/>
                <w:szCs w:val="22"/>
              </w:rPr>
              <w:t>50</w:t>
            </w:r>
          </w:p>
        </w:tc>
        <w:tc>
          <w:tcPr>
            <w:tcW w:w="771" w:type="dxa"/>
            <w:hideMark/>
          </w:tcPr>
          <w:p w:rsidR="00C0067C" w:rsidRPr="00C1747E" w:rsidRDefault="00C0067C" w:rsidP="00652C97">
            <w:pPr>
              <w:ind w:firstLine="9"/>
              <w:jc w:val="right"/>
              <w:rPr>
                <w:rFonts w:cs="Times New Roman"/>
                <w:noProof/>
                <w:sz w:val="22"/>
                <w:szCs w:val="22"/>
              </w:rPr>
            </w:pPr>
            <w:r w:rsidRPr="00C1747E">
              <w:rPr>
                <w:rFonts w:cs="Times New Roman"/>
                <w:noProof/>
                <w:sz w:val="22"/>
                <w:szCs w:val="22"/>
              </w:rPr>
              <w:t>34</w:t>
            </w:r>
          </w:p>
        </w:tc>
        <w:tc>
          <w:tcPr>
            <w:tcW w:w="791" w:type="dxa"/>
            <w:hideMark/>
          </w:tcPr>
          <w:p w:rsidR="00C0067C" w:rsidRPr="00C1747E" w:rsidRDefault="00C0067C" w:rsidP="00652C97">
            <w:pPr>
              <w:ind w:firstLine="9"/>
              <w:jc w:val="right"/>
              <w:rPr>
                <w:rFonts w:cs="Times New Roman"/>
                <w:noProof/>
                <w:sz w:val="22"/>
                <w:szCs w:val="22"/>
              </w:rPr>
            </w:pPr>
            <w:r w:rsidRPr="00C1747E">
              <w:rPr>
                <w:rFonts w:cs="Times New Roman"/>
                <w:noProof/>
                <w:sz w:val="22"/>
                <w:szCs w:val="22"/>
              </w:rPr>
              <w:t>7</w:t>
            </w:r>
          </w:p>
        </w:tc>
      </w:tr>
      <w:tr w:rsidR="00C0067C" w:rsidRPr="00735456" w:rsidTr="00860319">
        <w:trPr>
          <w:cnfStyle w:val="000000100000" w:firstRow="0" w:lastRow="0" w:firstColumn="0" w:lastColumn="0" w:oddVBand="0" w:evenVBand="0" w:oddHBand="1" w:evenHBand="0" w:firstRowFirstColumn="0" w:firstRowLastColumn="0" w:lastRowFirstColumn="0" w:lastRowLastColumn="0"/>
          <w:trHeight w:val="20"/>
        </w:trPr>
        <w:tc>
          <w:tcPr>
            <w:tcW w:w="3764" w:type="dxa"/>
            <w:hideMark/>
          </w:tcPr>
          <w:p w:rsidR="00C0067C" w:rsidRPr="00C1747E" w:rsidRDefault="00C0067C" w:rsidP="00F438F2">
            <w:pPr>
              <w:spacing w:after="40"/>
              <w:ind w:hanging="2"/>
              <w:rPr>
                <w:rFonts w:cs="Times New Roman"/>
                <w:b/>
                <w:noProof/>
                <w:sz w:val="22"/>
                <w:szCs w:val="22"/>
              </w:rPr>
            </w:pPr>
            <w:r w:rsidRPr="00C1747E">
              <w:rPr>
                <w:rFonts w:cs="Times New Roman"/>
                <w:b/>
                <w:noProof/>
                <w:sz w:val="22"/>
                <w:szCs w:val="22"/>
              </w:rPr>
              <w:t>Dzīvokļu īpašumi</w:t>
            </w:r>
            <w:r w:rsidRPr="00C1747E">
              <w:rPr>
                <w:rStyle w:val="FootnoteReference"/>
                <w:rFonts w:cs="Times New Roman"/>
                <w:noProof/>
                <w:sz w:val="22"/>
                <w:szCs w:val="22"/>
              </w:rPr>
              <w:footnoteReference w:id="4"/>
            </w:r>
          </w:p>
        </w:tc>
        <w:tc>
          <w:tcPr>
            <w:tcW w:w="805"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1958</w:t>
            </w:r>
          </w:p>
        </w:tc>
        <w:tc>
          <w:tcPr>
            <w:tcW w:w="831" w:type="dxa"/>
          </w:tcPr>
          <w:p w:rsidR="00C0067C" w:rsidRPr="00C1747E" w:rsidRDefault="00C0067C" w:rsidP="00652C97">
            <w:pPr>
              <w:jc w:val="right"/>
              <w:rPr>
                <w:rFonts w:cs="Times New Roman"/>
                <w:noProof/>
                <w:sz w:val="22"/>
                <w:szCs w:val="22"/>
              </w:rPr>
            </w:pPr>
            <w:r w:rsidRPr="00C1747E">
              <w:rPr>
                <w:rFonts w:cs="Times New Roman"/>
                <w:noProof/>
                <w:sz w:val="22"/>
                <w:szCs w:val="22"/>
              </w:rPr>
              <w:t>1657</w:t>
            </w:r>
            <w:r w:rsidRPr="00C1747E">
              <w:rPr>
                <w:rStyle w:val="FootnoteReference"/>
                <w:rFonts w:cs="Times New Roman"/>
                <w:noProof/>
                <w:sz w:val="22"/>
                <w:szCs w:val="22"/>
              </w:rPr>
              <w:footnoteReference w:id="5"/>
            </w:r>
          </w:p>
        </w:tc>
        <w:tc>
          <w:tcPr>
            <w:tcW w:w="771" w:type="dxa"/>
            <w:shd w:val="clear" w:color="auto" w:fill="F2F2F2" w:themeFill="background1" w:themeFillShade="F2"/>
          </w:tcPr>
          <w:p w:rsidR="00C0067C" w:rsidRPr="00C1747E" w:rsidRDefault="00C0067C" w:rsidP="00652C97">
            <w:pPr>
              <w:jc w:val="right"/>
              <w:rPr>
                <w:rFonts w:cs="Times New Roman"/>
                <w:noProof/>
                <w:sz w:val="22"/>
                <w:szCs w:val="22"/>
              </w:rPr>
            </w:pPr>
            <w:r w:rsidRPr="00C1747E">
              <w:rPr>
                <w:rFonts w:cs="Times New Roman"/>
                <w:noProof/>
                <w:sz w:val="22"/>
                <w:szCs w:val="22"/>
              </w:rPr>
              <w:t>1590</w:t>
            </w:r>
            <w:r w:rsidRPr="00C1747E">
              <w:rPr>
                <w:rStyle w:val="FootnoteReference"/>
                <w:rFonts w:cs="Times New Roman"/>
                <w:noProof/>
                <w:sz w:val="22"/>
                <w:szCs w:val="22"/>
              </w:rPr>
              <w:footnoteReference w:id="6"/>
            </w:r>
          </w:p>
        </w:tc>
        <w:tc>
          <w:tcPr>
            <w:tcW w:w="771"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1492</w:t>
            </w:r>
            <w:r w:rsidRPr="00C1747E">
              <w:rPr>
                <w:rStyle w:val="FootnoteReference"/>
                <w:rFonts w:cs="Times New Roman"/>
                <w:noProof/>
                <w:sz w:val="22"/>
                <w:szCs w:val="22"/>
              </w:rPr>
              <w:footnoteReference w:id="7"/>
            </w:r>
          </w:p>
        </w:tc>
        <w:tc>
          <w:tcPr>
            <w:tcW w:w="791"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235</w:t>
            </w:r>
            <w:r w:rsidRPr="00C1747E">
              <w:rPr>
                <w:rStyle w:val="FootnoteReference"/>
                <w:rFonts w:cs="Times New Roman"/>
                <w:noProof/>
                <w:sz w:val="22"/>
                <w:szCs w:val="22"/>
              </w:rPr>
              <w:footnoteReference w:id="8"/>
            </w:r>
          </w:p>
        </w:tc>
      </w:tr>
      <w:tr w:rsidR="00C0067C" w:rsidRPr="00735456" w:rsidTr="00860319">
        <w:trPr>
          <w:trHeight w:val="20"/>
        </w:trPr>
        <w:tc>
          <w:tcPr>
            <w:tcW w:w="3764" w:type="dxa"/>
          </w:tcPr>
          <w:p w:rsidR="00C0067C" w:rsidRPr="00C1747E" w:rsidRDefault="00C0067C" w:rsidP="00F438F2">
            <w:pPr>
              <w:spacing w:after="40"/>
              <w:ind w:hanging="2"/>
              <w:rPr>
                <w:rFonts w:cs="Times New Roman"/>
                <w:b/>
                <w:noProof/>
                <w:sz w:val="22"/>
                <w:szCs w:val="22"/>
              </w:rPr>
            </w:pPr>
            <w:r w:rsidRPr="00C1747E">
              <w:rPr>
                <w:rFonts w:cs="Times New Roman"/>
                <w:b/>
                <w:noProof/>
                <w:sz w:val="22"/>
                <w:szCs w:val="22"/>
              </w:rPr>
              <w:t>Dzīvojamās mājas</w:t>
            </w:r>
          </w:p>
        </w:tc>
        <w:tc>
          <w:tcPr>
            <w:tcW w:w="805" w:type="dxa"/>
          </w:tcPr>
          <w:p w:rsidR="00C0067C" w:rsidRPr="00C1747E" w:rsidRDefault="00C0067C" w:rsidP="00652C97">
            <w:pPr>
              <w:jc w:val="right"/>
              <w:rPr>
                <w:rFonts w:cs="Times New Roman"/>
                <w:noProof/>
                <w:sz w:val="22"/>
                <w:szCs w:val="22"/>
              </w:rPr>
            </w:pPr>
            <w:r w:rsidRPr="00C1747E">
              <w:rPr>
                <w:rFonts w:cs="Times New Roman"/>
                <w:noProof/>
                <w:sz w:val="22"/>
                <w:szCs w:val="22"/>
              </w:rPr>
              <w:t>515</w:t>
            </w:r>
          </w:p>
        </w:tc>
        <w:tc>
          <w:tcPr>
            <w:tcW w:w="831" w:type="dxa"/>
          </w:tcPr>
          <w:p w:rsidR="00C0067C" w:rsidRPr="00C1747E" w:rsidRDefault="00C0067C" w:rsidP="00652C97">
            <w:pPr>
              <w:jc w:val="right"/>
              <w:rPr>
                <w:rFonts w:cs="Times New Roman"/>
                <w:noProof/>
                <w:sz w:val="22"/>
                <w:szCs w:val="22"/>
              </w:rPr>
            </w:pPr>
            <w:r w:rsidRPr="00C1747E">
              <w:rPr>
                <w:rFonts w:cs="Times New Roman"/>
                <w:noProof/>
                <w:sz w:val="22"/>
                <w:szCs w:val="22"/>
              </w:rPr>
              <w:t>406</w:t>
            </w:r>
            <w:r w:rsidRPr="00C1747E">
              <w:rPr>
                <w:rStyle w:val="FootnoteReference"/>
                <w:rFonts w:cs="Times New Roman"/>
                <w:noProof/>
                <w:sz w:val="22"/>
                <w:szCs w:val="22"/>
              </w:rPr>
              <w:footnoteReference w:id="9"/>
            </w:r>
          </w:p>
        </w:tc>
        <w:tc>
          <w:tcPr>
            <w:tcW w:w="771" w:type="dxa"/>
            <w:shd w:val="clear" w:color="auto" w:fill="F2F2F2" w:themeFill="background1" w:themeFillShade="F2"/>
          </w:tcPr>
          <w:p w:rsidR="00C0067C" w:rsidRPr="00C1747E" w:rsidRDefault="00C1747E" w:rsidP="00652C97">
            <w:pPr>
              <w:jc w:val="right"/>
              <w:rPr>
                <w:rFonts w:cs="Times New Roman"/>
                <w:noProof/>
                <w:sz w:val="22"/>
                <w:szCs w:val="22"/>
              </w:rPr>
            </w:pPr>
            <w:r w:rsidRPr="00C1747E">
              <w:rPr>
                <w:rFonts w:cs="Times New Roman"/>
                <w:noProof/>
                <w:sz w:val="22"/>
                <w:szCs w:val="22"/>
              </w:rPr>
              <w:t>384</w:t>
            </w:r>
            <w:r w:rsidRPr="00C1747E">
              <w:rPr>
                <w:rStyle w:val="FootnoteReference"/>
                <w:rFonts w:cs="Times New Roman"/>
                <w:noProof/>
                <w:sz w:val="22"/>
                <w:szCs w:val="22"/>
              </w:rPr>
              <w:footnoteReference w:id="10"/>
            </w:r>
          </w:p>
        </w:tc>
        <w:tc>
          <w:tcPr>
            <w:tcW w:w="771" w:type="dxa"/>
          </w:tcPr>
          <w:p w:rsidR="00C0067C" w:rsidRPr="00C1747E" w:rsidRDefault="00C0067C" w:rsidP="00652C97">
            <w:pPr>
              <w:jc w:val="right"/>
              <w:rPr>
                <w:rFonts w:cs="Times New Roman"/>
                <w:noProof/>
                <w:sz w:val="22"/>
                <w:szCs w:val="22"/>
              </w:rPr>
            </w:pPr>
            <w:r w:rsidRPr="00C1747E">
              <w:rPr>
                <w:rFonts w:cs="Times New Roman"/>
                <w:noProof/>
                <w:sz w:val="22"/>
                <w:szCs w:val="22"/>
              </w:rPr>
              <w:t>350</w:t>
            </w:r>
            <w:r w:rsidRPr="00C1747E">
              <w:rPr>
                <w:rStyle w:val="FootnoteReference"/>
                <w:rFonts w:cs="Times New Roman"/>
                <w:noProof/>
                <w:sz w:val="22"/>
                <w:szCs w:val="22"/>
              </w:rPr>
              <w:footnoteReference w:id="11"/>
            </w:r>
          </w:p>
        </w:tc>
        <w:tc>
          <w:tcPr>
            <w:tcW w:w="791" w:type="dxa"/>
          </w:tcPr>
          <w:p w:rsidR="00C0067C" w:rsidRPr="00C1747E" w:rsidRDefault="00C0067C" w:rsidP="00652C97">
            <w:pPr>
              <w:jc w:val="right"/>
              <w:rPr>
                <w:rFonts w:cs="Times New Roman"/>
                <w:noProof/>
                <w:sz w:val="22"/>
                <w:szCs w:val="22"/>
              </w:rPr>
            </w:pPr>
            <w:r w:rsidRPr="00C1747E">
              <w:rPr>
                <w:rFonts w:cs="Times New Roman"/>
                <w:noProof/>
                <w:sz w:val="22"/>
                <w:szCs w:val="22"/>
              </w:rPr>
              <w:t>86</w:t>
            </w:r>
            <w:r w:rsidRPr="00C1747E">
              <w:rPr>
                <w:rStyle w:val="FootnoteReference"/>
                <w:rFonts w:cs="Times New Roman"/>
                <w:noProof/>
                <w:sz w:val="22"/>
                <w:szCs w:val="22"/>
              </w:rPr>
              <w:footnoteReference w:id="12"/>
            </w:r>
          </w:p>
        </w:tc>
      </w:tr>
      <w:tr w:rsidR="00C0067C" w:rsidRPr="00735456" w:rsidTr="00860319">
        <w:trPr>
          <w:cnfStyle w:val="000000100000" w:firstRow="0" w:lastRow="0" w:firstColumn="0" w:lastColumn="0" w:oddVBand="0" w:evenVBand="0" w:oddHBand="1" w:evenHBand="0" w:firstRowFirstColumn="0" w:firstRowLastColumn="0" w:lastRowFirstColumn="0" w:lastRowLastColumn="0"/>
          <w:trHeight w:val="20"/>
        </w:trPr>
        <w:tc>
          <w:tcPr>
            <w:tcW w:w="3764" w:type="dxa"/>
          </w:tcPr>
          <w:p w:rsidR="00C0067C" w:rsidRPr="00C1747E" w:rsidRDefault="00C0067C" w:rsidP="00F438F2">
            <w:pPr>
              <w:spacing w:after="40"/>
              <w:ind w:hanging="2"/>
              <w:rPr>
                <w:rFonts w:cs="Times New Roman"/>
                <w:b/>
                <w:noProof/>
                <w:sz w:val="22"/>
                <w:szCs w:val="22"/>
              </w:rPr>
            </w:pPr>
            <w:r w:rsidRPr="00C1747E">
              <w:rPr>
                <w:rFonts w:cs="Times New Roman"/>
                <w:b/>
                <w:noProof/>
                <w:sz w:val="22"/>
                <w:szCs w:val="22"/>
              </w:rPr>
              <w:t>Līgumu kontrole</w:t>
            </w:r>
          </w:p>
        </w:tc>
        <w:tc>
          <w:tcPr>
            <w:tcW w:w="805" w:type="dxa"/>
          </w:tcPr>
          <w:p w:rsidR="00C0067C" w:rsidRPr="00C1747E" w:rsidRDefault="00C0067C" w:rsidP="00652C97">
            <w:pPr>
              <w:jc w:val="right"/>
              <w:rPr>
                <w:rFonts w:cs="Times New Roman"/>
                <w:noProof/>
                <w:sz w:val="22"/>
                <w:szCs w:val="22"/>
                <w:highlight w:val="yellow"/>
              </w:rPr>
            </w:pPr>
            <w:r w:rsidRPr="00C1747E">
              <w:rPr>
                <w:rFonts w:cs="Times New Roman"/>
                <w:noProof/>
                <w:sz w:val="22"/>
                <w:szCs w:val="22"/>
              </w:rPr>
              <w:t>1380</w:t>
            </w:r>
          </w:p>
        </w:tc>
        <w:tc>
          <w:tcPr>
            <w:tcW w:w="831" w:type="dxa"/>
          </w:tcPr>
          <w:p w:rsidR="00C0067C" w:rsidRPr="00C1747E" w:rsidRDefault="00C0067C" w:rsidP="00652C97">
            <w:pPr>
              <w:jc w:val="right"/>
              <w:rPr>
                <w:rFonts w:cs="Times New Roman"/>
                <w:noProof/>
                <w:sz w:val="22"/>
                <w:szCs w:val="22"/>
                <w:highlight w:val="yellow"/>
              </w:rPr>
            </w:pPr>
            <w:r w:rsidRPr="00C1747E">
              <w:rPr>
                <w:rFonts w:cs="Times New Roman"/>
                <w:noProof/>
                <w:sz w:val="22"/>
                <w:szCs w:val="22"/>
              </w:rPr>
              <w:t>1315</w:t>
            </w:r>
          </w:p>
        </w:tc>
        <w:tc>
          <w:tcPr>
            <w:tcW w:w="771" w:type="dxa"/>
            <w:shd w:val="clear" w:color="auto" w:fill="F2F2F2" w:themeFill="background1" w:themeFillShade="F2"/>
          </w:tcPr>
          <w:p w:rsidR="00C0067C" w:rsidRPr="00C1747E" w:rsidRDefault="009F38BE" w:rsidP="00652C97">
            <w:pPr>
              <w:jc w:val="right"/>
              <w:rPr>
                <w:rFonts w:cs="Times New Roman"/>
                <w:noProof/>
                <w:sz w:val="22"/>
                <w:szCs w:val="22"/>
              </w:rPr>
            </w:pPr>
            <w:r>
              <w:rPr>
                <w:rFonts w:cs="Times New Roman"/>
                <w:noProof/>
                <w:sz w:val="22"/>
                <w:szCs w:val="22"/>
              </w:rPr>
              <w:t>1286</w:t>
            </w:r>
          </w:p>
        </w:tc>
        <w:tc>
          <w:tcPr>
            <w:tcW w:w="771" w:type="dxa"/>
          </w:tcPr>
          <w:p w:rsidR="00C0067C" w:rsidRPr="00C1747E" w:rsidRDefault="00C0067C" w:rsidP="00652C97">
            <w:pPr>
              <w:jc w:val="right"/>
              <w:rPr>
                <w:rFonts w:cs="Times New Roman"/>
                <w:noProof/>
                <w:sz w:val="22"/>
                <w:szCs w:val="22"/>
              </w:rPr>
            </w:pPr>
            <w:r w:rsidRPr="00C1747E">
              <w:rPr>
                <w:rFonts w:cs="Times New Roman"/>
                <w:noProof/>
                <w:sz w:val="22"/>
                <w:szCs w:val="22"/>
              </w:rPr>
              <w:t>1099</w:t>
            </w:r>
          </w:p>
        </w:tc>
        <w:tc>
          <w:tcPr>
            <w:tcW w:w="791" w:type="dxa"/>
          </w:tcPr>
          <w:p w:rsidR="00C0067C" w:rsidRPr="00C1747E" w:rsidRDefault="00C0067C" w:rsidP="00652C97">
            <w:pPr>
              <w:jc w:val="right"/>
              <w:rPr>
                <w:rFonts w:cs="Times New Roman"/>
                <w:noProof/>
                <w:sz w:val="22"/>
                <w:szCs w:val="22"/>
              </w:rPr>
            </w:pPr>
            <w:r w:rsidRPr="00C1747E">
              <w:rPr>
                <w:rFonts w:cs="Times New Roman"/>
                <w:noProof/>
                <w:sz w:val="22"/>
                <w:szCs w:val="22"/>
              </w:rPr>
              <w:t>966</w:t>
            </w:r>
          </w:p>
        </w:tc>
      </w:tr>
      <w:tr w:rsidR="00C0067C" w:rsidRPr="00735456" w:rsidTr="00860319">
        <w:trPr>
          <w:trHeight w:val="20"/>
        </w:trPr>
        <w:tc>
          <w:tcPr>
            <w:tcW w:w="3764" w:type="dxa"/>
          </w:tcPr>
          <w:p w:rsidR="00C0067C" w:rsidRPr="00C1747E" w:rsidRDefault="00C0067C" w:rsidP="00F438F2">
            <w:pPr>
              <w:spacing w:after="40"/>
              <w:rPr>
                <w:rFonts w:cs="Times New Roman"/>
                <w:b/>
                <w:noProof/>
                <w:sz w:val="22"/>
                <w:szCs w:val="22"/>
              </w:rPr>
            </w:pPr>
            <w:r w:rsidRPr="00C1747E">
              <w:rPr>
                <w:rFonts w:cs="Times New Roman"/>
                <w:b/>
                <w:noProof/>
                <w:sz w:val="22"/>
                <w:szCs w:val="22"/>
              </w:rPr>
              <w:t>Tiesvedības</w:t>
            </w:r>
          </w:p>
        </w:tc>
        <w:tc>
          <w:tcPr>
            <w:tcW w:w="805" w:type="dxa"/>
          </w:tcPr>
          <w:p w:rsidR="00C0067C" w:rsidRPr="00C1747E" w:rsidRDefault="00C0067C" w:rsidP="00652C97">
            <w:pPr>
              <w:jc w:val="right"/>
              <w:rPr>
                <w:rFonts w:cs="Times New Roman"/>
                <w:noProof/>
                <w:sz w:val="22"/>
                <w:szCs w:val="22"/>
              </w:rPr>
            </w:pPr>
            <w:r w:rsidRPr="00C1747E">
              <w:rPr>
                <w:rFonts w:cs="Times New Roman"/>
                <w:noProof/>
                <w:sz w:val="22"/>
                <w:szCs w:val="22"/>
              </w:rPr>
              <w:t>239</w:t>
            </w:r>
          </w:p>
        </w:tc>
        <w:tc>
          <w:tcPr>
            <w:tcW w:w="831" w:type="dxa"/>
          </w:tcPr>
          <w:p w:rsidR="00C0067C" w:rsidRPr="00C1747E" w:rsidRDefault="00C0067C" w:rsidP="00652C97">
            <w:pPr>
              <w:jc w:val="right"/>
              <w:rPr>
                <w:rFonts w:cs="Times New Roman"/>
                <w:noProof/>
                <w:sz w:val="22"/>
                <w:szCs w:val="22"/>
              </w:rPr>
            </w:pPr>
            <w:r w:rsidRPr="00C1747E">
              <w:rPr>
                <w:rFonts w:cs="Times New Roman"/>
                <w:noProof/>
                <w:sz w:val="22"/>
                <w:szCs w:val="22"/>
              </w:rPr>
              <w:t>196</w:t>
            </w:r>
          </w:p>
        </w:tc>
        <w:tc>
          <w:tcPr>
            <w:tcW w:w="771" w:type="dxa"/>
            <w:shd w:val="clear" w:color="auto" w:fill="F2F2F2" w:themeFill="background1" w:themeFillShade="F2"/>
          </w:tcPr>
          <w:p w:rsidR="00C0067C" w:rsidRPr="00C1747E" w:rsidRDefault="00C73C59" w:rsidP="00C04B80">
            <w:pPr>
              <w:jc w:val="center"/>
              <w:rPr>
                <w:rFonts w:cs="Times New Roman"/>
                <w:noProof/>
                <w:sz w:val="22"/>
                <w:szCs w:val="22"/>
              </w:rPr>
            </w:pPr>
            <w:r>
              <w:rPr>
                <w:rFonts w:cs="Times New Roman"/>
                <w:noProof/>
                <w:sz w:val="22"/>
                <w:szCs w:val="22"/>
              </w:rPr>
              <w:t>192</w:t>
            </w:r>
          </w:p>
        </w:tc>
        <w:tc>
          <w:tcPr>
            <w:tcW w:w="771" w:type="dxa"/>
          </w:tcPr>
          <w:p w:rsidR="00C0067C" w:rsidRPr="00C1747E" w:rsidRDefault="00B479FF" w:rsidP="00652C97">
            <w:pPr>
              <w:jc w:val="right"/>
              <w:rPr>
                <w:rFonts w:cs="Times New Roman"/>
                <w:noProof/>
                <w:sz w:val="22"/>
                <w:szCs w:val="22"/>
              </w:rPr>
            </w:pPr>
            <w:r>
              <w:rPr>
                <w:rFonts w:cs="Times New Roman"/>
                <w:noProof/>
                <w:sz w:val="22"/>
                <w:szCs w:val="22"/>
              </w:rPr>
              <w:t>200-</w:t>
            </w:r>
            <w:r w:rsidR="00C0067C" w:rsidRPr="00C1747E">
              <w:rPr>
                <w:rFonts w:cs="Times New Roman"/>
                <w:noProof/>
                <w:sz w:val="22"/>
                <w:szCs w:val="22"/>
              </w:rPr>
              <w:t>240</w:t>
            </w:r>
          </w:p>
        </w:tc>
        <w:tc>
          <w:tcPr>
            <w:tcW w:w="791" w:type="dxa"/>
          </w:tcPr>
          <w:p w:rsidR="00C0067C" w:rsidRPr="00C1747E" w:rsidRDefault="00B479FF" w:rsidP="00652C97">
            <w:pPr>
              <w:jc w:val="right"/>
              <w:rPr>
                <w:rFonts w:cs="Times New Roman"/>
                <w:noProof/>
                <w:sz w:val="22"/>
                <w:szCs w:val="22"/>
              </w:rPr>
            </w:pPr>
            <w:r>
              <w:rPr>
                <w:rFonts w:cs="Times New Roman"/>
                <w:noProof/>
                <w:sz w:val="22"/>
                <w:szCs w:val="22"/>
              </w:rPr>
              <w:t>200-</w:t>
            </w:r>
            <w:r w:rsidR="00C0067C" w:rsidRPr="00C1747E">
              <w:rPr>
                <w:rFonts w:cs="Times New Roman"/>
                <w:noProof/>
                <w:sz w:val="22"/>
                <w:szCs w:val="22"/>
              </w:rPr>
              <w:t>240</w:t>
            </w:r>
          </w:p>
        </w:tc>
      </w:tr>
      <w:tr w:rsidR="00C0067C" w:rsidRPr="00735456" w:rsidTr="00860319">
        <w:trPr>
          <w:cnfStyle w:val="000000100000" w:firstRow="0" w:lastRow="0" w:firstColumn="0" w:lastColumn="0" w:oddVBand="0" w:evenVBand="0" w:oddHBand="1" w:evenHBand="0" w:firstRowFirstColumn="0" w:firstRowLastColumn="0" w:lastRowFirstColumn="0" w:lastRowLastColumn="0"/>
          <w:trHeight w:val="20"/>
        </w:trPr>
        <w:tc>
          <w:tcPr>
            <w:tcW w:w="3764" w:type="dxa"/>
            <w:hideMark/>
          </w:tcPr>
          <w:p w:rsidR="00C0067C" w:rsidRPr="00C1747E" w:rsidRDefault="00C0067C" w:rsidP="00F438F2">
            <w:pPr>
              <w:spacing w:after="40"/>
              <w:ind w:hanging="2"/>
              <w:rPr>
                <w:rFonts w:cs="Times New Roman"/>
                <w:b/>
                <w:noProof/>
                <w:sz w:val="22"/>
                <w:szCs w:val="22"/>
              </w:rPr>
            </w:pPr>
            <w:r w:rsidRPr="00C1747E">
              <w:rPr>
                <w:rFonts w:cs="Times New Roman"/>
                <w:b/>
                <w:noProof/>
                <w:sz w:val="22"/>
                <w:szCs w:val="22"/>
              </w:rPr>
              <w:t>Kapitālsabiedrības ar valsts kapitāla daļām</w:t>
            </w:r>
            <w:r w:rsidRPr="00C1747E">
              <w:rPr>
                <w:rStyle w:val="FootnoteReference"/>
                <w:rFonts w:cs="Times New Roman"/>
                <w:noProof/>
                <w:sz w:val="22"/>
                <w:szCs w:val="22"/>
              </w:rPr>
              <w:footnoteReference w:id="13"/>
            </w:r>
          </w:p>
        </w:tc>
        <w:tc>
          <w:tcPr>
            <w:tcW w:w="805"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18</w:t>
            </w:r>
          </w:p>
        </w:tc>
        <w:tc>
          <w:tcPr>
            <w:tcW w:w="831" w:type="dxa"/>
          </w:tcPr>
          <w:p w:rsidR="00C0067C" w:rsidRPr="00C1747E" w:rsidRDefault="00C0067C" w:rsidP="00652C97">
            <w:pPr>
              <w:jc w:val="right"/>
              <w:rPr>
                <w:rFonts w:cs="Times New Roman"/>
                <w:noProof/>
                <w:sz w:val="22"/>
                <w:szCs w:val="22"/>
              </w:rPr>
            </w:pPr>
            <w:r w:rsidRPr="00C1747E">
              <w:rPr>
                <w:rFonts w:cs="Times New Roman"/>
                <w:noProof/>
                <w:sz w:val="22"/>
                <w:szCs w:val="22"/>
              </w:rPr>
              <w:t>13</w:t>
            </w:r>
          </w:p>
        </w:tc>
        <w:tc>
          <w:tcPr>
            <w:tcW w:w="771" w:type="dxa"/>
            <w:shd w:val="clear" w:color="auto" w:fill="F2F2F2" w:themeFill="background1" w:themeFillShade="F2"/>
          </w:tcPr>
          <w:p w:rsidR="00C0067C" w:rsidRPr="00C1747E" w:rsidRDefault="00903211" w:rsidP="00903211">
            <w:pPr>
              <w:jc w:val="center"/>
              <w:rPr>
                <w:rFonts w:cs="Times New Roman"/>
                <w:noProof/>
                <w:sz w:val="22"/>
                <w:szCs w:val="22"/>
              </w:rPr>
            </w:pPr>
            <w:r w:rsidRPr="00C73C59">
              <w:rPr>
                <w:rFonts w:cs="Times New Roman"/>
                <w:noProof/>
                <w:sz w:val="22"/>
                <w:szCs w:val="22"/>
              </w:rPr>
              <w:t>10</w:t>
            </w:r>
          </w:p>
        </w:tc>
        <w:tc>
          <w:tcPr>
            <w:tcW w:w="771" w:type="dxa"/>
            <w:hideMark/>
          </w:tcPr>
          <w:p w:rsidR="00C0067C" w:rsidRPr="00C1747E" w:rsidRDefault="00A22AEB" w:rsidP="00652C97">
            <w:pPr>
              <w:jc w:val="right"/>
              <w:rPr>
                <w:rFonts w:cs="Times New Roman"/>
                <w:noProof/>
                <w:sz w:val="22"/>
                <w:szCs w:val="22"/>
              </w:rPr>
            </w:pPr>
            <w:r>
              <w:rPr>
                <w:rFonts w:cs="Times New Roman"/>
                <w:noProof/>
                <w:sz w:val="22"/>
                <w:szCs w:val="22"/>
              </w:rPr>
              <w:t>7</w:t>
            </w:r>
          </w:p>
        </w:tc>
        <w:tc>
          <w:tcPr>
            <w:tcW w:w="791" w:type="dxa"/>
            <w:hideMark/>
          </w:tcPr>
          <w:p w:rsidR="00C0067C" w:rsidRPr="00C1747E" w:rsidRDefault="00C0067C" w:rsidP="00652C97">
            <w:pPr>
              <w:jc w:val="right"/>
              <w:rPr>
                <w:rFonts w:cs="Times New Roman"/>
                <w:noProof/>
                <w:sz w:val="22"/>
                <w:szCs w:val="22"/>
              </w:rPr>
            </w:pPr>
            <w:r w:rsidRPr="00C1747E">
              <w:rPr>
                <w:rFonts w:cs="Times New Roman"/>
                <w:noProof/>
                <w:sz w:val="22"/>
                <w:szCs w:val="22"/>
              </w:rPr>
              <w:t>5</w:t>
            </w:r>
          </w:p>
        </w:tc>
      </w:tr>
      <w:tr w:rsidR="00C0067C" w:rsidRPr="00735456" w:rsidTr="00860319">
        <w:trPr>
          <w:trHeight w:val="20"/>
        </w:trPr>
        <w:tc>
          <w:tcPr>
            <w:tcW w:w="3764" w:type="dxa"/>
          </w:tcPr>
          <w:p w:rsidR="00C0067C" w:rsidRPr="00C1747E" w:rsidRDefault="00C0067C" w:rsidP="00F438F2">
            <w:pPr>
              <w:spacing w:after="40"/>
              <w:ind w:hanging="2"/>
              <w:rPr>
                <w:rFonts w:cs="Times New Roman"/>
                <w:b/>
                <w:noProof/>
                <w:sz w:val="22"/>
                <w:szCs w:val="22"/>
              </w:rPr>
            </w:pPr>
            <w:r w:rsidRPr="00C1747E">
              <w:rPr>
                <w:rFonts w:cs="Times New Roman"/>
                <w:b/>
                <w:noProof/>
                <w:sz w:val="22"/>
                <w:szCs w:val="22"/>
              </w:rPr>
              <w:t>Aģentūras meitas sabiedrības</w:t>
            </w:r>
          </w:p>
        </w:tc>
        <w:tc>
          <w:tcPr>
            <w:tcW w:w="805" w:type="dxa"/>
          </w:tcPr>
          <w:p w:rsidR="00C0067C" w:rsidRPr="00C1747E" w:rsidRDefault="00C0067C" w:rsidP="00652C97">
            <w:pPr>
              <w:jc w:val="right"/>
              <w:rPr>
                <w:rFonts w:cs="Times New Roman"/>
                <w:noProof/>
                <w:sz w:val="22"/>
                <w:szCs w:val="22"/>
              </w:rPr>
            </w:pPr>
            <w:r w:rsidRPr="00C1747E">
              <w:rPr>
                <w:rFonts w:cs="Times New Roman"/>
                <w:noProof/>
                <w:sz w:val="22"/>
                <w:szCs w:val="22"/>
              </w:rPr>
              <w:t>3</w:t>
            </w:r>
          </w:p>
        </w:tc>
        <w:tc>
          <w:tcPr>
            <w:tcW w:w="831" w:type="dxa"/>
          </w:tcPr>
          <w:p w:rsidR="00C0067C" w:rsidRPr="00C1747E" w:rsidRDefault="00C0067C" w:rsidP="00652C97">
            <w:pPr>
              <w:jc w:val="right"/>
              <w:rPr>
                <w:rFonts w:cs="Times New Roman"/>
                <w:noProof/>
                <w:sz w:val="22"/>
                <w:szCs w:val="22"/>
              </w:rPr>
            </w:pPr>
            <w:r w:rsidRPr="00C1747E">
              <w:rPr>
                <w:rFonts w:cs="Times New Roman"/>
                <w:noProof/>
                <w:sz w:val="22"/>
                <w:szCs w:val="22"/>
              </w:rPr>
              <w:t>3</w:t>
            </w:r>
          </w:p>
        </w:tc>
        <w:tc>
          <w:tcPr>
            <w:tcW w:w="771" w:type="dxa"/>
            <w:shd w:val="clear" w:color="auto" w:fill="F2F2F2" w:themeFill="background1" w:themeFillShade="F2"/>
          </w:tcPr>
          <w:p w:rsidR="00C0067C" w:rsidRPr="00C1747E" w:rsidRDefault="00903211" w:rsidP="00903211">
            <w:pPr>
              <w:jc w:val="center"/>
              <w:rPr>
                <w:rFonts w:cs="Times New Roman"/>
                <w:noProof/>
                <w:sz w:val="22"/>
                <w:szCs w:val="22"/>
              </w:rPr>
            </w:pPr>
            <w:r>
              <w:rPr>
                <w:rFonts w:cs="Times New Roman"/>
                <w:noProof/>
                <w:sz w:val="22"/>
                <w:szCs w:val="22"/>
              </w:rPr>
              <w:t>2</w:t>
            </w:r>
          </w:p>
        </w:tc>
        <w:tc>
          <w:tcPr>
            <w:tcW w:w="771" w:type="dxa"/>
          </w:tcPr>
          <w:p w:rsidR="00C0067C" w:rsidRPr="00C1747E" w:rsidRDefault="00AB3D02" w:rsidP="00652C97">
            <w:pPr>
              <w:jc w:val="right"/>
              <w:rPr>
                <w:rFonts w:cs="Times New Roman"/>
                <w:noProof/>
                <w:sz w:val="22"/>
                <w:szCs w:val="22"/>
              </w:rPr>
            </w:pPr>
            <w:r>
              <w:rPr>
                <w:rFonts w:cs="Times New Roman"/>
                <w:noProof/>
                <w:sz w:val="22"/>
                <w:szCs w:val="22"/>
              </w:rPr>
              <w:t>3</w:t>
            </w:r>
          </w:p>
        </w:tc>
        <w:tc>
          <w:tcPr>
            <w:tcW w:w="791" w:type="dxa"/>
          </w:tcPr>
          <w:p w:rsidR="00C0067C" w:rsidRPr="00C1747E" w:rsidRDefault="00C0067C" w:rsidP="00652C97">
            <w:pPr>
              <w:jc w:val="right"/>
              <w:rPr>
                <w:rFonts w:cs="Times New Roman"/>
                <w:noProof/>
                <w:sz w:val="22"/>
                <w:szCs w:val="22"/>
              </w:rPr>
            </w:pPr>
            <w:r w:rsidRPr="00C1747E">
              <w:rPr>
                <w:rFonts w:cs="Times New Roman"/>
                <w:noProof/>
                <w:sz w:val="22"/>
                <w:szCs w:val="22"/>
              </w:rPr>
              <w:t>2</w:t>
            </w:r>
          </w:p>
        </w:tc>
      </w:tr>
    </w:tbl>
    <w:p w:rsidR="00C27BD7" w:rsidRDefault="00C27BD7" w:rsidP="00755F84"/>
    <w:p w:rsidR="00F04FCB" w:rsidRDefault="00F04FCB" w:rsidP="00755F84"/>
    <w:p w:rsidR="00A8067D" w:rsidRPr="000237B3" w:rsidRDefault="00A8067D" w:rsidP="00253526">
      <w:pPr>
        <w:pStyle w:val="Heading2"/>
        <w:rPr>
          <w:sz w:val="28"/>
          <w:szCs w:val="28"/>
        </w:rPr>
      </w:pPr>
      <w:bookmarkStart w:id="4" w:name="_Toc354069794"/>
      <w:r w:rsidRPr="000237B3">
        <w:rPr>
          <w:sz w:val="28"/>
          <w:szCs w:val="28"/>
        </w:rPr>
        <w:t xml:space="preserve">Valsts </w:t>
      </w:r>
      <w:r w:rsidR="003767A9" w:rsidRPr="000237B3">
        <w:rPr>
          <w:sz w:val="28"/>
          <w:szCs w:val="28"/>
        </w:rPr>
        <w:t xml:space="preserve">nekustamā </w:t>
      </w:r>
      <w:r w:rsidRPr="000237B3">
        <w:rPr>
          <w:sz w:val="28"/>
          <w:szCs w:val="28"/>
        </w:rPr>
        <w:t>īpašuma objektu privatizācijas process</w:t>
      </w:r>
      <w:bookmarkEnd w:id="4"/>
    </w:p>
    <w:p w:rsidR="005E0E3A" w:rsidRPr="000237B3" w:rsidRDefault="005E0E3A" w:rsidP="00C10650">
      <w:pPr>
        <w:ind w:firstLine="720"/>
        <w:jc w:val="both"/>
        <w:rPr>
          <w:rFonts w:cs="Times New Roman"/>
          <w:sz w:val="28"/>
          <w:szCs w:val="28"/>
        </w:rPr>
      </w:pPr>
    </w:p>
    <w:p w:rsidR="00A8067D" w:rsidRPr="000237B3" w:rsidRDefault="00A8067D" w:rsidP="00C10650">
      <w:pPr>
        <w:ind w:firstLine="720"/>
        <w:jc w:val="both"/>
        <w:rPr>
          <w:rFonts w:cs="Times New Roman"/>
          <w:sz w:val="28"/>
          <w:szCs w:val="28"/>
        </w:rPr>
      </w:pPr>
      <w:r w:rsidRPr="000237B3">
        <w:rPr>
          <w:rFonts w:cs="Times New Roman"/>
          <w:sz w:val="28"/>
          <w:szCs w:val="28"/>
        </w:rPr>
        <w:t xml:space="preserve">Valsts </w:t>
      </w:r>
      <w:r w:rsidR="00117B72" w:rsidRPr="000237B3">
        <w:rPr>
          <w:rFonts w:cs="Times New Roman"/>
          <w:sz w:val="28"/>
          <w:szCs w:val="28"/>
        </w:rPr>
        <w:t xml:space="preserve">nekustamā </w:t>
      </w:r>
      <w:r w:rsidRPr="000237B3">
        <w:rPr>
          <w:rFonts w:cs="Times New Roman"/>
          <w:sz w:val="28"/>
          <w:szCs w:val="28"/>
        </w:rPr>
        <w:t xml:space="preserve">īpašuma objektu un zemesgabalu privatizācija tiek veikta likuma „Par valsts un pašvaldību īpašuma objektu </w:t>
      </w:r>
      <w:r w:rsidRPr="000237B3">
        <w:rPr>
          <w:rFonts w:cs="Times New Roman"/>
          <w:sz w:val="28"/>
          <w:szCs w:val="28"/>
        </w:rPr>
        <w:lastRenderedPageBreak/>
        <w:t xml:space="preserve">privatizāciju” un Valsts un pašvaldību īpašuma privatizācijas </w:t>
      </w:r>
      <w:r w:rsidR="00F94E9E" w:rsidRPr="000237B3">
        <w:rPr>
          <w:rFonts w:cs="Times New Roman"/>
          <w:sz w:val="28"/>
          <w:szCs w:val="28"/>
        </w:rPr>
        <w:t xml:space="preserve">un privatizācijas </w:t>
      </w:r>
      <w:r w:rsidRPr="000237B3">
        <w:rPr>
          <w:rFonts w:cs="Times New Roman"/>
          <w:sz w:val="28"/>
          <w:szCs w:val="28"/>
        </w:rPr>
        <w:t>sertifikātu izmantošanas pabeigšanas likuma tiesību normās noteiktajā kārtībā.</w:t>
      </w:r>
    </w:p>
    <w:p w:rsidR="00F06EB2" w:rsidRPr="000237B3" w:rsidRDefault="00A8067D" w:rsidP="00F06EB2">
      <w:pPr>
        <w:jc w:val="both"/>
        <w:rPr>
          <w:rFonts w:cs="Times New Roman"/>
          <w:sz w:val="28"/>
          <w:szCs w:val="28"/>
        </w:rPr>
      </w:pPr>
      <w:r w:rsidRPr="000237B3">
        <w:rPr>
          <w:rFonts w:cs="Times New Roman"/>
          <w:i/>
          <w:sz w:val="28"/>
          <w:szCs w:val="28"/>
        </w:rPr>
        <w:tab/>
      </w:r>
      <w:r w:rsidR="006D20A2" w:rsidRPr="000237B3">
        <w:rPr>
          <w:rFonts w:cs="Times New Roman"/>
          <w:sz w:val="28"/>
          <w:szCs w:val="28"/>
        </w:rPr>
        <w:t>No a</w:t>
      </w:r>
      <w:r w:rsidR="00F06EB2" w:rsidRPr="000237B3">
        <w:rPr>
          <w:rFonts w:cs="Times New Roman"/>
          <w:sz w:val="28"/>
          <w:szCs w:val="28"/>
        </w:rPr>
        <w:t xml:space="preserve">r Ministru kabineta </w:t>
      </w:r>
      <w:r w:rsidR="006D20A2" w:rsidRPr="000237B3">
        <w:rPr>
          <w:rFonts w:cs="Times New Roman"/>
          <w:sz w:val="28"/>
          <w:szCs w:val="28"/>
        </w:rPr>
        <w:t>rīkojumiem privatizācijai nodotajiem</w:t>
      </w:r>
      <w:r w:rsidR="00F06EB2" w:rsidRPr="000237B3">
        <w:rPr>
          <w:rFonts w:cs="Times New Roman"/>
          <w:sz w:val="28"/>
          <w:szCs w:val="28"/>
        </w:rPr>
        <w:t xml:space="preserve"> </w:t>
      </w:r>
      <w:r w:rsidR="006D20A2" w:rsidRPr="000237B3">
        <w:rPr>
          <w:rFonts w:cs="Times New Roman"/>
          <w:sz w:val="28"/>
          <w:szCs w:val="28"/>
        </w:rPr>
        <w:t>un vēl neprivatizētajiem</w:t>
      </w:r>
      <w:r w:rsidR="00200941" w:rsidRPr="000237B3">
        <w:rPr>
          <w:rFonts w:cs="Times New Roman"/>
          <w:sz w:val="28"/>
          <w:szCs w:val="28"/>
        </w:rPr>
        <w:t xml:space="preserve"> 61</w:t>
      </w:r>
      <w:r w:rsidR="00F06EB2" w:rsidRPr="000237B3">
        <w:rPr>
          <w:rFonts w:cs="Times New Roman"/>
          <w:sz w:val="28"/>
          <w:szCs w:val="28"/>
        </w:rPr>
        <w:t xml:space="preserve"> valsts </w:t>
      </w:r>
      <w:r w:rsidR="00117B72" w:rsidRPr="000237B3">
        <w:rPr>
          <w:rFonts w:cs="Times New Roman"/>
          <w:sz w:val="28"/>
          <w:szCs w:val="28"/>
        </w:rPr>
        <w:t xml:space="preserve">nekustamā </w:t>
      </w:r>
      <w:r w:rsidR="00F06EB2" w:rsidRPr="000237B3">
        <w:rPr>
          <w:rFonts w:cs="Times New Roman"/>
          <w:sz w:val="28"/>
          <w:szCs w:val="28"/>
        </w:rPr>
        <w:t>īpašuma objekti</w:t>
      </w:r>
      <w:r w:rsidR="006D20A2" w:rsidRPr="000237B3">
        <w:rPr>
          <w:rFonts w:cs="Times New Roman"/>
          <w:sz w:val="28"/>
          <w:szCs w:val="28"/>
        </w:rPr>
        <w:t>em – ēkām (būvēm) vai ēkām (būvēm</w:t>
      </w:r>
      <w:r w:rsidR="00F06EB2" w:rsidRPr="000237B3">
        <w:rPr>
          <w:rFonts w:cs="Times New Roman"/>
          <w:sz w:val="28"/>
          <w:szCs w:val="28"/>
        </w:rPr>
        <w:t xml:space="preserve">) </w:t>
      </w:r>
      <w:r w:rsidR="006D20A2" w:rsidRPr="000237B3">
        <w:rPr>
          <w:rFonts w:cs="Times New Roman"/>
          <w:sz w:val="28"/>
          <w:szCs w:val="28"/>
        </w:rPr>
        <w:t xml:space="preserve">kopā ar zemesgabalu, </w:t>
      </w:r>
      <w:r w:rsidR="00C72F49" w:rsidRPr="000237B3">
        <w:rPr>
          <w:rFonts w:cs="Times New Roman"/>
          <w:sz w:val="28"/>
          <w:szCs w:val="28"/>
        </w:rPr>
        <w:t>Aģentūras</w:t>
      </w:r>
      <w:r w:rsidR="00F06EB2" w:rsidRPr="000237B3">
        <w:rPr>
          <w:rFonts w:cs="Times New Roman"/>
          <w:sz w:val="28"/>
          <w:szCs w:val="28"/>
        </w:rPr>
        <w:t xml:space="preserve"> valdījumā atrodas </w:t>
      </w:r>
      <w:r w:rsidR="00C94B9D">
        <w:rPr>
          <w:rFonts w:cs="Times New Roman"/>
          <w:sz w:val="28"/>
          <w:szCs w:val="28"/>
        </w:rPr>
        <w:t>50</w:t>
      </w:r>
      <w:r w:rsidR="00F06EB2" w:rsidRPr="000237B3">
        <w:rPr>
          <w:rFonts w:cs="Times New Roman"/>
          <w:sz w:val="28"/>
          <w:szCs w:val="28"/>
        </w:rPr>
        <w:t xml:space="preserve">, bet </w:t>
      </w:r>
      <w:r w:rsidR="00C94B9D">
        <w:rPr>
          <w:rFonts w:cs="Times New Roman"/>
          <w:sz w:val="28"/>
          <w:szCs w:val="28"/>
        </w:rPr>
        <w:t>7</w:t>
      </w:r>
      <w:r w:rsidR="00C94B9D" w:rsidRPr="000237B3">
        <w:rPr>
          <w:rFonts w:cs="Times New Roman"/>
          <w:sz w:val="28"/>
          <w:szCs w:val="28"/>
        </w:rPr>
        <w:t xml:space="preserve"> </w:t>
      </w:r>
      <w:r w:rsidR="00F06EB2" w:rsidRPr="000237B3">
        <w:rPr>
          <w:rFonts w:cs="Times New Roman"/>
          <w:sz w:val="28"/>
          <w:szCs w:val="28"/>
        </w:rPr>
        <w:t xml:space="preserve">valsts </w:t>
      </w:r>
      <w:r w:rsidR="00117B72" w:rsidRPr="000237B3">
        <w:rPr>
          <w:rFonts w:cs="Times New Roman"/>
          <w:sz w:val="28"/>
          <w:szCs w:val="28"/>
        </w:rPr>
        <w:t xml:space="preserve">nekustamā </w:t>
      </w:r>
      <w:r w:rsidR="00F06EB2" w:rsidRPr="000237B3">
        <w:rPr>
          <w:rFonts w:cs="Times New Roman"/>
          <w:sz w:val="28"/>
          <w:szCs w:val="28"/>
        </w:rPr>
        <w:t>īpašuma objekti vēl nav nodoti valdījumā</w:t>
      </w:r>
      <w:r w:rsidR="00C94B9D">
        <w:rPr>
          <w:rFonts w:cs="Times New Roman"/>
          <w:sz w:val="28"/>
          <w:szCs w:val="28"/>
        </w:rPr>
        <w:t xml:space="preserve"> (situācija uz 2013.gada 31.martu)</w:t>
      </w:r>
      <w:r w:rsidR="00F06EB2" w:rsidRPr="000237B3">
        <w:rPr>
          <w:rFonts w:cs="Times New Roman"/>
          <w:sz w:val="28"/>
          <w:szCs w:val="28"/>
        </w:rPr>
        <w:t>.</w:t>
      </w:r>
      <w:r w:rsidR="00A52A65" w:rsidRPr="00A52A65">
        <w:rPr>
          <w:rFonts w:cs="Times New Roman"/>
          <w:sz w:val="28"/>
          <w:szCs w:val="28"/>
        </w:rPr>
        <w:t xml:space="preserve"> </w:t>
      </w:r>
    </w:p>
    <w:p w:rsidR="00094104" w:rsidRDefault="00DD0DB1" w:rsidP="00DC22F0">
      <w:pPr>
        <w:pStyle w:val="BodyText2"/>
        <w:ind w:firstLine="720"/>
        <w:jc w:val="both"/>
        <w:rPr>
          <w:color w:val="000000"/>
          <w:sz w:val="28"/>
          <w:szCs w:val="28"/>
        </w:rPr>
      </w:pPr>
      <w:r w:rsidRPr="000237B3">
        <w:rPr>
          <w:sz w:val="28"/>
          <w:szCs w:val="28"/>
        </w:rPr>
        <w:t xml:space="preserve">Ministru kabinets </w:t>
      </w:r>
      <w:r w:rsidR="007E4F23">
        <w:rPr>
          <w:sz w:val="28"/>
          <w:szCs w:val="28"/>
        </w:rPr>
        <w:t xml:space="preserve">uz 2013.gada 31.martu </w:t>
      </w:r>
      <w:r w:rsidRPr="000237B3">
        <w:rPr>
          <w:sz w:val="28"/>
          <w:szCs w:val="28"/>
        </w:rPr>
        <w:t xml:space="preserve">vēl nav izskatījis </w:t>
      </w:r>
      <w:r w:rsidR="000D4438">
        <w:rPr>
          <w:sz w:val="28"/>
          <w:szCs w:val="28"/>
        </w:rPr>
        <w:t>7</w:t>
      </w:r>
      <w:r w:rsidR="000D4438" w:rsidRPr="000237B3">
        <w:rPr>
          <w:sz w:val="28"/>
          <w:szCs w:val="28"/>
        </w:rPr>
        <w:t xml:space="preserve"> </w:t>
      </w:r>
      <w:r w:rsidRPr="000237B3">
        <w:rPr>
          <w:sz w:val="28"/>
          <w:szCs w:val="28"/>
        </w:rPr>
        <w:t xml:space="preserve">privatizācijas ierosinājumus, kas saņemti par valsts īpašuma objektiem, no tiem divi privatizācijas ierosinājumi nav izskatīti, jo pašreiz norit tiesvedība par īpašuma tiesību jautājumiem. Trīs privatizācijas ierosinājumi nav izskatīti, jo to izskatīšanu pašreiz apgrūtina juridiskas problēmas. Pret trīs valsts īpašumu objektu nodošanu privatizācijai iebilst ministrijas. </w:t>
      </w:r>
      <w:r w:rsidR="00DC22F0" w:rsidRPr="000237B3">
        <w:rPr>
          <w:color w:val="000000"/>
          <w:sz w:val="28"/>
          <w:szCs w:val="28"/>
        </w:rPr>
        <w:t xml:space="preserve">Tāpat, izpildot Ministru kabineta 2008.gada 13.novembra rīkojumā Nr.714 „Par valsts akciju sabiedrības "Privatizācijas aģentūra" pilnvarošanu apzināt īpašuma objektus, par kuriem ir saņemti privatizācijas ierosinājumi”, Ministru kabineta 2010.gada 21.aprīļa rīkojumā Nr.221 „Par valsts akciju sabiedrības "Privatizācijas aģentūra" pilnvarošanu apzināt īpašuma objektus, par kuriem ir saņemti privatizācijas ierosinājumi” un Ministru kabineta 2010.gada 21.aprīļa rīkojumā Nr.222 „Par valsts akciju sabiedrības "Privatizācijas aģentūra" pilnvarošanu apzināt īpašuma objektus, par kuriem ir saņemti privatizācijas ierosinājumi” doto pilnvarojumu , Aģentūra veic darbības, lai 67 valsts īpašuma objekti, par kuriem ir iesniegti privatizācijas ierosinājumi, bet nav pierādāmas īpašuma tiesības, ar tiesas spriedumu tiktu atzīti par bezīpašnieka mantu. Minētās darbības ir nepieciešams veikt, lai Ministru kabinets varēt atbilstoši </w:t>
      </w:r>
      <w:r w:rsidR="00DC22F0" w:rsidRPr="000237B3">
        <w:rPr>
          <w:sz w:val="28"/>
          <w:szCs w:val="28"/>
        </w:rPr>
        <w:t xml:space="preserve">Valsts un pašvaldību īpašuma privatizācijas un privatizācijas sertifikātu </w:t>
      </w:r>
      <w:r w:rsidR="00DC22F0" w:rsidRPr="000237B3">
        <w:rPr>
          <w:color w:val="000000"/>
          <w:sz w:val="28"/>
          <w:szCs w:val="28"/>
        </w:rPr>
        <w:t>izmantošanas pabeigšanas likuma 6.panta otrajai daļai un pārejas noteikumu 14.</w:t>
      </w:r>
      <w:r w:rsidR="000D4438" w:rsidRPr="000237B3">
        <w:rPr>
          <w:color w:val="000000"/>
          <w:sz w:val="28"/>
          <w:szCs w:val="28"/>
        </w:rPr>
        <w:t>punkt</w:t>
      </w:r>
      <w:r w:rsidR="000D4438">
        <w:rPr>
          <w:color w:val="000000"/>
          <w:sz w:val="28"/>
          <w:szCs w:val="28"/>
        </w:rPr>
        <w:t>am</w:t>
      </w:r>
      <w:r w:rsidR="000D4438" w:rsidRPr="000237B3">
        <w:rPr>
          <w:color w:val="000000"/>
          <w:sz w:val="28"/>
          <w:szCs w:val="28"/>
        </w:rPr>
        <w:t xml:space="preserve"> </w:t>
      </w:r>
      <w:r w:rsidR="00DC22F0" w:rsidRPr="000237B3">
        <w:rPr>
          <w:color w:val="000000"/>
          <w:sz w:val="28"/>
          <w:szCs w:val="28"/>
        </w:rPr>
        <w:t>pieņemt lēmumu par privatizācijai ierosināta nekustamā īpašuma nodošanu privatizācijai vai atteikumu nodot privatizācijai.</w:t>
      </w:r>
      <w:r w:rsidR="007E4F23" w:rsidRPr="007E4F23">
        <w:t xml:space="preserve"> </w:t>
      </w:r>
    </w:p>
    <w:p w:rsidR="00DC22F0" w:rsidRPr="000237B3" w:rsidRDefault="00DC22F0" w:rsidP="00DC22F0">
      <w:pPr>
        <w:pStyle w:val="BodyText2"/>
        <w:ind w:firstLine="720"/>
        <w:jc w:val="both"/>
        <w:rPr>
          <w:color w:val="000000"/>
          <w:sz w:val="28"/>
          <w:szCs w:val="28"/>
        </w:rPr>
      </w:pPr>
      <w:r w:rsidRPr="000237B3">
        <w:rPr>
          <w:color w:val="000000"/>
          <w:sz w:val="28"/>
          <w:szCs w:val="28"/>
        </w:rPr>
        <w:t>Par minētajiem 67 valsts īpašuma objektiem tiesā ir iesniegtas prasības atzīt par bezīpašnieka mantu, no kurām uz 2012.gada 31.decembri izskatītas 64 lietas (3 gadījumos tiesvedība vēl turpinās):</w:t>
      </w:r>
    </w:p>
    <w:p w:rsidR="00DC22F0" w:rsidRPr="000237B3" w:rsidRDefault="00DC22F0" w:rsidP="00DC22F0">
      <w:pPr>
        <w:numPr>
          <w:ilvl w:val="0"/>
          <w:numId w:val="2"/>
        </w:numPr>
        <w:ind w:right="-1"/>
        <w:jc w:val="both"/>
        <w:rPr>
          <w:color w:val="000000"/>
          <w:sz w:val="28"/>
          <w:szCs w:val="28"/>
        </w:rPr>
      </w:pPr>
      <w:r w:rsidRPr="000237B3">
        <w:rPr>
          <w:color w:val="000000"/>
          <w:sz w:val="28"/>
          <w:szCs w:val="28"/>
        </w:rPr>
        <w:t xml:space="preserve">52 lietās ar tiesas spriedumu valsts īpašuma objekts atzīts par bezīpašnieka mantu un Aģentūra vērsusies Valsts ieņēmumu dienestā īpašuma ņemšanai uzskaitē (t.sk. </w:t>
      </w:r>
      <w:r w:rsidR="007E4F23">
        <w:rPr>
          <w:color w:val="000000"/>
          <w:sz w:val="28"/>
          <w:szCs w:val="28"/>
        </w:rPr>
        <w:t>15</w:t>
      </w:r>
      <w:r w:rsidR="007E4F23" w:rsidRPr="000237B3">
        <w:rPr>
          <w:color w:val="000000"/>
          <w:sz w:val="28"/>
          <w:szCs w:val="28"/>
        </w:rPr>
        <w:t xml:space="preserve"> </w:t>
      </w:r>
      <w:r w:rsidRPr="000237B3">
        <w:rPr>
          <w:color w:val="000000"/>
          <w:sz w:val="28"/>
          <w:szCs w:val="28"/>
        </w:rPr>
        <w:t xml:space="preserve">gadījumos bezīpašnieka mantas sastāvā ir dzīvojamās mājas, kas privatizējamas saskaņā ar likumu „Par valsts un pašvaldību dzīvojamo māju privatizāciju” vai atsavināmas saskaņā ar Publiskas personas mantas atsavināšanas likumu, bet </w:t>
      </w:r>
      <w:r w:rsidR="00E523FD">
        <w:rPr>
          <w:color w:val="000000"/>
          <w:sz w:val="28"/>
          <w:szCs w:val="28"/>
        </w:rPr>
        <w:t>37</w:t>
      </w:r>
      <w:r w:rsidRPr="000237B3">
        <w:rPr>
          <w:color w:val="000000"/>
          <w:sz w:val="28"/>
          <w:szCs w:val="28"/>
        </w:rPr>
        <w:t xml:space="preserve"> gadījumos </w:t>
      </w:r>
      <w:r w:rsidRPr="000237B3">
        <w:rPr>
          <w:color w:val="000000"/>
          <w:sz w:val="28"/>
          <w:szCs w:val="28"/>
        </w:rPr>
        <w:lastRenderedPageBreak/>
        <w:t>bezīpašnieka manta būs nododama privatizācijai kā valsts īpašuma objekts);</w:t>
      </w:r>
    </w:p>
    <w:p w:rsidR="00DC22F0" w:rsidRPr="000237B3" w:rsidRDefault="00DC22F0" w:rsidP="00DC22F0">
      <w:pPr>
        <w:numPr>
          <w:ilvl w:val="0"/>
          <w:numId w:val="2"/>
        </w:numPr>
        <w:ind w:right="-1"/>
        <w:jc w:val="both"/>
        <w:rPr>
          <w:color w:val="000000"/>
          <w:sz w:val="28"/>
          <w:szCs w:val="28"/>
        </w:rPr>
      </w:pPr>
      <w:r w:rsidRPr="000237B3">
        <w:rPr>
          <w:color w:val="000000"/>
          <w:sz w:val="28"/>
          <w:szCs w:val="28"/>
        </w:rPr>
        <w:t>12 lietās Aģentūras prasība atstāta bez izskatīšanas, pamatojoties uz Civilprocesa likuma 258.pantu, jo sevišķās tiesāšanās kārtībā izskatāmajā lietā radies strīds par īpašuma tiesībām un šis strīds izšķirams tiesā prasības kārtībā.</w:t>
      </w:r>
    </w:p>
    <w:p w:rsidR="00DC22F0" w:rsidRPr="000237B3" w:rsidRDefault="00DC22F0" w:rsidP="00DC22F0">
      <w:pPr>
        <w:pStyle w:val="BodyText2"/>
        <w:ind w:firstLine="709"/>
        <w:jc w:val="both"/>
        <w:rPr>
          <w:sz w:val="28"/>
          <w:szCs w:val="28"/>
        </w:rPr>
      </w:pPr>
    </w:p>
    <w:p w:rsidR="00DC22F0" w:rsidRPr="000237B3" w:rsidRDefault="00DC22F0" w:rsidP="00DC22F0">
      <w:pPr>
        <w:pStyle w:val="BodyText2"/>
        <w:ind w:firstLine="709"/>
        <w:jc w:val="both"/>
        <w:rPr>
          <w:sz w:val="28"/>
          <w:szCs w:val="28"/>
        </w:rPr>
      </w:pPr>
      <w:r w:rsidRPr="000237B3">
        <w:rPr>
          <w:sz w:val="28"/>
          <w:szCs w:val="28"/>
        </w:rPr>
        <w:t>Par 12 nekustamajiem īpašumiem Aģentūra nav vērsusies tiesā, jo tika konstatēts, ka minētie īpašumi pieder (piekrīt) pašvaldībai vai privātpersonai vai arī konstatēts, ka būve dabā neeksistē. Saskaņā ar Valsts un pašvaldību īpašuma privatizācijas un privatizācijas sertifikātu izmantošanas pabeigšanas likuma (turpmāk – Privatizācijas pabeigšanas likums) 6.pantu privatizācijas ierosinājumi par pašvaldībai piederošajiem īpašuma objektiem ir pārsūtīti attiecīgajām pašvaldībām, attiecīga lēmuma pieņemšanai.</w:t>
      </w:r>
    </w:p>
    <w:p w:rsidR="00DC22F0" w:rsidRPr="000237B3" w:rsidRDefault="00DC22F0" w:rsidP="00DC22F0">
      <w:pPr>
        <w:pStyle w:val="BodyText2"/>
        <w:ind w:firstLine="709"/>
        <w:jc w:val="both"/>
        <w:rPr>
          <w:sz w:val="28"/>
          <w:szCs w:val="28"/>
        </w:rPr>
      </w:pPr>
      <w:r w:rsidRPr="000237B3">
        <w:rPr>
          <w:sz w:val="28"/>
          <w:szCs w:val="28"/>
        </w:rPr>
        <w:t>Par bezīpašnieka mantu atzīto valsts īpašuma objektu sagatavošana privatizācijai radīs finansiālu ietekmi Aģentūras budžetam, taču patlaban nav iespējams sniegt detalizētas finanšu aplēses, jo nav zināms valsts īpašuma objektu sastāvs un veicamo darbību apjoms. Provizoriski – 2013.gadā izdevumu apmērs varētu sasniegt 15 tūkst.latu.</w:t>
      </w:r>
    </w:p>
    <w:p w:rsidR="00763462" w:rsidRPr="000237B3" w:rsidRDefault="00763462" w:rsidP="00DD0DB1">
      <w:pPr>
        <w:jc w:val="both"/>
        <w:rPr>
          <w:rStyle w:val="CommentReference"/>
          <w:sz w:val="28"/>
          <w:szCs w:val="28"/>
        </w:rPr>
      </w:pPr>
    </w:p>
    <w:p w:rsidR="00763462" w:rsidRPr="000237B3" w:rsidRDefault="00763462" w:rsidP="00763462">
      <w:pPr>
        <w:pStyle w:val="BodyText2"/>
        <w:ind w:firstLine="720"/>
        <w:jc w:val="right"/>
        <w:rPr>
          <w:rStyle w:val="CommentReference"/>
          <w:rFonts w:eastAsiaTheme="minorEastAsia" w:cstheme="minorBidi"/>
          <w:sz w:val="28"/>
          <w:szCs w:val="28"/>
          <w:lang w:eastAsia="zh-CN"/>
        </w:rPr>
      </w:pPr>
      <w:r w:rsidRPr="00C73C59">
        <w:rPr>
          <w:rStyle w:val="CommentReference"/>
          <w:rFonts w:eastAsiaTheme="minorEastAsia" w:cstheme="minorBidi"/>
          <w:sz w:val="28"/>
          <w:szCs w:val="28"/>
          <w:lang w:eastAsia="zh-CN"/>
        </w:rPr>
        <w:t>Grafiks Nr.2</w:t>
      </w:r>
    </w:p>
    <w:p w:rsidR="00763462" w:rsidRPr="00426EEF" w:rsidRDefault="00F9791B" w:rsidP="00763462">
      <w:pPr>
        <w:jc w:val="center"/>
      </w:pPr>
      <w:r>
        <w:rPr>
          <w:noProof/>
          <w:lang w:eastAsia="lv-LV"/>
        </w:rPr>
        <w:drawing>
          <wp:inline distT="0" distB="0" distL="0" distR="0" wp14:anchorId="46258781" wp14:editId="28CC3A74">
            <wp:extent cx="4543425" cy="264180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2484" cy="2641259"/>
                    </a:xfrm>
                    <a:prstGeom prst="rect">
                      <a:avLst/>
                    </a:prstGeom>
                    <a:noFill/>
                  </pic:spPr>
                </pic:pic>
              </a:graphicData>
            </a:graphic>
          </wp:inline>
        </w:drawing>
      </w:r>
    </w:p>
    <w:p w:rsidR="00763462" w:rsidRPr="00426EEF" w:rsidRDefault="00763462" w:rsidP="00F06EB2">
      <w:pPr>
        <w:jc w:val="both"/>
        <w:rPr>
          <w:rFonts w:cs="Times New Roman"/>
        </w:rPr>
      </w:pPr>
    </w:p>
    <w:p w:rsidR="00F06EB2" w:rsidRPr="000237B3" w:rsidRDefault="00F06EB2" w:rsidP="00F06EB2">
      <w:pPr>
        <w:ind w:firstLine="720"/>
        <w:jc w:val="both"/>
        <w:rPr>
          <w:rFonts w:cs="Times New Roman"/>
          <w:sz w:val="28"/>
          <w:szCs w:val="28"/>
        </w:rPr>
      </w:pPr>
      <w:r w:rsidRPr="000237B3">
        <w:rPr>
          <w:rFonts w:cs="Times New Roman"/>
          <w:sz w:val="28"/>
          <w:szCs w:val="28"/>
        </w:rPr>
        <w:t xml:space="preserve">No </w:t>
      </w:r>
      <w:r w:rsidR="002D43D9" w:rsidRPr="000237B3">
        <w:rPr>
          <w:rFonts w:cs="Times New Roman"/>
          <w:sz w:val="28"/>
          <w:szCs w:val="28"/>
        </w:rPr>
        <w:t>Aģentūras</w:t>
      </w:r>
      <w:r w:rsidRPr="000237B3">
        <w:rPr>
          <w:rFonts w:cs="Times New Roman"/>
          <w:sz w:val="28"/>
          <w:szCs w:val="28"/>
        </w:rPr>
        <w:t xml:space="preserve"> valdījumā </w:t>
      </w:r>
      <w:r w:rsidR="00BD2CD6">
        <w:rPr>
          <w:rFonts w:cs="Times New Roman"/>
          <w:sz w:val="28"/>
          <w:szCs w:val="28"/>
        </w:rPr>
        <w:t xml:space="preserve">uz 2013.gada 31.martu </w:t>
      </w:r>
      <w:r w:rsidRPr="000237B3">
        <w:rPr>
          <w:rFonts w:cs="Times New Roman"/>
          <w:sz w:val="28"/>
          <w:szCs w:val="28"/>
        </w:rPr>
        <w:t xml:space="preserve">esošajiem </w:t>
      </w:r>
      <w:r w:rsidR="00BD2CD6" w:rsidRPr="000237B3">
        <w:rPr>
          <w:rFonts w:cs="Times New Roman"/>
          <w:sz w:val="28"/>
          <w:szCs w:val="28"/>
        </w:rPr>
        <w:t>5</w:t>
      </w:r>
      <w:r w:rsidR="00BD2CD6">
        <w:rPr>
          <w:rFonts w:cs="Times New Roman"/>
          <w:sz w:val="28"/>
          <w:szCs w:val="28"/>
        </w:rPr>
        <w:t>0</w:t>
      </w:r>
      <w:r w:rsidR="00BD2CD6" w:rsidRPr="000237B3">
        <w:rPr>
          <w:rFonts w:cs="Times New Roman"/>
          <w:sz w:val="28"/>
          <w:szCs w:val="28"/>
        </w:rPr>
        <w:t xml:space="preserve"> </w:t>
      </w:r>
      <w:r w:rsidRPr="000237B3">
        <w:rPr>
          <w:rFonts w:cs="Times New Roman"/>
          <w:sz w:val="28"/>
          <w:szCs w:val="28"/>
        </w:rPr>
        <w:t xml:space="preserve">valsts </w:t>
      </w:r>
      <w:r w:rsidR="00117B72" w:rsidRPr="000237B3">
        <w:rPr>
          <w:rFonts w:cs="Times New Roman"/>
          <w:sz w:val="28"/>
          <w:szCs w:val="28"/>
        </w:rPr>
        <w:t xml:space="preserve">nekustamā </w:t>
      </w:r>
      <w:r w:rsidRPr="000237B3">
        <w:rPr>
          <w:rFonts w:cs="Times New Roman"/>
          <w:sz w:val="28"/>
          <w:szCs w:val="28"/>
        </w:rPr>
        <w:t>īpašuma objektiem (ēkām (būvēm) kopā ar zemesgabalu vai ēkām (būvēm)):</w:t>
      </w:r>
    </w:p>
    <w:p w:rsidR="00F06EB2" w:rsidRPr="000237B3" w:rsidRDefault="00BD2CD6" w:rsidP="00004894">
      <w:pPr>
        <w:numPr>
          <w:ilvl w:val="0"/>
          <w:numId w:val="2"/>
        </w:numPr>
        <w:ind w:hanging="357"/>
        <w:jc w:val="both"/>
        <w:rPr>
          <w:rFonts w:cs="Times New Roman"/>
          <w:sz w:val="28"/>
          <w:szCs w:val="28"/>
        </w:rPr>
      </w:pPr>
      <w:r>
        <w:rPr>
          <w:rFonts w:cs="Times New Roman"/>
          <w:sz w:val="28"/>
          <w:szCs w:val="28"/>
        </w:rPr>
        <w:t>17</w:t>
      </w:r>
      <w:r w:rsidRPr="000237B3">
        <w:rPr>
          <w:rFonts w:cs="Times New Roman"/>
          <w:sz w:val="28"/>
          <w:szCs w:val="28"/>
        </w:rPr>
        <w:t xml:space="preserve"> </w:t>
      </w:r>
      <w:r w:rsidR="00F06EB2" w:rsidRPr="000237B3">
        <w:rPr>
          <w:rFonts w:cs="Times New Roman"/>
          <w:sz w:val="28"/>
          <w:szCs w:val="28"/>
        </w:rPr>
        <w:t xml:space="preserve">valsts </w:t>
      </w:r>
      <w:r w:rsidR="00117B72" w:rsidRPr="000237B3">
        <w:rPr>
          <w:rFonts w:cs="Times New Roman"/>
          <w:sz w:val="28"/>
          <w:szCs w:val="28"/>
        </w:rPr>
        <w:t xml:space="preserve">nekustamā </w:t>
      </w:r>
      <w:r w:rsidR="00F06EB2" w:rsidRPr="000237B3">
        <w:rPr>
          <w:rFonts w:cs="Times New Roman"/>
          <w:sz w:val="28"/>
          <w:szCs w:val="28"/>
        </w:rPr>
        <w:t>īpašuma objekti ir sagatavoti privatizācijai un nepastāv tiesiski šķēršļi privatizācijas procesa</w:t>
      </w:r>
      <w:r w:rsidR="0066617E" w:rsidRPr="000237B3">
        <w:rPr>
          <w:rFonts w:cs="Times New Roman"/>
          <w:sz w:val="28"/>
          <w:szCs w:val="28"/>
        </w:rPr>
        <w:t>m</w:t>
      </w:r>
      <w:r w:rsidR="00F06EB2" w:rsidRPr="000237B3">
        <w:rPr>
          <w:rFonts w:cs="Times New Roman"/>
          <w:sz w:val="28"/>
          <w:szCs w:val="28"/>
        </w:rPr>
        <w:t>;</w:t>
      </w:r>
    </w:p>
    <w:p w:rsidR="00F06EB2" w:rsidRPr="000237B3" w:rsidRDefault="000B1AC7" w:rsidP="00F06EB2">
      <w:pPr>
        <w:pStyle w:val="ListParagraph"/>
        <w:numPr>
          <w:ilvl w:val="0"/>
          <w:numId w:val="3"/>
        </w:numPr>
        <w:jc w:val="both"/>
        <w:rPr>
          <w:rFonts w:cs="Times New Roman"/>
          <w:sz w:val="28"/>
          <w:szCs w:val="28"/>
        </w:rPr>
      </w:pPr>
      <w:r w:rsidRPr="000237B3">
        <w:rPr>
          <w:rFonts w:cs="Times New Roman"/>
          <w:sz w:val="28"/>
          <w:szCs w:val="28"/>
        </w:rPr>
        <w:t xml:space="preserve">24 </w:t>
      </w:r>
      <w:r w:rsidR="00F06EB2" w:rsidRPr="000237B3">
        <w:rPr>
          <w:rFonts w:cs="Times New Roman"/>
          <w:sz w:val="28"/>
          <w:szCs w:val="28"/>
        </w:rPr>
        <w:t xml:space="preserve">valsts </w:t>
      </w:r>
      <w:r w:rsidR="00117B72" w:rsidRPr="000237B3">
        <w:rPr>
          <w:rFonts w:cs="Times New Roman"/>
          <w:sz w:val="28"/>
          <w:szCs w:val="28"/>
        </w:rPr>
        <w:t xml:space="preserve">nekustamā </w:t>
      </w:r>
      <w:r w:rsidR="00F06EB2" w:rsidRPr="000237B3">
        <w:rPr>
          <w:rFonts w:cs="Times New Roman"/>
          <w:sz w:val="28"/>
          <w:szCs w:val="28"/>
        </w:rPr>
        <w:t xml:space="preserve">īpašuma objektiem pastāv dažādi objektīvi šķēršļi (neatdalāmo ieguldījumu novērtējums, zemesgabala sadale </w:t>
      </w:r>
      <w:r w:rsidR="00F06EB2" w:rsidRPr="000237B3">
        <w:rPr>
          <w:rFonts w:cs="Times New Roman"/>
          <w:sz w:val="28"/>
          <w:szCs w:val="28"/>
        </w:rPr>
        <w:lastRenderedPageBreak/>
        <w:t>un uzmērīšana, ierakstīšana zemesgrāmatā</w:t>
      </w:r>
      <w:r w:rsidR="00D06040" w:rsidRPr="000237B3">
        <w:rPr>
          <w:rFonts w:cs="Times New Roman"/>
          <w:sz w:val="28"/>
          <w:szCs w:val="28"/>
        </w:rPr>
        <w:t>, nomas līguma pārjaunošana</w:t>
      </w:r>
      <w:r w:rsidR="00F06EB2" w:rsidRPr="000237B3">
        <w:rPr>
          <w:rFonts w:cs="Times New Roman"/>
          <w:sz w:val="28"/>
          <w:szCs w:val="28"/>
        </w:rPr>
        <w:t xml:space="preserve"> u.c., t.sk. </w:t>
      </w:r>
      <w:r w:rsidRPr="000237B3">
        <w:rPr>
          <w:rFonts w:cs="Times New Roman"/>
          <w:sz w:val="28"/>
          <w:szCs w:val="28"/>
        </w:rPr>
        <w:t xml:space="preserve">4 </w:t>
      </w:r>
      <w:r w:rsidR="00F06EB2" w:rsidRPr="000237B3">
        <w:rPr>
          <w:rFonts w:cs="Times New Roman"/>
          <w:sz w:val="28"/>
          <w:szCs w:val="28"/>
        </w:rPr>
        <w:t>tiesvedības par nomas tiesiskajām attiecībām un</w:t>
      </w:r>
      <w:r w:rsidRPr="000237B3">
        <w:rPr>
          <w:rFonts w:cs="Times New Roman"/>
          <w:sz w:val="28"/>
          <w:szCs w:val="28"/>
        </w:rPr>
        <w:t>/vai</w:t>
      </w:r>
      <w:r w:rsidR="00F06EB2" w:rsidRPr="000237B3">
        <w:rPr>
          <w:rFonts w:cs="Times New Roman"/>
          <w:sz w:val="28"/>
          <w:szCs w:val="28"/>
        </w:rPr>
        <w:t xml:space="preserve"> labvēlīgākiem privatizācijas nosacījumiem) tūlītējai privatizācijai, bet privatizācija</w:t>
      </w:r>
      <w:r w:rsidR="003C1E52" w:rsidRPr="000237B3">
        <w:rPr>
          <w:rFonts w:cs="Times New Roman"/>
          <w:sz w:val="28"/>
          <w:szCs w:val="28"/>
        </w:rPr>
        <w:t xml:space="preserve"> </w:t>
      </w:r>
      <w:r w:rsidR="00D06040" w:rsidRPr="000237B3">
        <w:rPr>
          <w:rFonts w:cs="Times New Roman"/>
          <w:sz w:val="28"/>
          <w:szCs w:val="28"/>
        </w:rPr>
        <w:t xml:space="preserve">2013. vai 2014.gadā </w:t>
      </w:r>
      <w:r w:rsidR="003C1E52" w:rsidRPr="000237B3">
        <w:rPr>
          <w:rFonts w:cs="Times New Roman"/>
          <w:sz w:val="28"/>
          <w:szCs w:val="28"/>
        </w:rPr>
        <w:t>var</w:t>
      </w:r>
      <w:r w:rsidR="00F06EB2" w:rsidRPr="000237B3">
        <w:rPr>
          <w:rFonts w:cs="Times New Roman"/>
          <w:sz w:val="28"/>
          <w:szCs w:val="28"/>
        </w:rPr>
        <w:t xml:space="preserve"> notik</w:t>
      </w:r>
      <w:r w:rsidR="003C1E52" w:rsidRPr="000237B3">
        <w:rPr>
          <w:rFonts w:cs="Times New Roman"/>
          <w:sz w:val="28"/>
          <w:szCs w:val="28"/>
        </w:rPr>
        <w:t>t</w:t>
      </w:r>
      <w:r w:rsidR="00F06EB2" w:rsidRPr="000237B3">
        <w:rPr>
          <w:rFonts w:cs="Times New Roman"/>
          <w:sz w:val="28"/>
          <w:szCs w:val="28"/>
        </w:rPr>
        <w:t xml:space="preserve"> pēc minēto </w:t>
      </w:r>
      <w:r w:rsidR="0066617E" w:rsidRPr="000237B3">
        <w:rPr>
          <w:rFonts w:cs="Times New Roman"/>
          <w:sz w:val="28"/>
          <w:szCs w:val="28"/>
        </w:rPr>
        <w:t>šķēršļu novēršanas</w:t>
      </w:r>
      <w:r w:rsidR="00F06EB2" w:rsidRPr="000237B3">
        <w:rPr>
          <w:rFonts w:cs="Times New Roman"/>
          <w:sz w:val="28"/>
          <w:szCs w:val="28"/>
        </w:rPr>
        <w:t>;</w:t>
      </w:r>
    </w:p>
    <w:p w:rsidR="00F06EB2" w:rsidRPr="000237B3" w:rsidRDefault="003C1E52" w:rsidP="00F06EB2">
      <w:pPr>
        <w:pStyle w:val="ListParagraph"/>
        <w:numPr>
          <w:ilvl w:val="0"/>
          <w:numId w:val="3"/>
        </w:numPr>
        <w:jc w:val="both"/>
        <w:rPr>
          <w:rFonts w:cs="Times New Roman"/>
          <w:sz w:val="28"/>
          <w:szCs w:val="28"/>
        </w:rPr>
      </w:pPr>
      <w:r w:rsidRPr="000237B3">
        <w:rPr>
          <w:rFonts w:cs="Times New Roman"/>
          <w:sz w:val="28"/>
          <w:szCs w:val="28"/>
        </w:rPr>
        <w:t>9</w:t>
      </w:r>
      <w:r w:rsidR="00F06EB2" w:rsidRPr="000237B3">
        <w:rPr>
          <w:rFonts w:cs="Times New Roman"/>
          <w:sz w:val="28"/>
          <w:szCs w:val="28"/>
        </w:rPr>
        <w:t xml:space="preserve"> valsts </w:t>
      </w:r>
      <w:r w:rsidR="00117B72" w:rsidRPr="000237B3">
        <w:rPr>
          <w:rFonts w:cs="Times New Roman"/>
          <w:sz w:val="28"/>
          <w:szCs w:val="28"/>
        </w:rPr>
        <w:t xml:space="preserve">nekustamā </w:t>
      </w:r>
      <w:r w:rsidR="00F06EB2" w:rsidRPr="000237B3">
        <w:rPr>
          <w:rFonts w:cs="Times New Roman"/>
          <w:sz w:val="28"/>
          <w:szCs w:val="28"/>
        </w:rPr>
        <w:t xml:space="preserve">īpašuma objekti </w:t>
      </w:r>
      <w:r w:rsidR="00D06040" w:rsidRPr="000237B3">
        <w:rPr>
          <w:rFonts w:cs="Times New Roman"/>
          <w:sz w:val="28"/>
          <w:szCs w:val="28"/>
        </w:rPr>
        <w:t xml:space="preserve">patlaban </w:t>
      </w:r>
      <w:r w:rsidR="00F06EB2" w:rsidRPr="000237B3">
        <w:rPr>
          <w:rFonts w:cs="Times New Roman"/>
          <w:sz w:val="28"/>
          <w:szCs w:val="28"/>
        </w:rPr>
        <w:t>nav privatizējami (</w:t>
      </w:r>
      <w:r w:rsidR="009413CB" w:rsidRPr="000237B3">
        <w:rPr>
          <w:rFonts w:cs="Times New Roman"/>
          <w:sz w:val="28"/>
          <w:szCs w:val="28"/>
        </w:rPr>
        <w:t xml:space="preserve">9 </w:t>
      </w:r>
      <w:r w:rsidR="00F06EB2" w:rsidRPr="000237B3">
        <w:rPr>
          <w:rFonts w:cs="Times New Roman"/>
          <w:sz w:val="28"/>
          <w:szCs w:val="28"/>
        </w:rPr>
        <w:t>valsts</w:t>
      </w:r>
      <w:r w:rsidR="00117B72" w:rsidRPr="000237B3">
        <w:rPr>
          <w:rFonts w:cs="Times New Roman"/>
          <w:sz w:val="28"/>
          <w:szCs w:val="28"/>
        </w:rPr>
        <w:t xml:space="preserve"> nekustamā </w:t>
      </w:r>
      <w:r w:rsidR="00F06EB2" w:rsidRPr="000237B3">
        <w:rPr>
          <w:rFonts w:cs="Times New Roman"/>
          <w:sz w:val="28"/>
          <w:szCs w:val="28"/>
        </w:rPr>
        <w:t>īpašuma objekti atrodas kāpu aizsargjoslā, objekta sastāvā ir meža zeme</w:t>
      </w:r>
      <w:r w:rsidR="00D30F9D" w:rsidRPr="000237B3">
        <w:rPr>
          <w:rFonts w:cs="Times New Roman"/>
          <w:sz w:val="28"/>
          <w:szCs w:val="28"/>
        </w:rPr>
        <w:t>, kuru nav iespējams nodalīt</w:t>
      </w:r>
      <w:r w:rsidR="00F06EB2" w:rsidRPr="000237B3">
        <w:rPr>
          <w:rFonts w:cs="Times New Roman"/>
          <w:sz w:val="28"/>
          <w:szCs w:val="28"/>
        </w:rPr>
        <w:t>, neviens pircējs nav pieteicies 2 reizes).</w:t>
      </w:r>
    </w:p>
    <w:p w:rsidR="00A8067D" w:rsidRPr="000237B3" w:rsidRDefault="00A8067D" w:rsidP="00A8067D">
      <w:pPr>
        <w:ind w:firstLine="720"/>
        <w:jc w:val="both"/>
        <w:rPr>
          <w:rFonts w:cs="Times New Roman"/>
          <w:sz w:val="28"/>
          <w:szCs w:val="28"/>
        </w:rPr>
      </w:pPr>
      <w:r w:rsidRPr="000237B3">
        <w:rPr>
          <w:rFonts w:cs="Times New Roman"/>
          <w:sz w:val="28"/>
          <w:szCs w:val="28"/>
        </w:rPr>
        <w:t xml:space="preserve">Saskaņā ar likuma „Par valsts un pašvaldību īpašuma objektu privatizāciju” 22.panta otro daļu, </w:t>
      </w:r>
      <w:r w:rsidR="002D43D9" w:rsidRPr="000237B3">
        <w:rPr>
          <w:rFonts w:cs="Times New Roman"/>
          <w:sz w:val="28"/>
          <w:szCs w:val="28"/>
        </w:rPr>
        <w:t>Aģentūra</w:t>
      </w:r>
      <w:r w:rsidRPr="000237B3">
        <w:rPr>
          <w:rFonts w:cs="Times New Roman"/>
          <w:sz w:val="28"/>
          <w:szCs w:val="28"/>
        </w:rPr>
        <w:t xml:space="preserve"> izstrādā konkrētā valsts </w:t>
      </w:r>
      <w:r w:rsidR="00117B72" w:rsidRPr="000237B3">
        <w:rPr>
          <w:rFonts w:cs="Times New Roman"/>
          <w:sz w:val="28"/>
          <w:szCs w:val="28"/>
        </w:rPr>
        <w:t xml:space="preserve">nekustamā </w:t>
      </w:r>
      <w:r w:rsidRPr="000237B3">
        <w:rPr>
          <w:rFonts w:cs="Times New Roman"/>
          <w:sz w:val="28"/>
          <w:szCs w:val="28"/>
        </w:rPr>
        <w:t xml:space="preserve">īpašuma objekta </w:t>
      </w:r>
      <w:r w:rsidR="00F94E9E" w:rsidRPr="000237B3">
        <w:rPr>
          <w:rFonts w:cs="Times New Roman"/>
          <w:sz w:val="28"/>
          <w:szCs w:val="28"/>
        </w:rPr>
        <w:t>privatizācijas noteikumus.</w:t>
      </w:r>
      <w:r w:rsidRPr="000237B3">
        <w:rPr>
          <w:rFonts w:cs="Times New Roman"/>
          <w:sz w:val="28"/>
          <w:szCs w:val="28"/>
        </w:rPr>
        <w:t xml:space="preserve"> </w:t>
      </w:r>
    </w:p>
    <w:p w:rsidR="00A8067D" w:rsidRPr="000237B3" w:rsidRDefault="00A8067D" w:rsidP="00A8067D">
      <w:pPr>
        <w:ind w:firstLine="720"/>
        <w:jc w:val="both"/>
        <w:rPr>
          <w:rFonts w:cs="Times New Roman"/>
          <w:sz w:val="28"/>
          <w:szCs w:val="28"/>
        </w:rPr>
      </w:pPr>
      <w:r w:rsidRPr="000237B3">
        <w:rPr>
          <w:rFonts w:cs="Times New Roman"/>
          <w:sz w:val="28"/>
          <w:szCs w:val="28"/>
        </w:rPr>
        <w:t xml:space="preserve">Ja valsts </w:t>
      </w:r>
      <w:r w:rsidR="00117B72" w:rsidRPr="000237B3">
        <w:rPr>
          <w:rFonts w:cs="Times New Roman"/>
          <w:sz w:val="28"/>
          <w:szCs w:val="28"/>
        </w:rPr>
        <w:t xml:space="preserve">nekustamā </w:t>
      </w:r>
      <w:r w:rsidRPr="000237B3">
        <w:rPr>
          <w:rFonts w:cs="Times New Roman"/>
          <w:sz w:val="28"/>
          <w:szCs w:val="28"/>
        </w:rPr>
        <w:t xml:space="preserve">īpašuma objekta privatizācija ir nesekmīga, </w:t>
      </w:r>
      <w:r w:rsidR="002D43D9" w:rsidRPr="000237B3">
        <w:rPr>
          <w:rFonts w:cs="Times New Roman"/>
          <w:sz w:val="28"/>
          <w:szCs w:val="28"/>
        </w:rPr>
        <w:t>Aģentūrai</w:t>
      </w:r>
      <w:r w:rsidRPr="000237B3">
        <w:rPr>
          <w:rFonts w:cs="Times New Roman"/>
          <w:sz w:val="28"/>
          <w:szCs w:val="28"/>
        </w:rPr>
        <w:t xml:space="preserve"> </w:t>
      </w:r>
      <w:r w:rsidR="002D43D9" w:rsidRPr="000237B3">
        <w:rPr>
          <w:rFonts w:cs="Times New Roman"/>
          <w:sz w:val="28"/>
          <w:szCs w:val="28"/>
        </w:rPr>
        <w:t xml:space="preserve">ir </w:t>
      </w:r>
      <w:r w:rsidRPr="000237B3">
        <w:rPr>
          <w:rFonts w:cs="Times New Roman"/>
          <w:sz w:val="28"/>
          <w:szCs w:val="28"/>
        </w:rPr>
        <w:t xml:space="preserve">pienākums rīkoties atbilstoši Valsts un pašvaldību īpašuma privatizācijas un privatizācijas sertifikātu izmantošanas pabeigšanas likumā noteiktajam. Šā likuma 14.panta pirmajā daļā noteikts, ka Ministru kabinets pēc ekonomikas ministra priekšlikuma var pieņemt lēmumu par valsts </w:t>
      </w:r>
      <w:r w:rsidR="00117B72" w:rsidRPr="000237B3">
        <w:rPr>
          <w:rFonts w:cs="Times New Roman"/>
          <w:sz w:val="28"/>
          <w:szCs w:val="28"/>
        </w:rPr>
        <w:t xml:space="preserve">nekustamā </w:t>
      </w:r>
      <w:r w:rsidRPr="000237B3">
        <w:rPr>
          <w:rFonts w:cs="Times New Roman"/>
          <w:sz w:val="28"/>
          <w:szCs w:val="28"/>
        </w:rPr>
        <w:t xml:space="preserve">īpašuma objekta, kā arī apbūvēta zemesgabala (šā likuma 5.panta otrās daļas 2.punkts) un neapbūvēta zemesgabala privatizācijas izbeigšanu, ja valsts </w:t>
      </w:r>
      <w:r w:rsidR="00117B72" w:rsidRPr="000237B3">
        <w:rPr>
          <w:rFonts w:cs="Times New Roman"/>
          <w:sz w:val="28"/>
          <w:szCs w:val="28"/>
        </w:rPr>
        <w:t xml:space="preserve">nekustamā </w:t>
      </w:r>
      <w:r w:rsidRPr="000237B3">
        <w:rPr>
          <w:rFonts w:cs="Times New Roman"/>
          <w:sz w:val="28"/>
          <w:szCs w:val="28"/>
        </w:rPr>
        <w:t xml:space="preserve">īpašuma objekta privatizācijas noteikumi ir apstiprināti divas reizes un neviens pretendents nav pieteicies privatizēt šo objektu vai nav apstiprināts par pircēju; ja valsts neapbūvēta zemesgabala izsole ir izsludināta divas reizes un neviens pretendents nav pieteicies pirkt šo zemesgabalu vai nav apstiprināts par pircēju, kā arī apstiprinātais valsts </w:t>
      </w:r>
      <w:r w:rsidR="00117B72" w:rsidRPr="000237B3">
        <w:rPr>
          <w:rFonts w:cs="Times New Roman"/>
          <w:sz w:val="28"/>
          <w:szCs w:val="28"/>
        </w:rPr>
        <w:t xml:space="preserve">nekustamā </w:t>
      </w:r>
      <w:r w:rsidRPr="000237B3">
        <w:rPr>
          <w:rFonts w:cs="Times New Roman"/>
          <w:sz w:val="28"/>
          <w:szCs w:val="28"/>
        </w:rPr>
        <w:t xml:space="preserve">īpašuma objekta, kā arī šā likuma 5.panta otrās daļas 2.punktā minētā apbūvētā zemesgabala vai neapbūvēta zemesgabala pircējs divu mēnešu laikā no dienas, kad saņēmis uzaicinājumu noslēgt pirkuma līgumu, vai pirkuma līguma slēgšanas termiņa pagarinājuma laikā nav noslēdzis pirkuma līgumu. Ievērojot minēto, attiecībā uz tiem valsts </w:t>
      </w:r>
      <w:r w:rsidR="00117B72" w:rsidRPr="000237B3">
        <w:rPr>
          <w:rFonts w:cs="Times New Roman"/>
          <w:sz w:val="28"/>
          <w:szCs w:val="28"/>
        </w:rPr>
        <w:t xml:space="preserve">nekustamā </w:t>
      </w:r>
      <w:r w:rsidRPr="000237B3">
        <w:rPr>
          <w:rFonts w:cs="Times New Roman"/>
          <w:sz w:val="28"/>
          <w:szCs w:val="28"/>
        </w:rPr>
        <w:t xml:space="preserve">īpašuma objektiem, kuriem iestājas kāds no minētajiem priekšnoteikumiem, </w:t>
      </w:r>
      <w:r w:rsidR="002D43D9" w:rsidRPr="000237B3">
        <w:rPr>
          <w:rFonts w:cs="Times New Roman"/>
          <w:sz w:val="28"/>
          <w:szCs w:val="28"/>
        </w:rPr>
        <w:t>Aģentūra</w:t>
      </w:r>
      <w:r w:rsidR="000722FD" w:rsidRPr="000237B3">
        <w:rPr>
          <w:rFonts w:cs="Times New Roman"/>
          <w:sz w:val="28"/>
          <w:szCs w:val="28"/>
        </w:rPr>
        <w:t xml:space="preserve"> </w:t>
      </w:r>
      <w:r w:rsidRPr="000237B3">
        <w:rPr>
          <w:rFonts w:cs="Times New Roman"/>
          <w:sz w:val="28"/>
          <w:szCs w:val="28"/>
        </w:rPr>
        <w:t xml:space="preserve">sagatavo un tiesību aktos noteiktajā kārtībā Ekonomikas ministrijā </w:t>
      </w:r>
      <w:r w:rsidR="000722FD" w:rsidRPr="000237B3">
        <w:rPr>
          <w:rFonts w:cs="Times New Roman"/>
          <w:sz w:val="28"/>
          <w:szCs w:val="28"/>
        </w:rPr>
        <w:t xml:space="preserve">iesniedz </w:t>
      </w:r>
      <w:r w:rsidRPr="000237B3">
        <w:rPr>
          <w:rFonts w:cs="Times New Roman"/>
          <w:sz w:val="28"/>
          <w:szCs w:val="28"/>
        </w:rPr>
        <w:t>Ministru kabineta rīkojuma projekt</w:t>
      </w:r>
      <w:r w:rsidR="000220BB" w:rsidRPr="000237B3">
        <w:rPr>
          <w:rFonts w:cs="Times New Roman"/>
          <w:sz w:val="28"/>
          <w:szCs w:val="28"/>
        </w:rPr>
        <w:t>us</w:t>
      </w:r>
      <w:r w:rsidRPr="000237B3">
        <w:rPr>
          <w:rFonts w:cs="Times New Roman"/>
          <w:sz w:val="28"/>
          <w:szCs w:val="28"/>
        </w:rPr>
        <w:t>.</w:t>
      </w:r>
    </w:p>
    <w:p w:rsidR="003767A9" w:rsidRPr="000237B3" w:rsidRDefault="003767A9" w:rsidP="00755F84">
      <w:pPr>
        <w:rPr>
          <w:sz w:val="28"/>
          <w:szCs w:val="28"/>
        </w:rPr>
      </w:pPr>
    </w:p>
    <w:p w:rsidR="00A8067D" w:rsidRPr="000237B3" w:rsidRDefault="00A8067D" w:rsidP="003767A9">
      <w:pPr>
        <w:pStyle w:val="Heading2"/>
        <w:rPr>
          <w:sz w:val="28"/>
          <w:szCs w:val="28"/>
        </w:rPr>
      </w:pPr>
      <w:bookmarkStart w:id="5" w:name="_Toc354069795"/>
      <w:r w:rsidRPr="000237B3">
        <w:rPr>
          <w:sz w:val="28"/>
          <w:szCs w:val="28"/>
        </w:rPr>
        <w:t>Valsts zemesgabalu privatizācijas process</w:t>
      </w:r>
      <w:bookmarkEnd w:id="5"/>
    </w:p>
    <w:p w:rsidR="005E0E3A" w:rsidRPr="000237B3" w:rsidRDefault="005E0E3A" w:rsidP="005E0E3A">
      <w:pPr>
        <w:rPr>
          <w:sz w:val="28"/>
          <w:szCs w:val="28"/>
        </w:rPr>
      </w:pPr>
    </w:p>
    <w:p w:rsidR="006E6B3A" w:rsidRPr="000237B3" w:rsidRDefault="006E6B3A" w:rsidP="006E6B3A">
      <w:pPr>
        <w:ind w:firstLine="720"/>
        <w:jc w:val="both"/>
        <w:rPr>
          <w:rFonts w:cs="Times New Roman"/>
          <w:sz w:val="28"/>
          <w:szCs w:val="28"/>
        </w:rPr>
      </w:pPr>
      <w:r w:rsidRPr="000237B3">
        <w:rPr>
          <w:rFonts w:cs="Times New Roman"/>
          <w:sz w:val="28"/>
          <w:szCs w:val="28"/>
        </w:rPr>
        <w:t xml:space="preserve">Kā atsevišķi privatizējami </w:t>
      </w:r>
      <w:r w:rsidR="00E523FD">
        <w:rPr>
          <w:rFonts w:cs="Times New Roman"/>
          <w:sz w:val="28"/>
          <w:szCs w:val="28"/>
        </w:rPr>
        <w:t>īpašumi</w:t>
      </w:r>
      <w:r w:rsidR="00E523FD" w:rsidRPr="000237B3">
        <w:rPr>
          <w:rFonts w:cs="Times New Roman"/>
          <w:sz w:val="28"/>
          <w:szCs w:val="28"/>
        </w:rPr>
        <w:t xml:space="preserve"> </w:t>
      </w:r>
      <w:r w:rsidRPr="000237B3">
        <w:rPr>
          <w:rFonts w:cs="Times New Roman"/>
          <w:sz w:val="28"/>
          <w:szCs w:val="28"/>
        </w:rPr>
        <w:t xml:space="preserve">privatizācijai </w:t>
      </w:r>
      <w:r w:rsidR="008B786C" w:rsidRPr="000237B3">
        <w:rPr>
          <w:rFonts w:cs="Times New Roman"/>
          <w:sz w:val="28"/>
          <w:szCs w:val="28"/>
        </w:rPr>
        <w:t xml:space="preserve">uz </w:t>
      </w:r>
      <w:r w:rsidR="000D4438">
        <w:rPr>
          <w:rFonts w:cs="Times New Roman"/>
          <w:sz w:val="28"/>
          <w:szCs w:val="28"/>
        </w:rPr>
        <w:t xml:space="preserve">2013.gada 31.martu nodoti 763 valsts </w:t>
      </w:r>
      <w:r w:rsidR="00E523FD">
        <w:rPr>
          <w:rFonts w:cs="Times New Roman"/>
          <w:sz w:val="28"/>
          <w:szCs w:val="28"/>
        </w:rPr>
        <w:t>zemesgabali</w:t>
      </w:r>
      <w:r w:rsidR="000D4438">
        <w:rPr>
          <w:rFonts w:cs="Times New Roman"/>
          <w:sz w:val="28"/>
          <w:szCs w:val="28"/>
        </w:rPr>
        <w:t>, tajā skaitā 7 neapbūvēti, bet Aģentūras valdījumā atrodas 698 zemesgabali (tajā skaitā 694 apbūvēti, bet 4 neapbūvēti zemesgabali).</w:t>
      </w:r>
    </w:p>
    <w:p w:rsidR="006E6B3A" w:rsidRPr="000237B3" w:rsidRDefault="006E6B3A" w:rsidP="006E6B3A">
      <w:pPr>
        <w:ind w:firstLine="720"/>
        <w:jc w:val="both"/>
        <w:rPr>
          <w:rFonts w:cs="Times New Roman"/>
          <w:sz w:val="28"/>
          <w:szCs w:val="28"/>
        </w:rPr>
      </w:pPr>
      <w:r w:rsidRPr="000237B3">
        <w:rPr>
          <w:rFonts w:cs="Times New Roman"/>
          <w:sz w:val="28"/>
          <w:szCs w:val="28"/>
        </w:rPr>
        <w:t xml:space="preserve">No </w:t>
      </w:r>
      <w:r w:rsidR="002D43D9" w:rsidRPr="000237B3">
        <w:rPr>
          <w:rFonts w:cs="Times New Roman"/>
          <w:sz w:val="28"/>
          <w:szCs w:val="28"/>
        </w:rPr>
        <w:t>Aģentūras</w:t>
      </w:r>
      <w:r w:rsidRPr="000237B3">
        <w:rPr>
          <w:rFonts w:cs="Times New Roman"/>
          <w:sz w:val="28"/>
          <w:szCs w:val="28"/>
        </w:rPr>
        <w:t xml:space="preserve"> valdījumā esošajiem</w:t>
      </w:r>
      <w:r w:rsidR="00F50A37" w:rsidRPr="000237B3">
        <w:rPr>
          <w:rFonts w:cs="Times New Roman"/>
          <w:sz w:val="28"/>
          <w:szCs w:val="28"/>
        </w:rPr>
        <w:t xml:space="preserve"> valsts</w:t>
      </w:r>
      <w:r w:rsidRPr="000237B3">
        <w:rPr>
          <w:rFonts w:cs="Times New Roman"/>
          <w:sz w:val="28"/>
          <w:szCs w:val="28"/>
        </w:rPr>
        <w:t xml:space="preserve"> zemesgabaliem</w:t>
      </w:r>
      <w:r w:rsidR="00B079F9">
        <w:rPr>
          <w:rFonts w:cs="Times New Roman"/>
          <w:sz w:val="28"/>
          <w:szCs w:val="28"/>
        </w:rPr>
        <w:t xml:space="preserve"> uz 2013.gada 31.martu</w:t>
      </w:r>
      <w:r w:rsidRPr="000237B3">
        <w:rPr>
          <w:rFonts w:cs="Times New Roman"/>
          <w:sz w:val="28"/>
          <w:szCs w:val="28"/>
        </w:rPr>
        <w:t>:</w:t>
      </w:r>
    </w:p>
    <w:p w:rsidR="006E6B3A" w:rsidRPr="000237B3" w:rsidRDefault="00B079F9" w:rsidP="00004894">
      <w:pPr>
        <w:numPr>
          <w:ilvl w:val="0"/>
          <w:numId w:val="2"/>
        </w:numPr>
        <w:ind w:hanging="357"/>
        <w:jc w:val="both"/>
        <w:rPr>
          <w:rFonts w:cs="Times New Roman"/>
          <w:sz w:val="28"/>
          <w:szCs w:val="28"/>
        </w:rPr>
      </w:pPr>
      <w:r>
        <w:rPr>
          <w:rFonts w:cs="Times New Roman"/>
          <w:sz w:val="28"/>
          <w:szCs w:val="28"/>
        </w:rPr>
        <w:lastRenderedPageBreak/>
        <w:t>104</w:t>
      </w:r>
      <w:r w:rsidRPr="000237B3">
        <w:rPr>
          <w:rFonts w:cs="Times New Roman"/>
          <w:sz w:val="28"/>
          <w:szCs w:val="28"/>
        </w:rPr>
        <w:t xml:space="preserve"> </w:t>
      </w:r>
      <w:r w:rsidR="006E6B3A" w:rsidRPr="000237B3">
        <w:rPr>
          <w:rFonts w:cs="Times New Roman"/>
          <w:sz w:val="28"/>
          <w:szCs w:val="28"/>
        </w:rPr>
        <w:t xml:space="preserve">apbūvēti zemesgabali un </w:t>
      </w:r>
      <w:r w:rsidR="00A45A22" w:rsidRPr="000237B3">
        <w:rPr>
          <w:rFonts w:cs="Times New Roman"/>
          <w:sz w:val="28"/>
          <w:szCs w:val="28"/>
        </w:rPr>
        <w:t>3</w:t>
      </w:r>
      <w:r w:rsidR="008B786C" w:rsidRPr="000237B3">
        <w:rPr>
          <w:rFonts w:cs="Times New Roman"/>
          <w:sz w:val="28"/>
          <w:szCs w:val="28"/>
        </w:rPr>
        <w:t xml:space="preserve"> neapbūvēti</w:t>
      </w:r>
      <w:r w:rsidR="006E6B3A" w:rsidRPr="000237B3">
        <w:rPr>
          <w:rFonts w:cs="Times New Roman"/>
          <w:sz w:val="28"/>
          <w:szCs w:val="28"/>
        </w:rPr>
        <w:t xml:space="preserve"> zemesgabali ir sagatavoti privatizācijai vai notiek to sagatavošanas process privatizācijas darbību turpināšanai (zemesgabalu kadastrālā uzmērīšana, robežu, situācijas, apgrūtinājumu plānu izgatavošana un saskaņošana, ierakstīšana zemesgrāmatā) un nav tiesisku šķēršļu privatizācijas procesa tālākai norisei;</w:t>
      </w:r>
    </w:p>
    <w:p w:rsidR="006E6B3A" w:rsidRPr="000237B3" w:rsidRDefault="006E6B3A" w:rsidP="006E6B3A">
      <w:pPr>
        <w:pStyle w:val="ListParagraph"/>
        <w:numPr>
          <w:ilvl w:val="0"/>
          <w:numId w:val="3"/>
        </w:numPr>
        <w:jc w:val="both"/>
        <w:rPr>
          <w:rFonts w:cs="Times New Roman"/>
          <w:sz w:val="28"/>
          <w:szCs w:val="28"/>
        </w:rPr>
      </w:pPr>
      <w:r w:rsidRPr="000237B3">
        <w:rPr>
          <w:rFonts w:cs="Times New Roman"/>
          <w:sz w:val="28"/>
          <w:szCs w:val="28"/>
        </w:rPr>
        <w:t xml:space="preserve">7 apbūvētiem zemesgabaliem nepieciešams sagatavot Ministru kabineta rīkojuma projektu par atteikumu nodot privatizācijai vai </w:t>
      </w:r>
      <w:r w:rsidR="002D43D9" w:rsidRPr="000237B3">
        <w:rPr>
          <w:rFonts w:cs="Times New Roman"/>
          <w:sz w:val="28"/>
          <w:szCs w:val="28"/>
        </w:rPr>
        <w:t>Aģentūras</w:t>
      </w:r>
      <w:r w:rsidRPr="000237B3">
        <w:rPr>
          <w:rFonts w:cs="Times New Roman"/>
          <w:sz w:val="28"/>
          <w:szCs w:val="28"/>
        </w:rPr>
        <w:t xml:space="preserve"> valdes lēmumu par privatizācijas izbeigšanu (piemēram, meža zeme pārsniedz Meža likumā pieļaujamo privatizējamo platību);</w:t>
      </w:r>
    </w:p>
    <w:p w:rsidR="006E6B3A" w:rsidRPr="000237B3" w:rsidRDefault="00B079F9" w:rsidP="006E6B3A">
      <w:pPr>
        <w:pStyle w:val="ListParagraph"/>
        <w:numPr>
          <w:ilvl w:val="0"/>
          <w:numId w:val="3"/>
        </w:numPr>
        <w:jc w:val="both"/>
        <w:rPr>
          <w:rFonts w:cs="Times New Roman"/>
          <w:sz w:val="28"/>
          <w:szCs w:val="28"/>
        </w:rPr>
      </w:pPr>
      <w:r>
        <w:rPr>
          <w:rFonts w:cs="Times New Roman"/>
          <w:sz w:val="28"/>
          <w:szCs w:val="28"/>
        </w:rPr>
        <w:t>9</w:t>
      </w:r>
      <w:r w:rsidRPr="000237B3">
        <w:rPr>
          <w:rFonts w:cs="Times New Roman"/>
          <w:sz w:val="28"/>
          <w:szCs w:val="28"/>
        </w:rPr>
        <w:t xml:space="preserve"> </w:t>
      </w:r>
      <w:r w:rsidR="006E6B3A" w:rsidRPr="000237B3">
        <w:rPr>
          <w:rFonts w:cs="Times New Roman"/>
          <w:sz w:val="28"/>
          <w:szCs w:val="28"/>
        </w:rPr>
        <w:t>apbūvēti zemesgabali ar pieņemšanas-nodošanas aktu jānodod citas institūcijas valdījumā (</w:t>
      </w:r>
      <w:r w:rsidR="00EC31F8" w:rsidRPr="000237B3">
        <w:rPr>
          <w:rFonts w:cs="Times New Roman"/>
          <w:sz w:val="28"/>
          <w:szCs w:val="28"/>
        </w:rPr>
        <w:t>t.sk.</w:t>
      </w:r>
      <w:r w:rsidR="006E6B3A" w:rsidRPr="000237B3">
        <w:rPr>
          <w:rFonts w:cs="Times New Roman"/>
          <w:sz w:val="28"/>
          <w:szCs w:val="28"/>
        </w:rPr>
        <w:t xml:space="preserve"> Satiksmes ministrijai, Zemkopības ministrijai, pašvaldībai);</w:t>
      </w:r>
    </w:p>
    <w:p w:rsidR="006E6B3A" w:rsidRPr="000237B3" w:rsidRDefault="00A22571" w:rsidP="006E6B3A">
      <w:pPr>
        <w:pStyle w:val="ListParagraph"/>
        <w:numPr>
          <w:ilvl w:val="0"/>
          <w:numId w:val="3"/>
        </w:numPr>
        <w:jc w:val="both"/>
        <w:rPr>
          <w:rFonts w:cs="Times New Roman"/>
          <w:sz w:val="28"/>
          <w:szCs w:val="28"/>
        </w:rPr>
      </w:pPr>
      <w:r w:rsidRPr="000237B3">
        <w:rPr>
          <w:rFonts w:cs="Times New Roman"/>
          <w:sz w:val="28"/>
          <w:szCs w:val="28"/>
        </w:rPr>
        <w:t>379</w:t>
      </w:r>
      <w:r w:rsidR="006E6B3A" w:rsidRPr="000237B3">
        <w:rPr>
          <w:rFonts w:cs="Times New Roman"/>
          <w:sz w:val="28"/>
          <w:szCs w:val="28"/>
        </w:rPr>
        <w:t xml:space="preserve"> </w:t>
      </w:r>
      <w:r w:rsidR="00EC31F8" w:rsidRPr="000237B3">
        <w:rPr>
          <w:rFonts w:cs="Times New Roman"/>
          <w:sz w:val="28"/>
          <w:szCs w:val="28"/>
        </w:rPr>
        <w:t xml:space="preserve">zemesgabaliem </w:t>
      </w:r>
      <w:r w:rsidR="006E6B3A" w:rsidRPr="000237B3">
        <w:rPr>
          <w:rFonts w:cs="Times New Roman"/>
          <w:sz w:val="28"/>
          <w:szCs w:val="28"/>
        </w:rPr>
        <w:t>turpinās nomas tiesiskās attiecības (</w:t>
      </w:r>
      <w:r w:rsidRPr="000237B3">
        <w:rPr>
          <w:rFonts w:cs="Times New Roman"/>
          <w:sz w:val="28"/>
          <w:szCs w:val="28"/>
        </w:rPr>
        <w:t>11</w:t>
      </w:r>
      <w:r w:rsidR="006E6B3A" w:rsidRPr="000237B3">
        <w:rPr>
          <w:rFonts w:cs="Times New Roman"/>
          <w:sz w:val="28"/>
          <w:szCs w:val="28"/>
        </w:rPr>
        <w:t xml:space="preserve"> gadījumos ir izbeigta vai atteikta privatizācija, fiziska persona kļuvu</w:t>
      </w:r>
      <w:r w:rsidR="00713AE4" w:rsidRPr="000237B3">
        <w:rPr>
          <w:rFonts w:cs="Times New Roman"/>
          <w:sz w:val="28"/>
          <w:szCs w:val="28"/>
        </w:rPr>
        <w:t xml:space="preserve">si maksātnespējīga; </w:t>
      </w:r>
      <w:r w:rsidRPr="000237B3">
        <w:rPr>
          <w:rFonts w:cs="Times New Roman"/>
          <w:sz w:val="28"/>
          <w:szCs w:val="28"/>
        </w:rPr>
        <w:t>183</w:t>
      </w:r>
      <w:r w:rsidR="00713AE4" w:rsidRPr="000237B3">
        <w:rPr>
          <w:rFonts w:cs="Times New Roman"/>
          <w:sz w:val="28"/>
          <w:szCs w:val="28"/>
        </w:rPr>
        <w:t xml:space="preserve"> subjekts</w:t>
      </w:r>
      <w:r w:rsidR="006E6B3A" w:rsidRPr="000237B3">
        <w:rPr>
          <w:rFonts w:cs="Times New Roman"/>
          <w:sz w:val="28"/>
          <w:szCs w:val="28"/>
        </w:rPr>
        <w:t xml:space="preserve"> ilgstoši neizrāda interesi par zemesgabala privatizāciju; 53 </w:t>
      </w:r>
      <w:r w:rsidR="00EC31F8" w:rsidRPr="000237B3">
        <w:rPr>
          <w:rFonts w:cs="Times New Roman"/>
          <w:sz w:val="28"/>
          <w:szCs w:val="28"/>
        </w:rPr>
        <w:t xml:space="preserve">privatizācijas </w:t>
      </w:r>
      <w:r w:rsidR="006E6B3A" w:rsidRPr="000237B3">
        <w:rPr>
          <w:rFonts w:cs="Times New Roman"/>
          <w:sz w:val="28"/>
          <w:szCs w:val="28"/>
        </w:rPr>
        <w:t xml:space="preserve">subjekti nav nostiprinājuši savas īpašuma tiesības zemesgrāmatā uz </w:t>
      </w:r>
      <w:r w:rsidR="00EC31F8" w:rsidRPr="000237B3">
        <w:rPr>
          <w:rFonts w:cs="Times New Roman"/>
          <w:sz w:val="28"/>
          <w:szCs w:val="28"/>
        </w:rPr>
        <w:t xml:space="preserve">visām </w:t>
      </w:r>
      <w:r w:rsidR="006E6B3A" w:rsidRPr="000237B3">
        <w:rPr>
          <w:rFonts w:cs="Times New Roman"/>
          <w:sz w:val="28"/>
          <w:szCs w:val="28"/>
        </w:rPr>
        <w:t>zemesgabala esošajām ēkām (būvēm); 12</w:t>
      </w:r>
      <w:r w:rsidRPr="000237B3">
        <w:rPr>
          <w:rFonts w:cs="Times New Roman"/>
          <w:sz w:val="28"/>
          <w:szCs w:val="28"/>
        </w:rPr>
        <w:t>7</w:t>
      </w:r>
      <w:r w:rsidR="006E6B3A" w:rsidRPr="000237B3">
        <w:rPr>
          <w:rFonts w:cs="Times New Roman"/>
          <w:sz w:val="28"/>
          <w:szCs w:val="28"/>
        </w:rPr>
        <w:t xml:space="preserve"> </w:t>
      </w:r>
      <w:r w:rsidR="00EC31F8" w:rsidRPr="000237B3">
        <w:rPr>
          <w:rFonts w:cs="Times New Roman"/>
          <w:sz w:val="28"/>
          <w:szCs w:val="28"/>
        </w:rPr>
        <w:t xml:space="preserve">privatizācijas </w:t>
      </w:r>
      <w:r w:rsidR="006E6B3A" w:rsidRPr="000237B3">
        <w:rPr>
          <w:rFonts w:cs="Times New Roman"/>
          <w:sz w:val="28"/>
          <w:szCs w:val="28"/>
        </w:rPr>
        <w:t>subjekt</w:t>
      </w:r>
      <w:r w:rsidR="00EC31F8" w:rsidRPr="000237B3">
        <w:rPr>
          <w:rFonts w:cs="Times New Roman"/>
          <w:sz w:val="28"/>
          <w:szCs w:val="28"/>
        </w:rPr>
        <w:t xml:space="preserve">s </w:t>
      </w:r>
      <w:r w:rsidR="006E6B3A" w:rsidRPr="000237B3">
        <w:rPr>
          <w:rFonts w:cs="Times New Roman"/>
          <w:sz w:val="28"/>
          <w:szCs w:val="28"/>
        </w:rPr>
        <w:t>nav iesnie</w:t>
      </w:r>
      <w:r w:rsidR="00EC31F8" w:rsidRPr="000237B3">
        <w:rPr>
          <w:rFonts w:cs="Times New Roman"/>
          <w:sz w:val="28"/>
          <w:szCs w:val="28"/>
        </w:rPr>
        <w:t>dzis</w:t>
      </w:r>
      <w:r w:rsidR="006E6B3A" w:rsidRPr="000237B3">
        <w:rPr>
          <w:rFonts w:cs="Times New Roman"/>
          <w:sz w:val="28"/>
          <w:szCs w:val="28"/>
        </w:rPr>
        <w:t xml:space="preserve"> iesniegumu par privatizācijas turpināšanu; 5 ir nomas parādnieki, kas sedz parādu saskaņā ar maksājumu grafiku;</w:t>
      </w:r>
    </w:p>
    <w:p w:rsidR="006E6B3A" w:rsidRPr="000237B3" w:rsidRDefault="00B079F9" w:rsidP="006E6B3A">
      <w:pPr>
        <w:pStyle w:val="ListParagraph"/>
        <w:numPr>
          <w:ilvl w:val="0"/>
          <w:numId w:val="3"/>
        </w:numPr>
        <w:jc w:val="both"/>
        <w:rPr>
          <w:rFonts w:cs="Times New Roman"/>
          <w:sz w:val="28"/>
          <w:szCs w:val="28"/>
        </w:rPr>
      </w:pPr>
      <w:r>
        <w:rPr>
          <w:rFonts w:cs="Times New Roman"/>
          <w:sz w:val="28"/>
          <w:szCs w:val="28"/>
        </w:rPr>
        <w:t>197</w:t>
      </w:r>
      <w:r w:rsidRPr="000237B3">
        <w:rPr>
          <w:rFonts w:cs="Times New Roman"/>
          <w:sz w:val="28"/>
          <w:szCs w:val="28"/>
        </w:rPr>
        <w:t xml:space="preserve"> </w:t>
      </w:r>
      <w:r w:rsidR="00A45A22" w:rsidRPr="000237B3">
        <w:rPr>
          <w:rFonts w:cs="Times New Roman"/>
          <w:sz w:val="28"/>
          <w:szCs w:val="28"/>
        </w:rPr>
        <w:t xml:space="preserve">apbūvētiem zemesgabaliem ir </w:t>
      </w:r>
      <w:r w:rsidR="006E6B3A" w:rsidRPr="000237B3">
        <w:rPr>
          <w:rFonts w:cs="Times New Roman"/>
          <w:sz w:val="28"/>
          <w:szCs w:val="28"/>
        </w:rPr>
        <w:t>dažādi objektīvi šķēršļi (robežu, apgrūtinājumu plānu aktualizācija, domstarpīb</w:t>
      </w:r>
      <w:r w:rsidR="008B786C" w:rsidRPr="000237B3">
        <w:rPr>
          <w:rFonts w:cs="Times New Roman"/>
          <w:sz w:val="28"/>
          <w:szCs w:val="28"/>
        </w:rPr>
        <w:t>as</w:t>
      </w:r>
      <w:r w:rsidR="006E6B3A" w:rsidRPr="000237B3">
        <w:rPr>
          <w:rFonts w:cs="Times New Roman"/>
          <w:sz w:val="28"/>
          <w:szCs w:val="28"/>
        </w:rPr>
        <w:t xml:space="preserve"> par zemesgabala robežām, kopīpašuma jautājumu risināšana, tiesvedība par parāda piedziņu, piespiedu nomas attiecību nodibināšanu vai pirmpirkuma tiesībām</w:t>
      </w:r>
      <w:r w:rsidR="00A22571" w:rsidRPr="000237B3">
        <w:rPr>
          <w:rFonts w:cs="Times New Roman"/>
          <w:sz w:val="28"/>
          <w:szCs w:val="28"/>
        </w:rPr>
        <w:t xml:space="preserve">, zemesgabala domājamās daļas pārņemtas nesen un </w:t>
      </w:r>
      <w:r w:rsidR="00395E37" w:rsidRPr="000237B3">
        <w:rPr>
          <w:rFonts w:cs="Times New Roman"/>
          <w:sz w:val="28"/>
          <w:szCs w:val="28"/>
        </w:rPr>
        <w:t xml:space="preserve">notiek </w:t>
      </w:r>
      <w:r w:rsidR="00A22571" w:rsidRPr="000237B3">
        <w:rPr>
          <w:rFonts w:cs="Times New Roman"/>
          <w:sz w:val="28"/>
          <w:szCs w:val="28"/>
        </w:rPr>
        <w:t>piespiedu nomas līgumu</w:t>
      </w:r>
      <w:r w:rsidR="006E6B3A" w:rsidRPr="000237B3">
        <w:rPr>
          <w:rFonts w:cs="Times New Roman"/>
          <w:sz w:val="28"/>
          <w:szCs w:val="28"/>
        </w:rPr>
        <w:t xml:space="preserve"> </w:t>
      </w:r>
      <w:r w:rsidR="00A22571" w:rsidRPr="000237B3">
        <w:rPr>
          <w:rFonts w:cs="Times New Roman"/>
          <w:sz w:val="28"/>
          <w:szCs w:val="28"/>
        </w:rPr>
        <w:t xml:space="preserve">noslēgšanas process </w:t>
      </w:r>
      <w:r w:rsidR="006E6B3A" w:rsidRPr="000237B3">
        <w:rPr>
          <w:rFonts w:cs="Times New Roman"/>
          <w:sz w:val="28"/>
          <w:szCs w:val="28"/>
        </w:rPr>
        <w:t>u.c.)</w:t>
      </w:r>
      <w:r w:rsidR="00A45A22" w:rsidRPr="000237B3">
        <w:rPr>
          <w:rFonts w:cs="Times New Roman"/>
          <w:sz w:val="28"/>
          <w:szCs w:val="28"/>
        </w:rPr>
        <w:t xml:space="preserve">, </w:t>
      </w:r>
      <w:r w:rsidR="00A22571" w:rsidRPr="000237B3">
        <w:rPr>
          <w:rFonts w:cs="Times New Roman"/>
          <w:sz w:val="28"/>
          <w:szCs w:val="28"/>
        </w:rPr>
        <w:t xml:space="preserve">kā arī </w:t>
      </w:r>
      <w:r w:rsidR="00A45A22" w:rsidRPr="000237B3">
        <w:rPr>
          <w:rFonts w:cs="Times New Roman"/>
          <w:sz w:val="28"/>
          <w:szCs w:val="28"/>
        </w:rPr>
        <w:t>par 2 neapbūvētiem zemesgabaliem ir ierosināta administratīvā tiesvedība un privatizācijas process ir apturēts</w:t>
      </w:r>
      <w:r w:rsidR="006E6B3A" w:rsidRPr="000237B3">
        <w:rPr>
          <w:rFonts w:cs="Times New Roman"/>
          <w:sz w:val="28"/>
          <w:szCs w:val="28"/>
        </w:rPr>
        <w:t>.</w:t>
      </w:r>
    </w:p>
    <w:p w:rsidR="006E6B3A" w:rsidRPr="000237B3" w:rsidRDefault="00A52FBE" w:rsidP="006E6B3A">
      <w:pPr>
        <w:ind w:firstLine="720"/>
        <w:jc w:val="both"/>
        <w:rPr>
          <w:rFonts w:cs="Times New Roman"/>
          <w:sz w:val="28"/>
          <w:szCs w:val="28"/>
        </w:rPr>
      </w:pPr>
      <w:r w:rsidRPr="000237B3">
        <w:rPr>
          <w:rFonts w:cs="Times New Roman"/>
          <w:sz w:val="28"/>
          <w:szCs w:val="28"/>
        </w:rPr>
        <w:t xml:space="preserve">No </w:t>
      </w:r>
      <w:r w:rsidR="002D43D9" w:rsidRPr="000237B3">
        <w:rPr>
          <w:rFonts w:cs="Times New Roman"/>
          <w:sz w:val="28"/>
          <w:szCs w:val="28"/>
        </w:rPr>
        <w:t>Aģentūras</w:t>
      </w:r>
      <w:r w:rsidR="006E6B3A" w:rsidRPr="000237B3">
        <w:rPr>
          <w:rFonts w:cs="Times New Roman"/>
          <w:sz w:val="28"/>
          <w:szCs w:val="28"/>
        </w:rPr>
        <w:t xml:space="preserve"> </w:t>
      </w:r>
      <w:r w:rsidRPr="000237B3">
        <w:rPr>
          <w:rFonts w:cs="Times New Roman"/>
          <w:sz w:val="28"/>
          <w:szCs w:val="28"/>
        </w:rPr>
        <w:t xml:space="preserve">neatkarīgu iemeslu dēļ </w:t>
      </w:r>
      <w:r w:rsidR="00B079F9">
        <w:rPr>
          <w:rFonts w:cs="Times New Roman"/>
          <w:sz w:val="28"/>
          <w:szCs w:val="28"/>
        </w:rPr>
        <w:t xml:space="preserve">uz 2013.gada 31.martu </w:t>
      </w:r>
      <w:r w:rsidR="006E6B3A" w:rsidRPr="000237B3">
        <w:rPr>
          <w:rFonts w:cs="Times New Roman"/>
          <w:sz w:val="28"/>
          <w:szCs w:val="28"/>
        </w:rPr>
        <w:t xml:space="preserve">valdījumā </w:t>
      </w:r>
      <w:r w:rsidR="00BE51C2" w:rsidRPr="000237B3">
        <w:rPr>
          <w:rFonts w:cs="Times New Roman"/>
          <w:sz w:val="28"/>
          <w:szCs w:val="28"/>
        </w:rPr>
        <w:t xml:space="preserve">privatizācijas darbību veikšanai </w:t>
      </w:r>
      <w:r w:rsidR="006E6B3A" w:rsidRPr="000237B3">
        <w:rPr>
          <w:rFonts w:cs="Times New Roman"/>
          <w:sz w:val="28"/>
          <w:szCs w:val="28"/>
        </w:rPr>
        <w:t xml:space="preserve">nav pārņemti </w:t>
      </w:r>
      <w:r w:rsidR="00B079F9" w:rsidRPr="000237B3">
        <w:rPr>
          <w:rFonts w:cs="Times New Roman"/>
          <w:sz w:val="28"/>
          <w:szCs w:val="28"/>
        </w:rPr>
        <w:t>6</w:t>
      </w:r>
      <w:r w:rsidR="00A133AD">
        <w:rPr>
          <w:rFonts w:cs="Times New Roman"/>
          <w:sz w:val="28"/>
          <w:szCs w:val="28"/>
        </w:rPr>
        <w:t>5</w:t>
      </w:r>
      <w:r w:rsidR="00B079F9" w:rsidRPr="000237B3">
        <w:rPr>
          <w:rFonts w:cs="Times New Roman"/>
          <w:sz w:val="28"/>
          <w:szCs w:val="28"/>
        </w:rPr>
        <w:t xml:space="preserve"> zemesgabal</w:t>
      </w:r>
      <w:r w:rsidR="00A133AD">
        <w:rPr>
          <w:rFonts w:cs="Times New Roman"/>
          <w:sz w:val="28"/>
          <w:szCs w:val="28"/>
        </w:rPr>
        <w:t>i</w:t>
      </w:r>
      <w:r w:rsidR="006E6B3A" w:rsidRPr="000237B3">
        <w:rPr>
          <w:rFonts w:cs="Times New Roman"/>
          <w:sz w:val="28"/>
          <w:szCs w:val="28"/>
        </w:rPr>
        <w:t>.</w:t>
      </w:r>
    </w:p>
    <w:p w:rsidR="00A8067D" w:rsidRPr="000237B3" w:rsidRDefault="00A8067D" w:rsidP="00C10650">
      <w:pPr>
        <w:ind w:firstLine="720"/>
        <w:jc w:val="both"/>
        <w:rPr>
          <w:rFonts w:cs="Times New Roman"/>
          <w:sz w:val="28"/>
          <w:szCs w:val="28"/>
        </w:rPr>
      </w:pPr>
      <w:r w:rsidRPr="000237B3">
        <w:rPr>
          <w:rFonts w:cs="Times New Roman"/>
          <w:sz w:val="28"/>
          <w:szCs w:val="28"/>
        </w:rPr>
        <w:t>Saskaņā ar likuma „Par valsts un pašvaldību īpašuma objektu privatizāciju” 9.panta septīto daļu, ja persona savas pirmpirkuma tiesības uz apbūvētu zemesgabalu nevar izmantot vai neizmanto, tai ir zemes nomas tiesības uz to pašu zemesgabalu, uz kuru tai ir pirmpirkuma tiesības, un šis zemesgabals netiek privatizēts vai atsavināts citām personām.</w:t>
      </w:r>
    </w:p>
    <w:p w:rsidR="00A8067D" w:rsidRPr="000237B3" w:rsidRDefault="00A8067D" w:rsidP="00C10650">
      <w:pPr>
        <w:ind w:firstLine="720"/>
        <w:jc w:val="both"/>
        <w:rPr>
          <w:rFonts w:cs="Times New Roman"/>
          <w:sz w:val="28"/>
          <w:szCs w:val="28"/>
        </w:rPr>
      </w:pPr>
      <w:r w:rsidRPr="000237B3">
        <w:rPr>
          <w:rFonts w:cs="Times New Roman"/>
          <w:sz w:val="28"/>
          <w:szCs w:val="28"/>
        </w:rPr>
        <w:t>Ja valstij piederošs vai piekrītošs apbūvēts zemesgabals saskaņā ar citiem likumiem nav privatizējams vai atsavināms</w:t>
      </w:r>
      <w:r w:rsidR="008624C1" w:rsidRPr="000237B3">
        <w:rPr>
          <w:rFonts w:cs="Times New Roman"/>
          <w:sz w:val="28"/>
          <w:szCs w:val="28"/>
        </w:rPr>
        <w:t>,</w:t>
      </w:r>
      <w:r w:rsidRPr="000237B3">
        <w:rPr>
          <w:rFonts w:cs="Times New Roman"/>
          <w:sz w:val="28"/>
          <w:szCs w:val="28"/>
        </w:rPr>
        <w:t xml:space="preserve"> </w:t>
      </w:r>
      <w:r w:rsidR="002D43D9" w:rsidRPr="000237B3">
        <w:rPr>
          <w:rFonts w:cs="Times New Roman"/>
          <w:sz w:val="28"/>
          <w:szCs w:val="28"/>
        </w:rPr>
        <w:t>Aģentūra</w:t>
      </w:r>
      <w:r w:rsidRPr="000237B3">
        <w:rPr>
          <w:rFonts w:cs="Times New Roman"/>
          <w:sz w:val="28"/>
          <w:szCs w:val="28"/>
        </w:rPr>
        <w:t xml:space="preserve"> atbilstoši Valsts un pašvaldību īpašuma privatizācijas un privatizācijas sertifikātu izmantošanas pabeigšanas likuma 7.pantā noteiktajam pieņem pamatotu </w:t>
      </w:r>
      <w:r w:rsidRPr="000237B3">
        <w:rPr>
          <w:rFonts w:cs="Times New Roman"/>
          <w:sz w:val="28"/>
          <w:szCs w:val="28"/>
        </w:rPr>
        <w:lastRenderedPageBreak/>
        <w:t>lēmumu par atteikumu nodot privatizācijai attiecīgo valstij piederošu vai piekrītošu apbūvētu zemesgabalu.</w:t>
      </w:r>
    </w:p>
    <w:p w:rsidR="00A8067D" w:rsidRPr="000237B3" w:rsidRDefault="00A8067D" w:rsidP="00C10650">
      <w:pPr>
        <w:ind w:firstLine="720"/>
        <w:jc w:val="both"/>
        <w:rPr>
          <w:rFonts w:cs="Times New Roman"/>
          <w:sz w:val="28"/>
          <w:szCs w:val="28"/>
        </w:rPr>
      </w:pPr>
      <w:r w:rsidRPr="000237B3">
        <w:rPr>
          <w:rFonts w:cs="Times New Roman"/>
          <w:sz w:val="28"/>
          <w:szCs w:val="28"/>
        </w:rPr>
        <w:t xml:space="preserve">Saskaņā ar Valsts un pašvaldību īpašuma privatizācijas un privatizācijas sertifikātu izmantošanas pabeigšanas likuma 14.panta trešo daļu </w:t>
      </w:r>
      <w:r w:rsidR="007E1204" w:rsidRPr="000237B3">
        <w:rPr>
          <w:rFonts w:cs="Times New Roman"/>
          <w:sz w:val="28"/>
          <w:szCs w:val="28"/>
        </w:rPr>
        <w:t>Aģentūra</w:t>
      </w:r>
      <w:r w:rsidRPr="000237B3">
        <w:rPr>
          <w:rFonts w:cs="Times New Roman"/>
          <w:sz w:val="28"/>
          <w:szCs w:val="28"/>
        </w:rPr>
        <w:t xml:space="preserve"> var pieņemt lēmumu par apbūvēta zemesgabala privatizācijas izbeigšanu, ja persona, kurai ir pirmpirkuma tiesības uz šo zemesgabalu, divu mēnešu laikā no dienas, kad saņēmusi uzaicinājumu noslēgt pirkuma līgumu, vai pirkuma līguma noslēgšanas termiņa pagarinājuma laikā nav noslēgusi pirkuma līgumu, kā arī, ja atkārtoti ir saņemta atpakaļ ierakstīta vēstule, a</w:t>
      </w:r>
      <w:r w:rsidR="00967516" w:rsidRPr="000237B3">
        <w:rPr>
          <w:rFonts w:cs="Times New Roman"/>
          <w:sz w:val="28"/>
          <w:szCs w:val="28"/>
        </w:rPr>
        <w:t>r</w:t>
      </w:r>
      <w:r w:rsidRPr="000237B3">
        <w:rPr>
          <w:rFonts w:cs="Times New Roman"/>
          <w:sz w:val="28"/>
          <w:szCs w:val="28"/>
        </w:rPr>
        <w:t xml:space="preserve"> kuru personai, kurai ir pirmpirkuma tiesības, uz šīs personas norādīto un deklarēto dzīvesvietas adresi bija nosūtīts privatizācijas paziņojums vai uzaicinājums noslēgt pirkuma līgumu.</w:t>
      </w:r>
    </w:p>
    <w:p w:rsidR="008F48CA" w:rsidRPr="000237B3" w:rsidRDefault="00A8067D" w:rsidP="008F48CA">
      <w:pPr>
        <w:ind w:firstLine="720"/>
        <w:jc w:val="both"/>
        <w:rPr>
          <w:rFonts w:cs="Times New Roman"/>
          <w:sz w:val="28"/>
          <w:szCs w:val="28"/>
        </w:rPr>
      </w:pPr>
      <w:r w:rsidRPr="000237B3">
        <w:rPr>
          <w:rFonts w:cs="Times New Roman"/>
          <w:sz w:val="28"/>
          <w:szCs w:val="28"/>
        </w:rPr>
        <w:t xml:space="preserve">Ievērojot minēto, </w:t>
      </w:r>
      <w:r w:rsidR="00C72F49" w:rsidRPr="000237B3">
        <w:rPr>
          <w:rFonts w:cs="Times New Roman"/>
          <w:sz w:val="28"/>
          <w:szCs w:val="28"/>
        </w:rPr>
        <w:t>Aģentūra</w:t>
      </w:r>
      <w:r w:rsidRPr="000237B3">
        <w:rPr>
          <w:rFonts w:cs="Times New Roman"/>
          <w:sz w:val="28"/>
          <w:szCs w:val="28"/>
        </w:rPr>
        <w:t xml:space="preserve"> visiem valsts zemesgabaliem, kuriem nepastāv tiesisk</w:t>
      </w:r>
      <w:r w:rsidR="00967516" w:rsidRPr="000237B3">
        <w:rPr>
          <w:rFonts w:cs="Times New Roman"/>
          <w:sz w:val="28"/>
          <w:szCs w:val="28"/>
        </w:rPr>
        <w:t>i</w:t>
      </w:r>
      <w:r w:rsidRPr="000237B3">
        <w:rPr>
          <w:rFonts w:cs="Times New Roman"/>
          <w:sz w:val="28"/>
          <w:szCs w:val="28"/>
        </w:rPr>
        <w:t xml:space="preserve"> šķēršļ</w:t>
      </w:r>
      <w:r w:rsidR="00967516" w:rsidRPr="000237B3">
        <w:rPr>
          <w:rFonts w:cs="Times New Roman"/>
          <w:sz w:val="28"/>
          <w:szCs w:val="28"/>
        </w:rPr>
        <w:t>i</w:t>
      </w:r>
      <w:r w:rsidRPr="000237B3">
        <w:rPr>
          <w:rFonts w:cs="Times New Roman"/>
          <w:sz w:val="28"/>
          <w:szCs w:val="28"/>
        </w:rPr>
        <w:t xml:space="preserve"> (vai pēc attiecīgu privatizācijas sagatavošanas darbību veikšanu tiesiski šķēršļi tiks novērsti)</w:t>
      </w:r>
      <w:r w:rsidR="00967516" w:rsidRPr="000237B3">
        <w:rPr>
          <w:rFonts w:cs="Times New Roman"/>
          <w:sz w:val="28"/>
          <w:szCs w:val="28"/>
        </w:rPr>
        <w:t>,</w:t>
      </w:r>
      <w:r w:rsidRPr="000237B3">
        <w:rPr>
          <w:rFonts w:cs="Times New Roman"/>
          <w:sz w:val="28"/>
          <w:szCs w:val="28"/>
        </w:rPr>
        <w:t xml:space="preserve"> ir pienākums izstrādāt privatizācijas paziņojumu un nosūtīt to privatizācijas subjektam. Ja privatizācijas subjekts nenoslēdz pirkuma līgumu, </w:t>
      </w:r>
      <w:r w:rsidR="007E1204" w:rsidRPr="000237B3">
        <w:rPr>
          <w:rFonts w:cs="Times New Roman"/>
          <w:sz w:val="28"/>
          <w:szCs w:val="28"/>
        </w:rPr>
        <w:t>Aģentūrai</w:t>
      </w:r>
      <w:r w:rsidRPr="000237B3">
        <w:rPr>
          <w:rFonts w:cs="Times New Roman"/>
          <w:sz w:val="28"/>
          <w:szCs w:val="28"/>
        </w:rPr>
        <w:t xml:space="preserve"> jāpieņem lēmums par privatizācijas izbeigšanu, turpinot nomas attiecības ar privatizācijas subjektu līdz tiek </w:t>
      </w:r>
      <w:r w:rsidR="00BA7AD9" w:rsidRPr="000237B3">
        <w:rPr>
          <w:rFonts w:cs="Times New Roman"/>
          <w:sz w:val="28"/>
          <w:szCs w:val="28"/>
        </w:rPr>
        <w:t xml:space="preserve">nodots </w:t>
      </w:r>
      <w:r w:rsidR="00DC22F0" w:rsidRPr="000237B3">
        <w:rPr>
          <w:rFonts w:cs="Times New Roman"/>
          <w:sz w:val="28"/>
          <w:szCs w:val="28"/>
        </w:rPr>
        <w:t>zemesgabals</w:t>
      </w:r>
      <w:r w:rsidR="00BA7AD9" w:rsidRPr="000237B3">
        <w:rPr>
          <w:rFonts w:cs="Times New Roman"/>
          <w:sz w:val="28"/>
          <w:szCs w:val="28"/>
        </w:rPr>
        <w:t xml:space="preserve"> valdījumā citai institūcijai. </w:t>
      </w:r>
      <w:r w:rsidRPr="000237B3">
        <w:rPr>
          <w:rFonts w:cs="Times New Roman"/>
          <w:sz w:val="28"/>
          <w:szCs w:val="28"/>
        </w:rPr>
        <w:t xml:space="preserve"> </w:t>
      </w:r>
    </w:p>
    <w:p w:rsidR="00A07217" w:rsidRPr="000237B3" w:rsidRDefault="00A07217" w:rsidP="00C54D95">
      <w:pPr>
        <w:pStyle w:val="BodyText2"/>
        <w:ind w:firstLine="720"/>
        <w:jc w:val="right"/>
        <w:rPr>
          <w:rStyle w:val="CommentReference"/>
          <w:rFonts w:eastAsiaTheme="minorEastAsia" w:cstheme="minorBidi"/>
          <w:sz w:val="28"/>
          <w:szCs w:val="28"/>
          <w:lang w:eastAsia="zh-CN"/>
        </w:rPr>
      </w:pPr>
    </w:p>
    <w:p w:rsidR="00C54D95" w:rsidRPr="000237B3" w:rsidRDefault="00C54D95" w:rsidP="00C54D95">
      <w:pPr>
        <w:pStyle w:val="BodyText2"/>
        <w:ind w:firstLine="720"/>
        <w:jc w:val="right"/>
        <w:rPr>
          <w:rStyle w:val="CommentReference"/>
          <w:rFonts w:eastAsiaTheme="minorEastAsia" w:cstheme="minorBidi"/>
          <w:sz w:val="28"/>
          <w:szCs w:val="28"/>
          <w:lang w:eastAsia="zh-CN"/>
        </w:rPr>
      </w:pPr>
      <w:r w:rsidRPr="004069B2">
        <w:rPr>
          <w:rStyle w:val="CommentReference"/>
          <w:rFonts w:eastAsiaTheme="minorEastAsia" w:cstheme="minorBidi"/>
          <w:sz w:val="28"/>
          <w:szCs w:val="28"/>
          <w:lang w:eastAsia="zh-CN"/>
        </w:rPr>
        <w:t>Grafiks Nr.3</w:t>
      </w:r>
    </w:p>
    <w:p w:rsidR="00C54D95" w:rsidRDefault="004069B2" w:rsidP="00143634">
      <w:pPr>
        <w:jc w:val="center"/>
        <w:rPr>
          <w:rFonts w:cs="Times New Roman"/>
        </w:rPr>
      </w:pPr>
      <w:r>
        <w:rPr>
          <w:rFonts w:cs="Times New Roman"/>
          <w:noProof/>
          <w:lang w:eastAsia="lv-LV"/>
        </w:rPr>
        <w:drawing>
          <wp:inline distT="0" distB="0" distL="0" distR="0" wp14:anchorId="3DEB3EC5" wp14:editId="04D3E21D">
            <wp:extent cx="4619710" cy="26955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8754" cy="2695017"/>
                    </a:xfrm>
                    <a:prstGeom prst="rect">
                      <a:avLst/>
                    </a:prstGeom>
                    <a:noFill/>
                  </pic:spPr>
                </pic:pic>
              </a:graphicData>
            </a:graphic>
          </wp:inline>
        </w:drawing>
      </w:r>
    </w:p>
    <w:p w:rsidR="00A07217" w:rsidRDefault="00A07217" w:rsidP="0017402A">
      <w:pPr>
        <w:ind w:firstLine="720"/>
        <w:jc w:val="both"/>
        <w:rPr>
          <w:rFonts w:cs="Times New Roman"/>
        </w:rPr>
      </w:pPr>
    </w:p>
    <w:p w:rsidR="0017402A" w:rsidRPr="000237B3" w:rsidRDefault="00D37FF3" w:rsidP="0017402A">
      <w:pPr>
        <w:ind w:firstLine="720"/>
        <w:jc w:val="both"/>
        <w:rPr>
          <w:sz w:val="28"/>
          <w:szCs w:val="28"/>
        </w:rPr>
      </w:pPr>
      <w:r w:rsidRPr="000237B3">
        <w:rPr>
          <w:rFonts w:cs="Times New Roman"/>
          <w:sz w:val="28"/>
          <w:szCs w:val="28"/>
        </w:rPr>
        <w:t xml:space="preserve">Attiecībā uz to </w:t>
      </w:r>
      <w:r w:rsidR="002D43D9" w:rsidRPr="000237B3">
        <w:rPr>
          <w:rFonts w:cs="Times New Roman"/>
          <w:sz w:val="28"/>
          <w:szCs w:val="28"/>
        </w:rPr>
        <w:t>Aģentūras</w:t>
      </w:r>
      <w:r w:rsidRPr="000237B3">
        <w:rPr>
          <w:rFonts w:cs="Times New Roman"/>
          <w:sz w:val="28"/>
          <w:szCs w:val="28"/>
        </w:rPr>
        <w:t xml:space="preserve"> valdījumā esošo apbūvēto valsts zemesgabalu daļu, kuriem pastāv tiesiski šķēršļi privatizācijas turpināšanai, ja Valsts un pašvaldību īpašuma privatizācijas un privatizācijas sertifikātu izmantošanas pabeigšanas likumā tiktu noteikts</w:t>
      </w:r>
      <w:r w:rsidRPr="000237B3">
        <w:rPr>
          <w:sz w:val="28"/>
          <w:szCs w:val="28"/>
        </w:rPr>
        <w:t xml:space="preserve"> termiņš, līdz kuram privatizācijas subjektiem jāveic darbības (</w:t>
      </w:r>
      <w:r w:rsidR="0017402A" w:rsidRPr="000237B3">
        <w:rPr>
          <w:sz w:val="28"/>
          <w:szCs w:val="28"/>
        </w:rPr>
        <w:t>piemēram, ēkas (</w:t>
      </w:r>
      <w:r w:rsidRPr="000237B3">
        <w:rPr>
          <w:sz w:val="28"/>
          <w:szCs w:val="28"/>
        </w:rPr>
        <w:t>būves</w:t>
      </w:r>
      <w:r w:rsidR="0017402A" w:rsidRPr="000237B3">
        <w:rPr>
          <w:sz w:val="28"/>
          <w:szCs w:val="28"/>
        </w:rPr>
        <w:t>)</w:t>
      </w:r>
      <w:r w:rsidRPr="000237B3">
        <w:rPr>
          <w:sz w:val="28"/>
          <w:szCs w:val="28"/>
        </w:rPr>
        <w:t xml:space="preserve"> jāieraksta zemesgrāmatā, </w:t>
      </w:r>
      <w:r w:rsidR="0017402A" w:rsidRPr="000237B3">
        <w:rPr>
          <w:sz w:val="28"/>
          <w:szCs w:val="28"/>
        </w:rPr>
        <w:t xml:space="preserve">jānovērš </w:t>
      </w:r>
      <w:r w:rsidRPr="000237B3">
        <w:rPr>
          <w:sz w:val="28"/>
          <w:szCs w:val="28"/>
        </w:rPr>
        <w:t xml:space="preserve">nelikumīgā būvniecība), </w:t>
      </w:r>
      <w:r w:rsidRPr="000237B3">
        <w:rPr>
          <w:sz w:val="28"/>
          <w:szCs w:val="28"/>
        </w:rPr>
        <w:lastRenderedPageBreak/>
        <w:t>lai privatizācijas procesu varētu turpināt, tad prognozējams, ka apbūvēto zemesgabalu patlaban neprivatizē</w:t>
      </w:r>
      <w:r w:rsidR="0017402A" w:rsidRPr="000237B3">
        <w:rPr>
          <w:sz w:val="28"/>
          <w:szCs w:val="28"/>
        </w:rPr>
        <w:t>jamā</w:t>
      </w:r>
      <w:r w:rsidRPr="000237B3">
        <w:rPr>
          <w:sz w:val="28"/>
          <w:szCs w:val="28"/>
        </w:rPr>
        <w:t xml:space="preserve"> daļa saruktu par 20-30%.</w:t>
      </w:r>
    </w:p>
    <w:p w:rsidR="00184674" w:rsidRPr="00D2746F" w:rsidRDefault="00184674" w:rsidP="00D2746F">
      <w:pPr>
        <w:pStyle w:val="Heading3"/>
      </w:pPr>
      <w:bookmarkStart w:id="6" w:name="_Toc354069796"/>
      <w:r w:rsidRPr="00D2746F">
        <w:t xml:space="preserve">Rīcība ar valsts </w:t>
      </w:r>
      <w:r w:rsidR="00ED5211" w:rsidRPr="00D2746F">
        <w:t xml:space="preserve">nekustamā </w:t>
      </w:r>
      <w:r w:rsidRPr="00D2746F">
        <w:t>īpašuma objektiem un valsts zemesgabaliem, kuriem pastāv tiesiski šķēršļi privatizācijas darbību veikšanai</w:t>
      </w:r>
      <w:bookmarkEnd w:id="6"/>
    </w:p>
    <w:p w:rsidR="00184674" w:rsidRPr="000237B3" w:rsidRDefault="00184674" w:rsidP="00184674">
      <w:pPr>
        <w:ind w:firstLine="720"/>
        <w:jc w:val="both"/>
        <w:rPr>
          <w:rFonts w:cs="Times New Roman"/>
          <w:sz w:val="28"/>
          <w:szCs w:val="28"/>
        </w:rPr>
      </w:pPr>
    </w:p>
    <w:p w:rsidR="00FB4CF2" w:rsidRPr="000237B3" w:rsidRDefault="00FB4CF2" w:rsidP="001A6873">
      <w:pPr>
        <w:ind w:firstLine="709"/>
        <w:jc w:val="both"/>
        <w:rPr>
          <w:rFonts w:cs="Times New Roman"/>
          <w:sz w:val="28"/>
          <w:szCs w:val="28"/>
        </w:rPr>
      </w:pPr>
      <w:r w:rsidRPr="000237B3">
        <w:rPr>
          <w:rFonts w:cs="Times New Roman"/>
          <w:sz w:val="28"/>
          <w:szCs w:val="28"/>
        </w:rPr>
        <w:t xml:space="preserve">Lai risinātu problēmas, kas saistītas ar ieilgušu valsts </w:t>
      </w:r>
      <w:r w:rsidR="00117B72" w:rsidRPr="000237B3">
        <w:rPr>
          <w:rFonts w:cs="Times New Roman"/>
          <w:sz w:val="28"/>
          <w:szCs w:val="28"/>
        </w:rPr>
        <w:t xml:space="preserve">nekustamā </w:t>
      </w:r>
      <w:r w:rsidRPr="000237B3">
        <w:rPr>
          <w:rFonts w:cs="Times New Roman"/>
          <w:sz w:val="28"/>
          <w:szCs w:val="28"/>
        </w:rPr>
        <w:t>īpašuma objektu un apbūvētu (neapbūvētu) zemesgabalu privatizācijas procesu, kas kavē privatizācijas mērķa sasniegšanu, nepieciešams veikt grozījumus tiesību aktos, nosakot samērīgus termiņus gan privatizācijas subjektu veicamajām darbībām</w:t>
      </w:r>
      <w:r w:rsidR="009A1F24" w:rsidRPr="000237B3">
        <w:rPr>
          <w:rFonts w:cs="Times New Roman"/>
          <w:sz w:val="28"/>
          <w:szCs w:val="28"/>
        </w:rPr>
        <w:t>.</w:t>
      </w:r>
    </w:p>
    <w:p w:rsidR="00F0085D" w:rsidRPr="000237B3" w:rsidRDefault="00AA3E8F" w:rsidP="00F0085D">
      <w:pPr>
        <w:ind w:firstLine="709"/>
        <w:jc w:val="both"/>
        <w:rPr>
          <w:rFonts w:cs="Times New Roman"/>
          <w:sz w:val="28"/>
          <w:szCs w:val="28"/>
        </w:rPr>
      </w:pPr>
      <w:r w:rsidRPr="000237B3">
        <w:rPr>
          <w:rFonts w:cs="Times New Roman"/>
          <w:sz w:val="28"/>
          <w:szCs w:val="28"/>
        </w:rPr>
        <w:t>Pamata rīcības plāns mērķa sasniegšanai paredz izdarīt grozījumus likumā „</w:t>
      </w:r>
      <w:r w:rsidRPr="000237B3">
        <w:rPr>
          <w:rFonts w:cs="Times New Roman"/>
          <w:bCs/>
          <w:sz w:val="28"/>
          <w:szCs w:val="28"/>
        </w:rPr>
        <w:t>Par valsts un pašvaldību īpašuma objektu privatizāciju”</w:t>
      </w:r>
      <w:r w:rsidR="00E523FD">
        <w:rPr>
          <w:rFonts w:cs="Times New Roman"/>
          <w:sz w:val="28"/>
          <w:szCs w:val="28"/>
        </w:rPr>
        <w:t xml:space="preserve"> un</w:t>
      </w:r>
      <w:r w:rsidRPr="000237B3">
        <w:rPr>
          <w:rFonts w:cs="Times New Roman"/>
          <w:sz w:val="28"/>
          <w:szCs w:val="28"/>
        </w:rPr>
        <w:t xml:space="preserve"> </w:t>
      </w:r>
      <w:r w:rsidRPr="000237B3">
        <w:rPr>
          <w:rFonts w:cs="Times New Roman"/>
          <w:bCs/>
          <w:sz w:val="28"/>
          <w:szCs w:val="28"/>
        </w:rPr>
        <w:t>Valsts un pašvaldību īpašuma privatizācijas un privatizācijas sertifikātu izmantošanas pabeigšanas likumā</w:t>
      </w:r>
      <w:r w:rsidR="00A11111" w:rsidRPr="000237B3">
        <w:rPr>
          <w:rFonts w:cs="Times New Roman"/>
          <w:sz w:val="28"/>
          <w:szCs w:val="28"/>
        </w:rPr>
        <w:t>, lai noteiktu, ka tiem</w:t>
      </w:r>
      <w:r w:rsidRPr="000237B3">
        <w:rPr>
          <w:rFonts w:cs="Times New Roman"/>
          <w:sz w:val="28"/>
          <w:szCs w:val="28"/>
        </w:rPr>
        <w:t xml:space="preserve"> īpašum</w:t>
      </w:r>
      <w:r w:rsidR="00A11111" w:rsidRPr="000237B3">
        <w:rPr>
          <w:rFonts w:cs="Times New Roman"/>
          <w:sz w:val="28"/>
          <w:szCs w:val="28"/>
        </w:rPr>
        <w:t>iem</w:t>
      </w:r>
      <w:r w:rsidRPr="000237B3">
        <w:rPr>
          <w:rFonts w:cs="Times New Roman"/>
          <w:sz w:val="28"/>
          <w:szCs w:val="28"/>
        </w:rPr>
        <w:t xml:space="preserve">, kuri šobrīd nav privatizējami tiesisku šķēršļu dēļ un kuru novēršana ir atkarīga no privatizācijas subjekta rīcības (piemēram, ēkas īpašuma tiesību nostiprināšana zemesgrāmatā uz privatizācijas subjekta vārda, zemesgabala nomas līguma noslēgšana, ēku īpašnieku vienošanās par zemes privatizācijas kārtību noslēgšana u.c. privatizācijas subjekta darbība vai bezdarbība, kas tieši ietekmē privatizācijas procesa gaitu) tiek noteikts termiņš, pēc kura iestāšanās privatizācijas subjekts vairs nevarētu vērsties </w:t>
      </w:r>
      <w:r w:rsidR="002D43D9" w:rsidRPr="000237B3">
        <w:rPr>
          <w:rFonts w:cs="Times New Roman"/>
          <w:sz w:val="28"/>
          <w:szCs w:val="28"/>
        </w:rPr>
        <w:t>Aģentūrā</w:t>
      </w:r>
      <w:r w:rsidRPr="000237B3">
        <w:rPr>
          <w:rFonts w:cs="Times New Roman"/>
          <w:sz w:val="28"/>
          <w:szCs w:val="28"/>
        </w:rPr>
        <w:t>, lai turpinātu privatizāciju</w:t>
      </w:r>
      <w:r w:rsidR="00A11111" w:rsidRPr="000237B3">
        <w:rPr>
          <w:rFonts w:cs="Times New Roman"/>
          <w:sz w:val="28"/>
          <w:szCs w:val="28"/>
        </w:rPr>
        <w:t>, ja privatizācijas subjekts nav novērsis trūkumus, kas kavē privatizāciju</w:t>
      </w:r>
      <w:r w:rsidRPr="000237B3">
        <w:rPr>
          <w:rFonts w:cs="Times New Roman"/>
          <w:sz w:val="28"/>
          <w:szCs w:val="28"/>
        </w:rPr>
        <w:t xml:space="preserve">. </w:t>
      </w:r>
      <w:r w:rsidR="00F0085D" w:rsidRPr="000237B3">
        <w:rPr>
          <w:rFonts w:cs="Times New Roman"/>
          <w:sz w:val="28"/>
          <w:szCs w:val="28"/>
        </w:rPr>
        <w:t xml:space="preserve">Pēc minētā termiņa iestāšanās </w:t>
      </w:r>
      <w:r w:rsidR="00CF3E6B" w:rsidRPr="000237B3">
        <w:rPr>
          <w:rFonts w:cs="Times New Roman"/>
          <w:sz w:val="28"/>
          <w:szCs w:val="28"/>
        </w:rPr>
        <w:t>Aģentūra</w:t>
      </w:r>
      <w:r w:rsidR="00F0085D" w:rsidRPr="000237B3">
        <w:rPr>
          <w:rFonts w:cs="Times New Roman"/>
          <w:sz w:val="28"/>
          <w:szCs w:val="28"/>
        </w:rPr>
        <w:t xml:space="preserve"> attiecīgi pieņems lēmumu izbeigt privatizāciju tiem apbūvētiem zemesgabaliem, kuru privatizācijai pastāv tiesiski šķēršļi. Pēc privatizācijas izbeigšanas īpašums būtu nododams citas institūcijas valdījumā atsavināšanai un atsavināms saskaņā ar Publiskas personas mantas atsavināšanas likumu. </w:t>
      </w:r>
    </w:p>
    <w:p w:rsidR="00F0085D" w:rsidRPr="000237B3" w:rsidRDefault="00F0085D" w:rsidP="00F0085D">
      <w:pPr>
        <w:ind w:firstLine="709"/>
        <w:jc w:val="both"/>
        <w:rPr>
          <w:rFonts w:cs="Times New Roman"/>
          <w:sz w:val="28"/>
          <w:szCs w:val="28"/>
        </w:rPr>
      </w:pPr>
      <w:r w:rsidRPr="000237B3">
        <w:rPr>
          <w:rFonts w:cs="Times New Roman"/>
          <w:sz w:val="28"/>
          <w:szCs w:val="28"/>
        </w:rPr>
        <w:t>Ja pamata rīcības plāna īstenošana nav iespējama, t.i.</w:t>
      </w:r>
      <w:r w:rsidR="009A1F24" w:rsidRPr="000237B3">
        <w:rPr>
          <w:rFonts w:cs="Times New Roman"/>
          <w:sz w:val="28"/>
          <w:szCs w:val="28"/>
        </w:rPr>
        <w:t>,</w:t>
      </w:r>
      <w:r w:rsidRPr="000237B3">
        <w:rPr>
          <w:rFonts w:cs="Times New Roman"/>
          <w:sz w:val="28"/>
          <w:szCs w:val="28"/>
        </w:rPr>
        <w:t xml:space="preserve"> privatizācijai netiek noteikts termiņš subjekta rīcībai, tie zemesgabali un valsts nekustamā īpašuma objekti, kas nav privatizēti līdz 2014.</w:t>
      </w:r>
      <w:r w:rsidR="000563A6" w:rsidRPr="000237B3">
        <w:rPr>
          <w:rFonts w:cs="Times New Roman"/>
          <w:sz w:val="28"/>
          <w:szCs w:val="28"/>
        </w:rPr>
        <w:t>gada 31.decembrim</w:t>
      </w:r>
      <w:r w:rsidRPr="000237B3">
        <w:rPr>
          <w:rFonts w:cs="Times New Roman"/>
          <w:sz w:val="28"/>
          <w:szCs w:val="28"/>
        </w:rPr>
        <w:t>, tiek nodoti citai institūcijai turpmāka privatizācijas procesa veikšanai saskaņā ar spēkā esošajiem normatīvajiem aktiem.</w:t>
      </w:r>
    </w:p>
    <w:p w:rsidR="00F571EE" w:rsidRDefault="00F571EE" w:rsidP="00F0085D">
      <w:pPr>
        <w:ind w:firstLine="709"/>
        <w:jc w:val="both"/>
        <w:rPr>
          <w:sz w:val="28"/>
          <w:szCs w:val="28"/>
        </w:rPr>
      </w:pPr>
    </w:p>
    <w:p w:rsidR="00745A40" w:rsidRPr="000237B3" w:rsidRDefault="004A55AA" w:rsidP="00ED5211">
      <w:pPr>
        <w:pStyle w:val="Heading2"/>
        <w:rPr>
          <w:sz w:val="28"/>
          <w:szCs w:val="28"/>
        </w:rPr>
      </w:pPr>
      <w:bookmarkStart w:id="7" w:name="_Toc354069797"/>
      <w:r w:rsidRPr="000237B3">
        <w:rPr>
          <w:sz w:val="28"/>
          <w:szCs w:val="28"/>
        </w:rPr>
        <w:t>D</w:t>
      </w:r>
      <w:r w:rsidR="00745A40" w:rsidRPr="000237B3">
        <w:rPr>
          <w:sz w:val="28"/>
          <w:szCs w:val="28"/>
        </w:rPr>
        <w:t>zīvojamo māju un dzīvokļu privatizācija, atsavināšana un pārvaldīšana</w:t>
      </w:r>
      <w:bookmarkEnd w:id="7"/>
    </w:p>
    <w:p w:rsidR="00211A61" w:rsidRPr="000237B3" w:rsidRDefault="00211A61" w:rsidP="009706FB">
      <w:pPr>
        <w:ind w:firstLine="720"/>
        <w:jc w:val="both"/>
        <w:rPr>
          <w:sz w:val="28"/>
          <w:szCs w:val="28"/>
        </w:rPr>
      </w:pPr>
    </w:p>
    <w:p w:rsidR="006D387D" w:rsidRPr="000237B3" w:rsidRDefault="009706FB" w:rsidP="009706FB">
      <w:pPr>
        <w:ind w:firstLine="720"/>
        <w:jc w:val="both"/>
        <w:rPr>
          <w:sz w:val="28"/>
          <w:szCs w:val="28"/>
        </w:rPr>
      </w:pPr>
      <w:r w:rsidRPr="000237B3">
        <w:rPr>
          <w:sz w:val="28"/>
          <w:szCs w:val="28"/>
        </w:rPr>
        <w:t xml:space="preserve">Uz </w:t>
      </w:r>
      <w:r w:rsidR="00611E9C">
        <w:rPr>
          <w:sz w:val="28"/>
          <w:szCs w:val="28"/>
        </w:rPr>
        <w:t xml:space="preserve">2013.gada 31.martu </w:t>
      </w:r>
      <w:r w:rsidR="00611E9C" w:rsidRPr="000237B3">
        <w:rPr>
          <w:rFonts w:cs="Times New Roman"/>
          <w:b/>
          <w:sz w:val="28"/>
          <w:szCs w:val="28"/>
        </w:rPr>
        <w:t>Aģentūras</w:t>
      </w:r>
      <w:r w:rsidR="00611E9C" w:rsidRPr="000237B3">
        <w:rPr>
          <w:sz w:val="28"/>
          <w:szCs w:val="28"/>
        </w:rPr>
        <w:t xml:space="preserve"> </w:t>
      </w:r>
      <w:r w:rsidR="00611E9C" w:rsidRPr="000237B3">
        <w:rPr>
          <w:b/>
          <w:sz w:val="28"/>
          <w:szCs w:val="28"/>
        </w:rPr>
        <w:t>pārvaldīšanā</w:t>
      </w:r>
      <w:r w:rsidR="00611E9C">
        <w:rPr>
          <w:b/>
          <w:sz w:val="28"/>
          <w:szCs w:val="28"/>
        </w:rPr>
        <w:t xml:space="preserve"> ir 384</w:t>
      </w:r>
      <w:r w:rsidR="00870201" w:rsidRPr="000237B3">
        <w:rPr>
          <w:rStyle w:val="FootnoteReference"/>
          <w:sz w:val="28"/>
          <w:szCs w:val="28"/>
        </w:rPr>
        <w:footnoteReference w:id="14"/>
      </w:r>
      <w:r w:rsidR="00611E9C">
        <w:rPr>
          <w:sz w:val="28"/>
          <w:szCs w:val="28"/>
        </w:rPr>
        <w:t xml:space="preserve"> </w:t>
      </w:r>
      <w:r w:rsidRPr="000237B3">
        <w:rPr>
          <w:sz w:val="28"/>
          <w:szCs w:val="28"/>
        </w:rPr>
        <w:t xml:space="preserve"> </w:t>
      </w:r>
      <w:r w:rsidR="00C853B5" w:rsidRPr="000237B3">
        <w:rPr>
          <w:b/>
          <w:sz w:val="28"/>
          <w:szCs w:val="28"/>
        </w:rPr>
        <w:t xml:space="preserve">dzīvojamās </w:t>
      </w:r>
      <w:r w:rsidRPr="000237B3">
        <w:rPr>
          <w:b/>
          <w:sz w:val="28"/>
          <w:szCs w:val="28"/>
        </w:rPr>
        <w:t>mājas</w:t>
      </w:r>
      <w:r w:rsidRPr="000237B3">
        <w:rPr>
          <w:sz w:val="28"/>
          <w:szCs w:val="28"/>
        </w:rPr>
        <w:t xml:space="preserve">, no tām </w:t>
      </w:r>
      <w:r w:rsidR="00870201" w:rsidRPr="000237B3">
        <w:rPr>
          <w:sz w:val="28"/>
          <w:szCs w:val="28"/>
        </w:rPr>
        <w:t>5</w:t>
      </w:r>
      <w:r w:rsidR="00870201">
        <w:rPr>
          <w:sz w:val="28"/>
          <w:szCs w:val="28"/>
        </w:rPr>
        <w:t>2</w:t>
      </w:r>
      <w:r w:rsidR="00870201" w:rsidRPr="000237B3">
        <w:rPr>
          <w:sz w:val="28"/>
          <w:szCs w:val="28"/>
        </w:rPr>
        <w:t xml:space="preserve"> </w:t>
      </w:r>
      <w:r w:rsidRPr="000237B3">
        <w:rPr>
          <w:sz w:val="28"/>
          <w:szCs w:val="28"/>
        </w:rPr>
        <w:t xml:space="preserve">atrodas plānveida privatizācijas procesā </w:t>
      </w:r>
      <w:r w:rsidRPr="000237B3">
        <w:rPr>
          <w:sz w:val="28"/>
          <w:szCs w:val="28"/>
        </w:rPr>
        <w:lastRenderedPageBreak/>
        <w:t xml:space="preserve">(privatizējamā daļa) un </w:t>
      </w:r>
      <w:r w:rsidR="00870201" w:rsidRPr="000237B3">
        <w:rPr>
          <w:sz w:val="28"/>
          <w:szCs w:val="28"/>
        </w:rPr>
        <w:t>35</w:t>
      </w:r>
      <w:r w:rsidR="00870201">
        <w:rPr>
          <w:sz w:val="28"/>
          <w:szCs w:val="28"/>
        </w:rPr>
        <w:t>4</w:t>
      </w:r>
      <w:r w:rsidR="00870201" w:rsidRPr="000237B3">
        <w:rPr>
          <w:sz w:val="28"/>
          <w:szCs w:val="28"/>
        </w:rPr>
        <w:t xml:space="preserve"> </w:t>
      </w:r>
      <w:r w:rsidRPr="000237B3">
        <w:rPr>
          <w:sz w:val="28"/>
          <w:szCs w:val="28"/>
        </w:rPr>
        <w:t>plānveida privatizācija ir pabeigta (neprivatizētā daļa)</w:t>
      </w:r>
      <w:r w:rsidRPr="000237B3">
        <w:rPr>
          <w:rStyle w:val="FootnoteReference"/>
          <w:sz w:val="28"/>
          <w:szCs w:val="28"/>
        </w:rPr>
        <w:footnoteReference w:id="15"/>
      </w:r>
      <w:r w:rsidR="006D387D" w:rsidRPr="000237B3">
        <w:rPr>
          <w:sz w:val="28"/>
          <w:szCs w:val="28"/>
        </w:rPr>
        <w:t xml:space="preserve">, no kurām </w:t>
      </w:r>
      <w:r w:rsidR="00870201">
        <w:rPr>
          <w:sz w:val="28"/>
          <w:szCs w:val="28"/>
        </w:rPr>
        <w:t>98</w:t>
      </w:r>
      <w:r w:rsidR="00870201" w:rsidRPr="000237B3">
        <w:rPr>
          <w:sz w:val="28"/>
          <w:szCs w:val="28"/>
        </w:rPr>
        <w:t xml:space="preserve"> </w:t>
      </w:r>
      <w:r w:rsidR="006D387D" w:rsidRPr="000237B3">
        <w:rPr>
          <w:sz w:val="28"/>
          <w:szCs w:val="28"/>
        </w:rPr>
        <w:t xml:space="preserve">dzīvojamās mājas ir privatizētas pilnībā, bet joprojām ir </w:t>
      </w:r>
      <w:r w:rsidR="00327093" w:rsidRPr="000237B3">
        <w:rPr>
          <w:sz w:val="28"/>
          <w:szCs w:val="28"/>
        </w:rPr>
        <w:t>Aģentūras</w:t>
      </w:r>
      <w:r w:rsidR="006D387D" w:rsidRPr="000237B3">
        <w:rPr>
          <w:sz w:val="28"/>
          <w:szCs w:val="28"/>
        </w:rPr>
        <w:t xml:space="preserve"> pārvaldīšanā</w:t>
      </w:r>
      <w:r w:rsidRPr="000237B3">
        <w:rPr>
          <w:sz w:val="28"/>
          <w:szCs w:val="28"/>
        </w:rPr>
        <w:t xml:space="preserve">. </w:t>
      </w:r>
    </w:p>
    <w:p w:rsidR="00F06361" w:rsidRPr="000237B3" w:rsidRDefault="00F47BAF" w:rsidP="009706FB">
      <w:pPr>
        <w:ind w:firstLine="720"/>
        <w:jc w:val="both"/>
        <w:rPr>
          <w:sz w:val="28"/>
          <w:szCs w:val="28"/>
        </w:rPr>
      </w:pPr>
      <w:r w:rsidRPr="000237B3">
        <w:rPr>
          <w:sz w:val="28"/>
          <w:szCs w:val="28"/>
        </w:rPr>
        <w:t xml:space="preserve">Uz </w:t>
      </w:r>
      <w:r w:rsidR="00870201">
        <w:rPr>
          <w:sz w:val="28"/>
          <w:szCs w:val="28"/>
        </w:rPr>
        <w:t xml:space="preserve">2013.gada 31.martu </w:t>
      </w:r>
      <w:r w:rsidR="00870201" w:rsidRPr="000237B3">
        <w:rPr>
          <w:rFonts w:cs="Times New Roman"/>
          <w:b/>
          <w:sz w:val="28"/>
          <w:szCs w:val="28"/>
        </w:rPr>
        <w:t>Aģentūras</w:t>
      </w:r>
      <w:r w:rsidR="00870201" w:rsidRPr="000237B3">
        <w:rPr>
          <w:b/>
          <w:sz w:val="28"/>
          <w:szCs w:val="28"/>
        </w:rPr>
        <w:t xml:space="preserve"> pārvaldīšanā ir </w:t>
      </w:r>
      <w:r w:rsidR="00870201">
        <w:rPr>
          <w:b/>
          <w:sz w:val="28"/>
          <w:szCs w:val="28"/>
        </w:rPr>
        <w:t>1590</w:t>
      </w:r>
      <w:r w:rsidR="00870201" w:rsidRPr="000237B3">
        <w:rPr>
          <w:rStyle w:val="FootnoteReference"/>
          <w:sz w:val="28"/>
          <w:szCs w:val="28"/>
        </w:rPr>
        <w:footnoteReference w:id="16"/>
      </w:r>
      <w:r w:rsidR="00870201" w:rsidRPr="000237B3">
        <w:rPr>
          <w:sz w:val="28"/>
          <w:szCs w:val="28"/>
        </w:rPr>
        <w:t xml:space="preserve">  </w:t>
      </w:r>
      <w:r w:rsidR="00870201" w:rsidRPr="000237B3">
        <w:rPr>
          <w:b/>
          <w:sz w:val="28"/>
          <w:szCs w:val="28"/>
        </w:rPr>
        <w:t>dzīvokļi</w:t>
      </w:r>
      <w:r w:rsidRPr="000237B3">
        <w:rPr>
          <w:sz w:val="28"/>
          <w:szCs w:val="28"/>
        </w:rPr>
        <w:t xml:space="preserve">, no kuriem </w:t>
      </w:r>
      <w:r w:rsidR="00870201">
        <w:rPr>
          <w:sz w:val="28"/>
          <w:szCs w:val="28"/>
        </w:rPr>
        <w:t>270</w:t>
      </w:r>
      <w:r w:rsidR="00870201" w:rsidRPr="000237B3">
        <w:rPr>
          <w:sz w:val="28"/>
          <w:szCs w:val="28"/>
        </w:rPr>
        <w:t xml:space="preserve"> </w:t>
      </w:r>
      <w:r w:rsidRPr="000237B3">
        <w:rPr>
          <w:sz w:val="28"/>
          <w:szCs w:val="28"/>
        </w:rPr>
        <w:t xml:space="preserve">atrodas plānveida privatizācijas procesā (privatizējamā daļa), savukārt </w:t>
      </w:r>
      <w:r w:rsidR="00870201">
        <w:rPr>
          <w:sz w:val="28"/>
          <w:szCs w:val="28"/>
        </w:rPr>
        <w:t>1320</w:t>
      </w:r>
      <w:r w:rsidR="00870201" w:rsidRPr="000237B3">
        <w:rPr>
          <w:sz w:val="28"/>
          <w:szCs w:val="28"/>
        </w:rPr>
        <w:t xml:space="preserve"> </w:t>
      </w:r>
      <w:r w:rsidRPr="000237B3">
        <w:rPr>
          <w:sz w:val="28"/>
          <w:szCs w:val="28"/>
        </w:rPr>
        <w:t>dzīvokļiem plānveida privatizācija ir pabeigta (neprivatizētā daļa – privatizācijas process pabeigts, bet personas atteikušās privatizēt dzīvokļus)</w:t>
      </w:r>
      <w:r w:rsidRPr="000237B3">
        <w:rPr>
          <w:rStyle w:val="FootnoteReference"/>
          <w:sz w:val="28"/>
          <w:szCs w:val="28"/>
        </w:rPr>
        <w:footnoteReference w:id="17"/>
      </w:r>
      <w:r w:rsidRPr="000237B3">
        <w:rPr>
          <w:sz w:val="28"/>
          <w:szCs w:val="28"/>
        </w:rPr>
        <w:t xml:space="preserve">. </w:t>
      </w:r>
    </w:p>
    <w:p w:rsidR="00F47BAF" w:rsidRPr="000237B3" w:rsidRDefault="00870201" w:rsidP="009706FB">
      <w:pPr>
        <w:ind w:firstLine="720"/>
        <w:jc w:val="both"/>
        <w:rPr>
          <w:sz w:val="28"/>
          <w:szCs w:val="28"/>
        </w:rPr>
      </w:pPr>
      <w:r w:rsidRPr="000237B3">
        <w:rPr>
          <w:sz w:val="28"/>
          <w:szCs w:val="28"/>
        </w:rPr>
        <w:t xml:space="preserve">Uz </w:t>
      </w:r>
      <w:r>
        <w:rPr>
          <w:sz w:val="28"/>
          <w:szCs w:val="28"/>
        </w:rPr>
        <w:t>2013.gada 31.martu a</w:t>
      </w:r>
      <w:r w:rsidR="00F47BAF" w:rsidRPr="000237B3">
        <w:rPr>
          <w:sz w:val="28"/>
          <w:szCs w:val="28"/>
        </w:rPr>
        <w:t xml:space="preserve">ttiecīgi </w:t>
      </w:r>
      <w:r>
        <w:rPr>
          <w:sz w:val="28"/>
          <w:szCs w:val="28"/>
        </w:rPr>
        <w:t>1068</w:t>
      </w:r>
      <w:r w:rsidRPr="000237B3">
        <w:rPr>
          <w:sz w:val="28"/>
          <w:szCs w:val="28"/>
        </w:rPr>
        <w:t xml:space="preserve"> </w:t>
      </w:r>
      <w:r w:rsidR="00F47BAF" w:rsidRPr="000237B3">
        <w:rPr>
          <w:sz w:val="28"/>
          <w:szCs w:val="28"/>
        </w:rPr>
        <w:t xml:space="preserve">dzīvokļi ir </w:t>
      </w:r>
      <w:r w:rsidR="002D43D9" w:rsidRPr="000237B3">
        <w:rPr>
          <w:rFonts w:cs="Times New Roman"/>
          <w:sz w:val="28"/>
          <w:szCs w:val="28"/>
        </w:rPr>
        <w:t>Aģentūras</w:t>
      </w:r>
      <w:r w:rsidR="00F47BAF" w:rsidRPr="000237B3">
        <w:rPr>
          <w:sz w:val="28"/>
          <w:szCs w:val="28"/>
        </w:rPr>
        <w:t xml:space="preserve"> pārvaldītajās mājas un </w:t>
      </w:r>
      <w:r>
        <w:rPr>
          <w:sz w:val="28"/>
          <w:szCs w:val="28"/>
        </w:rPr>
        <w:t>522</w:t>
      </w:r>
      <w:r w:rsidRPr="000237B3">
        <w:rPr>
          <w:sz w:val="28"/>
          <w:szCs w:val="28"/>
        </w:rPr>
        <w:t xml:space="preserve"> </w:t>
      </w:r>
      <w:r w:rsidR="00F47BAF" w:rsidRPr="000237B3">
        <w:rPr>
          <w:sz w:val="28"/>
          <w:szCs w:val="28"/>
        </w:rPr>
        <w:t>dzīvokļi privātīpašnieku pārvaldītajās mājās.</w:t>
      </w:r>
    </w:p>
    <w:p w:rsidR="009706FB" w:rsidRPr="000237B3" w:rsidRDefault="009706FB" w:rsidP="009706FB">
      <w:pPr>
        <w:ind w:firstLine="720"/>
        <w:jc w:val="both"/>
        <w:rPr>
          <w:bCs/>
          <w:sz w:val="28"/>
          <w:szCs w:val="28"/>
        </w:rPr>
      </w:pPr>
      <w:r w:rsidRPr="000237B3">
        <w:rPr>
          <w:sz w:val="28"/>
          <w:szCs w:val="28"/>
        </w:rPr>
        <w:t xml:space="preserve">Kopā no </w:t>
      </w:r>
      <w:r w:rsidRPr="000237B3">
        <w:rPr>
          <w:bCs/>
          <w:sz w:val="28"/>
          <w:szCs w:val="28"/>
        </w:rPr>
        <w:t xml:space="preserve">Būvniecības, enerģētikas un mājokļu valsts aģentūras </w:t>
      </w:r>
      <w:r w:rsidR="002D43D9" w:rsidRPr="000237B3">
        <w:rPr>
          <w:rFonts w:cs="Times New Roman"/>
          <w:sz w:val="28"/>
          <w:szCs w:val="28"/>
        </w:rPr>
        <w:t>Aģentūra</w:t>
      </w:r>
      <w:r w:rsidRPr="000237B3">
        <w:rPr>
          <w:sz w:val="28"/>
          <w:szCs w:val="28"/>
        </w:rPr>
        <w:t xml:space="preserve"> valdījumā ir pārņēmusi </w:t>
      </w:r>
      <w:r w:rsidRPr="000237B3">
        <w:rPr>
          <w:bCs/>
          <w:sz w:val="28"/>
          <w:szCs w:val="28"/>
        </w:rPr>
        <w:t>613 dzīvojamās mājas, kā arī 2591 valsts dzīvokļa īpašumus, attiecīgi</w:t>
      </w:r>
      <w:r w:rsidRPr="000237B3">
        <w:rPr>
          <w:sz w:val="28"/>
          <w:szCs w:val="28"/>
        </w:rPr>
        <w:t xml:space="preserve"> 2009.gadā </w:t>
      </w:r>
      <w:r w:rsidR="00327093" w:rsidRPr="000237B3">
        <w:rPr>
          <w:sz w:val="28"/>
          <w:szCs w:val="28"/>
        </w:rPr>
        <w:t>Aģentūra</w:t>
      </w:r>
      <w:r w:rsidRPr="000237B3">
        <w:rPr>
          <w:sz w:val="28"/>
          <w:szCs w:val="28"/>
        </w:rPr>
        <w:t xml:space="preserve"> pārņēma valdījumā 515 dzīvojamās mājas, bet 2010.gadā vēl 98 dzīvojamās mājas. 2009.gadā </w:t>
      </w:r>
      <w:r w:rsidR="002D43D9" w:rsidRPr="000237B3">
        <w:rPr>
          <w:rFonts w:cs="Times New Roman"/>
          <w:sz w:val="28"/>
          <w:szCs w:val="28"/>
        </w:rPr>
        <w:t>Aģentūra</w:t>
      </w:r>
      <w:r w:rsidRPr="000237B3">
        <w:rPr>
          <w:sz w:val="28"/>
          <w:szCs w:val="28"/>
        </w:rPr>
        <w:t xml:space="preserve"> pārņēma valdījumā 2279 valsts dzīvokļu īpašumus, bet 2010.gadā vēl 312 valsts dzīvokļu īpašumus</w:t>
      </w:r>
      <w:r w:rsidRPr="000237B3">
        <w:rPr>
          <w:bCs/>
          <w:sz w:val="28"/>
          <w:szCs w:val="28"/>
        </w:rPr>
        <w:t>. 2011.gadā no dažādām institūcijām vēl tika pārņemtas 6 dzīvojamās mājas, un 8 dzīvokļu īpašumi.</w:t>
      </w:r>
      <w:r w:rsidR="00F06361" w:rsidRPr="000237B3">
        <w:rPr>
          <w:bCs/>
          <w:sz w:val="28"/>
          <w:szCs w:val="28"/>
        </w:rPr>
        <w:t xml:space="preserve"> 2012.gadā tika pārņemtas </w:t>
      </w:r>
      <w:r w:rsidR="007B0334" w:rsidRPr="000237B3">
        <w:rPr>
          <w:bCs/>
          <w:sz w:val="28"/>
          <w:szCs w:val="28"/>
        </w:rPr>
        <w:t xml:space="preserve">12 </w:t>
      </w:r>
      <w:r w:rsidR="00F06361" w:rsidRPr="000237B3">
        <w:rPr>
          <w:bCs/>
          <w:sz w:val="28"/>
          <w:szCs w:val="28"/>
        </w:rPr>
        <w:t>dzīvojamās mājas</w:t>
      </w:r>
      <w:r w:rsidR="007B0334" w:rsidRPr="000237B3">
        <w:rPr>
          <w:bCs/>
          <w:sz w:val="28"/>
          <w:szCs w:val="28"/>
        </w:rPr>
        <w:t xml:space="preserve"> (vai dzīvojamām mājām funkcionāli nepieciešamie zemesgabali)</w:t>
      </w:r>
      <w:r w:rsidR="00F06361" w:rsidRPr="000237B3">
        <w:rPr>
          <w:bCs/>
          <w:sz w:val="28"/>
          <w:szCs w:val="28"/>
        </w:rPr>
        <w:t xml:space="preserve"> un </w:t>
      </w:r>
      <w:r w:rsidR="007B0334" w:rsidRPr="000237B3">
        <w:rPr>
          <w:bCs/>
          <w:sz w:val="28"/>
          <w:szCs w:val="28"/>
        </w:rPr>
        <w:t xml:space="preserve">8 </w:t>
      </w:r>
      <w:r w:rsidR="00F06361" w:rsidRPr="000237B3">
        <w:rPr>
          <w:bCs/>
          <w:sz w:val="28"/>
          <w:szCs w:val="28"/>
        </w:rPr>
        <w:t xml:space="preserve">dzīvokļu īpašumi. </w:t>
      </w:r>
      <w:r w:rsidR="00B26300" w:rsidRPr="00B26300">
        <w:rPr>
          <w:bCs/>
          <w:sz w:val="28"/>
          <w:szCs w:val="28"/>
        </w:rPr>
        <w:t xml:space="preserve">2013.gada </w:t>
      </w:r>
      <w:r w:rsidR="00B26300">
        <w:rPr>
          <w:bCs/>
          <w:sz w:val="28"/>
          <w:szCs w:val="28"/>
        </w:rPr>
        <w:t xml:space="preserve">I </w:t>
      </w:r>
      <w:r w:rsidR="00B26300" w:rsidRPr="00B26300">
        <w:rPr>
          <w:bCs/>
          <w:sz w:val="28"/>
          <w:szCs w:val="28"/>
        </w:rPr>
        <w:t>ceturksnī Aģentūras valdījumā pārņemtas 3 dzīvojamās mājas vai to domājamās daļas un 7 dzīvokļa īpašumi vai to domājamās daļas.</w:t>
      </w:r>
    </w:p>
    <w:p w:rsidR="00004894" w:rsidRPr="000237B3" w:rsidRDefault="00004894" w:rsidP="009706FB">
      <w:pPr>
        <w:ind w:firstLine="720"/>
        <w:jc w:val="both"/>
        <w:rPr>
          <w:b/>
          <w:sz w:val="28"/>
          <w:szCs w:val="28"/>
        </w:rPr>
      </w:pPr>
    </w:p>
    <w:p w:rsidR="009706FB" w:rsidRPr="000237B3" w:rsidRDefault="009706FB" w:rsidP="009706FB">
      <w:pPr>
        <w:ind w:firstLine="720"/>
        <w:jc w:val="both"/>
        <w:rPr>
          <w:b/>
          <w:sz w:val="28"/>
          <w:szCs w:val="28"/>
        </w:rPr>
      </w:pPr>
      <w:r w:rsidRPr="000237B3">
        <w:rPr>
          <w:b/>
          <w:sz w:val="28"/>
          <w:szCs w:val="28"/>
        </w:rPr>
        <w:t>Dzīvojamā fonda dinamiku ietekmē šādi paralēli procesi:</w:t>
      </w:r>
    </w:p>
    <w:p w:rsidR="00004894" w:rsidRPr="000237B3" w:rsidRDefault="007F5DE0" w:rsidP="00004894">
      <w:pPr>
        <w:ind w:firstLine="720"/>
        <w:jc w:val="both"/>
        <w:rPr>
          <w:sz w:val="28"/>
          <w:szCs w:val="28"/>
        </w:rPr>
      </w:pPr>
      <w:r w:rsidRPr="000237B3">
        <w:rPr>
          <w:sz w:val="28"/>
          <w:szCs w:val="28"/>
        </w:rPr>
        <w:t xml:space="preserve">Plānveida privatizācijas procesā esošā portfeļa daļas dinamiku ietekmē konstatētās problēmas dzīvojamo māju sagatavošanā privatizācijai un privatizācijas procesā – patvaļīgā būvniecība  3 dzīvojamās mājās, grozījumu Ministru kabineta rīkojumos nepieciešamība </w:t>
      </w:r>
      <w:r w:rsidR="007B0334" w:rsidRPr="000237B3">
        <w:rPr>
          <w:sz w:val="28"/>
          <w:szCs w:val="28"/>
        </w:rPr>
        <w:t xml:space="preserve">2 </w:t>
      </w:r>
      <w:r w:rsidRPr="000237B3">
        <w:rPr>
          <w:sz w:val="28"/>
          <w:szCs w:val="28"/>
        </w:rPr>
        <w:t>dzīvojamām mājām</w:t>
      </w:r>
      <w:r w:rsidR="00CA0F1E" w:rsidRPr="000237B3">
        <w:rPr>
          <w:sz w:val="28"/>
          <w:szCs w:val="28"/>
        </w:rPr>
        <w:t xml:space="preserve"> (</w:t>
      </w:r>
      <w:r w:rsidR="007B0334" w:rsidRPr="000237B3">
        <w:rPr>
          <w:sz w:val="28"/>
          <w:szCs w:val="28"/>
        </w:rPr>
        <w:t>abi</w:t>
      </w:r>
      <w:r w:rsidR="00CA0F1E" w:rsidRPr="000237B3">
        <w:rPr>
          <w:sz w:val="28"/>
          <w:szCs w:val="28"/>
        </w:rPr>
        <w:t xml:space="preserve"> </w:t>
      </w:r>
      <w:r w:rsidR="00CF6D05">
        <w:rPr>
          <w:sz w:val="28"/>
          <w:szCs w:val="28"/>
        </w:rPr>
        <w:t xml:space="preserve">uz 2013.gada 31.martu </w:t>
      </w:r>
      <w:r w:rsidR="00CA0F1E" w:rsidRPr="000237B3">
        <w:rPr>
          <w:sz w:val="28"/>
          <w:szCs w:val="28"/>
        </w:rPr>
        <w:t xml:space="preserve">ir </w:t>
      </w:r>
      <w:r w:rsidR="00CF6D05">
        <w:rPr>
          <w:sz w:val="28"/>
          <w:szCs w:val="28"/>
        </w:rPr>
        <w:t>saskaņoti un nosūtīti izskatīšanai Ministru kabineta sēdē</w:t>
      </w:r>
      <w:r w:rsidR="00CA0F1E" w:rsidRPr="000237B3">
        <w:rPr>
          <w:sz w:val="28"/>
          <w:szCs w:val="28"/>
        </w:rPr>
        <w:t>)</w:t>
      </w:r>
      <w:r w:rsidRPr="000237B3">
        <w:rPr>
          <w:sz w:val="28"/>
          <w:szCs w:val="28"/>
        </w:rPr>
        <w:t>, dokumentu neesamība par būvju nodošanu ekspluatācijā 2 dzīvojamām mājām, problēmas ar būvju identificēšanu dabā 1 objektam, nesakārtots iemitināto personu un īrnieku tiesiskais statuss  5 dzīvojamās mājās, ēku neatbilstošais statuss 2 dzīvojamām mājām, kopīpašuma sadales problēmas  4 dzīvojamās mājās, tiesvedība par  koplietošanas telpu statusu</w:t>
      </w:r>
      <w:r w:rsidR="007B0334" w:rsidRPr="000237B3">
        <w:rPr>
          <w:sz w:val="28"/>
          <w:szCs w:val="28"/>
        </w:rPr>
        <w:t xml:space="preserve">, grozījumu nepieciešamība par svītrošanu no privatizējamo dzīvojamo māju saraksta un nodošanu atsavināšanai – 1 dzīvojamai mājai. </w:t>
      </w:r>
    </w:p>
    <w:p w:rsidR="00004894" w:rsidRPr="000237B3" w:rsidRDefault="007F5DE0" w:rsidP="00004894">
      <w:pPr>
        <w:ind w:firstLine="720"/>
        <w:jc w:val="both"/>
        <w:rPr>
          <w:sz w:val="28"/>
          <w:szCs w:val="28"/>
        </w:rPr>
      </w:pPr>
      <w:r w:rsidRPr="000237B3">
        <w:rPr>
          <w:sz w:val="28"/>
          <w:szCs w:val="28"/>
        </w:rPr>
        <w:t>Attiecībā uz neprivatizēto daļu jānodrošina dažādās privatizācijas procesa stadijās esošo objektu privatizācijas pabeigšana. Aktīvo privatizācijas procesu plānots pabeigt  līdz 2014.</w:t>
      </w:r>
      <w:r w:rsidR="000563A6" w:rsidRPr="000237B3">
        <w:rPr>
          <w:sz w:val="28"/>
          <w:szCs w:val="28"/>
        </w:rPr>
        <w:t>gada 31.decembrim</w:t>
      </w:r>
      <w:r w:rsidRPr="000237B3">
        <w:rPr>
          <w:sz w:val="28"/>
          <w:szCs w:val="28"/>
        </w:rPr>
        <w:t xml:space="preserve">, līdz </w:t>
      </w:r>
      <w:r w:rsidRPr="000237B3">
        <w:rPr>
          <w:sz w:val="28"/>
          <w:szCs w:val="28"/>
        </w:rPr>
        <w:lastRenderedPageBreak/>
        <w:t xml:space="preserve">ar to pēc </w:t>
      </w:r>
      <w:r w:rsidR="002D43D9" w:rsidRPr="000237B3">
        <w:rPr>
          <w:rFonts w:cs="Times New Roman"/>
          <w:sz w:val="28"/>
          <w:szCs w:val="28"/>
        </w:rPr>
        <w:t>Aģentūras</w:t>
      </w:r>
      <w:r w:rsidRPr="000237B3">
        <w:rPr>
          <w:sz w:val="28"/>
          <w:szCs w:val="28"/>
        </w:rPr>
        <w:t xml:space="preserve"> darbības izbeigšanas</w:t>
      </w:r>
      <w:r w:rsidR="0028495D" w:rsidRPr="000237B3">
        <w:rPr>
          <w:sz w:val="28"/>
          <w:szCs w:val="28"/>
        </w:rPr>
        <w:t xml:space="preserve"> </w:t>
      </w:r>
      <w:r w:rsidRPr="000237B3">
        <w:rPr>
          <w:sz w:val="28"/>
          <w:szCs w:val="28"/>
        </w:rPr>
        <w:t>privatizācijas līgumu izpildes kontrol</w:t>
      </w:r>
      <w:r w:rsidR="006A6868" w:rsidRPr="000237B3">
        <w:rPr>
          <w:sz w:val="28"/>
          <w:szCs w:val="28"/>
        </w:rPr>
        <w:t>i</w:t>
      </w:r>
      <w:r w:rsidRPr="000237B3">
        <w:rPr>
          <w:sz w:val="28"/>
          <w:szCs w:val="28"/>
        </w:rPr>
        <w:t>, paātrināti privatizēto dzīvokļu pirkumu līgumu slēgšan</w:t>
      </w:r>
      <w:r w:rsidR="006A6868" w:rsidRPr="000237B3">
        <w:rPr>
          <w:sz w:val="28"/>
          <w:szCs w:val="28"/>
        </w:rPr>
        <w:t>u</w:t>
      </w:r>
      <w:r w:rsidRPr="000237B3">
        <w:rPr>
          <w:sz w:val="28"/>
          <w:szCs w:val="28"/>
        </w:rPr>
        <w:t>, un valstij nodibinātās ķīlas tiesību dzēšanu paredzēts nodot citai institūcijai.</w:t>
      </w:r>
    </w:p>
    <w:p w:rsidR="00004894" w:rsidRPr="000237B3" w:rsidRDefault="007F5DE0" w:rsidP="00004894">
      <w:pPr>
        <w:ind w:firstLine="720"/>
        <w:jc w:val="both"/>
        <w:rPr>
          <w:sz w:val="28"/>
          <w:szCs w:val="28"/>
        </w:rPr>
      </w:pPr>
      <w:r w:rsidRPr="000237B3">
        <w:rPr>
          <w:sz w:val="28"/>
          <w:szCs w:val="28"/>
        </w:rPr>
        <w:t>Neprivatizēt</w:t>
      </w:r>
      <w:r w:rsidR="00EF23DB" w:rsidRPr="000237B3">
        <w:rPr>
          <w:sz w:val="28"/>
          <w:szCs w:val="28"/>
        </w:rPr>
        <w:t>o</w:t>
      </w:r>
      <w:r w:rsidRPr="000237B3">
        <w:rPr>
          <w:sz w:val="28"/>
          <w:szCs w:val="28"/>
        </w:rPr>
        <w:t xml:space="preserve"> daļ</w:t>
      </w:r>
      <w:r w:rsidR="00EF23DB" w:rsidRPr="000237B3">
        <w:rPr>
          <w:sz w:val="28"/>
          <w:szCs w:val="28"/>
        </w:rPr>
        <w:t>u</w:t>
      </w:r>
      <w:r w:rsidRPr="000237B3">
        <w:rPr>
          <w:sz w:val="28"/>
          <w:szCs w:val="28"/>
        </w:rPr>
        <w:t xml:space="preserve"> jāpiedāvā pašvaldībām pārņemt savā īpašumā un pārvaldīšanā. </w:t>
      </w:r>
      <w:r w:rsidR="00EF23DB" w:rsidRPr="000237B3">
        <w:rPr>
          <w:sz w:val="28"/>
          <w:szCs w:val="28"/>
        </w:rPr>
        <w:t>Līdz 2014.</w:t>
      </w:r>
      <w:r w:rsidR="000563A6" w:rsidRPr="000237B3">
        <w:rPr>
          <w:sz w:val="28"/>
          <w:szCs w:val="28"/>
        </w:rPr>
        <w:t>gada 31.decembrim</w:t>
      </w:r>
      <w:r w:rsidR="00EF23DB" w:rsidRPr="000237B3">
        <w:rPr>
          <w:sz w:val="28"/>
          <w:szCs w:val="28"/>
        </w:rPr>
        <w:t xml:space="preserve"> plānots pabeigt (š</w:t>
      </w:r>
      <w:r w:rsidRPr="000237B3">
        <w:rPr>
          <w:sz w:val="28"/>
          <w:szCs w:val="28"/>
        </w:rPr>
        <w:t>obrīd vēl privatizējamās daļas</w:t>
      </w:r>
      <w:r w:rsidR="00EF23DB" w:rsidRPr="000237B3">
        <w:rPr>
          <w:sz w:val="28"/>
          <w:szCs w:val="28"/>
        </w:rPr>
        <w:t>)</w:t>
      </w:r>
      <w:r w:rsidRPr="000237B3">
        <w:rPr>
          <w:sz w:val="28"/>
          <w:szCs w:val="28"/>
        </w:rPr>
        <w:t xml:space="preserve"> neprivatizēto dzīvokļu piedāvāšanu pašvaldībām un attiecībā uz šobrīd neprivatizētajiem dzīvokļiem nodošanas procesu pabeigt līdz 2014.</w:t>
      </w:r>
      <w:r w:rsidR="000563A6" w:rsidRPr="000237B3">
        <w:rPr>
          <w:sz w:val="28"/>
          <w:szCs w:val="28"/>
        </w:rPr>
        <w:t>gada 31.decembrim</w:t>
      </w:r>
      <w:r w:rsidRPr="000237B3">
        <w:rPr>
          <w:sz w:val="28"/>
          <w:szCs w:val="28"/>
        </w:rPr>
        <w:t xml:space="preserve"> Savukārt attiecībā uz nākotnē neprivatizētās daļas dzīvokļiem šo procesu pl</w:t>
      </w:r>
      <w:r w:rsidR="00004894" w:rsidRPr="000237B3">
        <w:rPr>
          <w:sz w:val="28"/>
          <w:szCs w:val="28"/>
        </w:rPr>
        <w:t>ānots nodot citai institūcijai.</w:t>
      </w:r>
    </w:p>
    <w:p w:rsidR="00004894" w:rsidRPr="000237B3" w:rsidRDefault="007F5DE0" w:rsidP="00004894">
      <w:pPr>
        <w:ind w:firstLine="720"/>
        <w:jc w:val="both"/>
        <w:rPr>
          <w:sz w:val="28"/>
          <w:szCs w:val="28"/>
        </w:rPr>
      </w:pPr>
      <w:r w:rsidRPr="000237B3">
        <w:rPr>
          <w:sz w:val="28"/>
          <w:szCs w:val="28"/>
        </w:rPr>
        <w:t>Pašvaldību nepārņemtie neprivatizētie tukšie dzīvokļi jānodod atsavināšanai. Jāņem vērā, ka šis process ir dinamisks, jo šādu dzīvokļu statuss ir atkarīgs no īres attiecību izbeigšanās brīža, ka</w:t>
      </w:r>
      <w:r w:rsidR="00004894" w:rsidRPr="000237B3">
        <w:rPr>
          <w:sz w:val="28"/>
          <w:szCs w:val="28"/>
        </w:rPr>
        <w:t xml:space="preserve">s var iestāties jebkurā brīdī. </w:t>
      </w:r>
    </w:p>
    <w:p w:rsidR="00004894" w:rsidRPr="000237B3" w:rsidRDefault="007F5DE0" w:rsidP="00004894">
      <w:pPr>
        <w:ind w:firstLine="720"/>
        <w:jc w:val="both"/>
        <w:rPr>
          <w:sz w:val="28"/>
          <w:szCs w:val="28"/>
        </w:rPr>
      </w:pPr>
      <w:r w:rsidRPr="000237B3">
        <w:rPr>
          <w:sz w:val="28"/>
          <w:szCs w:val="28"/>
        </w:rPr>
        <w:t xml:space="preserve">Uz </w:t>
      </w:r>
      <w:r w:rsidR="0073428E">
        <w:rPr>
          <w:sz w:val="28"/>
          <w:szCs w:val="28"/>
        </w:rPr>
        <w:t xml:space="preserve">2013.gada 31.martu </w:t>
      </w:r>
      <w:r w:rsidR="0073428E" w:rsidRPr="000237B3">
        <w:rPr>
          <w:sz w:val="28"/>
          <w:szCs w:val="28"/>
        </w:rPr>
        <w:t>ar Ministru kabineta rīkojumiem atsavināšanai ir nodot</w:t>
      </w:r>
      <w:r w:rsidR="0073428E">
        <w:rPr>
          <w:sz w:val="28"/>
          <w:szCs w:val="28"/>
        </w:rPr>
        <w:t>s</w:t>
      </w:r>
      <w:r w:rsidR="0073428E" w:rsidRPr="000237B3">
        <w:rPr>
          <w:sz w:val="28"/>
          <w:szCs w:val="28"/>
        </w:rPr>
        <w:t xml:space="preserve"> </w:t>
      </w:r>
      <w:r w:rsidR="0073428E">
        <w:rPr>
          <w:sz w:val="28"/>
          <w:szCs w:val="28"/>
        </w:rPr>
        <w:t>221</w:t>
      </w:r>
      <w:r w:rsidR="0073428E" w:rsidRPr="000237B3">
        <w:rPr>
          <w:sz w:val="28"/>
          <w:szCs w:val="28"/>
        </w:rPr>
        <w:t xml:space="preserve"> dzīvokļa īpašum</w:t>
      </w:r>
      <w:r w:rsidR="0073428E">
        <w:rPr>
          <w:sz w:val="28"/>
          <w:szCs w:val="28"/>
        </w:rPr>
        <w:t>s</w:t>
      </w:r>
      <w:r w:rsidRPr="000237B3">
        <w:rPr>
          <w:sz w:val="28"/>
          <w:szCs w:val="28"/>
        </w:rPr>
        <w:t xml:space="preserve">, no kuriem 161 ir neprivatizēti dzīvokļu </w:t>
      </w:r>
      <w:r w:rsidR="0073428E" w:rsidRPr="000237B3">
        <w:rPr>
          <w:sz w:val="28"/>
          <w:szCs w:val="28"/>
        </w:rPr>
        <w:t>īpašum</w:t>
      </w:r>
      <w:r w:rsidR="0073428E">
        <w:rPr>
          <w:sz w:val="28"/>
          <w:szCs w:val="28"/>
        </w:rPr>
        <w:t>s</w:t>
      </w:r>
      <w:r w:rsidR="0073428E" w:rsidRPr="000237B3">
        <w:rPr>
          <w:sz w:val="28"/>
          <w:szCs w:val="28"/>
        </w:rPr>
        <w:t xml:space="preserve"> </w:t>
      </w:r>
      <w:r w:rsidRPr="000237B3">
        <w:rPr>
          <w:sz w:val="28"/>
          <w:szCs w:val="28"/>
        </w:rPr>
        <w:t xml:space="preserve">un </w:t>
      </w:r>
      <w:r w:rsidR="0073428E">
        <w:rPr>
          <w:sz w:val="28"/>
          <w:szCs w:val="28"/>
        </w:rPr>
        <w:t>60</w:t>
      </w:r>
      <w:r w:rsidR="0073428E" w:rsidRPr="000237B3">
        <w:rPr>
          <w:sz w:val="28"/>
          <w:szCs w:val="28"/>
        </w:rPr>
        <w:t xml:space="preserve"> </w:t>
      </w:r>
      <w:r w:rsidRPr="000237B3">
        <w:rPr>
          <w:sz w:val="28"/>
          <w:szCs w:val="28"/>
        </w:rPr>
        <w:t>bezmantinieka manta</w:t>
      </w:r>
      <w:r w:rsidR="0028495D" w:rsidRPr="000237B3">
        <w:rPr>
          <w:sz w:val="28"/>
          <w:szCs w:val="28"/>
        </w:rPr>
        <w:t>,</w:t>
      </w:r>
      <w:r w:rsidRPr="000237B3">
        <w:rPr>
          <w:sz w:val="28"/>
          <w:szCs w:val="28"/>
        </w:rPr>
        <w:t xml:space="preserve"> no kuras </w:t>
      </w:r>
      <w:r w:rsidR="0073428E" w:rsidRPr="000237B3">
        <w:rPr>
          <w:sz w:val="28"/>
          <w:szCs w:val="28"/>
        </w:rPr>
        <w:t>2</w:t>
      </w:r>
      <w:r w:rsidR="0073428E">
        <w:rPr>
          <w:sz w:val="28"/>
          <w:szCs w:val="28"/>
        </w:rPr>
        <w:t>5</w:t>
      </w:r>
      <w:r w:rsidR="0073428E" w:rsidRPr="000237B3">
        <w:rPr>
          <w:sz w:val="28"/>
          <w:szCs w:val="28"/>
        </w:rPr>
        <w:t xml:space="preserve"> </w:t>
      </w:r>
      <w:r w:rsidRPr="000237B3">
        <w:rPr>
          <w:sz w:val="28"/>
          <w:szCs w:val="28"/>
        </w:rPr>
        <w:t>(</w:t>
      </w:r>
      <w:r w:rsidR="0073428E" w:rsidRPr="000237B3">
        <w:rPr>
          <w:sz w:val="28"/>
          <w:szCs w:val="28"/>
        </w:rPr>
        <w:t>1</w:t>
      </w:r>
      <w:r w:rsidR="0073428E">
        <w:rPr>
          <w:sz w:val="28"/>
          <w:szCs w:val="28"/>
        </w:rPr>
        <w:t>1</w:t>
      </w:r>
      <w:r w:rsidR="0073428E" w:rsidRPr="000237B3">
        <w:rPr>
          <w:sz w:val="28"/>
          <w:szCs w:val="28"/>
        </w:rPr>
        <w:t xml:space="preserve"> </w:t>
      </w:r>
      <w:r w:rsidRPr="000237B3">
        <w:rPr>
          <w:sz w:val="28"/>
          <w:szCs w:val="28"/>
        </w:rPr>
        <w:t xml:space="preserve">mājas un </w:t>
      </w:r>
      <w:r w:rsidR="0073428E" w:rsidRPr="000237B3">
        <w:rPr>
          <w:sz w:val="28"/>
          <w:szCs w:val="28"/>
        </w:rPr>
        <w:t>1</w:t>
      </w:r>
      <w:r w:rsidR="0073428E">
        <w:rPr>
          <w:sz w:val="28"/>
          <w:szCs w:val="28"/>
        </w:rPr>
        <w:t>4</w:t>
      </w:r>
      <w:r w:rsidR="0073428E" w:rsidRPr="000237B3">
        <w:rPr>
          <w:sz w:val="28"/>
          <w:szCs w:val="28"/>
        </w:rPr>
        <w:t xml:space="preserve"> </w:t>
      </w:r>
      <w:r w:rsidRPr="000237B3">
        <w:rPr>
          <w:sz w:val="28"/>
          <w:szCs w:val="28"/>
        </w:rPr>
        <w:t>dzīvokļi) vēl jāpārņem valdījumā. Lielākā daļa neprivatizēto dzīvokļa īpašumu ir ļoti sliktā tehniskā stāvoklī Latvijas reģionos ar ļoti mazaktīvu dzīvokļu īpašumu tirgu un tie nav tirgū pieprasīti, kas faktisk</w:t>
      </w:r>
      <w:r w:rsidR="00004894" w:rsidRPr="000237B3">
        <w:rPr>
          <w:sz w:val="28"/>
          <w:szCs w:val="28"/>
        </w:rPr>
        <w:t>i rada problēmas to pārdošanai.</w:t>
      </w:r>
    </w:p>
    <w:p w:rsidR="0073428E" w:rsidRPr="0073428E" w:rsidRDefault="007F5DE0" w:rsidP="0073428E">
      <w:pPr>
        <w:ind w:firstLine="720"/>
        <w:jc w:val="both"/>
        <w:rPr>
          <w:sz w:val="28"/>
          <w:szCs w:val="28"/>
        </w:rPr>
      </w:pPr>
      <w:r w:rsidRPr="000237B3">
        <w:rPr>
          <w:sz w:val="28"/>
          <w:szCs w:val="28"/>
        </w:rPr>
        <w:t xml:space="preserve">Mājās, kurās visi dzīvokļi ir privāti, kopskaitā uz </w:t>
      </w:r>
      <w:r w:rsidR="0073428E">
        <w:rPr>
          <w:sz w:val="28"/>
          <w:szCs w:val="28"/>
        </w:rPr>
        <w:t xml:space="preserve">2013.gada 31.martu </w:t>
      </w:r>
      <w:r w:rsidRPr="000237B3">
        <w:rPr>
          <w:sz w:val="28"/>
          <w:szCs w:val="28"/>
        </w:rPr>
        <w:t xml:space="preserve">no neprivatizētās daļas tādas ir </w:t>
      </w:r>
      <w:r w:rsidR="0073428E">
        <w:rPr>
          <w:sz w:val="28"/>
          <w:szCs w:val="28"/>
        </w:rPr>
        <w:t xml:space="preserve">98 </w:t>
      </w:r>
      <w:r w:rsidRPr="000237B3">
        <w:rPr>
          <w:sz w:val="28"/>
          <w:szCs w:val="28"/>
        </w:rPr>
        <w:t>mājas, jāpiedāvā pārņemt /jānodod privātīpašniekiem māju pārvaldīšanas tiesības.</w:t>
      </w:r>
      <w:r w:rsidR="0073428E">
        <w:rPr>
          <w:sz w:val="28"/>
          <w:szCs w:val="28"/>
        </w:rPr>
        <w:t xml:space="preserve"> </w:t>
      </w:r>
      <w:r w:rsidR="0073428E" w:rsidRPr="0073428E">
        <w:rPr>
          <w:sz w:val="28"/>
          <w:szCs w:val="28"/>
        </w:rPr>
        <w:t xml:space="preserve">2013.gada 21.martā stājās spēkā grozījumi likumā "Par valsts un pašvaldību dzīvojamo māju privatizāciju”, kas paredz turpmāk jaunu iespēju Aģentūrai nodot pārvaldīšanas tiesības, ja dzīvojamā mājā privatizēti visi privatizācijas objekti. Grozījumi paredz Aģentūrai sasaukt dzīvokļu īpašnieku sapulces un brīdināt dzīvokļu īpašniekus, ka pēc 6 mēnešiem izbeidzas </w:t>
      </w:r>
      <w:r w:rsidR="008D6CF6">
        <w:rPr>
          <w:sz w:val="28"/>
          <w:szCs w:val="28"/>
        </w:rPr>
        <w:t>A</w:t>
      </w:r>
      <w:r w:rsidR="0073428E" w:rsidRPr="0073428E">
        <w:rPr>
          <w:sz w:val="28"/>
          <w:szCs w:val="28"/>
        </w:rPr>
        <w:t xml:space="preserve">ģentūras valdījums un dzīvojamās mājas pārvaldīšanas pienākums, kā arī  brīdināt pakalpojumu sniedzējus, ka pēc 6 mēnešiem izbeidzas </w:t>
      </w:r>
      <w:r w:rsidR="008D6CF6">
        <w:rPr>
          <w:sz w:val="28"/>
          <w:szCs w:val="28"/>
        </w:rPr>
        <w:t>A</w:t>
      </w:r>
      <w:r w:rsidR="0073428E" w:rsidRPr="0073428E">
        <w:rPr>
          <w:sz w:val="28"/>
          <w:szCs w:val="28"/>
        </w:rPr>
        <w:t>ģentūras valdījums un dzīvojamās mājas pārvaldīšanas pienākums. Dzīvokļu īpašniekiem jāpārņem dzīvojamās mājas pārvaldīšanas tiesības, iesniedzot likumā 51.pantā noteiktos dokumentus. Pēc šī termiņa notecējuma Aģentūra tiesīga izbeigt attiecīgo dzīvojamo māju valdījumu.</w:t>
      </w:r>
      <w:r w:rsidR="0073428E">
        <w:rPr>
          <w:sz w:val="28"/>
          <w:szCs w:val="28"/>
        </w:rPr>
        <w:t xml:space="preserve"> </w:t>
      </w:r>
      <w:r w:rsidR="0073428E" w:rsidRPr="0073428E">
        <w:rPr>
          <w:sz w:val="28"/>
          <w:szCs w:val="28"/>
        </w:rPr>
        <w:t xml:space="preserve">Jaunās likuma normas piemērošana plašāk piemērojama Rīgā (40 dzīvojamās mājas), reģionos tikai atsevišķos gadījumos (Zemgale un Jūrmala – 2 dzīvojamās mājas, Kurzeme – 1 dzīvojamā māja, Vidzeme – 12 dzīvojamās mājas, Latgale – 2 dzīvojamās mājas). Rīgā tomēr prognozējams, ka gandrīz pusi no šīm dzīvojamām mājām </w:t>
      </w:r>
      <w:r w:rsidR="0073428E">
        <w:rPr>
          <w:sz w:val="28"/>
          <w:szCs w:val="28"/>
        </w:rPr>
        <w:t>2013.gadā</w:t>
      </w:r>
      <w:r w:rsidR="0073428E" w:rsidRPr="0073428E">
        <w:rPr>
          <w:sz w:val="28"/>
          <w:szCs w:val="28"/>
        </w:rPr>
        <w:t xml:space="preserve"> varētu nodot pārvaldīšanā dzīvokļu īpašnieku pilnvarotajām personām, piemērojot likuma 51.pantā noteikto kārtību.  </w:t>
      </w:r>
    </w:p>
    <w:p w:rsidR="007F5DE0" w:rsidRPr="000237B3" w:rsidRDefault="007F5DE0" w:rsidP="00004894">
      <w:pPr>
        <w:ind w:firstLine="720"/>
        <w:jc w:val="both"/>
        <w:rPr>
          <w:sz w:val="28"/>
          <w:szCs w:val="28"/>
        </w:rPr>
      </w:pPr>
      <w:r w:rsidRPr="000237B3">
        <w:rPr>
          <w:sz w:val="28"/>
          <w:szCs w:val="28"/>
        </w:rPr>
        <w:t xml:space="preserve">Mājas, kurās ir gan privātīpašumā, gan valsts īpašumā esoši dzīvokļi, kopskaitā uz </w:t>
      </w:r>
      <w:r w:rsidR="0073428E">
        <w:rPr>
          <w:sz w:val="28"/>
          <w:szCs w:val="28"/>
        </w:rPr>
        <w:t xml:space="preserve">2013.gada 31.martu </w:t>
      </w:r>
      <w:r w:rsidR="005927C3" w:rsidRPr="000237B3">
        <w:rPr>
          <w:sz w:val="28"/>
          <w:szCs w:val="28"/>
        </w:rPr>
        <w:t xml:space="preserve">tādas ir </w:t>
      </w:r>
      <w:r w:rsidR="005927C3">
        <w:rPr>
          <w:sz w:val="28"/>
          <w:szCs w:val="28"/>
        </w:rPr>
        <w:t>109</w:t>
      </w:r>
      <w:r w:rsidR="005927C3" w:rsidRPr="000237B3">
        <w:rPr>
          <w:sz w:val="28"/>
          <w:szCs w:val="28"/>
        </w:rPr>
        <w:t xml:space="preserve"> mājas</w:t>
      </w:r>
      <w:r w:rsidRPr="000237B3">
        <w:rPr>
          <w:sz w:val="28"/>
          <w:szCs w:val="28"/>
        </w:rPr>
        <w:t xml:space="preserve">, jāpiedāvā </w:t>
      </w:r>
      <w:r w:rsidRPr="000237B3">
        <w:rPr>
          <w:sz w:val="28"/>
          <w:szCs w:val="28"/>
        </w:rPr>
        <w:lastRenderedPageBreak/>
        <w:t>privātīpašniekiem pārņemt māju pārvaldīšanas tiesības. Mājas, kurās daļa dzīvokļu ir valstij piederoši un to pārvaldīšanu nepārņem privātīpašnieki vai pašvaldība, kā arī mājās, kur privatizācijas process ir beidzies un visi dzīvokļi ir valstij piederoši, kopskaitā uz</w:t>
      </w:r>
      <w:r w:rsidR="005927C3">
        <w:rPr>
          <w:sz w:val="28"/>
          <w:szCs w:val="28"/>
        </w:rPr>
        <w:t xml:space="preserve"> 2013.gada 31.martu </w:t>
      </w:r>
      <w:r w:rsidR="005927C3" w:rsidRPr="000237B3">
        <w:rPr>
          <w:sz w:val="28"/>
          <w:szCs w:val="28"/>
        </w:rPr>
        <w:t xml:space="preserve">tādas ir </w:t>
      </w:r>
      <w:r w:rsidR="005927C3">
        <w:rPr>
          <w:sz w:val="28"/>
          <w:szCs w:val="28"/>
        </w:rPr>
        <w:t>125</w:t>
      </w:r>
      <w:r w:rsidR="005927C3" w:rsidRPr="000237B3">
        <w:rPr>
          <w:sz w:val="28"/>
          <w:szCs w:val="28"/>
        </w:rPr>
        <w:t xml:space="preserve"> mājas</w:t>
      </w:r>
      <w:r w:rsidRPr="000237B3">
        <w:rPr>
          <w:sz w:val="28"/>
          <w:szCs w:val="28"/>
        </w:rPr>
        <w:t xml:space="preserve">, turpināma to pārvaldīšana līdz mainās apstākļi, kas veicina pārvaldīšanas tiesību nodošanu </w:t>
      </w:r>
      <w:r w:rsidR="00BC3243">
        <w:rPr>
          <w:sz w:val="28"/>
          <w:szCs w:val="28"/>
        </w:rPr>
        <w:t>valsts akciju sabiedrībai</w:t>
      </w:r>
      <w:r w:rsidR="007B0334" w:rsidRPr="000237B3">
        <w:rPr>
          <w:sz w:val="28"/>
          <w:szCs w:val="28"/>
        </w:rPr>
        <w:t xml:space="preserve"> „Valsts nekustamie īpašumi”</w:t>
      </w:r>
      <w:r w:rsidRPr="000237B3">
        <w:rPr>
          <w:sz w:val="28"/>
          <w:szCs w:val="28"/>
        </w:rPr>
        <w:t xml:space="preserve"> vai pašvaldībai</w:t>
      </w:r>
      <w:r w:rsidR="008D6CF6">
        <w:rPr>
          <w:sz w:val="28"/>
          <w:szCs w:val="28"/>
        </w:rPr>
        <w:t xml:space="preserve">, </w:t>
      </w:r>
      <w:r w:rsidR="00DA7A82">
        <w:rPr>
          <w:sz w:val="28"/>
          <w:szCs w:val="28"/>
        </w:rPr>
        <w:t xml:space="preserve">tai </w:t>
      </w:r>
      <w:r w:rsidR="008D6CF6">
        <w:rPr>
          <w:sz w:val="28"/>
          <w:szCs w:val="28"/>
        </w:rPr>
        <w:t>piekrītot pārņemt dzīvojamās mājas neprivatizēto daļu</w:t>
      </w:r>
      <w:r w:rsidRPr="000237B3">
        <w:rPr>
          <w:sz w:val="28"/>
          <w:szCs w:val="28"/>
        </w:rPr>
        <w:t xml:space="preserve">. Šādu māju pārvaldīšana būtu nododama </w:t>
      </w:r>
      <w:r w:rsidR="00BC3243">
        <w:rPr>
          <w:sz w:val="28"/>
          <w:szCs w:val="28"/>
        </w:rPr>
        <w:t>valsts akciju sabiedrībai</w:t>
      </w:r>
      <w:r w:rsidRPr="000237B3">
        <w:rPr>
          <w:sz w:val="28"/>
          <w:szCs w:val="28"/>
        </w:rPr>
        <w:t xml:space="preserve"> „Valsts nekustamie īpašumi” </w:t>
      </w:r>
      <w:r w:rsidR="00A56201" w:rsidRPr="000237B3">
        <w:rPr>
          <w:sz w:val="28"/>
          <w:szCs w:val="28"/>
        </w:rPr>
        <w:t xml:space="preserve">sākot </w:t>
      </w:r>
      <w:r w:rsidRPr="000237B3">
        <w:rPr>
          <w:sz w:val="28"/>
          <w:szCs w:val="28"/>
        </w:rPr>
        <w:t>ar 2014.</w:t>
      </w:r>
      <w:r w:rsidR="000563A6" w:rsidRPr="000237B3">
        <w:rPr>
          <w:sz w:val="28"/>
          <w:szCs w:val="28"/>
        </w:rPr>
        <w:t>gada 1.janvāri</w:t>
      </w:r>
      <w:r w:rsidRPr="000237B3">
        <w:rPr>
          <w:sz w:val="28"/>
          <w:szCs w:val="28"/>
        </w:rPr>
        <w:t xml:space="preserve">, kad lielākā daļa dzīvojamā fonda atradīsies jau šajā procesa stadijā. Atbilstoši prognozēm </w:t>
      </w:r>
      <w:r w:rsidR="0007373E" w:rsidRPr="000237B3">
        <w:rPr>
          <w:sz w:val="28"/>
          <w:szCs w:val="28"/>
        </w:rPr>
        <w:t xml:space="preserve">no </w:t>
      </w:r>
      <w:r w:rsidRPr="000237B3">
        <w:rPr>
          <w:sz w:val="28"/>
          <w:szCs w:val="28"/>
        </w:rPr>
        <w:t>2014.</w:t>
      </w:r>
      <w:r w:rsidR="000563A6" w:rsidRPr="000237B3">
        <w:rPr>
          <w:sz w:val="28"/>
          <w:szCs w:val="28"/>
        </w:rPr>
        <w:t>gada 1.janvāra</w:t>
      </w:r>
      <w:r w:rsidRPr="000237B3">
        <w:rPr>
          <w:sz w:val="28"/>
          <w:szCs w:val="28"/>
        </w:rPr>
        <w:t xml:space="preserve"> varētu nodot </w:t>
      </w:r>
      <w:r w:rsidR="00BC3243">
        <w:rPr>
          <w:sz w:val="28"/>
          <w:szCs w:val="28"/>
        </w:rPr>
        <w:t xml:space="preserve">valsts </w:t>
      </w:r>
      <w:r w:rsidR="00BC3243" w:rsidRPr="00BC3243">
        <w:rPr>
          <w:sz w:val="28"/>
          <w:szCs w:val="28"/>
        </w:rPr>
        <w:t>akciju sabiedrības</w:t>
      </w:r>
      <w:r w:rsidRPr="000237B3">
        <w:rPr>
          <w:sz w:val="28"/>
          <w:szCs w:val="28"/>
        </w:rPr>
        <w:t xml:space="preserve"> „Valsts nekustamie īpašumi” pārvaldīšanā 274 mājas, </w:t>
      </w:r>
      <w:r w:rsidR="002D43D9" w:rsidRPr="000237B3">
        <w:rPr>
          <w:rFonts w:cs="Times New Roman"/>
          <w:sz w:val="28"/>
          <w:szCs w:val="28"/>
        </w:rPr>
        <w:t>Aģentūras</w:t>
      </w:r>
      <w:r w:rsidRPr="000237B3">
        <w:rPr>
          <w:sz w:val="28"/>
          <w:szCs w:val="28"/>
        </w:rPr>
        <w:t xml:space="preserve"> pārvaldīšanā atstājot 86 vēl privatizējamā portfelī ietilpstošās mājas, kurās vēl nebūtu pabeigti visi iepriekš minētie procesi un sākot ar 2014.</w:t>
      </w:r>
      <w:r w:rsidR="000563A6" w:rsidRPr="000237B3">
        <w:rPr>
          <w:sz w:val="28"/>
          <w:szCs w:val="28"/>
        </w:rPr>
        <w:t>gada 31.decembri</w:t>
      </w:r>
      <w:r w:rsidRPr="000237B3">
        <w:rPr>
          <w:sz w:val="28"/>
          <w:szCs w:val="28"/>
        </w:rPr>
        <w:t xml:space="preserve">, būtu nododamas </w:t>
      </w:r>
      <w:r w:rsidR="00BC3243">
        <w:rPr>
          <w:sz w:val="28"/>
          <w:szCs w:val="28"/>
        </w:rPr>
        <w:t xml:space="preserve">valsts </w:t>
      </w:r>
      <w:r w:rsidR="00BC3243" w:rsidRPr="00BC3243">
        <w:rPr>
          <w:sz w:val="28"/>
          <w:szCs w:val="28"/>
        </w:rPr>
        <w:t>akciju sabiedrība</w:t>
      </w:r>
      <w:r w:rsidR="00BC3243">
        <w:rPr>
          <w:sz w:val="28"/>
          <w:szCs w:val="28"/>
        </w:rPr>
        <w:t>i</w:t>
      </w:r>
      <w:r w:rsidRPr="000237B3">
        <w:rPr>
          <w:sz w:val="28"/>
          <w:szCs w:val="28"/>
        </w:rPr>
        <w:t xml:space="preserve"> „Valsts nekustamie īpašumi” visas atlikušās dzīvojamās mājas</w:t>
      </w:r>
      <w:r w:rsidR="00EF23DB" w:rsidRPr="000237B3">
        <w:rPr>
          <w:sz w:val="28"/>
          <w:szCs w:val="28"/>
        </w:rPr>
        <w:t>.</w:t>
      </w:r>
      <w:r w:rsidRPr="000237B3">
        <w:rPr>
          <w:sz w:val="28"/>
          <w:szCs w:val="28"/>
        </w:rPr>
        <w:t xml:space="preserve"> Lai </w:t>
      </w:r>
      <w:r w:rsidR="002D43D9" w:rsidRPr="000237B3">
        <w:rPr>
          <w:rFonts w:cs="Times New Roman"/>
          <w:sz w:val="28"/>
          <w:szCs w:val="28"/>
        </w:rPr>
        <w:t>Aģentūra</w:t>
      </w:r>
      <w:r w:rsidRPr="000237B3">
        <w:rPr>
          <w:sz w:val="28"/>
          <w:szCs w:val="28"/>
        </w:rPr>
        <w:t xml:space="preserve"> varētu nodot šīs mājas </w:t>
      </w:r>
      <w:r w:rsidR="00BC3243">
        <w:rPr>
          <w:sz w:val="28"/>
          <w:szCs w:val="28"/>
        </w:rPr>
        <w:t>valsts akciju sabiedrībai</w:t>
      </w:r>
      <w:r w:rsidRPr="000237B3">
        <w:rPr>
          <w:sz w:val="28"/>
          <w:szCs w:val="28"/>
        </w:rPr>
        <w:t xml:space="preserve"> „Valsts nekustamie īpašumi”, nepieciešami grozījumi likumā „Par valsts un pašvaldību dzīvojamo māju privatizāciju” un Publiskas personas mantas atsavināšanas likumā, paredzot, šādu māju un </w:t>
      </w:r>
      <w:r w:rsidR="00EF23DB" w:rsidRPr="000237B3">
        <w:rPr>
          <w:sz w:val="28"/>
          <w:szCs w:val="28"/>
        </w:rPr>
        <w:t>funkciju</w:t>
      </w:r>
      <w:r w:rsidRPr="000237B3">
        <w:rPr>
          <w:sz w:val="28"/>
          <w:szCs w:val="28"/>
        </w:rPr>
        <w:t xml:space="preserve"> nodošanu </w:t>
      </w:r>
      <w:r w:rsidR="00BC3243">
        <w:rPr>
          <w:sz w:val="28"/>
          <w:szCs w:val="28"/>
        </w:rPr>
        <w:t>valsts akciju sabiedrībai</w:t>
      </w:r>
      <w:r w:rsidRPr="000237B3">
        <w:rPr>
          <w:sz w:val="28"/>
          <w:szCs w:val="28"/>
        </w:rPr>
        <w:t xml:space="preserve"> „Valsts nekustamie īpašumi”.</w:t>
      </w:r>
    </w:p>
    <w:p w:rsidR="004A55AA" w:rsidRPr="00426EEF" w:rsidRDefault="004A55AA">
      <w:pPr>
        <w:rPr>
          <w:rStyle w:val="CommentReference"/>
          <w:sz w:val="24"/>
        </w:rPr>
      </w:pPr>
    </w:p>
    <w:p w:rsidR="00D24695" w:rsidRPr="000237B3" w:rsidRDefault="00D24695" w:rsidP="00D24695">
      <w:pPr>
        <w:pStyle w:val="BodyText2"/>
        <w:ind w:firstLine="720"/>
        <w:jc w:val="right"/>
        <w:rPr>
          <w:rStyle w:val="CommentReference"/>
          <w:rFonts w:eastAsiaTheme="minorEastAsia" w:cstheme="minorBidi"/>
          <w:sz w:val="28"/>
          <w:szCs w:val="28"/>
          <w:lang w:eastAsia="zh-CN"/>
        </w:rPr>
      </w:pPr>
      <w:r w:rsidRPr="00C73C59">
        <w:rPr>
          <w:rStyle w:val="CommentReference"/>
          <w:rFonts w:eastAsiaTheme="minorEastAsia" w:cstheme="minorBidi"/>
          <w:sz w:val="28"/>
          <w:szCs w:val="28"/>
          <w:lang w:eastAsia="zh-CN"/>
        </w:rPr>
        <w:t>Grafiks Nr.4</w:t>
      </w:r>
    </w:p>
    <w:p w:rsidR="008A779E" w:rsidRDefault="008A779E" w:rsidP="008A779E">
      <w:pPr>
        <w:pStyle w:val="ListParagraph"/>
        <w:ind w:left="0"/>
        <w:jc w:val="both"/>
        <w:rPr>
          <w:sz w:val="28"/>
          <w:szCs w:val="28"/>
        </w:rPr>
      </w:pPr>
      <w:r>
        <w:rPr>
          <w:noProof/>
          <w:sz w:val="28"/>
          <w:szCs w:val="28"/>
          <w:lang w:eastAsia="lv-LV"/>
        </w:rPr>
        <w:drawing>
          <wp:inline distT="0" distB="0" distL="0" distR="0" wp14:anchorId="4F961E25" wp14:editId="4D0F4057">
            <wp:extent cx="5413139" cy="2257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9383" cy="2260029"/>
                    </a:xfrm>
                    <a:prstGeom prst="rect">
                      <a:avLst/>
                    </a:prstGeom>
                    <a:noFill/>
                  </pic:spPr>
                </pic:pic>
              </a:graphicData>
            </a:graphic>
          </wp:inline>
        </w:drawing>
      </w:r>
    </w:p>
    <w:p w:rsidR="008A779E" w:rsidRDefault="008A779E" w:rsidP="00E07D40">
      <w:pPr>
        <w:pStyle w:val="ListParagraph"/>
        <w:ind w:left="0" w:firstLine="720"/>
        <w:jc w:val="both"/>
        <w:rPr>
          <w:sz w:val="28"/>
          <w:szCs w:val="28"/>
        </w:rPr>
      </w:pPr>
    </w:p>
    <w:p w:rsidR="0012328A" w:rsidRPr="000237B3" w:rsidRDefault="0012328A" w:rsidP="00E07D40">
      <w:pPr>
        <w:pStyle w:val="ListParagraph"/>
        <w:ind w:left="0" w:firstLine="720"/>
        <w:jc w:val="both"/>
        <w:rPr>
          <w:sz w:val="28"/>
          <w:szCs w:val="28"/>
        </w:rPr>
      </w:pPr>
      <w:r w:rsidRPr="000237B3">
        <w:rPr>
          <w:sz w:val="28"/>
          <w:szCs w:val="28"/>
        </w:rPr>
        <w:t>Attiecībā uz pašvaldību nepārņemtiem izīrētiem dzīvokļiem turpināma to pārvaldīšana līdz īrnieks izvēlas to iegādāties</w:t>
      </w:r>
      <w:r w:rsidR="008D6CF6" w:rsidRPr="008D6CF6">
        <w:rPr>
          <w:sz w:val="28"/>
          <w:szCs w:val="28"/>
        </w:rPr>
        <w:t xml:space="preserve"> </w:t>
      </w:r>
      <w:r w:rsidR="008D6CF6">
        <w:rPr>
          <w:sz w:val="28"/>
          <w:szCs w:val="28"/>
        </w:rPr>
        <w:t>vai dzīvoklis atbrīvojas</w:t>
      </w:r>
      <w:r w:rsidR="00E07D40" w:rsidRPr="000237B3">
        <w:rPr>
          <w:sz w:val="28"/>
          <w:szCs w:val="28"/>
        </w:rPr>
        <w:t>. Š</w:t>
      </w:r>
      <w:r w:rsidRPr="000237B3">
        <w:rPr>
          <w:sz w:val="28"/>
          <w:szCs w:val="28"/>
        </w:rPr>
        <w:t>obrīd tas ir beztermiņa process</w:t>
      </w:r>
      <w:r w:rsidR="00E07D40" w:rsidRPr="000237B3">
        <w:rPr>
          <w:sz w:val="28"/>
          <w:szCs w:val="28"/>
        </w:rPr>
        <w:t>. Š</w:t>
      </w:r>
      <w:r w:rsidRPr="000237B3">
        <w:rPr>
          <w:sz w:val="28"/>
          <w:szCs w:val="28"/>
        </w:rPr>
        <w:t xml:space="preserve">ādi dzīvokļi ir gan valsts pārvaldītajās mājas, gan pašvaldību un privātpersonu pārvaldītajās mājās. Šādu dzīvokļu pārvaldīšana būtu nododama </w:t>
      </w:r>
      <w:r w:rsidR="00BC3243" w:rsidRPr="00BC3243">
        <w:rPr>
          <w:sz w:val="28"/>
          <w:szCs w:val="28"/>
        </w:rPr>
        <w:t>valsts akciju sabiedrībai</w:t>
      </w:r>
      <w:r w:rsidRPr="000237B3">
        <w:rPr>
          <w:sz w:val="28"/>
          <w:szCs w:val="28"/>
        </w:rPr>
        <w:t xml:space="preserve"> „Valsts nekustamie īpašumi” </w:t>
      </w:r>
      <w:r w:rsidR="00AF70F1" w:rsidRPr="000237B3">
        <w:rPr>
          <w:sz w:val="28"/>
          <w:szCs w:val="28"/>
        </w:rPr>
        <w:t xml:space="preserve">sākot </w:t>
      </w:r>
      <w:r w:rsidRPr="000237B3">
        <w:rPr>
          <w:sz w:val="28"/>
          <w:szCs w:val="28"/>
        </w:rPr>
        <w:t>ar 2014.</w:t>
      </w:r>
      <w:r w:rsidR="004310F5" w:rsidRPr="000237B3">
        <w:rPr>
          <w:sz w:val="28"/>
          <w:szCs w:val="28"/>
        </w:rPr>
        <w:t>gada 1.janvāri</w:t>
      </w:r>
      <w:r w:rsidRPr="000237B3">
        <w:rPr>
          <w:sz w:val="28"/>
          <w:szCs w:val="28"/>
        </w:rPr>
        <w:t xml:space="preserve">, kad lielākā daļa dzīvojamā fonda atradīsies jau šajā procesa stadijā. Atbilstoši prognozēm </w:t>
      </w:r>
      <w:r w:rsidR="00131C7E" w:rsidRPr="000237B3">
        <w:rPr>
          <w:sz w:val="28"/>
          <w:szCs w:val="28"/>
        </w:rPr>
        <w:t xml:space="preserve">sākot ar </w:t>
      </w:r>
      <w:r w:rsidRPr="000237B3">
        <w:rPr>
          <w:sz w:val="28"/>
          <w:szCs w:val="28"/>
        </w:rPr>
        <w:t>2014.</w:t>
      </w:r>
      <w:r w:rsidR="004310F5" w:rsidRPr="000237B3">
        <w:rPr>
          <w:sz w:val="28"/>
          <w:szCs w:val="28"/>
        </w:rPr>
        <w:t>gada 1.janvāri</w:t>
      </w:r>
      <w:r w:rsidRPr="000237B3">
        <w:rPr>
          <w:sz w:val="28"/>
          <w:szCs w:val="28"/>
        </w:rPr>
        <w:t xml:space="preserve"> varētu nodot </w:t>
      </w:r>
      <w:r w:rsidR="00301420">
        <w:rPr>
          <w:sz w:val="28"/>
          <w:szCs w:val="28"/>
        </w:rPr>
        <w:t xml:space="preserve">valsts </w:t>
      </w:r>
      <w:r w:rsidR="00301420" w:rsidRPr="00301420">
        <w:rPr>
          <w:sz w:val="28"/>
          <w:szCs w:val="28"/>
        </w:rPr>
        <w:t xml:space="preserve">akciju </w:t>
      </w:r>
      <w:r w:rsidR="00301420" w:rsidRPr="00301420">
        <w:rPr>
          <w:sz w:val="28"/>
          <w:szCs w:val="28"/>
        </w:rPr>
        <w:lastRenderedPageBreak/>
        <w:t>sabiedrības</w:t>
      </w:r>
      <w:r w:rsidRPr="000237B3">
        <w:rPr>
          <w:sz w:val="28"/>
          <w:szCs w:val="28"/>
        </w:rPr>
        <w:t xml:space="preserve"> „Valsts nekustamie īpašumi” pārvaldīšanā 1114 dzīvokļus,</w:t>
      </w:r>
      <w:r w:rsidR="002D43D9" w:rsidRPr="000237B3">
        <w:rPr>
          <w:rFonts w:cs="Times New Roman"/>
          <w:sz w:val="28"/>
          <w:szCs w:val="28"/>
        </w:rPr>
        <w:t xml:space="preserve"> Aģentūras</w:t>
      </w:r>
      <w:r w:rsidR="002D43D9" w:rsidRPr="000237B3">
        <w:rPr>
          <w:sz w:val="28"/>
          <w:szCs w:val="28"/>
        </w:rPr>
        <w:t xml:space="preserve"> </w:t>
      </w:r>
      <w:r w:rsidRPr="000237B3">
        <w:rPr>
          <w:sz w:val="28"/>
          <w:szCs w:val="28"/>
        </w:rPr>
        <w:t>pārvaldīšanā atstājot 235 vēl pr</w:t>
      </w:r>
      <w:r w:rsidR="0033615B" w:rsidRPr="000237B3">
        <w:rPr>
          <w:sz w:val="28"/>
          <w:szCs w:val="28"/>
        </w:rPr>
        <w:t>ivatizējamā portfelī ietilpstošos dzīvokļus</w:t>
      </w:r>
      <w:r w:rsidRPr="000237B3">
        <w:rPr>
          <w:sz w:val="28"/>
          <w:szCs w:val="28"/>
        </w:rPr>
        <w:t>, kuriem vēl nebūtu pabeigti visi iepriekš</w:t>
      </w:r>
      <w:r w:rsidR="000A4C18" w:rsidRPr="000237B3">
        <w:rPr>
          <w:sz w:val="28"/>
          <w:szCs w:val="28"/>
        </w:rPr>
        <w:t xml:space="preserve"> minētie procesi un </w:t>
      </w:r>
      <w:r w:rsidR="004310F5" w:rsidRPr="000237B3">
        <w:rPr>
          <w:sz w:val="28"/>
          <w:szCs w:val="28"/>
        </w:rPr>
        <w:t xml:space="preserve">līdz </w:t>
      </w:r>
      <w:r w:rsidR="000A4C18" w:rsidRPr="000237B3">
        <w:rPr>
          <w:sz w:val="28"/>
          <w:szCs w:val="28"/>
        </w:rPr>
        <w:t>2014.</w:t>
      </w:r>
      <w:r w:rsidR="004310F5" w:rsidRPr="000237B3">
        <w:rPr>
          <w:sz w:val="28"/>
          <w:szCs w:val="28"/>
        </w:rPr>
        <w:t>gada 31.decembrim</w:t>
      </w:r>
      <w:r w:rsidRPr="000237B3">
        <w:rPr>
          <w:sz w:val="28"/>
          <w:szCs w:val="28"/>
        </w:rPr>
        <w:t xml:space="preserve"> būtu nododami </w:t>
      </w:r>
      <w:r w:rsidR="00BC3243" w:rsidRPr="00BC3243">
        <w:rPr>
          <w:sz w:val="28"/>
          <w:szCs w:val="28"/>
        </w:rPr>
        <w:t>valsts akciju sabiedrībai</w:t>
      </w:r>
      <w:r w:rsidRPr="000237B3">
        <w:rPr>
          <w:sz w:val="28"/>
          <w:szCs w:val="28"/>
        </w:rPr>
        <w:t xml:space="preserve"> „Valsts nekustamie īpašumi” visi atlikušie dzīvokļi. Lai </w:t>
      </w:r>
      <w:r w:rsidR="002D43D9" w:rsidRPr="000237B3">
        <w:rPr>
          <w:rFonts w:cs="Times New Roman"/>
          <w:sz w:val="28"/>
          <w:szCs w:val="28"/>
        </w:rPr>
        <w:t>Aģentūra</w:t>
      </w:r>
      <w:r w:rsidRPr="000237B3">
        <w:rPr>
          <w:sz w:val="28"/>
          <w:szCs w:val="28"/>
        </w:rPr>
        <w:t xml:space="preserve"> varētu nodot šos dzīvokļus </w:t>
      </w:r>
      <w:r w:rsidR="00BC3243" w:rsidRPr="00BC3243">
        <w:rPr>
          <w:sz w:val="28"/>
          <w:szCs w:val="28"/>
        </w:rPr>
        <w:t>valsts akciju sabiedrībai</w:t>
      </w:r>
      <w:r w:rsidRPr="000237B3">
        <w:rPr>
          <w:sz w:val="28"/>
          <w:szCs w:val="28"/>
        </w:rPr>
        <w:t xml:space="preserve"> „Valsts nekustamie īpašumi”, nepieciešami grozījumi likumā „Par valsts un pašvaldību dzīvojamo māju privatizāciju” un Publiskas personas mantas atsavināšanas likumā, paredzot, šādu dzīvokļu un </w:t>
      </w:r>
      <w:r w:rsidR="00E07D40" w:rsidRPr="000237B3">
        <w:rPr>
          <w:sz w:val="28"/>
          <w:szCs w:val="28"/>
        </w:rPr>
        <w:t xml:space="preserve">attiecīgo funkciju </w:t>
      </w:r>
      <w:r w:rsidRPr="000237B3">
        <w:rPr>
          <w:sz w:val="28"/>
          <w:szCs w:val="28"/>
        </w:rPr>
        <w:t xml:space="preserve">nodošanu </w:t>
      </w:r>
      <w:r w:rsidR="00BC3243" w:rsidRPr="00BC3243">
        <w:rPr>
          <w:sz w:val="28"/>
          <w:szCs w:val="28"/>
        </w:rPr>
        <w:t>valsts akciju sabiedrībai</w:t>
      </w:r>
      <w:r w:rsidRPr="000237B3">
        <w:rPr>
          <w:sz w:val="28"/>
          <w:szCs w:val="28"/>
        </w:rPr>
        <w:t xml:space="preserve"> „Valsts nekustamie īpašumi”.</w:t>
      </w:r>
    </w:p>
    <w:p w:rsidR="000237B3" w:rsidRDefault="000237B3" w:rsidP="00FE3F3B">
      <w:pPr>
        <w:pStyle w:val="BodyText2"/>
        <w:ind w:left="360" w:right="120"/>
        <w:jc w:val="right"/>
        <w:rPr>
          <w:rStyle w:val="CommentReference"/>
          <w:rFonts w:eastAsiaTheme="minorEastAsia" w:cstheme="minorBidi"/>
          <w:sz w:val="28"/>
          <w:szCs w:val="28"/>
          <w:lang w:eastAsia="zh-CN"/>
        </w:rPr>
      </w:pPr>
    </w:p>
    <w:p w:rsidR="00C31D1B" w:rsidRPr="000237B3" w:rsidRDefault="00115D17" w:rsidP="00FE3F3B">
      <w:pPr>
        <w:pStyle w:val="BodyText2"/>
        <w:ind w:left="360" w:right="120"/>
        <w:jc w:val="right"/>
        <w:rPr>
          <w:rStyle w:val="CommentReference"/>
          <w:rFonts w:eastAsiaTheme="minorEastAsia" w:cstheme="minorBidi"/>
          <w:sz w:val="28"/>
          <w:szCs w:val="28"/>
          <w:lang w:eastAsia="zh-CN"/>
        </w:rPr>
      </w:pPr>
      <w:r w:rsidRPr="00C73C59">
        <w:rPr>
          <w:rStyle w:val="CommentReference"/>
          <w:rFonts w:eastAsiaTheme="minorEastAsia" w:cstheme="minorBidi"/>
          <w:sz w:val="28"/>
          <w:szCs w:val="28"/>
          <w:lang w:eastAsia="zh-CN"/>
        </w:rPr>
        <w:t>Grafiks Nr.5</w:t>
      </w:r>
    </w:p>
    <w:p w:rsidR="00FE3F3B" w:rsidRPr="00426EEF" w:rsidRDefault="008A779E" w:rsidP="00115D17">
      <w:pPr>
        <w:pStyle w:val="BodyText2"/>
        <w:ind w:right="120"/>
        <w:jc w:val="right"/>
      </w:pPr>
      <w:r>
        <w:rPr>
          <w:noProof/>
          <w:lang w:eastAsia="lv-LV"/>
        </w:rPr>
        <w:drawing>
          <wp:inline distT="0" distB="0" distL="0" distR="0" wp14:anchorId="5D242DB5" wp14:editId="4FFA6C5E">
            <wp:extent cx="5341954" cy="2371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5024" cy="2372667"/>
                    </a:xfrm>
                    <a:prstGeom prst="rect">
                      <a:avLst/>
                    </a:prstGeom>
                    <a:noFill/>
                  </pic:spPr>
                </pic:pic>
              </a:graphicData>
            </a:graphic>
          </wp:inline>
        </w:drawing>
      </w:r>
    </w:p>
    <w:p w:rsidR="0042583B" w:rsidRPr="00426EEF" w:rsidRDefault="0042583B" w:rsidP="008363DA">
      <w:pPr>
        <w:pStyle w:val="BodyText2"/>
        <w:jc w:val="center"/>
      </w:pPr>
    </w:p>
    <w:p w:rsidR="009706FB" w:rsidRPr="000237B3" w:rsidRDefault="009706FB" w:rsidP="009706FB">
      <w:pPr>
        <w:ind w:firstLine="720"/>
        <w:jc w:val="both"/>
        <w:rPr>
          <w:sz w:val="28"/>
          <w:szCs w:val="28"/>
        </w:rPr>
      </w:pPr>
      <w:r w:rsidRPr="000237B3">
        <w:rPr>
          <w:sz w:val="28"/>
          <w:szCs w:val="28"/>
        </w:rPr>
        <w:t>Būtiski vērst uzmanību uz šādiem aspektiem attiecībā uz dzīvokļiem un dzīvojamām mājām:</w:t>
      </w:r>
    </w:p>
    <w:p w:rsidR="009706FB" w:rsidRPr="000237B3" w:rsidRDefault="0085527B" w:rsidP="00904EA4">
      <w:pPr>
        <w:pStyle w:val="ListParagraph"/>
        <w:numPr>
          <w:ilvl w:val="0"/>
          <w:numId w:val="3"/>
        </w:numPr>
        <w:jc w:val="both"/>
        <w:rPr>
          <w:sz w:val="28"/>
          <w:szCs w:val="28"/>
        </w:rPr>
      </w:pPr>
      <w:r w:rsidRPr="000237B3">
        <w:rPr>
          <w:rFonts w:cs="Times New Roman"/>
          <w:sz w:val="28"/>
          <w:szCs w:val="28"/>
        </w:rPr>
        <w:t xml:space="preserve">tie </w:t>
      </w:r>
      <w:r w:rsidR="009706FB" w:rsidRPr="000237B3">
        <w:rPr>
          <w:rFonts w:cs="Times New Roman"/>
          <w:sz w:val="28"/>
          <w:szCs w:val="28"/>
        </w:rPr>
        <w:t>atrodas</w:t>
      </w:r>
      <w:r w:rsidR="009706FB" w:rsidRPr="000237B3">
        <w:rPr>
          <w:sz w:val="28"/>
          <w:szCs w:val="28"/>
        </w:rPr>
        <w:t xml:space="preserve"> visā Latvijas teritorijā, kas sadārdzina to privatizācij</w:t>
      </w:r>
      <w:r w:rsidR="00A10AC8" w:rsidRPr="000237B3">
        <w:rPr>
          <w:sz w:val="28"/>
          <w:szCs w:val="28"/>
        </w:rPr>
        <w:t>as</w:t>
      </w:r>
      <w:r w:rsidR="009706FB" w:rsidRPr="000237B3">
        <w:rPr>
          <w:sz w:val="28"/>
          <w:szCs w:val="28"/>
        </w:rPr>
        <w:t xml:space="preserve"> atsavināšan</w:t>
      </w:r>
      <w:r w:rsidR="00A10AC8" w:rsidRPr="000237B3">
        <w:rPr>
          <w:sz w:val="28"/>
          <w:szCs w:val="28"/>
        </w:rPr>
        <w:t>as</w:t>
      </w:r>
      <w:r w:rsidR="009706FB" w:rsidRPr="000237B3">
        <w:rPr>
          <w:sz w:val="28"/>
          <w:szCs w:val="28"/>
        </w:rPr>
        <w:t xml:space="preserve"> un pārvaldīšan</w:t>
      </w:r>
      <w:r w:rsidR="00A10AC8" w:rsidRPr="000237B3">
        <w:rPr>
          <w:sz w:val="28"/>
          <w:szCs w:val="28"/>
        </w:rPr>
        <w:t>as procesu</w:t>
      </w:r>
      <w:r w:rsidR="009706FB" w:rsidRPr="000237B3">
        <w:rPr>
          <w:sz w:val="28"/>
          <w:szCs w:val="28"/>
        </w:rPr>
        <w:t>;</w:t>
      </w:r>
    </w:p>
    <w:p w:rsidR="009706FB" w:rsidRPr="000237B3" w:rsidRDefault="0085527B" w:rsidP="009D1B01">
      <w:pPr>
        <w:numPr>
          <w:ilvl w:val="0"/>
          <w:numId w:val="10"/>
        </w:numPr>
        <w:jc w:val="both"/>
        <w:rPr>
          <w:sz w:val="28"/>
          <w:szCs w:val="28"/>
        </w:rPr>
      </w:pPr>
      <w:r w:rsidRPr="000237B3">
        <w:rPr>
          <w:sz w:val="28"/>
          <w:szCs w:val="28"/>
        </w:rPr>
        <w:t xml:space="preserve">tie </w:t>
      </w:r>
      <w:r w:rsidR="009706FB" w:rsidRPr="000237B3">
        <w:rPr>
          <w:sz w:val="28"/>
          <w:szCs w:val="28"/>
        </w:rPr>
        <w:t xml:space="preserve">pārsvarā ir sliktā tehniskā stāvoklī, turklāt liela daļa ir avārijas stāvoklī un uzskatāmi par graustiem, uz </w:t>
      </w:r>
      <w:r w:rsidR="005927C3" w:rsidRPr="000237B3">
        <w:rPr>
          <w:sz w:val="28"/>
          <w:szCs w:val="28"/>
        </w:rPr>
        <w:t>201</w:t>
      </w:r>
      <w:r w:rsidR="005927C3">
        <w:rPr>
          <w:sz w:val="28"/>
          <w:szCs w:val="28"/>
        </w:rPr>
        <w:t>3</w:t>
      </w:r>
      <w:r w:rsidR="00C17248" w:rsidRPr="000237B3">
        <w:rPr>
          <w:sz w:val="28"/>
          <w:szCs w:val="28"/>
        </w:rPr>
        <w:t>.</w:t>
      </w:r>
      <w:r w:rsidR="004310F5" w:rsidRPr="000237B3">
        <w:rPr>
          <w:sz w:val="28"/>
          <w:szCs w:val="28"/>
        </w:rPr>
        <w:t>gada 31.</w:t>
      </w:r>
      <w:r w:rsidR="005927C3" w:rsidRPr="000237B3" w:rsidDel="005927C3">
        <w:rPr>
          <w:sz w:val="28"/>
          <w:szCs w:val="28"/>
        </w:rPr>
        <w:t xml:space="preserve"> </w:t>
      </w:r>
      <w:r w:rsidR="005927C3">
        <w:rPr>
          <w:sz w:val="28"/>
          <w:szCs w:val="28"/>
        </w:rPr>
        <w:t>martu</w:t>
      </w:r>
      <w:r w:rsidR="009706FB" w:rsidRPr="000237B3">
        <w:rPr>
          <w:sz w:val="28"/>
          <w:szCs w:val="28"/>
        </w:rPr>
        <w:t xml:space="preserve"> kā grausti ir kvalificējamas </w:t>
      </w:r>
      <w:r w:rsidR="005927C3">
        <w:rPr>
          <w:sz w:val="28"/>
          <w:szCs w:val="28"/>
        </w:rPr>
        <w:t>42</w:t>
      </w:r>
      <w:r w:rsidR="005927C3" w:rsidRPr="000237B3">
        <w:rPr>
          <w:sz w:val="28"/>
          <w:szCs w:val="28"/>
        </w:rPr>
        <w:t xml:space="preserve"> </w:t>
      </w:r>
      <w:r w:rsidR="009706FB" w:rsidRPr="000237B3">
        <w:rPr>
          <w:sz w:val="28"/>
          <w:szCs w:val="28"/>
        </w:rPr>
        <w:t>mājas;</w:t>
      </w:r>
    </w:p>
    <w:p w:rsidR="009706FB" w:rsidRPr="000237B3" w:rsidRDefault="009706FB" w:rsidP="009D1B01">
      <w:pPr>
        <w:numPr>
          <w:ilvl w:val="0"/>
          <w:numId w:val="10"/>
        </w:numPr>
        <w:jc w:val="both"/>
        <w:rPr>
          <w:sz w:val="28"/>
          <w:szCs w:val="28"/>
        </w:rPr>
      </w:pPr>
      <w:r w:rsidRPr="000237B3">
        <w:rPr>
          <w:sz w:val="28"/>
          <w:szCs w:val="28"/>
        </w:rPr>
        <w:t>sagatavošanas privatizācijai un pārsvarā arī atsavināšanai izdevumi pārsniedz iespējamos ienākumus;</w:t>
      </w:r>
    </w:p>
    <w:p w:rsidR="009706FB" w:rsidRPr="000237B3" w:rsidRDefault="009706FB" w:rsidP="009D1B01">
      <w:pPr>
        <w:numPr>
          <w:ilvl w:val="0"/>
          <w:numId w:val="10"/>
        </w:numPr>
        <w:jc w:val="both"/>
        <w:rPr>
          <w:sz w:val="28"/>
          <w:szCs w:val="28"/>
        </w:rPr>
      </w:pPr>
      <w:r w:rsidRPr="000237B3">
        <w:rPr>
          <w:sz w:val="28"/>
          <w:szCs w:val="28"/>
        </w:rPr>
        <w:t xml:space="preserve">vērtības diapazons no </w:t>
      </w:r>
      <w:r w:rsidR="005927C3">
        <w:rPr>
          <w:sz w:val="28"/>
          <w:szCs w:val="28"/>
        </w:rPr>
        <w:t>50</w:t>
      </w:r>
      <w:r w:rsidRPr="000237B3">
        <w:rPr>
          <w:sz w:val="28"/>
          <w:szCs w:val="28"/>
        </w:rPr>
        <w:t xml:space="preserve"> latiem </w:t>
      </w:r>
      <w:r w:rsidR="001D0614" w:rsidRPr="000237B3">
        <w:rPr>
          <w:sz w:val="28"/>
          <w:szCs w:val="28"/>
        </w:rPr>
        <w:t xml:space="preserve">līdz </w:t>
      </w:r>
      <w:r w:rsidR="005927C3">
        <w:rPr>
          <w:sz w:val="28"/>
          <w:szCs w:val="28"/>
        </w:rPr>
        <w:t>11000</w:t>
      </w:r>
      <w:r w:rsidR="001D0614" w:rsidRPr="000237B3">
        <w:rPr>
          <w:sz w:val="28"/>
          <w:szCs w:val="28"/>
        </w:rPr>
        <w:t xml:space="preserve"> latu</w:t>
      </w:r>
      <w:r w:rsidRPr="000237B3">
        <w:rPr>
          <w:sz w:val="28"/>
          <w:szCs w:val="28"/>
        </w:rPr>
        <w:t>;</w:t>
      </w:r>
    </w:p>
    <w:p w:rsidR="009706FB" w:rsidRPr="000237B3" w:rsidRDefault="009706FB" w:rsidP="009D1B01">
      <w:pPr>
        <w:numPr>
          <w:ilvl w:val="0"/>
          <w:numId w:val="10"/>
        </w:numPr>
        <w:jc w:val="both"/>
        <w:rPr>
          <w:sz w:val="28"/>
          <w:szCs w:val="28"/>
        </w:rPr>
      </w:pPr>
      <w:r w:rsidRPr="000237B3">
        <w:rPr>
          <w:sz w:val="28"/>
          <w:szCs w:val="28"/>
        </w:rPr>
        <w:t>ir maza varbūtība, ka šos īpašumus vispār varēs pārdot;</w:t>
      </w:r>
    </w:p>
    <w:p w:rsidR="009706FB" w:rsidRPr="000237B3" w:rsidRDefault="009706FB" w:rsidP="009D1B01">
      <w:pPr>
        <w:numPr>
          <w:ilvl w:val="0"/>
          <w:numId w:val="10"/>
        </w:numPr>
        <w:jc w:val="both"/>
        <w:rPr>
          <w:b/>
          <w:sz w:val="28"/>
          <w:szCs w:val="28"/>
        </w:rPr>
      </w:pPr>
      <w:r w:rsidRPr="000237B3">
        <w:rPr>
          <w:sz w:val="28"/>
          <w:szCs w:val="28"/>
        </w:rPr>
        <w:t xml:space="preserve">atsavināt neprivatizētus un izīrētus dzīvokļu ir tiesības tikai tām pašām personām, kas </w:t>
      </w:r>
      <w:r w:rsidR="00CF2CD2" w:rsidRPr="000237B3">
        <w:rPr>
          <w:sz w:val="28"/>
          <w:szCs w:val="28"/>
        </w:rPr>
        <w:t xml:space="preserve">jau </w:t>
      </w:r>
      <w:r w:rsidRPr="000237B3">
        <w:rPr>
          <w:sz w:val="28"/>
          <w:szCs w:val="28"/>
        </w:rPr>
        <w:t>ir atteikušās no to privatizācijas, tas ir, to īrniekiem, līdz ar to atsavināšanas procesa iespējamība pamatā ir atkarīga no īrnieku vēlmes iegūt īpašumā dzīvokli vai turpināt īres attiecības;</w:t>
      </w:r>
    </w:p>
    <w:p w:rsidR="0042583B" w:rsidRPr="000237B3" w:rsidRDefault="0042583B" w:rsidP="0042583B">
      <w:pPr>
        <w:numPr>
          <w:ilvl w:val="0"/>
          <w:numId w:val="10"/>
        </w:numPr>
        <w:jc w:val="both"/>
        <w:rPr>
          <w:b/>
          <w:sz w:val="28"/>
          <w:szCs w:val="28"/>
        </w:rPr>
      </w:pPr>
      <w:r w:rsidRPr="000237B3">
        <w:rPr>
          <w:sz w:val="28"/>
          <w:szCs w:val="28"/>
        </w:rPr>
        <w:t>izīrētu dzīvokļu atsavināšanas cena ir augstāka par privatizācijas vērtību, līdz ar to īrnieku interese atsavināt izīrētos dzīvokļus nav liela;</w:t>
      </w:r>
    </w:p>
    <w:p w:rsidR="009706FB" w:rsidRPr="000237B3" w:rsidRDefault="009706FB" w:rsidP="009D1B01">
      <w:pPr>
        <w:numPr>
          <w:ilvl w:val="0"/>
          <w:numId w:val="10"/>
        </w:numPr>
        <w:jc w:val="both"/>
        <w:rPr>
          <w:b/>
          <w:sz w:val="28"/>
          <w:szCs w:val="28"/>
        </w:rPr>
      </w:pPr>
      <w:r w:rsidRPr="000237B3">
        <w:rPr>
          <w:sz w:val="28"/>
          <w:szCs w:val="28"/>
        </w:rPr>
        <w:lastRenderedPageBreak/>
        <w:t xml:space="preserve">faktiski no visa dzīvojamā </w:t>
      </w:r>
      <w:r w:rsidR="00C17248" w:rsidRPr="000237B3">
        <w:rPr>
          <w:sz w:val="28"/>
          <w:szCs w:val="28"/>
        </w:rPr>
        <w:t>portfeļa vairs tikai nepilni 20</w:t>
      </w:r>
      <w:r w:rsidRPr="000237B3">
        <w:rPr>
          <w:sz w:val="28"/>
          <w:szCs w:val="28"/>
        </w:rPr>
        <w:t>% (1</w:t>
      </w:r>
      <w:r w:rsidR="000A565E" w:rsidRPr="000237B3">
        <w:rPr>
          <w:sz w:val="28"/>
          <w:szCs w:val="28"/>
        </w:rPr>
        <w:t>6</w:t>
      </w:r>
      <w:r w:rsidRPr="000237B3">
        <w:rPr>
          <w:sz w:val="28"/>
          <w:szCs w:val="28"/>
        </w:rPr>
        <w:t>% dzīvokļi un 1</w:t>
      </w:r>
      <w:r w:rsidR="000A565E" w:rsidRPr="000237B3">
        <w:rPr>
          <w:sz w:val="28"/>
          <w:szCs w:val="28"/>
        </w:rPr>
        <w:t>3</w:t>
      </w:r>
      <w:r w:rsidRPr="000237B3">
        <w:rPr>
          <w:sz w:val="28"/>
          <w:szCs w:val="28"/>
        </w:rPr>
        <w:t>% mājas) atrodas privatizācijas procesā, pārējā daļā tas jau ir pabeigts, bet personas nav vēlējušās izmantot savas tiesības uz privatizāciju.</w:t>
      </w:r>
    </w:p>
    <w:p w:rsidR="008A77B2" w:rsidRPr="000237B3" w:rsidRDefault="0042583B" w:rsidP="008A77B2">
      <w:pPr>
        <w:ind w:firstLine="720"/>
        <w:jc w:val="both"/>
        <w:rPr>
          <w:sz w:val="28"/>
          <w:szCs w:val="28"/>
        </w:rPr>
      </w:pPr>
      <w:r w:rsidRPr="000237B3">
        <w:rPr>
          <w:sz w:val="28"/>
          <w:szCs w:val="28"/>
        </w:rPr>
        <w:t xml:space="preserve">Šobrīd </w:t>
      </w:r>
      <w:r w:rsidR="002D43D9" w:rsidRPr="000237B3">
        <w:rPr>
          <w:rFonts w:cs="Times New Roman"/>
          <w:sz w:val="28"/>
          <w:szCs w:val="28"/>
        </w:rPr>
        <w:t>Aģentūra</w:t>
      </w:r>
      <w:r w:rsidRPr="000237B3">
        <w:rPr>
          <w:sz w:val="28"/>
          <w:szCs w:val="28"/>
        </w:rPr>
        <w:t xml:space="preserve"> veic tai neraksturīgu funkciju – ilgstoši pārvaldīt dzīvojamās mājas un dzīvokļu īpašumus, kuru privatizācijas process ir beidzies un privatizācijas tiesības nav izmantotas, tostarp arī sliktā tehniskā stāvoklī esošos objektus, un būtu svarīgi panākt, lai turpmāk šī dzīvojamā fonda pārvaldīšana tiek nodota pašvaldībām vai valsts izveidotai institūcijai</w:t>
      </w:r>
      <w:r w:rsidR="00AA1B91">
        <w:rPr>
          <w:sz w:val="28"/>
          <w:szCs w:val="28"/>
        </w:rPr>
        <w:t xml:space="preserve"> (kapitālsabiedrībai)</w:t>
      </w:r>
      <w:r w:rsidRPr="000237B3">
        <w:rPr>
          <w:sz w:val="28"/>
          <w:szCs w:val="28"/>
        </w:rPr>
        <w:t>, kuras pamatfunkcija ir valsts īpašuma pārvaldīšana (</w:t>
      </w:r>
      <w:r w:rsidR="00BC3243">
        <w:rPr>
          <w:sz w:val="28"/>
          <w:szCs w:val="28"/>
        </w:rPr>
        <w:t>valsts akciju sabiedrība</w:t>
      </w:r>
      <w:r w:rsidRPr="000237B3">
        <w:rPr>
          <w:sz w:val="28"/>
          <w:szCs w:val="28"/>
        </w:rPr>
        <w:t xml:space="preserve"> „Valsts nekustamie īpašumi”).</w:t>
      </w:r>
      <w:r w:rsidR="00507599" w:rsidRPr="000237B3">
        <w:rPr>
          <w:sz w:val="28"/>
          <w:szCs w:val="28"/>
        </w:rPr>
        <w:t xml:space="preserve"> </w:t>
      </w:r>
      <w:r w:rsidR="00215E1A" w:rsidRPr="000237B3">
        <w:rPr>
          <w:sz w:val="28"/>
          <w:szCs w:val="28"/>
        </w:rPr>
        <w:t>Aģentūras</w:t>
      </w:r>
      <w:r w:rsidR="008A77B2" w:rsidRPr="000237B3">
        <w:rPr>
          <w:sz w:val="28"/>
          <w:szCs w:val="28"/>
        </w:rPr>
        <w:t xml:space="preserve"> valdījumā esošo dzīvojamo māju un dzīvokļu uzturēšana un pārvaldīšana ir nepārtraukts process, kas saistīts ar izmaksām, līdz ar to rada Aģentūrai izdevumus, kuru segšanai ir nepieciešamas dotācijas no valsts budžeta līdzekļiem. Dzīvojamo māju uzturēšana un pārvaldīšana turpināma līdz nodošanai VAS “Valsts nekustamie īpašumi”, kura būtu pakāpeniski veicama sākot ar 2014.</w:t>
      </w:r>
      <w:r w:rsidR="004310F5" w:rsidRPr="000237B3">
        <w:rPr>
          <w:sz w:val="28"/>
          <w:szCs w:val="28"/>
        </w:rPr>
        <w:t>gada 1.janvāri.</w:t>
      </w:r>
    </w:p>
    <w:p w:rsidR="00405853" w:rsidRPr="000237B3" w:rsidRDefault="00405853" w:rsidP="0042583B">
      <w:pPr>
        <w:ind w:firstLine="720"/>
        <w:jc w:val="both"/>
        <w:rPr>
          <w:sz w:val="28"/>
          <w:szCs w:val="28"/>
        </w:rPr>
      </w:pPr>
    </w:p>
    <w:p w:rsidR="00745A40" w:rsidRPr="000237B3" w:rsidRDefault="00FA59C5" w:rsidP="00C557C4">
      <w:pPr>
        <w:pStyle w:val="Heading2"/>
        <w:rPr>
          <w:sz w:val="28"/>
          <w:szCs w:val="28"/>
        </w:rPr>
      </w:pPr>
      <w:bookmarkStart w:id="8" w:name="_Toc354069798"/>
      <w:r w:rsidRPr="000237B3">
        <w:rPr>
          <w:sz w:val="28"/>
          <w:szCs w:val="28"/>
        </w:rPr>
        <w:t>Valsts ka</w:t>
      </w:r>
      <w:r w:rsidR="00745A40" w:rsidRPr="000237B3">
        <w:rPr>
          <w:sz w:val="28"/>
          <w:szCs w:val="28"/>
        </w:rPr>
        <w:t>pitāla daļu privatizācija, atsavināšana un pārvaldīšana</w:t>
      </w:r>
      <w:bookmarkEnd w:id="8"/>
    </w:p>
    <w:p w:rsidR="00D30F43" w:rsidRPr="000237B3" w:rsidRDefault="00D30F43" w:rsidP="00C25731">
      <w:pPr>
        <w:ind w:firstLine="720"/>
        <w:jc w:val="both"/>
        <w:rPr>
          <w:rFonts w:cs="Times New Roman"/>
          <w:sz w:val="28"/>
          <w:szCs w:val="28"/>
        </w:rPr>
      </w:pPr>
    </w:p>
    <w:p w:rsidR="00372141" w:rsidRPr="000237B3" w:rsidRDefault="002D43D9" w:rsidP="00C25731">
      <w:pPr>
        <w:ind w:firstLine="720"/>
        <w:jc w:val="both"/>
        <w:rPr>
          <w:rFonts w:cs="Times New Roman"/>
          <w:sz w:val="28"/>
          <w:szCs w:val="28"/>
        </w:rPr>
      </w:pPr>
      <w:r w:rsidRPr="000237B3">
        <w:rPr>
          <w:rFonts w:cs="Times New Roman"/>
          <w:sz w:val="28"/>
          <w:szCs w:val="28"/>
        </w:rPr>
        <w:t>Aģentūra</w:t>
      </w:r>
      <w:r w:rsidR="00372141" w:rsidRPr="000237B3">
        <w:rPr>
          <w:rFonts w:cs="Times New Roman"/>
          <w:sz w:val="28"/>
          <w:szCs w:val="28"/>
        </w:rPr>
        <w:t xml:space="preserve"> saskaņā ar likumu „Par valsts un pašvaldību kapitāla daļām un kapitālsabiedrībām” </w:t>
      </w:r>
      <w:r w:rsidR="001F1CDC" w:rsidRPr="000237B3">
        <w:rPr>
          <w:rFonts w:cs="Times New Roman"/>
          <w:sz w:val="28"/>
          <w:szCs w:val="28"/>
        </w:rPr>
        <w:t xml:space="preserve">un likumu „Par valsts un pašvaldību īpašuma objektu privatizāciju” </w:t>
      </w:r>
      <w:r w:rsidR="00372141" w:rsidRPr="000237B3">
        <w:rPr>
          <w:rFonts w:cs="Times New Roman"/>
          <w:sz w:val="28"/>
          <w:szCs w:val="28"/>
        </w:rPr>
        <w:t xml:space="preserve">veic visas nepieciešamās darbības tās turējumā esošo valsts kapitāla daļu pārvaldīšanai, privatizācijai un atsavināšanai. </w:t>
      </w:r>
      <w:r w:rsidR="00C71640" w:rsidRPr="000237B3">
        <w:rPr>
          <w:rFonts w:cs="Times New Roman"/>
          <w:sz w:val="28"/>
          <w:szCs w:val="28"/>
        </w:rPr>
        <w:t>Aģentūra</w:t>
      </w:r>
      <w:r w:rsidR="00372141" w:rsidRPr="000237B3">
        <w:rPr>
          <w:rFonts w:cs="Times New Roman"/>
          <w:sz w:val="28"/>
          <w:szCs w:val="28"/>
        </w:rPr>
        <w:t xml:space="preserve"> tās turējumā esošo valsts kapitāla daļu pārvaldību veic saskaņā ar Ekonomiskās sadarbības un attīstības organizācijas un Baltijas korporatīvās pārvaldības institūta rekomendētajiem korporatīvās pārvaldības principiem, ievērojot Komerclikumā un likumā „Par valsts un pašvaldību kapitāla daļām un kapitālsabiedrībām” noteiktās kompetences:</w:t>
      </w:r>
    </w:p>
    <w:p w:rsidR="001F1CDC" w:rsidRPr="000237B3" w:rsidRDefault="001F1CDC" w:rsidP="00904EA4">
      <w:pPr>
        <w:pStyle w:val="ListParagraph"/>
        <w:numPr>
          <w:ilvl w:val="0"/>
          <w:numId w:val="3"/>
        </w:numPr>
        <w:jc w:val="both"/>
        <w:rPr>
          <w:rFonts w:cs="Times New Roman"/>
          <w:sz w:val="28"/>
          <w:szCs w:val="28"/>
        </w:rPr>
      </w:pPr>
      <w:r w:rsidRPr="000237B3">
        <w:rPr>
          <w:rFonts w:cs="Times New Roman"/>
          <w:sz w:val="28"/>
          <w:szCs w:val="28"/>
        </w:rPr>
        <w:t xml:space="preserve">Īsteno akcionāra/dalībnieka pienākumus, t.sk. pieņem </w:t>
      </w:r>
      <w:r w:rsidR="002D43D9" w:rsidRPr="000237B3">
        <w:rPr>
          <w:rFonts w:cs="Times New Roman"/>
          <w:sz w:val="28"/>
          <w:szCs w:val="28"/>
        </w:rPr>
        <w:t>Aģentūras</w:t>
      </w:r>
      <w:r w:rsidRPr="000237B3">
        <w:rPr>
          <w:rFonts w:cs="Times New Roman"/>
          <w:sz w:val="28"/>
          <w:szCs w:val="28"/>
        </w:rPr>
        <w:t xml:space="preserve"> lēmumus saistībā ar ikdienas pārvaldības jautājumiem (piemēram, par dalībnieka</w:t>
      </w:r>
      <w:r w:rsidR="00405853" w:rsidRPr="000237B3">
        <w:rPr>
          <w:rFonts w:cs="Times New Roman"/>
          <w:sz w:val="28"/>
          <w:szCs w:val="28"/>
        </w:rPr>
        <w:t>/akcionāra</w:t>
      </w:r>
      <w:r w:rsidRPr="000237B3">
        <w:rPr>
          <w:rFonts w:cs="Times New Roman"/>
          <w:sz w:val="28"/>
          <w:szCs w:val="28"/>
        </w:rPr>
        <w:t xml:space="preserve"> piekrišanu noteiktiem komercdarījumiem) un pārvaldes institūcijām (piemēram, kapitālsabiedrības valdes un padomes locekļu atlase, iecelšana amatā un atcelšana no tā). </w:t>
      </w:r>
    </w:p>
    <w:p w:rsidR="001F1CDC" w:rsidRPr="000237B3" w:rsidRDefault="001F1CDC" w:rsidP="001F1CDC">
      <w:pPr>
        <w:numPr>
          <w:ilvl w:val="0"/>
          <w:numId w:val="2"/>
        </w:numPr>
        <w:jc w:val="both"/>
        <w:rPr>
          <w:rFonts w:cs="Times New Roman"/>
          <w:sz w:val="28"/>
          <w:szCs w:val="28"/>
        </w:rPr>
      </w:pPr>
      <w:r w:rsidRPr="000237B3">
        <w:rPr>
          <w:rFonts w:cs="Times New Roman"/>
          <w:sz w:val="28"/>
          <w:szCs w:val="28"/>
        </w:rPr>
        <w:t xml:space="preserve">Nodrošina uzraudzību/kontroli pār sabiedrības darbību, neietekmējot padomes vai valdes lēmumu pieņemšanu, tajā skaitā organizē regulāras tikšanās ar </w:t>
      </w:r>
      <w:r w:rsidR="002D43D9" w:rsidRPr="000237B3">
        <w:rPr>
          <w:rFonts w:cs="Times New Roman"/>
          <w:sz w:val="28"/>
          <w:szCs w:val="28"/>
        </w:rPr>
        <w:t>Aģentūras</w:t>
      </w:r>
      <w:r w:rsidRPr="000237B3">
        <w:rPr>
          <w:rFonts w:cs="Times New Roman"/>
          <w:sz w:val="28"/>
          <w:szCs w:val="28"/>
        </w:rPr>
        <w:t xml:space="preserve"> nominētajiem sabiedrību pārvaldes institūciju locekļiem.</w:t>
      </w:r>
    </w:p>
    <w:p w:rsidR="001F1CDC" w:rsidRPr="000237B3" w:rsidRDefault="001F1CDC" w:rsidP="001F1CDC">
      <w:pPr>
        <w:numPr>
          <w:ilvl w:val="0"/>
          <w:numId w:val="2"/>
        </w:numPr>
        <w:jc w:val="both"/>
        <w:rPr>
          <w:rFonts w:cs="Times New Roman"/>
          <w:sz w:val="28"/>
          <w:szCs w:val="28"/>
        </w:rPr>
      </w:pPr>
      <w:r w:rsidRPr="000237B3">
        <w:rPr>
          <w:rFonts w:cs="Times New Roman"/>
          <w:sz w:val="28"/>
          <w:szCs w:val="28"/>
        </w:rPr>
        <w:t>Piedalās kapitālsabiedrību dalībnieku/akcionāru sapulcēs.</w:t>
      </w:r>
    </w:p>
    <w:p w:rsidR="001F1CDC" w:rsidRPr="000237B3" w:rsidRDefault="001F1CDC" w:rsidP="001F1CDC">
      <w:pPr>
        <w:numPr>
          <w:ilvl w:val="0"/>
          <w:numId w:val="2"/>
        </w:numPr>
        <w:jc w:val="both"/>
        <w:rPr>
          <w:rFonts w:cs="Times New Roman"/>
          <w:sz w:val="28"/>
          <w:szCs w:val="28"/>
        </w:rPr>
      </w:pPr>
      <w:r w:rsidRPr="000237B3">
        <w:rPr>
          <w:rFonts w:cs="Times New Roman"/>
          <w:sz w:val="28"/>
          <w:szCs w:val="28"/>
        </w:rPr>
        <w:t xml:space="preserve">Nodrošina pārvaldību ar sabalansētu resursu izlietojumu no </w:t>
      </w:r>
      <w:r w:rsidR="002D43D9" w:rsidRPr="000237B3">
        <w:rPr>
          <w:rFonts w:cs="Times New Roman"/>
          <w:sz w:val="28"/>
          <w:szCs w:val="28"/>
        </w:rPr>
        <w:t>Aģentūras</w:t>
      </w:r>
      <w:r w:rsidRPr="000237B3">
        <w:rPr>
          <w:rFonts w:cs="Times New Roman"/>
          <w:sz w:val="28"/>
          <w:szCs w:val="28"/>
        </w:rPr>
        <w:t xml:space="preserve"> un attiecīgās kapitālsabiedrības puses.</w:t>
      </w:r>
    </w:p>
    <w:p w:rsidR="001F1CDC" w:rsidRPr="000237B3" w:rsidRDefault="001F1CDC" w:rsidP="001F1CDC">
      <w:pPr>
        <w:numPr>
          <w:ilvl w:val="0"/>
          <w:numId w:val="2"/>
        </w:numPr>
        <w:jc w:val="both"/>
        <w:rPr>
          <w:rFonts w:cs="Times New Roman"/>
          <w:sz w:val="28"/>
          <w:szCs w:val="28"/>
        </w:rPr>
      </w:pPr>
      <w:r w:rsidRPr="000237B3">
        <w:rPr>
          <w:rFonts w:cs="Times New Roman"/>
          <w:sz w:val="28"/>
          <w:szCs w:val="28"/>
        </w:rPr>
        <w:t>Piemēro pēc iespējas vienādu pieeju kapitālsabiedrību pārvaldībā.</w:t>
      </w:r>
    </w:p>
    <w:p w:rsidR="001F1CDC" w:rsidRPr="000237B3" w:rsidRDefault="001F1CDC" w:rsidP="001F1CDC">
      <w:pPr>
        <w:numPr>
          <w:ilvl w:val="0"/>
          <w:numId w:val="2"/>
        </w:numPr>
        <w:jc w:val="both"/>
        <w:rPr>
          <w:rFonts w:cs="Times New Roman"/>
          <w:sz w:val="28"/>
          <w:szCs w:val="28"/>
        </w:rPr>
      </w:pPr>
      <w:r w:rsidRPr="000237B3">
        <w:rPr>
          <w:rFonts w:cs="Times New Roman"/>
          <w:sz w:val="28"/>
          <w:szCs w:val="28"/>
        </w:rPr>
        <w:lastRenderedPageBreak/>
        <w:t>Saņem informāciju par kapitālsabiedrības darbību un problēmjautājumiem, kur nepieciešama akcionāra/dalībnieka rīcība.</w:t>
      </w:r>
    </w:p>
    <w:p w:rsidR="001F1CDC" w:rsidRPr="000237B3" w:rsidRDefault="001F1CDC" w:rsidP="001F1CDC">
      <w:pPr>
        <w:numPr>
          <w:ilvl w:val="0"/>
          <w:numId w:val="2"/>
        </w:numPr>
        <w:jc w:val="both"/>
        <w:rPr>
          <w:rFonts w:cs="Times New Roman"/>
          <w:sz w:val="28"/>
          <w:szCs w:val="28"/>
        </w:rPr>
      </w:pPr>
      <w:r w:rsidRPr="000237B3">
        <w:rPr>
          <w:rFonts w:cs="Times New Roman"/>
          <w:sz w:val="28"/>
          <w:szCs w:val="28"/>
        </w:rPr>
        <w:t xml:space="preserve">Pēc nepieciešamības piedalās Ministru kabineta izveidotu darba grupu darbā, izstrādā nepieciešamo tiesību aktu projektus. </w:t>
      </w:r>
    </w:p>
    <w:p w:rsidR="004A55AA" w:rsidRPr="000237B3" w:rsidRDefault="004A55AA" w:rsidP="001F1CDC">
      <w:pPr>
        <w:jc w:val="both"/>
        <w:rPr>
          <w:rFonts w:cs="Times New Roman"/>
          <w:sz w:val="28"/>
          <w:szCs w:val="28"/>
        </w:rPr>
      </w:pPr>
    </w:p>
    <w:p w:rsidR="00225B1A" w:rsidRDefault="00020B95" w:rsidP="00225B1A">
      <w:pPr>
        <w:pStyle w:val="BodyText2"/>
        <w:ind w:firstLine="720"/>
        <w:jc w:val="both"/>
        <w:rPr>
          <w:sz w:val="28"/>
          <w:szCs w:val="28"/>
        </w:rPr>
      </w:pPr>
      <w:r w:rsidRPr="000237B3">
        <w:rPr>
          <w:sz w:val="28"/>
          <w:szCs w:val="28"/>
        </w:rPr>
        <w:t xml:space="preserve">Uz </w:t>
      </w:r>
      <w:r w:rsidR="00116E73">
        <w:rPr>
          <w:sz w:val="28"/>
          <w:szCs w:val="28"/>
        </w:rPr>
        <w:t xml:space="preserve">2013.gada 31.martu </w:t>
      </w:r>
      <w:r w:rsidR="002D43D9" w:rsidRPr="000237B3">
        <w:rPr>
          <w:sz w:val="28"/>
          <w:szCs w:val="28"/>
        </w:rPr>
        <w:t>Aģentūras</w:t>
      </w:r>
      <w:r w:rsidRPr="000237B3">
        <w:rPr>
          <w:sz w:val="28"/>
          <w:szCs w:val="28"/>
        </w:rPr>
        <w:t xml:space="preserve"> turējumā bija valsts kapitāla daļas </w:t>
      </w:r>
      <w:r w:rsidR="00116E73" w:rsidRPr="000237B3">
        <w:rPr>
          <w:b/>
          <w:sz w:val="28"/>
          <w:szCs w:val="28"/>
        </w:rPr>
        <w:t>1</w:t>
      </w:r>
      <w:r w:rsidR="00116E73">
        <w:rPr>
          <w:b/>
          <w:sz w:val="28"/>
          <w:szCs w:val="28"/>
        </w:rPr>
        <w:t>0</w:t>
      </w:r>
      <w:r w:rsidR="00116E73" w:rsidRPr="000237B3">
        <w:rPr>
          <w:b/>
          <w:sz w:val="28"/>
          <w:szCs w:val="28"/>
        </w:rPr>
        <w:t xml:space="preserve"> </w:t>
      </w:r>
      <w:r w:rsidRPr="000237B3">
        <w:rPr>
          <w:b/>
          <w:sz w:val="28"/>
          <w:szCs w:val="28"/>
        </w:rPr>
        <w:t>kapitālsabiedrībās</w:t>
      </w:r>
      <w:r w:rsidRPr="000237B3">
        <w:rPr>
          <w:sz w:val="28"/>
          <w:szCs w:val="28"/>
        </w:rPr>
        <w:t xml:space="preserve">, </w:t>
      </w:r>
      <w:r w:rsidR="00372B72">
        <w:rPr>
          <w:sz w:val="28"/>
          <w:szCs w:val="28"/>
        </w:rPr>
        <w:t xml:space="preserve">kurās atrodas </w:t>
      </w:r>
      <w:r w:rsidR="00372B72" w:rsidRPr="00372B72">
        <w:rPr>
          <w:sz w:val="28"/>
          <w:szCs w:val="28"/>
        </w:rPr>
        <w:t xml:space="preserve">privatizējamās </w:t>
      </w:r>
      <w:r w:rsidR="00372B72">
        <w:rPr>
          <w:sz w:val="28"/>
          <w:szCs w:val="28"/>
        </w:rPr>
        <w:t xml:space="preserve">valsts kapitāla daļas </w:t>
      </w:r>
      <w:r w:rsidRPr="000237B3">
        <w:rPr>
          <w:sz w:val="28"/>
          <w:szCs w:val="28"/>
        </w:rPr>
        <w:t xml:space="preserve">(no tām </w:t>
      </w:r>
      <w:r w:rsidR="00116E73">
        <w:rPr>
          <w:sz w:val="28"/>
          <w:szCs w:val="28"/>
        </w:rPr>
        <w:t xml:space="preserve">4 </w:t>
      </w:r>
      <w:r w:rsidRPr="000237B3">
        <w:rPr>
          <w:sz w:val="28"/>
          <w:szCs w:val="28"/>
        </w:rPr>
        <w:t xml:space="preserve">maksātnespējīgās vai likvidējamās sabiedrībās). Detalizētu </w:t>
      </w:r>
      <w:r w:rsidR="00327093" w:rsidRPr="000237B3">
        <w:rPr>
          <w:sz w:val="28"/>
          <w:szCs w:val="28"/>
        </w:rPr>
        <w:t>Aģentūras</w:t>
      </w:r>
      <w:r w:rsidRPr="000237B3">
        <w:rPr>
          <w:sz w:val="28"/>
          <w:szCs w:val="28"/>
        </w:rPr>
        <w:t xml:space="preserve"> turējumā esošo kapitālsabiedrību sarakstu skat. pielikumā Nr.1. </w:t>
      </w:r>
    </w:p>
    <w:p w:rsidR="00225B1A" w:rsidRDefault="00225B1A" w:rsidP="00225B1A">
      <w:pPr>
        <w:pStyle w:val="BodyText2"/>
        <w:ind w:firstLine="720"/>
        <w:jc w:val="right"/>
        <w:rPr>
          <w:sz w:val="28"/>
          <w:szCs w:val="28"/>
        </w:rPr>
      </w:pPr>
    </w:p>
    <w:p w:rsidR="00225B1A" w:rsidRPr="000237B3" w:rsidRDefault="00225B1A" w:rsidP="00225B1A">
      <w:pPr>
        <w:pStyle w:val="BodyText2"/>
        <w:ind w:firstLine="720"/>
        <w:jc w:val="right"/>
        <w:rPr>
          <w:rStyle w:val="CommentReference"/>
          <w:rFonts w:eastAsiaTheme="minorEastAsia" w:cstheme="minorBidi"/>
          <w:sz w:val="28"/>
          <w:szCs w:val="28"/>
          <w:lang w:eastAsia="zh-CN"/>
        </w:rPr>
      </w:pPr>
      <w:r w:rsidRPr="000237B3">
        <w:rPr>
          <w:rStyle w:val="CommentReference"/>
          <w:rFonts w:eastAsiaTheme="minorEastAsia" w:cstheme="minorBidi"/>
          <w:sz w:val="28"/>
          <w:szCs w:val="28"/>
          <w:lang w:eastAsia="zh-CN"/>
        </w:rPr>
        <w:t>Grafiks Nr.6</w:t>
      </w:r>
    </w:p>
    <w:p w:rsidR="00225B1A" w:rsidRPr="00426EEF" w:rsidRDefault="00DB3A0F" w:rsidP="00225B1A">
      <w:pPr>
        <w:jc w:val="center"/>
      </w:pPr>
      <w:r>
        <w:rPr>
          <w:noProof/>
          <w:lang w:eastAsia="lv-LV"/>
        </w:rPr>
        <w:drawing>
          <wp:inline distT="0" distB="0" distL="0" distR="0" wp14:anchorId="551C3667" wp14:editId="365FE89B">
            <wp:extent cx="5242783" cy="266592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0119" cy="2669657"/>
                    </a:xfrm>
                    <a:prstGeom prst="rect">
                      <a:avLst/>
                    </a:prstGeom>
                    <a:noFill/>
                  </pic:spPr>
                </pic:pic>
              </a:graphicData>
            </a:graphic>
          </wp:inline>
        </w:drawing>
      </w:r>
    </w:p>
    <w:p w:rsidR="00020B95" w:rsidRPr="000237B3" w:rsidRDefault="00020B95" w:rsidP="00020B95">
      <w:pPr>
        <w:ind w:firstLine="709"/>
        <w:jc w:val="both"/>
        <w:rPr>
          <w:rFonts w:cs="Times New Roman"/>
          <w:sz w:val="28"/>
          <w:szCs w:val="28"/>
        </w:rPr>
      </w:pPr>
    </w:p>
    <w:p w:rsidR="00225B1A" w:rsidRDefault="00020B95" w:rsidP="00225B1A">
      <w:pPr>
        <w:ind w:firstLine="720"/>
        <w:jc w:val="both"/>
        <w:rPr>
          <w:sz w:val="28"/>
        </w:rPr>
      </w:pPr>
      <w:r w:rsidRPr="000237B3">
        <w:rPr>
          <w:rFonts w:cs="Times New Roman"/>
          <w:sz w:val="28"/>
          <w:szCs w:val="28"/>
        </w:rPr>
        <w:t xml:space="preserve">Turējumā esošo valsts kapitāla daļu skaits ir dinamisks. </w:t>
      </w:r>
      <w:r w:rsidR="002D43D9" w:rsidRPr="00225B1A">
        <w:rPr>
          <w:rFonts w:cs="Times New Roman"/>
          <w:sz w:val="28"/>
          <w:szCs w:val="28"/>
        </w:rPr>
        <w:t>Aģentūra</w:t>
      </w:r>
      <w:r w:rsidRPr="00225B1A">
        <w:rPr>
          <w:rFonts w:cs="Times New Roman"/>
          <w:sz w:val="28"/>
          <w:szCs w:val="28"/>
        </w:rPr>
        <w:t xml:space="preserve"> 2012.gada jūlijā pārņēma turējumā valsts kapitāla daļas divās kapitālsabiedrībās </w:t>
      </w:r>
      <w:r w:rsidRPr="000237B3">
        <w:rPr>
          <w:rFonts w:cs="Times New Roman"/>
          <w:sz w:val="28"/>
          <w:szCs w:val="28"/>
        </w:rPr>
        <w:t>–</w:t>
      </w:r>
      <w:r w:rsidR="00F57826">
        <w:rPr>
          <w:rFonts w:cs="Times New Roman"/>
          <w:sz w:val="28"/>
          <w:szCs w:val="28"/>
        </w:rPr>
        <w:t xml:space="preserve"> </w:t>
      </w:r>
      <w:r w:rsidR="00BC3243">
        <w:rPr>
          <w:rFonts w:cs="Times New Roman"/>
          <w:sz w:val="28"/>
          <w:szCs w:val="28"/>
        </w:rPr>
        <w:t>akciju sabiedrībā</w:t>
      </w:r>
      <w:r w:rsidRPr="000237B3">
        <w:rPr>
          <w:rFonts w:cs="Times New Roman"/>
          <w:sz w:val="28"/>
          <w:szCs w:val="28"/>
        </w:rPr>
        <w:t xml:space="preserve"> „Nagļi” (Latvijas valstij pieder 7,61%) un </w:t>
      </w:r>
      <w:r w:rsidR="00F57826">
        <w:rPr>
          <w:rFonts w:cs="Times New Roman"/>
          <w:sz w:val="28"/>
          <w:szCs w:val="28"/>
        </w:rPr>
        <w:t>sabiedrībā</w:t>
      </w:r>
      <w:r w:rsidR="00F57826" w:rsidRPr="00F57826">
        <w:rPr>
          <w:rFonts w:cs="Times New Roman"/>
          <w:sz w:val="28"/>
          <w:szCs w:val="28"/>
        </w:rPr>
        <w:t xml:space="preserve"> ar ierobežotu atbildību</w:t>
      </w:r>
      <w:r w:rsidRPr="000237B3">
        <w:rPr>
          <w:rFonts w:cs="Times New Roman"/>
          <w:sz w:val="28"/>
          <w:szCs w:val="28"/>
        </w:rPr>
        <w:t xml:space="preserve"> „Latgales enerģētika” (Latvijas valstij pieder 1,7%). </w:t>
      </w:r>
      <w:r w:rsidRPr="000237B3">
        <w:rPr>
          <w:sz w:val="28"/>
          <w:szCs w:val="28"/>
        </w:rPr>
        <w:t>2012.gada pēdējā ceturksnī noslēgt</w:t>
      </w:r>
      <w:r w:rsidR="005405EE" w:rsidRPr="000237B3">
        <w:rPr>
          <w:sz w:val="28"/>
          <w:szCs w:val="28"/>
        </w:rPr>
        <w:t>i</w:t>
      </w:r>
      <w:r w:rsidRPr="000237B3">
        <w:rPr>
          <w:sz w:val="28"/>
          <w:szCs w:val="28"/>
        </w:rPr>
        <w:t xml:space="preserve"> valsts kapitāla daļu pirkuma līgum</w:t>
      </w:r>
      <w:r w:rsidR="005405EE" w:rsidRPr="000237B3">
        <w:rPr>
          <w:sz w:val="28"/>
          <w:szCs w:val="28"/>
        </w:rPr>
        <w:t>i</w:t>
      </w:r>
      <w:r w:rsidRPr="000237B3">
        <w:rPr>
          <w:sz w:val="28"/>
          <w:szCs w:val="28"/>
        </w:rPr>
        <w:t xml:space="preserve"> par </w:t>
      </w:r>
      <w:r w:rsidR="00F57826">
        <w:rPr>
          <w:sz w:val="28"/>
          <w:szCs w:val="28"/>
        </w:rPr>
        <w:t>sabiedrības</w:t>
      </w:r>
      <w:r w:rsidR="00F57826" w:rsidRPr="00F57826">
        <w:rPr>
          <w:sz w:val="28"/>
          <w:szCs w:val="28"/>
        </w:rPr>
        <w:t xml:space="preserve"> ar ierobežotu atbildību</w:t>
      </w:r>
      <w:r w:rsidRPr="000237B3">
        <w:rPr>
          <w:sz w:val="28"/>
          <w:szCs w:val="28"/>
        </w:rPr>
        <w:t xml:space="preserve"> „</w:t>
      </w:r>
      <w:proofErr w:type="spellStart"/>
      <w:r w:rsidRPr="000237B3">
        <w:rPr>
          <w:sz w:val="28"/>
          <w:szCs w:val="28"/>
        </w:rPr>
        <w:t>Latvijasmernieks.lv</w:t>
      </w:r>
      <w:proofErr w:type="spellEnd"/>
      <w:r w:rsidRPr="000237B3">
        <w:rPr>
          <w:sz w:val="28"/>
          <w:szCs w:val="28"/>
        </w:rPr>
        <w:t xml:space="preserve">” 100% kapitāla daļu pārdošanu un </w:t>
      </w:r>
      <w:r w:rsidR="00BC3243">
        <w:rPr>
          <w:sz w:val="28"/>
          <w:szCs w:val="28"/>
        </w:rPr>
        <w:t>akciju sabiedrības</w:t>
      </w:r>
      <w:r w:rsidR="00BC3243" w:rsidRPr="00BC3243">
        <w:rPr>
          <w:sz w:val="28"/>
          <w:szCs w:val="28"/>
        </w:rPr>
        <w:t xml:space="preserve"> </w:t>
      </w:r>
      <w:r w:rsidRPr="000237B3">
        <w:rPr>
          <w:sz w:val="28"/>
          <w:szCs w:val="28"/>
        </w:rPr>
        <w:t xml:space="preserve">„Jelgavas siltumtīklu uzņēmums” 23,85% akciju pārdošanu, gandrīz pusmiljona latu kopsummā (489 975 lati). </w:t>
      </w:r>
      <w:r w:rsidR="00200941" w:rsidRPr="000237B3">
        <w:rPr>
          <w:sz w:val="28"/>
          <w:szCs w:val="28"/>
        </w:rPr>
        <w:t>Savukārt</w:t>
      </w:r>
      <w:r w:rsidR="00DB2EBD" w:rsidRPr="000237B3">
        <w:rPr>
          <w:sz w:val="28"/>
          <w:szCs w:val="28"/>
        </w:rPr>
        <w:t xml:space="preserve"> </w:t>
      </w:r>
      <w:r w:rsidR="00225B1A">
        <w:rPr>
          <w:sz w:val="28"/>
          <w:szCs w:val="28"/>
        </w:rPr>
        <w:t xml:space="preserve">2012.gadā </w:t>
      </w:r>
      <w:r w:rsidR="00DB2EBD" w:rsidRPr="000237B3">
        <w:rPr>
          <w:sz w:val="28"/>
          <w:szCs w:val="28"/>
        </w:rPr>
        <w:t>attiecībā uz</w:t>
      </w:r>
      <w:r w:rsidR="00200941" w:rsidRPr="000237B3">
        <w:rPr>
          <w:sz w:val="28"/>
          <w:szCs w:val="28"/>
        </w:rPr>
        <w:t xml:space="preserve"> 6 kapitālsabiedrīb</w:t>
      </w:r>
      <w:r w:rsidR="00DB2EBD" w:rsidRPr="000237B3">
        <w:rPr>
          <w:sz w:val="28"/>
          <w:szCs w:val="28"/>
        </w:rPr>
        <w:t>ām, kurās Aģentūra bija kapitāla daļu turētājs,</w:t>
      </w:r>
      <w:r w:rsidR="00200941" w:rsidRPr="000237B3">
        <w:rPr>
          <w:sz w:val="28"/>
          <w:szCs w:val="28"/>
        </w:rPr>
        <w:t xml:space="preserve"> tika pabeigts likvidācijas vai maksātnespējas process, kura rezultātā tās tika izslēgtas no Uzņēmumu reģistra (MVSIA Lata Holdings, LAS Wood Products, LAS Baltic Foundation, LAS Jūrmalas tara, LAS Latvijas celtnieks, SIA Georgs).</w:t>
      </w:r>
      <w:r w:rsidR="00225B1A">
        <w:rPr>
          <w:sz w:val="28"/>
          <w:szCs w:val="28"/>
        </w:rPr>
        <w:t xml:space="preserve"> </w:t>
      </w:r>
      <w:r w:rsidR="00225B1A" w:rsidRPr="004F7088">
        <w:rPr>
          <w:sz w:val="28"/>
        </w:rPr>
        <w:t>2013.gada I ceturksnī likvidēta MSIA „</w:t>
      </w:r>
      <w:proofErr w:type="spellStart"/>
      <w:r w:rsidR="00225B1A" w:rsidRPr="004F7088">
        <w:rPr>
          <w:sz w:val="28"/>
        </w:rPr>
        <w:t>Talmeta</w:t>
      </w:r>
      <w:proofErr w:type="spellEnd"/>
      <w:r w:rsidR="00225B1A" w:rsidRPr="004F7088">
        <w:rPr>
          <w:sz w:val="28"/>
        </w:rPr>
        <w:t xml:space="preserve">” un  </w:t>
      </w:r>
      <w:r w:rsidR="00340715" w:rsidRPr="00340715">
        <w:rPr>
          <w:sz w:val="28"/>
        </w:rPr>
        <w:t>akciju sabiedrība</w:t>
      </w:r>
      <w:r w:rsidR="00225B1A" w:rsidRPr="004F7088">
        <w:rPr>
          <w:sz w:val="28"/>
        </w:rPr>
        <w:t xml:space="preserve"> „Īpašumi”</w:t>
      </w:r>
      <w:r w:rsidR="00D26A0F">
        <w:rPr>
          <w:sz w:val="28"/>
        </w:rPr>
        <w:t xml:space="preserve">. </w:t>
      </w:r>
    </w:p>
    <w:p w:rsidR="00020B95" w:rsidRPr="000237B3" w:rsidRDefault="00020B95" w:rsidP="00020B95">
      <w:pPr>
        <w:ind w:firstLine="709"/>
        <w:jc w:val="both"/>
        <w:rPr>
          <w:rFonts w:cs="Times New Roman"/>
          <w:sz w:val="28"/>
          <w:szCs w:val="28"/>
        </w:rPr>
      </w:pPr>
      <w:r w:rsidRPr="000237B3">
        <w:rPr>
          <w:rFonts w:cs="Times New Roman"/>
          <w:sz w:val="28"/>
          <w:szCs w:val="28"/>
        </w:rPr>
        <w:t xml:space="preserve">Vērtīgākās kapitālsabiedrības, kuru kapitāla daļu turētājs ir </w:t>
      </w:r>
      <w:r w:rsidR="002D43D9" w:rsidRPr="000237B3">
        <w:rPr>
          <w:rFonts w:cs="Times New Roman"/>
          <w:sz w:val="28"/>
          <w:szCs w:val="28"/>
        </w:rPr>
        <w:t>Aģentūra</w:t>
      </w:r>
      <w:r w:rsidRPr="000237B3">
        <w:rPr>
          <w:rFonts w:cs="Times New Roman"/>
          <w:sz w:val="28"/>
          <w:szCs w:val="28"/>
        </w:rPr>
        <w:t>, ir:</w:t>
      </w:r>
    </w:p>
    <w:p w:rsidR="00020B95" w:rsidRPr="000237B3" w:rsidRDefault="00F57826" w:rsidP="00904EA4">
      <w:pPr>
        <w:pStyle w:val="ListParagraph"/>
        <w:numPr>
          <w:ilvl w:val="0"/>
          <w:numId w:val="3"/>
        </w:numPr>
        <w:jc w:val="both"/>
        <w:rPr>
          <w:rFonts w:cs="Times New Roman"/>
          <w:sz w:val="28"/>
          <w:szCs w:val="28"/>
        </w:rPr>
      </w:pPr>
      <w:r w:rsidRPr="00F57826">
        <w:rPr>
          <w:rFonts w:cs="Times New Roman"/>
          <w:sz w:val="28"/>
          <w:szCs w:val="28"/>
        </w:rPr>
        <w:lastRenderedPageBreak/>
        <w:t>sabiedrības ar ierobežotu atbildību</w:t>
      </w:r>
      <w:r w:rsidR="00020B95" w:rsidRPr="000237B3">
        <w:rPr>
          <w:rFonts w:cs="Times New Roman"/>
          <w:sz w:val="28"/>
          <w:szCs w:val="28"/>
        </w:rPr>
        <w:t xml:space="preserve"> „</w:t>
      </w:r>
      <w:proofErr w:type="spellStart"/>
      <w:r w:rsidR="00020B95" w:rsidRPr="000237B3">
        <w:rPr>
          <w:rFonts w:cs="Times New Roman"/>
          <w:sz w:val="28"/>
          <w:szCs w:val="28"/>
        </w:rPr>
        <w:t>Lattelecom</w:t>
      </w:r>
      <w:proofErr w:type="spellEnd"/>
      <w:r w:rsidR="00020B95" w:rsidRPr="000237B3">
        <w:rPr>
          <w:rFonts w:cs="Times New Roman"/>
          <w:sz w:val="28"/>
          <w:szCs w:val="28"/>
        </w:rPr>
        <w:t>” – Latvijas valstij pieder 51% kapitāla daļu;</w:t>
      </w:r>
    </w:p>
    <w:p w:rsidR="00020B95" w:rsidRPr="000237B3" w:rsidRDefault="00F57826" w:rsidP="00F57826">
      <w:pPr>
        <w:numPr>
          <w:ilvl w:val="0"/>
          <w:numId w:val="3"/>
        </w:numPr>
        <w:jc w:val="both"/>
        <w:rPr>
          <w:rFonts w:cs="Times New Roman"/>
          <w:sz w:val="28"/>
          <w:szCs w:val="28"/>
        </w:rPr>
      </w:pPr>
      <w:r w:rsidRPr="00F57826">
        <w:rPr>
          <w:rFonts w:cs="Times New Roman"/>
          <w:sz w:val="28"/>
          <w:szCs w:val="28"/>
        </w:rPr>
        <w:t>sabiedrības ar ierobežotu atbildību</w:t>
      </w:r>
      <w:r w:rsidR="00020B95" w:rsidRPr="000237B3">
        <w:rPr>
          <w:rFonts w:cs="Times New Roman"/>
          <w:sz w:val="28"/>
          <w:szCs w:val="28"/>
        </w:rPr>
        <w:t xml:space="preserve"> „Latvijas Mobilais Telefons” – Latvijas valstij tieši pieder 5% kapitāla daļu un netieši vēl 34,73% kapitāla daļu (</w:t>
      </w:r>
      <w:r>
        <w:rPr>
          <w:rFonts w:cs="Times New Roman"/>
          <w:sz w:val="28"/>
          <w:szCs w:val="28"/>
        </w:rPr>
        <w:t>sabiedrībai</w:t>
      </w:r>
      <w:r w:rsidRPr="00F57826">
        <w:rPr>
          <w:rFonts w:cs="Times New Roman"/>
          <w:sz w:val="28"/>
          <w:szCs w:val="28"/>
        </w:rPr>
        <w:t xml:space="preserve"> ar ierobežotu atbildību</w:t>
      </w:r>
      <w:r w:rsidR="00020B95" w:rsidRPr="000237B3">
        <w:rPr>
          <w:rFonts w:cs="Times New Roman"/>
          <w:sz w:val="28"/>
          <w:szCs w:val="28"/>
        </w:rPr>
        <w:t xml:space="preserve"> „</w:t>
      </w:r>
      <w:proofErr w:type="spellStart"/>
      <w:r w:rsidR="00020B95" w:rsidRPr="000237B3">
        <w:rPr>
          <w:rFonts w:cs="Times New Roman"/>
          <w:sz w:val="28"/>
          <w:szCs w:val="28"/>
        </w:rPr>
        <w:t>Lattelecom</w:t>
      </w:r>
      <w:proofErr w:type="spellEnd"/>
      <w:r w:rsidR="00020B95" w:rsidRPr="000237B3">
        <w:rPr>
          <w:rFonts w:cs="Times New Roman"/>
          <w:sz w:val="28"/>
          <w:szCs w:val="28"/>
        </w:rPr>
        <w:t xml:space="preserve">” un </w:t>
      </w:r>
      <w:r w:rsidR="00BC3243" w:rsidRPr="00BC3243">
        <w:rPr>
          <w:rFonts w:cs="Times New Roman"/>
          <w:sz w:val="28"/>
          <w:szCs w:val="28"/>
        </w:rPr>
        <w:t>valsts akciju sabiedrībai</w:t>
      </w:r>
      <w:r w:rsidR="00020B95" w:rsidRPr="000237B3">
        <w:rPr>
          <w:rFonts w:cs="Times New Roman"/>
          <w:sz w:val="28"/>
          <w:szCs w:val="28"/>
        </w:rPr>
        <w:t xml:space="preserve"> „Latvijas Valsts radio un televīzijas centrs”). </w:t>
      </w:r>
    </w:p>
    <w:p w:rsidR="00020B95" w:rsidRPr="000237B3" w:rsidRDefault="002D43D9" w:rsidP="00020B95">
      <w:pPr>
        <w:ind w:firstLine="720"/>
        <w:jc w:val="both"/>
        <w:rPr>
          <w:rFonts w:cs="Times New Roman"/>
          <w:sz w:val="28"/>
          <w:szCs w:val="28"/>
        </w:rPr>
      </w:pPr>
      <w:r w:rsidRPr="000237B3">
        <w:rPr>
          <w:rFonts w:cs="Times New Roman"/>
          <w:sz w:val="28"/>
          <w:szCs w:val="28"/>
        </w:rPr>
        <w:t>Aģentūras</w:t>
      </w:r>
      <w:r w:rsidR="00020B95" w:rsidRPr="000237B3">
        <w:rPr>
          <w:rFonts w:cs="Times New Roman"/>
          <w:sz w:val="28"/>
          <w:szCs w:val="28"/>
        </w:rPr>
        <w:t xml:space="preserve"> izmaksās un ienākumos nav iekļauti ienākumi un izdevumi sakarā ar </w:t>
      </w:r>
      <w:r w:rsidR="00F57826" w:rsidRPr="00F57826">
        <w:rPr>
          <w:rFonts w:cs="Times New Roman"/>
          <w:sz w:val="28"/>
          <w:szCs w:val="28"/>
        </w:rPr>
        <w:t>sabiedrības ar ierobežotu atbildību</w:t>
      </w:r>
      <w:r w:rsidR="00020B95" w:rsidRPr="000237B3">
        <w:rPr>
          <w:rFonts w:cs="Times New Roman"/>
          <w:sz w:val="28"/>
          <w:szCs w:val="28"/>
        </w:rPr>
        <w:t xml:space="preserve"> „</w:t>
      </w:r>
      <w:proofErr w:type="spellStart"/>
      <w:r w:rsidR="00020B95" w:rsidRPr="000237B3">
        <w:rPr>
          <w:rFonts w:cs="Times New Roman"/>
          <w:sz w:val="28"/>
          <w:szCs w:val="28"/>
        </w:rPr>
        <w:t>Lattelecom</w:t>
      </w:r>
      <w:proofErr w:type="spellEnd"/>
      <w:r w:rsidR="00020B95" w:rsidRPr="000237B3">
        <w:rPr>
          <w:rFonts w:cs="Times New Roman"/>
          <w:sz w:val="28"/>
          <w:szCs w:val="28"/>
        </w:rPr>
        <w:t xml:space="preserve">” un </w:t>
      </w:r>
      <w:r w:rsidR="00F57826" w:rsidRPr="00F57826">
        <w:rPr>
          <w:rFonts w:cs="Times New Roman"/>
          <w:sz w:val="28"/>
          <w:szCs w:val="28"/>
        </w:rPr>
        <w:t>sabiedrības ar ierobežotu atbildību</w:t>
      </w:r>
      <w:r w:rsidR="00020B95" w:rsidRPr="000237B3">
        <w:rPr>
          <w:rFonts w:cs="Times New Roman"/>
          <w:sz w:val="28"/>
          <w:szCs w:val="28"/>
        </w:rPr>
        <w:t xml:space="preserve"> „Latvijas Mobilais Telefons” iespējamajām privatizācijas darbībām.  </w:t>
      </w:r>
    </w:p>
    <w:p w:rsidR="001C5783" w:rsidRPr="000237B3" w:rsidRDefault="002D43D9" w:rsidP="001C5783">
      <w:pPr>
        <w:ind w:firstLine="720"/>
        <w:jc w:val="both"/>
        <w:rPr>
          <w:sz w:val="28"/>
          <w:szCs w:val="28"/>
        </w:rPr>
      </w:pPr>
      <w:r w:rsidRPr="000237B3">
        <w:rPr>
          <w:rFonts w:cs="Times New Roman"/>
          <w:sz w:val="28"/>
          <w:szCs w:val="28"/>
        </w:rPr>
        <w:t>Aģentūras</w:t>
      </w:r>
      <w:r w:rsidR="00D30A51" w:rsidRPr="000237B3">
        <w:rPr>
          <w:rFonts w:cs="Times New Roman"/>
          <w:sz w:val="28"/>
          <w:szCs w:val="28"/>
        </w:rPr>
        <w:t xml:space="preserve"> turējumā </w:t>
      </w:r>
      <w:r w:rsidR="00EA1B74" w:rsidRPr="000237B3">
        <w:rPr>
          <w:rFonts w:cs="Times New Roman"/>
          <w:sz w:val="28"/>
          <w:szCs w:val="28"/>
        </w:rPr>
        <w:t>uz 201</w:t>
      </w:r>
      <w:r w:rsidR="003368BB" w:rsidRPr="000237B3">
        <w:rPr>
          <w:rFonts w:cs="Times New Roman"/>
          <w:sz w:val="28"/>
          <w:szCs w:val="28"/>
        </w:rPr>
        <w:t>2</w:t>
      </w:r>
      <w:r w:rsidR="00EA1B74" w:rsidRPr="000237B3">
        <w:rPr>
          <w:rFonts w:cs="Times New Roman"/>
          <w:sz w:val="28"/>
          <w:szCs w:val="28"/>
        </w:rPr>
        <w:t>.</w:t>
      </w:r>
      <w:r w:rsidR="004310F5" w:rsidRPr="000237B3">
        <w:rPr>
          <w:rFonts w:cs="Times New Roman"/>
          <w:sz w:val="28"/>
          <w:szCs w:val="28"/>
        </w:rPr>
        <w:t>gada 31.decembri</w:t>
      </w:r>
      <w:r w:rsidR="00525BB7" w:rsidRPr="000237B3">
        <w:rPr>
          <w:rFonts w:cs="Times New Roman"/>
          <w:sz w:val="28"/>
          <w:szCs w:val="28"/>
        </w:rPr>
        <w:t xml:space="preserve"> ir </w:t>
      </w:r>
      <w:r w:rsidR="00525BB7" w:rsidRPr="000237B3">
        <w:rPr>
          <w:rFonts w:cs="Times New Roman"/>
          <w:b/>
          <w:sz w:val="28"/>
          <w:szCs w:val="28"/>
        </w:rPr>
        <w:t>valstij piekrītošās bezmantinieka un konfiscētās kapitāla daļas 4</w:t>
      </w:r>
      <w:r w:rsidR="00020B95" w:rsidRPr="000237B3">
        <w:rPr>
          <w:rFonts w:cs="Times New Roman"/>
          <w:b/>
          <w:sz w:val="28"/>
          <w:szCs w:val="28"/>
        </w:rPr>
        <w:t>3</w:t>
      </w:r>
      <w:r w:rsidR="00525BB7" w:rsidRPr="000237B3">
        <w:rPr>
          <w:rFonts w:cs="Times New Roman"/>
          <w:b/>
          <w:sz w:val="28"/>
          <w:szCs w:val="28"/>
        </w:rPr>
        <w:t xml:space="preserve"> kapitālsabiedrībā</w:t>
      </w:r>
      <w:r w:rsidR="00020B95" w:rsidRPr="000237B3">
        <w:rPr>
          <w:rFonts w:cs="Times New Roman"/>
          <w:b/>
          <w:sz w:val="28"/>
          <w:szCs w:val="28"/>
        </w:rPr>
        <w:t>s</w:t>
      </w:r>
      <w:r w:rsidR="00046609" w:rsidRPr="000237B3">
        <w:rPr>
          <w:rFonts w:cs="Times New Roman"/>
          <w:sz w:val="28"/>
          <w:szCs w:val="28"/>
        </w:rPr>
        <w:t xml:space="preserve"> (pielikumā Nr.2)</w:t>
      </w:r>
      <w:r w:rsidR="00525BB7" w:rsidRPr="000237B3">
        <w:rPr>
          <w:rFonts w:cs="Times New Roman"/>
          <w:sz w:val="28"/>
          <w:szCs w:val="28"/>
        </w:rPr>
        <w:t xml:space="preserve">. </w:t>
      </w:r>
      <w:r w:rsidR="001C5783" w:rsidRPr="000237B3">
        <w:rPr>
          <w:sz w:val="28"/>
          <w:szCs w:val="28"/>
        </w:rPr>
        <w:t xml:space="preserve">Komerclikums nosaka, ka valstij piekrītošajām bezmantinieka kapitāla daļām nav balsstiesības, līdz ar to sabiedrības ar šādu kapitāla daļu vairākumu (vai 100% kapitāla) nevar pieņemt īpašnieka lēmumus ne par pārvaldes institūciju iecelšanu, paraksta tiesībām, ne arī cita veida lēmumus. Kapitāla daļu pārņemšanu un tālāku nodošanu </w:t>
      </w:r>
      <w:r w:rsidRPr="000237B3">
        <w:rPr>
          <w:rFonts w:cs="Times New Roman"/>
          <w:sz w:val="28"/>
          <w:szCs w:val="28"/>
        </w:rPr>
        <w:t>Aģentūrai</w:t>
      </w:r>
      <w:r w:rsidR="001C5783" w:rsidRPr="000237B3">
        <w:rPr>
          <w:sz w:val="28"/>
          <w:szCs w:val="28"/>
        </w:rPr>
        <w:t xml:space="preserve"> Valsts ieņēmumu dienests veic vairākus gadus pēc īpašnieka nāves, kad saņem ziņas no zvērināta notāra, līdz ar to šādas sabiedrības ir pārtraukušas darbību, neatrodas juridiskajā adresē, nav amatpersonu, manta nav atrodama, korespondenci </w:t>
      </w:r>
      <w:r w:rsidR="00625F6A" w:rsidRPr="000237B3">
        <w:rPr>
          <w:sz w:val="28"/>
          <w:szCs w:val="28"/>
        </w:rPr>
        <w:t>nav iespējams</w:t>
      </w:r>
      <w:r w:rsidR="001C5783" w:rsidRPr="000237B3">
        <w:rPr>
          <w:sz w:val="28"/>
          <w:szCs w:val="28"/>
        </w:rPr>
        <w:t xml:space="preserve"> nodot un tā tiek atdota nosūtītājam utt. </w:t>
      </w:r>
      <w:r w:rsidR="00625F6A" w:rsidRPr="000237B3">
        <w:rPr>
          <w:sz w:val="28"/>
          <w:szCs w:val="28"/>
        </w:rPr>
        <w:t>K</w:t>
      </w:r>
      <w:r w:rsidR="001C5783" w:rsidRPr="000237B3">
        <w:rPr>
          <w:sz w:val="28"/>
          <w:szCs w:val="28"/>
        </w:rPr>
        <w:t>apitāla daļām nav tirgus vērtības, tālāka darbība atsavināšanai – novērtēšana pārdošanai, sludinājumi u.c. ir tieša zaudējumu nodarīšana valstij. Nepārdodot daļas, būtu jāveic sabiedrības likvidācija, kas</w:t>
      </w:r>
      <w:r w:rsidR="001917DA" w:rsidRPr="000237B3">
        <w:rPr>
          <w:sz w:val="28"/>
          <w:szCs w:val="28"/>
        </w:rPr>
        <w:t xml:space="preserve"> arī</w:t>
      </w:r>
      <w:r w:rsidR="001C5783" w:rsidRPr="000237B3">
        <w:rPr>
          <w:sz w:val="28"/>
          <w:szCs w:val="28"/>
        </w:rPr>
        <w:t xml:space="preserve"> </w:t>
      </w:r>
      <w:r w:rsidR="00625F6A" w:rsidRPr="000237B3">
        <w:rPr>
          <w:sz w:val="28"/>
          <w:szCs w:val="28"/>
        </w:rPr>
        <w:t xml:space="preserve">ir </w:t>
      </w:r>
      <w:r w:rsidR="001C5783" w:rsidRPr="000237B3">
        <w:rPr>
          <w:sz w:val="28"/>
          <w:szCs w:val="28"/>
        </w:rPr>
        <w:t>tieš</w:t>
      </w:r>
      <w:r w:rsidR="00625F6A" w:rsidRPr="000237B3">
        <w:rPr>
          <w:sz w:val="28"/>
          <w:szCs w:val="28"/>
        </w:rPr>
        <w:t>i</w:t>
      </w:r>
      <w:r w:rsidR="001C5783" w:rsidRPr="000237B3">
        <w:rPr>
          <w:sz w:val="28"/>
          <w:szCs w:val="28"/>
        </w:rPr>
        <w:t xml:space="preserve"> zaudējum</w:t>
      </w:r>
      <w:r w:rsidR="00625F6A" w:rsidRPr="000237B3">
        <w:rPr>
          <w:sz w:val="28"/>
          <w:szCs w:val="28"/>
        </w:rPr>
        <w:t>i</w:t>
      </w:r>
      <w:r w:rsidR="001C5783" w:rsidRPr="000237B3">
        <w:rPr>
          <w:sz w:val="28"/>
          <w:szCs w:val="28"/>
        </w:rPr>
        <w:t>.</w:t>
      </w:r>
      <w:r w:rsidR="00FA2C56">
        <w:rPr>
          <w:sz w:val="28"/>
          <w:szCs w:val="28"/>
        </w:rPr>
        <w:t xml:space="preserve"> </w:t>
      </w:r>
      <w:r w:rsidR="00FA2C56" w:rsidRPr="00FA2C56">
        <w:rPr>
          <w:sz w:val="28"/>
          <w:szCs w:val="28"/>
        </w:rPr>
        <w:t>Saeimā 2013.gada 17.janvārī</w:t>
      </w:r>
      <w:r w:rsidR="00FA2C56" w:rsidRPr="00FA2C56">
        <w:t xml:space="preserve"> </w:t>
      </w:r>
      <w:r w:rsidR="00FA2C56">
        <w:rPr>
          <w:sz w:val="28"/>
          <w:szCs w:val="28"/>
        </w:rPr>
        <w:t xml:space="preserve">pieņemti grozījumi </w:t>
      </w:r>
      <w:r w:rsidR="00FA2C56" w:rsidRPr="00FA2C56">
        <w:rPr>
          <w:sz w:val="28"/>
          <w:szCs w:val="28"/>
        </w:rPr>
        <w:t>Tiesu izpildītāju likumā</w:t>
      </w:r>
      <w:r w:rsidR="00FA2C56">
        <w:rPr>
          <w:sz w:val="28"/>
          <w:szCs w:val="28"/>
        </w:rPr>
        <w:t>, kas stāsies spēkā 2013.gada 1.jūlijā, nosakot, ka z</w:t>
      </w:r>
      <w:r w:rsidR="00FA2C56" w:rsidRPr="00FA2C56">
        <w:rPr>
          <w:sz w:val="28"/>
          <w:szCs w:val="28"/>
        </w:rPr>
        <w:t>vērināts tiesu izpildītājs pārņem mantu, kas atzīta par bezmantinieku mantu un ir piekritīga valstij, nodrošina tās pārvaldīšanu, apsardzību un realizāciju, kā arī uz šo mantu pieteikto kreditoru pretenziju apmierināšanu.</w:t>
      </w:r>
    </w:p>
    <w:p w:rsidR="00EA1B74" w:rsidRPr="000237B3" w:rsidRDefault="00EA1B74" w:rsidP="00EA1B74">
      <w:pPr>
        <w:ind w:firstLine="720"/>
        <w:jc w:val="both"/>
        <w:rPr>
          <w:rFonts w:cs="Times New Roman"/>
          <w:sz w:val="28"/>
          <w:szCs w:val="28"/>
          <w:u w:val="single"/>
        </w:rPr>
      </w:pPr>
    </w:p>
    <w:p w:rsidR="00121F26" w:rsidRPr="000237B3" w:rsidRDefault="00926D8E" w:rsidP="00C25731">
      <w:pPr>
        <w:jc w:val="both"/>
        <w:rPr>
          <w:rFonts w:cs="Times New Roman"/>
          <w:b/>
          <w:i/>
          <w:sz w:val="28"/>
          <w:szCs w:val="28"/>
        </w:rPr>
      </w:pPr>
      <w:r w:rsidRPr="000237B3">
        <w:rPr>
          <w:rFonts w:cs="Times New Roman"/>
          <w:b/>
          <w:sz w:val="28"/>
          <w:szCs w:val="28"/>
        </w:rPr>
        <w:t>Kapitāla daļu privatizācijas, atsavināšanas un pārvaldīšanas izbeigšana</w:t>
      </w:r>
      <w:r w:rsidR="006E52C9" w:rsidRPr="000237B3">
        <w:rPr>
          <w:rFonts w:cs="Times New Roman"/>
          <w:b/>
          <w:sz w:val="28"/>
          <w:szCs w:val="28"/>
        </w:rPr>
        <w:t xml:space="preserve"> (</w:t>
      </w:r>
      <w:r w:rsidR="008273C7" w:rsidRPr="000237B3">
        <w:rPr>
          <w:rFonts w:cs="Times New Roman"/>
          <w:b/>
          <w:sz w:val="28"/>
          <w:szCs w:val="28"/>
        </w:rPr>
        <w:t>skat. pielikumā Nr.1</w:t>
      </w:r>
      <w:r w:rsidR="006E52C9" w:rsidRPr="000237B3">
        <w:rPr>
          <w:rFonts w:cs="Times New Roman"/>
          <w:b/>
          <w:sz w:val="28"/>
          <w:szCs w:val="28"/>
        </w:rPr>
        <w:t>)</w:t>
      </w:r>
    </w:p>
    <w:p w:rsidR="00160955" w:rsidRPr="000237B3" w:rsidRDefault="002D43D9" w:rsidP="00904EA4">
      <w:pPr>
        <w:pStyle w:val="ListParagraph"/>
        <w:numPr>
          <w:ilvl w:val="0"/>
          <w:numId w:val="3"/>
        </w:numPr>
        <w:jc w:val="both"/>
        <w:rPr>
          <w:rFonts w:cs="Times New Roman"/>
          <w:sz w:val="28"/>
          <w:szCs w:val="28"/>
        </w:rPr>
      </w:pPr>
      <w:r w:rsidRPr="000237B3">
        <w:rPr>
          <w:rFonts w:cs="Times New Roman"/>
          <w:sz w:val="28"/>
          <w:szCs w:val="28"/>
        </w:rPr>
        <w:t>Aģentūra</w:t>
      </w:r>
      <w:r w:rsidR="00160955" w:rsidRPr="000237B3">
        <w:rPr>
          <w:rFonts w:cs="Times New Roman"/>
          <w:sz w:val="28"/>
          <w:szCs w:val="28"/>
        </w:rPr>
        <w:t xml:space="preserve"> veic privatizācijai nodoto valsts kapitāla daļu privatizāciju līdz 2014.gada beigām. </w:t>
      </w:r>
    </w:p>
    <w:p w:rsidR="00160955" w:rsidRPr="000237B3" w:rsidRDefault="002D43D9" w:rsidP="00160955">
      <w:pPr>
        <w:numPr>
          <w:ilvl w:val="0"/>
          <w:numId w:val="2"/>
        </w:numPr>
        <w:jc w:val="both"/>
        <w:rPr>
          <w:rFonts w:cs="Times New Roman"/>
          <w:sz w:val="28"/>
          <w:szCs w:val="28"/>
        </w:rPr>
      </w:pPr>
      <w:r w:rsidRPr="000237B3">
        <w:rPr>
          <w:rFonts w:cs="Times New Roman"/>
          <w:sz w:val="28"/>
          <w:szCs w:val="28"/>
        </w:rPr>
        <w:t>Aģentūra</w:t>
      </w:r>
      <w:r w:rsidR="00160955" w:rsidRPr="000237B3">
        <w:rPr>
          <w:rFonts w:cs="Times New Roman"/>
          <w:sz w:val="28"/>
          <w:szCs w:val="28"/>
        </w:rPr>
        <w:t xml:space="preserve"> veic pārdošanai nodoto valsts kapitāla daļu pārdošanu līdz 2014.gada beigām. </w:t>
      </w:r>
    </w:p>
    <w:p w:rsidR="00160955" w:rsidRPr="000237B3" w:rsidRDefault="00327093" w:rsidP="00160955">
      <w:pPr>
        <w:numPr>
          <w:ilvl w:val="0"/>
          <w:numId w:val="2"/>
        </w:numPr>
        <w:jc w:val="both"/>
        <w:rPr>
          <w:rFonts w:cs="Times New Roman"/>
          <w:sz w:val="28"/>
          <w:szCs w:val="28"/>
        </w:rPr>
      </w:pPr>
      <w:r w:rsidRPr="000237B3">
        <w:rPr>
          <w:sz w:val="28"/>
          <w:szCs w:val="28"/>
        </w:rPr>
        <w:t>Aģentūras</w:t>
      </w:r>
      <w:r w:rsidR="00160955" w:rsidRPr="000237B3">
        <w:rPr>
          <w:rFonts w:cs="Times New Roman"/>
          <w:sz w:val="28"/>
          <w:szCs w:val="28"/>
        </w:rPr>
        <w:t xml:space="preserve"> izdevumi saistībā ar turējumā esošajām maksātnespējīgajām sabiedrībām ir minimāli. Vienas maksātnespējīgās kapitālsabiedrības maksātnespējas procesā ir noslēgts mierizlīgums ar termiņu līdz 2026.gada oktobrim. </w:t>
      </w:r>
      <w:r w:rsidR="00160955" w:rsidRPr="000237B3">
        <w:rPr>
          <w:rFonts w:cs="Times New Roman"/>
          <w:sz w:val="28"/>
          <w:szCs w:val="28"/>
        </w:rPr>
        <w:lastRenderedPageBreak/>
        <w:t>Atlikušo kapitālsabiedrību maksātnespējas procesa izbeigšanas termiņš nav prognozējams.</w:t>
      </w:r>
    </w:p>
    <w:p w:rsidR="00160955" w:rsidRPr="000237B3" w:rsidRDefault="00160955" w:rsidP="00160955">
      <w:pPr>
        <w:numPr>
          <w:ilvl w:val="0"/>
          <w:numId w:val="2"/>
        </w:numPr>
        <w:jc w:val="both"/>
        <w:rPr>
          <w:rFonts w:cs="Times New Roman"/>
          <w:sz w:val="28"/>
          <w:szCs w:val="28"/>
        </w:rPr>
      </w:pPr>
      <w:r w:rsidRPr="000237B3">
        <w:rPr>
          <w:rFonts w:cs="Times New Roman"/>
          <w:sz w:val="28"/>
          <w:szCs w:val="28"/>
        </w:rPr>
        <w:t xml:space="preserve">Valsts kapitāla daļu skaits likvidējamajās sabiedrībās samazinās proporcionāli pabeigto likvidācijas procesu skaitam. Saeima 2012.gada 29.novembrī ir pieņēmusi grozījumus Komerclikumā, kas paplašina iespējas piemērot vienkāršoto kapitālsabiedrību likvidāciju. </w:t>
      </w:r>
    </w:p>
    <w:p w:rsidR="00160955" w:rsidRPr="000237B3" w:rsidRDefault="00160955" w:rsidP="00160955">
      <w:pPr>
        <w:numPr>
          <w:ilvl w:val="0"/>
          <w:numId w:val="2"/>
        </w:numPr>
        <w:jc w:val="both"/>
        <w:rPr>
          <w:rFonts w:cs="Times New Roman"/>
          <w:sz w:val="28"/>
          <w:szCs w:val="28"/>
        </w:rPr>
      </w:pPr>
      <w:r w:rsidRPr="000237B3">
        <w:rPr>
          <w:rFonts w:cs="Times New Roman"/>
          <w:sz w:val="28"/>
          <w:szCs w:val="28"/>
        </w:rPr>
        <w:t xml:space="preserve">Sākot ar 2014.gadu </w:t>
      </w:r>
      <w:r w:rsidR="005405EE" w:rsidRPr="000237B3">
        <w:rPr>
          <w:rFonts w:cs="Times New Roman"/>
          <w:sz w:val="28"/>
          <w:szCs w:val="28"/>
        </w:rPr>
        <w:t xml:space="preserve">valsts kapitāla daļu pārvaldības reformas kontekstā </w:t>
      </w:r>
      <w:r w:rsidRPr="000237B3">
        <w:rPr>
          <w:rFonts w:cs="Times New Roman"/>
          <w:sz w:val="28"/>
          <w:szCs w:val="28"/>
        </w:rPr>
        <w:t xml:space="preserve">neprivatizētās valsts kapitāla daļas pakāpeniski jānodod turējumā </w:t>
      </w:r>
      <w:r w:rsidR="00225B1A">
        <w:rPr>
          <w:rFonts w:cs="Times New Roman"/>
          <w:sz w:val="28"/>
          <w:szCs w:val="28"/>
        </w:rPr>
        <w:t>Valsts kapitāla daļu pārvaldības birojam)</w:t>
      </w:r>
      <w:r w:rsidR="005405EE" w:rsidRPr="000237B3">
        <w:rPr>
          <w:rFonts w:cs="Times New Roman"/>
          <w:sz w:val="28"/>
          <w:szCs w:val="28"/>
        </w:rPr>
        <w:t xml:space="preserve"> (ja </w:t>
      </w:r>
      <w:r w:rsidR="00225B1A" w:rsidRPr="000237B3">
        <w:rPr>
          <w:rFonts w:cs="Times New Roman"/>
          <w:sz w:val="28"/>
          <w:szCs w:val="28"/>
        </w:rPr>
        <w:t>tād</w:t>
      </w:r>
      <w:r w:rsidR="00225B1A">
        <w:rPr>
          <w:rFonts w:cs="Times New Roman"/>
          <w:sz w:val="28"/>
          <w:szCs w:val="28"/>
        </w:rPr>
        <w:t xml:space="preserve">s </w:t>
      </w:r>
      <w:r w:rsidR="005405EE" w:rsidRPr="000237B3">
        <w:rPr>
          <w:rFonts w:cs="Times New Roman"/>
          <w:sz w:val="28"/>
          <w:szCs w:val="28"/>
        </w:rPr>
        <w:t xml:space="preserve">būs </w:t>
      </w:r>
      <w:r w:rsidR="00225B1A" w:rsidRPr="000237B3">
        <w:rPr>
          <w:rFonts w:cs="Times New Roman"/>
          <w:sz w:val="28"/>
          <w:szCs w:val="28"/>
        </w:rPr>
        <w:t>izveidot</w:t>
      </w:r>
      <w:r w:rsidR="00225B1A">
        <w:rPr>
          <w:rFonts w:cs="Times New Roman"/>
          <w:sz w:val="28"/>
          <w:szCs w:val="28"/>
        </w:rPr>
        <w:t>s</w:t>
      </w:r>
      <w:r w:rsidR="005405EE" w:rsidRPr="000237B3">
        <w:rPr>
          <w:rFonts w:cs="Times New Roman"/>
          <w:sz w:val="28"/>
          <w:szCs w:val="28"/>
        </w:rPr>
        <w:t>)</w:t>
      </w:r>
      <w:r w:rsidRPr="000237B3">
        <w:rPr>
          <w:rFonts w:cs="Times New Roman"/>
          <w:sz w:val="28"/>
          <w:szCs w:val="28"/>
        </w:rPr>
        <w:t xml:space="preserve">, lai turpinātu un pabeigtu privatizācijas procesu. </w:t>
      </w:r>
    </w:p>
    <w:p w:rsidR="000237B3" w:rsidRPr="000237B3" w:rsidRDefault="00160955" w:rsidP="000237B3">
      <w:pPr>
        <w:numPr>
          <w:ilvl w:val="0"/>
          <w:numId w:val="2"/>
        </w:numPr>
        <w:jc w:val="both"/>
      </w:pPr>
      <w:r w:rsidRPr="00FA2C56">
        <w:rPr>
          <w:rFonts w:cs="Times New Roman"/>
          <w:sz w:val="28"/>
          <w:szCs w:val="28"/>
        </w:rPr>
        <w:t xml:space="preserve">Plānots, ka valstij piekrītošās bezmantinieka un konfiscētās kapitāla daļas atsavinās tiesu izpildītāji. </w:t>
      </w:r>
      <w:r w:rsidR="00FA2C56" w:rsidRPr="00FA2C56">
        <w:rPr>
          <w:rFonts w:cs="Times New Roman"/>
          <w:sz w:val="28"/>
          <w:szCs w:val="28"/>
        </w:rPr>
        <w:t>Saeimā 2013.gada 17.janvārī pieņemti grozījumi Tiesu izpildītāju likumā, kas stāsies spēkā 2013.gada 1.jūlijā, nosakot, ka zvērināts tiesu izpildītājs pārņem mantu, kas atzīta par bezmantinieku mantu un ir piekritīga valstij, nodrošina tās pārvaldīšanu, apsardzību un realizāciju, kā arī uz šo mantu pieteikto kreditoru pretenziju apmierināšanu.</w:t>
      </w:r>
      <w:r w:rsidR="0088175B">
        <w:rPr>
          <w:rFonts w:cs="Times New Roman"/>
          <w:sz w:val="28"/>
          <w:szCs w:val="28"/>
        </w:rPr>
        <w:t xml:space="preserve"> </w:t>
      </w:r>
      <w:r w:rsidR="00E63E4D">
        <w:rPr>
          <w:rFonts w:cs="Times New Roman"/>
          <w:sz w:val="28"/>
          <w:szCs w:val="28"/>
        </w:rPr>
        <w:t>Tāpat Saeimā 2013.gada 6.jūnijā pieņemti grozījumi likumā „Par valsts un pašvaldību kapitāla daļām un kapitālsabiedrībām”, papildinot likuma pārejas noteikumus ar 51. un 52.punktiem un nosakot, ka lī</w:t>
      </w:r>
      <w:r w:rsidR="00E63E4D" w:rsidRPr="00E63E4D">
        <w:rPr>
          <w:rFonts w:cs="Times New Roman"/>
          <w:sz w:val="28"/>
          <w:szCs w:val="28"/>
        </w:rPr>
        <w:t>dz 2013.gada 30.jūnijam taisītos tiesu nolēmumus un notariālos aktus par mantojuma lietas izbeigšanu (ja mantojuma masā ietilpst privātās kapitālsabiedrības kapitāla daļas vai akcijas) valsts institūcija, kura ir atbildīga par valstij piekritīgās mantas uzskaiti, apraksti (novērtēšanu), pārņemšanu un pārdošanu, ne vēlāk kā līdz 2013.gada 1.augustam nosūta zvērinātam tiesu izpildītājam, kura amata vietas apgabalā reģistrēta attiecīgā kapitālsabiedrība.</w:t>
      </w:r>
      <w:r w:rsidR="00E63E4D" w:rsidRPr="00E63E4D" w:rsidDel="00FA2C56">
        <w:rPr>
          <w:rFonts w:cs="Times New Roman"/>
          <w:sz w:val="28"/>
          <w:szCs w:val="28"/>
        </w:rPr>
        <w:t xml:space="preserve"> </w:t>
      </w:r>
      <w:r w:rsidR="00E63E4D" w:rsidRPr="00E63E4D">
        <w:rPr>
          <w:rFonts w:cs="Times New Roman"/>
          <w:sz w:val="28"/>
          <w:szCs w:val="28"/>
        </w:rPr>
        <w:t>Privātās kapitālsabiedrības kapitāla daļas vai akcijas, kas līdz 2013.gada 30.jūnijam atzītas par bezmantinieku mantu (Civillikuma 416.pants), pārdod un kreditoru prasījumus apmierina tiesu izpildītājs Ministru kabineta noteiktajā kārtībā.</w:t>
      </w:r>
      <w:r w:rsidR="00E63E4D" w:rsidRPr="00E63E4D" w:rsidDel="00FA2C56">
        <w:rPr>
          <w:rFonts w:cs="Times New Roman"/>
          <w:sz w:val="28"/>
          <w:szCs w:val="28"/>
        </w:rPr>
        <w:t xml:space="preserve"> </w:t>
      </w:r>
    </w:p>
    <w:p w:rsidR="0088175B" w:rsidRDefault="0088175B" w:rsidP="00C557C4">
      <w:pPr>
        <w:pStyle w:val="Heading2"/>
        <w:rPr>
          <w:sz w:val="28"/>
          <w:szCs w:val="28"/>
        </w:rPr>
      </w:pPr>
      <w:bookmarkStart w:id="9" w:name="_Toc354069799"/>
    </w:p>
    <w:p w:rsidR="00953455" w:rsidRPr="000237B3" w:rsidRDefault="00953455" w:rsidP="00C557C4">
      <w:pPr>
        <w:pStyle w:val="Heading2"/>
        <w:rPr>
          <w:sz w:val="28"/>
          <w:szCs w:val="28"/>
        </w:rPr>
      </w:pPr>
      <w:r w:rsidRPr="000237B3">
        <w:rPr>
          <w:sz w:val="28"/>
          <w:szCs w:val="28"/>
        </w:rPr>
        <w:t xml:space="preserve">Noslēgto līgumu un </w:t>
      </w:r>
      <w:r w:rsidR="00B859A7" w:rsidRPr="000237B3">
        <w:rPr>
          <w:sz w:val="28"/>
          <w:szCs w:val="28"/>
        </w:rPr>
        <w:t xml:space="preserve">tajos ietverto </w:t>
      </w:r>
      <w:r w:rsidRPr="000237B3">
        <w:rPr>
          <w:sz w:val="28"/>
          <w:szCs w:val="28"/>
        </w:rPr>
        <w:t>nosacījumu izpildes kontrole</w:t>
      </w:r>
      <w:bookmarkEnd w:id="9"/>
      <w:r w:rsidRPr="000237B3">
        <w:rPr>
          <w:sz w:val="28"/>
          <w:szCs w:val="28"/>
        </w:rPr>
        <w:t xml:space="preserve"> </w:t>
      </w:r>
    </w:p>
    <w:p w:rsidR="00785511" w:rsidRPr="000237B3" w:rsidRDefault="00785511" w:rsidP="00C25731">
      <w:pPr>
        <w:ind w:firstLine="720"/>
        <w:jc w:val="both"/>
        <w:rPr>
          <w:rFonts w:cs="Times New Roman"/>
          <w:bCs/>
          <w:sz w:val="28"/>
          <w:szCs w:val="28"/>
        </w:rPr>
      </w:pPr>
    </w:p>
    <w:p w:rsidR="00E13D0B" w:rsidRPr="000237B3" w:rsidRDefault="002D43D9" w:rsidP="00E13D0B">
      <w:pPr>
        <w:ind w:firstLine="720"/>
        <w:jc w:val="both"/>
        <w:rPr>
          <w:sz w:val="28"/>
          <w:szCs w:val="28"/>
        </w:rPr>
      </w:pPr>
      <w:r w:rsidRPr="000237B3">
        <w:rPr>
          <w:rFonts w:cs="Times New Roman"/>
          <w:sz w:val="28"/>
          <w:szCs w:val="28"/>
        </w:rPr>
        <w:t>Aģentūras</w:t>
      </w:r>
      <w:r w:rsidR="00953455" w:rsidRPr="000237B3">
        <w:rPr>
          <w:rFonts w:cs="Times New Roman"/>
          <w:bCs/>
          <w:sz w:val="28"/>
          <w:szCs w:val="28"/>
        </w:rPr>
        <w:t xml:space="preserve"> kontrolē e</w:t>
      </w:r>
      <w:r w:rsidR="00430AFA" w:rsidRPr="000237B3">
        <w:rPr>
          <w:rFonts w:cs="Times New Roman"/>
          <w:bCs/>
          <w:sz w:val="28"/>
          <w:szCs w:val="28"/>
        </w:rPr>
        <w:t>sošo līgumu skaits ir dinamisks. U</w:t>
      </w:r>
      <w:r w:rsidR="00953455" w:rsidRPr="000237B3">
        <w:rPr>
          <w:rFonts w:cs="Times New Roman"/>
          <w:bCs/>
          <w:sz w:val="28"/>
          <w:szCs w:val="28"/>
        </w:rPr>
        <w:t xml:space="preserve">z </w:t>
      </w:r>
      <w:r w:rsidR="000C3E37">
        <w:rPr>
          <w:rFonts w:cs="Times New Roman"/>
          <w:bCs/>
          <w:sz w:val="28"/>
          <w:szCs w:val="28"/>
        </w:rPr>
        <w:t xml:space="preserve">2013.gada 31.martu Aģentūra kontrolē </w:t>
      </w:r>
      <w:r w:rsidR="009F38BE">
        <w:rPr>
          <w:rFonts w:cs="Times New Roman"/>
          <w:bCs/>
          <w:sz w:val="28"/>
          <w:szCs w:val="28"/>
        </w:rPr>
        <w:t xml:space="preserve">1286 </w:t>
      </w:r>
      <w:r w:rsidR="00953455" w:rsidRPr="000237B3">
        <w:rPr>
          <w:rFonts w:cs="Times New Roman"/>
          <w:bCs/>
          <w:sz w:val="28"/>
          <w:szCs w:val="28"/>
        </w:rPr>
        <w:t xml:space="preserve">līgumu un </w:t>
      </w:r>
      <w:r w:rsidR="00B353E4" w:rsidRPr="000237B3">
        <w:rPr>
          <w:rFonts w:cs="Times New Roman"/>
          <w:bCs/>
          <w:sz w:val="28"/>
          <w:szCs w:val="28"/>
        </w:rPr>
        <w:t xml:space="preserve">tajos ietverto </w:t>
      </w:r>
      <w:r w:rsidR="00877542" w:rsidRPr="000237B3">
        <w:rPr>
          <w:rFonts w:cs="Times New Roman"/>
          <w:bCs/>
          <w:sz w:val="28"/>
          <w:szCs w:val="28"/>
        </w:rPr>
        <w:t xml:space="preserve">privatizācijas, </w:t>
      </w:r>
      <w:r w:rsidR="00B353E4" w:rsidRPr="000237B3">
        <w:rPr>
          <w:rFonts w:cs="Times New Roman"/>
          <w:bCs/>
          <w:sz w:val="28"/>
          <w:szCs w:val="28"/>
        </w:rPr>
        <w:t xml:space="preserve">pārdošanas </w:t>
      </w:r>
      <w:r w:rsidR="00877542" w:rsidRPr="000237B3">
        <w:rPr>
          <w:rFonts w:cs="Times New Roman"/>
          <w:bCs/>
          <w:sz w:val="28"/>
          <w:szCs w:val="28"/>
        </w:rPr>
        <w:t xml:space="preserve">vai nomas </w:t>
      </w:r>
      <w:r w:rsidR="00953455" w:rsidRPr="000237B3">
        <w:rPr>
          <w:rFonts w:cs="Times New Roman"/>
          <w:bCs/>
          <w:sz w:val="28"/>
          <w:szCs w:val="28"/>
        </w:rPr>
        <w:t>nosacījumu izpildi</w:t>
      </w:r>
      <w:r w:rsidR="00430AFA" w:rsidRPr="000237B3">
        <w:rPr>
          <w:rFonts w:cs="Times New Roman"/>
          <w:bCs/>
          <w:sz w:val="28"/>
          <w:szCs w:val="28"/>
        </w:rPr>
        <w:t xml:space="preserve">, tajā skaitā </w:t>
      </w:r>
      <w:r w:rsidR="00B353E4" w:rsidRPr="000237B3">
        <w:rPr>
          <w:rFonts w:cs="Times New Roman"/>
          <w:bCs/>
          <w:sz w:val="28"/>
          <w:szCs w:val="28"/>
        </w:rPr>
        <w:t xml:space="preserve">veic </w:t>
      </w:r>
      <w:r w:rsidR="00877542" w:rsidRPr="000237B3">
        <w:rPr>
          <w:rFonts w:cs="Times New Roman"/>
          <w:bCs/>
          <w:sz w:val="28"/>
          <w:szCs w:val="28"/>
        </w:rPr>
        <w:t xml:space="preserve">nomas un </w:t>
      </w:r>
      <w:r w:rsidR="00B353E4" w:rsidRPr="000237B3">
        <w:rPr>
          <w:rFonts w:cs="Times New Roman"/>
          <w:bCs/>
          <w:sz w:val="28"/>
          <w:szCs w:val="28"/>
        </w:rPr>
        <w:t xml:space="preserve">pirkumu līgumu maksājumu administrēšanu un </w:t>
      </w:r>
      <w:r w:rsidR="00430AFA" w:rsidRPr="000237B3">
        <w:rPr>
          <w:rFonts w:cs="Times New Roman"/>
          <w:bCs/>
          <w:sz w:val="28"/>
          <w:szCs w:val="28"/>
        </w:rPr>
        <w:t>maksājumu parādu pirmstiesas administrēšanu, p</w:t>
      </w:r>
      <w:r w:rsidR="00953455" w:rsidRPr="000237B3">
        <w:rPr>
          <w:rFonts w:cs="Times New Roman"/>
          <w:sz w:val="28"/>
          <w:szCs w:val="28"/>
        </w:rPr>
        <w:t>ārbaudes privatizētajos valsts īpašuma objektos līdz privatizācijas procesa pabeigšanai.</w:t>
      </w:r>
      <w:r w:rsidR="000120C9" w:rsidRPr="000237B3">
        <w:rPr>
          <w:rFonts w:cs="Times New Roman"/>
          <w:sz w:val="28"/>
          <w:szCs w:val="28"/>
        </w:rPr>
        <w:t xml:space="preserve"> </w:t>
      </w:r>
      <w:r w:rsidR="00E13D0B" w:rsidRPr="000237B3">
        <w:rPr>
          <w:sz w:val="28"/>
          <w:szCs w:val="28"/>
        </w:rPr>
        <w:t>Saskaņā ar Valsts un pašvaldību īpašuma privatizācijas un privatizācijas sertifikātu izmantošanas pabeigšanas likum</w:t>
      </w:r>
      <w:r w:rsidR="00877542" w:rsidRPr="000237B3">
        <w:rPr>
          <w:sz w:val="28"/>
          <w:szCs w:val="28"/>
        </w:rPr>
        <w:t>a</w:t>
      </w:r>
      <w:r w:rsidR="00E13D0B" w:rsidRPr="000237B3">
        <w:rPr>
          <w:sz w:val="28"/>
          <w:szCs w:val="28"/>
        </w:rPr>
        <w:t xml:space="preserve"> 13.pantu maksimālais termiņš </w:t>
      </w:r>
      <w:r w:rsidR="00E13D0B" w:rsidRPr="000237B3">
        <w:rPr>
          <w:sz w:val="28"/>
          <w:szCs w:val="28"/>
        </w:rPr>
        <w:lastRenderedPageBreak/>
        <w:t xml:space="preserve">norēķiniem par valsts īpašuma objektu, kā arī apbūvētu un neapbūvētu zemesgabalu ir desmit gadi no pirkuma līguma noslēgšanas dienas. </w:t>
      </w:r>
    </w:p>
    <w:p w:rsidR="00353B48" w:rsidRPr="000237B3" w:rsidRDefault="002D43D9" w:rsidP="000120C9">
      <w:pPr>
        <w:ind w:firstLine="720"/>
        <w:jc w:val="both"/>
        <w:rPr>
          <w:rFonts w:cs="Times New Roman"/>
          <w:b/>
          <w:sz w:val="28"/>
          <w:szCs w:val="28"/>
        </w:rPr>
      </w:pPr>
      <w:r w:rsidRPr="000237B3">
        <w:rPr>
          <w:rFonts w:cs="Times New Roman"/>
          <w:b/>
          <w:sz w:val="28"/>
          <w:szCs w:val="28"/>
        </w:rPr>
        <w:t>Aģentūras</w:t>
      </w:r>
      <w:r w:rsidR="008827A4" w:rsidRPr="000237B3">
        <w:rPr>
          <w:rFonts w:cs="Times New Roman"/>
          <w:b/>
          <w:sz w:val="28"/>
          <w:szCs w:val="28"/>
        </w:rPr>
        <w:t xml:space="preserve"> </w:t>
      </w:r>
      <w:r w:rsidR="00FA6D5E" w:rsidRPr="000237B3">
        <w:rPr>
          <w:rFonts w:cs="Times New Roman"/>
          <w:b/>
          <w:sz w:val="28"/>
          <w:szCs w:val="28"/>
        </w:rPr>
        <w:t xml:space="preserve">darbības izbeigšanas </w:t>
      </w:r>
      <w:r w:rsidR="009D0B56" w:rsidRPr="000237B3">
        <w:rPr>
          <w:rFonts w:cs="Times New Roman"/>
          <w:b/>
          <w:sz w:val="28"/>
          <w:szCs w:val="28"/>
        </w:rPr>
        <w:t xml:space="preserve">stratēģijas īstenošanas </w:t>
      </w:r>
      <w:r w:rsidR="00320B7C" w:rsidRPr="000237B3">
        <w:rPr>
          <w:rFonts w:cs="Times New Roman"/>
          <w:b/>
          <w:sz w:val="28"/>
          <w:szCs w:val="28"/>
        </w:rPr>
        <w:t>rezultātā</w:t>
      </w:r>
      <w:r w:rsidR="00B353E4" w:rsidRPr="000237B3">
        <w:rPr>
          <w:rFonts w:cs="Times New Roman"/>
          <w:b/>
          <w:sz w:val="28"/>
          <w:szCs w:val="28"/>
        </w:rPr>
        <w:t xml:space="preserve"> līgumu kontrole</w:t>
      </w:r>
      <w:r w:rsidR="000B4ADB" w:rsidRPr="000237B3">
        <w:rPr>
          <w:rFonts w:cs="Times New Roman"/>
          <w:b/>
          <w:sz w:val="28"/>
          <w:szCs w:val="28"/>
        </w:rPr>
        <w:t xml:space="preserve"> (atbilstoši līgumu priekšmetam) </w:t>
      </w:r>
      <w:r w:rsidR="00EA7D51" w:rsidRPr="000237B3">
        <w:rPr>
          <w:rFonts w:cs="Times New Roman"/>
          <w:b/>
          <w:sz w:val="28"/>
          <w:szCs w:val="28"/>
        </w:rPr>
        <w:t xml:space="preserve">jāpārņem </w:t>
      </w:r>
      <w:r w:rsidR="000B4ADB" w:rsidRPr="000237B3">
        <w:rPr>
          <w:rFonts w:cs="Times New Roman"/>
          <w:b/>
          <w:sz w:val="28"/>
          <w:szCs w:val="28"/>
        </w:rPr>
        <w:t xml:space="preserve">citām </w:t>
      </w:r>
      <w:r w:rsidR="00353B48" w:rsidRPr="000237B3">
        <w:rPr>
          <w:rFonts w:cs="Times New Roman"/>
          <w:b/>
          <w:sz w:val="28"/>
          <w:szCs w:val="28"/>
        </w:rPr>
        <w:t>institūcij</w:t>
      </w:r>
      <w:r w:rsidR="009D0B56" w:rsidRPr="000237B3">
        <w:rPr>
          <w:rFonts w:cs="Times New Roman"/>
          <w:b/>
          <w:sz w:val="28"/>
          <w:szCs w:val="28"/>
        </w:rPr>
        <w:t>ām</w:t>
      </w:r>
      <w:r w:rsidR="00E13D0B" w:rsidRPr="000237B3">
        <w:rPr>
          <w:rFonts w:cs="Times New Roman"/>
          <w:b/>
          <w:sz w:val="28"/>
          <w:szCs w:val="28"/>
        </w:rPr>
        <w:t xml:space="preserve">. </w:t>
      </w:r>
    </w:p>
    <w:p w:rsidR="00360CD7" w:rsidRPr="000237B3" w:rsidRDefault="00360CD7" w:rsidP="00D24695">
      <w:pPr>
        <w:pStyle w:val="BodyText2"/>
        <w:ind w:firstLine="720"/>
        <w:jc w:val="right"/>
        <w:rPr>
          <w:rStyle w:val="CommentReference"/>
          <w:rFonts w:eastAsiaTheme="minorEastAsia" w:cstheme="minorBidi"/>
          <w:sz w:val="28"/>
          <w:szCs w:val="28"/>
          <w:lang w:eastAsia="zh-CN"/>
        </w:rPr>
      </w:pPr>
    </w:p>
    <w:p w:rsidR="00D24695" w:rsidRPr="000237B3" w:rsidRDefault="00D81306" w:rsidP="00D24695">
      <w:pPr>
        <w:pStyle w:val="BodyText2"/>
        <w:ind w:firstLine="720"/>
        <w:jc w:val="right"/>
        <w:rPr>
          <w:rStyle w:val="CommentReference"/>
          <w:rFonts w:eastAsiaTheme="minorEastAsia" w:cstheme="minorBidi"/>
          <w:sz w:val="28"/>
          <w:szCs w:val="28"/>
          <w:lang w:eastAsia="zh-CN"/>
        </w:rPr>
      </w:pPr>
      <w:r w:rsidRPr="000237B3">
        <w:rPr>
          <w:rStyle w:val="CommentReference"/>
          <w:rFonts w:eastAsiaTheme="minorEastAsia" w:cstheme="minorBidi"/>
          <w:sz w:val="28"/>
          <w:szCs w:val="28"/>
          <w:lang w:eastAsia="zh-CN"/>
        </w:rPr>
        <w:t xml:space="preserve"> </w:t>
      </w:r>
      <w:r w:rsidR="00D24695" w:rsidRPr="000237B3">
        <w:rPr>
          <w:rStyle w:val="CommentReference"/>
          <w:rFonts w:eastAsiaTheme="minorEastAsia" w:cstheme="minorBidi"/>
          <w:sz w:val="28"/>
          <w:szCs w:val="28"/>
          <w:lang w:eastAsia="zh-CN"/>
        </w:rPr>
        <w:t>Grafiks Nr.7</w:t>
      </w:r>
    </w:p>
    <w:p w:rsidR="000C3E37" w:rsidRPr="000C3E37" w:rsidRDefault="009F38BE" w:rsidP="008152AE">
      <w:pPr>
        <w:jc w:val="center"/>
      </w:pPr>
      <w:r>
        <w:rPr>
          <w:noProof/>
          <w:lang w:eastAsia="lv-LV"/>
        </w:rPr>
        <w:drawing>
          <wp:inline distT="0" distB="0" distL="0" distR="0" wp14:anchorId="186B5E53" wp14:editId="6A0E4BB9">
            <wp:extent cx="4932608" cy="2567517"/>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6625" cy="2569608"/>
                    </a:xfrm>
                    <a:prstGeom prst="rect">
                      <a:avLst/>
                    </a:prstGeom>
                    <a:noFill/>
                  </pic:spPr>
                </pic:pic>
              </a:graphicData>
            </a:graphic>
          </wp:inline>
        </w:drawing>
      </w:r>
    </w:p>
    <w:p w:rsidR="007F6373" w:rsidRDefault="007F6373" w:rsidP="00C557C4">
      <w:pPr>
        <w:pStyle w:val="Heading2"/>
        <w:rPr>
          <w:sz w:val="28"/>
          <w:szCs w:val="28"/>
        </w:rPr>
      </w:pPr>
      <w:bookmarkStart w:id="10" w:name="_Toc354069800"/>
    </w:p>
    <w:p w:rsidR="00243778" w:rsidRPr="000237B3" w:rsidRDefault="00243778" w:rsidP="00C557C4">
      <w:pPr>
        <w:pStyle w:val="Heading2"/>
        <w:rPr>
          <w:sz w:val="28"/>
          <w:szCs w:val="28"/>
        </w:rPr>
      </w:pPr>
      <w:r w:rsidRPr="000237B3">
        <w:rPr>
          <w:sz w:val="28"/>
          <w:szCs w:val="28"/>
        </w:rPr>
        <w:t>Tiesvedības</w:t>
      </w:r>
      <w:bookmarkEnd w:id="10"/>
    </w:p>
    <w:p w:rsidR="001B0691" w:rsidRPr="000237B3" w:rsidRDefault="001B0691" w:rsidP="001B0691">
      <w:pPr>
        <w:rPr>
          <w:rFonts w:cs="Times New Roman"/>
          <w:sz w:val="28"/>
          <w:szCs w:val="28"/>
        </w:rPr>
      </w:pPr>
    </w:p>
    <w:p w:rsidR="00654841" w:rsidRPr="000237B3" w:rsidRDefault="000C1948" w:rsidP="00654841">
      <w:pPr>
        <w:ind w:firstLine="709"/>
        <w:jc w:val="both"/>
        <w:rPr>
          <w:rFonts w:cs="Times New Roman"/>
          <w:bCs/>
          <w:sz w:val="28"/>
          <w:szCs w:val="28"/>
        </w:rPr>
      </w:pPr>
      <w:r>
        <w:rPr>
          <w:rFonts w:cs="Times New Roman"/>
          <w:bCs/>
          <w:sz w:val="28"/>
          <w:szCs w:val="28"/>
        </w:rPr>
        <w:t>U</w:t>
      </w:r>
      <w:r w:rsidRPr="000237B3">
        <w:rPr>
          <w:rFonts w:cs="Times New Roman"/>
          <w:bCs/>
          <w:sz w:val="28"/>
          <w:szCs w:val="28"/>
        </w:rPr>
        <w:t xml:space="preserve">z </w:t>
      </w:r>
      <w:r>
        <w:rPr>
          <w:rFonts w:cs="Times New Roman"/>
          <w:bCs/>
          <w:sz w:val="28"/>
          <w:szCs w:val="28"/>
        </w:rPr>
        <w:t xml:space="preserve">2013.gada 31.martu </w:t>
      </w:r>
      <w:r w:rsidRPr="000C1948">
        <w:rPr>
          <w:rFonts w:cs="Times New Roman"/>
          <w:bCs/>
          <w:sz w:val="28"/>
          <w:szCs w:val="28"/>
        </w:rPr>
        <w:t>ir 192 tiesu lietas</w:t>
      </w:r>
      <w:r w:rsidRPr="00426EEF">
        <w:rPr>
          <w:rFonts w:cs="Times New Roman"/>
          <w:bCs/>
        </w:rPr>
        <w:t xml:space="preserve"> </w:t>
      </w:r>
      <w:r w:rsidR="00654841" w:rsidRPr="000237B3">
        <w:rPr>
          <w:rFonts w:cs="Times New Roman"/>
          <w:bCs/>
          <w:sz w:val="28"/>
          <w:szCs w:val="28"/>
        </w:rPr>
        <w:t>(</w:t>
      </w:r>
      <w:proofErr w:type="spellStart"/>
      <w:r w:rsidR="00654841" w:rsidRPr="000237B3">
        <w:rPr>
          <w:rFonts w:cs="Times New Roman"/>
          <w:bCs/>
          <w:sz w:val="28"/>
          <w:szCs w:val="28"/>
        </w:rPr>
        <w:t>t.sk</w:t>
      </w:r>
      <w:proofErr w:type="spellEnd"/>
      <w:r w:rsidR="00654841" w:rsidRPr="000237B3">
        <w:rPr>
          <w:rFonts w:cs="Times New Roman"/>
          <w:bCs/>
          <w:sz w:val="28"/>
          <w:szCs w:val="28"/>
        </w:rPr>
        <w:t xml:space="preserve">. </w:t>
      </w:r>
      <w:r>
        <w:rPr>
          <w:rFonts w:cs="Times New Roman"/>
          <w:bCs/>
          <w:sz w:val="28"/>
          <w:szCs w:val="28"/>
        </w:rPr>
        <w:t>6</w:t>
      </w:r>
      <w:r w:rsidRPr="000237B3">
        <w:rPr>
          <w:rFonts w:cs="Times New Roman"/>
          <w:bCs/>
          <w:sz w:val="28"/>
          <w:szCs w:val="28"/>
        </w:rPr>
        <w:t xml:space="preserve">4 </w:t>
      </w:r>
      <w:r w:rsidR="00654841" w:rsidRPr="000237B3">
        <w:rPr>
          <w:rFonts w:cs="Times New Roman"/>
          <w:bCs/>
          <w:sz w:val="28"/>
          <w:szCs w:val="28"/>
        </w:rPr>
        <w:t>dzīvokļu lietas), no tām:</w:t>
      </w:r>
    </w:p>
    <w:p w:rsidR="00654841" w:rsidRPr="000237B3" w:rsidRDefault="000C1948" w:rsidP="00904EA4">
      <w:pPr>
        <w:pStyle w:val="ListParagraph"/>
        <w:numPr>
          <w:ilvl w:val="0"/>
          <w:numId w:val="3"/>
        </w:numPr>
        <w:jc w:val="both"/>
        <w:rPr>
          <w:rFonts w:cs="Times New Roman"/>
          <w:bCs/>
          <w:sz w:val="28"/>
          <w:szCs w:val="28"/>
        </w:rPr>
      </w:pPr>
      <w:r w:rsidRPr="000237B3">
        <w:rPr>
          <w:rFonts w:cs="Times New Roman"/>
          <w:bCs/>
          <w:sz w:val="28"/>
          <w:szCs w:val="28"/>
        </w:rPr>
        <w:t>10</w:t>
      </w:r>
      <w:r>
        <w:rPr>
          <w:rFonts w:cs="Times New Roman"/>
          <w:bCs/>
          <w:sz w:val="28"/>
          <w:szCs w:val="28"/>
        </w:rPr>
        <w:t>8</w:t>
      </w:r>
      <w:r w:rsidRPr="000237B3">
        <w:rPr>
          <w:rFonts w:cs="Times New Roman"/>
          <w:bCs/>
          <w:sz w:val="28"/>
          <w:szCs w:val="28"/>
        </w:rPr>
        <w:t xml:space="preserve"> </w:t>
      </w:r>
      <w:r w:rsidR="00654841" w:rsidRPr="000237B3">
        <w:rPr>
          <w:rFonts w:cs="Times New Roman"/>
          <w:bCs/>
          <w:sz w:val="28"/>
          <w:szCs w:val="28"/>
        </w:rPr>
        <w:t xml:space="preserve">civillietas - </w:t>
      </w:r>
      <w:r w:rsidRPr="000237B3">
        <w:rPr>
          <w:rFonts w:cs="Times New Roman"/>
          <w:bCs/>
          <w:sz w:val="28"/>
          <w:szCs w:val="28"/>
        </w:rPr>
        <w:t>6</w:t>
      </w:r>
      <w:r>
        <w:rPr>
          <w:rFonts w:cs="Times New Roman"/>
          <w:bCs/>
          <w:sz w:val="28"/>
          <w:szCs w:val="28"/>
        </w:rPr>
        <w:t>2</w:t>
      </w:r>
      <w:r w:rsidRPr="000237B3">
        <w:rPr>
          <w:rFonts w:cs="Times New Roman"/>
          <w:bCs/>
          <w:sz w:val="28"/>
          <w:szCs w:val="28"/>
        </w:rPr>
        <w:t xml:space="preserve"> </w:t>
      </w:r>
      <w:r w:rsidR="00654841" w:rsidRPr="000237B3">
        <w:rPr>
          <w:rFonts w:cs="Times New Roman"/>
          <w:bCs/>
          <w:sz w:val="28"/>
          <w:szCs w:val="28"/>
        </w:rPr>
        <w:t xml:space="preserve">lietās </w:t>
      </w:r>
      <w:r w:rsidR="002D43D9" w:rsidRPr="000237B3">
        <w:rPr>
          <w:rFonts w:cs="Times New Roman"/>
          <w:sz w:val="28"/>
          <w:szCs w:val="28"/>
        </w:rPr>
        <w:t>Aģentūra</w:t>
      </w:r>
      <w:r w:rsidR="00654841" w:rsidRPr="000237B3">
        <w:rPr>
          <w:rFonts w:cs="Times New Roman"/>
          <w:bCs/>
          <w:sz w:val="28"/>
          <w:szCs w:val="28"/>
        </w:rPr>
        <w:t xml:space="preserve"> atbildētājs, </w:t>
      </w:r>
      <w:r w:rsidRPr="000237B3">
        <w:rPr>
          <w:rFonts w:cs="Times New Roman"/>
          <w:bCs/>
          <w:sz w:val="28"/>
          <w:szCs w:val="28"/>
        </w:rPr>
        <w:t>1</w:t>
      </w:r>
      <w:r>
        <w:rPr>
          <w:rFonts w:cs="Times New Roman"/>
          <w:bCs/>
          <w:sz w:val="28"/>
          <w:szCs w:val="28"/>
        </w:rPr>
        <w:t>7</w:t>
      </w:r>
      <w:r w:rsidRPr="000237B3">
        <w:rPr>
          <w:rFonts w:cs="Times New Roman"/>
          <w:bCs/>
          <w:sz w:val="28"/>
          <w:szCs w:val="28"/>
        </w:rPr>
        <w:t xml:space="preserve"> </w:t>
      </w:r>
      <w:r w:rsidR="00654841" w:rsidRPr="000237B3">
        <w:rPr>
          <w:rFonts w:cs="Times New Roman"/>
          <w:bCs/>
          <w:sz w:val="28"/>
          <w:szCs w:val="28"/>
        </w:rPr>
        <w:t>lietā</w:t>
      </w:r>
      <w:r w:rsidR="002D43D9" w:rsidRPr="000237B3">
        <w:rPr>
          <w:rFonts w:cs="Times New Roman"/>
          <w:bCs/>
          <w:sz w:val="28"/>
          <w:szCs w:val="28"/>
        </w:rPr>
        <w:t>s</w:t>
      </w:r>
      <w:r w:rsidR="00654841" w:rsidRPr="000237B3">
        <w:rPr>
          <w:rFonts w:cs="Times New Roman"/>
          <w:bCs/>
          <w:sz w:val="28"/>
          <w:szCs w:val="28"/>
        </w:rPr>
        <w:t xml:space="preserve"> </w:t>
      </w:r>
      <w:r w:rsidR="002D43D9" w:rsidRPr="000237B3">
        <w:rPr>
          <w:rFonts w:cs="Times New Roman"/>
          <w:sz w:val="28"/>
          <w:szCs w:val="28"/>
        </w:rPr>
        <w:t>Aģentūra</w:t>
      </w:r>
      <w:r w:rsidR="00654841" w:rsidRPr="000237B3">
        <w:rPr>
          <w:rFonts w:cs="Times New Roman"/>
          <w:bCs/>
          <w:sz w:val="28"/>
          <w:szCs w:val="28"/>
        </w:rPr>
        <w:t xml:space="preserve"> prasītājs/pieteicējs, </w:t>
      </w:r>
      <w:r w:rsidRPr="000237B3">
        <w:rPr>
          <w:rFonts w:cs="Times New Roman"/>
          <w:bCs/>
          <w:sz w:val="28"/>
          <w:szCs w:val="28"/>
        </w:rPr>
        <w:t>2</w:t>
      </w:r>
      <w:r>
        <w:rPr>
          <w:rFonts w:cs="Times New Roman"/>
          <w:bCs/>
          <w:sz w:val="28"/>
          <w:szCs w:val="28"/>
        </w:rPr>
        <w:t>4</w:t>
      </w:r>
      <w:r w:rsidRPr="000237B3">
        <w:rPr>
          <w:rFonts w:cs="Times New Roman"/>
          <w:bCs/>
          <w:sz w:val="28"/>
          <w:szCs w:val="28"/>
        </w:rPr>
        <w:t xml:space="preserve"> </w:t>
      </w:r>
      <w:r w:rsidR="00654841" w:rsidRPr="000237B3">
        <w:rPr>
          <w:rFonts w:cs="Times New Roman"/>
          <w:bCs/>
          <w:sz w:val="28"/>
          <w:szCs w:val="28"/>
        </w:rPr>
        <w:t xml:space="preserve">lietās </w:t>
      </w:r>
      <w:r w:rsidR="002D43D9" w:rsidRPr="000237B3">
        <w:rPr>
          <w:rFonts w:cs="Times New Roman"/>
          <w:sz w:val="28"/>
          <w:szCs w:val="28"/>
        </w:rPr>
        <w:t>Aģentūra</w:t>
      </w:r>
      <w:r w:rsidR="00654841" w:rsidRPr="000237B3">
        <w:rPr>
          <w:rFonts w:cs="Times New Roman"/>
          <w:bCs/>
          <w:sz w:val="28"/>
          <w:szCs w:val="28"/>
        </w:rPr>
        <w:t xml:space="preserve"> trešā persona, </w:t>
      </w:r>
      <w:r>
        <w:rPr>
          <w:rFonts w:cs="Times New Roman"/>
          <w:bCs/>
          <w:sz w:val="28"/>
          <w:szCs w:val="28"/>
        </w:rPr>
        <w:t>5</w:t>
      </w:r>
      <w:r w:rsidRPr="000237B3">
        <w:rPr>
          <w:rFonts w:cs="Times New Roman"/>
          <w:bCs/>
          <w:sz w:val="28"/>
          <w:szCs w:val="28"/>
        </w:rPr>
        <w:t xml:space="preserve"> </w:t>
      </w:r>
      <w:r w:rsidR="00654841" w:rsidRPr="000237B3">
        <w:rPr>
          <w:rFonts w:cs="Times New Roman"/>
          <w:bCs/>
          <w:sz w:val="28"/>
          <w:szCs w:val="28"/>
        </w:rPr>
        <w:t>– ieinteresētā persona;</w:t>
      </w:r>
    </w:p>
    <w:p w:rsidR="00654841" w:rsidRPr="000237B3" w:rsidRDefault="000C1948" w:rsidP="00904EA4">
      <w:pPr>
        <w:pStyle w:val="ListParagraph"/>
        <w:numPr>
          <w:ilvl w:val="0"/>
          <w:numId w:val="3"/>
        </w:numPr>
        <w:jc w:val="both"/>
        <w:rPr>
          <w:rFonts w:cs="Times New Roman"/>
          <w:bCs/>
          <w:sz w:val="28"/>
          <w:szCs w:val="28"/>
        </w:rPr>
      </w:pPr>
      <w:r>
        <w:rPr>
          <w:rFonts w:cs="Times New Roman"/>
          <w:bCs/>
          <w:sz w:val="28"/>
          <w:szCs w:val="28"/>
        </w:rPr>
        <w:t>33</w:t>
      </w:r>
      <w:r w:rsidRPr="000237B3">
        <w:rPr>
          <w:rFonts w:cs="Times New Roman"/>
          <w:bCs/>
          <w:sz w:val="28"/>
          <w:szCs w:val="28"/>
        </w:rPr>
        <w:t xml:space="preserve"> </w:t>
      </w:r>
      <w:r w:rsidR="00654841" w:rsidRPr="000237B3">
        <w:rPr>
          <w:rFonts w:cs="Times New Roman"/>
          <w:bCs/>
          <w:sz w:val="28"/>
          <w:szCs w:val="28"/>
        </w:rPr>
        <w:t xml:space="preserve">administratīvās lietas – </w:t>
      </w:r>
      <w:r>
        <w:rPr>
          <w:rFonts w:cs="Times New Roman"/>
          <w:bCs/>
          <w:sz w:val="28"/>
          <w:szCs w:val="28"/>
        </w:rPr>
        <w:t>15</w:t>
      </w:r>
      <w:r w:rsidRPr="000237B3">
        <w:rPr>
          <w:rFonts w:cs="Times New Roman"/>
          <w:bCs/>
          <w:sz w:val="28"/>
          <w:szCs w:val="28"/>
        </w:rPr>
        <w:t xml:space="preserve"> </w:t>
      </w:r>
      <w:r w:rsidR="00654841" w:rsidRPr="000237B3">
        <w:rPr>
          <w:rFonts w:cs="Times New Roman"/>
          <w:bCs/>
          <w:sz w:val="28"/>
          <w:szCs w:val="28"/>
        </w:rPr>
        <w:t>lietās</w:t>
      </w:r>
      <w:r w:rsidR="002D43D9" w:rsidRPr="000237B3">
        <w:rPr>
          <w:rFonts w:cs="Times New Roman"/>
          <w:bCs/>
          <w:sz w:val="28"/>
          <w:szCs w:val="28"/>
        </w:rPr>
        <w:t xml:space="preserve"> </w:t>
      </w:r>
      <w:r w:rsidR="002D43D9" w:rsidRPr="000237B3">
        <w:rPr>
          <w:rFonts w:cs="Times New Roman"/>
          <w:sz w:val="28"/>
          <w:szCs w:val="28"/>
        </w:rPr>
        <w:t>Aģentūra</w:t>
      </w:r>
      <w:r w:rsidR="00654841" w:rsidRPr="000237B3">
        <w:rPr>
          <w:rFonts w:cs="Times New Roman"/>
          <w:bCs/>
          <w:sz w:val="28"/>
          <w:szCs w:val="28"/>
        </w:rPr>
        <w:t xml:space="preserve"> atbildētājs, </w:t>
      </w:r>
      <w:r w:rsidRPr="000237B3">
        <w:rPr>
          <w:rFonts w:cs="Times New Roman"/>
          <w:bCs/>
          <w:sz w:val="28"/>
          <w:szCs w:val="28"/>
        </w:rPr>
        <w:t>1</w:t>
      </w:r>
      <w:r>
        <w:rPr>
          <w:rFonts w:cs="Times New Roman"/>
          <w:bCs/>
          <w:sz w:val="28"/>
          <w:szCs w:val="28"/>
        </w:rPr>
        <w:t>7</w:t>
      </w:r>
      <w:r w:rsidRPr="000237B3">
        <w:rPr>
          <w:rFonts w:cs="Times New Roman"/>
          <w:bCs/>
          <w:sz w:val="28"/>
          <w:szCs w:val="28"/>
        </w:rPr>
        <w:t xml:space="preserve"> </w:t>
      </w:r>
      <w:r w:rsidR="00654841" w:rsidRPr="000237B3">
        <w:rPr>
          <w:rFonts w:cs="Times New Roman"/>
          <w:bCs/>
          <w:sz w:val="28"/>
          <w:szCs w:val="28"/>
        </w:rPr>
        <w:t xml:space="preserve">lietās  </w:t>
      </w:r>
      <w:r w:rsidR="002D43D9" w:rsidRPr="000237B3">
        <w:rPr>
          <w:rFonts w:cs="Times New Roman"/>
          <w:sz w:val="28"/>
          <w:szCs w:val="28"/>
        </w:rPr>
        <w:t>Aģentūra</w:t>
      </w:r>
      <w:r w:rsidR="002D43D9" w:rsidRPr="000237B3">
        <w:rPr>
          <w:rFonts w:cs="Times New Roman"/>
          <w:bCs/>
          <w:sz w:val="28"/>
          <w:szCs w:val="28"/>
        </w:rPr>
        <w:t xml:space="preserve"> pieteicējs, 1 lietā </w:t>
      </w:r>
      <w:r w:rsidR="002D43D9" w:rsidRPr="000237B3">
        <w:rPr>
          <w:rFonts w:cs="Times New Roman"/>
          <w:sz w:val="28"/>
          <w:szCs w:val="28"/>
        </w:rPr>
        <w:t>Aģentūra</w:t>
      </w:r>
      <w:r w:rsidR="00654841" w:rsidRPr="000237B3">
        <w:rPr>
          <w:rFonts w:cs="Times New Roman"/>
          <w:bCs/>
          <w:sz w:val="28"/>
          <w:szCs w:val="28"/>
        </w:rPr>
        <w:t xml:space="preserve"> trešā persona;</w:t>
      </w:r>
    </w:p>
    <w:p w:rsidR="00654841" w:rsidRPr="000237B3" w:rsidRDefault="000C1948" w:rsidP="00904EA4">
      <w:pPr>
        <w:pStyle w:val="ListParagraph"/>
        <w:numPr>
          <w:ilvl w:val="0"/>
          <w:numId w:val="3"/>
        </w:numPr>
        <w:jc w:val="both"/>
        <w:rPr>
          <w:rFonts w:cs="Times New Roman"/>
          <w:bCs/>
          <w:sz w:val="28"/>
          <w:szCs w:val="28"/>
        </w:rPr>
      </w:pPr>
      <w:r>
        <w:rPr>
          <w:rFonts w:cs="Times New Roman"/>
          <w:bCs/>
          <w:sz w:val="28"/>
          <w:szCs w:val="28"/>
        </w:rPr>
        <w:t>5</w:t>
      </w:r>
      <w:r w:rsidRPr="000237B3">
        <w:rPr>
          <w:rFonts w:cs="Times New Roman"/>
          <w:bCs/>
          <w:sz w:val="28"/>
          <w:szCs w:val="28"/>
        </w:rPr>
        <w:t xml:space="preserve">1 </w:t>
      </w:r>
      <w:r w:rsidR="00654841" w:rsidRPr="000237B3">
        <w:rPr>
          <w:rFonts w:cs="Times New Roman"/>
          <w:bCs/>
          <w:sz w:val="28"/>
          <w:szCs w:val="28"/>
        </w:rPr>
        <w:t xml:space="preserve">parādu piedziņas lietas, </w:t>
      </w:r>
      <w:r w:rsidR="002D43D9" w:rsidRPr="000237B3">
        <w:rPr>
          <w:rFonts w:cs="Times New Roman"/>
          <w:sz w:val="28"/>
          <w:szCs w:val="28"/>
        </w:rPr>
        <w:t>Aģentūra</w:t>
      </w:r>
      <w:r w:rsidR="00654841" w:rsidRPr="000237B3">
        <w:rPr>
          <w:rFonts w:cs="Times New Roman"/>
          <w:bCs/>
          <w:sz w:val="28"/>
          <w:szCs w:val="28"/>
        </w:rPr>
        <w:t xml:space="preserve"> prasītājs (pieteicējs).</w:t>
      </w:r>
    </w:p>
    <w:p w:rsidR="00654841" w:rsidRPr="000237B3" w:rsidRDefault="00654841" w:rsidP="000C1948">
      <w:pPr>
        <w:ind w:firstLine="709"/>
        <w:jc w:val="both"/>
        <w:rPr>
          <w:rFonts w:cs="Times New Roman"/>
          <w:bCs/>
          <w:color w:val="FF0000"/>
          <w:sz w:val="28"/>
          <w:szCs w:val="28"/>
        </w:rPr>
      </w:pPr>
      <w:r w:rsidRPr="000237B3">
        <w:rPr>
          <w:rFonts w:cs="Times New Roman"/>
          <w:bCs/>
          <w:sz w:val="28"/>
          <w:szCs w:val="28"/>
        </w:rPr>
        <w:t xml:space="preserve">Uz </w:t>
      </w:r>
      <w:r w:rsidR="000C1948">
        <w:rPr>
          <w:rFonts w:cs="Times New Roman"/>
          <w:bCs/>
          <w:sz w:val="28"/>
          <w:szCs w:val="28"/>
        </w:rPr>
        <w:t xml:space="preserve">2013.gada 31.martu </w:t>
      </w:r>
      <w:r w:rsidR="000C1948" w:rsidRPr="000237B3">
        <w:rPr>
          <w:rFonts w:cs="Times New Roman"/>
          <w:bCs/>
          <w:sz w:val="28"/>
          <w:szCs w:val="28"/>
        </w:rPr>
        <w:t xml:space="preserve">aktuālas bija </w:t>
      </w:r>
      <w:r w:rsidR="000C1948">
        <w:rPr>
          <w:rFonts w:cs="Times New Roman"/>
          <w:bCs/>
          <w:sz w:val="28"/>
          <w:szCs w:val="28"/>
        </w:rPr>
        <w:t>78</w:t>
      </w:r>
      <w:r w:rsidR="000C1948" w:rsidRPr="000237B3">
        <w:rPr>
          <w:rFonts w:cs="Times New Roman"/>
          <w:bCs/>
          <w:sz w:val="28"/>
          <w:szCs w:val="28"/>
        </w:rPr>
        <w:t xml:space="preserve"> izpildu lietas</w:t>
      </w:r>
      <w:r w:rsidRPr="000237B3">
        <w:rPr>
          <w:rFonts w:cs="Times New Roman"/>
          <w:bCs/>
          <w:sz w:val="28"/>
          <w:szCs w:val="28"/>
        </w:rPr>
        <w:t>.</w:t>
      </w:r>
    </w:p>
    <w:p w:rsidR="006B47E0" w:rsidRPr="000237B3" w:rsidRDefault="000C1948" w:rsidP="006B47E0">
      <w:pPr>
        <w:ind w:firstLine="709"/>
        <w:jc w:val="both"/>
        <w:rPr>
          <w:rFonts w:cs="Times New Roman"/>
          <w:bCs/>
          <w:sz w:val="28"/>
          <w:szCs w:val="28"/>
        </w:rPr>
      </w:pPr>
      <w:r w:rsidRPr="000C1948">
        <w:rPr>
          <w:rFonts w:cs="Times New Roman"/>
          <w:bCs/>
          <w:sz w:val="28"/>
          <w:szCs w:val="28"/>
        </w:rPr>
        <w:t>2012.gada beigās kopējais aktuālo tiesu lietu skaits bija 196 tiesu lietas</w:t>
      </w:r>
      <w:r w:rsidRPr="000237B3">
        <w:rPr>
          <w:rFonts w:cs="Times New Roman"/>
          <w:bCs/>
          <w:sz w:val="28"/>
          <w:szCs w:val="28"/>
        </w:rPr>
        <w:t xml:space="preserve"> </w:t>
      </w:r>
      <w:r>
        <w:rPr>
          <w:rFonts w:cs="Times New Roman"/>
          <w:bCs/>
          <w:sz w:val="28"/>
          <w:szCs w:val="28"/>
        </w:rPr>
        <w:t>(</w:t>
      </w:r>
      <w:r w:rsidR="006B47E0" w:rsidRPr="000237B3">
        <w:rPr>
          <w:rFonts w:cs="Times New Roman"/>
          <w:bCs/>
          <w:sz w:val="28"/>
          <w:szCs w:val="28"/>
        </w:rPr>
        <w:t xml:space="preserve">2011.gadā </w:t>
      </w:r>
      <w:r>
        <w:rPr>
          <w:rFonts w:cs="Times New Roman"/>
          <w:bCs/>
          <w:sz w:val="28"/>
          <w:szCs w:val="28"/>
        </w:rPr>
        <w:t xml:space="preserve">- </w:t>
      </w:r>
      <w:r w:rsidR="006B47E0" w:rsidRPr="000237B3">
        <w:rPr>
          <w:rFonts w:cs="Times New Roman"/>
          <w:bCs/>
          <w:sz w:val="28"/>
          <w:szCs w:val="28"/>
        </w:rPr>
        <w:t xml:space="preserve"> 239 </w:t>
      </w:r>
      <w:r>
        <w:rPr>
          <w:rFonts w:cs="Times New Roman"/>
          <w:bCs/>
          <w:sz w:val="28"/>
          <w:szCs w:val="28"/>
        </w:rPr>
        <w:t xml:space="preserve">tiesu </w:t>
      </w:r>
      <w:r w:rsidR="006B47E0" w:rsidRPr="000237B3">
        <w:rPr>
          <w:rFonts w:cs="Times New Roman"/>
          <w:bCs/>
          <w:sz w:val="28"/>
          <w:szCs w:val="28"/>
        </w:rPr>
        <w:t>lietas, 2010.gadā - 242 tiesu lietas</w:t>
      </w:r>
      <w:r>
        <w:rPr>
          <w:rFonts w:cs="Times New Roman"/>
          <w:bCs/>
          <w:sz w:val="28"/>
          <w:szCs w:val="28"/>
        </w:rPr>
        <w:t>)</w:t>
      </w:r>
      <w:r w:rsidR="006B47E0" w:rsidRPr="000237B3">
        <w:rPr>
          <w:rFonts w:cs="Times New Roman"/>
          <w:bCs/>
          <w:sz w:val="28"/>
          <w:szCs w:val="28"/>
        </w:rPr>
        <w:t xml:space="preserve">. </w:t>
      </w:r>
    </w:p>
    <w:p w:rsidR="00654841" w:rsidRPr="000237B3" w:rsidRDefault="00654841" w:rsidP="00654841">
      <w:pPr>
        <w:ind w:firstLine="709"/>
        <w:jc w:val="both"/>
        <w:rPr>
          <w:rFonts w:cs="Times New Roman"/>
          <w:sz w:val="28"/>
          <w:szCs w:val="28"/>
        </w:rPr>
      </w:pPr>
      <w:r w:rsidRPr="000237B3">
        <w:rPr>
          <w:rFonts w:cs="Times New Roman"/>
          <w:sz w:val="28"/>
          <w:szCs w:val="28"/>
        </w:rPr>
        <w:t xml:space="preserve">Laika periodā līdz 2014.gada beigām prognozējams, ka gadā aktuālo lietu skaits varētu būt aptuveni </w:t>
      </w:r>
      <w:r w:rsidR="00B26300">
        <w:rPr>
          <w:rFonts w:cs="Times New Roman"/>
          <w:sz w:val="28"/>
          <w:szCs w:val="28"/>
        </w:rPr>
        <w:t>200-</w:t>
      </w:r>
      <w:r w:rsidRPr="000237B3">
        <w:rPr>
          <w:rFonts w:cs="Times New Roman"/>
          <w:sz w:val="28"/>
          <w:szCs w:val="28"/>
        </w:rPr>
        <w:t xml:space="preserve">240 tiesu lietas, kā arī prognozējama līdz 200 tiesvedību uzsākšana saistībā ar </w:t>
      </w:r>
      <w:r w:rsidR="002D43D9" w:rsidRPr="000237B3">
        <w:rPr>
          <w:rFonts w:cs="Times New Roman"/>
          <w:sz w:val="28"/>
          <w:szCs w:val="28"/>
        </w:rPr>
        <w:t>Aģentūras</w:t>
      </w:r>
      <w:r w:rsidRPr="000237B3">
        <w:rPr>
          <w:rFonts w:cs="Times New Roman"/>
          <w:sz w:val="28"/>
          <w:szCs w:val="28"/>
        </w:rPr>
        <w:t xml:space="preserve"> valdījumā esošo dzīvokļu komunālo maksājumu parādiem un turpināsies prasību celšana pret nomniekiem un pircējiem, kuri nepilda uzņemtās saistības. </w:t>
      </w:r>
    </w:p>
    <w:p w:rsidR="00C90ABF" w:rsidRPr="000237B3" w:rsidRDefault="00C90ABF" w:rsidP="00C90ABF">
      <w:pPr>
        <w:ind w:firstLine="709"/>
        <w:jc w:val="both"/>
        <w:rPr>
          <w:rFonts w:cs="Times New Roman"/>
          <w:sz w:val="28"/>
          <w:szCs w:val="28"/>
        </w:rPr>
      </w:pPr>
      <w:r w:rsidRPr="000237B3">
        <w:rPr>
          <w:rFonts w:cs="Times New Roman"/>
          <w:sz w:val="28"/>
          <w:szCs w:val="28"/>
        </w:rPr>
        <w:t xml:space="preserve">Laika periodā no 2013.gada līdz 2014.gada beigām ir prognozējamās šādas izmaksas saistībā ar tiesvedībām (valsts vai kancelejas nodevas tiesās un zemesgrāmatās, izdevumi par spriedumu izpildi, kā arī atlīdzības par juridiskajiem pakalpojumiem): 2013.gadā – </w:t>
      </w:r>
      <w:r w:rsidRPr="000237B3">
        <w:rPr>
          <w:rFonts w:cs="Times New Roman"/>
          <w:sz w:val="28"/>
          <w:szCs w:val="28"/>
        </w:rPr>
        <w:lastRenderedPageBreak/>
        <w:t xml:space="preserve">61 798 latu; 2014.gadā – 32 100 </w:t>
      </w:r>
      <w:r w:rsidR="007D284A" w:rsidRPr="000237B3">
        <w:rPr>
          <w:rFonts w:cs="Times New Roman"/>
          <w:sz w:val="28"/>
          <w:szCs w:val="28"/>
        </w:rPr>
        <w:t>latu (šo t</w:t>
      </w:r>
      <w:r w:rsidRPr="000237B3">
        <w:rPr>
          <w:rFonts w:cs="Times New Roman"/>
          <w:sz w:val="28"/>
          <w:szCs w:val="28"/>
        </w:rPr>
        <w:t xml:space="preserve">iesvedību izmaksu aprēķinos nav ņemtas vērā ar </w:t>
      </w:r>
      <w:r w:rsidR="00BC3243" w:rsidRPr="00BC3243">
        <w:rPr>
          <w:rFonts w:cs="Times New Roman"/>
          <w:sz w:val="28"/>
          <w:szCs w:val="28"/>
        </w:rPr>
        <w:t>akciju sabiedrība</w:t>
      </w:r>
      <w:r w:rsidR="00BC3243">
        <w:rPr>
          <w:rFonts w:cs="Times New Roman"/>
          <w:sz w:val="28"/>
          <w:szCs w:val="28"/>
        </w:rPr>
        <w:t>s</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un </w:t>
      </w:r>
      <w:r w:rsidR="00BC3243">
        <w:rPr>
          <w:rFonts w:cs="Times New Roman"/>
          <w:sz w:val="28"/>
          <w:szCs w:val="28"/>
        </w:rPr>
        <w:t>akciju sabiedrības</w:t>
      </w:r>
      <w:r w:rsidR="00BC3243" w:rsidRPr="000237B3">
        <w:rPr>
          <w:rFonts w:cs="Times New Roman"/>
          <w:sz w:val="28"/>
          <w:szCs w:val="28"/>
        </w:rPr>
        <w:t xml:space="preserve"> </w:t>
      </w:r>
      <w:r w:rsidRPr="000237B3">
        <w:rPr>
          <w:rFonts w:cs="Times New Roman"/>
          <w:sz w:val="28"/>
          <w:szCs w:val="28"/>
        </w:rPr>
        <w:t>„Citadele bank</w:t>
      </w:r>
      <w:r w:rsidR="00EC23DE" w:rsidRPr="000237B3">
        <w:rPr>
          <w:rFonts w:cs="Times New Roman"/>
          <w:sz w:val="28"/>
          <w:szCs w:val="28"/>
        </w:rPr>
        <w:t>a” saistīto tiesvedību izmaksas</w:t>
      </w:r>
      <w:r w:rsidRPr="000237B3">
        <w:rPr>
          <w:rFonts w:cs="Times New Roman"/>
          <w:sz w:val="28"/>
          <w:szCs w:val="28"/>
        </w:rPr>
        <w:t>.</w:t>
      </w:r>
    </w:p>
    <w:p w:rsidR="00654841" w:rsidRPr="000237B3" w:rsidRDefault="00654841" w:rsidP="00654841">
      <w:pPr>
        <w:ind w:firstLine="709"/>
        <w:jc w:val="both"/>
        <w:rPr>
          <w:rFonts w:cs="Times New Roman"/>
          <w:bCs/>
          <w:sz w:val="28"/>
          <w:szCs w:val="28"/>
        </w:rPr>
      </w:pPr>
      <w:r w:rsidRPr="000237B3">
        <w:rPr>
          <w:rFonts w:cs="Times New Roman"/>
          <w:sz w:val="28"/>
          <w:szCs w:val="28"/>
        </w:rPr>
        <w:t>Lai arī tiesu lietu skaits 2013.gada un 2014.gada bei</w:t>
      </w:r>
      <w:r w:rsidR="00014F36" w:rsidRPr="000237B3">
        <w:rPr>
          <w:rFonts w:cs="Times New Roman"/>
          <w:sz w:val="28"/>
          <w:szCs w:val="28"/>
        </w:rPr>
        <w:t xml:space="preserve">gās tiek plānots nemainīgs, jo </w:t>
      </w:r>
      <w:r w:rsidRPr="000237B3">
        <w:rPr>
          <w:rFonts w:cs="Times New Roman"/>
          <w:sz w:val="28"/>
          <w:szCs w:val="28"/>
        </w:rPr>
        <w:t xml:space="preserve">plānots turpināt celt prasības parādu piedziņas lietās, t.sk. par īres maksas parādiem un izlikšanu no dzīvojamās telpas, tomēr izmaksu sadaļā tiek plānota izdevumu samazināšanās, jo </w:t>
      </w:r>
      <w:r w:rsidR="00014F36" w:rsidRPr="000237B3">
        <w:rPr>
          <w:rFonts w:cs="Times New Roman"/>
          <w:bCs/>
          <w:sz w:val="28"/>
          <w:szCs w:val="28"/>
        </w:rPr>
        <w:t>iecerēts</w:t>
      </w:r>
      <w:r w:rsidRPr="000237B3">
        <w:rPr>
          <w:rFonts w:cs="Times New Roman"/>
          <w:bCs/>
          <w:sz w:val="28"/>
          <w:szCs w:val="28"/>
        </w:rPr>
        <w:t xml:space="preserve"> salīdzinoši ar 2010. un 2011.gadu samazināt izdevumus par juridiskajiem pakalpojumiem, mazāk izmantojot ārpakalpojumu (šobrīd prasības pieteikumu sagatavošanu un pārstāvību tiesās </w:t>
      </w:r>
      <w:r w:rsidR="00B26300">
        <w:rPr>
          <w:rFonts w:cs="Times New Roman"/>
          <w:bCs/>
          <w:sz w:val="28"/>
          <w:szCs w:val="28"/>
        </w:rPr>
        <w:t>92</w:t>
      </w:r>
      <w:r w:rsidRPr="000237B3">
        <w:rPr>
          <w:rFonts w:cs="Times New Roman"/>
          <w:bCs/>
          <w:sz w:val="28"/>
          <w:szCs w:val="28"/>
        </w:rPr>
        <w:t xml:space="preserve">% nodrošina vidēji 5 darbinieki, bet </w:t>
      </w:r>
      <w:r w:rsidR="000C1948">
        <w:rPr>
          <w:rFonts w:cs="Times New Roman"/>
          <w:bCs/>
          <w:sz w:val="28"/>
          <w:szCs w:val="28"/>
        </w:rPr>
        <w:t>8</w:t>
      </w:r>
      <w:r w:rsidRPr="000237B3">
        <w:rPr>
          <w:rFonts w:cs="Times New Roman"/>
          <w:bCs/>
          <w:sz w:val="28"/>
          <w:szCs w:val="28"/>
        </w:rPr>
        <w:t xml:space="preserve">% zvērināti advokāti vai zvērinātu advokātu biroji).  </w:t>
      </w:r>
    </w:p>
    <w:p w:rsidR="00654841" w:rsidRPr="000237B3" w:rsidRDefault="002D43D9" w:rsidP="00654841">
      <w:pPr>
        <w:ind w:firstLine="709"/>
        <w:jc w:val="both"/>
        <w:rPr>
          <w:rFonts w:cs="Times New Roman"/>
          <w:b/>
          <w:sz w:val="28"/>
          <w:szCs w:val="28"/>
        </w:rPr>
      </w:pPr>
      <w:r w:rsidRPr="000237B3">
        <w:rPr>
          <w:rFonts w:cs="Times New Roman"/>
          <w:b/>
          <w:sz w:val="28"/>
          <w:szCs w:val="28"/>
        </w:rPr>
        <w:t>Aģentūras</w:t>
      </w:r>
      <w:r w:rsidR="00654841" w:rsidRPr="000237B3">
        <w:rPr>
          <w:rFonts w:cs="Times New Roman"/>
          <w:b/>
          <w:sz w:val="28"/>
          <w:szCs w:val="28"/>
        </w:rPr>
        <w:t xml:space="preserve"> darbības izbeigšanas </w:t>
      </w:r>
      <w:r w:rsidR="00360CD7" w:rsidRPr="000237B3">
        <w:rPr>
          <w:rFonts w:cs="Times New Roman"/>
          <w:b/>
          <w:sz w:val="28"/>
          <w:szCs w:val="28"/>
        </w:rPr>
        <w:t xml:space="preserve">stratēģijas īstenošanas </w:t>
      </w:r>
      <w:r w:rsidR="00654841" w:rsidRPr="000237B3">
        <w:rPr>
          <w:rFonts w:cs="Times New Roman"/>
          <w:b/>
          <w:sz w:val="28"/>
          <w:szCs w:val="28"/>
        </w:rPr>
        <w:t xml:space="preserve">rezultātā apmēram </w:t>
      </w:r>
      <w:r w:rsidR="00B26300">
        <w:rPr>
          <w:rFonts w:cs="Times New Roman"/>
          <w:b/>
          <w:sz w:val="28"/>
          <w:szCs w:val="28"/>
        </w:rPr>
        <w:t>200-</w:t>
      </w:r>
      <w:r w:rsidR="00654841" w:rsidRPr="000237B3">
        <w:rPr>
          <w:rFonts w:cs="Times New Roman"/>
          <w:b/>
          <w:sz w:val="28"/>
          <w:szCs w:val="28"/>
        </w:rPr>
        <w:t xml:space="preserve">240 tiesu lietas, tajā skaitā lietas, kurās </w:t>
      </w:r>
      <w:r w:rsidRPr="000237B3">
        <w:rPr>
          <w:rFonts w:cs="Times New Roman"/>
          <w:b/>
          <w:sz w:val="28"/>
          <w:szCs w:val="28"/>
        </w:rPr>
        <w:t>Aģentūra</w:t>
      </w:r>
      <w:r w:rsidR="00654841" w:rsidRPr="000237B3">
        <w:rPr>
          <w:rFonts w:cs="Times New Roman"/>
          <w:b/>
          <w:sz w:val="28"/>
          <w:szCs w:val="28"/>
        </w:rPr>
        <w:t xml:space="preserve"> ir atbildētājs</w:t>
      </w:r>
      <w:r w:rsidR="00360CD7" w:rsidRPr="000237B3">
        <w:rPr>
          <w:rFonts w:cs="Times New Roman"/>
          <w:b/>
          <w:sz w:val="28"/>
          <w:szCs w:val="28"/>
        </w:rPr>
        <w:t xml:space="preserve"> (izņemot </w:t>
      </w:r>
      <w:r w:rsidR="00CF6D03" w:rsidRPr="000237B3">
        <w:rPr>
          <w:rFonts w:cs="Times New Roman"/>
          <w:b/>
          <w:sz w:val="28"/>
          <w:szCs w:val="28"/>
        </w:rPr>
        <w:t xml:space="preserve">atsevišķas tiesu lietas, piemēram, saistībā </w:t>
      </w:r>
      <w:r w:rsidR="00360CD7" w:rsidRPr="000237B3">
        <w:rPr>
          <w:rFonts w:cs="Times New Roman"/>
          <w:b/>
          <w:sz w:val="28"/>
          <w:szCs w:val="28"/>
        </w:rPr>
        <w:t xml:space="preserve">ar </w:t>
      </w:r>
      <w:r w:rsidR="00BC3243">
        <w:rPr>
          <w:rFonts w:cs="Times New Roman"/>
          <w:b/>
          <w:sz w:val="28"/>
          <w:szCs w:val="28"/>
        </w:rPr>
        <w:t>akciju sabiedrību</w:t>
      </w:r>
      <w:r w:rsidR="00BC3243" w:rsidRPr="000237B3">
        <w:rPr>
          <w:rFonts w:cs="Times New Roman"/>
          <w:b/>
          <w:sz w:val="28"/>
          <w:szCs w:val="28"/>
        </w:rPr>
        <w:t xml:space="preserve"> </w:t>
      </w:r>
      <w:r w:rsidR="00360CD7" w:rsidRPr="000237B3">
        <w:rPr>
          <w:rFonts w:cs="Times New Roman"/>
          <w:b/>
          <w:sz w:val="28"/>
          <w:szCs w:val="28"/>
        </w:rPr>
        <w:t>„</w:t>
      </w:r>
      <w:proofErr w:type="spellStart"/>
      <w:r w:rsidR="00360CD7" w:rsidRPr="000237B3">
        <w:rPr>
          <w:rFonts w:cs="Times New Roman"/>
          <w:b/>
          <w:sz w:val="28"/>
          <w:szCs w:val="28"/>
        </w:rPr>
        <w:t>Reverta</w:t>
      </w:r>
      <w:proofErr w:type="spellEnd"/>
      <w:r w:rsidR="00360CD7" w:rsidRPr="000237B3">
        <w:rPr>
          <w:rFonts w:cs="Times New Roman"/>
          <w:b/>
          <w:sz w:val="28"/>
          <w:szCs w:val="28"/>
        </w:rPr>
        <w:t xml:space="preserve">” un </w:t>
      </w:r>
      <w:r w:rsidR="00BC3243">
        <w:rPr>
          <w:rFonts w:cs="Times New Roman"/>
          <w:b/>
          <w:sz w:val="28"/>
          <w:szCs w:val="28"/>
        </w:rPr>
        <w:t>akciju sabiedrību</w:t>
      </w:r>
      <w:r w:rsidR="00BC3243" w:rsidRPr="000237B3">
        <w:rPr>
          <w:rFonts w:cs="Times New Roman"/>
          <w:b/>
          <w:sz w:val="28"/>
          <w:szCs w:val="28"/>
        </w:rPr>
        <w:t xml:space="preserve"> </w:t>
      </w:r>
      <w:r w:rsidR="00360CD7" w:rsidRPr="000237B3">
        <w:rPr>
          <w:rFonts w:cs="Times New Roman"/>
          <w:b/>
          <w:sz w:val="28"/>
          <w:szCs w:val="28"/>
        </w:rPr>
        <w:t>„Citadele banka”)</w:t>
      </w:r>
      <w:r w:rsidR="00654841" w:rsidRPr="000237B3">
        <w:rPr>
          <w:rFonts w:cs="Times New Roman"/>
          <w:b/>
          <w:sz w:val="28"/>
          <w:szCs w:val="28"/>
        </w:rPr>
        <w:t xml:space="preserve">, jāpārņem citai institūcijai. </w:t>
      </w:r>
    </w:p>
    <w:p w:rsidR="00306704" w:rsidRPr="000237B3" w:rsidRDefault="00306704" w:rsidP="00353B48">
      <w:pPr>
        <w:ind w:firstLine="709"/>
        <w:jc w:val="both"/>
        <w:rPr>
          <w:rFonts w:cs="Times New Roman"/>
          <w:b/>
          <w:sz w:val="28"/>
          <w:szCs w:val="28"/>
        </w:rPr>
      </w:pPr>
    </w:p>
    <w:p w:rsidR="00745A40" w:rsidRPr="000237B3" w:rsidRDefault="000E0939" w:rsidP="00C557C4">
      <w:pPr>
        <w:pStyle w:val="Heading2"/>
        <w:rPr>
          <w:sz w:val="28"/>
          <w:szCs w:val="28"/>
        </w:rPr>
      </w:pPr>
      <w:bookmarkStart w:id="11" w:name="_Toc354069801"/>
      <w:r w:rsidRPr="000237B3">
        <w:rPr>
          <w:sz w:val="28"/>
          <w:szCs w:val="28"/>
        </w:rPr>
        <w:t>Privatizācijas sertifikāti</w:t>
      </w:r>
      <w:bookmarkEnd w:id="11"/>
    </w:p>
    <w:p w:rsidR="00785511" w:rsidRPr="000237B3" w:rsidRDefault="00785511" w:rsidP="00C25731">
      <w:pPr>
        <w:ind w:firstLine="720"/>
        <w:jc w:val="both"/>
        <w:rPr>
          <w:rFonts w:cs="Times New Roman"/>
          <w:sz w:val="28"/>
          <w:szCs w:val="28"/>
        </w:rPr>
      </w:pPr>
    </w:p>
    <w:p w:rsidR="00590BD7" w:rsidRPr="000237B3" w:rsidRDefault="00590BD7" w:rsidP="00590BD7">
      <w:pPr>
        <w:ind w:firstLine="720"/>
        <w:jc w:val="both"/>
        <w:rPr>
          <w:rFonts w:cs="Times New Roman"/>
          <w:sz w:val="28"/>
          <w:szCs w:val="28"/>
        </w:rPr>
      </w:pPr>
      <w:r w:rsidRPr="000237B3">
        <w:rPr>
          <w:rFonts w:cs="Times New Roman"/>
          <w:sz w:val="28"/>
          <w:szCs w:val="28"/>
        </w:rPr>
        <w:t xml:space="preserve">Saskaņā ar normatīvajiem aktiem </w:t>
      </w:r>
      <w:r w:rsidR="002D43D9" w:rsidRPr="000237B3">
        <w:rPr>
          <w:rFonts w:cs="Times New Roman"/>
          <w:sz w:val="28"/>
          <w:szCs w:val="28"/>
        </w:rPr>
        <w:t>Aģentūra</w:t>
      </w:r>
      <w:r w:rsidRPr="000237B3">
        <w:rPr>
          <w:rFonts w:cs="Times New Roman"/>
          <w:sz w:val="28"/>
          <w:szCs w:val="28"/>
        </w:rPr>
        <w:t xml:space="preserve"> veic šādas funkcijas:</w:t>
      </w:r>
    </w:p>
    <w:p w:rsidR="00590BD7" w:rsidRPr="000237B3" w:rsidRDefault="00590BD7" w:rsidP="00904EA4">
      <w:pPr>
        <w:pStyle w:val="ListParagraph"/>
        <w:numPr>
          <w:ilvl w:val="0"/>
          <w:numId w:val="3"/>
        </w:numPr>
        <w:jc w:val="both"/>
        <w:rPr>
          <w:rFonts w:cs="Times New Roman"/>
          <w:sz w:val="28"/>
          <w:szCs w:val="28"/>
        </w:rPr>
      </w:pPr>
      <w:r w:rsidRPr="000237B3">
        <w:rPr>
          <w:rFonts w:cs="Times New Roman"/>
          <w:sz w:val="28"/>
          <w:szCs w:val="28"/>
        </w:rPr>
        <w:t>privatizācijas sertifikātu piešķiršanas kontrole un informācijas apkopošana, ziņu sniegšana kredītiestādēm;</w:t>
      </w:r>
    </w:p>
    <w:p w:rsidR="00590BD7" w:rsidRPr="000237B3" w:rsidRDefault="00590BD7" w:rsidP="00983BC9">
      <w:pPr>
        <w:numPr>
          <w:ilvl w:val="0"/>
          <w:numId w:val="2"/>
        </w:numPr>
        <w:jc w:val="both"/>
        <w:rPr>
          <w:rFonts w:cs="Times New Roman"/>
          <w:sz w:val="28"/>
          <w:szCs w:val="28"/>
        </w:rPr>
      </w:pPr>
      <w:r w:rsidRPr="000237B3">
        <w:rPr>
          <w:rFonts w:cs="Times New Roman"/>
          <w:sz w:val="28"/>
          <w:szCs w:val="28"/>
        </w:rPr>
        <w:t xml:space="preserve">kredītiestāžu sniegtās informācijas par privatizācijas sertifikātu emisiju un dzēšanu noilguma kontrole un apkopošana; </w:t>
      </w:r>
    </w:p>
    <w:p w:rsidR="00590BD7" w:rsidRPr="000237B3" w:rsidRDefault="00590BD7" w:rsidP="00983BC9">
      <w:pPr>
        <w:numPr>
          <w:ilvl w:val="0"/>
          <w:numId w:val="2"/>
        </w:numPr>
        <w:jc w:val="both"/>
        <w:rPr>
          <w:rFonts w:cs="Times New Roman"/>
          <w:sz w:val="28"/>
          <w:szCs w:val="28"/>
        </w:rPr>
      </w:pPr>
      <w:r w:rsidRPr="000237B3">
        <w:rPr>
          <w:rFonts w:cs="Times New Roman"/>
          <w:sz w:val="28"/>
          <w:szCs w:val="28"/>
        </w:rPr>
        <w:t>informācijas par privatizācijas sertifikātu izmantošanu un banku ieņēmumiem no kontu atvēršanas un sertifikātu ieskaitīšanas kontos apkopošana un analīze;</w:t>
      </w:r>
    </w:p>
    <w:p w:rsidR="00590BD7" w:rsidRPr="000237B3" w:rsidRDefault="00590BD7" w:rsidP="00983BC9">
      <w:pPr>
        <w:numPr>
          <w:ilvl w:val="0"/>
          <w:numId w:val="2"/>
        </w:numPr>
        <w:jc w:val="both"/>
        <w:rPr>
          <w:rFonts w:cs="Times New Roman"/>
          <w:sz w:val="28"/>
          <w:szCs w:val="28"/>
        </w:rPr>
      </w:pPr>
      <w:r w:rsidRPr="000237B3">
        <w:rPr>
          <w:rFonts w:cs="Times New Roman"/>
          <w:sz w:val="28"/>
          <w:szCs w:val="28"/>
        </w:rPr>
        <w:t>privatizācijas sertifikātu tirgus ziņu apkopošana un analīze, sertifikātu tirgus cenas noteikšana;</w:t>
      </w:r>
    </w:p>
    <w:p w:rsidR="00590BD7" w:rsidRPr="000237B3" w:rsidRDefault="00590BD7" w:rsidP="00983BC9">
      <w:pPr>
        <w:numPr>
          <w:ilvl w:val="0"/>
          <w:numId w:val="2"/>
        </w:numPr>
        <w:jc w:val="both"/>
        <w:rPr>
          <w:rFonts w:cs="Times New Roman"/>
          <w:sz w:val="28"/>
          <w:szCs w:val="28"/>
        </w:rPr>
      </w:pPr>
      <w:r w:rsidRPr="000237B3">
        <w:rPr>
          <w:rFonts w:cs="Times New Roman"/>
          <w:sz w:val="28"/>
          <w:szCs w:val="28"/>
        </w:rPr>
        <w:t>privatizācijas sertifikātu dzēšana politiski represētajām personām, izmaksājot to nominālvērtību naudā.</w:t>
      </w:r>
    </w:p>
    <w:p w:rsidR="00112A58" w:rsidRPr="000237B3" w:rsidRDefault="00BC7FE4" w:rsidP="00112A58">
      <w:pPr>
        <w:ind w:firstLine="720"/>
        <w:jc w:val="both"/>
        <w:rPr>
          <w:rFonts w:cs="Times New Roman"/>
          <w:sz w:val="28"/>
          <w:szCs w:val="28"/>
        </w:rPr>
      </w:pPr>
      <w:r w:rsidRPr="000237B3">
        <w:rPr>
          <w:rFonts w:cs="Times New Roman"/>
          <w:sz w:val="28"/>
          <w:szCs w:val="28"/>
        </w:rPr>
        <w:t>Līdz</w:t>
      </w:r>
      <w:r w:rsidR="00590BD7" w:rsidRPr="000237B3">
        <w:rPr>
          <w:rFonts w:cs="Times New Roman"/>
          <w:sz w:val="28"/>
          <w:szCs w:val="28"/>
        </w:rPr>
        <w:t xml:space="preserve"> </w:t>
      </w:r>
      <w:r w:rsidR="00451CCA">
        <w:rPr>
          <w:rFonts w:cs="Times New Roman"/>
          <w:sz w:val="28"/>
          <w:szCs w:val="28"/>
        </w:rPr>
        <w:t xml:space="preserve">2013.gada 31.martam </w:t>
      </w:r>
      <w:r w:rsidR="00590BD7" w:rsidRPr="000237B3">
        <w:rPr>
          <w:rFonts w:cs="Times New Roman"/>
          <w:sz w:val="28"/>
          <w:szCs w:val="28"/>
        </w:rPr>
        <w:t xml:space="preserve">neizmantoti ir </w:t>
      </w:r>
      <w:r w:rsidR="00E051CF" w:rsidRPr="000237B3">
        <w:rPr>
          <w:rFonts w:cs="Times New Roman"/>
          <w:sz w:val="28"/>
          <w:szCs w:val="28"/>
        </w:rPr>
        <w:t xml:space="preserve">2,81 </w:t>
      </w:r>
      <w:proofErr w:type="spellStart"/>
      <w:r w:rsidR="00590BD7" w:rsidRPr="000237B3">
        <w:rPr>
          <w:rFonts w:cs="Times New Roman"/>
          <w:sz w:val="28"/>
          <w:szCs w:val="28"/>
        </w:rPr>
        <w:t>milj</w:t>
      </w:r>
      <w:proofErr w:type="spellEnd"/>
      <w:r w:rsidR="00590BD7" w:rsidRPr="000237B3">
        <w:rPr>
          <w:rFonts w:cs="Times New Roman"/>
          <w:sz w:val="28"/>
          <w:szCs w:val="28"/>
        </w:rPr>
        <w:t xml:space="preserve">. privatizācijas sertifikāti, </w:t>
      </w:r>
      <w:r w:rsidR="009F38BE">
        <w:rPr>
          <w:rFonts w:cs="Times New Roman"/>
          <w:sz w:val="28"/>
          <w:szCs w:val="28"/>
        </w:rPr>
        <w:t>78.68</w:t>
      </w:r>
      <w:r w:rsidR="00E051CF" w:rsidRPr="000237B3">
        <w:rPr>
          <w:rFonts w:cs="Times New Roman"/>
          <w:sz w:val="28"/>
          <w:szCs w:val="28"/>
        </w:rPr>
        <w:t xml:space="preserve"> </w:t>
      </w:r>
      <w:proofErr w:type="spellStart"/>
      <w:r w:rsidR="00590BD7" w:rsidRPr="000237B3">
        <w:rPr>
          <w:rFonts w:cs="Times New Roman"/>
          <w:sz w:val="28"/>
          <w:szCs w:val="28"/>
        </w:rPr>
        <w:t>milj</w:t>
      </w:r>
      <w:proofErr w:type="spellEnd"/>
      <w:r w:rsidR="00590BD7" w:rsidRPr="000237B3">
        <w:rPr>
          <w:rFonts w:cs="Times New Roman"/>
          <w:sz w:val="28"/>
          <w:szCs w:val="28"/>
        </w:rPr>
        <w:t>. latu nominālvērtībā (2,</w:t>
      </w:r>
      <w:r w:rsidRPr="000237B3">
        <w:rPr>
          <w:rFonts w:cs="Times New Roman"/>
          <w:sz w:val="28"/>
          <w:szCs w:val="28"/>
        </w:rPr>
        <w:t>5</w:t>
      </w:r>
      <w:r w:rsidR="00590BD7" w:rsidRPr="000237B3">
        <w:rPr>
          <w:rFonts w:cs="Times New Roman"/>
          <w:sz w:val="28"/>
          <w:szCs w:val="28"/>
        </w:rPr>
        <w:t>% no piešķirtajiem sertifikātiem), tajā skai</w:t>
      </w:r>
      <w:r w:rsidR="00CB7055" w:rsidRPr="000237B3">
        <w:rPr>
          <w:rFonts w:cs="Times New Roman"/>
          <w:sz w:val="28"/>
          <w:szCs w:val="28"/>
        </w:rPr>
        <w:t xml:space="preserve">tā fizisko personu kontos - </w:t>
      </w:r>
      <w:r w:rsidR="009F38BE">
        <w:rPr>
          <w:rFonts w:cs="Times New Roman"/>
          <w:sz w:val="28"/>
          <w:szCs w:val="28"/>
        </w:rPr>
        <w:t xml:space="preserve">2.091 </w:t>
      </w:r>
      <w:proofErr w:type="spellStart"/>
      <w:r w:rsidR="00590BD7" w:rsidRPr="000237B3">
        <w:rPr>
          <w:rFonts w:cs="Times New Roman"/>
          <w:sz w:val="28"/>
          <w:szCs w:val="28"/>
        </w:rPr>
        <w:t>milj</w:t>
      </w:r>
      <w:proofErr w:type="spellEnd"/>
      <w:r w:rsidR="00590BD7" w:rsidRPr="000237B3">
        <w:rPr>
          <w:rFonts w:cs="Times New Roman"/>
          <w:sz w:val="28"/>
          <w:szCs w:val="28"/>
        </w:rPr>
        <w:t xml:space="preserve">. sertifikāti, juridisko personu kontos – </w:t>
      </w:r>
      <w:r w:rsidR="00451CCA">
        <w:rPr>
          <w:rFonts w:cs="Times New Roman"/>
          <w:sz w:val="28"/>
          <w:szCs w:val="28"/>
        </w:rPr>
        <w:t>_</w:t>
      </w:r>
      <w:r w:rsidR="009F38BE">
        <w:rPr>
          <w:rFonts w:cs="Times New Roman"/>
          <w:sz w:val="28"/>
          <w:szCs w:val="28"/>
        </w:rPr>
        <w:t>0.719</w:t>
      </w:r>
      <w:r w:rsidR="00590BD7" w:rsidRPr="000237B3">
        <w:rPr>
          <w:rFonts w:cs="Times New Roman"/>
          <w:sz w:val="28"/>
          <w:szCs w:val="28"/>
        </w:rPr>
        <w:t xml:space="preserve"> </w:t>
      </w:r>
      <w:proofErr w:type="spellStart"/>
      <w:r w:rsidR="00590BD7" w:rsidRPr="000237B3">
        <w:rPr>
          <w:rFonts w:cs="Times New Roman"/>
          <w:sz w:val="28"/>
          <w:szCs w:val="28"/>
        </w:rPr>
        <w:t>milj</w:t>
      </w:r>
      <w:proofErr w:type="spellEnd"/>
      <w:r w:rsidR="00590BD7" w:rsidRPr="000237B3">
        <w:rPr>
          <w:rFonts w:cs="Times New Roman"/>
          <w:sz w:val="28"/>
          <w:szCs w:val="28"/>
        </w:rPr>
        <w:t xml:space="preserve">. sertifikāti. Normatīvajos aktos privatizācijas sertifikātiem derīguma termiņš nav noteikts, tie izmantojami valsts un pašvaldību īpašuma privatizācijas procesa ietvaros. </w:t>
      </w:r>
    </w:p>
    <w:p w:rsidR="00EF61DD" w:rsidRPr="000237B3" w:rsidRDefault="00590BD7" w:rsidP="00EF61DD">
      <w:pPr>
        <w:ind w:firstLine="720"/>
        <w:jc w:val="both"/>
        <w:rPr>
          <w:rFonts w:cs="Times New Roman"/>
          <w:sz w:val="28"/>
          <w:szCs w:val="28"/>
        </w:rPr>
      </w:pPr>
      <w:r w:rsidRPr="000237B3">
        <w:rPr>
          <w:rFonts w:cs="Times New Roman"/>
          <w:sz w:val="28"/>
          <w:szCs w:val="28"/>
        </w:rPr>
        <w:t xml:space="preserve">Atbilstoši normatīvajiem aktiem katru gadu ar Ekonomikas ministrijas rīkojumu tiek apstiprināta </w:t>
      </w:r>
      <w:r w:rsidR="00967516" w:rsidRPr="000237B3">
        <w:rPr>
          <w:rFonts w:cs="Times New Roman"/>
          <w:sz w:val="28"/>
          <w:szCs w:val="28"/>
        </w:rPr>
        <w:t>i</w:t>
      </w:r>
      <w:r w:rsidRPr="000237B3">
        <w:rPr>
          <w:rFonts w:cs="Times New Roman"/>
          <w:sz w:val="28"/>
          <w:szCs w:val="28"/>
        </w:rPr>
        <w:t xml:space="preserve">zdevumu tāme par finansējumu un veicamajiem darbiem, kas saistīti ar privatizācijas sertifikātu piešķiršanu un apriti. </w:t>
      </w:r>
      <w:r w:rsidR="00E1137F" w:rsidRPr="000237B3">
        <w:rPr>
          <w:rFonts w:cs="Times New Roman"/>
          <w:sz w:val="28"/>
          <w:szCs w:val="28"/>
        </w:rPr>
        <w:t>I</w:t>
      </w:r>
      <w:r w:rsidRPr="000237B3">
        <w:rPr>
          <w:rFonts w:cs="Times New Roman"/>
          <w:sz w:val="28"/>
          <w:szCs w:val="28"/>
        </w:rPr>
        <w:t xml:space="preserve">zdevumi tiek segti no </w:t>
      </w:r>
      <w:r w:rsidR="00E051CF" w:rsidRPr="000237B3">
        <w:rPr>
          <w:rFonts w:cs="Times New Roman"/>
          <w:sz w:val="28"/>
          <w:szCs w:val="28"/>
        </w:rPr>
        <w:t xml:space="preserve">Aģentūrai </w:t>
      </w:r>
      <w:r w:rsidR="00E1137F" w:rsidRPr="000237B3">
        <w:rPr>
          <w:rFonts w:cs="Times New Roman"/>
          <w:sz w:val="28"/>
          <w:szCs w:val="28"/>
        </w:rPr>
        <w:t>pārskaitītajiem kredītiestāžu līdzekļiem</w:t>
      </w:r>
      <w:r w:rsidRPr="000237B3">
        <w:rPr>
          <w:rFonts w:cs="Times New Roman"/>
          <w:sz w:val="28"/>
          <w:szCs w:val="28"/>
        </w:rPr>
        <w:t xml:space="preserve">, kas gūti no kontu atvēršanas un apkalpošanas, un no valsts īpašuma objektu privatizācijā </w:t>
      </w:r>
      <w:r w:rsidR="00E1137F" w:rsidRPr="000237B3">
        <w:rPr>
          <w:rFonts w:cs="Times New Roman"/>
          <w:sz w:val="28"/>
          <w:szCs w:val="28"/>
        </w:rPr>
        <w:t xml:space="preserve">saņemtajiem atskaitījumiem </w:t>
      </w:r>
      <w:r w:rsidRPr="000237B3">
        <w:rPr>
          <w:rFonts w:cs="Times New Roman"/>
          <w:sz w:val="28"/>
          <w:szCs w:val="28"/>
        </w:rPr>
        <w:t>(</w:t>
      </w:r>
      <w:r w:rsidR="002D43D9" w:rsidRPr="000237B3">
        <w:rPr>
          <w:rFonts w:cs="Times New Roman"/>
          <w:sz w:val="28"/>
          <w:szCs w:val="28"/>
        </w:rPr>
        <w:t>Aģentūras</w:t>
      </w:r>
      <w:r w:rsidR="00E1137F" w:rsidRPr="000237B3">
        <w:rPr>
          <w:rFonts w:cs="Times New Roman"/>
          <w:sz w:val="28"/>
          <w:szCs w:val="28"/>
        </w:rPr>
        <w:t xml:space="preserve"> </w:t>
      </w:r>
      <w:r w:rsidRPr="000237B3">
        <w:rPr>
          <w:rFonts w:cs="Times New Roman"/>
          <w:sz w:val="28"/>
          <w:szCs w:val="28"/>
        </w:rPr>
        <w:lastRenderedPageBreak/>
        <w:t>rezerves fonda).</w:t>
      </w:r>
      <w:r w:rsidR="00EF61DD" w:rsidRPr="000237B3">
        <w:rPr>
          <w:rFonts w:cs="Times New Roman"/>
          <w:sz w:val="28"/>
          <w:szCs w:val="28"/>
        </w:rPr>
        <w:t xml:space="preserve"> Saskaņā ar Ekonomikas ministrijas apstiprināto tāmi </w:t>
      </w:r>
      <w:r w:rsidR="00E051CF" w:rsidRPr="000237B3">
        <w:rPr>
          <w:rFonts w:cs="Times New Roman"/>
          <w:sz w:val="28"/>
          <w:szCs w:val="28"/>
        </w:rPr>
        <w:t>2013</w:t>
      </w:r>
      <w:r w:rsidR="00EF61DD" w:rsidRPr="000237B3">
        <w:rPr>
          <w:rFonts w:cs="Times New Roman"/>
          <w:sz w:val="28"/>
          <w:szCs w:val="28"/>
        </w:rPr>
        <w:t xml:space="preserve">.gadam šai funkcijai </w:t>
      </w:r>
      <w:r w:rsidR="009F38BE">
        <w:rPr>
          <w:rFonts w:cs="Times New Roman"/>
          <w:sz w:val="28"/>
          <w:szCs w:val="28"/>
        </w:rPr>
        <w:t>paredzētais</w:t>
      </w:r>
      <w:r w:rsidR="009F38BE" w:rsidRPr="000237B3">
        <w:rPr>
          <w:rFonts w:cs="Times New Roman"/>
          <w:sz w:val="28"/>
          <w:szCs w:val="28"/>
        </w:rPr>
        <w:t xml:space="preserve"> </w:t>
      </w:r>
      <w:r w:rsidR="00EF61DD" w:rsidRPr="000237B3">
        <w:rPr>
          <w:rFonts w:cs="Times New Roman"/>
          <w:sz w:val="28"/>
          <w:szCs w:val="28"/>
        </w:rPr>
        <w:t xml:space="preserve">finansējums ir </w:t>
      </w:r>
      <w:r w:rsidR="00E051CF" w:rsidRPr="000237B3">
        <w:rPr>
          <w:rFonts w:cs="Times New Roman"/>
          <w:sz w:val="28"/>
          <w:szCs w:val="28"/>
        </w:rPr>
        <w:t>18,75</w:t>
      </w:r>
      <w:r w:rsidR="00EF61DD" w:rsidRPr="000237B3">
        <w:rPr>
          <w:rFonts w:cs="Times New Roman"/>
          <w:sz w:val="28"/>
          <w:szCs w:val="28"/>
        </w:rPr>
        <w:t xml:space="preserve"> tūkst.</w:t>
      </w:r>
      <w:r w:rsidR="007F0EFD" w:rsidRPr="000237B3">
        <w:rPr>
          <w:rFonts w:cs="Times New Roman"/>
          <w:sz w:val="28"/>
          <w:szCs w:val="28"/>
        </w:rPr>
        <w:t xml:space="preserve"> latu. </w:t>
      </w:r>
    </w:p>
    <w:p w:rsidR="000E5116" w:rsidRPr="000237B3" w:rsidRDefault="00126206" w:rsidP="00EF61DD">
      <w:pPr>
        <w:ind w:firstLine="720"/>
        <w:jc w:val="both"/>
        <w:rPr>
          <w:rFonts w:cs="Times New Roman"/>
          <w:sz w:val="28"/>
          <w:szCs w:val="28"/>
        </w:rPr>
      </w:pPr>
      <w:r w:rsidRPr="000237B3">
        <w:rPr>
          <w:rFonts w:cs="Times New Roman"/>
          <w:sz w:val="28"/>
          <w:szCs w:val="28"/>
        </w:rPr>
        <w:t>Ministru kabineta 2013.gada 15.janvārā sēdē (prot.Nr. 3 28.§) tika atbalstīts likumprojekts "Grozījumi likumā "Par privatizācijas sertifikātiem"", kurā iekļauts pilnvarojums Ministru kabinetam noteikt to personu vai institūciju, kurai tiks deleģēts (noteikts pienākums) apkalpot privatizācijas sertifikātu kontus un veikt privatizācijas sertifikātu administrēšanu.</w:t>
      </w:r>
    </w:p>
    <w:p w:rsidR="00745A40" w:rsidRPr="000237B3" w:rsidRDefault="00491ECF" w:rsidP="00353B48">
      <w:pPr>
        <w:ind w:firstLine="720"/>
        <w:jc w:val="both"/>
        <w:rPr>
          <w:rFonts w:cs="Times New Roman"/>
          <w:b/>
          <w:sz w:val="28"/>
          <w:szCs w:val="28"/>
        </w:rPr>
      </w:pPr>
      <w:r>
        <w:rPr>
          <w:rFonts w:cs="Times New Roman"/>
          <w:b/>
          <w:sz w:val="28"/>
          <w:szCs w:val="28"/>
        </w:rPr>
        <w:t>Aģentūrai deleģēto pārvaldes uzdevumu saistībā ar privatizācijas sertifikātu administrēšanas jautājumiem 2014.gada pirmajā pusē pārņems</w:t>
      </w:r>
      <w:r w:rsidR="002B5869" w:rsidRPr="000237B3">
        <w:rPr>
          <w:rFonts w:cs="Times New Roman"/>
          <w:b/>
          <w:sz w:val="28"/>
          <w:szCs w:val="28"/>
        </w:rPr>
        <w:t xml:space="preserve"> Ekonomikas ministrija</w:t>
      </w:r>
      <w:r w:rsidR="00B06941" w:rsidRPr="000237B3">
        <w:rPr>
          <w:rFonts w:cs="Times New Roman"/>
          <w:b/>
          <w:sz w:val="28"/>
          <w:szCs w:val="28"/>
        </w:rPr>
        <w:t xml:space="preserve">. </w:t>
      </w:r>
    </w:p>
    <w:p w:rsidR="00AB55A9" w:rsidRPr="000237B3" w:rsidRDefault="00AB55A9" w:rsidP="00353B48">
      <w:pPr>
        <w:ind w:firstLine="720"/>
        <w:jc w:val="both"/>
        <w:rPr>
          <w:rFonts w:cs="Times New Roman"/>
          <w:sz w:val="28"/>
          <w:szCs w:val="28"/>
        </w:rPr>
      </w:pPr>
    </w:p>
    <w:p w:rsidR="00A149A5" w:rsidRDefault="00A149A5" w:rsidP="00C557C4">
      <w:pPr>
        <w:pStyle w:val="Heading2"/>
        <w:rPr>
          <w:sz w:val="28"/>
          <w:szCs w:val="28"/>
        </w:rPr>
      </w:pPr>
      <w:bookmarkStart w:id="12" w:name="_Toc354069802"/>
    </w:p>
    <w:p w:rsidR="00B13893" w:rsidRPr="000237B3" w:rsidRDefault="00A149A5" w:rsidP="00C557C4">
      <w:pPr>
        <w:pStyle w:val="Heading2"/>
        <w:rPr>
          <w:sz w:val="28"/>
          <w:szCs w:val="28"/>
        </w:rPr>
      </w:pPr>
      <w:r>
        <w:rPr>
          <w:sz w:val="28"/>
          <w:szCs w:val="28"/>
        </w:rPr>
        <w:t>P</w:t>
      </w:r>
      <w:r w:rsidR="00AD7BFF" w:rsidRPr="000237B3">
        <w:rPr>
          <w:sz w:val="28"/>
          <w:szCs w:val="28"/>
        </w:rPr>
        <w:t xml:space="preserve">ar </w:t>
      </w:r>
      <w:r w:rsidR="002D43D9" w:rsidRPr="000237B3">
        <w:rPr>
          <w:sz w:val="28"/>
          <w:szCs w:val="28"/>
        </w:rPr>
        <w:t>Aģentūras</w:t>
      </w:r>
      <w:r w:rsidR="00AD7BFF" w:rsidRPr="000237B3">
        <w:rPr>
          <w:sz w:val="28"/>
          <w:szCs w:val="28"/>
        </w:rPr>
        <w:t xml:space="preserve"> </w:t>
      </w:r>
      <w:r>
        <w:rPr>
          <w:sz w:val="28"/>
          <w:szCs w:val="28"/>
        </w:rPr>
        <w:t>līdzdalību citās</w:t>
      </w:r>
      <w:r w:rsidRPr="000237B3">
        <w:rPr>
          <w:sz w:val="28"/>
          <w:szCs w:val="28"/>
        </w:rPr>
        <w:t xml:space="preserve"> </w:t>
      </w:r>
      <w:r w:rsidR="00AD7BFF" w:rsidRPr="000237B3">
        <w:rPr>
          <w:sz w:val="28"/>
          <w:szCs w:val="28"/>
        </w:rPr>
        <w:t>sabiedrībā</w:t>
      </w:r>
      <w:r>
        <w:rPr>
          <w:sz w:val="28"/>
          <w:szCs w:val="28"/>
        </w:rPr>
        <w:t>s</w:t>
      </w:r>
      <w:bookmarkEnd w:id="12"/>
    </w:p>
    <w:p w:rsidR="0028108A" w:rsidRPr="000237B3" w:rsidRDefault="00BC3243" w:rsidP="00D2746F">
      <w:pPr>
        <w:pStyle w:val="Heading3"/>
      </w:pPr>
      <w:bookmarkStart w:id="13" w:name="_Toc354069803"/>
      <w:r>
        <w:t>Akciju sabiedrība</w:t>
      </w:r>
      <w:r w:rsidRPr="000237B3">
        <w:t xml:space="preserve"> </w:t>
      </w:r>
      <w:r w:rsidR="007719A2" w:rsidRPr="000237B3">
        <w:t>„</w:t>
      </w:r>
      <w:r w:rsidR="0028108A" w:rsidRPr="000237B3">
        <w:t>Citadele banka</w:t>
      </w:r>
      <w:r w:rsidR="007719A2" w:rsidRPr="000237B3">
        <w:t>”</w:t>
      </w:r>
      <w:bookmarkEnd w:id="13"/>
    </w:p>
    <w:p w:rsidR="00354310" w:rsidRPr="000237B3" w:rsidRDefault="00C25731" w:rsidP="00354310">
      <w:pPr>
        <w:pStyle w:val="BodyText"/>
        <w:spacing w:after="0"/>
        <w:ind w:firstLine="709"/>
        <w:jc w:val="both"/>
        <w:rPr>
          <w:rFonts w:cs="Times New Roman"/>
          <w:sz w:val="28"/>
          <w:szCs w:val="28"/>
        </w:rPr>
      </w:pPr>
      <w:r w:rsidRPr="000237B3">
        <w:rPr>
          <w:rFonts w:cs="Times New Roman"/>
          <w:sz w:val="28"/>
          <w:szCs w:val="28"/>
        </w:rPr>
        <w:t>2011.</w:t>
      </w:r>
      <w:r w:rsidR="004310F5" w:rsidRPr="000237B3">
        <w:rPr>
          <w:rFonts w:cs="Times New Roman"/>
          <w:sz w:val="28"/>
          <w:szCs w:val="28"/>
        </w:rPr>
        <w:t>gada 17.maijā</w:t>
      </w:r>
      <w:r w:rsidR="00785511" w:rsidRPr="000237B3">
        <w:rPr>
          <w:rFonts w:cs="Times New Roman"/>
          <w:sz w:val="28"/>
          <w:szCs w:val="28"/>
        </w:rPr>
        <w:t xml:space="preserve"> </w:t>
      </w:r>
      <w:r w:rsidR="00241E11" w:rsidRPr="00241E11">
        <w:rPr>
          <w:rFonts w:cs="Times New Roman"/>
          <w:sz w:val="28"/>
          <w:szCs w:val="28"/>
        </w:rPr>
        <w:t>(prot. Nr.31 58.§)</w:t>
      </w:r>
      <w:r w:rsidR="00241E11">
        <w:rPr>
          <w:rFonts w:cs="Times New Roman"/>
          <w:sz w:val="28"/>
          <w:szCs w:val="28"/>
        </w:rPr>
        <w:t xml:space="preserve"> </w:t>
      </w:r>
      <w:r w:rsidR="00785511" w:rsidRPr="000237B3">
        <w:rPr>
          <w:rFonts w:cs="Times New Roman"/>
          <w:sz w:val="28"/>
          <w:szCs w:val="28"/>
        </w:rPr>
        <w:t>Ministru kabinets atbalstīja</w:t>
      </w:r>
      <w:r w:rsidRPr="000237B3">
        <w:rPr>
          <w:rFonts w:cs="Times New Roman"/>
          <w:sz w:val="28"/>
          <w:szCs w:val="28"/>
        </w:rPr>
        <w:t xml:space="preserve"> </w:t>
      </w:r>
      <w:r w:rsidR="00BC3243">
        <w:rPr>
          <w:rFonts w:cs="Times New Roman"/>
          <w:sz w:val="28"/>
          <w:szCs w:val="28"/>
        </w:rPr>
        <w:t>akciju sabiedrības</w:t>
      </w:r>
      <w:r w:rsidR="00BC3243" w:rsidRPr="000237B3">
        <w:rPr>
          <w:rFonts w:cs="Times New Roman"/>
          <w:sz w:val="28"/>
          <w:szCs w:val="28"/>
        </w:rPr>
        <w:t xml:space="preserve"> </w:t>
      </w:r>
      <w:r w:rsidR="007719A2" w:rsidRPr="000237B3">
        <w:rPr>
          <w:rFonts w:cs="Times New Roman"/>
          <w:sz w:val="28"/>
          <w:szCs w:val="28"/>
        </w:rPr>
        <w:t>„</w:t>
      </w:r>
      <w:r w:rsidRPr="000237B3">
        <w:rPr>
          <w:rFonts w:cs="Times New Roman"/>
          <w:sz w:val="28"/>
          <w:szCs w:val="28"/>
        </w:rPr>
        <w:t>Citadele banka</w:t>
      </w:r>
      <w:r w:rsidR="007719A2" w:rsidRPr="000237B3">
        <w:rPr>
          <w:rFonts w:cs="Times New Roman"/>
          <w:sz w:val="28"/>
          <w:szCs w:val="28"/>
        </w:rPr>
        <w:t>”</w:t>
      </w:r>
      <w:r w:rsidRPr="000237B3">
        <w:rPr>
          <w:rFonts w:cs="Times New Roman"/>
          <w:sz w:val="28"/>
          <w:szCs w:val="28"/>
        </w:rPr>
        <w:t xml:space="preserve"> pārdošanas stratēģiju, k</w:t>
      </w:r>
      <w:r w:rsidR="004E6600" w:rsidRPr="000237B3">
        <w:rPr>
          <w:rFonts w:cs="Times New Roman"/>
          <w:sz w:val="28"/>
          <w:szCs w:val="28"/>
        </w:rPr>
        <w:t>as</w:t>
      </w:r>
      <w:r w:rsidRPr="000237B3">
        <w:rPr>
          <w:rFonts w:cs="Times New Roman"/>
          <w:sz w:val="28"/>
          <w:szCs w:val="28"/>
        </w:rPr>
        <w:t xml:space="preserve"> paredz caurskatāmu un konkurētspēju veicinošu pārdošanas procesu izsolē, iepriekš organizējot pretendentu atlasi. Pārdošanas procesā tika izvirzīti četri galvenie mērķi - maksimāli efektīvā veidā atgūt valsts ieguldītos līdzekļus, nodrošināt augstas kvalitātes banku pakalpojumus klientiem un valsts finanšu sistēmas stabilitāti, kā arī banku pārdošanai jānotiek atbilstoši Eiropas Komisijā apstiprinātajam restrukturizācijas plānam. 2011.</w:t>
      </w:r>
      <w:r w:rsidR="004310F5" w:rsidRPr="000237B3">
        <w:rPr>
          <w:rFonts w:cs="Times New Roman"/>
          <w:sz w:val="28"/>
          <w:szCs w:val="28"/>
        </w:rPr>
        <w:t>gada 27.decembrī</w:t>
      </w:r>
      <w:r w:rsidRPr="000237B3">
        <w:rPr>
          <w:rFonts w:cs="Times New Roman"/>
          <w:sz w:val="28"/>
          <w:szCs w:val="28"/>
        </w:rPr>
        <w:t xml:space="preserve"> </w:t>
      </w:r>
      <w:r w:rsidR="00241E11" w:rsidRPr="00241E11">
        <w:rPr>
          <w:rFonts w:cs="Times New Roman"/>
          <w:sz w:val="28"/>
          <w:szCs w:val="28"/>
        </w:rPr>
        <w:t>(prot. Nr.</w:t>
      </w:r>
      <w:r w:rsidR="00241E11">
        <w:rPr>
          <w:rFonts w:cs="Times New Roman"/>
          <w:sz w:val="28"/>
          <w:szCs w:val="28"/>
        </w:rPr>
        <w:t>76</w:t>
      </w:r>
      <w:r w:rsidR="00241E11" w:rsidRPr="00241E11">
        <w:rPr>
          <w:rFonts w:cs="Times New Roman"/>
          <w:sz w:val="28"/>
          <w:szCs w:val="28"/>
        </w:rPr>
        <w:t xml:space="preserve"> </w:t>
      </w:r>
      <w:r w:rsidR="00241E11">
        <w:rPr>
          <w:rFonts w:cs="Times New Roman"/>
          <w:sz w:val="28"/>
          <w:szCs w:val="28"/>
        </w:rPr>
        <w:t>66</w:t>
      </w:r>
      <w:r w:rsidR="00241E11" w:rsidRPr="00241E11">
        <w:rPr>
          <w:rFonts w:cs="Times New Roman"/>
          <w:sz w:val="28"/>
          <w:szCs w:val="28"/>
        </w:rPr>
        <w:t xml:space="preserve">.§) </w:t>
      </w:r>
      <w:r w:rsidRPr="000237B3">
        <w:rPr>
          <w:rFonts w:cs="Times New Roman"/>
          <w:sz w:val="28"/>
          <w:szCs w:val="28"/>
        </w:rPr>
        <w:t>Ministru kabinets atli</w:t>
      </w:r>
      <w:r w:rsidR="00785511" w:rsidRPr="000237B3">
        <w:rPr>
          <w:rFonts w:cs="Times New Roman"/>
          <w:sz w:val="28"/>
          <w:szCs w:val="28"/>
        </w:rPr>
        <w:t>ka</w:t>
      </w:r>
      <w:r w:rsidRPr="000237B3">
        <w:rPr>
          <w:rFonts w:cs="Times New Roman"/>
          <w:sz w:val="28"/>
          <w:szCs w:val="28"/>
        </w:rPr>
        <w:t xml:space="preserve"> </w:t>
      </w:r>
      <w:r w:rsidR="00BC3243" w:rsidRPr="00BC3243">
        <w:rPr>
          <w:rFonts w:cs="Times New Roman"/>
          <w:sz w:val="28"/>
          <w:szCs w:val="28"/>
        </w:rPr>
        <w:t>akciju sabiedrības</w:t>
      </w:r>
      <w:r w:rsidR="007719A2" w:rsidRPr="000237B3">
        <w:rPr>
          <w:rFonts w:cs="Times New Roman"/>
          <w:sz w:val="28"/>
          <w:szCs w:val="28"/>
        </w:rPr>
        <w:t xml:space="preserve"> „</w:t>
      </w:r>
      <w:r w:rsidRPr="000237B3">
        <w:rPr>
          <w:rFonts w:cs="Times New Roman"/>
          <w:sz w:val="28"/>
          <w:szCs w:val="28"/>
        </w:rPr>
        <w:t>Citadele banka</w:t>
      </w:r>
      <w:r w:rsidR="007719A2" w:rsidRPr="000237B3">
        <w:rPr>
          <w:rFonts w:cs="Times New Roman"/>
          <w:sz w:val="28"/>
          <w:szCs w:val="28"/>
        </w:rPr>
        <w:t>”</w:t>
      </w:r>
      <w:r w:rsidR="00785511" w:rsidRPr="000237B3">
        <w:rPr>
          <w:rFonts w:cs="Times New Roman"/>
          <w:sz w:val="28"/>
          <w:szCs w:val="28"/>
        </w:rPr>
        <w:t xml:space="preserve"> pārdošanu, kā arī nolēma</w:t>
      </w:r>
      <w:r w:rsidRPr="000237B3">
        <w:rPr>
          <w:rFonts w:cs="Times New Roman"/>
          <w:sz w:val="28"/>
          <w:szCs w:val="28"/>
        </w:rPr>
        <w:t xml:space="preserve"> atgriezties pie šī jautājuma, kad būs uzlabojusies situācija </w:t>
      </w:r>
      <w:r w:rsidR="00785511" w:rsidRPr="000237B3">
        <w:rPr>
          <w:rFonts w:cs="Times New Roman"/>
          <w:sz w:val="28"/>
          <w:szCs w:val="28"/>
        </w:rPr>
        <w:t>starptautiskajos finanšu tirgos</w:t>
      </w:r>
      <w:r w:rsidR="00140E88" w:rsidRPr="000237B3">
        <w:rPr>
          <w:rFonts w:cs="Times New Roman"/>
          <w:sz w:val="28"/>
          <w:szCs w:val="28"/>
        </w:rPr>
        <w:t xml:space="preserve"> (</w:t>
      </w:r>
      <w:r w:rsidR="00140E88" w:rsidRPr="000237B3">
        <w:rPr>
          <w:rFonts w:cs="Times New Roman"/>
          <w:color w:val="000000"/>
          <w:sz w:val="28"/>
          <w:szCs w:val="28"/>
        </w:rPr>
        <w:t>2012.gada oktobrī). Attiecīgi 2012.</w:t>
      </w:r>
      <w:r w:rsidR="004310F5" w:rsidRPr="000237B3">
        <w:rPr>
          <w:rFonts w:cs="Times New Roman"/>
          <w:color w:val="000000"/>
          <w:sz w:val="28"/>
          <w:szCs w:val="28"/>
        </w:rPr>
        <w:t>gada 6.novembrī</w:t>
      </w:r>
      <w:r w:rsidR="00140E88" w:rsidRPr="000237B3">
        <w:rPr>
          <w:rFonts w:cs="Times New Roman"/>
          <w:color w:val="000000"/>
          <w:sz w:val="28"/>
          <w:szCs w:val="28"/>
        </w:rPr>
        <w:t xml:space="preserve"> </w:t>
      </w:r>
      <w:r w:rsidR="006F56A0">
        <w:rPr>
          <w:rFonts w:cs="Times New Roman"/>
          <w:color w:val="000000"/>
          <w:sz w:val="28"/>
          <w:szCs w:val="28"/>
        </w:rPr>
        <w:t>(prot. Nr.62 41.§)</w:t>
      </w:r>
      <w:r w:rsidR="00140E88" w:rsidRPr="000237B3">
        <w:rPr>
          <w:rFonts w:cs="Times New Roman"/>
          <w:color w:val="000000"/>
          <w:sz w:val="28"/>
          <w:szCs w:val="28"/>
        </w:rPr>
        <w:t xml:space="preserve"> Ministru kabinets nolēma neatsākt </w:t>
      </w:r>
      <w:r w:rsidR="00BC3243" w:rsidRPr="00BC3243">
        <w:rPr>
          <w:rFonts w:cs="Times New Roman"/>
          <w:color w:val="000000"/>
          <w:sz w:val="28"/>
          <w:szCs w:val="28"/>
        </w:rPr>
        <w:t>akciju sabiedrības</w:t>
      </w:r>
      <w:r w:rsidR="00140E88" w:rsidRPr="000237B3">
        <w:rPr>
          <w:rFonts w:cs="Times New Roman"/>
          <w:color w:val="000000"/>
          <w:sz w:val="28"/>
          <w:szCs w:val="28"/>
        </w:rPr>
        <w:t xml:space="preserve"> „Citadele banka” pārdošanas procesu. Šāds lēmums tika pieņemts, ņemot vērā pārdošanas konsultanta „Nomura International plc” rekomendāciju, kas balstīta detalizētā tirgus situācijas analīzē. Pašreizējā banku sektora dinamika nav labvēlīga pārdošanas procesa atsākšanai, jo apvienošanās un pārņemšanas darījumu tirgū ir vērojama maza aktivitāte, kā arī jāņem vērā joprojām vājo makroekonomikas fonu un parādu krīzi Eiropas Savienībā. Ministru kabinets pie </w:t>
      </w:r>
      <w:r w:rsidR="00BC3243" w:rsidRPr="00BC3243">
        <w:rPr>
          <w:rFonts w:cs="Times New Roman"/>
          <w:color w:val="000000"/>
          <w:sz w:val="28"/>
          <w:szCs w:val="28"/>
        </w:rPr>
        <w:t>akciju sabiedrības</w:t>
      </w:r>
      <w:r w:rsidR="00140E88" w:rsidRPr="000237B3">
        <w:rPr>
          <w:rFonts w:cs="Times New Roman"/>
          <w:color w:val="000000"/>
          <w:sz w:val="28"/>
          <w:szCs w:val="28"/>
        </w:rPr>
        <w:t xml:space="preserve"> „Citadele banka” pārdošanas jautājuma atgriez</w:t>
      </w:r>
      <w:r w:rsidR="00D21215">
        <w:rPr>
          <w:rFonts w:cs="Times New Roman"/>
          <w:color w:val="000000"/>
          <w:sz w:val="28"/>
          <w:szCs w:val="28"/>
        </w:rPr>
        <w:t>īsies</w:t>
      </w:r>
      <w:r w:rsidR="00140E88" w:rsidRPr="000237B3">
        <w:rPr>
          <w:rFonts w:cs="Times New Roman"/>
          <w:color w:val="000000"/>
          <w:sz w:val="28"/>
          <w:szCs w:val="28"/>
        </w:rPr>
        <w:t xml:space="preserve"> 2013.gada </w:t>
      </w:r>
      <w:r w:rsidR="00D21215">
        <w:rPr>
          <w:rFonts w:cs="Times New Roman"/>
          <w:color w:val="000000"/>
          <w:sz w:val="28"/>
          <w:szCs w:val="28"/>
        </w:rPr>
        <w:t>jūlijā</w:t>
      </w:r>
      <w:r w:rsidR="00140E88" w:rsidRPr="000237B3">
        <w:rPr>
          <w:rFonts w:cs="Times New Roman"/>
          <w:color w:val="000000"/>
          <w:sz w:val="28"/>
          <w:szCs w:val="28"/>
        </w:rPr>
        <w:t>.</w:t>
      </w:r>
      <w:r w:rsidR="00354310" w:rsidRPr="000237B3">
        <w:rPr>
          <w:rFonts w:cs="Times New Roman"/>
          <w:sz w:val="28"/>
          <w:szCs w:val="28"/>
        </w:rPr>
        <w:t xml:space="preserve"> Atsevišķi ir risināms jautājums par mehānismu, kādā saņemtie līdzekļi no </w:t>
      </w:r>
      <w:r w:rsidR="00BC3243" w:rsidRPr="00BC3243">
        <w:rPr>
          <w:rFonts w:cs="Times New Roman"/>
          <w:sz w:val="28"/>
          <w:szCs w:val="28"/>
        </w:rPr>
        <w:t>akciju sabiedrības</w:t>
      </w:r>
      <w:r w:rsidR="00354310" w:rsidRPr="000237B3">
        <w:rPr>
          <w:rFonts w:cs="Times New Roman"/>
          <w:sz w:val="28"/>
          <w:szCs w:val="28"/>
        </w:rPr>
        <w:t xml:space="preserve"> „Citadele banka” pārvaldīšanas vai akciju atsavināšanas ieskaitāmi valsts budžetā</w:t>
      </w:r>
      <w:r w:rsidR="0094397C" w:rsidRPr="000237B3">
        <w:rPr>
          <w:rFonts w:cs="Times New Roman"/>
          <w:sz w:val="28"/>
          <w:szCs w:val="28"/>
        </w:rPr>
        <w:t xml:space="preserve">, ņemot vērā noslēgtos līgumus ar Eiropas Rekonstrukcijas un attīstības banku. </w:t>
      </w:r>
      <w:r w:rsidR="00354310" w:rsidRPr="000237B3">
        <w:rPr>
          <w:rFonts w:cs="Times New Roman"/>
          <w:sz w:val="28"/>
          <w:szCs w:val="28"/>
        </w:rPr>
        <w:t xml:space="preserve">Šis jautājums skatāms vienlaikus ar </w:t>
      </w:r>
      <w:r w:rsidR="00354310" w:rsidRPr="000237B3">
        <w:rPr>
          <w:rFonts w:cs="Times New Roman"/>
          <w:color w:val="000000"/>
          <w:sz w:val="28"/>
          <w:szCs w:val="28"/>
        </w:rPr>
        <w:t xml:space="preserve">izvērtējumu par bankas pārdošanas atsākšanu 2013.gada </w:t>
      </w:r>
      <w:r w:rsidR="00D21215">
        <w:rPr>
          <w:rFonts w:cs="Times New Roman"/>
          <w:color w:val="000000"/>
          <w:sz w:val="28"/>
          <w:szCs w:val="28"/>
        </w:rPr>
        <w:t>jūlijā</w:t>
      </w:r>
      <w:r w:rsidR="00354310" w:rsidRPr="000237B3">
        <w:rPr>
          <w:rFonts w:cs="Times New Roman"/>
          <w:color w:val="000000"/>
          <w:sz w:val="28"/>
          <w:szCs w:val="28"/>
        </w:rPr>
        <w:t xml:space="preserve">. </w:t>
      </w:r>
    </w:p>
    <w:p w:rsidR="00053B47" w:rsidRPr="000237B3" w:rsidRDefault="002D43D9" w:rsidP="00053B47">
      <w:pPr>
        <w:pStyle w:val="BodyText"/>
        <w:spacing w:after="0"/>
        <w:ind w:firstLine="709"/>
        <w:jc w:val="both"/>
        <w:rPr>
          <w:rFonts w:cs="Times New Roman"/>
          <w:sz w:val="28"/>
          <w:szCs w:val="28"/>
        </w:rPr>
      </w:pPr>
      <w:r w:rsidRPr="000237B3">
        <w:rPr>
          <w:rFonts w:cs="Times New Roman"/>
          <w:sz w:val="28"/>
          <w:szCs w:val="28"/>
        </w:rPr>
        <w:t>Aģentūra</w:t>
      </w:r>
      <w:r w:rsidR="0028108A" w:rsidRPr="000237B3">
        <w:rPr>
          <w:rFonts w:cs="Times New Roman"/>
          <w:sz w:val="28"/>
          <w:szCs w:val="28"/>
        </w:rPr>
        <w:t xml:space="preserve"> līdz </w:t>
      </w:r>
      <w:r w:rsidR="00BC3243" w:rsidRPr="00BC3243">
        <w:rPr>
          <w:rFonts w:cs="Times New Roman"/>
          <w:sz w:val="28"/>
          <w:szCs w:val="28"/>
        </w:rPr>
        <w:t>akciju sabiedrības</w:t>
      </w:r>
      <w:r w:rsidR="00354310" w:rsidRPr="000237B3">
        <w:rPr>
          <w:rFonts w:cs="Times New Roman"/>
          <w:sz w:val="28"/>
          <w:szCs w:val="28"/>
        </w:rPr>
        <w:t xml:space="preserve"> „Citadele banka” akciju pārdošanai </w:t>
      </w:r>
      <w:r w:rsidR="0028108A" w:rsidRPr="000237B3">
        <w:rPr>
          <w:rFonts w:cs="Times New Roman"/>
          <w:sz w:val="28"/>
          <w:szCs w:val="28"/>
        </w:rPr>
        <w:t xml:space="preserve">nodrošina </w:t>
      </w:r>
      <w:r w:rsidR="00BC3243" w:rsidRPr="00BC3243">
        <w:rPr>
          <w:rFonts w:cs="Times New Roman"/>
          <w:sz w:val="28"/>
          <w:szCs w:val="28"/>
        </w:rPr>
        <w:t>akciju sabiedrības</w:t>
      </w:r>
      <w:r w:rsidR="00F11E91" w:rsidRPr="000237B3">
        <w:rPr>
          <w:rFonts w:cs="Times New Roman"/>
          <w:sz w:val="28"/>
          <w:szCs w:val="28"/>
        </w:rPr>
        <w:t xml:space="preserve"> „</w:t>
      </w:r>
      <w:r w:rsidR="0028108A" w:rsidRPr="000237B3">
        <w:rPr>
          <w:rFonts w:cs="Times New Roman"/>
          <w:sz w:val="28"/>
          <w:szCs w:val="28"/>
        </w:rPr>
        <w:t>Citadele banka</w:t>
      </w:r>
      <w:r w:rsidR="00F11E91" w:rsidRPr="000237B3">
        <w:rPr>
          <w:rFonts w:cs="Times New Roman"/>
          <w:sz w:val="28"/>
          <w:szCs w:val="28"/>
        </w:rPr>
        <w:t>”</w:t>
      </w:r>
      <w:r w:rsidR="0028108A" w:rsidRPr="000237B3">
        <w:rPr>
          <w:rFonts w:cs="Times New Roman"/>
          <w:sz w:val="28"/>
          <w:szCs w:val="28"/>
        </w:rPr>
        <w:t xml:space="preserve"> akciju </w:t>
      </w:r>
      <w:r w:rsidR="0028108A" w:rsidRPr="000237B3">
        <w:rPr>
          <w:rFonts w:cs="Times New Roman"/>
          <w:sz w:val="28"/>
          <w:szCs w:val="28"/>
        </w:rPr>
        <w:lastRenderedPageBreak/>
        <w:t xml:space="preserve">pārvaldību saskaņā ar labas korporatīvās pārvaldības principiem, kā arī akciju atsavināšanu saskaņā ar Eiropas Komisijas restrukturizācijas plānā noteikto. </w:t>
      </w:r>
    </w:p>
    <w:p w:rsidR="0028108A" w:rsidRDefault="00BC3243" w:rsidP="00D2746F">
      <w:pPr>
        <w:pStyle w:val="Heading3"/>
      </w:pPr>
      <w:bookmarkStart w:id="14" w:name="_Toc354069804"/>
      <w:r>
        <w:t>Akciju sabiedrība</w:t>
      </w:r>
      <w:r w:rsidR="00B52B84" w:rsidRPr="000237B3">
        <w:t xml:space="preserve"> „</w:t>
      </w:r>
      <w:proofErr w:type="spellStart"/>
      <w:r w:rsidR="0028108A" w:rsidRPr="000237B3">
        <w:t>Reverta</w:t>
      </w:r>
      <w:proofErr w:type="spellEnd"/>
      <w:r w:rsidR="00B52B84" w:rsidRPr="000237B3">
        <w:t>”</w:t>
      </w:r>
      <w:bookmarkEnd w:id="14"/>
    </w:p>
    <w:p w:rsidR="00BC3243" w:rsidRPr="00BC3243" w:rsidRDefault="00BC3243" w:rsidP="00E63E4D"/>
    <w:p w:rsidR="00EA6C75" w:rsidRPr="000237B3" w:rsidRDefault="00B13893" w:rsidP="00EA6C75">
      <w:pPr>
        <w:pStyle w:val="BodyText"/>
        <w:spacing w:after="0"/>
        <w:ind w:firstLine="709"/>
        <w:jc w:val="both"/>
        <w:rPr>
          <w:rFonts w:cs="Times New Roman"/>
          <w:sz w:val="28"/>
          <w:szCs w:val="28"/>
        </w:rPr>
      </w:pPr>
      <w:r w:rsidRPr="000237B3">
        <w:rPr>
          <w:rFonts w:cs="Times New Roman"/>
          <w:sz w:val="28"/>
          <w:szCs w:val="28"/>
        </w:rPr>
        <w:t>Saskaņā ar Eiropas Komisijas apstiprināto restrukturizācijas plānu</w:t>
      </w:r>
      <w:r w:rsidR="001D0446">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turpina darbību, lai valsts maksimāli atgūtu tās glābšanā ieguldītos līdzekļus. 2011.</w:t>
      </w:r>
      <w:r w:rsidR="004310F5" w:rsidRPr="000237B3">
        <w:rPr>
          <w:rFonts w:cs="Times New Roman"/>
          <w:sz w:val="28"/>
          <w:szCs w:val="28"/>
        </w:rPr>
        <w:t>gada 17.maijā</w:t>
      </w:r>
      <w:r w:rsidR="00200A7A" w:rsidRPr="000237B3" w:rsidDel="00200A7A">
        <w:rPr>
          <w:rFonts w:cs="Times New Roman"/>
          <w:sz w:val="28"/>
          <w:szCs w:val="28"/>
        </w:rPr>
        <w:t xml:space="preserve"> </w:t>
      </w:r>
      <w:r w:rsidR="006F56A0" w:rsidRPr="006F56A0">
        <w:rPr>
          <w:rFonts w:cs="Times New Roman"/>
          <w:sz w:val="28"/>
          <w:szCs w:val="28"/>
        </w:rPr>
        <w:t>(prot. Nr.31 58.§)</w:t>
      </w:r>
      <w:r w:rsidRPr="000237B3">
        <w:rPr>
          <w:rFonts w:cs="Times New Roman"/>
          <w:sz w:val="28"/>
          <w:szCs w:val="28"/>
        </w:rPr>
        <w:t xml:space="preserve"> Ministru kabinets atbalst</w:t>
      </w:r>
      <w:r w:rsidR="00785511" w:rsidRPr="000237B3">
        <w:rPr>
          <w:rFonts w:cs="Times New Roman"/>
          <w:sz w:val="28"/>
          <w:szCs w:val="28"/>
        </w:rPr>
        <w:t xml:space="preserve">īja </w:t>
      </w:r>
      <w:r w:rsidR="00BC3243" w:rsidRPr="00BC3243">
        <w:rPr>
          <w:rFonts w:cs="Times New Roman"/>
          <w:sz w:val="28"/>
          <w:szCs w:val="28"/>
        </w:rPr>
        <w:t>akciju sabiedrības</w:t>
      </w:r>
      <w:r w:rsidR="00785511" w:rsidRPr="000237B3">
        <w:rPr>
          <w:rFonts w:cs="Times New Roman"/>
          <w:sz w:val="28"/>
          <w:szCs w:val="28"/>
        </w:rPr>
        <w:t xml:space="preserve"> „</w:t>
      </w:r>
      <w:r w:rsidRPr="000237B3">
        <w:rPr>
          <w:rFonts w:cs="Times New Roman"/>
          <w:sz w:val="28"/>
          <w:szCs w:val="28"/>
        </w:rPr>
        <w:t>Parex banka</w:t>
      </w:r>
      <w:r w:rsidR="00785511" w:rsidRPr="000237B3">
        <w:rPr>
          <w:rFonts w:cs="Times New Roman"/>
          <w:sz w:val="28"/>
          <w:szCs w:val="28"/>
        </w:rPr>
        <w:t>”</w:t>
      </w:r>
      <w:r w:rsidR="00A27986" w:rsidRPr="000237B3">
        <w:rPr>
          <w:rFonts w:cs="Times New Roman"/>
          <w:sz w:val="28"/>
          <w:szCs w:val="28"/>
        </w:rPr>
        <w:t xml:space="preserve"> (tagad – </w:t>
      </w:r>
      <w:r w:rsidR="00BC3243">
        <w:rPr>
          <w:rFonts w:cs="Times New Roman"/>
          <w:sz w:val="28"/>
          <w:szCs w:val="28"/>
        </w:rPr>
        <w:t>akciju sabiedrība</w:t>
      </w:r>
      <w:r w:rsidR="00A27986" w:rsidRPr="000237B3">
        <w:rPr>
          <w:rFonts w:cs="Times New Roman"/>
          <w:sz w:val="28"/>
          <w:szCs w:val="28"/>
        </w:rPr>
        <w:t xml:space="preserve"> „</w:t>
      </w:r>
      <w:proofErr w:type="spellStart"/>
      <w:r w:rsidR="00A27986" w:rsidRPr="000237B3">
        <w:rPr>
          <w:rFonts w:cs="Times New Roman"/>
          <w:sz w:val="28"/>
          <w:szCs w:val="28"/>
        </w:rPr>
        <w:t>Reverta</w:t>
      </w:r>
      <w:proofErr w:type="spellEnd"/>
      <w:r w:rsidR="00A27986" w:rsidRPr="000237B3">
        <w:rPr>
          <w:rFonts w:cs="Times New Roman"/>
          <w:sz w:val="28"/>
          <w:szCs w:val="28"/>
        </w:rPr>
        <w:t>”)</w:t>
      </w:r>
      <w:r w:rsidRPr="000237B3">
        <w:rPr>
          <w:rFonts w:cs="Times New Roman"/>
          <w:sz w:val="28"/>
          <w:szCs w:val="28"/>
        </w:rPr>
        <w:t xml:space="preserve"> pārdošanas stratēģiju, kas neparedz banku pārdot kopumā, bet veikt darbības aktīvu vērtības paaugstināšanai vai saglabāšanai. </w:t>
      </w:r>
    </w:p>
    <w:p w:rsidR="00A27986" w:rsidRPr="000237B3" w:rsidRDefault="00A27986" w:rsidP="00EA6C75">
      <w:pPr>
        <w:pStyle w:val="BodyText"/>
        <w:spacing w:after="0"/>
        <w:ind w:firstLine="709"/>
        <w:jc w:val="both"/>
        <w:rPr>
          <w:rFonts w:cs="Times New Roman"/>
          <w:sz w:val="28"/>
          <w:szCs w:val="28"/>
        </w:rPr>
      </w:pPr>
      <w:r w:rsidRPr="000237B3">
        <w:rPr>
          <w:rFonts w:cs="Times New Roman"/>
          <w:sz w:val="28"/>
          <w:szCs w:val="28"/>
        </w:rPr>
        <w:t>2011.</w:t>
      </w:r>
      <w:r w:rsidR="004310F5" w:rsidRPr="000237B3">
        <w:rPr>
          <w:rFonts w:cs="Times New Roman"/>
          <w:sz w:val="28"/>
          <w:szCs w:val="28"/>
        </w:rPr>
        <w:t>gada 22.novembrī</w:t>
      </w:r>
      <w:r w:rsidRPr="000237B3">
        <w:rPr>
          <w:rFonts w:cs="Times New Roman"/>
          <w:sz w:val="28"/>
          <w:szCs w:val="28"/>
        </w:rPr>
        <w:t xml:space="preserve"> </w:t>
      </w:r>
      <w:r w:rsidR="006F56A0" w:rsidRPr="006F56A0">
        <w:rPr>
          <w:rFonts w:cs="Times New Roman"/>
          <w:sz w:val="28"/>
          <w:szCs w:val="28"/>
        </w:rPr>
        <w:t>(prot. Nr.</w:t>
      </w:r>
      <w:r w:rsidR="006F56A0">
        <w:rPr>
          <w:rFonts w:cs="Times New Roman"/>
          <w:sz w:val="28"/>
          <w:szCs w:val="28"/>
        </w:rPr>
        <w:t>68</w:t>
      </w:r>
      <w:r w:rsidR="006F56A0" w:rsidRPr="006F56A0">
        <w:rPr>
          <w:rFonts w:cs="Times New Roman"/>
          <w:sz w:val="28"/>
          <w:szCs w:val="28"/>
        </w:rPr>
        <w:t xml:space="preserve"> </w:t>
      </w:r>
      <w:r w:rsidR="006F56A0">
        <w:rPr>
          <w:rFonts w:cs="Times New Roman"/>
          <w:sz w:val="28"/>
          <w:szCs w:val="28"/>
        </w:rPr>
        <w:t>60</w:t>
      </w:r>
      <w:r w:rsidR="006F56A0" w:rsidRPr="006F56A0">
        <w:rPr>
          <w:rFonts w:cs="Times New Roman"/>
          <w:sz w:val="28"/>
          <w:szCs w:val="28"/>
        </w:rPr>
        <w:t xml:space="preserve">.§) </w:t>
      </w:r>
      <w:r w:rsidRPr="000237B3">
        <w:rPr>
          <w:rFonts w:cs="Times New Roman"/>
          <w:sz w:val="28"/>
          <w:szCs w:val="28"/>
        </w:rPr>
        <w:t xml:space="preserve">Ministru kabinets atbalstīja </w:t>
      </w:r>
      <w:r w:rsidR="00BC3243" w:rsidRPr="00BC3243">
        <w:rPr>
          <w:rFonts w:cs="Times New Roman"/>
          <w:sz w:val="28"/>
          <w:szCs w:val="28"/>
        </w:rPr>
        <w:t>akciju sabiedrības</w:t>
      </w:r>
      <w:r w:rsidRPr="000237B3">
        <w:rPr>
          <w:rFonts w:cs="Times New Roman"/>
          <w:sz w:val="28"/>
          <w:szCs w:val="28"/>
        </w:rPr>
        <w:t xml:space="preserve"> „Parex banka” turpmākās darbības modeli, kas paredz bankas statusa maiņu un atteikšanos no kredītiestādes licences. Finanšu un kapitāla tirgus komisija 2012.gada 15.martā atbalstīja </w:t>
      </w:r>
      <w:r w:rsidR="00BC3243" w:rsidRPr="00BC3243">
        <w:rPr>
          <w:rFonts w:cs="Times New Roman"/>
          <w:sz w:val="28"/>
          <w:szCs w:val="28"/>
        </w:rPr>
        <w:t xml:space="preserve">akciju sabiedrības </w:t>
      </w:r>
      <w:r w:rsidRPr="000237B3">
        <w:rPr>
          <w:rFonts w:cs="Times New Roman"/>
          <w:sz w:val="28"/>
          <w:szCs w:val="28"/>
        </w:rPr>
        <w:t xml:space="preserve">„Parex banka” lūgumu par labprātīgu atteikšanos no kredītiestādes licences un pieņēma bankai pozitīvu lēmumu par tās anulēšanu. </w:t>
      </w:r>
      <w:r w:rsidR="00B13893" w:rsidRPr="000237B3">
        <w:rPr>
          <w:rFonts w:cs="Times New Roman"/>
          <w:sz w:val="28"/>
          <w:szCs w:val="28"/>
        </w:rPr>
        <w:t>2012.</w:t>
      </w:r>
      <w:r w:rsidR="004310F5" w:rsidRPr="000237B3">
        <w:rPr>
          <w:rFonts w:cs="Times New Roman"/>
          <w:sz w:val="28"/>
          <w:szCs w:val="28"/>
        </w:rPr>
        <w:t>gada 27.aprīlī</w:t>
      </w:r>
      <w:r w:rsidR="00B13893" w:rsidRPr="000237B3">
        <w:rPr>
          <w:rFonts w:cs="Times New Roman"/>
          <w:sz w:val="28"/>
          <w:szCs w:val="28"/>
        </w:rPr>
        <w:t xml:space="preserve"> </w:t>
      </w:r>
      <w:r w:rsidR="00BC3243" w:rsidRPr="00BC3243">
        <w:rPr>
          <w:rFonts w:cs="Times New Roman"/>
          <w:sz w:val="28"/>
          <w:szCs w:val="28"/>
        </w:rPr>
        <w:t>akciju sabiedrības</w:t>
      </w:r>
      <w:r w:rsidR="00785511" w:rsidRPr="000237B3">
        <w:rPr>
          <w:rFonts w:cs="Times New Roman"/>
          <w:sz w:val="28"/>
          <w:szCs w:val="28"/>
        </w:rPr>
        <w:t xml:space="preserve"> „Parex banka” </w:t>
      </w:r>
      <w:r w:rsidR="00B13893" w:rsidRPr="000237B3">
        <w:rPr>
          <w:rFonts w:cs="Times New Roman"/>
          <w:sz w:val="28"/>
          <w:szCs w:val="28"/>
        </w:rPr>
        <w:t>akcionāru sapulcē</w:t>
      </w:r>
      <w:r w:rsidR="00785511" w:rsidRPr="000237B3">
        <w:rPr>
          <w:rFonts w:cs="Times New Roman"/>
          <w:sz w:val="28"/>
          <w:szCs w:val="28"/>
        </w:rPr>
        <w:t xml:space="preserve"> apstiprināta nosaukuma maiņa </w:t>
      </w:r>
      <w:r w:rsidR="00B13893" w:rsidRPr="000237B3">
        <w:rPr>
          <w:rFonts w:cs="Times New Roman"/>
          <w:sz w:val="28"/>
          <w:szCs w:val="28"/>
        </w:rPr>
        <w:t xml:space="preserve">uz </w:t>
      </w:r>
      <w:r w:rsidR="00BC3243">
        <w:rPr>
          <w:rFonts w:cs="Times New Roman"/>
          <w:sz w:val="28"/>
          <w:szCs w:val="28"/>
        </w:rPr>
        <w:t xml:space="preserve">akciju sabiedrību </w:t>
      </w:r>
      <w:r w:rsidR="00291694" w:rsidRPr="000237B3">
        <w:rPr>
          <w:rFonts w:cs="Times New Roman"/>
          <w:sz w:val="28"/>
          <w:szCs w:val="28"/>
        </w:rPr>
        <w:t>„</w:t>
      </w:r>
      <w:proofErr w:type="spellStart"/>
      <w:r w:rsidR="00B13893" w:rsidRPr="000237B3">
        <w:rPr>
          <w:rFonts w:cs="Times New Roman"/>
          <w:sz w:val="28"/>
          <w:szCs w:val="28"/>
        </w:rPr>
        <w:t>Reverta</w:t>
      </w:r>
      <w:proofErr w:type="spellEnd"/>
      <w:r w:rsidR="00291694" w:rsidRPr="000237B3">
        <w:rPr>
          <w:rFonts w:cs="Times New Roman"/>
          <w:sz w:val="28"/>
          <w:szCs w:val="28"/>
        </w:rPr>
        <w:t>”</w:t>
      </w:r>
      <w:r w:rsidR="00B13893" w:rsidRPr="000237B3">
        <w:rPr>
          <w:rFonts w:cs="Times New Roman"/>
          <w:sz w:val="28"/>
          <w:szCs w:val="28"/>
        </w:rPr>
        <w:t xml:space="preserve">. </w:t>
      </w:r>
      <w:r w:rsidRPr="000237B3">
        <w:rPr>
          <w:rFonts w:cs="Times New Roman"/>
          <w:sz w:val="28"/>
          <w:szCs w:val="28"/>
        </w:rPr>
        <w:t xml:space="preserve">Līdz ar to </w:t>
      </w:r>
      <w:r w:rsidR="00451CCA">
        <w:rPr>
          <w:rFonts w:cs="Times New Roman"/>
          <w:sz w:val="28"/>
          <w:szCs w:val="28"/>
        </w:rPr>
        <w:t xml:space="preserve">kopš 2012.gada 10.maija </w:t>
      </w:r>
      <w:r w:rsidR="00BC3243">
        <w:rPr>
          <w:rFonts w:cs="Times New Roman"/>
          <w:sz w:val="28"/>
          <w:szCs w:val="28"/>
        </w:rPr>
        <w:t>akciju sabiedrība</w:t>
      </w:r>
      <w:r w:rsidRPr="000237B3">
        <w:rPr>
          <w:rFonts w:cs="Times New Roman"/>
          <w:sz w:val="28"/>
          <w:szCs w:val="28"/>
        </w:rPr>
        <w:t xml:space="preserve"> „Parex banka” turpmāk darbojas ar nosaukumu </w:t>
      </w:r>
      <w:r w:rsidR="00CB0E22">
        <w:rPr>
          <w:rFonts w:cs="Times New Roman"/>
          <w:sz w:val="28"/>
          <w:szCs w:val="28"/>
        </w:rPr>
        <w:t>akciju sabiedrība</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un </w:t>
      </w:r>
      <w:r w:rsidR="0099033F" w:rsidRPr="000237B3">
        <w:rPr>
          <w:rFonts w:cs="Times New Roman"/>
          <w:sz w:val="28"/>
          <w:szCs w:val="28"/>
        </w:rPr>
        <w:t xml:space="preserve">strādā kā profesionāls </w:t>
      </w:r>
      <w:r w:rsidRPr="000237B3">
        <w:rPr>
          <w:rFonts w:cs="Times New Roman"/>
          <w:sz w:val="28"/>
          <w:szCs w:val="28"/>
        </w:rPr>
        <w:t>problemātisko aktīvu pārvaldīšanas uzņēmum</w:t>
      </w:r>
      <w:r w:rsidR="0099033F" w:rsidRPr="000237B3">
        <w:rPr>
          <w:rFonts w:cs="Times New Roman"/>
          <w:sz w:val="28"/>
          <w:szCs w:val="28"/>
        </w:rPr>
        <w:t>s</w:t>
      </w:r>
      <w:r w:rsidRPr="000237B3">
        <w:rPr>
          <w:rFonts w:cs="Times New Roman"/>
          <w:sz w:val="28"/>
          <w:szCs w:val="28"/>
        </w:rPr>
        <w:t xml:space="preserve">, kura darbība ir koncentrēta trīs galvenajos virzienos: kredītu restrukturizācija, parādu atgūšana un nekustamo īpašumu pārvaldīšana. </w:t>
      </w:r>
    </w:p>
    <w:p w:rsidR="00EA6C75" w:rsidRPr="000237B3" w:rsidRDefault="00EA6C75" w:rsidP="00EA6C75">
      <w:pPr>
        <w:pStyle w:val="BodyText"/>
        <w:spacing w:after="0"/>
        <w:ind w:firstLine="709"/>
        <w:jc w:val="both"/>
        <w:rPr>
          <w:rFonts w:cs="Times New Roman"/>
          <w:color w:val="000000"/>
          <w:sz w:val="28"/>
          <w:szCs w:val="28"/>
        </w:rPr>
      </w:pPr>
      <w:r w:rsidRPr="000237B3">
        <w:rPr>
          <w:rFonts w:cs="Times New Roman"/>
          <w:sz w:val="28"/>
          <w:szCs w:val="28"/>
        </w:rPr>
        <w:t>Ministru kabinets 2012.</w:t>
      </w:r>
      <w:r w:rsidR="004310F5" w:rsidRPr="000237B3">
        <w:rPr>
          <w:rFonts w:cs="Times New Roman"/>
          <w:sz w:val="28"/>
          <w:szCs w:val="28"/>
        </w:rPr>
        <w:t>gada 4.decembrī</w:t>
      </w:r>
      <w:r w:rsidRPr="000237B3">
        <w:rPr>
          <w:rFonts w:cs="Times New Roman"/>
          <w:sz w:val="28"/>
          <w:szCs w:val="28"/>
        </w:rPr>
        <w:t xml:space="preserve"> </w:t>
      </w:r>
      <w:r w:rsidR="008D66FD" w:rsidRPr="008D66FD">
        <w:rPr>
          <w:rFonts w:cs="Times New Roman"/>
          <w:sz w:val="28"/>
          <w:szCs w:val="28"/>
        </w:rPr>
        <w:t>(prot. Nr.</w:t>
      </w:r>
      <w:r w:rsidR="008D66FD">
        <w:rPr>
          <w:rFonts w:cs="Times New Roman"/>
          <w:sz w:val="28"/>
          <w:szCs w:val="28"/>
        </w:rPr>
        <w:t>68</w:t>
      </w:r>
      <w:r w:rsidR="008D66FD" w:rsidRPr="008D66FD">
        <w:rPr>
          <w:rFonts w:cs="Times New Roman"/>
          <w:sz w:val="28"/>
          <w:szCs w:val="28"/>
        </w:rPr>
        <w:t xml:space="preserve"> </w:t>
      </w:r>
      <w:r w:rsidR="008D66FD">
        <w:rPr>
          <w:rFonts w:cs="Times New Roman"/>
          <w:sz w:val="28"/>
          <w:szCs w:val="28"/>
        </w:rPr>
        <w:t>60</w:t>
      </w:r>
      <w:r w:rsidR="008D66FD" w:rsidRPr="008D66FD">
        <w:rPr>
          <w:rFonts w:cs="Times New Roman"/>
          <w:sz w:val="28"/>
          <w:szCs w:val="28"/>
        </w:rPr>
        <w:t xml:space="preserve">.§) </w:t>
      </w:r>
      <w:r w:rsidRPr="000237B3">
        <w:rPr>
          <w:rFonts w:cs="Times New Roman"/>
          <w:sz w:val="28"/>
          <w:szCs w:val="28"/>
        </w:rPr>
        <w:t xml:space="preserve">izskatīja </w:t>
      </w:r>
      <w:r w:rsidR="002D43D9" w:rsidRPr="000237B3">
        <w:rPr>
          <w:rFonts w:cs="Times New Roman"/>
          <w:sz w:val="28"/>
          <w:szCs w:val="28"/>
        </w:rPr>
        <w:t>Aģentūras</w:t>
      </w:r>
      <w:r w:rsidRPr="000237B3">
        <w:rPr>
          <w:rFonts w:cs="Times New Roman"/>
          <w:sz w:val="28"/>
          <w:szCs w:val="28"/>
        </w:rPr>
        <w:t xml:space="preserve"> un finanšu konsultanta „Nomura International plc” sagatavoto ziņojumu par </w:t>
      </w:r>
      <w:r w:rsidR="00CB0E22" w:rsidRPr="00CB0E22">
        <w:rPr>
          <w:rFonts w:cs="Times New Roman"/>
          <w:sz w:val="28"/>
          <w:szCs w:val="28"/>
        </w:rPr>
        <w:t>akciju sabiedrības</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pārdošanas stratēģijas ieviešanas gaitu. Ņemot vērā Nomura rekomendāciju, Ministru kabinets nolēma turpināt iepriekš atbalstītās pārdošanas stratēģijas ieviešanas īstenošanu, kas paredzēja veikt darbības aktīvu vērtības paaugstināšanai vai saglabāšanai, kā arī to aktīvu pārdošanu, kuru uzturēšanai un pārvaldīšanai nepieciešamo izmaksu kopējais apjoms ir augstāks par to prognozēto vērtības pieaugumu. Ministru kabinets nolēma atgriezties pie pārdošanas stratēģijas ieviešanas gaitas izvērtēšanas 2013.gada oktobrī, kad </w:t>
      </w:r>
      <w:r w:rsidR="00E6446E" w:rsidRPr="000237B3">
        <w:rPr>
          <w:rFonts w:cs="Times New Roman"/>
          <w:sz w:val="28"/>
          <w:szCs w:val="28"/>
        </w:rPr>
        <w:t xml:space="preserve">tiks sagatavots attiecīgs </w:t>
      </w:r>
      <w:r w:rsidRPr="000237B3">
        <w:rPr>
          <w:rFonts w:cs="Times New Roman"/>
          <w:sz w:val="28"/>
          <w:szCs w:val="28"/>
        </w:rPr>
        <w:t>informatīv</w:t>
      </w:r>
      <w:r w:rsidR="00E6446E" w:rsidRPr="000237B3">
        <w:rPr>
          <w:rFonts w:cs="Times New Roman"/>
          <w:sz w:val="28"/>
          <w:szCs w:val="28"/>
        </w:rPr>
        <w:t>ais</w:t>
      </w:r>
      <w:r w:rsidRPr="000237B3">
        <w:rPr>
          <w:rFonts w:cs="Times New Roman"/>
          <w:sz w:val="28"/>
          <w:szCs w:val="28"/>
        </w:rPr>
        <w:t xml:space="preserve"> ziņojum</w:t>
      </w:r>
      <w:r w:rsidR="00E6446E" w:rsidRPr="000237B3">
        <w:rPr>
          <w:rFonts w:cs="Times New Roman"/>
          <w:sz w:val="28"/>
          <w:szCs w:val="28"/>
        </w:rPr>
        <w:t>s</w:t>
      </w:r>
      <w:r w:rsidRPr="000237B3">
        <w:rPr>
          <w:rFonts w:cs="Times New Roman"/>
          <w:sz w:val="28"/>
          <w:szCs w:val="28"/>
        </w:rPr>
        <w:t>.</w:t>
      </w:r>
    </w:p>
    <w:p w:rsidR="006730C3" w:rsidRPr="000237B3" w:rsidRDefault="0099033F" w:rsidP="006730C3">
      <w:pPr>
        <w:ind w:firstLine="709"/>
        <w:jc w:val="both"/>
        <w:rPr>
          <w:rFonts w:cs="Times New Roman"/>
          <w:sz w:val="28"/>
          <w:szCs w:val="28"/>
        </w:rPr>
      </w:pPr>
      <w:r w:rsidRPr="000237B3">
        <w:rPr>
          <w:rFonts w:cs="Times New Roman"/>
          <w:sz w:val="28"/>
          <w:szCs w:val="28"/>
        </w:rPr>
        <w:t xml:space="preserve">Paredzams, ka </w:t>
      </w:r>
      <w:r w:rsidR="002D43D9" w:rsidRPr="000237B3">
        <w:rPr>
          <w:rFonts w:cs="Times New Roman"/>
          <w:sz w:val="28"/>
          <w:szCs w:val="28"/>
        </w:rPr>
        <w:t>Aģentūra</w:t>
      </w:r>
      <w:r w:rsidR="00A27986" w:rsidRPr="000237B3">
        <w:rPr>
          <w:rFonts w:cs="Times New Roman"/>
          <w:sz w:val="28"/>
          <w:szCs w:val="28"/>
        </w:rPr>
        <w:t xml:space="preserve"> līdz </w:t>
      </w:r>
      <w:r w:rsidR="00CB0E22" w:rsidRPr="00CB0E22">
        <w:rPr>
          <w:rFonts w:cs="Times New Roman"/>
          <w:sz w:val="28"/>
          <w:szCs w:val="28"/>
        </w:rPr>
        <w:t>akciju sabiedrības</w:t>
      </w:r>
      <w:r w:rsidR="00A27986" w:rsidRPr="000237B3">
        <w:rPr>
          <w:rFonts w:cs="Times New Roman"/>
          <w:sz w:val="28"/>
          <w:szCs w:val="28"/>
        </w:rPr>
        <w:t xml:space="preserve"> „</w:t>
      </w:r>
      <w:proofErr w:type="spellStart"/>
      <w:r w:rsidR="00A27986" w:rsidRPr="000237B3">
        <w:rPr>
          <w:rFonts w:cs="Times New Roman"/>
          <w:sz w:val="28"/>
          <w:szCs w:val="28"/>
        </w:rPr>
        <w:t>Reverta</w:t>
      </w:r>
      <w:proofErr w:type="spellEnd"/>
      <w:r w:rsidR="00A27986" w:rsidRPr="000237B3">
        <w:rPr>
          <w:rFonts w:cs="Times New Roman"/>
          <w:sz w:val="28"/>
          <w:szCs w:val="28"/>
        </w:rPr>
        <w:t xml:space="preserve">” akciju pārdošanai </w:t>
      </w:r>
      <w:r w:rsidR="006730C3" w:rsidRPr="000237B3">
        <w:rPr>
          <w:rFonts w:cs="Times New Roman"/>
          <w:sz w:val="28"/>
          <w:szCs w:val="28"/>
        </w:rPr>
        <w:t xml:space="preserve">nodrošina </w:t>
      </w:r>
      <w:r w:rsidR="00CB0E22" w:rsidRPr="00CB0E22">
        <w:rPr>
          <w:rFonts w:cs="Times New Roman"/>
          <w:sz w:val="28"/>
          <w:szCs w:val="28"/>
        </w:rPr>
        <w:t>akciju sabiedrības</w:t>
      </w:r>
      <w:r w:rsidR="00291694" w:rsidRPr="000237B3">
        <w:rPr>
          <w:rFonts w:cs="Times New Roman"/>
          <w:sz w:val="28"/>
          <w:szCs w:val="28"/>
        </w:rPr>
        <w:t xml:space="preserve"> „</w:t>
      </w:r>
      <w:proofErr w:type="spellStart"/>
      <w:r w:rsidR="00291694" w:rsidRPr="000237B3">
        <w:rPr>
          <w:rFonts w:cs="Times New Roman"/>
          <w:sz w:val="28"/>
          <w:szCs w:val="28"/>
        </w:rPr>
        <w:t>Reverta</w:t>
      </w:r>
      <w:proofErr w:type="spellEnd"/>
      <w:r w:rsidR="00291694" w:rsidRPr="000237B3">
        <w:rPr>
          <w:rFonts w:cs="Times New Roman"/>
          <w:sz w:val="28"/>
          <w:szCs w:val="28"/>
        </w:rPr>
        <w:t>”</w:t>
      </w:r>
      <w:r w:rsidR="006730C3" w:rsidRPr="000237B3">
        <w:rPr>
          <w:rFonts w:cs="Times New Roman"/>
          <w:sz w:val="28"/>
          <w:szCs w:val="28"/>
        </w:rPr>
        <w:t xml:space="preserve"> akciju pārvaldību saskaņā ar labas korporatīvās pārvaldības principiem, kā arī akciju atsavināšanu saskaņā ar Eiropas Komisijas</w:t>
      </w:r>
      <w:r w:rsidR="00F07C18" w:rsidRPr="000237B3">
        <w:rPr>
          <w:rFonts w:cs="Times New Roman"/>
          <w:sz w:val="28"/>
          <w:szCs w:val="28"/>
        </w:rPr>
        <w:t xml:space="preserve"> apstiprinātajā</w:t>
      </w:r>
      <w:r w:rsidR="006730C3" w:rsidRPr="000237B3">
        <w:rPr>
          <w:rFonts w:cs="Times New Roman"/>
          <w:sz w:val="28"/>
          <w:szCs w:val="28"/>
        </w:rPr>
        <w:t xml:space="preserve"> restrukturizācijas plānā noteikto. </w:t>
      </w:r>
    </w:p>
    <w:p w:rsidR="00983BC9" w:rsidRPr="000237B3" w:rsidRDefault="00063481" w:rsidP="00063481">
      <w:pPr>
        <w:ind w:firstLine="709"/>
        <w:jc w:val="both"/>
        <w:rPr>
          <w:rFonts w:cs="Times New Roman"/>
          <w:sz w:val="28"/>
          <w:szCs w:val="28"/>
        </w:rPr>
      </w:pPr>
      <w:r w:rsidRPr="000237B3">
        <w:rPr>
          <w:rFonts w:cs="Times New Roman"/>
          <w:sz w:val="28"/>
          <w:szCs w:val="28"/>
        </w:rPr>
        <w:t xml:space="preserve">Atsevišķi jāatzīmē, ka </w:t>
      </w:r>
      <w:r w:rsidR="002D43D9" w:rsidRPr="000237B3">
        <w:rPr>
          <w:rFonts w:cs="Times New Roman"/>
          <w:sz w:val="28"/>
          <w:szCs w:val="28"/>
        </w:rPr>
        <w:t>Aģentūra</w:t>
      </w:r>
      <w:r w:rsidRPr="000237B3">
        <w:rPr>
          <w:rFonts w:cs="Times New Roman"/>
          <w:sz w:val="28"/>
          <w:szCs w:val="28"/>
        </w:rPr>
        <w:t xml:space="preserve"> šobrīd ir iesaistīta trīs dažādos ar </w:t>
      </w:r>
      <w:r w:rsidR="00CB0E22">
        <w:rPr>
          <w:rFonts w:cs="Times New Roman"/>
          <w:sz w:val="28"/>
          <w:szCs w:val="28"/>
        </w:rPr>
        <w:t>akciju sabiedrību</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saistītos tiesvedības procesos</w:t>
      </w:r>
      <w:r w:rsidR="00983BC9" w:rsidRPr="000237B3">
        <w:rPr>
          <w:rFonts w:cs="Times New Roman"/>
          <w:sz w:val="28"/>
          <w:szCs w:val="28"/>
        </w:rPr>
        <w:t>:</w:t>
      </w:r>
    </w:p>
    <w:p w:rsidR="00983BC9" w:rsidRPr="000237B3" w:rsidRDefault="00CB0E22" w:rsidP="00CB0E22">
      <w:pPr>
        <w:pStyle w:val="ListParagraph"/>
        <w:numPr>
          <w:ilvl w:val="0"/>
          <w:numId w:val="3"/>
        </w:numPr>
        <w:jc w:val="both"/>
        <w:rPr>
          <w:rFonts w:cs="Times New Roman"/>
          <w:sz w:val="28"/>
          <w:szCs w:val="28"/>
        </w:rPr>
      </w:pPr>
      <w:r w:rsidRPr="00CB0E22">
        <w:rPr>
          <w:rFonts w:cs="Times New Roman"/>
          <w:sz w:val="28"/>
          <w:szCs w:val="28"/>
        </w:rPr>
        <w:lastRenderedPageBreak/>
        <w:t>akciju sabiedrības</w:t>
      </w:r>
      <w:r w:rsidR="00063481" w:rsidRPr="000237B3">
        <w:rPr>
          <w:rFonts w:cs="Times New Roman"/>
          <w:sz w:val="28"/>
          <w:szCs w:val="28"/>
        </w:rPr>
        <w:t xml:space="preserve"> „</w:t>
      </w:r>
      <w:proofErr w:type="spellStart"/>
      <w:r w:rsidR="00063481" w:rsidRPr="000237B3">
        <w:rPr>
          <w:rFonts w:cs="Times New Roman"/>
          <w:sz w:val="28"/>
          <w:szCs w:val="28"/>
        </w:rPr>
        <w:t>Reverta</w:t>
      </w:r>
      <w:proofErr w:type="spellEnd"/>
      <w:r w:rsidR="00063481" w:rsidRPr="000237B3">
        <w:rPr>
          <w:rFonts w:cs="Times New Roman"/>
          <w:sz w:val="28"/>
          <w:szCs w:val="28"/>
        </w:rPr>
        <w:t xml:space="preserve">” mazākuma akcionāri pret </w:t>
      </w:r>
      <w:r w:rsidR="002D43D9" w:rsidRPr="000237B3">
        <w:rPr>
          <w:rFonts w:cs="Times New Roman"/>
          <w:sz w:val="28"/>
          <w:szCs w:val="28"/>
        </w:rPr>
        <w:t>Aģentūru</w:t>
      </w:r>
      <w:r w:rsidR="00063481" w:rsidRPr="000237B3">
        <w:rPr>
          <w:rFonts w:cs="Times New Roman"/>
          <w:sz w:val="28"/>
          <w:szCs w:val="28"/>
        </w:rPr>
        <w:t xml:space="preserve">, Finanšu ministriju, Eiropas Rekonstrukcijas un attīstības banku, </w:t>
      </w:r>
      <w:r>
        <w:rPr>
          <w:rFonts w:cs="Times New Roman"/>
          <w:sz w:val="28"/>
          <w:szCs w:val="28"/>
        </w:rPr>
        <w:t>akciju sabiedrību</w:t>
      </w:r>
      <w:r w:rsidR="00063481" w:rsidRPr="000237B3">
        <w:rPr>
          <w:rFonts w:cs="Times New Roman"/>
          <w:sz w:val="28"/>
          <w:szCs w:val="28"/>
        </w:rPr>
        <w:t xml:space="preserve"> „Citadele bank</w:t>
      </w:r>
      <w:r w:rsidR="00983BC9" w:rsidRPr="000237B3">
        <w:rPr>
          <w:rFonts w:cs="Times New Roman"/>
          <w:sz w:val="28"/>
          <w:szCs w:val="28"/>
        </w:rPr>
        <w:t>a”;</w:t>
      </w:r>
    </w:p>
    <w:p w:rsidR="00983BC9" w:rsidRPr="000237B3" w:rsidRDefault="00327093" w:rsidP="00CB0E22">
      <w:pPr>
        <w:numPr>
          <w:ilvl w:val="0"/>
          <w:numId w:val="2"/>
        </w:numPr>
        <w:jc w:val="both"/>
        <w:rPr>
          <w:rFonts w:cs="Times New Roman"/>
          <w:sz w:val="28"/>
          <w:szCs w:val="28"/>
        </w:rPr>
      </w:pPr>
      <w:r w:rsidRPr="000237B3">
        <w:rPr>
          <w:rFonts w:cs="Times New Roman"/>
          <w:sz w:val="28"/>
          <w:szCs w:val="28"/>
        </w:rPr>
        <w:t>Aģentūra</w:t>
      </w:r>
      <w:r w:rsidR="00063481" w:rsidRPr="000237B3">
        <w:rPr>
          <w:rFonts w:cs="Times New Roman"/>
          <w:sz w:val="28"/>
          <w:szCs w:val="28"/>
        </w:rPr>
        <w:t xml:space="preserve"> un </w:t>
      </w:r>
      <w:r w:rsidR="00CB0E22">
        <w:rPr>
          <w:rFonts w:cs="Times New Roman"/>
          <w:sz w:val="28"/>
          <w:szCs w:val="28"/>
        </w:rPr>
        <w:t>akciju sabiedrība</w:t>
      </w:r>
      <w:r w:rsidR="00063481" w:rsidRPr="000237B3">
        <w:rPr>
          <w:rFonts w:cs="Times New Roman"/>
          <w:sz w:val="28"/>
          <w:szCs w:val="28"/>
        </w:rPr>
        <w:t xml:space="preserve"> „</w:t>
      </w:r>
      <w:proofErr w:type="spellStart"/>
      <w:r w:rsidR="00063481" w:rsidRPr="000237B3">
        <w:rPr>
          <w:rFonts w:cs="Times New Roman"/>
          <w:sz w:val="28"/>
          <w:szCs w:val="28"/>
        </w:rPr>
        <w:t>Reverta</w:t>
      </w:r>
      <w:proofErr w:type="spellEnd"/>
      <w:r w:rsidR="00063481" w:rsidRPr="000237B3">
        <w:rPr>
          <w:rFonts w:cs="Times New Roman"/>
          <w:sz w:val="28"/>
          <w:szCs w:val="28"/>
        </w:rPr>
        <w:t xml:space="preserve">” pret </w:t>
      </w:r>
      <w:proofErr w:type="spellStart"/>
      <w:r w:rsidR="00063481" w:rsidRPr="000237B3">
        <w:rPr>
          <w:rFonts w:cs="Times New Roman"/>
          <w:sz w:val="28"/>
          <w:szCs w:val="28"/>
        </w:rPr>
        <w:t>V.Krasovicki</w:t>
      </w:r>
      <w:proofErr w:type="spellEnd"/>
      <w:r w:rsidR="00063481" w:rsidRPr="000237B3">
        <w:rPr>
          <w:rFonts w:cs="Times New Roman"/>
          <w:sz w:val="28"/>
          <w:szCs w:val="28"/>
        </w:rPr>
        <w:t xml:space="preserve"> un V.Karginu; </w:t>
      </w:r>
    </w:p>
    <w:p w:rsidR="00983BC9" w:rsidRPr="000237B3" w:rsidRDefault="00063481" w:rsidP="00CB0E22">
      <w:pPr>
        <w:numPr>
          <w:ilvl w:val="0"/>
          <w:numId w:val="2"/>
        </w:numPr>
        <w:jc w:val="both"/>
        <w:rPr>
          <w:rFonts w:cs="Times New Roman"/>
          <w:sz w:val="28"/>
          <w:szCs w:val="28"/>
        </w:rPr>
      </w:pPr>
      <w:r w:rsidRPr="000237B3">
        <w:rPr>
          <w:rFonts w:cs="Times New Roman"/>
          <w:sz w:val="28"/>
          <w:szCs w:val="28"/>
        </w:rPr>
        <w:t>V.Krasovickis</w:t>
      </w:r>
      <w:r w:rsidR="00F362E2" w:rsidRPr="000237B3">
        <w:rPr>
          <w:rFonts w:cs="Times New Roman"/>
          <w:sz w:val="28"/>
          <w:szCs w:val="28"/>
        </w:rPr>
        <w:t xml:space="preserve">, </w:t>
      </w:r>
      <w:r w:rsidRPr="000237B3">
        <w:rPr>
          <w:rFonts w:cs="Times New Roman"/>
          <w:sz w:val="28"/>
          <w:szCs w:val="28"/>
        </w:rPr>
        <w:t xml:space="preserve"> V.Kargins</w:t>
      </w:r>
      <w:r w:rsidR="00F362E2" w:rsidRPr="000237B3">
        <w:rPr>
          <w:rFonts w:cs="Times New Roman"/>
          <w:sz w:val="28"/>
          <w:szCs w:val="28"/>
        </w:rPr>
        <w:t>, G.Krasovickis, A.Krasovicka</w:t>
      </w:r>
      <w:r w:rsidRPr="000237B3">
        <w:rPr>
          <w:rFonts w:cs="Times New Roman"/>
          <w:sz w:val="28"/>
          <w:szCs w:val="28"/>
        </w:rPr>
        <w:t xml:space="preserve"> pret </w:t>
      </w:r>
      <w:r w:rsidR="002D43D9" w:rsidRPr="000237B3">
        <w:rPr>
          <w:rFonts w:cs="Times New Roman"/>
          <w:sz w:val="28"/>
          <w:szCs w:val="28"/>
        </w:rPr>
        <w:t>Aģentūru</w:t>
      </w:r>
      <w:r w:rsidRPr="000237B3">
        <w:rPr>
          <w:rFonts w:cs="Times New Roman"/>
          <w:sz w:val="28"/>
          <w:szCs w:val="28"/>
        </w:rPr>
        <w:t xml:space="preserve">, Finanšu ministriju, </w:t>
      </w:r>
      <w:r w:rsidR="00CB0E22">
        <w:rPr>
          <w:rFonts w:cs="Times New Roman"/>
          <w:sz w:val="28"/>
          <w:szCs w:val="28"/>
        </w:rPr>
        <w:t>akciju sabiedrību</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un </w:t>
      </w:r>
      <w:r w:rsidR="00CB0E22">
        <w:rPr>
          <w:rFonts w:cs="Times New Roman"/>
          <w:sz w:val="28"/>
          <w:szCs w:val="28"/>
        </w:rPr>
        <w:t>valsts akciju sabiedrību</w:t>
      </w:r>
      <w:r w:rsidRPr="000237B3">
        <w:rPr>
          <w:rFonts w:cs="Times New Roman"/>
          <w:sz w:val="28"/>
          <w:szCs w:val="28"/>
        </w:rPr>
        <w:t xml:space="preserve"> „Lat</w:t>
      </w:r>
      <w:r w:rsidR="00983BC9" w:rsidRPr="000237B3">
        <w:rPr>
          <w:rFonts w:cs="Times New Roman"/>
          <w:sz w:val="28"/>
          <w:szCs w:val="28"/>
        </w:rPr>
        <w:t xml:space="preserve">vijas Hipotēku un zemes banka”. </w:t>
      </w:r>
    </w:p>
    <w:p w:rsidR="00063481" w:rsidRPr="000237B3" w:rsidRDefault="00983BC9" w:rsidP="00983BC9">
      <w:pPr>
        <w:jc w:val="both"/>
        <w:rPr>
          <w:rFonts w:cs="Times New Roman"/>
          <w:sz w:val="28"/>
          <w:szCs w:val="28"/>
        </w:rPr>
      </w:pPr>
      <w:r w:rsidRPr="000237B3">
        <w:rPr>
          <w:rFonts w:cs="Times New Roman"/>
          <w:sz w:val="28"/>
          <w:szCs w:val="28"/>
        </w:rPr>
        <w:t>N</w:t>
      </w:r>
      <w:r w:rsidR="00063481" w:rsidRPr="000237B3">
        <w:rPr>
          <w:rFonts w:cs="Times New Roman"/>
          <w:sz w:val="28"/>
          <w:szCs w:val="28"/>
        </w:rPr>
        <w:t xml:space="preserve">evar izslēgt jaunu tiesvedības procesu rašanos nākotnē. Dalība minētajos tiesvedības procesos </w:t>
      </w:r>
      <w:r w:rsidR="002D43D9" w:rsidRPr="000237B3">
        <w:rPr>
          <w:rFonts w:cs="Times New Roman"/>
          <w:sz w:val="28"/>
          <w:szCs w:val="28"/>
        </w:rPr>
        <w:t>Aģentūrai</w:t>
      </w:r>
      <w:r w:rsidR="00063481" w:rsidRPr="000237B3">
        <w:rPr>
          <w:rFonts w:cs="Times New Roman"/>
          <w:sz w:val="28"/>
          <w:szCs w:val="28"/>
        </w:rPr>
        <w:t xml:space="preserve"> rada būtiskus izdevumus (tie iekļauti </w:t>
      </w:r>
      <w:r w:rsidR="002D43D9" w:rsidRPr="000237B3">
        <w:rPr>
          <w:rFonts w:cs="Times New Roman"/>
          <w:sz w:val="28"/>
          <w:szCs w:val="28"/>
        </w:rPr>
        <w:t>Aģentūras</w:t>
      </w:r>
      <w:r w:rsidR="00063481" w:rsidRPr="000237B3">
        <w:rPr>
          <w:rFonts w:cs="Times New Roman"/>
          <w:sz w:val="28"/>
          <w:szCs w:val="28"/>
        </w:rPr>
        <w:t xml:space="preserve"> prognozētajā naudas plūsmā).</w:t>
      </w:r>
    </w:p>
    <w:p w:rsidR="00503487" w:rsidRPr="000237B3" w:rsidRDefault="00503487" w:rsidP="0089485C">
      <w:pPr>
        <w:ind w:firstLine="720"/>
        <w:jc w:val="both"/>
        <w:rPr>
          <w:rFonts w:cs="Times New Roman"/>
          <w:b/>
          <w:sz w:val="28"/>
          <w:szCs w:val="28"/>
        </w:rPr>
      </w:pPr>
    </w:p>
    <w:p w:rsidR="00CF3E6B" w:rsidRDefault="00F57826" w:rsidP="00C1492E">
      <w:pPr>
        <w:pStyle w:val="Heading3"/>
        <w:rPr>
          <w:b w:val="0"/>
        </w:rPr>
      </w:pPr>
      <w:r>
        <w:rPr>
          <w:rFonts w:cs="Times New Roman"/>
        </w:rPr>
        <w:t>S</w:t>
      </w:r>
      <w:r w:rsidRPr="00F57826">
        <w:rPr>
          <w:rFonts w:cs="Times New Roman"/>
        </w:rPr>
        <w:t>abiedrība ar ierobežotu atbildību</w:t>
      </w:r>
      <w:r w:rsidR="0040754A">
        <w:rPr>
          <w:rFonts w:cs="Times New Roman"/>
        </w:rPr>
        <w:t xml:space="preserve"> </w:t>
      </w:r>
      <w:r w:rsidR="0040754A" w:rsidRPr="00D26A0F">
        <w:rPr>
          <w:rFonts w:cs="Times New Roman"/>
        </w:rPr>
        <w:t>„Hipotēku</w:t>
      </w:r>
      <w:r w:rsidR="0040754A">
        <w:rPr>
          <w:rFonts w:cs="Times New Roman"/>
        </w:rPr>
        <w:t xml:space="preserve"> </w:t>
      </w:r>
      <w:r w:rsidR="0040754A" w:rsidRPr="00D26A0F">
        <w:rPr>
          <w:rFonts w:cs="Times New Roman"/>
        </w:rPr>
        <w:t>bankas nekustamā</w:t>
      </w:r>
      <w:r w:rsidR="0040754A">
        <w:rPr>
          <w:rFonts w:cs="Times New Roman"/>
        </w:rPr>
        <w:t xml:space="preserve"> </w:t>
      </w:r>
      <w:r w:rsidR="0040754A" w:rsidRPr="00D26A0F">
        <w:rPr>
          <w:rFonts w:cs="Times New Roman"/>
        </w:rPr>
        <w:t>īpašuma aģentūra”</w:t>
      </w:r>
      <w:r w:rsidR="0040754A">
        <w:rPr>
          <w:rFonts w:cs="Times New Roman"/>
        </w:rPr>
        <w:t xml:space="preserve"> (</w:t>
      </w:r>
      <w:bookmarkStart w:id="15" w:name="_Toc354069805"/>
      <w:proofErr w:type="spellStart"/>
      <w:r w:rsidR="00C1492E">
        <w:t>HipoNIA</w:t>
      </w:r>
      <w:proofErr w:type="spellEnd"/>
      <w:r w:rsidR="0040754A">
        <w:t>)</w:t>
      </w:r>
      <w:r w:rsidR="00AD444D" w:rsidRPr="00AD444D">
        <w:rPr>
          <w:b w:val="0"/>
        </w:rPr>
        <w:t xml:space="preserve"> </w:t>
      </w:r>
      <w:bookmarkEnd w:id="15"/>
    </w:p>
    <w:p w:rsidR="008152AE" w:rsidRPr="008152AE" w:rsidRDefault="008152AE" w:rsidP="008152AE"/>
    <w:p w:rsidR="000B0515" w:rsidRDefault="000B0515" w:rsidP="000B0515">
      <w:pPr>
        <w:ind w:firstLine="720"/>
        <w:jc w:val="both"/>
        <w:rPr>
          <w:rFonts w:cs="Times New Roman"/>
          <w:sz w:val="28"/>
          <w:szCs w:val="28"/>
        </w:rPr>
      </w:pPr>
      <w:r w:rsidRPr="000237B3">
        <w:rPr>
          <w:rFonts w:cs="Times New Roman"/>
          <w:sz w:val="28"/>
          <w:szCs w:val="28"/>
        </w:rPr>
        <w:t>Ministru kabineta 201</w:t>
      </w:r>
      <w:r>
        <w:rPr>
          <w:rFonts w:cs="Times New Roman"/>
          <w:sz w:val="28"/>
          <w:szCs w:val="28"/>
        </w:rPr>
        <w:t>3</w:t>
      </w:r>
      <w:r w:rsidRPr="000237B3">
        <w:rPr>
          <w:rFonts w:cs="Times New Roman"/>
          <w:sz w:val="28"/>
          <w:szCs w:val="28"/>
        </w:rPr>
        <w:t xml:space="preserve">.gada </w:t>
      </w:r>
      <w:r>
        <w:rPr>
          <w:rFonts w:cs="Times New Roman"/>
          <w:sz w:val="28"/>
          <w:szCs w:val="28"/>
        </w:rPr>
        <w:t>2</w:t>
      </w:r>
      <w:r w:rsidRPr="000237B3">
        <w:rPr>
          <w:rFonts w:cs="Times New Roman"/>
          <w:sz w:val="28"/>
          <w:szCs w:val="28"/>
        </w:rPr>
        <w:t>.</w:t>
      </w:r>
      <w:r>
        <w:rPr>
          <w:rFonts w:cs="Times New Roman"/>
          <w:sz w:val="28"/>
          <w:szCs w:val="28"/>
        </w:rPr>
        <w:t xml:space="preserve">aprīļa </w:t>
      </w:r>
      <w:r w:rsidR="0040754A">
        <w:rPr>
          <w:rFonts w:cs="Times New Roman"/>
          <w:sz w:val="28"/>
          <w:szCs w:val="28"/>
        </w:rPr>
        <w:t xml:space="preserve">sēdes </w:t>
      </w:r>
      <w:r w:rsidR="0040754A" w:rsidRPr="0040754A">
        <w:rPr>
          <w:rFonts w:cs="Times New Roman"/>
          <w:sz w:val="28"/>
          <w:szCs w:val="28"/>
        </w:rPr>
        <w:t>(prot.Nr.17 55.§)</w:t>
      </w:r>
      <w:r w:rsidR="0040754A">
        <w:rPr>
          <w:rFonts w:cs="Times New Roman"/>
          <w:sz w:val="28"/>
          <w:szCs w:val="28"/>
        </w:rPr>
        <w:t xml:space="preserve"> </w:t>
      </w:r>
      <w:r>
        <w:rPr>
          <w:rFonts w:cs="Times New Roman"/>
          <w:sz w:val="28"/>
          <w:szCs w:val="28"/>
        </w:rPr>
        <w:t xml:space="preserve">lēmumā noteikts, ka </w:t>
      </w:r>
      <w:r w:rsidRPr="00CF49A3">
        <w:rPr>
          <w:rFonts w:cs="Times New Roman"/>
          <w:sz w:val="28"/>
          <w:szCs w:val="28"/>
        </w:rPr>
        <w:t>Aģentūra</w:t>
      </w:r>
      <w:r w:rsidR="00FA2C56">
        <w:rPr>
          <w:rFonts w:cs="Times New Roman"/>
          <w:sz w:val="28"/>
          <w:szCs w:val="28"/>
        </w:rPr>
        <w:t>i</w:t>
      </w:r>
      <w:r w:rsidRPr="00CF49A3">
        <w:rPr>
          <w:rFonts w:cs="Times New Roman"/>
          <w:sz w:val="28"/>
          <w:szCs w:val="28"/>
        </w:rPr>
        <w:t xml:space="preserve"> </w:t>
      </w:r>
      <w:r w:rsidR="00FA2C56">
        <w:rPr>
          <w:rFonts w:cs="Times New Roman"/>
          <w:sz w:val="28"/>
          <w:szCs w:val="28"/>
        </w:rPr>
        <w:t>jā</w:t>
      </w:r>
      <w:r w:rsidRPr="00CF49A3">
        <w:rPr>
          <w:rFonts w:cs="Times New Roman"/>
          <w:sz w:val="28"/>
          <w:szCs w:val="28"/>
        </w:rPr>
        <w:t>pārņem lielāk</w:t>
      </w:r>
      <w:r w:rsidR="00FA2C56">
        <w:rPr>
          <w:rFonts w:cs="Times New Roman"/>
          <w:sz w:val="28"/>
          <w:szCs w:val="28"/>
        </w:rPr>
        <w:t>ā</w:t>
      </w:r>
      <w:r w:rsidRPr="00CF49A3">
        <w:rPr>
          <w:rFonts w:cs="Times New Roman"/>
          <w:sz w:val="28"/>
          <w:szCs w:val="28"/>
        </w:rPr>
        <w:t xml:space="preserve"> daļ</w:t>
      </w:r>
      <w:r w:rsidR="00FA2C56">
        <w:rPr>
          <w:rFonts w:cs="Times New Roman"/>
          <w:sz w:val="28"/>
          <w:szCs w:val="28"/>
        </w:rPr>
        <w:t>a</w:t>
      </w:r>
      <w:r w:rsidRPr="00CF49A3">
        <w:rPr>
          <w:rFonts w:cs="Times New Roman"/>
          <w:sz w:val="28"/>
          <w:szCs w:val="28"/>
        </w:rPr>
        <w:t xml:space="preserve"> no </w:t>
      </w:r>
      <w:r>
        <w:rPr>
          <w:rFonts w:cs="Times New Roman"/>
          <w:sz w:val="28"/>
          <w:szCs w:val="28"/>
        </w:rPr>
        <w:t>valsts akciju sabiedrības</w:t>
      </w:r>
      <w:r w:rsidRPr="00CF49A3">
        <w:rPr>
          <w:rFonts w:cs="Times New Roman"/>
          <w:sz w:val="28"/>
          <w:szCs w:val="28"/>
        </w:rPr>
        <w:t xml:space="preserve"> "Latvijas Hipotēku un zemes banka" atlikuš</w:t>
      </w:r>
      <w:r>
        <w:rPr>
          <w:rFonts w:cs="Times New Roman"/>
          <w:sz w:val="28"/>
          <w:szCs w:val="28"/>
        </w:rPr>
        <w:t xml:space="preserve">ajiem </w:t>
      </w:r>
      <w:r w:rsidRPr="00CF49A3">
        <w:rPr>
          <w:rFonts w:cs="Times New Roman"/>
          <w:sz w:val="28"/>
          <w:szCs w:val="28"/>
        </w:rPr>
        <w:t>komercaktīv</w:t>
      </w:r>
      <w:r>
        <w:rPr>
          <w:rFonts w:cs="Times New Roman"/>
          <w:sz w:val="28"/>
          <w:szCs w:val="28"/>
        </w:rPr>
        <w:t>iem</w:t>
      </w:r>
      <w:r w:rsidRPr="00CF49A3">
        <w:rPr>
          <w:rFonts w:cs="Times New Roman"/>
          <w:sz w:val="28"/>
          <w:szCs w:val="28"/>
        </w:rPr>
        <w:t xml:space="preserve"> </w:t>
      </w:r>
      <w:r w:rsidR="0009573D">
        <w:rPr>
          <w:rFonts w:cs="Times New Roman"/>
          <w:sz w:val="28"/>
          <w:szCs w:val="28"/>
        </w:rPr>
        <w:t>-</w:t>
      </w:r>
      <w:r w:rsidRPr="00CF49A3">
        <w:rPr>
          <w:rFonts w:cs="Times New Roman"/>
          <w:sz w:val="28"/>
          <w:szCs w:val="28"/>
        </w:rPr>
        <w:t xml:space="preserve"> kavēto</w:t>
      </w:r>
      <w:r>
        <w:rPr>
          <w:rFonts w:cs="Times New Roman"/>
          <w:sz w:val="28"/>
          <w:szCs w:val="28"/>
        </w:rPr>
        <w:t xml:space="preserve"> aktīvu pārvaldītāj</w:t>
      </w:r>
      <w:r w:rsidR="0009573D">
        <w:rPr>
          <w:rFonts w:cs="Times New Roman"/>
          <w:sz w:val="28"/>
          <w:szCs w:val="28"/>
        </w:rPr>
        <w:t>u</w:t>
      </w:r>
      <w:r>
        <w:rPr>
          <w:rFonts w:cs="Times New Roman"/>
          <w:sz w:val="28"/>
          <w:szCs w:val="28"/>
        </w:rPr>
        <w:t xml:space="preserve"> HipoNIA. </w:t>
      </w:r>
      <w:r w:rsidR="00FA2C56" w:rsidRPr="00FA2C56">
        <w:rPr>
          <w:rFonts w:cs="Times New Roman"/>
          <w:sz w:val="28"/>
          <w:szCs w:val="28"/>
        </w:rPr>
        <w:t xml:space="preserve">Saskaņā ar Ministru kabineta 2013.gada 21.maija sēdē (prot.Nr.30 63.§) lemto 2013.gada 28.maijā ir noslēgts līgums par </w:t>
      </w:r>
      <w:proofErr w:type="spellStart"/>
      <w:r w:rsidR="00FA2C56" w:rsidRPr="00FA2C56">
        <w:rPr>
          <w:rFonts w:cs="Times New Roman"/>
          <w:sz w:val="28"/>
          <w:szCs w:val="28"/>
        </w:rPr>
        <w:t>HipoNIA</w:t>
      </w:r>
      <w:proofErr w:type="spellEnd"/>
      <w:r w:rsidR="00FA2C56" w:rsidRPr="00FA2C56">
        <w:rPr>
          <w:rFonts w:cs="Times New Roman"/>
          <w:sz w:val="28"/>
          <w:szCs w:val="28"/>
        </w:rPr>
        <w:t xml:space="preserve"> kapitāla daļu iegādi</w:t>
      </w:r>
      <w:r w:rsidR="00A51225" w:rsidRPr="00A51225">
        <w:t xml:space="preserve"> </w:t>
      </w:r>
      <w:r w:rsidR="00A51225" w:rsidRPr="00A51225">
        <w:rPr>
          <w:rFonts w:cs="Times New Roman"/>
          <w:sz w:val="28"/>
          <w:szCs w:val="28"/>
        </w:rPr>
        <w:t xml:space="preserve">un 2013.gada 28.jūnijā Aģentūra kļuva par </w:t>
      </w:r>
      <w:proofErr w:type="spellStart"/>
      <w:r w:rsidR="00A51225" w:rsidRPr="00A51225">
        <w:rPr>
          <w:rFonts w:cs="Times New Roman"/>
          <w:sz w:val="28"/>
          <w:szCs w:val="28"/>
        </w:rPr>
        <w:t>HipoNIA</w:t>
      </w:r>
      <w:proofErr w:type="spellEnd"/>
      <w:r w:rsidR="00A51225" w:rsidRPr="00A51225">
        <w:rPr>
          <w:rFonts w:cs="Times New Roman"/>
          <w:sz w:val="28"/>
          <w:szCs w:val="28"/>
        </w:rPr>
        <w:t xml:space="preserve"> kapitāla daļu īpašnieci</w:t>
      </w:r>
      <w:r w:rsidR="00FA2C56" w:rsidRPr="00FA2C56">
        <w:rPr>
          <w:rFonts w:cs="Times New Roman"/>
          <w:sz w:val="28"/>
          <w:szCs w:val="28"/>
        </w:rPr>
        <w:t xml:space="preserve">. </w:t>
      </w:r>
    </w:p>
    <w:p w:rsidR="00AD444D" w:rsidRPr="000237B3" w:rsidRDefault="00AD444D" w:rsidP="00AD444D">
      <w:pPr>
        <w:ind w:firstLine="709"/>
        <w:jc w:val="both"/>
        <w:rPr>
          <w:rFonts w:cs="Times New Roman"/>
          <w:sz w:val="28"/>
          <w:szCs w:val="28"/>
        </w:rPr>
      </w:pPr>
      <w:r w:rsidRPr="000237B3">
        <w:rPr>
          <w:rFonts w:cs="Times New Roman"/>
          <w:sz w:val="28"/>
          <w:szCs w:val="28"/>
        </w:rPr>
        <w:t xml:space="preserve">Paredzams, ka Aģentūra </w:t>
      </w:r>
      <w:r>
        <w:rPr>
          <w:rFonts w:cs="Times New Roman"/>
          <w:sz w:val="28"/>
          <w:szCs w:val="28"/>
        </w:rPr>
        <w:t>nodrošinās</w:t>
      </w:r>
      <w:r w:rsidRPr="000237B3">
        <w:rPr>
          <w:rFonts w:cs="Times New Roman"/>
          <w:sz w:val="28"/>
          <w:szCs w:val="28"/>
        </w:rPr>
        <w:t xml:space="preserve"> </w:t>
      </w:r>
      <w:r>
        <w:rPr>
          <w:rFonts w:cs="Times New Roman"/>
          <w:sz w:val="28"/>
          <w:szCs w:val="28"/>
        </w:rPr>
        <w:t>HipoNIA</w:t>
      </w:r>
      <w:r w:rsidRPr="000237B3">
        <w:rPr>
          <w:rFonts w:cs="Times New Roman"/>
          <w:sz w:val="28"/>
          <w:szCs w:val="28"/>
        </w:rPr>
        <w:t xml:space="preserve"> pārvaldību saskaņā ar labas korporatīvās pārvaldības principiem</w:t>
      </w:r>
      <w:r>
        <w:rPr>
          <w:rFonts w:cs="Times New Roman"/>
          <w:sz w:val="28"/>
          <w:szCs w:val="28"/>
        </w:rPr>
        <w:t xml:space="preserve"> </w:t>
      </w:r>
      <w:r w:rsidRPr="000237B3">
        <w:rPr>
          <w:rFonts w:cs="Times New Roman"/>
          <w:sz w:val="28"/>
          <w:szCs w:val="28"/>
        </w:rPr>
        <w:t>un Ministra kabineta lēmum</w:t>
      </w:r>
      <w:r>
        <w:rPr>
          <w:rFonts w:cs="Times New Roman"/>
          <w:sz w:val="28"/>
          <w:szCs w:val="28"/>
        </w:rPr>
        <w:t>iem</w:t>
      </w:r>
      <w:r w:rsidRPr="000237B3">
        <w:rPr>
          <w:rFonts w:cs="Times New Roman"/>
          <w:sz w:val="28"/>
          <w:szCs w:val="28"/>
        </w:rPr>
        <w:t xml:space="preserve">. </w:t>
      </w:r>
    </w:p>
    <w:p w:rsidR="00AD444D" w:rsidRDefault="00AD444D" w:rsidP="000B0515">
      <w:pPr>
        <w:ind w:firstLine="720"/>
        <w:jc w:val="both"/>
        <w:rPr>
          <w:rFonts w:cs="Times New Roman"/>
          <w:sz w:val="28"/>
          <w:szCs w:val="28"/>
        </w:rPr>
      </w:pPr>
    </w:p>
    <w:p w:rsidR="00C25731" w:rsidRPr="000237B3" w:rsidRDefault="00960CE4" w:rsidP="008C70BB">
      <w:pPr>
        <w:pStyle w:val="Heading2"/>
        <w:rPr>
          <w:sz w:val="28"/>
          <w:szCs w:val="28"/>
        </w:rPr>
      </w:pPr>
      <w:bookmarkStart w:id="16" w:name="_Toc354069806"/>
      <w:r w:rsidRPr="000237B3">
        <w:rPr>
          <w:sz w:val="28"/>
          <w:szCs w:val="28"/>
        </w:rPr>
        <w:t>Valsts līdzdalības nodrošināšana ogļūdeņražu ieguvē</w:t>
      </w:r>
      <w:bookmarkEnd w:id="16"/>
    </w:p>
    <w:p w:rsidR="00C25731" w:rsidRPr="000237B3" w:rsidRDefault="00C25731" w:rsidP="0055365D">
      <w:pPr>
        <w:jc w:val="both"/>
        <w:rPr>
          <w:rFonts w:cs="Times New Roman"/>
          <w:sz w:val="28"/>
          <w:szCs w:val="28"/>
        </w:rPr>
      </w:pPr>
    </w:p>
    <w:p w:rsidR="009C1AE4" w:rsidRPr="009C1AE4" w:rsidRDefault="009C1AE4" w:rsidP="009C1AE4">
      <w:pPr>
        <w:jc w:val="both"/>
        <w:rPr>
          <w:rFonts w:cs="Times New Roman"/>
          <w:sz w:val="28"/>
          <w:szCs w:val="28"/>
        </w:rPr>
      </w:pPr>
      <w:r w:rsidRPr="009C1AE4">
        <w:rPr>
          <w:rFonts w:cs="Times New Roman"/>
          <w:sz w:val="28"/>
          <w:szCs w:val="28"/>
        </w:rPr>
        <w:t>Ministru kabineta noteikumu projektā „Noteikumi par ogļūdeņražu meklēšanu, izpēti un ieguvi” (TA-857), kas 2011.gada 1.septembrī izsludināts valsts sekretāru sanāksmē un 2012.gada 28.maijā izskatīts Ministru kabineta komitejas sēdē, ir noteikts, ka valsts līdzdalību ogļūdeņražu ieguves projektos uz valsts īpašumā esošajām zemēm un Baltijas jūrā, Latvijas Republikas vārdā īsteno valsts kapitālsabiedrība. Lai nepalielinātu valsts budžeta izdevumus, veidojot jaunu kapitālsabiedrību, Ekonomikas ministrijas</w:t>
      </w:r>
      <w:r w:rsidRPr="009C1AE4">
        <w:rPr>
          <w:rFonts w:cs="Times New Roman"/>
          <w:i/>
          <w:iCs/>
          <w:sz w:val="28"/>
          <w:szCs w:val="28"/>
        </w:rPr>
        <w:t xml:space="preserve"> </w:t>
      </w:r>
      <w:r w:rsidRPr="009C1AE4">
        <w:rPr>
          <w:rFonts w:cs="Times New Roman"/>
          <w:sz w:val="28"/>
          <w:szCs w:val="28"/>
        </w:rPr>
        <w:t xml:space="preserve">sagatavotajā Ministru kabineta noteikumu projektā iekļauts priekšlikums, ka šī kapitālsabiedrība ir Aģentūra, jo Ekonomikas ministrija ir 100% Aģentūras kapitāla daļu turētāja un Aģentūrai ir liela pieredze risināt finanšu plūsmas jautājumus, kā arī specifisku valsts mantas un kapitāla pārvaldības jautājumus. Šī projekta ietvaros tiek plānotas divas galvenās izmaksu grupas – ar </w:t>
      </w:r>
      <w:r w:rsidRPr="009C1AE4">
        <w:rPr>
          <w:rFonts w:cs="Times New Roman"/>
          <w:sz w:val="28"/>
          <w:szCs w:val="28"/>
        </w:rPr>
        <w:lastRenderedPageBreak/>
        <w:t xml:space="preserve">projekta pārvaldīšanu saistītās izmaksas un valsts līdzdalības daļa 10% apmērā. </w:t>
      </w:r>
    </w:p>
    <w:p w:rsidR="009C1AE4" w:rsidRPr="009C1AE4" w:rsidRDefault="009C1AE4" w:rsidP="009C1AE4">
      <w:pPr>
        <w:jc w:val="both"/>
        <w:rPr>
          <w:rFonts w:cs="Times New Roman"/>
          <w:sz w:val="28"/>
          <w:szCs w:val="28"/>
        </w:rPr>
      </w:pPr>
      <w:r w:rsidRPr="009C1AE4">
        <w:rPr>
          <w:rFonts w:cs="Times New Roman"/>
          <w:sz w:val="28"/>
          <w:szCs w:val="28"/>
        </w:rPr>
        <w:t xml:space="preserve">Šobrīd ir izsniegtas trīs licences ogļūdeņražu izpētei un ieguvei Latvijas Republikas ekskluzīvajā ekonomiskajā zonā. Ar projekta pārvaldīšanu saistītās izmaksas saskaņā ar sākotnējiem aprēķiniem ir lēšamas 74 tūkst. latu 2013.gadā (projekta pārvaldīšanas un ārējo juridisko pakalpojumu izmaksas) un 215 tūkst. latu apmērā 2014.gadā. 2013.gadā Aģentūrai jānodrošina juridisko pakalpojumu iepirkums un jāuzsāk kopdarbības līguma saskaņošana ar licenciātiem, kā arī jāpiesaista tehniskos konsultantus ieguves plāna izvērtēšanai, ja tāds tiks iesniegts. 2014.gadā plānotās izmaksas veido projekta pārvaldīšanas izmaksas, tehnisko ekspertu pakalpojumu izmaksas kā arī ārējo juridisko pakalpojumu izmaksas. Projekta pārvaldīšanas izmaksas 2013.gadam, kuras Aģentūra aprēķinājusi un nosūtījusi Ekonomikas ministrijai iekļaušanai likumprojektā „Par valsts budžetu 2013.gadam”, minētajā likumprojektā nav iekļautas un saskaņā ar noteikumu projekta sākotnējās ietekmes novērtējuma ziņojumu (anotāciju) finansējums pārcelts uz 2014.gadu, vienlaikus 2014.gadam plānoto finansējumu pārceļot </w:t>
      </w:r>
      <w:r w:rsidR="00151928">
        <w:rPr>
          <w:rFonts w:cs="Times New Roman"/>
          <w:sz w:val="28"/>
          <w:szCs w:val="28"/>
        </w:rPr>
        <w:t>uz</w:t>
      </w:r>
      <w:r w:rsidRPr="009C1AE4">
        <w:rPr>
          <w:rFonts w:cs="Times New Roman"/>
          <w:sz w:val="28"/>
          <w:szCs w:val="28"/>
        </w:rPr>
        <w:t xml:space="preserve"> 2015.gadu. </w:t>
      </w:r>
      <w:r w:rsidRPr="009C1AE4">
        <w:rPr>
          <w:rFonts w:cs="Times New Roman"/>
          <w:b/>
          <w:bCs/>
          <w:sz w:val="28"/>
          <w:szCs w:val="28"/>
        </w:rPr>
        <w:t>Attiecīgi nepieciešams risināt jautājumu par Aģentūras paredzamo izdevumu segšanu no valsts budžeta.</w:t>
      </w:r>
      <w:r w:rsidRPr="009C1AE4">
        <w:rPr>
          <w:rFonts w:cs="Times New Roman"/>
          <w:sz w:val="28"/>
          <w:szCs w:val="28"/>
        </w:rPr>
        <w:t xml:space="preserve"> </w:t>
      </w:r>
    </w:p>
    <w:p w:rsidR="009C1AE4" w:rsidRPr="009C1AE4" w:rsidRDefault="009C1AE4" w:rsidP="009C1AE4">
      <w:pPr>
        <w:jc w:val="both"/>
        <w:rPr>
          <w:rFonts w:cs="Times New Roman"/>
          <w:sz w:val="28"/>
          <w:szCs w:val="28"/>
        </w:rPr>
      </w:pPr>
      <w:r w:rsidRPr="009C1AE4">
        <w:rPr>
          <w:rFonts w:cs="Times New Roman"/>
          <w:sz w:val="28"/>
          <w:szCs w:val="28"/>
        </w:rPr>
        <w:t xml:space="preserve">Noteikumu projekts paredz kārtību, kādā Ministru kabinets lemj par valsts līdzdalības daļas finansēšanu un nosaka projekta pārvaldīšanas izdevumu segšanas avotus, paredzot, ka izdevumus, kas radušies valsts kapitālsabiedrībai, īstenojot valsts līdzdalību ar licences izsniegšanas brīdi, sedz no valsts budžeta līdzekļiem. Pēc ogļūdeņražu ieguves uzsākšanas izpētes un ieguves licences laukumā, kurā ir noteikta valsts līdzdalības daļa, izdevumus, kas radušies valsts kapitālsabiedrībai, īstenojot valsts līdzdalību, var segt no atskaitījumiem valsts kapitālsabiedrībai no ogļūdeņražu pārdošanas ienākumiem. </w:t>
      </w:r>
    </w:p>
    <w:p w:rsidR="009C1AE4" w:rsidRPr="009C1AE4" w:rsidRDefault="009C1AE4" w:rsidP="009C1AE4">
      <w:pPr>
        <w:jc w:val="both"/>
        <w:rPr>
          <w:rFonts w:cs="Times New Roman"/>
          <w:sz w:val="28"/>
          <w:szCs w:val="28"/>
        </w:rPr>
      </w:pPr>
      <w:r w:rsidRPr="009C1AE4">
        <w:rPr>
          <w:rFonts w:cs="Times New Roman"/>
          <w:sz w:val="28"/>
          <w:szCs w:val="28"/>
        </w:rPr>
        <w:t>          Divām ogļūdeņražu izpētei un ieguves licencēm, kas sākotnēji izsniegtas 2004.gadā, beigsies likumā „Par zemes dzīlēm” noteiktais desmit gadu periods, kas atvēlēts ogļūdeņražu izpētei, līdz ar to, licenciātiem būs jāpieņem lēmums par to projekti tiks attīstīti tālāk un licences laukumi gatavoti ogļūdeņražu ieguvei, līdz ar to, atbilstoši tā brīža situācijai būs nepieciešams aktualizēt informāciju par aģentūras lomu ogļūdeņražu izpētes un ieguves procesā un tās turpmākās darbības stratēģiju.</w:t>
      </w:r>
    </w:p>
    <w:p w:rsidR="00EB48A1" w:rsidRPr="000237B3" w:rsidRDefault="00AA454A" w:rsidP="00C25731">
      <w:pPr>
        <w:pStyle w:val="Heading1"/>
        <w:rPr>
          <w:rFonts w:cs="Times New Roman"/>
        </w:rPr>
      </w:pPr>
      <w:bookmarkStart w:id="17" w:name="_Toc354069807"/>
      <w:r w:rsidRPr="000237B3">
        <w:rPr>
          <w:rFonts w:cs="Times New Roman"/>
        </w:rPr>
        <w:t xml:space="preserve">V </w:t>
      </w:r>
      <w:r w:rsidR="000344FE" w:rsidRPr="000237B3">
        <w:rPr>
          <w:rFonts w:cs="Times New Roman"/>
        </w:rPr>
        <w:t>DARBĪBAS NODROŠINĀŠANA</w:t>
      </w:r>
      <w:bookmarkEnd w:id="17"/>
    </w:p>
    <w:p w:rsidR="00BF43BE" w:rsidRPr="000237B3" w:rsidRDefault="002D43D9" w:rsidP="006435E6">
      <w:pPr>
        <w:pStyle w:val="Heading4"/>
        <w:rPr>
          <w:rFonts w:ascii="Times New Roman" w:eastAsiaTheme="minorEastAsia" w:hAnsi="Times New Roman" w:cs="Times New Roman"/>
          <w:bCs w:val="0"/>
          <w:i w:val="0"/>
          <w:iCs w:val="0"/>
          <w:sz w:val="28"/>
          <w:szCs w:val="28"/>
        </w:rPr>
      </w:pPr>
      <w:r w:rsidRPr="000237B3">
        <w:rPr>
          <w:rFonts w:ascii="Times New Roman" w:eastAsiaTheme="minorEastAsia" w:hAnsi="Times New Roman" w:cs="Times New Roman"/>
          <w:bCs w:val="0"/>
          <w:i w:val="0"/>
          <w:iCs w:val="0"/>
          <w:sz w:val="28"/>
          <w:szCs w:val="28"/>
        </w:rPr>
        <w:t>Aģentūras</w:t>
      </w:r>
      <w:r w:rsidR="00BF43BE" w:rsidRPr="000237B3">
        <w:rPr>
          <w:rFonts w:ascii="Times New Roman" w:eastAsiaTheme="minorEastAsia" w:hAnsi="Times New Roman" w:cs="Times New Roman"/>
          <w:bCs w:val="0"/>
          <w:i w:val="0"/>
          <w:iCs w:val="0"/>
          <w:sz w:val="28"/>
          <w:szCs w:val="28"/>
        </w:rPr>
        <w:t xml:space="preserve"> pr</w:t>
      </w:r>
      <w:r w:rsidR="00F5756F" w:rsidRPr="000237B3">
        <w:rPr>
          <w:rFonts w:ascii="Times New Roman" w:eastAsiaTheme="minorEastAsia" w:hAnsi="Times New Roman" w:cs="Times New Roman"/>
          <w:bCs w:val="0"/>
          <w:i w:val="0"/>
          <w:iCs w:val="0"/>
          <w:sz w:val="28"/>
          <w:szCs w:val="28"/>
        </w:rPr>
        <w:t>ognozētā naudas plūsma 2013-2015</w:t>
      </w:r>
    </w:p>
    <w:p w:rsidR="002C1545" w:rsidRPr="000237B3" w:rsidRDefault="00327093" w:rsidP="00327093">
      <w:pPr>
        <w:ind w:firstLine="720"/>
        <w:jc w:val="both"/>
        <w:rPr>
          <w:rFonts w:cs="Times New Roman"/>
          <w:sz w:val="28"/>
          <w:szCs w:val="28"/>
        </w:rPr>
      </w:pPr>
      <w:r w:rsidRPr="000237B3">
        <w:rPr>
          <w:rFonts w:cs="Times New Roman"/>
          <w:sz w:val="28"/>
          <w:szCs w:val="28"/>
        </w:rPr>
        <w:t>Aģentūra tiek</w:t>
      </w:r>
      <w:r w:rsidR="00744F58" w:rsidRPr="000237B3">
        <w:rPr>
          <w:rFonts w:cs="Times New Roman"/>
          <w:sz w:val="28"/>
          <w:szCs w:val="28"/>
        </w:rPr>
        <w:t xml:space="preserve"> finansē</w:t>
      </w:r>
      <w:r w:rsidRPr="000237B3">
        <w:rPr>
          <w:rFonts w:cs="Times New Roman"/>
          <w:sz w:val="28"/>
          <w:szCs w:val="28"/>
        </w:rPr>
        <w:t>ta</w:t>
      </w:r>
      <w:r w:rsidR="00744F58" w:rsidRPr="000237B3">
        <w:rPr>
          <w:rFonts w:cs="Times New Roman"/>
          <w:sz w:val="28"/>
          <w:szCs w:val="28"/>
        </w:rPr>
        <w:t xml:space="preserve"> no līdzekļiem, kas gūti no valsts īpašuma privatizācijas, valsts kapitāla daļu atsavināšanas, </w:t>
      </w:r>
      <w:r w:rsidR="00750C61" w:rsidRPr="000237B3">
        <w:rPr>
          <w:rFonts w:cs="Times New Roman"/>
          <w:sz w:val="28"/>
          <w:szCs w:val="28"/>
        </w:rPr>
        <w:t>Aģentūras</w:t>
      </w:r>
      <w:r w:rsidR="00744F58" w:rsidRPr="000237B3">
        <w:rPr>
          <w:rFonts w:cs="Times New Roman"/>
          <w:sz w:val="28"/>
          <w:szCs w:val="28"/>
        </w:rPr>
        <w:t xml:space="preserve"> valdījumā esošā valstij piederošā un piekrītošā īpašuma nomas, kā arī no citiem ieņēmumiem. </w:t>
      </w:r>
      <w:r w:rsidR="00750C61" w:rsidRPr="000237B3">
        <w:rPr>
          <w:rFonts w:cs="Times New Roman"/>
          <w:sz w:val="28"/>
          <w:szCs w:val="28"/>
        </w:rPr>
        <w:t>Aģentūras</w:t>
      </w:r>
      <w:r w:rsidR="00744F58" w:rsidRPr="000237B3">
        <w:rPr>
          <w:rFonts w:cs="Times New Roman"/>
          <w:sz w:val="28"/>
          <w:szCs w:val="28"/>
        </w:rPr>
        <w:t xml:space="preserve"> finansēšanai nepieciešamie līdzekļi ir attiecīgajā </w:t>
      </w:r>
      <w:r w:rsidR="00744F58" w:rsidRPr="000237B3">
        <w:rPr>
          <w:rFonts w:cs="Times New Roman"/>
          <w:sz w:val="28"/>
          <w:szCs w:val="28"/>
        </w:rPr>
        <w:lastRenderedPageBreak/>
        <w:t xml:space="preserve">mēnesī aprēķinātie normatīvie atskaitījumi atbilstoši </w:t>
      </w:r>
      <w:r w:rsidRPr="000237B3">
        <w:rPr>
          <w:rFonts w:cs="Times New Roman"/>
          <w:sz w:val="28"/>
          <w:szCs w:val="28"/>
        </w:rPr>
        <w:t>Aģentūrai</w:t>
      </w:r>
      <w:r w:rsidR="00744F58" w:rsidRPr="000237B3">
        <w:rPr>
          <w:rFonts w:cs="Times New Roman"/>
          <w:sz w:val="28"/>
          <w:szCs w:val="28"/>
        </w:rPr>
        <w:t xml:space="preserve"> pare</w:t>
      </w:r>
      <w:r w:rsidR="002C1545" w:rsidRPr="000237B3">
        <w:rPr>
          <w:rFonts w:cs="Times New Roman"/>
          <w:sz w:val="28"/>
          <w:szCs w:val="28"/>
        </w:rPr>
        <w:t>dzēto atskaitījumu normatīviem</w:t>
      </w:r>
      <w:r w:rsidR="00F41E21" w:rsidRPr="000237B3">
        <w:rPr>
          <w:rFonts w:cs="Times New Roman"/>
          <w:sz w:val="28"/>
          <w:szCs w:val="28"/>
        </w:rPr>
        <w:t xml:space="preserve"> saskaņā ar</w:t>
      </w:r>
      <w:r w:rsidR="002C1545" w:rsidRPr="000237B3">
        <w:rPr>
          <w:rFonts w:cs="Times New Roman"/>
          <w:sz w:val="28"/>
          <w:szCs w:val="28"/>
        </w:rPr>
        <w:t xml:space="preserve"> Ministru kabineta </w:t>
      </w:r>
      <w:r w:rsidR="00F41E21" w:rsidRPr="000237B3">
        <w:rPr>
          <w:rFonts w:cs="Times New Roman"/>
          <w:sz w:val="28"/>
          <w:szCs w:val="28"/>
        </w:rPr>
        <w:t xml:space="preserve">2012.gada 20.decembra </w:t>
      </w:r>
      <w:r w:rsidR="002C1545" w:rsidRPr="000237B3">
        <w:rPr>
          <w:rFonts w:cs="Times New Roman"/>
          <w:sz w:val="28"/>
          <w:szCs w:val="28"/>
        </w:rPr>
        <w:t>noteikumi</w:t>
      </w:r>
      <w:r w:rsidR="00F41E21" w:rsidRPr="000237B3">
        <w:rPr>
          <w:rFonts w:cs="Times New Roman"/>
          <w:sz w:val="28"/>
          <w:szCs w:val="28"/>
        </w:rPr>
        <w:t>em</w:t>
      </w:r>
      <w:r w:rsidR="002C1545" w:rsidRPr="000237B3">
        <w:rPr>
          <w:rFonts w:cs="Times New Roman"/>
          <w:sz w:val="28"/>
          <w:szCs w:val="28"/>
        </w:rPr>
        <w:t xml:space="preserve">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p>
    <w:p w:rsidR="001129EB" w:rsidRPr="000237B3" w:rsidRDefault="00774EF9" w:rsidP="00327093">
      <w:pPr>
        <w:ind w:firstLine="720"/>
        <w:jc w:val="both"/>
        <w:rPr>
          <w:rFonts w:cs="Times New Roman"/>
          <w:sz w:val="28"/>
          <w:szCs w:val="28"/>
        </w:rPr>
      </w:pPr>
      <w:r w:rsidRPr="000237B3">
        <w:rPr>
          <w:rFonts w:cs="Times New Roman"/>
          <w:sz w:val="28"/>
          <w:szCs w:val="28"/>
        </w:rPr>
        <w:t>Pieņēmumi, sastādot Aģentūras prognozēto naudas plūsmu</w:t>
      </w:r>
      <w:r w:rsidR="00F41E21" w:rsidRPr="000237B3">
        <w:rPr>
          <w:rFonts w:cs="Times New Roman"/>
          <w:sz w:val="28"/>
          <w:szCs w:val="28"/>
        </w:rPr>
        <w:t xml:space="preserve"> noteikti, neņemot vērā šīs stratēģijas ievaddaļā minētos vairākus jautājumus, kas </w:t>
      </w:r>
      <w:r w:rsidR="00CE3DF2">
        <w:rPr>
          <w:rFonts w:cs="Times New Roman"/>
          <w:sz w:val="28"/>
          <w:szCs w:val="28"/>
        </w:rPr>
        <w:t>turpmāk</w:t>
      </w:r>
      <w:r w:rsidR="00F41E21" w:rsidRPr="000237B3">
        <w:rPr>
          <w:rFonts w:cs="Times New Roman"/>
          <w:sz w:val="28"/>
          <w:szCs w:val="28"/>
        </w:rPr>
        <w:t xml:space="preserve"> varētu būtiski ietekmēt Aģentūras darbību un izmaksas.</w:t>
      </w:r>
      <w:r w:rsidR="00066330">
        <w:rPr>
          <w:rFonts w:cs="Times New Roman"/>
          <w:sz w:val="28"/>
          <w:szCs w:val="28"/>
        </w:rPr>
        <w:t xml:space="preserve"> </w:t>
      </w:r>
    </w:p>
    <w:p w:rsidR="00744F58" w:rsidRPr="00426EEF" w:rsidRDefault="00744F58" w:rsidP="00744F58">
      <w:pPr>
        <w:jc w:val="right"/>
        <w:rPr>
          <w:rFonts w:cs="Times New Roman"/>
        </w:rPr>
      </w:pPr>
      <w:r w:rsidRPr="000237B3">
        <w:rPr>
          <w:rFonts w:cs="Times New Roman"/>
          <w:sz w:val="28"/>
          <w:szCs w:val="28"/>
        </w:rPr>
        <w:t>Tabula</w:t>
      </w:r>
      <w:r w:rsidRPr="00426EEF">
        <w:rPr>
          <w:rFonts w:cs="Times New Roman"/>
        </w:rPr>
        <w:t xml:space="preserve"> Nr.</w:t>
      </w:r>
      <w:r w:rsidR="0001461D" w:rsidRPr="00426EEF">
        <w:rPr>
          <w:rFonts w:cs="Times New Roman"/>
        </w:rPr>
        <w:t>4</w:t>
      </w:r>
    </w:p>
    <w:p w:rsidR="00744F58" w:rsidRDefault="00327093" w:rsidP="00744F58">
      <w:pPr>
        <w:jc w:val="center"/>
      </w:pPr>
      <w:r w:rsidRPr="00327093">
        <w:rPr>
          <w:b/>
        </w:rPr>
        <w:t>Aģentūras</w:t>
      </w:r>
      <w:r w:rsidR="00744F58" w:rsidRPr="00426EEF">
        <w:rPr>
          <w:b/>
        </w:rPr>
        <w:t xml:space="preserve"> naudas plūsmas aprēķins</w:t>
      </w:r>
      <w:r w:rsidR="00744F58" w:rsidRPr="00426EEF">
        <w:t xml:space="preserve"> (tūkst.latu)</w:t>
      </w:r>
    </w:p>
    <w:p w:rsidR="000237B3" w:rsidRPr="00426EEF" w:rsidRDefault="000237B3" w:rsidP="00744F58">
      <w:pPr>
        <w:jc w:val="center"/>
        <w:rPr>
          <w:i/>
        </w:rPr>
      </w:pPr>
    </w:p>
    <w:tbl>
      <w:tblPr>
        <w:tblW w:w="852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960"/>
        <w:gridCol w:w="960"/>
        <w:gridCol w:w="960"/>
      </w:tblGrid>
      <w:tr w:rsidR="00C27BD7" w:rsidRPr="00426EEF" w:rsidTr="00941D86">
        <w:trPr>
          <w:trHeight w:val="315"/>
        </w:trPr>
        <w:tc>
          <w:tcPr>
            <w:tcW w:w="5648" w:type="dxa"/>
            <w:shd w:val="clear" w:color="auto" w:fill="4F81BD" w:themeFill="accent1"/>
            <w:noWrap/>
            <w:vAlign w:val="center"/>
            <w:hideMark/>
          </w:tcPr>
          <w:p w:rsidR="00C27BD7" w:rsidRPr="000237B3" w:rsidRDefault="00C27BD7" w:rsidP="00815B49">
            <w:pPr>
              <w:jc w:val="center"/>
              <w:rPr>
                <w:rFonts w:eastAsia="Times New Roman" w:cs="Times New Roman"/>
                <w:b/>
                <w:bCs/>
                <w:color w:val="FFFFFF" w:themeColor="background1"/>
                <w:lang w:eastAsia="lv-LV"/>
              </w:rPr>
            </w:pPr>
            <w:r w:rsidRPr="000237B3">
              <w:rPr>
                <w:rFonts w:eastAsia="Times New Roman" w:cs="Times New Roman"/>
                <w:b/>
                <w:bCs/>
                <w:color w:val="FFFFFF" w:themeColor="background1"/>
                <w:lang w:eastAsia="lv-LV"/>
              </w:rPr>
              <w:t>Pozīcijas nosaukums</w:t>
            </w:r>
          </w:p>
        </w:tc>
        <w:tc>
          <w:tcPr>
            <w:tcW w:w="960" w:type="dxa"/>
            <w:shd w:val="clear" w:color="auto" w:fill="4F81BD" w:themeFill="accent1"/>
            <w:noWrap/>
            <w:vAlign w:val="center"/>
          </w:tcPr>
          <w:p w:rsidR="00C27BD7" w:rsidRPr="000237B3" w:rsidRDefault="00C27BD7" w:rsidP="002A6FF7">
            <w:pPr>
              <w:jc w:val="center"/>
              <w:rPr>
                <w:rFonts w:eastAsia="Times New Roman" w:cs="Times New Roman"/>
                <w:b/>
                <w:bCs/>
                <w:color w:val="FFFFFF" w:themeColor="background1"/>
                <w:highlight w:val="yellow"/>
                <w:lang w:eastAsia="lv-LV"/>
              </w:rPr>
            </w:pPr>
            <w:r w:rsidRPr="000237B3">
              <w:rPr>
                <w:rFonts w:eastAsia="Times New Roman" w:cs="Times New Roman"/>
                <w:b/>
                <w:bCs/>
                <w:color w:val="FFFFFF" w:themeColor="background1"/>
                <w:lang w:eastAsia="lv-LV"/>
              </w:rPr>
              <w:t>2012</w:t>
            </w:r>
          </w:p>
        </w:tc>
        <w:tc>
          <w:tcPr>
            <w:tcW w:w="960" w:type="dxa"/>
            <w:shd w:val="clear" w:color="auto" w:fill="4F81BD" w:themeFill="accent1"/>
            <w:vAlign w:val="center"/>
          </w:tcPr>
          <w:p w:rsidR="00C27BD7" w:rsidRPr="000237B3" w:rsidRDefault="00C27BD7" w:rsidP="002D43D9">
            <w:pPr>
              <w:jc w:val="center"/>
              <w:rPr>
                <w:rFonts w:eastAsia="Times New Roman" w:cs="Times New Roman"/>
                <w:b/>
                <w:bCs/>
                <w:color w:val="FFFFFF" w:themeColor="background1"/>
                <w:lang w:eastAsia="lv-LV"/>
              </w:rPr>
            </w:pPr>
            <w:r w:rsidRPr="000237B3">
              <w:rPr>
                <w:rFonts w:eastAsia="Times New Roman" w:cs="Times New Roman"/>
                <w:b/>
                <w:bCs/>
                <w:color w:val="FFFFFF" w:themeColor="background1"/>
                <w:lang w:eastAsia="lv-LV"/>
              </w:rPr>
              <w:t>2013</w:t>
            </w:r>
          </w:p>
        </w:tc>
        <w:tc>
          <w:tcPr>
            <w:tcW w:w="960" w:type="dxa"/>
            <w:shd w:val="clear" w:color="auto" w:fill="4F81BD" w:themeFill="accent1"/>
            <w:vAlign w:val="center"/>
          </w:tcPr>
          <w:p w:rsidR="00C27BD7" w:rsidRPr="000237B3" w:rsidRDefault="00C27BD7" w:rsidP="002D43D9">
            <w:pPr>
              <w:jc w:val="center"/>
              <w:rPr>
                <w:rFonts w:eastAsia="Times New Roman" w:cs="Times New Roman"/>
                <w:b/>
                <w:bCs/>
                <w:color w:val="FFFFFF" w:themeColor="background1"/>
                <w:lang w:eastAsia="lv-LV"/>
              </w:rPr>
            </w:pPr>
            <w:r w:rsidRPr="000237B3">
              <w:rPr>
                <w:rFonts w:eastAsia="Times New Roman" w:cs="Times New Roman"/>
                <w:b/>
                <w:bCs/>
                <w:color w:val="FFFFFF" w:themeColor="background1"/>
                <w:lang w:eastAsia="lv-LV"/>
              </w:rPr>
              <w:t>2014</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Ieņēmumi no pirkuma līgumiem</w:t>
            </w:r>
          </w:p>
        </w:tc>
        <w:tc>
          <w:tcPr>
            <w:tcW w:w="960" w:type="dxa"/>
            <w:shd w:val="clear" w:color="auto" w:fill="auto"/>
            <w:noWrap/>
            <w:vAlign w:val="center"/>
          </w:tcPr>
          <w:p w:rsidR="00041348"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 </w:t>
            </w:r>
          </w:p>
          <w:p w:rsidR="00EC44DE"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6 775</w:t>
            </w:r>
          </w:p>
        </w:tc>
        <w:tc>
          <w:tcPr>
            <w:tcW w:w="960" w:type="dxa"/>
            <w:vAlign w:val="center"/>
          </w:tcPr>
          <w:p w:rsidR="00041348"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 </w:t>
            </w:r>
          </w:p>
          <w:p w:rsidR="00EC44DE"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5 032</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3 537</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Ieņēmumi no nomas līgumiem</w:t>
            </w:r>
          </w:p>
        </w:tc>
        <w:tc>
          <w:tcPr>
            <w:tcW w:w="960" w:type="dxa"/>
            <w:shd w:val="clear" w:color="auto" w:fill="auto"/>
            <w:noWrap/>
            <w:vAlign w:val="center"/>
          </w:tcPr>
          <w:p w:rsidR="00041348" w:rsidRPr="000237B3" w:rsidRDefault="00041348" w:rsidP="00B115D2">
            <w:pPr>
              <w:jc w:val="center"/>
              <w:rPr>
                <w:rFonts w:eastAsia="Times New Roman" w:cs="Times New Roman"/>
                <w:color w:val="000000"/>
                <w:lang w:eastAsia="lv-LV"/>
              </w:rPr>
            </w:pPr>
          </w:p>
          <w:p w:rsidR="00EC44DE"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545</w:t>
            </w:r>
          </w:p>
        </w:tc>
        <w:tc>
          <w:tcPr>
            <w:tcW w:w="960" w:type="dxa"/>
            <w:vAlign w:val="center"/>
          </w:tcPr>
          <w:p w:rsidR="00EC44DE" w:rsidRPr="000237B3" w:rsidRDefault="00EC44DE" w:rsidP="00B115D2">
            <w:pPr>
              <w:jc w:val="center"/>
              <w:rPr>
                <w:rFonts w:eastAsia="Times New Roman" w:cs="Times New Roman"/>
                <w:color w:val="000000"/>
                <w:lang w:eastAsia="lv-LV"/>
              </w:rPr>
            </w:pPr>
            <w:r w:rsidRPr="000237B3">
              <w:rPr>
                <w:rFonts w:eastAsia="Times New Roman" w:cs="Times New Roman"/>
                <w:color w:val="000000"/>
                <w:lang w:eastAsia="lv-LV"/>
              </w:rPr>
              <w:t>457</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411</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Norēķinu ar valsts budžetu par saņemtajām pirkuma maksām</w:t>
            </w:r>
          </w:p>
        </w:tc>
        <w:tc>
          <w:tcPr>
            <w:tcW w:w="960" w:type="dxa"/>
            <w:shd w:val="clear" w:color="auto" w:fill="auto"/>
            <w:noWrap/>
            <w:vAlign w:val="center"/>
          </w:tcPr>
          <w:p w:rsidR="00041348"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 </w:t>
            </w:r>
          </w:p>
          <w:p w:rsidR="00EC44DE" w:rsidRPr="000237B3" w:rsidRDefault="00041348" w:rsidP="00041348">
            <w:pPr>
              <w:jc w:val="center"/>
              <w:rPr>
                <w:rFonts w:eastAsia="Times New Roman" w:cs="Times New Roman"/>
                <w:color w:val="000000"/>
                <w:lang w:eastAsia="lv-LV"/>
              </w:rPr>
            </w:pPr>
            <w:r w:rsidRPr="000237B3">
              <w:rPr>
                <w:rFonts w:eastAsia="Times New Roman" w:cs="Times New Roman"/>
                <w:color w:val="000000"/>
                <w:lang w:eastAsia="lv-LV"/>
              </w:rPr>
              <w:t>5 290</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 xml:space="preserve">-4 </w:t>
            </w:r>
            <w:r w:rsidR="00041348" w:rsidRPr="000237B3">
              <w:rPr>
                <w:rFonts w:eastAsia="Times New Roman" w:cs="Times New Roman"/>
                <w:color w:val="000000"/>
                <w:lang w:eastAsia="lv-LV"/>
              </w:rPr>
              <w:t>588</w:t>
            </w:r>
          </w:p>
        </w:tc>
        <w:tc>
          <w:tcPr>
            <w:tcW w:w="960" w:type="dxa"/>
            <w:vAlign w:val="center"/>
          </w:tcPr>
          <w:p w:rsidR="00EC44DE" w:rsidRPr="000237B3" w:rsidRDefault="00EC44DE" w:rsidP="00041348">
            <w:pPr>
              <w:jc w:val="center"/>
              <w:rPr>
                <w:rFonts w:eastAsia="Times New Roman" w:cs="Times New Roman"/>
                <w:lang w:eastAsia="lv-LV"/>
              </w:rPr>
            </w:pPr>
            <w:r w:rsidRPr="000237B3">
              <w:rPr>
                <w:rFonts w:eastAsia="Times New Roman" w:cs="Times New Roman"/>
                <w:lang w:eastAsia="lv-LV"/>
              </w:rPr>
              <w:t xml:space="preserve">-3 </w:t>
            </w:r>
            <w:r w:rsidR="00041348" w:rsidRPr="000237B3">
              <w:rPr>
                <w:rFonts w:eastAsia="Times New Roman" w:cs="Times New Roman"/>
                <w:lang w:eastAsia="lv-LV"/>
              </w:rPr>
              <w:t>294</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Norēķini ar valsts budžetu par saņemtajām nomas maksām</w:t>
            </w:r>
          </w:p>
        </w:tc>
        <w:tc>
          <w:tcPr>
            <w:tcW w:w="960" w:type="dxa"/>
            <w:shd w:val="clear" w:color="auto" w:fill="auto"/>
            <w:noWrap/>
            <w:vAlign w:val="center"/>
          </w:tcPr>
          <w:p w:rsidR="00041348"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p>
          <w:p w:rsidR="00EC44DE" w:rsidRPr="000237B3" w:rsidRDefault="00041348" w:rsidP="00041348">
            <w:pPr>
              <w:jc w:val="center"/>
              <w:rPr>
                <w:rFonts w:eastAsia="Times New Roman" w:cs="Times New Roman"/>
                <w:color w:val="000000"/>
                <w:lang w:eastAsia="lv-LV"/>
              </w:rPr>
            </w:pPr>
            <w:r w:rsidRPr="000237B3">
              <w:rPr>
                <w:rFonts w:eastAsia="Times New Roman" w:cs="Times New Roman"/>
                <w:color w:val="000000"/>
                <w:lang w:eastAsia="lv-LV"/>
              </w:rPr>
              <w:t>408</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437</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-399</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Neto rezultāts NĪN maksājumiem</w:t>
            </w:r>
          </w:p>
        </w:tc>
        <w:tc>
          <w:tcPr>
            <w:tcW w:w="960" w:type="dxa"/>
            <w:shd w:val="clear" w:color="auto" w:fill="auto"/>
            <w:noWrap/>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99</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278</w:t>
            </w:r>
          </w:p>
        </w:tc>
        <w:tc>
          <w:tcPr>
            <w:tcW w:w="960" w:type="dxa"/>
            <w:vAlign w:val="center"/>
          </w:tcPr>
          <w:p w:rsidR="00EC44DE" w:rsidRPr="000237B3" w:rsidRDefault="00EC44DE" w:rsidP="00041348">
            <w:pPr>
              <w:jc w:val="center"/>
              <w:rPr>
                <w:rFonts w:eastAsia="Times New Roman" w:cs="Times New Roman"/>
                <w:lang w:eastAsia="lv-LV"/>
              </w:rPr>
            </w:pPr>
            <w:r w:rsidRPr="000237B3">
              <w:rPr>
                <w:rFonts w:eastAsia="Times New Roman" w:cs="Times New Roman"/>
                <w:lang w:eastAsia="lv-LV"/>
              </w:rPr>
              <w:t>-</w:t>
            </w:r>
            <w:r w:rsidR="00041348" w:rsidRPr="000237B3">
              <w:rPr>
                <w:rFonts w:eastAsia="Times New Roman" w:cs="Times New Roman"/>
                <w:lang w:eastAsia="lv-LV"/>
              </w:rPr>
              <w:t>251</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b/>
                <w:bCs/>
                <w:color w:val="000000"/>
                <w:lang w:eastAsia="lv-LV"/>
              </w:rPr>
            </w:pPr>
            <w:r w:rsidRPr="000237B3">
              <w:rPr>
                <w:rFonts w:eastAsia="Times New Roman" w:cs="Times New Roman"/>
                <w:b/>
                <w:bCs/>
                <w:color w:val="000000"/>
                <w:lang w:eastAsia="lv-LV"/>
              </w:rPr>
              <w:t>Aģentūras ienākumi no pamatdarbības</w:t>
            </w:r>
          </w:p>
        </w:tc>
        <w:tc>
          <w:tcPr>
            <w:tcW w:w="960" w:type="dxa"/>
            <w:shd w:val="clear" w:color="auto" w:fill="auto"/>
            <w:noWrap/>
            <w:vAlign w:val="center"/>
          </w:tcPr>
          <w:p w:rsidR="00041348" w:rsidRPr="000237B3" w:rsidRDefault="00041348" w:rsidP="00041348">
            <w:pPr>
              <w:jc w:val="center"/>
              <w:rPr>
                <w:rFonts w:eastAsia="Times New Roman" w:cs="Times New Roman"/>
                <w:b/>
                <w:bCs/>
                <w:color w:val="000000"/>
                <w:lang w:eastAsia="lv-LV"/>
              </w:rPr>
            </w:pPr>
            <w:r w:rsidRPr="000237B3">
              <w:rPr>
                <w:rFonts w:eastAsia="Times New Roman" w:cs="Times New Roman"/>
                <w:b/>
                <w:bCs/>
                <w:color w:val="000000"/>
                <w:lang w:eastAsia="lv-LV"/>
              </w:rPr>
              <w:t> </w:t>
            </w:r>
          </w:p>
          <w:p w:rsidR="00EC44DE" w:rsidRPr="000237B3" w:rsidRDefault="00041348" w:rsidP="00041348">
            <w:pPr>
              <w:jc w:val="center"/>
              <w:rPr>
                <w:rFonts w:eastAsia="Times New Roman" w:cs="Times New Roman"/>
                <w:b/>
                <w:bCs/>
                <w:color w:val="000000"/>
                <w:lang w:eastAsia="lv-LV"/>
              </w:rPr>
            </w:pPr>
            <w:r w:rsidRPr="000237B3">
              <w:rPr>
                <w:rFonts w:eastAsia="Times New Roman" w:cs="Times New Roman"/>
                <w:b/>
                <w:bCs/>
                <w:color w:val="000000"/>
                <w:lang w:eastAsia="lv-LV"/>
              </w:rPr>
              <w:t>1 522</w:t>
            </w:r>
          </w:p>
        </w:tc>
        <w:tc>
          <w:tcPr>
            <w:tcW w:w="960" w:type="dxa"/>
            <w:vAlign w:val="center"/>
          </w:tcPr>
          <w:p w:rsidR="00EC44DE" w:rsidRPr="000237B3" w:rsidRDefault="00041348" w:rsidP="00B115D2">
            <w:pPr>
              <w:jc w:val="center"/>
              <w:rPr>
                <w:rFonts w:eastAsia="Times New Roman" w:cs="Times New Roman"/>
                <w:b/>
                <w:bCs/>
                <w:color w:val="000000"/>
                <w:lang w:eastAsia="lv-LV"/>
              </w:rPr>
            </w:pPr>
            <w:r w:rsidRPr="000237B3">
              <w:rPr>
                <w:rFonts w:eastAsia="Times New Roman" w:cs="Times New Roman"/>
                <w:b/>
                <w:bCs/>
                <w:color w:val="000000"/>
                <w:lang w:eastAsia="lv-LV"/>
              </w:rPr>
              <w:t>186</w:t>
            </w:r>
          </w:p>
        </w:tc>
        <w:tc>
          <w:tcPr>
            <w:tcW w:w="960" w:type="dxa"/>
            <w:vAlign w:val="center"/>
          </w:tcPr>
          <w:p w:rsidR="00EC44DE" w:rsidRPr="000237B3" w:rsidRDefault="00041348" w:rsidP="00B115D2">
            <w:pPr>
              <w:jc w:val="center"/>
              <w:rPr>
                <w:rFonts w:eastAsia="Times New Roman" w:cs="Times New Roman"/>
                <w:b/>
                <w:bCs/>
                <w:lang w:eastAsia="lv-LV"/>
              </w:rPr>
            </w:pPr>
            <w:r w:rsidRPr="000237B3">
              <w:rPr>
                <w:rFonts w:eastAsia="Times New Roman" w:cs="Times New Roman"/>
                <w:b/>
                <w:bCs/>
                <w:lang w:eastAsia="lv-LV"/>
              </w:rPr>
              <w:t>5</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 </w:t>
            </w:r>
          </w:p>
        </w:tc>
        <w:tc>
          <w:tcPr>
            <w:tcW w:w="960" w:type="dxa"/>
            <w:shd w:val="clear" w:color="auto" w:fill="auto"/>
            <w:noWrap/>
            <w:vAlign w:val="center"/>
          </w:tcPr>
          <w:p w:rsidR="00EC44DE" w:rsidRPr="000237B3" w:rsidRDefault="00EC44DE" w:rsidP="00B115D2">
            <w:pPr>
              <w:jc w:val="center"/>
              <w:rPr>
                <w:rFonts w:eastAsia="Times New Roman" w:cs="Times New Roman"/>
                <w:color w:val="000000"/>
                <w:lang w:eastAsia="lv-LV"/>
              </w:rPr>
            </w:pPr>
          </w:p>
        </w:tc>
        <w:tc>
          <w:tcPr>
            <w:tcW w:w="960" w:type="dxa"/>
            <w:vAlign w:val="center"/>
          </w:tcPr>
          <w:p w:rsidR="00EC44DE" w:rsidRPr="000237B3" w:rsidRDefault="00EC44DE" w:rsidP="00B115D2">
            <w:pPr>
              <w:jc w:val="center"/>
              <w:rPr>
                <w:rFonts w:eastAsia="Times New Roman" w:cs="Times New Roman"/>
                <w:color w:val="000000"/>
                <w:lang w:eastAsia="lv-LV"/>
              </w:rPr>
            </w:pPr>
          </w:p>
        </w:tc>
        <w:tc>
          <w:tcPr>
            <w:tcW w:w="960" w:type="dxa"/>
            <w:vAlign w:val="center"/>
          </w:tcPr>
          <w:p w:rsidR="00EC44DE" w:rsidRPr="000237B3" w:rsidRDefault="00EC44DE" w:rsidP="00B115D2">
            <w:pPr>
              <w:jc w:val="center"/>
              <w:rPr>
                <w:rFonts w:eastAsia="Times New Roman" w:cs="Times New Roman"/>
                <w:lang w:eastAsia="lv-LV"/>
              </w:rPr>
            </w:pP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Personāla izdevumi</w:t>
            </w:r>
          </w:p>
        </w:tc>
        <w:tc>
          <w:tcPr>
            <w:tcW w:w="960" w:type="dxa"/>
            <w:shd w:val="clear" w:color="auto" w:fill="auto"/>
            <w:noWrap/>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 xml:space="preserve">-1 </w:t>
            </w:r>
            <w:r w:rsidR="00041348" w:rsidRPr="000237B3">
              <w:rPr>
                <w:rFonts w:eastAsia="Times New Roman" w:cs="Times New Roman"/>
                <w:color w:val="000000"/>
                <w:lang w:eastAsia="lv-LV"/>
              </w:rPr>
              <w:t>185</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 xml:space="preserve">-1 </w:t>
            </w:r>
            <w:r w:rsidR="00041348" w:rsidRPr="000237B3">
              <w:rPr>
                <w:rFonts w:eastAsia="Times New Roman" w:cs="Times New Roman"/>
                <w:color w:val="000000"/>
                <w:lang w:eastAsia="lv-LV"/>
              </w:rPr>
              <w:t>201</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-1 149</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Apakšuzņēmēju izdevumi</w:t>
            </w:r>
          </w:p>
        </w:tc>
        <w:tc>
          <w:tcPr>
            <w:tcW w:w="960" w:type="dxa"/>
            <w:shd w:val="clear" w:color="auto" w:fill="auto"/>
            <w:noWrap/>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289</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516</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-288</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Pārējie izdevumi</w:t>
            </w:r>
          </w:p>
        </w:tc>
        <w:tc>
          <w:tcPr>
            <w:tcW w:w="960" w:type="dxa"/>
            <w:shd w:val="clear" w:color="auto" w:fill="auto"/>
            <w:noWrap/>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439</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632</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-298</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b/>
                <w:bCs/>
                <w:color w:val="000000"/>
                <w:lang w:eastAsia="lv-LV"/>
              </w:rPr>
            </w:pPr>
            <w:r w:rsidRPr="000237B3">
              <w:rPr>
                <w:rFonts w:eastAsia="Times New Roman" w:cs="Times New Roman"/>
                <w:b/>
                <w:bCs/>
                <w:color w:val="000000"/>
                <w:lang w:eastAsia="lv-LV"/>
              </w:rPr>
              <w:t>Aģentūras kārtējie izdevumi</w:t>
            </w:r>
            <w:r w:rsidR="002A6FF7" w:rsidRPr="000237B3">
              <w:rPr>
                <w:rFonts w:eastAsia="Times New Roman" w:cs="Times New Roman"/>
                <w:b/>
                <w:bCs/>
                <w:color w:val="000000"/>
                <w:lang w:eastAsia="lv-LV"/>
              </w:rPr>
              <w:t xml:space="preserve"> un citi izdevumi</w:t>
            </w:r>
          </w:p>
        </w:tc>
        <w:tc>
          <w:tcPr>
            <w:tcW w:w="960" w:type="dxa"/>
            <w:shd w:val="clear" w:color="auto" w:fill="auto"/>
            <w:noWrap/>
            <w:vAlign w:val="center"/>
          </w:tcPr>
          <w:p w:rsidR="00EC44DE" w:rsidRPr="000237B3" w:rsidRDefault="00EC44DE" w:rsidP="00041348">
            <w:pPr>
              <w:jc w:val="center"/>
              <w:rPr>
                <w:rFonts w:eastAsia="Times New Roman" w:cs="Times New Roman"/>
                <w:b/>
                <w:bCs/>
                <w:color w:val="000000"/>
                <w:lang w:eastAsia="lv-LV"/>
              </w:rPr>
            </w:pPr>
            <w:r w:rsidRPr="000237B3">
              <w:rPr>
                <w:rFonts w:eastAsia="Times New Roman" w:cs="Times New Roman"/>
                <w:b/>
                <w:bCs/>
                <w:color w:val="000000"/>
                <w:lang w:eastAsia="lv-LV"/>
              </w:rPr>
              <w:t>-</w:t>
            </w:r>
            <w:r w:rsidR="00041348" w:rsidRPr="000237B3">
              <w:rPr>
                <w:rFonts w:eastAsia="Times New Roman" w:cs="Times New Roman"/>
                <w:b/>
                <w:bCs/>
                <w:color w:val="000000"/>
                <w:lang w:eastAsia="lv-LV"/>
              </w:rPr>
              <w:t>2 100</w:t>
            </w:r>
          </w:p>
        </w:tc>
        <w:tc>
          <w:tcPr>
            <w:tcW w:w="960" w:type="dxa"/>
            <w:vAlign w:val="center"/>
          </w:tcPr>
          <w:p w:rsidR="00EC44DE" w:rsidRPr="000237B3" w:rsidRDefault="00EC44DE" w:rsidP="00041348">
            <w:pPr>
              <w:jc w:val="center"/>
              <w:rPr>
                <w:rFonts w:eastAsia="Times New Roman" w:cs="Times New Roman"/>
                <w:b/>
                <w:bCs/>
                <w:color w:val="000000"/>
                <w:lang w:eastAsia="lv-LV"/>
              </w:rPr>
            </w:pPr>
            <w:r w:rsidRPr="000237B3">
              <w:rPr>
                <w:rFonts w:eastAsia="Times New Roman" w:cs="Times New Roman"/>
                <w:b/>
                <w:bCs/>
                <w:color w:val="000000"/>
                <w:lang w:eastAsia="lv-LV"/>
              </w:rPr>
              <w:t>-</w:t>
            </w:r>
            <w:r w:rsidR="00041348" w:rsidRPr="000237B3">
              <w:rPr>
                <w:rFonts w:eastAsia="Times New Roman" w:cs="Times New Roman"/>
                <w:b/>
                <w:bCs/>
                <w:color w:val="000000"/>
                <w:lang w:eastAsia="lv-LV"/>
              </w:rPr>
              <w:t>2 458</w:t>
            </w:r>
          </w:p>
        </w:tc>
        <w:tc>
          <w:tcPr>
            <w:tcW w:w="960" w:type="dxa"/>
            <w:vAlign w:val="center"/>
          </w:tcPr>
          <w:p w:rsidR="00EC44DE" w:rsidRPr="000237B3" w:rsidRDefault="00EC44DE" w:rsidP="00B115D2">
            <w:pPr>
              <w:jc w:val="center"/>
              <w:rPr>
                <w:rFonts w:eastAsia="Times New Roman" w:cs="Times New Roman"/>
                <w:b/>
                <w:bCs/>
                <w:lang w:eastAsia="lv-LV"/>
              </w:rPr>
            </w:pPr>
            <w:r w:rsidRPr="000237B3">
              <w:rPr>
                <w:rFonts w:eastAsia="Times New Roman" w:cs="Times New Roman"/>
                <w:b/>
                <w:bCs/>
                <w:lang w:eastAsia="lv-LV"/>
              </w:rPr>
              <w:t>-1 735</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color w:val="000000"/>
                <w:lang w:eastAsia="lv-LV"/>
              </w:rPr>
            </w:pPr>
            <w:r w:rsidRPr="000237B3">
              <w:rPr>
                <w:rFonts w:eastAsia="Times New Roman" w:cs="Times New Roman"/>
                <w:color w:val="000000"/>
                <w:lang w:eastAsia="lv-LV"/>
              </w:rPr>
              <w:t> </w:t>
            </w:r>
          </w:p>
        </w:tc>
        <w:tc>
          <w:tcPr>
            <w:tcW w:w="960" w:type="dxa"/>
            <w:shd w:val="clear" w:color="auto" w:fill="auto"/>
            <w:noWrap/>
            <w:vAlign w:val="center"/>
          </w:tcPr>
          <w:p w:rsidR="00EC44DE" w:rsidRPr="000237B3" w:rsidRDefault="00EC44DE" w:rsidP="00B115D2">
            <w:pPr>
              <w:jc w:val="center"/>
              <w:rPr>
                <w:rFonts w:eastAsia="Times New Roman" w:cs="Times New Roman"/>
                <w:color w:val="000000"/>
                <w:lang w:eastAsia="lv-LV"/>
              </w:rPr>
            </w:pPr>
          </w:p>
        </w:tc>
        <w:tc>
          <w:tcPr>
            <w:tcW w:w="960" w:type="dxa"/>
            <w:vAlign w:val="center"/>
          </w:tcPr>
          <w:p w:rsidR="00EC44DE" w:rsidRPr="000237B3" w:rsidRDefault="00EC44DE" w:rsidP="00B115D2">
            <w:pPr>
              <w:jc w:val="center"/>
              <w:rPr>
                <w:rFonts w:eastAsia="Times New Roman" w:cs="Times New Roman"/>
                <w:color w:val="000000"/>
                <w:lang w:eastAsia="lv-LV"/>
              </w:rPr>
            </w:pPr>
          </w:p>
        </w:tc>
        <w:tc>
          <w:tcPr>
            <w:tcW w:w="960" w:type="dxa"/>
            <w:vAlign w:val="center"/>
          </w:tcPr>
          <w:p w:rsidR="00EC44DE" w:rsidRPr="000237B3" w:rsidRDefault="00EC44DE" w:rsidP="00B115D2">
            <w:pPr>
              <w:jc w:val="center"/>
              <w:rPr>
                <w:rFonts w:eastAsia="Times New Roman" w:cs="Times New Roman"/>
                <w:lang w:eastAsia="lv-LV"/>
              </w:rPr>
            </w:pPr>
          </w:p>
        </w:tc>
      </w:tr>
      <w:tr w:rsidR="00EC44DE" w:rsidRPr="00426EEF" w:rsidTr="00941D86">
        <w:trPr>
          <w:trHeight w:val="315"/>
        </w:trPr>
        <w:tc>
          <w:tcPr>
            <w:tcW w:w="5648" w:type="dxa"/>
            <w:shd w:val="clear" w:color="auto" w:fill="auto"/>
            <w:noWrap/>
            <w:vAlign w:val="center"/>
            <w:hideMark/>
          </w:tcPr>
          <w:p w:rsidR="00EC44DE" w:rsidRPr="000237B3" w:rsidRDefault="00CB0E22" w:rsidP="00815B49">
            <w:pPr>
              <w:rPr>
                <w:rFonts w:eastAsia="Times New Roman" w:cs="Times New Roman"/>
                <w:color w:val="000000"/>
                <w:lang w:eastAsia="lv-LV"/>
              </w:rPr>
            </w:pPr>
            <w:r w:rsidRPr="00CB0E22">
              <w:rPr>
                <w:rFonts w:eastAsia="Times New Roman" w:cs="Times New Roman"/>
                <w:color w:val="000000"/>
                <w:lang w:eastAsia="lv-LV"/>
              </w:rPr>
              <w:t>akciju sabiedrības</w:t>
            </w:r>
            <w:r w:rsidR="00EC44DE" w:rsidRPr="000237B3">
              <w:rPr>
                <w:rFonts w:eastAsia="Times New Roman" w:cs="Times New Roman"/>
                <w:color w:val="000000"/>
                <w:lang w:eastAsia="lv-LV"/>
              </w:rPr>
              <w:t xml:space="preserve"> „Citadele banka” / </w:t>
            </w:r>
            <w:r w:rsidRPr="00CB0E22">
              <w:rPr>
                <w:rFonts w:eastAsia="Times New Roman" w:cs="Times New Roman"/>
                <w:color w:val="000000"/>
                <w:lang w:eastAsia="lv-LV"/>
              </w:rPr>
              <w:t>akciju sabiedrības</w:t>
            </w:r>
            <w:r w:rsidR="00EC44DE" w:rsidRPr="000237B3">
              <w:rPr>
                <w:rFonts w:eastAsia="Times New Roman" w:cs="Times New Roman"/>
                <w:color w:val="000000"/>
                <w:lang w:eastAsia="lv-LV"/>
              </w:rPr>
              <w:t xml:space="preserve"> „</w:t>
            </w:r>
            <w:proofErr w:type="spellStart"/>
            <w:r w:rsidR="00EC44DE" w:rsidRPr="000237B3">
              <w:rPr>
                <w:rFonts w:eastAsia="Times New Roman" w:cs="Times New Roman"/>
                <w:color w:val="000000"/>
                <w:lang w:eastAsia="lv-LV"/>
              </w:rPr>
              <w:t>Reverta</w:t>
            </w:r>
            <w:proofErr w:type="spellEnd"/>
            <w:r w:rsidR="00EC44DE" w:rsidRPr="000237B3">
              <w:rPr>
                <w:rFonts w:eastAsia="Times New Roman" w:cs="Times New Roman"/>
                <w:color w:val="000000"/>
                <w:lang w:eastAsia="lv-LV"/>
              </w:rPr>
              <w:t>” pārvaldības izdevumi</w:t>
            </w:r>
          </w:p>
        </w:tc>
        <w:tc>
          <w:tcPr>
            <w:tcW w:w="960" w:type="dxa"/>
            <w:shd w:val="clear" w:color="auto" w:fill="auto"/>
            <w:noWrap/>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44</w:t>
            </w:r>
          </w:p>
        </w:tc>
        <w:tc>
          <w:tcPr>
            <w:tcW w:w="960" w:type="dxa"/>
            <w:vAlign w:val="center"/>
          </w:tcPr>
          <w:p w:rsidR="00EC44DE" w:rsidRPr="000237B3" w:rsidRDefault="00EC44DE" w:rsidP="00041348">
            <w:pPr>
              <w:jc w:val="center"/>
              <w:rPr>
                <w:rFonts w:eastAsia="Times New Roman" w:cs="Times New Roman"/>
                <w:color w:val="000000"/>
                <w:lang w:eastAsia="lv-LV"/>
              </w:rPr>
            </w:pPr>
            <w:r w:rsidRPr="000237B3">
              <w:rPr>
                <w:rFonts w:eastAsia="Times New Roman" w:cs="Times New Roman"/>
                <w:color w:val="000000"/>
                <w:lang w:eastAsia="lv-LV"/>
              </w:rPr>
              <w:t>-</w:t>
            </w:r>
            <w:r w:rsidR="00041348" w:rsidRPr="000237B3">
              <w:rPr>
                <w:rFonts w:eastAsia="Times New Roman" w:cs="Times New Roman"/>
                <w:color w:val="000000"/>
                <w:lang w:eastAsia="lv-LV"/>
              </w:rPr>
              <w:t>105</w:t>
            </w:r>
          </w:p>
        </w:tc>
        <w:tc>
          <w:tcPr>
            <w:tcW w:w="960" w:type="dxa"/>
            <w:vAlign w:val="center"/>
          </w:tcPr>
          <w:p w:rsidR="00EC44DE" w:rsidRPr="000237B3" w:rsidRDefault="00EC44DE" w:rsidP="00B115D2">
            <w:pPr>
              <w:jc w:val="center"/>
              <w:rPr>
                <w:rFonts w:eastAsia="Times New Roman" w:cs="Times New Roman"/>
                <w:lang w:eastAsia="lv-LV"/>
              </w:rPr>
            </w:pPr>
            <w:r w:rsidRPr="000237B3">
              <w:rPr>
                <w:rFonts w:eastAsia="Times New Roman" w:cs="Times New Roman"/>
                <w:lang w:eastAsia="lv-LV"/>
              </w:rPr>
              <w:t>-1 215</w:t>
            </w:r>
          </w:p>
        </w:tc>
      </w:tr>
      <w:tr w:rsidR="00EC44DE" w:rsidRPr="00426EEF" w:rsidTr="00941D86">
        <w:trPr>
          <w:trHeight w:val="315"/>
        </w:trPr>
        <w:tc>
          <w:tcPr>
            <w:tcW w:w="5648" w:type="dxa"/>
            <w:shd w:val="clear" w:color="auto" w:fill="auto"/>
            <w:noWrap/>
            <w:vAlign w:val="center"/>
            <w:hideMark/>
          </w:tcPr>
          <w:p w:rsidR="00EC44DE" w:rsidRPr="000237B3" w:rsidRDefault="00E46F8C" w:rsidP="00815B49">
            <w:pPr>
              <w:rPr>
                <w:rFonts w:eastAsia="Times New Roman" w:cs="Times New Roman"/>
                <w:color w:val="000000"/>
                <w:lang w:eastAsia="lv-LV"/>
              </w:rPr>
            </w:pPr>
            <w:r w:rsidRPr="00E46F8C">
              <w:rPr>
                <w:rFonts w:eastAsia="Times New Roman" w:cs="Times New Roman"/>
                <w:color w:val="000000"/>
                <w:lang w:eastAsia="lv-LV"/>
              </w:rPr>
              <w:t>Procentu ieņēmumi no noguldījumiem Latvijā reģistrētās kredītiestādēs vai to pārstāvniecībās</w:t>
            </w:r>
          </w:p>
        </w:tc>
        <w:tc>
          <w:tcPr>
            <w:tcW w:w="960" w:type="dxa"/>
            <w:shd w:val="clear" w:color="auto" w:fill="auto"/>
            <w:noWrap/>
            <w:vAlign w:val="center"/>
          </w:tcPr>
          <w:p w:rsidR="00EC44DE"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100</w:t>
            </w:r>
          </w:p>
        </w:tc>
        <w:tc>
          <w:tcPr>
            <w:tcW w:w="960" w:type="dxa"/>
            <w:vAlign w:val="center"/>
          </w:tcPr>
          <w:p w:rsidR="00EC44DE" w:rsidRPr="000237B3" w:rsidRDefault="00041348" w:rsidP="00B115D2">
            <w:pPr>
              <w:jc w:val="center"/>
              <w:rPr>
                <w:rFonts w:eastAsia="Times New Roman" w:cs="Times New Roman"/>
                <w:color w:val="000000"/>
                <w:lang w:eastAsia="lv-LV"/>
              </w:rPr>
            </w:pPr>
            <w:r w:rsidRPr="000237B3">
              <w:rPr>
                <w:rFonts w:eastAsia="Times New Roman" w:cs="Times New Roman"/>
                <w:color w:val="000000"/>
                <w:lang w:eastAsia="lv-LV"/>
              </w:rPr>
              <w:t>33</w:t>
            </w:r>
          </w:p>
        </w:tc>
        <w:tc>
          <w:tcPr>
            <w:tcW w:w="960" w:type="dxa"/>
            <w:vAlign w:val="center"/>
          </w:tcPr>
          <w:p w:rsidR="00EC44DE" w:rsidRPr="000237B3" w:rsidRDefault="00041348" w:rsidP="00B115D2">
            <w:pPr>
              <w:jc w:val="center"/>
              <w:rPr>
                <w:rFonts w:eastAsia="Times New Roman" w:cs="Times New Roman"/>
                <w:lang w:eastAsia="lv-LV"/>
              </w:rPr>
            </w:pPr>
            <w:r w:rsidRPr="000237B3">
              <w:rPr>
                <w:rFonts w:eastAsia="Times New Roman" w:cs="Times New Roman"/>
                <w:lang w:eastAsia="lv-LV"/>
              </w:rPr>
              <w:t>17</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b/>
                <w:bCs/>
                <w:color w:val="000000"/>
                <w:lang w:eastAsia="lv-LV"/>
              </w:rPr>
            </w:pPr>
            <w:r w:rsidRPr="000237B3">
              <w:rPr>
                <w:rFonts w:eastAsia="Times New Roman" w:cs="Times New Roman"/>
                <w:b/>
                <w:bCs/>
                <w:color w:val="000000"/>
                <w:lang w:eastAsia="lv-LV"/>
              </w:rPr>
              <w:t> </w:t>
            </w:r>
          </w:p>
        </w:tc>
        <w:tc>
          <w:tcPr>
            <w:tcW w:w="960" w:type="dxa"/>
            <w:shd w:val="clear" w:color="auto" w:fill="auto"/>
            <w:noWrap/>
            <w:vAlign w:val="center"/>
          </w:tcPr>
          <w:p w:rsidR="00EC44DE" w:rsidRPr="000237B3" w:rsidRDefault="00EC44DE" w:rsidP="00B115D2">
            <w:pPr>
              <w:jc w:val="center"/>
              <w:rPr>
                <w:rFonts w:eastAsia="Times New Roman" w:cs="Times New Roman"/>
                <w:b/>
                <w:bCs/>
                <w:color w:val="000000"/>
                <w:lang w:eastAsia="lv-LV"/>
              </w:rPr>
            </w:pPr>
          </w:p>
        </w:tc>
        <w:tc>
          <w:tcPr>
            <w:tcW w:w="960" w:type="dxa"/>
            <w:vAlign w:val="center"/>
          </w:tcPr>
          <w:p w:rsidR="00EC44DE" w:rsidRPr="000237B3" w:rsidRDefault="00EC44DE" w:rsidP="00B115D2">
            <w:pPr>
              <w:jc w:val="center"/>
              <w:rPr>
                <w:rFonts w:eastAsia="Times New Roman" w:cs="Times New Roman"/>
                <w:b/>
                <w:bCs/>
                <w:color w:val="000000"/>
                <w:lang w:eastAsia="lv-LV"/>
              </w:rPr>
            </w:pPr>
          </w:p>
        </w:tc>
        <w:tc>
          <w:tcPr>
            <w:tcW w:w="960" w:type="dxa"/>
            <w:vAlign w:val="center"/>
          </w:tcPr>
          <w:p w:rsidR="00EC44DE" w:rsidRPr="000237B3" w:rsidRDefault="00EC44DE" w:rsidP="00B115D2">
            <w:pPr>
              <w:jc w:val="center"/>
              <w:rPr>
                <w:rFonts w:eastAsia="Times New Roman" w:cs="Times New Roman"/>
                <w:b/>
                <w:bCs/>
                <w:lang w:eastAsia="lv-LV"/>
              </w:rPr>
            </w:pP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b/>
                <w:bCs/>
                <w:color w:val="000000"/>
                <w:lang w:eastAsia="lv-LV"/>
              </w:rPr>
            </w:pPr>
            <w:r w:rsidRPr="000237B3">
              <w:rPr>
                <w:rFonts w:eastAsia="Times New Roman" w:cs="Times New Roman"/>
                <w:b/>
                <w:bCs/>
                <w:color w:val="000000"/>
                <w:lang w:eastAsia="lv-LV"/>
              </w:rPr>
              <w:t>Aģentūras tīrā naudas plūsma</w:t>
            </w:r>
          </w:p>
        </w:tc>
        <w:tc>
          <w:tcPr>
            <w:tcW w:w="960" w:type="dxa"/>
            <w:shd w:val="clear" w:color="auto" w:fill="auto"/>
            <w:noWrap/>
            <w:vAlign w:val="center"/>
          </w:tcPr>
          <w:p w:rsidR="00EC44DE" w:rsidRPr="000237B3" w:rsidRDefault="00EC44DE" w:rsidP="00041348">
            <w:pPr>
              <w:jc w:val="center"/>
              <w:rPr>
                <w:rFonts w:eastAsia="Times New Roman" w:cs="Times New Roman"/>
                <w:b/>
                <w:bCs/>
                <w:color w:val="000000"/>
                <w:lang w:eastAsia="lv-LV"/>
              </w:rPr>
            </w:pPr>
            <w:r w:rsidRPr="000237B3">
              <w:rPr>
                <w:rFonts w:eastAsia="Times New Roman" w:cs="Times New Roman"/>
                <w:b/>
                <w:bCs/>
                <w:color w:val="000000"/>
                <w:lang w:eastAsia="lv-LV"/>
              </w:rPr>
              <w:t>-</w:t>
            </w:r>
            <w:r w:rsidR="00041348" w:rsidRPr="000237B3">
              <w:rPr>
                <w:rFonts w:eastAsia="Times New Roman" w:cs="Times New Roman"/>
                <w:b/>
                <w:bCs/>
                <w:color w:val="000000"/>
                <w:lang w:eastAsia="lv-LV"/>
              </w:rPr>
              <w:t>522</w:t>
            </w:r>
          </w:p>
        </w:tc>
        <w:tc>
          <w:tcPr>
            <w:tcW w:w="960" w:type="dxa"/>
            <w:vAlign w:val="center"/>
          </w:tcPr>
          <w:p w:rsidR="00EC44DE" w:rsidRPr="000237B3" w:rsidRDefault="00EC44DE" w:rsidP="00041348">
            <w:pPr>
              <w:jc w:val="center"/>
              <w:rPr>
                <w:rFonts w:eastAsia="Times New Roman" w:cs="Times New Roman"/>
                <w:b/>
                <w:bCs/>
                <w:color w:val="000000"/>
                <w:lang w:eastAsia="lv-LV"/>
              </w:rPr>
            </w:pPr>
            <w:r w:rsidRPr="000237B3">
              <w:rPr>
                <w:rFonts w:eastAsia="Times New Roman" w:cs="Times New Roman"/>
                <w:b/>
                <w:bCs/>
                <w:color w:val="000000"/>
                <w:lang w:eastAsia="lv-LV"/>
              </w:rPr>
              <w:t>-</w:t>
            </w:r>
            <w:r w:rsidR="00041348" w:rsidRPr="000237B3">
              <w:rPr>
                <w:rFonts w:eastAsia="Times New Roman" w:cs="Times New Roman"/>
                <w:b/>
                <w:bCs/>
                <w:color w:val="000000"/>
                <w:lang w:eastAsia="lv-LV"/>
              </w:rPr>
              <w:t>2 344</w:t>
            </w:r>
          </w:p>
        </w:tc>
        <w:tc>
          <w:tcPr>
            <w:tcW w:w="960" w:type="dxa"/>
            <w:vAlign w:val="center"/>
          </w:tcPr>
          <w:p w:rsidR="00EC44DE" w:rsidRPr="000237B3" w:rsidRDefault="00EC44DE" w:rsidP="00041348">
            <w:pPr>
              <w:jc w:val="center"/>
              <w:rPr>
                <w:rFonts w:eastAsia="Times New Roman" w:cs="Times New Roman"/>
                <w:b/>
                <w:bCs/>
                <w:lang w:eastAsia="lv-LV"/>
              </w:rPr>
            </w:pPr>
            <w:r w:rsidRPr="000237B3">
              <w:rPr>
                <w:rFonts w:eastAsia="Times New Roman" w:cs="Times New Roman"/>
                <w:b/>
                <w:bCs/>
                <w:lang w:eastAsia="lv-LV"/>
              </w:rPr>
              <w:t xml:space="preserve">-2 </w:t>
            </w:r>
            <w:r w:rsidR="00041348" w:rsidRPr="000237B3">
              <w:rPr>
                <w:rFonts w:eastAsia="Times New Roman" w:cs="Times New Roman"/>
                <w:b/>
                <w:bCs/>
                <w:lang w:eastAsia="lv-LV"/>
              </w:rPr>
              <w:t>929</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b/>
                <w:bCs/>
                <w:color w:val="000000"/>
                <w:lang w:eastAsia="lv-LV"/>
              </w:rPr>
            </w:pPr>
            <w:r w:rsidRPr="000237B3">
              <w:rPr>
                <w:rFonts w:eastAsia="Times New Roman" w:cs="Times New Roman"/>
                <w:b/>
                <w:bCs/>
                <w:color w:val="000000"/>
                <w:lang w:eastAsia="lv-LV"/>
              </w:rPr>
              <w:t>Naudas līdzekļu atlikums perioda sākumā</w:t>
            </w:r>
          </w:p>
        </w:tc>
        <w:tc>
          <w:tcPr>
            <w:tcW w:w="960" w:type="dxa"/>
            <w:shd w:val="clear" w:color="auto" w:fill="auto"/>
            <w:noWrap/>
            <w:vAlign w:val="center"/>
          </w:tcPr>
          <w:p w:rsidR="00EC44DE" w:rsidRPr="000237B3" w:rsidRDefault="00EC44DE" w:rsidP="00B115D2">
            <w:pPr>
              <w:jc w:val="center"/>
              <w:rPr>
                <w:rFonts w:eastAsia="Times New Roman" w:cs="Times New Roman"/>
                <w:b/>
                <w:bCs/>
                <w:color w:val="000000"/>
                <w:lang w:eastAsia="lv-LV"/>
              </w:rPr>
            </w:pPr>
            <w:r w:rsidRPr="000237B3">
              <w:rPr>
                <w:rFonts w:eastAsia="Times New Roman" w:cs="Times New Roman"/>
                <w:b/>
                <w:bCs/>
                <w:color w:val="000000"/>
                <w:lang w:eastAsia="lv-LV"/>
              </w:rPr>
              <w:t>7</w:t>
            </w:r>
            <w:r w:rsidR="00263387" w:rsidRPr="000237B3">
              <w:rPr>
                <w:rFonts w:eastAsia="Times New Roman" w:cs="Times New Roman"/>
                <w:b/>
                <w:bCs/>
                <w:color w:val="000000"/>
                <w:lang w:eastAsia="lv-LV"/>
              </w:rPr>
              <w:t xml:space="preserve"> </w:t>
            </w:r>
            <w:r w:rsidRPr="000237B3">
              <w:rPr>
                <w:rFonts w:eastAsia="Times New Roman" w:cs="Times New Roman"/>
                <w:b/>
                <w:bCs/>
                <w:color w:val="000000"/>
                <w:lang w:eastAsia="lv-LV"/>
              </w:rPr>
              <w:t>967</w:t>
            </w:r>
          </w:p>
        </w:tc>
        <w:tc>
          <w:tcPr>
            <w:tcW w:w="960" w:type="dxa"/>
            <w:vAlign w:val="center"/>
          </w:tcPr>
          <w:p w:rsidR="00EC44DE" w:rsidRPr="000237B3" w:rsidRDefault="00041348" w:rsidP="00B115D2">
            <w:pPr>
              <w:jc w:val="center"/>
              <w:rPr>
                <w:rFonts w:eastAsia="Times New Roman" w:cs="Times New Roman"/>
                <w:b/>
                <w:bCs/>
                <w:color w:val="000000"/>
                <w:lang w:eastAsia="lv-LV"/>
              </w:rPr>
            </w:pPr>
            <w:r w:rsidRPr="000237B3">
              <w:rPr>
                <w:rFonts w:eastAsia="Times New Roman" w:cs="Times New Roman"/>
                <w:b/>
                <w:bCs/>
                <w:color w:val="000000"/>
                <w:lang w:eastAsia="lv-LV"/>
              </w:rPr>
              <w:t>7 444</w:t>
            </w:r>
          </w:p>
        </w:tc>
        <w:tc>
          <w:tcPr>
            <w:tcW w:w="960" w:type="dxa"/>
            <w:vAlign w:val="center"/>
          </w:tcPr>
          <w:p w:rsidR="00EC44DE" w:rsidRPr="000237B3" w:rsidRDefault="00EC44DE" w:rsidP="00041348">
            <w:pPr>
              <w:jc w:val="center"/>
              <w:rPr>
                <w:rFonts w:eastAsia="Times New Roman" w:cs="Times New Roman"/>
                <w:b/>
                <w:bCs/>
                <w:lang w:eastAsia="lv-LV"/>
              </w:rPr>
            </w:pPr>
            <w:r w:rsidRPr="000237B3">
              <w:rPr>
                <w:rFonts w:eastAsia="Times New Roman" w:cs="Times New Roman"/>
                <w:b/>
                <w:bCs/>
                <w:lang w:eastAsia="lv-LV"/>
              </w:rPr>
              <w:t xml:space="preserve">5 </w:t>
            </w:r>
            <w:r w:rsidR="00041348" w:rsidRPr="000237B3">
              <w:rPr>
                <w:rFonts w:eastAsia="Times New Roman" w:cs="Times New Roman"/>
                <w:b/>
                <w:bCs/>
                <w:lang w:eastAsia="lv-LV"/>
              </w:rPr>
              <w:t>101</w:t>
            </w:r>
          </w:p>
        </w:tc>
      </w:tr>
      <w:tr w:rsidR="00EC44DE" w:rsidRPr="00426EEF" w:rsidTr="00941D86">
        <w:trPr>
          <w:trHeight w:val="315"/>
        </w:trPr>
        <w:tc>
          <w:tcPr>
            <w:tcW w:w="5648" w:type="dxa"/>
            <w:shd w:val="clear" w:color="auto" w:fill="auto"/>
            <w:noWrap/>
            <w:vAlign w:val="center"/>
            <w:hideMark/>
          </w:tcPr>
          <w:p w:rsidR="00EC44DE" w:rsidRPr="000237B3" w:rsidRDefault="00EC44DE" w:rsidP="00815B49">
            <w:pPr>
              <w:rPr>
                <w:rFonts w:eastAsia="Times New Roman" w:cs="Times New Roman"/>
                <w:b/>
                <w:bCs/>
                <w:color w:val="000000"/>
                <w:lang w:eastAsia="lv-LV"/>
              </w:rPr>
            </w:pPr>
            <w:r w:rsidRPr="000237B3">
              <w:rPr>
                <w:rFonts w:eastAsia="Times New Roman" w:cs="Times New Roman"/>
                <w:b/>
                <w:bCs/>
                <w:color w:val="000000"/>
                <w:lang w:eastAsia="lv-LV"/>
              </w:rPr>
              <w:t>Naudas līdzekļu atlikums perioda beigās</w:t>
            </w:r>
          </w:p>
        </w:tc>
        <w:tc>
          <w:tcPr>
            <w:tcW w:w="960" w:type="dxa"/>
            <w:shd w:val="clear" w:color="auto" w:fill="auto"/>
            <w:noWrap/>
            <w:vAlign w:val="center"/>
          </w:tcPr>
          <w:p w:rsidR="00EC44DE" w:rsidRPr="000237B3" w:rsidRDefault="00EC44DE" w:rsidP="00041348">
            <w:pPr>
              <w:jc w:val="center"/>
              <w:rPr>
                <w:rFonts w:eastAsia="Times New Roman" w:cs="Times New Roman"/>
                <w:b/>
                <w:bCs/>
                <w:color w:val="000000"/>
                <w:lang w:eastAsia="lv-LV"/>
              </w:rPr>
            </w:pPr>
            <w:r w:rsidRPr="000237B3">
              <w:rPr>
                <w:rFonts w:eastAsia="Times New Roman" w:cs="Times New Roman"/>
                <w:b/>
                <w:bCs/>
                <w:color w:val="000000"/>
                <w:lang w:eastAsia="lv-LV"/>
              </w:rPr>
              <w:t>7</w:t>
            </w:r>
            <w:r w:rsidR="00263387" w:rsidRPr="000237B3">
              <w:rPr>
                <w:rFonts w:eastAsia="Times New Roman" w:cs="Times New Roman"/>
                <w:b/>
                <w:bCs/>
                <w:color w:val="000000"/>
                <w:lang w:eastAsia="lv-LV"/>
              </w:rPr>
              <w:t xml:space="preserve"> </w:t>
            </w:r>
            <w:r w:rsidR="00041348" w:rsidRPr="000237B3">
              <w:rPr>
                <w:rFonts w:eastAsia="Times New Roman" w:cs="Times New Roman"/>
                <w:b/>
                <w:bCs/>
                <w:color w:val="000000"/>
                <w:lang w:eastAsia="lv-LV"/>
              </w:rPr>
              <w:t>444</w:t>
            </w:r>
          </w:p>
        </w:tc>
        <w:tc>
          <w:tcPr>
            <w:tcW w:w="960" w:type="dxa"/>
            <w:vAlign w:val="center"/>
          </w:tcPr>
          <w:p w:rsidR="00EC44DE" w:rsidRPr="000237B3" w:rsidRDefault="00EC44DE" w:rsidP="00041348">
            <w:pPr>
              <w:jc w:val="center"/>
              <w:rPr>
                <w:rFonts w:eastAsia="Times New Roman" w:cs="Times New Roman"/>
                <w:b/>
                <w:bCs/>
                <w:color w:val="000000"/>
                <w:lang w:eastAsia="lv-LV"/>
              </w:rPr>
            </w:pPr>
            <w:r w:rsidRPr="000237B3">
              <w:rPr>
                <w:rFonts w:eastAsia="Times New Roman" w:cs="Times New Roman"/>
                <w:b/>
                <w:bCs/>
                <w:color w:val="000000"/>
                <w:lang w:eastAsia="lv-LV"/>
              </w:rPr>
              <w:t xml:space="preserve">5 </w:t>
            </w:r>
            <w:r w:rsidR="00041348" w:rsidRPr="000237B3">
              <w:rPr>
                <w:rFonts w:eastAsia="Times New Roman" w:cs="Times New Roman"/>
                <w:b/>
                <w:bCs/>
                <w:color w:val="000000"/>
                <w:lang w:eastAsia="lv-LV"/>
              </w:rPr>
              <w:t>101</w:t>
            </w:r>
          </w:p>
        </w:tc>
        <w:tc>
          <w:tcPr>
            <w:tcW w:w="960" w:type="dxa"/>
            <w:vAlign w:val="center"/>
          </w:tcPr>
          <w:p w:rsidR="00EC44DE" w:rsidRPr="000237B3" w:rsidRDefault="00EC44DE" w:rsidP="00041348">
            <w:pPr>
              <w:jc w:val="center"/>
              <w:rPr>
                <w:rFonts w:eastAsia="Times New Roman" w:cs="Times New Roman"/>
                <w:b/>
                <w:bCs/>
                <w:lang w:eastAsia="lv-LV"/>
              </w:rPr>
            </w:pPr>
            <w:r w:rsidRPr="000237B3">
              <w:rPr>
                <w:rFonts w:eastAsia="Times New Roman" w:cs="Times New Roman"/>
                <w:b/>
                <w:bCs/>
                <w:lang w:eastAsia="lv-LV"/>
              </w:rPr>
              <w:t xml:space="preserve">2 </w:t>
            </w:r>
            <w:r w:rsidR="00041348" w:rsidRPr="000237B3">
              <w:rPr>
                <w:rFonts w:eastAsia="Times New Roman" w:cs="Times New Roman"/>
                <w:b/>
                <w:bCs/>
                <w:lang w:eastAsia="lv-LV"/>
              </w:rPr>
              <w:t>172</w:t>
            </w:r>
          </w:p>
        </w:tc>
      </w:tr>
    </w:tbl>
    <w:p w:rsidR="00744F58" w:rsidRPr="000237B3" w:rsidRDefault="00327093" w:rsidP="00744F58">
      <w:pPr>
        <w:ind w:firstLine="720"/>
        <w:jc w:val="both"/>
        <w:rPr>
          <w:sz w:val="28"/>
          <w:szCs w:val="28"/>
          <w:u w:val="single"/>
        </w:rPr>
      </w:pPr>
      <w:r w:rsidRPr="000237B3">
        <w:rPr>
          <w:sz w:val="28"/>
          <w:szCs w:val="28"/>
          <w:u w:val="single"/>
        </w:rPr>
        <w:t>Aģentūras</w:t>
      </w:r>
      <w:r w:rsidR="00744F58" w:rsidRPr="000237B3">
        <w:rPr>
          <w:sz w:val="28"/>
          <w:szCs w:val="28"/>
          <w:u w:val="single"/>
        </w:rPr>
        <w:t xml:space="preserve"> ienākumi no pamatdarbības</w:t>
      </w:r>
    </w:p>
    <w:p w:rsidR="007C0CC7" w:rsidRPr="000237B3" w:rsidRDefault="007C0CC7" w:rsidP="007C0CC7">
      <w:pPr>
        <w:ind w:firstLine="720"/>
        <w:jc w:val="both"/>
        <w:rPr>
          <w:sz w:val="28"/>
          <w:szCs w:val="28"/>
        </w:rPr>
      </w:pPr>
      <w:r w:rsidRPr="000237B3">
        <w:rPr>
          <w:sz w:val="28"/>
          <w:szCs w:val="28"/>
        </w:rPr>
        <w:t>Pirkuma līgumi tiek noslēgti, paredzot valsts īpašuma objektu pārdošan</w:t>
      </w:r>
      <w:r w:rsidR="00287241" w:rsidRPr="000237B3">
        <w:rPr>
          <w:sz w:val="28"/>
          <w:szCs w:val="28"/>
        </w:rPr>
        <w:t>u</w:t>
      </w:r>
      <w:r w:rsidRPr="000237B3">
        <w:rPr>
          <w:sz w:val="28"/>
          <w:szCs w:val="28"/>
        </w:rPr>
        <w:t xml:space="preserve"> uz nomaksu vai ar tūlītēju samaksu. Nomaksas pirkuma gadījumā maksājumi latos un sertifikātos jāveic atbilstoši pirkuma līgumam pievienotajam maksājuma grafikam, pie tam - pircējam katru </w:t>
      </w:r>
      <w:r w:rsidRPr="000237B3">
        <w:rPr>
          <w:sz w:val="28"/>
          <w:szCs w:val="28"/>
        </w:rPr>
        <w:lastRenderedPageBreak/>
        <w:t xml:space="preserve">mēnesi papildus jāmaksā maksa par atlikto maksājumu, kas ir 6% gadā no vēl nesamaksātās pirkuma cenas. </w:t>
      </w:r>
    </w:p>
    <w:p w:rsidR="007C0CC7" w:rsidRPr="000237B3" w:rsidRDefault="007C0CC7" w:rsidP="007C0CC7">
      <w:pPr>
        <w:ind w:firstLine="720"/>
        <w:jc w:val="both"/>
        <w:rPr>
          <w:sz w:val="28"/>
          <w:szCs w:val="28"/>
        </w:rPr>
      </w:pPr>
      <w:r w:rsidRPr="000237B3">
        <w:rPr>
          <w:sz w:val="28"/>
          <w:szCs w:val="28"/>
        </w:rPr>
        <w:t>Lielākā daļa no saņemtajiem līdzekļiem tiek pārskaitīta valsts budžetā. Valsts budžetam aprēķināto summu nosaka, no kopējiem privatizācijas ieņēmumiem atņemot atskaitījumus privatizācijas un atsavināšanas izdevumu segšanai un 10% atskaitījumus rezerves fondā, un ieskaita valsts budžetā reizi mēnesī. Valsts budžetam aprēķināto summu no nomas līgumu izpildes aprēķina un ieskaita valsts budžetā reizi ceturksnī.</w:t>
      </w:r>
    </w:p>
    <w:p w:rsidR="00744F58" w:rsidRPr="000237B3" w:rsidRDefault="00774EF9" w:rsidP="00744F58">
      <w:pPr>
        <w:ind w:firstLine="720"/>
        <w:jc w:val="both"/>
        <w:rPr>
          <w:sz w:val="28"/>
          <w:szCs w:val="28"/>
        </w:rPr>
      </w:pPr>
      <w:r w:rsidRPr="000237B3">
        <w:rPr>
          <w:sz w:val="28"/>
          <w:szCs w:val="28"/>
        </w:rPr>
        <w:t>Aģentūras</w:t>
      </w:r>
      <w:r w:rsidR="00744F58" w:rsidRPr="000237B3">
        <w:rPr>
          <w:sz w:val="28"/>
          <w:szCs w:val="28"/>
        </w:rPr>
        <w:t xml:space="preserve"> normatīvais atskaitījums no nekustamā īpašuma pārdošanas ir 7% no pārdošanas cenas, bet ne mazāk kā 1000 latu (noslēdzot pirkuma līgumu). Privatizējamā valsts īpašuma, tā saistību un mantas pārdošanai un valsts kapitāla daļas atsavināšanai noteiktais normatīvais atskaitījums ir 5% no pārdošanas cenas. Privatizācijas un atsavināšanas līgumu kontrolei no līguma parakstīšanas dienas līdz privatizācijas un atsavināšanas noteikumos vai līgumā noteiktā apgrūtinājumu izpildes termiņa beigām, kā arī valsts īpašuma privatizācijas noteikumu, konkursa noteikumu, līguma un citu ar tiem saistīto dokumentu nosacījumu un nodokļu maksājumu parādu kapitalizācijas rezultātā radušos kapitāla daļu pārdošanas līguma izpildes kontrolei atskaitījums ir 76 lati par līgumu mēnesī. </w:t>
      </w:r>
      <w:r w:rsidRPr="000237B3">
        <w:rPr>
          <w:sz w:val="28"/>
          <w:szCs w:val="28"/>
        </w:rPr>
        <w:t>Aģentūras</w:t>
      </w:r>
      <w:r w:rsidR="00744F58" w:rsidRPr="000237B3">
        <w:rPr>
          <w:sz w:val="28"/>
          <w:szCs w:val="28"/>
        </w:rPr>
        <w:t xml:space="preserve"> valdījumā esošo valstij piederošo un piekrītošo īpašumu nomas līgumu kontrolei noteiktais atskaitījums ir 50% no nomas maksas, bet ne vairāk kā 76 lati par līgumu mēnesī.</w:t>
      </w:r>
    </w:p>
    <w:p w:rsidR="00744F58" w:rsidRPr="000237B3" w:rsidRDefault="00744F58" w:rsidP="00744F58">
      <w:pPr>
        <w:pStyle w:val="ListParagraph"/>
        <w:jc w:val="both"/>
        <w:rPr>
          <w:sz w:val="28"/>
          <w:szCs w:val="28"/>
        </w:rPr>
      </w:pPr>
    </w:p>
    <w:p w:rsidR="00744F58" w:rsidRPr="000237B3" w:rsidRDefault="00744F58" w:rsidP="00744F58">
      <w:pPr>
        <w:rPr>
          <w:sz w:val="28"/>
          <w:szCs w:val="28"/>
          <w:u w:val="single"/>
        </w:rPr>
      </w:pPr>
      <w:r w:rsidRPr="000237B3">
        <w:rPr>
          <w:sz w:val="28"/>
          <w:szCs w:val="28"/>
          <w:u w:val="single"/>
        </w:rPr>
        <w:t>Nekustamā īpašuma nodoklis</w:t>
      </w:r>
    </w:p>
    <w:p w:rsidR="00744F58" w:rsidRPr="000237B3" w:rsidRDefault="00744F58" w:rsidP="00744F58">
      <w:pPr>
        <w:ind w:firstLine="720"/>
        <w:jc w:val="both"/>
        <w:rPr>
          <w:sz w:val="28"/>
          <w:szCs w:val="28"/>
        </w:rPr>
      </w:pPr>
      <w:r w:rsidRPr="000237B3">
        <w:rPr>
          <w:sz w:val="28"/>
          <w:szCs w:val="28"/>
        </w:rPr>
        <w:t xml:space="preserve">Laika periodā, kurā valsts </w:t>
      </w:r>
      <w:r w:rsidR="00970A51" w:rsidRPr="000237B3">
        <w:rPr>
          <w:sz w:val="28"/>
          <w:szCs w:val="28"/>
        </w:rPr>
        <w:t xml:space="preserve">nekustamā </w:t>
      </w:r>
      <w:r w:rsidRPr="000237B3">
        <w:rPr>
          <w:sz w:val="28"/>
          <w:szCs w:val="28"/>
        </w:rPr>
        <w:t>īpašuma objekts, zemesgabals vai dzīvojamā māja atrodas</w:t>
      </w:r>
      <w:r w:rsidR="00040CF6" w:rsidRPr="000237B3">
        <w:rPr>
          <w:sz w:val="28"/>
          <w:szCs w:val="28"/>
        </w:rPr>
        <w:t xml:space="preserve"> Aģentūras</w:t>
      </w:r>
      <w:r w:rsidRPr="000237B3">
        <w:rPr>
          <w:sz w:val="28"/>
          <w:szCs w:val="28"/>
        </w:rPr>
        <w:t xml:space="preserve"> valdījumā, </w:t>
      </w:r>
      <w:r w:rsidR="00040CF6" w:rsidRPr="000237B3">
        <w:rPr>
          <w:sz w:val="28"/>
          <w:szCs w:val="28"/>
        </w:rPr>
        <w:t>Aģentūra</w:t>
      </w:r>
      <w:r w:rsidR="003007A5" w:rsidRPr="000237B3">
        <w:rPr>
          <w:sz w:val="28"/>
          <w:szCs w:val="28"/>
        </w:rPr>
        <w:t>i</w:t>
      </w:r>
      <w:r w:rsidRPr="000237B3">
        <w:rPr>
          <w:sz w:val="28"/>
          <w:szCs w:val="28"/>
        </w:rPr>
        <w:t xml:space="preserve"> saskaņā ar likuma “Par nekustamā īpašuma nodokli” 2.panta pirmo daļu ir jāmaksā nekustamā īpašuma nodoklis. Likuma “Par nekustamā īpašuma nodokli” 7.panta otrās daļa</w:t>
      </w:r>
      <w:r w:rsidR="003007A5" w:rsidRPr="000237B3">
        <w:rPr>
          <w:sz w:val="28"/>
          <w:szCs w:val="28"/>
        </w:rPr>
        <w:t>s</w:t>
      </w:r>
      <w:r w:rsidRPr="000237B3">
        <w:rPr>
          <w:sz w:val="28"/>
          <w:szCs w:val="28"/>
        </w:rPr>
        <w:t xml:space="preserve"> 3.punktā ir noteikts, ka nekustamā īpašuma nodokļa maksātājiem ir pienākums rakstveidā informēt pašvaldību, ja tiek iegūts tiesiskais valdījums uz nekustamo īpašumu - viena mēneša laikā no valdījuma tiesību rašanās dienas. Atbilstoši šai prasībai </w:t>
      </w:r>
      <w:r w:rsidR="00040CF6" w:rsidRPr="000237B3">
        <w:rPr>
          <w:sz w:val="28"/>
          <w:szCs w:val="28"/>
        </w:rPr>
        <w:t>Aģentūra</w:t>
      </w:r>
      <w:r w:rsidRPr="000237B3">
        <w:rPr>
          <w:sz w:val="28"/>
          <w:szCs w:val="28"/>
        </w:rPr>
        <w:t xml:space="preserve"> regulāri pēc valsts </w:t>
      </w:r>
      <w:r w:rsidR="00970A51" w:rsidRPr="000237B3">
        <w:rPr>
          <w:sz w:val="28"/>
          <w:szCs w:val="28"/>
        </w:rPr>
        <w:t xml:space="preserve">nekustamā </w:t>
      </w:r>
      <w:r w:rsidRPr="000237B3">
        <w:rPr>
          <w:sz w:val="28"/>
          <w:szCs w:val="28"/>
        </w:rPr>
        <w:t xml:space="preserve">īpašuma objekta, zemesgabala vai dzīvojamās mājas pārņemšanas nosūta pašvaldībām paziņojumus par pārņemtajiem valsts īpašuma objektiem, zemesgabaliem vai dzīvojamām mājām. Pēc paziņojumu saņemšanas pašvaldības nosūta </w:t>
      </w:r>
      <w:r w:rsidR="00040CF6" w:rsidRPr="000237B3">
        <w:rPr>
          <w:sz w:val="28"/>
          <w:szCs w:val="28"/>
        </w:rPr>
        <w:t>Aģentūrai</w:t>
      </w:r>
      <w:r w:rsidRPr="000237B3">
        <w:rPr>
          <w:sz w:val="28"/>
          <w:szCs w:val="28"/>
        </w:rPr>
        <w:t xml:space="preserve"> nekustamā īpašuma nodokļa maksāšanas paziņojumus, kuros norādīts nekustamā īpašuma nodokļa apmērs un maksāšanas termiņi. Pamatojoties uz saņemtajiem nekustamā īpašuma nodokļa maksāšanas paziņojumiem, </w:t>
      </w:r>
      <w:r w:rsidR="003007A5" w:rsidRPr="000237B3">
        <w:rPr>
          <w:sz w:val="28"/>
          <w:szCs w:val="28"/>
        </w:rPr>
        <w:t xml:space="preserve">Aģentūra </w:t>
      </w:r>
      <w:r w:rsidRPr="000237B3">
        <w:rPr>
          <w:sz w:val="28"/>
          <w:szCs w:val="28"/>
        </w:rPr>
        <w:t xml:space="preserve">paziņojumos noteiktajos termiņos maksā nekustamā īpašuma nodokli. Paziņojumos norādītās summas tiek </w:t>
      </w:r>
      <w:r w:rsidRPr="000237B3">
        <w:rPr>
          <w:sz w:val="28"/>
          <w:szCs w:val="28"/>
        </w:rPr>
        <w:lastRenderedPageBreak/>
        <w:t>iekļautas nekustamo īpašumu nomniekiem nosūtāmajos nomas maks</w:t>
      </w:r>
      <w:r w:rsidR="00833F81" w:rsidRPr="000237B3">
        <w:rPr>
          <w:sz w:val="28"/>
          <w:szCs w:val="28"/>
        </w:rPr>
        <w:t>as rēķinos</w:t>
      </w:r>
      <w:r w:rsidRPr="000237B3">
        <w:rPr>
          <w:sz w:val="28"/>
          <w:szCs w:val="28"/>
        </w:rPr>
        <w:t>.</w:t>
      </w:r>
    </w:p>
    <w:p w:rsidR="00744F58" w:rsidRPr="000237B3" w:rsidRDefault="00744F58" w:rsidP="00744F58">
      <w:pPr>
        <w:ind w:firstLine="720"/>
        <w:jc w:val="both"/>
        <w:rPr>
          <w:color w:val="1F497D"/>
          <w:sz w:val="28"/>
          <w:szCs w:val="28"/>
        </w:rPr>
      </w:pPr>
      <w:r w:rsidRPr="000237B3">
        <w:rPr>
          <w:sz w:val="28"/>
          <w:szCs w:val="28"/>
        </w:rPr>
        <w:t>Pēc valsts</w:t>
      </w:r>
      <w:r w:rsidR="00DB2BC6" w:rsidRPr="000237B3">
        <w:rPr>
          <w:sz w:val="28"/>
          <w:szCs w:val="28"/>
        </w:rPr>
        <w:t xml:space="preserve"> nekustamā</w:t>
      </w:r>
      <w:r w:rsidRPr="000237B3">
        <w:rPr>
          <w:sz w:val="28"/>
          <w:szCs w:val="28"/>
        </w:rPr>
        <w:t xml:space="preserve"> īpašuma objekta vai zemesgabala pirkuma līguma noslēgšanas </w:t>
      </w:r>
      <w:r w:rsidR="00040CF6" w:rsidRPr="000237B3">
        <w:rPr>
          <w:sz w:val="28"/>
          <w:szCs w:val="28"/>
        </w:rPr>
        <w:t>Aģentūra</w:t>
      </w:r>
      <w:r w:rsidRPr="000237B3">
        <w:rPr>
          <w:sz w:val="28"/>
          <w:szCs w:val="28"/>
        </w:rPr>
        <w:t xml:space="preserve"> nosūta attiecīgajai pašvaldībai informāciju par noslēgto pirkuma līgumu un lūdz atsūtīt precizētu nekustamā īpašuma nodokļa maksāšanas paziņojumu vai, ja nekustamā īpašuma nodoklis par attiecīgo valsts īpašuma objektu vai zemesgabalu nebija jāmaksā, paziņo par pirkuma līguma noslēgšanu. Pēc precizētā nekustamā īpašuma nodokļa maksāšanas paziņojuma saņemšanas </w:t>
      </w:r>
      <w:r w:rsidR="00040CF6" w:rsidRPr="000237B3">
        <w:rPr>
          <w:sz w:val="28"/>
          <w:szCs w:val="28"/>
        </w:rPr>
        <w:t>Aģentūra</w:t>
      </w:r>
      <w:r w:rsidRPr="000237B3">
        <w:rPr>
          <w:sz w:val="28"/>
          <w:szCs w:val="28"/>
        </w:rPr>
        <w:t xml:space="preserve"> veic norēķinu ar privatizācijas subjektu, atmaksājot subjekta pārmaksāto nekustamā īpašuma nodokļa summu.</w:t>
      </w:r>
    </w:p>
    <w:p w:rsidR="00744F58" w:rsidRPr="000237B3" w:rsidRDefault="00744F58" w:rsidP="00744F58">
      <w:pPr>
        <w:ind w:firstLine="720"/>
        <w:jc w:val="both"/>
        <w:rPr>
          <w:rFonts w:cs="Times New Roman"/>
          <w:sz w:val="28"/>
          <w:szCs w:val="28"/>
        </w:rPr>
      </w:pPr>
    </w:p>
    <w:p w:rsidR="00744F58" w:rsidRPr="000237B3" w:rsidRDefault="00040CF6" w:rsidP="00744F58">
      <w:pPr>
        <w:jc w:val="both"/>
        <w:rPr>
          <w:rFonts w:cs="Times New Roman"/>
          <w:sz w:val="28"/>
          <w:szCs w:val="28"/>
          <w:u w:val="single"/>
        </w:rPr>
      </w:pPr>
      <w:r w:rsidRPr="000237B3">
        <w:rPr>
          <w:rFonts w:eastAsia="Times New Roman" w:cs="Times New Roman"/>
          <w:bCs/>
          <w:color w:val="000000"/>
          <w:sz w:val="28"/>
          <w:szCs w:val="28"/>
          <w:u w:val="single"/>
        </w:rPr>
        <w:t>Aģentūras</w:t>
      </w:r>
      <w:r w:rsidR="00744F58" w:rsidRPr="000237B3">
        <w:rPr>
          <w:rFonts w:eastAsia="Times New Roman" w:cs="Times New Roman"/>
          <w:bCs/>
          <w:color w:val="000000"/>
          <w:sz w:val="28"/>
          <w:szCs w:val="28"/>
          <w:u w:val="single"/>
        </w:rPr>
        <w:t xml:space="preserve"> darbinieki</w:t>
      </w:r>
    </w:p>
    <w:p w:rsidR="00744F58" w:rsidRPr="000237B3" w:rsidRDefault="00744F58" w:rsidP="00744F58">
      <w:pPr>
        <w:ind w:firstLine="720"/>
        <w:jc w:val="both"/>
        <w:rPr>
          <w:rFonts w:cs="Times New Roman"/>
          <w:sz w:val="28"/>
          <w:szCs w:val="28"/>
        </w:rPr>
      </w:pPr>
      <w:r w:rsidRPr="000237B3">
        <w:rPr>
          <w:rFonts w:cs="Times New Roman"/>
          <w:sz w:val="28"/>
          <w:szCs w:val="28"/>
        </w:rPr>
        <w:t xml:space="preserve">Lielākos </w:t>
      </w:r>
      <w:r w:rsidR="00040CF6" w:rsidRPr="000237B3">
        <w:rPr>
          <w:sz w:val="28"/>
          <w:szCs w:val="28"/>
        </w:rPr>
        <w:t>Aģentūras</w:t>
      </w:r>
      <w:r w:rsidRPr="000237B3">
        <w:rPr>
          <w:rFonts w:cs="Times New Roman"/>
          <w:sz w:val="28"/>
          <w:szCs w:val="28"/>
        </w:rPr>
        <w:t xml:space="preserve"> kārtējos izdevumus veido personāla izmaksas. Izstrādājot šo darbības stratēģiju, ņemta vērā nepieciešamība </w:t>
      </w:r>
      <w:r w:rsidR="00A35A2E" w:rsidRPr="000237B3">
        <w:rPr>
          <w:rFonts w:cs="Times New Roman"/>
          <w:sz w:val="28"/>
          <w:szCs w:val="28"/>
        </w:rPr>
        <w:t xml:space="preserve">2015.gadā </w:t>
      </w:r>
      <w:r w:rsidRPr="000237B3">
        <w:rPr>
          <w:rFonts w:cs="Times New Roman"/>
          <w:sz w:val="28"/>
          <w:szCs w:val="28"/>
        </w:rPr>
        <w:t>nodrošināt efektīvu un kvalitatīvu funkciju nodoš</w:t>
      </w:r>
      <w:r w:rsidR="00A35A2E" w:rsidRPr="000237B3">
        <w:rPr>
          <w:rFonts w:cs="Times New Roman"/>
          <w:sz w:val="28"/>
          <w:szCs w:val="28"/>
        </w:rPr>
        <w:t>anas procesu citām</w:t>
      </w:r>
      <w:r w:rsidRPr="000237B3">
        <w:rPr>
          <w:rFonts w:cs="Times New Roman"/>
          <w:sz w:val="28"/>
          <w:szCs w:val="28"/>
        </w:rPr>
        <w:t xml:space="preserve"> institūcij</w:t>
      </w:r>
      <w:r w:rsidR="00A35A2E" w:rsidRPr="000237B3">
        <w:rPr>
          <w:rFonts w:cs="Times New Roman"/>
          <w:sz w:val="28"/>
          <w:szCs w:val="28"/>
        </w:rPr>
        <w:t>ām</w:t>
      </w:r>
      <w:r w:rsidRPr="000237B3">
        <w:rPr>
          <w:rFonts w:cs="Times New Roman"/>
          <w:sz w:val="28"/>
          <w:szCs w:val="28"/>
        </w:rPr>
        <w:t xml:space="preserve">, kam būs nepieciešami darbinieki. </w:t>
      </w:r>
    </w:p>
    <w:p w:rsidR="00744F58" w:rsidRPr="000237B3" w:rsidRDefault="00744F58" w:rsidP="00744F58">
      <w:pPr>
        <w:jc w:val="right"/>
        <w:rPr>
          <w:rFonts w:cs="Times New Roman"/>
          <w:sz w:val="28"/>
          <w:szCs w:val="28"/>
        </w:rPr>
      </w:pPr>
      <w:r w:rsidRPr="000237B3">
        <w:rPr>
          <w:rFonts w:cs="Times New Roman"/>
          <w:sz w:val="28"/>
          <w:szCs w:val="28"/>
        </w:rPr>
        <w:t>Tabula Nr.</w:t>
      </w:r>
      <w:r w:rsidR="0001461D" w:rsidRPr="000237B3">
        <w:rPr>
          <w:rFonts w:cs="Times New Roman"/>
          <w:sz w:val="28"/>
          <w:szCs w:val="28"/>
        </w:rPr>
        <w:t>5</w:t>
      </w:r>
    </w:p>
    <w:p w:rsidR="00744F58" w:rsidRPr="000237B3" w:rsidRDefault="00040CF6" w:rsidP="0001461D">
      <w:pPr>
        <w:jc w:val="center"/>
        <w:rPr>
          <w:b/>
          <w:sz w:val="28"/>
          <w:szCs w:val="28"/>
        </w:rPr>
      </w:pPr>
      <w:r w:rsidRPr="000237B3">
        <w:rPr>
          <w:b/>
          <w:sz w:val="28"/>
          <w:szCs w:val="28"/>
        </w:rPr>
        <w:t>Aģentūras</w:t>
      </w:r>
      <w:r w:rsidR="00744F58" w:rsidRPr="000237B3">
        <w:rPr>
          <w:b/>
          <w:sz w:val="28"/>
          <w:szCs w:val="28"/>
        </w:rPr>
        <w:t xml:space="preserve"> darbinieku un valdes locekļu skaits</w:t>
      </w:r>
    </w:p>
    <w:tbl>
      <w:tblPr>
        <w:tblW w:w="4330" w:type="dxa"/>
        <w:jc w:val="center"/>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466"/>
        <w:gridCol w:w="776"/>
        <w:gridCol w:w="776"/>
        <w:gridCol w:w="776"/>
        <w:gridCol w:w="776"/>
      </w:tblGrid>
      <w:tr w:rsidR="00774EF9" w:rsidRPr="00426EEF" w:rsidTr="00774EF9">
        <w:trPr>
          <w:trHeight w:val="302"/>
          <w:jc w:val="center"/>
        </w:trPr>
        <w:tc>
          <w:tcPr>
            <w:tcW w:w="1466" w:type="dxa"/>
            <w:shd w:val="clear" w:color="auto" w:fill="4F81BD" w:themeFill="accent1"/>
            <w:noWrap/>
            <w:vAlign w:val="bottom"/>
            <w:hideMark/>
          </w:tcPr>
          <w:p w:rsidR="00774EF9" w:rsidRPr="000237B3" w:rsidRDefault="00774EF9" w:rsidP="00815B49">
            <w:pPr>
              <w:rPr>
                <w:rFonts w:eastAsia="Times New Roman" w:cs="Times New Roman"/>
                <w:b/>
                <w:color w:val="000000"/>
                <w:sz w:val="28"/>
                <w:szCs w:val="28"/>
              </w:rPr>
            </w:pPr>
          </w:p>
        </w:tc>
        <w:tc>
          <w:tcPr>
            <w:tcW w:w="716" w:type="dxa"/>
            <w:shd w:val="clear" w:color="auto" w:fill="4F81BD" w:themeFill="accent1"/>
          </w:tcPr>
          <w:p w:rsidR="00774EF9" w:rsidRPr="000237B3" w:rsidRDefault="00774EF9" w:rsidP="004A0405">
            <w:pPr>
              <w:jc w:val="center"/>
              <w:rPr>
                <w:rFonts w:eastAsia="Times New Roman" w:cs="Times New Roman"/>
                <w:b/>
                <w:color w:val="FFFFFF" w:themeColor="background1"/>
                <w:sz w:val="28"/>
                <w:szCs w:val="28"/>
              </w:rPr>
            </w:pPr>
            <w:r w:rsidRPr="000237B3">
              <w:rPr>
                <w:rFonts w:eastAsia="Times New Roman" w:cs="Times New Roman"/>
                <w:b/>
                <w:color w:val="FFFFFF" w:themeColor="background1"/>
                <w:sz w:val="28"/>
                <w:szCs w:val="28"/>
              </w:rPr>
              <w:t>2011</w:t>
            </w:r>
          </w:p>
        </w:tc>
        <w:tc>
          <w:tcPr>
            <w:tcW w:w="716" w:type="dxa"/>
            <w:shd w:val="clear" w:color="auto" w:fill="4F81BD" w:themeFill="accent1"/>
          </w:tcPr>
          <w:p w:rsidR="00774EF9" w:rsidRPr="000237B3" w:rsidRDefault="00774EF9" w:rsidP="004A0405">
            <w:pPr>
              <w:jc w:val="center"/>
              <w:rPr>
                <w:rFonts w:eastAsia="Times New Roman" w:cs="Times New Roman"/>
                <w:b/>
                <w:color w:val="FFFFFF" w:themeColor="background1"/>
                <w:sz w:val="28"/>
                <w:szCs w:val="28"/>
              </w:rPr>
            </w:pPr>
            <w:r w:rsidRPr="000237B3">
              <w:rPr>
                <w:rFonts w:eastAsia="Times New Roman" w:cs="Times New Roman"/>
                <w:b/>
                <w:color w:val="FFFFFF" w:themeColor="background1"/>
                <w:sz w:val="28"/>
                <w:szCs w:val="28"/>
              </w:rPr>
              <w:t>2012</w:t>
            </w:r>
          </w:p>
        </w:tc>
        <w:tc>
          <w:tcPr>
            <w:tcW w:w="716" w:type="dxa"/>
            <w:shd w:val="clear" w:color="auto" w:fill="4F81BD" w:themeFill="accent1"/>
            <w:noWrap/>
            <w:hideMark/>
          </w:tcPr>
          <w:p w:rsidR="00774EF9" w:rsidRPr="000237B3" w:rsidRDefault="00774EF9" w:rsidP="004A0405">
            <w:pPr>
              <w:jc w:val="center"/>
              <w:rPr>
                <w:rFonts w:eastAsia="Times New Roman" w:cs="Times New Roman"/>
                <w:b/>
                <w:color w:val="FFFFFF" w:themeColor="background1"/>
                <w:sz w:val="28"/>
                <w:szCs w:val="28"/>
              </w:rPr>
            </w:pPr>
            <w:r w:rsidRPr="000237B3">
              <w:rPr>
                <w:rFonts w:eastAsia="Times New Roman" w:cs="Times New Roman"/>
                <w:b/>
                <w:color w:val="FFFFFF" w:themeColor="background1"/>
                <w:sz w:val="28"/>
                <w:szCs w:val="28"/>
              </w:rPr>
              <w:t>2013</w:t>
            </w:r>
          </w:p>
        </w:tc>
        <w:tc>
          <w:tcPr>
            <w:tcW w:w="716" w:type="dxa"/>
            <w:shd w:val="clear" w:color="auto" w:fill="4F81BD" w:themeFill="accent1"/>
            <w:noWrap/>
            <w:hideMark/>
          </w:tcPr>
          <w:p w:rsidR="00774EF9" w:rsidRPr="000237B3" w:rsidRDefault="00774EF9" w:rsidP="004A0405">
            <w:pPr>
              <w:jc w:val="center"/>
              <w:rPr>
                <w:rFonts w:eastAsia="Times New Roman" w:cs="Times New Roman"/>
                <w:b/>
                <w:color w:val="FFFFFF" w:themeColor="background1"/>
                <w:sz w:val="28"/>
                <w:szCs w:val="28"/>
              </w:rPr>
            </w:pPr>
            <w:r w:rsidRPr="000237B3">
              <w:rPr>
                <w:rFonts w:eastAsia="Times New Roman" w:cs="Times New Roman"/>
                <w:b/>
                <w:color w:val="FFFFFF" w:themeColor="background1"/>
                <w:sz w:val="28"/>
                <w:szCs w:val="28"/>
              </w:rPr>
              <w:t>2014</w:t>
            </w:r>
          </w:p>
        </w:tc>
      </w:tr>
      <w:tr w:rsidR="00774EF9" w:rsidRPr="00426EEF" w:rsidTr="00774EF9">
        <w:trPr>
          <w:trHeight w:val="302"/>
          <w:jc w:val="center"/>
        </w:trPr>
        <w:tc>
          <w:tcPr>
            <w:tcW w:w="1466" w:type="dxa"/>
            <w:shd w:val="clear" w:color="auto" w:fill="auto"/>
            <w:noWrap/>
            <w:vAlign w:val="bottom"/>
            <w:hideMark/>
          </w:tcPr>
          <w:p w:rsidR="00774EF9" w:rsidRPr="000237B3" w:rsidRDefault="00774EF9" w:rsidP="00815B49">
            <w:pPr>
              <w:rPr>
                <w:rFonts w:eastAsia="Times New Roman" w:cs="Times New Roman"/>
                <w:color w:val="000000"/>
                <w:sz w:val="28"/>
                <w:szCs w:val="28"/>
              </w:rPr>
            </w:pPr>
            <w:r w:rsidRPr="000237B3">
              <w:rPr>
                <w:rFonts w:eastAsia="Times New Roman" w:cs="Times New Roman"/>
                <w:color w:val="000000"/>
                <w:sz w:val="28"/>
                <w:szCs w:val="28"/>
              </w:rPr>
              <w:t>Darbinieki</w:t>
            </w:r>
          </w:p>
        </w:tc>
        <w:tc>
          <w:tcPr>
            <w:tcW w:w="716" w:type="dxa"/>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84</w:t>
            </w:r>
          </w:p>
        </w:tc>
        <w:tc>
          <w:tcPr>
            <w:tcW w:w="716" w:type="dxa"/>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67</w:t>
            </w:r>
          </w:p>
        </w:tc>
        <w:tc>
          <w:tcPr>
            <w:tcW w:w="716" w:type="dxa"/>
            <w:shd w:val="clear" w:color="auto" w:fill="auto"/>
            <w:noWrap/>
            <w:hideMark/>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67</w:t>
            </w:r>
          </w:p>
        </w:tc>
        <w:tc>
          <w:tcPr>
            <w:tcW w:w="716" w:type="dxa"/>
            <w:shd w:val="clear" w:color="auto" w:fill="auto"/>
            <w:noWrap/>
            <w:hideMark/>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66</w:t>
            </w:r>
          </w:p>
        </w:tc>
      </w:tr>
      <w:tr w:rsidR="00774EF9" w:rsidRPr="00426EEF" w:rsidTr="00774EF9">
        <w:trPr>
          <w:trHeight w:val="302"/>
          <w:jc w:val="center"/>
        </w:trPr>
        <w:tc>
          <w:tcPr>
            <w:tcW w:w="1466" w:type="dxa"/>
            <w:shd w:val="clear" w:color="auto" w:fill="auto"/>
            <w:noWrap/>
            <w:vAlign w:val="bottom"/>
            <w:hideMark/>
          </w:tcPr>
          <w:p w:rsidR="00774EF9" w:rsidRPr="000237B3" w:rsidRDefault="00774EF9" w:rsidP="00815B49">
            <w:pPr>
              <w:rPr>
                <w:rFonts w:eastAsia="Times New Roman" w:cs="Times New Roman"/>
                <w:color w:val="000000"/>
                <w:sz w:val="28"/>
                <w:szCs w:val="28"/>
              </w:rPr>
            </w:pPr>
            <w:r w:rsidRPr="000237B3">
              <w:rPr>
                <w:rFonts w:eastAsia="Times New Roman" w:cs="Times New Roman"/>
                <w:color w:val="000000"/>
                <w:sz w:val="28"/>
                <w:szCs w:val="28"/>
              </w:rPr>
              <w:t>Valdes locekļi</w:t>
            </w:r>
          </w:p>
        </w:tc>
        <w:tc>
          <w:tcPr>
            <w:tcW w:w="716" w:type="dxa"/>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4</w:t>
            </w:r>
          </w:p>
        </w:tc>
        <w:tc>
          <w:tcPr>
            <w:tcW w:w="716" w:type="dxa"/>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2</w:t>
            </w:r>
            <w:r w:rsidRPr="000237B3">
              <w:rPr>
                <w:rStyle w:val="FootnoteReference"/>
                <w:rFonts w:eastAsia="Times New Roman" w:cs="Times New Roman"/>
                <w:color w:val="000000"/>
                <w:sz w:val="28"/>
                <w:szCs w:val="28"/>
              </w:rPr>
              <w:footnoteReference w:id="18"/>
            </w:r>
          </w:p>
        </w:tc>
        <w:tc>
          <w:tcPr>
            <w:tcW w:w="716" w:type="dxa"/>
            <w:shd w:val="clear" w:color="auto" w:fill="auto"/>
            <w:noWrap/>
            <w:hideMark/>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2</w:t>
            </w:r>
          </w:p>
        </w:tc>
        <w:tc>
          <w:tcPr>
            <w:tcW w:w="716" w:type="dxa"/>
            <w:shd w:val="clear" w:color="auto" w:fill="auto"/>
            <w:noWrap/>
            <w:hideMark/>
          </w:tcPr>
          <w:p w:rsidR="00774EF9" w:rsidRPr="000237B3" w:rsidRDefault="00774EF9" w:rsidP="004A0405">
            <w:pPr>
              <w:jc w:val="center"/>
              <w:rPr>
                <w:rFonts w:eastAsia="Times New Roman" w:cs="Times New Roman"/>
                <w:color w:val="000000"/>
                <w:sz w:val="28"/>
                <w:szCs w:val="28"/>
              </w:rPr>
            </w:pPr>
            <w:r w:rsidRPr="000237B3">
              <w:rPr>
                <w:rFonts w:eastAsia="Times New Roman" w:cs="Times New Roman"/>
                <w:color w:val="000000"/>
                <w:sz w:val="28"/>
                <w:szCs w:val="28"/>
              </w:rPr>
              <w:t>2</w:t>
            </w:r>
          </w:p>
        </w:tc>
      </w:tr>
    </w:tbl>
    <w:p w:rsidR="00744F58" w:rsidRPr="00426EEF" w:rsidRDefault="00744F58" w:rsidP="00744F58">
      <w:pPr>
        <w:jc w:val="both"/>
        <w:rPr>
          <w:rFonts w:cs="Times New Roman"/>
          <w:u w:val="single"/>
        </w:rPr>
      </w:pPr>
    </w:p>
    <w:p w:rsidR="00BA0BA6" w:rsidRPr="000237B3" w:rsidRDefault="00774EF9" w:rsidP="003C796E">
      <w:pPr>
        <w:ind w:firstLine="709"/>
        <w:jc w:val="both"/>
        <w:rPr>
          <w:bCs/>
          <w:sz w:val="28"/>
          <w:szCs w:val="28"/>
        </w:rPr>
      </w:pPr>
      <w:r w:rsidRPr="000237B3">
        <w:rPr>
          <w:bCs/>
          <w:sz w:val="28"/>
          <w:szCs w:val="28"/>
        </w:rPr>
        <w:t xml:space="preserve">2015.gada I pusgadā plānots, ka Aģentūras darbinieku skaits nesamazināsies, jo nepieciešams nodrošināt funkciju nodošanas procesu. Sākot ar 2015.gada II pusgadu Aģentūrā strādās minimāls darbinieku skaits, lai nodrošinātu pārskatīto darbības mērķu īstenošanu. </w:t>
      </w:r>
    </w:p>
    <w:p w:rsidR="00E06A8C" w:rsidRPr="000237B3" w:rsidRDefault="00062C37" w:rsidP="001A7317">
      <w:pPr>
        <w:ind w:firstLine="709"/>
        <w:jc w:val="both"/>
        <w:rPr>
          <w:bCs/>
          <w:sz w:val="28"/>
          <w:szCs w:val="28"/>
        </w:rPr>
      </w:pPr>
      <w:r w:rsidRPr="000237B3">
        <w:rPr>
          <w:bCs/>
          <w:sz w:val="28"/>
          <w:szCs w:val="28"/>
        </w:rPr>
        <w:t xml:space="preserve">Valsts nekustamā īpašuma objektu privatizācijas un zemesgabalu privatizācijas procesā šobrīd tiek nodarbināti 9 darbinieki, bet no 2013.gada 1.janvāra objektu un zemesgabalu privatizācijas procesa nodrošināšanā </w:t>
      </w:r>
      <w:r w:rsidR="00220E19">
        <w:rPr>
          <w:bCs/>
          <w:sz w:val="28"/>
          <w:szCs w:val="28"/>
        </w:rPr>
        <w:t xml:space="preserve">nodarbināti </w:t>
      </w:r>
      <w:r w:rsidRPr="000237B3">
        <w:rPr>
          <w:bCs/>
          <w:sz w:val="28"/>
          <w:szCs w:val="28"/>
        </w:rPr>
        <w:t xml:space="preserve">10 darbinieki. </w:t>
      </w:r>
    </w:p>
    <w:p w:rsidR="001A7317" w:rsidRPr="000237B3" w:rsidRDefault="00744F58" w:rsidP="001A7317">
      <w:pPr>
        <w:ind w:firstLine="709"/>
        <w:jc w:val="both"/>
        <w:rPr>
          <w:bCs/>
          <w:sz w:val="28"/>
          <w:szCs w:val="28"/>
        </w:rPr>
      </w:pPr>
      <w:r w:rsidRPr="000237B3">
        <w:rPr>
          <w:sz w:val="28"/>
          <w:szCs w:val="28"/>
        </w:rPr>
        <w:t>Dzīvojamo māju un dzīvokļu privatizācij</w:t>
      </w:r>
      <w:r w:rsidRPr="000237B3">
        <w:rPr>
          <w:bCs/>
          <w:sz w:val="28"/>
          <w:szCs w:val="28"/>
        </w:rPr>
        <w:t>as</w:t>
      </w:r>
      <w:r w:rsidRPr="000237B3">
        <w:rPr>
          <w:sz w:val="28"/>
          <w:szCs w:val="28"/>
        </w:rPr>
        <w:t>, atsavināšan</w:t>
      </w:r>
      <w:r w:rsidRPr="000237B3">
        <w:rPr>
          <w:bCs/>
          <w:sz w:val="28"/>
          <w:szCs w:val="28"/>
        </w:rPr>
        <w:t>as</w:t>
      </w:r>
      <w:r w:rsidRPr="000237B3">
        <w:rPr>
          <w:sz w:val="28"/>
          <w:szCs w:val="28"/>
        </w:rPr>
        <w:t xml:space="preserve"> un pārvaldīšan</w:t>
      </w:r>
      <w:r w:rsidRPr="000237B3">
        <w:rPr>
          <w:bCs/>
          <w:sz w:val="28"/>
          <w:szCs w:val="28"/>
        </w:rPr>
        <w:t xml:space="preserve">as procesā </w:t>
      </w:r>
      <w:r w:rsidR="00CF6D05">
        <w:rPr>
          <w:bCs/>
          <w:sz w:val="28"/>
          <w:szCs w:val="28"/>
        </w:rPr>
        <w:t>uz 2013.gada 31.martu</w:t>
      </w:r>
      <w:r w:rsidR="00CF6D05" w:rsidRPr="000237B3">
        <w:rPr>
          <w:bCs/>
          <w:sz w:val="28"/>
          <w:szCs w:val="28"/>
        </w:rPr>
        <w:t xml:space="preserve"> </w:t>
      </w:r>
      <w:r w:rsidRPr="000237B3">
        <w:rPr>
          <w:bCs/>
          <w:sz w:val="28"/>
          <w:szCs w:val="28"/>
        </w:rPr>
        <w:t xml:space="preserve">tiek nodarbināti </w:t>
      </w:r>
      <w:r w:rsidR="00F45D28" w:rsidRPr="000237B3">
        <w:rPr>
          <w:bCs/>
          <w:sz w:val="28"/>
          <w:szCs w:val="28"/>
        </w:rPr>
        <w:t>1</w:t>
      </w:r>
      <w:r w:rsidR="00D93CA8" w:rsidRPr="000237B3">
        <w:rPr>
          <w:bCs/>
          <w:sz w:val="28"/>
          <w:szCs w:val="28"/>
        </w:rPr>
        <w:t>2</w:t>
      </w:r>
      <w:r w:rsidRPr="000237B3">
        <w:rPr>
          <w:bCs/>
          <w:sz w:val="28"/>
          <w:szCs w:val="28"/>
        </w:rPr>
        <w:t xml:space="preserve"> darbinieki</w:t>
      </w:r>
      <w:r w:rsidR="00E06A8C" w:rsidRPr="000237B3">
        <w:rPr>
          <w:bCs/>
          <w:sz w:val="28"/>
          <w:szCs w:val="28"/>
        </w:rPr>
        <w:t xml:space="preserve"> (brīva </w:t>
      </w:r>
      <w:r w:rsidR="00CF6D05">
        <w:rPr>
          <w:bCs/>
          <w:sz w:val="28"/>
          <w:szCs w:val="28"/>
        </w:rPr>
        <w:t>1</w:t>
      </w:r>
      <w:r w:rsidR="00CF6D05" w:rsidRPr="000237B3">
        <w:rPr>
          <w:bCs/>
          <w:sz w:val="28"/>
          <w:szCs w:val="28"/>
        </w:rPr>
        <w:t xml:space="preserve"> </w:t>
      </w:r>
      <w:r w:rsidR="00F45D28" w:rsidRPr="000237B3">
        <w:rPr>
          <w:bCs/>
          <w:sz w:val="28"/>
          <w:szCs w:val="28"/>
        </w:rPr>
        <w:t xml:space="preserve">vakance). </w:t>
      </w:r>
      <w:r w:rsidR="008A2AB3" w:rsidRPr="000237B3">
        <w:rPr>
          <w:bCs/>
          <w:sz w:val="28"/>
          <w:szCs w:val="28"/>
        </w:rPr>
        <w:t>Līdz 2014</w:t>
      </w:r>
      <w:r w:rsidR="00D93CA8" w:rsidRPr="000237B3">
        <w:rPr>
          <w:bCs/>
          <w:sz w:val="28"/>
          <w:szCs w:val="28"/>
        </w:rPr>
        <w:t>.</w:t>
      </w:r>
      <w:r w:rsidR="0033476F" w:rsidRPr="000237B3">
        <w:rPr>
          <w:bCs/>
          <w:sz w:val="28"/>
          <w:szCs w:val="28"/>
        </w:rPr>
        <w:t>gada 31.decembrim</w:t>
      </w:r>
      <w:r w:rsidR="008A2AB3" w:rsidRPr="000237B3">
        <w:rPr>
          <w:bCs/>
          <w:sz w:val="28"/>
          <w:szCs w:val="28"/>
        </w:rPr>
        <w:t xml:space="preserve"> plānots turpināt esošo funkciju izpildi, kā arī papildus intensīvi strādāt pie dzīvokļu un dzīvojamo māju nodošanas pašvaldībām un/vai citai institūcijai atbilstoši šai stratēģijai.</w:t>
      </w:r>
      <w:r w:rsidRPr="000237B3">
        <w:rPr>
          <w:bCs/>
          <w:sz w:val="28"/>
          <w:szCs w:val="28"/>
        </w:rPr>
        <w:t xml:space="preserve"> Ievērojot minēto, līdz </w:t>
      </w:r>
      <w:r w:rsidR="00040CF6" w:rsidRPr="000237B3">
        <w:rPr>
          <w:sz w:val="28"/>
          <w:szCs w:val="28"/>
        </w:rPr>
        <w:t>Aģentūras</w:t>
      </w:r>
      <w:r w:rsidRPr="000237B3">
        <w:rPr>
          <w:bCs/>
          <w:sz w:val="28"/>
          <w:szCs w:val="28"/>
        </w:rPr>
        <w:t xml:space="preserve"> darbības izbeigšanai nav paredzēts samazināt dzīvojamo māju un dzīvokļu privatizācijas, atsavināšanas un pārvaldīšanas iesaistīto darbinieku sakaitu. </w:t>
      </w:r>
    </w:p>
    <w:p w:rsidR="004A64FF" w:rsidRPr="000237B3" w:rsidRDefault="00744F58" w:rsidP="004A64FF">
      <w:pPr>
        <w:ind w:firstLine="720"/>
        <w:jc w:val="both"/>
        <w:rPr>
          <w:rFonts w:cs="Times New Roman"/>
          <w:sz w:val="28"/>
          <w:szCs w:val="28"/>
        </w:rPr>
      </w:pPr>
      <w:r w:rsidRPr="000237B3">
        <w:rPr>
          <w:bCs/>
          <w:sz w:val="28"/>
          <w:szCs w:val="28"/>
        </w:rPr>
        <w:lastRenderedPageBreak/>
        <w:t xml:space="preserve">Valsts kapitāla daļu privatizācijas, atsavināšanas un pārvaldīšanas procesā, </w:t>
      </w:r>
      <w:r w:rsidR="00CB0E22" w:rsidRPr="00CB0E22">
        <w:rPr>
          <w:bCs/>
          <w:sz w:val="28"/>
          <w:szCs w:val="28"/>
        </w:rPr>
        <w:t>akciju sabiedrības</w:t>
      </w:r>
      <w:r w:rsidRPr="000237B3">
        <w:rPr>
          <w:bCs/>
          <w:sz w:val="28"/>
          <w:szCs w:val="28"/>
        </w:rPr>
        <w:t xml:space="preserve"> „</w:t>
      </w:r>
      <w:proofErr w:type="spellStart"/>
      <w:r w:rsidRPr="000237B3">
        <w:rPr>
          <w:bCs/>
          <w:sz w:val="28"/>
          <w:szCs w:val="28"/>
        </w:rPr>
        <w:t>Reverta</w:t>
      </w:r>
      <w:proofErr w:type="spellEnd"/>
      <w:r w:rsidRPr="000237B3">
        <w:rPr>
          <w:bCs/>
          <w:sz w:val="28"/>
          <w:szCs w:val="28"/>
        </w:rPr>
        <w:t xml:space="preserve">” un </w:t>
      </w:r>
      <w:r w:rsidR="00CB0E22" w:rsidRPr="00CB0E22">
        <w:rPr>
          <w:bCs/>
          <w:sz w:val="28"/>
          <w:szCs w:val="28"/>
        </w:rPr>
        <w:t>akciju sabiedrības</w:t>
      </w:r>
      <w:r w:rsidRPr="000237B3">
        <w:rPr>
          <w:bCs/>
          <w:sz w:val="28"/>
          <w:szCs w:val="28"/>
        </w:rPr>
        <w:t xml:space="preserve"> „Citadele banka” pārvaldīšanas un atsavināšanas procesā, v</w:t>
      </w:r>
      <w:r w:rsidRPr="000237B3">
        <w:rPr>
          <w:sz w:val="28"/>
          <w:szCs w:val="28"/>
        </w:rPr>
        <w:t>alsts līdzdalības nodrošināšana</w:t>
      </w:r>
      <w:r w:rsidRPr="000237B3">
        <w:rPr>
          <w:bCs/>
          <w:sz w:val="28"/>
          <w:szCs w:val="28"/>
        </w:rPr>
        <w:t>i</w:t>
      </w:r>
      <w:r w:rsidRPr="000237B3">
        <w:rPr>
          <w:sz w:val="28"/>
          <w:szCs w:val="28"/>
        </w:rPr>
        <w:t xml:space="preserve"> ogļūdeņražu ieguvē</w:t>
      </w:r>
      <w:r w:rsidRPr="000237B3">
        <w:rPr>
          <w:bCs/>
          <w:sz w:val="28"/>
          <w:szCs w:val="28"/>
        </w:rPr>
        <w:t xml:space="preserve"> </w:t>
      </w:r>
      <w:r w:rsidR="00CF6D05">
        <w:rPr>
          <w:bCs/>
          <w:sz w:val="28"/>
          <w:szCs w:val="28"/>
        </w:rPr>
        <w:t>uz 2013.gada 31.martu</w:t>
      </w:r>
      <w:r w:rsidR="00CF6D05" w:rsidRPr="000237B3">
        <w:rPr>
          <w:bCs/>
          <w:sz w:val="28"/>
          <w:szCs w:val="28"/>
        </w:rPr>
        <w:t xml:space="preserve"> </w:t>
      </w:r>
      <w:r w:rsidRPr="000237B3">
        <w:rPr>
          <w:bCs/>
          <w:sz w:val="28"/>
          <w:szCs w:val="28"/>
        </w:rPr>
        <w:t xml:space="preserve">tiek nodarbināti 5 darbinieki. Ņemot vērā, ka </w:t>
      </w:r>
      <w:r w:rsidR="004A64FF">
        <w:rPr>
          <w:bCs/>
          <w:sz w:val="28"/>
          <w:szCs w:val="28"/>
        </w:rPr>
        <w:t xml:space="preserve">sākot ar </w:t>
      </w:r>
      <w:r w:rsidR="00BE76B5" w:rsidRPr="000237B3">
        <w:rPr>
          <w:bCs/>
          <w:sz w:val="28"/>
          <w:szCs w:val="28"/>
        </w:rPr>
        <w:t xml:space="preserve">2014.gada </w:t>
      </w:r>
      <w:r w:rsidR="004A64FF">
        <w:rPr>
          <w:bCs/>
          <w:sz w:val="28"/>
          <w:szCs w:val="28"/>
        </w:rPr>
        <w:t>II pusgadu</w:t>
      </w:r>
      <w:r w:rsidR="004A64FF" w:rsidRPr="000237B3">
        <w:rPr>
          <w:bCs/>
          <w:sz w:val="28"/>
          <w:szCs w:val="28"/>
        </w:rPr>
        <w:t xml:space="preserve"> </w:t>
      </w:r>
      <w:r w:rsidRPr="000237B3">
        <w:rPr>
          <w:bCs/>
          <w:sz w:val="28"/>
          <w:szCs w:val="28"/>
        </w:rPr>
        <w:t xml:space="preserve">valsts kapitāla daļas paredzēts </w:t>
      </w:r>
      <w:r w:rsidR="004A64FF">
        <w:rPr>
          <w:bCs/>
          <w:sz w:val="28"/>
          <w:szCs w:val="28"/>
        </w:rPr>
        <w:t xml:space="preserve">pakāpeniski </w:t>
      </w:r>
      <w:r w:rsidRPr="000237B3">
        <w:rPr>
          <w:bCs/>
          <w:sz w:val="28"/>
          <w:szCs w:val="28"/>
        </w:rPr>
        <w:t xml:space="preserve">nodot </w:t>
      </w:r>
      <w:r w:rsidR="004A64FF">
        <w:rPr>
          <w:sz w:val="28"/>
          <w:szCs w:val="28"/>
        </w:rPr>
        <w:t>Valsts kapitāla daļu pārvaldības birojam</w:t>
      </w:r>
      <w:r w:rsidRPr="000237B3">
        <w:rPr>
          <w:sz w:val="28"/>
          <w:szCs w:val="28"/>
        </w:rPr>
        <w:t xml:space="preserve">, paredzamo </w:t>
      </w:r>
      <w:r w:rsidR="00CB0E22" w:rsidRPr="00CB0E22">
        <w:rPr>
          <w:sz w:val="28"/>
          <w:szCs w:val="28"/>
        </w:rPr>
        <w:t>akciju sabiedrības</w:t>
      </w:r>
      <w:r w:rsidRPr="000237B3">
        <w:rPr>
          <w:sz w:val="28"/>
          <w:szCs w:val="28"/>
        </w:rPr>
        <w:t xml:space="preserve"> „Citadele banka” un </w:t>
      </w:r>
      <w:r w:rsidR="00CB0E22" w:rsidRPr="00CB0E22">
        <w:rPr>
          <w:sz w:val="28"/>
          <w:szCs w:val="28"/>
        </w:rPr>
        <w:t>akciju sabiedrības</w:t>
      </w:r>
      <w:r w:rsidRPr="000237B3">
        <w:rPr>
          <w:sz w:val="28"/>
          <w:szCs w:val="28"/>
        </w:rPr>
        <w:t xml:space="preserve"> „</w:t>
      </w:r>
      <w:proofErr w:type="spellStart"/>
      <w:r w:rsidRPr="000237B3">
        <w:rPr>
          <w:sz w:val="28"/>
          <w:szCs w:val="28"/>
        </w:rPr>
        <w:t>Reverta</w:t>
      </w:r>
      <w:proofErr w:type="spellEnd"/>
      <w:r w:rsidRPr="000237B3">
        <w:rPr>
          <w:sz w:val="28"/>
          <w:szCs w:val="28"/>
        </w:rPr>
        <w:t>” atsavināšanas procesa ilgumu</w:t>
      </w:r>
      <w:r w:rsidRPr="000237B3">
        <w:rPr>
          <w:bCs/>
          <w:sz w:val="28"/>
          <w:szCs w:val="28"/>
        </w:rPr>
        <w:t xml:space="preserve">, līdz </w:t>
      </w:r>
      <w:r w:rsidR="00CF3E6B" w:rsidRPr="000237B3">
        <w:rPr>
          <w:bCs/>
          <w:sz w:val="28"/>
          <w:szCs w:val="28"/>
        </w:rPr>
        <w:t>Aģentūras</w:t>
      </w:r>
      <w:r w:rsidRPr="000237B3">
        <w:rPr>
          <w:bCs/>
          <w:sz w:val="28"/>
          <w:szCs w:val="28"/>
        </w:rPr>
        <w:t xml:space="preserve"> darbības izbeigšanai nav paredzēts samazināt minētajos procesos iesaistīto darbinieku skaitu. </w:t>
      </w:r>
      <w:r w:rsidR="004A64FF">
        <w:rPr>
          <w:bCs/>
          <w:sz w:val="28"/>
          <w:szCs w:val="28"/>
        </w:rPr>
        <w:t>Turklāt attiecībā uz HipoNIA p</w:t>
      </w:r>
      <w:r w:rsidR="004A64FF" w:rsidRPr="000237B3">
        <w:rPr>
          <w:rFonts w:cs="Times New Roman"/>
          <w:sz w:val="28"/>
          <w:szCs w:val="28"/>
        </w:rPr>
        <w:t xml:space="preserve">aredzams, ka Aģentūra </w:t>
      </w:r>
      <w:r w:rsidR="004A64FF">
        <w:rPr>
          <w:rFonts w:cs="Times New Roman"/>
          <w:sz w:val="28"/>
          <w:szCs w:val="28"/>
        </w:rPr>
        <w:t>nodrošinās</w:t>
      </w:r>
      <w:r w:rsidR="004A64FF" w:rsidRPr="000237B3">
        <w:rPr>
          <w:rFonts w:cs="Times New Roman"/>
          <w:sz w:val="28"/>
          <w:szCs w:val="28"/>
        </w:rPr>
        <w:t xml:space="preserve"> </w:t>
      </w:r>
      <w:r w:rsidR="004A64FF">
        <w:rPr>
          <w:rFonts w:cs="Times New Roman"/>
          <w:sz w:val="28"/>
          <w:szCs w:val="28"/>
        </w:rPr>
        <w:t>HipoNIA</w:t>
      </w:r>
      <w:r w:rsidR="004A64FF" w:rsidRPr="000237B3">
        <w:rPr>
          <w:rFonts w:cs="Times New Roman"/>
          <w:sz w:val="28"/>
          <w:szCs w:val="28"/>
        </w:rPr>
        <w:t xml:space="preserve"> pārvaldību saskaņā ar labas korporatīvās pārvaldības principiem</w:t>
      </w:r>
      <w:r w:rsidR="004A64FF">
        <w:rPr>
          <w:rFonts w:cs="Times New Roman"/>
          <w:sz w:val="28"/>
          <w:szCs w:val="28"/>
        </w:rPr>
        <w:t xml:space="preserve"> </w:t>
      </w:r>
      <w:r w:rsidR="004A64FF" w:rsidRPr="000237B3">
        <w:rPr>
          <w:rFonts w:cs="Times New Roman"/>
          <w:sz w:val="28"/>
          <w:szCs w:val="28"/>
        </w:rPr>
        <w:t>un Ministra kabineta lēmum</w:t>
      </w:r>
      <w:r w:rsidR="004A64FF">
        <w:rPr>
          <w:rFonts w:cs="Times New Roman"/>
          <w:sz w:val="28"/>
          <w:szCs w:val="28"/>
        </w:rPr>
        <w:t>iem, izmantojot esošos darbiniekus, kas šobrīd ir iesaistīti v</w:t>
      </w:r>
      <w:r w:rsidR="004A64FF" w:rsidRPr="000237B3">
        <w:rPr>
          <w:bCs/>
          <w:sz w:val="28"/>
          <w:szCs w:val="28"/>
        </w:rPr>
        <w:t xml:space="preserve">alsts kapitāla daļu privatizācijas, atsavināšanas un pārvaldīšanas procesā, </w:t>
      </w:r>
      <w:r w:rsidR="00CB0E22" w:rsidRPr="00CB0E22">
        <w:rPr>
          <w:bCs/>
          <w:sz w:val="28"/>
          <w:szCs w:val="28"/>
        </w:rPr>
        <w:t>akciju sabiedrības</w:t>
      </w:r>
      <w:r w:rsidR="004A64FF" w:rsidRPr="000237B3">
        <w:rPr>
          <w:bCs/>
          <w:sz w:val="28"/>
          <w:szCs w:val="28"/>
        </w:rPr>
        <w:t xml:space="preserve"> „</w:t>
      </w:r>
      <w:proofErr w:type="spellStart"/>
      <w:r w:rsidR="004A64FF" w:rsidRPr="000237B3">
        <w:rPr>
          <w:bCs/>
          <w:sz w:val="28"/>
          <w:szCs w:val="28"/>
        </w:rPr>
        <w:t>Reverta</w:t>
      </w:r>
      <w:proofErr w:type="spellEnd"/>
      <w:r w:rsidR="004A64FF" w:rsidRPr="000237B3">
        <w:rPr>
          <w:bCs/>
          <w:sz w:val="28"/>
          <w:szCs w:val="28"/>
        </w:rPr>
        <w:t xml:space="preserve">” un </w:t>
      </w:r>
      <w:r w:rsidR="00CB0E22" w:rsidRPr="00CB0E22">
        <w:rPr>
          <w:bCs/>
          <w:sz w:val="28"/>
          <w:szCs w:val="28"/>
        </w:rPr>
        <w:t>akciju sabiedrības</w:t>
      </w:r>
      <w:r w:rsidR="004A64FF" w:rsidRPr="000237B3">
        <w:rPr>
          <w:bCs/>
          <w:sz w:val="28"/>
          <w:szCs w:val="28"/>
        </w:rPr>
        <w:t xml:space="preserve"> „Citadele banka” pārvaldīšanas un atsavināšanas procesā, </w:t>
      </w:r>
      <w:r w:rsidR="004A64FF">
        <w:rPr>
          <w:bCs/>
          <w:sz w:val="28"/>
          <w:szCs w:val="28"/>
        </w:rPr>
        <w:t xml:space="preserve">kā arī </w:t>
      </w:r>
      <w:r w:rsidR="004A64FF" w:rsidRPr="000237B3">
        <w:rPr>
          <w:bCs/>
          <w:sz w:val="28"/>
          <w:szCs w:val="28"/>
        </w:rPr>
        <w:t>v</w:t>
      </w:r>
      <w:r w:rsidR="004A64FF" w:rsidRPr="000237B3">
        <w:rPr>
          <w:sz w:val="28"/>
          <w:szCs w:val="28"/>
        </w:rPr>
        <w:t>alsts līdzdalības nodrošināšana</w:t>
      </w:r>
      <w:r w:rsidR="004A64FF" w:rsidRPr="000237B3">
        <w:rPr>
          <w:bCs/>
          <w:sz w:val="28"/>
          <w:szCs w:val="28"/>
        </w:rPr>
        <w:t>i</w:t>
      </w:r>
      <w:r w:rsidR="004A64FF" w:rsidRPr="000237B3">
        <w:rPr>
          <w:sz w:val="28"/>
          <w:szCs w:val="28"/>
        </w:rPr>
        <w:t xml:space="preserve"> ogļūdeņražu ieguvē</w:t>
      </w:r>
      <w:r w:rsidR="004A64FF">
        <w:rPr>
          <w:sz w:val="28"/>
          <w:szCs w:val="28"/>
        </w:rPr>
        <w:t xml:space="preserve">. </w:t>
      </w:r>
    </w:p>
    <w:p w:rsidR="00C427D9" w:rsidRPr="000237B3" w:rsidRDefault="00744F58" w:rsidP="00C427D9">
      <w:pPr>
        <w:ind w:firstLine="709"/>
        <w:jc w:val="both"/>
        <w:rPr>
          <w:bCs/>
          <w:sz w:val="28"/>
          <w:szCs w:val="28"/>
        </w:rPr>
      </w:pPr>
      <w:r w:rsidRPr="000237B3">
        <w:rPr>
          <w:bCs/>
          <w:sz w:val="28"/>
          <w:szCs w:val="28"/>
        </w:rPr>
        <w:t>Ar p</w:t>
      </w:r>
      <w:r w:rsidRPr="000237B3">
        <w:rPr>
          <w:sz w:val="28"/>
          <w:szCs w:val="28"/>
        </w:rPr>
        <w:t>rivatizācijas sertifikāti</w:t>
      </w:r>
      <w:r w:rsidRPr="000237B3">
        <w:rPr>
          <w:bCs/>
          <w:sz w:val="28"/>
          <w:szCs w:val="28"/>
        </w:rPr>
        <w:t>em saistītās funkcijas nod</w:t>
      </w:r>
      <w:r w:rsidR="008A2AB3" w:rsidRPr="000237B3">
        <w:rPr>
          <w:bCs/>
          <w:sz w:val="28"/>
          <w:szCs w:val="28"/>
        </w:rPr>
        <w:t>rošināšanā šobrīd ir iesaistīt</w:t>
      </w:r>
      <w:r w:rsidR="001B0691" w:rsidRPr="000237B3">
        <w:rPr>
          <w:bCs/>
          <w:sz w:val="28"/>
          <w:szCs w:val="28"/>
        </w:rPr>
        <w:t>s</w:t>
      </w:r>
      <w:r w:rsidR="008A2AB3" w:rsidRPr="000237B3">
        <w:rPr>
          <w:bCs/>
          <w:sz w:val="28"/>
          <w:szCs w:val="28"/>
        </w:rPr>
        <w:t xml:space="preserve"> 1</w:t>
      </w:r>
      <w:r w:rsidRPr="000237B3">
        <w:rPr>
          <w:bCs/>
          <w:sz w:val="28"/>
          <w:szCs w:val="28"/>
        </w:rPr>
        <w:t xml:space="preserve"> darbiniek</w:t>
      </w:r>
      <w:r w:rsidR="008A2AB3" w:rsidRPr="000237B3">
        <w:rPr>
          <w:bCs/>
          <w:sz w:val="28"/>
          <w:szCs w:val="28"/>
        </w:rPr>
        <w:t>s</w:t>
      </w:r>
      <w:r w:rsidRPr="000237B3">
        <w:rPr>
          <w:bCs/>
          <w:sz w:val="28"/>
          <w:szCs w:val="28"/>
        </w:rPr>
        <w:t>. Šī štata vieta tiks likvidēt</w:t>
      </w:r>
      <w:r w:rsidR="001B0691" w:rsidRPr="000237B3">
        <w:rPr>
          <w:bCs/>
          <w:sz w:val="28"/>
          <w:szCs w:val="28"/>
        </w:rPr>
        <w:t>a</w:t>
      </w:r>
      <w:r w:rsidRPr="000237B3">
        <w:rPr>
          <w:bCs/>
          <w:sz w:val="28"/>
          <w:szCs w:val="28"/>
        </w:rPr>
        <w:t xml:space="preserve"> brīdī</w:t>
      </w:r>
      <w:r w:rsidR="001B0691" w:rsidRPr="000237B3">
        <w:rPr>
          <w:bCs/>
          <w:sz w:val="28"/>
          <w:szCs w:val="28"/>
        </w:rPr>
        <w:t>,</w:t>
      </w:r>
      <w:r w:rsidRPr="000237B3">
        <w:rPr>
          <w:bCs/>
          <w:sz w:val="28"/>
          <w:szCs w:val="28"/>
        </w:rPr>
        <w:t xml:space="preserve"> kad privatizācijas sertifikātu</w:t>
      </w:r>
      <w:r w:rsidR="00CC372B" w:rsidRPr="000237B3">
        <w:rPr>
          <w:bCs/>
          <w:sz w:val="28"/>
          <w:szCs w:val="28"/>
        </w:rPr>
        <w:t xml:space="preserve"> administrēšanas</w:t>
      </w:r>
      <w:r w:rsidRPr="000237B3">
        <w:rPr>
          <w:bCs/>
          <w:sz w:val="28"/>
          <w:szCs w:val="28"/>
        </w:rPr>
        <w:t xml:space="preserve"> funkcija tiks nodota</w:t>
      </w:r>
      <w:r w:rsidR="001B0691" w:rsidRPr="000237B3">
        <w:rPr>
          <w:bCs/>
          <w:sz w:val="28"/>
          <w:szCs w:val="28"/>
        </w:rPr>
        <w:t xml:space="preserve"> Ekonomikas ministrijai</w:t>
      </w:r>
      <w:r w:rsidRPr="000237B3">
        <w:rPr>
          <w:bCs/>
          <w:sz w:val="28"/>
          <w:szCs w:val="28"/>
        </w:rPr>
        <w:t>.</w:t>
      </w:r>
    </w:p>
    <w:p w:rsidR="00C427D9" w:rsidRPr="000237B3" w:rsidRDefault="00744F58" w:rsidP="00C427D9">
      <w:pPr>
        <w:ind w:firstLine="709"/>
        <w:jc w:val="both"/>
        <w:rPr>
          <w:bCs/>
          <w:sz w:val="28"/>
          <w:szCs w:val="28"/>
        </w:rPr>
      </w:pPr>
      <w:r w:rsidRPr="000237B3">
        <w:rPr>
          <w:sz w:val="28"/>
          <w:szCs w:val="28"/>
        </w:rPr>
        <w:t xml:space="preserve">Noslēgto līgumu un </w:t>
      </w:r>
      <w:r w:rsidR="00CC372B" w:rsidRPr="000237B3">
        <w:rPr>
          <w:sz w:val="28"/>
          <w:szCs w:val="28"/>
        </w:rPr>
        <w:t xml:space="preserve">tajos ietverto </w:t>
      </w:r>
      <w:r w:rsidRPr="000237B3">
        <w:rPr>
          <w:sz w:val="28"/>
          <w:szCs w:val="28"/>
        </w:rPr>
        <w:t>privatizācijas nosacījumu izpildes kontr</w:t>
      </w:r>
      <w:r w:rsidRPr="000237B3">
        <w:rPr>
          <w:bCs/>
          <w:sz w:val="28"/>
          <w:szCs w:val="28"/>
        </w:rPr>
        <w:t xml:space="preserve">oles procesā šobrīd ir iesaistīti </w:t>
      </w:r>
      <w:r w:rsidR="008A2AB3" w:rsidRPr="000237B3">
        <w:rPr>
          <w:bCs/>
          <w:sz w:val="28"/>
          <w:szCs w:val="28"/>
        </w:rPr>
        <w:t>5</w:t>
      </w:r>
      <w:r w:rsidRPr="000237B3">
        <w:rPr>
          <w:bCs/>
          <w:sz w:val="28"/>
          <w:szCs w:val="28"/>
        </w:rPr>
        <w:t xml:space="preserve"> darbinieki. Ņemot vērā, ka līgumu un privatizācijas nosacījumu izpildes kontroles process jāveic līdz</w:t>
      </w:r>
      <w:r w:rsidR="00CF3E6B" w:rsidRPr="000237B3">
        <w:rPr>
          <w:bCs/>
          <w:sz w:val="28"/>
          <w:szCs w:val="28"/>
        </w:rPr>
        <w:t xml:space="preserve"> Aģentūras </w:t>
      </w:r>
      <w:r w:rsidRPr="000237B3">
        <w:rPr>
          <w:bCs/>
          <w:sz w:val="28"/>
          <w:szCs w:val="28"/>
        </w:rPr>
        <w:t xml:space="preserve">darbības izbeigšanai un kontrolē esošo līgumu skaita samazinājums </w:t>
      </w:r>
      <w:r w:rsidR="008A2AB3" w:rsidRPr="000237B3">
        <w:rPr>
          <w:bCs/>
          <w:sz w:val="28"/>
          <w:szCs w:val="28"/>
        </w:rPr>
        <w:t>līdz 2014</w:t>
      </w:r>
      <w:r w:rsidR="0033476F" w:rsidRPr="000237B3">
        <w:rPr>
          <w:bCs/>
          <w:sz w:val="28"/>
          <w:szCs w:val="28"/>
        </w:rPr>
        <w:t>.gada 31.decembrim</w:t>
      </w:r>
      <w:r w:rsidR="008A2AB3" w:rsidRPr="000237B3">
        <w:rPr>
          <w:bCs/>
          <w:sz w:val="28"/>
          <w:szCs w:val="28"/>
        </w:rPr>
        <w:t xml:space="preserve"> </w:t>
      </w:r>
      <w:r w:rsidRPr="000237B3">
        <w:rPr>
          <w:bCs/>
          <w:sz w:val="28"/>
          <w:szCs w:val="28"/>
        </w:rPr>
        <w:t>ir paredzams neliels</w:t>
      </w:r>
      <w:r w:rsidR="008A2AB3" w:rsidRPr="000237B3">
        <w:rPr>
          <w:bCs/>
          <w:sz w:val="28"/>
          <w:szCs w:val="28"/>
        </w:rPr>
        <w:t xml:space="preserve"> (skatīt tabulu Nr.</w:t>
      </w:r>
      <w:r w:rsidR="006F3F0F" w:rsidRPr="000237B3">
        <w:rPr>
          <w:bCs/>
          <w:sz w:val="28"/>
          <w:szCs w:val="28"/>
        </w:rPr>
        <w:t>3</w:t>
      </w:r>
      <w:r w:rsidR="008A2AB3" w:rsidRPr="000237B3">
        <w:rPr>
          <w:bCs/>
          <w:sz w:val="28"/>
          <w:szCs w:val="28"/>
        </w:rPr>
        <w:t>.)</w:t>
      </w:r>
      <w:r w:rsidRPr="000237B3">
        <w:rPr>
          <w:bCs/>
          <w:sz w:val="28"/>
          <w:szCs w:val="28"/>
        </w:rPr>
        <w:t xml:space="preserve">, tad nav paredzēts samazināt minētajā procesā iesaistīto darbinieku skaitu. </w:t>
      </w:r>
    </w:p>
    <w:p w:rsidR="00F45FCE" w:rsidRPr="000237B3" w:rsidRDefault="00744F58" w:rsidP="00F45FCE">
      <w:pPr>
        <w:ind w:firstLine="709"/>
        <w:jc w:val="both"/>
        <w:rPr>
          <w:bCs/>
          <w:sz w:val="28"/>
          <w:szCs w:val="28"/>
        </w:rPr>
      </w:pPr>
      <w:r w:rsidRPr="000237B3">
        <w:rPr>
          <w:bCs/>
          <w:sz w:val="28"/>
          <w:szCs w:val="28"/>
        </w:rPr>
        <w:t xml:space="preserve">Tiesvedību procesu nodrošināšanā šobrīd ir iesaistīti </w:t>
      </w:r>
      <w:r w:rsidR="00F45FCE" w:rsidRPr="000237B3">
        <w:rPr>
          <w:bCs/>
          <w:sz w:val="28"/>
          <w:szCs w:val="28"/>
        </w:rPr>
        <w:t>6</w:t>
      </w:r>
      <w:r w:rsidRPr="000237B3">
        <w:rPr>
          <w:bCs/>
          <w:sz w:val="28"/>
          <w:szCs w:val="28"/>
        </w:rPr>
        <w:t xml:space="preserve"> darbinieki. Ņemot vērā, ka tiesvedību procesi turpināsies līdz </w:t>
      </w:r>
      <w:r w:rsidR="00040CF6" w:rsidRPr="000237B3">
        <w:rPr>
          <w:sz w:val="28"/>
          <w:szCs w:val="28"/>
        </w:rPr>
        <w:t>Aģentūras</w:t>
      </w:r>
      <w:r w:rsidRPr="000237B3">
        <w:rPr>
          <w:bCs/>
          <w:sz w:val="28"/>
          <w:szCs w:val="28"/>
        </w:rPr>
        <w:t xml:space="preserve"> darbības izbeigšanai un to skaita samazināšanās nav paredzama, tad nav paredzēts samazināt tiesvedības procesu nodrošināšanā iesaistīto darbinieku skaitu. </w:t>
      </w:r>
    </w:p>
    <w:p w:rsidR="00744F58" w:rsidRPr="000237B3" w:rsidRDefault="00040CF6" w:rsidP="00F45FCE">
      <w:pPr>
        <w:ind w:firstLine="709"/>
        <w:jc w:val="both"/>
        <w:rPr>
          <w:sz w:val="28"/>
          <w:szCs w:val="28"/>
        </w:rPr>
      </w:pPr>
      <w:r w:rsidRPr="000237B3">
        <w:rPr>
          <w:sz w:val="28"/>
          <w:szCs w:val="28"/>
        </w:rPr>
        <w:t xml:space="preserve">Aģentūras </w:t>
      </w:r>
      <w:r w:rsidR="00744F58" w:rsidRPr="000237B3">
        <w:rPr>
          <w:sz w:val="28"/>
          <w:szCs w:val="28"/>
        </w:rPr>
        <w:t>darbības nodrošināšanā</w:t>
      </w:r>
      <w:r w:rsidR="00F45FCE" w:rsidRPr="000237B3">
        <w:rPr>
          <w:sz w:val="28"/>
          <w:szCs w:val="28"/>
        </w:rPr>
        <w:t xml:space="preserve"> (administratīva</w:t>
      </w:r>
      <w:r w:rsidR="000C5FE9" w:rsidRPr="000237B3">
        <w:rPr>
          <w:sz w:val="28"/>
          <w:szCs w:val="28"/>
        </w:rPr>
        <w:t>jā dienestā</w:t>
      </w:r>
      <w:r w:rsidR="00F45FCE" w:rsidRPr="000237B3">
        <w:rPr>
          <w:sz w:val="28"/>
          <w:szCs w:val="28"/>
        </w:rPr>
        <w:t>)</w:t>
      </w:r>
      <w:r w:rsidR="00744F58" w:rsidRPr="000237B3">
        <w:rPr>
          <w:sz w:val="28"/>
          <w:szCs w:val="28"/>
        </w:rPr>
        <w:t xml:space="preserve"> ir iesaistīti </w:t>
      </w:r>
      <w:r w:rsidR="000C5FE9" w:rsidRPr="000237B3">
        <w:rPr>
          <w:sz w:val="28"/>
          <w:szCs w:val="28"/>
        </w:rPr>
        <w:t>9</w:t>
      </w:r>
      <w:r w:rsidR="00744F58" w:rsidRPr="000237B3">
        <w:rPr>
          <w:sz w:val="28"/>
          <w:szCs w:val="28"/>
        </w:rPr>
        <w:t xml:space="preserve"> darbinieki</w:t>
      </w:r>
      <w:r w:rsidR="000C5FE9" w:rsidRPr="000237B3">
        <w:rPr>
          <w:sz w:val="28"/>
          <w:szCs w:val="28"/>
        </w:rPr>
        <w:t xml:space="preserve">. Finanšu dienestā ir nodarbināti </w:t>
      </w:r>
      <w:r w:rsidR="00785925">
        <w:rPr>
          <w:sz w:val="28"/>
          <w:szCs w:val="28"/>
        </w:rPr>
        <w:t>10</w:t>
      </w:r>
      <w:r w:rsidR="00785925" w:rsidRPr="000237B3">
        <w:rPr>
          <w:sz w:val="28"/>
          <w:szCs w:val="28"/>
        </w:rPr>
        <w:t xml:space="preserve"> </w:t>
      </w:r>
      <w:r w:rsidR="000C5FE9" w:rsidRPr="000237B3">
        <w:rPr>
          <w:sz w:val="28"/>
          <w:szCs w:val="28"/>
        </w:rPr>
        <w:t xml:space="preserve">darbinieki, no tiem Aģentūras darbības nodrošināšanā iesaistīti </w:t>
      </w:r>
      <w:r w:rsidR="00242538" w:rsidRPr="000237B3">
        <w:rPr>
          <w:sz w:val="28"/>
          <w:szCs w:val="28"/>
        </w:rPr>
        <w:t>2</w:t>
      </w:r>
      <w:r w:rsidR="000C5FE9" w:rsidRPr="000237B3">
        <w:rPr>
          <w:sz w:val="28"/>
          <w:szCs w:val="28"/>
        </w:rPr>
        <w:t xml:space="preserve"> darbinieki</w:t>
      </w:r>
      <w:r w:rsidR="00744F58" w:rsidRPr="000237B3">
        <w:rPr>
          <w:sz w:val="28"/>
          <w:szCs w:val="28"/>
        </w:rPr>
        <w:t>. Ņemot vērā, ka minētajā procesā iesaistīto darbinieku skaits jau šobrīd ir samazināts</w:t>
      </w:r>
      <w:r w:rsidR="00F45FCE" w:rsidRPr="000237B3">
        <w:rPr>
          <w:sz w:val="28"/>
          <w:szCs w:val="28"/>
        </w:rPr>
        <w:t xml:space="preserve"> un, ka līdz 2014.</w:t>
      </w:r>
      <w:r w:rsidR="004C5AD5" w:rsidRPr="000237B3">
        <w:rPr>
          <w:sz w:val="28"/>
          <w:szCs w:val="28"/>
        </w:rPr>
        <w:t>gada 31.decembrim</w:t>
      </w:r>
      <w:r w:rsidR="00F45FCE" w:rsidRPr="000237B3">
        <w:rPr>
          <w:sz w:val="28"/>
          <w:szCs w:val="28"/>
        </w:rPr>
        <w:t xml:space="preserve"> </w:t>
      </w:r>
      <w:r w:rsidR="00755F84" w:rsidRPr="000237B3">
        <w:rPr>
          <w:sz w:val="28"/>
          <w:szCs w:val="28"/>
        </w:rPr>
        <w:t>Aģentūras</w:t>
      </w:r>
      <w:r w:rsidR="00F45FCE" w:rsidRPr="000237B3">
        <w:rPr>
          <w:sz w:val="28"/>
          <w:szCs w:val="28"/>
        </w:rPr>
        <w:t xml:space="preserve"> funkciju skaits nozīmīgi nemazināsies</w:t>
      </w:r>
      <w:r w:rsidR="00744F58" w:rsidRPr="000237B3">
        <w:rPr>
          <w:sz w:val="28"/>
          <w:szCs w:val="28"/>
        </w:rPr>
        <w:t xml:space="preserve">, tad nav paredzēts turpināt samazināt minētajā procesā iesaistīto darbinieku skaitu. </w:t>
      </w:r>
    </w:p>
    <w:p w:rsidR="00744F58" w:rsidRPr="000237B3" w:rsidRDefault="00744F58" w:rsidP="00744F58">
      <w:pPr>
        <w:jc w:val="both"/>
        <w:rPr>
          <w:rFonts w:cs="Times New Roman"/>
          <w:sz w:val="28"/>
          <w:szCs w:val="28"/>
          <w:u w:val="single"/>
        </w:rPr>
      </w:pPr>
    </w:p>
    <w:p w:rsidR="00744F58" w:rsidRPr="000237B3" w:rsidRDefault="00CB0E22" w:rsidP="00744F58">
      <w:pPr>
        <w:jc w:val="both"/>
        <w:rPr>
          <w:rFonts w:cs="Times New Roman"/>
          <w:sz w:val="28"/>
          <w:szCs w:val="28"/>
          <w:u w:val="single"/>
        </w:rPr>
      </w:pPr>
      <w:r>
        <w:rPr>
          <w:rFonts w:cs="Times New Roman"/>
          <w:sz w:val="28"/>
          <w:szCs w:val="28"/>
          <w:u w:val="single"/>
        </w:rPr>
        <w:t>Akciju sabiedrība</w:t>
      </w:r>
      <w:r w:rsidR="00744F58" w:rsidRPr="000237B3">
        <w:rPr>
          <w:rFonts w:cs="Times New Roman"/>
          <w:sz w:val="28"/>
          <w:szCs w:val="28"/>
          <w:u w:val="single"/>
        </w:rPr>
        <w:t xml:space="preserve"> „Citadele banka” un </w:t>
      </w:r>
      <w:r>
        <w:rPr>
          <w:rFonts w:cs="Times New Roman"/>
          <w:sz w:val="28"/>
          <w:szCs w:val="28"/>
          <w:u w:val="single"/>
        </w:rPr>
        <w:t>akciju sabiedrība</w:t>
      </w:r>
      <w:r w:rsidRPr="00CB0E22">
        <w:rPr>
          <w:rFonts w:cs="Times New Roman"/>
          <w:sz w:val="28"/>
          <w:szCs w:val="28"/>
          <w:u w:val="single"/>
        </w:rPr>
        <w:t xml:space="preserve"> </w:t>
      </w:r>
      <w:r w:rsidR="00744F58" w:rsidRPr="000237B3">
        <w:rPr>
          <w:rFonts w:cs="Times New Roman"/>
          <w:sz w:val="28"/>
          <w:szCs w:val="28"/>
          <w:u w:val="single"/>
        </w:rPr>
        <w:t>„</w:t>
      </w:r>
      <w:proofErr w:type="spellStart"/>
      <w:r w:rsidR="00744F58" w:rsidRPr="000237B3">
        <w:rPr>
          <w:rFonts w:cs="Times New Roman"/>
          <w:sz w:val="28"/>
          <w:szCs w:val="28"/>
          <w:u w:val="single"/>
        </w:rPr>
        <w:t>Reverta</w:t>
      </w:r>
      <w:proofErr w:type="spellEnd"/>
      <w:r w:rsidR="00744F58" w:rsidRPr="000237B3">
        <w:rPr>
          <w:rFonts w:cs="Times New Roman"/>
          <w:sz w:val="28"/>
          <w:szCs w:val="28"/>
          <w:u w:val="single"/>
        </w:rPr>
        <w:t>”</w:t>
      </w:r>
      <w:r w:rsidR="00CE3DF2">
        <w:rPr>
          <w:rFonts w:cs="Times New Roman"/>
          <w:sz w:val="28"/>
          <w:szCs w:val="28"/>
          <w:u w:val="single"/>
        </w:rPr>
        <w:t xml:space="preserve"> </w:t>
      </w:r>
    </w:p>
    <w:p w:rsidR="00C54D95" w:rsidRDefault="00C54D95" w:rsidP="00C54D95">
      <w:pPr>
        <w:ind w:firstLine="720"/>
        <w:jc w:val="both"/>
        <w:rPr>
          <w:rFonts w:cs="Times New Roman"/>
          <w:sz w:val="28"/>
          <w:szCs w:val="28"/>
        </w:rPr>
      </w:pPr>
      <w:r w:rsidRPr="000237B3">
        <w:rPr>
          <w:rFonts w:cs="Times New Roman"/>
          <w:sz w:val="28"/>
          <w:szCs w:val="28"/>
        </w:rPr>
        <w:t xml:space="preserve">Aģentūrai ir būtiskas izmaksas, kas saistītas ar </w:t>
      </w:r>
      <w:r w:rsidR="00CB0E22" w:rsidRPr="00CB0E22">
        <w:rPr>
          <w:rFonts w:cs="Times New Roman"/>
          <w:sz w:val="28"/>
          <w:szCs w:val="28"/>
        </w:rPr>
        <w:t>akciju sabiedrības</w:t>
      </w:r>
      <w:r w:rsidRPr="000237B3">
        <w:rPr>
          <w:rFonts w:cs="Times New Roman"/>
          <w:sz w:val="28"/>
          <w:szCs w:val="28"/>
        </w:rPr>
        <w:t xml:space="preserve"> „Citadele banka” un </w:t>
      </w:r>
      <w:r w:rsidR="00CB0E22" w:rsidRPr="00CB0E22">
        <w:rPr>
          <w:rFonts w:cs="Times New Roman"/>
          <w:sz w:val="28"/>
          <w:szCs w:val="28"/>
        </w:rPr>
        <w:t>akciju sabiedrības</w:t>
      </w:r>
      <w:r w:rsidRPr="000237B3">
        <w:rPr>
          <w:rFonts w:cs="Times New Roman"/>
          <w:sz w:val="28"/>
          <w:szCs w:val="28"/>
        </w:rPr>
        <w:t xml:space="preserve"> „</w:t>
      </w:r>
      <w:proofErr w:type="spellStart"/>
      <w:r w:rsidRPr="000237B3">
        <w:rPr>
          <w:rFonts w:cs="Times New Roman"/>
          <w:sz w:val="28"/>
          <w:szCs w:val="28"/>
        </w:rPr>
        <w:t>Reverta</w:t>
      </w:r>
      <w:proofErr w:type="spellEnd"/>
      <w:r w:rsidRPr="000237B3">
        <w:rPr>
          <w:rFonts w:cs="Times New Roman"/>
          <w:sz w:val="28"/>
          <w:szCs w:val="28"/>
        </w:rPr>
        <w:t xml:space="preserve">” pārvaldību un </w:t>
      </w:r>
      <w:r w:rsidRPr="000237B3">
        <w:rPr>
          <w:rFonts w:cs="Times New Roman"/>
          <w:sz w:val="28"/>
          <w:szCs w:val="28"/>
        </w:rPr>
        <w:lastRenderedPageBreak/>
        <w:t xml:space="preserve">pārdošanu, kā arī ar esošajām tiesvedībām. Sākot ar 2009.gadu </w:t>
      </w:r>
      <w:r w:rsidR="00451CCA">
        <w:rPr>
          <w:rFonts w:cs="Times New Roman"/>
          <w:sz w:val="28"/>
          <w:szCs w:val="28"/>
        </w:rPr>
        <w:t xml:space="preserve">līdz 2012.gada beigām </w:t>
      </w:r>
      <w:r w:rsidRPr="000237B3">
        <w:rPr>
          <w:rFonts w:cs="Times New Roman"/>
          <w:sz w:val="28"/>
          <w:szCs w:val="28"/>
        </w:rPr>
        <w:t>Aģentūrai izdevumi ir 1,73 milj.latu apmērā (tajā skaitā atlīdzība finanšu konsultantam Nomura International plc 1,</w:t>
      </w:r>
      <w:r w:rsidR="00041348" w:rsidRPr="000237B3">
        <w:rPr>
          <w:rFonts w:cs="Times New Roman"/>
          <w:sz w:val="28"/>
          <w:szCs w:val="28"/>
        </w:rPr>
        <w:t xml:space="preserve">11 </w:t>
      </w:r>
      <w:r w:rsidRPr="000237B3">
        <w:rPr>
          <w:rFonts w:cs="Times New Roman"/>
          <w:sz w:val="28"/>
          <w:szCs w:val="28"/>
        </w:rPr>
        <w:t xml:space="preserve">milj.latu apmērā). Jāatzīmē, ka </w:t>
      </w:r>
      <w:r w:rsidR="00755F84" w:rsidRPr="000237B3">
        <w:rPr>
          <w:rFonts w:cs="Times New Roman"/>
          <w:sz w:val="28"/>
          <w:szCs w:val="28"/>
        </w:rPr>
        <w:t>Aģentūra</w:t>
      </w:r>
      <w:r w:rsidRPr="000237B3">
        <w:rPr>
          <w:rFonts w:cs="Times New Roman"/>
          <w:sz w:val="28"/>
          <w:szCs w:val="28"/>
        </w:rPr>
        <w:t xml:space="preserve"> bija plānojusi atgūt </w:t>
      </w:r>
      <w:r w:rsidR="00CB0E22" w:rsidRPr="00CB0E22">
        <w:rPr>
          <w:rFonts w:cs="Times New Roman"/>
          <w:sz w:val="28"/>
          <w:szCs w:val="28"/>
        </w:rPr>
        <w:t>akciju sabiedrības</w:t>
      </w:r>
      <w:r w:rsidRPr="000237B3">
        <w:rPr>
          <w:rFonts w:cs="Times New Roman"/>
          <w:sz w:val="28"/>
          <w:szCs w:val="28"/>
        </w:rPr>
        <w:t xml:space="preserve"> „Citadele banka” un </w:t>
      </w:r>
      <w:r w:rsidR="00CB0E22" w:rsidRPr="00CB0E22">
        <w:rPr>
          <w:rFonts w:cs="Times New Roman"/>
          <w:sz w:val="28"/>
          <w:szCs w:val="28"/>
        </w:rPr>
        <w:t>akciju sabiedrības</w:t>
      </w:r>
      <w:r w:rsidRPr="000237B3">
        <w:rPr>
          <w:rFonts w:cs="Times New Roman"/>
          <w:sz w:val="28"/>
          <w:szCs w:val="28"/>
        </w:rPr>
        <w:t> „</w:t>
      </w:r>
      <w:proofErr w:type="spellStart"/>
      <w:r w:rsidRPr="000237B3">
        <w:rPr>
          <w:rFonts w:cs="Times New Roman"/>
          <w:sz w:val="28"/>
          <w:szCs w:val="28"/>
        </w:rPr>
        <w:t>Reverta</w:t>
      </w:r>
      <w:proofErr w:type="spellEnd"/>
      <w:r w:rsidRPr="000237B3">
        <w:rPr>
          <w:rFonts w:cs="Times New Roman"/>
          <w:sz w:val="28"/>
          <w:szCs w:val="28"/>
        </w:rPr>
        <w:t xml:space="preserve">” pārvaldīšanai un pārdošanai iztērētos līdzekļus, kurus ieturētu no </w:t>
      </w:r>
      <w:r w:rsidR="00CB0E22" w:rsidRPr="00CB0E22">
        <w:rPr>
          <w:rFonts w:cs="Times New Roman"/>
          <w:sz w:val="28"/>
          <w:szCs w:val="28"/>
        </w:rPr>
        <w:t>akciju sabiedrības</w:t>
      </w:r>
      <w:r w:rsidRPr="000237B3">
        <w:rPr>
          <w:rFonts w:cs="Times New Roman"/>
          <w:sz w:val="28"/>
          <w:szCs w:val="28"/>
        </w:rPr>
        <w:t xml:space="preserve"> „Citadele banka” pārdošanas. </w:t>
      </w:r>
    </w:p>
    <w:p w:rsidR="00CE3DF2" w:rsidRPr="000237B3" w:rsidRDefault="00066330" w:rsidP="00C54D95">
      <w:pPr>
        <w:ind w:firstLine="720"/>
        <w:jc w:val="both"/>
        <w:rPr>
          <w:rFonts w:cs="Times New Roman"/>
          <w:sz w:val="28"/>
          <w:szCs w:val="28"/>
        </w:rPr>
      </w:pPr>
      <w:r>
        <w:rPr>
          <w:rFonts w:cs="Times New Roman"/>
          <w:sz w:val="28"/>
          <w:szCs w:val="28"/>
        </w:rPr>
        <w:t xml:space="preserve">Nepieciešamais </w:t>
      </w:r>
      <w:r>
        <w:rPr>
          <w:sz w:val="28"/>
          <w:szCs w:val="28"/>
        </w:rPr>
        <w:t xml:space="preserve">līdzekļu apmērs, lai nodrošinātu Aģentūras darbību tās darbības izbeigšanas stratēģijas otrajā etapā (skat. šī ziņojuma VI sadaļu), tiks </w:t>
      </w:r>
      <w:r w:rsidR="00260FE3">
        <w:rPr>
          <w:sz w:val="28"/>
          <w:szCs w:val="28"/>
        </w:rPr>
        <w:t>ietverts informatīvajā ziņojumā</w:t>
      </w:r>
      <w:r w:rsidR="00D11C17">
        <w:rPr>
          <w:sz w:val="28"/>
          <w:szCs w:val="28"/>
        </w:rPr>
        <w:t>, kas tiks izstrādāts, gatavojoties Aģentūras darbības izbeigšanas stratēģijas otrā etapa ieviešanai,</w:t>
      </w:r>
      <w:r w:rsidR="00260FE3">
        <w:rPr>
          <w:sz w:val="28"/>
          <w:szCs w:val="28"/>
        </w:rPr>
        <w:t xml:space="preserve"> ar mērķi </w:t>
      </w:r>
      <w:r w:rsidRPr="00066330">
        <w:rPr>
          <w:sz w:val="28"/>
          <w:szCs w:val="28"/>
        </w:rPr>
        <w:t>reorganizēt Aģentūru – nemainot juridisko statusu, bet mainot tās darbības mērķus un nosaukumu.</w:t>
      </w:r>
    </w:p>
    <w:p w:rsidR="00C54D95" w:rsidRPr="000237B3" w:rsidRDefault="00755F84" w:rsidP="00C54D95">
      <w:pPr>
        <w:pStyle w:val="Heading4"/>
        <w:rPr>
          <w:rFonts w:ascii="Times New Roman" w:eastAsiaTheme="minorEastAsia" w:hAnsi="Times New Roman" w:cstheme="minorBidi"/>
          <w:bCs w:val="0"/>
          <w:i w:val="0"/>
          <w:iCs w:val="0"/>
          <w:sz w:val="28"/>
          <w:szCs w:val="28"/>
        </w:rPr>
      </w:pPr>
      <w:r w:rsidRPr="000237B3">
        <w:rPr>
          <w:rFonts w:ascii="Times New Roman" w:eastAsiaTheme="minorEastAsia" w:hAnsi="Times New Roman" w:cstheme="minorBidi"/>
          <w:bCs w:val="0"/>
          <w:i w:val="0"/>
          <w:iCs w:val="0"/>
          <w:sz w:val="28"/>
          <w:szCs w:val="28"/>
        </w:rPr>
        <w:t>Ē</w:t>
      </w:r>
      <w:r w:rsidR="00C54D95" w:rsidRPr="000237B3">
        <w:rPr>
          <w:rFonts w:ascii="Times New Roman" w:eastAsiaTheme="minorEastAsia" w:hAnsi="Times New Roman" w:cstheme="minorBidi"/>
          <w:bCs w:val="0"/>
          <w:i w:val="0"/>
          <w:iCs w:val="0"/>
          <w:sz w:val="28"/>
          <w:szCs w:val="28"/>
        </w:rPr>
        <w:t>kas</w:t>
      </w:r>
    </w:p>
    <w:p w:rsidR="00C54D95" w:rsidRPr="000237B3" w:rsidRDefault="00C54D95" w:rsidP="00C54D95">
      <w:pPr>
        <w:ind w:firstLine="720"/>
        <w:jc w:val="both"/>
        <w:rPr>
          <w:sz w:val="28"/>
          <w:szCs w:val="28"/>
        </w:rPr>
      </w:pPr>
      <w:r w:rsidRPr="000237B3">
        <w:rPr>
          <w:sz w:val="28"/>
          <w:szCs w:val="28"/>
        </w:rPr>
        <w:t xml:space="preserve">Aģentūras īpašumā ir ēkas Rīgā, K.Valdemāra ielā 31 ar atlikušo bilances vērtību uz </w:t>
      </w:r>
      <w:r w:rsidR="007B0334" w:rsidRPr="000237B3">
        <w:rPr>
          <w:sz w:val="28"/>
          <w:szCs w:val="28"/>
        </w:rPr>
        <w:t>31.12</w:t>
      </w:r>
      <w:r w:rsidRPr="000237B3">
        <w:rPr>
          <w:sz w:val="28"/>
          <w:szCs w:val="28"/>
        </w:rPr>
        <w:t xml:space="preserve">.2012. </w:t>
      </w:r>
      <w:r w:rsidR="0006152D">
        <w:rPr>
          <w:sz w:val="28"/>
          <w:szCs w:val="28"/>
        </w:rPr>
        <w:t>703</w:t>
      </w:r>
      <w:r w:rsidR="00C27343">
        <w:rPr>
          <w:sz w:val="28"/>
          <w:szCs w:val="28"/>
        </w:rPr>
        <w:t>,</w:t>
      </w:r>
      <w:r w:rsidR="0006152D">
        <w:rPr>
          <w:sz w:val="28"/>
          <w:szCs w:val="28"/>
        </w:rPr>
        <w:t>9</w:t>
      </w:r>
      <w:r w:rsidRPr="000237B3">
        <w:rPr>
          <w:sz w:val="28"/>
          <w:szCs w:val="28"/>
        </w:rPr>
        <w:t xml:space="preserve"> </w:t>
      </w:r>
      <w:proofErr w:type="spellStart"/>
      <w:r w:rsidRPr="000237B3">
        <w:rPr>
          <w:sz w:val="28"/>
          <w:szCs w:val="28"/>
        </w:rPr>
        <w:t>tūkst.latu</w:t>
      </w:r>
      <w:proofErr w:type="spellEnd"/>
      <w:r w:rsidRPr="000237B3">
        <w:rPr>
          <w:sz w:val="28"/>
          <w:szCs w:val="28"/>
        </w:rPr>
        <w:t xml:space="preserve"> apmērā (2553.15 m</w:t>
      </w:r>
      <w:r w:rsidRPr="000237B3">
        <w:rPr>
          <w:sz w:val="28"/>
          <w:szCs w:val="28"/>
          <w:vertAlign w:val="superscript"/>
        </w:rPr>
        <w:t>2</w:t>
      </w:r>
      <w:r w:rsidRPr="000237B3">
        <w:rPr>
          <w:sz w:val="28"/>
          <w:szCs w:val="28"/>
        </w:rPr>
        <w:t>), tajā skaitā:</w:t>
      </w:r>
    </w:p>
    <w:p w:rsidR="00C54D95" w:rsidRPr="000237B3" w:rsidRDefault="00C54D95" w:rsidP="00C54D95">
      <w:pPr>
        <w:pStyle w:val="ListParagraph"/>
        <w:numPr>
          <w:ilvl w:val="0"/>
          <w:numId w:val="3"/>
        </w:numPr>
        <w:jc w:val="both"/>
        <w:rPr>
          <w:rFonts w:cs="Times New Roman"/>
          <w:sz w:val="28"/>
          <w:szCs w:val="28"/>
        </w:rPr>
      </w:pPr>
      <w:r w:rsidRPr="000237B3">
        <w:rPr>
          <w:rFonts w:cs="Times New Roman"/>
          <w:sz w:val="28"/>
          <w:szCs w:val="28"/>
        </w:rPr>
        <w:t xml:space="preserve">7-stāvu ēka </w:t>
      </w:r>
      <w:r w:rsidR="0006152D">
        <w:rPr>
          <w:rFonts w:cs="Times New Roman"/>
          <w:sz w:val="28"/>
          <w:szCs w:val="28"/>
        </w:rPr>
        <w:t>666</w:t>
      </w:r>
      <w:r w:rsidR="00C27343">
        <w:rPr>
          <w:rFonts w:cs="Times New Roman"/>
          <w:sz w:val="28"/>
          <w:szCs w:val="28"/>
        </w:rPr>
        <w:t>,</w:t>
      </w:r>
      <w:r w:rsidR="0006152D">
        <w:rPr>
          <w:rFonts w:cs="Times New Roman"/>
          <w:sz w:val="28"/>
          <w:szCs w:val="28"/>
        </w:rPr>
        <w:t>8</w:t>
      </w:r>
      <w:r w:rsidRPr="000237B3">
        <w:rPr>
          <w:rFonts w:cs="Times New Roman"/>
          <w:sz w:val="28"/>
          <w:szCs w:val="28"/>
        </w:rPr>
        <w:t xml:space="preserve"> </w:t>
      </w:r>
      <w:proofErr w:type="spellStart"/>
      <w:r w:rsidRPr="000237B3">
        <w:rPr>
          <w:rFonts w:cs="Times New Roman"/>
          <w:sz w:val="28"/>
          <w:szCs w:val="28"/>
        </w:rPr>
        <w:t>tūkst.latu</w:t>
      </w:r>
      <w:proofErr w:type="spellEnd"/>
      <w:r w:rsidRPr="000237B3">
        <w:rPr>
          <w:rFonts w:cs="Times New Roman"/>
          <w:sz w:val="28"/>
          <w:szCs w:val="28"/>
        </w:rPr>
        <w:t xml:space="preserve"> (</w:t>
      </w:r>
      <w:r w:rsidRPr="000237B3">
        <w:rPr>
          <w:sz w:val="28"/>
          <w:szCs w:val="28"/>
        </w:rPr>
        <w:t>2304.75 m</w:t>
      </w:r>
      <w:r w:rsidRPr="000237B3">
        <w:rPr>
          <w:sz w:val="28"/>
          <w:szCs w:val="28"/>
          <w:vertAlign w:val="superscript"/>
        </w:rPr>
        <w:t>2</w:t>
      </w:r>
      <w:r w:rsidRPr="000237B3">
        <w:rPr>
          <w:sz w:val="28"/>
          <w:szCs w:val="28"/>
        </w:rPr>
        <w:t>)</w:t>
      </w:r>
      <w:r w:rsidRPr="000237B3">
        <w:rPr>
          <w:rFonts w:cs="Times New Roman"/>
          <w:sz w:val="28"/>
          <w:szCs w:val="28"/>
        </w:rPr>
        <w:t>;</w:t>
      </w:r>
    </w:p>
    <w:p w:rsidR="00C54D95" w:rsidRPr="000237B3" w:rsidRDefault="00C54D95" w:rsidP="00C54D95">
      <w:pPr>
        <w:numPr>
          <w:ilvl w:val="0"/>
          <w:numId w:val="2"/>
        </w:numPr>
        <w:jc w:val="both"/>
        <w:rPr>
          <w:rFonts w:cs="Times New Roman"/>
          <w:sz w:val="28"/>
          <w:szCs w:val="28"/>
        </w:rPr>
      </w:pPr>
      <w:r w:rsidRPr="000237B3">
        <w:rPr>
          <w:rFonts w:cs="Times New Roman"/>
          <w:sz w:val="28"/>
          <w:szCs w:val="28"/>
        </w:rPr>
        <w:t xml:space="preserve">3-stāvu ēka </w:t>
      </w:r>
      <w:r w:rsidR="00041348" w:rsidRPr="000237B3">
        <w:rPr>
          <w:rFonts w:cs="Times New Roman"/>
          <w:sz w:val="28"/>
          <w:szCs w:val="28"/>
        </w:rPr>
        <w:t>20,2</w:t>
      </w:r>
      <w:r w:rsidRPr="000237B3">
        <w:rPr>
          <w:rFonts w:cs="Times New Roman"/>
          <w:sz w:val="28"/>
          <w:szCs w:val="28"/>
        </w:rPr>
        <w:t xml:space="preserve"> tūkst.latu (</w:t>
      </w:r>
      <w:r w:rsidRPr="000237B3">
        <w:rPr>
          <w:sz w:val="28"/>
          <w:szCs w:val="28"/>
        </w:rPr>
        <w:t>119.5 m</w:t>
      </w:r>
      <w:r w:rsidRPr="000237B3">
        <w:rPr>
          <w:sz w:val="28"/>
          <w:szCs w:val="28"/>
          <w:vertAlign w:val="superscript"/>
        </w:rPr>
        <w:t>2</w:t>
      </w:r>
      <w:r w:rsidRPr="000237B3">
        <w:rPr>
          <w:sz w:val="28"/>
          <w:szCs w:val="28"/>
        </w:rPr>
        <w:t>)</w:t>
      </w:r>
      <w:r w:rsidRPr="000237B3">
        <w:rPr>
          <w:rFonts w:cs="Times New Roman"/>
          <w:sz w:val="28"/>
          <w:szCs w:val="28"/>
        </w:rPr>
        <w:t>;</w:t>
      </w:r>
    </w:p>
    <w:p w:rsidR="00C54D95" w:rsidRPr="000237B3" w:rsidRDefault="00C54D95" w:rsidP="00C54D95">
      <w:pPr>
        <w:numPr>
          <w:ilvl w:val="0"/>
          <w:numId w:val="2"/>
        </w:numPr>
        <w:jc w:val="both"/>
        <w:rPr>
          <w:rFonts w:cs="Times New Roman"/>
          <w:sz w:val="28"/>
          <w:szCs w:val="28"/>
        </w:rPr>
      </w:pPr>
      <w:r w:rsidRPr="000237B3">
        <w:rPr>
          <w:rFonts w:cs="Times New Roman"/>
          <w:sz w:val="28"/>
          <w:szCs w:val="28"/>
        </w:rPr>
        <w:t xml:space="preserve">2-stāvu ēka </w:t>
      </w:r>
      <w:r w:rsidR="00041348" w:rsidRPr="000237B3">
        <w:rPr>
          <w:rFonts w:cs="Times New Roman"/>
          <w:sz w:val="28"/>
          <w:szCs w:val="28"/>
        </w:rPr>
        <w:t>16,9</w:t>
      </w:r>
      <w:r w:rsidRPr="000237B3">
        <w:rPr>
          <w:rFonts w:cs="Times New Roman"/>
          <w:sz w:val="28"/>
          <w:szCs w:val="28"/>
        </w:rPr>
        <w:t xml:space="preserve"> tūkst.latu (</w:t>
      </w:r>
      <w:r w:rsidRPr="000237B3">
        <w:rPr>
          <w:sz w:val="28"/>
          <w:szCs w:val="28"/>
        </w:rPr>
        <w:t>131.9 m</w:t>
      </w:r>
      <w:r w:rsidRPr="000237B3">
        <w:rPr>
          <w:sz w:val="28"/>
          <w:szCs w:val="28"/>
          <w:vertAlign w:val="superscript"/>
        </w:rPr>
        <w:t>2</w:t>
      </w:r>
      <w:r w:rsidRPr="000237B3">
        <w:rPr>
          <w:sz w:val="28"/>
          <w:szCs w:val="28"/>
        </w:rPr>
        <w:t>)</w:t>
      </w:r>
      <w:r w:rsidRPr="000237B3">
        <w:rPr>
          <w:rFonts w:cs="Times New Roman"/>
          <w:sz w:val="28"/>
          <w:szCs w:val="28"/>
        </w:rPr>
        <w:t xml:space="preserve">. </w:t>
      </w:r>
    </w:p>
    <w:p w:rsidR="00E23126" w:rsidRPr="000237B3" w:rsidRDefault="00E23126" w:rsidP="0099288F">
      <w:pPr>
        <w:ind w:left="720"/>
        <w:jc w:val="right"/>
        <w:rPr>
          <w:rFonts w:cs="Times New Roman"/>
          <w:sz w:val="28"/>
          <w:szCs w:val="28"/>
        </w:rPr>
      </w:pPr>
    </w:p>
    <w:p w:rsidR="00DE0068" w:rsidRPr="000237B3" w:rsidRDefault="00DE0068" w:rsidP="0099288F">
      <w:pPr>
        <w:ind w:left="720"/>
        <w:jc w:val="right"/>
        <w:rPr>
          <w:rFonts w:cs="Times New Roman"/>
          <w:sz w:val="28"/>
          <w:szCs w:val="28"/>
        </w:rPr>
      </w:pPr>
      <w:r w:rsidRPr="000237B3">
        <w:rPr>
          <w:rFonts w:cs="Times New Roman"/>
          <w:sz w:val="28"/>
          <w:szCs w:val="28"/>
        </w:rPr>
        <w:t>Tabula Nr.</w:t>
      </w:r>
      <w:r w:rsidR="0001461D" w:rsidRPr="000237B3">
        <w:rPr>
          <w:rFonts w:cs="Times New Roman"/>
          <w:sz w:val="28"/>
          <w:szCs w:val="28"/>
        </w:rPr>
        <w:t>6</w:t>
      </w:r>
    </w:p>
    <w:p w:rsidR="00DE0068" w:rsidRPr="000237B3" w:rsidRDefault="00040CF6" w:rsidP="0001461D">
      <w:pPr>
        <w:jc w:val="center"/>
        <w:rPr>
          <w:b/>
          <w:sz w:val="28"/>
          <w:szCs w:val="28"/>
        </w:rPr>
      </w:pPr>
      <w:r w:rsidRPr="000237B3">
        <w:rPr>
          <w:b/>
          <w:sz w:val="28"/>
          <w:szCs w:val="28"/>
        </w:rPr>
        <w:t>Aģentūras</w:t>
      </w:r>
      <w:r w:rsidR="00DE0068" w:rsidRPr="000237B3">
        <w:rPr>
          <w:b/>
          <w:sz w:val="28"/>
          <w:szCs w:val="28"/>
        </w:rPr>
        <w:t xml:space="preserve"> ēk</w:t>
      </w:r>
      <w:r w:rsidR="00720441" w:rsidRPr="000237B3">
        <w:rPr>
          <w:b/>
          <w:sz w:val="28"/>
          <w:szCs w:val="28"/>
        </w:rPr>
        <w:t>u</w:t>
      </w:r>
      <w:r w:rsidR="00DE0068" w:rsidRPr="000237B3">
        <w:rPr>
          <w:b/>
          <w:sz w:val="28"/>
          <w:szCs w:val="28"/>
        </w:rPr>
        <w:t xml:space="preserve"> uzturēšanas plānotās izmaksas</w:t>
      </w:r>
      <w:r w:rsidR="0099288F" w:rsidRPr="000237B3">
        <w:rPr>
          <w:b/>
          <w:sz w:val="28"/>
          <w:szCs w:val="28"/>
        </w:rPr>
        <w:t xml:space="preserve"> (tūkst.latu)</w:t>
      </w:r>
    </w:p>
    <w:tbl>
      <w:tblPr>
        <w:tblW w:w="25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766"/>
        <w:gridCol w:w="1011"/>
      </w:tblGrid>
      <w:tr w:rsidR="00C54D95" w:rsidRPr="00426EEF" w:rsidTr="00C54D95">
        <w:trPr>
          <w:trHeight w:val="345"/>
          <w:jc w:val="center"/>
        </w:trPr>
        <w:tc>
          <w:tcPr>
            <w:tcW w:w="767" w:type="dxa"/>
            <w:shd w:val="clear" w:color="auto" w:fill="4F81BD" w:themeFill="accent1"/>
          </w:tcPr>
          <w:p w:rsidR="00C54D95" w:rsidRPr="000237B3" w:rsidRDefault="00C54D95" w:rsidP="00041348">
            <w:pPr>
              <w:jc w:val="center"/>
              <w:rPr>
                <w:rFonts w:eastAsia="Times New Roman" w:cs="Times New Roman"/>
                <w:b/>
                <w:color w:val="FFFFFF" w:themeColor="background1"/>
                <w:highlight w:val="yellow"/>
              </w:rPr>
            </w:pPr>
            <w:r w:rsidRPr="000237B3">
              <w:rPr>
                <w:rFonts w:eastAsia="Times New Roman" w:cs="Times New Roman"/>
                <w:b/>
                <w:color w:val="FFFFFF" w:themeColor="background1"/>
              </w:rPr>
              <w:t>2012</w:t>
            </w:r>
          </w:p>
        </w:tc>
        <w:tc>
          <w:tcPr>
            <w:tcW w:w="766" w:type="dxa"/>
            <w:shd w:val="clear" w:color="auto" w:fill="4F81BD" w:themeFill="accent1"/>
          </w:tcPr>
          <w:p w:rsidR="00C54D95" w:rsidRPr="000237B3" w:rsidRDefault="00C54D95" w:rsidP="00C54D95">
            <w:pPr>
              <w:jc w:val="center"/>
              <w:rPr>
                <w:rFonts w:eastAsia="Times New Roman" w:cs="Times New Roman"/>
                <w:b/>
                <w:color w:val="FFFFFF" w:themeColor="background1"/>
              </w:rPr>
            </w:pPr>
            <w:r w:rsidRPr="000237B3">
              <w:rPr>
                <w:rFonts w:eastAsia="Times New Roman" w:cs="Times New Roman"/>
                <w:b/>
                <w:color w:val="FFFFFF" w:themeColor="background1"/>
              </w:rPr>
              <w:t>2013</w:t>
            </w:r>
          </w:p>
        </w:tc>
        <w:tc>
          <w:tcPr>
            <w:tcW w:w="1011" w:type="dxa"/>
            <w:shd w:val="clear" w:color="auto" w:fill="4F81BD" w:themeFill="accent1"/>
          </w:tcPr>
          <w:p w:rsidR="00C54D95" w:rsidRPr="000237B3" w:rsidRDefault="00C54D95" w:rsidP="00C54D95">
            <w:pPr>
              <w:jc w:val="center"/>
              <w:rPr>
                <w:rFonts w:eastAsia="Times New Roman" w:cs="Times New Roman"/>
                <w:b/>
                <w:color w:val="FFFFFF" w:themeColor="background1"/>
              </w:rPr>
            </w:pPr>
            <w:r w:rsidRPr="000237B3">
              <w:rPr>
                <w:rFonts w:eastAsia="Times New Roman" w:cs="Times New Roman"/>
                <w:b/>
                <w:color w:val="FFFFFF" w:themeColor="background1"/>
              </w:rPr>
              <w:t>2014</w:t>
            </w:r>
          </w:p>
        </w:tc>
      </w:tr>
      <w:tr w:rsidR="00C54D95" w:rsidRPr="00426EEF" w:rsidTr="00C54D95">
        <w:trPr>
          <w:trHeight w:val="345"/>
          <w:jc w:val="center"/>
        </w:trPr>
        <w:tc>
          <w:tcPr>
            <w:tcW w:w="767" w:type="dxa"/>
          </w:tcPr>
          <w:p w:rsidR="00C54D95" w:rsidRPr="000237B3" w:rsidRDefault="00041348" w:rsidP="00C54D95">
            <w:pPr>
              <w:jc w:val="center"/>
              <w:rPr>
                <w:rFonts w:eastAsia="Times New Roman" w:cs="Times New Roman"/>
                <w:color w:val="000000"/>
                <w:highlight w:val="yellow"/>
              </w:rPr>
            </w:pPr>
            <w:r w:rsidRPr="000237B3">
              <w:rPr>
                <w:rFonts w:eastAsia="Times New Roman" w:cs="Times New Roman"/>
                <w:color w:val="000000"/>
              </w:rPr>
              <w:t>84,5</w:t>
            </w:r>
          </w:p>
        </w:tc>
        <w:tc>
          <w:tcPr>
            <w:tcW w:w="766" w:type="dxa"/>
          </w:tcPr>
          <w:p w:rsidR="00C54D95" w:rsidRPr="000237B3" w:rsidRDefault="00C54D95" w:rsidP="00C54D95">
            <w:pPr>
              <w:jc w:val="center"/>
              <w:rPr>
                <w:rFonts w:eastAsia="Times New Roman" w:cs="Times New Roman"/>
                <w:color w:val="000000"/>
              </w:rPr>
            </w:pPr>
            <w:r w:rsidRPr="000237B3">
              <w:rPr>
                <w:rFonts w:eastAsia="Times New Roman" w:cs="Times New Roman"/>
                <w:color w:val="000000"/>
              </w:rPr>
              <w:t>94,1</w:t>
            </w:r>
          </w:p>
        </w:tc>
        <w:tc>
          <w:tcPr>
            <w:tcW w:w="1011" w:type="dxa"/>
          </w:tcPr>
          <w:p w:rsidR="00C54D95" w:rsidRPr="000237B3" w:rsidRDefault="00C54D95" w:rsidP="00C54D95">
            <w:pPr>
              <w:jc w:val="center"/>
              <w:rPr>
                <w:rFonts w:eastAsia="Times New Roman" w:cs="Times New Roman"/>
                <w:color w:val="000000"/>
              </w:rPr>
            </w:pPr>
            <w:r w:rsidRPr="000237B3">
              <w:rPr>
                <w:rFonts w:eastAsia="Times New Roman" w:cs="Times New Roman"/>
                <w:color w:val="000000"/>
              </w:rPr>
              <w:t>92,7</w:t>
            </w:r>
          </w:p>
        </w:tc>
      </w:tr>
    </w:tbl>
    <w:p w:rsidR="00C54D95" w:rsidRDefault="00C54D95" w:rsidP="00C54D95">
      <w:pPr>
        <w:ind w:firstLine="720"/>
        <w:jc w:val="both"/>
      </w:pPr>
    </w:p>
    <w:p w:rsidR="00C54D95" w:rsidRPr="000237B3" w:rsidRDefault="00C54D95" w:rsidP="00C54D95">
      <w:pPr>
        <w:ind w:firstLine="720"/>
        <w:jc w:val="both"/>
        <w:rPr>
          <w:sz w:val="28"/>
          <w:szCs w:val="28"/>
        </w:rPr>
      </w:pPr>
      <w:r w:rsidRPr="000237B3">
        <w:rPr>
          <w:sz w:val="28"/>
          <w:szCs w:val="28"/>
        </w:rPr>
        <w:t xml:space="preserve">Kopumā 2012.gadā kapitālie remonti ēkām </w:t>
      </w:r>
      <w:r w:rsidR="00451CCA">
        <w:rPr>
          <w:sz w:val="28"/>
          <w:szCs w:val="28"/>
        </w:rPr>
        <w:t>veikti</w:t>
      </w:r>
      <w:r w:rsidR="00451CCA" w:rsidRPr="000237B3">
        <w:rPr>
          <w:sz w:val="28"/>
          <w:szCs w:val="28"/>
        </w:rPr>
        <w:t xml:space="preserve"> </w:t>
      </w:r>
      <w:r w:rsidR="0006152D">
        <w:rPr>
          <w:sz w:val="28"/>
          <w:szCs w:val="28"/>
        </w:rPr>
        <w:t>274</w:t>
      </w:r>
      <w:r w:rsidR="0006152D" w:rsidRPr="000237B3">
        <w:rPr>
          <w:sz w:val="28"/>
          <w:szCs w:val="28"/>
        </w:rPr>
        <w:t xml:space="preserve"> </w:t>
      </w:r>
      <w:proofErr w:type="spellStart"/>
      <w:r w:rsidRPr="000237B3">
        <w:rPr>
          <w:sz w:val="28"/>
          <w:szCs w:val="28"/>
        </w:rPr>
        <w:t>tūkst.latu</w:t>
      </w:r>
      <w:proofErr w:type="spellEnd"/>
      <w:r w:rsidRPr="000237B3">
        <w:rPr>
          <w:sz w:val="28"/>
          <w:szCs w:val="28"/>
        </w:rPr>
        <w:t xml:space="preserve"> apmērā (tajā skaitā PVN). </w:t>
      </w:r>
    </w:p>
    <w:p w:rsidR="00A1201C" w:rsidRPr="000237B3" w:rsidRDefault="000E7C20" w:rsidP="00DC5F89">
      <w:pPr>
        <w:ind w:firstLine="720"/>
        <w:jc w:val="both"/>
        <w:rPr>
          <w:rFonts w:cs="Times New Roman"/>
          <w:sz w:val="28"/>
          <w:szCs w:val="28"/>
        </w:rPr>
      </w:pPr>
      <w:r w:rsidRPr="000237B3">
        <w:rPr>
          <w:rFonts w:cs="Times New Roman"/>
          <w:sz w:val="28"/>
          <w:szCs w:val="28"/>
        </w:rPr>
        <w:t xml:space="preserve">Ņemot vērā nekustamā īpašuma tirgus attīstības tendences (nekustamā īpašuma vērtība pieaug) un </w:t>
      </w:r>
      <w:r w:rsidR="00040CF6" w:rsidRPr="000237B3">
        <w:rPr>
          <w:sz w:val="28"/>
          <w:szCs w:val="28"/>
        </w:rPr>
        <w:t>Aģentūras</w:t>
      </w:r>
      <w:r w:rsidRPr="000237B3">
        <w:rPr>
          <w:rFonts w:cs="Times New Roman"/>
          <w:sz w:val="28"/>
          <w:szCs w:val="28"/>
        </w:rPr>
        <w:t xml:space="preserve"> esošo darbinieku skaitu, ēkas pārdošanas jautājums jāaktualizē 2014.gadā</w:t>
      </w:r>
      <w:r w:rsidR="00A03888" w:rsidRPr="000237B3">
        <w:rPr>
          <w:rFonts w:cs="Times New Roman"/>
          <w:sz w:val="28"/>
          <w:szCs w:val="28"/>
        </w:rPr>
        <w:t>. A</w:t>
      </w:r>
      <w:r w:rsidR="00F75449" w:rsidRPr="000237B3">
        <w:rPr>
          <w:rFonts w:cs="Times New Roman"/>
          <w:sz w:val="28"/>
          <w:szCs w:val="28"/>
        </w:rPr>
        <w:t xml:space="preserve">tkarībā no </w:t>
      </w:r>
      <w:r w:rsidR="0029619D" w:rsidRPr="000237B3">
        <w:rPr>
          <w:rFonts w:cs="Times New Roman"/>
          <w:sz w:val="28"/>
          <w:szCs w:val="28"/>
        </w:rPr>
        <w:t>Aģentūras</w:t>
      </w:r>
      <w:r w:rsidR="00F75449" w:rsidRPr="000237B3">
        <w:rPr>
          <w:rFonts w:cs="Times New Roman"/>
          <w:sz w:val="28"/>
          <w:szCs w:val="28"/>
        </w:rPr>
        <w:t xml:space="preserve"> darbinieku skaita</w:t>
      </w:r>
      <w:r w:rsidR="00F20D4A" w:rsidRPr="000237B3">
        <w:rPr>
          <w:rFonts w:cs="Times New Roman"/>
          <w:sz w:val="28"/>
          <w:szCs w:val="28"/>
        </w:rPr>
        <w:t>, funkciju apjoma</w:t>
      </w:r>
      <w:r w:rsidR="00DC5F89" w:rsidRPr="000237B3">
        <w:rPr>
          <w:rFonts w:cs="Times New Roman"/>
          <w:sz w:val="28"/>
          <w:szCs w:val="28"/>
        </w:rPr>
        <w:t xml:space="preserve"> un</w:t>
      </w:r>
      <w:r w:rsidR="00F75449" w:rsidRPr="000237B3">
        <w:rPr>
          <w:rFonts w:cs="Times New Roman"/>
          <w:sz w:val="28"/>
          <w:szCs w:val="28"/>
        </w:rPr>
        <w:t xml:space="preserve"> n</w:t>
      </w:r>
      <w:r w:rsidR="00DC5F89" w:rsidRPr="000237B3">
        <w:rPr>
          <w:rFonts w:cs="Times New Roman"/>
          <w:sz w:val="28"/>
          <w:szCs w:val="28"/>
        </w:rPr>
        <w:t>ekustamā īpašuma tirgus stāvokļa</w:t>
      </w:r>
      <w:r w:rsidR="00F75449" w:rsidRPr="000237B3">
        <w:rPr>
          <w:rFonts w:cs="Times New Roman"/>
          <w:sz w:val="28"/>
          <w:szCs w:val="28"/>
        </w:rPr>
        <w:t xml:space="preserve">, </w:t>
      </w:r>
      <w:r w:rsidR="00E23126" w:rsidRPr="000237B3">
        <w:rPr>
          <w:rFonts w:cs="Times New Roman"/>
          <w:sz w:val="28"/>
          <w:szCs w:val="28"/>
        </w:rPr>
        <w:t>Aģentūras</w:t>
      </w:r>
      <w:r w:rsidR="00F75449" w:rsidRPr="000237B3">
        <w:rPr>
          <w:rFonts w:cs="Times New Roman"/>
          <w:sz w:val="28"/>
          <w:szCs w:val="28"/>
        </w:rPr>
        <w:t xml:space="preserve"> finanšu stāvok</w:t>
      </w:r>
      <w:r w:rsidR="00DC5F89" w:rsidRPr="000237B3">
        <w:rPr>
          <w:rFonts w:cs="Times New Roman"/>
          <w:sz w:val="28"/>
          <w:szCs w:val="28"/>
        </w:rPr>
        <w:t>ļa</w:t>
      </w:r>
      <w:r w:rsidR="00F75449" w:rsidRPr="000237B3">
        <w:rPr>
          <w:rFonts w:cs="Times New Roman"/>
          <w:sz w:val="28"/>
          <w:szCs w:val="28"/>
        </w:rPr>
        <w:t xml:space="preserve"> un </w:t>
      </w:r>
      <w:r w:rsidR="00E23126" w:rsidRPr="000237B3">
        <w:rPr>
          <w:rFonts w:cs="Times New Roman"/>
          <w:sz w:val="28"/>
          <w:szCs w:val="28"/>
        </w:rPr>
        <w:t>Aģentūras</w:t>
      </w:r>
      <w:r w:rsidR="00F75449" w:rsidRPr="000237B3">
        <w:rPr>
          <w:rFonts w:cs="Times New Roman"/>
          <w:sz w:val="28"/>
          <w:szCs w:val="28"/>
        </w:rPr>
        <w:t xml:space="preserve"> darbības izbeigšanas scenārij</w:t>
      </w:r>
      <w:r w:rsidR="00DC5F89" w:rsidRPr="000237B3">
        <w:rPr>
          <w:rFonts w:cs="Times New Roman"/>
          <w:sz w:val="28"/>
          <w:szCs w:val="28"/>
        </w:rPr>
        <w:t>a</w:t>
      </w:r>
      <w:r w:rsidR="00F75449" w:rsidRPr="000237B3">
        <w:rPr>
          <w:rFonts w:cs="Times New Roman"/>
          <w:sz w:val="28"/>
          <w:szCs w:val="28"/>
        </w:rPr>
        <w:t xml:space="preserve"> </w:t>
      </w:r>
      <w:r w:rsidR="00DC5F89" w:rsidRPr="000237B3">
        <w:rPr>
          <w:rFonts w:cs="Times New Roman"/>
          <w:sz w:val="28"/>
          <w:szCs w:val="28"/>
        </w:rPr>
        <w:t xml:space="preserve">izvērtējamas </w:t>
      </w:r>
      <w:r w:rsidR="00F75449" w:rsidRPr="000237B3">
        <w:rPr>
          <w:rFonts w:cs="Times New Roman"/>
          <w:sz w:val="28"/>
          <w:szCs w:val="28"/>
        </w:rPr>
        <w:t>šādas i</w:t>
      </w:r>
      <w:r w:rsidR="00A1201C" w:rsidRPr="000237B3">
        <w:rPr>
          <w:rFonts w:cs="Times New Roman"/>
          <w:sz w:val="28"/>
          <w:szCs w:val="28"/>
        </w:rPr>
        <w:t>espējamās alternatīvas</w:t>
      </w:r>
      <w:r w:rsidR="00DC5F89" w:rsidRPr="000237B3">
        <w:rPr>
          <w:rFonts w:cs="Times New Roman"/>
          <w:sz w:val="28"/>
          <w:szCs w:val="28"/>
        </w:rPr>
        <w:t>:</w:t>
      </w:r>
    </w:p>
    <w:p w:rsidR="000344FE" w:rsidRPr="000237B3" w:rsidRDefault="00981F11" w:rsidP="00904EA4">
      <w:pPr>
        <w:pStyle w:val="ListParagraph"/>
        <w:numPr>
          <w:ilvl w:val="0"/>
          <w:numId w:val="3"/>
        </w:numPr>
        <w:jc w:val="both"/>
        <w:rPr>
          <w:rFonts w:cs="Times New Roman"/>
          <w:sz w:val="28"/>
          <w:szCs w:val="28"/>
        </w:rPr>
      </w:pPr>
      <w:r w:rsidRPr="000237B3">
        <w:rPr>
          <w:rFonts w:cs="Times New Roman"/>
          <w:sz w:val="28"/>
          <w:szCs w:val="28"/>
        </w:rPr>
        <w:t xml:space="preserve">pārdot </w:t>
      </w:r>
      <w:r w:rsidR="00E23126" w:rsidRPr="000237B3">
        <w:rPr>
          <w:rFonts w:cs="Times New Roman"/>
          <w:sz w:val="28"/>
          <w:szCs w:val="28"/>
        </w:rPr>
        <w:t>Aģentūrai</w:t>
      </w:r>
      <w:r w:rsidR="0072173E" w:rsidRPr="000237B3">
        <w:rPr>
          <w:rFonts w:cs="Times New Roman"/>
          <w:sz w:val="28"/>
          <w:szCs w:val="28"/>
        </w:rPr>
        <w:t xml:space="preserve"> piederošo nekustamo īpašumu </w:t>
      </w:r>
      <w:r w:rsidR="00CD0CC4" w:rsidRPr="000237B3">
        <w:rPr>
          <w:rFonts w:cs="Times New Roman"/>
          <w:sz w:val="28"/>
          <w:szCs w:val="28"/>
        </w:rPr>
        <w:t xml:space="preserve">un </w:t>
      </w:r>
      <w:r w:rsidR="00BF384A" w:rsidRPr="000237B3">
        <w:rPr>
          <w:rFonts w:cs="Times New Roman"/>
          <w:sz w:val="28"/>
          <w:szCs w:val="28"/>
        </w:rPr>
        <w:t>nomāt</w:t>
      </w:r>
      <w:r w:rsidR="00CD0CC4" w:rsidRPr="000237B3">
        <w:rPr>
          <w:rFonts w:cs="Times New Roman"/>
          <w:sz w:val="28"/>
          <w:szCs w:val="28"/>
        </w:rPr>
        <w:t xml:space="preserve"> </w:t>
      </w:r>
      <w:r w:rsidR="00040CF6" w:rsidRPr="000237B3">
        <w:rPr>
          <w:sz w:val="28"/>
          <w:szCs w:val="28"/>
        </w:rPr>
        <w:t>Aģentūras</w:t>
      </w:r>
      <w:r w:rsidR="0072173E" w:rsidRPr="000237B3">
        <w:rPr>
          <w:rFonts w:cs="Times New Roman"/>
          <w:sz w:val="28"/>
          <w:szCs w:val="28"/>
        </w:rPr>
        <w:t xml:space="preserve"> darbības nodrošināšanai </w:t>
      </w:r>
      <w:r w:rsidR="00CD0CC4" w:rsidRPr="000237B3">
        <w:rPr>
          <w:rFonts w:cs="Times New Roman"/>
          <w:sz w:val="28"/>
          <w:szCs w:val="28"/>
        </w:rPr>
        <w:t>nepieciešamo platību;</w:t>
      </w:r>
    </w:p>
    <w:p w:rsidR="00021116" w:rsidRPr="000237B3" w:rsidRDefault="0029619D" w:rsidP="00040CF6">
      <w:pPr>
        <w:pStyle w:val="ListParagraph"/>
        <w:numPr>
          <w:ilvl w:val="0"/>
          <w:numId w:val="1"/>
        </w:numPr>
        <w:jc w:val="both"/>
        <w:rPr>
          <w:rFonts w:cs="Times New Roman"/>
          <w:sz w:val="28"/>
          <w:szCs w:val="28"/>
        </w:rPr>
      </w:pPr>
      <w:r w:rsidRPr="000237B3">
        <w:rPr>
          <w:rFonts w:cs="Times New Roman"/>
          <w:sz w:val="28"/>
          <w:szCs w:val="28"/>
        </w:rPr>
        <w:t xml:space="preserve">reorganizācijas gadījumā </w:t>
      </w:r>
      <w:r w:rsidR="00040CF6" w:rsidRPr="000237B3">
        <w:rPr>
          <w:rFonts w:cs="Times New Roman"/>
          <w:sz w:val="28"/>
          <w:szCs w:val="28"/>
        </w:rPr>
        <w:t xml:space="preserve">nodot kopā ar citiem </w:t>
      </w:r>
      <w:r w:rsidR="00040CF6" w:rsidRPr="000237B3">
        <w:rPr>
          <w:sz w:val="28"/>
          <w:szCs w:val="28"/>
        </w:rPr>
        <w:t>Aģentūras</w:t>
      </w:r>
      <w:r w:rsidR="00CD0CC4" w:rsidRPr="000237B3">
        <w:rPr>
          <w:rFonts w:cs="Times New Roman"/>
          <w:sz w:val="28"/>
          <w:szCs w:val="28"/>
        </w:rPr>
        <w:t xml:space="preserve"> aktīviem.</w:t>
      </w:r>
    </w:p>
    <w:p w:rsidR="00075EB6" w:rsidRPr="000237B3" w:rsidRDefault="00075EB6" w:rsidP="00075EB6">
      <w:pPr>
        <w:jc w:val="both"/>
        <w:rPr>
          <w:rFonts w:cs="Times New Roman"/>
          <w:sz w:val="28"/>
          <w:szCs w:val="28"/>
        </w:rPr>
      </w:pPr>
    </w:p>
    <w:p w:rsidR="00221501" w:rsidRPr="000237B3" w:rsidRDefault="00F75449" w:rsidP="00075EB6">
      <w:pPr>
        <w:jc w:val="both"/>
        <w:rPr>
          <w:rFonts w:eastAsiaTheme="majorEastAsia" w:cs="Times New Roman"/>
          <w:b/>
          <w:bCs/>
          <w:caps/>
          <w:color w:val="365F91" w:themeColor="accent1" w:themeShade="BF"/>
          <w:sz w:val="28"/>
          <w:szCs w:val="28"/>
        </w:rPr>
      </w:pPr>
      <w:r w:rsidRPr="000237B3">
        <w:rPr>
          <w:rFonts w:cs="Times New Roman"/>
          <w:sz w:val="28"/>
          <w:szCs w:val="28"/>
        </w:rPr>
        <w:t>Līdz 2014.</w:t>
      </w:r>
      <w:r w:rsidR="00BF384A" w:rsidRPr="000237B3">
        <w:rPr>
          <w:rFonts w:cs="Times New Roman"/>
          <w:sz w:val="28"/>
          <w:szCs w:val="28"/>
        </w:rPr>
        <w:t>gadam</w:t>
      </w:r>
      <w:r w:rsidR="009604C4">
        <w:rPr>
          <w:rFonts w:cs="Times New Roman"/>
          <w:sz w:val="28"/>
          <w:szCs w:val="28"/>
        </w:rPr>
        <w:t xml:space="preserve"> (ieskaitot)</w:t>
      </w:r>
      <w:r w:rsidR="00BF384A" w:rsidRPr="000237B3">
        <w:rPr>
          <w:rFonts w:cs="Times New Roman"/>
          <w:sz w:val="28"/>
          <w:szCs w:val="28"/>
        </w:rPr>
        <w:t xml:space="preserve"> </w:t>
      </w:r>
      <w:r w:rsidR="00040CF6" w:rsidRPr="000237B3">
        <w:rPr>
          <w:sz w:val="28"/>
          <w:szCs w:val="28"/>
        </w:rPr>
        <w:t>Aģentūra</w:t>
      </w:r>
      <w:r w:rsidR="00BF384A" w:rsidRPr="000237B3">
        <w:rPr>
          <w:rFonts w:cs="Times New Roman"/>
          <w:sz w:val="28"/>
          <w:szCs w:val="28"/>
        </w:rPr>
        <w:t xml:space="preserve"> izvērtēs iespēju iznomāt</w:t>
      </w:r>
      <w:r w:rsidRPr="000237B3">
        <w:rPr>
          <w:rFonts w:cs="Times New Roman"/>
          <w:sz w:val="28"/>
          <w:szCs w:val="28"/>
        </w:rPr>
        <w:t xml:space="preserve"> atsevišķus ēkas stāvus.</w:t>
      </w:r>
    </w:p>
    <w:p w:rsidR="00B06BFF" w:rsidRPr="000237B3" w:rsidRDefault="00B06BFF" w:rsidP="00B06BFF">
      <w:pPr>
        <w:rPr>
          <w:sz w:val="28"/>
          <w:szCs w:val="28"/>
        </w:rPr>
      </w:pPr>
    </w:p>
    <w:p w:rsidR="003C11CB" w:rsidRPr="000237B3" w:rsidRDefault="003C11CB" w:rsidP="001B0691">
      <w:pPr>
        <w:pStyle w:val="Heading4"/>
        <w:rPr>
          <w:rFonts w:ascii="Times New Roman" w:eastAsiaTheme="minorEastAsia" w:hAnsi="Times New Roman" w:cstheme="minorBidi"/>
          <w:bCs w:val="0"/>
          <w:i w:val="0"/>
          <w:iCs w:val="0"/>
          <w:sz w:val="28"/>
          <w:szCs w:val="28"/>
        </w:rPr>
      </w:pPr>
      <w:r w:rsidRPr="000237B3">
        <w:rPr>
          <w:rFonts w:ascii="Times New Roman" w:eastAsiaTheme="minorEastAsia" w:hAnsi="Times New Roman" w:cstheme="minorBidi"/>
          <w:bCs w:val="0"/>
          <w:i w:val="0"/>
          <w:iCs w:val="0"/>
          <w:sz w:val="28"/>
          <w:szCs w:val="28"/>
        </w:rPr>
        <w:lastRenderedPageBreak/>
        <w:t>IT nodrošinājums</w:t>
      </w:r>
    </w:p>
    <w:p w:rsidR="0058397E" w:rsidRPr="000237B3" w:rsidRDefault="003C11CB" w:rsidP="00194E74">
      <w:pPr>
        <w:ind w:firstLine="720"/>
        <w:jc w:val="both"/>
        <w:rPr>
          <w:rFonts w:cs="Times New Roman"/>
          <w:sz w:val="28"/>
          <w:szCs w:val="28"/>
        </w:rPr>
      </w:pPr>
      <w:r w:rsidRPr="000237B3">
        <w:rPr>
          <w:rFonts w:cs="Times New Roman"/>
          <w:sz w:val="28"/>
          <w:szCs w:val="28"/>
        </w:rPr>
        <w:t xml:space="preserve">Šobrīd </w:t>
      </w:r>
      <w:r w:rsidR="00040CF6" w:rsidRPr="000237B3">
        <w:rPr>
          <w:sz w:val="28"/>
          <w:szCs w:val="28"/>
        </w:rPr>
        <w:t>Aģentūras</w:t>
      </w:r>
      <w:r w:rsidR="00137727" w:rsidRPr="000237B3">
        <w:rPr>
          <w:rFonts w:cs="Times New Roman"/>
          <w:sz w:val="28"/>
          <w:szCs w:val="28"/>
        </w:rPr>
        <w:t xml:space="preserve"> </w:t>
      </w:r>
      <w:r w:rsidRPr="000237B3">
        <w:rPr>
          <w:rFonts w:cs="Times New Roman"/>
          <w:sz w:val="28"/>
          <w:szCs w:val="28"/>
        </w:rPr>
        <w:t xml:space="preserve">datori un serveri </w:t>
      </w:r>
      <w:r w:rsidR="00137727" w:rsidRPr="000237B3">
        <w:rPr>
          <w:rFonts w:cs="Times New Roman"/>
          <w:sz w:val="28"/>
          <w:szCs w:val="28"/>
        </w:rPr>
        <w:t xml:space="preserve">ir </w:t>
      </w:r>
      <w:r w:rsidRPr="000237B3">
        <w:rPr>
          <w:rFonts w:cs="Times New Roman"/>
          <w:sz w:val="28"/>
          <w:szCs w:val="28"/>
        </w:rPr>
        <w:t xml:space="preserve">iznomāti no </w:t>
      </w:r>
      <w:r w:rsidR="00F57826" w:rsidRPr="00F57826">
        <w:rPr>
          <w:rFonts w:cs="Times New Roman"/>
          <w:sz w:val="28"/>
          <w:szCs w:val="28"/>
        </w:rPr>
        <w:t>sabiedrības ar ierobežotu atbildību</w:t>
      </w:r>
      <w:r w:rsidRPr="000237B3">
        <w:rPr>
          <w:rFonts w:cs="Times New Roman"/>
          <w:sz w:val="28"/>
          <w:szCs w:val="28"/>
        </w:rPr>
        <w:t xml:space="preserve"> „</w:t>
      </w:r>
      <w:proofErr w:type="spellStart"/>
      <w:r w:rsidRPr="000237B3">
        <w:rPr>
          <w:rFonts w:cs="Times New Roman"/>
          <w:sz w:val="28"/>
          <w:szCs w:val="28"/>
        </w:rPr>
        <w:t>Capital</w:t>
      </w:r>
      <w:proofErr w:type="spellEnd"/>
      <w:r w:rsidRPr="000237B3">
        <w:rPr>
          <w:rFonts w:cs="Times New Roman"/>
          <w:sz w:val="28"/>
          <w:szCs w:val="28"/>
        </w:rPr>
        <w:t>” ar termiņu līdz 2015.gada marta</w:t>
      </w:r>
      <w:r w:rsidR="00137727" w:rsidRPr="000237B3">
        <w:rPr>
          <w:rFonts w:cs="Times New Roman"/>
          <w:sz w:val="28"/>
          <w:szCs w:val="28"/>
        </w:rPr>
        <w:t>m. Atbilstoši nomas līgumu nosacījumiem</w:t>
      </w:r>
      <w:r w:rsidR="001B0691" w:rsidRPr="000237B3">
        <w:rPr>
          <w:rFonts w:cs="Times New Roman"/>
          <w:sz w:val="28"/>
          <w:szCs w:val="28"/>
        </w:rPr>
        <w:t xml:space="preserve">, gan datorus, gan serverus </w:t>
      </w:r>
      <w:r w:rsidRPr="000237B3">
        <w:rPr>
          <w:rFonts w:cs="Times New Roman"/>
          <w:sz w:val="28"/>
          <w:szCs w:val="28"/>
        </w:rPr>
        <w:t>var jebkurā brīdī</w:t>
      </w:r>
      <w:r w:rsidR="00137727" w:rsidRPr="000237B3">
        <w:rPr>
          <w:rFonts w:cs="Times New Roman"/>
          <w:sz w:val="28"/>
          <w:szCs w:val="28"/>
        </w:rPr>
        <w:t xml:space="preserve"> </w:t>
      </w:r>
      <w:r w:rsidR="001B0691" w:rsidRPr="000237B3">
        <w:rPr>
          <w:rFonts w:cs="Times New Roman"/>
          <w:sz w:val="28"/>
          <w:szCs w:val="28"/>
        </w:rPr>
        <w:t xml:space="preserve">nodot </w:t>
      </w:r>
      <w:r w:rsidR="00137727" w:rsidRPr="000237B3">
        <w:rPr>
          <w:rFonts w:cs="Times New Roman"/>
          <w:sz w:val="28"/>
          <w:szCs w:val="28"/>
        </w:rPr>
        <w:t>bez finansiālām sankcijām</w:t>
      </w:r>
      <w:r w:rsidRPr="000237B3">
        <w:rPr>
          <w:rFonts w:cs="Times New Roman"/>
          <w:sz w:val="28"/>
          <w:szCs w:val="28"/>
        </w:rPr>
        <w:t xml:space="preserve">. </w:t>
      </w:r>
    </w:p>
    <w:p w:rsidR="00270E9D" w:rsidRPr="000237B3" w:rsidRDefault="003C11CB" w:rsidP="00194E74">
      <w:pPr>
        <w:ind w:firstLine="720"/>
        <w:jc w:val="both"/>
        <w:rPr>
          <w:rFonts w:cs="Times New Roman"/>
          <w:sz w:val="28"/>
          <w:szCs w:val="28"/>
        </w:rPr>
      </w:pPr>
      <w:r w:rsidRPr="000237B3">
        <w:rPr>
          <w:rFonts w:cs="Times New Roman"/>
          <w:sz w:val="28"/>
          <w:szCs w:val="28"/>
        </w:rPr>
        <w:t xml:space="preserve">Savukārt </w:t>
      </w:r>
      <w:r w:rsidR="00E23126" w:rsidRPr="000237B3">
        <w:rPr>
          <w:rFonts w:cs="Times New Roman"/>
          <w:sz w:val="28"/>
          <w:szCs w:val="28"/>
        </w:rPr>
        <w:t>Aģentūras</w:t>
      </w:r>
      <w:r w:rsidRPr="000237B3">
        <w:rPr>
          <w:rFonts w:cs="Times New Roman"/>
          <w:sz w:val="28"/>
          <w:szCs w:val="28"/>
        </w:rPr>
        <w:t xml:space="preserve"> datubāzes var sagatavot transformācijai un nodošanai pēc lēmuma pieņemšanas par </w:t>
      </w:r>
      <w:r w:rsidR="00040CF6" w:rsidRPr="000237B3">
        <w:rPr>
          <w:sz w:val="28"/>
          <w:szCs w:val="28"/>
        </w:rPr>
        <w:t>Aģentūras</w:t>
      </w:r>
      <w:r w:rsidRPr="000237B3">
        <w:rPr>
          <w:rFonts w:cs="Times New Roman"/>
          <w:sz w:val="28"/>
          <w:szCs w:val="28"/>
        </w:rPr>
        <w:t xml:space="preserve"> darbības izbeigšanu</w:t>
      </w:r>
      <w:r w:rsidR="00137727" w:rsidRPr="000237B3">
        <w:rPr>
          <w:rFonts w:cs="Times New Roman"/>
          <w:sz w:val="28"/>
          <w:szCs w:val="28"/>
        </w:rPr>
        <w:t xml:space="preserve"> un atbilstoši </w:t>
      </w:r>
      <w:r w:rsidR="00040CF6" w:rsidRPr="000237B3">
        <w:rPr>
          <w:sz w:val="28"/>
          <w:szCs w:val="28"/>
        </w:rPr>
        <w:t>Aģentūras</w:t>
      </w:r>
      <w:r w:rsidR="00137727" w:rsidRPr="000237B3">
        <w:rPr>
          <w:rFonts w:cs="Times New Roman"/>
          <w:sz w:val="28"/>
          <w:szCs w:val="28"/>
        </w:rPr>
        <w:t xml:space="preserve"> darbības izbeigšanas laika grafikam. </w:t>
      </w:r>
    </w:p>
    <w:p w:rsidR="004C5AD5" w:rsidRPr="000237B3" w:rsidRDefault="004C5AD5" w:rsidP="00194E74">
      <w:pPr>
        <w:ind w:firstLine="720"/>
        <w:jc w:val="both"/>
        <w:rPr>
          <w:rFonts w:cs="Times New Roman"/>
          <w:sz w:val="28"/>
          <w:szCs w:val="28"/>
        </w:rPr>
      </w:pPr>
    </w:p>
    <w:p w:rsidR="0058397E" w:rsidRPr="000237B3" w:rsidRDefault="0058397E" w:rsidP="0058397E">
      <w:pPr>
        <w:ind w:left="720"/>
        <w:jc w:val="right"/>
        <w:rPr>
          <w:rFonts w:cs="Times New Roman"/>
          <w:sz w:val="28"/>
          <w:szCs w:val="28"/>
        </w:rPr>
      </w:pPr>
      <w:r w:rsidRPr="000237B3">
        <w:rPr>
          <w:rFonts w:cs="Times New Roman"/>
          <w:sz w:val="28"/>
          <w:szCs w:val="28"/>
        </w:rPr>
        <w:t>Tabula Nr.7</w:t>
      </w:r>
    </w:p>
    <w:p w:rsidR="0058397E" w:rsidRPr="000237B3" w:rsidRDefault="0058397E" w:rsidP="0058397E">
      <w:pPr>
        <w:jc w:val="center"/>
        <w:rPr>
          <w:b/>
          <w:sz w:val="28"/>
          <w:szCs w:val="28"/>
        </w:rPr>
      </w:pPr>
      <w:r w:rsidRPr="000237B3">
        <w:rPr>
          <w:b/>
          <w:sz w:val="28"/>
          <w:szCs w:val="28"/>
        </w:rPr>
        <w:t>Aģentūras datu bāzes</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4"/>
        <w:gridCol w:w="2551"/>
        <w:gridCol w:w="4479"/>
      </w:tblGrid>
      <w:tr w:rsidR="00C95164" w:rsidRPr="00426EEF" w:rsidTr="00C95164">
        <w:tc>
          <w:tcPr>
            <w:tcW w:w="1384" w:type="dxa"/>
            <w:shd w:val="clear" w:color="auto" w:fill="4F81BD" w:themeFill="accent1"/>
            <w:tcMar>
              <w:top w:w="0" w:type="dxa"/>
              <w:left w:w="108" w:type="dxa"/>
              <w:bottom w:w="0" w:type="dxa"/>
              <w:right w:w="108" w:type="dxa"/>
            </w:tcMar>
            <w:hideMark/>
          </w:tcPr>
          <w:p w:rsidR="00C95164" w:rsidRPr="000237B3" w:rsidRDefault="00C95164" w:rsidP="00C95164">
            <w:pPr>
              <w:jc w:val="center"/>
              <w:rPr>
                <w:rFonts w:eastAsia="Times New Roman" w:cs="Times New Roman"/>
                <w:b/>
                <w:color w:val="FFFFFF" w:themeColor="background1"/>
              </w:rPr>
            </w:pPr>
            <w:r w:rsidRPr="000237B3">
              <w:rPr>
                <w:rFonts w:eastAsia="Times New Roman" w:cs="Times New Roman"/>
                <w:b/>
                <w:color w:val="FFFFFF" w:themeColor="background1"/>
              </w:rPr>
              <w:t>Datu bāžu vadības sistēma</w:t>
            </w:r>
          </w:p>
        </w:tc>
        <w:tc>
          <w:tcPr>
            <w:tcW w:w="2551" w:type="dxa"/>
            <w:shd w:val="clear" w:color="auto" w:fill="4F81BD" w:themeFill="accent1"/>
            <w:tcMar>
              <w:top w:w="0" w:type="dxa"/>
              <w:left w:w="108" w:type="dxa"/>
              <w:bottom w:w="0" w:type="dxa"/>
              <w:right w:w="108" w:type="dxa"/>
            </w:tcMar>
            <w:hideMark/>
          </w:tcPr>
          <w:p w:rsidR="00C95164" w:rsidRPr="000237B3" w:rsidRDefault="00C95164" w:rsidP="00C95164">
            <w:pPr>
              <w:jc w:val="center"/>
              <w:rPr>
                <w:rFonts w:eastAsia="Times New Roman" w:cs="Times New Roman"/>
                <w:b/>
                <w:color w:val="FFFFFF" w:themeColor="background1"/>
              </w:rPr>
            </w:pPr>
            <w:r w:rsidRPr="000237B3">
              <w:rPr>
                <w:rFonts w:eastAsia="Times New Roman" w:cs="Times New Roman"/>
                <w:b/>
                <w:color w:val="FFFFFF" w:themeColor="background1"/>
              </w:rPr>
              <w:t>Nosaukums</w:t>
            </w:r>
          </w:p>
        </w:tc>
        <w:tc>
          <w:tcPr>
            <w:tcW w:w="4479" w:type="dxa"/>
            <w:shd w:val="clear" w:color="auto" w:fill="4F81BD" w:themeFill="accent1"/>
            <w:tcMar>
              <w:top w:w="0" w:type="dxa"/>
              <w:left w:w="108" w:type="dxa"/>
              <w:bottom w:w="0" w:type="dxa"/>
              <w:right w:w="108" w:type="dxa"/>
            </w:tcMar>
            <w:hideMark/>
          </w:tcPr>
          <w:p w:rsidR="00C95164" w:rsidRPr="000237B3" w:rsidRDefault="00C95164" w:rsidP="00C95164">
            <w:pPr>
              <w:jc w:val="center"/>
              <w:rPr>
                <w:rFonts w:eastAsia="Times New Roman" w:cs="Times New Roman"/>
                <w:b/>
                <w:color w:val="FFFFFF" w:themeColor="background1"/>
              </w:rPr>
            </w:pPr>
            <w:r w:rsidRPr="000237B3">
              <w:rPr>
                <w:rFonts w:eastAsia="Times New Roman" w:cs="Times New Roman"/>
                <w:b/>
                <w:color w:val="FFFFFF" w:themeColor="background1"/>
              </w:rPr>
              <w:t>Funkcijas</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Oracle 11g</w:t>
            </w:r>
          </w:p>
        </w:tc>
        <w:tc>
          <w:tcPr>
            <w:tcW w:w="2551" w:type="dxa"/>
            <w:tcMar>
              <w:top w:w="0" w:type="dxa"/>
              <w:left w:w="108" w:type="dxa"/>
              <w:bottom w:w="0" w:type="dxa"/>
              <w:right w:w="108" w:type="dxa"/>
            </w:tcMar>
            <w:hideMark/>
          </w:tcPr>
          <w:p w:rsidR="00C95164" w:rsidRPr="000237B3" w:rsidRDefault="00E23126">
            <w:pPr>
              <w:rPr>
                <w:rFonts w:ascii="Calibri" w:hAnsi="Calibri"/>
                <w:lang w:eastAsia="en-US"/>
              </w:rPr>
            </w:pPr>
            <w:r w:rsidRPr="000237B3">
              <w:t>Aģentūras</w:t>
            </w:r>
            <w:r w:rsidR="00C95164" w:rsidRPr="000237B3">
              <w:t xml:space="preserve"> informatīvā sistēma</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Privatizācijas datu uzskaite</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Oracle 11g</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Līgumu maksājumu uzskaites programma (LMUP)</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Objekta pirkumu un nomas līgumu kontrole</w:t>
            </w:r>
          </w:p>
          <w:p w:rsidR="00C95164" w:rsidRPr="000237B3" w:rsidRDefault="00C95164">
            <w:r w:rsidRPr="000237B3">
              <w:t>Nekustamā īpašuma nodokļu saistību uzskaite</w:t>
            </w:r>
          </w:p>
          <w:p w:rsidR="00C95164" w:rsidRPr="000237B3" w:rsidRDefault="00C95164">
            <w:r w:rsidRPr="000237B3">
              <w:t>Faktisko maksājumu uzskaite</w:t>
            </w:r>
          </w:p>
          <w:p w:rsidR="00C95164" w:rsidRPr="000237B3" w:rsidRDefault="00C95164">
            <w:r w:rsidRPr="000237B3">
              <w:t>Apdrošināšanas saistību vadība</w:t>
            </w:r>
          </w:p>
          <w:p w:rsidR="00C95164" w:rsidRPr="000237B3" w:rsidRDefault="00C95164">
            <w:pPr>
              <w:rPr>
                <w:rFonts w:ascii="Calibri" w:hAnsi="Calibri"/>
                <w:lang w:eastAsia="en-US"/>
              </w:rPr>
            </w:pPr>
            <w:r w:rsidRPr="000237B3">
              <w:t>Apsardzes un apsaimniekošanas saistību vadība</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Oracle 11g</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Horizon</w:t>
            </w:r>
          </w:p>
        </w:tc>
        <w:tc>
          <w:tcPr>
            <w:tcW w:w="4479" w:type="dxa"/>
            <w:tcMar>
              <w:top w:w="0" w:type="dxa"/>
              <w:left w:w="108" w:type="dxa"/>
              <w:bottom w:w="0" w:type="dxa"/>
              <w:right w:w="108" w:type="dxa"/>
            </w:tcMar>
          </w:tcPr>
          <w:p w:rsidR="00C95164" w:rsidRPr="000237B3" w:rsidRDefault="00C95164">
            <w:pPr>
              <w:rPr>
                <w:rFonts w:ascii="Calibri" w:hAnsi="Calibri"/>
                <w:lang w:eastAsia="en-US"/>
              </w:rPr>
            </w:pPr>
            <w:r w:rsidRPr="000237B3">
              <w:t>Grāmatvedības datu uzskaite un kontrole</w:t>
            </w:r>
          </w:p>
          <w:p w:rsidR="00C95164" w:rsidRPr="000237B3" w:rsidRDefault="00C95164">
            <w:r w:rsidRPr="000237B3">
              <w:t>Darba samaksa</w:t>
            </w:r>
          </w:p>
          <w:p w:rsidR="00C95164" w:rsidRPr="000237B3" w:rsidRDefault="00C95164">
            <w:r w:rsidRPr="000237B3">
              <w:t>Personāla datu uzskaite</w:t>
            </w:r>
          </w:p>
          <w:p w:rsidR="00C95164" w:rsidRPr="000237B3" w:rsidRDefault="00C95164">
            <w:pPr>
              <w:rPr>
                <w:rFonts w:ascii="Calibri" w:hAnsi="Calibri"/>
                <w:lang w:eastAsia="en-US"/>
              </w:rPr>
            </w:pP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Oracle 11g</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Sertifikātu tirgus informācija un analīze</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Nodrošina informācijas saņemšanu, apkopošanu un apstrādi par darījumiem privatizācijas sertifikātu tirgū</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Microsoft SQL Server</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Automatizētā lietvedības sistēma</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Ienākošo un izejošo dokumentu aprite</w:t>
            </w:r>
          </w:p>
          <w:p w:rsidR="00C95164" w:rsidRPr="000237B3" w:rsidRDefault="00C95164">
            <w:pPr>
              <w:rPr>
                <w:rFonts w:ascii="Calibri" w:hAnsi="Calibri"/>
                <w:lang w:eastAsia="en-US"/>
              </w:rPr>
            </w:pPr>
            <w:r w:rsidRPr="000237B3">
              <w:t>Iekšējo uzdevumu kontrole</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Foxpro</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Sertifikātu uzskaites programma</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Subjektu sertifikātu maksājumu uzskaite</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Paradox</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PSNIC datu nodrošināšanas sistēma</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Sertifikātu analīze</w:t>
            </w:r>
          </w:p>
          <w:p w:rsidR="00C95164" w:rsidRPr="000237B3" w:rsidRDefault="00C95164">
            <w:r w:rsidRPr="000237B3">
              <w:t>Sertifikātu kontrole</w:t>
            </w:r>
          </w:p>
          <w:p w:rsidR="00C95164" w:rsidRPr="000237B3" w:rsidRDefault="00C95164">
            <w:pPr>
              <w:rPr>
                <w:rFonts w:ascii="Calibri" w:hAnsi="Calibri"/>
                <w:lang w:eastAsia="en-US"/>
              </w:rPr>
            </w:pPr>
            <w:r w:rsidRPr="000237B3">
              <w:t>Sertifikātu uzskaite</w:t>
            </w:r>
          </w:p>
        </w:tc>
      </w:tr>
      <w:tr w:rsidR="00C95164" w:rsidRPr="00426EEF" w:rsidTr="00C95164">
        <w:tc>
          <w:tcPr>
            <w:tcW w:w="1384" w:type="dxa"/>
            <w:tcMar>
              <w:top w:w="0" w:type="dxa"/>
              <w:left w:w="108" w:type="dxa"/>
              <w:bottom w:w="0" w:type="dxa"/>
              <w:right w:w="108" w:type="dxa"/>
            </w:tcMar>
            <w:hideMark/>
          </w:tcPr>
          <w:p w:rsidR="00C95164" w:rsidRPr="000237B3" w:rsidRDefault="00C95164">
            <w:pPr>
              <w:rPr>
                <w:rFonts w:ascii="Calibri" w:hAnsi="Calibri"/>
                <w:lang w:eastAsia="en-US"/>
              </w:rPr>
            </w:pPr>
            <w:r w:rsidRPr="000237B3">
              <w:t>Oracle8</w:t>
            </w:r>
          </w:p>
        </w:tc>
        <w:tc>
          <w:tcPr>
            <w:tcW w:w="2551" w:type="dxa"/>
            <w:tcMar>
              <w:top w:w="0" w:type="dxa"/>
              <w:left w:w="108" w:type="dxa"/>
              <w:bottom w:w="0" w:type="dxa"/>
              <w:right w:w="108" w:type="dxa"/>
            </w:tcMar>
            <w:hideMark/>
          </w:tcPr>
          <w:p w:rsidR="00C95164" w:rsidRPr="000237B3" w:rsidRDefault="00C95164">
            <w:pPr>
              <w:rPr>
                <w:rFonts w:ascii="Calibri" w:hAnsi="Calibri"/>
                <w:lang w:eastAsia="en-US"/>
              </w:rPr>
            </w:pPr>
            <w:r w:rsidRPr="000237B3">
              <w:t>Dzīvojamo māju privatizācijas Informācijas sistēma</w:t>
            </w:r>
          </w:p>
        </w:tc>
        <w:tc>
          <w:tcPr>
            <w:tcW w:w="4479" w:type="dxa"/>
            <w:tcMar>
              <w:top w:w="0" w:type="dxa"/>
              <w:left w:w="108" w:type="dxa"/>
              <w:bottom w:w="0" w:type="dxa"/>
              <w:right w:w="108" w:type="dxa"/>
            </w:tcMar>
            <w:hideMark/>
          </w:tcPr>
          <w:p w:rsidR="00C95164" w:rsidRPr="000237B3" w:rsidRDefault="00C95164">
            <w:pPr>
              <w:rPr>
                <w:rFonts w:ascii="Calibri" w:hAnsi="Calibri"/>
                <w:lang w:eastAsia="en-US"/>
              </w:rPr>
            </w:pPr>
            <w:r w:rsidRPr="000237B3">
              <w:t>Datu apmaiņa starp pašvaldībām un LHZB par maksājumiem ar privatizācijas sertifikātiem</w:t>
            </w:r>
          </w:p>
          <w:p w:rsidR="00C95164" w:rsidRPr="000237B3" w:rsidRDefault="00C95164">
            <w:pPr>
              <w:rPr>
                <w:rFonts w:ascii="Calibri" w:hAnsi="Calibri"/>
                <w:lang w:eastAsia="en-US"/>
              </w:rPr>
            </w:pPr>
            <w:r w:rsidRPr="000237B3">
              <w:t>Informācija par valsts un pašvaldību dzīvojamo māju privatizāciju</w:t>
            </w:r>
          </w:p>
        </w:tc>
      </w:tr>
    </w:tbl>
    <w:p w:rsidR="00C95164" w:rsidRPr="00426EEF" w:rsidRDefault="00C95164" w:rsidP="00C95164"/>
    <w:p w:rsidR="0090269E" w:rsidRDefault="00C95164" w:rsidP="00C95164">
      <w:pPr>
        <w:ind w:firstLine="720"/>
        <w:jc w:val="both"/>
        <w:rPr>
          <w:rFonts w:cs="Times New Roman"/>
          <w:sz w:val="28"/>
          <w:szCs w:val="28"/>
        </w:rPr>
      </w:pPr>
      <w:r w:rsidRPr="000237B3">
        <w:rPr>
          <w:rFonts w:cs="Times New Roman"/>
          <w:sz w:val="28"/>
          <w:szCs w:val="28"/>
        </w:rPr>
        <w:t xml:space="preserve">Ņemot vērā, ka Oracle 11g izveidotā sistēmas ir monolītas un savstarpēji cieši saistītas, to atdalīšanai un optimizēšanai atsevišķu </w:t>
      </w:r>
      <w:r w:rsidR="00CF3E6B" w:rsidRPr="000237B3">
        <w:rPr>
          <w:bCs/>
          <w:sz w:val="28"/>
          <w:szCs w:val="28"/>
        </w:rPr>
        <w:t>Aģentūras</w:t>
      </w:r>
      <w:r w:rsidRPr="000237B3">
        <w:rPr>
          <w:rFonts w:cs="Times New Roman"/>
          <w:sz w:val="28"/>
          <w:szCs w:val="28"/>
        </w:rPr>
        <w:t xml:space="preserve"> funkciju nodošanai atsevišķām iestādēm ir nepieciešams papildus finansējums. </w:t>
      </w:r>
    </w:p>
    <w:p w:rsidR="00C95164" w:rsidRPr="008816FE" w:rsidRDefault="00C95164" w:rsidP="00C95164">
      <w:pPr>
        <w:ind w:firstLine="720"/>
        <w:jc w:val="both"/>
        <w:rPr>
          <w:sz w:val="28"/>
          <w:szCs w:val="28"/>
        </w:rPr>
      </w:pPr>
      <w:r w:rsidRPr="000237B3">
        <w:rPr>
          <w:rFonts w:cs="Times New Roman"/>
          <w:sz w:val="28"/>
          <w:szCs w:val="28"/>
        </w:rPr>
        <w:lastRenderedPageBreak/>
        <w:t xml:space="preserve">Dzīvojamo māju privatizācijas Informācijas sistēma šobrīd darbojas uz Oracle 8 programmatūras, kurai netiek nodrošināts atbalsts, un tās funkcionalitāte neatbilst prasībām, </w:t>
      </w:r>
      <w:r w:rsidR="000B5A26" w:rsidRPr="000237B3">
        <w:rPr>
          <w:rFonts w:cs="Times New Roman"/>
          <w:sz w:val="28"/>
          <w:szCs w:val="28"/>
        </w:rPr>
        <w:t>ņem</w:t>
      </w:r>
      <w:r w:rsidR="000B5A26">
        <w:rPr>
          <w:rFonts w:cs="Times New Roman"/>
          <w:sz w:val="28"/>
          <w:szCs w:val="28"/>
        </w:rPr>
        <w:t>ot</w:t>
      </w:r>
      <w:r w:rsidR="000B5A26" w:rsidRPr="000237B3">
        <w:rPr>
          <w:rFonts w:cs="Times New Roman"/>
          <w:sz w:val="28"/>
          <w:szCs w:val="28"/>
        </w:rPr>
        <w:t xml:space="preserve"> </w:t>
      </w:r>
      <w:r w:rsidRPr="000237B3">
        <w:rPr>
          <w:rFonts w:cs="Times New Roman"/>
          <w:sz w:val="28"/>
          <w:szCs w:val="28"/>
        </w:rPr>
        <w:t>vērā, ka tā tika izveidota 1994.gadā un programmatūrā nav veiktas nepieciešamās izmaiņas, k</w:t>
      </w:r>
      <w:r w:rsidR="001058B1" w:rsidRPr="000237B3">
        <w:rPr>
          <w:rFonts w:cs="Times New Roman"/>
          <w:sz w:val="28"/>
          <w:szCs w:val="28"/>
        </w:rPr>
        <w:t xml:space="preserve">as prasa būtiskas investīcijas. Šāda nepieciešamība </w:t>
      </w:r>
      <w:r w:rsidRPr="000237B3">
        <w:rPr>
          <w:rFonts w:cs="Times New Roman"/>
          <w:sz w:val="28"/>
          <w:szCs w:val="28"/>
        </w:rPr>
        <w:t>tika minēt</w:t>
      </w:r>
      <w:r w:rsidR="001058B1" w:rsidRPr="000237B3">
        <w:rPr>
          <w:rFonts w:cs="Times New Roman"/>
          <w:sz w:val="28"/>
          <w:szCs w:val="28"/>
        </w:rPr>
        <w:t>a</w:t>
      </w:r>
      <w:r w:rsidRPr="000237B3">
        <w:rPr>
          <w:rFonts w:cs="Times New Roman"/>
          <w:sz w:val="28"/>
          <w:szCs w:val="28"/>
        </w:rPr>
        <w:t xml:space="preserve"> </w:t>
      </w:r>
      <w:r w:rsidRPr="000237B3">
        <w:rPr>
          <w:sz w:val="28"/>
          <w:szCs w:val="28"/>
        </w:rPr>
        <w:t xml:space="preserve">2011.gada 18.aprīļa </w:t>
      </w:r>
      <w:r w:rsidR="00F57826" w:rsidRPr="00F57826">
        <w:rPr>
          <w:sz w:val="28"/>
          <w:szCs w:val="28"/>
        </w:rPr>
        <w:t>sabiedrības ar ierobežotu atbildību</w:t>
      </w:r>
      <w:r w:rsidRPr="000237B3">
        <w:rPr>
          <w:sz w:val="28"/>
          <w:szCs w:val="28"/>
        </w:rPr>
        <w:t xml:space="preserve"> “</w:t>
      </w:r>
      <w:proofErr w:type="spellStart"/>
      <w:r w:rsidRPr="000237B3">
        <w:rPr>
          <w:sz w:val="28"/>
          <w:szCs w:val="28"/>
        </w:rPr>
        <w:t>PricewaterhouseCoopers</w:t>
      </w:r>
      <w:proofErr w:type="spellEnd"/>
      <w:r w:rsidRPr="000237B3">
        <w:rPr>
          <w:sz w:val="28"/>
          <w:szCs w:val="28"/>
        </w:rPr>
        <w:t xml:space="preserve">” </w:t>
      </w:r>
      <w:r w:rsidR="00040CF6" w:rsidRPr="000237B3">
        <w:rPr>
          <w:sz w:val="28"/>
          <w:szCs w:val="28"/>
        </w:rPr>
        <w:t>Aģentūrai</w:t>
      </w:r>
      <w:r w:rsidRPr="000237B3">
        <w:rPr>
          <w:sz w:val="28"/>
          <w:szCs w:val="28"/>
        </w:rPr>
        <w:t xml:space="preserve"> iesniegtajā informācijas sistēmu attīstības lietderības izvērtējuma ziņojumā. </w:t>
      </w:r>
      <w:r w:rsidRPr="000237B3">
        <w:rPr>
          <w:rFonts w:cs="Times New Roman"/>
          <w:sz w:val="28"/>
          <w:szCs w:val="28"/>
        </w:rPr>
        <w:t xml:space="preserve"> </w:t>
      </w:r>
      <w:r w:rsidR="0090269E" w:rsidRPr="000237B3">
        <w:rPr>
          <w:rFonts w:cs="Times New Roman"/>
          <w:sz w:val="28"/>
          <w:szCs w:val="28"/>
        </w:rPr>
        <w:t xml:space="preserve">Dzīvojamo māju privatizācijas </w:t>
      </w:r>
      <w:r w:rsidRPr="000237B3">
        <w:rPr>
          <w:rFonts w:cs="Times New Roman"/>
          <w:sz w:val="28"/>
          <w:szCs w:val="28"/>
        </w:rPr>
        <w:t xml:space="preserve">Informācijas sistēma ir </w:t>
      </w:r>
      <w:r w:rsidR="009F7834" w:rsidRPr="000237B3">
        <w:rPr>
          <w:rFonts w:cs="Times New Roman"/>
          <w:sz w:val="28"/>
          <w:szCs w:val="28"/>
        </w:rPr>
        <w:t>svarīg</w:t>
      </w:r>
      <w:r w:rsidR="009F7834">
        <w:rPr>
          <w:rFonts w:cs="Times New Roman"/>
          <w:sz w:val="28"/>
          <w:szCs w:val="28"/>
        </w:rPr>
        <w:t>a</w:t>
      </w:r>
      <w:r w:rsidR="009F7834" w:rsidRPr="000237B3">
        <w:rPr>
          <w:rFonts w:cs="Times New Roman"/>
          <w:sz w:val="28"/>
          <w:szCs w:val="28"/>
        </w:rPr>
        <w:t xml:space="preserve"> </w:t>
      </w:r>
      <w:r w:rsidRPr="000237B3">
        <w:rPr>
          <w:rFonts w:cs="Times New Roman"/>
          <w:sz w:val="28"/>
          <w:szCs w:val="28"/>
        </w:rPr>
        <w:t>valsts un pašvaldību dzīvojamo māju privatizācijas nodrošināšanā,</w:t>
      </w:r>
      <w:r w:rsidR="00FE2962">
        <w:rPr>
          <w:rFonts w:cs="Times New Roman"/>
          <w:sz w:val="28"/>
          <w:szCs w:val="28"/>
        </w:rPr>
        <w:t xml:space="preserve"> </w:t>
      </w:r>
      <w:r w:rsidR="0067089A">
        <w:rPr>
          <w:rFonts w:cs="Times New Roman"/>
          <w:sz w:val="28"/>
          <w:szCs w:val="28"/>
        </w:rPr>
        <w:t>turklāt</w:t>
      </w:r>
      <w:r w:rsidR="00FE2962">
        <w:rPr>
          <w:rFonts w:cs="Times New Roman"/>
          <w:sz w:val="28"/>
          <w:szCs w:val="28"/>
        </w:rPr>
        <w:t xml:space="preserve"> sistēmu nepieciešams pielāgot </w:t>
      </w:r>
      <w:r w:rsidR="0067089A">
        <w:rPr>
          <w:rFonts w:cs="Times New Roman"/>
          <w:sz w:val="28"/>
          <w:szCs w:val="28"/>
        </w:rPr>
        <w:t xml:space="preserve">arī </w:t>
      </w:r>
      <w:r w:rsidR="00FE2962">
        <w:rPr>
          <w:rFonts w:cs="Times New Roman"/>
          <w:sz w:val="28"/>
          <w:szCs w:val="28"/>
        </w:rPr>
        <w:t>Eiro ieviešanai</w:t>
      </w:r>
      <w:r w:rsidR="0067089A">
        <w:rPr>
          <w:rFonts w:cs="Times New Roman"/>
          <w:sz w:val="28"/>
          <w:szCs w:val="28"/>
        </w:rPr>
        <w:t xml:space="preserve">. Līdz ar to </w:t>
      </w:r>
      <w:r w:rsidRPr="000237B3">
        <w:rPr>
          <w:rFonts w:cs="Times New Roman"/>
          <w:sz w:val="28"/>
          <w:szCs w:val="28"/>
        </w:rPr>
        <w:t xml:space="preserve">nepieciešams papildus finansējums šīs informācijas sistēmas programmatūras un funkcionalitātes atjaunošanai </w:t>
      </w:r>
      <w:r w:rsidR="0067089A">
        <w:rPr>
          <w:rFonts w:cs="Times New Roman"/>
          <w:sz w:val="28"/>
          <w:szCs w:val="28"/>
        </w:rPr>
        <w:t>(</w:t>
      </w:r>
      <w:r w:rsidR="0067089A" w:rsidRPr="008816FE">
        <w:rPr>
          <w:sz w:val="28"/>
          <w:szCs w:val="28"/>
        </w:rPr>
        <w:t xml:space="preserve">aptuveni 60 </w:t>
      </w:r>
      <w:proofErr w:type="spellStart"/>
      <w:r w:rsidR="0067089A" w:rsidRPr="008816FE">
        <w:rPr>
          <w:sz w:val="28"/>
          <w:szCs w:val="28"/>
        </w:rPr>
        <w:t>tūkst.latu</w:t>
      </w:r>
      <w:proofErr w:type="spellEnd"/>
      <w:r w:rsidR="0067089A" w:rsidRPr="008816FE">
        <w:rPr>
          <w:sz w:val="28"/>
          <w:szCs w:val="28"/>
        </w:rPr>
        <w:t xml:space="preserve">, ieskaitot </w:t>
      </w:r>
      <w:proofErr w:type="spellStart"/>
      <w:r w:rsidR="0067089A" w:rsidRPr="008816FE">
        <w:rPr>
          <w:sz w:val="28"/>
          <w:szCs w:val="28"/>
        </w:rPr>
        <w:t>Oracle</w:t>
      </w:r>
      <w:proofErr w:type="spellEnd"/>
      <w:r w:rsidR="0067089A" w:rsidRPr="008816FE">
        <w:rPr>
          <w:sz w:val="28"/>
          <w:szCs w:val="28"/>
        </w:rPr>
        <w:t xml:space="preserve"> licences un sistēmas funkcionalitātes atjaunošanu</w:t>
      </w:r>
      <w:r w:rsidR="0006152D" w:rsidRPr="008816FE">
        <w:rPr>
          <w:rFonts w:cs="Times New Roman"/>
          <w:sz w:val="28"/>
          <w:szCs w:val="28"/>
        </w:rPr>
        <w:t>)</w:t>
      </w:r>
      <w:r w:rsidRPr="008816FE">
        <w:rPr>
          <w:rFonts w:cs="Times New Roman"/>
          <w:sz w:val="28"/>
          <w:szCs w:val="28"/>
        </w:rPr>
        <w:t xml:space="preserve">. </w:t>
      </w:r>
      <w:r w:rsidR="0067089A" w:rsidRPr="008816FE">
        <w:rPr>
          <w:sz w:val="28"/>
          <w:szCs w:val="28"/>
        </w:rPr>
        <w:t>Ņemot vērā ierobežoto Aģentūras darbības termiņu, šādas izmaksas uzskatāmas par pārmērīgām un nelietderīgām. Līdz ar to Dzīvojamo māju privatizācijas Informācijas sistēmas turpmākā darbība būtu jāierobežo līdz tiek noteikts dzīvojamo māju privatizācijas funkcijas pārņēmējs.</w:t>
      </w:r>
    </w:p>
    <w:p w:rsidR="0067089A" w:rsidRDefault="0067089A" w:rsidP="000237B3">
      <w:pPr>
        <w:jc w:val="center"/>
        <w:rPr>
          <w:b/>
          <w:sz w:val="28"/>
          <w:szCs w:val="28"/>
        </w:rPr>
      </w:pPr>
    </w:p>
    <w:p w:rsidR="00EB6019" w:rsidRPr="000237B3" w:rsidRDefault="00AA454A" w:rsidP="000237B3">
      <w:pPr>
        <w:jc w:val="center"/>
        <w:rPr>
          <w:rFonts w:eastAsiaTheme="majorEastAsia" w:cstheme="majorBidi"/>
          <w:b/>
          <w:bCs/>
          <w:sz w:val="28"/>
          <w:szCs w:val="28"/>
        </w:rPr>
      </w:pPr>
      <w:r w:rsidRPr="000237B3">
        <w:rPr>
          <w:b/>
          <w:sz w:val="28"/>
          <w:szCs w:val="28"/>
        </w:rPr>
        <w:t xml:space="preserve">VI </w:t>
      </w:r>
      <w:r w:rsidR="00EB6019" w:rsidRPr="000237B3">
        <w:rPr>
          <w:b/>
          <w:sz w:val="28"/>
          <w:szCs w:val="28"/>
        </w:rPr>
        <w:t>DARBĪBAS IZBEIGŠANA</w:t>
      </w:r>
      <w:r w:rsidR="001514CC" w:rsidRPr="000237B3">
        <w:rPr>
          <w:b/>
          <w:sz w:val="28"/>
          <w:szCs w:val="28"/>
        </w:rPr>
        <w:t xml:space="preserve">S </w:t>
      </w:r>
      <w:r w:rsidR="00246356" w:rsidRPr="000237B3">
        <w:rPr>
          <w:b/>
          <w:sz w:val="28"/>
          <w:szCs w:val="28"/>
        </w:rPr>
        <w:t xml:space="preserve">TRĪS </w:t>
      </w:r>
      <w:r w:rsidR="001514CC" w:rsidRPr="000237B3">
        <w:rPr>
          <w:b/>
          <w:sz w:val="28"/>
          <w:szCs w:val="28"/>
        </w:rPr>
        <w:t>ETAPI</w:t>
      </w:r>
    </w:p>
    <w:p w:rsidR="00375CAA" w:rsidRPr="00426EEF" w:rsidRDefault="002C4B9A" w:rsidP="002C4B9A">
      <w:pPr>
        <w:tabs>
          <w:tab w:val="left" w:pos="4988"/>
        </w:tabs>
        <w:ind w:firstLine="720"/>
        <w:jc w:val="both"/>
      </w:pPr>
      <w:r>
        <w:tab/>
      </w:r>
    </w:p>
    <w:p w:rsidR="006D1FD9" w:rsidRPr="00E95D30" w:rsidRDefault="00BC1572" w:rsidP="00566BD0">
      <w:pPr>
        <w:ind w:firstLine="720"/>
        <w:jc w:val="both"/>
        <w:rPr>
          <w:sz w:val="28"/>
          <w:szCs w:val="28"/>
        </w:rPr>
      </w:pPr>
      <w:r w:rsidRPr="00E95D30">
        <w:rPr>
          <w:sz w:val="28"/>
          <w:szCs w:val="28"/>
        </w:rPr>
        <w:t>Darbības izbeigšanas str</w:t>
      </w:r>
      <w:r w:rsidR="00566BD0" w:rsidRPr="00E95D30">
        <w:rPr>
          <w:sz w:val="28"/>
          <w:szCs w:val="28"/>
        </w:rPr>
        <w:t xml:space="preserve">atēģijas </w:t>
      </w:r>
      <w:r w:rsidR="00246356" w:rsidRPr="00E95D30">
        <w:rPr>
          <w:sz w:val="28"/>
          <w:szCs w:val="28"/>
        </w:rPr>
        <w:t>ietver</w:t>
      </w:r>
      <w:r w:rsidR="00566BD0" w:rsidRPr="00E95D30">
        <w:rPr>
          <w:sz w:val="28"/>
          <w:szCs w:val="28"/>
        </w:rPr>
        <w:t xml:space="preserve"> </w:t>
      </w:r>
      <w:r w:rsidR="00246356" w:rsidRPr="00E95D30">
        <w:rPr>
          <w:sz w:val="28"/>
          <w:szCs w:val="28"/>
        </w:rPr>
        <w:t>trīs</w:t>
      </w:r>
      <w:r w:rsidR="00F10E89" w:rsidRPr="00E95D30">
        <w:rPr>
          <w:sz w:val="28"/>
          <w:szCs w:val="28"/>
        </w:rPr>
        <w:t xml:space="preserve"> etap</w:t>
      </w:r>
      <w:r w:rsidR="00246356" w:rsidRPr="00E95D30">
        <w:rPr>
          <w:sz w:val="28"/>
          <w:szCs w:val="28"/>
        </w:rPr>
        <w:t>us</w:t>
      </w:r>
      <w:r w:rsidR="00F10E89" w:rsidRPr="00E95D30">
        <w:rPr>
          <w:sz w:val="28"/>
          <w:szCs w:val="28"/>
        </w:rPr>
        <w:t xml:space="preserve">. </w:t>
      </w:r>
      <w:r w:rsidR="008C3E57" w:rsidRPr="00E95D30">
        <w:rPr>
          <w:b/>
          <w:sz w:val="28"/>
          <w:szCs w:val="28"/>
        </w:rPr>
        <w:t xml:space="preserve">Pirmais etaps </w:t>
      </w:r>
      <w:r w:rsidRPr="00E95D30">
        <w:rPr>
          <w:sz w:val="28"/>
          <w:szCs w:val="28"/>
        </w:rPr>
        <w:t xml:space="preserve">ir </w:t>
      </w:r>
      <w:r w:rsidR="00040CF6" w:rsidRPr="00E95D30">
        <w:rPr>
          <w:sz w:val="28"/>
          <w:szCs w:val="28"/>
        </w:rPr>
        <w:t>Aģentūras</w:t>
      </w:r>
      <w:r w:rsidRPr="00E95D30">
        <w:rPr>
          <w:sz w:val="28"/>
          <w:szCs w:val="28"/>
        </w:rPr>
        <w:t xml:space="preserve"> funkciju </w:t>
      </w:r>
      <w:r w:rsidR="00426EEF" w:rsidRPr="00E95D30">
        <w:rPr>
          <w:sz w:val="28"/>
          <w:szCs w:val="28"/>
        </w:rPr>
        <w:t xml:space="preserve">veikšana un </w:t>
      </w:r>
      <w:r w:rsidR="009E29C9" w:rsidRPr="00E95D30">
        <w:rPr>
          <w:sz w:val="28"/>
          <w:szCs w:val="28"/>
        </w:rPr>
        <w:t xml:space="preserve">atsevišķu funkciju </w:t>
      </w:r>
      <w:r w:rsidRPr="00E95D30">
        <w:rPr>
          <w:sz w:val="28"/>
          <w:szCs w:val="28"/>
        </w:rPr>
        <w:t>nodošana citām institūcijām</w:t>
      </w:r>
      <w:r w:rsidR="00566BD0" w:rsidRPr="00E95D30">
        <w:rPr>
          <w:b/>
          <w:sz w:val="28"/>
          <w:szCs w:val="28"/>
        </w:rPr>
        <w:t xml:space="preserve"> </w:t>
      </w:r>
      <w:r w:rsidRPr="00E95D30">
        <w:rPr>
          <w:sz w:val="28"/>
          <w:szCs w:val="28"/>
        </w:rPr>
        <w:t xml:space="preserve">atbilstoši </w:t>
      </w:r>
      <w:r w:rsidR="00566BD0" w:rsidRPr="00E95D30">
        <w:rPr>
          <w:sz w:val="28"/>
          <w:szCs w:val="28"/>
        </w:rPr>
        <w:t xml:space="preserve">laika grafikam, kas ietverts tabulā Nr.8. </w:t>
      </w:r>
      <w:r w:rsidR="00F10E89" w:rsidRPr="00E95D30">
        <w:rPr>
          <w:b/>
          <w:sz w:val="28"/>
          <w:szCs w:val="28"/>
        </w:rPr>
        <w:t>Otrais etaps</w:t>
      </w:r>
      <w:r w:rsidR="00F10E89" w:rsidRPr="00E95D30">
        <w:rPr>
          <w:sz w:val="28"/>
          <w:szCs w:val="28"/>
        </w:rPr>
        <w:t xml:space="preserve"> ir </w:t>
      </w:r>
      <w:r w:rsidR="00040CF6" w:rsidRPr="00E95D30">
        <w:rPr>
          <w:sz w:val="28"/>
          <w:szCs w:val="28"/>
        </w:rPr>
        <w:t>Aģentūras</w:t>
      </w:r>
      <w:r w:rsidR="00F10E89" w:rsidRPr="00E95D30">
        <w:rPr>
          <w:sz w:val="28"/>
          <w:szCs w:val="28"/>
        </w:rPr>
        <w:t xml:space="preserve"> reorganizācija</w:t>
      </w:r>
      <w:r w:rsidR="00DB2EBD" w:rsidRPr="00E95D30">
        <w:rPr>
          <w:sz w:val="28"/>
          <w:szCs w:val="28"/>
        </w:rPr>
        <w:t xml:space="preserve">, </w:t>
      </w:r>
      <w:r w:rsidR="00DD1D17" w:rsidRPr="00E95D30">
        <w:rPr>
          <w:sz w:val="28"/>
          <w:szCs w:val="28"/>
        </w:rPr>
        <w:t xml:space="preserve">nemainot juridisko statusu, bet </w:t>
      </w:r>
      <w:r w:rsidR="00F10E89" w:rsidRPr="00E95D30">
        <w:rPr>
          <w:sz w:val="28"/>
          <w:szCs w:val="28"/>
        </w:rPr>
        <w:t>mainot</w:t>
      </w:r>
      <w:r w:rsidR="00CB7121" w:rsidRPr="00E95D30">
        <w:rPr>
          <w:sz w:val="28"/>
          <w:szCs w:val="28"/>
        </w:rPr>
        <w:t xml:space="preserve"> nosaukumu un</w:t>
      </w:r>
      <w:r w:rsidR="00F10E89" w:rsidRPr="00E95D30">
        <w:rPr>
          <w:sz w:val="28"/>
          <w:szCs w:val="28"/>
        </w:rPr>
        <w:t xml:space="preserve"> </w:t>
      </w:r>
      <w:r w:rsidR="00DD1D17" w:rsidRPr="00E95D30">
        <w:rPr>
          <w:sz w:val="28"/>
          <w:szCs w:val="28"/>
        </w:rPr>
        <w:t>turpmākās darbības mērķus (</w:t>
      </w:r>
      <w:r w:rsidR="00CB0E22" w:rsidRPr="00CB0E22">
        <w:rPr>
          <w:sz w:val="28"/>
          <w:szCs w:val="28"/>
        </w:rPr>
        <w:t>akciju sabiedrības</w:t>
      </w:r>
      <w:r w:rsidR="00DD1D17" w:rsidRPr="00E95D30">
        <w:rPr>
          <w:sz w:val="28"/>
          <w:szCs w:val="28"/>
        </w:rPr>
        <w:t xml:space="preserve"> „Citadele banka” un</w:t>
      </w:r>
      <w:r w:rsidR="00A51225">
        <w:rPr>
          <w:sz w:val="28"/>
          <w:szCs w:val="28"/>
        </w:rPr>
        <w:t xml:space="preserve"> </w:t>
      </w:r>
      <w:r w:rsidR="00CB0E22" w:rsidRPr="00CB0E22">
        <w:rPr>
          <w:sz w:val="28"/>
          <w:szCs w:val="28"/>
        </w:rPr>
        <w:t>akciju sabiedrības</w:t>
      </w:r>
      <w:r w:rsidR="00DD1D17" w:rsidRPr="00E95D30">
        <w:rPr>
          <w:sz w:val="28"/>
          <w:szCs w:val="28"/>
        </w:rPr>
        <w:t xml:space="preserve"> „</w:t>
      </w:r>
      <w:proofErr w:type="spellStart"/>
      <w:r w:rsidR="00DD1D17" w:rsidRPr="00E95D30">
        <w:rPr>
          <w:sz w:val="28"/>
          <w:szCs w:val="28"/>
        </w:rPr>
        <w:t>Reverta</w:t>
      </w:r>
      <w:proofErr w:type="spellEnd"/>
      <w:r w:rsidR="00DD1D17" w:rsidRPr="00E95D30">
        <w:rPr>
          <w:sz w:val="28"/>
          <w:szCs w:val="28"/>
        </w:rPr>
        <w:t>”</w:t>
      </w:r>
      <w:r w:rsidR="0015347E" w:rsidRPr="0015347E">
        <w:rPr>
          <w:sz w:val="28"/>
          <w:szCs w:val="28"/>
        </w:rPr>
        <w:t xml:space="preserve"> </w:t>
      </w:r>
      <w:r w:rsidR="0015347E" w:rsidRPr="00E95D30">
        <w:rPr>
          <w:sz w:val="28"/>
          <w:szCs w:val="28"/>
        </w:rPr>
        <w:t>(ja t</w:t>
      </w:r>
      <w:r w:rsidR="0015347E">
        <w:rPr>
          <w:sz w:val="28"/>
          <w:szCs w:val="28"/>
        </w:rPr>
        <w:t>o</w:t>
      </w:r>
      <w:r w:rsidR="0015347E" w:rsidRPr="00E95D30">
        <w:rPr>
          <w:sz w:val="28"/>
          <w:szCs w:val="28"/>
        </w:rPr>
        <w:t xml:space="preserve"> akcijas vēl nebūs pārdotas) </w:t>
      </w:r>
      <w:r w:rsidR="00DD1D17" w:rsidRPr="00E95D30">
        <w:rPr>
          <w:sz w:val="28"/>
          <w:szCs w:val="28"/>
        </w:rPr>
        <w:t xml:space="preserve"> pārvaldīšanu un akciju pārdošanu</w:t>
      </w:r>
      <w:r w:rsidR="00C4395D">
        <w:rPr>
          <w:sz w:val="28"/>
          <w:szCs w:val="28"/>
        </w:rPr>
        <w:t xml:space="preserve">, kā arī </w:t>
      </w:r>
      <w:r w:rsidR="0015347E">
        <w:rPr>
          <w:sz w:val="28"/>
          <w:szCs w:val="28"/>
        </w:rPr>
        <w:t xml:space="preserve"> </w:t>
      </w:r>
      <w:proofErr w:type="spellStart"/>
      <w:r w:rsidR="00C4395D">
        <w:rPr>
          <w:sz w:val="28"/>
          <w:szCs w:val="28"/>
        </w:rPr>
        <w:t>HipoNIA</w:t>
      </w:r>
      <w:proofErr w:type="spellEnd"/>
      <w:r w:rsidR="00C4395D">
        <w:rPr>
          <w:sz w:val="28"/>
          <w:szCs w:val="28"/>
        </w:rPr>
        <w:t xml:space="preserve"> pārvaldī</w:t>
      </w:r>
      <w:r w:rsidR="0015347E">
        <w:rPr>
          <w:sz w:val="28"/>
          <w:szCs w:val="28"/>
        </w:rPr>
        <w:t>šanu</w:t>
      </w:r>
      <w:r w:rsidR="00DD1D17" w:rsidRPr="00E95D30">
        <w:rPr>
          <w:sz w:val="28"/>
          <w:szCs w:val="28"/>
        </w:rPr>
        <w:t>)</w:t>
      </w:r>
      <w:r w:rsidR="00F10E89" w:rsidRPr="00E95D30">
        <w:rPr>
          <w:sz w:val="28"/>
          <w:szCs w:val="28"/>
        </w:rPr>
        <w:t xml:space="preserve">. </w:t>
      </w:r>
      <w:r w:rsidR="00F10E89" w:rsidRPr="00E95D30">
        <w:rPr>
          <w:b/>
          <w:sz w:val="28"/>
          <w:szCs w:val="28"/>
        </w:rPr>
        <w:t>Trešais etaps</w:t>
      </w:r>
      <w:r w:rsidR="00F10E89" w:rsidRPr="00E95D30">
        <w:rPr>
          <w:sz w:val="28"/>
          <w:szCs w:val="28"/>
        </w:rPr>
        <w:t xml:space="preserve"> ir </w:t>
      </w:r>
      <w:r w:rsidR="00040CF6" w:rsidRPr="00E95D30">
        <w:rPr>
          <w:sz w:val="28"/>
          <w:szCs w:val="28"/>
        </w:rPr>
        <w:t xml:space="preserve">Aģentūras </w:t>
      </w:r>
      <w:r w:rsidR="00F10E89" w:rsidRPr="00E95D30">
        <w:rPr>
          <w:sz w:val="28"/>
          <w:szCs w:val="28"/>
        </w:rPr>
        <w:t>darbības izbeigšana</w:t>
      </w:r>
      <w:r w:rsidR="008C2F2E" w:rsidRPr="00E95D30">
        <w:rPr>
          <w:sz w:val="28"/>
          <w:szCs w:val="28"/>
        </w:rPr>
        <w:t xml:space="preserve"> (likvidācija)</w:t>
      </w:r>
      <w:r w:rsidR="00F10E89" w:rsidRPr="00E95D30">
        <w:rPr>
          <w:sz w:val="28"/>
          <w:szCs w:val="28"/>
        </w:rPr>
        <w:t xml:space="preserve">. </w:t>
      </w:r>
    </w:p>
    <w:p w:rsidR="00BC1572" w:rsidRPr="00E95D30" w:rsidRDefault="00BC1572" w:rsidP="00BC1572">
      <w:pPr>
        <w:ind w:left="360"/>
        <w:jc w:val="right"/>
        <w:rPr>
          <w:sz w:val="28"/>
          <w:szCs w:val="28"/>
        </w:rPr>
      </w:pPr>
      <w:r w:rsidRPr="00E95D30">
        <w:rPr>
          <w:sz w:val="28"/>
          <w:szCs w:val="28"/>
        </w:rPr>
        <w:t>Tabula Nr.8</w:t>
      </w:r>
    </w:p>
    <w:p w:rsidR="00566BD0" w:rsidRPr="00E95D30" w:rsidRDefault="00040CF6" w:rsidP="00BC1572">
      <w:pPr>
        <w:ind w:left="360"/>
        <w:jc w:val="center"/>
        <w:rPr>
          <w:b/>
          <w:sz w:val="28"/>
          <w:szCs w:val="28"/>
        </w:rPr>
      </w:pPr>
      <w:r w:rsidRPr="00E95D30">
        <w:rPr>
          <w:b/>
          <w:sz w:val="28"/>
          <w:szCs w:val="28"/>
        </w:rPr>
        <w:t>Aģentūras</w:t>
      </w:r>
      <w:r w:rsidR="00BC1572" w:rsidRPr="00E95D30">
        <w:rPr>
          <w:b/>
          <w:sz w:val="28"/>
          <w:szCs w:val="28"/>
        </w:rPr>
        <w:t xml:space="preserve"> funkcijas un to nodošanas laiks citām institūcijām</w:t>
      </w:r>
      <w:r w:rsidR="00566BD0" w:rsidRPr="00E95D30">
        <w:rPr>
          <w:b/>
          <w:sz w:val="28"/>
          <w:szCs w:val="28"/>
        </w:rPr>
        <w:t xml:space="preserve"> </w:t>
      </w:r>
    </w:p>
    <w:p w:rsidR="00BC1572" w:rsidRPr="00E95D30" w:rsidRDefault="00566BD0" w:rsidP="00BC1572">
      <w:pPr>
        <w:ind w:left="360"/>
        <w:jc w:val="center"/>
        <w:rPr>
          <w:b/>
          <w:sz w:val="28"/>
          <w:szCs w:val="28"/>
        </w:rPr>
      </w:pPr>
      <w:r w:rsidRPr="00E95D30">
        <w:rPr>
          <w:b/>
          <w:sz w:val="28"/>
          <w:szCs w:val="28"/>
        </w:rPr>
        <w:t>(darbības izbeigšanas pirmais etaps)</w:t>
      </w:r>
    </w:p>
    <w:tbl>
      <w:tblPr>
        <w:tblStyle w:val="MediumShading1-Accent6"/>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576"/>
        <w:gridCol w:w="992"/>
        <w:gridCol w:w="843"/>
        <w:gridCol w:w="1407"/>
      </w:tblGrid>
      <w:tr w:rsidR="00BC1572" w:rsidRPr="006F0A3C" w:rsidTr="009242D1">
        <w:trPr>
          <w:cnfStyle w:val="100000000000" w:firstRow="1" w:lastRow="0" w:firstColumn="0" w:lastColumn="0" w:oddVBand="0" w:evenVBand="0" w:oddHBand="0" w:evenHBand="0" w:firstRowFirstColumn="0" w:firstRowLastColumn="0" w:lastRowFirstColumn="0" w:lastRowLastColumn="0"/>
          <w:trHeight w:val="237"/>
        </w:trPr>
        <w:tc>
          <w:tcPr>
            <w:tcW w:w="5576" w:type="dxa"/>
            <w:tcBorders>
              <w:top w:val="none" w:sz="0" w:space="0" w:color="auto"/>
              <w:left w:val="none" w:sz="0" w:space="0" w:color="auto"/>
              <w:bottom w:val="none" w:sz="0" w:space="0" w:color="auto"/>
              <w:right w:val="none" w:sz="0" w:space="0" w:color="auto"/>
            </w:tcBorders>
            <w:shd w:val="clear" w:color="auto" w:fill="4F81BD" w:themeFill="accent1"/>
            <w:hideMark/>
          </w:tcPr>
          <w:p w:rsidR="00BC1572" w:rsidRPr="00E95D30" w:rsidRDefault="00BC1572" w:rsidP="00B34360">
            <w:pPr>
              <w:jc w:val="center"/>
              <w:rPr>
                <w:rFonts w:cs="Times New Roman"/>
                <w:noProof/>
                <w:sz w:val="20"/>
                <w:szCs w:val="20"/>
              </w:rPr>
            </w:pPr>
            <w:r w:rsidRPr="00E95D30">
              <w:rPr>
                <w:rFonts w:cs="Times New Roman"/>
                <w:sz w:val="20"/>
                <w:szCs w:val="20"/>
              </w:rPr>
              <w:br w:type="page"/>
            </w:r>
            <w:r w:rsidR="00E23126" w:rsidRPr="00E95D30">
              <w:rPr>
                <w:rFonts w:cs="Times New Roman"/>
                <w:noProof/>
                <w:sz w:val="20"/>
                <w:szCs w:val="20"/>
              </w:rPr>
              <w:t>Aģentūras</w:t>
            </w:r>
            <w:r w:rsidRPr="00E95D30">
              <w:rPr>
                <w:rFonts w:cs="Times New Roman"/>
                <w:noProof/>
                <w:sz w:val="20"/>
                <w:szCs w:val="20"/>
              </w:rPr>
              <w:t xml:space="preserve"> funkciju nodošana</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BC1572" w:rsidRPr="00E95D30" w:rsidRDefault="00BC1572" w:rsidP="00B34360">
            <w:pPr>
              <w:jc w:val="center"/>
              <w:rPr>
                <w:rFonts w:cs="Times New Roman"/>
                <w:noProof/>
                <w:sz w:val="20"/>
                <w:szCs w:val="20"/>
              </w:rPr>
            </w:pPr>
            <w:r w:rsidRPr="00E95D30">
              <w:rPr>
                <w:rFonts w:cs="Times New Roman"/>
                <w:noProof/>
                <w:sz w:val="20"/>
                <w:szCs w:val="20"/>
              </w:rPr>
              <w:t>2013</w:t>
            </w:r>
          </w:p>
        </w:tc>
        <w:tc>
          <w:tcPr>
            <w:tcW w:w="843" w:type="dxa"/>
            <w:tcBorders>
              <w:top w:val="none" w:sz="0" w:space="0" w:color="auto"/>
              <w:left w:val="none" w:sz="0" w:space="0" w:color="auto"/>
              <w:bottom w:val="none" w:sz="0" w:space="0" w:color="auto"/>
              <w:right w:val="none" w:sz="0" w:space="0" w:color="auto"/>
            </w:tcBorders>
            <w:shd w:val="clear" w:color="auto" w:fill="4F81BD" w:themeFill="accent1"/>
          </w:tcPr>
          <w:p w:rsidR="00BC1572" w:rsidRPr="00E95D30" w:rsidRDefault="00BC1572" w:rsidP="00B34360">
            <w:pPr>
              <w:ind w:firstLine="13"/>
              <w:jc w:val="center"/>
              <w:rPr>
                <w:rFonts w:cs="Times New Roman"/>
                <w:noProof/>
                <w:sz w:val="20"/>
                <w:szCs w:val="20"/>
              </w:rPr>
            </w:pPr>
            <w:r w:rsidRPr="00E95D30">
              <w:rPr>
                <w:rFonts w:cs="Times New Roman"/>
                <w:noProof/>
                <w:sz w:val="20"/>
                <w:szCs w:val="20"/>
              </w:rPr>
              <w:t>2014</w:t>
            </w:r>
          </w:p>
        </w:tc>
        <w:tc>
          <w:tcPr>
            <w:tcW w:w="1407" w:type="dxa"/>
            <w:tcBorders>
              <w:top w:val="none" w:sz="0" w:space="0" w:color="auto"/>
              <w:left w:val="none" w:sz="0" w:space="0" w:color="auto"/>
              <w:bottom w:val="none" w:sz="0" w:space="0" w:color="auto"/>
              <w:right w:val="none" w:sz="0" w:space="0" w:color="auto"/>
            </w:tcBorders>
            <w:shd w:val="clear" w:color="auto" w:fill="4F81BD" w:themeFill="accent1"/>
          </w:tcPr>
          <w:p w:rsidR="00BC1572" w:rsidRPr="00E95D30" w:rsidRDefault="00BC1572" w:rsidP="00B34360">
            <w:pPr>
              <w:ind w:firstLine="35"/>
              <w:jc w:val="center"/>
              <w:rPr>
                <w:rFonts w:cs="Times New Roman"/>
                <w:noProof/>
                <w:sz w:val="20"/>
                <w:szCs w:val="20"/>
              </w:rPr>
            </w:pPr>
            <w:r w:rsidRPr="00E95D30">
              <w:rPr>
                <w:rFonts w:cs="Times New Roman"/>
                <w:noProof/>
                <w:sz w:val="20"/>
                <w:szCs w:val="20"/>
              </w:rPr>
              <w:t>2015</w:t>
            </w:r>
          </w:p>
        </w:tc>
      </w:tr>
      <w:tr w:rsidR="00BC1572" w:rsidRPr="006F0A3C" w:rsidTr="009242D1">
        <w:trPr>
          <w:cnfStyle w:val="000000100000" w:firstRow="0" w:lastRow="0" w:firstColumn="0" w:lastColumn="0" w:oddVBand="0" w:evenVBand="0" w:oddHBand="1" w:evenHBand="0" w:firstRowFirstColumn="0" w:firstRowLastColumn="0" w:lastRowFirstColumn="0" w:lastRowLastColumn="0"/>
          <w:trHeight w:val="794"/>
        </w:trPr>
        <w:tc>
          <w:tcPr>
            <w:tcW w:w="5576" w:type="dxa"/>
            <w:tcBorders>
              <w:right w:val="none" w:sz="0" w:space="0" w:color="auto"/>
            </w:tcBorders>
            <w:shd w:val="clear" w:color="auto" w:fill="auto"/>
            <w:hideMark/>
          </w:tcPr>
          <w:p w:rsidR="00BC1572" w:rsidRPr="00E95D30" w:rsidRDefault="00BC1572" w:rsidP="00E95D30">
            <w:pPr>
              <w:ind w:hanging="2"/>
              <w:jc w:val="center"/>
              <w:rPr>
                <w:rFonts w:cs="Times New Roman"/>
                <w:b/>
                <w:noProof/>
                <w:sz w:val="20"/>
                <w:szCs w:val="20"/>
              </w:rPr>
            </w:pPr>
            <w:r w:rsidRPr="00E95D30">
              <w:rPr>
                <w:rFonts w:cs="Times New Roman"/>
                <w:b/>
                <w:noProof/>
                <w:sz w:val="20"/>
                <w:szCs w:val="20"/>
              </w:rPr>
              <w:t>Valsts zemesgabali</w:t>
            </w:r>
          </w:p>
          <w:p w:rsidR="00BC1572" w:rsidRPr="00E95D30" w:rsidRDefault="00BC1572" w:rsidP="00CB0E22">
            <w:pPr>
              <w:jc w:val="center"/>
              <w:rPr>
                <w:rFonts w:cs="Times New Roman"/>
                <w:b/>
                <w:noProof/>
                <w:sz w:val="20"/>
                <w:szCs w:val="20"/>
              </w:rPr>
            </w:pPr>
            <w:r w:rsidRPr="00E95D30">
              <w:rPr>
                <w:rFonts w:cs="Times New Roman"/>
                <w:noProof/>
                <w:sz w:val="20"/>
                <w:szCs w:val="20"/>
              </w:rPr>
              <w:t>Funkcijas nodošanas process citai institūcijai</w:t>
            </w:r>
            <w:r w:rsidR="0029619D" w:rsidRPr="00E95D30">
              <w:rPr>
                <w:rFonts w:cs="Times New Roman"/>
                <w:noProof/>
                <w:sz w:val="20"/>
                <w:szCs w:val="20"/>
              </w:rPr>
              <w:t xml:space="preserve"> (</w:t>
            </w:r>
            <w:r w:rsidR="00CB0E22">
              <w:rPr>
                <w:rFonts w:cs="Times New Roman"/>
                <w:noProof/>
                <w:sz w:val="20"/>
                <w:szCs w:val="20"/>
              </w:rPr>
              <w:t>valsts akciju sabiedrībai</w:t>
            </w:r>
            <w:r w:rsidR="00CB0E22" w:rsidRPr="00E95D30">
              <w:rPr>
                <w:rFonts w:cs="Times New Roman"/>
                <w:noProof/>
                <w:sz w:val="20"/>
                <w:szCs w:val="20"/>
              </w:rPr>
              <w:t xml:space="preserve"> </w:t>
            </w:r>
            <w:r w:rsidR="0029619D" w:rsidRPr="00E95D30">
              <w:rPr>
                <w:rFonts w:cs="Times New Roman"/>
                <w:noProof/>
                <w:sz w:val="20"/>
                <w:szCs w:val="20"/>
              </w:rPr>
              <w:t>„Valsts nekustamie īpašumi”)</w:t>
            </w:r>
            <w:r w:rsidRPr="00E95D30">
              <w:rPr>
                <w:rFonts w:cs="Times New Roman"/>
                <w:noProof/>
                <w:sz w:val="20"/>
                <w:szCs w:val="20"/>
              </w:rPr>
              <w:t>, kas turpina privatizāciju. Funkcijas nodošana paralēli por</w:t>
            </w:r>
            <w:r w:rsidR="0029619D" w:rsidRPr="00E95D30">
              <w:rPr>
                <w:rFonts w:cs="Times New Roman"/>
                <w:noProof/>
                <w:sz w:val="20"/>
                <w:szCs w:val="20"/>
              </w:rPr>
              <w:t>tfeļa izstrādei nav iespējama</w:t>
            </w:r>
          </w:p>
        </w:tc>
        <w:tc>
          <w:tcPr>
            <w:tcW w:w="992" w:type="dxa"/>
            <w:tcBorders>
              <w:left w:val="none" w:sz="0" w:space="0" w:color="auto"/>
              <w:right w:val="none" w:sz="0" w:space="0" w:color="auto"/>
            </w:tcBorders>
            <w:shd w:val="clear" w:color="auto" w:fill="FFFFFF" w:themeFill="background1"/>
          </w:tcPr>
          <w:p w:rsidR="00BC1572" w:rsidRPr="00E95D30" w:rsidRDefault="00BC1572" w:rsidP="00E95D30">
            <w:pPr>
              <w:ind w:firstLine="9"/>
              <w:jc w:val="center"/>
              <w:rPr>
                <w:rFonts w:cs="Times New Roman"/>
                <w:noProof/>
                <w:sz w:val="20"/>
                <w:szCs w:val="20"/>
              </w:rPr>
            </w:pPr>
          </w:p>
        </w:tc>
        <w:tc>
          <w:tcPr>
            <w:tcW w:w="843"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1407" w:type="dxa"/>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BC1572" w:rsidP="00E95D30">
            <w:pPr>
              <w:rPr>
                <w:rFonts w:cs="Times New Roman"/>
                <w:noProof/>
                <w:sz w:val="20"/>
                <w:szCs w:val="20"/>
              </w:rPr>
            </w:pPr>
            <w:r w:rsidRPr="00E95D30">
              <w:rPr>
                <w:rFonts w:cs="Times New Roman"/>
                <w:noProof/>
                <w:sz w:val="20"/>
                <w:szCs w:val="20"/>
              </w:rPr>
              <w:t>X (I pusgadā)</w:t>
            </w:r>
          </w:p>
          <w:p w:rsidR="00BC1572" w:rsidRPr="00E95D30" w:rsidRDefault="00BC1572" w:rsidP="00E95D30">
            <w:pPr>
              <w:jc w:val="center"/>
              <w:rPr>
                <w:rFonts w:cs="Times New Roman"/>
                <w:noProof/>
                <w:sz w:val="20"/>
                <w:szCs w:val="20"/>
              </w:rPr>
            </w:pPr>
          </w:p>
        </w:tc>
      </w:tr>
      <w:tr w:rsidR="00BC1572" w:rsidRPr="006F0A3C" w:rsidTr="009242D1">
        <w:trPr>
          <w:cnfStyle w:val="000000010000" w:firstRow="0" w:lastRow="0" w:firstColumn="0" w:lastColumn="0" w:oddVBand="0" w:evenVBand="0" w:oddHBand="0" w:evenHBand="1" w:firstRowFirstColumn="0" w:firstRowLastColumn="0" w:lastRowFirstColumn="0" w:lastRowLastColumn="0"/>
          <w:trHeight w:val="794"/>
        </w:trPr>
        <w:tc>
          <w:tcPr>
            <w:tcW w:w="5576" w:type="dxa"/>
            <w:tcBorders>
              <w:right w:val="none" w:sz="0" w:space="0" w:color="auto"/>
            </w:tcBorders>
            <w:shd w:val="clear" w:color="auto" w:fill="auto"/>
            <w:hideMark/>
          </w:tcPr>
          <w:p w:rsidR="00BC1572" w:rsidRPr="00E95D30" w:rsidRDefault="00BC1572" w:rsidP="00E95D30">
            <w:pPr>
              <w:jc w:val="center"/>
              <w:rPr>
                <w:rFonts w:cs="Times New Roman"/>
                <w:noProof/>
                <w:sz w:val="20"/>
                <w:szCs w:val="20"/>
              </w:rPr>
            </w:pPr>
            <w:r w:rsidRPr="00E95D30">
              <w:rPr>
                <w:rFonts w:cs="Times New Roman"/>
                <w:b/>
                <w:noProof/>
                <w:sz w:val="20"/>
                <w:szCs w:val="20"/>
              </w:rPr>
              <w:t>Valsts nekustamā īpašuma objekti</w:t>
            </w:r>
          </w:p>
          <w:p w:rsidR="00BC1572" w:rsidRPr="00E95D30" w:rsidRDefault="0029619D" w:rsidP="00E95D30">
            <w:pPr>
              <w:jc w:val="center"/>
              <w:rPr>
                <w:rFonts w:cs="Times New Roman"/>
                <w:b/>
                <w:noProof/>
                <w:sz w:val="20"/>
                <w:szCs w:val="20"/>
              </w:rPr>
            </w:pPr>
            <w:r w:rsidRPr="00E95D30">
              <w:rPr>
                <w:rFonts w:cs="Times New Roman"/>
                <w:noProof/>
                <w:sz w:val="20"/>
                <w:szCs w:val="20"/>
              </w:rPr>
              <w:t>F</w:t>
            </w:r>
            <w:r w:rsidR="00BC1572" w:rsidRPr="00E95D30">
              <w:rPr>
                <w:rFonts w:cs="Times New Roman"/>
                <w:noProof/>
                <w:sz w:val="20"/>
                <w:szCs w:val="20"/>
              </w:rPr>
              <w:t>unkcijas nodošanas process citai institūcijai</w:t>
            </w:r>
            <w:r w:rsidRPr="00E95D30">
              <w:rPr>
                <w:rFonts w:cs="Times New Roman"/>
                <w:noProof/>
                <w:sz w:val="20"/>
                <w:szCs w:val="20"/>
              </w:rPr>
              <w:t xml:space="preserve"> (</w:t>
            </w:r>
            <w:r w:rsidR="00CB0E22" w:rsidRPr="00CB0E22">
              <w:rPr>
                <w:rFonts w:cs="Times New Roman"/>
                <w:noProof/>
                <w:sz w:val="20"/>
                <w:szCs w:val="20"/>
              </w:rPr>
              <w:t>valsts akciju sabiedrībai</w:t>
            </w:r>
            <w:r w:rsidRPr="00E95D30">
              <w:rPr>
                <w:rFonts w:cs="Times New Roman"/>
                <w:noProof/>
                <w:sz w:val="20"/>
                <w:szCs w:val="20"/>
              </w:rPr>
              <w:t xml:space="preserve"> „Valsts nekustamie īpašumi”)</w:t>
            </w:r>
            <w:r w:rsidR="00BC1572" w:rsidRPr="00E95D30">
              <w:rPr>
                <w:rFonts w:cs="Times New Roman"/>
                <w:noProof/>
                <w:sz w:val="20"/>
                <w:szCs w:val="20"/>
              </w:rPr>
              <w:t>, kas turpina privatizāciju</w:t>
            </w:r>
            <w:r w:rsidRPr="00E95D30">
              <w:rPr>
                <w:rFonts w:cs="Times New Roman"/>
                <w:noProof/>
                <w:sz w:val="20"/>
                <w:szCs w:val="20"/>
              </w:rPr>
              <w:t xml:space="preserve"> - </w:t>
            </w:r>
            <w:r w:rsidR="00BC1572" w:rsidRPr="00E95D30">
              <w:rPr>
                <w:rFonts w:cs="Times New Roman"/>
                <w:noProof/>
                <w:sz w:val="20"/>
                <w:szCs w:val="20"/>
              </w:rPr>
              <w:t>g</w:t>
            </w:r>
            <w:r w:rsidR="00BC1572" w:rsidRPr="00E95D30">
              <w:rPr>
                <w:rFonts w:cs="Times New Roman"/>
                <w:sz w:val="20"/>
                <w:szCs w:val="20"/>
              </w:rPr>
              <w:t>adījumā, ja portfeļa daļa netiks pilnībā izstrādāta</w:t>
            </w:r>
          </w:p>
        </w:tc>
        <w:tc>
          <w:tcPr>
            <w:tcW w:w="992" w:type="dxa"/>
            <w:tcBorders>
              <w:left w:val="none" w:sz="0" w:space="0" w:color="auto"/>
              <w:right w:val="none" w:sz="0" w:space="0" w:color="auto"/>
            </w:tcBorders>
            <w:shd w:val="clear" w:color="auto" w:fill="FFFFFF" w:themeFill="background1"/>
            <w:hideMark/>
          </w:tcPr>
          <w:p w:rsidR="00BC1572" w:rsidRPr="00E95D30" w:rsidRDefault="00BC1572" w:rsidP="00E95D30">
            <w:pPr>
              <w:ind w:firstLine="9"/>
              <w:jc w:val="center"/>
              <w:rPr>
                <w:rFonts w:cs="Times New Roman"/>
                <w:noProof/>
                <w:sz w:val="20"/>
                <w:szCs w:val="20"/>
              </w:rPr>
            </w:pPr>
          </w:p>
        </w:tc>
        <w:tc>
          <w:tcPr>
            <w:tcW w:w="843" w:type="dxa"/>
            <w:tcBorders>
              <w:left w:val="none" w:sz="0" w:space="0" w:color="auto"/>
              <w:right w:val="none" w:sz="0" w:space="0" w:color="auto"/>
            </w:tcBorders>
            <w:shd w:val="clear" w:color="auto" w:fill="FFFFFF" w:themeFill="background1"/>
          </w:tcPr>
          <w:p w:rsidR="00BC1572" w:rsidRPr="00E95D30" w:rsidRDefault="00BC1572" w:rsidP="00E95D30">
            <w:pPr>
              <w:ind w:firstLine="9"/>
              <w:jc w:val="center"/>
              <w:rPr>
                <w:rFonts w:cs="Times New Roman"/>
                <w:noProof/>
                <w:sz w:val="20"/>
                <w:szCs w:val="20"/>
              </w:rPr>
            </w:pPr>
          </w:p>
        </w:tc>
        <w:tc>
          <w:tcPr>
            <w:tcW w:w="1407" w:type="dxa"/>
            <w:tcBorders>
              <w:left w:val="none" w:sz="0" w:space="0" w:color="auto"/>
            </w:tcBorders>
            <w:shd w:val="clear" w:color="auto" w:fill="FFFFFF" w:themeFill="background1"/>
          </w:tcPr>
          <w:p w:rsidR="00BC1572" w:rsidRPr="00E95D30" w:rsidRDefault="00BC1572" w:rsidP="00E95D30">
            <w:pPr>
              <w:ind w:firstLine="9"/>
              <w:jc w:val="center"/>
              <w:rPr>
                <w:rFonts w:cs="Times New Roman"/>
                <w:noProof/>
                <w:sz w:val="20"/>
                <w:szCs w:val="20"/>
              </w:rPr>
            </w:pPr>
          </w:p>
          <w:p w:rsidR="00BC1572" w:rsidRPr="00E95D30" w:rsidRDefault="00BC1572" w:rsidP="00E95D30">
            <w:pPr>
              <w:rPr>
                <w:rFonts w:cs="Times New Roman"/>
                <w:noProof/>
                <w:sz w:val="20"/>
                <w:szCs w:val="20"/>
              </w:rPr>
            </w:pPr>
            <w:r w:rsidRPr="00E95D30">
              <w:rPr>
                <w:rFonts w:cs="Times New Roman"/>
                <w:noProof/>
                <w:sz w:val="20"/>
                <w:szCs w:val="20"/>
              </w:rPr>
              <w:t>X (I pusgadā)</w:t>
            </w:r>
          </w:p>
          <w:p w:rsidR="00BC1572" w:rsidRPr="00E95D30" w:rsidRDefault="00BC1572" w:rsidP="00E95D30">
            <w:pPr>
              <w:ind w:firstLine="9"/>
              <w:jc w:val="center"/>
              <w:rPr>
                <w:rFonts w:cs="Times New Roman"/>
                <w:noProof/>
                <w:sz w:val="20"/>
                <w:szCs w:val="20"/>
              </w:rPr>
            </w:pPr>
          </w:p>
        </w:tc>
      </w:tr>
      <w:tr w:rsidR="00BC1572" w:rsidRPr="006F0A3C" w:rsidTr="009242D1">
        <w:trPr>
          <w:cnfStyle w:val="000000100000" w:firstRow="0" w:lastRow="0" w:firstColumn="0" w:lastColumn="0" w:oddVBand="0" w:evenVBand="0" w:oddHBand="1" w:evenHBand="0" w:firstRowFirstColumn="0" w:firstRowLastColumn="0" w:lastRowFirstColumn="0" w:lastRowLastColumn="0"/>
          <w:trHeight w:val="794"/>
        </w:trPr>
        <w:tc>
          <w:tcPr>
            <w:tcW w:w="5576" w:type="dxa"/>
            <w:vMerge w:val="restart"/>
            <w:tcBorders>
              <w:right w:val="none" w:sz="0" w:space="0" w:color="auto"/>
            </w:tcBorders>
            <w:shd w:val="clear" w:color="auto" w:fill="auto"/>
            <w:hideMark/>
          </w:tcPr>
          <w:p w:rsidR="00BC1572" w:rsidRPr="00E95D30" w:rsidRDefault="00BC1572" w:rsidP="00E95D30">
            <w:pPr>
              <w:ind w:hanging="2"/>
              <w:jc w:val="center"/>
              <w:rPr>
                <w:rFonts w:cs="Times New Roman"/>
                <w:noProof/>
                <w:sz w:val="20"/>
                <w:szCs w:val="20"/>
              </w:rPr>
            </w:pPr>
            <w:r w:rsidRPr="00E95D30">
              <w:rPr>
                <w:rFonts w:cs="Times New Roman"/>
                <w:b/>
                <w:noProof/>
                <w:sz w:val="20"/>
                <w:szCs w:val="20"/>
              </w:rPr>
              <w:t>Dzīvokļu īpašumi</w:t>
            </w:r>
          </w:p>
          <w:p w:rsidR="00BC1572" w:rsidRPr="00E95D30" w:rsidRDefault="00BC1572" w:rsidP="00E95D30">
            <w:pPr>
              <w:ind w:hanging="2"/>
              <w:jc w:val="center"/>
              <w:rPr>
                <w:rFonts w:cs="Times New Roman"/>
                <w:noProof/>
                <w:sz w:val="20"/>
                <w:szCs w:val="20"/>
              </w:rPr>
            </w:pPr>
            <w:r w:rsidRPr="00E95D30">
              <w:rPr>
                <w:rFonts w:cs="Times New Roman"/>
                <w:noProof/>
                <w:sz w:val="20"/>
                <w:szCs w:val="20"/>
              </w:rPr>
              <w:t xml:space="preserve">Pakāpeniski nodot pārvaldīšanā un valdījumā esošos dzīvokļus, kuriem beidzies privatizācijas process, </w:t>
            </w:r>
            <w:r w:rsidR="00CB0E22" w:rsidRPr="00CB0E22">
              <w:rPr>
                <w:rFonts w:cs="Times New Roman"/>
                <w:noProof/>
                <w:sz w:val="20"/>
                <w:szCs w:val="20"/>
              </w:rPr>
              <w:t>valsts akciju sabiedrībai</w:t>
            </w:r>
            <w:r w:rsidRPr="00E95D30">
              <w:rPr>
                <w:rFonts w:cs="Times New Roman"/>
                <w:noProof/>
                <w:sz w:val="20"/>
                <w:szCs w:val="20"/>
              </w:rPr>
              <w:t xml:space="preserve"> „Valsts nekustamie īpašumi</w:t>
            </w:r>
            <w:r w:rsidR="0029619D" w:rsidRPr="00E95D30">
              <w:rPr>
                <w:rFonts w:cs="Times New Roman"/>
                <w:noProof/>
                <w:sz w:val="20"/>
                <w:szCs w:val="20"/>
              </w:rPr>
              <w:t>”</w:t>
            </w:r>
          </w:p>
          <w:p w:rsidR="00C4395D" w:rsidRDefault="00C4395D" w:rsidP="00E95D30">
            <w:pPr>
              <w:ind w:hanging="2"/>
              <w:jc w:val="center"/>
              <w:rPr>
                <w:rFonts w:cs="Times New Roman"/>
                <w:noProof/>
                <w:sz w:val="20"/>
                <w:szCs w:val="20"/>
              </w:rPr>
            </w:pPr>
          </w:p>
          <w:p w:rsidR="00BC1572" w:rsidRPr="00E95D30" w:rsidRDefault="00BC1572" w:rsidP="00E95D30">
            <w:pPr>
              <w:ind w:hanging="2"/>
              <w:jc w:val="center"/>
              <w:rPr>
                <w:rFonts w:cs="Times New Roman"/>
                <w:b/>
                <w:noProof/>
                <w:sz w:val="20"/>
                <w:szCs w:val="20"/>
              </w:rPr>
            </w:pPr>
            <w:r w:rsidRPr="00E95D30">
              <w:rPr>
                <w:rFonts w:cs="Times New Roman"/>
                <w:noProof/>
                <w:sz w:val="20"/>
                <w:szCs w:val="20"/>
              </w:rPr>
              <w:t>Funkcijas nodošanas process citai institūcijai, kas turpina pārvaldīšanas un atsavināšanas funkcijas īstenošanu</w:t>
            </w:r>
          </w:p>
        </w:tc>
        <w:tc>
          <w:tcPr>
            <w:tcW w:w="992" w:type="dxa"/>
            <w:vMerge w:val="restart"/>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843" w:type="dxa"/>
            <w:vMerge w:val="restart"/>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r w:rsidRPr="00E95D30">
              <w:rPr>
                <w:rFonts w:cs="Times New Roman"/>
                <w:noProof/>
                <w:sz w:val="20"/>
                <w:szCs w:val="20"/>
              </w:rPr>
              <w:t>X</w:t>
            </w:r>
          </w:p>
          <w:p w:rsidR="00BC1572" w:rsidRPr="00E95D30" w:rsidRDefault="00BC1572" w:rsidP="00E95D30">
            <w:pPr>
              <w:jc w:val="center"/>
              <w:rPr>
                <w:rFonts w:cs="Times New Roman"/>
                <w:noProof/>
                <w:sz w:val="20"/>
                <w:szCs w:val="20"/>
              </w:rPr>
            </w:pPr>
            <w:r w:rsidRPr="00E95D30">
              <w:rPr>
                <w:rFonts w:cs="Times New Roman"/>
                <w:noProof/>
                <w:sz w:val="20"/>
                <w:szCs w:val="20"/>
              </w:rPr>
              <w:t>(no 01.01.)</w:t>
            </w:r>
          </w:p>
        </w:tc>
        <w:tc>
          <w:tcPr>
            <w:tcW w:w="1407" w:type="dxa"/>
            <w:vMerge w:val="restart"/>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p>
          <w:p w:rsidR="00C4395D" w:rsidRDefault="00C4395D"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r w:rsidRPr="00E95D30">
              <w:rPr>
                <w:rFonts w:cs="Times New Roman"/>
                <w:noProof/>
                <w:sz w:val="20"/>
                <w:szCs w:val="20"/>
              </w:rPr>
              <w:t>X (I pusgadā)</w:t>
            </w:r>
          </w:p>
        </w:tc>
      </w:tr>
      <w:tr w:rsidR="00BC1572" w:rsidRPr="006F0A3C" w:rsidTr="009242D1">
        <w:trPr>
          <w:cnfStyle w:val="000000010000" w:firstRow="0" w:lastRow="0" w:firstColumn="0" w:lastColumn="0" w:oddVBand="0" w:evenVBand="0" w:oddHBand="0" w:evenHBand="1" w:firstRowFirstColumn="0" w:firstRowLastColumn="0" w:lastRowFirstColumn="0" w:lastRowLastColumn="0"/>
          <w:trHeight w:val="499"/>
        </w:trPr>
        <w:tc>
          <w:tcPr>
            <w:tcW w:w="5576" w:type="dxa"/>
            <w:vMerge/>
            <w:tcBorders>
              <w:right w:val="none" w:sz="0" w:space="0" w:color="auto"/>
            </w:tcBorders>
            <w:shd w:val="clear" w:color="auto" w:fill="auto"/>
          </w:tcPr>
          <w:p w:rsidR="00BC1572" w:rsidRPr="00E95D30" w:rsidRDefault="00BC1572" w:rsidP="00E95D30">
            <w:pPr>
              <w:ind w:hanging="2"/>
              <w:jc w:val="center"/>
              <w:rPr>
                <w:rFonts w:cs="Times New Roman"/>
                <w:b/>
                <w:noProof/>
                <w:sz w:val="20"/>
                <w:szCs w:val="20"/>
              </w:rPr>
            </w:pPr>
          </w:p>
        </w:tc>
        <w:tc>
          <w:tcPr>
            <w:tcW w:w="992" w:type="dxa"/>
            <w:vMerge/>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highlight w:val="yellow"/>
              </w:rPr>
            </w:pPr>
          </w:p>
        </w:tc>
        <w:tc>
          <w:tcPr>
            <w:tcW w:w="843" w:type="dxa"/>
            <w:vMerge/>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highlight w:val="yellow"/>
              </w:rPr>
            </w:pPr>
          </w:p>
        </w:tc>
        <w:tc>
          <w:tcPr>
            <w:tcW w:w="1407" w:type="dxa"/>
            <w:vMerge/>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highlight w:val="yellow"/>
              </w:rPr>
            </w:pPr>
          </w:p>
        </w:tc>
      </w:tr>
      <w:tr w:rsidR="00BC1572" w:rsidRPr="006F0A3C" w:rsidTr="009242D1">
        <w:trPr>
          <w:cnfStyle w:val="000000100000" w:firstRow="0" w:lastRow="0" w:firstColumn="0" w:lastColumn="0" w:oddVBand="0" w:evenVBand="0" w:oddHBand="1" w:evenHBand="0" w:firstRowFirstColumn="0" w:firstRowLastColumn="0" w:lastRowFirstColumn="0" w:lastRowLastColumn="0"/>
          <w:trHeight w:val="1053"/>
        </w:trPr>
        <w:tc>
          <w:tcPr>
            <w:tcW w:w="5576" w:type="dxa"/>
            <w:tcBorders>
              <w:right w:val="none" w:sz="0" w:space="0" w:color="auto"/>
            </w:tcBorders>
            <w:shd w:val="clear" w:color="auto" w:fill="auto"/>
          </w:tcPr>
          <w:p w:rsidR="00BC1572" w:rsidRPr="00E95D30" w:rsidRDefault="00BC1572" w:rsidP="00E95D30">
            <w:pPr>
              <w:ind w:hanging="2"/>
              <w:jc w:val="center"/>
              <w:rPr>
                <w:rFonts w:cs="Times New Roman"/>
                <w:b/>
                <w:noProof/>
                <w:sz w:val="20"/>
                <w:szCs w:val="20"/>
              </w:rPr>
            </w:pPr>
            <w:r w:rsidRPr="00E95D30">
              <w:rPr>
                <w:rFonts w:cs="Times New Roman"/>
                <w:b/>
                <w:noProof/>
                <w:sz w:val="20"/>
                <w:szCs w:val="20"/>
              </w:rPr>
              <w:lastRenderedPageBreak/>
              <w:t>Dzīvojamās mājas</w:t>
            </w:r>
          </w:p>
          <w:p w:rsidR="00BC1572" w:rsidRPr="00E95D30" w:rsidRDefault="00BC1572" w:rsidP="00E95D30">
            <w:pPr>
              <w:jc w:val="center"/>
              <w:rPr>
                <w:rFonts w:cs="Times New Roman"/>
                <w:noProof/>
                <w:sz w:val="20"/>
                <w:szCs w:val="20"/>
              </w:rPr>
            </w:pPr>
            <w:r w:rsidRPr="00E95D30">
              <w:rPr>
                <w:rFonts w:cs="Times New Roman"/>
                <w:noProof/>
                <w:sz w:val="20"/>
                <w:szCs w:val="20"/>
              </w:rPr>
              <w:t xml:space="preserve">Pakāpeniski nodot pārvaldīšanā  un valdījumā esošās dzīvojamās mājas, kurām beidzies privatizācijas process, </w:t>
            </w:r>
            <w:r w:rsidR="00CB0E22" w:rsidRPr="00CB0E22">
              <w:rPr>
                <w:rFonts w:cs="Times New Roman"/>
                <w:noProof/>
                <w:sz w:val="20"/>
                <w:szCs w:val="20"/>
              </w:rPr>
              <w:t>valsts akciju sabiedrībai</w:t>
            </w:r>
            <w:r w:rsidRPr="00E95D30">
              <w:rPr>
                <w:rFonts w:cs="Times New Roman"/>
                <w:noProof/>
                <w:sz w:val="20"/>
                <w:szCs w:val="20"/>
              </w:rPr>
              <w:t xml:space="preserve"> „Valsts nekustamie īpašumi</w:t>
            </w:r>
            <w:r w:rsidR="0029619D" w:rsidRPr="00E95D30">
              <w:rPr>
                <w:rFonts w:cs="Times New Roman"/>
                <w:noProof/>
                <w:sz w:val="20"/>
                <w:szCs w:val="20"/>
              </w:rPr>
              <w:t>”</w:t>
            </w:r>
          </w:p>
          <w:p w:rsidR="00C4395D" w:rsidRDefault="00C4395D"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r w:rsidRPr="00E95D30">
              <w:rPr>
                <w:rFonts w:cs="Times New Roman"/>
                <w:noProof/>
                <w:sz w:val="20"/>
                <w:szCs w:val="20"/>
              </w:rPr>
              <w:t>Funkcijas nodošanas process citai institūcijai, kas turpina pārvaldīšanas un atsavināšanas funkcijas īstenošanu</w:t>
            </w:r>
          </w:p>
        </w:tc>
        <w:tc>
          <w:tcPr>
            <w:tcW w:w="992"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843"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r w:rsidRPr="00E95D30">
              <w:rPr>
                <w:rFonts w:cs="Times New Roman"/>
                <w:noProof/>
                <w:sz w:val="20"/>
                <w:szCs w:val="20"/>
              </w:rPr>
              <w:t>X</w:t>
            </w:r>
          </w:p>
          <w:p w:rsidR="00BC1572" w:rsidRPr="00E95D30" w:rsidRDefault="00BC1572" w:rsidP="00E95D30">
            <w:pPr>
              <w:jc w:val="center"/>
              <w:rPr>
                <w:rFonts w:cs="Times New Roman"/>
                <w:noProof/>
                <w:sz w:val="20"/>
                <w:szCs w:val="20"/>
              </w:rPr>
            </w:pPr>
            <w:r w:rsidRPr="00E95D30">
              <w:rPr>
                <w:rFonts w:cs="Times New Roman"/>
                <w:noProof/>
                <w:sz w:val="20"/>
                <w:szCs w:val="20"/>
              </w:rPr>
              <w:t>(no 01.01.)</w:t>
            </w:r>
          </w:p>
        </w:tc>
        <w:tc>
          <w:tcPr>
            <w:tcW w:w="1407" w:type="dxa"/>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u w:val="single"/>
              </w:rPr>
            </w:pPr>
          </w:p>
          <w:p w:rsidR="00BC1572" w:rsidRPr="00E95D30" w:rsidRDefault="00BC1572" w:rsidP="00E95D30">
            <w:pPr>
              <w:jc w:val="center"/>
              <w:rPr>
                <w:rFonts w:cs="Times New Roman"/>
                <w:noProof/>
                <w:sz w:val="20"/>
                <w:szCs w:val="20"/>
                <w:u w:val="single"/>
              </w:rPr>
            </w:pPr>
          </w:p>
          <w:p w:rsidR="00BC1572" w:rsidRPr="00E95D30" w:rsidRDefault="00BC1572" w:rsidP="00E95D30">
            <w:pPr>
              <w:jc w:val="center"/>
              <w:rPr>
                <w:rFonts w:cs="Times New Roman"/>
                <w:noProof/>
                <w:sz w:val="20"/>
                <w:szCs w:val="20"/>
                <w:u w:val="single"/>
              </w:rPr>
            </w:pPr>
          </w:p>
          <w:p w:rsidR="00BC1572" w:rsidRPr="00E95D30" w:rsidRDefault="00BC1572" w:rsidP="00E95D30">
            <w:pPr>
              <w:jc w:val="center"/>
              <w:rPr>
                <w:rFonts w:cs="Times New Roman"/>
                <w:noProof/>
                <w:sz w:val="20"/>
                <w:szCs w:val="20"/>
              </w:rPr>
            </w:pPr>
          </w:p>
          <w:p w:rsidR="00C4395D" w:rsidRDefault="00C4395D" w:rsidP="00E95D30">
            <w:pPr>
              <w:jc w:val="center"/>
              <w:rPr>
                <w:rFonts w:cs="Times New Roman"/>
                <w:noProof/>
                <w:sz w:val="20"/>
                <w:szCs w:val="20"/>
              </w:rPr>
            </w:pPr>
          </w:p>
          <w:p w:rsidR="00BC1572" w:rsidRPr="00E95D30" w:rsidRDefault="00BC1572" w:rsidP="00E95D30">
            <w:pPr>
              <w:jc w:val="center"/>
              <w:rPr>
                <w:rFonts w:cs="Times New Roman"/>
                <w:noProof/>
                <w:sz w:val="20"/>
                <w:szCs w:val="20"/>
              </w:rPr>
            </w:pPr>
            <w:r w:rsidRPr="00E95D30">
              <w:rPr>
                <w:rFonts w:cs="Times New Roman"/>
                <w:noProof/>
                <w:sz w:val="20"/>
                <w:szCs w:val="20"/>
              </w:rPr>
              <w:t>X (I pusgadā)</w:t>
            </w:r>
          </w:p>
        </w:tc>
      </w:tr>
      <w:tr w:rsidR="00BC1572" w:rsidRPr="006F0A3C" w:rsidTr="009242D1">
        <w:trPr>
          <w:cnfStyle w:val="000000010000" w:firstRow="0" w:lastRow="0" w:firstColumn="0" w:lastColumn="0" w:oddVBand="0" w:evenVBand="0" w:oddHBand="0" w:evenHBand="1" w:firstRowFirstColumn="0" w:firstRowLastColumn="0" w:lastRowFirstColumn="0" w:lastRowLastColumn="0"/>
          <w:trHeight w:val="794"/>
        </w:trPr>
        <w:tc>
          <w:tcPr>
            <w:tcW w:w="5576" w:type="dxa"/>
            <w:tcBorders>
              <w:right w:val="none" w:sz="0" w:space="0" w:color="auto"/>
            </w:tcBorders>
            <w:shd w:val="clear" w:color="auto" w:fill="auto"/>
          </w:tcPr>
          <w:p w:rsidR="00BC1572" w:rsidRPr="00E95D30" w:rsidRDefault="00BC1572" w:rsidP="00E95D30">
            <w:pPr>
              <w:ind w:hanging="2"/>
              <w:jc w:val="center"/>
              <w:rPr>
                <w:rFonts w:cs="Times New Roman"/>
                <w:b/>
                <w:noProof/>
                <w:sz w:val="20"/>
                <w:szCs w:val="20"/>
              </w:rPr>
            </w:pPr>
            <w:r w:rsidRPr="00E95D30">
              <w:rPr>
                <w:rFonts w:cs="Times New Roman"/>
                <w:b/>
                <w:noProof/>
                <w:sz w:val="20"/>
                <w:szCs w:val="20"/>
              </w:rPr>
              <w:t>Līgumu kontrole</w:t>
            </w:r>
          </w:p>
          <w:p w:rsidR="00BC1572" w:rsidRPr="00E95D30" w:rsidRDefault="00BC1572" w:rsidP="004A64FF">
            <w:pPr>
              <w:ind w:hanging="2"/>
              <w:jc w:val="center"/>
              <w:rPr>
                <w:rFonts w:cs="Times New Roman"/>
                <w:b/>
                <w:noProof/>
                <w:sz w:val="20"/>
                <w:szCs w:val="20"/>
              </w:rPr>
            </w:pPr>
            <w:r w:rsidRPr="00E95D30">
              <w:rPr>
                <w:rFonts w:cs="Times New Roman"/>
                <w:noProof/>
                <w:sz w:val="20"/>
                <w:szCs w:val="20"/>
              </w:rPr>
              <w:t>Funkcijas nodošanas process cit</w:t>
            </w:r>
            <w:r w:rsidR="0029619D" w:rsidRPr="00E95D30">
              <w:rPr>
                <w:rFonts w:cs="Times New Roman"/>
                <w:noProof/>
                <w:sz w:val="20"/>
                <w:szCs w:val="20"/>
              </w:rPr>
              <w:t>ām</w:t>
            </w:r>
            <w:r w:rsidRPr="00E95D30">
              <w:rPr>
                <w:rFonts w:cs="Times New Roman"/>
                <w:noProof/>
                <w:sz w:val="20"/>
                <w:szCs w:val="20"/>
              </w:rPr>
              <w:t xml:space="preserve"> institūcij</w:t>
            </w:r>
            <w:r w:rsidR="0029619D" w:rsidRPr="00E95D30">
              <w:rPr>
                <w:rFonts w:cs="Times New Roman"/>
                <w:noProof/>
                <w:sz w:val="20"/>
                <w:szCs w:val="20"/>
              </w:rPr>
              <w:t>ām (</w:t>
            </w:r>
            <w:r w:rsidR="00CB0E22" w:rsidRPr="00CB0E22">
              <w:rPr>
                <w:rFonts w:cs="Times New Roman"/>
                <w:noProof/>
                <w:sz w:val="20"/>
                <w:szCs w:val="20"/>
              </w:rPr>
              <w:t>valsts akciju sabiedrībai</w:t>
            </w:r>
            <w:r w:rsidR="0029619D" w:rsidRPr="00E95D30">
              <w:rPr>
                <w:rFonts w:cs="Times New Roman"/>
                <w:noProof/>
                <w:sz w:val="20"/>
                <w:szCs w:val="20"/>
              </w:rPr>
              <w:t xml:space="preserve"> „Valsts nekustamie īpašumi” un </w:t>
            </w:r>
            <w:r w:rsidR="004A64FF">
              <w:rPr>
                <w:rFonts w:cs="Times New Roman"/>
                <w:noProof/>
                <w:sz w:val="20"/>
                <w:szCs w:val="20"/>
              </w:rPr>
              <w:t>Valsts kapitāla daļu pārvaldības birojs</w:t>
            </w:r>
            <w:r w:rsidR="0029619D" w:rsidRPr="00E95D30">
              <w:rPr>
                <w:rFonts w:cs="Times New Roman"/>
                <w:noProof/>
                <w:sz w:val="20"/>
                <w:szCs w:val="20"/>
              </w:rPr>
              <w:t>)</w:t>
            </w:r>
            <w:r w:rsidRPr="00E95D30">
              <w:rPr>
                <w:rFonts w:cs="Times New Roman"/>
                <w:noProof/>
                <w:sz w:val="20"/>
                <w:szCs w:val="20"/>
              </w:rPr>
              <w:t xml:space="preserve">, kas turpina noslēgto līgumu un privatizācijas nosacījumu izpildes kontroles funkcijas </w:t>
            </w:r>
            <w:r w:rsidR="0029619D" w:rsidRPr="00E95D30">
              <w:rPr>
                <w:rFonts w:cs="Times New Roman"/>
                <w:noProof/>
                <w:sz w:val="20"/>
                <w:szCs w:val="20"/>
              </w:rPr>
              <w:t>(</w:t>
            </w:r>
            <w:r w:rsidRPr="00E95D30">
              <w:rPr>
                <w:rFonts w:cs="Times New Roman"/>
                <w:noProof/>
                <w:sz w:val="20"/>
                <w:szCs w:val="20"/>
              </w:rPr>
              <w:t>līdz 2025.gadam</w:t>
            </w:r>
            <w:r w:rsidR="0029619D" w:rsidRPr="00E95D30">
              <w:rPr>
                <w:rFonts w:cs="Times New Roman"/>
                <w:noProof/>
                <w:sz w:val="20"/>
                <w:szCs w:val="20"/>
              </w:rPr>
              <w:t>)</w:t>
            </w:r>
          </w:p>
        </w:tc>
        <w:tc>
          <w:tcPr>
            <w:tcW w:w="992"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843"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1407" w:type="dxa"/>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ED5515" w:rsidP="00E95D30">
            <w:pPr>
              <w:jc w:val="center"/>
              <w:rPr>
                <w:rFonts w:cs="Times New Roman"/>
                <w:noProof/>
                <w:sz w:val="20"/>
                <w:szCs w:val="20"/>
              </w:rPr>
            </w:pPr>
            <w:r w:rsidRPr="00E95D30">
              <w:rPr>
                <w:rFonts w:cs="Times New Roman"/>
                <w:noProof/>
                <w:sz w:val="20"/>
                <w:szCs w:val="20"/>
              </w:rPr>
              <w:t>X (I pusgadā)</w:t>
            </w:r>
          </w:p>
        </w:tc>
      </w:tr>
      <w:tr w:rsidR="00BC1572" w:rsidRPr="006F0A3C" w:rsidTr="009242D1">
        <w:trPr>
          <w:cnfStyle w:val="000000100000" w:firstRow="0" w:lastRow="0" w:firstColumn="0" w:lastColumn="0" w:oddVBand="0" w:evenVBand="0" w:oddHBand="1" w:evenHBand="0" w:firstRowFirstColumn="0" w:firstRowLastColumn="0" w:lastRowFirstColumn="0" w:lastRowLastColumn="0"/>
          <w:trHeight w:val="794"/>
        </w:trPr>
        <w:tc>
          <w:tcPr>
            <w:tcW w:w="5576" w:type="dxa"/>
            <w:tcBorders>
              <w:right w:val="none" w:sz="0" w:space="0" w:color="auto"/>
            </w:tcBorders>
            <w:shd w:val="clear" w:color="auto" w:fill="auto"/>
          </w:tcPr>
          <w:p w:rsidR="00BC1572" w:rsidRPr="00E95D30" w:rsidRDefault="00BC1572" w:rsidP="00E95D30">
            <w:pPr>
              <w:jc w:val="center"/>
              <w:rPr>
                <w:rFonts w:cs="Times New Roman"/>
                <w:b/>
                <w:noProof/>
                <w:sz w:val="20"/>
                <w:szCs w:val="20"/>
              </w:rPr>
            </w:pPr>
            <w:r w:rsidRPr="00E95D30">
              <w:rPr>
                <w:rFonts w:cs="Times New Roman"/>
                <w:b/>
                <w:noProof/>
                <w:sz w:val="20"/>
                <w:szCs w:val="20"/>
              </w:rPr>
              <w:t>Tiesvedības</w:t>
            </w:r>
          </w:p>
          <w:p w:rsidR="00BC1572" w:rsidRPr="00E95D30" w:rsidRDefault="00BC1572" w:rsidP="00CB0E22">
            <w:pPr>
              <w:jc w:val="center"/>
              <w:rPr>
                <w:rFonts w:cs="Times New Roman"/>
                <w:b/>
                <w:noProof/>
                <w:sz w:val="20"/>
                <w:szCs w:val="20"/>
              </w:rPr>
            </w:pPr>
            <w:r w:rsidRPr="00E95D30">
              <w:rPr>
                <w:rFonts w:cs="Times New Roman"/>
                <w:noProof/>
                <w:sz w:val="20"/>
                <w:szCs w:val="20"/>
              </w:rPr>
              <w:t>Tiesv</w:t>
            </w:r>
            <w:r w:rsidR="0029619D" w:rsidRPr="00E95D30">
              <w:rPr>
                <w:rFonts w:cs="Times New Roman"/>
                <w:noProof/>
                <w:sz w:val="20"/>
                <w:szCs w:val="20"/>
              </w:rPr>
              <w:t xml:space="preserve">edības </w:t>
            </w:r>
            <w:r w:rsidRPr="00E95D30">
              <w:rPr>
                <w:rFonts w:cs="Times New Roman"/>
                <w:noProof/>
                <w:sz w:val="20"/>
                <w:szCs w:val="20"/>
              </w:rPr>
              <w:t>pārņem cita</w:t>
            </w:r>
            <w:r w:rsidR="0029619D" w:rsidRPr="00E95D30">
              <w:rPr>
                <w:rFonts w:cs="Times New Roman"/>
                <w:noProof/>
                <w:sz w:val="20"/>
                <w:szCs w:val="20"/>
              </w:rPr>
              <w:t>s</w:t>
            </w:r>
            <w:r w:rsidRPr="00E95D30">
              <w:rPr>
                <w:rFonts w:cs="Times New Roman"/>
                <w:noProof/>
                <w:sz w:val="20"/>
                <w:szCs w:val="20"/>
              </w:rPr>
              <w:t xml:space="preserve"> institūcija</w:t>
            </w:r>
            <w:r w:rsidR="0029619D" w:rsidRPr="00E95D30">
              <w:rPr>
                <w:rFonts w:cs="Times New Roman"/>
                <w:noProof/>
                <w:sz w:val="20"/>
                <w:szCs w:val="20"/>
              </w:rPr>
              <w:t>s (</w:t>
            </w:r>
            <w:r w:rsidR="00CB0E22" w:rsidRPr="00CB0E22">
              <w:rPr>
                <w:rFonts w:cs="Times New Roman"/>
                <w:noProof/>
                <w:sz w:val="20"/>
                <w:szCs w:val="20"/>
              </w:rPr>
              <w:t>valsts akciju sabiedrībai</w:t>
            </w:r>
            <w:r w:rsidR="0029619D" w:rsidRPr="00E95D30">
              <w:rPr>
                <w:rFonts w:cs="Times New Roman"/>
                <w:noProof/>
                <w:sz w:val="20"/>
                <w:szCs w:val="20"/>
              </w:rPr>
              <w:t xml:space="preserve"> „Valsts nekustamie īpašumi” un </w:t>
            </w:r>
            <w:r w:rsidR="004A64FF">
              <w:rPr>
                <w:rFonts w:cs="Times New Roman"/>
                <w:noProof/>
                <w:sz w:val="20"/>
                <w:szCs w:val="20"/>
              </w:rPr>
              <w:t>Valsts kapitāla daļu pārvaldības birojs</w:t>
            </w:r>
            <w:r w:rsidR="0029619D" w:rsidRPr="00E95D30">
              <w:rPr>
                <w:rFonts w:cs="Times New Roman"/>
                <w:noProof/>
                <w:sz w:val="20"/>
                <w:szCs w:val="20"/>
              </w:rPr>
              <w:t>)</w:t>
            </w:r>
            <w:r w:rsidR="00B43E2D" w:rsidRPr="00E95D30">
              <w:rPr>
                <w:rFonts w:cs="Times New Roman"/>
                <w:noProof/>
                <w:sz w:val="20"/>
                <w:szCs w:val="20"/>
              </w:rPr>
              <w:t xml:space="preserve">, izņemot tiesvedības, kas saistītas ar </w:t>
            </w:r>
            <w:r w:rsidR="00CB0E22">
              <w:rPr>
                <w:rFonts w:cs="Times New Roman"/>
                <w:noProof/>
                <w:sz w:val="20"/>
                <w:szCs w:val="20"/>
              </w:rPr>
              <w:t>akciju sabiedrību</w:t>
            </w:r>
            <w:r w:rsidR="00CB0E22" w:rsidRPr="00E95D30">
              <w:rPr>
                <w:rFonts w:cs="Times New Roman"/>
                <w:noProof/>
                <w:sz w:val="20"/>
                <w:szCs w:val="20"/>
              </w:rPr>
              <w:t xml:space="preserve"> </w:t>
            </w:r>
            <w:r w:rsidR="006132D2" w:rsidRPr="00E95D30">
              <w:rPr>
                <w:rFonts w:cs="Times New Roman"/>
                <w:noProof/>
                <w:sz w:val="20"/>
                <w:szCs w:val="20"/>
              </w:rPr>
              <w:t xml:space="preserve">„Citadele banka” un </w:t>
            </w:r>
            <w:r w:rsidR="00CB0E22">
              <w:rPr>
                <w:rFonts w:cs="Times New Roman"/>
                <w:noProof/>
                <w:sz w:val="20"/>
                <w:szCs w:val="20"/>
              </w:rPr>
              <w:t>akciju sabiedrību</w:t>
            </w:r>
            <w:r w:rsidR="00CB0E22" w:rsidRPr="00E95D30">
              <w:rPr>
                <w:rFonts w:cs="Times New Roman"/>
                <w:noProof/>
                <w:sz w:val="20"/>
                <w:szCs w:val="20"/>
              </w:rPr>
              <w:t xml:space="preserve"> </w:t>
            </w:r>
            <w:r w:rsidR="006132D2" w:rsidRPr="00E95D30">
              <w:rPr>
                <w:rFonts w:cs="Times New Roman"/>
                <w:noProof/>
                <w:sz w:val="20"/>
                <w:szCs w:val="20"/>
              </w:rPr>
              <w:t>„Reverta”</w:t>
            </w:r>
          </w:p>
        </w:tc>
        <w:tc>
          <w:tcPr>
            <w:tcW w:w="992"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843"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1407" w:type="dxa"/>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ED5515" w:rsidP="00E95D30">
            <w:pPr>
              <w:jc w:val="center"/>
              <w:rPr>
                <w:rFonts w:cs="Times New Roman"/>
                <w:noProof/>
                <w:sz w:val="20"/>
                <w:szCs w:val="20"/>
              </w:rPr>
            </w:pPr>
            <w:r w:rsidRPr="00E95D30">
              <w:rPr>
                <w:rFonts w:cs="Times New Roman"/>
                <w:noProof/>
                <w:sz w:val="20"/>
                <w:szCs w:val="20"/>
              </w:rPr>
              <w:t>X (I pusgadā)</w:t>
            </w:r>
          </w:p>
        </w:tc>
      </w:tr>
      <w:tr w:rsidR="00BC1572" w:rsidRPr="006F0A3C" w:rsidTr="00337CB9">
        <w:trPr>
          <w:cnfStyle w:val="000000010000" w:firstRow="0" w:lastRow="0" w:firstColumn="0" w:lastColumn="0" w:oddVBand="0" w:evenVBand="0" w:oddHBand="0" w:evenHBand="1" w:firstRowFirstColumn="0" w:firstRowLastColumn="0" w:lastRowFirstColumn="0" w:lastRowLastColumn="0"/>
          <w:trHeight w:val="794"/>
        </w:trPr>
        <w:tc>
          <w:tcPr>
            <w:tcW w:w="5576" w:type="dxa"/>
            <w:tcBorders>
              <w:right w:val="none" w:sz="0" w:space="0" w:color="auto"/>
            </w:tcBorders>
            <w:shd w:val="clear" w:color="auto" w:fill="auto"/>
          </w:tcPr>
          <w:p w:rsidR="00BC1572" w:rsidRPr="00E95D30" w:rsidRDefault="00BC1572" w:rsidP="00E95D30">
            <w:pPr>
              <w:jc w:val="center"/>
              <w:rPr>
                <w:rFonts w:cs="Times New Roman"/>
                <w:noProof/>
                <w:sz w:val="20"/>
                <w:szCs w:val="20"/>
              </w:rPr>
            </w:pPr>
            <w:r w:rsidRPr="00E95D30">
              <w:rPr>
                <w:rFonts w:cs="Times New Roman"/>
                <w:b/>
                <w:noProof/>
                <w:sz w:val="20"/>
                <w:szCs w:val="20"/>
              </w:rPr>
              <w:t>Valsts kapitāla daļu privatizācija un atsavināšana</w:t>
            </w:r>
          </w:p>
          <w:p w:rsidR="00BC1572" w:rsidRPr="00E95D30" w:rsidRDefault="00BC1572" w:rsidP="004A64FF">
            <w:pPr>
              <w:jc w:val="center"/>
              <w:rPr>
                <w:rFonts w:cs="Times New Roman"/>
                <w:noProof/>
                <w:sz w:val="20"/>
                <w:szCs w:val="20"/>
              </w:rPr>
            </w:pPr>
            <w:r w:rsidRPr="00E95D30">
              <w:rPr>
                <w:rFonts w:cs="Times New Roman"/>
                <w:noProof/>
                <w:sz w:val="20"/>
                <w:szCs w:val="20"/>
              </w:rPr>
              <w:t xml:space="preserve">Pakāpenisks pārvaldības un atsavināšanas funkcijas nodošanas process </w:t>
            </w:r>
            <w:r w:rsidR="004A64FF">
              <w:rPr>
                <w:rFonts w:cs="Times New Roman"/>
                <w:noProof/>
                <w:sz w:val="20"/>
                <w:szCs w:val="20"/>
              </w:rPr>
              <w:t>Valsts kapitāla daļu pārvaldības birojam</w:t>
            </w:r>
            <w:r w:rsidR="004A64FF" w:rsidRPr="00E95D30" w:rsidDel="004A64FF">
              <w:rPr>
                <w:rFonts w:cs="Times New Roman"/>
                <w:noProof/>
                <w:sz w:val="20"/>
                <w:szCs w:val="20"/>
              </w:rPr>
              <w:t xml:space="preserve"> </w:t>
            </w:r>
            <w:r w:rsidRPr="00E95D30">
              <w:rPr>
                <w:rFonts w:cs="Times New Roman"/>
                <w:noProof/>
                <w:sz w:val="20"/>
                <w:szCs w:val="20"/>
              </w:rPr>
              <w:t xml:space="preserve">(saskaņā ar Valsts kapitāla daļu pārvaldības </w:t>
            </w:r>
            <w:r w:rsidR="006F0A3C" w:rsidRPr="00E95D30">
              <w:rPr>
                <w:rFonts w:cs="Times New Roman"/>
                <w:noProof/>
                <w:sz w:val="20"/>
                <w:szCs w:val="20"/>
              </w:rPr>
              <w:t xml:space="preserve"> reformām</w:t>
            </w:r>
            <w:r w:rsidRPr="00E95D30">
              <w:rPr>
                <w:rFonts w:cs="Times New Roman"/>
                <w:noProof/>
                <w:sz w:val="20"/>
                <w:szCs w:val="20"/>
              </w:rPr>
              <w:t>)</w:t>
            </w:r>
          </w:p>
        </w:tc>
        <w:tc>
          <w:tcPr>
            <w:tcW w:w="992" w:type="dxa"/>
            <w:tcBorders>
              <w:left w:val="none" w:sz="0" w:space="0" w:color="auto"/>
              <w:bottom w:val="single" w:sz="4"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tc>
        <w:tc>
          <w:tcPr>
            <w:tcW w:w="843" w:type="dxa"/>
            <w:tcBorders>
              <w:left w:val="none" w:sz="0" w:space="0" w:color="auto"/>
              <w:bottom w:val="single" w:sz="4"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34360" w:rsidRPr="00E95D30" w:rsidRDefault="00B34360" w:rsidP="00E95D30">
            <w:pPr>
              <w:jc w:val="center"/>
              <w:rPr>
                <w:rFonts w:cs="Times New Roman"/>
                <w:noProof/>
                <w:sz w:val="20"/>
                <w:szCs w:val="20"/>
              </w:rPr>
            </w:pPr>
            <w:r w:rsidRPr="00E95D30">
              <w:rPr>
                <w:rFonts w:cs="Times New Roman"/>
                <w:noProof/>
                <w:sz w:val="20"/>
                <w:szCs w:val="20"/>
              </w:rPr>
              <w:t>X</w:t>
            </w:r>
          </w:p>
          <w:p w:rsidR="00BC1572" w:rsidRPr="00E95D30" w:rsidRDefault="00B34360" w:rsidP="00E95D30">
            <w:pPr>
              <w:jc w:val="center"/>
              <w:rPr>
                <w:rFonts w:cs="Times New Roman"/>
                <w:noProof/>
                <w:sz w:val="20"/>
                <w:szCs w:val="20"/>
              </w:rPr>
            </w:pPr>
            <w:r w:rsidRPr="00E95D30">
              <w:rPr>
                <w:rFonts w:cs="Times New Roman"/>
                <w:noProof/>
                <w:sz w:val="20"/>
                <w:szCs w:val="20"/>
              </w:rPr>
              <w:t>(no II pusgada)</w:t>
            </w:r>
          </w:p>
        </w:tc>
        <w:tc>
          <w:tcPr>
            <w:tcW w:w="1407" w:type="dxa"/>
            <w:tcBorders>
              <w:left w:val="none" w:sz="0" w:space="0" w:color="auto"/>
              <w:bottom w:val="single" w:sz="4" w:space="0" w:color="auto"/>
            </w:tcBorders>
            <w:shd w:val="clear" w:color="auto" w:fill="FFFFFF" w:themeFill="background1"/>
          </w:tcPr>
          <w:p w:rsidR="00BC1572" w:rsidRPr="00E95D30" w:rsidRDefault="00BC1572" w:rsidP="00E95D30">
            <w:pPr>
              <w:jc w:val="center"/>
              <w:rPr>
                <w:rFonts w:cs="Times New Roman"/>
                <w:noProof/>
                <w:sz w:val="20"/>
                <w:szCs w:val="20"/>
                <w:u w:val="single"/>
              </w:rPr>
            </w:pPr>
          </w:p>
          <w:p w:rsidR="00F25C07" w:rsidRPr="00E95D30" w:rsidRDefault="00F25C07" w:rsidP="00E95D30">
            <w:pPr>
              <w:jc w:val="center"/>
              <w:rPr>
                <w:rFonts w:cs="Times New Roman"/>
                <w:noProof/>
                <w:sz w:val="20"/>
                <w:szCs w:val="20"/>
              </w:rPr>
            </w:pPr>
            <w:r w:rsidRPr="00E95D30">
              <w:rPr>
                <w:rFonts w:cs="Times New Roman"/>
                <w:noProof/>
                <w:sz w:val="20"/>
                <w:szCs w:val="20"/>
              </w:rPr>
              <w:t>X</w:t>
            </w:r>
          </w:p>
        </w:tc>
      </w:tr>
      <w:tr w:rsidR="00337CB9" w:rsidRPr="006F0A3C" w:rsidTr="00337CB9">
        <w:trPr>
          <w:cnfStyle w:val="000000100000" w:firstRow="0" w:lastRow="0" w:firstColumn="0" w:lastColumn="0" w:oddVBand="0" w:evenVBand="0" w:oddHBand="1" w:evenHBand="0" w:firstRowFirstColumn="0" w:firstRowLastColumn="0" w:lastRowFirstColumn="0" w:lastRowLastColumn="0"/>
          <w:trHeight w:val="794"/>
        </w:trPr>
        <w:tc>
          <w:tcPr>
            <w:tcW w:w="5576" w:type="dxa"/>
            <w:tcBorders>
              <w:right w:val="single" w:sz="4" w:space="0" w:color="auto"/>
            </w:tcBorders>
            <w:shd w:val="clear" w:color="auto" w:fill="auto"/>
          </w:tcPr>
          <w:p w:rsidR="00337CB9" w:rsidRPr="00E95D30" w:rsidRDefault="00337CB9" w:rsidP="00E95D30">
            <w:pPr>
              <w:jc w:val="center"/>
              <w:rPr>
                <w:rFonts w:cs="Times New Roman"/>
                <w:noProof/>
                <w:sz w:val="20"/>
                <w:szCs w:val="20"/>
              </w:rPr>
            </w:pPr>
            <w:r w:rsidRPr="00E95D30">
              <w:rPr>
                <w:rFonts w:cs="Times New Roman"/>
                <w:b/>
                <w:noProof/>
                <w:sz w:val="20"/>
                <w:szCs w:val="20"/>
              </w:rPr>
              <w:t>Valsts līdzdalības nodrošināšana ogļūdeņražu ieguvē</w:t>
            </w:r>
          </w:p>
          <w:p w:rsidR="00337CB9" w:rsidRPr="00E95D30" w:rsidRDefault="00337CB9" w:rsidP="00B32380">
            <w:pPr>
              <w:jc w:val="center"/>
              <w:rPr>
                <w:rFonts w:cs="Times New Roman"/>
                <w:b/>
                <w:noProof/>
                <w:sz w:val="20"/>
                <w:szCs w:val="20"/>
              </w:rPr>
            </w:pPr>
            <w:r w:rsidRPr="00E95D30">
              <w:rPr>
                <w:rFonts w:cs="Times New Roman"/>
                <w:noProof/>
                <w:sz w:val="20"/>
                <w:szCs w:val="20"/>
              </w:rPr>
              <w:t xml:space="preserve">Valsts līdzdalību ogļūdeņražu ieguvē </w:t>
            </w:r>
            <w:r w:rsidR="00B32380" w:rsidRPr="00E95D30">
              <w:rPr>
                <w:rFonts w:cs="Times New Roman"/>
                <w:noProof/>
                <w:sz w:val="20"/>
                <w:szCs w:val="20"/>
              </w:rPr>
              <w:t>nodrošin</w:t>
            </w:r>
            <w:r w:rsidR="00B32380">
              <w:rPr>
                <w:rFonts w:cs="Times New Roman"/>
                <w:noProof/>
                <w:sz w:val="20"/>
                <w:szCs w:val="20"/>
              </w:rPr>
              <w:t>a</w:t>
            </w:r>
            <w:r w:rsidR="00B32380" w:rsidRPr="00E95D30">
              <w:rPr>
                <w:rFonts w:cs="Times New Roman"/>
                <w:noProof/>
                <w:sz w:val="20"/>
                <w:szCs w:val="20"/>
              </w:rPr>
              <w:t xml:space="preserve"> </w:t>
            </w:r>
            <w:r w:rsidRPr="00E95D30">
              <w:rPr>
                <w:rFonts w:cs="Times New Roman"/>
                <w:noProof/>
                <w:sz w:val="20"/>
                <w:szCs w:val="20"/>
              </w:rPr>
              <w:t>cita kapitālsabiedrība</w:t>
            </w:r>
            <w:r w:rsidRPr="00E95D30">
              <w:rPr>
                <w:rStyle w:val="FootnoteReference"/>
                <w:rFonts w:cs="Times New Roman"/>
                <w:noProof/>
                <w:sz w:val="20"/>
                <w:szCs w:val="20"/>
              </w:rPr>
              <w:footnoteReference w:id="19"/>
            </w:r>
          </w:p>
        </w:tc>
        <w:tc>
          <w:tcPr>
            <w:tcW w:w="992" w:type="dxa"/>
            <w:tcBorders>
              <w:left w:val="single" w:sz="4" w:space="0" w:color="auto"/>
              <w:right w:val="single" w:sz="4" w:space="0" w:color="auto"/>
            </w:tcBorders>
            <w:shd w:val="clear" w:color="auto" w:fill="FFFFFF" w:themeFill="background1"/>
          </w:tcPr>
          <w:p w:rsidR="00337CB9" w:rsidRPr="00E95D30" w:rsidRDefault="00337CB9" w:rsidP="00E95D30">
            <w:pPr>
              <w:jc w:val="center"/>
              <w:rPr>
                <w:rFonts w:cs="Times New Roman"/>
                <w:noProof/>
                <w:sz w:val="20"/>
                <w:szCs w:val="20"/>
              </w:rPr>
            </w:pPr>
          </w:p>
          <w:p w:rsidR="00337CB9" w:rsidRPr="00E95D30" w:rsidRDefault="00337CB9" w:rsidP="00E95D30">
            <w:pPr>
              <w:jc w:val="center"/>
              <w:rPr>
                <w:rFonts w:cs="Times New Roman"/>
                <w:noProof/>
                <w:sz w:val="20"/>
                <w:szCs w:val="20"/>
              </w:rPr>
            </w:pPr>
          </w:p>
          <w:p w:rsidR="00337CB9" w:rsidRPr="00E95D30" w:rsidRDefault="00337CB9" w:rsidP="00E95D30">
            <w:pPr>
              <w:jc w:val="center"/>
              <w:rPr>
                <w:rFonts w:cs="Times New Roman"/>
                <w:noProof/>
                <w:sz w:val="20"/>
                <w:szCs w:val="20"/>
              </w:rPr>
            </w:pPr>
          </w:p>
        </w:tc>
        <w:tc>
          <w:tcPr>
            <w:tcW w:w="843" w:type="dxa"/>
            <w:tcBorders>
              <w:left w:val="single" w:sz="4" w:space="0" w:color="auto"/>
              <w:right w:val="single" w:sz="4" w:space="0" w:color="auto"/>
            </w:tcBorders>
            <w:shd w:val="clear" w:color="auto" w:fill="FFFFFF" w:themeFill="background1"/>
          </w:tcPr>
          <w:p w:rsidR="00337CB9" w:rsidRPr="00E95D30" w:rsidRDefault="00337CB9" w:rsidP="00E95D30">
            <w:pPr>
              <w:jc w:val="center"/>
              <w:rPr>
                <w:rFonts w:cs="Times New Roman"/>
                <w:noProof/>
                <w:sz w:val="20"/>
                <w:szCs w:val="20"/>
              </w:rPr>
            </w:pPr>
          </w:p>
        </w:tc>
        <w:tc>
          <w:tcPr>
            <w:tcW w:w="1407" w:type="dxa"/>
            <w:tcBorders>
              <w:left w:val="single" w:sz="4" w:space="0" w:color="auto"/>
            </w:tcBorders>
            <w:shd w:val="clear" w:color="auto" w:fill="FFFFFF" w:themeFill="background1"/>
          </w:tcPr>
          <w:p w:rsidR="00337CB9" w:rsidRPr="00E95D30" w:rsidRDefault="00337CB9" w:rsidP="00E95D30">
            <w:pPr>
              <w:jc w:val="center"/>
              <w:rPr>
                <w:rFonts w:cs="Times New Roman"/>
                <w:noProof/>
                <w:sz w:val="20"/>
                <w:szCs w:val="20"/>
                <w:u w:val="single"/>
              </w:rPr>
            </w:pPr>
          </w:p>
        </w:tc>
      </w:tr>
      <w:tr w:rsidR="00BC1572" w:rsidRPr="006F0A3C" w:rsidTr="009242D1">
        <w:trPr>
          <w:cnfStyle w:val="000000010000" w:firstRow="0" w:lastRow="0" w:firstColumn="0" w:lastColumn="0" w:oddVBand="0" w:evenVBand="0" w:oddHBand="0" w:evenHBand="1" w:firstRowFirstColumn="0" w:firstRowLastColumn="0" w:lastRowFirstColumn="0" w:lastRowLastColumn="0"/>
          <w:trHeight w:val="794"/>
        </w:trPr>
        <w:tc>
          <w:tcPr>
            <w:tcW w:w="5576" w:type="dxa"/>
            <w:tcBorders>
              <w:right w:val="none" w:sz="0" w:space="0" w:color="auto"/>
            </w:tcBorders>
            <w:shd w:val="clear" w:color="auto" w:fill="auto"/>
          </w:tcPr>
          <w:p w:rsidR="00BC1572" w:rsidRPr="00E95D30" w:rsidRDefault="00BC1572" w:rsidP="00E95D30">
            <w:pPr>
              <w:jc w:val="center"/>
              <w:rPr>
                <w:rFonts w:cs="Times New Roman"/>
                <w:noProof/>
                <w:sz w:val="20"/>
                <w:szCs w:val="20"/>
              </w:rPr>
            </w:pPr>
            <w:r w:rsidRPr="00E95D30">
              <w:rPr>
                <w:rFonts w:cs="Times New Roman"/>
                <w:b/>
                <w:noProof/>
                <w:sz w:val="20"/>
                <w:szCs w:val="20"/>
              </w:rPr>
              <w:t>Privatizācijas sertifikāti</w:t>
            </w:r>
          </w:p>
          <w:p w:rsidR="00BC1572" w:rsidRPr="00E95D30" w:rsidRDefault="00BC1572" w:rsidP="00E95D30">
            <w:pPr>
              <w:jc w:val="center"/>
              <w:rPr>
                <w:rFonts w:cs="Times New Roman"/>
                <w:b/>
                <w:noProof/>
                <w:sz w:val="20"/>
                <w:szCs w:val="20"/>
              </w:rPr>
            </w:pPr>
            <w:r w:rsidRPr="00E95D30">
              <w:rPr>
                <w:rFonts w:cs="Times New Roman"/>
                <w:noProof/>
                <w:sz w:val="20"/>
                <w:szCs w:val="20"/>
              </w:rPr>
              <w:t>Ar privatizācijas sertifikātiem saistītās informācijas uzskaiti, kontroli, ti</w:t>
            </w:r>
            <w:r w:rsidR="003A3FD4" w:rsidRPr="00E95D30">
              <w:rPr>
                <w:rFonts w:cs="Times New Roman"/>
                <w:noProof/>
                <w:sz w:val="20"/>
                <w:szCs w:val="20"/>
              </w:rPr>
              <w:t>r</w:t>
            </w:r>
            <w:r w:rsidRPr="00E95D30">
              <w:rPr>
                <w:rFonts w:cs="Times New Roman"/>
                <w:noProof/>
                <w:sz w:val="20"/>
                <w:szCs w:val="20"/>
              </w:rPr>
              <w:t>gus informācijas apkopošanas funkcijas īstenošanu</w:t>
            </w:r>
            <w:r w:rsidR="000C6C50" w:rsidRPr="00E95D30">
              <w:rPr>
                <w:rFonts w:cs="Times New Roman"/>
                <w:noProof/>
                <w:sz w:val="20"/>
                <w:szCs w:val="20"/>
              </w:rPr>
              <w:t xml:space="preserve"> (privatizācijas sertifikātu administrēšanu)</w:t>
            </w:r>
            <w:r w:rsidRPr="00E95D30">
              <w:rPr>
                <w:rFonts w:cs="Times New Roman"/>
                <w:noProof/>
                <w:sz w:val="20"/>
                <w:szCs w:val="20"/>
              </w:rPr>
              <w:t xml:space="preserve"> turpina Ekonomikas  ministrija</w:t>
            </w:r>
          </w:p>
        </w:tc>
        <w:tc>
          <w:tcPr>
            <w:tcW w:w="992"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u w:val="single"/>
              </w:rPr>
            </w:pPr>
          </w:p>
        </w:tc>
        <w:tc>
          <w:tcPr>
            <w:tcW w:w="843" w:type="dxa"/>
            <w:tcBorders>
              <w:left w:val="none" w:sz="0" w:space="0" w:color="auto"/>
              <w:right w:val="none" w:sz="0" w:space="0" w:color="auto"/>
            </w:tcBorders>
            <w:shd w:val="clear" w:color="auto" w:fill="FFFFFF" w:themeFill="background1"/>
          </w:tcPr>
          <w:p w:rsidR="00BC1572" w:rsidRPr="00E95D30" w:rsidRDefault="00BC1572" w:rsidP="00E95D30">
            <w:pPr>
              <w:jc w:val="center"/>
              <w:rPr>
                <w:rFonts w:cs="Times New Roman"/>
                <w:noProof/>
                <w:sz w:val="20"/>
                <w:szCs w:val="20"/>
              </w:rPr>
            </w:pPr>
          </w:p>
          <w:p w:rsidR="00BC1572" w:rsidRPr="00E95D30" w:rsidRDefault="00F82A06" w:rsidP="00E95D30">
            <w:pPr>
              <w:jc w:val="center"/>
              <w:rPr>
                <w:rFonts w:cs="Times New Roman"/>
                <w:noProof/>
                <w:sz w:val="20"/>
                <w:szCs w:val="20"/>
              </w:rPr>
            </w:pPr>
            <w:r w:rsidRPr="00E95D30">
              <w:rPr>
                <w:rFonts w:cs="Times New Roman"/>
                <w:noProof/>
                <w:sz w:val="20"/>
                <w:szCs w:val="20"/>
              </w:rPr>
              <w:t>X</w:t>
            </w:r>
          </w:p>
          <w:p w:rsidR="00F82A06" w:rsidRPr="00E95D30" w:rsidRDefault="00F82A06" w:rsidP="00E95D30">
            <w:pPr>
              <w:jc w:val="center"/>
              <w:rPr>
                <w:rFonts w:cs="Times New Roman"/>
                <w:noProof/>
                <w:sz w:val="20"/>
                <w:szCs w:val="20"/>
              </w:rPr>
            </w:pPr>
            <w:r w:rsidRPr="00E95D30">
              <w:rPr>
                <w:rFonts w:cs="Times New Roman"/>
                <w:noProof/>
                <w:sz w:val="20"/>
                <w:szCs w:val="20"/>
              </w:rPr>
              <w:t>(</w:t>
            </w:r>
            <w:r w:rsidR="00701768">
              <w:rPr>
                <w:rFonts w:cs="Times New Roman"/>
                <w:noProof/>
                <w:sz w:val="20"/>
                <w:szCs w:val="20"/>
              </w:rPr>
              <w:t>I pusgadā</w:t>
            </w:r>
            <w:r w:rsidRPr="00E95D30">
              <w:rPr>
                <w:rFonts w:cs="Times New Roman"/>
                <w:noProof/>
                <w:sz w:val="20"/>
                <w:szCs w:val="20"/>
              </w:rPr>
              <w:t>)</w:t>
            </w:r>
          </w:p>
        </w:tc>
        <w:tc>
          <w:tcPr>
            <w:tcW w:w="1407" w:type="dxa"/>
            <w:tcBorders>
              <w:left w:val="none" w:sz="0" w:space="0" w:color="auto"/>
            </w:tcBorders>
            <w:shd w:val="clear" w:color="auto" w:fill="FFFFFF" w:themeFill="background1"/>
          </w:tcPr>
          <w:p w:rsidR="00BC1572" w:rsidRPr="00E95D30" w:rsidRDefault="00BC1572" w:rsidP="00E95D30">
            <w:pPr>
              <w:jc w:val="center"/>
              <w:rPr>
                <w:rFonts w:cs="Times New Roman"/>
                <w:noProof/>
                <w:sz w:val="20"/>
                <w:szCs w:val="20"/>
                <w:u w:val="single"/>
              </w:rPr>
            </w:pPr>
          </w:p>
        </w:tc>
      </w:tr>
    </w:tbl>
    <w:p w:rsidR="00C367D7" w:rsidRDefault="00C367D7" w:rsidP="00EB6019">
      <w:pPr>
        <w:ind w:firstLine="720"/>
        <w:jc w:val="both"/>
      </w:pPr>
    </w:p>
    <w:p w:rsidR="00793350" w:rsidRPr="00E95D30" w:rsidRDefault="008661AD" w:rsidP="00EB6019">
      <w:pPr>
        <w:ind w:firstLine="720"/>
        <w:jc w:val="both"/>
        <w:rPr>
          <w:sz w:val="28"/>
          <w:szCs w:val="28"/>
        </w:rPr>
      </w:pPr>
      <w:r w:rsidRPr="00E95D30">
        <w:rPr>
          <w:sz w:val="28"/>
          <w:szCs w:val="28"/>
        </w:rPr>
        <w:t xml:space="preserve">Būtiski norādīt, ka pastāv vairāki riski, ja </w:t>
      </w:r>
      <w:r w:rsidR="00040CF6" w:rsidRPr="00E95D30">
        <w:rPr>
          <w:sz w:val="28"/>
          <w:szCs w:val="28"/>
        </w:rPr>
        <w:t>Aģentūras</w:t>
      </w:r>
      <w:r w:rsidRPr="00E95D30">
        <w:rPr>
          <w:sz w:val="28"/>
          <w:szCs w:val="28"/>
        </w:rPr>
        <w:t xml:space="preserve"> organizētais privatizācijas process tiks pārtraukts 2014.gada beigās, ņemot vērā, ka faktiski privatizācijas process netiks pabeigts. </w:t>
      </w:r>
      <w:r w:rsidR="00286278" w:rsidRPr="00E95D30">
        <w:rPr>
          <w:sz w:val="28"/>
          <w:szCs w:val="28"/>
        </w:rPr>
        <w:t xml:space="preserve">Nedrīkst pieļaut situāciju, ka privatizācijas </w:t>
      </w:r>
      <w:r w:rsidR="00BA4638" w:rsidRPr="00E95D30">
        <w:rPr>
          <w:sz w:val="28"/>
          <w:szCs w:val="28"/>
        </w:rPr>
        <w:t xml:space="preserve">process apstātos, tādējādi </w:t>
      </w:r>
      <w:r w:rsidRPr="00E95D30">
        <w:rPr>
          <w:sz w:val="28"/>
          <w:szCs w:val="28"/>
        </w:rPr>
        <w:t>netiks ievērots tiesiskās paļāvības princips un vienlīdzības princips, kas rada risku</w:t>
      </w:r>
      <w:r w:rsidR="003A3FD4" w:rsidRPr="00E95D30">
        <w:rPr>
          <w:sz w:val="28"/>
          <w:szCs w:val="28"/>
        </w:rPr>
        <w:t>, ka</w:t>
      </w:r>
      <w:r w:rsidRPr="00E95D30">
        <w:rPr>
          <w:sz w:val="28"/>
          <w:szCs w:val="28"/>
        </w:rPr>
        <w:t xml:space="preserve"> personas savu tiesību aizsardzībai var vērsties pret valsti. </w:t>
      </w:r>
    </w:p>
    <w:p w:rsidR="00B36DD6" w:rsidRPr="00E95D30" w:rsidRDefault="00B36DD6" w:rsidP="00B36DD6">
      <w:pPr>
        <w:ind w:firstLine="720"/>
        <w:jc w:val="both"/>
        <w:rPr>
          <w:rFonts w:eastAsia="Times New Roman" w:cs="Times New Roman"/>
          <w:bCs/>
          <w:sz w:val="28"/>
          <w:szCs w:val="28"/>
        </w:rPr>
      </w:pPr>
      <w:r w:rsidRPr="00E95D30">
        <w:rPr>
          <w:rFonts w:eastAsia="Times New Roman" w:cs="Times New Roman"/>
          <w:bCs/>
          <w:sz w:val="28"/>
          <w:szCs w:val="28"/>
        </w:rPr>
        <w:t>Funkciju nodošana citām institūcijām ir laikietilpīgs process, jo nepieciešams nodrošināt sarakstes, valdes lēmumu, tiesvedību dokument</w:t>
      </w:r>
      <w:r w:rsidR="00465C36" w:rsidRPr="00E95D30">
        <w:rPr>
          <w:rFonts w:eastAsia="Times New Roman" w:cs="Times New Roman"/>
          <w:bCs/>
          <w:sz w:val="28"/>
          <w:szCs w:val="28"/>
        </w:rPr>
        <w:t>u</w:t>
      </w:r>
      <w:r w:rsidRPr="00E95D30">
        <w:rPr>
          <w:rFonts w:eastAsia="Times New Roman" w:cs="Times New Roman"/>
          <w:bCs/>
          <w:sz w:val="28"/>
          <w:szCs w:val="28"/>
        </w:rPr>
        <w:t xml:space="preserve">, grāmatvedības dokumentu, iepirkumu dokumentu, līgumu, personāla dokumentu, objektu lietu u.c. lietu nodošanu funkciju pārņēmējiem. Tas pats ir attiecībā uz arhīvu, pamatlīdzekļiem un inventāru, datu bāzēm, finanšu līdzekļiem. </w:t>
      </w:r>
    </w:p>
    <w:p w:rsidR="001E2F67" w:rsidRDefault="00040CF6" w:rsidP="00260FE3">
      <w:pPr>
        <w:ind w:firstLine="720"/>
        <w:jc w:val="both"/>
        <w:rPr>
          <w:sz w:val="28"/>
          <w:szCs w:val="28"/>
        </w:rPr>
      </w:pPr>
      <w:r w:rsidRPr="00E95D30">
        <w:rPr>
          <w:b/>
          <w:sz w:val="28"/>
          <w:szCs w:val="28"/>
        </w:rPr>
        <w:t xml:space="preserve">Aģentūras </w:t>
      </w:r>
      <w:r w:rsidR="00A23246" w:rsidRPr="00E95D30">
        <w:rPr>
          <w:b/>
          <w:sz w:val="28"/>
          <w:szCs w:val="28"/>
        </w:rPr>
        <w:t>d</w:t>
      </w:r>
      <w:r w:rsidR="00286278" w:rsidRPr="00E95D30">
        <w:rPr>
          <w:b/>
          <w:sz w:val="28"/>
          <w:szCs w:val="28"/>
        </w:rPr>
        <w:t>arbības izbeigšanas</w:t>
      </w:r>
      <w:r w:rsidR="00286278" w:rsidRPr="00E95D30">
        <w:rPr>
          <w:sz w:val="28"/>
          <w:szCs w:val="28"/>
        </w:rPr>
        <w:t xml:space="preserve"> </w:t>
      </w:r>
      <w:r w:rsidR="00286278" w:rsidRPr="00E95D30">
        <w:rPr>
          <w:b/>
          <w:sz w:val="28"/>
          <w:szCs w:val="28"/>
        </w:rPr>
        <w:t>otrais etaps paredz</w:t>
      </w:r>
      <w:r w:rsidR="00286278" w:rsidRPr="00E95D30">
        <w:rPr>
          <w:sz w:val="28"/>
          <w:szCs w:val="28"/>
        </w:rPr>
        <w:t xml:space="preserve"> </w:t>
      </w:r>
      <w:r w:rsidR="00AA2CC1" w:rsidRPr="00E95D30">
        <w:rPr>
          <w:sz w:val="28"/>
          <w:szCs w:val="28"/>
        </w:rPr>
        <w:t xml:space="preserve">turpināt </w:t>
      </w:r>
      <w:r w:rsidR="00CB0E22" w:rsidRPr="00CB0E22">
        <w:rPr>
          <w:sz w:val="28"/>
          <w:szCs w:val="28"/>
        </w:rPr>
        <w:t>akciju sabiedrība</w:t>
      </w:r>
      <w:r w:rsidR="00CB0E22">
        <w:rPr>
          <w:sz w:val="28"/>
          <w:szCs w:val="28"/>
        </w:rPr>
        <w:t>s</w:t>
      </w:r>
      <w:r w:rsidR="00AA2CC1" w:rsidRPr="00E95D30">
        <w:rPr>
          <w:sz w:val="28"/>
          <w:szCs w:val="28"/>
        </w:rPr>
        <w:t xml:space="preserve"> „Citadele</w:t>
      </w:r>
      <w:r w:rsidR="0015189F" w:rsidRPr="00E95D30">
        <w:rPr>
          <w:sz w:val="28"/>
          <w:szCs w:val="28"/>
        </w:rPr>
        <w:t xml:space="preserve"> banka</w:t>
      </w:r>
      <w:r w:rsidR="00AA2CC1" w:rsidRPr="00E95D30">
        <w:rPr>
          <w:sz w:val="28"/>
          <w:szCs w:val="28"/>
        </w:rPr>
        <w:t>” un</w:t>
      </w:r>
      <w:r w:rsidR="00A51225">
        <w:rPr>
          <w:sz w:val="28"/>
          <w:szCs w:val="28"/>
        </w:rPr>
        <w:t xml:space="preserve"> </w:t>
      </w:r>
      <w:r w:rsidR="00CB0E22" w:rsidRPr="00CB0E22">
        <w:rPr>
          <w:sz w:val="28"/>
          <w:szCs w:val="28"/>
        </w:rPr>
        <w:t>akciju sabiedrības</w:t>
      </w:r>
      <w:r w:rsidR="00AA2CC1" w:rsidRPr="00E95D30">
        <w:rPr>
          <w:sz w:val="28"/>
          <w:szCs w:val="28"/>
        </w:rPr>
        <w:t xml:space="preserve"> „</w:t>
      </w:r>
      <w:proofErr w:type="spellStart"/>
      <w:r w:rsidR="00AA2CC1" w:rsidRPr="00E95D30">
        <w:rPr>
          <w:sz w:val="28"/>
          <w:szCs w:val="28"/>
        </w:rPr>
        <w:t>Reverta</w:t>
      </w:r>
      <w:proofErr w:type="spellEnd"/>
      <w:r w:rsidR="00AA2CC1" w:rsidRPr="00E95D30">
        <w:rPr>
          <w:sz w:val="28"/>
          <w:szCs w:val="28"/>
        </w:rPr>
        <w:t xml:space="preserve">” </w:t>
      </w:r>
      <w:r w:rsidR="0015347E" w:rsidRPr="00E95D30">
        <w:rPr>
          <w:sz w:val="28"/>
          <w:szCs w:val="28"/>
        </w:rPr>
        <w:t xml:space="preserve">(ja līdz tam akcijas vēl nav pārdotas) </w:t>
      </w:r>
      <w:r w:rsidR="00AA2CC1" w:rsidRPr="00E95D30">
        <w:rPr>
          <w:sz w:val="28"/>
          <w:szCs w:val="28"/>
        </w:rPr>
        <w:t>akciju pārvaldības un atsavināšanas funkcijas īstenošanu,</w:t>
      </w:r>
      <w:r w:rsidR="004A64FF">
        <w:rPr>
          <w:sz w:val="28"/>
          <w:szCs w:val="28"/>
        </w:rPr>
        <w:t xml:space="preserve"> kā arī HipoNIA pārvaldību,</w:t>
      </w:r>
      <w:r w:rsidR="00AA2CC1" w:rsidRPr="00E95D30">
        <w:rPr>
          <w:sz w:val="28"/>
          <w:szCs w:val="28"/>
        </w:rPr>
        <w:t xml:space="preserve"> </w:t>
      </w:r>
      <w:r w:rsidR="006B05AA" w:rsidRPr="00E95D30">
        <w:rPr>
          <w:b/>
          <w:sz w:val="28"/>
          <w:szCs w:val="28"/>
        </w:rPr>
        <w:t xml:space="preserve">reorganizējot </w:t>
      </w:r>
      <w:r w:rsidRPr="00E95D30">
        <w:rPr>
          <w:b/>
          <w:sz w:val="28"/>
          <w:szCs w:val="28"/>
        </w:rPr>
        <w:t>Aģentūru</w:t>
      </w:r>
      <w:r w:rsidR="006B05AA" w:rsidRPr="00E95D30">
        <w:rPr>
          <w:b/>
          <w:sz w:val="28"/>
          <w:szCs w:val="28"/>
        </w:rPr>
        <w:t xml:space="preserve"> </w:t>
      </w:r>
      <w:r w:rsidR="0043005E" w:rsidRPr="00E95D30">
        <w:rPr>
          <w:b/>
          <w:sz w:val="28"/>
          <w:szCs w:val="28"/>
        </w:rPr>
        <w:t>–</w:t>
      </w:r>
      <w:r w:rsidR="006B05AA" w:rsidRPr="00E95D30">
        <w:rPr>
          <w:sz w:val="28"/>
          <w:szCs w:val="28"/>
        </w:rPr>
        <w:t xml:space="preserve"> </w:t>
      </w:r>
      <w:r w:rsidR="0043005E" w:rsidRPr="00E95D30">
        <w:rPr>
          <w:b/>
          <w:sz w:val="28"/>
          <w:szCs w:val="28"/>
        </w:rPr>
        <w:t xml:space="preserve">nemainot juridisko statusu, bet </w:t>
      </w:r>
      <w:r w:rsidR="00AA2CC1" w:rsidRPr="00E95D30">
        <w:rPr>
          <w:b/>
          <w:sz w:val="28"/>
          <w:szCs w:val="28"/>
        </w:rPr>
        <w:t xml:space="preserve">mainot </w:t>
      </w:r>
      <w:r w:rsidR="006B05AA" w:rsidRPr="00E95D30">
        <w:rPr>
          <w:b/>
          <w:sz w:val="28"/>
          <w:szCs w:val="28"/>
        </w:rPr>
        <w:t xml:space="preserve">tās </w:t>
      </w:r>
      <w:r w:rsidR="0043005E" w:rsidRPr="00E95D30">
        <w:rPr>
          <w:b/>
          <w:sz w:val="28"/>
          <w:szCs w:val="28"/>
        </w:rPr>
        <w:t xml:space="preserve">darbības </w:t>
      </w:r>
      <w:r w:rsidR="006B05AA" w:rsidRPr="00E95D30">
        <w:rPr>
          <w:b/>
          <w:sz w:val="28"/>
          <w:szCs w:val="28"/>
        </w:rPr>
        <w:t>mērķus un nosaukumu</w:t>
      </w:r>
      <w:r w:rsidR="00AA2CC1" w:rsidRPr="00E95D30">
        <w:rPr>
          <w:sz w:val="28"/>
          <w:szCs w:val="28"/>
        </w:rPr>
        <w:t xml:space="preserve">. </w:t>
      </w:r>
    </w:p>
    <w:p w:rsidR="00D74B92" w:rsidRDefault="00701768" w:rsidP="001E2F67">
      <w:pPr>
        <w:ind w:firstLine="720"/>
        <w:jc w:val="both"/>
        <w:rPr>
          <w:sz w:val="28"/>
          <w:szCs w:val="28"/>
        </w:rPr>
      </w:pPr>
      <w:r>
        <w:rPr>
          <w:sz w:val="28"/>
          <w:szCs w:val="28"/>
        </w:rPr>
        <w:lastRenderedPageBreak/>
        <w:t>I</w:t>
      </w:r>
      <w:r w:rsidR="001E2F67">
        <w:rPr>
          <w:sz w:val="28"/>
          <w:szCs w:val="28"/>
        </w:rPr>
        <w:t xml:space="preserve">zvērtēti vairāki </w:t>
      </w:r>
      <w:r w:rsidR="006A774F" w:rsidRPr="006A774F">
        <w:rPr>
          <w:sz w:val="28"/>
          <w:szCs w:val="28"/>
        </w:rPr>
        <w:t>akciju sabiedrības</w:t>
      </w:r>
      <w:r w:rsidR="001E2F67" w:rsidRPr="00E95D30">
        <w:rPr>
          <w:sz w:val="28"/>
          <w:szCs w:val="28"/>
        </w:rPr>
        <w:t xml:space="preserve"> „Citadele banka”</w:t>
      </w:r>
      <w:r w:rsidR="001E2F67">
        <w:rPr>
          <w:sz w:val="28"/>
          <w:szCs w:val="28"/>
        </w:rPr>
        <w:t>,</w:t>
      </w:r>
      <w:r w:rsidR="001E2F67" w:rsidRPr="00E95D30">
        <w:rPr>
          <w:sz w:val="28"/>
          <w:szCs w:val="28"/>
        </w:rPr>
        <w:t xml:space="preserve"> </w:t>
      </w:r>
      <w:r w:rsidR="006A774F" w:rsidRPr="006A774F">
        <w:rPr>
          <w:sz w:val="28"/>
          <w:szCs w:val="28"/>
        </w:rPr>
        <w:t>akciju sabiedrības</w:t>
      </w:r>
      <w:r w:rsidR="001E2F67" w:rsidRPr="00E95D30">
        <w:rPr>
          <w:sz w:val="28"/>
          <w:szCs w:val="28"/>
        </w:rPr>
        <w:t xml:space="preserve"> „</w:t>
      </w:r>
      <w:proofErr w:type="spellStart"/>
      <w:r w:rsidR="001E2F67" w:rsidRPr="00E95D30">
        <w:rPr>
          <w:sz w:val="28"/>
          <w:szCs w:val="28"/>
        </w:rPr>
        <w:t>Reverta</w:t>
      </w:r>
      <w:proofErr w:type="spellEnd"/>
      <w:r w:rsidR="001E2F67" w:rsidRPr="00E95D30">
        <w:rPr>
          <w:sz w:val="28"/>
          <w:szCs w:val="28"/>
        </w:rPr>
        <w:t>”</w:t>
      </w:r>
      <w:r w:rsidR="001E2F67">
        <w:rPr>
          <w:sz w:val="28"/>
          <w:szCs w:val="28"/>
        </w:rPr>
        <w:t>,</w:t>
      </w:r>
      <w:r w:rsidR="001E2F67" w:rsidRPr="00E95D30">
        <w:rPr>
          <w:sz w:val="28"/>
          <w:szCs w:val="28"/>
        </w:rPr>
        <w:t xml:space="preserve"> </w:t>
      </w:r>
      <w:r w:rsidR="001E2F67">
        <w:rPr>
          <w:sz w:val="28"/>
          <w:szCs w:val="28"/>
        </w:rPr>
        <w:t xml:space="preserve">kā arī </w:t>
      </w:r>
      <w:proofErr w:type="spellStart"/>
      <w:r w:rsidR="001E2F67">
        <w:rPr>
          <w:sz w:val="28"/>
          <w:szCs w:val="28"/>
        </w:rPr>
        <w:t>HipoNIA</w:t>
      </w:r>
      <w:proofErr w:type="spellEnd"/>
      <w:r w:rsidR="001E2F67" w:rsidRPr="00E95D30">
        <w:rPr>
          <w:sz w:val="28"/>
          <w:szCs w:val="28"/>
        </w:rPr>
        <w:t xml:space="preserve"> </w:t>
      </w:r>
      <w:r w:rsidR="001E2F67">
        <w:rPr>
          <w:sz w:val="28"/>
          <w:szCs w:val="28"/>
        </w:rPr>
        <w:t>pārvaldīšanas varianti. Ņemot vērā</w:t>
      </w:r>
      <w:r w:rsidR="00CF7CE8">
        <w:rPr>
          <w:sz w:val="28"/>
          <w:szCs w:val="28"/>
        </w:rPr>
        <w:t>, ka</w:t>
      </w:r>
      <w:r w:rsidR="001E2F67">
        <w:rPr>
          <w:sz w:val="28"/>
          <w:szCs w:val="28"/>
        </w:rPr>
        <w:t xml:space="preserve"> </w:t>
      </w:r>
      <w:r w:rsidR="00CF7CE8" w:rsidRPr="00CF7CE8">
        <w:rPr>
          <w:rFonts w:cs="Times New Roman"/>
          <w:sz w:val="28"/>
          <w:szCs w:val="28"/>
        </w:rPr>
        <w:t xml:space="preserve">2013.gada 28.maijā ir noslēgts līgums par </w:t>
      </w:r>
      <w:proofErr w:type="spellStart"/>
      <w:r w:rsidR="00CF7CE8" w:rsidRPr="00CF7CE8">
        <w:rPr>
          <w:rFonts w:cs="Times New Roman"/>
          <w:sz w:val="28"/>
          <w:szCs w:val="28"/>
        </w:rPr>
        <w:t>HipoNIA</w:t>
      </w:r>
      <w:proofErr w:type="spellEnd"/>
      <w:r w:rsidR="00CF7CE8" w:rsidRPr="00CF7CE8">
        <w:rPr>
          <w:rFonts w:cs="Times New Roman"/>
          <w:sz w:val="28"/>
          <w:szCs w:val="28"/>
        </w:rPr>
        <w:t xml:space="preserve"> kapitāla daļu iegādi</w:t>
      </w:r>
      <w:r w:rsidR="00A51225" w:rsidRPr="00A51225">
        <w:t xml:space="preserve"> </w:t>
      </w:r>
      <w:r w:rsidR="00A51225" w:rsidRPr="00A51225">
        <w:rPr>
          <w:rFonts w:cs="Times New Roman"/>
          <w:sz w:val="28"/>
          <w:szCs w:val="28"/>
        </w:rPr>
        <w:t xml:space="preserve">un 2013.gada 28.jūnijā Aģentūra </w:t>
      </w:r>
      <w:r w:rsidR="00A51225">
        <w:rPr>
          <w:rFonts w:cs="Times New Roman"/>
          <w:sz w:val="28"/>
          <w:szCs w:val="28"/>
        </w:rPr>
        <w:t>ir kļuvusi</w:t>
      </w:r>
      <w:r w:rsidR="00A51225" w:rsidRPr="00A51225">
        <w:rPr>
          <w:rFonts w:cs="Times New Roman"/>
          <w:sz w:val="28"/>
          <w:szCs w:val="28"/>
        </w:rPr>
        <w:t xml:space="preserve"> par </w:t>
      </w:r>
      <w:proofErr w:type="spellStart"/>
      <w:r w:rsidR="00A51225" w:rsidRPr="00A51225">
        <w:rPr>
          <w:rFonts w:cs="Times New Roman"/>
          <w:sz w:val="28"/>
          <w:szCs w:val="28"/>
        </w:rPr>
        <w:t>HipoNIA</w:t>
      </w:r>
      <w:proofErr w:type="spellEnd"/>
      <w:r w:rsidR="00A51225" w:rsidRPr="00A51225">
        <w:rPr>
          <w:rFonts w:cs="Times New Roman"/>
          <w:sz w:val="28"/>
          <w:szCs w:val="28"/>
        </w:rPr>
        <w:t xml:space="preserve"> kapitāla daļu īpašnieci</w:t>
      </w:r>
      <w:r w:rsidR="001E2F67">
        <w:rPr>
          <w:rFonts w:cs="Times New Roman"/>
          <w:sz w:val="28"/>
          <w:szCs w:val="28"/>
        </w:rPr>
        <w:t>, p</w:t>
      </w:r>
      <w:r w:rsidR="001E2F67" w:rsidRPr="000237B3">
        <w:rPr>
          <w:rFonts w:cs="Times New Roman"/>
          <w:sz w:val="28"/>
          <w:szCs w:val="28"/>
        </w:rPr>
        <w:t xml:space="preserve">aredzams, ka Aģentūra </w:t>
      </w:r>
      <w:r w:rsidR="001E2F67">
        <w:rPr>
          <w:rFonts w:cs="Times New Roman"/>
          <w:sz w:val="28"/>
          <w:szCs w:val="28"/>
        </w:rPr>
        <w:t>arī darbības izbeigšanas otrajā etapā nodrošinās</w:t>
      </w:r>
      <w:r w:rsidR="001E2F67" w:rsidRPr="000237B3">
        <w:rPr>
          <w:rFonts w:cs="Times New Roman"/>
          <w:sz w:val="28"/>
          <w:szCs w:val="28"/>
        </w:rPr>
        <w:t xml:space="preserve"> </w:t>
      </w:r>
      <w:r w:rsidR="001E2F67">
        <w:rPr>
          <w:rFonts w:cs="Times New Roman"/>
          <w:sz w:val="28"/>
          <w:szCs w:val="28"/>
        </w:rPr>
        <w:t>HipoNIA</w:t>
      </w:r>
      <w:r w:rsidR="001E2F67" w:rsidRPr="000237B3">
        <w:rPr>
          <w:rFonts w:cs="Times New Roman"/>
          <w:sz w:val="28"/>
          <w:szCs w:val="28"/>
        </w:rPr>
        <w:t xml:space="preserve"> pārvaldību saskaņā ar labas korporatīvās pārvaldības principiem</w:t>
      </w:r>
      <w:r w:rsidR="001E2F67">
        <w:rPr>
          <w:rFonts w:cs="Times New Roman"/>
          <w:sz w:val="28"/>
          <w:szCs w:val="28"/>
        </w:rPr>
        <w:t xml:space="preserve"> </w:t>
      </w:r>
      <w:r w:rsidR="001E2F67" w:rsidRPr="000237B3">
        <w:rPr>
          <w:rFonts w:cs="Times New Roman"/>
          <w:sz w:val="28"/>
          <w:szCs w:val="28"/>
        </w:rPr>
        <w:t>un Ministra kabineta lēmum</w:t>
      </w:r>
      <w:r w:rsidR="001E2F67">
        <w:rPr>
          <w:rFonts w:cs="Times New Roman"/>
          <w:sz w:val="28"/>
          <w:szCs w:val="28"/>
        </w:rPr>
        <w:t>iem</w:t>
      </w:r>
      <w:r w:rsidR="001E2F67" w:rsidRPr="000237B3">
        <w:rPr>
          <w:rFonts w:cs="Times New Roman"/>
          <w:sz w:val="28"/>
          <w:szCs w:val="28"/>
        </w:rPr>
        <w:t xml:space="preserve">. </w:t>
      </w:r>
      <w:r w:rsidR="001E2F67">
        <w:rPr>
          <w:rFonts w:cs="Times New Roman"/>
          <w:sz w:val="28"/>
          <w:szCs w:val="28"/>
        </w:rPr>
        <w:t xml:space="preserve">Pamatojums Aģentūras iesaistei HipoNIA pārvaldībā </w:t>
      </w:r>
      <w:r w:rsidR="0037331C">
        <w:rPr>
          <w:rFonts w:cs="Times New Roman"/>
          <w:sz w:val="28"/>
          <w:szCs w:val="28"/>
        </w:rPr>
        <w:t xml:space="preserve">ietverts </w:t>
      </w:r>
      <w:r w:rsidR="001E2F67">
        <w:rPr>
          <w:rFonts w:cs="Times New Roman"/>
          <w:sz w:val="28"/>
          <w:szCs w:val="28"/>
        </w:rPr>
        <w:t>attiecīg</w:t>
      </w:r>
      <w:r w:rsidR="00D74B92">
        <w:rPr>
          <w:rFonts w:cs="Times New Roman"/>
          <w:sz w:val="28"/>
          <w:szCs w:val="28"/>
        </w:rPr>
        <w:t>ajā</w:t>
      </w:r>
      <w:r w:rsidR="001E2F67">
        <w:rPr>
          <w:rFonts w:cs="Times New Roman"/>
          <w:sz w:val="28"/>
          <w:szCs w:val="28"/>
        </w:rPr>
        <w:t xml:space="preserve"> </w:t>
      </w:r>
      <w:r w:rsidR="00D74B92">
        <w:rPr>
          <w:rFonts w:cs="Times New Roman"/>
          <w:sz w:val="28"/>
          <w:szCs w:val="28"/>
        </w:rPr>
        <w:t xml:space="preserve">informatīvajā ziņojumā, kas izskatīts </w:t>
      </w:r>
      <w:r w:rsidR="001E2F67">
        <w:rPr>
          <w:rFonts w:cs="Times New Roman"/>
          <w:sz w:val="28"/>
          <w:szCs w:val="28"/>
        </w:rPr>
        <w:t xml:space="preserve">Ministru </w:t>
      </w:r>
      <w:r w:rsidR="00D74B92">
        <w:rPr>
          <w:rFonts w:cs="Times New Roman"/>
          <w:sz w:val="28"/>
          <w:szCs w:val="28"/>
        </w:rPr>
        <w:t xml:space="preserve">kabineta sēdē </w:t>
      </w:r>
      <w:r w:rsidR="00D74B92" w:rsidRPr="000237B3">
        <w:rPr>
          <w:rFonts w:cs="Times New Roman"/>
          <w:sz w:val="28"/>
          <w:szCs w:val="28"/>
        </w:rPr>
        <w:t>201</w:t>
      </w:r>
      <w:r w:rsidR="00D74B92">
        <w:rPr>
          <w:rFonts w:cs="Times New Roman"/>
          <w:sz w:val="28"/>
          <w:szCs w:val="28"/>
        </w:rPr>
        <w:t>3</w:t>
      </w:r>
      <w:r w:rsidR="00D74B92" w:rsidRPr="000237B3">
        <w:rPr>
          <w:rFonts w:cs="Times New Roman"/>
          <w:sz w:val="28"/>
          <w:szCs w:val="28"/>
        </w:rPr>
        <w:t xml:space="preserve">.gada </w:t>
      </w:r>
      <w:r w:rsidR="00D74B92">
        <w:rPr>
          <w:rFonts w:cs="Times New Roman"/>
          <w:sz w:val="28"/>
          <w:szCs w:val="28"/>
        </w:rPr>
        <w:t>2</w:t>
      </w:r>
      <w:r w:rsidR="00D74B92" w:rsidRPr="000237B3">
        <w:rPr>
          <w:rFonts w:cs="Times New Roman"/>
          <w:sz w:val="28"/>
          <w:szCs w:val="28"/>
        </w:rPr>
        <w:t>.</w:t>
      </w:r>
      <w:r w:rsidR="00D74B92">
        <w:rPr>
          <w:rFonts w:cs="Times New Roman"/>
          <w:sz w:val="28"/>
          <w:szCs w:val="28"/>
        </w:rPr>
        <w:t>aprīlī</w:t>
      </w:r>
      <w:r>
        <w:rPr>
          <w:rFonts w:cs="Times New Roman"/>
          <w:sz w:val="28"/>
          <w:szCs w:val="28"/>
        </w:rPr>
        <w:t xml:space="preserve"> (prot.Nr.17 55.§)</w:t>
      </w:r>
      <w:r w:rsidR="001E2F67">
        <w:rPr>
          <w:rFonts w:cs="Times New Roman"/>
          <w:sz w:val="28"/>
          <w:szCs w:val="28"/>
        </w:rPr>
        <w:t>.</w:t>
      </w:r>
      <w:r w:rsidR="00D74B92">
        <w:rPr>
          <w:rFonts w:cs="Times New Roman"/>
          <w:sz w:val="28"/>
          <w:szCs w:val="28"/>
        </w:rPr>
        <w:t xml:space="preserve"> </w:t>
      </w:r>
      <w:r w:rsidR="001E2F67">
        <w:rPr>
          <w:rFonts w:cs="Times New Roman"/>
          <w:sz w:val="28"/>
          <w:szCs w:val="28"/>
        </w:rPr>
        <w:t xml:space="preserve"> </w:t>
      </w:r>
      <w:r w:rsidR="00D74B92">
        <w:rPr>
          <w:sz w:val="28"/>
          <w:szCs w:val="28"/>
        </w:rPr>
        <w:t>J</w:t>
      </w:r>
      <w:r w:rsidR="00D74B92" w:rsidRPr="00E95D30">
        <w:rPr>
          <w:sz w:val="28"/>
          <w:szCs w:val="28"/>
        </w:rPr>
        <w:t xml:space="preserve">ebkuras liekas izmaiņas </w:t>
      </w:r>
      <w:r w:rsidR="00301420">
        <w:rPr>
          <w:sz w:val="28"/>
          <w:szCs w:val="28"/>
        </w:rPr>
        <w:t>akciju sabiedrības</w:t>
      </w:r>
      <w:r w:rsidR="00301420" w:rsidRPr="00E95D30">
        <w:rPr>
          <w:sz w:val="28"/>
          <w:szCs w:val="28"/>
        </w:rPr>
        <w:t xml:space="preserve"> </w:t>
      </w:r>
      <w:r w:rsidR="00D74B92" w:rsidRPr="00E95D30">
        <w:rPr>
          <w:sz w:val="28"/>
          <w:szCs w:val="28"/>
        </w:rPr>
        <w:t xml:space="preserve">„Citadele banka” un </w:t>
      </w:r>
      <w:r w:rsidR="00301420" w:rsidRPr="00301420">
        <w:rPr>
          <w:sz w:val="28"/>
          <w:szCs w:val="28"/>
        </w:rPr>
        <w:t>akciju sabiedrības</w:t>
      </w:r>
      <w:r w:rsidR="00D74B92" w:rsidRPr="00E95D30">
        <w:rPr>
          <w:sz w:val="28"/>
          <w:szCs w:val="28"/>
        </w:rPr>
        <w:t xml:space="preserve"> „</w:t>
      </w:r>
      <w:proofErr w:type="spellStart"/>
      <w:r w:rsidR="00D74B92" w:rsidRPr="00E95D30">
        <w:rPr>
          <w:sz w:val="28"/>
          <w:szCs w:val="28"/>
        </w:rPr>
        <w:t>Reverta</w:t>
      </w:r>
      <w:proofErr w:type="spellEnd"/>
      <w:r w:rsidR="00D74B92" w:rsidRPr="00E95D30">
        <w:rPr>
          <w:sz w:val="28"/>
          <w:szCs w:val="28"/>
        </w:rPr>
        <w:t xml:space="preserve">” īpašnieku sastāvā radītu tiesvedību riskus un </w:t>
      </w:r>
      <w:r w:rsidR="00BA0D76">
        <w:rPr>
          <w:sz w:val="28"/>
          <w:szCs w:val="28"/>
        </w:rPr>
        <w:t xml:space="preserve">finansēšanas problēmas, </w:t>
      </w:r>
      <w:r w:rsidR="0037331C">
        <w:rPr>
          <w:sz w:val="28"/>
          <w:szCs w:val="28"/>
        </w:rPr>
        <w:t xml:space="preserve">kā arī </w:t>
      </w:r>
      <w:r w:rsidR="00BA0D76">
        <w:rPr>
          <w:sz w:val="28"/>
          <w:szCs w:val="28"/>
        </w:rPr>
        <w:t xml:space="preserve"> </w:t>
      </w:r>
      <w:r w:rsidR="00D74B92" w:rsidRPr="00E95D30">
        <w:rPr>
          <w:sz w:val="28"/>
          <w:szCs w:val="28"/>
        </w:rPr>
        <w:t>potenciālus zaudējumus, tāpēc nav ieteicams</w:t>
      </w:r>
      <w:r w:rsidR="0037331C">
        <w:rPr>
          <w:sz w:val="28"/>
          <w:szCs w:val="28"/>
        </w:rPr>
        <w:t xml:space="preserve"> un nav nepieciešams</w:t>
      </w:r>
      <w:r w:rsidR="00D74B92" w:rsidRPr="00E95D30">
        <w:rPr>
          <w:sz w:val="28"/>
          <w:szCs w:val="28"/>
        </w:rPr>
        <w:t xml:space="preserve"> mainīt </w:t>
      </w:r>
      <w:r w:rsidR="00301420" w:rsidRPr="00301420">
        <w:rPr>
          <w:sz w:val="28"/>
          <w:szCs w:val="28"/>
        </w:rPr>
        <w:t>akciju sabiedrības</w:t>
      </w:r>
      <w:r w:rsidR="00D74B92" w:rsidRPr="00E95D30">
        <w:rPr>
          <w:sz w:val="28"/>
          <w:szCs w:val="28"/>
        </w:rPr>
        <w:t xml:space="preserve"> „Citadele banka” un </w:t>
      </w:r>
      <w:r w:rsidR="00301420" w:rsidRPr="00301420">
        <w:rPr>
          <w:sz w:val="28"/>
          <w:szCs w:val="28"/>
        </w:rPr>
        <w:t>akciju sabiedrības</w:t>
      </w:r>
      <w:r w:rsidR="00D74B92" w:rsidRPr="00E95D30">
        <w:rPr>
          <w:sz w:val="28"/>
          <w:szCs w:val="28"/>
        </w:rPr>
        <w:t xml:space="preserve"> „</w:t>
      </w:r>
      <w:proofErr w:type="spellStart"/>
      <w:r w:rsidR="00D74B92" w:rsidRPr="00E95D30">
        <w:rPr>
          <w:sz w:val="28"/>
          <w:szCs w:val="28"/>
        </w:rPr>
        <w:t>Reverta</w:t>
      </w:r>
      <w:proofErr w:type="spellEnd"/>
      <w:r w:rsidR="00D74B92" w:rsidRPr="00E95D30">
        <w:rPr>
          <w:sz w:val="28"/>
          <w:szCs w:val="28"/>
        </w:rPr>
        <w:t xml:space="preserve">” īpašnieku no </w:t>
      </w:r>
      <w:r w:rsidR="00D74B92" w:rsidRPr="00E95D30">
        <w:rPr>
          <w:rFonts w:cs="Times New Roman"/>
          <w:sz w:val="28"/>
          <w:szCs w:val="28"/>
        </w:rPr>
        <w:t>Aģentūras</w:t>
      </w:r>
      <w:r w:rsidR="00D74B92" w:rsidRPr="00E95D30">
        <w:rPr>
          <w:sz w:val="28"/>
          <w:szCs w:val="28"/>
        </w:rPr>
        <w:t xml:space="preserve"> uz kādu citu institūciju</w:t>
      </w:r>
      <w:r w:rsidR="0037331C">
        <w:rPr>
          <w:sz w:val="28"/>
          <w:szCs w:val="28"/>
        </w:rPr>
        <w:t xml:space="preserve"> vai kapitālsabiedrību</w:t>
      </w:r>
      <w:r w:rsidR="00D74B92" w:rsidRPr="00E95D30">
        <w:rPr>
          <w:sz w:val="28"/>
          <w:szCs w:val="28"/>
        </w:rPr>
        <w:t xml:space="preserve">, kā arī mainīt Aģentūras kapitālsabiedrības statusu. </w:t>
      </w:r>
      <w:r w:rsidR="00D74B92">
        <w:rPr>
          <w:rFonts w:cs="Times New Roman"/>
          <w:sz w:val="28"/>
          <w:szCs w:val="28"/>
        </w:rPr>
        <w:t xml:space="preserve">Attiecībā uz </w:t>
      </w:r>
      <w:r w:rsidR="00301420" w:rsidRPr="00301420">
        <w:rPr>
          <w:sz w:val="28"/>
          <w:szCs w:val="28"/>
        </w:rPr>
        <w:t>akciju sabiedrības</w:t>
      </w:r>
      <w:r w:rsidR="00D74B92" w:rsidRPr="00E95D30">
        <w:rPr>
          <w:sz w:val="28"/>
          <w:szCs w:val="28"/>
        </w:rPr>
        <w:t xml:space="preserve"> „Citadele banka”</w:t>
      </w:r>
      <w:r w:rsidR="00D74B92">
        <w:rPr>
          <w:sz w:val="28"/>
          <w:szCs w:val="28"/>
        </w:rPr>
        <w:t xml:space="preserve">, un </w:t>
      </w:r>
      <w:r w:rsidR="00301420" w:rsidRPr="00301420">
        <w:rPr>
          <w:sz w:val="28"/>
          <w:szCs w:val="28"/>
        </w:rPr>
        <w:t>akciju sabiedrības</w:t>
      </w:r>
      <w:r w:rsidR="00D74B92" w:rsidRPr="00E95D30">
        <w:rPr>
          <w:sz w:val="28"/>
          <w:szCs w:val="28"/>
        </w:rPr>
        <w:t xml:space="preserve"> „</w:t>
      </w:r>
      <w:proofErr w:type="spellStart"/>
      <w:r w:rsidR="00D74B92" w:rsidRPr="00E95D30">
        <w:rPr>
          <w:sz w:val="28"/>
          <w:szCs w:val="28"/>
        </w:rPr>
        <w:t>Reverta</w:t>
      </w:r>
      <w:proofErr w:type="spellEnd"/>
      <w:r w:rsidR="00D74B92" w:rsidRPr="00E95D30">
        <w:rPr>
          <w:sz w:val="28"/>
          <w:szCs w:val="28"/>
        </w:rPr>
        <w:t>”</w:t>
      </w:r>
      <w:r w:rsidR="00D74B92">
        <w:rPr>
          <w:sz w:val="28"/>
          <w:szCs w:val="28"/>
        </w:rPr>
        <w:t xml:space="preserve"> turpmāko pārvaldīšanu, izvērtēti vairāki varianti:</w:t>
      </w:r>
    </w:p>
    <w:p w:rsidR="001E2F67" w:rsidRDefault="00D74B92" w:rsidP="00301420">
      <w:pPr>
        <w:pStyle w:val="ListParagraph"/>
        <w:numPr>
          <w:ilvl w:val="0"/>
          <w:numId w:val="1"/>
        </w:numPr>
        <w:jc w:val="both"/>
        <w:rPr>
          <w:rFonts w:cs="Times New Roman"/>
          <w:sz w:val="28"/>
          <w:szCs w:val="28"/>
        </w:rPr>
      </w:pPr>
      <w:r w:rsidRPr="00D74B92">
        <w:rPr>
          <w:rFonts w:cs="Times New Roman"/>
          <w:sz w:val="28"/>
          <w:szCs w:val="28"/>
        </w:rPr>
        <w:t xml:space="preserve">Latvijas Republika iegādājas Aģentūrai piederošās </w:t>
      </w:r>
      <w:r w:rsidR="00301420" w:rsidRPr="00301420">
        <w:rPr>
          <w:rFonts w:cs="Times New Roman"/>
          <w:sz w:val="28"/>
          <w:szCs w:val="28"/>
        </w:rPr>
        <w:t>akciju sabiedrības</w:t>
      </w:r>
      <w:r w:rsidRPr="00D74B92">
        <w:rPr>
          <w:rFonts w:cs="Times New Roman"/>
          <w:sz w:val="28"/>
          <w:szCs w:val="28"/>
        </w:rPr>
        <w:t xml:space="preserve"> „Citadele banka” un </w:t>
      </w:r>
      <w:r w:rsidR="00301420" w:rsidRPr="00301420">
        <w:rPr>
          <w:rFonts w:cs="Times New Roman"/>
          <w:sz w:val="28"/>
          <w:szCs w:val="28"/>
        </w:rPr>
        <w:t>akciju sabiedrības</w:t>
      </w:r>
      <w:r w:rsidRPr="00D74B92">
        <w:rPr>
          <w:rFonts w:cs="Times New Roman"/>
          <w:sz w:val="28"/>
          <w:szCs w:val="28"/>
        </w:rPr>
        <w:t xml:space="preserve"> „</w:t>
      </w:r>
      <w:proofErr w:type="spellStart"/>
      <w:r w:rsidRPr="00D74B92">
        <w:rPr>
          <w:rFonts w:cs="Times New Roman"/>
          <w:sz w:val="28"/>
          <w:szCs w:val="28"/>
        </w:rPr>
        <w:t>Reverta</w:t>
      </w:r>
      <w:proofErr w:type="spellEnd"/>
      <w:r w:rsidRPr="00D74B92">
        <w:rPr>
          <w:rFonts w:cs="Times New Roman"/>
          <w:sz w:val="28"/>
          <w:szCs w:val="28"/>
        </w:rPr>
        <w:t>” akcijas</w:t>
      </w:r>
      <w:r w:rsidR="00BA0D76">
        <w:rPr>
          <w:rFonts w:cs="Times New Roman"/>
          <w:sz w:val="28"/>
          <w:szCs w:val="28"/>
        </w:rPr>
        <w:t xml:space="preserve"> un šo akciju turētājs būtu jaunveidojamais Valsts kapitāla daļu pārvaldības birojs</w:t>
      </w:r>
      <w:r w:rsidRPr="00D74B92">
        <w:rPr>
          <w:rFonts w:cs="Times New Roman"/>
          <w:sz w:val="28"/>
          <w:szCs w:val="28"/>
        </w:rPr>
        <w:t xml:space="preserve">. </w:t>
      </w:r>
      <w:r>
        <w:rPr>
          <w:rFonts w:cs="Times New Roman"/>
          <w:sz w:val="28"/>
          <w:szCs w:val="28"/>
        </w:rPr>
        <w:t xml:space="preserve"> Īstenojot šādu variantu, būs nepieciešami grozījumi Eiropas Komisijas 2010.gada 15.septembra lēmumā par valsts atbalsta </w:t>
      </w:r>
      <w:r w:rsidRPr="00D74B92">
        <w:rPr>
          <w:rFonts w:cs="Times New Roman"/>
          <w:sz w:val="28"/>
          <w:szCs w:val="28"/>
        </w:rPr>
        <w:t xml:space="preserve">restrukturizācijas plānu, nosakot, ka valsts tieši iegūst līdzdalību </w:t>
      </w:r>
      <w:r w:rsidR="00301420" w:rsidRPr="00301420">
        <w:rPr>
          <w:rFonts w:cs="Times New Roman"/>
          <w:sz w:val="28"/>
          <w:szCs w:val="28"/>
        </w:rPr>
        <w:t>akciju sabiedrīb</w:t>
      </w:r>
      <w:r w:rsidR="00301420">
        <w:rPr>
          <w:rFonts w:cs="Times New Roman"/>
          <w:sz w:val="28"/>
          <w:szCs w:val="28"/>
        </w:rPr>
        <w:t>ā</w:t>
      </w:r>
      <w:r w:rsidRPr="00D74B92">
        <w:rPr>
          <w:rFonts w:cs="Times New Roman"/>
          <w:sz w:val="28"/>
          <w:szCs w:val="28"/>
        </w:rPr>
        <w:t xml:space="preserve"> „Citadele banka” un </w:t>
      </w:r>
      <w:r w:rsidR="00301420" w:rsidRPr="00301420">
        <w:rPr>
          <w:rFonts w:cs="Times New Roman"/>
          <w:sz w:val="28"/>
          <w:szCs w:val="28"/>
        </w:rPr>
        <w:t>akciju sabiedrīb</w:t>
      </w:r>
      <w:r w:rsidR="00301420">
        <w:rPr>
          <w:rFonts w:cs="Times New Roman"/>
          <w:sz w:val="28"/>
          <w:szCs w:val="28"/>
        </w:rPr>
        <w:t>ā</w:t>
      </w:r>
      <w:r w:rsidRPr="00D74B92">
        <w:rPr>
          <w:rFonts w:cs="Times New Roman"/>
          <w:sz w:val="28"/>
          <w:szCs w:val="28"/>
        </w:rPr>
        <w:t xml:space="preserve"> „</w:t>
      </w:r>
      <w:proofErr w:type="spellStart"/>
      <w:r w:rsidRPr="00D74B92">
        <w:rPr>
          <w:rFonts w:cs="Times New Roman"/>
          <w:sz w:val="28"/>
          <w:szCs w:val="28"/>
        </w:rPr>
        <w:t>Reverta</w:t>
      </w:r>
      <w:proofErr w:type="spellEnd"/>
      <w:r w:rsidRPr="00D74B92">
        <w:rPr>
          <w:rFonts w:cs="Times New Roman"/>
          <w:sz w:val="28"/>
          <w:szCs w:val="28"/>
        </w:rPr>
        <w:t>”</w:t>
      </w:r>
      <w:r>
        <w:rPr>
          <w:rFonts w:cs="Times New Roman"/>
          <w:sz w:val="28"/>
          <w:szCs w:val="28"/>
        </w:rPr>
        <w:t xml:space="preserve">, nepieciešams būs grozīt akcionāru līgumus ar </w:t>
      </w:r>
      <w:r w:rsidRPr="000237B3">
        <w:rPr>
          <w:rFonts w:cs="Times New Roman"/>
          <w:sz w:val="28"/>
          <w:szCs w:val="28"/>
        </w:rPr>
        <w:t>Eiropas Rekonstrukcijas un attīstības banku</w:t>
      </w:r>
      <w:r>
        <w:rPr>
          <w:rFonts w:cs="Times New Roman"/>
          <w:sz w:val="28"/>
          <w:szCs w:val="28"/>
        </w:rPr>
        <w:t xml:space="preserve">, būs nepieciešams rast tiesisku un finansiāli pieņemamu risinājumu saistībā ar Latvijas Republikas izsniegto aizdevumu Aģentūrai, kā arī risinājumu, lai realizētu valsts atbalstu </w:t>
      </w:r>
      <w:r w:rsidR="00301420" w:rsidRPr="00301420">
        <w:rPr>
          <w:rFonts w:cs="Times New Roman"/>
          <w:sz w:val="28"/>
          <w:szCs w:val="28"/>
        </w:rPr>
        <w:t>akciju sabiedrība</w:t>
      </w:r>
      <w:r w:rsidR="00301420">
        <w:rPr>
          <w:rFonts w:cs="Times New Roman"/>
          <w:sz w:val="28"/>
          <w:szCs w:val="28"/>
        </w:rPr>
        <w:t>i</w:t>
      </w:r>
      <w:r w:rsidRPr="00D74B92">
        <w:rPr>
          <w:rFonts w:cs="Times New Roman"/>
          <w:sz w:val="28"/>
          <w:szCs w:val="28"/>
        </w:rPr>
        <w:t xml:space="preserve"> „Citadele banka” un </w:t>
      </w:r>
      <w:r w:rsidR="00301420" w:rsidRPr="00301420">
        <w:rPr>
          <w:rFonts w:cs="Times New Roman"/>
          <w:sz w:val="28"/>
          <w:szCs w:val="28"/>
        </w:rPr>
        <w:t>akciju sa</w:t>
      </w:r>
      <w:r w:rsidR="00301420">
        <w:rPr>
          <w:rFonts w:cs="Times New Roman"/>
          <w:sz w:val="28"/>
          <w:szCs w:val="28"/>
        </w:rPr>
        <w:t>biedrībai</w:t>
      </w:r>
      <w:r w:rsidRPr="00D74B92">
        <w:rPr>
          <w:rFonts w:cs="Times New Roman"/>
          <w:sz w:val="28"/>
          <w:szCs w:val="28"/>
        </w:rPr>
        <w:t xml:space="preserve"> „</w:t>
      </w:r>
      <w:proofErr w:type="spellStart"/>
      <w:r w:rsidRPr="00D74B92">
        <w:rPr>
          <w:rFonts w:cs="Times New Roman"/>
          <w:sz w:val="28"/>
          <w:szCs w:val="28"/>
        </w:rPr>
        <w:t>Reverta</w:t>
      </w:r>
      <w:proofErr w:type="spellEnd"/>
      <w:r w:rsidRPr="00D74B92">
        <w:rPr>
          <w:rFonts w:cs="Times New Roman"/>
          <w:sz w:val="28"/>
          <w:szCs w:val="28"/>
        </w:rPr>
        <w:t>”</w:t>
      </w:r>
      <w:r>
        <w:rPr>
          <w:rFonts w:cs="Times New Roman"/>
          <w:sz w:val="28"/>
          <w:szCs w:val="28"/>
        </w:rPr>
        <w:t>. Saskaņā ar Kredītiestāžu likumu ir noteikti nosacījumi būtiskas līdzdalības iegūšanai kredītiestādē</w:t>
      </w:r>
      <w:r w:rsidR="005968F7">
        <w:rPr>
          <w:rFonts w:cs="Times New Roman"/>
          <w:sz w:val="28"/>
          <w:szCs w:val="28"/>
        </w:rPr>
        <w:t xml:space="preserve">, kas jāizpilda. </w:t>
      </w:r>
    </w:p>
    <w:p w:rsidR="00D74B92" w:rsidRDefault="00D74B92" w:rsidP="00301420">
      <w:pPr>
        <w:pStyle w:val="ListParagraph"/>
        <w:numPr>
          <w:ilvl w:val="0"/>
          <w:numId w:val="1"/>
        </w:numPr>
        <w:jc w:val="both"/>
        <w:rPr>
          <w:rFonts w:cs="Times New Roman"/>
          <w:sz w:val="28"/>
          <w:szCs w:val="28"/>
        </w:rPr>
      </w:pPr>
      <w:r>
        <w:rPr>
          <w:rFonts w:cs="Times New Roman"/>
          <w:sz w:val="28"/>
          <w:szCs w:val="28"/>
        </w:rPr>
        <w:t>Latvijas Republika dibina jaunu kapitālsabiedrību, kas i</w:t>
      </w:r>
      <w:r w:rsidRPr="00D74B92">
        <w:rPr>
          <w:rFonts w:cs="Times New Roman"/>
          <w:sz w:val="28"/>
          <w:szCs w:val="28"/>
        </w:rPr>
        <w:t xml:space="preserve">egādājas Aģentūrai piederošās </w:t>
      </w:r>
      <w:r w:rsidR="00301420" w:rsidRPr="00301420">
        <w:rPr>
          <w:rFonts w:cs="Times New Roman"/>
          <w:sz w:val="28"/>
          <w:szCs w:val="28"/>
        </w:rPr>
        <w:t>akciju sabiedrības</w:t>
      </w:r>
      <w:r w:rsidRPr="00D74B92">
        <w:rPr>
          <w:rFonts w:cs="Times New Roman"/>
          <w:sz w:val="28"/>
          <w:szCs w:val="28"/>
        </w:rPr>
        <w:t xml:space="preserve"> „Citadele banka” un </w:t>
      </w:r>
      <w:r w:rsidR="00301420" w:rsidRPr="00301420">
        <w:rPr>
          <w:rFonts w:cs="Times New Roman"/>
          <w:sz w:val="28"/>
          <w:szCs w:val="28"/>
        </w:rPr>
        <w:t>akciju sabiedrības</w:t>
      </w:r>
      <w:r w:rsidRPr="00D74B92">
        <w:rPr>
          <w:rFonts w:cs="Times New Roman"/>
          <w:sz w:val="28"/>
          <w:szCs w:val="28"/>
        </w:rPr>
        <w:t xml:space="preserve"> „</w:t>
      </w:r>
      <w:proofErr w:type="spellStart"/>
      <w:r w:rsidRPr="00D74B92">
        <w:rPr>
          <w:rFonts w:cs="Times New Roman"/>
          <w:sz w:val="28"/>
          <w:szCs w:val="28"/>
        </w:rPr>
        <w:t>Reverta</w:t>
      </w:r>
      <w:proofErr w:type="spellEnd"/>
      <w:r w:rsidRPr="00D74B92">
        <w:rPr>
          <w:rFonts w:cs="Times New Roman"/>
          <w:sz w:val="28"/>
          <w:szCs w:val="28"/>
        </w:rPr>
        <w:t>” akcijas</w:t>
      </w:r>
      <w:r>
        <w:rPr>
          <w:rFonts w:cs="Times New Roman"/>
          <w:sz w:val="28"/>
          <w:szCs w:val="28"/>
        </w:rPr>
        <w:t xml:space="preserve">. </w:t>
      </w:r>
      <w:r w:rsidR="005968F7">
        <w:rPr>
          <w:rFonts w:cs="Times New Roman"/>
          <w:sz w:val="28"/>
          <w:szCs w:val="28"/>
        </w:rPr>
        <w:t>Saskaņā ar Kredītiestāžu likumu ir noteikti nosacījumi būtiskas līdzdalības iegūšanai kredītiestādē, kas jāizpilda, tajā skaitā jā</w:t>
      </w:r>
      <w:r w:rsidR="005968F7" w:rsidRPr="005968F7">
        <w:rPr>
          <w:rFonts w:cs="Times New Roman"/>
          <w:sz w:val="28"/>
          <w:szCs w:val="28"/>
        </w:rPr>
        <w:t>būt iespējams identificēt, lai šai kapitālsabiedrībai būtu finansiālā stabilitāte</w:t>
      </w:r>
      <w:r w:rsidR="005968F7">
        <w:rPr>
          <w:rFonts w:cs="Times New Roman"/>
          <w:sz w:val="28"/>
          <w:szCs w:val="28"/>
        </w:rPr>
        <w:t xml:space="preserve">, kas prasīs papildus valsts finansiālos ieguldījumus (kapitālsabiedrības dibināšana, pamatkapitāls u.c.). Īstenojot šādu variantu, būs nepieciešami grozījumi Eiropas Komisijas 2010.gada 15.septembra lēmumā par valsts atbalsta </w:t>
      </w:r>
      <w:r w:rsidR="005968F7" w:rsidRPr="00D74B92">
        <w:rPr>
          <w:rFonts w:cs="Times New Roman"/>
          <w:sz w:val="28"/>
          <w:szCs w:val="28"/>
        </w:rPr>
        <w:t xml:space="preserve">restrukturizācijas plānu, </w:t>
      </w:r>
      <w:r w:rsidR="005968F7">
        <w:rPr>
          <w:rFonts w:cs="Times New Roman"/>
          <w:sz w:val="28"/>
          <w:szCs w:val="28"/>
        </w:rPr>
        <w:t xml:space="preserve">nepieciešams būs grozīt </w:t>
      </w:r>
      <w:r w:rsidR="005968F7">
        <w:rPr>
          <w:rFonts w:cs="Times New Roman"/>
          <w:sz w:val="28"/>
          <w:szCs w:val="28"/>
        </w:rPr>
        <w:lastRenderedPageBreak/>
        <w:t xml:space="preserve">akcionāru līgumus ar </w:t>
      </w:r>
      <w:r w:rsidR="005968F7" w:rsidRPr="000237B3">
        <w:rPr>
          <w:rFonts w:cs="Times New Roman"/>
          <w:sz w:val="28"/>
          <w:szCs w:val="28"/>
        </w:rPr>
        <w:t>Eiropas Rekonstrukcijas un attīstības banku</w:t>
      </w:r>
      <w:r w:rsidR="005968F7">
        <w:rPr>
          <w:rFonts w:cs="Times New Roman"/>
          <w:sz w:val="28"/>
          <w:szCs w:val="28"/>
        </w:rPr>
        <w:t xml:space="preserve">, būs nepieciešams rast tiesisku un finansiāli pieņemamu risinājumu saistībā ar Latvijas Republikas izsniegto aizdevumu Aģentūrai, kā arī risinājumu, lai realizētu valsts atbalstu </w:t>
      </w:r>
      <w:r w:rsidR="00301420" w:rsidRPr="00301420">
        <w:rPr>
          <w:rFonts w:cs="Times New Roman"/>
          <w:sz w:val="28"/>
          <w:szCs w:val="28"/>
        </w:rPr>
        <w:t>akciju sabiedrība</w:t>
      </w:r>
      <w:r w:rsidR="00301420">
        <w:rPr>
          <w:rFonts w:cs="Times New Roman"/>
          <w:sz w:val="28"/>
          <w:szCs w:val="28"/>
        </w:rPr>
        <w:t>i</w:t>
      </w:r>
      <w:r w:rsidR="005968F7" w:rsidRPr="00D74B92">
        <w:rPr>
          <w:rFonts w:cs="Times New Roman"/>
          <w:sz w:val="28"/>
          <w:szCs w:val="28"/>
        </w:rPr>
        <w:t xml:space="preserve"> „Citadele banka” un </w:t>
      </w:r>
      <w:r w:rsidR="00301420" w:rsidRPr="00301420">
        <w:rPr>
          <w:rFonts w:cs="Times New Roman"/>
          <w:sz w:val="28"/>
          <w:szCs w:val="28"/>
        </w:rPr>
        <w:t>akciju sabiedrība</w:t>
      </w:r>
      <w:r w:rsidR="00301420">
        <w:rPr>
          <w:rFonts w:cs="Times New Roman"/>
          <w:sz w:val="28"/>
          <w:szCs w:val="28"/>
        </w:rPr>
        <w:t>i</w:t>
      </w:r>
      <w:r w:rsidR="005968F7" w:rsidRPr="00D74B92">
        <w:rPr>
          <w:rFonts w:cs="Times New Roman"/>
          <w:sz w:val="28"/>
          <w:szCs w:val="28"/>
        </w:rPr>
        <w:t xml:space="preserve"> „</w:t>
      </w:r>
      <w:proofErr w:type="spellStart"/>
      <w:r w:rsidR="005968F7" w:rsidRPr="00D74B92">
        <w:rPr>
          <w:rFonts w:cs="Times New Roman"/>
          <w:sz w:val="28"/>
          <w:szCs w:val="28"/>
        </w:rPr>
        <w:t>Reverta</w:t>
      </w:r>
      <w:proofErr w:type="spellEnd"/>
      <w:r w:rsidR="005968F7" w:rsidRPr="00D74B92">
        <w:rPr>
          <w:rFonts w:cs="Times New Roman"/>
          <w:sz w:val="28"/>
          <w:szCs w:val="28"/>
        </w:rPr>
        <w:t>”</w:t>
      </w:r>
      <w:r w:rsidR="005968F7">
        <w:rPr>
          <w:rFonts w:cs="Times New Roman"/>
          <w:sz w:val="28"/>
          <w:szCs w:val="28"/>
        </w:rPr>
        <w:t xml:space="preserve">. Jaundibināmai kapitālsabiedrībai būs jāpiesaista speciālistus, kas nepieciešami, lai nodrošinātu </w:t>
      </w:r>
      <w:r w:rsidR="00301420" w:rsidRPr="00301420">
        <w:rPr>
          <w:rFonts w:cs="Times New Roman"/>
          <w:sz w:val="28"/>
          <w:szCs w:val="28"/>
        </w:rPr>
        <w:t>akciju sabiedrības</w:t>
      </w:r>
      <w:r w:rsidR="005968F7" w:rsidRPr="00D74B92">
        <w:rPr>
          <w:rFonts w:cs="Times New Roman"/>
          <w:sz w:val="28"/>
          <w:szCs w:val="28"/>
        </w:rPr>
        <w:t xml:space="preserve"> „Citadele banka” un </w:t>
      </w:r>
      <w:r w:rsidR="00301420" w:rsidRPr="00301420">
        <w:rPr>
          <w:rFonts w:cs="Times New Roman"/>
          <w:sz w:val="28"/>
          <w:szCs w:val="28"/>
        </w:rPr>
        <w:t>akciju sabiedrības</w:t>
      </w:r>
      <w:r w:rsidR="005968F7" w:rsidRPr="00D74B92">
        <w:rPr>
          <w:rFonts w:cs="Times New Roman"/>
          <w:sz w:val="28"/>
          <w:szCs w:val="28"/>
        </w:rPr>
        <w:t xml:space="preserve"> „</w:t>
      </w:r>
      <w:proofErr w:type="spellStart"/>
      <w:r w:rsidR="005968F7" w:rsidRPr="00D74B92">
        <w:rPr>
          <w:rFonts w:cs="Times New Roman"/>
          <w:sz w:val="28"/>
          <w:szCs w:val="28"/>
        </w:rPr>
        <w:t>Reverta</w:t>
      </w:r>
      <w:proofErr w:type="spellEnd"/>
      <w:r w:rsidR="005968F7" w:rsidRPr="00D74B92">
        <w:rPr>
          <w:rFonts w:cs="Times New Roman"/>
          <w:sz w:val="28"/>
          <w:szCs w:val="28"/>
        </w:rPr>
        <w:t>”</w:t>
      </w:r>
      <w:r w:rsidR="005968F7">
        <w:rPr>
          <w:rFonts w:cs="Times New Roman"/>
          <w:sz w:val="28"/>
          <w:szCs w:val="28"/>
        </w:rPr>
        <w:t xml:space="preserve"> pārvaldi. </w:t>
      </w:r>
    </w:p>
    <w:p w:rsidR="005968F7" w:rsidRPr="00E63E4D" w:rsidRDefault="005968F7" w:rsidP="00301420">
      <w:pPr>
        <w:pStyle w:val="ListParagraph"/>
        <w:numPr>
          <w:ilvl w:val="0"/>
          <w:numId w:val="1"/>
        </w:numPr>
        <w:jc w:val="both"/>
        <w:rPr>
          <w:rFonts w:cs="Times New Roman"/>
          <w:sz w:val="28"/>
          <w:szCs w:val="28"/>
        </w:rPr>
      </w:pPr>
      <w:r w:rsidRPr="00D74B92">
        <w:rPr>
          <w:rFonts w:cs="Times New Roman"/>
          <w:sz w:val="28"/>
          <w:szCs w:val="28"/>
        </w:rPr>
        <w:t xml:space="preserve">Aģentūrai piederošās </w:t>
      </w:r>
      <w:r w:rsidR="00301420" w:rsidRPr="00301420">
        <w:rPr>
          <w:rFonts w:cs="Times New Roman"/>
          <w:sz w:val="28"/>
          <w:szCs w:val="28"/>
        </w:rPr>
        <w:t>akciju sabiedrības</w:t>
      </w:r>
      <w:r w:rsidRPr="00D74B92">
        <w:rPr>
          <w:rFonts w:cs="Times New Roman"/>
          <w:sz w:val="28"/>
          <w:szCs w:val="28"/>
        </w:rPr>
        <w:t xml:space="preserve"> „Citadele banka” un </w:t>
      </w:r>
      <w:r w:rsidR="00301420" w:rsidRPr="00301420">
        <w:rPr>
          <w:rFonts w:cs="Times New Roman"/>
          <w:sz w:val="28"/>
          <w:szCs w:val="28"/>
        </w:rPr>
        <w:t>akciju sabiedrības</w:t>
      </w:r>
      <w:r w:rsidRPr="00D74B92">
        <w:rPr>
          <w:rFonts w:cs="Times New Roman"/>
          <w:sz w:val="28"/>
          <w:szCs w:val="28"/>
        </w:rPr>
        <w:t xml:space="preserve"> „</w:t>
      </w:r>
      <w:proofErr w:type="spellStart"/>
      <w:r w:rsidRPr="00D74B92">
        <w:rPr>
          <w:rFonts w:cs="Times New Roman"/>
          <w:sz w:val="28"/>
          <w:szCs w:val="28"/>
        </w:rPr>
        <w:t>Reverta</w:t>
      </w:r>
      <w:proofErr w:type="spellEnd"/>
      <w:r w:rsidRPr="00D74B92">
        <w:rPr>
          <w:rFonts w:cs="Times New Roman"/>
          <w:sz w:val="28"/>
          <w:szCs w:val="28"/>
        </w:rPr>
        <w:t>” akcijas</w:t>
      </w:r>
      <w:r>
        <w:rPr>
          <w:rFonts w:cs="Times New Roman"/>
          <w:sz w:val="28"/>
          <w:szCs w:val="28"/>
        </w:rPr>
        <w:t xml:space="preserve"> tiek nodotas citai jau esošai valsts kapitālsabiedrībai. Īstenojot šādu variantu, būs nepieciešami grozījumi Eiropas Komisijas 2010.gada 15.septembra lēmumā par valsts atbalsta </w:t>
      </w:r>
      <w:r w:rsidRPr="00D74B92">
        <w:rPr>
          <w:rFonts w:cs="Times New Roman"/>
          <w:sz w:val="28"/>
          <w:szCs w:val="28"/>
        </w:rPr>
        <w:t xml:space="preserve">restrukturizācijas plānu, </w:t>
      </w:r>
      <w:r>
        <w:rPr>
          <w:rFonts w:cs="Times New Roman"/>
          <w:sz w:val="28"/>
          <w:szCs w:val="28"/>
        </w:rPr>
        <w:t xml:space="preserve">nepieciešams būs grozīt akcionāru līgumus ar </w:t>
      </w:r>
      <w:r w:rsidRPr="000237B3">
        <w:rPr>
          <w:rFonts w:cs="Times New Roman"/>
          <w:sz w:val="28"/>
          <w:szCs w:val="28"/>
        </w:rPr>
        <w:t>Eiropas Rekonstrukcijas un attīstības banku</w:t>
      </w:r>
      <w:r>
        <w:rPr>
          <w:rFonts w:cs="Times New Roman"/>
          <w:sz w:val="28"/>
          <w:szCs w:val="28"/>
        </w:rPr>
        <w:t xml:space="preserve">, būs nepieciešams rast tiesisku un finansiāli pieņemamu risinājumu saistībā ar Latvijas Republikas izsniegto aizdevumu Aģentūrai, kā arī risinājumu, lai realizētu valsts atbalstu </w:t>
      </w:r>
      <w:r w:rsidR="00301420" w:rsidRPr="00301420">
        <w:rPr>
          <w:rFonts w:cs="Times New Roman"/>
          <w:sz w:val="28"/>
          <w:szCs w:val="28"/>
        </w:rPr>
        <w:t>akciju sabiedrība</w:t>
      </w:r>
      <w:r w:rsidR="00301420">
        <w:rPr>
          <w:rFonts w:cs="Times New Roman"/>
          <w:sz w:val="28"/>
          <w:szCs w:val="28"/>
        </w:rPr>
        <w:t>i</w:t>
      </w:r>
      <w:r w:rsidRPr="00E63E4D">
        <w:rPr>
          <w:rFonts w:cs="Times New Roman"/>
          <w:sz w:val="28"/>
          <w:szCs w:val="28"/>
        </w:rPr>
        <w:t xml:space="preserve"> „Citadele banka” un </w:t>
      </w:r>
      <w:r w:rsidR="00301420" w:rsidRPr="00301420">
        <w:rPr>
          <w:rFonts w:cs="Times New Roman"/>
          <w:sz w:val="28"/>
          <w:szCs w:val="28"/>
        </w:rPr>
        <w:t>akciju sabiedrība</w:t>
      </w:r>
      <w:r w:rsidR="00301420">
        <w:rPr>
          <w:rFonts w:cs="Times New Roman"/>
          <w:sz w:val="28"/>
          <w:szCs w:val="28"/>
        </w:rPr>
        <w:t>i</w:t>
      </w:r>
      <w:r w:rsidRPr="00E63E4D">
        <w:rPr>
          <w:rFonts w:cs="Times New Roman"/>
          <w:sz w:val="28"/>
          <w:szCs w:val="28"/>
        </w:rPr>
        <w:t xml:space="preserve"> „</w:t>
      </w:r>
      <w:proofErr w:type="spellStart"/>
      <w:r w:rsidRPr="00E63E4D">
        <w:rPr>
          <w:rFonts w:cs="Times New Roman"/>
          <w:sz w:val="28"/>
          <w:szCs w:val="28"/>
        </w:rPr>
        <w:t>Reverta</w:t>
      </w:r>
      <w:proofErr w:type="spellEnd"/>
      <w:r w:rsidRPr="00E63E4D">
        <w:rPr>
          <w:rFonts w:cs="Times New Roman"/>
          <w:sz w:val="28"/>
          <w:szCs w:val="28"/>
        </w:rPr>
        <w:t xml:space="preserve">”. Kredītiestāžu likumu ir noteikti nosacījumi būtiskas līdzdalības iegūšanai kredītiestādē, kas jāizpilda. Kapitālsabiedrībai būs jāstiprina personāla kapacitāti, kas nepieciešama, lai nodrošinātu </w:t>
      </w:r>
      <w:r w:rsidR="00301420" w:rsidRPr="00301420">
        <w:rPr>
          <w:rFonts w:cs="Times New Roman"/>
          <w:sz w:val="28"/>
          <w:szCs w:val="28"/>
        </w:rPr>
        <w:t>akciju sabiedrības</w:t>
      </w:r>
      <w:r w:rsidRPr="00E63E4D">
        <w:rPr>
          <w:rFonts w:cs="Times New Roman"/>
          <w:sz w:val="28"/>
          <w:szCs w:val="28"/>
        </w:rPr>
        <w:t xml:space="preserve"> „Citadele banka” un </w:t>
      </w:r>
      <w:r w:rsidR="00301420" w:rsidRPr="00301420">
        <w:rPr>
          <w:rFonts w:cs="Times New Roman"/>
          <w:sz w:val="28"/>
          <w:szCs w:val="28"/>
        </w:rPr>
        <w:t>akciju sabiedrības</w:t>
      </w:r>
      <w:r w:rsidRPr="00E63E4D">
        <w:rPr>
          <w:rFonts w:cs="Times New Roman"/>
          <w:sz w:val="28"/>
          <w:szCs w:val="28"/>
        </w:rPr>
        <w:t xml:space="preserve"> „</w:t>
      </w:r>
      <w:proofErr w:type="spellStart"/>
      <w:r w:rsidRPr="00E63E4D">
        <w:rPr>
          <w:rFonts w:cs="Times New Roman"/>
          <w:sz w:val="28"/>
          <w:szCs w:val="28"/>
        </w:rPr>
        <w:t>Reverta</w:t>
      </w:r>
      <w:proofErr w:type="spellEnd"/>
      <w:r w:rsidRPr="00E63E4D">
        <w:rPr>
          <w:rFonts w:cs="Times New Roman"/>
          <w:sz w:val="28"/>
          <w:szCs w:val="28"/>
        </w:rPr>
        <w:t>” pārvaldi. Šobrīd nav neviena kapitālsabiedrībai</w:t>
      </w:r>
      <w:r w:rsidR="00BA0D76" w:rsidRPr="00E63E4D">
        <w:rPr>
          <w:rFonts w:cs="Times New Roman"/>
          <w:sz w:val="28"/>
          <w:szCs w:val="28"/>
        </w:rPr>
        <w:t xml:space="preserve"> ar atbilstoši darbības specifiku</w:t>
      </w:r>
      <w:r w:rsidRPr="00E63E4D">
        <w:rPr>
          <w:rFonts w:cs="Times New Roman"/>
          <w:sz w:val="28"/>
          <w:szCs w:val="28"/>
        </w:rPr>
        <w:t xml:space="preserve">, kurai </w:t>
      </w:r>
      <w:r w:rsidR="00BA0D76" w:rsidRPr="00E63E4D">
        <w:rPr>
          <w:rFonts w:cs="Times New Roman"/>
          <w:sz w:val="28"/>
          <w:szCs w:val="28"/>
        </w:rPr>
        <w:t xml:space="preserve">varētu nodot Aģentūrai piederošās </w:t>
      </w:r>
      <w:r w:rsidR="00301420" w:rsidRPr="00301420">
        <w:rPr>
          <w:rFonts w:cs="Times New Roman"/>
          <w:sz w:val="28"/>
          <w:szCs w:val="28"/>
        </w:rPr>
        <w:t>akciju sabiedrības</w:t>
      </w:r>
      <w:r w:rsidR="00BA0D76" w:rsidRPr="00E63E4D">
        <w:rPr>
          <w:rFonts w:cs="Times New Roman"/>
          <w:sz w:val="28"/>
          <w:szCs w:val="28"/>
        </w:rPr>
        <w:t xml:space="preserve"> „Citadele banka” un </w:t>
      </w:r>
      <w:r w:rsidR="00301420" w:rsidRPr="00301420">
        <w:rPr>
          <w:rFonts w:cs="Times New Roman"/>
          <w:sz w:val="28"/>
          <w:szCs w:val="28"/>
        </w:rPr>
        <w:t>akciju sabiedrības</w:t>
      </w:r>
      <w:r w:rsidR="00BA0D76" w:rsidRPr="00E63E4D">
        <w:rPr>
          <w:rFonts w:cs="Times New Roman"/>
          <w:sz w:val="28"/>
          <w:szCs w:val="28"/>
        </w:rPr>
        <w:t xml:space="preserve"> „</w:t>
      </w:r>
      <w:proofErr w:type="spellStart"/>
      <w:r w:rsidR="00BA0D76" w:rsidRPr="00E63E4D">
        <w:rPr>
          <w:rFonts w:cs="Times New Roman"/>
          <w:sz w:val="28"/>
          <w:szCs w:val="28"/>
        </w:rPr>
        <w:t>Reverta</w:t>
      </w:r>
      <w:proofErr w:type="spellEnd"/>
      <w:r w:rsidR="00BA0D76" w:rsidRPr="00E63E4D">
        <w:rPr>
          <w:rFonts w:cs="Times New Roman"/>
          <w:sz w:val="28"/>
          <w:szCs w:val="28"/>
        </w:rPr>
        <w:t xml:space="preserve">” akcijas. </w:t>
      </w:r>
    </w:p>
    <w:p w:rsidR="00BA0D76" w:rsidRPr="00D74B92" w:rsidRDefault="00301420" w:rsidP="00301420">
      <w:pPr>
        <w:pStyle w:val="ListParagraph"/>
        <w:numPr>
          <w:ilvl w:val="0"/>
          <w:numId w:val="1"/>
        </w:numPr>
        <w:jc w:val="both"/>
        <w:rPr>
          <w:rFonts w:cs="Times New Roman"/>
          <w:sz w:val="28"/>
          <w:szCs w:val="28"/>
        </w:rPr>
      </w:pPr>
      <w:r w:rsidRPr="00301420">
        <w:rPr>
          <w:rFonts w:cs="Times New Roman"/>
          <w:sz w:val="28"/>
          <w:szCs w:val="28"/>
        </w:rPr>
        <w:t>akciju sabiedrības</w:t>
      </w:r>
      <w:r w:rsidR="00BA0D76" w:rsidRPr="00D74B92">
        <w:rPr>
          <w:rFonts w:cs="Times New Roman"/>
          <w:sz w:val="28"/>
          <w:szCs w:val="28"/>
        </w:rPr>
        <w:t xml:space="preserve"> „Citadele banka” un </w:t>
      </w:r>
      <w:r w:rsidRPr="00301420">
        <w:rPr>
          <w:rFonts w:cs="Times New Roman"/>
          <w:sz w:val="28"/>
          <w:szCs w:val="28"/>
        </w:rPr>
        <w:t>akciju sabiedrības</w:t>
      </w:r>
      <w:r w:rsidR="00BA0D76" w:rsidRPr="00D74B92">
        <w:rPr>
          <w:rFonts w:cs="Times New Roman"/>
          <w:sz w:val="28"/>
          <w:szCs w:val="28"/>
        </w:rPr>
        <w:t xml:space="preserve"> „</w:t>
      </w:r>
      <w:proofErr w:type="spellStart"/>
      <w:r w:rsidR="00BA0D76" w:rsidRPr="00D74B92">
        <w:rPr>
          <w:rFonts w:cs="Times New Roman"/>
          <w:sz w:val="28"/>
          <w:szCs w:val="28"/>
        </w:rPr>
        <w:t>Reverta</w:t>
      </w:r>
      <w:proofErr w:type="spellEnd"/>
      <w:r w:rsidR="00BA0D76" w:rsidRPr="00D74B92">
        <w:rPr>
          <w:rFonts w:cs="Times New Roman"/>
          <w:sz w:val="28"/>
          <w:szCs w:val="28"/>
        </w:rPr>
        <w:t>”</w:t>
      </w:r>
      <w:r w:rsidR="00BA0D76">
        <w:rPr>
          <w:rFonts w:cs="Times New Roman"/>
          <w:sz w:val="28"/>
          <w:szCs w:val="28"/>
        </w:rPr>
        <w:t xml:space="preserve"> akcijas tiek saglabātas Aģentūras īpašumā. Aģentūrai ir vairāk kā 15 gadu pieredze valsts aktīvu pārvaldīšanā un atsavināšanā (privatizācijā), </w:t>
      </w:r>
      <w:r w:rsidR="007F1108">
        <w:rPr>
          <w:rFonts w:cs="Times New Roman"/>
          <w:sz w:val="28"/>
          <w:szCs w:val="28"/>
        </w:rPr>
        <w:t xml:space="preserve">kā arī korporatīvajā pārvaldībā. </w:t>
      </w:r>
      <w:r w:rsidR="0037331C">
        <w:rPr>
          <w:rFonts w:cs="Times New Roman"/>
          <w:sz w:val="28"/>
          <w:szCs w:val="28"/>
        </w:rPr>
        <w:t>Aģentūrā</w:t>
      </w:r>
      <w:r w:rsidR="00BA0D76">
        <w:rPr>
          <w:rFonts w:cs="Times New Roman"/>
          <w:sz w:val="28"/>
          <w:szCs w:val="28"/>
        </w:rPr>
        <w:t xml:space="preserve"> ir piesaistīti speciālisti saistībā ar valsts aktīvu pārvaldi, kā arī </w:t>
      </w:r>
      <w:r w:rsidRPr="00301420">
        <w:rPr>
          <w:rFonts w:cs="Times New Roman"/>
          <w:sz w:val="28"/>
          <w:szCs w:val="28"/>
        </w:rPr>
        <w:t>akciju sabiedrības</w:t>
      </w:r>
      <w:r w:rsidR="00BA0D76" w:rsidRPr="00D74B92">
        <w:rPr>
          <w:rFonts w:cs="Times New Roman"/>
          <w:sz w:val="28"/>
          <w:szCs w:val="28"/>
        </w:rPr>
        <w:t xml:space="preserve"> „Citadele banka” un </w:t>
      </w:r>
      <w:r w:rsidRPr="00301420">
        <w:rPr>
          <w:rFonts w:cs="Times New Roman"/>
          <w:sz w:val="28"/>
          <w:szCs w:val="28"/>
        </w:rPr>
        <w:t>akciju sabiedrības</w:t>
      </w:r>
      <w:r w:rsidR="00BA0D76" w:rsidRPr="00D74B92">
        <w:rPr>
          <w:rFonts w:cs="Times New Roman"/>
          <w:sz w:val="28"/>
          <w:szCs w:val="28"/>
        </w:rPr>
        <w:t xml:space="preserve"> „</w:t>
      </w:r>
      <w:proofErr w:type="spellStart"/>
      <w:r w:rsidR="00BA0D76" w:rsidRPr="00D74B92">
        <w:rPr>
          <w:rFonts w:cs="Times New Roman"/>
          <w:sz w:val="28"/>
          <w:szCs w:val="28"/>
        </w:rPr>
        <w:t>Reverta</w:t>
      </w:r>
      <w:proofErr w:type="spellEnd"/>
      <w:r w:rsidR="00BA0D76" w:rsidRPr="00D74B92">
        <w:rPr>
          <w:rFonts w:cs="Times New Roman"/>
          <w:sz w:val="28"/>
          <w:szCs w:val="28"/>
        </w:rPr>
        <w:t>”</w:t>
      </w:r>
      <w:r w:rsidR="00BA0D76">
        <w:rPr>
          <w:rFonts w:cs="Times New Roman"/>
          <w:sz w:val="28"/>
          <w:szCs w:val="28"/>
        </w:rPr>
        <w:t xml:space="preserve"> pārvaldi. </w:t>
      </w:r>
      <w:r w:rsidR="0037331C">
        <w:rPr>
          <w:rFonts w:cs="Times New Roman"/>
          <w:sz w:val="28"/>
          <w:szCs w:val="28"/>
        </w:rPr>
        <w:t xml:space="preserve">Aģentūra ir sekmīgi nodrošinājusi valsts atbalsta restrukturizācijas plānā un Ministru kabinetu lēmumos noteiktā izpildi 2009.-2013.gadā. </w:t>
      </w:r>
    </w:p>
    <w:p w:rsidR="00260FE3" w:rsidRDefault="004A6E09" w:rsidP="00260FE3">
      <w:pPr>
        <w:ind w:firstLine="720"/>
        <w:jc w:val="both"/>
        <w:rPr>
          <w:sz w:val="28"/>
          <w:szCs w:val="28"/>
        </w:rPr>
      </w:pPr>
      <w:r w:rsidRPr="00E95D30">
        <w:rPr>
          <w:sz w:val="28"/>
          <w:szCs w:val="28"/>
        </w:rPr>
        <w:t xml:space="preserve">Darbības izbeigšanas otrais etaps turpinātos līdz </w:t>
      </w:r>
      <w:r w:rsidR="007F4D2C" w:rsidRPr="00E95D30">
        <w:rPr>
          <w:sz w:val="28"/>
          <w:szCs w:val="28"/>
        </w:rPr>
        <w:t xml:space="preserve">vismaz </w:t>
      </w:r>
      <w:r w:rsidRPr="00E95D30">
        <w:rPr>
          <w:sz w:val="28"/>
          <w:szCs w:val="28"/>
        </w:rPr>
        <w:t xml:space="preserve">2017.-2018.gadam. </w:t>
      </w:r>
    </w:p>
    <w:p w:rsidR="00BC1572" w:rsidRPr="00E95D30" w:rsidRDefault="00BC1572" w:rsidP="00EB6019">
      <w:pPr>
        <w:ind w:firstLine="720"/>
        <w:jc w:val="both"/>
        <w:rPr>
          <w:b/>
          <w:sz w:val="28"/>
          <w:szCs w:val="28"/>
        </w:rPr>
      </w:pPr>
    </w:p>
    <w:p w:rsidR="00342A37" w:rsidRPr="00E95D30" w:rsidRDefault="00B36DD6" w:rsidP="00EB6019">
      <w:pPr>
        <w:ind w:firstLine="720"/>
        <w:jc w:val="both"/>
        <w:rPr>
          <w:sz w:val="28"/>
          <w:szCs w:val="28"/>
        </w:rPr>
      </w:pPr>
      <w:r w:rsidRPr="00E95D30">
        <w:rPr>
          <w:b/>
          <w:sz w:val="28"/>
          <w:szCs w:val="28"/>
        </w:rPr>
        <w:t xml:space="preserve">Aģentūras darbības </w:t>
      </w:r>
      <w:r w:rsidR="00AA2CC1" w:rsidRPr="00E95D30">
        <w:rPr>
          <w:b/>
          <w:sz w:val="28"/>
          <w:szCs w:val="28"/>
        </w:rPr>
        <w:t xml:space="preserve">izbeigšanas </w:t>
      </w:r>
      <w:r w:rsidR="00EE0241" w:rsidRPr="00E95D30">
        <w:rPr>
          <w:b/>
          <w:sz w:val="28"/>
          <w:szCs w:val="28"/>
        </w:rPr>
        <w:t xml:space="preserve">trešais </w:t>
      </w:r>
      <w:r w:rsidR="00AA2CC1" w:rsidRPr="00E95D30">
        <w:rPr>
          <w:b/>
          <w:sz w:val="28"/>
          <w:szCs w:val="28"/>
        </w:rPr>
        <w:t xml:space="preserve">etaps </w:t>
      </w:r>
      <w:r w:rsidR="004A6E09" w:rsidRPr="00E95D30">
        <w:rPr>
          <w:b/>
          <w:sz w:val="28"/>
          <w:szCs w:val="28"/>
        </w:rPr>
        <w:t>–</w:t>
      </w:r>
      <w:r w:rsidRPr="00E95D30">
        <w:rPr>
          <w:b/>
          <w:sz w:val="28"/>
          <w:szCs w:val="28"/>
        </w:rPr>
        <w:t xml:space="preserve"> </w:t>
      </w:r>
      <w:r w:rsidR="00E23126" w:rsidRPr="00E95D30">
        <w:rPr>
          <w:rFonts w:cs="Times New Roman"/>
          <w:sz w:val="28"/>
          <w:szCs w:val="28"/>
        </w:rPr>
        <w:t>Aģentūras</w:t>
      </w:r>
      <w:r w:rsidR="00566BD0" w:rsidRPr="00E95D30">
        <w:rPr>
          <w:sz w:val="28"/>
          <w:szCs w:val="28"/>
        </w:rPr>
        <w:t xml:space="preserve"> darbības </w:t>
      </w:r>
      <w:r w:rsidR="00AA2CC1" w:rsidRPr="00E95D30">
        <w:rPr>
          <w:sz w:val="28"/>
          <w:szCs w:val="28"/>
        </w:rPr>
        <w:t xml:space="preserve">faktiska </w:t>
      </w:r>
      <w:r w:rsidR="00566BD0" w:rsidRPr="00E95D30">
        <w:rPr>
          <w:sz w:val="28"/>
          <w:szCs w:val="28"/>
        </w:rPr>
        <w:t>izbeigšana</w:t>
      </w:r>
      <w:r w:rsidR="004A6E09" w:rsidRPr="00E95D30">
        <w:rPr>
          <w:sz w:val="28"/>
          <w:szCs w:val="28"/>
        </w:rPr>
        <w:t>, kas prognozējama</w:t>
      </w:r>
      <w:r w:rsidRPr="00E95D30">
        <w:rPr>
          <w:sz w:val="28"/>
          <w:szCs w:val="28"/>
        </w:rPr>
        <w:t xml:space="preserve"> ne ātrāk kā</w:t>
      </w:r>
      <w:r w:rsidR="004A6E09" w:rsidRPr="00E95D30">
        <w:rPr>
          <w:sz w:val="28"/>
          <w:szCs w:val="28"/>
        </w:rPr>
        <w:t xml:space="preserve"> 2017.-2018.gadā. </w:t>
      </w:r>
    </w:p>
    <w:p w:rsidR="00BC1572" w:rsidRPr="00E95D30" w:rsidRDefault="00E23126" w:rsidP="004A6E09">
      <w:pPr>
        <w:ind w:firstLine="720"/>
        <w:jc w:val="both"/>
        <w:rPr>
          <w:sz w:val="28"/>
          <w:szCs w:val="28"/>
        </w:rPr>
      </w:pPr>
      <w:r w:rsidRPr="00E95D30">
        <w:rPr>
          <w:rFonts w:cs="Times New Roman"/>
          <w:sz w:val="28"/>
          <w:szCs w:val="28"/>
        </w:rPr>
        <w:t>Aģentūras</w:t>
      </w:r>
      <w:r w:rsidR="00AA2CC1" w:rsidRPr="00E95D30">
        <w:rPr>
          <w:sz w:val="28"/>
          <w:szCs w:val="28"/>
        </w:rPr>
        <w:t xml:space="preserve"> </w:t>
      </w:r>
      <w:r w:rsidR="00342A37" w:rsidRPr="00E95D30">
        <w:rPr>
          <w:sz w:val="28"/>
          <w:szCs w:val="28"/>
        </w:rPr>
        <w:t>d</w:t>
      </w:r>
      <w:r w:rsidR="00AA2CC1" w:rsidRPr="00E95D30">
        <w:rPr>
          <w:sz w:val="28"/>
          <w:szCs w:val="28"/>
        </w:rPr>
        <w:t>arbības</w:t>
      </w:r>
      <w:r w:rsidR="00342A37" w:rsidRPr="00E95D30">
        <w:rPr>
          <w:sz w:val="28"/>
          <w:szCs w:val="28"/>
        </w:rPr>
        <w:t xml:space="preserve"> faktiskai izbeigšanai </w:t>
      </w:r>
      <w:r w:rsidR="00793350" w:rsidRPr="00E95D30">
        <w:rPr>
          <w:sz w:val="28"/>
          <w:szCs w:val="28"/>
        </w:rPr>
        <w:t xml:space="preserve">teorētiski </w:t>
      </w:r>
      <w:r w:rsidR="00566BD0" w:rsidRPr="00E95D30">
        <w:rPr>
          <w:sz w:val="28"/>
          <w:szCs w:val="28"/>
        </w:rPr>
        <w:t xml:space="preserve">ir iespējami vairāki varianti – reorganizācija, likvidācija un pārveidošana par publisko </w:t>
      </w:r>
      <w:r w:rsidR="00566BD0" w:rsidRPr="00E95D30">
        <w:rPr>
          <w:sz w:val="28"/>
          <w:szCs w:val="28"/>
        </w:rPr>
        <w:lastRenderedPageBreak/>
        <w:t>aģentūru</w:t>
      </w:r>
      <w:r w:rsidR="00793350" w:rsidRPr="00E95D30">
        <w:rPr>
          <w:sz w:val="28"/>
          <w:szCs w:val="28"/>
        </w:rPr>
        <w:t xml:space="preserve"> (</w:t>
      </w:r>
      <w:r w:rsidR="00286278" w:rsidRPr="00E95D30">
        <w:rPr>
          <w:sz w:val="28"/>
          <w:szCs w:val="28"/>
        </w:rPr>
        <w:t>valsts kapitāla daļu pārvaldības reformas kontekstā)</w:t>
      </w:r>
      <w:r w:rsidR="00566BD0" w:rsidRPr="00E95D30">
        <w:rPr>
          <w:sz w:val="28"/>
          <w:szCs w:val="28"/>
        </w:rPr>
        <w:t>.</w:t>
      </w:r>
      <w:r w:rsidR="004A6E09" w:rsidRPr="00E95D30">
        <w:rPr>
          <w:sz w:val="28"/>
          <w:szCs w:val="28"/>
        </w:rPr>
        <w:t xml:space="preserve"> Ņemot vērā, ka, </w:t>
      </w:r>
      <w:r w:rsidR="00925BE5" w:rsidRPr="00E95D30">
        <w:rPr>
          <w:sz w:val="28"/>
          <w:szCs w:val="28"/>
        </w:rPr>
        <w:t xml:space="preserve">īstenojot </w:t>
      </w:r>
      <w:r w:rsidR="00485256" w:rsidRPr="00E95D30">
        <w:rPr>
          <w:sz w:val="28"/>
          <w:szCs w:val="28"/>
        </w:rPr>
        <w:t>Aģentūras</w:t>
      </w:r>
      <w:r w:rsidR="004A6E09" w:rsidRPr="00E95D30">
        <w:rPr>
          <w:sz w:val="28"/>
          <w:szCs w:val="28"/>
        </w:rPr>
        <w:t xml:space="preserve"> </w:t>
      </w:r>
      <w:r w:rsidR="00925BE5" w:rsidRPr="00E95D30">
        <w:rPr>
          <w:sz w:val="28"/>
          <w:szCs w:val="28"/>
        </w:rPr>
        <w:t>da</w:t>
      </w:r>
      <w:r w:rsidR="004A6E09" w:rsidRPr="00E95D30">
        <w:rPr>
          <w:sz w:val="28"/>
          <w:szCs w:val="28"/>
        </w:rPr>
        <w:t xml:space="preserve">rbības izbeigšanas pirmo etapu </w:t>
      </w:r>
      <w:r w:rsidR="00925BE5" w:rsidRPr="00E95D30">
        <w:rPr>
          <w:sz w:val="28"/>
          <w:szCs w:val="28"/>
        </w:rPr>
        <w:t xml:space="preserve">liela daļa no </w:t>
      </w:r>
      <w:r w:rsidRPr="00E95D30">
        <w:rPr>
          <w:rFonts w:cs="Times New Roman"/>
          <w:sz w:val="28"/>
          <w:szCs w:val="28"/>
        </w:rPr>
        <w:t>Aģentūras</w:t>
      </w:r>
      <w:r w:rsidR="00925BE5" w:rsidRPr="00E95D30">
        <w:rPr>
          <w:sz w:val="28"/>
          <w:szCs w:val="28"/>
        </w:rPr>
        <w:t xml:space="preserve"> funkcijām jau būs nodotas citām institūcijām, pārveidošana par publisku aģentūru valsts kapitāla daļu pārvaldības re</w:t>
      </w:r>
      <w:r w:rsidR="004A6E09" w:rsidRPr="00E95D30">
        <w:rPr>
          <w:sz w:val="28"/>
          <w:szCs w:val="28"/>
        </w:rPr>
        <w:t xml:space="preserve">formas kontekstā nebūs aktuāla. Vienlaikus arī </w:t>
      </w:r>
      <w:r w:rsidRPr="00E95D30">
        <w:rPr>
          <w:rFonts w:cs="Times New Roman"/>
          <w:sz w:val="28"/>
          <w:szCs w:val="28"/>
        </w:rPr>
        <w:t>Aģentūras</w:t>
      </w:r>
      <w:r w:rsidR="004A6E09" w:rsidRPr="00E95D30">
        <w:rPr>
          <w:sz w:val="28"/>
          <w:szCs w:val="28"/>
        </w:rPr>
        <w:t xml:space="preserve"> reorganizācija </w:t>
      </w:r>
      <w:r w:rsidR="00925BE5" w:rsidRPr="00E95D30">
        <w:rPr>
          <w:sz w:val="28"/>
          <w:szCs w:val="28"/>
        </w:rPr>
        <w:t xml:space="preserve"> </w:t>
      </w:r>
      <w:r w:rsidR="004A6E09" w:rsidRPr="00E95D30">
        <w:rPr>
          <w:sz w:val="28"/>
          <w:szCs w:val="28"/>
        </w:rPr>
        <w:t>(</w:t>
      </w:r>
      <w:r w:rsidR="00925BE5" w:rsidRPr="00E95D30">
        <w:rPr>
          <w:rFonts w:cs="Times New Roman"/>
          <w:sz w:val="28"/>
          <w:szCs w:val="28"/>
        </w:rPr>
        <w:t>kapitālsabiedrību apvienošana</w:t>
      </w:r>
      <w:r w:rsidR="004A6E09" w:rsidRPr="00E95D30">
        <w:rPr>
          <w:rFonts w:cs="Times New Roman"/>
          <w:sz w:val="28"/>
          <w:szCs w:val="28"/>
        </w:rPr>
        <w:t>)</w:t>
      </w:r>
      <w:r w:rsidR="00925BE5" w:rsidRPr="00E95D30">
        <w:rPr>
          <w:rFonts w:cs="Times New Roman"/>
          <w:sz w:val="28"/>
          <w:szCs w:val="28"/>
        </w:rPr>
        <w:t xml:space="preserve"> nebūs aktuāls scenārijs, ja </w:t>
      </w:r>
      <w:r w:rsidR="00301420" w:rsidRPr="00301420">
        <w:rPr>
          <w:sz w:val="28"/>
          <w:szCs w:val="28"/>
        </w:rPr>
        <w:t>akciju sabiedrības</w:t>
      </w:r>
      <w:r w:rsidR="00925BE5" w:rsidRPr="00E95D30">
        <w:rPr>
          <w:sz w:val="28"/>
          <w:szCs w:val="28"/>
        </w:rPr>
        <w:t xml:space="preserve"> „Citadele</w:t>
      </w:r>
      <w:r w:rsidR="006C0A53" w:rsidRPr="00E95D30">
        <w:rPr>
          <w:sz w:val="28"/>
          <w:szCs w:val="28"/>
        </w:rPr>
        <w:t xml:space="preserve"> banka</w:t>
      </w:r>
      <w:r w:rsidR="00925BE5" w:rsidRPr="00E95D30">
        <w:rPr>
          <w:sz w:val="28"/>
          <w:szCs w:val="28"/>
        </w:rPr>
        <w:t xml:space="preserve">” un </w:t>
      </w:r>
      <w:r w:rsidR="00301420" w:rsidRPr="00301420">
        <w:rPr>
          <w:sz w:val="28"/>
          <w:szCs w:val="28"/>
        </w:rPr>
        <w:t>akciju sabiedrības</w:t>
      </w:r>
      <w:r w:rsidR="00925BE5" w:rsidRPr="00E95D30">
        <w:rPr>
          <w:sz w:val="28"/>
          <w:szCs w:val="28"/>
        </w:rPr>
        <w:t xml:space="preserve"> „</w:t>
      </w:r>
      <w:proofErr w:type="spellStart"/>
      <w:r w:rsidR="00925BE5" w:rsidRPr="00E95D30">
        <w:rPr>
          <w:sz w:val="28"/>
          <w:szCs w:val="28"/>
        </w:rPr>
        <w:t>Reverta</w:t>
      </w:r>
      <w:proofErr w:type="spellEnd"/>
      <w:r w:rsidR="00925BE5" w:rsidRPr="00E95D30">
        <w:rPr>
          <w:sz w:val="28"/>
          <w:szCs w:val="28"/>
        </w:rPr>
        <w:t xml:space="preserve">” </w:t>
      </w:r>
      <w:r w:rsidR="006E0C5A" w:rsidRPr="00E95D30">
        <w:rPr>
          <w:sz w:val="28"/>
          <w:szCs w:val="28"/>
        </w:rPr>
        <w:t xml:space="preserve">akcijas </w:t>
      </w:r>
      <w:r w:rsidR="00925BE5" w:rsidRPr="00E95D30">
        <w:rPr>
          <w:sz w:val="28"/>
          <w:szCs w:val="28"/>
        </w:rPr>
        <w:t>būs pārdotas</w:t>
      </w:r>
      <w:r w:rsidR="004A64FF">
        <w:rPr>
          <w:sz w:val="28"/>
          <w:szCs w:val="28"/>
        </w:rPr>
        <w:t xml:space="preserve"> un būs īstenoti </w:t>
      </w:r>
      <w:proofErr w:type="spellStart"/>
      <w:r w:rsidR="004A64FF">
        <w:rPr>
          <w:sz w:val="28"/>
          <w:szCs w:val="28"/>
        </w:rPr>
        <w:t>HipoNIA</w:t>
      </w:r>
      <w:proofErr w:type="spellEnd"/>
      <w:r w:rsidR="004A64FF">
        <w:rPr>
          <w:sz w:val="28"/>
          <w:szCs w:val="28"/>
        </w:rPr>
        <w:t xml:space="preserve"> </w:t>
      </w:r>
      <w:r w:rsidR="00A85455">
        <w:rPr>
          <w:sz w:val="28"/>
          <w:szCs w:val="28"/>
        </w:rPr>
        <w:t xml:space="preserve">pārvaldīšanas </w:t>
      </w:r>
      <w:r w:rsidR="004A64FF">
        <w:rPr>
          <w:sz w:val="28"/>
          <w:szCs w:val="28"/>
        </w:rPr>
        <w:t>uzdevumi</w:t>
      </w:r>
      <w:r w:rsidR="006E0C5A" w:rsidRPr="00E95D30">
        <w:rPr>
          <w:sz w:val="28"/>
          <w:szCs w:val="28"/>
        </w:rPr>
        <w:t xml:space="preserve">. </w:t>
      </w:r>
      <w:r w:rsidR="00925BE5" w:rsidRPr="00E95D30">
        <w:rPr>
          <w:sz w:val="28"/>
          <w:szCs w:val="28"/>
        </w:rPr>
        <w:t xml:space="preserve"> </w:t>
      </w:r>
    </w:p>
    <w:p w:rsidR="006E0C5A" w:rsidRPr="00E95D30" w:rsidRDefault="00925BE5" w:rsidP="006E0C5A">
      <w:pPr>
        <w:ind w:firstLine="720"/>
        <w:jc w:val="both"/>
        <w:rPr>
          <w:sz w:val="28"/>
          <w:szCs w:val="28"/>
        </w:rPr>
      </w:pPr>
      <w:r w:rsidRPr="00E95D30">
        <w:rPr>
          <w:rFonts w:cs="Times New Roman"/>
          <w:b/>
          <w:sz w:val="28"/>
          <w:szCs w:val="28"/>
        </w:rPr>
        <w:t>Līdz ar to kā</w:t>
      </w:r>
      <w:r w:rsidRPr="00E95D30">
        <w:rPr>
          <w:rFonts w:cs="Times New Roman"/>
          <w:sz w:val="28"/>
          <w:szCs w:val="28"/>
        </w:rPr>
        <w:t xml:space="preserve"> </w:t>
      </w:r>
      <w:r w:rsidRPr="00E95D30">
        <w:rPr>
          <w:rFonts w:cs="Times New Roman"/>
          <w:b/>
          <w:sz w:val="28"/>
          <w:szCs w:val="28"/>
        </w:rPr>
        <w:t xml:space="preserve">optimāls variants, īstenojot </w:t>
      </w:r>
      <w:r w:rsidR="00E23126" w:rsidRPr="00E95D30">
        <w:rPr>
          <w:rFonts w:cs="Times New Roman"/>
          <w:b/>
          <w:sz w:val="28"/>
          <w:szCs w:val="28"/>
        </w:rPr>
        <w:t>Aģentūras</w:t>
      </w:r>
      <w:r w:rsidRPr="00E95D30">
        <w:rPr>
          <w:rFonts w:cs="Times New Roman"/>
          <w:b/>
          <w:sz w:val="28"/>
          <w:szCs w:val="28"/>
        </w:rPr>
        <w:t xml:space="preserve"> darbības izbeigšanas stratēģij</w:t>
      </w:r>
      <w:r w:rsidR="006E0C5A" w:rsidRPr="00E95D30">
        <w:rPr>
          <w:rFonts w:cs="Times New Roman"/>
          <w:b/>
          <w:sz w:val="28"/>
          <w:szCs w:val="28"/>
        </w:rPr>
        <w:t xml:space="preserve">as </w:t>
      </w:r>
      <w:r w:rsidR="00EE0241" w:rsidRPr="00E95D30">
        <w:rPr>
          <w:rFonts w:cs="Times New Roman"/>
          <w:b/>
          <w:sz w:val="28"/>
          <w:szCs w:val="28"/>
        </w:rPr>
        <w:t xml:space="preserve">trešo </w:t>
      </w:r>
      <w:r w:rsidR="006E0C5A" w:rsidRPr="00E95D30">
        <w:rPr>
          <w:rFonts w:cs="Times New Roman"/>
          <w:b/>
          <w:sz w:val="28"/>
          <w:szCs w:val="28"/>
        </w:rPr>
        <w:t>etapu</w:t>
      </w:r>
      <w:r w:rsidRPr="00E95D30">
        <w:rPr>
          <w:rFonts w:cs="Times New Roman"/>
          <w:b/>
          <w:sz w:val="28"/>
          <w:szCs w:val="28"/>
        </w:rPr>
        <w:t xml:space="preserve">, ir </w:t>
      </w:r>
      <w:r w:rsidR="00E23126" w:rsidRPr="00E95D30">
        <w:rPr>
          <w:rFonts w:cs="Times New Roman"/>
          <w:b/>
          <w:sz w:val="28"/>
          <w:szCs w:val="28"/>
        </w:rPr>
        <w:t>Aģentūras</w:t>
      </w:r>
      <w:r w:rsidR="0058599F" w:rsidRPr="00E95D30">
        <w:rPr>
          <w:rFonts w:cs="Times New Roman"/>
          <w:b/>
          <w:sz w:val="28"/>
          <w:szCs w:val="28"/>
        </w:rPr>
        <w:t xml:space="preserve"> </w:t>
      </w:r>
      <w:r w:rsidRPr="00E95D30">
        <w:rPr>
          <w:rFonts w:cs="Times New Roman"/>
          <w:b/>
          <w:sz w:val="28"/>
          <w:szCs w:val="28"/>
        </w:rPr>
        <w:t>likvidācija.</w:t>
      </w:r>
      <w:r w:rsidRPr="00E95D30">
        <w:rPr>
          <w:rFonts w:cs="Times New Roman"/>
          <w:sz w:val="28"/>
          <w:szCs w:val="28"/>
        </w:rPr>
        <w:t xml:space="preserve"> </w:t>
      </w:r>
      <w:r w:rsidR="00EB6019" w:rsidRPr="00E95D30">
        <w:rPr>
          <w:rFonts w:cs="Times New Roman"/>
          <w:sz w:val="28"/>
          <w:szCs w:val="28"/>
        </w:rPr>
        <w:t>Saskaņā ar likuma „Par valsts un pašvaldību kapitāla daļām</w:t>
      </w:r>
      <w:r w:rsidR="0036265E" w:rsidRPr="00E95D30">
        <w:rPr>
          <w:rFonts w:cs="Times New Roman"/>
          <w:sz w:val="28"/>
          <w:szCs w:val="28"/>
        </w:rPr>
        <w:t xml:space="preserve"> un kapitālsabiedrībām” 99.pantā noteikto </w:t>
      </w:r>
      <w:r w:rsidR="00EB6019" w:rsidRPr="00E95D30">
        <w:rPr>
          <w:rFonts w:cs="Times New Roman"/>
          <w:sz w:val="28"/>
          <w:szCs w:val="28"/>
        </w:rPr>
        <w:t xml:space="preserve"> </w:t>
      </w:r>
      <w:r w:rsidRPr="00E95D30">
        <w:rPr>
          <w:sz w:val="28"/>
          <w:szCs w:val="28"/>
        </w:rPr>
        <w:t xml:space="preserve">kapitālsabiedrības darbība izbeidzas, sasniedzot statūtos noteiktos mērķus (ja kapitālsabiedrība dibināta noteiktu mērķu sasniegšanai). </w:t>
      </w:r>
      <w:r w:rsidR="006E0C5A" w:rsidRPr="00E95D30">
        <w:rPr>
          <w:sz w:val="28"/>
          <w:szCs w:val="28"/>
        </w:rPr>
        <w:t xml:space="preserve">Ņemot vērā, ka darbības izbeigšanas otrajā etapā tiks mainīti </w:t>
      </w:r>
      <w:r w:rsidR="00E23126" w:rsidRPr="00E95D30">
        <w:rPr>
          <w:rFonts w:cs="Times New Roman"/>
          <w:sz w:val="28"/>
          <w:szCs w:val="28"/>
        </w:rPr>
        <w:t>Aģentūras</w:t>
      </w:r>
      <w:r w:rsidR="006E0C5A" w:rsidRPr="00E95D30">
        <w:rPr>
          <w:sz w:val="28"/>
          <w:szCs w:val="28"/>
        </w:rPr>
        <w:t xml:space="preserve"> mērķi attiecībā uz </w:t>
      </w:r>
      <w:r w:rsidR="00301420" w:rsidRPr="00301420">
        <w:rPr>
          <w:sz w:val="28"/>
          <w:szCs w:val="28"/>
        </w:rPr>
        <w:t>akciju sabiedrības</w:t>
      </w:r>
      <w:r w:rsidR="006E0C5A" w:rsidRPr="00E95D30">
        <w:rPr>
          <w:sz w:val="28"/>
          <w:szCs w:val="28"/>
        </w:rPr>
        <w:t xml:space="preserve"> „Citadele</w:t>
      </w:r>
      <w:r w:rsidR="006C0A53" w:rsidRPr="00E95D30">
        <w:rPr>
          <w:sz w:val="28"/>
          <w:szCs w:val="28"/>
        </w:rPr>
        <w:t xml:space="preserve"> banka</w:t>
      </w:r>
      <w:r w:rsidR="006E0C5A" w:rsidRPr="00E95D30">
        <w:rPr>
          <w:sz w:val="28"/>
          <w:szCs w:val="28"/>
        </w:rPr>
        <w:t>”</w:t>
      </w:r>
      <w:r w:rsidR="00D226F2" w:rsidRPr="00E95D30">
        <w:rPr>
          <w:sz w:val="28"/>
          <w:szCs w:val="28"/>
        </w:rPr>
        <w:t xml:space="preserve"> (ja akcijas vēl nebūs pārdotas)</w:t>
      </w:r>
      <w:r w:rsidR="006E0C5A" w:rsidRPr="00E95D30">
        <w:rPr>
          <w:sz w:val="28"/>
          <w:szCs w:val="28"/>
        </w:rPr>
        <w:t xml:space="preserve"> un </w:t>
      </w:r>
      <w:r w:rsidR="00301420" w:rsidRPr="00301420">
        <w:rPr>
          <w:sz w:val="28"/>
          <w:szCs w:val="28"/>
        </w:rPr>
        <w:t>akciju sabiedrības</w:t>
      </w:r>
      <w:r w:rsidR="006E0C5A" w:rsidRPr="00E95D30">
        <w:rPr>
          <w:sz w:val="28"/>
          <w:szCs w:val="28"/>
        </w:rPr>
        <w:t xml:space="preserve"> „</w:t>
      </w:r>
      <w:proofErr w:type="spellStart"/>
      <w:r w:rsidR="006E0C5A" w:rsidRPr="00E95D30">
        <w:rPr>
          <w:sz w:val="28"/>
          <w:szCs w:val="28"/>
        </w:rPr>
        <w:t>Reverta</w:t>
      </w:r>
      <w:proofErr w:type="spellEnd"/>
      <w:r w:rsidR="006E0C5A" w:rsidRPr="00E95D30">
        <w:rPr>
          <w:sz w:val="28"/>
          <w:szCs w:val="28"/>
        </w:rPr>
        <w:t xml:space="preserve">” pārvaldību un pārdošanu, </w:t>
      </w:r>
      <w:r w:rsidR="004A64FF">
        <w:rPr>
          <w:sz w:val="28"/>
          <w:szCs w:val="28"/>
        </w:rPr>
        <w:t xml:space="preserve">kā arī HipoNIA pārvaldību, </w:t>
      </w:r>
      <w:r w:rsidR="006E0C5A" w:rsidRPr="00E95D30">
        <w:rPr>
          <w:sz w:val="28"/>
          <w:szCs w:val="28"/>
        </w:rPr>
        <w:t xml:space="preserve">kad šie mērķi tiks sasniegti, būs iespējams likvidēt </w:t>
      </w:r>
      <w:r w:rsidR="004A64FF">
        <w:rPr>
          <w:sz w:val="28"/>
          <w:szCs w:val="28"/>
        </w:rPr>
        <w:t>Aģentūru</w:t>
      </w:r>
      <w:r w:rsidR="006E0C5A" w:rsidRPr="00E95D30">
        <w:rPr>
          <w:sz w:val="28"/>
          <w:szCs w:val="28"/>
        </w:rPr>
        <w:t xml:space="preserve">. Likvidācijas </w:t>
      </w:r>
      <w:r w:rsidR="0036265E" w:rsidRPr="00E95D30">
        <w:rPr>
          <w:sz w:val="28"/>
          <w:szCs w:val="28"/>
        </w:rPr>
        <w:t>kārtību</w:t>
      </w:r>
      <w:r w:rsidR="006E0C5A" w:rsidRPr="00E95D30">
        <w:rPr>
          <w:sz w:val="28"/>
          <w:szCs w:val="28"/>
        </w:rPr>
        <w:t xml:space="preserve"> nosaka </w:t>
      </w:r>
      <w:bookmarkStart w:id="18" w:name="23466"/>
      <w:r w:rsidR="006E0C5A" w:rsidRPr="00E95D30">
        <w:rPr>
          <w:rFonts w:cs="Times New Roman"/>
          <w:sz w:val="28"/>
          <w:szCs w:val="28"/>
        </w:rPr>
        <w:t xml:space="preserve">likuma „Par valsts un pašvaldību kapitāla daļām un kapitālsabiedrībām” </w:t>
      </w:r>
      <w:r w:rsidR="006E0C5A" w:rsidRPr="00E95D30">
        <w:rPr>
          <w:sz w:val="28"/>
          <w:szCs w:val="28"/>
        </w:rPr>
        <w:t>F sadaļa</w:t>
      </w:r>
      <w:r w:rsidR="00D226F2" w:rsidRPr="00E95D30">
        <w:rPr>
          <w:sz w:val="28"/>
          <w:szCs w:val="28"/>
        </w:rPr>
        <w:t xml:space="preserve"> </w:t>
      </w:r>
      <w:r w:rsidR="006E0C5A" w:rsidRPr="00E95D30">
        <w:rPr>
          <w:sz w:val="28"/>
          <w:szCs w:val="28"/>
        </w:rPr>
        <w:t>„Valsts vai pašvaldības kapitālsabiedrības darbības izbeigšana un likvidācija</w:t>
      </w:r>
      <w:bookmarkEnd w:id="18"/>
      <w:r w:rsidR="006E0C5A" w:rsidRPr="00E95D30">
        <w:rPr>
          <w:sz w:val="28"/>
          <w:szCs w:val="28"/>
        </w:rPr>
        <w:t xml:space="preserve">”. </w:t>
      </w:r>
    </w:p>
    <w:p w:rsidR="00887C43" w:rsidRPr="00E95D30" w:rsidRDefault="00887C43" w:rsidP="00887C43">
      <w:pPr>
        <w:ind w:firstLine="720"/>
        <w:jc w:val="both"/>
        <w:rPr>
          <w:sz w:val="28"/>
          <w:szCs w:val="28"/>
        </w:rPr>
      </w:pPr>
      <w:r w:rsidRPr="00E95D30">
        <w:rPr>
          <w:sz w:val="28"/>
          <w:szCs w:val="28"/>
        </w:rPr>
        <w:t>201</w:t>
      </w:r>
      <w:r w:rsidR="00125D22" w:rsidRPr="00E95D30">
        <w:rPr>
          <w:sz w:val="28"/>
          <w:szCs w:val="28"/>
        </w:rPr>
        <w:t>7</w:t>
      </w:r>
      <w:r w:rsidR="001B0691" w:rsidRPr="00E95D30">
        <w:rPr>
          <w:sz w:val="28"/>
          <w:szCs w:val="28"/>
        </w:rPr>
        <w:t>.</w:t>
      </w:r>
      <w:r w:rsidRPr="00E95D30">
        <w:rPr>
          <w:sz w:val="28"/>
          <w:szCs w:val="28"/>
        </w:rPr>
        <w:t>gadā</w:t>
      </w:r>
      <w:r w:rsidR="00125D22" w:rsidRPr="00E95D30">
        <w:rPr>
          <w:sz w:val="28"/>
          <w:szCs w:val="28"/>
        </w:rPr>
        <w:t xml:space="preserve"> </w:t>
      </w:r>
      <w:r w:rsidRPr="00E95D30">
        <w:rPr>
          <w:sz w:val="28"/>
          <w:szCs w:val="28"/>
        </w:rPr>
        <w:t xml:space="preserve">izstrādājams detalizēts </w:t>
      </w:r>
      <w:r w:rsidR="006E0C5A" w:rsidRPr="00E95D30">
        <w:rPr>
          <w:sz w:val="28"/>
          <w:szCs w:val="28"/>
        </w:rPr>
        <w:t>plāns</w:t>
      </w:r>
      <w:r w:rsidRPr="00E95D30">
        <w:rPr>
          <w:sz w:val="28"/>
          <w:szCs w:val="28"/>
        </w:rPr>
        <w:t xml:space="preserve"> </w:t>
      </w:r>
      <w:r w:rsidR="00E23126" w:rsidRPr="00E95D30">
        <w:rPr>
          <w:rFonts w:cs="Times New Roman"/>
          <w:sz w:val="28"/>
          <w:szCs w:val="28"/>
        </w:rPr>
        <w:t>Aģentūras</w:t>
      </w:r>
      <w:r w:rsidR="006E0C5A" w:rsidRPr="00E95D30">
        <w:rPr>
          <w:sz w:val="28"/>
          <w:szCs w:val="28"/>
        </w:rPr>
        <w:t xml:space="preserve"> likvidācijai</w:t>
      </w:r>
      <w:r w:rsidRPr="00E95D30">
        <w:rPr>
          <w:sz w:val="28"/>
          <w:szCs w:val="28"/>
        </w:rPr>
        <w:t>, ņemot vērā finanšu un juridiskos riskus</w:t>
      </w:r>
      <w:r w:rsidR="00F074AB" w:rsidRPr="00E95D30">
        <w:rPr>
          <w:sz w:val="28"/>
          <w:szCs w:val="28"/>
        </w:rPr>
        <w:t xml:space="preserve">, kā arī </w:t>
      </w:r>
      <w:r w:rsidR="006E0C5A" w:rsidRPr="00E95D30">
        <w:rPr>
          <w:sz w:val="28"/>
          <w:szCs w:val="28"/>
        </w:rPr>
        <w:t xml:space="preserve">aktuālo situāciju attiecībā uz </w:t>
      </w:r>
      <w:r w:rsidR="00301420">
        <w:rPr>
          <w:sz w:val="28"/>
          <w:szCs w:val="28"/>
        </w:rPr>
        <w:t>akciju sabiedrību</w:t>
      </w:r>
      <w:r w:rsidR="009A719A" w:rsidRPr="00E95D30">
        <w:rPr>
          <w:sz w:val="28"/>
          <w:szCs w:val="28"/>
        </w:rPr>
        <w:t xml:space="preserve"> „Citadele banka”</w:t>
      </w:r>
      <w:r w:rsidR="006E0C5A" w:rsidRPr="00E95D30">
        <w:rPr>
          <w:sz w:val="28"/>
          <w:szCs w:val="28"/>
        </w:rPr>
        <w:t xml:space="preserve"> (ja akcijas vēl nebūs pārdotas) un </w:t>
      </w:r>
      <w:r w:rsidR="00301420">
        <w:rPr>
          <w:sz w:val="28"/>
          <w:szCs w:val="28"/>
        </w:rPr>
        <w:t>akciju sabiedrību</w:t>
      </w:r>
      <w:r w:rsidR="006E0C5A" w:rsidRPr="00E95D30">
        <w:rPr>
          <w:sz w:val="28"/>
          <w:szCs w:val="28"/>
        </w:rPr>
        <w:t xml:space="preserve"> „</w:t>
      </w:r>
      <w:proofErr w:type="spellStart"/>
      <w:r w:rsidR="006E0C5A" w:rsidRPr="00E95D30">
        <w:rPr>
          <w:sz w:val="28"/>
          <w:szCs w:val="28"/>
        </w:rPr>
        <w:t>Reverta</w:t>
      </w:r>
      <w:proofErr w:type="spellEnd"/>
      <w:r w:rsidR="006E0C5A" w:rsidRPr="00E95D30">
        <w:rPr>
          <w:sz w:val="28"/>
          <w:szCs w:val="28"/>
        </w:rPr>
        <w:t>”,</w:t>
      </w:r>
      <w:r w:rsidR="004A64FF">
        <w:rPr>
          <w:sz w:val="28"/>
          <w:szCs w:val="28"/>
        </w:rPr>
        <w:t xml:space="preserve"> kā arī </w:t>
      </w:r>
      <w:proofErr w:type="spellStart"/>
      <w:r w:rsidR="004A64FF">
        <w:rPr>
          <w:sz w:val="28"/>
          <w:szCs w:val="28"/>
        </w:rPr>
        <w:t>HipoNIA</w:t>
      </w:r>
      <w:proofErr w:type="spellEnd"/>
      <w:r w:rsidR="004A64FF">
        <w:rPr>
          <w:sz w:val="28"/>
          <w:szCs w:val="28"/>
        </w:rPr>
        <w:t>,</w:t>
      </w:r>
      <w:r w:rsidR="006E0C5A" w:rsidRPr="00E95D30">
        <w:rPr>
          <w:sz w:val="28"/>
          <w:szCs w:val="28"/>
        </w:rPr>
        <w:t xml:space="preserve"> tajā skaitā tiesvedību rezultātus</w:t>
      </w:r>
      <w:r w:rsidR="009A719A" w:rsidRPr="00E95D30">
        <w:rPr>
          <w:sz w:val="28"/>
          <w:szCs w:val="28"/>
        </w:rPr>
        <w:t>. Lēmum</w:t>
      </w:r>
      <w:r w:rsidR="0036265E" w:rsidRPr="00E95D30">
        <w:rPr>
          <w:sz w:val="28"/>
          <w:szCs w:val="28"/>
        </w:rPr>
        <w:t>s</w:t>
      </w:r>
      <w:r w:rsidR="009A719A" w:rsidRPr="00E95D30">
        <w:rPr>
          <w:sz w:val="28"/>
          <w:szCs w:val="28"/>
        </w:rPr>
        <w:t xml:space="preserve"> par </w:t>
      </w:r>
      <w:r w:rsidR="00755F84" w:rsidRPr="00E95D30">
        <w:rPr>
          <w:sz w:val="28"/>
          <w:szCs w:val="28"/>
        </w:rPr>
        <w:t>Aģentūras</w:t>
      </w:r>
      <w:r w:rsidR="009A719A" w:rsidRPr="00E95D30">
        <w:rPr>
          <w:sz w:val="28"/>
          <w:szCs w:val="28"/>
        </w:rPr>
        <w:t xml:space="preserve"> darbības izbeigšanu jāpieņem Ministru kabinetam.</w:t>
      </w:r>
    </w:p>
    <w:p w:rsidR="00630817" w:rsidRPr="00E95D30" w:rsidRDefault="00630817" w:rsidP="00962D47">
      <w:pPr>
        <w:jc w:val="right"/>
        <w:rPr>
          <w:sz w:val="28"/>
          <w:szCs w:val="28"/>
        </w:rPr>
      </w:pPr>
    </w:p>
    <w:p w:rsidR="00D32ECF" w:rsidRPr="00E95D30" w:rsidRDefault="00630817" w:rsidP="00962D47">
      <w:pPr>
        <w:jc w:val="right"/>
        <w:rPr>
          <w:sz w:val="28"/>
          <w:szCs w:val="28"/>
        </w:rPr>
      </w:pPr>
      <w:r w:rsidRPr="00E95D30">
        <w:rPr>
          <w:sz w:val="28"/>
          <w:szCs w:val="28"/>
        </w:rPr>
        <w:t>T</w:t>
      </w:r>
      <w:r w:rsidR="00D32ECF" w:rsidRPr="00E95D30">
        <w:rPr>
          <w:sz w:val="28"/>
          <w:szCs w:val="28"/>
        </w:rPr>
        <w:t>abula</w:t>
      </w:r>
      <w:r w:rsidRPr="00E95D30">
        <w:rPr>
          <w:sz w:val="28"/>
          <w:szCs w:val="28"/>
        </w:rPr>
        <w:t xml:space="preserve"> Nr.9</w:t>
      </w:r>
    </w:p>
    <w:p w:rsidR="00D32ECF" w:rsidRPr="00E95D30" w:rsidRDefault="00D32ECF" w:rsidP="00D32ECF">
      <w:pPr>
        <w:ind w:left="360"/>
        <w:jc w:val="center"/>
        <w:rPr>
          <w:b/>
          <w:sz w:val="28"/>
          <w:szCs w:val="28"/>
        </w:rPr>
      </w:pPr>
      <w:r w:rsidRPr="00E95D30">
        <w:rPr>
          <w:b/>
          <w:sz w:val="28"/>
          <w:szCs w:val="28"/>
        </w:rPr>
        <w:t>Provizorisks laika grafiks</w:t>
      </w:r>
    </w:p>
    <w:tbl>
      <w:tblPr>
        <w:tblStyle w:val="TableGrid"/>
        <w:tblW w:w="0" w:type="auto"/>
        <w:tblLook w:val="04A0" w:firstRow="1" w:lastRow="0" w:firstColumn="1" w:lastColumn="0" w:noHBand="0" w:noVBand="1"/>
      </w:tblPr>
      <w:tblGrid>
        <w:gridCol w:w="1951"/>
        <w:gridCol w:w="6571"/>
      </w:tblGrid>
      <w:tr w:rsidR="008368BE" w:rsidRPr="00426EEF" w:rsidTr="008368BE">
        <w:tc>
          <w:tcPr>
            <w:tcW w:w="1951" w:type="dxa"/>
            <w:shd w:val="clear" w:color="auto" w:fill="4F81BD" w:themeFill="accent1"/>
          </w:tcPr>
          <w:p w:rsidR="008368BE" w:rsidRPr="00E95D30" w:rsidRDefault="008368BE" w:rsidP="008368BE">
            <w:pPr>
              <w:rPr>
                <w:b/>
                <w:snapToGrid w:val="0"/>
                <w:color w:val="FFFFFF" w:themeColor="background1"/>
                <w:lang w:eastAsia="en-US"/>
              </w:rPr>
            </w:pPr>
            <w:r w:rsidRPr="00E95D30">
              <w:rPr>
                <w:b/>
                <w:snapToGrid w:val="0"/>
                <w:color w:val="FFFFFF" w:themeColor="background1"/>
                <w:lang w:eastAsia="en-US"/>
              </w:rPr>
              <w:t xml:space="preserve">2013.gads </w:t>
            </w:r>
          </w:p>
        </w:tc>
        <w:tc>
          <w:tcPr>
            <w:tcW w:w="6571" w:type="dxa"/>
            <w:shd w:val="clear" w:color="auto" w:fill="4F81BD" w:themeFill="accent1"/>
          </w:tcPr>
          <w:p w:rsidR="008368BE" w:rsidRPr="00E95D30" w:rsidRDefault="008368BE" w:rsidP="008368BE">
            <w:pPr>
              <w:jc w:val="both"/>
              <w:rPr>
                <w:b/>
              </w:rPr>
            </w:pPr>
          </w:p>
        </w:tc>
      </w:tr>
      <w:tr w:rsidR="008368BE" w:rsidRPr="00426EEF" w:rsidTr="008368BE">
        <w:tc>
          <w:tcPr>
            <w:tcW w:w="1951" w:type="dxa"/>
          </w:tcPr>
          <w:p w:rsidR="008368BE" w:rsidRPr="00E95D30" w:rsidRDefault="008368BE" w:rsidP="008368BE">
            <w:pPr>
              <w:rPr>
                <w:snapToGrid w:val="0"/>
                <w:lang w:eastAsia="en-US"/>
              </w:rPr>
            </w:pPr>
          </w:p>
        </w:tc>
        <w:tc>
          <w:tcPr>
            <w:tcW w:w="6571" w:type="dxa"/>
          </w:tcPr>
          <w:p w:rsidR="008368BE" w:rsidRPr="00E95D30" w:rsidRDefault="00601739" w:rsidP="008368BE">
            <w:pPr>
              <w:ind w:left="360"/>
              <w:jc w:val="both"/>
              <w:rPr>
                <w:snapToGrid w:val="0"/>
                <w:lang w:eastAsia="en-US"/>
              </w:rPr>
            </w:pPr>
            <w:r w:rsidRPr="00E95D30">
              <w:rPr>
                <w:snapToGrid w:val="0"/>
                <w:lang w:eastAsia="en-US"/>
              </w:rPr>
              <w:t>Aģentūras</w:t>
            </w:r>
            <w:r w:rsidR="008368BE" w:rsidRPr="00E95D30">
              <w:rPr>
                <w:snapToGrid w:val="0"/>
                <w:lang w:eastAsia="en-US"/>
              </w:rPr>
              <w:t xml:space="preserve"> portfeļa izstrāde (saskaņā ar 3.tabulu)</w:t>
            </w:r>
          </w:p>
        </w:tc>
      </w:tr>
      <w:tr w:rsidR="008368BE" w:rsidRPr="00426EEF" w:rsidTr="008368BE">
        <w:tc>
          <w:tcPr>
            <w:tcW w:w="1951" w:type="dxa"/>
          </w:tcPr>
          <w:p w:rsidR="008368BE" w:rsidRPr="00E95D30" w:rsidRDefault="008368BE" w:rsidP="008368BE">
            <w:pPr>
              <w:rPr>
                <w:snapToGrid w:val="0"/>
                <w:lang w:eastAsia="en-US"/>
              </w:rPr>
            </w:pPr>
            <w:r w:rsidRPr="00E95D30">
              <w:rPr>
                <w:snapToGrid w:val="0"/>
                <w:lang w:eastAsia="en-US"/>
              </w:rPr>
              <w:t xml:space="preserve">2013.gada </w:t>
            </w:r>
            <w:r w:rsidR="00BA579B" w:rsidRPr="00E95D30">
              <w:rPr>
                <w:snapToGrid w:val="0"/>
                <w:lang w:eastAsia="en-US"/>
              </w:rPr>
              <w:t>II-III</w:t>
            </w:r>
            <w:r w:rsidRPr="00E95D30">
              <w:rPr>
                <w:snapToGrid w:val="0"/>
                <w:lang w:eastAsia="en-US"/>
              </w:rPr>
              <w:t xml:space="preserve"> ceturksnis</w:t>
            </w:r>
          </w:p>
        </w:tc>
        <w:tc>
          <w:tcPr>
            <w:tcW w:w="6571" w:type="dxa"/>
          </w:tcPr>
          <w:p w:rsidR="008368BE" w:rsidRPr="00E95D30" w:rsidRDefault="008368BE" w:rsidP="008368BE">
            <w:pPr>
              <w:numPr>
                <w:ilvl w:val="0"/>
                <w:numId w:val="12"/>
              </w:numPr>
              <w:jc w:val="both"/>
              <w:rPr>
                <w:snapToGrid w:val="0"/>
                <w:lang w:eastAsia="en-US"/>
              </w:rPr>
            </w:pPr>
            <w:r w:rsidRPr="00E95D30">
              <w:rPr>
                <w:snapToGrid w:val="0"/>
                <w:lang w:eastAsia="en-US"/>
              </w:rPr>
              <w:t xml:space="preserve">Ministru kabineta lēmums par </w:t>
            </w:r>
            <w:r w:rsidR="00601739" w:rsidRPr="00E95D30">
              <w:rPr>
                <w:snapToGrid w:val="0"/>
                <w:lang w:eastAsia="en-US"/>
              </w:rPr>
              <w:t>Aģentūras</w:t>
            </w:r>
            <w:r w:rsidRPr="00E95D30">
              <w:rPr>
                <w:snapToGrid w:val="0"/>
                <w:lang w:eastAsia="en-US"/>
              </w:rPr>
              <w:t xml:space="preserve"> darbības izbeigšanas stratēģiju</w:t>
            </w:r>
          </w:p>
          <w:p w:rsidR="00C537D3" w:rsidRPr="00E95D30" w:rsidRDefault="000C6C50" w:rsidP="000C6C50">
            <w:pPr>
              <w:numPr>
                <w:ilvl w:val="0"/>
                <w:numId w:val="12"/>
              </w:numPr>
              <w:jc w:val="both"/>
              <w:rPr>
                <w:b/>
                <w:snapToGrid w:val="0"/>
                <w:lang w:eastAsia="en-US"/>
              </w:rPr>
            </w:pPr>
            <w:r w:rsidRPr="00E95D30">
              <w:rPr>
                <w:snapToGrid w:val="0"/>
                <w:lang w:eastAsia="en-US"/>
              </w:rPr>
              <w:t xml:space="preserve">Likumprojektu </w:t>
            </w:r>
            <w:r w:rsidR="00C537D3" w:rsidRPr="00E95D30">
              <w:rPr>
                <w:snapToGrid w:val="0"/>
                <w:lang w:eastAsia="en-US"/>
              </w:rPr>
              <w:t xml:space="preserve">izstrādāšana </w:t>
            </w:r>
            <w:r w:rsidRPr="00E95D30">
              <w:rPr>
                <w:snapToGrid w:val="0"/>
                <w:lang w:eastAsia="en-US"/>
              </w:rPr>
              <w:t>un iesniegšana izskatīšanai Ministru kabinetā</w:t>
            </w:r>
            <w:r w:rsidR="00C537D3" w:rsidRPr="00E95D30">
              <w:rPr>
                <w:snapToGrid w:val="0"/>
                <w:lang w:eastAsia="en-US"/>
              </w:rPr>
              <w:t xml:space="preserve"> atbilstoši tabulā Nr.10 norādītajam</w:t>
            </w:r>
          </w:p>
        </w:tc>
      </w:tr>
      <w:tr w:rsidR="00E635DF" w:rsidRPr="00426EEF" w:rsidTr="00E635DF">
        <w:tc>
          <w:tcPr>
            <w:tcW w:w="1951" w:type="dxa"/>
            <w:shd w:val="clear" w:color="auto" w:fill="4F81BD" w:themeFill="accent1"/>
          </w:tcPr>
          <w:p w:rsidR="00E635DF" w:rsidRPr="00E95D30" w:rsidRDefault="00E635DF" w:rsidP="00E635DF">
            <w:pPr>
              <w:rPr>
                <w:b/>
                <w:snapToGrid w:val="0"/>
                <w:color w:val="FFFFFF" w:themeColor="background1"/>
                <w:lang w:eastAsia="en-US"/>
              </w:rPr>
            </w:pPr>
            <w:r w:rsidRPr="00E95D30">
              <w:rPr>
                <w:b/>
                <w:snapToGrid w:val="0"/>
                <w:color w:val="FFFFFF" w:themeColor="background1"/>
                <w:lang w:eastAsia="en-US"/>
              </w:rPr>
              <w:t>2014.gads</w:t>
            </w:r>
          </w:p>
        </w:tc>
        <w:tc>
          <w:tcPr>
            <w:tcW w:w="6571" w:type="dxa"/>
            <w:shd w:val="clear" w:color="auto" w:fill="4F81BD" w:themeFill="accent1"/>
          </w:tcPr>
          <w:p w:rsidR="00E635DF" w:rsidRPr="00E95D30" w:rsidRDefault="00E635DF" w:rsidP="00E635DF">
            <w:pPr>
              <w:ind w:left="360"/>
              <w:jc w:val="both"/>
              <w:rPr>
                <w:snapToGrid w:val="0"/>
                <w:color w:val="FFFFFF" w:themeColor="background1"/>
                <w:lang w:eastAsia="en-US"/>
              </w:rPr>
            </w:pPr>
          </w:p>
        </w:tc>
      </w:tr>
      <w:tr w:rsidR="00E635DF" w:rsidRPr="00426EEF" w:rsidTr="008368BE">
        <w:tc>
          <w:tcPr>
            <w:tcW w:w="1951" w:type="dxa"/>
          </w:tcPr>
          <w:p w:rsidR="00E635DF" w:rsidRPr="00E95D30" w:rsidRDefault="00E635DF" w:rsidP="00E635DF">
            <w:pPr>
              <w:rPr>
                <w:snapToGrid w:val="0"/>
                <w:lang w:eastAsia="en-US"/>
              </w:rPr>
            </w:pPr>
          </w:p>
        </w:tc>
        <w:tc>
          <w:tcPr>
            <w:tcW w:w="6571" w:type="dxa"/>
          </w:tcPr>
          <w:p w:rsidR="00E635DF" w:rsidRPr="00E95D30" w:rsidRDefault="00601739" w:rsidP="00E635DF">
            <w:pPr>
              <w:ind w:left="360"/>
              <w:jc w:val="both"/>
              <w:rPr>
                <w:snapToGrid w:val="0"/>
                <w:lang w:eastAsia="en-US"/>
              </w:rPr>
            </w:pPr>
            <w:r w:rsidRPr="00E95D30">
              <w:rPr>
                <w:snapToGrid w:val="0"/>
                <w:lang w:eastAsia="en-US"/>
              </w:rPr>
              <w:t>Aģentūras</w:t>
            </w:r>
            <w:r w:rsidR="00E635DF" w:rsidRPr="00E95D30">
              <w:rPr>
                <w:snapToGrid w:val="0"/>
                <w:lang w:eastAsia="en-US"/>
              </w:rPr>
              <w:t xml:space="preserve"> portfeļa izstrāde (saskaņā ar 3.tabulu)</w:t>
            </w:r>
          </w:p>
        </w:tc>
      </w:tr>
      <w:tr w:rsidR="00701768" w:rsidRPr="00426EEF" w:rsidTr="008368BE">
        <w:tc>
          <w:tcPr>
            <w:tcW w:w="1951" w:type="dxa"/>
          </w:tcPr>
          <w:p w:rsidR="00701768" w:rsidRPr="00E95D30" w:rsidRDefault="00701768" w:rsidP="00E635DF">
            <w:pPr>
              <w:rPr>
                <w:snapToGrid w:val="0"/>
                <w:lang w:eastAsia="en-US"/>
              </w:rPr>
            </w:pPr>
            <w:r w:rsidRPr="00701768">
              <w:rPr>
                <w:snapToGrid w:val="0"/>
                <w:lang w:eastAsia="en-US"/>
              </w:rPr>
              <w:t>2014.gada I pusgads</w:t>
            </w:r>
          </w:p>
        </w:tc>
        <w:tc>
          <w:tcPr>
            <w:tcW w:w="6571" w:type="dxa"/>
          </w:tcPr>
          <w:p w:rsidR="00701768" w:rsidRPr="00701768" w:rsidRDefault="00701768" w:rsidP="00701768">
            <w:pPr>
              <w:numPr>
                <w:ilvl w:val="0"/>
                <w:numId w:val="12"/>
              </w:numPr>
              <w:jc w:val="both"/>
              <w:rPr>
                <w:snapToGrid w:val="0"/>
                <w:lang w:eastAsia="en-US"/>
              </w:rPr>
            </w:pPr>
            <w:r w:rsidRPr="00E95D30">
              <w:rPr>
                <w:snapToGrid w:val="0"/>
                <w:lang w:eastAsia="en-US"/>
              </w:rPr>
              <w:t>Aģentūras īstenoto funkciju saistībā ar privatizācijas sertifikātiem nodošana  Ekonomikas ministrijai</w:t>
            </w:r>
          </w:p>
        </w:tc>
      </w:tr>
      <w:tr w:rsidR="00E635DF" w:rsidRPr="00426EEF" w:rsidTr="008368BE">
        <w:tc>
          <w:tcPr>
            <w:tcW w:w="1951" w:type="dxa"/>
          </w:tcPr>
          <w:p w:rsidR="00E635DF" w:rsidRPr="00E95D30" w:rsidRDefault="00E635DF" w:rsidP="00E635DF">
            <w:pPr>
              <w:rPr>
                <w:snapToGrid w:val="0"/>
                <w:lang w:eastAsia="en-US"/>
              </w:rPr>
            </w:pPr>
          </w:p>
        </w:tc>
        <w:tc>
          <w:tcPr>
            <w:tcW w:w="6571" w:type="dxa"/>
          </w:tcPr>
          <w:p w:rsidR="00151928" w:rsidRDefault="00E635DF" w:rsidP="00E63E4D">
            <w:pPr>
              <w:pStyle w:val="ListParagraph"/>
              <w:numPr>
                <w:ilvl w:val="0"/>
                <w:numId w:val="12"/>
              </w:numPr>
              <w:rPr>
                <w:rFonts w:cstheme="minorBidi"/>
                <w:snapToGrid w:val="0"/>
                <w:lang w:eastAsia="en-US"/>
              </w:rPr>
            </w:pPr>
            <w:r w:rsidRPr="00E95D30">
              <w:rPr>
                <w:snapToGrid w:val="0"/>
                <w:lang w:eastAsia="en-US"/>
              </w:rPr>
              <w:t>Pakāpeniski nodot pārvaldīšanā īpašumā vai valdījumā esošos dzīvokļus un dzīvojamās mājas privātīpašniekiem, pašvaldībām</w:t>
            </w:r>
            <w:r w:rsidR="00A85455">
              <w:rPr>
                <w:snapToGrid w:val="0"/>
                <w:lang w:eastAsia="en-US"/>
              </w:rPr>
              <w:t>, tai piekrītot pārņemt minēto īpašumu,</w:t>
            </w:r>
            <w:r w:rsidRPr="00E95D30">
              <w:rPr>
                <w:snapToGrid w:val="0"/>
                <w:lang w:eastAsia="en-US"/>
              </w:rPr>
              <w:t xml:space="preserve"> vai </w:t>
            </w:r>
            <w:r w:rsidR="00301420">
              <w:rPr>
                <w:snapToGrid w:val="0"/>
                <w:lang w:eastAsia="en-US"/>
              </w:rPr>
              <w:t>valsts akciju sabiedrībai</w:t>
            </w:r>
            <w:r w:rsidR="00301420" w:rsidRPr="00E95D30">
              <w:rPr>
                <w:snapToGrid w:val="0"/>
                <w:lang w:eastAsia="en-US"/>
              </w:rPr>
              <w:t xml:space="preserve"> </w:t>
            </w:r>
            <w:r w:rsidRPr="00E95D30">
              <w:rPr>
                <w:snapToGrid w:val="0"/>
                <w:lang w:eastAsia="en-US"/>
              </w:rPr>
              <w:t>„Valsts nekustamie īpašumi</w:t>
            </w:r>
            <w:r w:rsidR="00EE0241" w:rsidRPr="00E95D30">
              <w:rPr>
                <w:snapToGrid w:val="0"/>
                <w:lang w:eastAsia="en-US"/>
              </w:rPr>
              <w:t>”</w:t>
            </w:r>
            <w:r w:rsidR="000C6C50" w:rsidRPr="00E95D30">
              <w:rPr>
                <w:snapToGrid w:val="0"/>
                <w:lang w:eastAsia="en-US"/>
              </w:rPr>
              <w:t>, kuru privatizācija ir pabeigta vai izbeigta.</w:t>
            </w:r>
          </w:p>
        </w:tc>
      </w:tr>
      <w:tr w:rsidR="00E635DF" w:rsidRPr="00426EEF" w:rsidTr="008368BE">
        <w:tc>
          <w:tcPr>
            <w:tcW w:w="1951" w:type="dxa"/>
          </w:tcPr>
          <w:p w:rsidR="00E635DF" w:rsidRPr="00E95D30" w:rsidRDefault="00BA579B" w:rsidP="00E635DF">
            <w:pPr>
              <w:rPr>
                <w:snapToGrid w:val="0"/>
                <w:lang w:eastAsia="en-US"/>
              </w:rPr>
            </w:pPr>
            <w:r w:rsidRPr="00E95D30">
              <w:rPr>
                <w:snapToGrid w:val="0"/>
                <w:lang w:eastAsia="en-US"/>
              </w:rPr>
              <w:lastRenderedPageBreak/>
              <w:t>2014.gada II ceturksnis</w:t>
            </w:r>
          </w:p>
        </w:tc>
        <w:tc>
          <w:tcPr>
            <w:tcW w:w="6571" w:type="dxa"/>
          </w:tcPr>
          <w:p w:rsidR="00E635DF" w:rsidRPr="00E95D30" w:rsidRDefault="000C6C50" w:rsidP="000C6C50">
            <w:pPr>
              <w:ind w:left="360"/>
              <w:jc w:val="both"/>
              <w:rPr>
                <w:b/>
                <w:snapToGrid w:val="0"/>
                <w:lang w:eastAsia="en-US"/>
              </w:rPr>
            </w:pPr>
            <w:r w:rsidRPr="00E95D30">
              <w:rPr>
                <w:snapToGrid w:val="0"/>
                <w:lang w:eastAsia="en-US"/>
              </w:rPr>
              <w:t xml:space="preserve">Ministru kabineta noteikumu projektu </w:t>
            </w:r>
            <w:r w:rsidR="00E635DF" w:rsidRPr="00E95D30">
              <w:rPr>
                <w:snapToGrid w:val="0"/>
                <w:lang w:eastAsia="en-US"/>
              </w:rPr>
              <w:t xml:space="preserve">izstrādāšana </w:t>
            </w:r>
            <w:r w:rsidRPr="00E95D30">
              <w:rPr>
                <w:snapToGrid w:val="0"/>
                <w:lang w:eastAsia="en-US"/>
              </w:rPr>
              <w:t xml:space="preserve"> </w:t>
            </w:r>
            <w:r w:rsidR="00E635DF" w:rsidRPr="00E95D30">
              <w:rPr>
                <w:snapToGrid w:val="0"/>
                <w:lang w:eastAsia="en-US"/>
              </w:rPr>
              <w:t xml:space="preserve">un iesniegšana </w:t>
            </w:r>
            <w:r w:rsidRPr="00E95D30">
              <w:rPr>
                <w:snapToGrid w:val="0"/>
                <w:lang w:eastAsia="en-US"/>
              </w:rPr>
              <w:t>izskatīšanai Ministru kabinetā</w:t>
            </w:r>
            <w:r w:rsidR="00E635DF" w:rsidRPr="00E95D30">
              <w:rPr>
                <w:snapToGrid w:val="0"/>
                <w:lang w:eastAsia="en-US"/>
              </w:rPr>
              <w:t xml:space="preserve"> atbilstoši tabulā Nr.</w:t>
            </w:r>
            <w:r w:rsidR="00C537D3" w:rsidRPr="00E95D30">
              <w:rPr>
                <w:snapToGrid w:val="0"/>
                <w:lang w:eastAsia="en-US"/>
              </w:rPr>
              <w:t>10</w:t>
            </w:r>
            <w:r w:rsidR="00E635DF" w:rsidRPr="00E95D30">
              <w:rPr>
                <w:snapToGrid w:val="0"/>
                <w:lang w:eastAsia="en-US"/>
              </w:rPr>
              <w:t xml:space="preserve"> norādītajam</w:t>
            </w:r>
          </w:p>
        </w:tc>
      </w:tr>
      <w:tr w:rsidR="00E635DF" w:rsidRPr="00426EEF" w:rsidTr="008368BE">
        <w:tc>
          <w:tcPr>
            <w:tcW w:w="1951" w:type="dxa"/>
          </w:tcPr>
          <w:p w:rsidR="00E635DF" w:rsidRPr="00E95D30" w:rsidRDefault="00E635DF" w:rsidP="00E635DF">
            <w:pPr>
              <w:rPr>
                <w:snapToGrid w:val="0"/>
                <w:lang w:eastAsia="en-US"/>
              </w:rPr>
            </w:pPr>
            <w:r w:rsidRPr="00E95D30">
              <w:rPr>
                <w:snapToGrid w:val="0"/>
                <w:lang w:eastAsia="en-US"/>
              </w:rPr>
              <w:t>No 2014.gada II pusgada</w:t>
            </w:r>
          </w:p>
          <w:p w:rsidR="00E635DF" w:rsidRPr="00E95D30" w:rsidRDefault="00E635DF" w:rsidP="00E635DF">
            <w:pPr>
              <w:rPr>
                <w:snapToGrid w:val="0"/>
                <w:lang w:eastAsia="en-US"/>
              </w:rPr>
            </w:pPr>
          </w:p>
        </w:tc>
        <w:tc>
          <w:tcPr>
            <w:tcW w:w="6571" w:type="dxa"/>
          </w:tcPr>
          <w:p w:rsidR="00E635DF" w:rsidRPr="00E95D30" w:rsidRDefault="00BA579B" w:rsidP="00B32380">
            <w:pPr>
              <w:ind w:left="360"/>
              <w:jc w:val="both"/>
              <w:rPr>
                <w:lang w:eastAsia="lv-LV"/>
              </w:rPr>
            </w:pPr>
            <w:r w:rsidRPr="00E95D30">
              <w:rPr>
                <w:snapToGrid w:val="0"/>
                <w:lang w:eastAsia="en-US"/>
              </w:rPr>
              <w:t>V</w:t>
            </w:r>
            <w:r w:rsidR="00E635DF" w:rsidRPr="00E95D30">
              <w:rPr>
                <w:snapToGrid w:val="0"/>
                <w:lang w:eastAsia="en-US"/>
              </w:rPr>
              <w:t xml:space="preserve">alsts kapitāla daļu pārvaldības un atsavināšanas funkcijas nodošanas process </w:t>
            </w:r>
            <w:r w:rsidR="00B32380">
              <w:rPr>
                <w:snapToGrid w:val="0"/>
                <w:lang w:eastAsia="en-US"/>
              </w:rPr>
              <w:t>Valsts kapitāla daļu pārvaldības birojam</w:t>
            </w:r>
            <w:r w:rsidR="00E635DF" w:rsidRPr="00E95D30">
              <w:rPr>
                <w:snapToGrid w:val="0"/>
                <w:lang w:eastAsia="en-US"/>
              </w:rPr>
              <w:t xml:space="preserve"> (</w:t>
            </w:r>
            <w:r w:rsidR="00B32380">
              <w:rPr>
                <w:snapToGrid w:val="0"/>
                <w:lang w:eastAsia="en-US"/>
              </w:rPr>
              <w:t>ja tāds ir izveidots</w:t>
            </w:r>
            <w:r w:rsidR="00E635DF" w:rsidRPr="00E95D30">
              <w:rPr>
                <w:snapToGrid w:val="0"/>
                <w:lang w:eastAsia="en-US"/>
              </w:rPr>
              <w:t>)</w:t>
            </w:r>
          </w:p>
        </w:tc>
      </w:tr>
      <w:tr w:rsidR="00E635DF" w:rsidRPr="00426EEF" w:rsidTr="00E635DF">
        <w:tc>
          <w:tcPr>
            <w:tcW w:w="1951" w:type="dxa"/>
            <w:shd w:val="clear" w:color="auto" w:fill="4F81BD" w:themeFill="accent1"/>
          </w:tcPr>
          <w:p w:rsidR="00E635DF" w:rsidRPr="00E95D30" w:rsidRDefault="00E635DF" w:rsidP="00E635DF">
            <w:pPr>
              <w:rPr>
                <w:b/>
                <w:snapToGrid w:val="0"/>
                <w:color w:val="FFFFFF" w:themeColor="background1"/>
                <w:lang w:eastAsia="en-US"/>
              </w:rPr>
            </w:pPr>
            <w:r w:rsidRPr="00E95D30">
              <w:rPr>
                <w:b/>
                <w:snapToGrid w:val="0"/>
                <w:color w:val="FFFFFF" w:themeColor="background1"/>
                <w:lang w:eastAsia="en-US"/>
              </w:rPr>
              <w:t>2015.gads</w:t>
            </w:r>
          </w:p>
        </w:tc>
        <w:tc>
          <w:tcPr>
            <w:tcW w:w="6571" w:type="dxa"/>
            <w:shd w:val="clear" w:color="auto" w:fill="4F81BD" w:themeFill="accent1"/>
          </w:tcPr>
          <w:p w:rsidR="00E635DF" w:rsidRPr="00E95D30" w:rsidRDefault="00E635DF" w:rsidP="00E635DF">
            <w:pPr>
              <w:jc w:val="both"/>
              <w:rPr>
                <w:b/>
                <w:snapToGrid w:val="0"/>
                <w:color w:val="FFFFFF" w:themeColor="background1"/>
                <w:lang w:eastAsia="en-US"/>
              </w:rPr>
            </w:pPr>
          </w:p>
        </w:tc>
      </w:tr>
      <w:tr w:rsidR="00E635DF" w:rsidRPr="00426EEF" w:rsidTr="008368BE">
        <w:tc>
          <w:tcPr>
            <w:tcW w:w="1951" w:type="dxa"/>
          </w:tcPr>
          <w:p w:rsidR="00E635DF" w:rsidRPr="00E95D30" w:rsidRDefault="00E635DF" w:rsidP="00E635DF">
            <w:pPr>
              <w:rPr>
                <w:snapToGrid w:val="0"/>
                <w:lang w:eastAsia="en-US"/>
              </w:rPr>
            </w:pPr>
            <w:r w:rsidRPr="00E95D30">
              <w:rPr>
                <w:snapToGrid w:val="0"/>
                <w:lang w:eastAsia="en-US"/>
              </w:rPr>
              <w:t>2015.gada I pusgadā</w:t>
            </w:r>
          </w:p>
        </w:tc>
        <w:tc>
          <w:tcPr>
            <w:tcW w:w="6571" w:type="dxa"/>
          </w:tcPr>
          <w:p w:rsidR="0058599F" w:rsidRPr="00B32380" w:rsidRDefault="00AE1559" w:rsidP="00B32380">
            <w:pPr>
              <w:numPr>
                <w:ilvl w:val="0"/>
                <w:numId w:val="12"/>
              </w:numPr>
              <w:jc w:val="both"/>
              <w:rPr>
                <w:snapToGrid w:val="0"/>
                <w:lang w:eastAsia="en-US"/>
              </w:rPr>
            </w:pPr>
            <w:r w:rsidRPr="00E95D30">
              <w:rPr>
                <w:snapToGrid w:val="0"/>
                <w:lang w:eastAsia="en-US"/>
              </w:rPr>
              <w:t>Aģentūras</w:t>
            </w:r>
            <w:r w:rsidR="00E635DF" w:rsidRPr="00E95D30">
              <w:rPr>
                <w:snapToGrid w:val="0"/>
                <w:lang w:eastAsia="en-US"/>
              </w:rPr>
              <w:t xml:space="preserve"> funkciju nodošanas process (zemesgabali, valsts nekustamā īpašuma objekti, dzīvokļu īpašumi, dzīvojamās mājas, līgumu kontrole, tiesvedības)</w:t>
            </w:r>
          </w:p>
        </w:tc>
      </w:tr>
      <w:tr w:rsidR="00E635DF" w:rsidRPr="00426EEF" w:rsidTr="008368BE">
        <w:tc>
          <w:tcPr>
            <w:tcW w:w="1951" w:type="dxa"/>
          </w:tcPr>
          <w:p w:rsidR="00E635DF" w:rsidRPr="00E95D30" w:rsidRDefault="00E635DF" w:rsidP="00E635DF">
            <w:pPr>
              <w:rPr>
                <w:b/>
                <w:snapToGrid w:val="0"/>
                <w:lang w:eastAsia="en-US"/>
              </w:rPr>
            </w:pPr>
          </w:p>
        </w:tc>
        <w:tc>
          <w:tcPr>
            <w:tcW w:w="6571" w:type="dxa"/>
          </w:tcPr>
          <w:p w:rsidR="00E635DF" w:rsidRPr="00E95D30" w:rsidRDefault="00AE1559" w:rsidP="00E635DF">
            <w:pPr>
              <w:numPr>
                <w:ilvl w:val="0"/>
                <w:numId w:val="12"/>
              </w:numPr>
              <w:jc w:val="both"/>
              <w:rPr>
                <w:snapToGrid w:val="0"/>
                <w:lang w:eastAsia="en-US"/>
              </w:rPr>
            </w:pPr>
            <w:r w:rsidRPr="00E95D30">
              <w:rPr>
                <w:snapToGrid w:val="0"/>
                <w:lang w:eastAsia="en-US"/>
              </w:rPr>
              <w:t>Aģentūras</w:t>
            </w:r>
            <w:r w:rsidR="00E635DF" w:rsidRPr="00E95D30">
              <w:rPr>
                <w:snapToGrid w:val="0"/>
                <w:lang w:eastAsia="en-US"/>
              </w:rPr>
              <w:t xml:space="preserve"> </w:t>
            </w:r>
            <w:r w:rsidR="00D76AC6" w:rsidRPr="00E95D30">
              <w:rPr>
                <w:snapToGrid w:val="0"/>
                <w:lang w:eastAsia="en-US"/>
              </w:rPr>
              <w:t xml:space="preserve">reorganizācija, </w:t>
            </w:r>
            <w:r w:rsidRPr="00E95D30">
              <w:rPr>
                <w:snapToGrid w:val="0"/>
                <w:lang w:eastAsia="en-US"/>
              </w:rPr>
              <w:t xml:space="preserve">nemainot juridisko statusu, bet </w:t>
            </w:r>
            <w:r w:rsidR="00D76AC6" w:rsidRPr="00E95D30">
              <w:rPr>
                <w:snapToGrid w:val="0"/>
                <w:lang w:eastAsia="en-US"/>
              </w:rPr>
              <w:t xml:space="preserve">mainot </w:t>
            </w:r>
            <w:r w:rsidRPr="00E95D30">
              <w:rPr>
                <w:snapToGrid w:val="0"/>
                <w:lang w:eastAsia="en-US"/>
              </w:rPr>
              <w:t xml:space="preserve">darbības </w:t>
            </w:r>
            <w:r w:rsidR="0058599F" w:rsidRPr="00E95D30">
              <w:rPr>
                <w:snapToGrid w:val="0"/>
                <w:lang w:eastAsia="en-US"/>
              </w:rPr>
              <w:t xml:space="preserve">mērķus un </w:t>
            </w:r>
            <w:r w:rsidR="00E635DF" w:rsidRPr="00E95D30">
              <w:rPr>
                <w:snapToGrid w:val="0"/>
                <w:lang w:eastAsia="en-US"/>
              </w:rPr>
              <w:t>nosaukum</w:t>
            </w:r>
            <w:r w:rsidR="00D76AC6" w:rsidRPr="00E95D30">
              <w:rPr>
                <w:snapToGrid w:val="0"/>
                <w:lang w:eastAsia="en-US"/>
              </w:rPr>
              <w:t>u</w:t>
            </w:r>
          </w:p>
          <w:p w:rsidR="00E635DF" w:rsidRPr="00E95D30" w:rsidRDefault="00301420" w:rsidP="00301420">
            <w:pPr>
              <w:numPr>
                <w:ilvl w:val="0"/>
                <w:numId w:val="12"/>
              </w:numPr>
              <w:jc w:val="both"/>
              <w:rPr>
                <w:snapToGrid w:val="0"/>
                <w:lang w:eastAsia="en-US"/>
              </w:rPr>
            </w:pPr>
            <w:r w:rsidRPr="00301420">
              <w:rPr>
                <w:snapToGrid w:val="0"/>
                <w:lang w:eastAsia="en-US"/>
              </w:rPr>
              <w:t>akciju sabiedrības</w:t>
            </w:r>
            <w:r w:rsidR="00E635DF" w:rsidRPr="00E95D30">
              <w:rPr>
                <w:snapToGrid w:val="0"/>
                <w:lang w:eastAsia="en-US"/>
              </w:rPr>
              <w:t xml:space="preserve"> „</w:t>
            </w:r>
            <w:proofErr w:type="spellStart"/>
            <w:r w:rsidR="00E635DF" w:rsidRPr="00E95D30">
              <w:rPr>
                <w:snapToGrid w:val="0"/>
                <w:lang w:eastAsia="en-US"/>
              </w:rPr>
              <w:t>Reverta</w:t>
            </w:r>
            <w:proofErr w:type="spellEnd"/>
            <w:r w:rsidR="00E635DF" w:rsidRPr="00E95D30">
              <w:rPr>
                <w:snapToGrid w:val="0"/>
                <w:lang w:eastAsia="en-US"/>
              </w:rPr>
              <w:t xml:space="preserve">” un </w:t>
            </w:r>
            <w:r w:rsidRPr="00301420">
              <w:rPr>
                <w:snapToGrid w:val="0"/>
                <w:lang w:eastAsia="en-US"/>
              </w:rPr>
              <w:t>akciju sabiedrības</w:t>
            </w:r>
            <w:r w:rsidR="00E635DF" w:rsidRPr="00E95D30">
              <w:rPr>
                <w:snapToGrid w:val="0"/>
                <w:lang w:eastAsia="en-US"/>
              </w:rPr>
              <w:t xml:space="preserve"> „Citadele banka” (ja akcijas vēl nav pārdotas) pārvaldība un atsavināšana saskaņā ar Eiropas Komisijas apstiprināto restrukturizācijas plānu un Ministru kabineta lēmumiem</w:t>
            </w:r>
            <w:r w:rsidR="004A64FF">
              <w:rPr>
                <w:snapToGrid w:val="0"/>
                <w:lang w:eastAsia="en-US"/>
              </w:rPr>
              <w:t xml:space="preserve">, kā arī HipoNIA pārvaldība </w:t>
            </w:r>
            <w:r w:rsidR="004A64FF" w:rsidRPr="00E95D30">
              <w:rPr>
                <w:snapToGrid w:val="0"/>
                <w:lang w:eastAsia="en-US"/>
              </w:rPr>
              <w:t>saskaņā</w:t>
            </w:r>
            <w:r w:rsidR="004A64FF">
              <w:rPr>
                <w:snapToGrid w:val="0"/>
                <w:lang w:eastAsia="en-US"/>
              </w:rPr>
              <w:t xml:space="preserve"> ar</w:t>
            </w:r>
            <w:r w:rsidR="004A64FF" w:rsidRPr="00E95D30">
              <w:rPr>
                <w:snapToGrid w:val="0"/>
                <w:lang w:eastAsia="en-US"/>
              </w:rPr>
              <w:t xml:space="preserve"> Ministru kabineta lēmumiem</w:t>
            </w:r>
          </w:p>
        </w:tc>
      </w:tr>
      <w:tr w:rsidR="00E635DF" w:rsidRPr="00426EEF" w:rsidTr="00E635DF">
        <w:tc>
          <w:tcPr>
            <w:tcW w:w="1951" w:type="dxa"/>
            <w:shd w:val="clear" w:color="auto" w:fill="4F81BD" w:themeFill="accent1"/>
          </w:tcPr>
          <w:p w:rsidR="00E635DF" w:rsidRPr="00E95D30" w:rsidRDefault="0058599F" w:rsidP="0058599F">
            <w:pPr>
              <w:rPr>
                <w:b/>
                <w:snapToGrid w:val="0"/>
                <w:lang w:eastAsia="en-US"/>
              </w:rPr>
            </w:pPr>
            <w:r w:rsidRPr="00E95D30">
              <w:rPr>
                <w:b/>
                <w:snapToGrid w:val="0"/>
                <w:color w:val="FFFFFF" w:themeColor="background1"/>
                <w:lang w:eastAsia="en-US"/>
              </w:rPr>
              <w:t>2016.-201</w:t>
            </w:r>
            <w:r w:rsidR="00125D22" w:rsidRPr="00E95D30">
              <w:rPr>
                <w:b/>
                <w:snapToGrid w:val="0"/>
                <w:color w:val="FFFFFF" w:themeColor="background1"/>
                <w:lang w:eastAsia="en-US"/>
              </w:rPr>
              <w:t>8.</w:t>
            </w:r>
            <w:r w:rsidR="00E635DF" w:rsidRPr="00E95D30">
              <w:rPr>
                <w:b/>
                <w:snapToGrid w:val="0"/>
                <w:color w:val="FFFFFF" w:themeColor="background1"/>
                <w:lang w:eastAsia="en-US"/>
              </w:rPr>
              <w:t>gads</w:t>
            </w:r>
          </w:p>
        </w:tc>
        <w:tc>
          <w:tcPr>
            <w:tcW w:w="6571" w:type="dxa"/>
            <w:shd w:val="clear" w:color="auto" w:fill="4F81BD" w:themeFill="accent1"/>
          </w:tcPr>
          <w:p w:rsidR="00E635DF" w:rsidRPr="00E95D30" w:rsidRDefault="00E635DF" w:rsidP="00E635DF">
            <w:pPr>
              <w:ind w:left="360"/>
              <w:jc w:val="both"/>
              <w:rPr>
                <w:snapToGrid w:val="0"/>
                <w:lang w:eastAsia="en-US"/>
              </w:rPr>
            </w:pPr>
          </w:p>
        </w:tc>
      </w:tr>
      <w:tr w:rsidR="0058599F" w:rsidRPr="00426EEF" w:rsidTr="008368BE">
        <w:tc>
          <w:tcPr>
            <w:tcW w:w="1951" w:type="dxa"/>
          </w:tcPr>
          <w:p w:rsidR="0058599F" w:rsidRPr="00E95D30" w:rsidRDefault="0058599F" w:rsidP="00E635DF">
            <w:pPr>
              <w:rPr>
                <w:snapToGrid w:val="0"/>
                <w:lang w:eastAsia="en-US"/>
              </w:rPr>
            </w:pPr>
          </w:p>
        </w:tc>
        <w:tc>
          <w:tcPr>
            <w:tcW w:w="6571" w:type="dxa"/>
          </w:tcPr>
          <w:p w:rsidR="0058599F" w:rsidRPr="00E95D30" w:rsidRDefault="00301420" w:rsidP="0058599F">
            <w:pPr>
              <w:ind w:left="360"/>
              <w:jc w:val="both"/>
              <w:rPr>
                <w:snapToGrid w:val="0"/>
                <w:lang w:eastAsia="en-US"/>
              </w:rPr>
            </w:pPr>
            <w:r w:rsidRPr="00301420">
              <w:rPr>
                <w:snapToGrid w:val="0"/>
                <w:lang w:eastAsia="en-US"/>
              </w:rPr>
              <w:t>akciju sabiedrības</w:t>
            </w:r>
            <w:r w:rsidR="0058599F" w:rsidRPr="00E95D30">
              <w:rPr>
                <w:snapToGrid w:val="0"/>
                <w:lang w:eastAsia="en-US"/>
              </w:rPr>
              <w:t xml:space="preserve"> „</w:t>
            </w:r>
            <w:proofErr w:type="spellStart"/>
            <w:r w:rsidR="0058599F" w:rsidRPr="00E95D30">
              <w:rPr>
                <w:snapToGrid w:val="0"/>
                <w:lang w:eastAsia="en-US"/>
              </w:rPr>
              <w:t>Reverta</w:t>
            </w:r>
            <w:proofErr w:type="spellEnd"/>
            <w:r w:rsidR="0058599F" w:rsidRPr="00E95D30">
              <w:rPr>
                <w:snapToGrid w:val="0"/>
                <w:lang w:eastAsia="en-US"/>
              </w:rPr>
              <w:t xml:space="preserve">” un </w:t>
            </w:r>
            <w:r w:rsidRPr="00301420">
              <w:rPr>
                <w:snapToGrid w:val="0"/>
                <w:lang w:eastAsia="en-US"/>
              </w:rPr>
              <w:t>akciju sabiedrības</w:t>
            </w:r>
            <w:r w:rsidR="0058599F" w:rsidRPr="00E95D30">
              <w:rPr>
                <w:snapToGrid w:val="0"/>
                <w:lang w:eastAsia="en-US"/>
              </w:rPr>
              <w:t xml:space="preserve"> „Citadele banka” (ja akcijas vēl nav pārdotas) pārvaldība un atsavināšana saskaņā ar Eiropas Komisijas apstiprināto restrukturizācijas plānu un Ministru kabineta lēmumiem</w:t>
            </w:r>
            <w:r w:rsidR="004A64FF">
              <w:rPr>
                <w:snapToGrid w:val="0"/>
                <w:lang w:eastAsia="en-US"/>
              </w:rPr>
              <w:t xml:space="preserve">, kā arī HipoNIA pārvaldība </w:t>
            </w:r>
            <w:r w:rsidR="004A64FF" w:rsidRPr="00E95D30">
              <w:rPr>
                <w:snapToGrid w:val="0"/>
                <w:lang w:eastAsia="en-US"/>
              </w:rPr>
              <w:t>saskaņā</w:t>
            </w:r>
            <w:r w:rsidR="004A64FF">
              <w:rPr>
                <w:snapToGrid w:val="0"/>
                <w:lang w:eastAsia="en-US"/>
              </w:rPr>
              <w:t xml:space="preserve"> ar</w:t>
            </w:r>
            <w:r w:rsidR="004A64FF" w:rsidRPr="00E95D30">
              <w:rPr>
                <w:snapToGrid w:val="0"/>
                <w:lang w:eastAsia="en-US"/>
              </w:rPr>
              <w:t xml:space="preserve"> Ministru kabineta lēmumiem</w:t>
            </w:r>
          </w:p>
        </w:tc>
      </w:tr>
      <w:tr w:rsidR="00E635DF" w:rsidRPr="00426EEF" w:rsidTr="008368BE">
        <w:tc>
          <w:tcPr>
            <w:tcW w:w="1951" w:type="dxa"/>
          </w:tcPr>
          <w:p w:rsidR="00E635DF" w:rsidRPr="00E95D30" w:rsidRDefault="0058599F" w:rsidP="00E635DF">
            <w:pPr>
              <w:rPr>
                <w:b/>
                <w:snapToGrid w:val="0"/>
                <w:lang w:eastAsia="en-US"/>
              </w:rPr>
            </w:pPr>
            <w:r w:rsidRPr="00E95D30">
              <w:rPr>
                <w:snapToGrid w:val="0"/>
                <w:lang w:eastAsia="en-US"/>
              </w:rPr>
              <w:t>2017.gads</w:t>
            </w:r>
          </w:p>
        </w:tc>
        <w:tc>
          <w:tcPr>
            <w:tcW w:w="6571" w:type="dxa"/>
          </w:tcPr>
          <w:p w:rsidR="00E635DF" w:rsidRPr="00E95D30" w:rsidRDefault="00125D22" w:rsidP="00301420">
            <w:pPr>
              <w:numPr>
                <w:ilvl w:val="0"/>
                <w:numId w:val="12"/>
              </w:numPr>
              <w:jc w:val="both"/>
              <w:rPr>
                <w:snapToGrid w:val="0"/>
                <w:lang w:eastAsia="en-US"/>
              </w:rPr>
            </w:pPr>
            <w:r w:rsidRPr="00E95D30">
              <w:rPr>
                <w:snapToGrid w:val="0"/>
                <w:lang w:eastAsia="en-US"/>
              </w:rPr>
              <w:t xml:space="preserve">Detalizēts plāns </w:t>
            </w:r>
            <w:r w:rsidR="00755F84" w:rsidRPr="00E95D30">
              <w:rPr>
                <w:snapToGrid w:val="0"/>
                <w:lang w:eastAsia="en-US"/>
              </w:rPr>
              <w:t>Aģentūras</w:t>
            </w:r>
            <w:r w:rsidRPr="00E95D30">
              <w:rPr>
                <w:snapToGrid w:val="0"/>
                <w:lang w:eastAsia="en-US"/>
              </w:rPr>
              <w:t xml:space="preserve"> likvidācijai, ņemot vērā finanšu un juridiskos riskus, kā arī aktuālo situāciju attiecībā uz </w:t>
            </w:r>
            <w:r w:rsidR="00301420">
              <w:rPr>
                <w:snapToGrid w:val="0"/>
                <w:lang w:eastAsia="en-US"/>
              </w:rPr>
              <w:t>akciju sabiedrību</w:t>
            </w:r>
            <w:r w:rsidRPr="00E95D30">
              <w:rPr>
                <w:snapToGrid w:val="0"/>
                <w:lang w:eastAsia="en-US"/>
              </w:rPr>
              <w:t xml:space="preserve"> „Citadele banka” (ja akcijas vēl nebūs pārdotas) un </w:t>
            </w:r>
            <w:r w:rsidR="00301420">
              <w:rPr>
                <w:snapToGrid w:val="0"/>
                <w:lang w:eastAsia="en-US"/>
              </w:rPr>
              <w:t>akciju sabiedrību</w:t>
            </w:r>
            <w:r w:rsidRPr="00E95D30">
              <w:rPr>
                <w:snapToGrid w:val="0"/>
                <w:lang w:eastAsia="en-US"/>
              </w:rPr>
              <w:t xml:space="preserve"> „</w:t>
            </w:r>
            <w:proofErr w:type="spellStart"/>
            <w:r w:rsidRPr="00E95D30">
              <w:rPr>
                <w:snapToGrid w:val="0"/>
                <w:lang w:eastAsia="en-US"/>
              </w:rPr>
              <w:t>Reverta</w:t>
            </w:r>
            <w:proofErr w:type="spellEnd"/>
            <w:r w:rsidRPr="00E95D30">
              <w:rPr>
                <w:snapToGrid w:val="0"/>
                <w:lang w:eastAsia="en-US"/>
              </w:rPr>
              <w:t>”, tajā skaitā tiesvedību rezultātus</w:t>
            </w:r>
            <w:r w:rsidR="004A64FF">
              <w:rPr>
                <w:snapToGrid w:val="0"/>
                <w:lang w:eastAsia="en-US"/>
              </w:rPr>
              <w:t xml:space="preserve">, kā arī attiecībā uz </w:t>
            </w:r>
            <w:proofErr w:type="spellStart"/>
            <w:r w:rsidR="004A64FF">
              <w:rPr>
                <w:snapToGrid w:val="0"/>
                <w:lang w:eastAsia="en-US"/>
              </w:rPr>
              <w:t>HipoNIA</w:t>
            </w:r>
            <w:proofErr w:type="spellEnd"/>
          </w:p>
        </w:tc>
      </w:tr>
      <w:tr w:rsidR="0058599F" w:rsidRPr="00426EEF" w:rsidTr="008368BE">
        <w:tc>
          <w:tcPr>
            <w:tcW w:w="1951" w:type="dxa"/>
          </w:tcPr>
          <w:p w:rsidR="0058599F" w:rsidRPr="00E95D30" w:rsidRDefault="0058599F" w:rsidP="00E635DF">
            <w:pPr>
              <w:rPr>
                <w:snapToGrid w:val="0"/>
                <w:lang w:eastAsia="en-US"/>
              </w:rPr>
            </w:pPr>
            <w:r w:rsidRPr="00E95D30">
              <w:rPr>
                <w:snapToGrid w:val="0"/>
                <w:lang w:eastAsia="en-US"/>
              </w:rPr>
              <w:t>2018.gads (vai 2017.gada beigas)</w:t>
            </w:r>
          </w:p>
        </w:tc>
        <w:tc>
          <w:tcPr>
            <w:tcW w:w="6571" w:type="dxa"/>
          </w:tcPr>
          <w:p w:rsidR="0058599F" w:rsidRPr="00E95D30" w:rsidRDefault="0058599F" w:rsidP="00301420">
            <w:pPr>
              <w:numPr>
                <w:ilvl w:val="0"/>
                <w:numId w:val="12"/>
              </w:numPr>
              <w:jc w:val="both"/>
              <w:rPr>
                <w:snapToGrid w:val="0"/>
                <w:lang w:eastAsia="en-US"/>
              </w:rPr>
            </w:pPr>
            <w:r w:rsidRPr="00E95D30">
              <w:rPr>
                <w:snapToGrid w:val="0"/>
                <w:lang w:eastAsia="en-US"/>
              </w:rPr>
              <w:t xml:space="preserve">Darbības izbeigšana (likvidācija) pēc </w:t>
            </w:r>
            <w:r w:rsidR="00301420" w:rsidRPr="00301420">
              <w:rPr>
                <w:snapToGrid w:val="0"/>
                <w:lang w:eastAsia="en-US"/>
              </w:rPr>
              <w:t>akciju sabiedrības</w:t>
            </w:r>
            <w:r w:rsidRPr="00E95D30">
              <w:rPr>
                <w:snapToGrid w:val="0"/>
                <w:lang w:eastAsia="en-US"/>
              </w:rPr>
              <w:t xml:space="preserve"> „</w:t>
            </w:r>
            <w:proofErr w:type="spellStart"/>
            <w:r w:rsidRPr="00E95D30">
              <w:rPr>
                <w:snapToGrid w:val="0"/>
                <w:lang w:eastAsia="en-US"/>
              </w:rPr>
              <w:t>Reverta</w:t>
            </w:r>
            <w:proofErr w:type="spellEnd"/>
            <w:r w:rsidRPr="00E95D30">
              <w:rPr>
                <w:snapToGrid w:val="0"/>
                <w:lang w:eastAsia="en-US"/>
              </w:rPr>
              <w:t xml:space="preserve">” un </w:t>
            </w:r>
            <w:r w:rsidR="00301420" w:rsidRPr="00301420">
              <w:rPr>
                <w:snapToGrid w:val="0"/>
                <w:lang w:eastAsia="en-US"/>
              </w:rPr>
              <w:t>akciju sabiedrības</w:t>
            </w:r>
            <w:r w:rsidRPr="00E95D30">
              <w:rPr>
                <w:snapToGrid w:val="0"/>
                <w:lang w:eastAsia="en-US"/>
              </w:rPr>
              <w:t xml:space="preserve"> „Citadele banka” (ja akcijas vēl nav pārdotas) atsavināšanas</w:t>
            </w:r>
            <w:r w:rsidR="004A64FF">
              <w:rPr>
                <w:snapToGrid w:val="0"/>
                <w:lang w:eastAsia="en-US"/>
              </w:rPr>
              <w:t>, kā arī pēc tam, kad bū</w:t>
            </w:r>
            <w:r w:rsidR="004A64FF" w:rsidRPr="004A64FF">
              <w:rPr>
                <w:snapToGrid w:val="0"/>
                <w:lang w:eastAsia="en-US"/>
              </w:rPr>
              <w:t xml:space="preserve">s īstenoti </w:t>
            </w:r>
            <w:proofErr w:type="spellStart"/>
            <w:r w:rsidR="004A64FF" w:rsidRPr="004A64FF">
              <w:rPr>
                <w:snapToGrid w:val="0"/>
                <w:lang w:eastAsia="en-US"/>
              </w:rPr>
              <w:t>HipoNIA</w:t>
            </w:r>
            <w:proofErr w:type="spellEnd"/>
            <w:r w:rsidR="004A64FF" w:rsidRPr="004A64FF">
              <w:rPr>
                <w:snapToGrid w:val="0"/>
                <w:lang w:eastAsia="en-US"/>
              </w:rPr>
              <w:t xml:space="preserve"> uzdevumi</w:t>
            </w:r>
          </w:p>
        </w:tc>
      </w:tr>
    </w:tbl>
    <w:p w:rsidR="008368BE" w:rsidRPr="00426EEF" w:rsidRDefault="008368BE" w:rsidP="00887C43">
      <w:pPr>
        <w:ind w:firstLine="720"/>
        <w:jc w:val="both"/>
        <w:rPr>
          <w:b/>
        </w:rPr>
      </w:pPr>
    </w:p>
    <w:p w:rsidR="00D101F3" w:rsidRDefault="00D101F3">
      <w:pPr>
        <w:rPr>
          <w:rFonts w:eastAsiaTheme="majorEastAsia" w:cstheme="majorBidi"/>
          <w:b/>
          <w:bCs/>
          <w:sz w:val="28"/>
          <w:szCs w:val="28"/>
        </w:rPr>
      </w:pPr>
      <w:r>
        <w:br w:type="page"/>
      </w:r>
    </w:p>
    <w:p w:rsidR="005F395D" w:rsidRPr="00E95D30" w:rsidRDefault="00AA454A" w:rsidP="00C25731">
      <w:pPr>
        <w:pStyle w:val="Heading1"/>
      </w:pPr>
      <w:bookmarkStart w:id="19" w:name="_Toc354069808"/>
      <w:r w:rsidRPr="00E95D30">
        <w:lastRenderedPageBreak/>
        <w:t xml:space="preserve">VII </w:t>
      </w:r>
      <w:r w:rsidR="00DB28F8" w:rsidRPr="00E95D30">
        <w:t>NEPIECIEŠAM</w:t>
      </w:r>
      <w:r w:rsidR="00D537E1" w:rsidRPr="00E95D30">
        <w:t>Ā</w:t>
      </w:r>
      <w:r w:rsidR="00D34F82" w:rsidRPr="00E95D30">
        <w:t>S</w:t>
      </w:r>
      <w:r w:rsidR="00DB28F8" w:rsidRPr="00E95D30">
        <w:t xml:space="preserve"> IZMAIŅ</w:t>
      </w:r>
      <w:r w:rsidR="00D34F82" w:rsidRPr="00E95D30">
        <w:t>AS</w:t>
      </w:r>
      <w:r w:rsidR="00DB28F8" w:rsidRPr="00E95D30">
        <w:t xml:space="preserve"> NORMATĪVAJOS AKTOS</w:t>
      </w:r>
      <w:bookmarkEnd w:id="19"/>
    </w:p>
    <w:p w:rsidR="007070B9" w:rsidRPr="00E95D30" w:rsidRDefault="007070B9" w:rsidP="00C25731">
      <w:pPr>
        <w:jc w:val="both"/>
        <w:rPr>
          <w:rFonts w:cs="Times New Roman"/>
          <w:sz w:val="28"/>
          <w:szCs w:val="28"/>
          <w:highlight w:val="yellow"/>
        </w:rPr>
      </w:pPr>
    </w:p>
    <w:p w:rsidR="00F604F4" w:rsidRPr="00E95D30" w:rsidRDefault="00F074AB" w:rsidP="00722C72">
      <w:pPr>
        <w:jc w:val="both"/>
        <w:rPr>
          <w:rFonts w:cs="Times New Roman"/>
          <w:sz w:val="28"/>
          <w:szCs w:val="28"/>
        </w:rPr>
      </w:pPr>
      <w:r w:rsidRPr="00E95D30">
        <w:rPr>
          <w:rFonts w:cs="Times New Roman"/>
          <w:sz w:val="28"/>
          <w:szCs w:val="28"/>
        </w:rPr>
        <w:tab/>
        <w:t xml:space="preserve">Lai nodrošinātu </w:t>
      </w:r>
      <w:r w:rsidR="00AE1559" w:rsidRPr="00E95D30">
        <w:rPr>
          <w:rFonts w:cs="Times New Roman"/>
          <w:sz w:val="28"/>
          <w:szCs w:val="28"/>
        </w:rPr>
        <w:t>Aģentūras</w:t>
      </w:r>
      <w:r w:rsidRPr="00E95D30">
        <w:rPr>
          <w:rFonts w:cs="Times New Roman"/>
          <w:sz w:val="28"/>
          <w:szCs w:val="28"/>
        </w:rPr>
        <w:t xml:space="preserve"> funkciju izbeigšanu atbilstoši šajā darbības stratēģijā minētajam, nepieciešams izstrādāt </w:t>
      </w:r>
      <w:r w:rsidR="0057171C" w:rsidRPr="00E95D30">
        <w:rPr>
          <w:rFonts w:cs="Times New Roman"/>
          <w:sz w:val="28"/>
          <w:szCs w:val="28"/>
        </w:rPr>
        <w:t>grozījumus vairākos normatīvajos aktos.</w:t>
      </w:r>
    </w:p>
    <w:p w:rsidR="00B70816" w:rsidRPr="00E95D30" w:rsidRDefault="00F604F4" w:rsidP="00F604F4">
      <w:pPr>
        <w:ind w:firstLine="720"/>
        <w:jc w:val="both"/>
        <w:rPr>
          <w:rFonts w:cs="Times New Roman"/>
          <w:sz w:val="28"/>
          <w:szCs w:val="28"/>
        </w:rPr>
      </w:pPr>
      <w:r w:rsidRPr="00E95D30">
        <w:rPr>
          <w:rFonts w:cs="Times New Roman"/>
          <w:sz w:val="28"/>
          <w:szCs w:val="28"/>
        </w:rPr>
        <w:t xml:space="preserve">Šajā sarakstā nav ietverti nepieciešamie grozījumi tiesību aktos, kas attiecas uz </w:t>
      </w:r>
      <w:r w:rsidR="00AE1559" w:rsidRPr="00E95D30">
        <w:rPr>
          <w:rFonts w:cs="Times New Roman"/>
          <w:sz w:val="28"/>
          <w:szCs w:val="28"/>
        </w:rPr>
        <w:t>Aģentūras</w:t>
      </w:r>
      <w:r w:rsidRPr="00E95D30">
        <w:rPr>
          <w:rFonts w:cs="Times New Roman"/>
          <w:sz w:val="28"/>
          <w:szCs w:val="28"/>
        </w:rPr>
        <w:t xml:space="preserve"> reorganizāciju darbības izbeigšanas</w:t>
      </w:r>
      <w:r w:rsidR="00AE1559" w:rsidRPr="00E95D30">
        <w:rPr>
          <w:rFonts w:cs="Times New Roman"/>
          <w:sz w:val="28"/>
          <w:szCs w:val="28"/>
        </w:rPr>
        <w:t xml:space="preserve"> otrajā </w:t>
      </w:r>
      <w:r w:rsidRPr="00E95D30">
        <w:rPr>
          <w:rFonts w:cs="Times New Roman"/>
          <w:sz w:val="28"/>
          <w:szCs w:val="28"/>
        </w:rPr>
        <w:t>etapā (piemēram, statūti)</w:t>
      </w:r>
      <w:r w:rsidR="00904EA4" w:rsidRPr="00E95D30">
        <w:rPr>
          <w:rFonts w:cs="Times New Roman"/>
          <w:sz w:val="28"/>
          <w:szCs w:val="28"/>
        </w:rPr>
        <w:t xml:space="preserve">, kā arī </w:t>
      </w:r>
      <w:r w:rsidR="008C2F2E" w:rsidRPr="00E95D30">
        <w:rPr>
          <w:rFonts w:cs="Times New Roman"/>
          <w:sz w:val="28"/>
          <w:szCs w:val="28"/>
        </w:rPr>
        <w:t>Aģentūras</w:t>
      </w:r>
      <w:r w:rsidR="00904EA4" w:rsidRPr="00E95D30">
        <w:rPr>
          <w:rFonts w:cs="Times New Roman"/>
          <w:sz w:val="28"/>
          <w:szCs w:val="28"/>
        </w:rPr>
        <w:t xml:space="preserve"> likvidāciju </w:t>
      </w:r>
      <w:r w:rsidR="00AE1559" w:rsidRPr="00E95D30">
        <w:rPr>
          <w:rFonts w:cs="Times New Roman"/>
          <w:sz w:val="28"/>
          <w:szCs w:val="28"/>
        </w:rPr>
        <w:t xml:space="preserve">trešajā </w:t>
      </w:r>
      <w:r w:rsidR="00904EA4" w:rsidRPr="00E95D30">
        <w:rPr>
          <w:rFonts w:cs="Times New Roman"/>
          <w:sz w:val="28"/>
          <w:szCs w:val="28"/>
        </w:rPr>
        <w:t>etapā</w:t>
      </w:r>
      <w:r w:rsidR="00583DF0" w:rsidRPr="00E95D30">
        <w:rPr>
          <w:rFonts w:cs="Times New Roman"/>
          <w:sz w:val="28"/>
          <w:szCs w:val="28"/>
        </w:rPr>
        <w:t xml:space="preserve"> (2017.-2018.gads)</w:t>
      </w:r>
      <w:r w:rsidR="00904EA4" w:rsidRPr="00E95D30">
        <w:rPr>
          <w:rFonts w:cs="Times New Roman"/>
          <w:sz w:val="28"/>
          <w:szCs w:val="28"/>
        </w:rPr>
        <w:t xml:space="preserve">. </w:t>
      </w:r>
      <w:r w:rsidRPr="00E95D30">
        <w:rPr>
          <w:rFonts w:cs="Times New Roman"/>
          <w:sz w:val="28"/>
          <w:szCs w:val="28"/>
        </w:rPr>
        <w:t xml:space="preserve"> </w:t>
      </w:r>
      <w:r w:rsidR="00F074AB" w:rsidRPr="00E95D30">
        <w:rPr>
          <w:rFonts w:cs="Times New Roman"/>
          <w:sz w:val="28"/>
          <w:szCs w:val="28"/>
        </w:rPr>
        <w:tab/>
      </w:r>
    </w:p>
    <w:p w:rsidR="00D101F3" w:rsidRPr="00E95D30" w:rsidRDefault="00D101F3" w:rsidP="00B70816">
      <w:pPr>
        <w:jc w:val="right"/>
        <w:rPr>
          <w:rFonts w:cs="Times New Roman"/>
          <w:sz w:val="28"/>
          <w:szCs w:val="28"/>
        </w:rPr>
      </w:pPr>
    </w:p>
    <w:p w:rsidR="00B70816" w:rsidRPr="00E95D30" w:rsidRDefault="00B70816" w:rsidP="00B70816">
      <w:pPr>
        <w:jc w:val="right"/>
        <w:rPr>
          <w:rFonts w:cs="Times New Roman"/>
          <w:sz w:val="28"/>
          <w:szCs w:val="28"/>
        </w:rPr>
      </w:pPr>
      <w:r w:rsidRPr="00E95D30">
        <w:rPr>
          <w:rFonts w:cs="Times New Roman"/>
          <w:sz w:val="28"/>
          <w:szCs w:val="28"/>
        </w:rPr>
        <w:t>Tabula Nr.</w:t>
      </w:r>
      <w:r w:rsidR="00630817" w:rsidRPr="00E95D30">
        <w:rPr>
          <w:rFonts w:cs="Times New Roman"/>
          <w:sz w:val="28"/>
          <w:szCs w:val="28"/>
        </w:rPr>
        <w:t>10</w:t>
      </w:r>
    </w:p>
    <w:tbl>
      <w:tblPr>
        <w:tblStyle w:val="TableGrid"/>
        <w:tblW w:w="8550" w:type="dxa"/>
        <w:tblLayout w:type="fixed"/>
        <w:tblLook w:val="04A0" w:firstRow="1" w:lastRow="0" w:firstColumn="1" w:lastColumn="0" w:noHBand="0" w:noVBand="1"/>
      </w:tblPr>
      <w:tblGrid>
        <w:gridCol w:w="655"/>
        <w:gridCol w:w="2605"/>
        <w:gridCol w:w="3936"/>
        <w:gridCol w:w="1354"/>
      </w:tblGrid>
      <w:tr w:rsidR="00B70816" w:rsidRPr="00426EEF" w:rsidTr="00F60747">
        <w:tc>
          <w:tcPr>
            <w:tcW w:w="655" w:type="dxa"/>
            <w:shd w:val="clear" w:color="auto" w:fill="4F81BD" w:themeFill="accent1"/>
          </w:tcPr>
          <w:p w:rsidR="00B70816" w:rsidRPr="00E95D30" w:rsidRDefault="00B70816" w:rsidP="00722C72">
            <w:pPr>
              <w:jc w:val="center"/>
              <w:rPr>
                <w:color w:val="FFFFFF" w:themeColor="background1"/>
              </w:rPr>
            </w:pPr>
            <w:r w:rsidRPr="00E95D30">
              <w:rPr>
                <w:color w:val="FFFFFF" w:themeColor="background1"/>
              </w:rPr>
              <w:t>Nr.</w:t>
            </w:r>
          </w:p>
        </w:tc>
        <w:tc>
          <w:tcPr>
            <w:tcW w:w="2605" w:type="dxa"/>
            <w:shd w:val="clear" w:color="auto" w:fill="4F81BD" w:themeFill="accent1"/>
          </w:tcPr>
          <w:p w:rsidR="00B70816" w:rsidRPr="00E95D30" w:rsidRDefault="00B70816" w:rsidP="00722C72">
            <w:pPr>
              <w:jc w:val="center"/>
              <w:rPr>
                <w:color w:val="FFFFFF" w:themeColor="background1"/>
              </w:rPr>
            </w:pPr>
            <w:r w:rsidRPr="00E95D30">
              <w:rPr>
                <w:color w:val="FFFFFF" w:themeColor="background1"/>
              </w:rPr>
              <w:t>Tiesību akts</w:t>
            </w:r>
          </w:p>
        </w:tc>
        <w:tc>
          <w:tcPr>
            <w:tcW w:w="3936" w:type="dxa"/>
            <w:shd w:val="clear" w:color="auto" w:fill="4F81BD" w:themeFill="accent1"/>
          </w:tcPr>
          <w:p w:rsidR="00B70816" w:rsidRPr="00E95D30" w:rsidRDefault="00B70816" w:rsidP="00722C72">
            <w:pPr>
              <w:jc w:val="center"/>
              <w:rPr>
                <w:color w:val="FFFFFF" w:themeColor="background1"/>
              </w:rPr>
            </w:pPr>
            <w:r w:rsidRPr="00E95D30">
              <w:rPr>
                <w:color w:val="FFFFFF" w:themeColor="background1"/>
              </w:rPr>
              <w:t>Nepieciešamie grozījumi</w:t>
            </w:r>
          </w:p>
        </w:tc>
        <w:tc>
          <w:tcPr>
            <w:tcW w:w="1354" w:type="dxa"/>
            <w:shd w:val="clear" w:color="auto" w:fill="4F81BD" w:themeFill="accent1"/>
          </w:tcPr>
          <w:p w:rsidR="00B70816" w:rsidRPr="00E95D30" w:rsidRDefault="00B70816" w:rsidP="00722C72">
            <w:pPr>
              <w:jc w:val="center"/>
              <w:rPr>
                <w:color w:val="FFFFFF" w:themeColor="background1"/>
              </w:rPr>
            </w:pPr>
            <w:r w:rsidRPr="00E95D30">
              <w:rPr>
                <w:color w:val="FFFFFF" w:themeColor="background1"/>
              </w:rPr>
              <w:t>Izstrādāšanas laika grafiks</w:t>
            </w:r>
          </w:p>
        </w:tc>
      </w:tr>
      <w:tr w:rsidR="00B70816" w:rsidRPr="00426EEF" w:rsidTr="00F60747">
        <w:tc>
          <w:tcPr>
            <w:tcW w:w="8550" w:type="dxa"/>
            <w:gridSpan w:val="4"/>
          </w:tcPr>
          <w:p w:rsidR="00B70816" w:rsidRPr="00E95D30" w:rsidRDefault="00B70816" w:rsidP="00B70816">
            <w:pPr>
              <w:jc w:val="center"/>
              <w:rPr>
                <w:b/>
              </w:rPr>
            </w:pPr>
            <w:r w:rsidRPr="00E95D30">
              <w:rPr>
                <w:b/>
              </w:rPr>
              <w:t>Likumi</w:t>
            </w:r>
          </w:p>
        </w:tc>
      </w:tr>
      <w:tr w:rsidR="00B70816" w:rsidRPr="00426EEF" w:rsidTr="00F60747">
        <w:tc>
          <w:tcPr>
            <w:tcW w:w="655" w:type="dxa"/>
          </w:tcPr>
          <w:p w:rsidR="00B70816" w:rsidRPr="00E95D30" w:rsidRDefault="00B70816" w:rsidP="00FE183A">
            <w:pPr>
              <w:pStyle w:val="ListParagraph"/>
              <w:numPr>
                <w:ilvl w:val="0"/>
                <w:numId w:val="7"/>
              </w:numPr>
              <w:jc w:val="both"/>
              <w:rPr>
                <w:rFonts w:cstheme="minorBidi"/>
              </w:rPr>
            </w:pPr>
          </w:p>
        </w:tc>
        <w:tc>
          <w:tcPr>
            <w:tcW w:w="2605" w:type="dxa"/>
          </w:tcPr>
          <w:p w:rsidR="00B70816" w:rsidRPr="00E95D30" w:rsidRDefault="00B70816" w:rsidP="00D974F6">
            <w:pPr>
              <w:jc w:val="both"/>
              <w:rPr>
                <w:rFonts w:cstheme="minorBidi"/>
              </w:rPr>
            </w:pPr>
            <w:r w:rsidRPr="00E95D30">
              <w:t>Likums „Par valsts un pašvaldību īpašuma objektu privatizāciju”</w:t>
            </w:r>
          </w:p>
        </w:tc>
        <w:tc>
          <w:tcPr>
            <w:tcW w:w="3936" w:type="dxa"/>
          </w:tcPr>
          <w:p w:rsidR="00B70816" w:rsidRPr="00E95D30" w:rsidRDefault="00B70816" w:rsidP="00C05DF5">
            <w:pPr>
              <w:jc w:val="both"/>
              <w:rPr>
                <w:rFonts w:cstheme="minorBidi"/>
              </w:rPr>
            </w:pPr>
            <w:r w:rsidRPr="00E95D30">
              <w:t xml:space="preserve">Nepieciešams noteikt institūciju, kas pēc </w:t>
            </w:r>
            <w:r w:rsidR="00CF3E6B" w:rsidRPr="00E95D30">
              <w:t xml:space="preserve">Aģentūras </w:t>
            </w:r>
            <w:r w:rsidRPr="00E95D30">
              <w:t xml:space="preserve">darbības izbeigšanas veiks likumā </w:t>
            </w:r>
            <w:r w:rsidR="00CF3E6B" w:rsidRPr="00E95D30">
              <w:t>Aģentūrai</w:t>
            </w:r>
            <w:r w:rsidRPr="00E95D30">
              <w:t xml:space="preserve"> noteiktās funkcijas.</w:t>
            </w:r>
          </w:p>
        </w:tc>
        <w:tc>
          <w:tcPr>
            <w:tcW w:w="1354" w:type="dxa"/>
          </w:tcPr>
          <w:p w:rsidR="00B70816" w:rsidRPr="00E95D30" w:rsidRDefault="00B70816"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Likums „Par valsts un pašvaldību dzīvojamo māju privatizāciju”</w:t>
            </w:r>
          </w:p>
        </w:tc>
        <w:tc>
          <w:tcPr>
            <w:tcW w:w="3936" w:type="dxa"/>
          </w:tcPr>
          <w:p w:rsidR="007A1203" w:rsidRPr="00E95D30" w:rsidRDefault="007A1203" w:rsidP="00A467B7">
            <w:pPr>
              <w:jc w:val="both"/>
            </w:pPr>
            <w:r w:rsidRPr="00E95D30">
              <w:t>Nepieciešams noteikt, ka dzīvojamās mājas un to neprivatizētās daļas, kā arī dzīvokļu īpašumi, attiecībā uz kuriem ir beigusies plānveida privatizācija vai pašvaldība nav pārņēmusi savā  īpašumā, nododami citai institūcijai</w:t>
            </w:r>
            <w:r w:rsidR="00F744DE">
              <w:t xml:space="preserve"> (kapitālsabiedrībai)</w:t>
            </w:r>
            <w:r w:rsidRPr="00E95D30">
              <w:t xml:space="preserve">, kas pēc </w:t>
            </w:r>
            <w:r w:rsidR="00601739" w:rsidRPr="00E95D30">
              <w:rPr>
                <w:snapToGrid w:val="0"/>
                <w:lang w:eastAsia="en-US"/>
              </w:rPr>
              <w:t>Aģentūras</w:t>
            </w:r>
            <w:r w:rsidRPr="00E95D30">
              <w:t xml:space="preserve"> dar</w:t>
            </w:r>
            <w:r w:rsidR="00601739" w:rsidRPr="00E95D30">
              <w:t xml:space="preserve">bības izbeigšanas veiks likumā </w:t>
            </w:r>
            <w:r w:rsidR="00601739" w:rsidRPr="00E95D30">
              <w:rPr>
                <w:snapToGrid w:val="0"/>
                <w:lang w:eastAsia="en-US"/>
              </w:rPr>
              <w:t>Aģentūras</w:t>
            </w:r>
            <w:r w:rsidRPr="00E95D30">
              <w:t xml:space="preserve"> noteiktās funkcijas. Nepieciešams noteikt nodošanas kārtību un termiņu.</w:t>
            </w:r>
          </w:p>
          <w:p w:rsidR="007A1203" w:rsidRPr="00E95D30" w:rsidRDefault="007A1203" w:rsidP="00A467B7">
            <w:pPr>
              <w:jc w:val="both"/>
            </w:pPr>
            <w:r w:rsidRPr="00E95D30">
              <w:t xml:space="preserve">Nepieciešams noteikt institūciju, kas pēc </w:t>
            </w:r>
            <w:r w:rsidR="00601739" w:rsidRPr="00E95D30">
              <w:rPr>
                <w:snapToGrid w:val="0"/>
                <w:lang w:eastAsia="en-US"/>
              </w:rPr>
              <w:t>Aģentūras</w:t>
            </w:r>
            <w:r w:rsidRPr="00E95D30">
              <w:t xml:space="preserve"> darbības izbeigšanas veiks privatizācijas pabeigšanas funkciju (paātrināti privatizēto dzīvokļu pirkuma līgumu slēgšana, zemes pēcprivatizācija, ķīlas tiesību dzēšana, nomaksas pirkuma līgumu saistību izpildes kontrole).</w:t>
            </w:r>
          </w:p>
          <w:p w:rsidR="007A1203" w:rsidRPr="00E95D30" w:rsidRDefault="007A1203" w:rsidP="00A467B7">
            <w:pPr>
              <w:jc w:val="both"/>
            </w:pPr>
            <w:r w:rsidRPr="00E95D30">
              <w:t>Nepieciešams noteikt institūciju, kas pārņems valdījumā valsts dzīvokļu īpašumus, kuru privatizācijas tiesības nav izmantotas.</w:t>
            </w:r>
          </w:p>
          <w:p w:rsidR="007A1203" w:rsidRPr="00E95D30" w:rsidRDefault="007A1203" w:rsidP="004766E7">
            <w:pPr>
              <w:jc w:val="both"/>
            </w:pPr>
          </w:p>
        </w:tc>
        <w:tc>
          <w:tcPr>
            <w:tcW w:w="1354" w:type="dxa"/>
          </w:tcPr>
          <w:p w:rsidR="007A1203" w:rsidRPr="00E95D30" w:rsidRDefault="007A1203"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Valsts un pašvaldību īpašuma privatizācijas un privatizācijas sertifikātu izmantošanas pabeigšanas likums</w:t>
            </w:r>
          </w:p>
        </w:tc>
        <w:tc>
          <w:tcPr>
            <w:tcW w:w="3936" w:type="dxa"/>
          </w:tcPr>
          <w:p w:rsidR="007A1203" w:rsidRPr="00E95D30" w:rsidRDefault="007A1203" w:rsidP="004766E7">
            <w:pPr>
              <w:jc w:val="both"/>
              <w:rPr>
                <w:rFonts w:cstheme="minorBidi"/>
              </w:rPr>
            </w:pPr>
            <w:r w:rsidRPr="00E95D30">
              <w:t xml:space="preserve">Nepieciešams noteikt termiņu, līdz kuram privatizācijas subjektiem jāveic darbības (būves jāieraksta zemesgrāmatā, jānovērš nelikumīgā būvniecība), lai privatizācijas procesu </w:t>
            </w:r>
            <w:r w:rsidRPr="00E95D30">
              <w:lastRenderedPageBreak/>
              <w:t xml:space="preserve">varētu turpināt un pabeigt; nepieciešams noteikt privatizācijas izbeigšanas kārtību, ka privatizācijas subjekts noteiktā termiņā neveic minētās darbības (un attiecīgi privatizācijas pabeigšana ir atkarīga tikai un vienīgi no subjekta rīcības). </w:t>
            </w:r>
          </w:p>
        </w:tc>
        <w:tc>
          <w:tcPr>
            <w:tcW w:w="1354" w:type="dxa"/>
          </w:tcPr>
          <w:p w:rsidR="007A1203" w:rsidRPr="00E95D30" w:rsidRDefault="007A1203" w:rsidP="00B70816">
            <w:r w:rsidRPr="00E95D30">
              <w:lastRenderedPageBreak/>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 xml:space="preserve">Likums „Par privatizējamo valsts un pašvaldību īpašuma objektu novērtēšanas kārtību” </w:t>
            </w:r>
          </w:p>
        </w:tc>
        <w:tc>
          <w:tcPr>
            <w:tcW w:w="3936" w:type="dxa"/>
          </w:tcPr>
          <w:p w:rsidR="007A1203" w:rsidRPr="00E95D30" w:rsidRDefault="007A1203" w:rsidP="00C05DF5">
            <w:pPr>
              <w:jc w:val="both"/>
              <w:rPr>
                <w:rFonts w:cstheme="minorBidi"/>
              </w:rPr>
            </w:pPr>
            <w:r w:rsidRPr="00E95D30">
              <w:t xml:space="preserve">Nepieciešams noteikt institūciju, kas pēc </w:t>
            </w:r>
            <w:r w:rsidR="00601739" w:rsidRPr="00E95D30">
              <w:rPr>
                <w:snapToGrid w:val="0"/>
                <w:lang w:eastAsia="en-US"/>
              </w:rPr>
              <w:t>Aģentūras</w:t>
            </w:r>
            <w:r w:rsidRPr="00E95D30">
              <w:t xml:space="preserve"> darbības izbeigšanas veiks likumā </w:t>
            </w:r>
            <w:r w:rsidR="00601739" w:rsidRPr="00E95D30">
              <w:rPr>
                <w:snapToGrid w:val="0"/>
                <w:lang w:eastAsia="en-US"/>
              </w:rPr>
              <w:t>Aģentūras</w:t>
            </w:r>
            <w:r w:rsidRPr="00E95D30">
              <w:t xml:space="preserve"> noteiktās funkcijas</w:t>
            </w:r>
          </w:p>
        </w:tc>
        <w:tc>
          <w:tcPr>
            <w:tcW w:w="1354" w:type="dxa"/>
          </w:tcPr>
          <w:p w:rsidR="007A1203" w:rsidRPr="00E95D30" w:rsidRDefault="007A1203"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Likums „Par zemes reformu Latvijas Republikas pilsētās”</w:t>
            </w:r>
          </w:p>
          <w:p w:rsidR="007A1203" w:rsidRPr="00E95D30" w:rsidRDefault="007A1203" w:rsidP="00D974F6">
            <w:pPr>
              <w:jc w:val="both"/>
              <w:rPr>
                <w:rFonts w:cstheme="minorBidi"/>
              </w:rPr>
            </w:pPr>
          </w:p>
        </w:tc>
        <w:tc>
          <w:tcPr>
            <w:tcW w:w="3936" w:type="dxa"/>
          </w:tcPr>
          <w:p w:rsidR="007A1203" w:rsidRPr="00E95D30" w:rsidRDefault="007A1203" w:rsidP="00D974F6">
            <w:pPr>
              <w:jc w:val="both"/>
              <w:rPr>
                <w:rFonts w:cstheme="minorBidi"/>
              </w:rPr>
            </w:pPr>
            <w:r w:rsidRPr="00E95D30">
              <w:t xml:space="preserve">Nepieciešams noteikt valsts un pašvaldību zemes privatizācijas un atsavināšanas kārtību pēc </w:t>
            </w:r>
            <w:r w:rsidR="00601739" w:rsidRPr="00E95D30">
              <w:rPr>
                <w:snapToGrid w:val="0"/>
                <w:lang w:eastAsia="en-US"/>
              </w:rPr>
              <w:t>Aģentūras</w:t>
            </w:r>
            <w:r w:rsidRPr="00E95D30">
              <w:t xml:space="preserve"> darbības izbeigšanas</w:t>
            </w:r>
          </w:p>
        </w:tc>
        <w:tc>
          <w:tcPr>
            <w:tcW w:w="1354" w:type="dxa"/>
          </w:tcPr>
          <w:p w:rsidR="007A1203" w:rsidRPr="00E95D30" w:rsidRDefault="007A1203"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 xml:space="preserve">Likums „Par zemes privatizāciju lauku apvidos” </w:t>
            </w:r>
          </w:p>
        </w:tc>
        <w:tc>
          <w:tcPr>
            <w:tcW w:w="3936" w:type="dxa"/>
          </w:tcPr>
          <w:p w:rsidR="007A1203" w:rsidRPr="00E95D30" w:rsidRDefault="007A1203" w:rsidP="00C05DF5">
            <w:pPr>
              <w:jc w:val="both"/>
              <w:rPr>
                <w:rFonts w:cstheme="minorBidi"/>
              </w:rPr>
            </w:pPr>
            <w:r w:rsidRPr="00E95D30">
              <w:t xml:space="preserve">Nepieciešams noteikt institūciju, kas pēc </w:t>
            </w:r>
            <w:r w:rsidR="00601739" w:rsidRPr="00E95D30">
              <w:rPr>
                <w:snapToGrid w:val="0"/>
                <w:lang w:eastAsia="en-US"/>
              </w:rPr>
              <w:t>Aģentūras</w:t>
            </w:r>
            <w:r w:rsidRPr="00E95D30">
              <w:t xml:space="preserve"> darbības izbeigšanas veiks likumā </w:t>
            </w:r>
            <w:r w:rsidR="00601739" w:rsidRPr="00E95D30">
              <w:rPr>
                <w:snapToGrid w:val="0"/>
                <w:lang w:eastAsia="en-US"/>
              </w:rPr>
              <w:t>Aģentūras</w:t>
            </w:r>
            <w:r w:rsidRPr="00E95D30">
              <w:t xml:space="preserve"> noteiktās funkcijas</w:t>
            </w:r>
          </w:p>
        </w:tc>
        <w:tc>
          <w:tcPr>
            <w:tcW w:w="1354" w:type="dxa"/>
          </w:tcPr>
          <w:p w:rsidR="007A1203" w:rsidRPr="00E95D30" w:rsidRDefault="007A1203"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color w:val="FF0000"/>
              </w:rPr>
            </w:pPr>
          </w:p>
        </w:tc>
        <w:tc>
          <w:tcPr>
            <w:tcW w:w="2605" w:type="dxa"/>
          </w:tcPr>
          <w:p w:rsidR="007A1203" w:rsidRPr="00E95D30" w:rsidRDefault="007A1203" w:rsidP="00D974F6">
            <w:pPr>
              <w:jc w:val="both"/>
              <w:rPr>
                <w:rFonts w:cstheme="minorBidi"/>
              </w:rPr>
            </w:pPr>
            <w:r w:rsidRPr="00E95D30">
              <w:t>Publi</w:t>
            </w:r>
            <w:r w:rsidR="00E23BFB">
              <w:t>s</w:t>
            </w:r>
            <w:r w:rsidRPr="00E95D30">
              <w:t>kas personas mantas atsavināšanas likums</w:t>
            </w:r>
          </w:p>
        </w:tc>
        <w:tc>
          <w:tcPr>
            <w:tcW w:w="3936" w:type="dxa"/>
          </w:tcPr>
          <w:p w:rsidR="007A1203" w:rsidRPr="00E95D30" w:rsidRDefault="007A1203" w:rsidP="00755F84">
            <w:pPr>
              <w:jc w:val="both"/>
              <w:rPr>
                <w:rFonts w:cstheme="minorBidi"/>
              </w:rPr>
            </w:pPr>
            <w:r w:rsidRPr="00E95D30">
              <w:t xml:space="preserve">Nepieciešams noteikt institūciju, kas pēc </w:t>
            </w:r>
            <w:r w:rsidR="00755F84" w:rsidRPr="00E95D30">
              <w:t>Aģentūras</w:t>
            </w:r>
            <w:r w:rsidRPr="00E95D30">
              <w:t xml:space="preserve"> darbības izbeigšanas veiks likumā </w:t>
            </w:r>
            <w:r w:rsidR="00755F84" w:rsidRPr="00E95D30">
              <w:t xml:space="preserve">Aģentūrai </w:t>
            </w:r>
            <w:r w:rsidRPr="00E95D30">
              <w:t>noteiktās funkcijas</w:t>
            </w:r>
          </w:p>
        </w:tc>
        <w:tc>
          <w:tcPr>
            <w:tcW w:w="1354" w:type="dxa"/>
          </w:tcPr>
          <w:p w:rsidR="007A1203" w:rsidRPr="00E95D30" w:rsidRDefault="007A1203"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Likums „Par valsts un pašvaldību zemes īpašuma tiesībām un to nostiprināšanu zemesgrāmatās”</w:t>
            </w:r>
          </w:p>
        </w:tc>
        <w:tc>
          <w:tcPr>
            <w:tcW w:w="3936" w:type="dxa"/>
          </w:tcPr>
          <w:p w:rsidR="007A1203" w:rsidRPr="00E95D30" w:rsidRDefault="00755F84" w:rsidP="00C05DF5">
            <w:pPr>
              <w:jc w:val="both"/>
              <w:rPr>
                <w:rFonts w:cstheme="minorBidi"/>
              </w:rPr>
            </w:pPr>
            <w:r w:rsidRPr="00E95D30">
              <w:t>Nepieciešams noteikt institūciju, kas pēc Aģentūras darbības izbeigšanas veiks likumā Aģentūrai noteiktās funkcijas</w:t>
            </w:r>
          </w:p>
        </w:tc>
        <w:tc>
          <w:tcPr>
            <w:tcW w:w="1354" w:type="dxa"/>
          </w:tcPr>
          <w:p w:rsidR="007A1203" w:rsidRPr="00E95D30" w:rsidRDefault="007A1203"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C4687B">
            <w:pPr>
              <w:jc w:val="both"/>
            </w:pPr>
            <w:r w:rsidRPr="00E95D30">
              <w:t xml:space="preserve">Likums „Par īpašuma tiesību atjaunošanu uz uzņēmumiem un citiem īpašuma objektiem” </w:t>
            </w:r>
          </w:p>
        </w:tc>
        <w:tc>
          <w:tcPr>
            <w:tcW w:w="3936" w:type="dxa"/>
          </w:tcPr>
          <w:p w:rsidR="007A1203" w:rsidRPr="00E95D30" w:rsidRDefault="007A1203" w:rsidP="00755F84">
            <w:pPr>
              <w:jc w:val="both"/>
              <w:rPr>
                <w:rFonts w:cstheme="minorBidi"/>
              </w:rPr>
            </w:pPr>
            <w:r w:rsidRPr="00E95D30">
              <w:t xml:space="preserve">Nepieciešams noteikt institūciju, kas pēc </w:t>
            </w:r>
            <w:r w:rsidR="00755F84" w:rsidRPr="00E95D30">
              <w:t>Aģentūras</w:t>
            </w:r>
            <w:r w:rsidRPr="00E95D30">
              <w:t xml:space="preserve"> darbības izbeigšanas veiks darbības, kas saistītas ar bijušā īpašnieka vai viņa mantinieku īpašuma tiesību atjaunošanu vai atzīšanu, uzņēmuma mantas vērtības noteikšanu un kompensācijai piešķiramo sertifikātu skaita noteikšanu, kā arī sūdzību un strīdu izskatīšanu</w:t>
            </w:r>
          </w:p>
        </w:tc>
        <w:tc>
          <w:tcPr>
            <w:tcW w:w="1354" w:type="dxa"/>
          </w:tcPr>
          <w:p w:rsidR="007A1203" w:rsidRPr="00E95D30" w:rsidRDefault="007A1203" w:rsidP="001F7D6D">
            <w:r w:rsidRPr="00E95D30">
              <w:t>2013</w:t>
            </w:r>
          </w:p>
        </w:tc>
      </w:tr>
      <w:tr w:rsidR="00635878" w:rsidRPr="00426EEF" w:rsidTr="00F60747">
        <w:tc>
          <w:tcPr>
            <w:tcW w:w="655" w:type="dxa"/>
          </w:tcPr>
          <w:p w:rsidR="00635878" w:rsidRPr="00E95D30" w:rsidRDefault="00635878" w:rsidP="00CF6D05">
            <w:pPr>
              <w:ind w:left="360"/>
              <w:contextualSpacing/>
              <w:jc w:val="both"/>
              <w:rPr>
                <w:rFonts w:cstheme="minorBidi"/>
              </w:rPr>
            </w:pPr>
          </w:p>
        </w:tc>
        <w:tc>
          <w:tcPr>
            <w:tcW w:w="2605" w:type="dxa"/>
          </w:tcPr>
          <w:p w:rsidR="00635878" w:rsidRPr="00E95D30" w:rsidRDefault="00635878" w:rsidP="00A467B7">
            <w:pPr>
              <w:jc w:val="both"/>
            </w:pPr>
          </w:p>
        </w:tc>
        <w:tc>
          <w:tcPr>
            <w:tcW w:w="3936" w:type="dxa"/>
          </w:tcPr>
          <w:p w:rsidR="00635878" w:rsidRPr="00E95D30" w:rsidRDefault="00635878" w:rsidP="00A467B7">
            <w:pPr>
              <w:jc w:val="both"/>
            </w:pPr>
          </w:p>
        </w:tc>
        <w:tc>
          <w:tcPr>
            <w:tcW w:w="1354" w:type="dxa"/>
          </w:tcPr>
          <w:p w:rsidR="00635878" w:rsidRPr="00E95D30" w:rsidRDefault="00635878" w:rsidP="00A467B7"/>
        </w:tc>
      </w:tr>
      <w:tr w:rsidR="007A1203" w:rsidRPr="00426EEF" w:rsidTr="00F60747">
        <w:tc>
          <w:tcPr>
            <w:tcW w:w="8550" w:type="dxa"/>
            <w:gridSpan w:val="4"/>
          </w:tcPr>
          <w:p w:rsidR="007A1203" w:rsidRPr="00E95D30" w:rsidRDefault="007A1203" w:rsidP="00D974F6">
            <w:pPr>
              <w:pStyle w:val="ListParagraph"/>
              <w:ind w:left="360"/>
              <w:jc w:val="both"/>
              <w:rPr>
                <w:rFonts w:cstheme="minorBidi"/>
                <w:b/>
              </w:rPr>
            </w:pPr>
            <w:r w:rsidRPr="00E95D30">
              <w:rPr>
                <w:b/>
              </w:rPr>
              <w:t>Ministru kabineta noteikumi</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E26E9B">
            <w:pPr>
              <w:jc w:val="both"/>
            </w:pPr>
            <w:r w:rsidRPr="00E95D30">
              <w:t>2007.gada 16.oktobra Ministru kabineta noteikumi Nr.712 „Privatizācijas sertifikātu noteikumi”</w:t>
            </w:r>
          </w:p>
          <w:p w:rsidR="00E26E9B" w:rsidRPr="00E95D30" w:rsidRDefault="00E26E9B" w:rsidP="00126206">
            <w:pPr>
              <w:jc w:val="both"/>
            </w:pPr>
          </w:p>
          <w:p w:rsidR="002F49B4" w:rsidRPr="00E95D30" w:rsidRDefault="00E26E9B">
            <w:pPr>
              <w:jc w:val="both"/>
              <w:rPr>
                <w:rFonts w:cstheme="minorBidi"/>
              </w:rPr>
            </w:pPr>
            <w:r w:rsidRPr="00E95D30">
              <w:t xml:space="preserve">2012.gada 20.novembra Ministru kabineta noteikumi Nr.782 </w:t>
            </w:r>
            <w:r w:rsidRPr="00E95D30">
              <w:lastRenderedPageBreak/>
              <w:t>„Kārtība, kādā politiski represētajām personām, dzēšot privatizācijas sertifikātus, izmaksā kompensāciju naudā”</w:t>
            </w:r>
          </w:p>
          <w:p w:rsidR="002F49B4" w:rsidRPr="00E95D30" w:rsidRDefault="002F49B4">
            <w:pPr>
              <w:jc w:val="both"/>
              <w:rPr>
                <w:rFonts w:cstheme="minorBidi"/>
              </w:rPr>
            </w:pPr>
          </w:p>
          <w:p w:rsidR="002F49B4" w:rsidRPr="00E95D30" w:rsidRDefault="00E26E9B">
            <w:pPr>
              <w:jc w:val="both"/>
              <w:rPr>
                <w:rFonts w:cstheme="minorBidi"/>
              </w:rPr>
            </w:pPr>
            <w:r w:rsidRPr="00E95D30">
              <w:t>2003.gada 11.februāra Ministru kabineta noteikumi Nr.71 „Privatizācijas sertifikātu piešķiršanas un privatizācijas sertifikātu kontu atvēršanas noteikumi”</w:t>
            </w:r>
          </w:p>
          <w:p w:rsidR="002F49B4" w:rsidRPr="00E95D30" w:rsidRDefault="002F49B4">
            <w:pPr>
              <w:jc w:val="both"/>
              <w:rPr>
                <w:rFonts w:cstheme="minorBidi"/>
              </w:rPr>
            </w:pPr>
          </w:p>
          <w:p w:rsidR="002F49B4" w:rsidRPr="00E95D30" w:rsidRDefault="00E26E9B">
            <w:pPr>
              <w:jc w:val="both"/>
              <w:rPr>
                <w:rFonts w:cstheme="minorBidi"/>
              </w:rPr>
            </w:pPr>
            <w:r w:rsidRPr="00E95D30">
              <w:t>2007.gada 16.oktobra Ministru kabineta noteikumi Nr.711 „Noteikumi par privatizācijas sertifikātu tirgus starpniecības sabiedrību licenču izsniegšanas, apturēšanas un anulēšanas kārtību, valsts nodevas likmi par tās saņemšanu, kā arī starpniecības sabiedrību pienākumiem un to uzraudzības kārtību”</w:t>
            </w:r>
          </w:p>
          <w:p w:rsidR="002F49B4" w:rsidRPr="00E95D30" w:rsidRDefault="002F49B4">
            <w:pPr>
              <w:jc w:val="both"/>
              <w:rPr>
                <w:rFonts w:cstheme="minorBidi"/>
              </w:rPr>
            </w:pPr>
          </w:p>
        </w:tc>
        <w:tc>
          <w:tcPr>
            <w:tcW w:w="3936" w:type="dxa"/>
          </w:tcPr>
          <w:p w:rsidR="007A1203" w:rsidRPr="00E95D30" w:rsidRDefault="007A1203" w:rsidP="00D974F6">
            <w:pPr>
              <w:jc w:val="both"/>
            </w:pPr>
            <w:r w:rsidRPr="00E95D30">
              <w:lastRenderedPageBreak/>
              <w:t>Nepieciešami grozījumi pēc likum</w:t>
            </w:r>
            <w:r w:rsidR="00816CFC" w:rsidRPr="00E95D30">
              <w:t>projekta</w:t>
            </w:r>
            <w:r w:rsidRPr="00E95D30">
              <w:t xml:space="preserve"> „Grozījumi Valsts un pašvaldību īpašuma privatizācijas un privatizācijas sertifikātu izmantošanas pabeigšanas likumā”  pieņemšanas</w:t>
            </w:r>
            <w:r w:rsidR="004766E7" w:rsidRPr="00E95D30">
              <w:t>.</w:t>
            </w:r>
          </w:p>
          <w:p w:rsidR="004766E7" w:rsidRPr="00E95D30" w:rsidRDefault="004766E7" w:rsidP="00816CFC">
            <w:pPr>
              <w:jc w:val="both"/>
              <w:rPr>
                <w:rFonts w:cstheme="minorBidi"/>
              </w:rPr>
            </w:pPr>
            <w:r w:rsidRPr="00E95D30">
              <w:rPr>
                <w:rFonts w:cstheme="minorBidi"/>
              </w:rPr>
              <w:t>Nepieciešami grozījumi pēc likum</w:t>
            </w:r>
            <w:r w:rsidR="00816CFC" w:rsidRPr="00E95D30">
              <w:rPr>
                <w:rFonts w:cstheme="minorBidi"/>
              </w:rPr>
              <w:t>projekta</w:t>
            </w:r>
            <w:r w:rsidRPr="00E95D30">
              <w:rPr>
                <w:rFonts w:cstheme="minorBidi"/>
              </w:rPr>
              <w:t xml:space="preserve"> „Grozījumi likumā "Par privatizācijas sertifikātiem"" pieņemšanas, kas 2013.gada </w:t>
            </w:r>
            <w:r w:rsidRPr="00E95D30">
              <w:rPr>
                <w:rFonts w:cstheme="minorBidi"/>
              </w:rPr>
              <w:lastRenderedPageBreak/>
              <w:t>28.februārī Saeimā ir pieņemts 1.lasījumā.</w:t>
            </w:r>
          </w:p>
        </w:tc>
        <w:tc>
          <w:tcPr>
            <w:tcW w:w="1354" w:type="dxa"/>
          </w:tcPr>
          <w:p w:rsidR="007A1203" w:rsidRPr="00E95D30" w:rsidRDefault="007A1203" w:rsidP="00B70816">
            <w:r w:rsidRPr="00E95D30">
              <w:lastRenderedPageBreak/>
              <w:t>2014</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rPr>
            </w:pPr>
            <w:r w:rsidRPr="00E95D30">
              <w:t>2007.gada 30.oktobra Ministru kabineta noteikumi Nr.735 “Noteikumi par publiskas personas zemes nomu”</w:t>
            </w:r>
          </w:p>
          <w:p w:rsidR="007A1203" w:rsidRPr="00E95D30" w:rsidRDefault="007A1203" w:rsidP="00D974F6">
            <w:pPr>
              <w:jc w:val="both"/>
              <w:rPr>
                <w:rFonts w:cstheme="minorBidi"/>
              </w:rPr>
            </w:pPr>
          </w:p>
        </w:tc>
        <w:tc>
          <w:tcPr>
            <w:tcW w:w="3936" w:type="dxa"/>
            <w:vMerge w:val="restart"/>
          </w:tcPr>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C05DF5" w:rsidRPr="00E95D30" w:rsidRDefault="00C05DF5" w:rsidP="00D974F6">
            <w:pPr>
              <w:jc w:val="both"/>
              <w:rPr>
                <w:rFonts w:cstheme="minorBidi"/>
              </w:rPr>
            </w:pPr>
          </w:p>
          <w:p w:rsidR="00C05DF5" w:rsidRPr="00E95D30" w:rsidRDefault="00C05DF5" w:rsidP="00D974F6">
            <w:pPr>
              <w:jc w:val="both"/>
              <w:rPr>
                <w:rFonts w:cstheme="minorBidi"/>
              </w:rPr>
            </w:pPr>
          </w:p>
          <w:p w:rsidR="00C05DF5" w:rsidRPr="00E95D30" w:rsidRDefault="00C05DF5" w:rsidP="00D974F6">
            <w:pPr>
              <w:jc w:val="both"/>
              <w:rPr>
                <w:rFonts w:cstheme="minorBidi"/>
              </w:rPr>
            </w:pPr>
          </w:p>
          <w:p w:rsidR="00C05DF5" w:rsidRPr="00E95D30" w:rsidRDefault="00C05DF5" w:rsidP="00D974F6">
            <w:pPr>
              <w:jc w:val="both"/>
              <w:rPr>
                <w:rFonts w:cstheme="minorBidi"/>
              </w:rPr>
            </w:pPr>
          </w:p>
          <w:p w:rsidR="007A1203" w:rsidRPr="00E95D30" w:rsidRDefault="00C05DF5" w:rsidP="00341952">
            <w:pPr>
              <w:jc w:val="both"/>
            </w:pPr>
            <w:r w:rsidRPr="00E95D30">
              <w:t>Nepieciešami grozījumi pēc likum</w:t>
            </w:r>
            <w:r w:rsidR="00816CFC" w:rsidRPr="00E95D30">
              <w:t>projekta</w:t>
            </w:r>
            <w:r w:rsidRPr="00E95D30">
              <w:t xml:space="preserve"> „Grozījumi likumā „Par valsts un pašvaldību īpašuma objektu privatizāciju””  un likum</w:t>
            </w:r>
            <w:r w:rsidR="00816CFC" w:rsidRPr="00E95D30">
              <w:t>projekta</w:t>
            </w:r>
            <w:r w:rsidRPr="00E95D30">
              <w:t xml:space="preserve"> „Grozījumi Valsts un pašvaldību īpašuma privatizācijas un privatizācijas sertifikātu izmantošanas pabeigšanas likumā”  pieņemšanas</w:t>
            </w: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pPr>
          </w:p>
          <w:p w:rsidR="007A1203" w:rsidRPr="00E95D30" w:rsidRDefault="007A1203" w:rsidP="00D974F6">
            <w:pPr>
              <w:jc w:val="both"/>
            </w:pPr>
          </w:p>
          <w:p w:rsidR="007A1203" w:rsidRPr="00E95D30" w:rsidRDefault="007A1203" w:rsidP="00FB2877">
            <w:pPr>
              <w:jc w:val="both"/>
              <w:rPr>
                <w:rFonts w:cstheme="minorBidi"/>
              </w:rPr>
            </w:pPr>
          </w:p>
        </w:tc>
        <w:tc>
          <w:tcPr>
            <w:tcW w:w="1354" w:type="dxa"/>
            <w:vMerge w:val="restart"/>
          </w:tcPr>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r w:rsidRPr="00E95D30">
              <w:t>2014</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b/>
              </w:rPr>
            </w:pPr>
            <w:r w:rsidRPr="00E95D30">
              <w:t>2009.gada 18.augusta Ministru kabineta noteikumi Nr.946 “Noteikumi par apbūvēta zemesgabala vērtības noteikšanu privatizācijas vajadzībām”</w:t>
            </w:r>
          </w:p>
        </w:tc>
        <w:tc>
          <w:tcPr>
            <w:tcW w:w="3936" w:type="dxa"/>
            <w:vMerge/>
          </w:tcPr>
          <w:p w:rsidR="007A1203" w:rsidRPr="00E95D30" w:rsidRDefault="007A1203" w:rsidP="00D974F6">
            <w:pPr>
              <w:jc w:val="both"/>
              <w:rPr>
                <w:rFonts w:cstheme="minorBidi"/>
              </w:rPr>
            </w:pPr>
          </w:p>
        </w:tc>
        <w:tc>
          <w:tcPr>
            <w:tcW w:w="1354" w:type="dxa"/>
            <w:vMerge/>
          </w:tcPr>
          <w:p w:rsidR="007A1203" w:rsidRPr="00E95D30" w:rsidRDefault="007A1203" w:rsidP="00B70816"/>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bCs/>
              </w:rPr>
            </w:pPr>
            <w:r w:rsidRPr="00E95D30">
              <w:rPr>
                <w:bCs/>
              </w:rPr>
              <w:t xml:space="preserve">2011.gada 20.decembra </w:t>
            </w:r>
            <w:r w:rsidRPr="00E95D30">
              <w:t>Ministru kabineta noteikumi Nr.976 „</w:t>
            </w:r>
            <w:r w:rsidRPr="00E95D30">
              <w:rPr>
                <w:bCs/>
              </w:rPr>
              <w:t xml:space="preserve">Kārtība, kādā veicami </w:t>
            </w:r>
            <w:r w:rsidRPr="00E95D30">
              <w:rPr>
                <w:bCs/>
              </w:rPr>
              <w:lastRenderedPageBreak/>
              <w:t xml:space="preserve">atskaitījumi Privatizācijas aģentūrai par valsts īpašuma privatizāciju, valsts kapitāla daļu atsavināšanu un citām normatīvajos aktos noteiktajām darbībām, izveidojams un izlietojams rezerves fonds un veicami maksājumi valsts budžetā” </w:t>
            </w:r>
          </w:p>
          <w:p w:rsidR="007A1203" w:rsidRPr="00E95D30" w:rsidRDefault="007A1203" w:rsidP="00C4687B">
            <w:pPr>
              <w:pStyle w:val="Heading1"/>
              <w:keepLines w:val="0"/>
              <w:jc w:val="both"/>
              <w:outlineLvl w:val="0"/>
              <w:rPr>
                <w:sz w:val="24"/>
                <w:szCs w:val="24"/>
              </w:rPr>
            </w:pPr>
          </w:p>
        </w:tc>
        <w:tc>
          <w:tcPr>
            <w:tcW w:w="3936" w:type="dxa"/>
            <w:vMerge/>
          </w:tcPr>
          <w:p w:rsidR="007A1203" w:rsidRPr="00E95D30" w:rsidRDefault="007A1203" w:rsidP="00D974F6">
            <w:pPr>
              <w:jc w:val="both"/>
              <w:rPr>
                <w:rFonts w:cstheme="minorBidi"/>
              </w:rPr>
            </w:pPr>
          </w:p>
        </w:tc>
        <w:tc>
          <w:tcPr>
            <w:tcW w:w="1354" w:type="dxa"/>
            <w:vMerge/>
          </w:tcPr>
          <w:p w:rsidR="007A1203" w:rsidRPr="00E95D30" w:rsidRDefault="007A1203" w:rsidP="00B70816"/>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bCs/>
              </w:rPr>
            </w:pPr>
            <w:r w:rsidRPr="00E95D30">
              <w:rPr>
                <w:bCs/>
              </w:rPr>
              <w:t>1995.gada 7.novembra Ministru kabineta noteikumi Nr.337 „Noteikumi par dzīvojamo māju privatizācijas objektu vērtības noteikšanu”</w:t>
            </w:r>
          </w:p>
        </w:tc>
        <w:tc>
          <w:tcPr>
            <w:tcW w:w="3936" w:type="dxa"/>
            <w:vMerge w:val="restart"/>
          </w:tcPr>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rPr>
                <w:rFonts w:cstheme="minorBidi"/>
              </w:rPr>
            </w:pPr>
          </w:p>
          <w:p w:rsidR="007A1203" w:rsidRPr="00E95D30" w:rsidRDefault="007A1203" w:rsidP="00D974F6">
            <w:pPr>
              <w:jc w:val="both"/>
            </w:pPr>
          </w:p>
          <w:p w:rsidR="007A1203" w:rsidRPr="00E95D30" w:rsidRDefault="007A1203" w:rsidP="00D974F6">
            <w:pPr>
              <w:jc w:val="both"/>
            </w:pPr>
          </w:p>
          <w:p w:rsidR="00C05DF5" w:rsidRPr="00E95D30" w:rsidRDefault="00C05DF5" w:rsidP="00C05DF5">
            <w:r w:rsidRPr="00E95D30">
              <w:t>Nepieciešami grozījumi pēc likum</w:t>
            </w:r>
            <w:r w:rsidR="00816CFC" w:rsidRPr="00E95D30">
              <w:t>projekta</w:t>
            </w:r>
            <w:r w:rsidRPr="00E95D30">
              <w:t xml:space="preserve"> „</w:t>
            </w:r>
            <w:r w:rsidR="004D41BF" w:rsidRPr="00E95D30">
              <w:t>Grozījumi likumā „</w:t>
            </w:r>
            <w:r w:rsidR="00E26E9B" w:rsidRPr="00E95D30">
              <w:t>Par valsts un pašvaldību dzīvojamo māju privatizāciju</w:t>
            </w:r>
            <w:r w:rsidR="004D41BF" w:rsidRPr="00E95D30">
              <w:t>”</w:t>
            </w:r>
            <w:r w:rsidRPr="00E95D30">
              <w:t>”  pieņemšanas</w:t>
            </w:r>
          </w:p>
          <w:p w:rsidR="007A1203" w:rsidRPr="00E95D30" w:rsidRDefault="007A1203" w:rsidP="00BE4CC1">
            <w:pPr>
              <w:jc w:val="both"/>
              <w:rPr>
                <w:rFonts w:cstheme="minorBidi"/>
              </w:rPr>
            </w:pPr>
          </w:p>
        </w:tc>
        <w:tc>
          <w:tcPr>
            <w:tcW w:w="1354" w:type="dxa"/>
            <w:vMerge w:val="restart"/>
          </w:tcPr>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p w:rsidR="007A1203" w:rsidRPr="00E95D30" w:rsidRDefault="007A1203" w:rsidP="00B70816">
            <w:r w:rsidRPr="00E95D30">
              <w:t>2014</w:t>
            </w:r>
          </w:p>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bCs/>
              </w:rPr>
            </w:pPr>
            <w:r w:rsidRPr="00E95D30">
              <w:rPr>
                <w:bCs/>
              </w:rPr>
              <w:t>1996.gada 23.februāra Ministru kabineta noteikumi Nr.46 „Noteikumi par valsts un pašvaldību dzīvojamo māju privatizācijas objektu izsoles organizēšanu”</w:t>
            </w:r>
          </w:p>
        </w:tc>
        <w:tc>
          <w:tcPr>
            <w:tcW w:w="3936" w:type="dxa"/>
            <w:vMerge/>
          </w:tcPr>
          <w:p w:rsidR="007A1203" w:rsidRPr="00E95D30" w:rsidRDefault="007A1203" w:rsidP="00D974F6">
            <w:pPr>
              <w:jc w:val="both"/>
              <w:rPr>
                <w:rFonts w:cstheme="minorBidi"/>
              </w:rPr>
            </w:pPr>
          </w:p>
        </w:tc>
        <w:tc>
          <w:tcPr>
            <w:tcW w:w="1354" w:type="dxa"/>
            <w:vMerge/>
          </w:tcPr>
          <w:p w:rsidR="007A1203" w:rsidRPr="00E95D30" w:rsidRDefault="007A1203" w:rsidP="00B70816"/>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rFonts w:cstheme="minorBidi"/>
                <w:bCs/>
              </w:rPr>
            </w:pPr>
            <w:r w:rsidRPr="00E95D30">
              <w:rPr>
                <w:bCs/>
              </w:rPr>
              <w:t>2003.gada 2.septembra Ministru kabineta noteikumi Nr.487 „Kārtība, kādā veicami maksājumi par  dzīvojamo māju privatizācijas objektiem”</w:t>
            </w:r>
          </w:p>
        </w:tc>
        <w:tc>
          <w:tcPr>
            <w:tcW w:w="3936" w:type="dxa"/>
            <w:vMerge/>
          </w:tcPr>
          <w:p w:rsidR="007A1203" w:rsidRPr="00E95D30" w:rsidRDefault="007A1203" w:rsidP="00D974F6">
            <w:pPr>
              <w:jc w:val="both"/>
              <w:rPr>
                <w:rFonts w:cstheme="minorBidi"/>
              </w:rPr>
            </w:pPr>
          </w:p>
        </w:tc>
        <w:tc>
          <w:tcPr>
            <w:tcW w:w="1354" w:type="dxa"/>
            <w:vMerge/>
          </w:tcPr>
          <w:p w:rsidR="007A1203" w:rsidRPr="00E95D30" w:rsidRDefault="007A1203" w:rsidP="00B70816"/>
        </w:tc>
      </w:tr>
      <w:tr w:rsidR="007A1203" w:rsidRPr="00426EEF" w:rsidTr="00F60747">
        <w:tc>
          <w:tcPr>
            <w:tcW w:w="655" w:type="dxa"/>
          </w:tcPr>
          <w:p w:rsidR="007A1203" w:rsidRPr="00E95D30" w:rsidRDefault="007A1203" w:rsidP="00FE183A">
            <w:pPr>
              <w:pStyle w:val="ListParagraph"/>
              <w:numPr>
                <w:ilvl w:val="0"/>
                <w:numId w:val="7"/>
              </w:numPr>
              <w:jc w:val="both"/>
              <w:rPr>
                <w:rFonts w:cstheme="minorBidi"/>
              </w:rPr>
            </w:pPr>
          </w:p>
        </w:tc>
        <w:tc>
          <w:tcPr>
            <w:tcW w:w="2605" w:type="dxa"/>
          </w:tcPr>
          <w:p w:rsidR="007A1203" w:rsidRPr="00E95D30" w:rsidRDefault="007A1203" w:rsidP="00D974F6">
            <w:pPr>
              <w:jc w:val="both"/>
              <w:rPr>
                <w:bCs/>
              </w:rPr>
            </w:pPr>
            <w:r w:rsidRPr="00E95D30">
              <w:rPr>
                <w:bCs/>
              </w:rPr>
              <w:t>1999.gada 19.janvāra Ministru kabineta noteikumi Nr.20 „Dzīvojamās mājas privatizācijai nepieciešamo dokumentu sagatavošanas noteikumi”</w:t>
            </w:r>
          </w:p>
          <w:p w:rsidR="00E26E9B" w:rsidRPr="00E95D30" w:rsidRDefault="00E26E9B" w:rsidP="00D974F6">
            <w:pPr>
              <w:jc w:val="both"/>
              <w:rPr>
                <w:bCs/>
              </w:rPr>
            </w:pPr>
          </w:p>
          <w:p w:rsidR="00E26E9B" w:rsidRPr="00E95D30" w:rsidRDefault="00E26E9B" w:rsidP="00E26E9B">
            <w:pPr>
              <w:jc w:val="both"/>
              <w:rPr>
                <w:bCs/>
              </w:rPr>
            </w:pPr>
            <w:r w:rsidRPr="00E95D30">
              <w:rPr>
                <w:bCs/>
              </w:rPr>
              <w:t xml:space="preserve">1997.gada 2.septembra Ministru kabineta noteikumi Nr.312 </w:t>
            </w:r>
            <w:r w:rsidRPr="00E95D30">
              <w:rPr>
                <w:bCs/>
              </w:rPr>
              <w:lastRenderedPageBreak/>
              <w:t>„Kārtība un apmēri, kādos veicami maksājumi par dzīvokļa, mākslinieka darbnīcas un neapdzīvojamās telpas nodošanu īpašumā līdz dzīvojamās mājas privatizācijai”</w:t>
            </w:r>
          </w:p>
        </w:tc>
        <w:tc>
          <w:tcPr>
            <w:tcW w:w="3936" w:type="dxa"/>
            <w:vMerge/>
          </w:tcPr>
          <w:p w:rsidR="007A1203" w:rsidRPr="00E95D30" w:rsidRDefault="007A1203" w:rsidP="00D974F6">
            <w:pPr>
              <w:jc w:val="both"/>
              <w:rPr>
                <w:rFonts w:cstheme="minorBidi"/>
              </w:rPr>
            </w:pPr>
          </w:p>
        </w:tc>
        <w:tc>
          <w:tcPr>
            <w:tcW w:w="1354" w:type="dxa"/>
            <w:vMerge/>
          </w:tcPr>
          <w:p w:rsidR="007A1203" w:rsidRPr="00E95D30" w:rsidRDefault="007A1203" w:rsidP="00B70816"/>
        </w:tc>
      </w:tr>
      <w:tr w:rsidR="007A1203" w:rsidRPr="00426EEF" w:rsidTr="00F60747">
        <w:tc>
          <w:tcPr>
            <w:tcW w:w="655" w:type="dxa"/>
          </w:tcPr>
          <w:p w:rsidR="007A1203" w:rsidRPr="00E95D30" w:rsidRDefault="007A1203" w:rsidP="00CA279A">
            <w:pPr>
              <w:jc w:val="both"/>
            </w:pPr>
          </w:p>
        </w:tc>
        <w:tc>
          <w:tcPr>
            <w:tcW w:w="2605" w:type="dxa"/>
          </w:tcPr>
          <w:p w:rsidR="007A1203" w:rsidRPr="00E95D30" w:rsidRDefault="007A1203" w:rsidP="00D974F6">
            <w:pPr>
              <w:jc w:val="both"/>
              <w:rPr>
                <w:rFonts w:cstheme="minorBidi"/>
                <w:bCs/>
              </w:rPr>
            </w:pPr>
          </w:p>
        </w:tc>
        <w:tc>
          <w:tcPr>
            <w:tcW w:w="3936" w:type="dxa"/>
          </w:tcPr>
          <w:p w:rsidR="00B067D1" w:rsidRPr="00E95D30" w:rsidRDefault="00B067D1" w:rsidP="00B067D1">
            <w:pPr>
              <w:jc w:val="both"/>
              <w:rPr>
                <w:rFonts w:cstheme="minorBidi"/>
              </w:rPr>
            </w:pPr>
          </w:p>
        </w:tc>
        <w:tc>
          <w:tcPr>
            <w:tcW w:w="1354" w:type="dxa"/>
          </w:tcPr>
          <w:p w:rsidR="007A1203" w:rsidRPr="00E95D30" w:rsidRDefault="007A1203" w:rsidP="000A565E"/>
        </w:tc>
      </w:tr>
      <w:tr w:rsidR="007A1203" w:rsidRPr="00426EEF" w:rsidTr="00F60747">
        <w:tc>
          <w:tcPr>
            <w:tcW w:w="655" w:type="dxa"/>
          </w:tcPr>
          <w:p w:rsidR="007A1203" w:rsidRPr="00E95D30" w:rsidRDefault="007A1203" w:rsidP="00FE183A">
            <w:pPr>
              <w:pStyle w:val="ListParagraph"/>
              <w:numPr>
                <w:ilvl w:val="0"/>
                <w:numId w:val="7"/>
              </w:numPr>
            </w:pPr>
          </w:p>
        </w:tc>
        <w:tc>
          <w:tcPr>
            <w:tcW w:w="2605" w:type="dxa"/>
          </w:tcPr>
          <w:p w:rsidR="007A1203" w:rsidRPr="00E95D30" w:rsidRDefault="007A1203" w:rsidP="00B70816">
            <w:pPr>
              <w:rPr>
                <w:bCs/>
              </w:rPr>
            </w:pPr>
            <w:r w:rsidRPr="00E95D30">
              <w:rPr>
                <w:bCs/>
              </w:rPr>
              <w:t>2011.gada 1.februāra Ministru kabineta noteikumi Nr.109 „Kārtība, kādā atsavināma publiskas personas manta”</w:t>
            </w:r>
          </w:p>
        </w:tc>
        <w:tc>
          <w:tcPr>
            <w:tcW w:w="3936" w:type="dxa"/>
          </w:tcPr>
          <w:p w:rsidR="007A1203" w:rsidRPr="00E95D30" w:rsidRDefault="007A1203" w:rsidP="00341952">
            <w:pPr>
              <w:jc w:val="both"/>
            </w:pPr>
            <w:r w:rsidRPr="00E95D30">
              <w:t>Nepieciešami grozījumi pēc likuma „Grozījumi Publi</w:t>
            </w:r>
            <w:r w:rsidR="00B067D1">
              <w:t>s</w:t>
            </w:r>
            <w:r w:rsidRPr="00E95D30">
              <w:t>kas personas mantas atsavināšanas likumā” pieņemšanas</w:t>
            </w:r>
            <w:r w:rsidR="00341952" w:rsidRPr="00E95D30">
              <w:t>.</w:t>
            </w:r>
          </w:p>
        </w:tc>
        <w:tc>
          <w:tcPr>
            <w:tcW w:w="1354" w:type="dxa"/>
          </w:tcPr>
          <w:p w:rsidR="007A1203" w:rsidRPr="00E95D30" w:rsidRDefault="007A1203" w:rsidP="00B70816">
            <w:r w:rsidRPr="00E95D30">
              <w:t>2014</w:t>
            </w:r>
          </w:p>
        </w:tc>
      </w:tr>
      <w:tr w:rsidR="007A1203" w:rsidRPr="00426EEF" w:rsidTr="00F60747">
        <w:tc>
          <w:tcPr>
            <w:tcW w:w="655" w:type="dxa"/>
          </w:tcPr>
          <w:p w:rsidR="007A1203" w:rsidRPr="00E95D30" w:rsidRDefault="007A1203" w:rsidP="00FE183A">
            <w:pPr>
              <w:pStyle w:val="ListParagraph"/>
              <w:numPr>
                <w:ilvl w:val="0"/>
                <w:numId w:val="7"/>
              </w:numPr>
            </w:pPr>
          </w:p>
        </w:tc>
        <w:tc>
          <w:tcPr>
            <w:tcW w:w="2605" w:type="dxa"/>
          </w:tcPr>
          <w:p w:rsidR="007A1203" w:rsidRPr="00E95D30" w:rsidRDefault="007A1203" w:rsidP="008E2D69">
            <w:pPr>
              <w:rPr>
                <w:bCs/>
              </w:rPr>
            </w:pPr>
            <w:r w:rsidRPr="00E95D30">
              <w:rPr>
                <w:bCs/>
              </w:rPr>
              <w:t>Ministru kabineta 2006.gada 19.septembra noteikumi Nr.770 „</w:t>
            </w:r>
            <w:r w:rsidRPr="00E95D30">
              <w:rPr>
                <w:rFonts w:cstheme="minorBidi"/>
                <w:bCs/>
              </w:rPr>
              <w:t xml:space="preserve">Kārtība, kādā veicama </w:t>
            </w:r>
            <w:hyperlink r:id="rId16" w:history="1">
              <w:r w:rsidRPr="00E95D30">
                <w:rPr>
                  <w:rFonts w:cstheme="minorBidi"/>
                  <w:bCs/>
                </w:rPr>
                <w:t>privatizācija</w:t>
              </w:r>
            </w:hyperlink>
            <w:r w:rsidRPr="00E95D30">
              <w:rPr>
                <w:rFonts w:cstheme="minorBidi"/>
                <w:bCs/>
              </w:rPr>
              <w:t xml:space="preserve"> ar privātā kapitāla piesaistīšanas metodi</w:t>
            </w:r>
            <w:r w:rsidRPr="00E95D30">
              <w:rPr>
                <w:bCs/>
              </w:rPr>
              <w:t xml:space="preserve"> ”</w:t>
            </w:r>
          </w:p>
        </w:tc>
        <w:tc>
          <w:tcPr>
            <w:tcW w:w="3936" w:type="dxa"/>
            <w:vMerge w:val="restart"/>
            <w:vAlign w:val="center"/>
          </w:tcPr>
          <w:p w:rsidR="007A1203" w:rsidRPr="00E95D30" w:rsidRDefault="00F548B7" w:rsidP="00816CFC">
            <w:pPr>
              <w:jc w:val="both"/>
              <w:rPr>
                <w:rFonts w:cstheme="minorBidi"/>
              </w:rPr>
            </w:pPr>
            <w:r w:rsidRPr="00E95D30">
              <w:t>Nepieciešami grozījumi pēc likum</w:t>
            </w:r>
            <w:r w:rsidR="00816CFC" w:rsidRPr="00E95D30">
              <w:t>projekta</w:t>
            </w:r>
            <w:r w:rsidRPr="00E95D30">
              <w:t xml:space="preserve"> „</w:t>
            </w:r>
            <w:r w:rsidR="00816CFC" w:rsidRPr="00E95D30">
              <w:t>Grozījumi likumā „</w:t>
            </w:r>
            <w:r w:rsidRPr="00E95D30">
              <w:t>Par valsts un pašvaldību īpašuma objektu privatizāciju” pieņemšanas</w:t>
            </w:r>
            <w:r w:rsidRPr="00E95D30" w:rsidDel="00F548B7">
              <w:t xml:space="preserve"> </w:t>
            </w:r>
          </w:p>
        </w:tc>
        <w:tc>
          <w:tcPr>
            <w:tcW w:w="1354" w:type="dxa"/>
          </w:tcPr>
          <w:p w:rsidR="007A1203" w:rsidRPr="00E95D30" w:rsidRDefault="00CF2BDC"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rPr>
                <w:bCs/>
              </w:rPr>
            </w:pPr>
          </w:p>
        </w:tc>
        <w:tc>
          <w:tcPr>
            <w:tcW w:w="2605" w:type="dxa"/>
          </w:tcPr>
          <w:p w:rsidR="007A1203" w:rsidRPr="00E95D30" w:rsidRDefault="007A1203" w:rsidP="000F5F58">
            <w:pPr>
              <w:rPr>
                <w:bCs/>
              </w:rPr>
            </w:pPr>
            <w:r w:rsidRPr="00E95D30">
              <w:rPr>
                <w:bCs/>
              </w:rPr>
              <w:t>Ministru kabineta 2006.gada 26.septembra noteikumi Nr.792 „Kārtība, kādā veicama valsts vai pašvaldību īpašuma privatizācija, izmantojot ieguldīšanas metodi”</w:t>
            </w:r>
          </w:p>
        </w:tc>
        <w:tc>
          <w:tcPr>
            <w:tcW w:w="3936" w:type="dxa"/>
            <w:vMerge/>
          </w:tcPr>
          <w:p w:rsidR="007A1203" w:rsidRPr="00E95D30" w:rsidRDefault="007A1203" w:rsidP="00B70816"/>
        </w:tc>
        <w:tc>
          <w:tcPr>
            <w:tcW w:w="1354" w:type="dxa"/>
          </w:tcPr>
          <w:p w:rsidR="007A1203" w:rsidRPr="00E95D30" w:rsidRDefault="00CF2BDC" w:rsidP="00B70816">
            <w:r w:rsidRPr="00E95D30">
              <w:t>2013</w:t>
            </w:r>
          </w:p>
        </w:tc>
      </w:tr>
      <w:tr w:rsidR="007A1203" w:rsidRPr="00426EEF" w:rsidTr="00F60747">
        <w:tc>
          <w:tcPr>
            <w:tcW w:w="655" w:type="dxa"/>
          </w:tcPr>
          <w:p w:rsidR="007A1203" w:rsidRPr="00E95D30" w:rsidRDefault="007A1203" w:rsidP="00FE183A">
            <w:pPr>
              <w:pStyle w:val="ListParagraph"/>
              <w:numPr>
                <w:ilvl w:val="0"/>
                <w:numId w:val="7"/>
              </w:numPr>
            </w:pPr>
          </w:p>
        </w:tc>
        <w:tc>
          <w:tcPr>
            <w:tcW w:w="2605" w:type="dxa"/>
          </w:tcPr>
          <w:p w:rsidR="007A1203" w:rsidRPr="00E95D30" w:rsidRDefault="007A1203" w:rsidP="008E2D69">
            <w:pPr>
              <w:rPr>
                <w:bCs/>
              </w:rPr>
            </w:pPr>
            <w:r w:rsidRPr="00E95D30">
              <w:rPr>
                <w:bCs/>
              </w:rPr>
              <w:t>Ministru kabineta 2006.gada 18.aprīļa  noteikumi Nr.291 „Noteikumi par nodokļu maksājumu parādu kapitalizācijas rezultātā izveidojušos kapitāla daļu pārdošanu”</w:t>
            </w:r>
          </w:p>
        </w:tc>
        <w:tc>
          <w:tcPr>
            <w:tcW w:w="3936" w:type="dxa"/>
            <w:vMerge/>
          </w:tcPr>
          <w:p w:rsidR="007A1203" w:rsidRPr="00E95D30" w:rsidRDefault="007A1203" w:rsidP="00B70816"/>
        </w:tc>
        <w:tc>
          <w:tcPr>
            <w:tcW w:w="1354" w:type="dxa"/>
          </w:tcPr>
          <w:p w:rsidR="007A1203" w:rsidRPr="00E95D30" w:rsidRDefault="007A1203" w:rsidP="00CF2BDC">
            <w:r w:rsidRPr="00E95D30">
              <w:t>201</w:t>
            </w:r>
            <w:r w:rsidR="00CF2BDC" w:rsidRPr="00E95D30">
              <w:t>3</w:t>
            </w:r>
          </w:p>
        </w:tc>
      </w:tr>
    </w:tbl>
    <w:p w:rsidR="00610259" w:rsidRDefault="00610259" w:rsidP="00293C18">
      <w:pPr>
        <w:rPr>
          <w:rFonts w:eastAsia="Times New Roman" w:cs="Times New Roman"/>
          <w:sz w:val="28"/>
          <w:szCs w:val="28"/>
          <w:lang w:eastAsia="lv-LV"/>
        </w:rPr>
      </w:pPr>
    </w:p>
    <w:p w:rsidR="00227193" w:rsidRPr="00227193" w:rsidRDefault="00610259" w:rsidP="00293C18">
      <w:pPr>
        <w:rPr>
          <w:rFonts w:eastAsia="Times New Roman" w:cs="Times New Roman"/>
          <w:sz w:val="28"/>
          <w:szCs w:val="28"/>
          <w:lang w:eastAsia="lv-LV"/>
        </w:rPr>
      </w:pPr>
      <w:r>
        <w:rPr>
          <w:rFonts w:eastAsia="Times New Roman" w:cs="Times New Roman"/>
          <w:sz w:val="28"/>
          <w:szCs w:val="28"/>
          <w:lang w:eastAsia="lv-LV"/>
        </w:rPr>
        <w:t>Ekonomikas ministrs</w:t>
      </w:r>
      <w:r>
        <w:rPr>
          <w:rFonts w:eastAsia="Times New Roman" w:cs="Times New Roman"/>
          <w:sz w:val="28"/>
          <w:szCs w:val="28"/>
          <w:lang w:eastAsia="lv-LV"/>
        </w:rPr>
        <w:tab/>
      </w:r>
      <w:r>
        <w:rPr>
          <w:rFonts w:eastAsia="Times New Roman" w:cs="Times New Roman"/>
          <w:sz w:val="28"/>
          <w:szCs w:val="28"/>
          <w:lang w:eastAsia="lv-LV"/>
        </w:rPr>
        <w:tab/>
      </w:r>
      <w:r>
        <w:rPr>
          <w:rFonts w:eastAsia="Times New Roman" w:cs="Times New Roman"/>
          <w:sz w:val="28"/>
          <w:szCs w:val="28"/>
          <w:lang w:eastAsia="lv-LV"/>
        </w:rPr>
        <w:tab/>
      </w:r>
      <w:r>
        <w:rPr>
          <w:rFonts w:eastAsia="Times New Roman" w:cs="Times New Roman"/>
          <w:sz w:val="28"/>
          <w:szCs w:val="28"/>
          <w:lang w:eastAsia="lv-LV"/>
        </w:rPr>
        <w:tab/>
      </w:r>
      <w:r>
        <w:rPr>
          <w:rFonts w:eastAsia="Times New Roman" w:cs="Times New Roman"/>
          <w:sz w:val="28"/>
          <w:szCs w:val="28"/>
          <w:lang w:eastAsia="lv-LV"/>
        </w:rPr>
        <w:tab/>
      </w:r>
      <w:r>
        <w:rPr>
          <w:rFonts w:eastAsia="Times New Roman" w:cs="Times New Roman"/>
          <w:sz w:val="28"/>
          <w:szCs w:val="28"/>
          <w:lang w:eastAsia="lv-LV"/>
        </w:rPr>
        <w:tab/>
      </w:r>
      <w:proofErr w:type="spellStart"/>
      <w:r>
        <w:rPr>
          <w:rFonts w:eastAsia="Times New Roman" w:cs="Times New Roman"/>
          <w:sz w:val="28"/>
          <w:szCs w:val="28"/>
          <w:lang w:eastAsia="lv-LV"/>
        </w:rPr>
        <w:t>D.Pavļuts</w:t>
      </w:r>
      <w:proofErr w:type="spellEnd"/>
    </w:p>
    <w:p w:rsidR="000C71A0" w:rsidRPr="000C71A0" w:rsidRDefault="000C71A0" w:rsidP="000C71A0">
      <w:pPr>
        <w:ind w:firstLine="720"/>
        <w:rPr>
          <w:rFonts w:eastAsia="Times New Roman" w:cs="Times New Roman"/>
          <w:sz w:val="28"/>
          <w:szCs w:val="28"/>
        </w:rPr>
      </w:pPr>
    </w:p>
    <w:p w:rsidR="00AA0326" w:rsidRDefault="00AA0326" w:rsidP="00293C18">
      <w:pPr>
        <w:jc w:val="both"/>
        <w:rPr>
          <w:rFonts w:eastAsia="Times New Roman" w:cs="Times New Roman"/>
          <w:sz w:val="28"/>
          <w:szCs w:val="28"/>
          <w:lang w:eastAsia="lv-LV"/>
        </w:rPr>
      </w:pPr>
    </w:p>
    <w:p w:rsidR="00AA0326" w:rsidRDefault="00AA0326" w:rsidP="00293C18">
      <w:pPr>
        <w:jc w:val="both"/>
        <w:rPr>
          <w:rFonts w:eastAsia="Times New Roman" w:cs="Times New Roman"/>
          <w:sz w:val="28"/>
          <w:szCs w:val="28"/>
          <w:lang w:eastAsia="lv-LV"/>
        </w:rPr>
      </w:pPr>
    </w:p>
    <w:p w:rsidR="000C71A0" w:rsidRDefault="000C71A0" w:rsidP="00293C18">
      <w:pPr>
        <w:jc w:val="both"/>
        <w:rPr>
          <w:rFonts w:eastAsia="Times New Roman" w:cs="Times New Roman"/>
          <w:sz w:val="28"/>
          <w:szCs w:val="28"/>
          <w:lang w:eastAsia="lv-LV"/>
        </w:rPr>
      </w:pPr>
      <w:r w:rsidRPr="000C71A0">
        <w:rPr>
          <w:rFonts w:eastAsia="Times New Roman" w:cs="Times New Roman"/>
          <w:sz w:val="28"/>
          <w:szCs w:val="28"/>
          <w:lang w:eastAsia="lv-LV"/>
        </w:rPr>
        <w:t xml:space="preserve">Vīza: </w:t>
      </w:r>
      <w:r w:rsidR="00227193">
        <w:rPr>
          <w:rFonts w:eastAsia="Times New Roman" w:cs="Times New Roman"/>
          <w:sz w:val="28"/>
          <w:szCs w:val="28"/>
          <w:lang w:eastAsia="lv-LV"/>
        </w:rPr>
        <w:t>v</w:t>
      </w:r>
      <w:r w:rsidRPr="000C71A0">
        <w:rPr>
          <w:rFonts w:eastAsia="Times New Roman" w:cs="Times New Roman"/>
          <w:sz w:val="28"/>
          <w:szCs w:val="28"/>
          <w:lang w:eastAsia="lv-LV"/>
        </w:rPr>
        <w:t>alsts sekretārs</w:t>
      </w:r>
      <w:r w:rsidRPr="000C71A0">
        <w:rPr>
          <w:rFonts w:eastAsia="Times New Roman" w:cs="Times New Roman"/>
          <w:sz w:val="28"/>
          <w:szCs w:val="28"/>
          <w:lang w:eastAsia="lv-LV"/>
        </w:rPr>
        <w:tab/>
      </w:r>
      <w:r w:rsidRPr="000C71A0">
        <w:rPr>
          <w:rFonts w:eastAsia="Times New Roman" w:cs="Times New Roman"/>
          <w:sz w:val="28"/>
          <w:szCs w:val="28"/>
          <w:lang w:eastAsia="lv-LV"/>
        </w:rPr>
        <w:tab/>
      </w:r>
      <w:r w:rsidRPr="000C71A0">
        <w:rPr>
          <w:rFonts w:eastAsia="Times New Roman" w:cs="Times New Roman"/>
          <w:sz w:val="28"/>
          <w:szCs w:val="28"/>
          <w:lang w:eastAsia="lv-LV"/>
        </w:rPr>
        <w:tab/>
      </w:r>
      <w:r w:rsidRPr="000C71A0">
        <w:rPr>
          <w:rFonts w:eastAsia="Times New Roman" w:cs="Times New Roman"/>
          <w:sz w:val="28"/>
          <w:szCs w:val="28"/>
          <w:lang w:eastAsia="lv-LV"/>
        </w:rPr>
        <w:tab/>
      </w:r>
      <w:r w:rsidRPr="000C71A0">
        <w:rPr>
          <w:rFonts w:eastAsia="Times New Roman" w:cs="Times New Roman"/>
          <w:sz w:val="28"/>
          <w:szCs w:val="28"/>
          <w:lang w:eastAsia="lv-LV"/>
        </w:rPr>
        <w:tab/>
      </w:r>
      <w:r w:rsidRPr="000C71A0">
        <w:rPr>
          <w:rFonts w:eastAsia="Times New Roman" w:cs="Times New Roman"/>
          <w:sz w:val="28"/>
          <w:szCs w:val="28"/>
          <w:lang w:eastAsia="lv-LV"/>
        </w:rPr>
        <w:tab/>
        <w:t>J.Pūce</w:t>
      </w:r>
    </w:p>
    <w:p w:rsidR="000C71A0" w:rsidRDefault="000C71A0" w:rsidP="000C71A0">
      <w:pPr>
        <w:ind w:firstLine="720"/>
        <w:jc w:val="both"/>
        <w:rPr>
          <w:rFonts w:eastAsia="Times New Roman" w:cs="Times New Roman"/>
          <w:sz w:val="28"/>
          <w:szCs w:val="28"/>
          <w:lang w:eastAsia="lv-LV"/>
        </w:rPr>
      </w:pPr>
    </w:p>
    <w:p w:rsidR="007614C1" w:rsidRPr="007614C1" w:rsidRDefault="00610259" w:rsidP="007614C1">
      <w:pPr>
        <w:tabs>
          <w:tab w:val="left" w:pos="7513"/>
        </w:tabs>
        <w:spacing w:before="120"/>
        <w:rPr>
          <w:rFonts w:eastAsia="Times New Roman" w:cs="Times New Roman"/>
          <w:b/>
          <w:lang w:eastAsia="lv-LV"/>
        </w:rPr>
      </w:pPr>
      <w:r>
        <w:rPr>
          <w:rFonts w:eastAsia="Times New Roman" w:cs="Times New Roman"/>
          <w:lang w:eastAsia="lv-LV"/>
        </w:rPr>
        <w:t>29</w:t>
      </w:r>
      <w:r w:rsidR="007614C1" w:rsidRPr="007614C1">
        <w:rPr>
          <w:rFonts w:eastAsia="Times New Roman" w:cs="Times New Roman"/>
          <w:lang w:eastAsia="lv-LV"/>
        </w:rPr>
        <w:t>.</w:t>
      </w:r>
      <w:r w:rsidR="00E23BFB" w:rsidRPr="007614C1">
        <w:rPr>
          <w:rFonts w:eastAsia="Times New Roman" w:cs="Times New Roman"/>
          <w:lang w:eastAsia="lv-LV"/>
        </w:rPr>
        <w:t>0</w:t>
      </w:r>
      <w:r w:rsidR="00E23BFB">
        <w:rPr>
          <w:rFonts w:eastAsia="Times New Roman" w:cs="Times New Roman"/>
          <w:lang w:eastAsia="lv-LV"/>
        </w:rPr>
        <w:t>7</w:t>
      </w:r>
      <w:r>
        <w:rPr>
          <w:rFonts w:eastAsia="Times New Roman" w:cs="Times New Roman"/>
          <w:lang w:eastAsia="lv-LV"/>
        </w:rPr>
        <w:t xml:space="preserve">.2013. </w:t>
      </w:r>
      <w:r w:rsidR="00AA0326">
        <w:rPr>
          <w:rFonts w:eastAsia="Times New Roman" w:cs="Times New Roman"/>
          <w:lang w:eastAsia="lv-LV"/>
        </w:rPr>
        <w:t>09:45</w:t>
      </w:r>
      <w:bookmarkStart w:id="20" w:name="_GoBack"/>
      <w:bookmarkEnd w:id="20"/>
    </w:p>
    <w:p w:rsidR="007614C1" w:rsidRPr="007614C1" w:rsidRDefault="00DE4817" w:rsidP="007614C1">
      <w:pPr>
        <w:tabs>
          <w:tab w:val="left" w:pos="7513"/>
        </w:tabs>
        <w:rPr>
          <w:rFonts w:eastAsia="Times New Roman" w:cs="Times New Roman"/>
          <w:b/>
          <w:lang w:eastAsia="lv-LV"/>
        </w:rPr>
      </w:pPr>
      <w:r>
        <w:rPr>
          <w:rFonts w:eastAsia="Times New Roman" w:cs="Times New Roman"/>
          <w:lang w:eastAsia="lv-LV"/>
        </w:rPr>
        <w:t>12</w:t>
      </w:r>
      <w:r w:rsidR="00610259">
        <w:rPr>
          <w:rFonts w:eastAsia="Times New Roman" w:cs="Times New Roman"/>
          <w:lang w:eastAsia="lv-LV"/>
        </w:rPr>
        <w:t>242</w:t>
      </w:r>
    </w:p>
    <w:p w:rsidR="007614C1" w:rsidRPr="007614C1" w:rsidRDefault="007614C1" w:rsidP="007614C1">
      <w:pPr>
        <w:rPr>
          <w:rFonts w:eastAsia="Times New Roman" w:cs="Times New Roman"/>
          <w:lang w:eastAsia="lv-LV"/>
        </w:rPr>
      </w:pPr>
      <w:bookmarkStart w:id="21" w:name="OLE_LINK5"/>
      <w:r w:rsidRPr="007614C1">
        <w:rPr>
          <w:rFonts w:eastAsia="Times New Roman" w:cs="Times New Roman"/>
          <w:lang w:eastAsia="lv-LV"/>
        </w:rPr>
        <w:t>Grafs</w:t>
      </w:r>
    </w:p>
    <w:p w:rsidR="004B254D" w:rsidRPr="00426EEF" w:rsidRDefault="007614C1">
      <w:pPr>
        <w:rPr>
          <w:rFonts w:cs="Times New Roman"/>
        </w:rPr>
      </w:pPr>
      <w:r w:rsidRPr="007614C1">
        <w:rPr>
          <w:rFonts w:eastAsia="Times New Roman" w:cs="Times New Roman"/>
          <w:lang w:eastAsia="lv-LV"/>
        </w:rPr>
        <w:t>67021</w:t>
      </w:r>
      <w:bookmarkEnd w:id="21"/>
      <w:r w:rsidRPr="007614C1">
        <w:rPr>
          <w:rFonts w:eastAsia="Times New Roman" w:cs="Times New Roman"/>
          <w:lang w:eastAsia="lv-LV"/>
        </w:rPr>
        <w:t>365, Andris.Grafs@pa.gov.lv</w:t>
      </w:r>
    </w:p>
    <w:sectPr w:rsidR="004B254D" w:rsidRPr="00426EEF" w:rsidSect="0046383B">
      <w:headerReference w:type="default" r:id="rId17"/>
      <w:footerReference w:type="default" r:id="rId18"/>
      <w:headerReference w:type="first" r:id="rId19"/>
      <w:footerReference w:type="first" r:id="rId20"/>
      <w:pgSz w:w="11906" w:h="16838"/>
      <w:pgMar w:top="993"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7F" w:rsidRDefault="00355C7F" w:rsidP="00825505">
      <w:r>
        <w:separator/>
      </w:r>
    </w:p>
  </w:endnote>
  <w:endnote w:type="continuationSeparator" w:id="0">
    <w:p w:rsidR="00355C7F" w:rsidRDefault="00355C7F" w:rsidP="0082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7F" w:rsidRPr="00825505" w:rsidRDefault="00355C7F">
    <w:pPr>
      <w:pStyle w:val="Footer"/>
      <w:jc w:val="right"/>
      <w:rPr>
        <w:sz w:val="20"/>
      </w:rPr>
    </w:pPr>
  </w:p>
  <w:p w:rsidR="00355C7F" w:rsidRDefault="00355C7F" w:rsidP="0046383B">
    <w:pPr>
      <w:pStyle w:val="Footer"/>
      <w:jc w:val="both"/>
    </w:pPr>
    <w:r>
      <w:t>EMZino_</w:t>
    </w:r>
    <w:r w:rsidR="00610259">
      <w:t>29</w:t>
    </w:r>
    <w:r w:rsidR="00227193">
      <w:t>0713</w:t>
    </w:r>
    <w:r>
      <w:t>; Informatīvais ziņojums „Valsts akciju sabiedrības „Privatizācijas aģentūra” darbības izbeigšanas stratēģija”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7F" w:rsidRDefault="00355C7F" w:rsidP="0046383B">
    <w:pPr>
      <w:pStyle w:val="Footer"/>
      <w:jc w:val="both"/>
    </w:pPr>
    <w:r>
      <w:t>EMZino_</w:t>
    </w:r>
    <w:r w:rsidR="00610259">
      <w:t>29</w:t>
    </w:r>
    <w:r w:rsidR="00227193">
      <w:t>0713</w:t>
    </w:r>
    <w:r>
      <w:t>; Informatīvais ziņojums „Valsts akciju sabiedrības „Privatizācijas aģentūra” darbības izbeigšanas stratēģija”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7F" w:rsidRDefault="00355C7F" w:rsidP="00825505">
      <w:r>
        <w:separator/>
      </w:r>
    </w:p>
  </w:footnote>
  <w:footnote w:type="continuationSeparator" w:id="0">
    <w:p w:rsidR="00355C7F" w:rsidRDefault="00355C7F" w:rsidP="00825505">
      <w:r>
        <w:continuationSeparator/>
      </w:r>
    </w:p>
  </w:footnote>
  <w:footnote w:id="1">
    <w:p w:rsidR="00355C7F" w:rsidRPr="00A13492" w:rsidRDefault="00355C7F" w:rsidP="00F032B7">
      <w:pPr>
        <w:pStyle w:val="FootnoteText"/>
        <w:rPr>
          <w:sz w:val="18"/>
          <w:szCs w:val="18"/>
        </w:rPr>
      </w:pPr>
      <w:r w:rsidRPr="00A13492">
        <w:rPr>
          <w:rStyle w:val="FootnoteReference"/>
          <w:sz w:val="18"/>
          <w:szCs w:val="18"/>
        </w:rPr>
        <w:footnoteRef/>
      </w:r>
      <w:r w:rsidRPr="00A13492">
        <w:rPr>
          <w:sz w:val="18"/>
          <w:szCs w:val="18"/>
        </w:rPr>
        <w:t xml:space="preserve"> Papildus minētajiem </w:t>
      </w:r>
      <w:r>
        <w:rPr>
          <w:sz w:val="18"/>
          <w:szCs w:val="18"/>
        </w:rPr>
        <w:t xml:space="preserve">50 </w:t>
      </w:r>
      <w:r w:rsidRPr="00A13492">
        <w:rPr>
          <w:sz w:val="18"/>
          <w:szCs w:val="18"/>
        </w:rPr>
        <w:t xml:space="preserve">valsts īpašuma objektiem, kas ir pārņemti Aģentūras valdījumā, ir pieņemti vēl Ministru kabineta rīkojumi par </w:t>
      </w:r>
      <w:r>
        <w:rPr>
          <w:sz w:val="18"/>
          <w:szCs w:val="18"/>
        </w:rPr>
        <w:t>8</w:t>
      </w:r>
      <w:r w:rsidRPr="00A13492">
        <w:rPr>
          <w:sz w:val="18"/>
          <w:szCs w:val="18"/>
        </w:rPr>
        <w:t xml:space="preserve"> valsts īpašuma objektiem, kas nav vēl nodoti Aģentūras valdījumā.</w:t>
      </w:r>
    </w:p>
  </w:footnote>
  <w:footnote w:id="2">
    <w:p w:rsidR="00355C7F" w:rsidRPr="00A13492" w:rsidRDefault="00355C7F" w:rsidP="00AF2CB7">
      <w:pPr>
        <w:pStyle w:val="FootnoteText"/>
        <w:jc w:val="both"/>
        <w:rPr>
          <w:sz w:val="18"/>
          <w:szCs w:val="18"/>
        </w:rPr>
      </w:pPr>
      <w:r w:rsidRPr="00A13492">
        <w:rPr>
          <w:sz w:val="18"/>
          <w:szCs w:val="18"/>
          <w:vertAlign w:val="superscript"/>
        </w:rPr>
        <w:footnoteRef/>
      </w:r>
      <w:r w:rsidRPr="00A13492">
        <w:rPr>
          <w:sz w:val="18"/>
          <w:szCs w:val="18"/>
        </w:rPr>
        <w:t xml:space="preserve"> Aģentūras valdījumā esošo valsts zemesgabalu dinamiku ietekmē ne tikai pirkuma līgumu noslēgšana (portfeļa apjoms samazinās), bet no jauna Aģentūras valdījumā pārņemto zemesgabalu skaits (portfeļa apjoms pieaug). Uz </w:t>
      </w:r>
      <w:r>
        <w:rPr>
          <w:sz w:val="18"/>
          <w:szCs w:val="18"/>
        </w:rPr>
        <w:t xml:space="preserve"> 2013.gada 31.martu – 61 valsts zemesgabals (58 apbūvēti un 3 neapbūvēti)</w:t>
      </w:r>
      <w:r w:rsidRPr="00A13492">
        <w:rPr>
          <w:sz w:val="18"/>
          <w:szCs w:val="18"/>
        </w:rPr>
        <w:t xml:space="preserve"> nav nodoti Aģentūras valdījumā, neraugoties uz to, ka </w:t>
      </w:r>
      <w:r>
        <w:rPr>
          <w:sz w:val="18"/>
          <w:szCs w:val="18"/>
        </w:rPr>
        <w:t>šie</w:t>
      </w:r>
      <w:r w:rsidRPr="00A13492">
        <w:rPr>
          <w:sz w:val="18"/>
          <w:szCs w:val="18"/>
        </w:rPr>
        <w:t xml:space="preserve"> zemesgaba</w:t>
      </w:r>
      <w:r>
        <w:rPr>
          <w:sz w:val="18"/>
          <w:szCs w:val="18"/>
        </w:rPr>
        <w:t>li</w:t>
      </w:r>
      <w:r w:rsidRPr="00CE0EAA">
        <w:t xml:space="preserve"> </w:t>
      </w:r>
      <w:r>
        <w:rPr>
          <w:sz w:val="18"/>
          <w:szCs w:val="18"/>
        </w:rPr>
        <w:t>ir nodoti privatizācijai</w:t>
      </w:r>
      <w:r w:rsidRPr="00A13492">
        <w:rPr>
          <w:sz w:val="18"/>
          <w:szCs w:val="18"/>
        </w:rPr>
        <w:t>. Privatizējamo apbūvētu zemesgabalu portfeļa sastāvs ir atainots sadaļā „Valsts zemesgabalu privatizācijas process”. Portfeļa sastāva izmaiņas prognozētas, ņemot vērā Aģentūras valdījumā nodotos valsts zemesgabalus privatizācijas organizēšanai, kā arī pieņemot valdījumā jaunus valsts zemesgabalus, tāpēc portfeļa apjoms mainīsies. Tāpat Aģentūras valdījumā esošo valsts zemesgabalu dinamika ir atkarīga no nekustamā īpašuma tirgus aktivitātes un noslēgtajiem valsts zemesgabalu pirkuma līgumiem, kā arī uzsāktām tiesvedībām. Vienlaikus portfeļa potenciāli nemainīgās daļas dinamika ir atkarīga gan no privatizācijas subjektu rīcības (vēlmes turpināt privatizāciju vai iesniegt apliecinājumu par privatizāciju saskaņā ar Aģentūras izstrādātajiem nosacījumiem), gan no grozījumiem normatīvajos aktos un varētu sasniegt samazinājumu par 20 – 30%.</w:t>
      </w:r>
    </w:p>
  </w:footnote>
  <w:footnote w:id="3">
    <w:p w:rsidR="00355C7F" w:rsidRPr="00A13492" w:rsidRDefault="00355C7F" w:rsidP="00AF2CB7">
      <w:pPr>
        <w:pStyle w:val="FootnoteText"/>
        <w:jc w:val="both"/>
        <w:rPr>
          <w:sz w:val="18"/>
          <w:szCs w:val="18"/>
        </w:rPr>
      </w:pPr>
      <w:r w:rsidRPr="00A13492">
        <w:rPr>
          <w:sz w:val="18"/>
          <w:szCs w:val="18"/>
          <w:vertAlign w:val="superscript"/>
        </w:rPr>
        <w:footnoteRef/>
      </w:r>
      <w:r w:rsidRPr="00A13492">
        <w:rPr>
          <w:sz w:val="18"/>
          <w:szCs w:val="18"/>
        </w:rPr>
        <w:t xml:space="preserve"> Portfeļa dinamika ir atkarīga no nekustamā īpašuma tirgus aktivitātes un noslēgtajiem valsts īpašuma objektu pirkuma līgumiem, kā arī no </w:t>
      </w:r>
      <w:r>
        <w:rPr>
          <w:sz w:val="18"/>
          <w:szCs w:val="18"/>
        </w:rPr>
        <w:t>Aģentūras</w:t>
      </w:r>
      <w:r w:rsidRPr="00A13492">
        <w:rPr>
          <w:sz w:val="18"/>
          <w:szCs w:val="18"/>
        </w:rPr>
        <w:t xml:space="preserve"> valdījumā pārņemto valsts īpašuma objektu skaita periodā, ņemot vērā to, ka uz </w:t>
      </w:r>
      <w:r>
        <w:rPr>
          <w:sz w:val="18"/>
          <w:szCs w:val="18"/>
        </w:rPr>
        <w:t>2013.gada 31.martu</w:t>
      </w:r>
      <w:r w:rsidRPr="00A13492">
        <w:rPr>
          <w:sz w:val="18"/>
          <w:szCs w:val="18"/>
        </w:rPr>
        <w:t xml:space="preserve"> </w:t>
      </w:r>
      <w:r>
        <w:rPr>
          <w:sz w:val="18"/>
          <w:szCs w:val="18"/>
        </w:rPr>
        <w:t xml:space="preserve">7 valsts īpašuma objekti, </w:t>
      </w:r>
      <w:r w:rsidRPr="00A13492">
        <w:rPr>
          <w:sz w:val="18"/>
          <w:szCs w:val="18"/>
        </w:rPr>
        <w:t>bet Ministru kabineta rīkojums par nodošanu privatizācijai ir izdots.</w:t>
      </w:r>
    </w:p>
  </w:footnote>
  <w:footnote w:id="4">
    <w:p w:rsidR="00355C7F" w:rsidRPr="00A13492" w:rsidRDefault="00355C7F" w:rsidP="00663DD3">
      <w:pPr>
        <w:pStyle w:val="FootnoteText"/>
        <w:jc w:val="both"/>
        <w:rPr>
          <w:sz w:val="18"/>
          <w:szCs w:val="18"/>
        </w:rPr>
      </w:pPr>
      <w:r w:rsidRPr="00A13492">
        <w:rPr>
          <w:rStyle w:val="FootnoteReference"/>
          <w:sz w:val="18"/>
          <w:szCs w:val="18"/>
        </w:rPr>
        <w:footnoteRef/>
      </w:r>
      <w:r w:rsidRPr="00A13492">
        <w:rPr>
          <w:sz w:val="18"/>
          <w:szCs w:val="18"/>
        </w:rPr>
        <w:t xml:space="preserve"> Aģentūras valdījumā esošie dzīvokļa īpašumi atrodas gan Aģentūras valdījumā esošajās mājās, gan privātīpašniekiem nodotajās mājās.</w:t>
      </w:r>
    </w:p>
  </w:footnote>
  <w:footnote w:id="5">
    <w:p w:rsidR="00355C7F" w:rsidRPr="00A13492" w:rsidRDefault="00355C7F" w:rsidP="00AF2CB7">
      <w:pPr>
        <w:pStyle w:val="FootnoteText"/>
        <w:rPr>
          <w:sz w:val="18"/>
          <w:szCs w:val="18"/>
        </w:rPr>
      </w:pPr>
      <w:r w:rsidRPr="00A13492">
        <w:rPr>
          <w:rStyle w:val="FootnoteReference"/>
          <w:sz w:val="18"/>
          <w:szCs w:val="18"/>
        </w:rPr>
        <w:footnoteRef/>
      </w:r>
      <w:r w:rsidRPr="00A13492">
        <w:rPr>
          <w:sz w:val="18"/>
          <w:szCs w:val="18"/>
        </w:rPr>
        <w:t xml:space="preserve"> Tajā skaitā</w:t>
      </w:r>
      <w:r>
        <w:rPr>
          <w:sz w:val="18"/>
          <w:szCs w:val="18"/>
        </w:rPr>
        <w:t xml:space="preserve"> 269</w:t>
      </w:r>
      <w:r w:rsidRPr="00A13492">
        <w:rPr>
          <w:sz w:val="18"/>
          <w:szCs w:val="18"/>
        </w:rPr>
        <w:t xml:space="preserve"> dzīvokļi, kas ir aktīvā privatizācijas procesa stadijā. </w:t>
      </w:r>
    </w:p>
  </w:footnote>
  <w:footnote w:id="6">
    <w:p w:rsidR="00355C7F" w:rsidRPr="00A13492" w:rsidRDefault="00355C7F" w:rsidP="00C0067C">
      <w:pPr>
        <w:pStyle w:val="FootnoteText"/>
        <w:rPr>
          <w:sz w:val="18"/>
          <w:szCs w:val="18"/>
        </w:rPr>
      </w:pPr>
      <w:r w:rsidRPr="00A13492">
        <w:rPr>
          <w:rStyle w:val="FootnoteReference"/>
          <w:sz w:val="18"/>
          <w:szCs w:val="18"/>
        </w:rPr>
        <w:footnoteRef/>
      </w:r>
      <w:r w:rsidRPr="00A13492">
        <w:rPr>
          <w:sz w:val="18"/>
          <w:szCs w:val="18"/>
        </w:rPr>
        <w:t xml:space="preserve"> Tajā skaitā</w:t>
      </w:r>
      <w:r>
        <w:rPr>
          <w:sz w:val="18"/>
          <w:szCs w:val="18"/>
        </w:rPr>
        <w:t xml:space="preserve"> 270</w:t>
      </w:r>
      <w:r w:rsidRPr="00A13492">
        <w:rPr>
          <w:sz w:val="18"/>
          <w:szCs w:val="18"/>
        </w:rPr>
        <w:t xml:space="preserve"> dzīvokļi, kas ir aktīvā privatizācijas procesa stadijā. </w:t>
      </w:r>
    </w:p>
  </w:footnote>
  <w:footnote w:id="7">
    <w:p w:rsidR="00355C7F" w:rsidRPr="00A13492" w:rsidRDefault="00355C7F" w:rsidP="005F7DA2">
      <w:pPr>
        <w:pStyle w:val="FootnoteText"/>
        <w:jc w:val="both"/>
        <w:rPr>
          <w:sz w:val="18"/>
          <w:szCs w:val="18"/>
        </w:rPr>
      </w:pPr>
      <w:r w:rsidRPr="00A13492">
        <w:rPr>
          <w:rStyle w:val="FootnoteReference"/>
          <w:sz w:val="18"/>
          <w:szCs w:val="18"/>
        </w:rPr>
        <w:footnoteRef/>
      </w:r>
      <w:r w:rsidRPr="00A13492">
        <w:rPr>
          <w:sz w:val="18"/>
          <w:szCs w:val="18"/>
        </w:rPr>
        <w:t xml:space="preserve"> Papildus Aģentūras pārvaldīšanā 2013.-2014.gadā vēl var tikt pārņemtas līdz 30 plānveida privatizācijai vai atsavināšanai piekrītošas mājas (līdz 10 par bezīpašnieka mantu atzītās mājas, 10 par bezmantinieka mantu atzītās mājas un līdz 10 vēl ar  Ministru kabineta rīkojumu nenodotas privatizācijai mājas).</w:t>
      </w:r>
    </w:p>
  </w:footnote>
  <w:footnote w:id="8">
    <w:p w:rsidR="00355C7F" w:rsidRPr="00A13492" w:rsidRDefault="00355C7F" w:rsidP="005F7DA2">
      <w:pPr>
        <w:ind w:hanging="2"/>
        <w:rPr>
          <w:sz w:val="18"/>
          <w:szCs w:val="18"/>
        </w:rPr>
      </w:pPr>
      <w:r w:rsidRPr="00A13492">
        <w:rPr>
          <w:rStyle w:val="FootnoteReference"/>
          <w:sz w:val="18"/>
          <w:szCs w:val="18"/>
        </w:rPr>
        <w:footnoteRef/>
      </w:r>
      <w:r w:rsidRPr="00A13492">
        <w:rPr>
          <w:sz w:val="18"/>
          <w:szCs w:val="18"/>
        </w:rPr>
        <w:t xml:space="preserve"> Ar pieņēmumu, ka no 2014.</w:t>
      </w:r>
      <w:r>
        <w:rPr>
          <w:sz w:val="18"/>
          <w:szCs w:val="18"/>
        </w:rPr>
        <w:t>gada 1.janvāra</w:t>
      </w:r>
      <w:r w:rsidRPr="00A13492">
        <w:rPr>
          <w:sz w:val="18"/>
          <w:szCs w:val="18"/>
        </w:rPr>
        <w:t xml:space="preserve"> Aģentūra pakāpeniski nodod pārvaldīšanā un valdījumā esošos dzīvokļus, kuriem beidzies privatizācijas process, </w:t>
      </w:r>
      <w:r>
        <w:rPr>
          <w:sz w:val="18"/>
          <w:szCs w:val="18"/>
        </w:rPr>
        <w:t>valsts akciju sabiedrībai</w:t>
      </w:r>
      <w:r w:rsidRPr="00A13492">
        <w:rPr>
          <w:sz w:val="18"/>
          <w:szCs w:val="18"/>
        </w:rPr>
        <w:t xml:space="preserve"> „Valsts nekustamie īpašumi”.</w:t>
      </w:r>
    </w:p>
  </w:footnote>
  <w:footnote w:id="9">
    <w:p w:rsidR="00355C7F" w:rsidRPr="00A13492" w:rsidRDefault="00355C7F" w:rsidP="00AF2CB7">
      <w:pPr>
        <w:pStyle w:val="FootnoteText"/>
        <w:rPr>
          <w:sz w:val="18"/>
          <w:szCs w:val="18"/>
        </w:rPr>
      </w:pPr>
      <w:r w:rsidRPr="00A13492">
        <w:rPr>
          <w:rStyle w:val="FootnoteReference"/>
          <w:sz w:val="18"/>
          <w:szCs w:val="18"/>
        </w:rPr>
        <w:footnoteRef/>
      </w:r>
      <w:r w:rsidRPr="00A13492">
        <w:rPr>
          <w:sz w:val="18"/>
          <w:szCs w:val="18"/>
        </w:rPr>
        <w:t xml:space="preserve"> Tajā skaitā </w:t>
      </w:r>
      <w:r>
        <w:rPr>
          <w:sz w:val="18"/>
          <w:szCs w:val="18"/>
        </w:rPr>
        <w:t>53</w:t>
      </w:r>
      <w:r w:rsidRPr="00A13492">
        <w:rPr>
          <w:sz w:val="18"/>
          <w:szCs w:val="18"/>
        </w:rPr>
        <w:t xml:space="preserve"> dzīvojamās mājas, kuras ir aktīvā privatizācijas procesa stadijā. </w:t>
      </w:r>
    </w:p>
  </w:footnote>
  <w:footnote w:id="10">
    <w:p w:rsidR="00355C7F" w:rsidRPr="00A13492" w:rsidRDefault="00355C7F" w:rsidP="00C1747E">
      <w:pPr>
        <w:pStyle w:val="FootnoteText"/>
        <w:rPr>
          <w:sz w:val="18"/>
          <w:szCs w:val="18"/>
        </w:rPr>
      </w:pPr>
      <w:r w:rsidRPr="00A13492">
        <w:rPr>
          <w:rStyle w:val="FootnoteReference"/>
          <w:sz w:val="18"/>
          <w:szCs w:val="18"/>
        </w:rPr>
        <w:footnoteRef/>
      </w:r>
      <w:r w:rsidRPr="00A13492">
        <w:rPr>
          <w:sz w:val="18"/>
          <w:szCs w:val="18"/>
        </w:rPr>
        <w:t xml:space="preserve"> Tajā skaitā </w:t>
      </w:r>
      <w:r>
        <w:rPr>
          <w:sz w:val="18"/>
          <w:szCs w:val="18"/>
        </w:rPr>
        <w:t>52</w:t>
      </w:r>
      <w:r w:rsidRPr="00A13492">
        <w:rPr>
          <w:sz w:val="18"/>
          <w:szCs w:val="18"/>
        </w:rPr>
        <w:t xml:space="preserve"> dzīvojamās mājas, kuras ir aktīvā privatizācijas procesa stadijā. </w:t>
      </w:r>
    </w:p>
  </w:footnote>
  <w:footnote w:id="11">
    <w:p w:rsidR="00355C7F" w:rsidRPr="00A13492" w:rsidRDefault="00355C7F" w:rsidP="005F7DA2">
      <w:pPr>
        <w:pStyle w:val="FootnoteText"/>
        <w:jc w:val="both"/>
        <w:rPr>
          <w:sz w:val="18"/>
          <w:szCs w:val="18"/>
        </w:rPr>
      </w:pPr>
      <w:r w:rsidRPr="00A13492">
        <w:rPr>
          <w:rStyle w:val="FootnoteReference"/>
          <w:sz w:val="18"/>
          <w:szCs w:val="18"/>
        </w:rPr>
        <w:footnoteRef/>
      </w:r>
      <w:r w:rsidRPr="00A13492">
        <w:rPr>
          <w:sz w:val="18"/>
          <w:szCs w:val="18"/>
        </w:rPr>
        <w:t xml:space="preserve"> Papildus 2013.-2014.gadā varētu nākt klāt vēl 60 plānveida privatizācijai un/vai atsavināšanai piekrītoši dzīvokļu īpašumi.</w:t>
      </w:r>
    </w:p>
  </w:footnote>
  <w:footnote w:id="12">
    <w:p w:rsidR="00355C7F" w:rsidRPr="00A13492" w:rsidRDefault="00355C7F" w:rsidP="005F7DA2">
      <w:pPr>
        <w:rPr>
          <w:sz w:val="18"/>
          <w:szCs w:val="18"/>
        </w:rPr>
      </w:pPr>
      <w:r w:rsidRPr="00A13492">
        <w:rPr>
          <w:rStyle w:val="FootnoteReference"/>
          <w:sz w:val="18"/>
          <w:szCs w:val="18"/>
        </w:rPr>
        <w:footnoteRef/>
      </w:r>
      <w:r w:rsidRPr="00A13492">
        <w:rPr>
          <w:sz w:val="18"/>
          <w:szCs w:val="18"/>
        </w:rPr>
        <w:t xml:space="preserve"> Ar pieņēmumu, ka no 2014.</w:t>
      </w:r>
      <w:r>
        <w:rPr>
          <w:sz w:val="18"/>
          <w:szCs w:val="18"/>
        </w:rPr>
        <w:t>gada 1.janvāra</w:t>
      </w:r>
      <w:r w:rsidRPr="00A13492">
        <w:rPr>
          <w:sz w:val="18"/>
          <w:szCs w:val="18"/>
        </w:rPr>
        <w:t xml:space="preserve"> Aģentūra pakāpeniski nodod pārvaldīšanā  un valdījumā esošās dzīvojamās mājas, kurām beidzies privatizācijas process, </w:t>
      </w:r>
      <w:r w:rsidRPr="00F57826">
        <w:rPr>
          <w:sz w:val="18"/>
          <w:szCs w:val="18"/>
        </w:rPr>
        <w:t>valsts akciju sabiedrībai</w:t>
      </w:r>
      <w:r w:rsidRPr="00A13492">
        <w:rPr>
          <w:sz w:val="18"/>
          <w:szCs w:val="18"/>
        </w:rPr>
        <w:t xml:space="preserve"> „Valsts nekustamie īpašumi”.</w:t>
      </w:r>
    </w:p>
  </w:footnote>
  <w:footnote w:id="13">
    <w:p w:rsidR="00355C7F" w:rsidRPr="00A13492" w:rsidRDefault="00355C7F" w:rsidP="005F7DA2">
      <w:pPr>
        <w:pStyle w:val="FootnoteText"/>
        <w:jc w:val="both"/>
        <w:rPr>
          <w:sz w:val="18"/>
          <w:szCs w:val="18"/>
        </w:rPr>
      </w:pPr>
      <w:r w:rsidRPr="00A13492">
        <w:rPr>
          <w:rStyle w:val="FootnoteReference"/>
          <w:sz w:val="18"/>
          <w:szCs w:val="18"/>
        </w:rPr>
        <w:footnoteRef/>
      </w:r>
      <w:r w:rsidRPr="00A13492">
        <w:rPr>
          <w:sz w:val="18"/>
          <w:szCs w:val="18"/>
        </w:rPr>
        <w:t xml:space="preserve"> </w:t>
      </w:r>
      <w:r w:rsidRPr="00A13492">
        <w:rPr>
          <w:rFonts w:cs="Times New Roman"/>
          <w:noProof/>
          <w:sz w:val="18"/>
          <w:szCs w:val="18"/>
        </w:rPr>
        <w:t>Tajā skaitā likvidējamās, maksātnespējīgās kapitālsabiedrības. Prognozē nav iekļautas tās kapitālsabiedrības, kuras līdz 2014.gadam varētu nodot</w:t>
      </w:r>
      <w:r w:rsidRPr="00A13492">
        <w:rPr>
          <w:sz w:val="18"/>
          <w:szCs w:val="18"/>
        </w:rPr>
        <w:t xml:space="preserve"> Aģentūrai </w:t>
      </w:r>
      <w:r w:rsidRPr="00A13492">
        <w:rPr>
          <w:rFonts w:cs="Times New Roman"/>
          <w:noProof/>
          <w:sz w:val="18"/>
          <w:szCs w:val="18"/>
        </w:rPr>
        <w:t xml:space="preserve">atbilstoši Ministru kabineta lēmumam. Pieņēmumi dinamikai atainoti 1.pielikumā. </w:t>
      </w:r>
    </w:p>
  </w:footnote>
  <w:footnote w:id="14">
    <w:p w:rsidR="00355C7F" w:rsidRPr="00A13492" w:rsidRDefault="00355C7F" w:rsidP="00870201">
      <w:pPr>
        <w:jc w:val="both"/>
        <w:rPr>
          <w:sz w:val="18"/>
          <w:szCs w:val="18"/>
        </w:rPr>
      </w:pPr>
      <w:r w:rsidRPr="00A13492">
        <w:rPr>
          <w:rStyle w:val="FootnoteReference"/>
          <w:sz w:val="18"/>
          <w:szCs w:val="18"/>
        </w:rPr>
        <w:footnoteRef/>
      </w:r>
      <w:r w:rsidRPr="00A13492">
        <w:rPr>
          <w:sz w:val="18"/>
          <w:szCs w:val="18"/>
        </w:rPr>
        <w:t xml:space="preserve"> Papildus </w:t>
      </w:r>
      <w:r>
        <w:rPr>
          <w:sz w:val="18"/>
          <w:szCs w:val="18"/>
        </w:rPr>
        <w:t>Aģentūras</w:t>
      </w:r>
      <w:r w:rsidRPr="00A13492">
        <w:rPr>
          <w:sz w:val="18"/>
          <w:szCs w:val="18"/>
        </w:rPr>
        <w:t xml:space="preserve"> pārvaldīšanā vēl var tikt pārņemtas </w:t>
      </w:r>
      <w:r w:rsidRPr="00A22AEB">
        <w:rPr>
          <w:sz w:val="18"/>
          <w:szCs w:val="18"/>
        </w:rPr>
        <w:t>līdz 30 plānveida</w:t>
      </w:r>
      <w:r w:rsidRPr="00A13492">
        <w:rPr>
          <w:sz w:val="18"/>
          <w:szCs w:val="18"/>
        </w:rPr>
        <w:t xml:space="preserve"> privatizācijai vai atsavināšanai piekrītošas mājas, ja pašvaldība atteiksies pārņemt tās savā īpašumā.</w:t>
      </w:r>
    </w:p>
  </w:footnote>
  <w:footnote w:id="15">
    <w:p w:rsidR="00355C7F" w:rsidRPr="00A13492" w:rsidRDefault="00355C7F" w:rsidP="009706FB">
      <w:pPr>
        <w:pStyle w:val="FootnoteText"/>
        <w:jc w:val="both"/>
        <w:rPr>
          <w:sz w:val="18"/>
          <w:szCs w:val="18"/>
        </w:rPr>
      </w:pPr>
      <w:r w:rsidRPr="00A13492">
        <w:rPr>
          <w:rStyle w:val="FootnoteReference"/>
          <w:sz w:val="18"/>
          <w:szCs w:val="18"/>
        </w:rPr>
        <w:footnoteRef/>
      </w:r>
      <w:r w:rsidRPr="00A13492">
        <w:rPr>
          <w:sz w:val="18"/>
          <w:szCs w:val="18"/>
        </w:rPr>
        <w:t xml:space="preserve"> Šīs d</w:t>
      </w:r>
      <w:r>
        <w:rPr>
          <w:sz w:val="18"/>
          <w:szCs w:val="18"/>
        </w:rPr>
        <w:t>aļas mainīgums nav saistīts ar Aģentūras</w:t>
      </w:r>
      <w:r w:rsidRPr="00A13492">
        <w:rPr>
          <w:sz w:val="18"/>
          <w:szCs w:val="18"/>
        </w:rPr>
        <w:t xml:space="preserve"> pamatfunkciju.</w:t>
      </w:r>
    </w:p>
  </w:footnote>
  <w:footnote w:id="16">
    <w:p w:rsidR="00355C7F" w:rsidRPr="00A13492" w:rsidRDefault="00355C7F" w:rsidP="00870201">
      <w:pPr>
        <w:pStyle w:val="FootnoteText"/>
        <w:jc w:val="both"/>
        <w:rPr>
          <w:sz w:val="18"/>
          <w:szCs w:val="18"/>
        </w:rPr>
      </w:pPr>
      <w:r w:rsidRPr="00A13492">
        <w:rPr>
          <w:rStyle w:val="FootnoteReference"/>
          <w:sz w:val="18"/>
          <w:szCs w:val="18"/>
        </w:rPr>
        <w:footnoteRef/>
      </w:r>
      <w:r w:rsidRPr="00A13492">
        <w:rPr>
          <w:sz w:val="18"/>
          <w:szCs w:val="18"/>
        </w:rPr>
        <w:t xml:space="preserve"> Papildus varētu nākt klāt vēl 60 plānveida privatizācijai un/vai atsavināšanai piekrītoši dzīvokļu īpašumi.</w:t>
      </w:r>
    </w:p>
  </w:footnote>
  <w:footnote w:id="17">
    <w:p w:rsidR="00355C7F" w:rsidRPr="00A13492" w:rsidRDefault="00355C7F" w:rsidP="00F47BAF">
      <w:pPr>
        <w:pStyle w:val="FootnoteText"/>
        <w:jc w:val="both"/>
        <w:rPr>
          <w:sz w:val="18"/>
          <w:szCs w:val="18"/>
        </w:rPr>
      </w:pPr>
      <w:r w:rsidRPr="00A13492">
        <w:rPr>
          <w:rStyle w:val="FootnoteReference"/>
          <w:sz w:val="18"/>
          <w:szCs w:val="18"/>
        </w:rPr>
        <w:footnoteRef/>
      </w:r>
      <w:r w:rsidRPr="00A13492">
        <w:rPr>
          <w:sz w:val="18"/>
          <w:szCs w:val="18"/>
        </w:rPr>
        <w:t xml:space="preserve"> Šīs daļas mainīgums nav saistīts ar </w:t>
      </w:r>
      <w:r>
        <w:rPr>
          <w:sz w:val="18"/>
          <w:szCs w:val="18"/>
        </w:rPr>
        <w:t>Aģentūras</w:t>
      </w:r>
      <w:r w:rsidRPr="00A13492">
        <w:rPr>
          <w:sz w:val="18"/>
          <w:szCs w:val="18"/>
        </w:rPr>
        <w:t xml:space="preserve"> pamatfunkciju.</w:t>
      </w:r>
    </w:p>
  </w:footnote>
  <w:footnote w:id="18">
    <w:p w:rsidR="00355C7F" w:rsidRPr="00A13492" w:rsidRDefault="00355C7F">
      <w:pPr>
        <w:pStyle w:val="FootnoteText"/>
        <w:rPr>
          <w:sz w:val="18"/>
          <w:szCs w:val="18"/>
        </w:rPr>
      </w:pPr>
      <w:r w:rsidRPr="00A13492">
        <w:rPr>
          <w:rStyle w:val="FootnoteReference"/>
          <w:sz w:val="18"/>
          <w:szCs w:val="18"/>
        </w:rPr>
        <w:footnoteRef/>
      </w:r>
      <w:r w:rsidRPr="00A13492">
        <w:rPr>
          <w:sz w:val="18"/>
          <w:szCs w:val="18"/>
        </w:rPr>
        <w:t xml:space="preserve"> No 2012.gada septembra, iepriekš 4 valdes locekļi</w:t>
      </w:r>
    </w:p>
  </w:footnote>
  <w:footnote w:id="19">
    <w:p w:rsidR="00355C7F" w:rsidRDefault="00355C7F">
      <w:pPr>
        <w:pStyle w:val="FootnoteText"/>
      </w:pPr>
      <w:r>
        <w:rPr>
          <w:rStyle w:val="FootnoteReference"/>
        </w:rPr>
        <w:footnoteRef/>
      </w:r>
      <w:r>
        <w:t xml:space="preserve"> Šobrīd nevar prognozēt citas kapitālsabiedrības izveidošanas laiku, jo Ministru kabineta noteikumi, kuros šī funkcija deleģēta Aģentūrai, vēl nav pieņemti.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87690"/>
      <w:docPartObj>
        <w:docPartGallery w:val="Page Numbers (Top of Page)"/>
        <w:docPartUnique/>
      </w:docPartObj>
    </w:sdtPr>
    <w:sdtEndPr>
      <w:rPr>
        <w:noProof/>
      </w:rPr>
    </w:sdtEndPr>
    <w:sdtContent>
      <w:p w:rsidR="00355C7F" w:rsidRDefault="00355C7F">
        <w:pPr>
          <w:pStyle w:val="Header"/>
          <w:jc w:val="center"/>
        </w:pPr>
        <w:r>
          <w:fldChar w:fldCharType="begin"/>
        </w:r>
        <w:r>
          <w:instrText xml:space="preserve"> PAGE   \* MERGEFORMAT </w:instrText>
        </w:r>
        <w:r>
          <w:fldChar w:fldCharType="separate"/>
        </w:r>
        <w:r w:rsidR="00AA0326">
          <w:rPr>
            <w:noProof/>
          </w:rPr>
          <w:t>47</w:t>
        </w:r>
        <w:r>
          <w:rPr>
            <w:noProof/>
          </w:rPr>
          <w:fldChar w:fldCharType="end"/>
        </w:r>
      </w:p>
    </w:sdtContent>
  </w:sdt>
  <w:p w:rsidR="00355C7F" w:rsidRDefault="00355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7F" w:rsidRDefault="00355C7F">
    <w:pPr>
      <w:pStyle w:val="Header"/>
      <w:jc w:val="center"/>
    </w:pPr>
  </w:p>
  <w:p w:rsidR="00355C7F" w:rsidRDefault="00355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9C0"/>
    <w:multiLevelType w:val="hybridMultilevel"/>
    <w:tmpl w:val="1C4E599A"/>
    <w:lvl w:ilvl="0" w:tplc="1A5457BA">
      <w:numFmt w:val="bullet"/>
      <w:lvlText w:val="-"/>
      <w:lvlJc w:val="left"/>
      <w:pPr>
        <w:tabs>
          <w:tab w:val="num" w:pos="720"/>
        </w:tabs>
        <w:ind w:left="720" w:hanging="360"/>
      </w:pPr>
      <w:rPr>
        <w:rFonts w:ascii="Times New Roman" w:eastAsiaTheme="minorEastAsia"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
    <w:nsid w:val="298A5B7C"/>
    <w:multiLevelType w:val="hybridMultilevel"/>
    <w:tmpl w:val="EA0206D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A3D222E"/>
    <w:multiLevelType w:val="hybridMultilevel"/>
    <w:tmpl w:val="1F1CD352"/>
    <w:lvl w:ilvl="0" w:tplc="7B1E9EAE">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AD639A"/>
    <w:multiLevelType w:val="hybridMultilevel"/>
    <w:tmpl w:val="1554B284"/>
    <w:lvl w:ilvl="0" w:tplc="252E9C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2BF13B5"/>
    <w:multiLevelType w:val="hybridMultilevel"/>
    <w:tmpl w:val="8BAA5B86"/>
    <w:lvl w:ilvl="0" w:tplc="93744FD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69F3EF0"/>
    <w:multiLevelType w:val="hybridMultilevel"/>
    <w:tmpl w:val="707E24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A7009B3"/>
    <w:multiLevelType w:val="hybridMultilevel"/>
    <w:tmpl w:val="7CC8926C"/>
    <w:lvl w:ilvl="0" w:tplc="1A5457BA">
      <w:numFmt w:val="bullet"/>
      <w:lvlText w:val="-"/>
      <w:lvlJc w:val="left"/>
      <w:pPr>
        <w:tabs>
          <w:tab w:val="num" w:pos="720"/>
        </w:tabs>
        <w:ind w:left="720" w:hanging="360"/>
      </w:pPr>
      <w:rPr>
        <w:rFonts w:ascii="Times New Roman" w:eastAsiaTheme="minorEastAsia"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7">
    <w:nsid w:val="3B683ABB"/>
    <w:multiLevelType w:val="hybridMultilevel"/>
    <w:tmpl w:val="8C3EAD06"/>
    <w:lvl w:ilvl="0" w:tplc="1A5457BA">
      <w:numFmt w:val="bullet"/>
      <w:lvlText w:val="-"/>
      <w:lvlJc w:val="left"/>
      <w:pPr>
        <w:tabs>
          <w:tab w:val="num" w:pos="720"/>
        </w:tabs>
        <w:ind w:left="720" w:hanging="360"/>
      </w:pPr>
      <w:rPr>
        <w:rFonts w:ascii="Times New Roman" w:eastAsiaTheme="minorEastAsia"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8">
    <w:nsid w:val="45895763"/>
    <w:multiLevelType w:val="hybridMultilevel"/>
    <w:tmpl w:val="5900F1D0"/>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heme="minorEastAsia"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9">
    <w:nsid w:val="4BAD738C"/>
    <w:multiLevelType w:val="hybridMultilevel"/>
    <w:tmpl w:val="ACD29E04"/>
    <w:lvl w:ilvl="0" w:tplc="4BCAE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38A1AE7"/>
    <w:multiLevelType w:val="hybridMultilevel"/>
    <w:tmpl w:val="8690A988"/>
    <w:lvl w:ilvl="0" w:tplc="79EE158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12">
    <w:nsid w:val="64543723"/>
    <w:multiLevelType w:val="hybridMultilevel"/>
    <w:tmpl w:val="FDE0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A1733DD"/>
    <w:multiLevelType w:val="hybridMultilevel"/>
    <w:tmpl w:val="8F541460"/>
    <w:lvl w:ilvl="0" w:tplc="7D80126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4">
    <w:nsid w:val="6BB31022"/>
    <w:multiLevelType w:val="multilevel"/>
    <w:tmpl w:val="EAF445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EB6DA8"/>
    <w:multiLevelType w:val="hybridMultilevel"/>
    <w:tmpl w:val="076874A6"/>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heme="minorEastAsia"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16">
    <w:nsid w:val="7B61793B"/>
    <w:multiLevelType w:val="hybridMultilevel"/>
    <w:tmpl w:val="CD7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312937"/>
    <w:multiLevelType w:val="hybridMultilevel"/>
    <w:tmpl w:val="A2680C04"/>
    <w:lvl w:ilvl="0" w:tplc="1A5457BA">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8"/>
  </w:num>
  <w:num w:numId="6">
    <w:abstractNumId w:val="16"/>
  </w:num>
  <w:num w:numId="7">
    <w:abstractNumId w:val="10"/>
  </w:num>
  <w:num w:numId="8">
    <w:abstractNumId w:val="1"/>
  </w:num>
  <w:num w:numId="9">
    <w:abstractNumId w:val="14"/>
  </w:num>
  <w:num w:numId="10">
    <w:abstractNumId w:val="6"/>
  </w:num>
  <w:num w:numId="11">
    <w:abstractNumId w:val="12"/>
  </w:num>
  <w:num w:numId="12">
    <w:abstractNumId w:val="11"/>
  </w:num>
  <w:num w:numId="13">
    <w:abstractNumId w:val="13"/>
  </w:num>
  <w:num w:numId="14">
    <w:abstractNumId w:val="2"/>
  </w:num>
  <w:num w:numId="15">
    <w:abstractNumId w:val="4"/>
  </w:num>
  <w:num w:numId="16">
    <w:abstractNumId w:val="5"/>
  </w:num>
  <w:num w:numId="17">
    <w:abstractNumId w:val="3"/>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40"/>
    <w:rsid w:val="0000130C"/>
    <w:rsid w:val="00002A62"/>
    <w:rsid w:val="00002FF0"/>
    <w:rsid w:val="000034D7"/>
    <w:rsid w:val="00003519"/>
    <w:rsid w:val="00003662"/>
    <w:rsid w:val="00004317"/>
    <w:rsid w:val="00004894"/>
    <w:rsid w:val="000063A2"/>
    <w:rsid w:val="00007554"/>
    <w:rsid w:val="00007723"/>
    <w:rsid w:val="0001082D"/>
    <w:rsid w:val="000118D6"/>
    <w:rsid w:val="00011B81"/>
    <w:rsid w:val="00011D5D"/>
    <w:rsid w:val="00011FE4"/>
    <w:rsid w:val="000120C9"/>
    <w:rsid w:val="0001294E"/>
    <w:rsid w:val="00013458"/>
    <w:rsid w:val="00014291"/>
    <w:rsid w:val="000145FA"/>
    <w:rsid w:val="0001461D"/>
    <w:rsid w:val="00014F36"/>
    <w:rsid w:val="000157DF"/>
    <w:rsid w:val="00016AF7"/>
    <w:rsid w:val="00020B95"/>
    <w:rsid w:val="00021116"/>
    <w:rsid w:val="0002178A"/>
    <w:rsid w:val="00022005"/>
    <w:rsid w:val="000220BB"/>
    <w:rsid w:val="000237B3"/>
    <w:rsid w:val="000247EE"/>
    <w:rsid w:val="00024E82"/>
    <w:rsid w:val="00025549"/>
    <w:rsid w:val="00026D19"/>
    <w:rsid w:val="00027A01"/>
    <w:rsid w:val="00027E5B"/>
    <w:rsid w:val="00030132"/>
    <w:rsid w:val="000312D5"/>
    <w:rsid w:val="00031C96"/>
    <w:rsid w:val="0003295A"/>
    <w:rsid w:val="00033639"/>
    <w:rsid w:val="000344FE"/>
    <w:rsid w:val="00035BE7"/>
    <w:rsid w:val="0003664A"/>
    <w:rsid w:val="00040705"/>
    <w:rsid w:val="000408BF"/>
    <w:rsid w:val="00040CF6"/>
    <w:rsid w:val="00041348"/>
    <w:rsid w:val="00042227"/>
    <w:rsid w:val="00042343"/>
    <w:rsid w:val="000428E3"/>
    <w:rsid w:val="00042D23"/>
    <w:rsid w:val="00045A96"/>
    <w:rsid w:val="00046609"/>
    <w:rsid w:val="00046B36"/>
    <w:rsid w:val="0005069D"/>
    <w:rsid w:val="000510EB"/>
    <w:rsid w:val="00051DAC"/>
    <w:rsid w:val="0005209D"/>
    <w:rsid w:val="000535B3"/>
    <w:rsid w:val="00053B47"/>
    <w:rsid w:val="00055069"/>
    <w:rsid w:val="00055560"/>
    <w:rsid w:val="00055DCD"/>
    <w:rsid w:val="000563A6"/>
    <w:rsid w:val="000567F1"/>
    <w:rsid w:val="00060E56"/>
    <w:rsid w:val="0006152D"/>
    <w:rsid w:val="00062530"/>
    <w:rsid w:val="00062C37"/>
    <w:rsid w:val="00063481"/>
    <w:rsid w:val="000641E2"/>
    <w:rsid w:val="000652DF"/>
    <w:rsid w:val="00066330"/>
    <w:rsid w:val="00066C02"/>
    <w:rsid w:val="00070201"/>
    <w:rsid w:val="0007179A"/>
    <w:rsid w:val="000722FD"/>
    <w:rsid w:val="00072DA0"/>
    <w:rsid w:val="00073125"/>
    <w:rsid w:val="0007373E"/>
    <w:rsid w:val="000740AC"/>
    <w:rsid w:val="0007555F"/>
    <w:rsid w:val="00075EB6"/>
    <w:rsid w:val="0008322B"/>
    <w:rsid w:val="00083943"/>
    <w:rsid w:val="00084817"/>
    <w:rsid w:val="000850A1"/>
    <w:rsid w:val="00085BCA"/>
    <w:rsid w:val="00087E57"/>
    <w:rsid w:val="000917E4"/>
    <w:rsid w:val="00091ECA"/>
    <w:rsid w:val="00092F90"/>
    <w:rsid w:val="00094104"/>
    <w:rsid w:val="0009573D"/>
    <w:rsid w:val="00095C95"/>
    <w:rsid w:val="00096215"/>
    <w:rsid w:val="0009769B"/>
    <w:rsid w:val="000A015F"/>
    <w:rsid w:val="000A3059"/>
    <w:rsid w:val="000A473F"/>
    <w:rsid w:val="000A4896"/>
    <w:rsid w:val="000A4C18"/>
    <w:rsid w:val="000A565E"/>
    <w:rsid w:val="000B0515"/>
    <w:rsid w:val="000B1896"/>
    <w:rsid w:val="000B1AC7"/>
    <w:rsid w:val="000B4926"/>
    <w:rsid w:val="000B4ADB"/>
    <w:rsid w:val="000B596D"/>
    <w:rsid w:val="000B5A26"/>
    <w:rsid w:val="000B6CC6"/>
    <w:rsid w:val="000C1603"/>
    <w:rsid w:val="000C1948"/>
    <w:rsid w:val="000C1AEA"/>
    <w:rsid w:val="000C3E37"/>
    <w:rsid w:val="000C4724"/>
    <w:rsid w:val="000C5FE9"/>
    <w:rsid w:val="000C6649"/>
    <w:rsid w:val="000C6969"/>
    <w:rsid w:val="000C6C50"/>
    <w:rsid w:val="000C71A0"/>
    <w:rsid w:val="000D036A"/>
    <w:rsid w:val="000D1695"/>
    <w:rsid w:val="000D2635"/>
    <w:rsid w:val="000D28AD"/>
    <w:rsid w:val="000D2E77"/>
    <w:rsid w:val="000D4438"/>
    <w:rsid w:val="000D543C"/>
    <w:rsid w:val="000D7E58"/>
    <w:rsid w:val="000E0017"/>
    <w:rsid w:val="000E0939"/>
    <w:rsid w:val="000E17B4"/>
    <w:rsid w:val="000E2D1B"/>
    <w:rsid w:val="000E3B89"/>
    <w:rsid w:val="000E40F4"/>
    <w:rsid w:val="000E5116"/>
    <w:rsid w:val="000E52B4"/>
    <w:rsid w:val="000E599F"/>
    <w:rsid w:val="000E702A"/>
    <w:rsid w:val="000E7C20"/>
    <w:rsid w:val="000F0F96"/>
    <w:rsid w:val="000F24CC"/>
    <w:rsid w:val="000F286E"/>
    <w:rsid w:val="000F362A"/>
    <w:rsid w:val="000F5354"/>
    <w:rsid w:val="000F5F58"/>
    <w:rsid w:val="000F728E"/>
    <w:rsid w:val="000F7584"/>
    <w:rsid w:val="001004EB"/>
    <w:rsid w:val="00101C00"/>
    <w:rsid w:val="0010322C"/>
    <w:rsid w:val="00104738"/>
    <w:rsid w:val="001050B9"/>
    <w:rsid w:val="001058B1"/>
    <w:rsid w:val="001071A5"/>
    <w:rsid w:val="00107AF5"/>
    <w:rsid w:val="00107DB1"/>
    <w:rsid w:val="00111F30"/>
    <w:rsid w:val="001129EB"/>
    <w:rsid w:val="00112A58"/>
    <w:rsid w:val="001136ED"/>
    <w:rsid w:val="001154E7"/>
    <w:rsid w:val="00115A4D"/>
    <w:rsid w:val="00115B9F"/>
    <w:rsid w:val="00115D17"/>
    <w:rsid w:val="0011655F"/>
    <w:rsid w:val="001167D7"/>
    <w:rsid w:val="00116E73"/>
    <w:rsid w:val="00117B72"/>
    <w:rsid w:val="00121F26"/>
    <w:rsid w:val="001226D1"/>
    <w:rsid w:val="0012328A"/>
    <w:rsid w:val="001233E1"/>
    <w:rsid w:val="00123410"/>
    <w:rsid w:val="00123ADC"/>
    <w:rsid w:val="00124316"/>
    <w:rsid w:val="0012508E"/>
    <w:rsid w:val="00125D22"/>
    <w:rsid w:val="00126206"/>
    <w:rsid w:val="001272EB"/>
    <w:rsid w:val="001273EA"/>
    <w:rsid w:val="00127FB8"/>
    <w:rsid w:val="00130739"/>
    <w:rsid w:val="00131390"/>
    <w:rsid w:val="001319A7"/>
    <w:rsid w:val="00131C7E"/>
    <w:rsid w:val="00132935"/>
    <w:rsid w:val="00133E44"/>
    <w:rsid w:val="0013625F"/>
    <w:rsid w:val="001372F7"/>
    <w:rsid w:val="001375E7"/>
    <w:rsid w:val="00137727"/>
    <w:rsid w:val="00137ED5"/>
    <w:rsid w:val="00140DB6"/>
    <w:rsid w:val="00140E88"/>
    <w:rsid w:val="0014254D"/>
    <w:rsid w:val="00142BA1"/>
    <w:rsid w:val="00142BD6"/>
    <w:rsid w:val="00143634"/>
    <w:rsid w:val="0014482F"/>
    <w:rsid w:val="00150E74"/>
    <w:rsid w:val="001514CC"/>
    <w:rsid w:val="001514F8"/>
    <w:rsid w:val="0015189F"/>
    <w:rsid w:val="00151928"/>
    <w:rsid w:val="0015347E"/>
    <w:rsid w:val="001554D5"/>
    <w:rsid w:val="001602A1"/>
    <w:rsid w:val="00160955"/>
    <w:rsid w:val="00161688"/>
    <w:rsid w:val="00164433"/>
    <w:rsid w:val="0016525A"/>
    <w:rsid w:val="0016555D"/>
    <w:rsid w:val="00166419"/>
    <w:rsid w:val="00166A22"/>
    <w:rsid w:val="00167712"/>
    <w:rsid w:val="0017402A"/>
    <w:rsid w:val="001742C4"/>
    <w:rsid w:val="001752B2"/>
    <w:rsid w:val="00176629"/>
    <w:rsid w:val="00181D79"/>
    <w:rsid w:val="001821D4"/>
    <w:rsid w:val="00184643"/>
    <w:rsid w:val="00184674"/>
    <w:rsid w:val="00184B29"/>
    <w:rsid w:val="00184B5F"/>
    <w:rsid w:val="001853B8"/>
    <w:rsid w:val="00186954"/>
    <w:rsid w:val="00186EF8"/>
    <w:rsid w:val="001917DA"/>
    <w:rsid w:val="00192ABF"/>
    <w:rsid w:val="001931B8"/>
    <w:rsid w:val="0019373B"/>
    <w:rsid w:val="00193B83"/>
    <w:rsid w:val="001941D4"/>
    <w:rsid w:val="00194370"/>
    <w:rsid w:val="00194977"/>
    <w:rsid w:val="00194E74"/>
    <w:rsid w:val="00194EF5"/>
    <w:rsid w:val="00195564"/>
    <w:rsid w:val="001955B7"/>
    <w:rsid w:val="00196CFD"/>
    <w:rsid w:val="001A2395"/>
    <w:rsid w:val="001A299F"/>
    <w:rsid w:val="001A5CEC"/>
    <w:rsid w:val="001A6873"/>
    <w:rsid w:val="001A7317"/>
    <w:rsid w:val="001A76CB"/>
    <w:rsid w:val="001B0691"/>
    <w:rsid w:val="001B16D2"/>
    <w:rsid w:val="001B21F5"/>
    <w:rsid w:val="001B2499"/>
    <w:rsid w:val="001B4AC6"/>
    <w:rsid w:val="001B7770"/>
    <w:rsid w:val="001B77AE"/>
    <w:rsid w:val="001C1A72"/>
    <w:rsid w:val="001C1C05"/>
    <w:rsid w:val="001C1EE7"/>
    <w:rsid w:val="001C37BD"/>
    <w:rsid w:val="001C4204"/>
    <w:rsid w:val="001C465C"/>
    <w:rsid w:val="001C5783"/>
    <w:rsid w:val="001C7B98"/>
    <w:rsid w:val="001D0446"/>
    <w:rsid w:val="001D0502"/>
    <w:rsid w:val="001D0614"/>
    <w:rsid w:val="001D4356"/>
    <w:rsid w:val="001D5051"/>
    <w:rsid w:val="001D693A"/>
    <w:rsid w:val="001E2F67"/>
    <w:rsid w:val="001E336F"/>
    <w:rsid w:val="001E5DF9"/>
    <w:rsid w:val="001E608F"/>
    <w:rsid w:val="001E6468"/>
    <w:rsid w:val="001E723E"/>
    <w:rsid w:val="001E72E0"/>
    <w:rsid w:val="001F0229"/>
    <w:rsid w:val="001F09CE"/>
    <w:rsid w:val="001F0D4E"/>
    <w:rsid w:val="001F16AF"/>
    <w:rsid w:val="001F1CDC"/>
    <w:rsid w:val="001F44A9"/>
    <w:rsid w:val="001F4C1F"/>
    <w:rsid w:val="001F79A7"/>
    <w:rsid w:val="001F7D6D"/>
    <w:rsid w:val="002003C2"/>
    <w:rsid w:val="00200941"/>
    <w:rsid w:val="00200A7A"/>
    <w:rsid w:val="00203E1D"/>
    <w:rsid w:val="0020458B"/>
    <w:rsid w:val="00204604"/>
    <w:rsid w:val="0020619B"/>
    <w:rsid w:val="00210636"/>
    <w:rsid w:val="00210A01"/>
    <w:rsid w:val="00210AB5"/>
    <w:rsid w:val="00211A61"/>
    <w:rsid w:val="00211B43"/>
    <w:rsid w:val="00211C24"/>
    <w:rsid w:val="0021349C"/>
    <w:rsid w:val="00214B3E"/>
    <w:rsid w:val="00215019"/>
    <w:rsid w:val="00215E1A"/>
    <w:rsid w:val="00216A59"/>
    <w:rsid w:val="00216AE8"/>
    <w:rsid w:val="00217BD9"/>
    <w:rsid w:val="00220AAE"/>
    <w:rsid w:val="00220E19"/>
    <w:rsid w:val="00220F29"/>
    <w:rsid w:val="00221501"/>
    <w:rsid w:val="00221C5F"/>
    <w:rsid w:val="002222AD"/>
    <w:rsid w:val="00223440"/>
    <w:rsid w:val="0022494E"/>
    <w:rsid w:val="00225B1A"/>
    <w:rsid w:val="00226537"/>
    <w:rsid w:val="00227193"/>
    <w:rsid w:val="00231D5D"/>
    <w:rsid w:val="002327FF"/>
    <w:rsid w:val="002353FA"/>
    <w:rsid w:val="00236294"/>
    <w:rsid w:val="002362DF"/>
    <w:rsid w:val="0023633C"/>
    <w:rsid w:val="00240153"/>
    <w:rsid w:val="00241027"/>
    <w:rsid w:val="00241E11"/>
    <w:rsid w:val="00242538"/>
    <w:rsid w:val="00243778"/>
    <w:rsid w:val="00245AD2"/>
    <w:rsid w:val="00246356"/>
    <w:rsid w:val="002471C5"/>
    <w:rsid w:val="00247467"/>
    <w:rsid w:val="002508C0"/>
    <w:rsid w:val="00252996"/>
    <w:rsid w:val="00253526"/>
    <w:rsid w:val="002551C7"/>
    <w:rsid w:val="00255403"/>
    <w:rsid w:val="002606F0"/>
    <w:rsid w:val="00260FE3"/>
    <w:rsid w:val="002616FC"/>
    <w:rsid w:val="00262269"/>
    <w:rsid w:val="0026283C"/>
    <w:rsid w:val="00263387"/>
    <w:rsid w:val="00264607"/>
    <w:rsid w:val="0026481D"/>
    <w:rsid w:val="00265D74"/>
    <w:rsid w:val="00266F44"/>
    <w:rsid w:val="0027077A"/>
    <w:rsid w:val="00270E9D"/>
    <w:rsid w:val="00271490"/>
    <w:rsid w:val="00273675"/>
    <w:rsid w:val="00274718"/>
    <w:rsid w:val="00275AAF"/>
    <w:rsid w:val="002760BA"/>
    <w:rsid w:val="0027646C"/>
    <w:rsid w:val="00277695"/>
    <w:rsid w:val="00277ACC"/>
    <w:rsid w:val="0028108A"/>
    <w:rsid w:val="00281C4C"/>
    <w:rsid w:val="0028495D"/>
    <w:rsid w:val="0028515A"/>
    <w:rsid w:val="00285614"/>
    <w:rsid w:val="00286278"/>
    <w:rsid w:val="0028647F"/>
    <w:rsid w:val="00286B91"/>
    <w:rsid w:val="00287241"/>
    <w:rsid w:val="002876C8"/>
    <w:rsid w:val="00287A26"/>
    <w:rsid w:val="0029102A"/>
    <w:rsid w:val="00291694"/>
    <w:rsid w:val="00293962"/>
    <w:rsid w:val="00293C18"/>
    <w:rsid w:val="00294F1B"/>
    <w:rsid w:val="002954AA"/>
    <w:rsid w:val="0029619D"/>
    <w:rsid w:val="002A25DE"/>
    <w:rsid w:val="002A3865"/>
    <w:rsid w:val="002A39A9"/>
    <w:rsid w:val="002A3E53"/>
    <w:rsid w:val="002A6145"/>
    <w:rsid w:val="002A6FF7"/>
    <w:rsid w:val="002B0041"/>
    <w:rsid w:val="002B0390"/>
    <w:rsid w:val="002B0717"/>
    <w:rsid w:val="002B0736"/>
    <w:rsid w:val="002B114B"/>
    <w:rsid w:val="002B2118"/>
    <w:rsid w:val="002B2173"/>
    <w:rsid w:val="002B28B0"/>
    <w:rsid w:val="002B3D1F"/>
    <w:rsid w:val="002B44D5"/>
    <w:rsid w:val="002B5869"/>
    <w:rsid w:val="002B586D"/>
    <w:rsid w:val="002B6F61"/>
    <w:rsid w:val="002B7649"/>
    <w:rsid w:val="002C04DC"/>
    <w:rsid w:val="002C0C55"/>
    <w:rsid w:val="002C1545"/>
    <w:rsid w:val="002C25BE"/>
    <w:rsid w:val="002C466C"/>
    <w:rsid w:val="002C4B9A"/>
    <w:rsid w:val="002C5CEE"/>
    <w:rsid w:val="002C7E64"/>
    <w:rsid w:val="002D1C9B"/>
    <w:rsid w:val="002D1F03"/>
    <w:rsid w:val="002D43D9"/>
    <w:rsid w:val="002D4A55"/>
    <w:rsid w:val="002D556D"/>
    <w:rsid w:val="002D6D8C"/>
    <w:rsid w:val="002E0239"/>
    <w:rsid w:val="002E4349"/>
    <w:rsid w:val="002E44BC"/>
    <w:rsid w:val="002E4E4A"/>
    <w:rsid w:val="002E68C3"/>
    <w:rsid w:val="002E6DFE"/>
    <w:rsid w:val="002F0604"/>
    <w:rsid w:val="002F2349"/>
    <w:rsid w:val="002F49B4"/>
    <w:rsid w:val="002F55EE"/>
    <w:rsid w:val="002F5B37"/>
    <w:rsid w:val="002F6E18"/>
    <w:rsid w:val="002F79A0"/>
    <w:rsid w:val="002F7E60"/>
    <w:rsid w:val="0030004C"/>
    <w:rsid w:val="003007A5"/>
    <w:rsid w:val="00300C8C"/>
    <w:rsid w:val="0030124A"/>
    <w:rsid w:val="00301420"/>
    <w:rsid w:val="003047ED"/>
    <w:rsid w:val="0030506A"/>
    <w:rsid w:val="003060DE"/>
    <w:rsid w:val="00306704"/>
    <w:rsid w:val="003070FB"/>
    <w:rsid w:val="003072BC"/>
    <w:rsid w:val="00313C19"/>
    <w:rsid w:val="00316983"/>
    <w:rsid w:val="00316A93"/>
    <w:rsid w:val="00317226"/>
    <w:rsid w:val="0032084C"/>
    <w:rsid w:val="00320B7C"/>
    <w:rsid w:val="0032282C"/>
    <w:rsid w:val="003255D6"/>
    <w:rsid w:val="0032665F"/>
    <w:rsid w:val="0032697D"/>
    <w:rsid w:val="00326BE4"/>
    <w:rsid w:val="00327093"/>
    <w:rsid w:val="00331F76"/>
    <w:rsid w:val="0033271A"/>
    <w:rsid w:val="00333AF1"/>
    <w:rsid w:val="0033476F"/>
    <w:rsid w:val="003348F8"/>
    <w:rsid w:val="00335471"/>
    <w:rsid w:val="0033615B"/>
    <w:rsid w:val="003368BB"/>
    <w:rsid w:val="00336EB2"/>
    <w:rsid w:val="00336F8A"/>
    <w:rsid w:val="00337CB9"/>
    <w:rsid w:val="00340715"/>
    <w:rsid w:val="00340CED"/>
    <w:rsid w:val="00341952"/>
    <w:rsid w:val="00341C9B"/>
    <w:rsid w:val="00342A37"/>
    <w:rsid w:val="003503C0"/>
    <w:rsid w:val="00350539"/>
    <w:rsid w:val="0035065D"/>
    <w:rsid w:val="0035082F"/>
    <w:rsid w:val="00352655"/>
    <w:rsid w:val="00353369"/>
    <w:rsid w:val="00353A3C"/>
    <w:rsid w:val="00353B48"/>
    <w:rsid w:val="00354310"/>
    <w:rsid w:val="003545C9"/>
    <w:rsid w:val="003547F2"/>
    <w:rsid w:val="00354882"/>
    <w:rsid w:val="00355645"/>
    <w:rsid w:val="00355C7F"/>
    <w:rsid w:val="00357074"/>
    <w:rsid w:val="0036012C"/>
    <w:rsid w:val="0036036C"/>
    <w:rsid w:val="00360CD7"/>
    <w:rsid w:val="00361A2E"/>
    <w:rsid w:val="0036209A"/>
    <w:rsid w:val="0036265E"/>
    <w:rsid w:val="00362ADC"/>
    <w:rsid w:val="00362DE7"/>
    <w:rsid w:val="0036414A"/>
    <w:rsid w:val="00365351"/>
    <w:rsid w:val="00366025"/>
    <w:rsid w:val="00367509"/>
    <w:rsid w:val="00367EA3"/>
    <w:rsid w:val="00370530"/>
    <w:rsid w:val="00370686"/>
    <w:rsid w:val="00370D85"/>
    <w:rsid w:val="00370F56"/>
    <w:rsid w:val="003719B9"/>
    <w:rsid w:val="00372141"/>
    <w:rsid w:val="003724B8"/>
    <w:rsid w:val="00372B72"/>
    <w:rsid w:val="0037331C"/>
    <w:rsid w:val="00373BBD"/>
    <w:rsid w:val="00374C51"/>
    <w:rsid w:val="00375CAA"/>
    <w:rsid w:val="00375F9A"/>
    <w:rsid w:val="003763F9"/>
    <w:rsid w:val="003767A9"/>
    <w:rsid w:val="00377207"/>
    <w:rsid w:val="00380F5D"/>
    <w:rsid w:val="00381EAB"/>
    <w:rsid w:val="00381F48"/>
    <w:rsid w:val="00383571"/>
    <w:rsid w:val="00383AF7"/>
    <w:rsid w:val="003904DC"/>
    <w:rsid w:val="003924A0"/>
    <w:rsid w:val="00392C18"/>
    <w:rsid w:val="00393469"/>
    <w:rsid w:val="00395B79"/>
    <w:rsid w:val="00395D6C"/>
    <w:rsid w:val="00395E37"/>
    <w:rsid w:val="00395FC4"/>
    <w:rsid w:val="00397ABC"/>
    <w:rsid w:val="003A3FD4"/>
    <w:rsid w:val="003A4FDD"/>
    <w:rsid w:val="003A6D4B"/>
    <w:rsid w:val="003B0FF9"/>
    <w:rsid w:val="003B3AAE"/>
    <w:rsid w:val="003B423A"/>
    <w:rsid w:val="003B6B75"/>
    <w:rsid w:val="003C0E7A"/>
    <w:rsid w:val="003C0F8E"/>
    <w:rsid w:val="003C11CB"/>
    <w:rsid w:val="003C1D53"/>
    <w:rsid w:val="003C1E1F"/>
    <w:rsid w:val="003C1E52"/>
    <w:rsid w:val="003C2E54"/>
    <w:rsid w:val="003C796E"/>
    <w:rsid w:val="003D331F"/>
    <w:rsid w:val="003D5CB6"/>
    <w:rsid w:val="003D6469"/>
    <w:rsid w:val="003D683D"/>
    <w:rsid w:val="003E0251"/>
    <w:rsid w:val="003E0BC3"/>
    <w:rsid w:val="003E15B6"/>
    <w:rsid w:val="003E4624"/>
    <w:rsid w:val="003E4923"/>
    <w:rsid w:val="003F1005"/>
    <w:rsid w:val="003F15AC"/>
    <w:rsid w:val="003F17E0"/>
    <w:rsid w:val="003F18FA"/>
    <w:rsid w:val="003F1B96"/>
    <w:rsid w:val="003F20D3"/>
    <w:rsid w:val="003F2164"/>
    <w:rsid w:val="003F34D1"/>
    <w:rsid w:val="003F3D09"/>
    <w:rsid w:val="003F3D79"/>
    <w:rsid w:val="003F4326"/>
    <w:rsid w:val="003F5D09"/>
    <w:rsid w:val="003F64B1"/>
    <w:rsid w:val="00402B4B"/>
    <w:rsid w:val="004038EE"/>
    <w:rsid w:val="00405853"/>
    <w:rsid w:val="004069B2"/>
    <w:rsid w:val="00407305"/>
    <w:rsid w:val="0040746D"/>
    <w:rsid w:val="0040754A"/>
    <w:rsid w:val="00407C50"/>
    <w:rsid w:val="004104D6"/>
    <w:rsid w:val="0041129E"/>
    <w:rsid w:val="00411F1D"/>
    <w:rsid w:val="00411F5A"/>
    <w:rsid w:val="00413D30"/>
    <w:rsid w:val="004152F7"/>
    <w:rsid w:val="004169F0"/>
    <w:rsid w:val="00423254"/>
    <w:rsid w:val="00423558"/>
    <w:rsid w:val="004256A8"/>
    <w:rsid w:val="0042583B"/>
    <w:rsid w:val="004260AE"/>
    <w:rsid w:val="00426DB1"/>
    <w:rsid w:val="00426EEF"/>
    <w:rsid w:val="0043005E"/>
    <w:rsid w:val="0043031A"/>
    <w:rsid w:val="00430A21"/>
    <w:rsid w:val="00430AFA"/>
    <w:rsid w:val="004310F5"/>
    <w:rsid w:val="00433A89"/>
    <w:rsid w:val="004445C3"/>
    <w:rsid w:val="00444671"/>
    <w:rsid w:val="0044494B"/>
    <w:rsid w:val="00444D3D"/>
    <w:rsid w:val="0044524D"/>
    <w:rsid w:val="00446AFB"/>
    <w:rsid w:val="00446F94"/>
    <w:rsid w:val="00447F20"/>
    <w:rsid w:val="0045047E"/>
    <w:rsid w:val="00451CCA"/>
    <w:rsid w:val="00451D79"/>
    <w:rsid w:val="004526A6"/>
    <w:rsid w:val="00453D1B"/>
    <w:rsid w:val="00456091"/>
    <w:rsid w:val="00457D80"/>
    <w:rsid w:val="00460287"/>
    <w:rsid w:val="004635AF"/>
    <w:rsid w:val="0046383B"/>
    <w:rsid w:val="00464D83"/>
    <w:rsid w:val="00465C36"/>
    <w:rsid w:val="004665EF"/>
    <w:rsid w:val="00466DDE"/>
    <w:rsid w:val="00467232"/>
    <w:rsid w:val="00467503"/>
    <w:rsid w:val="00470030"/>
    <w:rsid w:val="00470595"/>
    <w:rsid w:val="004757AA"/>
    <w:rsid w:val="004766E7"/>
    <w:rsid w:val="00476953"/>
    <w:rsid w:val="00480575"/>
    <w:rsid w:val="00480CEB"/>
    <w:rsid w:val="004837CB"/>
    <w:rsid w:val="004838F1"/>
    <w:rsid w:val="00484010"/>
    <w:rsid w:val="004841C4"/>
    <w:rsid w:val="004844AD"/>
    <w:rsid w:val="0048489E"/>
    <w:rsid w:val="00484CB8"/>
    <w:rsid w:val="00485256"/>
    <w:rsid w:val="004865C2"/>
    <w:rsid w:val="004867E1"/>
    <w:rsid w:val="00487326"/>
    <w:rsid w:val="00491ECF"/>
    <w:rsid w:val="00495C16"/>
    <w:rsid w:val="00495CFA"/>
    <w:rsid w:val="0049622B"/>
    <w:rsid w:val="004963E4"/>
    <w:rsid w:val="004A0405"/>
    <w:rsid w:val="004A18FC"/>
    <w:rsid w:val="004A1E65"/>
    <w:rsid w:val="004A221E"/>
    <w:rsid w:val="004A264A"/>
    <w:rsid w:val="004A31EC"/>
    <w:rsid w:val="004A55AA"/>
    <w:rsid w:val="004A59EB"/>
    <w:rsid w:val="004A61C2"/>
    <w:rsid w:val="004A64FF"/>
    <w:rsid w:val="004A6E09"/>
    <w:rsid w:val="004A7A65"/>
    <w:rsid w:val="004B1AEB"/>
    <w:rsid w:val="004B254D"/>
    <w:rsid w:val="004B3694"/>
    <w:rsid w:val="004B3AD5"/>
    <w:rsid w:val="004B44AC"/>
    <w:rsid w:val="004C0393"/>
    <w:rsid w:val="004C0881"/>
    <w:rsid w:val="004C0E69"/>
    <w:rsid w:val="004C146B"/>
    <w:rsid w:val="004C2160"/>
    <w:rsid w:val="004C5AD5"/>
    <w:rsid w:val="004C5B1D"/>
    <w:rsid w:val="004C631D"/>
    <w:rsid w:val="004C6391"/>
    <w:rsid w:val="004D01E5"/>
    <w:rsid w:val="004D09AF"/>
    <w:rsid w:val="004D2DD8"/>
    <w:rsid w:val="004D2EF8"/>
    <w:rsid w:val="004D38E3"/>
    <w:rsid w:val="004D41BF"/>
    <w:rsid w:val="004D5A83"/>
    <w:rsid w:val="004D5CE1"/>
    <w:rsid w:val="004D693C"/>
    <w:rsid w:val="004D7116"/>
    <w:rsid w:val="004E0243"/>
    <w:rsid w:val="004E1226"/>
    <w:rsid w:val="004E18BF"/>
    <w:rsid w:val="004E30E6"/>
    <w:rsid w:val="004E32DB"/>
    <w:rsid w:val="004E6600"/>
    <w:rsid w:val="004E76C7"/>
    <w:rsid w:val="004F2BB2"/>
    <w:rsid w:val="004F3E85"/>
    <w:rsid w:val="004F64AF"/>
    <w:rsid w:val="0050051D"/>
    <w:rsid w:val="005010BC"/>
    <w:rsid w:val="005028B6"/>
    <w:rsid w:val="00503487"/>
    <w:rsid w:val="0050475B"/>
    <w:rsid w:val="00504A08"/>
    <w:rsid w:val="00505E0D"/>
    <w:rsid w:val="00506026"/>
    <w:rsid w:val="00506617"/>
    <w:rsid w:val="00506C0B"/>
    <w:rsid w:val="00506C2D"/>
    <w:rsid w:val="00507599"/>
    <w:rsid w:val="00507A98"/>
    <w:rsid w:val="00507B49"/>
    <w:rsid w:val="00513534"/>
    <w:rsid w:val="005141C0"/>
    <w:rsid w:val="005148F6"/>
    <w:rsid w:val="00515B56"/>
    <w:rsid w:val="00516B05"/>
    <w:rsid w:val="00517A9F"/>
    <w:rsid w:val="005237B5"/>
    <w:rsid w:val="005252BB"/>
    <w:rsid w:val="00525BB7"/>
    <w:rsid w:val="0053040A"/>
    <w:rsid w:val="00531484"/>
    <w:rsid w:val="0053155E"/>
    <w:rsid w:val="0053308B"/>
    <w:rsid w:val="0053316C"/>
    <w:rsid w:val="00534457"/>
    <w:rsid w:val="00534E59"/>
    <w:rsid w:val="00536E87"/>
    <w:rsid w:val="005405EE"/>
    <w:rsid w:val="005413FC"/>
    <w:rsid w:val="00541A89"/>
    <w:rsid w:val="00541F57"/>
    <w:rsid w:val="005425C9"/>
    <w:rsid w:val="00542778"/>
    <w:rsid w:val="00543C2D"/>
    <w:rsid w:val="005446E7"/>
    <w:rsid w:val="00546BDC"/>
    <w:rsid w:val="0055365D"/>
    <w:rsid w:val="00553D77"/>
    <w:rsid w:val="0055636F"/>
    <w:rsid w:val="00556873"/>
    <w:rsid w:val="00557250"/>
    <w:rsid w:val="0055753B"/>
    <w:rsid w:val="0056131B"/>
    <w:rsid w:val="0056140B"/>
    <w:rsid w:val="00564D98"/>
    <w:rsid w:val="0056543C"/>
    <w:rsid w:val="00566BD0"/>
    <w:rsid w:val="00566F01"/>
    <w:rsid w:val="005674C0"/>
    <w:rsid w:val="00567529"/>
    <w:rsid w:val="00570166"/>
    <w:rsid w:val="0057171C"/>
    <w:rsid w:val="00572645"/>
    <w:rsid w:val="005729D1"/>
    <w:rsid w:val="00572ABD"/>
    <w:rsid w:val="005757EA"/>
    <w:rsid w:val="005769BF"/>
    <w:rsid w:val="00576B50"/>
    <w:rsid w:val="005771BA"/>
    <w:rsid w:val="00580926"/>
    <w:rsid w:val="0058199C"/>
    <w:rsid w:val="00581BB5"/>
    <w:rsid w:val="00582577"/>
    <w:rsid w:val="00582798"/>
    <w:rsid w:val="00582AEA"/>
    <w:rsid w:val="0058397E"/>
    <w:rsid w:val="00583DF0"/>
    <w:rsid w:val="00584E6D"/>
    <w:rsid w:val="0058541F"/>
    <w:rsid w:val="0058597E"/>
    <w:rsid w:val="0058599F"/>
    <w:rsid w:val="00587781"/>
    <w:rsid w:val="00587D52"/>
    <w:rsid w:val="00590BD7"/>
    <w:rsid w:val="00590C26"/>
    <w:rsid w:val="005927C3"/>
    <w:rsid w:val="00592FEE"/>
    <w:rsid w:val="00594BB0"/>
    <w:rsid w:val="005968F7"/>
    <w:rsid w:val="0059705C"/>
    <w:rsid w:val="00597154"/>
    <w:rsid w:val="005A1BE3"/>
    <w:rsid w:val="005B011D"/>
    <w:rsid w:val="005B3E7C"/>
    <w:rsid w:val="005B47D2"/>
    <w:rsid w:val="005C1061"/>
    <w:rsid w:val="005C107A"/>
    <w:rsid w:val="005C25AC"/>
    <w:rsid w:val="005C2D15"/>
    <w:rsid w:val="005C3BE0"/>
    <w:rsid w:val="005C49CB"/>
    <w:rsid w:val="005C502B"/>
    <w:rsid w:val="005C5AD5"/>
    <w:rsid w:val="005C678F"/>
    <w:rsid w:val="005C6BFB"/>
    <w:rsid w:val="005C7E90"/>
    <w:rsid w:val="005D1530"/>
    <w:rsid w:val="005D1610"/>
    <w:rsid w:val="005D1871"/>
    <w:rsid w:val="005D5AEF"/>
    <w:rsid w:val="005D6DD7"/>
    <w:rsid w:val="005D6E94"/>
    <w:rsid w:val="005D7741"/>
    <w:rsid w:val="005D799D"/>
    <w:rsid w:val="005E0E3A"/>
    <w:rsid w:val="005E0F85"/>
    <w:rsid w:val="005E196F"/>
    <w:rsid w:val="005E1F3A"/>
    <w:rsid w:val="005E22B1"/>
    <w:rsid w:val="005E2426"/>
    <w:rsid w:val="005E7632"/>
    <w:rsid w:val="005F200D"/>
    <w:rsid w:val="005F30E4"/>
    <w:rsid w:val="005F395D"/>
    <w:rsid w:val="005F44BC"/>
    <w:rsid w:val="005F552F"/>
    <w:rsid w:val="005F5B98"/>
    <w:rsid w:val="005F62C3"/>
    <w:rsid w:val="005F6AC8"/>
    <w:rsid w:val="005F73FA"/>
    <w:rsid w:val="005F7DA2"/>
    <w:rsid w:val="00601739"/>
    <w:rsid w:val="00601996"/>
    <w:rsid w:val="00602BA9"/>
    <w:rsid w:val="00603303"/>
    <w:rsid w:val="00604675"/>
    <w:rsid w:val="00604745"/>
    <w:rsid w:val="0060509B"/>
    <w:rsid w:val="00605FDB"/>
    <w:rsid w:val="00606D41"/>
    <w:rsid w:val="00606D96"/>
    <w:rsid w:val="00610259"/>
    <w:rsid w:val="00610D45"/>
    <w:rsid w:val="006118EA"/>
    <w:rsid w:val="00611A40"/>
    <w:rsid w:val="00611E9C"/>
    <w:rsid w:val="006132D2"/>
    <w:rsid w:val="00614DEC"/>
    <w:rsid w:val="006171B1"/>
    <w:rsid w:val="00621130"/>
    <w:rsid w:val="00621B85"/>
    <w:rsid w:val="00622E28"/>
    <w:rsid w:val="00623FFD"/>
    <w:rsid w:val="0062443B"/>
    <w:rsid w:val="00625524"/>
    <w:rsid w:val="00625F6A"/>
    <w:rsid w:val="00630817"/>
    <w:rsid w:val="00630969"/>
    <w:rsid w:val="00630A78"/>
    <w:rsid w:val="00632EDC"/>
    <w:rsid w:val="006337D3"/>
    <w:rsid w:val="0063381B"/>
    <w:rsid w:val="00635878"/>
    <w:rsid w:val="00640EB2"/>
    <w:rsid w:val="006435E6"/>
    <w:rsid w:val="00645F41"/>
    <w:rsid w:val="0064717F"/>
    <w:rsid w:val="0065013A"/>
    <w:rsid w:val="00650BDC"/>
    <w:rsid w:val="00652C97"/>
    <w:rsid w:val="00654841"/>
    <w:rsid w:val="00657B9E"/>
    <w:rsid w:val="00657ED1"/>
    <w:rsid w:val="00660590"/>
    <w:rsid w:val="0066094B"/>
    <w:rsid w:val="006615EA"/>
    <w:rsid w:val="006619E6"/>
    <w:rsid w:val="00663C30"/>
    <w:rsid w:val="00663DD3"/>
    <w:rsid w:val="006660C1"/>
    <w:rsid w:val="0066617E"/>
    <w:rsid w:val="006663ED"/>
    <w:rsid w:val="00666E38"/>
    <w:rsid w:val="0067089A"/>
    <w:rsid w:val="0067148A"/>
    <w:rsid w:val="006715B4"/>
    <w:rsid w:val="00672317"/>
    <w:rsid w:val="006727A4"/>
    <w:rsid w:val="0067306D"/>
    <w:rsid w:val="006730C3"/>
    <w:rsid w:val="00673BD6"/>
    <w:rsid w:val="006742D6"/>
    <w:rsid w:val="0067617B"/>
    <w:rsid w:val="006761F0"/>
    <w:rsid w:val="006771A5"/>
    <w:rsid w:val="00681194"/>
    <w:rsid w:val="006818F3"/>
    <w:rsid w:val="00684ACC"/>
    <w:rsid w:val="00684B47"/>
    <w:rsid w:val="00684FAA"/>
    <w:rsid w:val="006868A1"/>
    <w:rsid w:val="00686F8D"/>
    <w:rsid w:val="00687DB6"/>
    <w:rsid w:val="0069171E"/>
    <w:rsid w:val="0069474E"/>
    <w:rsid w:val="00694D2A"/>
    <w:rsid w:val="006959B9"/>
    <w:rsid w:val="00695BBB"/>
    <w:rsid w:val="00696A39"/>
    <w:rsid w:val="006A24EC"/>
    <w:rsid w:val="006A4572"/>
    <w:rsid w:val="006A4610"/>
    <w:rsid w:val="006A5C57"/>
    <w:rsid w:val="006A6868"/>
    <w:rsid w:val="006A6FF0"/>
    <w:rsid w:val="006A774F"/>
    <w:rsid w:val="006A7E1B"/>
    <w:rsid w:val="006B05AA"/>
    <w:rsid w:val="006B1E7E"/>
    <w:rsid w:val="006B2A75"/>
    <w:rsid w:val="006B3621"/>
    <w:rsid w:val="006B3D9D"/>
    <w:rsid w:val="006B47E0"/>
    <w:rsid w:val="006B5AF0"/>
    <w:rsid w:val="006B74A2"/>
    <w:rsid w:val="006B7621"/>
    <w:rsid w:val="006B7CA2"/>
    <w:rsid w:val="006C0A53"/>
    <w:rsid w:val="006C2E21"/>
    <w:rsid w:val="006C367E"/>
    <w:rsid w:val="006C4916"/>
    <w:rsid w:val="006C7DC5"/>
    <w:rsid w:val="006D04D2"/>
    <w:rsid w:val="006D1341"/>
    <w:rsid w:val="006D1FD9"/>
    <w:rsid w:val="006D20A2"/>
    <w:rsid w:val="006D25A1"/>
    <w:rsid w:val="006D387D"/>
    <w:rsid w:val="006D4116"/>
    <w:rsid w:val="006D429A"/>
    <w:rsid w:val="006D4B59"/>
    <w:rsid w:val="006D51B3"/>
    <w:rsid w:val="006D6E46"/>
    <w:rsid w:val="006D7B75"/>
    <w:rsid w:val="006E0558"/>
    <w:rsid w:val="006E0C5A"/>
    <w:rsid w:val="006E2C2C"/>
    <w:rsid w:val="006E2C62"/>
    <w:rsid w:val="006E351C"/>
    <w:rsid w:val="006E375A"/>
    <w:rsid w:val="006E45EB"/>
    <w:rsid w:val="006E45FF"/>
    <w:rsid w:val="006E52C9"/>
    <w:rsid w:val="006E6B3A"/>
    <w:rsid w:val="006E6E77"/>
    <w:rsid w:val="006F0A3C"/>
    <w:rsid w:val="006F2441"/>
    <w:rsid w:val="006F3048"/>
    <w:rsid w:val="006F3F0F"/>
    <w:rsid w:val="006F4AFF"/>
    <w:rsid w:val="006F56A0"/>
    <w:rsid w:val="007009D0"/>
    <w:rsid w:val="00700CD7"/>
    <w:rsid w:val="00701768"/>
    <w:rsid w:val="007026FC"/>
    <w:rsid w:val="0070371A"/>
    <w:rsid w:val="00705118"/>
    <w:rsid w:val="007070B9"/>
    <w:rsid w:val="00710BD4"/>
    <w:rsid w:val="007111C6"/>
    <w:rsid w:val="00713AE4"/>
    <w:rsid w:val="00717C77"/>
    <w:rsid w:val="00720441"/>
    <w:rsid w:val="0072131C"/>
    <w:rsid w:val="0072173E"/>
    <w:rsid w:val="00722C6E"/>
    <w:rsid w:val="00722C72"/>
    <w:rsid w:val="00722FE4"/>
    <w:rsid w:val="00730F7F"/>
    <w:rsid w:val="0073268A"/>
    <w:rsid w:val="00732DC6"/>
    <w:rsid w:val="00732F59"/>
    <w:rsid w:val="007331E5"/>
    <w:rsid w:val="00733380"/>
    <w:rsid w:val="0073428E"/>
    <w:rsid w:val="00735456"/>
    <w:rsid w:val="0073569A"/>
    <w:rsid w:val="0073698D"/>
    <w:rsid w:val="00736CB8"/>
    <w:rsid w:val="00742115"/>
    <w:rsid w:val="00742121"/>
    <w:rsid w:val="00742177"/>
    <w:rsid w:val="007422A3"/>
    <w:rsid w:val="007425A4"/>
    <w:rsid w:val="00743191"/>
    <w:rsid w:val="007438F1"/>
    <w:rsid w:val="007445B9"/>
    <w:rsid w:val="007445CB"/>
    <w:rsid w:val="00744F58"/>
    <w:rsid w:val="007459A5"/>
    <w:rsid w:val="00745A40"/>
    <w:rsid w:val="00750C61"/>
    <w:rsid w:val="00751A0B"/>
    <w:rsid w:val="0075293A"/>
    <w:rsid w:val="00755F84"/>
    <w:rsid w:val="00756F61"/>
    <w:rsid w:val="00757947"/>
    <w:rsid w:val="007614C1"/>
    <w:rsid w:val="0076165A"/>
    <w:rsid w:val="00761BF3"/>
    <w:rsid w:val="0076211A"/>
    <w:rsid w:val="0076271A"/>
    <w:rsid w:val="00763462"/>
    <w:rsid w:val="00764A2B"/>
    <w:rsid w:val="007650C1"/>
    <w:rsid w:val="007665C8"/>
    <w:rsid w:val="007674DA"/>
    <w:rsid w:val="007719A2"/>
    <w:rsid w:val="00772258"/>
    <w:rsid w:val="0077350E"/>
    <w:rsid w:val="00773575"/>
    <w:rsid w:val="00774EF9"/>
    <w:rsid w:val="007750F9"/>
    <w:rsid w:val="0077562A"/>
    <w:rsid w:val="00776125"/>
    <w:rsid w:val="007770EB"/>
    <w:rsid w:val="007772FF"/>
    <w:rsid w:val="00780AA9"/>
    <w:rsid w:val="00783176"/>
    <w:rsid w:val="00783477"/>
    <w:rsid w:val="00785511"/>
    <w:rsid w:val="00785925"/>
    <w:rsid w:val="00786AC3"/>
    <w:rsid w:val="00787BF5"/>
    <w:rsid w:val="00787CAC"/>
    <w:rsid w:val="007919D4"/>
    <w:rsid w:val="007919E2"/>
    <w:rsid w:val="00793350"/>
    <w:rsid w:val="0079419A"/>
    <w:rsid w:val="007942FE"/>
    <w:rsid w:val="007943CA"/>
    <w:rsid w:val="00794598"/>
    <w:rsid w:val="0079473A"/>
    <w:rsid w:val="0079716E"/>
    <w:rsid w:val="007A0694"/>
    <w:rsid w:val="007A1203"/>
    <w:rsid w:val="007A1488"/>
    <w:rsid w:val="007A1FE0"/>
    <w:rsid w:val="007A26DC"/>
    <w:rsid w:val="007A2B1D"/>
    <w:rsid w:val="007A2E66"/>
    <w:rsid w:val="007A382F"/>
    <w:rsid w:val="007A4DA4"/>
    <w:rsid w:val="007A65BE"/>
    <w:rsid w:val="007B0334"/>
    <w:rsid w:val="007B04EF"/>
    <w:rsid w:val="007B3DAF"/>
    <w:rsid w:val="007B49D5"/>
    <w:rsid w:val="007B4C01"/>
    <w:rsid w:val="007B519D"/>
    <w:rsid w:val="007B52EE"/>
    <w:rsid w:val="007B6B0C"/>
    <w:rsid w:val="007B7653"/>
    <w:rsid w:val="007C0C94"/>
    <w:rsid w:val="007C0CC7"/>
    <w:rsid w:val="007C2500"/>
    <w:rsid w:val="007C2F03"/>
    <w:rsid w:val="007C3102"/>
    <w:rsid w:val="007C3E40"/>
    <w:rsid w:val="007C6B95"/>
    <w:rsid w:val="007D2632"/>
    <w:rsid w:val="007D2681"/>
    <w:rsid w:val="007D284A"/>
    <w:rsid w:val="007D4ED4"/>
    <w:rsid w:val="007D4F1B"/>
    <w:rsid w:val="007D5A0E"/>
    <w:rsid w:val="007D5F8E"/>
    <w:rsid w:val="007D6FBA"/>
    <w:rsid w:val="007E1204"/>
    <w:rsid w:val="007E4DB8"/>
    <w:rsid w:val="007E4F23"/>
    <w:rsid w:val="007E5329"/>
    <w:rsid w:val="007F0EFD"/>
    <w:rsid w:val="007F1108"/>
    <w:rsid w:val="007F4B60"/>
    <w:rsid w:val="007F4C29"/>
    <w:rsid w:val="007F4D2C"/>
    <w:rsid w:val="007F5C1C"/>
    <w:rsid w:val="007F5DE0"/>
    <w:rsid w:val="007F6373"/>
    <w:rsid w:val="008005B7"/>
    <w:rsid w:val="00803760"/>
    <w:rsid w:val="0080437F"/>
    <w:rsid w:val="00806CEB"/>
    <w:rsid w:val="0080762F"/>
    <w:rsid w:val="00810814"/>
    <w:rsid w:val="008125B4"/>
    <w:rsid w:val="00813A6B"/>
    <w:rsid w:val="008152AE"/>
    <w:rsid w:val="00815B49"/>
    <w:rsid w:val="00815E27"/>
    <w:rsid w:val="00816CFC"/>
    <w:rsid w:val="00817D97"/>
    <w:rsid w:val="00817FD3"/>
    <w:rsid w:val="00820580"/>
    <w:rsid w:val="00820EAE"/>
    <w:rsid w:val="00821AA6"/>
    <w:rsid w:val="00821DF6"/>
    <w:rsid w:val="00825505"/>
    <w:rsid w:val="00825EB6"/>
    <w:rsid w:val="00825EF6"/>
    <w:rsid w:val="00825FB7"/>
    <w:rsid w:val="008267B4"/>
    <w:rsid w:val="008273C7"/>
    <w:rsid w:val="00827DA2"/>
    <w:rsid w:val="00827FFC"/>
    <w:rsid w:val="00830D74"/>
    <w:rsid w:val="00831111"/>
    <w:rsid w:val="008311A5"/>
    <w:rsid w:val="00833F81"/>
    <w:rsid w:val="008354B3"/>
    <w:rsid w:val="008363DA"/>
    <w:rsid w:val="00836715"/>
    <w:rsid w:val="008368BE"/>
    <w:rsid w:val="00836B42"/>
    <w:rsid w:val="008371AF"/>
    <w:rsid w:val="00837ABD"/>
    <w:rsid w:val="00841AB9"/>
    <w:rsid w:val="00842524"/>
    <w:rsid w:val="00842863"/>
    <w:rsid w:val="0084291E"/>
    <w:rsid w:val="00845053"/>
    <w:rsid w:val="008456B9"/>
    <w:rsid w:val="0084595F"/>
    <w:rsid w:val="008465F8"/>
    <w:rsid w:val="00846CE7"/>
    <w:rsid w:val="00850F99"/>
    <w:rsid w:val="00851179"/>
    <w:rsid w:val="008525DF"/>
    <w:rsid w:val="00853812"/>
    <w:rsid w:val="00853964"/>
    <w:rsid w:val="00853B3B"/>
    <w:rsid w:val="00854E6D"/>
    <w:rsid w:val="008550BE"/>
    <w:rsid w:val="0085527B"/>
    <w:rsid w:val="00855B25"/>
    <w:rsid w:val="00855E42"/>
    <w:rsid w:val="008573B1"/>
    <w:rsid w:val="00860319"/>
    <w:rsid w:val="008618C3"/>
    <w:rsid w:val="00861D66"/>
    <w:rsid w:val="00862342"/>
    <w:rsid w:val="008624C1"/>
    <w:rsid w:val="00863043"/>
    <w:rsid w:val="008661AD"/>
    <w:rsid w:val="00867B69"/>
    <w:rsid w:val="00870201"/>
    <w:rsid w:val="00871423"/>
    <w:rsid w:val="008737DB"/>
    <w:rsid w:val="008755BC"/>
    <w:rsid w:val="008762D6"/>
    <w:rsid w:val="00877542"/>
    <w:rsid w:val="008777B4"/>
    <w:rsid w:val="008816FE"/>
    <w:rsid w:val="0088175B"/>
    <w:rsid w:val="008827A4"/>
    <w:rsid w:val="00885AFD"/>
    <w:rsid w:val="00886208"/>
    <w:rsid w:val="00887C43"/>
    <w:rsid w:val="00887EF8"/>
    <w:rsid w:val="00892529"/>
    <w:rsid w:val="00894792"/>
    <w:rsid w:val="0089485C"/>
    <w:rsid w:val="00895FB8"/>
    <w:rsid w:val="00896E09"/>
    <w:rsid w:val="008A0925"/>
    <w:rsid w:val="008A0D42"/>
    <w:rsid w:val="008A0E02"/>
    <w:rsid w:val="008A0E38"/>
    <w:rsid w:val="008A1564"/>
    <w:rsid w:val="008A2AB3"/>
    <w:rsid w:val="008A5B49"/>
    <w:rsid w:val="008A73BD"/>
    <w:rsid w:val="008A779E"/>
    <w:rsid w:val="008A77B2"/>
    <w:rsid w:val="008B0C64"/>
    <w:rsid w:val="008B32B7"/>
    <w:rsid w:val="008B4401"/>
    <w:rsid w:val="008B4B46"/>
    <w:rsid w:val="008B6444"/>
    <w:rsid w:val="008B65D8"/>
    <w:rsid w:val="008B6968"/>
    <w:rsid w:val="008B786C"/>
    <w:rsid w:val="008B7C21"/>
    <w:rsid w:val="008C03C2"/>
    <w:rsid w:val="008C0E0E"/>
    <w:rsid w:val="008C1BD7"/>
    <w:rsid w:val="008C2F2E"/>
    <w:rsid w:val="008C3D4C"/>
    <w:rsid w:val="008C3E57"/>
    <w:rsid w:val="008C40A0"/>
    <w:rsid w:val="008C444D"/>
    <w:rsid w:val="008C5187"/>
    <w:rsid w:val="008C58EB"/>
    <w:rsid w:val="008C5996"/>
    <w:rsid w:val="008C6500"/>
    <w:rsid w:val="008C70BB"/>
    <w:rsid w:val="008D093E"/>
    <w:rsid w:val="008D0EE8"/>
    <w:rsid w:val="008D517D"/>
    <w:rsid w:val="008D5516"/>
    <w:rsid w:val="008D66FD"/>
    <w:rsid w:val="008D6CF6"/>
    <w:rsid w:val="008E1092"/>
    <w:rsid w:val="008E1FDE"/>
    <w:rsid w:val="008E2D69"/>
    <w:rsid w:val="008F0C1B"/>
    <w:rsid w:val="008F15B0"/>
    <w:rsid w:val="008F1F19"/>
    <w:rsid w:val="008F35CA"/>
    <w:rsid w:val="008F35E2"/>
    <w:rsid w:val="008F44EA"/>
    <w:rsid w:val="008F48CA"/>
    <w:rsid w:val="008F548F"/>
    <w:rsid w:val="008F6BBE"/>
    <w:rsid w:val="008F7427"/>
    <w:rsid w:val="008F78CD"/>
    <w:rsid w:val="00900CFA"/>
    <w:rsid w:val="00902157"/>
    <w:rsid w:val="0090217E"/>
    <w:rsid w:val="0090269E"/>
    <w:rsid w:val="00902CE0"/>
    <w:rsid w:val="00903211"/>
    <w:rsid w:val="00903961"/>
    <w:rsid w:val="00904EA4"/>
    <w:rsid w:val="00906DD8"/>
    <w:rsid w:val="00906E26"/>
    <w:rsid w:val="00911AD2"/>
    <w:rsid w:val="009120FD"/>
    <w:rsid w:val="009163B6"/>
    <w:rsid w:val="009164DB"/>
    <w:rsid w:val="00916952"/>
    <w:rsid w:val="00921FC2"/>
    <w:rsid w:val="009234AA"/>
    <w:rsid w:val="009242D1"/>
    <w:rsid w:val="00924583"/>
    <w:rsid w:val="00925BE5"/>
    <w:rsid w:val="00926D8E"/>
    <w:rsid w:val="009277F5"/>
    <w:rsid w:val="009322D4"/>
    <w:rsid w:val="009378E9"/>
    <w:rsid w:val="00937AD9"/>
    <w:rsid w:val="00937D1A"/>
    <w:rsid w:val="009403A7"/>
    <w:rsid w:val="009411FA"/>
    <w:rsid w:val="009413CB"/>
    <w:rsid w:val="00941635"/>
    <w:rsid w:val="00941D4F"/>
    <w:rsid w:val="00941D86"/>
    <w:rsid w:val="009435FA"/>
    <w:rsid w:val="0094397C"/>
    <w:rsid w:val="0094501F"/>
    <w:rsid w:val="009462C5"/>
    <w:rsid w:val="00946978"/>
    <w:rsid w:val="00946FBF"/>
    <w:rsid w:val="009505BB"/>
    <w:rsid w:val="00950E78"/>
    <w:rsid w:val="00951C05"/>
    <w:rsid w:val="00952C93"/>
    <w:rsid w:val="00953455"/>
    <w:rsid w:val="009537D5"/>
    <w:rsid w:val="00955257"/>
    <w:rsid w:val="00955D08"/>
    <w:rsid w:val="00956CFD"/>
    <w:rsid w:val="00957274"/>
    <w:rsid w:val="009604C4"/>
    <w:rsid w:val="00960CE4"/>
    <w:rsid w:val="009620B9"/>
    <w:rsid w:val="00962720"/>
    <w:rsid w:val="00962A2F"/>
    <w:rsid w:val="00962D47"/>
    <w:rsid w:val="00963BA4"/>
    <w:rsid w:val="00964C4D"/>
    <w:rsid w:val="00966434"/>
    <w:rsid w:val="009672AD"/>
    <w:rsid w:val="00967467"/>
    <w:rsid w:val="00967516"/>
    <w:rsid w:val="009706FB"/>
    <w:rsid w:val="00970A51"/>
    <w:rsid w:val="00970EA7"/>
    <w:rsid w:val="00971CE7"/>
    <w:rsid w:val="00972868"/>
    <w:rsid w:val="00974966"/>
    <w:rsid w:val="00976154"/>
    <w:rsid w:val="00980864"/>
    <w:rsid w:val="0098094C"/>
    <w:rsid w:val="00981F11"/>
    <w:rsid w:val="00983BC9"/>
    <w:rsid w:val="00986C0F"/>
    <w:rsid w:val="00986DD5"/>
    <w:rsid w:val="00987EBD"/>
    <w:rsid w:val="0099033F"/>
    <w:rsid w:val="00990375"/>
    <w:rsid w:val="009903B8"/>
    <w:rsid w:val="0099052F"/>
    <w:rsid w:val="00990AB3"/>
    <w:rsid w:val="0099288F"/>
    <w:rsid w:val="00993574"/>
    <w:rsid w:val="00993ADE"/>
    <w:rsid w:val="00994579"/>
    <w:rsid w:val="00995020"/>
    <w:rsid w:val="00995109"/>
    <w:rsid w:val="009A0304"/>
    <w:rsid w:val="009A09F4"/>
    <w:rsid w:val="009A0FE2"/>
    <w:rsid w:val="009A1F24"/>
    <w:rsid w:val="009A279D"/>
    <w:rsid w:val="009A279E"/>
    <w:rsid w:val="009A28CF"/>
    <w:rsid w:val="009A4055"/>
    <w:rsid w:val="009A4171"/>
    <w:rsid w:val="009A507A"/>
    <w:rsid w:val="009A5222"/>
    <w:rsid w:val="009A7012"/>
    <w:rsid w:val="009A719A"/>
    <w:rsid w:val="009B0BC9"/>
    <w:rsid w:val="009B0EBA"/>
    <w:rsid w:val="009B1139"/>
    <w:rsid w:val="009B17D2"/>
    <w:rsid w:val="009B2990"/>
    <w:rsid w:val="009B394E"/>
    <w:rsid w:val="009B53A3"/>
    <w:rsid w:val="009B6B4E"/>
    <w:rsid w:val="009B6D49"/>
    <w:rsid w:val="009C12BB"/>
    <w:rsid w:val="009C1AE4"/>
    <w:rsid w:val="009C1E8B"/>
    <w:rsid w:val="009C3591"/>
    <w:rsid w:val="009C3D02"/>
    <w:rsid w:val="009C43C4"/>
    <w:rsid w:val="009C4923"/>
    <w:rsid w:val="009C4B1D"/>
    <w:rsid w:val="009C637B"/>
    <w:rsid w:val="009C75F2"/>
    <w:rsid w:val="009D0B56"/>
    <w:rsid w:val="009D0B6D"/>
    <w:rsid w:val="009D1AD9"/>
    <w:rsid w:val="009D1B01"/>
    <w:rsid w:val="009D3FBD"/>
    <w:rsid w:val="009D40BB"/>
    <w:rsid w:val="009D497A"/>
    <w:rsid w:val="009D626E"/>
    <w:rsid w:val="009E018F"/>
    <w:rsid w:val="009E1960"/>
    <w:rsid w:val="009E27FA"/>
    <w:rsid w:val="009E29C9"/>
    <w:rsid w:val="009E33DF"/>
    <w:rsid w:val="009E3544"/>
    <w:rsid w:val="009E38BF"/>
    <w:rsid w:val="009E39B5"/>
    <w:rsid w:val="009E5511"/>
    <w:rsid w:val="009E5F98"/>
    <w:rsid w:val="009E6F24"/>
    <w:rsid w:val="009F0D07"/>
    <w:rsid w:val="009F2085"/>
    <w:rsid w:val="009F38BE"/>
    <w:rsid w:val="009F4428"/>
    <w:rsid w:val="009F4596"/>
    <w:rsid w:val="009F52DC"/>
    <w:rsid w:val="009F6198"/>
    <w:rsid w:val="009F7834"/>
    <w:rsid w:val="009F795E"/>
    <w:rsid w:val="009F7DE6"/>
    <w:rsid w:val="00A00239"/>
    <w:rsid w:val="00A007BF"/>
    <w:rsid w:val="00A03888"/>
    <w:rsid w:val="00A04499"/>
    <w:rsid w:val="00A0471C"/>
    <w:rsid w:val="00A05448"/>
    <w:rsid w:val="00A06658"/>
    <w:rsid w:val="00A067CA"/>
    <w:rsid w:val="00A07217"/>
    <w:rsid w:val="00A1047B"/>
    <w:rsid w:val="00A10AAA"/>
    <w:rsid w:val="00A10AC8"/>
    <w:rsid w:val="00A11111"/>
    <w:rsid w:val="00A1201C"/>
    <w:rsid w:val="00A12E3D"/>
    <w:rsid w:val="00A133AD"/>
    <w:rsid w:val="00A13492"/>
    <w:rsid w:val="00A13CAC"/>
    <w:rsid w:val="00A149A5"/>
    <w:rsid w:val="00A14E59"/>
    <w:rsid w:val="00A153CD"/>
    <w:rsid w:val="00A159EC"/>
    <w:rsid w:val="00A1622A"/>
    <w:rsid w:val="00A17B9F"/>
    <w:rsid w:val="00A20459"/>
    <w:rsid w:val="00A205D0"/>
    <w:rsid w:val="00A2146E"/>
    <w:rsid w:val="00A219B1"/>
    <w:rsid w:val="00A21A34"/>
    <w:rsid w:val="00A222D7"/>
    <w:rsid w:val="00A2248F"/>
    <w:rsid w:val="00A22571"/>
    <w:rsid w:val="00A22AEB"/>
    <w:rsid w:val="00A22E9A"/>
    <w:rsid w:val="00A23246"/>
    <w:rsid w:val="00A25ECD"/>
    <w:rsid w:val="00A26CE6"/>
    <w:rsid w:val="00A27986"/>
    <w:rsid w:val="00A329CC"/>
    <w:rsid w:val="00A33CFA"/>
    <w:rsid w:val="00A33D09"/>
    <w:rsid w:val="00A34B56"/>
    <w:rsid w:val="00A34E22"/>
    <w:rsid w:val="00A35A2E"/>
    <w:rsid w:val="00A35C83"/>
    <w:rsid w:val="00A36B43"/>
    <w:rsid w:val="00A3766D"/>
    <w:rsid w:val="00A411EA"/>
    <w:rsid w:val="00A42D76"/>
    <w:rsid w:val="00A43741"/>
    <w:rsid w:val="00A45A22"/>
    <w:rsid w:val="00A467B7"/>
    <w:rsid w:val="00A4799B"/>
    <w:rsid w:val="00A5066E"/>
    <w:rsid w:val="00A51225"/>
    <w:rsid w:val="00A52735"/>
    <w:rsid w:val="00A52A65"/>
    <w:rsid w:val="00A52CB3"/>
    <w:rsid w:val="00A52FBE"/>
    <w:rsid w:val="00A540B1"/>
    <w:rsid w:val="00A5491A"/>
    <w:rsid w:val="00A54DEC"/>
    <w:rsid w:val="00A55245"/>
    <w:rsid w:val="00A56020"/>
    <w:rsid w:val="00A56201"/>
    <w:rsid w:val="00A5703A"/>
    <w:rsid w:val="00A57192"/>
    <w:rsid w:val="00A60084"/>
    <w:rsid w:val="00A603EA"/>
    <w:rsid w:val="00A61712"/>
    <w:rsid w:val="00A6213D"/>
    <w:rsid w:val="00A62E08"/>
    <w:rsid w:val="00A6307E"/>
    <w:rsid w:val="00A641D3"/>
    <w:rsid w:val="00A644C8"/>
    <w:rsid w:val="00A66923"/>
    <w:rsid w:val="00A6786A"/>
    <w:rsid w:val="00A67A6A"/>
    <w:rsid w:val="00A70A31"/>
    <w:rsid w:val="00A73152"/>
    <w:rsid w:val="00A734D9"/>
    <w:rsid w:val="00A750C8"/>
    <w:rsid w:val="00A8067D"/>
    <w:rsid w:val="00A80F2B"/>
    <w:rsid w:val="00A81F4C"/>
    <w:rsid w:val="00A83B23"/>
    <w:rsid w:val="00A843FB"/>
    <w:rsid w:val="00A85455"/>
    <w:rsid w:val="00A86036"/>
    <w:rsid w:val="00A87B07"/>
    <w:rsid w:val="00A90B21"/>
    <w:rsid w:val="00A91448"/>
    <w:rsid w:val="00A91976"/>
    <w:rsid w:val="00A9207F"/>
    <w:rsid w:val="00A949BC"/>
    <w:rsid w:val="00A970F0"/>
    <w:rsid w:val="00A977C0"/>
    <w:rsid w:val="00AA0326"/>
    <w:rsid w:val="00AA1186"/>
    <w:rsid w:val="00AA1A01"/>
    <w:rsid w:val="00AA1B91"/>
    <w:rsid w:val="00AA259D"/>
    <w:rsid w:val="00AA2B74"/>
    <w:rsid w:val="00AA2CC1"/>
    <w:rsid w:val="00AA3A0F"/>
    <w:rsid w:val="00AA3E8F"/>
    <w:rsid w:val="00AA3E94"/>
    <w:rsid w:val="00AA454A"/>
    <w:rsid w:val="00AA48D3"/>
    <w:rsid w:val="00AA56FC"/>
    <w:rsid w:val="00AA5E90"/>
    <w:rsid w:val="00AA7047"/>
    <w:rsid w:val="00AB3D02"/>
    <w:rsid w:val="00AB4D4E"/>
    <w:rsid w:val="00AB55A9"/>
    <w:rsid w:val="00AB6B32"/>
    <w:rsid w:val="00AC0880"/>
    <w:rsid w:val="00AC3FBC"/>
    <w:rsid w:val="00AC480A"/>
    <w:rsid w:val="00AC6152"/>
    <w:rsid w:val="00AC78F3"/>
    <w:rsid w:val="00AD0114"/>
    <w:rsid w:val="00AD150A"/>
    <w:rsid w:val="00AD178B"/>
    <w:rsid w:val="00AD444D"/>
    <w:rsid w:val="00AD4E73"/>
    <w:rsid w:val="00AD6318"/>
    <w:rsid w:val="00AD782E"/>
    <w:rsid w:val="00AD7BFF"/>
    <w:rsid w:val="00AD7E07"/>
    <w:rsid w:val="00AE1559"/>
    <w:rsid w:val="00AF0EB5"/>
    <w:rsid w:val="00AF1C8E"/>
    <w:rsid w:val="00AF2CB7"/>
    <w:rsid w:val="00AF3795"/>
    <w:rsid w:val="00AF4990"/>
    <w:rsid w:val="00AF70F1"/>
    <w:rsid w:val="00AF72B5"/>
    <w:rsid w:val="00AF7FE7"/>
    <w:rsid w:val="00B030C1"/>
    <w:rsid w:val="00B05EB1"/>
    <w:rsid w:val="00B067D1"/>
    <w:rsid w:val="00B06941"/>
    <w:rsid w:val="00B06BFF"/>
    <w:rsid w:val="00B079F9"/>
    <w:rsid w:val="00B104CC"/>
    <w:rsid w:val="00B1088E"/>
    <w:rsid w:val="00B115D2"/>
    <w:rsid w:val="00B12C2A"/>
    <w:rsid w:val="00B133C8"/>
    <w:rsid w:val="00B13893"/>
    <w:rsid w:val="00B14C09"/>
    <w:rsid w:val="00B15338"/>
    <w:rsid w:val="00B16BC4"/>
    <w:rsid w:val="00B178E2"/>
    <w:rsid w:val="00B22496"/>
    <w:rsid w:val="00B231C4"/>
    <w:rsid w:val="00B248F2"/>
    <w:rsid w:val="00B26300"/>
    <w:rsid w:val="00B271C6"/>
    <w:rsid w:val="00B276F4"/>
    <w:rsid w:val="00B27C0A"/>
    <w:rsid w:val="00B32380"/>
    <w:rsid w:val="00B335D8"/>
    <w:rsid w:val="00B338FE"/>
    <w:rsid w:val="00B33B84"/>
    <w:rsid w:val="00B34360"/>
    <w:rsid w:val="00B3471D"/>
    <w:rsid w:val="00B348B7"/>
    <w:rsid w:val="00B34B6E"/>
    <w:rsid w:val="00B353E4"/>
    <w:rsid w:val="00B35A90"/>
    <w:rsid w:val="00B36A1B"/>
    <w:rsid w:val="00B36DD6"/>
    <w:rsid w:val="00B37BAD"/>
    <w:rsid w:val="00B40F25"/>
    <w:rsid w:val="00B425E1"/>
    <w:rsid w:val="00B43D98"/>
    <w:rsid w:val="00B43E2D"/>
    <w:rsid w:val="00B449BE"/>
    <w:rsid w:val="00B44F4B"/>
    <w:rsid w:val="00B45DBB"/>
    <w:rsid w:val="00B46053"/>
    <w:rsid w:val="00B46571"/>
    <w:rsid w:val="00B46AF7"/>
    <w:rsid w:val="00B46EF7"/>
    <w:rsid w:val="00B4778A"/>
    <w:rsid w:val="00B479FF"/>
    <w:rsid w:val="00B50269"/>
    <w:rsid w:val="00B5082D"/>
    <w:rsid w:val="00B521C5"/>
    <w:rsid w:val="00B529CF"/>
    <w:rsid w:val="00B52B84"/>
    <w:rsid w:val="00B530EA"/>
    <w:rsid w:val="00B54533"/>
    <w:rsid w:val="00B56043"/>
    <w:rsid w:val="00B563A8"/>
    <w:rsid w:val="00B57BCB"/>
    <w:rsid w:val="00B62691"/>
    <w:rsid w:val="00B62D37"/>
    <w:rsid w:val="00B63F3E"/>
    <w:rsid w:val="00B65F00"/>
    <w:rsid w:val="00B66870"/>
    <w:rsid w:val="00B70816"/>
    <w:rsid w:val="00B73056"/>
    <w:rsid w:val="00B731CE"/>
    <w:rsid w:val="00B73ECF"/>
    <w:rsid w:val="00B75B1C"/>
    <w:rsid w:val="00B77DD9"/>
    <w:rsid w:val="00B80ED0"/>
    <w:rsid w:val="00B82A61"/>
    <w:rsid w:val="00B82DA3"/>
    <w:rsid w:val="00B8357D"/>
    <w:rsid w:val="00B83BB8"/>
    <w:rsid w:val="00B83DFD"/>
    <w:rsid w:val="00B859A7"/>
    <w:rsid w:val="00B85A71"/>
    <w:rsid w:val="00B85B83"/>
    <w:rsid w:val="00B86B5C"/>
    <w:rsid w:val="00B876BF"/>
    <w:rsid w:val="00B90F4D"/>
    <w:rsid w:val="00B93D0D"/>
    <w:rsid w:val="00B95EB8"/>
    <w:rsid w:val="00B95FBA"/>
    <w:rsid w:val="00BA000E"/>
    <w:rsid w:val="00BA0BA6"/>
    <w:rsid w:val="00BA0D76"/>
    <w:rsid w:val="00BA0F38"/>
    <w:rsid w:val="00BA40A0"/>
    <w:rsid w:val="00BA4638"/>
    <w:rsid w:val="00BA4BBB"/>
    <w:rsid w:val="00BA579B"/>
    <w:rsid w:val="00BA7AD9"/>
    <w:rsid w:val="00BB0B40"/>
    <w:rsid w:val="00BB0C5A"/>
    <w:rsid w:val="00BB0DDC"/>
    <w:rsid w:val="00BB102E"/>
    <w:rsid w:val="00BB1049"/>
    <w:rsid w:val="00BB1A01"/>
    <w:rsid w:val="00BB26F5"/>
    <w:rsid w:val="00BB2D32"/>
    <w:rsid w:val="00BB3AC3"/>
    <w:rsid w:val="00BB4312"/>
    <w:rsid w:val="00BB4411"/>
    <w:rsid w:val="00BB576E"/>
    <w:rsid w:val="00BB7088"/>
    <w:rsid w:val="00BB7E21"/>
    <w:rsid w:val="00BC1421"/>
    <w:rsid w:val="00BC1572"/>
    <w:rsid w:val="00BC31C2"/>
    <w:rsid w:val="00BC3243"/>
    <w:rsid w:val="00BC4C01"/>
    <w:rsid w:val="00BC54BA"/>
    <w:rsid w:val="00BC5B3A"/>
    <w:rsid w:val="00BC5BEA"/>
    <w:rsid w:val="00BC711A"/>
    <w:rsid w:val="00BC7E2D"/>
    <w:rsid w:val="00BC7FE4"/>
    <w:rsid w:val="00BD0DD1"/>
    <w:rsid w:val="00BD2CD6"/>
    <w:rsid w:val="00BD3583"/>
    <w:rsid w:val="00BD397B"/>
    <w:rsid w:val="00BD3AE6"/>
    <w:rsid w:val="00BD778F"/>
    <w:rsid w:val="00BD7B33"/>
    <w:rsid w:val="00BD7D3F"/>
    <w:rsid w:val="00BE12C2"/>
    <w:rsid w:val="00BE15F7"/>
    <w:rsid w:val="00BE3C70"/>
    <w:rsid w:val="00BE4CC1"/>
    <w:rsid w:val="00BE51C2"/>
    <w:rsid w:val="00BE5483"/>
    <w:rsid w:val="00BE5804"/>
    <w:rsid w:val="00BE6E77"/>
    <w:rsid w:val="00BE76B5"/>
    <w:rsid w:val="00BF1949"/>
    <w:rsid w:val="00BF3314"/>
    <w:rsid w:val="00BF384A"/>
    <w:rsid w:val="00BF43BE"/>
    <w:rsid w:val="00BF7774"/>
    <w:rsid w:val="00BF785C"/>
    <w:rsid w:val="00BF7EA6"/>
    <w:rsid w:val="00C0067C"/>
    <w:rsid w:val="00C01847"/>
    <w:rsid w:val="00C0221E"/>
    <w:rsid w:val="00C0286D"/>
    <w:rsid w:val="00C0467D"/>
    <w:rsid w:val="00C04B80"/>
    <w:rsid w:val="00C056D4"/>
    <w:rsid w:val="00C05DF5"/>
    <w:rsid w:val="00C069F0"/>
    <w:rsid w:val="00C07A43"/>
    <w:rsid w:val="00C103E3"/>
    <w:rsid w:val="00C10650"/>
    <w:rsid w:val="00C106DF"/>
    <w:rsid w:val="00C11C58"/>
    <w:rsid w:val="00C1492E"/>
    <w:rsid w:val="00C14B64"/>
    <w:rsid w:val="00C15489"/>
    <w:rsid w:val="00C155BA"/>
    <w:rsid w:val="00C17248"/>
    <w:rsid w:val="00C1747E"/>
    <w:rsid w:val="00C20FD2"/>
    <w:rsid w:val="00C224F2"/>
    <w:rsid w:val="00C22E10"/>
    <w:rsid w:val="00C236DE"/>
    <w:rsid w:val="00C25731"/>
    <w:rsid w:val="00C27343"/>
    <w:rsid w:val="00C2775D"/>
    <w:rsid w:val="00C27A39"/>
    <w:rsid w:val="00C27BD7"/>
    <w:rsid w:val="00C27F0C"/>
    <w:rsid w:val="00C30A78"/>
    <w:rsid w:val="00C31D1B"/>
    <w:rsid w:val="00C33495"/>
    <w:rsid w:val="00C338A5"/>
    <w:rsid w:val="00C349C7"/>
    <w:rsid w:val="00C3607F"/>
    <w:rsid w:val="00C360FC"/>
    <w:rsid w:val="00C367C9"/>
    <w:rsid w:val="00C367D7"/>
    <w:rsid w:val="00C36A44"/>
    <w:rsid w:val="00C36BF0"/>
    <w:rsid w:val="00C4027D"/>
    <w:rsid w:val="00C41235"/>
    <w:rsid w:val="00C41250"/>
    <w:rsid w:val="00C427D9"/>
    <w:rsid w:val="00C42C1A"/>
    <w:rsid w:val="00C4395D"/>
    <w:rsid w:val="00C4687B"/>
    <w:rsid w:val="00C478A2"/>
    <w:rsid w:val="00C47DE9"/>
    <w:rsid w:val="00C50058"/>
    <w:rsid w:val="00C518FD"/>
    <w:rsid w:val="00C51D33"/>
    <w:rsid w:val="00C51E57"/>
    <w:rsid w:val="00C5369D"/>
    <w:rsid w:val="00C537D3"/>
    <w:rsid w:val="00C54CC4"/>
    <w:rsid w:val="00C54D10"/>
    <w:rsid w:val="00C54D95"/>
    <w:rsid w:val="00C557C4"/>
    <w:rsid w:val="00C57B70"/>
    <w:rsid w:val="00C600D7"/>
    <w:rsid w:val="00C630D7"/>
    <w:rsid w:val="00C63F08"/>
    <w:rsid w:val="00C64466"/>
    <w:rsid w:val="00C64894"/>
    <w:rsid w:val="00C653D4"/>
    <w:rsid w:val="00C67E21"/>
    <w:rsid w:val="00C7099D"/>
    <w:rsid w:val="00C71640"/>
    <w:rsid w:val="00C718B3"/>
    <w:rsid w:val="00C72F49"/>
    <w:rsid w:val="00C73C59"/>
    <w:rsid w:val="00C74CD8"/>
    <w:rsid w:val="00C75F1F"/>
    <w:rsid w:val="00C809C7"/>
    <w:rsid w:val="00C811B5"/>
    <w:rsid w:val="00C819A8"/>
    <w:rsid w:val="00C81C82"/>
    <w:rsid w:val="00C835A8"/>
    <w:rsid w:val="00C843AD"/>
    <w:rsid w:val="00C84C4D"/>
    <w:rsid w:val="00C853B5"/>
    <w:rsid w:val="00C86578"/>
    <w:rsid w:val="00C86D75"/>
    <w:rsid w:val="00C90ABF"/>
    <w:rsid w:val="00C90BE9"/>
    <w:rsid w:val="00C928A5"/>
    <w:rsid w:val="00C92BCF"/>
    <w:rsid w:val="00C94B94"/>
    <w:rsid w:val="00C94B9D"/>
    <w:rsid w:val="00C95164"/>
    <w:rsid w:val="00C96A02"/>
    <w:rsid w:val="00C97BCE"/>
    <w:rsid w:val="00CA0F1E"/>
    <w:rsid w:val="00CA279A"/>
    <w:rsid w:val="00CA51D8"/>
    <w:rsid w:val="00CA7EEC"/>
    <w:rsid w:val="00CB00E7"/>
    <w:rsid w:val="00CB05C5"/>
    <w:rsid w:val="00CB0E22"/>
    <w:rsid w:val="00CB1887"/>
    <w:rsid w:val="00CB2BA2"/>
    <w:rsid w:val="00CB2E9C"/>
    <w:rsid w:val="00CB44A7"/>
    <w:rsid w:val="00CB4DAC"/>
    <w:rsid w:val="00CB577E"/>
    <w:rsid w:val="00CB6A31"/>
    <w:rsid w:val="00CB7055"/>
    <w:rsid w:val="00CB7121"/>
    <w:rsid w:val="00CB7231"/>
    <w:rsid w:val="00CC097B"/>
    <w:rsid w:val="00CC122A"/>
    <w:rsid w:val="00CC21C4"/>
    <w:rsid w:val="00CC2B3D"/>
    <w:rsid w:val="00CC372B"/>
    <w:rsid w:val="00CC3F5A"/>
    <w:rsid w:val="00CC7C8A"/>
    <w:rsid w:val="00CD0CC4"/>
    <w:rsid w:val="00CD29CB"/>
    <w:rsid w:val="00CD3F0B"/>
    <w:rsid w:val="00CD4245"/>
    <w:rsid w:val="00CD48D8"/>
    <w:rsid w:val="00CD526C"/>
    <w:rsid w:val="00CD5912"/>
    <w:rsid w:val="00CD78CA"/>
    <w:rsid w:val="00CE04A1"/>
    <w:rsid w:val="00CE0571"/>
    <w:rsid w:val="00CE0EAA"/>
    <w:rsid w:val="00CE117D"/>
    <w:rsid w:val="00CE261D"/>
    <w:rsid w:val="00CE28A2"/>
    <w:rsid w:val="00CE31C5"/>
    <w:rsid w:val="00CE3A4C"/>
    <w:rsid w:val="00CE3DF2"/>
    <w:rsid w:val="00CE4A8D"/>
    <w:rsid w:val="00CE5845"/>
    <w:rsid w:val="00CE5C52"/>
    <w:rsid w:val="00CE6EAB"/>
    <w:rsid w:val="00CE7B31"/>
    <w:rsid w:val="00CF0820"/>
    <w:rsid w:val="00CF2B1C"/>
    <w:rsid w:val="00CF2BDC"/>
    <w:rsid w:val="00CF2CD2"/>
    <w:rsid w:val="00CF2D41"/>
    <w:rsid w:val="00CF3E6B"/>
    <w:rsid w:val="00CF49A3"/>
    <w:rsid w:val="00CF52F0"/>
    <w:rsid w:val="00CF5D42"/>
    <w:rsid w:val="00CF62C6"/>
    <w:rsid w:val="00CF650B"/>
    <w:rsid w:val="00CF6D03"/>
    <w:rsid w:val="00CF6D05"/>
    <w:rsid w:val="00CF7CE8"/>
    <w:rsid w:val="00D001C6"/>
    <w:rsid w:val="00D012AB"/>
    <w:rsid w:val="00D01E85"/>
    <w:rsid w:val="00D05AA3"/>
    <w:rsid w:val="00D06040"/>
    <w:rsid w:val="00D07A8F"/>
    <w:rsid w:val="00D101F3"/>
    <w:rsid w:val="00D1088A"/>
    <w:rsid w:val="00D112C1"/>
    <w:rsid w:val="00D11C17"/>
    <w:rsid w:val="00D140AF"/>
    <w:rsid w:val="00D14298"/>
    <w:rsid w:val="00D143C8"/>
    <w:rsid w:val="00D14A94"/>
    <w:rsid w:val="00D14E03"/>
    <w:rsid w:val="00D175E9"/>
    <w:rsid w:val="00D20115"/>
    <w:rsid w:val="00D21215"/>
    <w:rsid w:val="00D226F2"/>
    <w:rsid w:val="00D241A6"/>
    <w:rsid w:val="00D24695"/>
    <w:rsid w:val="00D2485F"/>
    <w:rsid w:val="00D26A0F"/>
    <w:rsid w:val="00D26B53"/>
    <w:rsid w:val="00D2746F"/>
    <w:rsid w:val="00D3050A"/>
    <w:rsid w:val="00D30A51"/>
    <w:rsid w:val="00D30F43"/>
    <w:rsid w:val="00D30F9D"/>
    <w:rsid w:val="00D3188A"/>
    <w:rsid w:val="00D32063"/>
    <w:rsid w:val="00D32ECF"/>
    <w:rsid w:val="00D33B31"/>
    <w:rsid w:val="00D34F82"/>
    <w:rsid w:val="00D355CD"/>
    <w:rsid w:val="00D36133"/>
    <w:rsid w:val="00D36354"/>
    <w:rsid w:val="00D364B2"/>
    <w:rsid w:val="00D376B1"/>
    <w:rsid w:val="00D37C30"/>
    <w:rsid w:val="00D37FF3"/>
    <w:rsid w:val="00D405F5"/>
    <w:rsid w:val="00D40B5E"/>
    <w:rsid w:val="00D43195"/>
    <w:rsid w:val="00D43564"/>
    <w:rsid w:val="00D44E3F"/>
    <w:rsid w:val="00D4541F"/>
    <w:rsid w:val="00D4577B"/>
    <w:rsid w:val="00D51082"/>
    <w:rsid w:val="00D518A1"/>
    <w:rsid w:val="00D5242F"/>
    <w:rsid w:val="00D529EF"/>
    <w:rsid w:val="00D53296"/>
    <w:rsid w:val="00D537E1"/>
    <w:rsid w:val="00D553AE"/>
    <w:rsid w:val="00D56DEB"/>
    <w:rsid w:val="00D57AC0"/>
    <w:rsid w:val="00D60709"/>
    <w:rsid w:val="00D608D5"/>
    <w:rsid w:val="00D623C4"/>
    <w:rsid w:val="00D6592E"/>
    <w:rsid w:val="00D704F6"/>
    <w:rsid w:val="00D70FA0"/>
    <w:rsid w:val="00D7447C"/>
    <w:rsid w:val="00D74B92"/>
    <w:rsid w:val="00D74D44"/>
    <w:rsid w:val="00D74E5D"/>
    <w:rsid w:val="00D7538E"/>
    <w:rsid w:val="00D75E73"/>
    <w:rsid w:val="00D76AC6"/>
    <w:rsid w:val="00D80E1C"/>
    <w:rsid w:val="00D81306"/>
    <w:rsid w:val="00D814CA"/>
    <w:rsid w:val="00D8227A"/>
    <w:rsid w:val="00D831A9"/>
    <w:rsid w:val="00D90827"/>
    <w:rsid w:val="00D93CA8"/>
    <w:rsid w:val="00D970A5"/>
    <w:rsid w:val="00D974F6"/>
    <w:rsid w:val="00D9770B"/>
    <w:rsid w:val="00D979ED"/>
    <w:rsid w:val="00D97F55"/>
    <w:rsid w:val="00DA32EA"/>
    <w:rsid w:val="00DA4D92"/>
    <w:rsid w:val="00DA5AE6"/>
    <w:rsid w:val="00DA5DE8"/>
    <w:rsid w:val="00DA5E91"/>
    <w:rsid w:val="00DA7A82"/>
    <w:rsid w:val="00DA7AA5"/>
    <w:rsid w:val="00DB2471"/>
    <w:rsid w:val="00DB28F8"/>
    <w:rsid w:val="00DB2BC6"/>
    <w:rsid w:val="00DB2EBD"/>
    <w:rsid w:val="00DB3A0F"/>
    <w:rsid w:val="00DB4A4D"/>
    <w:rsid w:val="00DB4F02"/>
    <w:rsid w:val="00DB554A"/>
    <w:rsid w:val="00DB5B3B"/>
    <w:rsid w:val="00DB6B26"/>
    <w:rsid w:val="00DB75FF"/>
    <w:rsid w:val="00DC18C5"/>
    <w:rsid w:val="00DC22F0"/>
    <w:rsid w:val="00DC40BF"/>
    <w:rsid w:val="00DC4BEF"/>
    <w:rsid w:val="00DC5F89"/>
    <w:rsid w:val="00DC73A3"/>
    <w:rsid w:val="00DD0DB1"/>
    <w:rsid w:val="00DD1D17"/>
    <w:rsid w:val="00DD1ED8"/>
    <w:rsid w:val="00DD22B5"/>
    <w:rsid w:val="00DD266F"/>
    <w:rsid w:val="00DD3903"/>
    <w:rsid w:val="00DD3B62"/>
    <w:rsid w:val="00DD54C5"/>
    <w:rsid w:val="00DD616B"/>
    <w:rsid w:val="00DD6FD5"/>
    <w:rsid w:val="00DE0068"/>
    <w:rsid w:val="00DE0E68"/>
    <w:rsid w:val="00DE1170"/>
    <w:rsid w:val="00DE4817"/>
    <w:rsid w:val="00DF1183"/>
    <w:rsid w:val="00DF2BB4"/>
    <w:rsid w:val="00DF2C96"/>
    <w:rsid w:val="00DF51CC"/>
    <w:rsid w:val="00DF66B5"/>
    <w:rsid w:val="00DF754E"/>
    <w:rsid w:val="00E04A03"/>
    <w:rsid w:val="00E051CF"/>
    <w:rsid w:val="00E0586C"/>
    <w:rsid w:val="00E06A3E"/>
    <w:rsid w:val="00E06A8C"/>
    <w:rsid w:val="00E07C00"/>
    <w:rsid w:val="00E07D40"/>
    <w:rsid w:val="00E10526"/>
    <w:rsid w:val="00E1137F"/>
    <w:rsid w:val="00E11497"/>
    <w:rsid w:val="00E123B9"/>
    <w:rsid w:val="00E13D0B"/>
    <w:rsid w:val="00E15DBA"/>
    <w:rsid w:val="00E17D73"/>
    <w:rsid w:val="00E205FC"/>
    <w:rsid w:val="00E209DF"/>
    <w:rsid w:val="00E21C53"/>
    <w:rsid w:val="00E22BC8"/>
    <w:rsid w:val="00E23126"/>
    <w:rsid w:val="00E235BC"/>
    <w:rsid w:val="00E23BFB"/>
    <w:rsid w:val="00E2407C"/>
    <w:rsid w:val="00E249A3"/>
    <w:rsid w:val="00E24A79"/>
    <w:rsid w:val="00E26E45"/>
    <w:rsid w:val="00E26E9B"/>
    <w:rsid w:val="00E27707"/>
    <w:rsid w:val="00E27A59"/>
    <w:rsid w:val="00E301E5"/>
    <w:rsid w:val="00E31FD5"/>
    <w:rsid w:val="00E33581"/>
    <w:rsid w:val="00E35741"/>
    <w:rsid w:val="00E35E72"/>
    <w:rsid w:val="00E36020"/>
    <w:rsid w:val="00E3641D"/>
    <w:rsid w:val="00E37CFE"/>
    <w:rsid w:val="00E37FBF"/>
    <w:rsid w:val="00E41CA3"/>
    <w:rsid w:val="00E46F8C"/>
    <w:rsid w:val="00E51090"/>
    <w:rsid w:val="00E523FD"/>
    <w:rsid w:val="00E540BE"/>
    <w:rsid w:val="00E54FE3"/>
    <w:rsid w:val="00E573DA"/>
    <w:rsid w:val="00E57E76"/>
    <w:rsid w:val="00E57FCA"/>
    <w:rsid w:val="00E6037A"/>
    <w:rsid w:val="00E605CB"/>
    <w:rsid w:val="00E6188E"/>
    <w:rsid w:val="00E62ED0"/>
    <w:rsid w:val="00E635DF"/>
    <w:rsid w:val="00E63711"/>
    <w:rsid w:val="00E63E4D"/>
    <w:rsid w:val="00E6446E"/>
    <w:rsid w:val="00E66F77"/>
    <w:rsid w:val="00E66F87"/>
    <w:rsid w:val="00E6749B"/>
    <w:rsid w:val="00E70A39"/>
    <w:rsid w:val="00E71553"/>
    <w:rsid w:val="00E7310E"/>
    <w:rsid w:val="00E733E0"/>
    <w:rsid w:val="00E75BD1"/>
    <w:rsid w:val="00E7759A"/>
    <w:rsid w:val="00E7796B"/>
    <w:rsid w:val="00E82039"/>
    <w:rsid w:val="00E82996"/>
    <w:rsid w:val="00E82DBD"/>
    <w:rsid w:val="00E82F62"/>
    <w:rsid w:val="00E83B48"/>
    <w:rsid w:val="00E84203"/>
    <w:rsid w:val="00E851E9"/>
    <w:rsid w:val="00E8527F"/>
    <w:rsid w:val="00E85355"/>
    <w:rsid w:val="00E86A98"/>
    <w:rsid w:val="00E87D94"/>
    <w:rsid w:val="00E90389"/>
    <w:rsid w:val="00E91471"/>
    <w:rsid w:val="00E91BD5"/>
    <w:rsid w:val="00E925F1"/>
    <w:rsid w:val="00E937AA"/>
    <w:rsid w:val="00E94242"/>
    <w:rsid w:val="00E95D30"/>
    <w:rsid w:val="00E9674E"/>
    <w:rsid w:val="00E97B04"/>
    <w:rsid w:val="00EA1B74"/>
    <w:rsid w:val="00EA25C5"/>
    <w:rsid w:val="00EA49FA"/>
    <w:rsid w:val="00EA4A15"/>
    <w:rsid w:val="00EA5345"/>
    <w:rsid w:val="00EA6C75"/>
    <w:rsid w:val="00EA7A5F"/>
    <w:rsid w:val="00EA7D51"/>
    <w:rsid w:val="00EB01B0"/>
    <w:rsid w:val="00EB0C7F"/>
    <w:rsid w:val="00EB1E5A"/>
    <w:rsid w:val="00EB25A6"/>
    <w:rsid w:val="00EB2721"/>
    <w:rsid w:val="00EB418E"/>
    <w:rsid w:val="00EB465A"/>
    <w:rsid w:val="00EB48A1"/>
    <w:rsid w:val="00EB6019"/>
    <w:rsid w:val="00EB72B1"/>
    <w:rsid w:val="00EC1A6C"/>
    <w:rsid w:val="00EC23DE"/>
    <w:rsid w:val="00EC31F8"/>
    <w:rsid w:val="00EC382D"/>
    <w:rsid w:val="00EC3A25"/>
    <w:rsid w:val="00EC44DE"/>
    <w:rsid w:val="00EC47B7"/>
    <w:rsid w:val="00EC4A84"/>
    <w:rsid w:val="00EC5156"/>
    <w:rsid w:val="00EC548D"/>
    <w:rsid w:val="00EC6021"/>
    <w:rsid w:val="00EC7874"/>
    <w:rsid w:val="00EC7942"/>
    <w:rsid w:val="00ED024B"/>
    <w:rsid w:val="00ED0BC3"/>
    <w:rsid w:val="00ED116D"/>
    <w:rsid w:val="00ED1BC3"/>
    <w:rsid w:val="00ED1C61"/>
    <w:rsid w:val="00ED397A"/>
    <w:rsid w:val="00ED3CC2"/>
    <w:rsid w:val="00ED5211"/>
    <w:rsid w:val="00ED5515"/>
    <w:rsid w:val="00ED6335"/>
    <w:rsid w:val="00ED659C"/>
    <w:rsid w:val="00ED68DE"/>
    <w:rsid w:val="00ED72AC"/>
    <w:rsid w:val="00ED7F60"/>
    <w:rsid w:val="00EE0241"/>
    <w:rsid w:val="00EE139D"/>
    <w:rsid w:val="00EE311D"/>
    <w:rsid w:val="00EE3DB1"/>
    <w:rsid w:val="00EE5E8C"/>
    <w:rsid w:val="00EE5F83"/>
    <w:rsid w:val="00EE623D"/>
    <w:rsid w:val="00EE70AD"/>
    <w:rsid w:val="00EF0354"/>
    <w:rsid w:val="00EF061B"/>
    <w:rsid w:val="00EF0961"/>
    <w:rsid w:val="00EF238C"/>
    <w:rsid w:val="00EF23DB"/>
    <w:rsid w:val="00EF3F8F"/>
    <w:rsid w:val="00EF46BD"/>
    <w:rsid w:val="00EF57B5"/>
    <w:rsid w:val="00EF5E62"/>
    <w:rsid w:val="00EF600D"/>
    <w:rsid w:val="00EF61DD"/>
    <w:rsid w:val="00EF6D63"/>
    <w:rsid w:val="00EF786D"/>
    <w:rsid w:val="00EF7C76"/>
    <w:rsid w:val="00F00176"/>
    <w:rsid w:val="00F0085D"/>
    <w:rsid w:val="00F0098E"/>
    <w:rsid w:val="00F02C75"/>
    <w:rsid w:val="00F032B7"/>
    <w:rsid w:val="00F04FCB"/>
    <w:rsid w:val="00F06361"/>
    <w:rsid w:val="00F06775"/>
    <w:rsid w:val="00F06EB2"/>
    <w:rsid w:val="00F074AB"/>
    <w:rsid w:val="00F07817"/>
    <w:rsid w:val="00F078D7"/>
    <w:rsid w:val="00F07C18"/>
    <w:rsid w:val="00F07E35"/>
    <w:rsid w:val="00F10E89"/>
    <w:rsid w:val="00F1195A"/>
    <w:rsid w:val="00F11BDC"/>
    <w:rsid w:val="00F11E91"/>
    <w:rsid w:val="00F12BCE"/>
    <w:rsid w:val="00F1544E"/>
    <w:rsid w:val="00F15479"/>
    <w:rsid w:val="00F15A85"/>
    <w:rsid w:val="00F161C3"/>
    <w:rsid w:val="00F20D4A"/>
    <w:rsid w:val="00F20EAA"/>
    <w:rsid w:val="00F21BFA"/>
    <w:rsid w:val="00F21D21"/>
    <w:rsid w:val="00F22692"/>
    <w:rsid w:val="00F2370F"/>
    <w:rsid w:val="00F2447E"/>
    <w:rsid w:val="00F246FC"/>
    <w:rsid w:val="00F249A5"/>
    <w:rsid w:val="00F24FF7"/>
    <w:rsid w:val="00F256F4"/>
    <w:rsid w:val="00F25C07"/>
    <w:rsid w:val="00F25D54"/>
    <w:rsid w:val="00F26878"/>
    <w:rsid w:val="00F30962"/>
    <w:rsid w:val="00F319F5"/>
    <w:rsid w:val="00F31B91"/>
    <w:rsid w:val="00F31DFD"/>
    <w:rsid w:val="00F324A7"/>
    <w:rsid w:val="00F33355"/>
    <w:rsid w:val="00F35241"/>
    <w:rsid w:val="00F362E2"/>
    <w:rsid w:val="00F404D2"/>
    <w:rsid w:val="00F40529"/>
    <w:rsid w:val="00F40C74"/>
    <w:rsid w:val="00F41E21"/>
    <w:rsid w:val="00F427F9"/>
    <w:rsid w:val="00F42857"/>
    <w:rsid w:val="00F42925"/>
    <w:rsid w:val="00F438F2"/>
    <w:rsid w:val="00F449DF"/>
    <w:rsid w:val="00F45B47"/>
    <w:rsid w:val="00F45D28"/>
    <w:rsid w:val="00F45FCE"/>
    <w:rsid w:val="00F469D8"/>
    <w:rsid w:val="00F47BAF"/>
    <w:rsid w:val="00F50A37"/>
    <w:rsid w:val="00F51E34"/>
    <w:rsid w:val="00F5316F"/>
    <w:rsid w:val="00F53FDB"/>
    <w:rsid w:val="00F540ED"/>
    <w:rsid w:val="00F5419B"/>
    <w:rsid w:val="00F548B7"/>
    <w:rsid w:val="00F55217"/>
    <w:rsid w:val="00F555E7"/>
    <w:rsid w:val="00F556A8"/>
    <w:rsid w:val="00F55915"/>
    <w:rsid w:val="00F55FCF"/>
    <w:rsid w:val="00F56823"/>
    <w:rsid w:val="00F56B3B"/>
    <w:rsid w:val="00F571EE"/>
    <w:rsid w:val="00F5756F"/>
    <w:rsid w:val="00F57826"/>
    <w:rsid w:val="00F5797C"/>
    <w:rsid w:val="00F60311"/>
    <w:rsid w:val="00F604F4"/>
    <w:rsid w:val="00F60747"/>
    <w:rsid w:val="00F60946"/>
    <w:rsid w:val="00F60F06"/>
    <w:rsid w:val="00F61412"/>
    <w:rsid w:val="00F61BB4"/>
    <w:rsid w:val="00F65B38"/>
    <w:rsid w:val="00F65E29"/>
    <w:rsid w:val="00F66043"/>
    <w:rsid w:val="00F662CF"/>
    <w:rsid w:val="00F66ACE"/>
    <w:rsid w:val="00F671E7"/>
    <w:rsid w:val="00F679E6"/>
    <w:rsid w:val="00F70173"/>
    <w:rsid w:val="00F70AA2"/>
    <w:rsid w:val="00F7265B"/>
    <w:rsid w:val="00F744DE"/>
    <w:rsid w:val="00F75449"/>
    <w:rsid w:val="00F75476"/>
    <w:rsid w:val="00F756D1"/>
    <w:rsid w:val="00F8242E"/>
    <w:rsid w:val="00F82A06"/>
    <w:rsid w:val="00F82AEE"/>
    <w:rsid w:val="00F84BC8"/>
    <w:rsid w:val="00F869F1"/>
    <w:rsid w:val="00F90692"/>
    <w:rsid w:val="00F91944"/>
    <w:rsid w:val="00F91B12"/>
    <w:rsid w:val="00F9448F"/>
    <w:rsid w:val="00F9449C"/>
    <w:rsid w:val="00F947DA"/>
    <w:rsid w:val="00F94E9E"/>
    <w:rsid w:val="00F95DC2"/>
    <w:rsid w:val="00F9606A"/>
    <w:rsid w:val="00F96FB2"/>
    <w:rsid w:val="00F9791B"/>
    <w:rsid w:val="00F97F85"/>
    <w:rsid w:val="00FA2C56"/>
    <w:rsid w:val="00FA4806"/>
    <w:rsid w:val="00FA4A4E"/>
    <w:rsid w:val="00FA59C5"/>
    <w:rsid w:val="00FA5BC3"/>
    <w:rsid w:val="00FA6D5E"/>
    <w:rsid w:val="00FA789B"/>
    <w:rsid w:val="00FB09EF"/>
    <w:rsid w:val="00FB13AC"/>
    <w:rsid w:val="00FB26C6"/>
    <w:rsid w:val="00FB2877"/>
    <w:rsid w:val="00FB2EBE"/>
    <w:rsid w:val="00FB3E52"/>
    <w:rsid w:val="00FB4BB1"/>
    <w:rsid w:val="00FB4CF2"/>
    <w:rsid w:val="00FB6185"/>
    <w:rsid w:val="00FB6BE1"/>
    <w:rsid w:val="00FB6E9C"/>
    <w:rsid w:val="00FC0EC0"/>
    <w:rsid w:val="00FC25B2"/>
    <w:rsid w:val="00FC2862"/>
    <w:rsid w:val="00FC2A18"/>
    <w:rsid w:val="00FC2A88"/>
    <w:rsid w:val="00FC57A0"/>
    <w:rsid w:val="00FC64BA"/>
    <w:rsid w:val="00FC6FE8"/>
    <w:rsid w:val="00FD098E"/>
    <w:rsid w:val="00FD0A53"/>
    <w:rsid w:val="00FD11B5"/>
    <w:rsid w:val="00FD15E2"/>
    <w:rsid w:val="00FD376A"/>
    <w:rsid w:val="00FD3877"/>
    <w:rsid w:val="00FD411A"/>
    <w:rsid w:val="00FD50C1"/>
    <w:rsid w:val="00FE183A"/>
    <w:rsid w:val="00FE1E94"/>
    <w:rsid w:val="00FE217C"/>
    <w:rsid w:val="00FE21F3"/>
    <w:rsid w:val="00FE2962"/>
    <w:rsid w:val="00FE3F3B"/>
    <w:rsid w:val="00FE3FF4"/>
    <w:rsid w:val="00FE4C95"/>
    <w:rsid w:val="00FE4DE8"/>
    <w:rsid w:val="00FE6109"/>
    <w:rsid w:val="00FE68AF"/>
    <w:rsid w:val="00FF1CD9"/>
    <w:rsid w:val="00FF27B1"/>
    <w:rsid w:val="00FF3042"/>
    <w:rsid w:val="00FF7411"/>
    <w:rsid w:val="00FF7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6094B"/>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D5211"/>
    <w:pPr>
      <w:jc w:val="center"/>
      <w:outlineLvl w:val="1"/>
    </w:pPr>
    <w:rPr>
      <w:rFonts w:cs="Times New Roman"/>
      <w:b/>
      <w:sz w:val="32"/>
    </w:rPr>
  </w:style>
  <w:style w:type="paragraph" w:styleId="Heading3">
    <w:name w:val="heading 3"/>
    <w:basedOn w:val="Normal"/>
    <w:next w:val="Normal"/>
    <w:link w:val="Heading3Char"/>
    <w:autoRedefine/>
    <w:uiPriority w:val="9"/>
    <w:unhideWhenUsed/>
    <w:qFormat/>
    <w:rsid w:val="00D2746F"/>
    <w:pPr>
      <w:keepNext/>
      <w:keepLines/>
      <w:spacing w:before="200"/>
      <w:jc w:val="center"/>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C557C4"/>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40"/>
    <w:rPr>
      <w:rFonts w:ascii="Tahoma" w:hAnsi="Tahoma" w:cs="Tahoma"/>
      <w:sz w:val="16"/>
      <w:szCs w:val="16"/>
    </w:rPr>
  </w:style>
  <w:style w:type="character" w:customStyle="1" w:styleId="BalloonTextChar">
    <w:name w:val="Balloon Text Char"/>
    <w:basedOn w:val="DefaultParagraphFont"/>
    <w:link w:val="BalloonText"/>
    <w:uiPriority w:val="99"/>
    <w:semiHidden/>
    <w:rsid w:val="00745A40"/>
    <w:rPr>
      <w:rFonts w:ascii="Tahoma" w:hAnsi="Tahoma" w:cs="Tahoma"/>
      <w:sz w:val="16"/>
      <w:szCs w:val="16"/>
    </w:rPr>
  </w:style>
  <w:style w:type="character" w:customStyle="1" w:styleId="Heading1Char">
    <w:name w:val="Heading 1 Char"/>
    <w:basedOn w:val="DefaultParagraphFont"/>
    <w:link w:val="Heading1"/>
    <w:uiPriority w:val="9"/>
    <w:rsid w:val="0066094B"/>
    <w:rPr>
      <w:rFonts w:eastAsiaTheme="majorEastAsia" w:cstheme="majorBidi"/>
      <w:b/>
      <w:bCs/>
      <w:sz w:val="28"/>
      <w:szCs w:val="28"/>
    </w:rPr>
  </w:style>
  <w:style w:type="character" w:customStyle="1" w:styleId="Heading2Char">
    <w:name w:val="Heading 2 Char"/>
    <w:basedOn w:val="DefaultParagraphFont"/>
    <w:link w:val="Heading2"/>
    <w:uiPriority w:val="9"/>
    <w:rsid w:val="00ED5211"/>
    <w:rPr>
      <w:rFonts w:cs="Times New Roman"/>
      <w:b/>
      <w:sz w:val="32"/>
    </w:rPr>
  </w:style>
  <w:style w:type="paragraph" w:styleId="Header">
    <w:name w:val="header"/>
    <w:basedOn w:val="Normal"/>
    <w:link w:val="HeaderChar"/>
    <w:uiPriority w:val="99"/>
    <w:unhideWhenUsed/>
    <w:rsid w:val="00825505"/>
    <w:pPr>
      <w:tabs>
        <w:tab w:val="center" w:pos="4153"/>
        <w:tab w:val="right" w:pos="8306"/>
      </w:tabs>
    </w:pPr>
  </w:style>
  <w:style w:type="character" w:customStyle="1" w:styleId="HeaderChar">
    <w:name w:val="Header Char"/>
    <w:basedOn w:val="DefaultParagraphFont"/>
    <w:link w:val="Header"/>
    <w:uiPriority w:val="99"/>
    <w:rsid w:val="00825505"/>
  </w:style>
  <w:style w:type="paragraph" w:styleId="Footer">
    <w:name w:val="footer"/>
    <w:basedOn w:val="Normal"/>
    <w:link w:val="FooterChar"/>
    <w:uiPriority w:val="99"/>
    <w:unhideWhenUsed/>
    <w:rsid w:val="00825505"/>
    <w:pPr>
      <w:tabs>
        <w:tab w:val="center" w:pos="4153"/>
        <w:tab w:val="right" w:pos="8306"/>
      </w:tabs>
    </w:pPr>
  </w:style>
  <w:style w:type="character" w:customStyle="1" w:styleId="FooterChar">
    <w:name w:val="Footer Char"/>
    <w:basedOn w:val="DefaultParagraphFont"/>
    <w:link w:val="Footer"/>
    <w:uiPriority w:val="99"/>
    <w:rsid w:val="00825505"/>
  </w:style>
  <w:style w:type="paragraph" w:styleId="TOCHeading">
    <w:name w:val="TOC Heading"/>
    <w:basedOn w:val="Heading1"/>
    <w:next w:val="Normal"/>
    <w:uiPriority w:val="39"/>
    <w:unhideWhenUsed/>
    <w:qFormat/>
    <w:rsid w:val="00C22E10"/>
    <w:pPr>
      <w:spacing w:line="276" w:lineRule="auto"/>
      <w:outlineLvl w:val="9"/>
    </w:pPr>
    <w:rPr>
      <w:lang w:val="en-US" w:eastAsia="ja-JP"/>
    </w:rPr>
  </w:style>
  <w:style w:type="paragraph" w:styleId="TOC1">
    <w:name w:val="toc 1"/>
    <w:basedOn w:val="Normal"/>
    <w:next w:val="Normal"/>
    <w:autoRedefine/>
    <w:uiPriority w:val="39"/>
    <w:unhideWhenUsed/>
    <w:rsid w:val="00EB465A"/>
    <w:pPr>
      <w:tabs>
        <w:tab w:val="right" w:leader="dot" w:pos="8296"/>
      </w:tabs>
      <w:spacing w:after="100"/>
    </w:pPr>
    <w:rPr>
      <w:noProof/>
    </w:rPr>
  </w:style>
  <w:style w:type="paragraph" w:styleId="TOC2">
    <w:name w:val="toc 2"/>
    <w:basedOn w:val="Normal"/>
    <w:next w:val="Normal"/>
    <w:autoRedefine/>
    <w:uiPriority w:val="39"/>
    <w:unhideWhenUsed/>
    <w:rsid w:val="00C22E10"/>
    <w:pPr>
      <w:spacing w:after="100"/>
      <w:ind w:left="240"/>
    </w:pPr>
  </w:style>
  <w:style w:type="character" w:styleId="Hyperlink">
    <w:name w:val="Hyperlink"/>
    <w:basedOn w:val="DefaultParagraphFont"/>
    <w:uiPriority w:val="99"/>
    <w:unhideWhenUsed/>
    <w:rsid w:val="00C22E10"/>
    <w:rPr>
      <w:color w:val="0000FF" w:themeColor="hyperlink"/>
      <w:u w:val="single"/>
    </w:rPr>
  </w:style>
  <w:style w:type="paragraph" w:styleId="ListParagraph">
    <w:name w:val="List Paragraph"/>
    <w:basedOn w:val="Normal"/>
    <w:uiPriority w:val="34"/>
    <w:qFormat/>
    <w:rsid w:val="003F3D79"/>
    <w:pPr>
      <w:ind w:left="720"/>
      <w:contextualSpacing/>
    </w:pPr>
  </w:style>
  <w:style w:type="paragraph" w:styleId="BodyText2">
    <w:name w:val="Body Text 2"/>
    <w:basedOn w:val="Normal"/>
    <w:link w:val="BodyText2Char"/>
    <w:semiHidden/>
    <w:rsid w:val="00657ED1"/>
    <w:rPr>
      <w:rFonts w:eastAsia="Times New Roman" w:cs="Times New Roman"/>
      <w:sz w:val="22"/>
      <w:szCs w:val="20"/>
      <w:lang w:eastAsia="en-US"/>
    </w:rPr>
  </w:style>
  <w:style w:type="character" w:customStyle="1" w:styleId="BodyText2Char">
    <w:name w:val="Body Text 2 Char"/>
    <w:basedOn w:val="DefaultParagraphFont"/>
    <w:link w:val="BodyText2"/>
    <w:semiHidden/>
    <w:rsid w:val="00657ED1"/>
    <w:rPr>
      <w:rFonts w:eastAsia="Times New Roman" w:cs="Times New Roman"/>
      <w:sz w:val="22"/>
      <w:szCs w:val="20"/>
      <w:lang w:eastAsia="en-US"/>
    </w:rPr>
  </w:style>
  <w:style w:type="paragraph" w:styleId="BodyText">
    <w:name w:val="Body Text"/>
    <w:basedOn w:val="Normal"/>
    <w:link w:val="BodyTextChar"/>
    <w:uiPriority w:val="99"/>
    <w:unhideWhenUsed/>
    <w:rsid w:val="00C41250"/>
    <w:pPr>
      <w:spacing w:after="120"/>
    </w:pPr>
  </w:style>
  <w:style w:type="character" w:customStyle="1" w:styleId="BodyTextChar">
    <w:name w:val="Body Text Char"/>
    <w:basedOn w:val="DefaultParagraphFont"/>
    <w:link w:val="BodyText"/>
    <w:uiPriority w:val="99"/>
    <w:rsid w:val="00C41250"/>
  </w:style>
  <w:style w:type="paragraph" w:styleId="NoSpacing">
    <w:name w:val="No Spacing"/>
    <w:uiPriority w:val="1"/>
    <w:qFormat/>
    <w:rsid w:val="001602A1"/>
    <w:rPr>
      <w:rFonts w:ascii="Calibri" w:eastAsia="Calibri" w:hAnsi="Calibri" w:cs="Times New Roman"/>
      <w:sz w:val="22"/>
      <w:szCs w:val="22"/>
      <w:lang w:eastAsia="en-US"/>
    </w:rPr>
  </w:style>
  <w:style w:type="character" w:styleId="CommentReference">
    <w:name w:val="annotation reference"/>
    <w:basedOn w:val="DefaultParagraphFont"/>
    <w:uiPriority w:val="99"/>
    <w:semiHidden/>
    <w:unhideWhenUsed/>
    <w:rsid w:val="00F249A5"/>
    <w:rPr>
      <w:sz w:val="16"/>
      <w:szCs w:val="16"/>
    </w:rPr>
  </w:style>
  <w:style w:type="paragraph" w:styleId="CommentText">
    <w:name w:val="annotation text"/>
    <w:basedOn w:val="Normal"/>
    <w:link w:val="CommentTextChar"/>
    <w:uiPriority w:val="99"/>
    <w:semiHidden/>
    <w:unhideWhenUsed/>
    <w:rsid w:val="00F249A5"/>
    <w:rPr>
      <w:sz w:val="20"/>
      <w:szCs w:val="20"/>
    </w:rPr>
  </w:style>
  <w:style w:type="character" w:customStyle="1" w:styleId="CommentTextChar">
    <w:name w:val="Comment Text Char"/>
    <w:basedOn w:val="DefaultParagraphFont"/>
    <w:link w:val="CommentText"/>
    <w:uiPriority w:val="99"/>
    <w:semiHidden/>
    <w:rsid w:val="00F249A5"/>
    <w:rPr>
      <w:sz w:val="20"/>
      <w:szCs w:val="20"/>
    </w:rPr>
  </w:style>
  <w:style w:type="paragraph" w:styleId="CommentSubject">
    <w:name w:val="annotation subject"/>
    <w:basedOn w:val="CommentText"/>
    <w:next w:val="CommentText"/>
    <w:link w:val="CommentSubjectChar"/>
    <w:uiPriority w:val="99"/>
    <w:semiHidden/>
    <w:unhideWhenUsed/>
    <w:rsid w:val="00F249A5"/>
    <w:rPr>
      <w:b/>
      <w:bCs/>
    </w:rPr>
  </w:style>
  <w:style w:type="character" w:customStyle="1" w:styleId="CommentSubjectChar">
    <w:name w:val="Comment Subject Char"/>
    <w:basedOn w:val="CommentTextChar"/>
    <w:link w:val="CommentSubject"/>
    <w:uiPriority w:val="99"/>
    <w:semiHidden/>
    <w:rsid w:val="00F249A5"/>
    <w:rPr>
      <w:b/>
      <w:bCs/>
      <w:sz w:val="20"/>
      <w:szCs w:val="20"/>
    </w:rPr>
  </w:style>
  <w:style w:type="character" w:styleId="Emphasis">
    <w:name w:val="Emphasis"/>
    <w:basedOn w:val="DefaultParagraphFont"/>
    <w:uiPriority w:val="20"/>
    <w:qFormat/>
    <w:rsid w:val="009F2085"/>
    <w:rPr>
      <w:i/>
      <w:iCs/>
    </w:rPr>
  </w:style>
  <w:style w:type="character" w:styleId="FollowedHyperlink">
    <w:name w:val="FollowedHyperlink"/>
    <w:basedOn w:val="DefaultParagraphFont"/>
    <w:uiPriority w:val="99"/>
    <w:semiHidden/>
    <w:unhideWhenUsed/>
    <w:rsid w:val="006959B9"/>
    <w:rPr>
      <w:color w:val="800080" w:themeColor="followedHyperlink"/>
      <w:u w:val="single"/>
    </w:rPr>
  </w:style>
  <w:style w:type="paragraph" w:styleId="FootnoteText">
    <w:name w:val="footnote text"/>
    <w:basedOn w:val="Normal"/>
    <w:link w:val="FootnoteTextChar"/>
    <w:uiPriority w:val="99"/>
    <w:semiHidden/>
    <w:unhideWhenUsed/>
    <w:rsid w:val="00186EF8"/>
    <w:rPr>
      <w:sz w:val="20"/>
      <w:szCs w:val="20"/>
    </w:rPr>
  </w:style>
  <w:style w:type="character" w:customStyle="1" w:styleId="FootnoteTextChar">
    <w:name w:val="Footnote Text Char"/>
    <w:basedOn w:val="DefaultParagraphFont"/>
    <w:link w:val="FootnoteText"/>
    <w:uiPriority w:val="99"/>
    <w:semiHidden/>
    <w:rsid w:val="00186EF8"/>
    <w:rPr>
      <w:sz w:val="20"/>
      <w:szCs w:val="20"/>
    </w:rPr>
  </w:style>
  <w:style w:type="character" w:styleId="FootnoteReference">
    <w:name w:val="footnote reference"/>
    <w:basedOn w:val="DefaultParagraphFont"/>
    <w:uiPriority w:val="99"/>
    <w:semiHidden/>
    <w:unhideWhenUsed/>
    <w:rsid w:val="00186EF8"/>
    <w:rPr>
      <w:vertAlign w:val="superscript"/>
    </w:rPr>
  </w:style>
  <w:style w:type="character" w:customStyle="1" w:styleId="Heading3Char">
    <w:name w:val="Heading 3 Char"/>
    <w:basedOn w:val="DefaultParagraphFont"/>
    <w:link w:val="Heading3"/>
    <w:uiPriority w:val="9"/>
    <w:rsid w:val="00D2746F"/>
    <w:rPr>
      <w:rFonts w:eastAsiaTheme="majorEastAsia" w:cstheme="majorBidi"/>
      <w:b/>
      <w:bCs/>
      <w:sz w:val="28"/>
      <w:szCs w:val="28"/>
    </w:rPr>
  </w:style>
  <w:style w:type="paragraph" w:styleId="TOC3">
    <w:name w:val="toc 3"/>
    <w:basedOn w:val="Normal"/>
    <w:next w:val="Normal"/>
    <w:autoRedefine/>
    <w:uiPriority w:val="39"/>
    <w:unhideWhenUsed/>
    <w:rsid w:val="000A473F"/>
    <w:pPr>
      <w:spacing w:after="100"/>
      <w:ind w:left="480"/>
    </w:pPr>
  </w:style>
  <w:style w:type="table" w:styleId="TableGrid">
    <w:name w:val="Table Grid"/>
    <w:basedOn w:val="TableNormal"/>
    <w:uiPriority w:val="59"/>
    <w:rsid w:val="004A59E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04604"/>
    <w:rPr>
      <w:b/>
      <w:bCs/>
    </w:rPr>
  </w:style>
  <w:style w:type="character" w:styleId="IntenseReference">
    <w:name w:val="Intense Reference"/>
    <w:uiPriority w:val="32"/>
    <w:qFormat/>
    <w:rsid w:val="00204604"/>
    <w:rPr>
      <w:b/>
      <w:bCs/>
      <w:smallCaps/>
      <w:color w:val="C0504D"/>
      <w:spacing w:val="5"/>
      <w:u w:val="single"/>
    </w:rPr>
  </w:style>
  <w:style w:type="table" w:styleId="MediumGrid3-Accent2">
    <w:name w:val="Medium Grid 3 Accent 2"/>
    <w:basedOn w:val="TableNormal"/>
    <w:uiPriority w:val="69"/>
    <w:rsid w:val="00BA4BB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6">
    <w:name w:val="Medium Shading 1 Accent 6"/>
    <w:basedOn w:val="TableNormal"/>
    <w:uiPriority w:val="63"/>
    <w:rsid w:val="00515B5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C557C4"/>
    <w:rPr>
      <w:rFonts w:asciiTheme="majorHAnsi" w:eastAsiaTheme="majorEastAsia" w:hAnsiTheme="majorHAnsi" w:cstheme="majorBidi"/>
      <w:b/>
      <w:bCs/>
      <w:i/>
      <w:iCs/>
    </w:rPr>
  </w:style>
  <w:style w:type="paragraph" w:customStyle="1" w:styleId="Default">
    <w:name w:val="Default"/>
    <w:rsid w:val="001A299F"/>
    <w:pPr>
      <w:snapToGrid w:val="0"/>
    </w:pPr>
    <w:rPr>
      <w:rFonts w:eastAsia="Times New Roman" w:cs="Times New Roman"/>
      <w:color w:val="000000"/>
      <w:szCs w:val="20"/>
      <w:lang w:val="en-AU" w:eastAsia="en-US"/>
    </w:rPr>
  </w:style>
  <w:style w:type="paragraph" w:customStyle="1" w:styleId="naisf">
    <w:name w:val="naisf"/>
    <w:basedOn w:val="Normal"/>
    <w:rsid w:val="00D143C8"/>
    <w:pPr>
      <w:spacing w:before="100" w:beforeAutospacing="1" w:after="100" w:afterAutospacing="1"/>
    </w:pPr>
    <w:rPr>
      <w:rFonts w:cs="Times New Roman"/>
      <w:lang w:eastAsia="lv-LV"/>
    </w:rPr>
  </w:style>
  <w:style w:type="paragraph" w:styleId="BodyTextIndent">
    <w:name w:val="Body Text Indent"/>
    <w:basedOn w:val="Normal"/>
    <w:link w:val="BodyTextIndentChar"/>
    <w:uiPriority w:val="99"/>
    <w:unhideWhenUsed/>
    <w:rsid w:val="00C4687B"/>
    <w:pPr>
      <w:spacing w:after="120"/>
      <w:ind w:left="283"/>
    </w:pPr>
  </w:style>
  <w:style w:type="character" w:customStyle="1" w:styleId="BodyTextIndentChar">
    <w:name w:val="Body Text Indent Char"/>
    <w:basedOn w:val="DefaultParagraphFont"/>
    <w:link w:val="BodyTextIndent"/>
    <w:uiPriority w:val="99"/>
    <w:rsid w:val="00C4687B"/>
  </w:style>
  <w:style w:type="paragraph" w:styleId="NormalWeb">
    <w:name w:val="Normal (Web)"/>
    <w:basedOn w:val="Normal"/>
    <w:uiPriority w:val="99"/>
    <w:semiHidden/>
    <w:unhideWhenUsed/>
    <w:rsid w:val="00625524"/>
    <w:pPr>
      <w:spacing w:before="100" w:beforeAutospacing="1" w:after="100" w:afterAutospacing="1"/>
    </w:pPr>
    <w:rPr>
      <w:rFonts w:ascii="Verdana" w:eastAsia="Times New Roman" w:hAnsi="Verdana" w:cs="Times New Roman"/>
      <w:sz w:val="18"/>
      <w:szCs w:val="18"/>
    </w:rPr>
  </w:style>
  <w:style w:type="table" w:styleId="MediumList1-Accent5">
    <w:name w:val="Medium List 1 Accent 5"/>
    <w:basedOn w:val="TableNormal"/>
    <w:uiPriority w:val="65"/>
    <w:rsid w:val="0001345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1">
    <w:name w:val="Medium Shading 2 Accent 1"/>
    <w:basedOn w:val="TableNormal"/>
    <w:uiPriority w:val="64"/>
    <w:rsid w:val="00592F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592F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BA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6094B"/>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D5211"/>
    <w:pPr>
      <w:jc w:val="center"/>
      <w:outlineLvl w:val="1"/>
    </w:pPr>
    <w:rPr>
      <w:rFonts w:cs="Times New Roman"/>
      <w:b/>
      <w:sz w:val="32"/>
    </w:rPr>
  </w:style>
  <w:style w:type="paragraph" w:styleId="Heading3">
    <w:name w:val="heading 3"/>
    <w:basedOn w:val="Normal"/>
    <w:next w:val="Normal"/>
    <w:link w:val="Heading3Char"/>
    <w:autoRedefine/>
    <w:uiPriority w:val="9"/>
    <w:unhideWhenUsed/>
    <w:qFormat/>
    <w:rsid w:val="00D2746F"/>
    <w:pPr>
      <w:keepNext/>
      <w:keepLines/>
      <w:spacing w:before="200"/>
      <w:jc w:val="center"/>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C557C4"/>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40"/>
    <w:rPr>
      <w:rFonts w:ascii="Tahoma" w:hAnsi="Tahoma" w:cs="Tahoma"/>
      <w:sz w:val="16"/>
      <w:szCs w:val="16"/>
    </w:rPr>
  </w:style>
  <w:style w:type="character" w:customStyle="1" w:styleId="BalloonTextChar">
    <w:name w:val="Balloon Text Char"/>
    <w:basedOn w:val="DefaultParagraphFont"/>
    <w:link w:val="BalloonText"/>
    <w:uiPriority w:val="99"/>
    <w:semiHidden/>
    <w:rsid w:val="00745A40"/>
    <w:rPr>
      <w:rFonts w:ascii="Tahoma" w:hAnsi="Tahoma" w:cs="Tahoma"/>
      <w:sz w:val="16"/>
      <w:szCs w:val="16"/>
    </w:rPr>
  </w:style>
  <w:style w:type="character" w:customStyle="1" w:styleId="Heading1Char">
    <w:name w:val="Heading 1 Char"/>
    <w:basedOn w:val="DefaultParagraphFont"/>
    <w:link w:val="Heading1"/>
    <w:uiPriority w:val="9"/>
    <w:rsid w:val="0066094B"/>
    <w:rPr>
      <w:rFonts w:eastAsiaTheme="majorEastAsia" w:cstheme="majorBidi"/>
      <w:b/>
      <w:bCs/>
      <w:sz w:val="28"/>
      <w:szCs w:val="28"/>
    </w:rPr>
  </w:style>
  <w:style w:type="character" w:customStyle="1" w:styleId="Heading2Char">
    <w:name w:val="Heading 2 Char"/>
    <w:basedOn w:val="DefaultParagraphFont"/>
    <w:link w:val="Heading2"/>
    <w:uiPriority w:val="9"/>
    <w:rsid w:val="00ED5211"/>
    <w:rPr>
      <w:rFonts w:cs="Times New Roman"/>
      <w:b/>
      <w:sz w:val="32"/>
    </w:rPr>
  </w:style>
  <w:style w:type="paragraph" w:styleId="Header">
    <w:name w:val="header"/>
    <w:basedOn w:val="Normal"/>
    <w:link w:val="HeaderChar"/>
    <w:uiPriority w:val="99"/>
    <w:unhideWhenUsed/>
    <w:rsid w:val="00825505"/>
    <w:pPr>
      <w:tabs>
        <w:tab w:val="center" w:pos="4153"/>
        <w:tab w:val="right" w:pos="8306"/>
      </w:tabs>
    </w:pPr>
  </w:style>
  <w:style w:type="character" w:customStyle="1" w:styleId="HeaderChar">
    <w:name w:val="Header Char"/>
    <w:basedOn w:val="DefaultParagraphFont"/>
    <w:link w:val="Header"/>
    <w:uiPriority w:val="99"/>
    <w:rsid w:val="00825505"/>
  </w:style>
  <w:style w:type="paragraph" w:styleId="Footer">
    <w:name w:val="footer"/>
    <w:basedOn w:val="Normal"/>
    <w:link w:val="FooterChar"/>
    <w:uiPriority w:val="99"/>
    <w:unhideWhenUsed/>
    <w:rsid w:val="00825505"/>
    <w:pPr>
      <w:tabs>
        <w:tab w:val="center" w:pos="4153"/>
        <w:tab w:val="right" w:pos="8306"/>
      </w:tabs>
    </w:pPr>
  </w:style>
  <w:style w:type="character" w:customStyle="1" w:styleId="FooterChar">
    <w:name w:val="Footer Char"/>
    <w:basedOn w:val="DefaultParagraphFont"/>
    <w:link w:val="Footer"/>
    <w:uiPriority w:val="99"/>
    <w:rsid w:val="00825505"/>
  </w:style>
  <w:style w:type="paragraph" w:styleId="TOCHeading">
    <w:name w:val="TOC Heading"/>
    <w:basedOn w:val="Heading1"/>
    <w:next w:val="Normal"/>
    <w:uiPriority w:val="39"/>
    <w:unhideWhenUsed/>
    <w:qFormat/>
    <w:rsid w:val="00C22E10"/>
    <w:pPr>
      <w:spacing w:line="276" w:lineRule="auto"/>
      <w:outlineLvl w:val="9"/>
    </w:pPr>
    <w:rPr>
      <w:lang w:val="en-US" w:eastAsia="ja-JP"/>
    </w:rPr>
  </w:style>
  <w:style w:type="paragraph" w:styleId="TOC1">
    <w:name w:val="toc 1"/>
    <w:basedOn w:val="Normal"/>
    <w:next w:val="Normal"/>
    <w:autoRedefine/>
    <w:uiPriority w:val="39"/>
    <w:unhideWhenUsed/>
    <w:rsid w:val="00EB465A"/>
    <w:pPr>
      <w:tabs>
        <w:tab w:val="right" w:leader="dot" w:pos="8296"/>
      </w:tabs>
      <w:spacing w:after="100"/>
    </w:pPr>
    <w:rPr>
      <w:noProof/>
    </w:rPr>
  </w:style>
  <w:style w:type="paragraph" w:styleId="TOC2">
    <w:name w:val="toc 2"/>
    <w:basedOn w:val="Normal"/>
    <w:next w:val="Normal"/>
    <w:autoRedefine/>
    <w:uiPriority w:val="39"/>
    <w:unhideWhenUsed/>
    <w:rsid w:val="00C22E10"/>
    <w:pPr>
      <w:spacing w:after="100"/>
      <w:ind w:left="240"/>
    </w:pPr>
  </w:style>
  <w:style w:type="character" w:styleId="Hyperlink">
    <w:name w:val="Hyperlink"/>
    <w:basedOn w:val="DefaultParagraphFont"/>
    <w:uiPriority w:val="99"/>
    <w:unhideWhenUsed/>
    <w:rsid w:val="00C22E10"/>
    <w:rPr>
      <w:color w:val="0000FF" w:themeColor="hyperlink"/>
      <w:u w:val="single"/>
    </w:rPr>
  </w:style>
  <w:style w:type="paragraph" w:styleId="ListParagraph">
    <w:name w:val="List Paragraph"/>
    <w:basedOn w:val="Normal"/>
    <w:uiPriority w:val="34"/>
    <w:qFormat/>
    <w:rsid w:val="003F3D79"/>
    <w:pPr>
      <w:ind w:left="720"/>
      <w:contextualSpacing/>
    </w:pPr>
  </w:style>
  <w:style w:type="paragraph" w:styleId="BodyText2">
    <w:name w:val="Body Text 2"/>
    <w:basedOn w:val="Normal"/>
    <w:link w:val="BodyText2Char"/>
    <w:semiHidden/>
    <w:rsid w:val="00657ED1"/>
    <w:rPr>
      <w:rFonts w:eastAsia="Times New Roman" w:cs="Times New Roman"/>
      <w:sz w:val="22"/>
      <w:szCs w:val="20"/>
      <w:lang w:eastAsia="en-US"/>
    </w:rPr>
  </w:style>
  <w:style w:type="character" w:customStyle="1" w:styleId="BodyText2Char">
    <w:name w:val="Body Text 2 Char"/>
    <w:basedOn w:val="DefaultParagraphFont"/>
    <w:link w:val="BodyText2"/>
    <w:semiHidden/>
    <w:rsid w:val="00657ED1"/>
    <w:rPr>
      <w:rFonts w:eastAsia="Times New Roman" w:cs="Times New Roman"/>
      <w:sz w:val="22"/>
      <w:szCs w:val="20"/>
      <w:lang w:eastAsia="en-US"/>
    </w:rPr>
  </w:style>
  <w:style w:type="paragraph" w:styleId="BodyText">
    <w:name w:val="Body Text"/>
    <w:basedOn w:val="Normal"/>
    <w:link w:val="BodyTextChar"/>
    <w:uiPriority w:val="99"/>
    <w:unhideWhenUsed/>
    <w:rsid w:val="00C41250"/>
    <w:pPr>
      <w:spacing w:after="120"/>
    </w:pPr>
  </w:style>
  <w:style w:type="character" w:customStyle="1" w:styleId="BodyTextChar">
    <w:name w:val="Body Text Char"/>
    <w:basedOn w:val="DefaultParagraphFont"/>
    <w:link w:val="BodyText"/>
    <w:uiPriority w:val="99"/>
    <w:rsid w:val="00C41250"/>
  </w:style>
  <w:style w:type="paragraph" w:styleId="NoSpacing">
    <w:name w:val="No Spacing"/>
    <w:uiPriority w:val="1"/>
    <w:qFormat/>
    <w:rsid w:val="001602A1"/>
    <w:rPr>
      <w:rFonts w:ascii="Calibri" w:eastAsia="Calibri" w:hAnsi="Calibri" w:cs="Times New Roman"/>
      <w:sz w:val="22"/>
      <w:szCs w:val="22"/>
      <w:lang w:eastAsia="en-US"/>
    </w:rPr>
  </w:style>
  <w:style w:type="character" w:styleId="CommentReference">
    <w:name w:val="annotation reference"/>
    <w:basedOn w:val="DefaultParagraphFont"/>
    <w:uiPriority w:val="99"/>
    <w:semiHidden/>
    <w:unhideWhenUsed/>
    <w:rsid w:val="00F249A5"/>
    <w:rPr>
      <w:sz w:val="16"/>
      <w:szCs w:val="16"/>
    </w:rPr>
  </w:style>
  <w:style w:type="paragraph" w:styleId="CommentText">
    <w:name w:val="annotation text"/>
    <w:basedOn w:val="Normal"/>
    <w:link w:val="CommentTextChar"/>
    <w:uiPriority w:val="99"/>
    <w:semiHidden/>
    <w:unhideWhenUsed/>
    <w:rsid w:val="00F249A5"/>
    <w:rPr>
      <w:sz w:val="20"/>
      <w:szCs w:val="20"/>
    </w:rPr>
  </w:style>
  <w:style w:type="character" w:customStyle="1" w:styleId="CommentTextChar">
    <w:name w:val="Comment Text Char"/>
    <w:basedOn w:val="DefaultParagraphFont"/>
    <w:link w:val="CommentText"/>
    <w:uiPriority w:val="99"/>
    <w:semiHidden/>
    <w:rsid w:val="00F249A5"/>
    <w:rPr>
      <w:sz w:val="20"/>
      <w:szCs w:val="20"/>
    </w:rPr>
  </w:style>
  <w:style w:type="paragraph" w:styleId="CommentSubject">
    <w:name w:val="annotation subject"/>
    <w:basedOn w:val="CommentText"/>
    <w:next w:val="CommentText"/>
    <w:link w:val="CommentSubjectChar"/>
    <w:uiPriority w:val="99"/>
    <w:semiHidden/>
    <w:unhideWhenUsed/>
    <w:rsid w:val="00F249A5"/>
    <w:rPr>
      <w:b/>
      <w:bCs/>
    </w:rPr>
  </w:style>
  <w:style w:type="character" w:customStyle="1" w:styleId="CommentSubjectChar">
    <w:name w:val="Comment Subject Char"/>
    <w:basedOn w:val="CommentTextChar"/>
    <w:link w:val="CommentSubject"/>
    <w:uiPriority w:val="99"/>
    <w:semiHidden/>
    <w:rsid w:val="00F249A5"/>
    <w:rPr>
      <w:b/>
      <w:bCs/>
      <w:sz w:val="20"/>
      <w:szCs w:val="20"/>
    </w:rPr>
  </w:style>
  <w:style w:type="character" w:styleId="Emphasis">
    <w:name w:val="Emphasis"/>
    <w:basedOn w:val="DefaultParagraphFont"/>
    <w:uiPriority w:val="20"/>
    <w:qFormat/>
    <w:rsid w:val="009F2085"/>
    <w:rPr>
      <w:i/>
      <w:iCs/>
    </w:rPr>
  </w:style>
  <w:style w:type="character" w:styleId="FollowedHyperlink">
    <w:name w:val="FollowedHyperlink"/>
    <w:basedOn w:val="DefaultParagraphFont"/>
    <w:uiPriority w:val="99"/>
    <w:semiHidden/>
    <w:unhideWhenUsed/>
    <w:rsid w:val="006959B9"/>
    <w:rPr>
      <w:color w:val="800080" w:themeColor="followedHyperlink"/>
      <w:u w:val="single"/>
    </w:rPr>
  </w:style>
  <w:style w:type="paragraph" w:styleId="FootnoteText">
    <w:name w:val="footnote text"/>
    <w:basedOn w:val="Normal"/>
    <w:link w:val="FootnoteTextChar"/>
    <w:uiPriority w:val="99"/>
    <w:semiHidden/>
    <w:unhideWhenUsed/>
    <w:rsid w:val="00186EF8"/>
    <w:rPr>
      <w:sz w:val="20"/>
      <w:szCs w:val="20"/>
    </w:rPr>
  </w:style>
  <w:style w:type="character" w:customStyle="1" w:styleId="FootnoteTextChar">
    <w:name w:val="Footnote Text Char"/>
    <w:basedOn w:val="DefaultParagraphFont"/>
    <w:link w:val="FootnoteText"/>
    <w:uiPriority w:val="99"/>
    <w:semiHidden/>
    <w:rsid w:val="00186EF8"/>
    <w:rPr>
      <w:sz w:val="20"/>
      <w:szCs w:val="20"/>
    </w:rPr>
  </w:style>
  <w:style w:type="character" w:styleId="FootnoteReference">
    <w:name w:val="footnote reference"/>
    <w:basedOn w:val="DefaultParagraphFont"/>
    <w:uiPriority w:val="99"/>
    <w:semiHidden/>
    <w:unhideWhenUsed/>
    <w:rsid w:val="00186EF8"/>
    <w:rPr>
      <w:vertAlign w:val="superscript"/>
    </w:rPr>
  </w:style>
  <w:style w:type="character" w:customStyle="1" w:styleId="Heading3Char">
    <w:name w:val="Heading 3 Char"/>
    <w:basedOn w:val="DefaultParagraphFont"/>
    <w:link w:val="Heading3"/>
    <w:uiPriority w:val="9"/>
    <w:rsid w:val="00D2746F"/>
    <w:rPr>
      <w:rFonts w:eastAsiaTheme="majorEastAsia" w:cstheme="majorBidi"/>
      <w:b/>
      <w:bCs/>
      <w:sz w:val="28"/>
      <w:szCs w:val="28"/>
    </w:rPr>
  </w:style>
  <w:style w:type="paragraph" w:styleId="TOC3">
    <w:name w:val="toc 3"/>
    <w:basedOn w:val="Normal"/>
    <w:next w:val="Normal"/>
    <w:autoRedefine/>
    <w:uiPriority w:val="39"/>
    <w:unhideWhenUsed/>
    <w:rsid w:val="000A473F"/>
    <w:pPr>
      <w:spacing w:after="100"/>
      <w:ind w:left="480"/>
    </w:pPr>
  </w:style>
  <w:style w:type="table" w:styleId="TableGrid">
    <w:name w:val="Table Grid"/>
    <w:basedOn w:val="TableNormal"/>
    <w:uiPriority w:val="59"/>
    <w:rsid w:val="004A59E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04604"/>
    <w:rPr>
      <w:b/>
      <w:bCs/>
    </w:rPr>
  </w:style>
  <w:style w:type="character" w:styleId="IntenseReference">
    <w:name w:val="Intense Reference"/>
    <w:uiPriority w:val="32"/>
    <w:qFormat/>
    <w:rsid w:val="00204604"/>
    <w:rPr>
      <w:b/>
      <w:bCs/>
      <w:smallCaps/>
      <w:color w:val="C0504D"/>
      <w:spacing w:val="5"/>
      <w:u w:val="single"/>
    </w:rPr>
  </w:style>
  <w:style w:type="table" w:styleId="MediumGrid3-Accent2">
    <w:name w:val="Medium Grid 3 Accent 2"/>
    <w:basedOn w:val="TableNormal"/>
    <w:uiPriority w:val="69"/>
    <w:rsid w:val="00BA4BB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6">
    <w:name w:val="Medium Shading 1 Accent 6"/>
    <w:basedOn w:val="TableNormal"/>
    <w:uiPriority w:val="63"/>
    <w:rsid w:val="00515B5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C557C4"/>
    <w:rPr>
      <w:rFonts w:asciiTheme="majorHAnsi" w:eastAsiaTheme="majorEastAsia" w:hAnsiTheme="majorHAnsi" w:cstheme="majorBidi"/>
      <w:b/>
      <w:bCs/>
      <w:i/>
      <w:iCs/>
    </w:rPr>
  </w:style>
  <w:style w:type="paragraph" w:customStyle="1" w:styleId="Default">
    <w:name w:val="Default"/>
    <w:rsid w:val="001A299F"/>
    <w:pPr>
      <w:snapToGrid w:val="0"/>
    </w:pPr>
    <w:rPr>
      <w:rFonts w:eastAsia="Times New Roman" w:cs="Times New Roman"/>
      <w:color w:val="000000"/>
      <w:szCs w:val="20"/>
      <w:lang w:val="en-AU" w:eastAsia="en-US"/>
    </w:rPr>
  </w:style>
  <w:style w:type="paragraph" w:customStyle="1" w:styleId="naisf">
    <w:name w:val="naisf"/>
    <w:basedOn w:val="Normal"/>
    <w:rsid w:val="00D143C8"/>
    <w:pPr>
      <w:spacing w:before="100" w:beforeAutospacing="1" w:after="100" w:afterAutospacing="1"/>
    </w:pPr>
    <w:rPr>
      <w:rFonts w:cs="Times New Roman"/>
      <w:lang w:eastAsia="lv-LV"/>
    </w:rPr>
  </w:style>
  <w:style w:type="paragraph" w:styleId="BodyTextIndent">
    <w:name w:val="Body Text Indent"/>
    <w:basedOn w:val="Normal"/>
    <w:link w:val="BodyTextIndentChar"/>
    <w:uiPriority w:val="99"/>
    <w:unhideWhenUsed/>
    <w:rsid w:val="00C4687B"/>
    <w:pPr>
      <w:spacing w:after="120"/>
      <w:ind w:left="283"/>
    </w:pPr>
  </w:style>
  <w:style w:type="character" w:customStyle="1" w:styleId="BodyTextIndentChar">
    <w:name w:val="Body Text Indent Char"/>
    <w:basedOn w:val="DefaultParagraphFont"/>
    <w:link w:val="BodyTextIndent"/>
    <w:uiPriority w:val="99"/>
    <w:rsid w:val="00C4687B"/>
  </w:style>
  <w:style w:type="paragraph" w:styleId="NormalWeb">
    <w:name w:val="Normal (Web)"/>
    <w:basedOn w:val="Normal"/>
    <w:uiPriority w:val="99"/>
    <w:semiHidden/>
    <w:unhideWhenUsed/>
    <w:rsid w:val="00625524"/>
    <w:pPr>
      <w:spacing w:before="100" w:beforeAutospacing="1" w:after="100" w:afterAutospacing="1"/>
    </w:pPr>
    <w:rPr>
      <w:rFonts w:ascii="Verdana" w:eastAsia="Times New Roman" w:hAnsi="Verdana" w:cs="Times New Roman"/>
      <w:sz w:val="18"/>
      <w:szCs w:val="18"/>
    </w:rPr>
  </w:style>
  <w:style w:type="table" w:styleId="MediumList1-Accent5">
    <w:name w:val="Medium List 1 Accent 5"/>
    <w:basedOn w:val="TableNormal"/>
    <w:uiPriority w:val="65"/>
    <w:rsid w:val="00013458"/>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Shading2-Accent1">
    <w:name w:val="Medium Shading 2 Accent 1"/>
    <w:basedOn w:val="TableNormal"/>
    <w:uiPriority w:val="64"/>
    <w:rsid w:val="00592F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592F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BA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296">
      <w:bodyDiv w:val="1"/>
      <w:marLeft w:val="0"/>
      <w:marRight w:val="0"/>
      <w:marTop w:val="0"/>
      <w:marBottom w:val="0"/>
      <w:divBdr>
        <w:top w:val="none" w:sz="0" w:space="0" w:color="auto"/>
        <w:left w:val="none" w:sz="0" w:space="0" w:color="auto"/>
        <w:bottom w:val="none" w:sz="0" w:space="0" w:color="auto"/>
        <w:right w:val="none" w:sz="0" w:space="0" w:color="auto"/>
      </w:divBdr>
    </w:div>
    <w:div w:id="112139822">
      <w:bodyDiv w:val="1"/>
      <w:marLeft w:val="0"/>
      <w:marRight w:val="0"/>
      <w:marTop w:val="0"/>
      <w:marBottom w:val="0"/>
      <w:divBdr>
        <w:top w:val="none" w:sz="0" w:space="0" w:color="auto"/>
        <w:left w:val="none" w:sz="0" w:space="0" w:color="auto"/>
        <w:bottom w:val="none" w:sz="0" w:space="0" w:color="auto"/>
        <w:right w:val="none" w:sz="0" w:space="0" w:color="auto"/>
      </w:divBdr>
    </w:div>
    <w:div w:id="154732220">
      <w:bodyDiv w:val="1"/>
      <w:marLeft w:val="0"/>
      <w:marRight w:val="0"/>
      <w:marTop w:val="0"/>
      <w:marBottom w:val="0"/>
      <w:divBdr>
        <w:top w:val="none" w:sz="0" w:space="0" w:color="auto"/>
        <w:left w:val="none" w:sz="0" w:space="0" w:color="auto"/>
        <w:bottom w:val="none" w:sz="0" w:space="0" w:color="auto"/>
        <w:right w:val="none" w:sz="0" w:space="0" w:color="auto"/>
      </w:divBdr>
    </w:div>
    <w:div w:id="164512261">
      <w:bodyDiv w:val="1"/>
      <w:marLeft w:val="0"/>
      <w:marRight w:val="0"/>
      <w:marTop w:val="0"/>
      <w:marBottom w:val="0"/>
      <w:divBdr>
        <w:top w:val="none" w:sz="0" w:space="0" w:color="auto"/>
        <w:left w:val="none" w:sz="0" w:space="0" w:color="auto"/>
        <w:bottom w:val="none" w:sz="0" w:space="0" w:color="auto"/>
        <w:right w:val="none" w:sz="0" w:space="0" w:color="auto"/>
      </w:divBdr>
    </w:div>
    <w:div w:id="167988707">
      <w:bodyDiv w:val="1"/>
      <w:marLeft w:val="0"/>
      <w:marRight w:val="0"/>
      <w:marTop w:val="0"/>
      <w:marBottom w:val="0"/>
      <w:divBdr>
        <w:top w:val="none" w:sz="0" w:space="0" w:color="auto"/>
        <w:left w:val="none" w:sz="0" w:space="0" w:color="auto"/>
        <w:bottom w:val="none" w:sz="0" w:space="0" w:color="auto"/>
        <w:right w:val="none" w:sz="0" w:space="0" w:color="auto"/>
      </w:divBdr>
      <w:divsChild>
        <w:div w:id="670259939">
          <w:marLeft w:val="1152"/>
          <w:marRight w:val="0"/>
          <w:marTop w:val="0"/>
          <w:marBottom w:val="0"/>
          <w:divBdr>
            <w:top w:val="none" w:sz="0" w:space="0" w:color="auto"/>
            <w:left w:val="none" w:sz="0" w:space="0" w:color="auto"/>
            <w:bottom w:val="none" w:sz="0" w:space="0" w:color="auto"/>
            <w:right w:val="none" w:sz="0" w:space="0" w:color="auto"/>
          </w:divBdr>
        </w:div>
        <w:div w:id="1907643659">
          <w:marLeft w:val="1152"/>
          <w:marRight w:val="0"/>
          <w:marTop w:val="0"/>
          <w:marBottom w:val="0"/>
          <w:divBdr>
            <w:top w:val="none" w:sz="0" w:space="0" w:color="auto"/>
            <w:left w:val="none" w:sz="0" w:space="0" w:color="auto"/>
            <w:bottom w:val="none" w:sz="0" w:space="0" w:color="auto"/>
            <w:right w:val="none" w:sz="0" w:space="0" w:color="auto"/>
          </w:divBdr>
        </w:div>
        <w:div w:id="560214556">
          <w:marLeft w:val="1872"/>
          <w:marRight w:val="0"/>
          <w:marTop w:val="0"/>
          <w:marBottom w:val="0"/>
          <w:divBdr>
            <w:top w:val="none" w:sz="0" w:space="0" w:color="auto"/>
            <w:left w:val="none" w:sz="0" w:space="0" w:color="auto"/>
            <w:bottom w:val="none" w:sz="0" w:space="0" w:color="auto"/>
            <w:right w:val="none" w:sz="0" w:space="0" w:color="auto"/>
          </w:divBdr>
        </w:div>
        <w:div w:id="2061123003">
          <w:marLeft w:val="1872"/>
          <w:marRight w:val="0"/>
          <w:marTop w:val="0"/>
          <w:marBottom w:val="0"/>
          <w:divBdr>
            <w:top w:val="none" w:sz="0" w:space="0" w:color="auto"/>
            <w:left w:val="none" w:sz="0" w:space="0" w:color="auto"/>
            <w:bottom w:val="none" w:sz="0" w:space="0" w:color="auto"/>
            <w:right w:val="none" w:sz="0" w:space="0" w:color="auto"/>
          </w:divBdr>
        </w:div>
        <w:div w:id="1013606648">
          <w:marLeft w:val="1872"/>
          <w:marRight w:val="0"/>
          <w:marTop w:val="0"/>
          <w:marBottom w:val="0"/>
          <w:divBdr>
            <w:top w:val="none" w:sz="0" w:space="0" w:color="auto"/>
            <w:left w:val="none" w:sz="0" w:space="0" w:color="auto"/>
            <w:bottom w:val="none" w:sz="0" w:space="0" w:color="auto"/>
            <w:right w:val="none" w:sz="0" w:space="0" w:color="auto"/>
          </w:divBdr>
        </w:div>
      </w:divsChild>
    </w:div>
    <w:div w:id="186334989">
      <w:bodyDiv w:val="1"/>
      <w:marLeft w:val="45"/>
      <w:marRight w:val="45"/>
      <w:marTop w:val="90"/>
      <w:marBottom w:val="90"/>
      <w:divBdr>
        <w:top w:val="none" w:sz="0" w:space="0" w:color="auto"/>
        <w:left w:val="none" w:sz="0" w:space="0" w:color="auto"/>
        <w:bottom w:val="none" w:sz="0" w:space="0" w:color="auto"/>
        <w:right w:val="none" w:sz="0" w:space="0" w:color="auto"/>
      </w:divBdr>
      <w:divsChild>
        <w:div w:id="89939016">
          <w:marLeft w:val="0"/>
          <w:marRight w:val="0"/>
          <w:marTop w:val="240"/>
          <w:marBottom w:val="0"/>
          <w:divBdr>
            <w:top w:val="none" w:sz="0" w:space="0" w:color="auto"/>
            <w:left w:val="none" w:sz="0" w:space="0" w:color="auto"/>
            <w:bottom w:val="none" w:sz="0" w:space="0" w:color="auto"/>
            <w:right w:val="none" w:sz="0" w:space="0" w:color="auto"/>
          </w:divBdr>
        </w:div>
      </w:divsChild>
    </w:div>
    <w:div w:id="191265573">
      <w:bodyDiv w:val="1"/>
      <w:marLeft w:val="0"/>
      <w:marRight w:val="0"/>
      <w:marTop w:val="0"/>
      <w:marBottom w:val="0"/>
      <w:divBdr>
        <w:top w:val="none" w:sz="0" w:space="0" w:color="auto"/>
        <w:left w:val="none" w:sz="0" w:space="0" w:color="auto"/>
        <w:bottom w:val="none" w:sz="0" w:space="0" w:color="auto"/>
        <w:right w:val="none" w:sz="0" w:space="0" w:color="auto"/>
      </w:divBdr>
      <w:divsChild>
        <w:div w:id="1472402730">
          <w:marLeft w:val="0"/>
          <w:marRight w:val="0"/>
          <w:marTop w:val="0"/>
          <w:marBottom w:val="0"/>
          <w:divBdr>
            <w:top w:val="single" w:sz="48" w:space="0" w:color="E8E0CF"/>
            <w:left w:val="none" w:sz="0" w:space="0" w:color="auto"/>
            <w:bottom w:val="none" w:sz="0" w:space="0" w:color="auto"/>
            <w:right w:val="none" w:sz="0" w:space="0" w:color="auto"/>
          </w:divBdr>
          <w:divsChild>
            <w:div w:id="1391732227">
              <w:marLeft w:val="0"/>
              <w:marRight w:val="0"/>
              <w:marTop w:val="0"/>
              <w:marBottom w:val="0"/>
              <w:divBdr>
                <w:top w:val="none" w:sz="0" w:space="0" w:color="auto"/>
                <w:left w:val="none" w:sz="0" w:space="0" w:color="auto"/>
                <w:bottom w:val="none" w:sz="0" w:space="0" w:color="auto"/>
                <w:right w:val="none" w:sz="0" w:space="0" w:color="auto"/>
              </w:divBdr>
              <w:divsChild>
                <w:div w:id="1300266425">
                  <w:marLeft w:val="0"/>
                  <w:marRight w:val="0"/>
                  <w:marTop w:val="0"/>
                  <w:marBottom w:val="0"/>
                  <w:divBdr>
                    <w:top w:val="none" w:sz="0" w:space="0" w:color="auto"/>
                    <w:left w:val="none" w:sz="0" w:space="0" w:color="auto"/>
                    <w:bottom w:val="none" w:sz="0" w:space="0" w:color="auto"/>
                    <w:right w:val="none" w:sz="0" w:space="0" w:color="auto"/>
                  </w:divBdr>
                  <w:divsChild>
                    <w:div w:id="769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6119">
      <w:bodyDiv w:val="1"/>
      <w:marLeft w:val="0"/>
      <w:marRight w:val="0"/>
      <w:marTop w:val="0"/>
      <w:marBottom w:val="0"/>
      <w:divBdr>
        <w:top w:val="none" w:sz="0" w:space="0" w:color="auto"/>
        <w:left w:val="none" w:sz="0" w:space="0" w:color="auto"/>
        <w:bottom w:val="none" w:sz="0" w:space="0" w:color="auto"/>
        <w:right w:val="none" w:sz="0" w:space="0" w:color="auto"/>
      </w:divBdr>
    </w:div>
    <w:div w:id="226842240">
      <w:bodyDiv w:val="1"/>
      <w:marLeft w:val="0"/>
      <w:marRight w:val="0"/>
      <w:marTop w:val="0"/>
      <w:marBottom w:val="0"/>
      <w:divBdr>
        <w:top w:val="none" w:sz="0" w:space="0" w:color="auto"/>
        <w:left w:val="none" w:sz="0" w:space="0" w:color="auto"/>
        <w:bottom w:val="none" w:sz="0" w:space="0" w:color="auto"/>
        <w:right w:val="none" w:sz="0" w:space="0" w:color="auto"/>
      </w:divBdr>
    </w:div>
    <w:div w:id="236937142">
      <w:bodyDiv w:val="1"/>
      <w:marLeft w:val="0"/>
      <w:marRight w:val="0"/>
      <w:marTop w:val="0"/>
      <w:marBottom w:val="0"/>
      <w:divBdr>
        <w:top w:val="none" w:sz="0" w:space="0" w:color="auto"/>
        <w:left w:val="none" w:sz="0" w:space="0" w:color="auto"/>
        <w:bottom w:val="none" w:sz="0" w:space="0" w:color="auto"/>
        <w:right w:val="none" w:sz="0" w:space="0" w:color="auto"/>
      </w:divBdr>
      <w:divsChild>
        <w:div w:id="1370184555">
          <w:marLeft w:val="0"/>
          <w:marRight w:val="0"/>
          <w:marTop w:val="0"/>
          <w:marBottom w:val="120"/>
          <w:divBdr>
            <w:top w:val="none" w:sz="0" w:space="0" w:color="auto"/>
            <w:left w:val="none" w:sz="0" w:space="0" w:color="auto"/>
            <w:bottom w:val="none" w:sz="0" w:space="0" w:color="auto"/>
            <w:right w:val="none" w:sz="0" w:space="0" w:color="auto"/>
          </w:divBdr>
        </w:div>
        <w:div w:id="1424455315">
          <w:marLeft w:val="0"/>
          <w:marRight w:val="0"/>
          <w:marTop w:val="0"/>
          <w:marBottom w:val="120"/>
          <w:divBdr>
            <w:top w:val="none" w:sz="0" w:space="0" w:color="auto"/>
            <w:left w:val="none" w:sz="0" w:space="0" w:color="auto"/>
            <w:bottom w:val="none" w:sz="0" w:space="0" w:color="auto"/>
            <w:right w:val="none" w:sz="0" w:space="0" w:color="auto"/>
          </w:divBdr>
        </w:div>
      </w:divsChild>
    </w:div>
    <w:div w:id="244191322">
      <w:bodyDiv w:val="1"/>
      <w:marLeft w:val="0"/>
      <w:marRight w:val="0"/>
      <w:marTop w:val="0"/>
      <w:marBottom w:val="0"/>
      <w:divBdr>
        <w:top w:val="none" w:sz="0" w:space="0" w:color="auto"/>
        <w:left w:val="none" w:sz="0" w:space="0" w:color="auto"/>
        <w:bottom w:val="none" w:sz="0" w:space="0" w:color="auto"/>
        <w:right w:val="none" w:sz="0" w:space="0" w:color="auto"/>
      </w:divBdr>
    </w:div>
    <w:div w:id="419640838">
      <w:bodyDiv w:val="1"/>
      <w:marLeft w:val="0"/>
      <w:marRight w:val="0"/>
      <w:marTop w:val="0"/>
      <w:marBottom w:val="0"/>
      <w:divBdr>
        <w:top w:val="none" w:sz="0" w:space="0" w:color="auto"/>
        <w:left w:val="none" w:sz="0" w:space="0" w:color="auto"/>
        <w:bottom w:val="none" w:sz="0" w:space="0" w:color="auto"/>
        <w:right w:val="none" w:sz="0" w:space="0" w:color="auto"/>
      </w:divBdr>
    </w:div>
    <w:div w:id="439760415">
      <w:bodyDiv w:val="1"/>
      <w:marLeft w:val="0"/>
      <w:marRight w:val="0"/>
      <w:marTop w:val="0"/>
      <w:marBottom w:val="0"/>
      <w:divBdr>
        <w:top w:val="none" w:sz="0" w:space="0" w:color="auto"/>
        <w:left w:val="none" w:sz="0" w:space="0" w:color="auto"/>
        <w:bottom w:val="none" w:sz="0" w:space="0" w:color="auto"/>
        <w:right w:val="none" w:sz="0" w:space="0" w:color="auto"/>
      </w:divBdr>
    </w:div>
    <w:div w:id="445464350">
      <w:bodyDiv w:val="1"/>
      <w:marLeft w:val="0"/>
      <w:marRight w:val="0"/>
      <w:marTop w:val="0"/>
      <w:marBottom w:val="0"/>
      <w:divBdr>
        <w:top w:val="none" w:sz="0" w:space="0" w:color="auto"/>
        <w:left w:val="none" w:sz="0" w:space="0" w:color="auto"/>
        <w:bottom w:val="none" w:sz="0" w:space="0" w:color="auto"/>
        <w:right w:val="none" w:sz="0" w:space="0" w:color="auto"/>
      </w:divBdr>
      <w:divsChild>
        <w:div w:id="1557231723">
          <w:marLeft w:val="274"/>
          <w:marRight w:val="0"/>
          <w:marTop w:val="0"/>
          <w:marBottom w:val="0"/>
          <w:divBdr>
            <w:top w:val="none" w:sz="0" w:space="0" w:color="auto"/>
            <w:left w:val="none" w:sz="0" w:space="0" w:color="auto"/>
            <w:bottom w:val="none" w:sz="0" w:space="0" w:color="auto"/>
            <w:right w:val="none" w:sz="0" w:space="0" w:color="auto"/>
          </w:divBdr>
        </w:div>
        <w:div w:id="2131777745">
          <w:marLeft w:val="1166"/>
          <w:marRight w:val="0"/>
          <w:marTop w:val="0"/>
          <w:marBottom w:val="0"/>
          <w:divBdr>
            <w:top w:val="none" w:sz="0" w:space="0" w:color="auto"/>
            <w:left w:val="none" w:sz="0" w:space="0" w:color="auto"/>
            <w:bottom w:val="none" w:sz="0" w:space="0" w:color="auto"/>
            <w:right w:val="none" w:sz="0" w:space="0" w:color="auto"/>
          </w:divBdr>
        </w:div>
        <w:div w:id="1231308350">
          <w:marLeft w:val="1166"/>
          <w:marRight w:val="0"/>
          <w:marTop w:val="0"/>
          <w:marBottom w:val="0"/>
          <w:divBdr>
            <w:top w:val="none" w:sz="0" w:space="0" w:color="auto"/>
            <w:left w:val="none" w:sz="0" w:space="0" w:color="auto"/>
            <w:bottom w:val="none" w:sz="0" w:space="0" w:color="auto"/>
            <w:right w:val="none" w:sz="0" w:space="0" w:color="auto"/>
          </w:divBdr>
        </w:div>
        <w:div w:id="775372715">
          <w:marLeft w:val="1166"/>
          <w:marRight w:val="0"/>
          <w:marTop w:val="0"/>
          <w:marBottom w:val="0"/>
          <w:divBdr>
            <w:top w:val="none" w:sz="0" w:space="0" w:color="auto"/>
            <w:left w:val="none" w:sz="0" w:space="0" w:color="auto"/>
            <w:bottom w:val="none" w:sz="0" w:space="0" w:color="auto"/>
            <w:right w:val="none" w:sz="0" w:space="0" w:color="auto"/>
          </w:divBdr>
        </w:div>
        <w:div w:id="2029674896">
          <w:marLeft w:val="1166"/>
          <w:marRight w:val="0"/>
          <w:marTop w:val="0"/>
          <w:marBottom w:val="0"/>
          <w:divBdr>
            <w:top w:val="none" w:sz="0" w:space="0" w:color="auto"/>
            <w:left w:val="none" w:sz="0" w:space="0" w:color="auto"/>
            <w:bottom w:val="none" w:sz="0" w:space="0" w:color="auto"/>
            <w:right w:val="none" w:sz="0" w:space="0" w:color="auto"/>
          </w:divBdr>
        </w:div>
        <w:div w:id="1024135734">
          <w:marLeft w:val="1166"/>
          <w:marRight w:val="0"/>
          <w:marTop w:val="0"/>
          <w:marBottom w:val="0"/>
          <w:divBdr>
            <w:top w:val="none" w:sz="0" w:space="0" w:color="auto"/>
            <w:left w:val="none" w:sz="0" w:space="0" w:color="auto"/>
            <w:bottom w:val="none" w:sz="0" w:space="0" w:color="auto"/>
            <w:right w:val="none" w:sz="0" w:space="0" w:color="auto"/>
          </w:divBdr>
        </w:div>
        <w:div w:id="1229266712">
          <w:marLeft w:val="446"/>
          <w:marRight w:val="0"/>
          <w:marTop w:val="0"/>
          <w:marBottom w:val="0"/>
          <w:divBdr>
            <w:top w:val="none" w:sz="0" w:space="0" w:color="auto"/>
            <w:left w:val="none" w:sz="0" w:space="0" w:color="auto"/>
            <w:bottom w:val="none" w:sz="0" w:space="0" w:color="auto"/>
            <w:right w:val="none" w:sz="0" w:space="0" w:color="auto"/>
          </w:divBdr>
        </w:div>
        <w:div w:id="349990870">
          <w:marLeft w:val="1166"/>
          <w:marRight w:val="0"/>
          <w:marTop w:val="0"/>
          <w:marBottom w:val="0"/>
          <w:divBdr>
            <w:top w:val="none" w:sz="0" w:space="0" w:color="auto"/>
            <w:left w:val="none" w:sz="0" w:space="0" w:color="auto"/>
            <w:bottom w:val="none" w:sz="0" w:space="0" w:color="auto"/>
            <w:right w:val="none" w:sz="0" w:space="0" w:color="auto"/>
          </w:divBdr>
        </w:div>
        <w:div w:id="25719259">
          <w:marLeft w:val="1166"/>
          <w:marRight w:val="0"/>
          <w:marTop w:val="0"/>
          <w:marBottom w:val="0"/>
          <w:divBdr>
            <w:top w:val="none" w:sz="0" w:space="0" w:color="auto"/>
            <w:left w:val="none" w:sz="0" w:space="0" w:color="auto"/>
            <w:bottom w:val="none" w:sz="0" w:space="0" w:color="auto"/>
            <w:right w:val="none" w:sz="0" w:space="0" w:color="auto"/>
          </w:divBdr>
        </w:div>
      </w:divsChild>
    </w:div>
    <w:div w:id="492335539">
      <w:bodyDiv w:val="1"/>
      <w:marLeft w:val="0"/>
      <w:marRight w:val="0"/>
      <w:marTop w:val="0"/>
      <w:marBottom w:val="0"/>
      <w:divBdr>
        <w:top w:val="none" w:sz="0" w:space="0" w:color="auto"/>
        <w:left w:val="none" w:sz="0" w:space="0" w:color="auto"/>
        <w:bottom w:val="none" w:sz="0" w:space="0" w:color="auto"/>
        <w:right w:val="none" w:sz="0" w:space="0" w:color="auto"/>
      </w:divBdr>
      <w:divsChild>
        <w:div w:id="1632324147">
          <w:marLeft w:val="547"/>
          <w:marRight w:val="0"/>
          <w:marTop w:val="0"/>
          <w:marBottom w:val="0"/>
          <w:divBdr>
            <w:top w:val="none" w:sz="0" w:space="0" w:color="auto"/>
            <w:left w:val="none" w:sz="0" w:space="0" w:color="auto"/>
            <w:bottom w:val="none" w:sz="0" w:space="0" w:color="auto"/>
            <w:right w:val="none" w:sz="0" w:space="0" w:color="auto"/>
          </w:divBdr>
        </w:div>
      </w:divsChild>
    </w:div>
    <w:div w:id="505368650">
      <w:bodyDiv w:val="1"/>
      <w:marLeft w:val="0"/>
      <w:marRight w:val="0"/>
      <w:marTop w:val="0"/>
      <w:marBottom w:val="0"/>
      <w:divBdr>
        <w:top w:val="none" w:sz="0" w:space="0" w:color="auto"/>
        <w:left w:val="none" w:sz="0" w:space="0" w:color="auto"/>
        <w:bottom w:val="none" w:sz="0" w:space="0" w:color="auto"/>
        <w:right w:val="none" w:sz="0" w:space="0" w:color="auto"/>
      </w:divBdr>
    </w:div>
    <w:div w:id="507259298">
      <w:bodyDiv w:val="1"/>
      <w:marLeft w:val="0"/>
      <w:marRight w:val="0"/>
      <w:marTop w:val="0"/>
      <w:marBottom w:val="0"/>
      <w:divBdr>
        <w:top w:val="none" w:sz="0" w:space="0" w:color="auto"/>
        <w:left w:val="none" w:sz="0" w:space="0" w:color="auto"/>
        <w:bottom w:val="none" w:sz="0" w:space="0" w:color="auto"/>
        <w:right w:val="none" w:sz="0" w:space="0" w:color="auto"/>
      </w:divBdr>
    </w:div>
    <w:div w:id="538057402">
      <w:bodyDiv w:val="1"/>
      <w:marLeft w:val="0"/>
      <w:marRight w:val="0"/>
      <w:marTop w:val="0"/>
      <w:marBottom w:val="0"/>
      <w:divBdr>
        <w:top w:val="none" w:sz="0" w:space="0" w:color="auto"/>
        <w:left w:val="none" w:sz="0" w:space="0" w:color="auto"/>
        <w:bottom w:val="none" w:sz="0" w:space="0" w:color="auto"/>
        <w:right w:val="none" w:sz="0" w:space="0" w:color="auto"/>
      </w:divBdr>
    </w:div>
    <w:div w:id="544949177">
      <w:bodyDiv w:val="1"/>
      <w:marLeft w:val="0"/>
      <w:marRight w:val="0"/>
      <w:marTop w:val="0"/>
      <w:marBottom w:val="0"/>
      <w:divBdr>
        <w:top w:val="none" w:sz="0" w:space="0" w:color="auto"/>
        <w:left w:val="none" w:sz="0" w:space="0" w:color="auto"/>
        <w:bottom w:val="none" w:sz="0" w:space="0" w:color="auto"/>
        <w:right w:val="none" w:sz="0" w:space="0" w:color="auto"/>
      </w:divBdr>
      <w:divsChild>
        <w:div w:id="919632592">
          <w:marLeft w:val="274"/>
          <w:marRight w:val="0"/>
          <w:marTop w:val="0"/>
          <w:marBottom w:val="0"/>
          <w:divBdr>
            <w:top w:val="none" w:sz="0" w:space="0" w:color="auto"/>
            <w:left w:val="none" w:sz="0" w:space="0" w:color="auto"/>
            <w:bottom w:val="none" w:sz="0" w:space="0" w:color="auto"/>
            <w:right w:val="none" w:sz="0" w:space="0" w:color="auto"/>
          </w:divBdr>
        </w:div>
      </w:divsChild>
    </w:div>
    <w:div w:id="556089740">
      <w:bodyDiv w:val="1"/>
      <w:marLeft w:val="0"/>
      <w:marRight w:val="0"/>
      <w:marTop w:val="0"/>
      <w:marBottom w:val="0"/>
      <w:divBdr>
        <w:top w:val="none" w:sz="0" w:space="0" w:color="auto"/>
        <w:left w:val="none" w:sz="0" w:space="0" w:color="auto"/>
        <w:bottom w:val="none" w:sz="0" w:space="0" w:color="auto"/>
        <w:right w:val="none" w:sz="0" w:space="0" w:color="auto"/>
      </w:divBdr>
      <w:divsChild>
        <w:div w:id="30809895">
          <w:marLeft w:val="446"/>
          <w:marRight w:val="0"/>
          <w:marTop w:val="0"/>
          <w:marBottom w:val="0"/>
          <w:divBdr>
            <w:top w:val="none" w:sz="0" w:space="0" w:color="auto"/>
            <w:left w:val="none" w:sz="0" w:space="0" w:color="auto"/>
            <w:bottom w:val="none" w:sz="0" w:space="0" w:color="auto"/>
            <w:right w:val="none" w:sz="0" w:space="0" w:color="auto"/>
          </w:divBdr>
        </w:div>
        <w:div w:id="641813613">
          <w:marLeft w:val="446"/>
          <w:marRight w:val="0"/>
          <w:marTop w:val="0"/>
          <w:marBottom w:val="0"/>
          <w:divBdr>
            <w:top w:val="none" w:sz="0" w:space="0" w:color="auto"/>
            <w:left w:val="none" w:sz="0" w:space="0" w:color="auto"/>
            <w:bottom w:val="none" w:sz="0" w:space="0" w:color="auto"/>
            <w:right w:val="none" w:sz="0" w:space="0" w:color="auto"/>
          </w:divBdr>
        </w:div>
        <w:div w:id="1725828765">
          <w:marLeft w:val="446"/>
          <w:marRight w:val="0"/>
          <w:marTop w:val="0"/>
          <w:marBottom w:val="0"/>
          <w:divBdr>
            <w:top w:val="none" w:sz="0" w:space="0" w:color="auto"/>
            <w:left w:val="none" w:sz="0" w:space="0" w:color="auto"/>
            <w:bottom w:val="none" w:sz="0" w:space="0" w:color="auto"/>
            <w:right w:val="none" w:sz="0" w:space="0" w:color="auto"/>
          </w:divBdr>
        </w:div>
      </w:divsChild>
    </w:div>
    <w:div w:id="589891546">
      <w:bodyDiv w:val="1"/>
      <w:marLeft w:val="0"/>
      <w:marRight w:val="0"/>
      <w:marTop w:val="0"/>
      <w:marBottom w:val="0"/>
      <w:divBdr>
        <w:top w:val="none" w:sz="0" w:space="0" w:color="auto"/>
        <w:left w:val="none" w:sz="0" w:space="0" w:color="auto"/>
        <w:bottom w:val="none" w:sz="0" w:space="0" w:color="auto"/>
        <w:right w:val="none" w:sz="0" w:space="0" w:color="auto"/>
      </w:divBdr>
      <w:divsChild>
        <w:div w:id="1474450200">
          <w:marLeft w:val="619"/>
          <w:marRight w:val="0"/>
          <w:marTop w:val="120"/>
          <w:marBottom w:val="0"/>
          <w:divBdr>
            <w:top w:val="none" w:sz="0" w:space="0" w:color="auto"/>
            <w:left w:val="none" w:sz="0" w:space="0" w:color="auto"/>
            <w:bottom w:val="none" w:sz="0" w:space="0" w:color="auto"/>
            <w:right w:val="none" w:sz="0" w:space="0" w:color="auto"/>
          </w:divBdr>
        </w:div>
        <w:div w:id="662586593">
          <w:marLeft w:val="1339"/>
          <w:marRight w:val="0"/>
          <w:marTop w:val="120"/>
          <w:marBottom w:val="0"/>
          <w:divBdr>
            <w:top w:val="none" w:sz="0" w:space="0" w:color="auto"/>
            <w:left w:val="none" w:sz="0" w:space="0" w:color="auto"/>
            <w:bottom w:val="none" w:sz="0" w:space="0" w:color="auto"/>
            <w:right w:val="none" w:sz="0" w:space="0" w:color="auto"/>
          </w:divBdr>
        </w:div>
        <w:div w:id="217716595">
          <w:marLeft w:val="1339"/>
          <w:marRight w:val="0"/>
          <w:marTop w:val="120"/>
          <w:marBottom w:val="0"/>
          <w:divBdr>
            <w:top w:val="none" w:sz="0" w:space="0" w:color="auto"/>
            <w:left w:val="none" w:sz="0" w:space="0" w:color="auto"/>
            <w:bottom w:val="none" w:sz="0" w:space="0" w:color="auto"/>
            <w:right w:val="none" w:sz="0" w:space="0" w:color="auto"/>
          </w:divBdr>
        </w:div>
        <w:div w:id="863517477">
          <w:marLeft w:val="1339"/>
          <w:marRight w:val="0"/>
          <w:marTop w:val="120"/>
          <w:marBottom w:val="0"/>
          <w:divBdr>
            <w:top w:val="none" w:sz="0" w:space="0" w:color="auto"/>
            <w:left w:val="none" w:sz="0" w:space="0" w:color="auto"/>
            <w:bottom w:val="none" w:sz="0" w:space="0" w:color="auto"/>
            <w:right w:val="none" w:sz="0" w:space="0" w:color="auto"/>
          </w:divBdr>
        </w:div>
        <w:div w:id="1166238707">
          <w:marLeft w:val="619"/>
          <w:marRight w:val="0"/>
          <w:marTop w:val="120"/>
          <w:marBottom w:val="0"/>
          <w:divBdr>
            <w:top w:val="none" w:sz="0" w:space="0" w:color="auto"/>
            <w:left w:val="none" w:sz="0" w:space="0" w:color="auto"/>
            <w:bottom w:val="none" w:sz="0" w:space="0" w:color="auto"/>
            <w:right w:val="none" w:sz="0" w:space="0" w:color="auto"/>
          </w:divBdr>
        </w:div>
        <w:div w:id="2060470278">
          <w:marLeft w:val="1267"/>
          <w:marRight w:val="0"/>
          <w:marTop w:val="0"/>
          <w:marBottom w:val="0"/>
          <w:divBdr>
            <w:top w:val="none" w:sz="0" w:space="0" w:color="auto"/>
            <w:left w:val="none" w:sz="0" w:space="0" w:color="auto"/>
            <w:bottom w:val="none" w:sz="0" w:space="0" w:color="auto"/>
            <w:right w:val="none" w:sz="0" w:space="0" w:color="auto"/>
          </w:divBdr>
        </w:div>
        <w:div w:id="619535883">
          <w:marLeft w:val="1267"/>
          <w:marRight w:val="0"/>
          <w:marTop w:val="0"/>
          <w:marBottom w:val="0"/>
          <w:divBdr>
            <w:top w:val="none" w:sz="0" w:space="0" w:color="auto"/>
            <w:left w:val="none" w:sz="0" w:space="0" w:color="auto"/>
            <w:bottom w:val="none" w:sz="0" w:space="0" w:color="auto"/>
            <w:right w:val="none" w:sz="0" w:space="0" w:color="auto"/>
          </w:divBdr>
        </w:div>
        <w:div w:id="1647903038">
          <w:marLeft w:val="1267"/>
          <w:marRight w:val="0"/>
          <w:marTop w:val="0"/>
          <w:marBottom w:val="0"/>
          <w:divBdr>
            <w:top w:val="none" w:sz="0" w:space="0" w:color="auto"/>
            <w:left w:val="none" w:sz="0" w:space="0" w:color="auto"/>
            <w:bottom w:val="none" w:sz="0" w:space="0" w:color="auto"/>
            <w:right w:val="none" w:sz="0" w:space="0" w:color="auto"/>
          </w:divBdr>
        </w:div>
      </w:divsChild>
    </w:div>
    <w:div w:id="645013744">
      <w:bodyDiv w:val="1"/>
      <w:marLeft w:val="0"/>
      <w:marRight w:val="0"/>
      <w:marTop w:val="0"/>
      <w:marBottom w:val="0"/>
      <w:divBdr>
        <w:top w:val="none" w:sz="0" w:space="0" w:color="auto"/>
        <w:left w:val="none" w:sz="0" w:space="0" w:color="auto"/>
        <w:bottom w:val="none" w:sz="0" w:space="0" w:color="auto"/>
        <w:right w:val="none" w:sz="0" w:space="0" w:color="auto"/>
      </w:divBdr>
      <w:divsChild>
        <w:div w:id="97063691">
          <w:marLeft w:val="446"/>
          <w:marRight w:val="0"/>
          <w:marTop w:val="0"/>
          <w:marBottom w:val="0"/>
          <w:divBdr>
            <w:top w:val="none" w:sz="0" w:space="0" w:color="auto"/>
            <w:left w:val="none" w:sz="0" w:space="0" w:color="auto"/>
            <w:bottom w:val="none" w:sz="0" w:space="0" w:color="auto"/>
            <w:right w:val="none" w:sz="0" w:space="0" w:color="auto"/>
          </w:divBdr>
        </w:div>
        <w:div w:id="1620189014">
          <w:marLeft w:val="446"/>
          <w:marRight w:val="0"/>
          <w:marTop w:val="0"/>
          <w:marBottom w:val="0"/>
          <w:divBdr>
            <w:top w:val="none" w:sz="0" w:space="0" w:color="auto"/>
            <w:left w:val="none" w:sz="0" w:space="0" w:color="auto"/>
            <w:bottom w:val="none" w:sz="0" w:space="0" w:color="auto"/>
            <w:right w:val="none" w:sz="0" w:space="0" w:color="auto"/>
          </w:divBdr>
        </w:div>
        <w:div w:id="1866939286">
          <w:marLeft w:val="446"/>
          <w:marRight w:val="0"/>
          <w:marTop w:val="0"/>
          <w:marBottom w:val="0"/>
          <w:divBdr>
            <w:top w:val="none" w:sz="0" w:space="0" w:color="auto"/>
            <w:left w:val="none" w:sz="0" w:space="0" w:color="auto"/>
            <w:bottom w:val="none" w:sz="0" w:space="0" w:color="auto"/>
            <w:right w:val="none" w:sz="0" w:space="0" w:color="auto"/>
          </w:divBdr>
        </w:div>
        <w:div w:id="1292442415">
          <w:marLeft w:val="446"/>
          <w:marRight w:val="0"/>
          <w:marTop w:val="0"/>
          <w:marBottom w:val="0"/>
          <w:divBdr>
            <w:top w:val="none" w:sz="0" w:space="0" w:color="auto"/>
            <w:left w:val="none" w:sz="0" w:space="0" w:color="auto"/>
            <w:bottom w:val="none" w:sz="0" w:space="0" w:color="auto"/>
            <w:right w:val="none" w:sz="0" w:space="0" w:color="auto"/>
          </w:divBdr>
        </w:div>
        <w:div w:id="981350471">
          <w:marLeft w:val="446"/>
          <w:marRight w:val="0"/>
          <w:marTop w:val="0"/>
          <w:marBottom w:val="0"/>
          <w:divBdr>
            <w:top w:val="none" w:sz="0" w:space="0" w:color="auto"/>
            <w:left w:val="none" w:sz="0" w:space="0" w:color="auto"/>
            <w:bottom w:val="none" w:sz="0" w:space="0" w:color="auto"/>
            <w:right w:val="none" w:sz="0" w:space="0" w:color="auto"/>
          </w:divBdr>
        </w:div>
      </w:divsChild>
    </w:div>
    <w:div w:id="663893935">
      <w:bodyDiv w:val="1"/>
      <w:marLeft w:val="0"/>
      <w:marRight w:val="0"/>
      <w:marTop w:val="0"/>
      <w:marBottom w:val="0"/>
      <w:divBdr>
        <w:top w:val="none" w:sz="0" w:space="0" w:color="auto"/>
        <w:left w:val="none" w:sz="0" w:space="0" w:color="auto"/>
        <w:bottom w:val="none" w:sz="0" w:space="0" w:color="auto"/>
        <w:right w:val="none" w:sz="0" w:space="0" w:color="auto"/>
      </w:divBdr>
    </w:div>
    <w:div w:id="677578551">
      <w:bodyDiv w:val="1"/>
      <w:marLeft w:val="0"/>
      <w:marRight w:val="0"/>
      <w:marTop w:val="0"/>
      <w:marBottom w:val="0"/>
      <w:divBdr>
        <w:top w:val="none" w:sz="0" w:space="0" w:color="auto"/>
        <w:left w:val="none" w:sz="0" w:space="0" w:color="auto"/>
        <w:bottom w:val="none" w:sz="0" w:space="0" w:color="auto"/>
        <w:right w:val="none" w:sz="0" w:space="0" w:color="auto"/>
      </w:divBdr>
    </w:div>
    <w:div w:id="781993222">
      <w:bodyDiv w:val="1"/>
      <w:marLeft w:val="0"/>
      <w:marRight w:val="0"/>
      <w:marTop w:val="0"/>
      <w:marBottom w:val="0"/>
      <w:divBdr>
        <w:top w:val="none" w:sz="0" w:space="0" w:color="auto"/>
        <w:left w:val="none" w:sz="0" w:space="0" w:color="auto"/>
        <w:bottom w:val="none" w:sz="0" w:space="0" w:color="auto"/>
        <w:right w:val="none" w:sz="0" w:space="0" w:color="auto"/>
      </w:divBdr>
      <w:divsChild>
        <w:div w:id="1488547095">
          <w:marLeft w:val="994"/>
          <w:marRight w:val="0"/>
          <w:marTop w:val="0"/>
          <w:marBottom w:val="0"/>
          <w:divBdr>
            <w:top w:val="none" w:sz="0" w:space="0" w:color="auto"/>
            <w:left w:val="none" w:sz="0" w:space="0" w:color="auto"/>
            <w:bottom w:val="none" w:sz="0" w:space="0" w:color="auto"/>
            <w:right w:val="none" w:sz="0" w:space="0" w:color="auto"/>
          </w:divBdr>
        </w:div>
      </w:divsChild>
    </w:div>
    <w:div w:id="826937116">
      <w:bodyDiv w:val="1"/>
      <w:marLeft w:val="0"/>
      <w:marRight w:val="0"/>
      <w:marTop w:val="0"/>
      <w:marBottom w:val="0"/>
      <w:divBdr>
        <w:top w:val="none" w:sz="0" w:space="0" w:color="auto"/>
        <w:left w:val="none" w:sz="0" w:space="0" w:color="auto"/>
        <w:bottom w:val="none" w:sz="0" w:space="0" w:color="auto"/>
        <w:right w:val="none" w:sz="0" w:space="0" w:color="auto"/>
      </w:divBdr>
    </w:div>
    <w:div w:id="846679349">
      <w:bodyDiv w:val="1"/>
      <w:marLeft w:val="0"/>
      <w:marRight w:val="0"/>
      <w:marTop w:val="0"/>
      <w:marBottom w:val="0"/>
      <w:divBdr>
        <w:top w:val="none" w:sz="0" w:space="0" w:color="auto"/>
        <w:left w:val="none" w:sz="0" w:space="0" w:color="auto"/>
        <w:bottom w:val="none" w:sz="0" w:space="0" w:color="auto"/>
        <w:right w:val="none" w:sz="0" w:space="0" w:color="auto"/>
      </w:divBdr>
      <w:divsChild>
        <w:div w:id="1559900993">
          <w:marLeft w:val="274"/>
          <w:marRight w:val="0"/>
          <w:marTop w:val="0"/>
          <w:marBottom w:val="0"/>
          <w:divBdr>
            <w:top w:val="none" w:sz="0" w:space="0" w:color="auto"/>
            <w:left w:val="none" w:sz="0" w:space="0" w:color="auto"/>
            <w:bottom w:val="none" w:sz="0" w:space="0" w:color="auto"/>
            <w:right w:val="none" w:sz="0" w:space="0" w:color="auto"/>
          </w:divBdr>
        </w:div>
        <w:div w:id="154683212">
          <w:marLeft w:val="994"/>
          <w:marRight w:val="0"/>
          <w:marTop w:val="0"/>
          <w:marBottom w:val="0"/>
          <w:divBdr>
            <w:top w:val="none" w:sz="0" w:space="0" w:color="auto"/>
            <w:left w:val="none" w:sz="0" w:space="0" w:color="auto"/>
            <w:bottom w:val="none" w:sz="0" w:space="0" w:color="auto"/>
            <w:right w:val="none" w:sz="0" w:space="0" w:color="auto"/>
          </w:divBdr>
        </w:div>
        <w:div w:id="2094231392">
          <w:marLeft w:val="994"/>
          <w:marRight w:val="0"/>
          <w:marTop w:val="0"/>
          <w:marBottom w:val="0"/>
          <w:divBdr>
            <w:top w:val="none" w:sz="0" w:space="0" w:color="auto"/>
            <w:left w:val="none" w:sz="0" w:space="0" w:color="auto"/>
            <w:bottom w:val="none" w:sz="0" w:space="0" w:color="auto"/>
            <w:right w:val="none" w:sz="0" w:space="0" w:color="auto"/>
          </w:divBdr>
        </w:div>
        <w:div w:id="92018445">
          <w:marLeft w:val="994"/>
          <w:marRight w:val="0"/>
          <w:marTop w:val="0"/>
          <w:marBottom w:val="0"/>
          <w:divBdr>
            <w:top w:val="none" w:sz="0" w:space="0" w:color="auto"/>
            <w:left w:val="none" w:sz="0" w:space="0" w:color="auto"/>
            <w:bottom w:val="none" w:sz="0" w:space="0" w:color="auto"/>
            <w:right w:val="none" w:sz="0" w:space="0" w:color="auto"/>
          </w:divBdr>
        </w:div>
        <w:div w:id="1391074316">
          <w:marLeft w:val="994"/>
          <w:marRight w:val="0"/>
          <w:marTop w:val="0"/>
          <w:marBottom w:val="0"/>
          <w:divBdr>
            <w:top w:val="none" w:sz="0" w:space="0" w:color="auto"/>
            <w:left w:val="none" w:sz="0" w:space="0" w:color="auto"/>
            <w:bottom w:val="none" w:sz="0" w:space="0" w:color="auto"/>
            <w:right w:val="none" w:sz="0" w:space="0" w:color="auto"/>
          </w:divBdr>
        </w:div>
        <w:div w:id="1524245361">
          <w:marLeft w:val="274"/>
          <w:marRight w:val="0"/>
          <w:marTop w:val="0"/>
          <w:marBottom w:val="0"/>
          <w:divBdr>
            <w:top w:val="none" w:sz="0" w:space="0" w:color="auto"/>
            <w:left w:val="none" w:sz="0" w:space="0" w:color="auto"/>
            <w:bottom w:val="none" w:sz="0" w:space="0" w:color="auto"/>
            <w:right w:val="none" w:sz="0" w:space="0" w:color="auto"/>
          </w:divBdr>
        </w:div>
        <w:div w:id="433403262">
          <w:marLeft w:val="994"/>
          <w:marRight w:val="0"/>
          <w:marTop w:val="0"/>
          <w:marBottom w:val="0"/>
          <w:divBdr>
            <w:top w:val="none" w:sz="0" w:space="0" w:color="auto"/>
            <w:left w:val="none" w:sz="0" w:space="0" w:color="auto"/>
            <w:bottom w:val="none" w:sz="0" w:space="0" w:color="auto"/>
            <w:right w:val="none" w:sz="0" w:space="0" w:color="auto"/>
          </w:divBdr>
        </w:div>
        <w:div w:id="921840169">
          <w:marLeft w:val="994"/>
          <w:marRight w:val="0"/>
          <w:marTop w:val="0"/>
          <w:marBottom w:val="0"/>
          <w:divBdr>
            <w:top w:val="none" w:sz="0" w:space="0" w:color="auto"/>
            <w:left w:val="none" w:sz="0" w:space="0" w:color="auto"/>
            <w:bottom w:val="none" w:sz="0" w:space="0" w:color="auto"/>
            <w:right w:val="none" w:sz="0" w:space="0" w:color="auto"/>
          </w:divBdr>
        </w:div>
        <w:div w:id="1413965169">
          <w:marLeft w:val="994"/>
          <w:marRight w:val="0"/>
          <w:marTop w:val="0"/>
          <w:marBottom w:val="0"/>
          <w:divBdr>
            <w:top w:val="none" w:sz="0" w:space="0" w:color="auto"/>
            <w:left w:val="none" w:sz="0" w:space="0" w:color="auto"/>
            <w:bottom w:val="none" w:sz="0" w:space="0" w:color="auto"/>
            <w:right w:val="none" w:sz="0" w:space="0" w:color="auto"/>
          </w:divBdr>
        </w:div>
        <w:div w:id="235629290">
          <w:marLeft w:val="994"/>
          <w:marRight w:val="0"/>
          <w:marTop w:val="0"/>
          <w:marBottom w:val="0"/>
          <w:divBdr>
            <w:top w:val="none" w:sz="0" w:space="0" w:color="auto"/>
            <w:left w:val="none" w:sz="0" w:space="0" w:color="auto"/>
            <w:bottom w:val="none" w:sz="0" w:space="0" w:color="auto"/>
            <w:right w:val="none" w:sz="0" w:space="0" w:color="auto"/>
          </w:divBdr>
        </w:div>
        <w:div w:id="821582787">
          <w:marLeft w:val="994"/>
          <w:marRight w:val="0"/>
          <w:marTop w:val="0"/>
          <w:marBottom w:val="0"/>
          <w:divBdr>
            <w:top w:val="none" w:sz="0" w:space="0" w:color="auto"/>
            <w:left w:val="none" w:sz="0" w:space="0" w:color="auto"/>
            <w:bottom w:val="none" w:sz="0" w:space="0" w:color="auto"/>
            <w:right w:val="none" w:sz="0" w:space="0" w:color="auto"/>
          </w:divBdr>
        </w:div>
        <w:div w:id="687292825">
          <w:marLeft w:val="274"/>
          <w:marRight w:val="0"/>
          <w:marTop w:val="0"/>
          <w:marBottom w:val="0"/>
          <w:divBdr>
            <w:top w:val="none" w:sz="0" w:space="0" w:color="auto"/>
            <w:left w:val="none" w:sz="0" w:space="0" w:color="auto"/>
            <w:bottom w:val="none" w:sz="0" w:space="0" w:color="auto"/>
            <w:right w:val="none" w:sz="0" w:space="0" w:color="auto"/>
          </w:divBdr>
        </w:div>
      </w:divsChild>
    </w:div>
    <w:div w:id="1018194723">
      <w:bodyDiv w:val="1"/>
      <w:marLeft w:val="0"/>
      <w:marRight w:val="0"/>
      <w:marTop w:val="0"/>
      <w:marBottom w:val="0"/>
      <w:divBdr>
        <w:top w:val="none" w:sz="0" w:space="0" w:color="auto"/>
        <w:left w:val="none" w:sz="0" w:space="0" w:color="auto"/>
        <w:bottom w:val="none" w:sz="0" w:space="0" w:color="auto"/>
        <w:right w:val="none" w:sz="0" w:space="0" w:color="auto"/>
      </w:divBdr>
      <w:divsChild>
        <w:div w:id="1580944253">
          <w:marLeft w:val="720"/>
          <w:marRight w:val="0"/>
          <w:marTop w:val="0"/>
          <w:marBottom w:val="0"/>
          <w:divBdr>
            <w:top w:val="none" w:sz="0" w:space="0" w:color="auto"/>
            <w:left w:val="none" w:sz="0" w:space="0" w:color="auto"/>
            <w:bottom w:val="none" w:sz="0" w:space="0" w:color="auto"/>
            <w:right w:val="none" w:sz="0" w:space="0" w:color="auto"/>
          </w:divBdr>
        </w:div>
        <w:div w:id="909731462">
          <w:marLeft w:val="720"/>
          <w:marRight w:val="0"/>
          <w:marTop w:val="0"/>
          <w:marBottom w:val="0"/>
          <w:divBdr>
            <w:top w:val="none" w:sz="0" w:space="0" w:color="auto"/>
            <w:left w:val="none" w:sz="0" w:space="0" w:color="auto"/>
            <w:bottom w:val="none" w:sz="0" w:space="0" w:color="auto"/>
            <w:right w:val="none" w:sz="0" w:space="0" w:color="auto"/>
          </w:divBdr>
        </w:div>
        <w:div w:id="2019962539">
          <w:marLeft w:val="720"/>
          <w:marRight w:val="0"/>
          <w:marTop w:val="0"/>
          <w:marBottom w:val="0"/>
          <w:divBdr>
            <w:top w:val="none" w:sz="0" w:space="0" w:color="auto"/>
            <w:left w:val="none" w:sz="0" w:space="0" w:color="auto"/>
            <w:bottom w:val="none" w:sz="0" w:space="0" w:color="auto"/>
            <w:right w:val="none" w:sz="0" w:space="0" w:color="auto"/>
          </w:divBdr>
        </w:div>
        <w:div w:id="1711489834">
          <w:marLeft w:val="720"/>
          <w:marRight w:val="0"/>
          <w:marTop w:val="0"/>
          <w:marBottom w:val="0"/>
          <w:divBdr>
            <w:top w:val="none" w:sz="0" w:space="0" w:color="auto"/>
            <w:left w:val="none" w:sz="0" w:space="0" w:color="auto"/>
            <w:bottom w:val="none" w:sz="0" w:space="0" w:color="auto"/>
            <w:right w:val="none" w:sz="0" w:space="0" w:color="auto"/>
          </w:divBdr>
        </w:div>
        <w:div w:id="1048650309">
          <w:marLeft w:val="720"/>
          <w:marRight w:val="0"/>
          <w:marTop w:val="0"/>
          <w:marBottom w:val="0"/>
          <w:divBdr>
            <w:top w:val="none" w:sz="0" w:space="0" w:color="auto"/>
            <w:left w:val="none" w:sz="0" w:space="0" w:color="auto"/>
            <w:bottom w:val="none" w:sz="0" w:space="0" w:color="auto"/>
            <w:right w:val="none" w:sz="0" w:space="0" w:color="auto"/>
          </w:divBdr>
        </w:div>
        <w:div w:id="481195413">
          <w:marLeft w:val="720"/>
          <w:marRight w:val="0"/>
          <w:marTop w:val="0"/>
          <w:marBottom w:val="0"/>
          <w:divBdr>
            <w:top w:val="none" w:sz="0" w:space="0" w:color="auto"/>
            <w:left w:val="none" w:sz="0" w:space="0" w:color="auto"/>
            <w:bottom w:val="none" w:sz="0" w:space="0" w:color="auto"/>
            <w:right w:val="none" w:sz="0" w:space="0" w:color="auto"/>
          </w:divBdr>
        </w:div>
        <w:div w:id="1985036698">
          <w:marLeft w:val="720"/>
          <w:marRight w:val="0"/>
          <w:marTop w:val="0"/>
          <w:marBottom w:val="0"/>
          <w:divBdr>
            <w:top w:val="none" w:sz="0" w:space="0" w:color="auto"/>
            <w:left w:val="none" w:sz="0" w:space="0" w:color="auto"/>
            <w:bottom w:val="none" w:sz="0" w:space="0" w:color="auto"/>
            <w:right w:val="none" w:sz="0" w:space="0" w:color="auto"/>
          </w:divBdr>
        </w:div>
      </w:divsChild>
    </w:div>
    <w:div w:id="1121919595">
      <w:bodyDiv w:val="1"/>
      <w:marLeft w:val="0"/>
      <w:marRight w:val="0"/>
      <w:marTop w:val="0"/>
      <w:marBottom w:val="0"/>
      <w:divBdr>
        <w:top w:val="none" w:sz="0" w:space="0" w:color="auto"/>
        <w:left w:val="none" w:sz="0" w:space="0" w:color="auto"/>
        <w:bottom w:val="none" w:sz="0" w:space="0" w:color="auto"/>
        <w:right w:val="none" w:sz="0" w:space="0" w:color="auto"/>
      </w:divBdr>
    </w:div>
    <w:div w:id="1124617749">
      <w:bodyDiv w:val="1"/>
      <w:marLeft w:val="0"/>
      <w:marRight w:val="0"/>
      <w:marTop w:val="0"/>
      <w:marBottom w:val="0"/>
      <w:divBdr>
        <w:top w:val="none" w:sz="0" w:space="0" w:color="auto"/>
        <w:left w:val="none" w:sz="0" w:space="0" w:color="auto"/>
        <w:bottom w:val="none" w:sz="0" w:space="0" w:color="auto"/>
        <w:right w:val="none" w:sz="0" w:space="0" w:color="auto"/>
      </w:divBdr>
    </w:div>
    <w:div w:id="1148136495">
      <w:bodyDiv w:val="1"/>
      <w:marLeft w:val="0"/>
      <w:marRight w:val="0"/>
      <w:marTop w:val="0"/>
      <w:marBottom w:val="0"/>
      <w:divBdr>
        <w:top w:val="none" w:sz="0" w:space="0" w:color="auto"/>
        <w:left w:val="none" w:sz="0" w:space="0" w:color="auto"/>
        <w:bottom w:val="none" w:sz="0" w:space="0" w:color="auto"/>
        <w:right w:val="none" w:sz="0" w:space="0" w:color="auto"/>
      </w:divBdr>
    </w:div>
    <w:div w:id="1189609630">
      <w:bodyDiv w:val="1"/>
      <w:marLeft w:val="0"/>
      <w:marRight w:val="0"/>
      <w:marTop w:val="0"/>
      <w:marBottom w:val="0"/>
      <w:divBdr>
        <w:top w:val="none" w:sz="0" w:space="0" w:color="auto"/>
        <w:left w:val="none" w:sz="0" w:space="0" w:color="auto"/>
        <w:bottom w:val="none" w:sz="0" w:space="0" w:color="auto"/>
        <w:right w:val="none" w:sz="0" w:space="0" w:color="auto"/>
      </w:divBdr>
    </w:div>
    <w:div w:id="1191072586">
      <w:bodyDiv w:val="1"/>
      <w:marLeft w:val="0"/>
      <w:marRight w:val="0"/>
      <w:marTop w:val="0"/>
      <w:marBottom w:val="0"/>
      <w:divBdr>
        <w:top w:val="none" w:sz="0" w:space="0" w:color="auto"/>
        <w:left w:val="none" w:sz="0" w:space="0" w:color="auto"/>
        <w:bottom w:val="none" w:sz="0" w:space="0" w:color="auto"/>
        <w:right w:val="none" w:sz="0" w:space="0" w:color="auto"/>
      </w:divBdr>
      <w:divsChild>
        <w:div w:id="815219296">
          <w:marLeft w:val="274"/>
          <w:marRight w:val="0"/>
          <w:marTop w:val="0"/>
          <w:marBottom w:val="0"/>
          <w:divBdr>
            <w:top w:val="none" w:sz="0" w:space="0" w:color="auto"/>
            <w:left w:val="none" w:sz="0" w:space="0" w:color="auto"/>
            <w:bottom w:val="none" w:sz="0" w:space="0" w:color="auto"/>
            <w:right w:val="none" w:sz="0" w:space="0" w:color="auto"/>
          </w:divBdr>
        </w:div>
        <w:div w:id="1668747585">
          <w:marLeft w:val="274"/>
          <w:marRight w:val="0"/>
          <w:marTop w:val="0"/>
          <w:marBottom w:val="0"/>
          <w:divBdr>
            <w:top w:val="none" w:sz="0" w:space="0" w:color="auto"/>
            <w:left w:val="none" w:sz="0" w:space="0" w:color="auto"/>
            <w:bottom w:val="none" w:sz="0" w:space="0" w:color="auto"/>
            <w:right w:val="none" w:sz="0" w:space="0" w:color="auto"/>
          </w:divBdr>
        </w:div>
        <w:div w:id="940800715">
          <w:marLeft w:val="994"/>
          <w:marRight w:val="0"/>
          <w:marTop w:val="0"/>
          <w:marBottom w:val="0"/>
          <w:divBdr>
            <w:top w:val="none" w:sz="0" w:space="0" w:color="auto"/>
            <w:left w:val="none" w:sz="0" w:space="0" w:color="auto"/>
            <w:bottom w:val="none" w:sz="0" w:space="0" w:color="auto"/>
            <w:right w:val="none" w:sz="0" w:space="0" w:color="auto"/>
          </w:divBdr>
        </w:div>
        <w:div w:id="1881284704">
          <w:marLeft w:val="994"/>
          <w:marRight w:val="0"/>
          <w:marTop w:val="0"/>
          <w:marBottom w:val="0"/>
          <w:divBdr>
            <w:top w:val="none" w:sz="0" w:space="0" w:color="auto"/>
            <w:left w:val="none" w:sz="0" w:space="0" w:color="auto"/>
            <w:bottom w:val="none" w:sz="0" w:space="0" w:color="auto"/>
            <w:right w:val="none" w:sz="0" w:space="0" w:color="auto"/>
          </w:divBdr>
        </w:div>
        <w:div w:id="2062055414">
          <w:marLeft w:val="994"/>
          <w:marRight w:val="0"/>
          <w:marTop w:val="0"/>
          <w:marBottom w:val="0"/>
          <w:divBdr>
            <w:top w:val="none" w:sz="0" w:space="0" w:color="auto"/>
            <w:left w:val="none" w:sz="0" w:space="0" w:color="auto"/>
            <w:bottom w:val="none" w:sz="0" w:space="0" w:color="auto"/>
            <w:right w:val="none" w:sz="0" w:space="0" w:color="auto"/>
          </w:divBdr>
        </w:div>
      </w:divsChild>
    </w:div>
    <w:div w:id="1193687340">
      <w:bodyDiv w:val="1"/>
      <w:marLeft w:val="0"/>
      <w:marRight w:val="0"/>
      <w:marTop w:val="0"/>
      <w:marBottom w:val="0"/>
      <w:divBdr>
        <w:top w:val="none" w:sz="0" w:space="0" w:color="auto"/>
        <w:left w:val="none" w:sz="0" w:space="0" w:color="auto"/>
        <w:bottom w:val="none" w:sz="0" w:space="0" w:color="auto"/>
        <w:right w:val="none" w:sz="0" w:space="0" w:color="auto"/>
      </w:divBdr>
    </w:div>
    <w:div w:id="1319191936">
      <w:bodyDiv w:val="1"/>
      <w:marLeft w:val="0"/>
      <w:marRight w:val="0"/>
      <w:marTop w:val="0"/>
      <w:marBottom w:val="0"/>
      <w:divBdr>
        <w:top w:val="none" w:sz="0" w:space="0" w:color="auto"/>
        <w:left w:val="none" w:sz="0" w:space="0" w:color="auto"/>
        <w:bottom w:val="none" w:sz="0" w:space="0" w:color="auto"/>
        <w:right w:val="none" w:sz="0" w:space="0" w:color="auto"/>
      </w:divBdr>
      <w:divsChild>
        <w:div w:id="296112251">
          <w:marLeft w:val="274"/>
          <w:marRight w:val="0"/>
          <w:marTop w:val="0"/>
          <w:marBottom w:val="0"/>
          <w:divBdr>
            <w:top w:val="none" w:sz="0" w:space="0" w:color="auto"/>
            <w:left w:val="none" w:sz="0" w:space="0" w:color="auto"/>
            <w:bottom w:val="none" w:sz="0" w:space="0" w:color="auto"/>
            <w:right w:val="none" w:sz="0" w:space="0" w:color="auto"/>
          </w:divBdr>
        </w:div>
        <w:div w:id="1893734137">
          <w:marLeft w:val="994"/>
          <w:marRight w:val="0"/>
          <w:marTop w:val="0"/>
          <w:marBottom w:val="0"/>
          <w:divBdr>
            <w:top w:val="none" w:sz="0" w:space="0" w:color="auto"/>
            <w:left w:val="none" w:sz="0" w:space="0" w:color="auto"/>
            <w:bottom w:val="none" w:sz="0" w:space="0" w:color="auto"/>
            <w:right w:val="none" w:sz="0" w:space="0" w:color="auto"/>
          </w:divBdr>
        </w:div>
      </w:divsChild>
    </w:div>
    <w:div w:id="1319462712">
      <w:bodyDiv w:val="1"/>
      <w:marLeft w:val="0"/>
      <w:marRight w:val="0"/>
      <w:marTop w:val="0"/>
      <w:marBottom w:val="0"/>
      <w:divBdr>
        <w:top w:val="none" w:sz="0" w:space="0" w:color="auto"/>
        <w:left w:val="none" w:sz="0" w:space="0" w:color="auto"/>
        <w:bottom w:val="none" w:sz="0" w:space="0" w:color="auto"/>
        <w:right w:val="none" w:sz="0" w:space="0" w:color="auto"/>
      </w:divBdr>
      <w:divsChild>
        <w:div w:id="52698170">
          <w:marLeft w:val="446"/>
          <w:marRight w:val="0"/>
          <w:marTop w:val="0"/>
          <w:marBottom w:val="0"/>
          <w:divBdr>
            <w:top w:val="none" w:sz="0" w:space="0" w:color="auto"/>
            <w:left w:val="none" w:sz="0" w:space="0" w:color="auto"/>
            <w:bottom w:val="none" w:sz="0" w:space="0" w:color="auto"/>
            <w:right w:val="none" w:sz="0" w:space="0" w:color="auto"/>
          </w:divBdr>
        </w:div>
        <w:div w:id="1014696282">
          <w:marLeft w:val="446"/>
          <w:marRight w:val="0"/>
          <w:marTop w:val="0"/>
          <w:marBottom w:val="0"/>
          <w:divBdr>
            <w:top w:val="none" w:sz="0" w:space="0" w:color="auto"/>
            <w:left w:val="none" w:sz="0" w:space="0" w:color="auto"/>
            <w:bottom w:val="none" w:sz="0" w:space="0" w:color="auto"/>
            <w:right w:val="none" w:sz="0" w:space="0" w:color="auto"/>
          </w:divBdr>
        </w:div>
      </w:divsChild>
    </w:div>
    <w:div w:id="1325009070">
      <w:bodyDiv w:val="1"/>
      <w:marLeft w:val="0"/>
      <w:marRight w:val="0"/>
      <w:marTop w:val="0"/>
      <w:marBottom w:val="0"/>
      <w:divBdr>
        <w:top w:val="none" w:sz="0" w:space="0" w:color="auto"/>
        <w:left w:val="none" w:sz="0" w:space="0" w:color="auto"/>
        <w:bottom w:val="none" w:sz="0" w:space="0" w:color="auto"/>
        <w:right w:val="none" w:sz="0" w:space="0" w:color="auto"/>
      </w:divBdr>
    </w:div>
    <w:div w:id="1332872634">
      <w:bodyDiv w:val="1"/>
      <w:marLeft w:val="0"/>
      <w:marRight w:val="0"/>
      <w:marTop w:val="0"/>
      <w:marBottom w:val="0"/>
      <w:divBdr>
        <w:top w:val="none" w:sz="0" w:space="0" w:color="auto"/>
        <w:left w:val="none" w:sz="0" w:space="0" w:color="auto"/>
        <w:bottom w:val="none" w:sz="0" w:space="0" w:color="auto"/>
        <w:right w:val="none" w:sz="0" w:space="0" w:color="auto"/>
      </w:divBdr>
    </w:div>
    <w:div w:id="1351950763">
      <w:bodyDiv w:val="1"/>
      <w:marLeft w:val="0"/>
      <w:marRight w:val="0"/>
      <w:marTop w:val="0"/>
      <w:marBottom w:val="0"/>
      <w:divBdr>
        <w:top w:val="none" w:sz="0" w:space="0" w:color="auto"/>
        <w:left w:val="none" w:sz="0" w:space="0" w:color="auto"/>
        <w:bottom w:val="none" w:sz="0" w:space="0" w:color="auto"/>
        <w:right w:val="none" w:sz="0" w:space="0" w:color="auto"/>
      </w:divBdr>
    </w:div>
    <w:div w:id="1396123480">
      <w:bodyDiv w:val="1"/>
      <w:marLeft w:val="0"/>
      <w:marRight w:val="0"/>
      <w:marTop w:val="0"/>
      <w:marBottom w:val="0"/>
      <w:divBdr>
        <w:top w:val="none" w:sz="0" w:space="0" w:color="auto"/>
        <w:left w:val="none" w:sz="0" w:space="0" w:color="auto"/>
        <w:bottom w:val="none" w:sz="0" w:space="0" w:color="auto"/>
        <w:right w:val="none" w:sz="0" w:space="0" w:color="auto"/>
      </w:divBdr>
    </w:div>
    <w:div w:id="1427850276">
      <w:bodyDiv w:val="1"/>
      <w:marLeft w:val="0"/>
      <w:marRight w:val="0"/>
      <w:marTop w:val="0"/>
      <w:marBottom w:val="0"/>
      <w:divBdr>
        <w:top w:val="none" w:sz="0" w:space="0" w:color="auto"/>
        <w:left w:val="none" w:sz="0" w:space="0" w:color="auto"/>
        <w:bottom w:val="none" w:sz="0" w:space="0" w:color="auto"/>
        <w:right w:val="none" w:sz="0" w:space="0" w:color="auto"/>
      </w:divBdr>
      <w:divsChild>
        <w:div w:id="724334552">
          <w:marLeft w:val="446"/>
          <w:marRight w:val="0"/>
          <w:marTop w:val="0"/>
          <w:marBottom w:val="0"/>
          <w:divBdr>
            <w:top w:val="none" w:sz="0" w:space="0" w:color="auto"/>
            <w:left w:val="none" w:sz="0" w:space="0" w:color="auto"/>
            <w:bottom w:val="none" w:sz="0" w:space="0" w:color="auto"/>
            <w:right w:val="none" w:sz="0" w:space="0" w:color="auto"/>
          </w:divBdr>
        </w:div>
        <w:div w:id="1034649006">
          <w:marLeft w:val="1166"/>
          <w:marRight w:val="0"/>
          <w:marTop w:val="0"/>
          <w:marBottom w:val="0"/>
          <w:divBdr>
            <w:top w:val="none" w:sz="0" w:space="0" w:color="auto"/>
            <w:left w:val="none" w:sz="0" w:space="0" w:color="auto"/>
            <w:bottom w:val="none" w:sz="0" w:space="0" w:color="auto"/>
            <w:right w:val="none" w:sz="0" w:space="0" w:color="auto"/>
          </w:divBdr>
        </w:div>
        <w:div w:id="841706224">
          <w:marLeft w:val="1166"/>
          <w:marRight w:val="0"/>
          <w:marTop w:val="0"/>
          <w:marBottom w:val="0"/>
          <w:divBdr>
            <w:top w:val="none" w:sz="0" w:space="0" w:color="auto"/>
            <w:left w:val="none" w:sz="0" w:space="0" w:color="auto"/>
            <w:bottom w:val="none" w:sz="0" w:space="0" w:color="auto"/>
            <w:right w:val="none" w:sz="0" w:space="0" w:color="auto"/>
          </w:divBdr>
        </w:div>
        <w:div w:id="571232818">
          <w:marLeft w:val="446"/>
          <w:marRight w:val="0"/>
          <w:marTop w:val="0"/>
          <w:marBottom w:val="0"/>
          <w:divBdr>
            <w:top w:val="none" w:sz="0" w:space="0" w:color="auto"/>
            <w:left w:val="none" w:sz="0" w:space="0" w:color="auto"/>
            <w:bottom w:val="none" w:sz="0" w:space="0" w:color="auto"/>
            <w:right w:val="none" w:sz="0" w:space="0" w:color="auto"/>
          </w:divBdr>
        </w:div>
        <w:div w:id="1583641758">
          <w:marLeft w:val="1166"/>
          <w:marRight w:val="0"/>
          <w:marTop w:val="0"/>
          <w:marBottom w:val="0"/>
          <w:divBdr>
            <w:top w:val="none" w:sz="0" w:space="0" w:color="auto"/>
            <w:left w:val="none" w:sz="0" w:space="0" w:color="auto"/>
            <w:bottom w:val="none" w:sz="0" w:space="0" w:color="auto"/>
            <w:right w:val="none" w:sz="0" w:space="0" w:color="auto"/>
          </w:divBdr>
        </w:div>
        <w:div w:id="1874340129">
          <w:marLeft w:val="1166"/>
          <w:marRight w:val="0"/>
          <w:marTop w:val="0"/>
          <w:marBottom w:val="0"/>
          <w:divBdr>
            <w:top w:val="none" w:sz="0" w:space="0" w:color="auto"/>
            <w:left w:val="none" w:sz="0" w:space="0" w:color="auto"/>
            <w:bottom w:val="none" w:sz="0" w:space="0" w:color="auto"/>
            <w:right w:val="none" w:sz="0" w:space="0" w:color="auto"/>
          </w:divBdr>
        </w:div>
        <w:div w:id="1066757441">
          <w:marLeft w:val="1166"/>
          <w:marRight w:val="0"/>
          <w:marTop w:val="0"/>
          <w:marBottom w:val="0"/>
          <w:divBdr>
            <w:top w:val="none" w:sz="0" w:space="0" w:color="auto"/>
            <w:left w:val="none" w:sz="0" w:space="0" w:color="auto"/>
            <w:bottom w:val="none" w:sz="0" w:space="0" w:color="auto"/>
            <w:right w:val="none" w:sz="0" w:space="0" w:color="auto"/>
          </w:divBdr>
        </w:div>
        <w:div w:id="932014780">
          <w:marLeft w:val="1166"/>
          <w:marRight w:val="0"/>
          <w:marTop w:val="0"/>
          <w:marBottom w:val="0"/>
          <w:divBdr>
            <w:top w:val="none" w:sz="0" w:space="0" w:color="auto"/>
            <w:left w:val="none" w:sz="0" w:space="0" w:color="auto"/>
            <w:bottom w:val="none" w:sz="0" w:space="0" w:color="auto"/>
            <w:right w:val="none" w:sz="0" w:space="0" w:color="auto"/>
          </w:divBdr>
        </w:div>
      </w:divsChild>
    </w:div>
    <w:div w:id="1430587230">
      <w:bodyDiv w:val="1"/>
      <w:marLeft w:val="0"/>
      <w:marRight w:val="0"/>
      <w:marTop w:val="0"/>
      <w:marBottom w:val="0"/>
      <w:divBdr>
        <w:top w:val="none" w:sz="0" w:space="0" w:color="auto"/>
        <w:left w:val="none" w:sz="0" w:space="0" w:color="auto"/>
        <w:bottom w:val="none" w:sz="0" w:space="0" w:color="auto"/>
        <w:right w:val="none" w:sz="0" w:space="0" w:color="auto"/>
      </w:divBdr>
    </w:div>
    <w:div w:id="1432701015">
      <w:bodyDiv w:val="1"/>
      <w:marLeft w:val="0"/>
      <w:marRight w:val="0"/>
      <w:marTop w:val="0"/>
      <w:marBottom w:val="0"/>
      <w:divBdr>
        <w:top w:val="none" w:sz="0" w:space="0" w:color="auto"/>
        <w:left w:val="none" w:sz="0" w:space="0" w:color="auto"/>
        <w:bottom w:val="none" w:sz="0" w:space="0" w:color="auto"/>
        <w:right w:val="none" w:sz="0" w:space="0" w:color="auto"/>
      </w:divBdr>
      <w:divsChild>
        <w:div w:id="377627201">
          <w:marLeft w:val="274"/>
          <w:marRight w:val="0"/>
          <w:marTop w:val="0"/>
          <w:marBottom w:val="0"/>
          <w:divBdr>
            <w:top w:val="none" w:sz="0" w:space="0" w:color="auto"/>
            <w:left w:val="none" w:sz="0" w:space="0" w:color="auto"/>
            <w:bottom w:val="none" w:sz="0" w:space="0" w:color="auto"/>
            <w:right w:val="none" w:sz="0" w:space="0" w:color="auto"/>
          </w:divBdr>
        </w:div>
        <w:div w:id="1625842504">
          <w:marLeft w:val="274"/>
          <w:marRight w:val="0"/>
          <w:marTop w:val="0"/>
          <w:marBottom w:val="0"/>
          <w:divBdr>
            <w:top w:val="none" w:sz="0" w:space="0" w:color="auto"/>
            <w:left w:val="none" w:sz="0" w:space="0" w:color="auto"/>
            <w:bottom w:val="none" w:sz="0" w:space="0" w:color="auto"/>
            <w:right w:val="none" w:sz="0" w:space="0" w:color="auto"/>
          </w:divBdr>
        </w:div>
      </w:divsChild>
    </w:div>
    <w:div w:id="1443724663">
      <w:bodyDiv w:val="1"/>
      <w:marLeft w:val="0"/>
      <w:marRight w:val="0"/>
      <w:marTop w:val="0"/>
      <w:marBottom w:val="0"/>
      <w:divBdr>
        <w:top w:val="none" w:sz="0" w:space="0" w:color="auto"/>
        <w:left w:val="none" w:sz="0" w:space="0" w:color="auto"/>
        <w:bottom w:val="none" w:sz="0" w:space="0" w:color="auto"/>
        <w:right w:val="none" w:sz="0" w:space="0" w:color="auto"/>
      </w:divBdr>
    </w:div>
    <w:div w:id="1451195628">
      <w:bodyDiv w:val="1"/>
      <w:marLeft w:val="0"/>
      <w:marRight w:val="0"/>
      <w:marTop w:val="0"/>
      <w:marBottom w:val="0"/>
      <w:divBdr>
        <w:top w:val="none" w:sz="0" w:space="0" w:color="auto"/>
        <w:left w:val="none" w:sz="0" w:space="0" w:color="auto"/>
        <w:bottom w:val="none" w:sz="0" w:space="0" w:color="auto"/>
        <w:right w:val="none" w:sz="0" w:space="0" w:color="auto"/>
      </w:divBdr>
      <w:divsChild>
        <w:div w:id="1338921788">
          <w:marLeft w:val="994"/>
          <w:marRight w:val="0"/>
          <w:marTop w:val="0"/>
          <w:marBottom w:val="0"/>
          <w:divBdr>
            <w:top w:val="none" w:sz="0" w:space="0" w:color="auto"/>
            <w:left w:val="none" w:sz="0" w:space="0" w:color="auto"/>
            <w:bottom w:val="none" w:sz="0" w:space="0" w:color="auto"/>
            <w:right w:val="none" w:sz="0" w:space="0" w:color="auto"/>
          </w:divBdr>
        </w:div>
        <w:div w:id="1711614354">
          <w:marLeft w:val="994"/>
          <w:marRight w:val="0"/>
          <w:marTop w:val="0"/>
          <w:marBottom w:val="0"/>
          <w:divBdr>
            <w:top w:val="none" w:sz="0" w:space="0" w:color="auto"/>
            <w:left w:val="none" w:sz="0" w:space="0" w:color="auto"/>
            <w:bottom w:val="none" w:sz="0" w:space="0" w:color="auto"/>
            <w:right w:val="none" w:sz="0" w:space="0" w:color="auto"/>
          </w:divBdr>
        </w:div>
        <w:div w:id="522016561">
          <w:marLeft w:val="994"/>
          <w:marRight w:val="0"/>
          <w:marTop w:val="0"/>
          <w:marBottom w:val="0"/>
          <w:divBdr>
            <w:top w:val="none" w:sz="0" w:space="0" w:color="auto"/>
            <w:left w:val="none" w:sz="0" w:space="0" w:color="auto"/>
            <w:bottom w:val="none" w:sz="0" w:space="0" w:color="auto"/>
            <w:right w:val="none" w:sz="0" w:space="0" w:color="auto"/>
          </w:divBdr>
        </w:div>
        <w:div w:id="322395972">
          <w:marLeft w:val="994"/>
          <w:marRight w:val="0"/>
          <w:marTop w:val="0"/>
          <w:marBottom w:val="0"/>
          <w:divBdr>
            <w:top w:val="none" w:sz="0" w:space="0" w:color="auto"/>
            <w:left w:val="none" w:sz="0" w:space="0" w:color="auto"/>
            <w:bottom w:val="none" w:sz="0" w:space="0" w:color="auto"/>
            <w:right w:val="none" w:sz="0" w:space="0" w:color="auto"/>
          </w:divBdr>
        </w:div>
        <w:div w:id="1326402360">
          <w:marLeft w:val="994"/>
          <w:marRight w:val="0"/>
          <w:marTop w:val="0"/>
          <w:marBottom w:val="0"/>
          <w:divBdr>
            <w:top w:val="none" w:sz="0" w:space="0" w:color="auto"/>
            <w:left w:val="none" w:sz="0" w:space="0" w:color="auto"/>
            <w:bottom w:val="none" w:sz="0" w:space="0" w:color="auto"/>
            <w:right w:val="none" w:sz="0" w:space="0" w:color="auto"/>
          </w:divBdr>
        </w:div>
        <w:div w:id="1001618656">
          <w:marLeft w:val="994"/>
          <w:marRight w:val="0"/>
          <w:marTop w:val="0"/>
          <w:marBottom w:val="0"/>
          <w:divBdr>
            <w:top w:val="none" w:sz="0" w:space="0" w:color="auto"/>
            <w:left w:val="none" w:sz="0" w:space="0" w:color="auto"/>
            <w:bottom w:val="none" w:sz="0" w:space="0" w:color="auto"/>
            <w:right w:val="none" w:sz="0" w:space="0" w:color="auto"/>
          </w:divBdr>
        </w:div>
        <w:div w:id="2132624677">
          <w:marLeft w:val="994"/>
          <w:marRight w:val="0"/>
          <w:marTop w:val="0"/>
          <w:marBottom w:val="0"/>
          <w:divBdr>
            <w:top w:val="none" w:sz="0" w:space="0" w:color="auto"/>
            <w:left w:val="none" w:sz="0" w:space="0" w:color="auto"/>
            <w:bottom w:val="none" w:sz="0" w:space="0" w:color="auto"/>
            <w:right w:val="none" w:sz="0" w:space="0" w:color="auto"/>
          </w:divBdr>
        </w:div>
        <w:div w:id="70661524">
          <w:marLeft w:val="994"/>
          <w:marRight w:val="0"/>
          <w:marTop w:val="0"/>
          <w:marBottom w:val="0"/>
          <w:divBdr>
            <w:top w:val="none" w:sz="0" w:space="0" w:color="auto"/>
            <w:left w:val="none" w:sz="0" w:space="0" w:color="auto"/>
            <w:bottom w:val="none" w:sz="0" w:space="0" w:color="auto"/>
            <w:right w:val="none" w:sz="0" w:space="0" w:color="auto"/>
          </w:divBdr>
        </w:div>
        <w:div w:id="1140615638">
          <w:marLeft w:val="994"/>
          <w:marRight w:val="0"/>
          <w:marTop w:val="0"/>
          <w:marBottom w:val="0"/>
          <w:divBdr>
            <w:top w:val="none" w:sz="0" w:space="0" w:color="auto"/>
            <w:left w:val="none" w:sz="0" w:space="0" w:color="auto"/>
            <w:bottom w:val="none" w:sz="0" w:space="0" w:color="auto"/>
            <w:right w:val="none" w:sz="0" w:space="0" w:color="auto"/>
          </w:divBdr>
        </w:div>
        <w:div w:id="2021083355">
          <w:marLeft w:val="994"/>
          <w:marRight w:val="0"/>
          <w:marTop w:val="0"/>
          <w:marBottom w:val="0"/>
          <w:divBdr>
            <w:top w:val="none" w:sz="0" w:space="0" w:color="auto"/>
            <w:left w:val="none" w:sz="0" w:space="0" w:color="auto"/>
            <w:bottom w:val="none" w:sz="0" w:space="0" w:color="auto"/>
            <w:right w:val="none" w:sz="0" w:space="0" w:color="auto"/>
          </w:divBdr>
        </w:div>
        <w:div w:id="1483496767">
          <w:marLeft w:val="994"/>
          <w:marRight w:val="0"/>
          <w:marTop w:val="0"/>
          <w:marBottom w:val="0"/>
          <w:divBdr>
            <w:top w:val="none" w:sz="0" w:space="0" w:color="auto"/>
            <w:left w:val="none" w:sz="0" w:space="0" w:color="auto"/>
            <w:bottom w:val="none" w:sz="0" w:space="0" w:color="auto"/>
            <w:right w:val="none" w:sz="0" w:space="0" w:color="auto"/>
          </w:divBdr>
        </w:div>
      </w:divsChild>
    </w:div>
    <w:div w:id="1455052414">
      <w:bodyDiv w:val="1"/>
      <w:marLeft w:val="0"/>
      <w:marRight w:val="0"/>
      <w:marTop w:val="0"/>
      <w:marBottom w:val="0"/>
      <w:divBdr>
        <w:top w:val="none" w:sz="0" w:space="0" w:color="auto"/>
        <w:left w:val="none" w:sz="0" w:space="0" w:color="auto"/>
        <w:bottom w:val="none" w:sz="0" w:space="0" w:color="auto"/>
        <w:right w:val="none" w:sz="0" w:space="0" w:color="auto"/>
      </w:divBdr>
    </w:div>
    <w:div w:id="1455564261">
      <w:bodyDiv w:val="1"/>
      <w:marLeft w:val="0"/>
      <w:marRight w:val="0"/>
      <w:marTop w:val="0"/>
      <w:marBottom w:val="0"/>
      <w:divBdr>
        <w:top w:val="none" w:sz="0" w:space="0" w:color="auto"/>
        <w:left w:val="none" w:sz="0" w:space="0" w:color="auto"/>
        <w:bottom w:val="none" w:sz="0" w:space="0" w:color="auto"/>
        <w:right w:val="none" w:sz="0" w:space="0" w:color="auto"/>
      </w:divBdr>
    </w:div>
    <w:div w:id="1493990553">
      <w:bodyDiv w:val="1"/>
      <w:marLeft w:val="0"/>
      <w:marRight w:val="0"/>
      <w:marTop w:val="0"/>
      <w:marBottom w:val="0"/>
      <w:divBdr>
        <w:top w:val="none" w:sz="0" w:space="0" w:color="auto"/>
        <w:left w:val="none" w:sz="0" w:space="0" w:color="auto"/>
        <w:bottom w:val="none" w:sz="0" w:space="0" w:color="auto"/>
        <w:right w:val="none" w:sz="0" w:space="0" w:color="auto"/>
      </w:divBdr>
    </w:div>
    <w:div w:id="1505242730">
      <w:bodyDiv w:val="1"/>
      <w:marLeft w:val="0"/>
      <w:marRight w:val="0"/>
      <w:marTop w:val="0"/>
      <w:marBottom w:val="0"/>
      <w:divBdr>
        <w:top w:val="none" w:sz="0" w:space="0" w:color="auto"/>
        <w:left w:val="none" w:sz="0" w:space="0" w:color="auto"/>
        <w:bottom w:val="none" w:sz="0" w:space="0" w:color="auto"/>
        <w:right w:val="none" w:sz="0" w:space="0" w:color="auto"/>
      </w:divBdr>
    </w:div>
    <w:div w:id="1536772217">
      <w:bodyDiv w:val="1"/>
      <w:marLeft w:val="0"/>
      <w:marRight w:val="0"/>
      <w:marTop w:val="0"/>
      <w:marBottom w:val="0"/>
      <w:divBdr>
        <w:top w:val="none" w:sz="0" w:space="0" w:color="auto"/>
        <w:left w:val="none" w:sz="0" w:space="0" w:color="auto"/>
        <w:bottom w:val="none" w:sz="0" w:space="0" w:color="auto"/>
        <w:right w:val="none" w:sz="0" w:space="0" w:color="auto"/>
      </w:divBdr>
    </w:div>
    <w:div w:id="1569684697">
      <w:bodyDiv w:val="1"/>
      <w:marLeft w:val="0"/>
      <w:marRight w:val="0"/>
      <w:marTop w:val="0"/>
      <w:marBottom w:val="0"/>
      <w:divBdr>
        <w:top w:val="none" w:sz="0" w:space="0" w:color="auto"/>
        <w:left w:val="none" w:sz="0" w:space="0" w:color="auto"/>
        <w:bottom w:val="none" w:sz="0" w:space="0" w:color="auto"/>
        <w:right w:val="none" w:sz="0" w:space="0" w:color="auto"/>
      </w:divBdr>
    </w:div>
    <w:div w:id="1573201573">
      <w:bodyDiv w:val="1"/>
      <w:marLeft w:val="0"/>
      <w:marRight w:val="0"/>
      <w:marTop w:val="0"/>
      <w:marBottom w:val="0"/>
      <w:divBdr>
        <w:top w:val="none" w:sz="0" w:space="0" w:color="auto"/>
        <w:left w:val="none" w:sz="0" w:space="0" w:color="auto"/>
        <w:bottom w:val="none" w:sz="0" w:space="0" w:color="auto"/>
        <w:right w:val="none" w:sz="0" w:space="0" w:color="auto"/>
      </w:divBdr>
      <w:divsChild>
        <w:div w:id="1077634649">
          <w:marLeft w:val="274"/>
          <w:marRight w:val="0"/>
          <w:marTop w:val="0"/>
          <w:marBottom w:val="0"/>
          <w:divBdr>
            <w:top w:val="none" w:sz="0" w:space="0" w:color="auto"/>
            <w:left w:val="none" w:sz="0" w:space="0" w:color="auto"/>
            <w:bottom w:val="none" w:sz="0" w:space="0" w:color="auto"/>
            <w:right w:val="none" w:sz="0" w:space="0" w:color="auto"/>
          </w:divBdr>
        </w:div>
        <w:div w:id="1991902561">
          <w:marLeft w:val="274"/>
          <w:marRight w:val="0"/>
          <w:marTop w:val="0"/>
          <w:marBottom w:val="0"/>
          <w:divBdr>
            <w:top w:val="none" w:sz="0" w:space="0" w:color="auto"/>
            <w:left w:val="none" w:sz="0" w:space="0" w:color="auto"/>
            <w:bottom w:val="none" w:sz="0" w:space="0" w:color="auto"/>
            <w:right w:val="none" w:sz="0" w:space="0" w:color="auto"/>
          </w:divBdr>
        </w:div>
        <w:div w:id="2104688817">
          <w:marLeft w:val="274"/>
          <w:marRight w:val="0"/>
          <w:marTop w:val="0"/>
          <w:marBottom w:val="0"/>
          <w:divBdr>
            <w:top w:val="none" w:sz="0" w:space="0" w:color="auto"/>
            <w:left w:val="none" w:sz="0" w:space="0" w:color="auto"/>
            <w:bottom w:val="none" w:sz="0" w:space="0" w:color="auto"/>
            <w:right w:val="none" w:sz="0" w:space="0" w:color="auto"/>
          </w:divBdr>
        </w:div>
        <w:div w:id="1526358153">
          <w:marLeft w:val="274"/>
          <w:marRight w:val="0"/>
          <w:marTop w:val="0"/>
          <w:marBottom w:val="0"/>
          <w:divBdr>
            <w:top w:val="none" w:sz="0" w:space="0" w:color="auto"/>
            <w:left w:val="none" w:sz="0" w:space="0" w:color="auto"/>
            <w:bottom w:val="none" w:sz="0" w:space="0" w:color="auto"/>
            <w:right w:val="none" w:sz="0" w:space="0" w:color="auto"/>
          </w:divBdr>
        </w:div>
        <w:div w:id="1570850063">
          <w:marLeft w:val="274"/>
          <w:marRight w:val="0"/>
          <w:marTop w:val="0"/>
          <w:marBottom w:val="0"/>
          <w:divBdr>
            <w:top w:val="none" w:sz="0" w:space="0" w:color="auto"/>
            <w:left w:val="none" w:sz="0" w:space="0" w:color="auto"/>
            <w:bottom w:val="none" w:sz="0" w:space="0" w:color="auto"/>
            <w:right w:val="none" w:sz="0" w:space="0" w:color="auto"/>
          </w:divBdr>
        </w:div>
      </w:divsChild>
    </w:div>
    <w:div w:id="1577665674">
      <w:bodyDiv w:val="1"/>
      <w:marLeft w:val="0"/>
      <w:marRight w:val="0"/>
      <w:marTop w:val="0"/>
      <w:marBottom w:val="0"/>
      <w:divBdr>
        <w:top w:val="none" w:sz="0" w:space="0" w:color="auto"/>
        <w:left w:val="none" w:sz="0" w:space="0" w:color="auto"/>
        <w:bottom w:val="none" w:sz="0" w:space="0" w:color="auto"/>
        <w:right w:val="none" w:sz="0" w:space="0" w:color="auto"/>
      </w:divBdr>
      <w:divsChild>
        <w:div w:id="700125948">
          <w:marLeft w:val="0"/>
          <w:marRight w:val="0"/>
          <w:marTop w:val="0"/>
          <w:marBottom w:val="0"/>
          <w:divBdr>
            <w:top w:val="single" w:sz="48" w:space="0" w:color="E8E0CF"/>
            <w:left w:val="none" w:sz="0" w:space="0" w:color="auto"/>
            <w:bottom w:val="none" w:sz="0" w:space="0" w:color="auto"/>
            <w:right w:val="none" w:sz="0" w:space="0" w:color="auto"/>
          </w:divBdr>
          <w:divsChild>
            <w:div w:id="2083023273">
              <w:marLeft w:val="0"/>
              <w:marRight w:val="0"/>
              <w:marTop w:val="0"/>
              <w:marBottom w:val="0"/>
              <w:divBdr>
                <w:top w:val="none" w:sz="0" w:space="0" w:color="auto"/>
                <w:left w:val="none" w:sz="0" w:space="0" w:color="auto"/>
                <w:bottom w:val="none" w:sz="0" w:space="0" w:color="auto"/>
                <w:right w:val="none" w:sz="0" w:space="0" w:color="auto"/>
              </w:divBdr>
              <w:divsChild>
                <w:div w:id="3830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305">
      <w:bodyDiv w:val="1"/>
      <w:marLeft w:val="0"/>
      <w:marRight w:val="0"/>
      <w:marTop w:val="0"/>
      <w:marBottom w:val="0"/>
      <w:divBdr>
        <w:top w:val="none" w:sz="0" w:space="0" w:color="auto"/>
        <w:left w:val="none" w:sz="0" w:space="0" w:color="auto"/>
        <w:bottom w:val="none" w:sz="0" w:space="0" w:color="auto"/>
        <w:right w:val="none" w:sz="0" w:space="0" w:color="auto"/>
      </w:divBdr>
      <w:divsChild>
        <w:div w:id="107043261">
          <w:marLeft w:val="274"/>
          <w:marRight w:val="0"/>
          <w:marTop w:val="0"/>
          <w:marBottom w:val="0"/>
          <w:divBdr>
            <w:top w:val="none" w:sz="0" w:space="0" w:color="auto"/>
            <w:left w:val="none" w:sz="0" w:space="0" w:color="auto"/>
            <w:bottom w:val="none" w:sz="0" w:space="0" w:color="auto"/>
            <w:right w:val="none" w:sz="0" w:space="0" w:color="auto"/>
          </w:divBdr>
        </w:div>
        <w:div w:id="1832987830">
          <w:marLeft w:val="274"/>
          <w:marRight w:val="0"/>
          <w:marTop w:val="0"/>
          <w:marBottom w:val="0"/>
          <w:divBdr>
            <w:top w:val="none" w:sz="0" w:space="0" w:color="auto"/>
            <w:left w:val="none" w:sz="0" w:space="0" w:color="auto"/>
            <w:bottom w:val="none" w:sz="0" w:space="0" w:color="auto"/>
            <w:right w:val="none" w:sz="0" w:space="0" w:color="auto"/>
          </w:divBdr>
        </w:div>
      </w:divsChild>
    </w:div>
    <w:div w:id="1598828202">
      <w:bodyDiv w:val="1"/>
      <w:marLeft w:val="0"/>
      <w:marRight w:val="0"/>
      <w:marTop w:val="0"/>
      <w:marBottom w:val="0"/>
      <w:divBdr>
        <w:top w:val="none" w:sz="0" w:space="0" w:color="auto"/>
        <w:left w:val="none" w:sz="0" w:space="0" w:color="auto"/>
        <w:bottom w:val="none" w:sz="0" w:space="0" w:color="auto"/>
        <w:right w:val="none" w:sz="0" w:space="0" w:color="auto"/>
      </w:divBdr>
      <w:divsChild>
        <w:div w:id="161087809">
          <w:marLeft w:val="446"/>
          <w:marRight w:val="0"/>
          <w:marTop w:val="0"/>
          <w:marBottom w:val="0"/>
          <w:divBdr>
            <w:top w:val="none" w:sz="0" w:space="0" w:color="auto"/>
            <w:left w:val="none" w:sz="0" w:space="0" w:color="auto"/>
            <w:bottom w:val="none" w:sz="0" w:space="0" w:color="auto"/>
            <w:right w:val="none" w:sz="0" w:space="0" w:color="auto"/>
          </w:divBdr>
        </w:div>
        <w:div w:id="1271476335">
          <w:marLeft w:val="1166"/>
          <w:marRight w:val="0"/>
          <w:marTop w:val="0"/>
          <w:marBottom w:val="0"/>
          <w:divBdr>
            <w:top w:val="none" w:sz="0" w:space="0" w:color="auto"/>
            <w:left w:val="none" w:sz="0" w:space="0" w:color="auto"/>
            <w:bottom w:val="none" w:sz="0" w:space="0" w:color="auto"/>
            <w:right w:val="none" w:sz="0" w:space="0" w:color="auto"/>
          </w:divBdr>
        </w:div>
        <w:div w:id="920027019">
          <w:marLeft w:val="1886"/>
          <w:marRight w:val="0"/>
          <w:marTop w:val="0"/>
          <w:marBottom w:val="0"/>
          <w:divBdr>
            <w:top w:val="none" w:sz="0" w:space="0" w:color="auto"/>
            <w:left w:val="none" w:sz="0" w:space="0" w:color="auto"/>
            <w:bottom w:val="none" w:sz="0" w:space="0" w:color="auto"/>
            <w:right w:val="none" w:sz="0" w:space="0" w:color="auto"/>
          </w:divBdr>
        </w:div>
        <w:div w:id="750083840">
          <w:marLeft w:val="1886"/>
          <w:marRight w:val="0"/>
          <w:marTop w:val="0"/>
          <w:marBottom w:val="0"/>
          <w:divBdr>
            <w:top w:val="none" w:sz="0" w:space="0" w:color="auto"/>
            <w:left w:val="none" w:sz="0" w:space="0" w:color="auto"/>
            <w:bottom w:val="none" w:sz="0" w:space="0" w:color="auto"/>
            <w:right w:val="none" w:sz="0" w:space="0" w:color="auto"/>
          </w:divBdr>
        </w:div>
        <w:div w:id="1926722840">
          <w:marLeft w:val="1166"/>
          <w:marRight w:val="0"/>
          <w:marTop w:val="0"/>
          <w:marBottom w:val="0"/>
          <w:divBdr>
            <w:top w:val="none" w:sz="0" w:space="0" w:color="auto"/>
            <w:left w:val="none" w:sz="0" w:space="0" w:color="auto"/>
            <w:bottom w:val="none" w:sz="0" w:space="0" w:color="auto"/>
            <w:right w:val="none" w:sz="0" w:space="0" w:color="auto"/>
          </w:divBdr>
        </w:div>
        <w:div w:id="927732548">
          <w:marLeft w:val="1886"/>
          <w:marRight w:val="0"/>
          <w:marTop w:val="0"/>
          <w:marBottom w:val="0"/>
          <w:divBdr>
            <w:top w:val="none" w:sz="0" w:space="0" w:color="auto"/>
            <w:left w:val="none" w:sz="0" w:space="0" w:color="auto"/>
            <w:bottom w:val="none" w:sz="0" w:space="0" w:color="auto"/>
            <w:right w:val="none" w:sz="0" w:space="0" w:color="auto"/>
          </w:divBdr>
        </w:div>
        <w:div w:id="529299277">
          <w:marLeft w:val="1886"/>
          <w:marRight w:val="0"/>
          <w:marTop w:val="0"/>
          <w:marBottom w:val="0"/>
          <w:divBdr>
            <w:top w:val="none" w:sz="0" w:space="0" w:color="auto"/>
            <w:left w:val="none" w:sz="0" w:space="0" w:color="auto"/>
            <w:bottom w:val="none" w:sz="0" w:space="0" w:color="auto"/>
            <w:right w:val="none" w:sz="0" w:space="0" w:color="auto"/>
          </w:divBdr>
        </w:div>
        <w:div w:id="1038236306">
          <w:marLeft w:val="1166"/>
          <w:marRight w:val="0"/>
          <w:marTop w:val="0"/>
          <w:marBottom w:val="0"/>
          <w:divBdr>
            <w:top w:val="none" w:sz="0" w:space="0" w:color="auto"/>
            <w:left w:val="none" w:sz="0" w:space="0" w:color="auto"/>
            <w:bottom w:val="none" w:sz="0" w:space="0" w:color="auto"/>
            <w:right w:val="none" w:sz="0" w:space="0" w:color="auto"/>
          </w:divBdr>
        </w:div>
        <w:div w:id="2134129367">
          <w:marLeft w:val="1886"/>
          <w:marRight w:val="0"/>
          <w:marTop w:val="0"/>
          <w:marBottom w:val="0"/>
          <w:divBdr>
            <w:top w:val="none" w:sz="0" w:space="0" w:color="auto"/>
            <w:left w:val="none" w:sz="0" w:space="0" w:color="auto"/>
            <w:bottom w:val="none" w:sz="0" w:space="0" w:color="auto"/>
            <w:right w:val="none" w:sz="0" w:space="0" w:color="auto"/>
          </w:divBdr>
        </w:div>
        <w:div w:id="2104494353">
          <w:marLeft w:val="1886"/>
          <w:marRight w:val="0"/>
          <w:marTop w:val="0"/>
          <w:marBottom w:val="0"/>
          <w:divBdr>
            <w:top w:val="none" w:sz="0" w:space="0" w:color="auto"/>
            <w:left w:val="none" w:sz="0" w:space="0" w:color="auto"/>
            <w:bottom w:val="none" w:sz="0" w:space="0" w:color="auto"/>
            <w:right w:val="none" w:sz="0" w:space="0" w:color="auto"/>
          </w:divBdr>
        </w:div>
      </w:divsChild>
    </w:div>
    <w:div w:id="1616013160">
      <w:bodyDiv w:val="1"/>
      <w:marLeft w:val="0"/>
      <w:marRight w:val="0"/>
      <w:marTop w:val="0"/>
      <w:marBottom w:val="0"/>
      <w:divBdr>
        <w:top w:val="none" w:sz="0" w:space="0" w:color="auto"/>
        <w:left w:val="none" w:sz="0" w:space="0" w:color="auto"/>
        <w:bottom w:val="none" w:sz="0" w:space="0" w:color="auto"/>
        <w:right w:val="none" w:sz="0" w:space="0" w:color="auto"/>
      </w:divBdr>
    </w:div>
    <w:div w:id="1619530670">
      <w:bodyDiv w:val="1"/>
      <w:marLeft w:val="0"/>
      <w:marRight w:val="0"/>
      <w:marTop w:val="0"/>
      <w:marBottom w:val="0"/>
      <w:divBdr>
        <w:top w:val="none" w:sz="0" w:space="0" w:color="auto"/>
        <w:left w:val="none" w:sz="0" w:space="0" w:color="auto"/>
        <w:bottom w:val="none" w:sz="0" w:space="0" w:color="auto"/>
        <w:right w:val="none" w:sz="0" w:space="0" w:color="auto"/>
      </w:divBdr>
    </w:div>
    <w:div w:id="1627463737">
      <w:bodyDiv w:val="1"/>
      <w:marLeft w:val="0"/>
      <w:marRight w:val="0"/>
      <w:marTop w:val="0"/>
      <w:marBottom w:val="0"/>
      <w:divBdr>
        <w:top w:val="none" w:sz="0" w:space="0" w:color="auto"/>
        <w:left w:val="none" w:sz="0" w:space="0" w:color="auto"/>
        <w:bottom w:val="none" w:sz="0" w:space="0" w:color="auto"/>
        <w:right w:val="none" w:sz="0" w:space="0" w:color="auto"/>
      </w:divBdr>
    </w:div>
    <w:div w:id="1692683372">
      <w:bodyDiv w:val="1"/>
      <w:marLeft w:val="0"/>
      <w:marRight w:val="0"/>
      <w:marTop w:val="0"/>
      <w:marBottom w:val="0"/>
      <w:divBdr>
        <w:top w:val="none" w:sz="0" w:space="0" w:color="auto"/>
        <w:left w:val="none" w:sz="0" w:space="0" w:color="auto"/>
        <w:bottom w:val="none" w:sz="0" w:space="0" w:color="auto"/>
        <w:right w:val="none" w:sz="0" w:space="0" w:color="auto"/>
      </w:divBdr>
    </w:div>
    <w:div w:id="1693337369">
      <w:bodyDiv w:val="1"/>
      <w:marLeft w:val="0"/>
      <w:marRight w:val="0"/>
      <w:marTop w:val="0"/>
      <w:marBottom w:val="0"/>
      <w:divBdr>
        <w:top w:val="none" w:sz="0" w:space="0" w:color="auto"/>
        <w:left w:val="none" w:sz="0" w:space="0" w:color="auto"/>
        <w:bottom w:val="none" w:sz="0" w:space="0" w:color="auto"/>
        <w:right w:val="none" w:sz="0" w:space="0" w:color="auto"/>
      </w:divBdr>
      <w:divsChild>
        <w:div w:id="29300835">
          <w:marLeft w:val="446"/>
          <w:marRight w:val="0"/>
          <w:marTop w:val="0"/>
          <w:marBottom w:val="0"/>
          <w:divBdr>
            <w:top w:val="none" w:sz="0" w:space="0" w:color="auto"/>
            <w:left w:val="none" w:sz="0" w:space="0" w:color="auto"/>
            <w:bottom w:val="none" w:sz="0" w:space="0" w:color="auto"/>
            <w:right w:val="none" w:sz="0" w:space="0" w:color="auto"/>
          </w:divBdr>
        </w:div>
        <w:div w:id="848643437">
          <w:marLeft w:val="1080"/>
          <w:marRight w:val="0"/>
          <w:marTop w:val="0"/>
          <w:marBottom w:val="0"/>
          <w:divBdr>
            <w:top w:val="none" w:sz="0" w:space="0" w:color="auto"/>
            <w:left w:val="none" w:sz="0" w:space="0" w:color="auto"/>
            <w:bottom w:val="none" w:sz="0" w:space="0" w:color="auto"/>
            <w:right w:val="none" w:sz="0" w:space="0" w:color="auto"/>
          </w:divBdr>
        </w:div>
        <w:div w:id="1313558849">
          <w:marLeft w:val="1080"/>
          <w:marRight w:val="0"/>
          <w:marTop w:val="0"/>
          <w:marBottom w:val="0"/>
          <w:divBdr>
            <w:top w:val="none" w:sz="0" w:space="0" w:color="auto"/>
            <w:left w:val="none" w:sz="0" w:space="0" w:color="auto"/>
            <w:bottom w:val="none" w:sz="0" w:space="0" w:color="auto"/>
            <w:right w:val="none" w:sz="0" w:space="0" w:color="auto"/>
          </w:divBdr>
        </w:div>
        <w:div w:id="60639764">
          <w:marLeft w:val="1080"/>
          <w:marRight w:val="0"/>
          <w:marTop w:val="0"/>
          <w:marBottom w:val="0"/>
          <w:divBdr>
            <w:top w:val="none" w:sz="0" w:space="0" w:color="auto"/>
            <w:left w:val="none" w:sz="0" w:space="0" w:color="auto"/>
            <w:bottom w:val="none" w:sz="0" w:space="0" w:color="auto"/>
            <w:right w:val="none" w:sz="0" w:space="0" w:color="auto"/>
          </w:divBdr>
        </w:div>
        <w:div w:id="1599557164">
          <w:marLeft w:val="1080"/>
          <w:marRight w:val="0"/>
          <w:marTop w:val="0"/>
          <w:marBottom w:val="0"/>
          <w:divBdr>
            <w:top w:val="none" w:sz="0" w:space="0" w:color="auto"/>
            <w:left w:val="none" w:sz="0" w:space="0" w:color="auto"/>
            <w:bottom w:val="none" w:sz="0" w:space="0" w:color="auto"/>
            <w:right w:val="none" w:sz="0" w:space="0" w:color="auto"/>
          </w:divBdr>
        </w:div>
        <w:div w:id="1079211591">
          <w:marLeft w:val="274"/>
          <w:marRight w:val="0"/>
          <w:marTop w:val="0"/>
          <w:marBottom w:val="0"/>
          <w:divBdr>
            <w:top w:val="none" w:sz="0" w:space="0" w:color="auto"/>
            <w:left w:val="none" w:sz="0" w:space="0" w:color="auto"/>
            <w:bottom w:val="none" w:sz="0" w:space="0" w:color="auto"/>
            <w:right w:val="none" w:sz="0" w:space="0" w:color="auto"/>
          </w:divBdr>
        </w:div>
        <w:div w:id="1899245767">
          <w:marLeft w:val="994"/>
          <w:marRight w:val="0"/>
          <w:marTop w:val="0"/>
          <w:marBottom w:val="0"/>
          <w:divBdr>
            <w:top w:val="none" w:sz="0" w:space="0" w:color="auto"/>
            <w:left w:val="none" w:sz="0" w:space="0" w:color="auto"/>
            <w:bottom w:val="none" w:sz="0" w:space="0" w:color="auto"/>
            <w:right w:val="none" w:sz="0" w:space="0" w:color="auto"/>
          </w:divBdr>
        </w:div>
        <w:div w:id="1310942814">
          <w:marLeft w:val="994"/>
          <w:marRight w:val="0"/>
          <w:marTop w:val="0"/>
          <w:marBottom w:val="0"/>
          <w:divBdr>
            <w:top w:val="none" w:sz="0" w:space="0" w:color="auto"/>
            <w:left w:val="none" w:sz="0" w:space="0" w:color="auto"/>
            <w:bottom w:val="none" w:sz="0" w:space="0" w:color="auto"/>
            <w:right w:val="none" w:sz="0" w:space="0" w:color="auto"/>
          </w:divBdr>
        </w:div>
        <w:div w:id="1114327045">
          <w:marLeft w:val="994"/>
          <w:marRight w:val="0"/>
          <w:marTop w:val="0"/>
          <w:marBottom w:val="0"/>
          <w:divBdr>
            <w:top w:val="none" w:sz="0" w:space="0" w:color="auto"/>
            <w:left w:val="none" w:sz="0" w:space="0" w:color="auto"/>
            <w:bottom w:val="none" w:sz="0" w:space="0" w:color="auto"/>
            <w:right w:val="none" w:sz="0" w:space="0" w:color="auto"/>
          </w:divBdr>
        </w:div>
        <w:div w:id="1217161295">
          <w:marLeft w:val="446"/>
          <w:marRight w:val="0"/>
          <w:marTop w:val="0"/>
          <w:marBottom w:val="0"/>
          <w:divBdr>
            <w:top w:val="none" w:sz="0" w:space="0" w:color="auto"/>
            <w:left w:val="none" w:sz="0" w:space="0" w:color="auto"/>
            <w:bottom w:val="none" w:sz="0" w:space="0" w:color="auto"/>
            <w:right w:val="none" w:sz="0" w:space="0" w:color="auto"/>
          </w:divBdr>
        </w:div>
        <w:div w:id="752359157">
          <w:marLeft w:val="1166"/>
          <w:marRight w:val="0"/>
          <w:marTop w:val="0"/>
          <w:marBottom w:val="0"/>
          <w:divBdr>
            <w:top w:val="none" w:sz="0" w:space="0" w:color="auto"/>
            <w:left w:val="none" w:sz="0" w:space="0" w:color="auto"/>
            <w:bottom w:val="none" w:sz="0" w:space="0" w:color="auto"/>
            <w:right w:val="none" w:sz="0" w:space="0" w:color="auto"/>
          </w:divBdr>
        </w:div>
        <w:div w:id="1255826461">
          <w:marLeft w:val="1166"/>
          <w:marRight w:val="0"/>
          <w:marTop w:val="0"/>
          <w:marBottom w:val="0"/>
          <w:divBdr>
            <w:top w:val="none" w:sz="0" w:space="0" w:color="auto"/>
            <w:left w:val="none" w:sz="0" w:space="0" w:color="auto"/>
            <w:bottom w:val="none" w:sz="0" w:space="0" w:color="auto"/>
            <w:right w:val="none" w:sz="0" w:space="0" w:color="auto"/>
          </w:divBdr>
        </w:div>
      </w:divsChild>
    </w:div>
    <w:div w:id="1693532945">
      <w:bodyDiv w:val="1"/>
      <w:marLeft w:val="0"/>
      <w:marRight w:val="0"/>
      <w:marTop w:val="0"/>
      <w:marBottom w:val="0"/>
      <w:divBdr>
        <w:top w:val="none" w:sz="0" w:space="0" w:color="auto"/>
        <w:left w:val="none" w:sz="0" w:space="0" w:color="auto"/>
        <w:bottom w:val="none" w:sz="0" w:space="0" w:color="auto"/>
        <w:right w:val="none" w:sz="0" w:space="0" w:color="auto"/>
      </w:divBdr>
    </w:div>
    <w:div w:id="1700625790">
      <w:bodyDiv w:val="1"/>
      <w:marLeft w:val="0"/>
      <w:marRight w:val="0"/>
      <w:marTop w:val="0"/>
      <w:marBottom w:val="0"/>
      <w:divBdr>
        <w:top w:val="none" w:sz="0" w:space="0" w:color="auto"/>
        <w:left w:val="none" w:sz="0" w:space="0" w:color="auto"/>
        <w:bottom w:val="none" w:sz="0" w:space="0" w:color="auto"/>
        <w:right w:val="none" w:sz="0" w:space="0" w:color="auto"/>
      </w:divBdr>
    </w:div>
    <w:div w:id="1730150842">
      <w:bodyDiv w:val="1"/>
      <w:marLeft w:val="0"/>
      <w:marRight w:val="0"/>
      <w:marTop w:val="0"/>
      <w:marBottom w:val="0"/>
      <w:divBdr>
        <w:top w:val="none" w:sz="0" w:space="0" w:color="auto"/>
        <w:left w:val="none" w:sz="0" w:space="0" w:color="auto"/>
        <w:bottom w:val="none" w:sz="0" w:space="0" w:color="auto"/>
        <w:right w:val="none" w:sz="0" w:space="0" w:color="auto"/>
      </w:divBdr>
    </w:div>
    <w:div w:id="1784839281">
      <w:bodyDiv w:val="1"/>
      <w:marLeft w:val="0"/>
      <w:marRight w:val="0"/>
      <w:marTop w:val="0"/>
      <w:marBottom w:val="0"/>
      <w:divBdr>
        <w:top w:val="none" w:sz="0" w:space="0" w:color="auto"/>
        <w:left w:val="none" w:sz="0" w:space="0" w:color="auto"/>
        <w:bottom w:val="none" w:sz="0" w:space="0" w:color="auto"/>
        <w:right w:val="none" w:sz="0" w:space="0" w:color="auto"/>
      </w:divBdr>
      <w:divsChild>
        <w:div w:id="677660652">
          <w:marLeft w:val="446"/>
          <w:marRight w:val="0"/>
          <w:marTop w:val="0"/>
          <w:marBottom w:val="0"/>
          <w:divBdr>
            <w:top w:val="none" w:sz="0" w:space="0" w:color="auto"/>
            <w:left w:val="none" w:sz="0" w:space="0" w:color="auto"/>
            <w:bottom w:val="none" w:sz="0" w:space="0" w:color="auto"/>
            <w:right w:val="none" w:sz="0" w:space="0" w:color="auto"/>
          </w:divBdr>
        </w:div>
        <w:div w:id="91096054">
          <w:marLeft w:val="446"/>
          <w:marRight w:val="0"/>
          <w:marTop w:val="0"/>
          <w:marBottom w:val="0"/>
          <w:divBdr>
            <w:top w:val="none" w:sz="0" w:space="0" w:color="auto"/>
            <w:left w:val="none" w:sz="0" w:space="0" w:color="auto"/>
            <w:bottom w:val="none" w:sz="0" w:space="0" w:color="auto"/>
            <w:right w:val="none" w:sz="0" w:space="0" w:color="auto"/>
          </w:divBdr>
        </w:div>
        <w:div w:id="2064715076">
          <w:marLeft w:val="446"/>
          <w:marRight w:val="0"/>
          <w:marTop w:val="0"/>
          <w:marBottom w:val="0"/>
          <w:divBdr>
            <w:top w:val="none" w:sz="0" w:space="0" w:color="auto"/>
            <w:left w:val="none" w:sz="0" w:space="0" w:color="auto"/>
            <w:bottom w:val="none" w:sz="0" w:space="0" w:color="auto"/>
            <w:right w:val="none" w:sz="0" w:space="0" w:color="auto"/>
          </w:divBdr>
        </w:div>
        <w:div w:id="1776053279">
          <w:marLeft w:val="446"/>
          <w:marRight w:val="0"/>
          <w:marTop w:val="0"/>
          <w:marBottom w:val="0"/>
          <w:divBdr>
            <w:top w:val="none" w:sz="0" w:space="0" w:color="auto"/>
            <w:left w:val="none" w:sz="0" w:space="0" w:color="auto"/>
            <w:bottom w:val="none" w:sz="0" w:space="0" w:color="auto"/>
            <w:right w:val="none" w:sz="0" w:space="0" w:color="auto"/>
          </w:divBdr>
        </w:div>
        <w:div w:id="44376885">
          <w:marLeft w:val="446"/>
          <w:marRight w:val="0"/>
          <w:marTop w:val="0"/>
          <w:marBottom w:val="0"/>
          <w:divBdr>
            <w:top w:val="none" w:sz="0" w:space="0" w:color="auto"/>
            <w:left w:val="none" w:sz="0" w:space="0" w:color="auto"/>
            <w:bottom w:val="none" w:sz="0" w:space="0" w:color="auto"/>
            <w:right w:val="none" w:sz="0" w:space="0" w:color="auto"/>
          </w:divBdr>
        </w:div>
        <w:div w:id="948584845">
          <w:marLeft w:val="446"/>
          <w:marRight w:val="0"/>
          <w:marTop w:val="0"/>
          <w:marBottom w:val="0"/>
          <w:divBdr>
            <w:top w:val="none" w:sz="0" w:space="0" w:color="auto"/>
            <w:left w:val="none" w:sz="0" w:space="0" w:color="auto"/>
            <w:bottom w:val="none" w:sz="0" w:space="0" w:color="auto"/>
            <w:right w:val="none" w:sz="0" w:space="0" w:color="auto"/>
          </w:divBdr>
        </w:div>
      </w:divsChild>
    </w:div>
    <w:div w:id="1811244114">
      <w:bodyDiv w:val="1"/>
      <w:marLeft w:val="0"/>
      <w:marRight w:val="0"/>
      <w:marTop w:val="0"/>
      <w:marBottom w:val="0"/>
      <w:divBdr>
        <w:top w:val="none" w:sz="0" w:space="0" w:color="auto"/>
        <w:left w:val="none" w:sz="0" w:space="0" w:color="auto"/>
        <w:bottom w:val="none" w:sz="0" w:space="0" w:color="auto"/>
        <w:right w:val="none" w:sz="0" w:space="0" w:color="auto"/>
      </w:divBdr>
    </w:div>
    <w:div w:id="1823620724">
      <w:bodyDiv w:val="1"/>
      <w:marLeft w:val="0"/>
      <w:marRight w:val="0"/>
      <w:marTop w:val="0"/>
      <w:marBottom w:val="0"/>
      <w:divBdr>
        <w:top w:val="none" w:sz="0" w:space="0" w:color="auto"/>
        <w:left w:val="none" w:sz="0" w:space="0" w:color="auto"/>
        <w:bottom w:val="none" w:sz="0" w:space="0" w:color="auto"/>
        <w:right w:val="none" w:sz="0" w:space="0" w:color="auto"/>
      </w:divBdr>
    </w:div>
    <w:div w:id="1832598980">
      <w:bodyDiv w:val="1"/>
      <w:marLeft w:val="0"/>
      <w:marRight w:val="0"/>
      <w:marTop w:val="0"/>
      <w:marBottom w:val="0"/>
      <w:divBdr>
        <w:top w:val="none" w:sz="0" w:space="0" w:color="auto"/>
        <w:left w:val="none" w:sz="0" w:space="0" w:color="auto"/>
        <w:bottom w:val="none" w:sz="0" w:space="0" w:color="auto"/>
        <w:right w:val="none" w:sz="0" w:space="0" w:color="auto"/>
      </w:divBdr>
    </w:div>
    <w:div w:id="1935894962">
      <w:bodyDiv w:val="1"/>
      <w:marLeft w:val="0"/>
      <w:marRight w:val="0"/>
      <w:marTop w:val="0"/>
      <w:marBottom w:val="0"/>
      <w:divBdr>
        <w:top w:val="none" w:sz="0" w:space="0" w:color="auto"/>
        <w:left w:val="none" w:sz="0" w:space="0" w:color="auto"/>
        <w:bottom w:val="none" w:sz="0" w:space="0" w:color="auto"/>
        <w:right w:val="none" w:sz="0" w:space="0" w:color="auto"/>
      </w:divBdr>
    </w:div>
    <w:div w:id="2026980030">
      <w:bodyDiv w:val="1"/>
      <w:marLeft w:val="0"/>
      <w:marRight w:val="0"/>
      <w:marTop w:val="0"/>
      <w:marBottom w:val="0"/>
      <w:divBdr>
        <w:top w:val="none" w:sz="0" w:space="0" w:color="auto"/>
        <w:left w:val="none" w:sz="0" w:space="0" w:color="auto"/>
        <w:bottom w:val="none" w:sz="0" w:space="0" w:color="auto"/>
        <w:right w:val="none" w:sz="0" w:space="0" w:color="auto"/>
      </w:divBdr>
    </w:div>
    <w:div w:id="2060785959">
      <w:bodyDiv w:val="1"/>
      <w:marLeft w:val="0"/>
      <w:marRight w:val="0"/>
      <w:marTop w:val="0"/>
      <w:marBottom w:val="0"/>
      <w:divBdr>
        <w:top w:val="none" w:sz="0" w:space="0" w:color="auto"/>
        <w:left w:val="none" w:sz="0" w:space="0" w:color="auto"/>
        <w:bottom w:val="none" w:sz="0" w:space="0" w:color="auto"/>
        <w:right w:val="none" w:sz="0" w:space="0" w:color="auto"/>
      </w:divBdr>
      <w:divsChild>
        <w:div w:id="124590073">
          <w:marLeft w:val="360"/>
          <w:marRight w:val="0"/>
          <w:marTop w:val="0"/>
          <w:marBottom w:val="0"/>
          <w:divBdr>
            <w:top w:val="none" w:sz="0" w:space="0" w:color="auto"/>
            <w:left w:val="none" w:sz="0" w:space="0" w:color="auto"/>
            <w:bottom w:val="none" w:sz="0" w:space="0" w:color="auto"/>
            <w:right w:val="none" w:sz="0" w:space="0" w:color="auto"/>
          </w:divBdr>
        </w:div>
        <w:div w:id="350954614">
          <w:marLeft w:val="274"/>
          <w:marRight w:val="0"/>
          <w:marTop w:val="0"/>
          <w:marBottom w:val="0"/>
          <w:divBdr>
            <w:top w:val="none" w:sz="0" w:space="0" w:color="auto"/>
            <w:left w:val="none" w:sz="0" w:space="0" w:color="auto"/>
            <w:bottom w:val="none" w:sz="0" w:space="0" w:color="auto"/>
            <w:right w:val="none" w:sz="0" w:space="0" w:color="auto"/>
          </w:divBdr>
        </w:div>
        <w:div w:id="553656894">
          <w:marLeft w:val="274"/>
          <w:marRight w:val="0"/>
          <w:marTop w:val="0"/>
          <w:marBottom w:val="0"/>
          <w:divBdr>
            <w:top w:val="none" w:sz="0" w:space="0" w:color="auto"/>
            <w:left w:val="none" w:sz="0" w:space="0" w:color="auto"/>
            <w:bottom w:val="none" w:sz="0" w:space="0" w:color="auto"/>
            <w:right w:val="none" w:sz="0" w:space="0" w:color="auto"/>
          </w:divBdr>
        </w:div>
        <w:div w:id="335232778">
          <w:marLeft w:val="274"/>
          <w:marRight w:val="0"/>
          <w:marTop w:val="0"/>
          <w:marBottom w:val="0"/>
          <w:divBdr>
            <w:top w:val="none" w:sz="0" w:space="0" w:color="auto"/>
            <w:left w:val="none" w:sz="0" w:space="0" w:color="auto"/>
            <w:bottom w:val="none" w:sz="0" w:space="0" w:color="auto"/>
            <w:right w:val="none" w:sz="0" w:space="0" w:color="auto"/>
          </w:divBdr>
        </w:div>
      </w:divsChild>
    </w:div>
    <w:div w:id="2062366965">
      <w:bodyDiv w:val="1"/>
      <w:marLeft w:val="0"/>
      <w:marRight w:val="0"/>
      <w:marTop w:val="0"/>
      <w:marBottom w:val="0"/>
      <w:divBdr>
        <w:top w:val="none" w:sz="0" w:space="0" w:color="auto"/>
        <w:left w:val="none" w:sz="0" w:space="0" w:color="auto"/>
        <w:bottom w:val="none" w:sz="0" w:space="0" w:color="auto"/>
        <w:right w:val="none" w:sz="0" w:space="0" w:color="auto"/>
      </w:divBdr>
      <w:divsChild>
        <w:div w:id="2076588459">
          <w:marLeft w:val="360"/>
          <w:marRight w:val="0"/>
          <w:marTop w:val="0"/>
          <w:marBottom w:val="0"/>
          <w:divBdr>
            <w:top w:val="none" w:sz="0" w:space="0" w:color="auto"/>
            <w:left w:val="none" w:sz="0" w:space="0" w:color="auto"/>
            <w:bottom w:val="none" w:sz="0" w:space="0" w:color="auto"/>
            <w:right w:val="none" w:sz="0" w:space="0" w:color="auto"/>
          </w:divBdr>
        </w:div>
        <w:div w:id="978798964">
          <w:marLeft w:val="274"/>
          <w:marRight w:val="0"/>
          <w:marTop w:val="0"/>
          <w:marBottom w:val="0"/>
          <w:divBdr>
            <w:top w:val="none" w:sz="0" w:space="0" w:color="auto"/>
            <w:left w:val="none" w:sz="0" w:space="0" w:color="auto"/>
            <w:bottom w:val="none" w:sz="0" w:space="0" w:color="auto"/>
            <w:right w:val="none" w:sz="0" w:space="0" w:color="auto"/>
          </w:divBdr>
        </w:div>
        <w:div w:id="1465537257">
          <w:marLeft w:val="274"/>
          <w:marRight w:val="0"/>
          <w:marTop w:val="0"/>
          <w:marBottom w:val="0"/>
          <w:divBdr>
            <w:top w:val="none" w:sz="0" w:space="0" w:color="auto"/>
            <w:left w:val="none" w:sz="0" w:space="0" w:color="auto"/>
            <w:bottom w:val="none" w:sz="0" w:space="0" w:color="auto"/>
            <w:right w:val="none" w:sz="0" w:space="0" w:color="auto"/>
          </w:divBdr>
        </w:div>
        <w:div w:id="2137675243">
          <w:marLeft w:val="274"/>
          <w:marRight w:val="0"/>
          <w:marTop w:val="0"/>
          <w:marBottom w:val="0"/>
          <w:divBdr>
            <w:top w:val="none" w:sz="0" w:space="0" w:color="auto"/>
            <w:left w:val="none" w:sz="0" w:space="0" w:color="auto"/>
            <w:bottom w:val="none" w:sz="0" w:space="0" w:color="auto"/>
            <w:right w:val="none" w:sz="0" w:space="0" w:color="auto"/>
          </w:divBdr>
        </w:div>
        <w:div w:id="1011689669">
          <w:marLeft w:val="274"/>
          <w:marRight w:val="0"/>
          <w:marTop w:val="0"/>
          <w:marBottom w:val="0"/>
          <w:divBdr>
            <w:top w:val="none" w:sz="0" w:space="0" w:color="auto"/>
            <w:left w:val="none" w:sz="0" w:space="0" w:color="auto"/>
            <w:bottom w:val="none" w:sz="0" w:space="0" w:color="auto"/>
            <w:right w:val="none" w:sz="0" w:space="0" w:color="auto"/>
          </w:divBdr>
        </w:div>
        <w:div w:id="1571384798">
          <w:marLeft w:val="274"/>
          <w:marRight w:val="0"/>
          <w:marTop w:val="0"/>
          <w:marBottom w:val="0"/>
          <w:divBdr>
            <w:top w:val="none" w:sz="0" w:space="0" w:color="auto"/>
            <w:left w:val="none" w:sz="0" w:space="0" w:color="auto"/>
            <w:bottom w:val="none" w:sz="0" w:space="0" w:color="auto"/>
            <w:right w:val="none" w:sz="0" w:space="0" w:color="auto"/>
          </w:divBdr>
        </w:div>
        <w:div w:id="633634037">
          <w:marLeft w:val="274"/>
          <w:marRight w:val="0"/>
          <w:marTop w:val="0"/>
          <w:marBottom w:val="0"/>
          <w:divBdr>
            <w:top w:val="none" w:sz="0" w:space="0" w:color="auto"/>
            <w:left w:val="none" w:sz="0" w:space="0" w:color="auto"/>
            <w:bottom w:val="none" w:sz="0" w:space="0" w:color="auto"/>
            <w:right w:val="none" w:sz="0" w:space="0" w:color="auto"/>
          </w:divBdr>
        </w:div>
        <w:div w:id="1499081930">
          <w:marLeft w:val="274"/>
          <w:marRight w:val="0"/>
          <w:marTop w:val="0"/>
          <w:marBottom w:val="0"/>
          <w:divBdr>
            <w:top w:val="none" w:sz="0" w:space="0" w:color="auto"/>
            <w:left w:val="none" w:sz="0" w:space="0" w:color="auto"/>
            <w:bottom w:val="none" w:sz="0" w:space="0" w:color="auto"/>
            <w:right w:val="none" w:sz="0" w:space="0" w:color="auto"/>
          </w:divBdr>
        </w:div>
        <w:div w:id="477384142">
          <w:marLeft w:val="274"/>
          <w:marRight w:val="0"/>
          <w:marTop w:val="0"/>
          <w:marBottom w:val="0"/>
          <w:divBdr>
            <w:top w:val="none" w:sz="0" w:space="0" w:color="auto"/>
            <w:left w:val="none" w:sz="0" w:space="0" w:color="auto"/>
            <w:bottom w:val="none" w:sz="0" w:space="0" w:color="auto"/>
            <w:right w:val="none" w:sz="0" w:space="0" w:color="auto"/>
          </w:divBdr>
        </w:div>
      </w:divsChild>
    </w:div>
    <w:div w:id="2086956578">
      <w:bodyDiv w:val="1"/>
      <w:marLeft w:val="0"/>
      <w:marRight w:val="0"/>
      <w:marTop w:val="0"/>
      <w:marBottom w:val="0"/>
      <w:divBdr>
        <w:top w:val="none" w:sz="0" w:space="0" w:color="auto"/>
        <w:left w:val="none" w:sz="0" w:space="0" w:color="auto"/>
        <w:bottom w:val="none" w:sz="0" w:space="0" w:color="auto"/>
        <w:right w:val="none" w:sz="0" w:space="0" w:color="auto"/>
      </w:divBdr>
    </w:div>
    <w:div w:id="2110813332">
      <w:bodyDiv w:val="1"/>
      <w:marLeft w:val="0"/>
      <w:marRight w:val="0"/>
      <w:marTop w:val="0"/>
      <w:marBottom w:val="0"/>
      <w:divBdr>
        <w:top w:val="none" w:sz="0" w:space="0" w:color="auto"/>
        <w:left w:val="none" w:sz="0" w:space="0" w:color="auto"/>
        <w:bottom w:val="none" w:sz="0" w:space="0" w:color="auto"/>
        <w:right w:val="none" w:sz="0" w:space="0" w:color="auto"/>
      </w:divBdr>
    </w:div>
    <w:div w:id="2126382271">
      <w:bodyDiv w:val="1"/>
      <w:marLeft w:val="0"/>
      <w:marRight w:val="0"/>
      <w:marTop w:val="0"/>
      <w:marBottom w:val="0"/>
      <w:divBdr>
        <w:top w:val="none" w:sz="0" w:space="0" w:color="auto"/>
        <w:left w:val="none" w:sz="0" w:space="0" w:color="auto"/>
        <w:bottom w:val="none" w:sz="0" w:space="0" w:color="auto"/>
        <w:right w:val="none" w:sz="0" w:space="0" w:color="auto"/>
      </w:divBdr>
    </w:div>
    <w:div w:id="21453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2d.lv/l.php?doc_id=7052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1A1D-09A7-4C17-8E0E-B7F012B2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61944</Words>
  <Characters>35309</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Valsts akciju sabiedrības „Privatizācijas aģentūra” darbības izbeigšanas stratēģija</vt:lpstr>
    </vt:vector>
  </TitlesOfParts>
  <Company>Pielikums Nr.1Microsoft</Company>
  <LinksUpToDate>false</LinksUpToDate>
  <CharactersWithSpaces>97059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 darbības izbeigšanas stratēģija</dc:title>
  <dc:subject>Informatīvais ziņojums</dc:subject>
  <dc:creator>Andris Grafs</dc:creator>
  <dc:description>67021365, Andris.Grafs@pa.gov.lv</dc:description>
  <cp:lastModifiedBy>Dace Spaliņa</cp:lastModifiedBy>
  <cp:revision>21</cp:revision>
  <cp:lastPrinted>2013-06-20T15:16:00Z</cp:lastPrinted>
  <dcterms:created xsi:type="dcterms:W3CDTF">2013-07-01T10:01:00Z</dcterms:created>
  <dcterms:modified xsi:type="dcterms:W3CDTF">2013-07-29T06:45:00Z</dcterms:modified>
</cp:coreProperties>
</file>