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6CE" w:rsidRPr="003D12AB" w:rsidRDefault="005526CE" w:rsidP="00540F96">
      <w:pPr>
        <w:spacing w:after="0" w:line="240" w:lineRule="auto"/>
        <w:jc w:val="center"/>
        <w:rPr>
          <w:rFonts w:ascii="Times New Roman" w:hAnsi="Times New Roman"/>
          <w:b/>
          <w:sz w:val="24"/>
        </w:rPr>
      </w:pPr>
      <w:bookmarkStart w:id="0" w:name="OLE_LINK4"/>
      <w:bookmarkStart w:id="1" w:name="OLE_LINK5"/>
      <w:bookmarkStart w:id="2" w:name="OLE_LINK1"/>
      <w:bookmarkStart w:id="3" w:name="OLE_LINK2"/>
      <w:r w:rsidRPr="003D12AB">
        <w:rPr>
          <w:rFonts w:ascii="Times New Roman" w:hAnsi="Times New Roman"/>
          <w:b/>
          <w:sz w:val="24"/>
        </w:rPr>
        <w:t>Likumprojekta „Grozījumi Elektroenerģijas tirgus likumā” sākotnējās ietekmes novērtējuma ziņojums (anotācija)</w:t>
      </w:r>
      <w:bookmarkEnd w:id="0"/>
      <w:bookmarkEnd w:id="1"/>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2716"/>
        <w:gridCol w:w="6459"/>
      </w:tblGrid>
      <w:tr w:rsidR="003D12AB" w:rsidRPr="003D12AB" w:rsidTr="00AC5899">
        <w:tc>
          <w:tcPr>
            <w:tcW w:w="9725" w:type="dxa"/>
            <w:gridSpan w:val="3"/>
            <w:vAlign w:val="center"/>
          </w:tcPr>
          <w:bookmarkEnd w:id="2"/>
          <w:bookmarkEnd w:id="3"/>
          <w:p w:rsidR="005526CE" w:rsidRPr="003D12AB" w:rsidRDefault="005526CE" w:rsidP="00A0154D">
            <w:pPr>
              <w:pStyle w:val="naisnod"/>
              <w:spacing w:before="0" w:after="0"/>
              <w:rPr>
                <w:sz w:val="22"/>
                <w:szCs w:val="22"/>
              </w:rPr>
            </w:pPr>
            <w:r w:rsidRPr="003D12AB">
              <w:rPr>
                <w:sz w:val="22"/>
                <w:szCs w:val="22"/>
              </w:rPr>
              <w:t>I. Tiesību akta projekta izstrādes nepieciešamība</w:t>
            </w:r>
          </w:p>
        </w:tc>
      </w:tr>
      <w:tr w:rsidR="003D12AB" w:rsidRPr="003D12AB" w:rsidTr="00845D04">
        <w:trPr>
          <w:trHeight w:val="630"/>
        </w:trPr>
        <w:tc>
          <w:tcPr>
            <w:tcW w:w="550" w:type="dxa"/>
          </w:tcPr>
          <w:p w:rsidR="005526CE" w:rsidRPr="003D12AB" w:rsidRDefault="005526CE" w:rsidP="00A0154D">
            <w:pPr>
              <w:pStyle w:val="naiskr"/>
              <w:spacing w:before="0" w:after="0"/>
              <w:rPr>
                <w:sz w:val="22"/>
                <w:szCs w:val="22"/>
              </w:rPr>
            </w:pPr>
            <w:r w:rsidRPr="003D12AB">
              <w:rPr>
                <w:sz w:val="22"/>
                <w:szCs w:val="22"/>
              </w:rPr>
              <w:t>1.</w:t>
            </w:r>
          </w:p>
        </w:tc>
        <w:tc>
          <w:tcPr>
            <w:tcW w:w="2716" w:type="dxa"/>
          </w:tcPr>
          <w:p w:rsidR="005526CE" w:rsidRPr="003D12AB" w:rsidRDefault="005526CE" w:rsidP="00A0154D">
            <w:pPr>
              <w:pStyle w:val="naiskr"/>
              <w:spacing w:before="0" w:after="0"/>
              <w:ind w:hanging="10"/>
              <w:rPr>
                <w:sz w:val="22"/>
                <w:szCs w:val="22"/>
              </w:rPr>
            </w:pPr>
            <w:r w:rsidRPr="003D12AB">
              <w:rPr>
                <w:sz w:val="22"/>
                <w:szCs w:val="22"/>
              </w:rPr>
              <w:t>Pamatojums</w:t>
            </w:r>
          </w:p>
          <w:p w:rsidR="005526CE" w:rsidRPr="003D12AB" w:rsidRDefault="005526CE" w:rsidP="00F61E70">
            <w:pPr>
              <w:rPr>
                <w:lang w:eastAsia="lv-LV"/>
              </w:rPr>
            </w:pPr>
          </w:p>
          <w:p w:rsidR="005526CE" w:rsidRPr="003D12AB" w:rsidRDefault="005526CE" w:rsidP="00F61E70">
            <w:pPr>
              <w:rPr>
                <w:lang w:eastAsia="lv-LV"/>
              </w:rPr>
            </w:pPr>
          </w:p>
          <w:p w:rsidR="005526CE" w:rsidRPr="003D12AB" w:rsidRDefault="005526CE" w:rsidP="00F61E70">
            <w:pPr>
              <w:rPr>
                <w:lang w:eastAsia="lv-LV"/>
              </w:rPr>
            </w:pPr>
          </w:p>
          <w:p w:rsidR="005526CE" w:rsidRPr="003D12AB" w:rsidRDefault="005526CE" w:rsidP="00F61E70">
            <w:pPr>
              <w:jc w:val="center"/>
              <w:rPr>
                <w:lang w:eastAsia="lv-LV"/>
              </w:rPr>
            </w:pPr>
          </w:p>
        </w:tc>
        <w:tc>
          <w:tcPr>
            <w:tcW w:w="6459" w:type="dxa"/>
          </w:tcPr>
          <w:p w:rsidR="00823BD5" w:rsidRPr="00823BD5" w:rsidRDefault="00823BD5" w:rsidP="00823BD5">
            <w:pPr>
              <w:pStyle w:val="naiskr"/>
              <w:spacing w:after="0"/>
              <w:ind w:hanging="5"/>
              <w:jc w:val="both"/>
              <w:rPr>
                <w:b/>
                <w:sz w:val="22"/>
                <w:szCs w:val="22"/>
              </w:rPr>
            </w:pPr>
            <w:r w:rsidRPr="00823BD5">
              <w:rPr>
                <w:b/>
                <w:sz w:val="22"/>
                <w:szCs w:val="22"/>
              </w:rPr>
              <w:t xml:space="preserve">Sagatavotā likumprojekta </w:t>
            </w:r>
            <w:r w:rsidR="000B4666" w:rsidRPr="000B4666">
              <w:rPr>
                <w:b/>
                <w:sz w:val="22"/>
                <w:szCs w:val="22"/>
              </w:rPr>
              <w:t xml:space="preserve">„Grozījumi Elektroenerģijas tirgus likumā” </w:t>
            </w:r>
            <w:r w:rsidR="000B4666">
              <w:rPr>
                <w:b/>
                <w:sz w:val="22"/>
                <w:szCs w:val="22"/>
              </w:rPr>
              <w:t xml:space="preserve"> </w:t>
            </w:r>
            <w:r w:rsidRPr="00823BD5">
              <w:rPr>
                <w:b/>
                <w:sz w:val="22"/>
                <w:szCs w:val="22"/>
              </w:rPr>
              <w:t>izskatīšana ir steidzama, ņemot vērā sekojošus faktorus:</w:t>
            </w:r>
          </w:p>
          <w:p w:rsidR="00823BD5" w:rsidRPr="00356FC9" w:rsidRDefault="00823BD5" w:rsidP="00823BD5">
            <w:pPr>
              <w:pStyle w:val="naiskr"/>
              <w:numPr>
                <w:ilvl w:val="0"/>
                <w:numId w:val="17"/>
              </w:numPr>
              <w:spacing w:after="0"/>
              <w:jc w:val="both"/>
              <w:rPr>
                <w:sz w:val="22"/>
                <w:szCs w:val="22"/>
              </w:rPr>
            </w:pPr>
            <w:r w:rsidRPr="00356FC9">
              <w:rPr>
                <w:sz w:val="22"/>
                <w:szCs w:val="22"/>
              </w:rPr>
              <w:t xml:space="preserve">Atbilstoši Ministru kabineta 2013. gada 13. augusta sēdes protokollēmuma Nr.44, 156.§ 8. punktam jautājumu par kompleksiem risinājumiem elektroenerģijas tirgus problemātikai uzdots turpināt izskatīt Ministru kabinetā valsts budžeta projekta 2014. gadam sagatavošanas procesā. Atbilstoši valsts budžeta virzības </w:t>
            </w:r>
            <w:r w:rsidR="00D92B0A" w:rsidRPr="00356FC9">
              <w:rPr>
                <w:sz w:val="22"/>
                <w:szCs w:val="22"/>
              </w:rPr>
              <w:t>laik</w:t>
            </w:r>
            <w:r w:rsidR="00D92B0A">
              <w:rPr>
                <w:sz w:val="22"/>
                <w:szCs w:val="22"/>
              </w:rPr>
              <w:t>a</w:t>
            </w:r>
            <w:r w:rsidR="00D92B0A" w:rsidRPr="00356FC9">
              <w:rPr>
                <w:sz w:val="22"/>
                <w:szCs w:val="22"/>
              </w:rPr>
              <w:t xml:space="preserve"> </w:t>
            </w:r>
            <w:r w:rsidRPr="00356FC9">
              <w:rPr>
                <w:sz w:val="22"/>
                <w:szCs w:val="22"/>
              </w:rPr>
              <w:t>grafikam valsts budžets Ministru kabinetam ir jāpieņem līdz 2013. gada 1. oktobrim.</w:t>
            </w:r>
          </w:p>
          <w:p w:rsidR="00823BD5" w:rsidRPr="00356FC9" w:rsidRDefault="00823BD5" w:rsidP="00823BD5">
            <w:pPr>
              <w:pStyle w:val="naiskr"/>
              <w:numPr>
                <w:ilvl w:val="0"/>
                <w:numId w:val="17"/>
              </w:numPr>
              <w:spacing w:after="0"/>
              <w:jc w:val="both"/>
              <w:rPr>
                <w:sz w:val="22"/>
                <w:szCs w:val="22"/>
              </w:rPr>
            </w:pPr>
            <w:r w:rsidRPr="00356FC9">
              <w:rPr>
                <w:sz w:val="22"/>
                <w:szCs w:val="22"/>
              </w:rPr>
              <w:t>Ministru kabineta 2013. gada 13. augusta sēdē pieņemts zināšanai informatīvais ziņojums „Komplekss risinājums elektroenerģijas tirgus problemātikai” (turpmāk – Ziņojums) (prot.Nr.44, 156.§) un pamatā tika atbalstīti Ziņojumā ietvertie risinājumi, kuru tālākai virzībai un realizācijai nepieciešami steidzama tiesiskā regulējuma ietvara izveide (viens no tiem ir likumprojekts „Grozījumi Elektroenerģijas tirgus likumā”).</w:t>
            </w:r>
          </w:p>
          <w:p w:rsidR="00823BD5" w:rsidRPr="00356FC9" w:rsidRDefault="000B4666" w:rsidP="00452385">
            <w:pPr>
              <w:pStyle w:val="naiskr"/>
              <w:numPr>
                <w:ilvl w:val="0"/>
                <w:numId w:val="17"/>
              </w:numPr>
              <w:spacing w:after="0"/>
              <w:jc w:val="both"/>
              <w:rPr>
                <w:sz w:val="22"/>
                <w:szCs w:val="22"/>
              </w:rPr>
            </w:pPr>
            <w:r>
              <w:rPr>
                <w:sz w:val="22"/>
                <w:szCs w:val="22"/>
              </w:rPr>
              <w:t xml:space="preserve">Ar likumprojektu </w:t>
            </w:r>
            <w:r w:rsidR="00823BD5" w:rsidRPr="00356FC9">
              <w:rPr>
                <w:sz w:val="22"/>
                <w:szCs w:val="22"/>
              </w:rPr>
              <w:t xml:space="preserve">saistītā </w:t>
            </w:r>
            <w:r w:rsidR="006C0B2F">
              <w:rPr>
                <w:sz w:val="22"/>
                <w:szCs w:val="22"/>
              </w:rPr>
              <w:t>s</w:t>
            </w:r>
            <w:r w:rsidR="00823BD5" w:rsidRPr="00356FC9">
              <w:rPr>
                <w:sz w:val="22"/>
                <w:szCs w:val="22"/>
              </w:rPr>
              <w:t>ubsidētās elektroenerģijas nodokļa ieviešanas paredzamais termiņš ir 2014.</w:t>
            </w:r>
            <w:r w:rsidR="006F7D9F">
              <w:rPr>
                <w:sz w:val="22"/>
                <w:szCs w:val="22"/>
              </w:rPr>
              <w:t> </w:t>
            </w:r>
            <w:r w:rsidR="00823BD5" w:rsidRPr="00356FC9">
              <w:rPr>
                <w:sz w:val="22"/>
                <w:szCs w:val="22"/>
              </w:rPr>
              <w:t>gada 1.</w:t>
            </w:r>
            <w:r w:rsidR="006F7D9F">
              <w:rPr>
                <w:sz w:val="22"/>
                <w:szCs w:val="22"/>
              </w:rPr>
              <w:t> </w:t>
            </w:r>
            <w:r w:rsidR="00823BD5" w:rsidRPr="00356FC9">
              <w:rPr>
                <w:sz w:val="22"/>
                <w:szCs w:val="22"/>
              </w:rPr>
              <w:t>janvāris, savukārt pilnīga elektroenerģijas liberalizāciju paredzētās veikt 2014.</w:t>
            </w:r>
            <w:r w:rsidR="006F7D9F">
              <w:rPr>
                <w:sz w:val="22"/>
                <w:szCs w:val="22"/>
              </w:rPr>
              <w:t> </w:t>
            </w:r>
            <w:r w:rsidR="00823BD5" w:rsidRPr="00356FC9">
              <w:rPr>
                <w:sz w:val="22"/>
                <w:szCs w:val="22"/>
              </w:rPr>
              <w:t xml:space="preserve">gada pirmajā pusgadā. Ņemot vērā minēto, nepieciešams radīt tiesisko ietvaru </w:t>
            </w:r>
            <w:r w:rsidR="003B7A77" w:rsidRPr="003B7A77">
              <w:rPr>
                <w:sz w:val="22"/>
                <w:szCs w:val="22"/>
              </w:rPr>
              <w:t xml:space="preserve">elektroenerģijas obligātā iepirkuma </w:t>
            </w:r>
            <w:r w:rsidR="00452385">
              <w:rPr>
                <w:sz w:val="22"/>
                <w:szCs w:val="22"/>
              </w:rPr>
              <w:t xml:space="preserve"> un </w:t>
            </w:r>
            <w:r w:rsidR="00452385">
              <w:t xml:space="preserve"> </w:t>
            </w:r>
            <w:r w:rsidR="00452385">
              <w:rPr>
                <w:sz w:val="22"/>
                <w:szCs w:val="22"/>
              </w:rPr>
              <w:t>g</w:t>
            </w:r>
            <w:r w:rsidR="00452385" w:rsidRPr="00452385">
              <w:rPr>
                <w:sz w:val="22"/>
                <w:szCs w:val="22"/>
              </w:rPr>
              <w:t>arantētā</w:t>
            </w:r>
            <w:r w:rsidR="00452385">
              <w:rPr>
                <w:sz w:val="22"/>
                <w:szCs w:val="22"/>
              </w:rPr>
              <w:t>s</w:t>
            </w:r>
            <w:r w:rsidR="00452385" w:rsidRPr="00452385">
              <w:rPr>
                <w:sz w:val="22"/>
                <w:szCs w:val="22"/>
              </w:rPr>
              <w:t xml:space="preserve"> maksa</w:t>
            </w:r>
            <w:r w:rsidR="00452385">
              <w:rPr>
                <w:sz w:val="22"/>
                <w:szCs w:val="22"/>
              </w:rPr>
              <w:t>s</w:t>
            </w:r>
            <w:r w:rsidR="00452385" w:rsidRPr="00452385">
              <w:rPr>
                <w:sz w:val="22"/>
                <w:szCs w:val="22"/>
              </w:rPr>
              <w:t xml:space="preserve"> par uzstādīto elektrisko jaudu</w:t>
            </w:r>
            <w:r w:rsidR="00995E83">
              <w:rPr>
                <w:sz w:val="22"/>
                <w:szCs w:val="22"/>
              </w:rPr>
              <w:t xml:space="preserve"> maksājumu</w:t>
            </w:r>
            <w:r w:rsidR="00452385" w:rsidRPr="00452385">
              <w:rPr>
                <w:sz w:val="22"/>
                <w:szCs w:val="22"/>
              </w:rPr>
              <w:t xml:space="preserve"> </w:t>
            </w:r>
            <w:r w:rsidR="003B7A77" w:rsidRPr="003B7A77">
              <w:rPr>
                <w:sz w:val="22"/>
                <w:szCs w:val="22"/>
              </w:rPr>
              <w:t>ieņēmumu</w:t>
            </w:r>
            <w:r w:rsidR="002C637D">
              <w:rPr>
                <w:sz w:val="22"/>
                <w:szCs w:val="22"/>
              </w:rPr>
              <w:t xml:space="preserve"> (turpmāk - </w:t>
            </w:r>
            <w:r w:rsidR="002C637D" w:rsidRPr="008F31E5">
              <w:rPr>
                <w:sz w:val="22"/>
                <w:szCs w:val="22"/>
              </w:rPr>
              <w:t xml:space="preserve"> elektroenerģ</w:t>
            </w:r>
            <w:r w:rsidR="002C637D">
              <w:rPr>
                <w:sz w:val="22"/>
                <w:szCs w:val="22"/>
              </w:rPr>
              <w:t>ijas obligātā iepirkuma ieņēmumi)</w:t>
            </w:r>
            <w:r w:rsidR="003B7A77" w:rsidRPr="003B7A77">
              <w:rPr>
                <w:sz w:val="22"/>
                <w:szCs w:val="22"/>
              </w:rPr>
              <w:t>, kurus veido elektroenerģijas lietotāju obligātā iepirkuma komponentes  maksājumi</w:t>
            </w:r>
            <w:r w:rsidR="003B7A77">
              <w:rPr>
                <w:sz w:val="22"/>
                <w:szCs w:val="22"/>
              </w:rPr>
              <w:t xml:space="preserve"> un </w:t>
            </w:r>
            <w:r w:rsidR="003B7A77">
              <w:t xml:space="preserve"> </w:t>
            </w:r>
            <w:r w:rsidR="003B7A77" w:rsidRPr="003B7A77">
              <w:rPr>
                <w:sz w:val="22"/>
                <w:szCs w:val="22"/>
              </w:rPr>
              <w:t>valsts budžeta dotācijas</w:t>
            </w:r>
            <w:r w:rsidR="003B7A77">
              <w:rPr>
                <w:sz w:val="22"/>
                <w:szCs w:val="22"/>
              </w:rPr>
              <w:t>,</w:t>
            </w:r>
            <w:r w:rsidR="003B7A77" w:rsidRPr="003B7A77">
              <w:rPr>
                <w:sz w:val="22"/>
                <w:szCs w:val="22"/>
              </w:rPr>
              <w:t xml:space="preserve"> </w:t>
            </w:r>
            <w:r w:rsidR="003B7A77">
              <w:rPr>
                <w:sz w:val="22"/>
                <w:szCs w:val="22"/>
              </w:rPr>
              <w:t xml:space="preserve"> </w:t>
            </w:r>
            <w:r w:rsidR="003B7A77" w:rsidRPr="003B7A77">
              <w:rPr>
                <w:sz w:val="22"/>
                <w:szCs w:val="22"/>
              </w:rPr>
              <w:t>administrēšanai</w:t>
            </w:r>
            <w:r w:rsidR="003B7A77">
              <w:rPr>
                <w:sz w:val="22"/>
                <w:szCs w:val="22"/>
              </w:rPr>
              <w:t xml:space="preserve">. </w:t>
            </w:r>
            <w:r w:rsidR="003B7A77">
              <w:t xml:space="preserve"> </w:t>
            </w:r>
            <w:r w:rsidR="00823BD5" w:rsidRPr="00356FC9">
              <w:rPr>
                <w:sz w:val="22"/>
                <w:szCs w:val="22"/>
              </w:rPr>
              <w:t>.</w:t>
            </w:r>
          </w:p>
          <w:p w:rsidR="00823BD5" w:rsidRPr="006C0B2F" w:rsidRDefault="00823BD5" w:rsidP="000B4666">
            <w:pPr>
              <w:pStyle w:val="naiskr"/>
              <w:spacing w:after="120"/>
              <w:ind w:hanging="6"/>
              <w:jc w:val="both"/>
              <w:rPr>
                <w:color w:val="000000" w:themeColor="text1"/>
                <w:sz w:val="22"/>
                <w:szCs w:val="22"/>
              </w:rPr>
            </w:pPr>
            <w:r w:rsidRPr="00356FC9">
              <w:rPr>
                <w:sz w:val="22"/>
                <w:szCs w:val="22"/>
              </w:rPr>
              <w:t xml:space="preserve">Kompleksos risinājumus kopumā veido četri virzieni, proti, elektroenerģijas tirgus liberalizācija, sociālais atbalsts </w:t>
            </w:r>
            <w:r w:rsidR="003B7A77">
              <w:rPr>
                <w:sz w:val="22"/>
                <w:szCs w:val="22"/>
              </w:rPr>
              <w:t>maznodrošinātajiem</w:t>
            </w:r>
            <w:r w:rsidRPr="00356FC9">
              <w:rPr>
                <w:sz w:val="22"/>
                <w:szCs w:val="22"/>
              </w:rPr>
              <w:t xml:space="preserve">, </w:t>
            </w:r>
            <w:r w:rsidR="008F31E5">
              <w:t xml:space="preserve"> </w:t>
            </w:r>
            <w:r w:rsidR="008F31E5" w:rsidRPr="006C0B2F">
              <w:rPr>
                <w:color w:val="000000" w:themeColor="text1"/>
                <w:sz w:val="22"/>
                <w:szCs w:val="22"/>
              </w:rPr>
              <w:t>elektroenerģijas obligātā iepirkuma ieņēmumu</w:t>
            </w:r>
            <w:r w:rsidR="008F31E5" w:rsidRPr="006C0B2F" w:rsidDel="008F31E5">
              <w:rPr>
                <w:color w:val="000000" w:themeColor="text1"/>
                <w:sz w:val="22"/>
                <w:szCs w:val="22"/>
              </w:rPr>
              <w:t xml:space="preserve"> </w:t>
            </w:r>
            <w:r w:rsidR="008F31E5" w:rsidRPr="006C0B2F">
              <w:rPr>
                <w:color w:val="000000" w:themeColor="text1"/>
                <w:sz w:val="22"/>
                <w:szCs w:val="22"/>
              </w:rPr>
              <w:t xml:space="preserve"> administrēšana</w:t>
            </w:r>
            <w:r w:rsidRPr="006C0B2F">
              <w:rPr>
                <w:color w:val="000000" w:themeColor="text1"/>
                <w:sz w:val="22"/>
                <w:szCs w:val="22"/>
              </w:rPr>
              <w:t xml:space="preserve">, </w:t>
            </w:r>
            <w:r w:rsidR="00D92B0A" w:rsidRPr="006C0B2F">
              <w:rPr>
                <w:color w:val="000000" w:themeColor="text1"/>
                <w:sz w:val="22"/>
                <w:szCs w:val="22"/>
              </w:rPr>
              <w:t>s</w:t>
            </w:r>
            <w:r w:rsidRPr="006C0B2F">
              <w:rPr>
                <w:color w:val="000000" w:themeColor="text1"/>
                <w:sz w:val="22"/>
                <w:szCs w:val="22"/>
              </w:rPr>
              <w:t>ubsidētās elektroenerģijas nodokļa izveidošana.</w:t>
            </w:r>
          </w:p>
          <w:p w:rsidR="00D92B0A" w:rsidRPr="006C0B2F" w:rsidRDefault="005526CE" w:rsidP="00D92B0A">
            <w:pPr>
              <w:pStyle w:val="naislab"/>
              <w:spacing w:before="0" w:after="120"/>
              <w:jc w:val="both"/>
              <w:rPr>
                <w:color w:val="000000" w:themeColor="text1"/>
                <w:sz w:val="22"/>
                <w:szCs w:val="22"/>
              </w:rPr>
            </w:pPr>
            <w:r w:rsidRPr="006C0B2F">
              <w:rPr>
                <w:color w:val="000000" w:themeColor="text1"/>
                <w:sz w:val="22"/>
                <w:szCs w:val="22"/>
              </w:rPr>
              <w:t>Saskaņā ar Ministru kabineta 2012.</w:t>
            </w:r>
            <w:r w:rsidR="006F7D9F" w:rsidRPr="006C0B2F">
              <w:rPr>
                <w:color w:val="000000" w:themeColor="text1"/>
                <w:sz w:val="22"/>
                <w:szCs w:val="22"/>
              </w:rPr>
              <w:t> </w:t>
            </w:r>
            <w:r w:rsidRPr="006C0B2F">
              <w:rPr>
                <w:color w:val="000000" w:themeColor="text1"/>
                <w:sz w:val="22"/>
                <w:szCs w:val="22"/>
              </w:rPr>
              <w:t>gada 20.</w:t>
            </w:r>
            <w:r w:rsidR="006F7D9F" w:rsidRPr="006C0B2F">
              <w:rPr>
                <w:color w:val="000000" w:themeColor="text1"/>
                <w:sz w:val="22"/>
                <w:szCs w:val="22"/>
              </w:rPr>
              <w:t> </w:t>
            </w:r>
            <w:r w:rsidRPr="006C0B2F">
              <w:rPr>
                <w:color w:val="000000" w:themeColor="text1"/>
                <w:sz w:val="22"/>
                <w:szCs w:val="22"/>
              </w:rPr>
              <w:t>novembra sēdes protokollēmuma Nr.65; 34.§. 3.</w:t>
            </w:r>
            <w:r w:rsidR="006F7D9F" w:rsidRPr="006C0B2F">
              <w:rPr>
                <w:color w:val="000000" w:themeColor="text1"/>
                <w:sz w:val="22"/>
                <w:szCs w:val="22"/>
              </w:rPr>
              <w:t> </w:t>
            </w:r>
            <w:r w:rsidRPr="006C0B2F">
              <w:rPr>
                <w:color w:val="000000" w:themeColor="text1"/>
                <w:sz w:val="22"/>
                <w:szCs w:val="22"/>
              </w:rPr>
              <w:t>punktu, Ekonomikas ministrijai tika uzdots līdz 2012.</w:t>
            </w:r>
            <w:r w:rsidR="006F7D9F" w:rsidRPr="006C0B2F">
              <w:rPr>
                <w:color w:val="000000" w:themeColor="text1"/>
                <w:sz w:val="22"/>
                <w:szCs w:val="22"/>
              </w:rPr>
              <w:t> </w:t>
            </w:r>
            <w:r w:rsidRPr="006C0B2F">
              <w:rPr>
                <w:color w:val="000000" w:themeColor="text1"/>
                <w:sz w:val="22"/>
                <w:szCs w:val="22"/>
              </w:rPr>
              <w:t>gada 15.</w:t>
            </w:r>
            <w:r w:rsidR="006F7D9F" w:rsidRPr="006C0B2F">
              <w:rPr>
                <w:color w:val="000000" w:themeColor="text1"/>
                <w:sz w:val="22"/>
                <w:szCs w:val="22"/>
              </w:rPr>
              <w:t> </w:t>
            </w:r>
            <w:r w:rsidRPr="006C0B2F">
              <w:rPr>
                <w:color w:val="000000" w:themeColor="text1"/>
                <w:sz w:val="22"/>
                <w:szCs w:val="22"/>
              </w:rPr>
              <w:t>decembrim sagatavot grozījumus Elektroenerģijas tirgus likumā</w:t>
            </w:r>
            <w:r w:rsidR="00D92B0A" w:rsidRPr="006C0B2F">
              <w:rPr>
                <w:color w:val="000000" w:themeColor="text1"/>
                <w:sz w:val="22"/>
                <w:szCs w:val="22"/>
              </w:rPr>
              <w:t>, balstoties uz analīzi par elektroenerģijas tirgus pilnīgu atvēršanu, tajā ietverot informāciju par sadales sistēmas operatoru gatavību sniegt pakalpojumus pilnībā atvērtā tirgū, elektroenerģijas tirgus apstākļu raksturojumu, to ietekmi uz elektroenerģijas cenām un potenciālajiem elektroenerģijas tirgus dalībniekiem.</w:t>
            </w:r>
          </w:p>
          <w:p w:rsidR="00407013" w:rsidRPr="006C0B2F" w:rsidRDefault="00407013" w:rsidP="000B4666">
            <w:pPr>
              <w:pStyle w:val="naislab"/>
              <w:spacing w:before="0" w:after="120"/>
              <w:jc w:val="both"/>
              <w:rPr>
                <w:bCs/>
                <w:color w:val="000000" w:themeColor="text1"/>
                <w:sz w:val="22"/>
                <w:szCs w:val="22"/>
              </w:rPr>
            </w:pPr>
            <w:r w:rsidRPr="006C0B2F">
              <w:rPr>
                <w:bCs/>
                <w:color w:val="000000" w:themeColor="text1"/>
                <w:sz w:val="22"/>
                <w:szCs w:val="22"/>
              </w:rPr>
              <w:t>Ministru kabineta komiteja 2013.</w:t>
            </w:r>
            <w:r w:rsidR="006F7D9F" w:rsidRPr="006C0B2F">
              <w:rPr>
                <w:bCs/>
                <w:color w:val="000000" w:themeColor="text1"/>
                <w:sz w:val="22"/>
                <w:szCs w:val="22"/>
              </w:rPr>
              <w:t> </w:t>
            </w:r>
            <w:r w:rsidRPr="006C0B2F">
              <w:rPr>
                <w:bCs/>
                <w:color w:val="000000" w:themeColor="text1"/>
                <w:sz w:val="22"/>
                <w:szCs w:val="22"/>
              </w:rPr>
              <w:t>gada 18.</w:t>
            </w:r>
            <w:r w:rsidR="006F7D9F" w:rsidRPr="006C0B2F">
              <w:rPr>
                <w:bCs/>
                <w:color w:val="000000" w:themeColor="text1"/>
                <w:sz w:val="22"/>
                <w:szCs w:val="22"/>
              </w:rPr>
              <w:t> </w:t>
            </w:r>
            <w:r w:rsidRPr="006C0B2F">
              <w:rPr>
                <w:bCs/>
                <w:color w:val="000000" w:themeColor="text1"/>
                <w:sz w:val="22"/>
                <w:szCs w:val="22"/>
              </w:rPr>
              <w:t>februāra sēdē (</w:t>
            </w:r>
            <w:r w:rsidR="007B0091" w:rsidRPr="006C0B2F">
              <w:rPr>
                <w:bCs/>
                <w:color w:val="000000" w:themeColor="text1"/>
                <w:sz w:val="22"/>
                <w:szCs w:val="22"/>
              </w:rPr>
              <w:t xml:space="preserve">VSS-1289, TA-257, </w:t>
            </w:r>
            <w:r w:rsidRPr="006C0B2F">
              <w:rPr>
                <w:color w:val="000000" w:themeColor="text1"/>
                <w:sz w:val="22"/>
                <w:szCs w:val="22"/>
              </w:rPr>
              <w:t>prot.</w:t>
            </w:r>
            <w:r w:rsidRPr="006C0B2F">
              <w:rPr>
                <w:bCs/>
                <w:color w:val="000000" w:themeColor="text1"/>
                <w:sz w:val="22"/>
                <w:szCs w:val="22"/>
              </w:rPr>
              <w:t>Nr.7 1.§)</w:t>
            </w:r>
            <w:r w:rsidRPr="006C0B2F">
              <w:rPr>
                <w:color w:val="000000" w:themeColor="text1"/>
              </w:rPr>
              <w:t xml:space="preserve"> </w:t>
            </w:r>
            <w:r w:rsidRPr="006C0B2F">
              <w:rPr>
                <w:bCs/>
                <w:color w:val="000000" w:themeColor="text1"/>
                <w:sz w:val="22"/>
                <w:szCs w:val="22"/>
              </w:rPr>
              <w:t>a</w:t>
            </w:r>
            <w:r w:rsidR="000B4666" w:rsidRPr="006C0B2F">
              <w:rPr>
                <w:bCs/>
                <w:color w:val="000000" w:themeColor="text1"/>
                <w:sz w:val="22"/>
                <w:szCs w:val="22"/>
              </w:rPr>
              <w:t>tbalstīja likumprojekta normas, kas saistītas ar elektroenerģijas tirgus atvēršanu</w:t>
            </w:r>
            <w:r w:rsidRPr="006C0B2F">
              <w:rPr>
                <w:bCs/>
                <w:color w:val="000000" w:themeColor="text1"/>
                <w:sz w:val="22"/>
                <w:szCs w:val="22"/>
              </w:rPr>
              <w:t>.</w:t>
            </w:r>
            <w:r w:rsidR="00094F8D" w:rsidRPr="006C0B2F">
              <w:rPr>
                <w:bCs/>
                <w:color w:val="000000" w:themeColor="text1"/>
                <w:sz w:val="22"/>
                <w:szCs w:val="22"/>
              </w:rPr>
              <w:t xml:space="preserve"> </w:t>
            </w:r>
          </w:p>
          <w:p w:rsidR="00094F8D" w:rsidRDefault="00094F8D" w:rsidP="000B4666">
            <w:pPr>
              <w:pStyle w:val="naislab"/>
              <w:spacing w:before="0" w:after="120"/>
              <w:jc w:val="both"/>
              <w:rPr>
                <w:bCs/>
                <w:sz w:val="22"/>
                <w:szCs w:val="22"/>
              </w:rPr>
            </w:pPr>
            <w:r w:rsidRPr="00094F8D">
              <w:rPr>
                <w:bCs/>
                <w:sz w:val="22"/>
                <w:szCs w:val="22"/>
              </w:rPr>
              <w:t xml:space="preserve">Vienlaikus ņemot vērā steidzamību saistībā ar Eiropas Parlamenta un Padomes regulas Nr.1227/2011 par enerģijas vairumtirgus integritāti un paredzamību (REMIT) ieviešanu Latvijā, š.g. 10. septembra Saeimas Tautsaimniecības, agrārās, vides un reģionālās politikas komisijas sēdē tika nolemts tiesību normas, kas bija iekļautas likumprojektā „Grozījumi Elektroenerģijas tirgus likumā”, kas tika izskatīts Ministru kabineta 2013. gada 18. februāra sēdē (VSS-1289, TA-257, prot. Nr.7, 1. §) </w:t>
            </w:r>
            <w:r w:rsidR="00D92B0A">
              <w:rPr>
                <w:bCs/>
                <w:sz w:val="22"/>
                <w:szCs w:val="22"/>
              </w:rPr>
              <w:lastRenderedPageBreak/>
              <w:t xml:space="preserve">iesniegt </w:t>
            </w:r>
            <w:r w:rsidRPr="00094F8D">
              <w:rPr>
                <w:bCs/>
                <w:sz w:val="22"/>
                <w:szCs w:val="22"/>
              </w:rPr>
              <w:t>izskatīšanai Saeimas trešajā lasījumā likumprojekta „Grozījumi Elektroenerģijas tirgus likumā” (Nr. 453/Lp11) ietvaros.</w:t>
            </w:r>
          </w:p>
          <w:p w:rsidR="005526CE" w:rsidRPr="003D12AB" w:rsidRDefault="005526CE" w:rsidP="004F70FC">
            <w:pPr>
              <w:pStyle w:val="Default"/>
              <w:jc w:val="both"/>
              <w:rPr>
                <w:color w:val="auto"/>
                <w:sz w:val="22"/>
              </w:rPr>
            </w:pPr>
            <w:r w:rsidRPr="003D12AB">
              <w:rPr>
                <w:color w:val="auto"/>
                <w:sz w:val="22"/>
              </w:rPr>
              <w:t xml:space="preserve">Eiropas Parlamenta un Padomes Direktīvas 2009/72/EK </w:t>
            </w:r>
            <w:r w:rsidRPr="003D12AB">
              <w:rPr>
                <w:rStyle w:val="Strong"/>
                <w:b w:val="0"/>
                <w:bCs/>
                <w:color w:val="auto"/>
                <w:sz w:val="22"/>
              </w:rPr>
              <w:t>(2009. gada 13.</w:t>
            </w:r>
            <w:r w:rsidR="006F7D9F">
              <w:rPr>
                <w:rStyle w:val="Strong"/>
                <w:b w:val="0"/>
                <w:bCs/>
                <w:color w:val="auto"/>
                <w:sz w:val="22"/>
              </w:rPr>
              <w:t> </w:t>
            </w:r>
            <w:r w:rsidRPr="003D12AB">
              <w:rPr>
                <w:rStyle w:val="Strong"/>
                <w:b w:val="0"/>
                <w:bCs/>
                <w:color w:val="auto"/>
                <w:sz w:val="22"/>
              </w:rPr>
              <w:t>jūlijs)</w:t>
            </w:r>
            <w:r w:rsidRPr="003D12AB">
              <w:rPr>
                <w:color w:val="auto"/>
                <w:sz w:val="22"/>
              </w:rPr>
              <w:t xml:space="preserve"> par kopīgiem noteikumiem attiecībā uz elektroenerģijas iekšējo tirgu un par Direktīvas 2003/54/EK atcelšanu (turpmāk – Elektrības direktīva) preambulas 3.</w:t>
            </w:r>
            <w:r w:rsidR="006F7D9F">
              <w:rPr>
                <w:color w:val="auto"/>
                <w:sz w:val="22"/>
              </w:rPr>
              <w:t> </w:t>
            </w:r>
            <w:r w:rsidRPr="003D12AB">
              <w:rPr>
                <w:color w:val="auto"/>
                <w:sz w:val="22"/>
              </w:rPr>
              <w:t>punktā ir nostiprināta atziņa, ka, Eiropas Kopienas dibināšanas līgumā noteiktās Eiropas Savienības pilsoņu garantētās brīvības, proti, brīva preču aprite, brīvība veikt uzņēmējdarbību un pakalpojumu sniegšanas brīvība - ir sasniedzamas vienīgi pilnībā atvērtā tirgū, kas ļauj visiem patērētājiem brīvi izvēlēties piegādātājus un visiem piegādātājiem brīvi veikt piegādes lietotājiem.</w:t>
            </w:r>
            <w:r w:rsidRPr="003D12AB">
              <w:rPr>
                <w:bCs/>
                <w:color w:val="auto"/>
                <w:sz w:val="22"/>
                <w:szCs w:val="22"/>
              </w:rPr>
              <w:t xml:space="preserve"> Tāpat, Elektrības direktīva paredz, ka mājsaimniecības lietotāji var </w:t>
            </w:r>
          </w:p>
          <w:p w:rsidR="005526CE" w:rsidRPr="003D12AB" w:rsidRDefault="005526CE" w:rsidP="004F70FC">
            <w:pPr>
              <w:pStyle w:val="naislab"/>
              <w:spacing w:before="0" w:after="120"/>
              <w:jc w:val="both"/>
              <w:rPr>
                <w:rFonts w:ascii="EUAlbertina" w:hAnsi="EUAlbertina" w:cs="EUAlbertina"/>
                <w:bCs/>
                <w:sz w:val="22"/>
                <w:szCs w:val="22"/>
              </w:rPr>
            </w:pPr>
            <w:r w:rsidRPr="003D12AB">
              <w:rPr>
                <w:rFonts w:ascii="EUAlbertina" w:hAnsi="EUAlbertina" w:cs="EUAlbertina"/>
                <w:bCs/>
                <w:sz w:val="22"/>
                <w:szCs w:val="22"/>
              </w:rPr>
              <w:t xml:space="preserve">saņemt universālo pakalpojumu, kas ietver tiesības saņemt konkrētas kvalitātes elektroenerģiju savā teritorijā par saprātīgām, viegli un skaidri salīdzināmām, pārskatāmām un nediskriminējošām cenām. Lai nodrošinātu universālā pakalpojuma sniegšanu, dalībvalstis var norādīt pēdējo garantēto piegādātāju. </w:t>
            </w:r>
          </w:p>
          <w:p w:rsidR="005526CE" w:rsidRPr="003D12AB" w:rsidRDefault="005526CE" w:rsidP="004F70FC">
            <w:pPr>
              <w:pStyle w:val="naislab"/>
              <w:spacing w:before="0" w:after="120"/>
              <w:jc w:val="both"/>
              <w:rPr>
                <w:bCs/>
                <w:sz w:val="22"/>
                <w:szCs w:val="22"/>
              </w:rPr>
            </w:pPr>
            <w:r w:rsidRPr="003D12AB">
              <w:rPr>
                <w:sz w:val="22"/>
                <w:szCs w:val="22"/>
              </w:rPr>
              <w:t>Likumprojekts ir izstrādāts, pamatojoties uz 2009.</w:t>
            </w:r>
            <w:r w:rsidR="006F7D9F">
              <w:rPr>
                <w:sz w:val="22"/>
                <w:szCs w:val="22"/>
              </w:rPr>
              <w:t> </w:t>
            </w:r>
            <w:r w:rsidRPr="003D12AB">
              <w:rPr>
                <w:sz w:val="22"/>
                <w:szCs w:val="22"/>
              </w:rPr>
              <w:t>gada 17.</w:t>
            </w:r>
            <w:r w:rsidR="006F7D9F">
              <w:rPr>
                <w:sz w:val="22"/>
                <w:szCs w:val="22"/>
              </w:rPr>
              <w:t> </w:t>
            </w:r>
            <w:r w:rsidRPr="003D12AB">
              <w:rPr>
                <w:sz w:val="22"/>
                <w:szCs w:val="22"/>
              </w:rPr>
              <w:t>jūnijā parakstīto saprašanās memorandu ar Eiropas Komisiju par Baltijas enerģētikas tirgus starpsavienojumu plānu (</w:t>
            </w:r>
            <w:r w:rsidR="006C0B2F">
              <w:rPr>
                <w:sz w:val="22"/>
                <w:szCs w:val="22"/>
              </w:rPr>
              <w:t>turpmāk</w:t>
            </w:r>
            <w:r w:rsidRPr="003D12AB">
              <w:rPr>
                <w:sz w:val="22"/>
                <w:szCs w:val="22"/>
              </w:rPr>
              <w:t>– BEMIP), kas ietver vienošanos par pakāpenisku elektroenerģijas tirgus atvēršanu Baltijas valstīs, atceļot regulētos elektroenerģijas tirdzniecības gala tarifus.</w:t>
            </w:r>
          </w:p>
          <w:p w:rsidR="005526CE" w:rsidRPr="003D12AB" w:rsidRDefault="005526CE" w:rsidP="000A72F6">
            <w:pPr>
              <w:pStyle w:val="naiskr"/>
              <w:spacing w:before="0" w:after="120"/>
              <w:ind w:hanging="6"/>
              <w:jc w:val="both"/>
              <w:rPr>
                <w:sz w:val="22"/>
                <w:szCs w:val="22"/>
              </w:rPr>
            </w:pPr>
            <w:r w:rsidRPr="003D12AB">
              <w:rPr>
                <w:sz w:val="22"/>
                <w:szCs w:val="22"/>
              </w:rPr>
              <w:t>Saskaņā ar Elektrības direktīvas 37.</w:t>
            </w:r>
            <w:r w:rsidR="006F7D9F">
              <w:rPr>
                <w:sz w:val="22"/>
                <w:szCs w:val="22"/>
              </w:rPr>
              <w:t> </w:t>
            </w:r>
            <w:r w:rsidRPr="003D12AB">
              <w:rPr>
                <w:sz w:val="22"/>
                <w:szCs w:val="22"/>
              </w:rPr>
              <w:t xml:space="preserve">panta 4.punkta d) apakšpunktu dalībvalstīm ir jānodrošina, ka regulatīvajām iestādēm ir piešķirtas vajadzīgās pilnvaras, lai tās varētu efektīvi un bez kavēšanās veikt tām noteiktos pienākumus, tostarp pilnvaras piemērot iedarbīgas, samērīgas un atturošas sankcijas elektroenerģijas uzņēmumiem, kas nepilda saistības, kuras izriet no šīs direktīvas vai no regulatīvās iestādes vai </w:t>
            </w:r>
            <w:proofErr w:type="spellStart"/>
            <w:r w:rsidRPr="003D12AB">
              <w:rPr>
                <w:sz w:val="22"/>
                <w:szCs w:val="22"/>
              </w:rPr>
              <w:t>Energoregulatoru</w:t>
            </w:r>
            <w:proofErr w:type="spellEnd"/>
            <w:r w:rsidRPr="003D12AB">
              <w:rPr>
                <w:sz w:val="22"/>
                <w:szCs w:val="22"/>
              </w:rPr>
              <w:t xml:space="preserve"> sadarbības aģentūras lēmumiem. </w:t>
            </w:r>
          </w:p>
          <w:p w:rsidR="000E1F11" w:rsidRPr="007C1BFA" w:rsidRDefault="00D92B0A" w:rsidP="00C441F9">
            <w:pPr>
              <w:pStyle w:val="naiskr"/>
              <w:spacing w:after="0"/>
              <w:ind w:hanging="5"/>
              <w:jc w:val="both"/>
              <w:rPr>
                <w:color w:val="000000" w:themeColor="text1"/>
                <w:sz w:val="28"/>
                <w:szCs w:val="28"/>
              </w:rPr>
            </w:pPr>
            <w:r>
              <w:rPr>
                <w:sz w:val="22"/>
                <w:szCs w:val="22"/>
              </w:rPr>
              <w:t xml:space="preserve"> Atbilstoši Ziņojuma</w:t>
            </w:r>
            <w:r w:rsidR="000E1F11">
              <w:rPr>
                <w:sz w:val="22"/>
                <w:szCs w:val="22"/>
              </w:rPr>
              <w:t>7</w:t>
            </w:r>
            <w:r w:rsidR="006C7906" w:rsidRPr="006C7906">
              <w:rPr>
                <w:sz w:val="22"/>
                <w:szCs w:val="22"/>
              </w:rPr>
              <w:t xml:space="preserve">. un </w:t>
            </w:r>
            <w:r w:rsidR="000E1F11">
              <w:rPr>
                <w:sz w:val="22"/>
                <w:szCs w:val="22"/>
              </w:rPr>
              <w:t>8</w:t>
            </w:r>
            <w:r w:rsidR="006C7906" w:rsidRPr="006C7906">
              <w:rPr>
                <w:sz w:val="22"/>
                <w:szCs w:val="22"/>
              </w:rPr>
              <w:t xml:space="preserve">. </w:t>
            </w:r>
            <w:r w:rsidRPr="006C7906">
              <w:rPr>
                <w:sz w:val="22"/>
                <w:szCs w:val="22"/>
              </w:rPr>
              <w:t>nodaļ</w:t>
            </w:r>
            <w:r>
              <w:rPr>
                <w:sz w:val="22"/>
                <w:szCs w:val="22"/>
              </w:rPr>
              <w:t>ām</w:t>
            </w:r>
            <w:r w:rsidRPr="006C7906">
              <w:rPr>
                <w:sz w:val="22"/>
                <w:szCs w:val="22"/>
              </w:rPr>
              <w:t xml:space="preserve"> </w:t>
            </w:r>
            <w:r w:rsidR="006C7906" w:rsidRPr="006C7906">
              <w:rPr>
                <w:sz w:val="22"/>
                <w:szCs w:val="22"/>
              </w:rPr>
              <w:t>(Ziņojums izskatīts Ministru kabineta 2013. gada 13. augusta sēdē, prot.Nr.44, 156.§)</w:t>
            </w:r>
            <w:r>
              <w:rPr>
                <w:sz w:val="22"/>
                <w:szCs w:val="22"/>
              </w:rPr>
              <w:t>e</w:t>
            </w:r>
            <w:r w:rsidR="008F31E5" w:rsidRPr="008F31E5">
              <w:rPr>
                <w:sz w:val="22"/>
                <w:szCs w:val="22"/>
              </w:rPr>
              <w:t>lektroenerģijas obligātā iepirkuma ieņēmumu administrēšana</w:t>
            </w:r>
            <w:r w:rsidR="008F31E5">
              <w:rPr>
                <w:sz w:val="22"/>
                <w:szCs w:val="22"/>
              </w:rPr>
              <w:t>s</w:t>
            </w:r>
            <w:r w:rsidR="008F31E5" w:rsidRPr="008F31E5" w:rsidDel="008F31E5">
              <w:rPr>
                <w:sz w:val="22"/>
                <w:szCs w:val="22"/>
              </w:rPr>
              <w:t xml:space="preserve"> </w:t>
            </w:r>
            <w:r w:rsidR="00517AD2">
              <w:rPr>
                <w:sz w:val="22"/>
                <w:szCs w:val="22"/>
              </w:rPr>
              <w:t>regulējumu</w:t>
            </w:r>
            <w:r w:rsidR="00922C2D" w:rsidRPr="00922C2D">
              <w:rPr>
                <w:sz w:val="22"/>
                <w:szCs w:val="22"/>
              </w:rPr>
              <w:t>,</w:t>
            </w:r>
            <w:r w:rsidR="00517AD2">
              <w:rPr>
                <w:sz w:val="22"/>
                <w:szCs w:val="22"/>
              </w:rPr>
              <w:t xml:space="preserve"> izmaiņas </w:t>
            </w:r>
            <w:r w:rsidR="00517AD2" w:rsidRPr="00922C2D">
              <w:rPr>
                <w:sz w:val="22"/>
                <w:szCs w:val="22"/>
              </w:rPr>
              <w:t xml:space="preserve"> </w:t>
            </w:r>
            <w:r w:rsidR="00517AD2" w:rsidRPr="00517AD2">
              <w:rPr>
                <w:sz w:val="22"/>
                <w:szCs w:val="22"/>
              </w:rPr>
              <w:t>d</w:t>
            </w:r>
            <w:r w:rsidR="00517AD2">
              <w:rPr>
                <w:sz w:val="22"/>
                <w:szCs w:val="22"/>
              </w:rPr>
              <w:t>abasgāzes koģenerācijas staciju</w:t>
            </w:r>
            <w:r w:rsidR="00517AD2" w:rsidRPr="00517AD2">
              <w:rPr>
                <w:sz w:val="22"/>
                <w:szCs w:val="22"/>
              </w:rPr>
              <w:t xml:space="preserve"> ar jaudu virs 4 MW </w:t>
            </w:r>
            <w:r w:rsidR="00517AD2">
              <w:rPr>
                <w:sz w:val="22"/>
                <w:szCs w:val="22"/>
              </w:rPr>
              <w:t xml:space="preserve">atbalsta mehānismā, </w:t>
            </w:r>
            <w:r w:rsidR="00B12F99">
              <w:rPr>
                <w:sz w:val="22"/>
                <w:szCs w:val="22"/>
              </w:rPr>
              <w:t>samazin</w:t>
            </w:r>
            <w:r w:rsidR="00517AD2">
              <w:rPr>
                <w:sz w:val="22"/>
                <w:szCs w:val="22"/>
              </w:rPr>
              <w:t>ot</w:t>
            </w:r>
            <w:r w:rsidR="00B12F99">
              <w:rPr>
                <w:sz w:val="22"/>
                <w:szCs w:val="22"/>
              </w:rPr>
              <w:t xml:space="preserve"> </w:t>
            </w:r>
            <w:r w:rsidR="00B12F99" w:rsidRPr="00B12F99">
              <w:rPr>
                <w:sz w:val="22"/>
                <w:szCs w:val="22"/>
              </w:rPr>
              <w:t>obligātā iepirkuma iet</w:t>
            </w:r>
            <w:r w:rsidR="00B12F99">
              <w:rPr>
                <w:sz w:val="22"/>
                <w:szCs w:val="22"/>
              </w:rPr>
              <w:t xml:space="preserve">varos izmaksājamās summas apmēru, </w:t>
            </w:r>
            <w:r w:rsidR="00517AD2">
              <w:rPr>
                <w:sz w:val="22"/>
                <w:szCs w:val="22"/>
              </w:rPr>
              <w:t xml:space="preserve"> </w:t>
            </w:r>
            <w:r w:rsidR="00922C2D" w:rsidRPr="00922C2D">
              <w:rPr>
                <w:sz w:val="22"/>
                <w:szCs w:val="22"/>
              </w:rPr>
              <w:t xml:space="preserve">nepieciešams </w:t>
            </w:r>
            <w:r w:rsidR="00371C4E">
              <w:rPr>
                <w:sz w:val="22"/>
                <w:szCs w:val="22"/>
              </w:rPr>
              <w:t xml:space="preserve">nostiprināt </w:t>
            </w:r>
            <w:r w:rsidR="009A574B">
              <w:rPr>
                <w:sz w:val="22"/>
                <w:szCs w:val="22"/>
              </w:rPr>
              <w:t>Elektroenerģijas tirgus likumā  (turpmāk - ETL)</w:t>
            </w:r>
            <w:r w:rsidR="00517AD2">
              <w:rPr>
                <w:sz w:val="22"/>
                <w:szCs w:val="22"/>
              </w:rPr>
              <w:t>.</w:t>
            </w:r>
          </w:p>
          <w:p w:rsidR="005526CE" w:rsidRPr="00E24D9A" w:rsidRDefault="00356FC9" w:rsidP="00E24D9A">
            <w:pPr>
              <w:pStyle w:val="naiskr"/>
              <w:spacing w:after="0"/>
              <w:ind w:hanging="5"/>
              <w:jc w:val="both"/>
              <w:rPr>
                <w:sz w:val="22"/>
                <w:szCs w:val="22"/>
              </w:rPr>
            </w:pPr>
            <w:r w:rsidRPr="00356FC9">
              <w:rPr>
                <w:sz w:val="22"/>
                <w:szCs w:val="22"/>
              </w:rPr>
              <w:t>Ņemot vērā minēto ir izstrādāts likumprojekts „Grozījumi E</w:t>
            </w:r>
            <w:r w:rsidR="00E24D9A">
              <w:rPr>
                <w:sz w:val="22"/>
                <w:szCs w:val="22"/>
              </w:rPr>
              <w:t>lektroenerģijas tirgus likumā”</w:t>
            </w:r>
            <w:r w:rsidR="00842C1C">
              <w:rPr>
                <w:sz w:val="22"/>
                <w:szCs w:val="22"/>
              </w:rPr>
              <w:t xml:space="preserve"> (turpmāk - </w:t>
            </w:r>
            <w:r w:rsidR="00E15C93">
              <w:rPr>
                <w:sz w:val="22"/>
                <w:szCs w:val="22"/>
              </w:rPr>
              <w:t>l</w:t>
            </w:r>
            <w:r w:rsidR="00842C1C">
              <w:rPr>
                <w:sz w:val="22"/>
                <w:szCs w:val="22"/>
              </w:rPr>
              <w:t>ikumprojekts)</w:t>
            </w:r>
            <w:r w:rsidR="00E24D9A">
              <w:rPr>
                <w:sz w:val="22"/>
                <w:szCs w:val="22"/>
              </w:rPr>
              <w:t>.</w:t>
            </w:r>
          </w:p>
        </w:tc>
      </w:tr>
      <w:tr w:rsidR="003D12AB" w:rsidRPr="003D12AB" w:rsidTr="007F340F">
        <w:trPr>
          <w:trHeight w:val="1691"/>
        </w:trPr>
        <w:tc>
          <w:tcPr>
            <w:tcW w:w="550" w:type="dxa"/>
          </w:tcPr>
          <w:p w:rsidR="005526CE" w:rsidRPr="003D12AB" w:rsidRDefault="005526CE" w:rsidP="00A0154D">
            <w:pPr>
              <w:pStyle w:val="naiskr"/>
              <w:spacing w:before="0" w:after="0"/>
              <w:rPr>
                <w:sz w:val="22"/>
                <w:szCs w:val="22"/>
              </w:rPr>
            </w:pPr>
            <w:r w:rsidRPr="003D12AB">
              <w:rPr>
                <w:sz w:val="22"/>
                <w:szCs w:val="22"/>
              </w:rPr>
              <w:lastRenderedPageBreak/>
              <w:t>2.</w:t>
            </w:r>
          </w:p>
        </w:tc>
        <w:tc>
          <w:tcPr>
            <w:tcW w:w="2716" w:type="dxa"/>
          </w:tcPr>
          <w:p w:rsidR="005526CE" w:rsidRPr="003D12AB" w:rsidRDefault="005526CE" w:rsidP="00A0154D">
            <w:pPr>
              <w:pStyle w:val="naiskr"/>
              <w:tabs>
                <w:tab w:val="left" w:pos="170"/>
              </w:tabs>
              <w:spacing w:before="0" w:after="0"/>
              <w:rPr>
                <w:sz w:val="22"/>
                <w:szCs w:val="22"/>
              </w:rPr>
            </w:pPr>
            <w:r w:rsidRPr="003D12AB">
              <w:rPr>
                <w:sz w:val="22"/>
                <w:szCs w:val="22"/>
              </w:rPr>
              <w:t>Pašreizējā situācija un problēmas</w:t>
            </w:r>
          </w:p>
        </w:tc>
        <w:tc>
          <w:tcPr>
            <w:tcW w:w="6459" w:type="dxa"/>
          </w:tcPr>
          <w:p w:rsidR="00E24D9A" w:rsidRPr="009D16E1" w:rsidRDefault="009D16E1" w:rsidP="000A72F6">
            <w:pPr>
              <w:spacing w:after="120" w:line="240" w:lineRule="auto"/>
              <w:jc w:val="both"/>
              <w:rPr>
                <w:rFonts w:ascii="Times New Roman" w:hAnsi="Times New Roman"/>
                <w:bCs/>
              </w:rPr>
            </w:pPr>
            <w:r w:rsidRPr="009D16E1">
              <w:rPr>
                <w:rFonts w:ascii="Times New Roman" w:hAnsi="Times New Roman"/>
                <w:bCs/>
              </w:rPr>
              <w:t xml:space="preserve">Veicot elektroenerģijas tirdzniecības regulēšanu, </w:t>
            </w:r>
            <w:r>
              <w:rPr>
                <w:rFonts w:ascii="Times New Roman" w:hAnsi="Times New Roman"/>
                <w:bCs/>
              </w:rPr>
              <w:t>Sabiedrisko pakalpojumu regulēšanas k</w:t>
            </w:r>
            <w:r w:rsidRPr="009D16E1">
              <w:rPr>
                <w:rFonts w:ascii="Times New Roman" w:hAnsi="Times New Roman"/>
                <w:bCs/>
              </w:rPr>
              <w:t>omisija</w:t>
            </w:r>
            <w:r w:rsidR="00842C1C">
              <w:rPr>
                <w:rFonts w:ascii="Times New Roman" w:hAnsi="Times New Roman"/>
                <w:bCs/>
              </w:rPr>
              <w:t xml:space="preserve"> (turpmāk - SPRK)</w:t>
            </w:r>
            <w:r w:rsidRPr="009D16E1">
              <w:rPr>
                <w:rFonts w:ascii="Times New Roman" w:hAnsi="Times New Roman"/>
                <w:bCs/>
              </w:rPr>
              <w:t xml:space="preserve"> ir konstatējusi, ka</w:t>
            </w:r>
            <w:r>
              <w:rPr>
                <w:rFonts w:ascii="Times New Roman" w:hAnsi="Times New Roman"/>
                <w:bCs/>
              </w:rPr>
              <w:t xml:space="preserve"> </w:t>
            </w:r>
            <w:r w:rsidRPr="009D16E1">
              <w:rPr>
                <w:rFonts w:ascii="Times New Roman" w:hAnsi="Times New Roman"/>
                <w:bCs/>
              </w:rPr>
              <w:t>ETL elektroenerģijas tirdzniecības un elektroenerģijas tirgotāja definīcija nav precīza, kas praksē rada atšķirīgas interpretācijas. Saskaņā ar ETL 1.panta otrās daļas 9.</w:t>
            </w:r>
            <w:r w:rsidR="006F7D9F">
              <w:rPr>
                <w:rFonts w:ascii="Times New Roman" w:hAnsi="Times New Roman"/>
                <w:bCs/>
              </w:rPr>
              <w:t> </w:t>
            </w:r>
            <w:r w:rsidRPr="009D16E1">
              <w:rPr>
                <w:rFonts w:ascii="Times New Roman" w:hAnsi="Times New Roman"/>
                <w:bCs/>
              </w:rPr>
              <w:t xml:space="preserve">punktu elektroenerģijas tirgotājs ir elektroenerģijas lietotājs, kurš pērk un pārdod (piegādā – pārdošanas nozīmē) elektroenerģiju citam elektroenerģijas lietotājam. Savukārt, elektroenerģijas lietotājs ir persona, kura pērk elektroenerģiju. </w:t>
            </w:r>
            <w:r>
              <w:rPr>
                <w:rFonts w:ascii="Times New Roman" w:hAnsi="Times New Roman"/>
                <w:bCs/>
              </w:rPr>
              <w:t>A</w:t>
            </w:r>
            <w:r w:rsidRPr="009D16E1">
              <w:rPr>
                <w:rFonts w:ascii="Times New Roman" w:hAnsi="Times New Roman"/>
                <w:bCs/>
              </w:rPr>
              <w:t>tbilstoši Ministru kabineta 2011.</w:t>
            </w:r>
            <w:r w:rsidR="006F7D9F">
              <w:rPr>
                <w:rFonts w:ascii="Times New Roman" w:hAnsi="Times New Roman"/>
                <w:bCs/>
              </w:rPr>
              <w:t> </w:t>
            </w:r>
            <w:r w:rsidRPr="009D16E1">
              <w:rPr>
                <w:rFonts w:ascii="Times New Roman" w:hAnsi="Times New Roman"/>
                <w:bCs/>
              </w:rPr>
              <w:t>gada 29.</w:t>
            </w:r>
            <w:r w:rsidR="006F7D9F">
              <w:rPr>
                <w:rFonts w:ascii="Times New Roman" w:hAnsi="Times New Roman"/>
                <w:bCs/>
              </w:rPr>
              <w:t> </w:t>
            </w:r>
            <w:r w:rsidRPr="009D16E1">
              <w:rPr>
                <w:rFonts w:ascii="Times New Roman" w:hAnsi="Times New Roman"/>
                <w:bCs/>
              </w:rPr>
              <w:t>novembra noteikumu Nr.914 „Elektroenerģijas tirdzniecības un lietošanas noteikumi”</w:t>
            </w:r>
            <w:r w:rsidR="00343793">
              <w:rPr>
                <w:rFonts w:ascii="Times New Roman" w:hAnsi="Times New Roman"/>
                <w:bCs/>
              </w:rPr>
              <w:t xml:space="preserve"> </w:t>
            </w:r>
            <w:r w:rsidR="00343793" w:rsidRPr="00CC19D5">
              <w:rPr>
                <w:rFonts w:ascii="Times New Roman" w:hAnsi="Times New Roman"/>
              </w:rPr>
              <w:t>(turpmāk – 914. noteikumi)</w:t>
            </w:r>
            <w:r w:rsidRPr="009D16E1">
              <w:rPr>
                <w:rFonts w:ascii="Times New Roman" w:hAnsi="Times New Roman"/>
                <w:bCs/>
              </w:rPr>
              <w:t xml:space="preserve"> 2.1.</w:t>
            </w:r>
            <w:r w:rsidR="006F7D9F">
              <w:rPr>
                <w:rFonts w:ascii="Times New Roman" w:hAnsi="Times New Roman"/>
                <w:bCs/>
              </w:rPr>
              <w:t> </w:t>
            </w:r>
            <w:r w:rsidRPr="009D16E1">
              <w:rPr>
                <w:rFonts w:ascii="Times New Roman" w:hAnsi="Times New Roman"/>
                <w:bCs/>
              </w:rPr>
              <w:t>apakšpunktam, 70. un 71.</w:t>
            </w:r>
            <w:r w:rsidR="006F7D9F">
              <w:rPr>
                <w:rFonts w:ascii="Times New Roman" w:hAnsi="Times New Roman"/>
                <w:bCs/>
              </w:rPr>
              <w:t xml:space="preserve"> </w:t>
            </w:r>
            <w:r w:rsidRPr="009D16E1">
              <w:rPr>
                <w:rFonts w:ascii="Times New Roman" w:hAnsi="Times New Roman"/>
                <w:bCs/>
              </w:rPr>
              <w:t xml:space="preserve">punktam elektroenerģijas lietotājs pa savā īpašumā vai valdījumā esošajiem elektrotīkliem var piegādāt elektroenerģiju apakšlietotājiem. Lai gan šādā gadījumā būtībā lietotājs arī pērk un pārdod (piegādā – pārdošanas nozīmē) </w:t>
            </w:r>
            <w:r w:rsidRPr="009D16E1">
              <w:rPr>
                <w:rFonts w:ascii="Times New Roman" w:hAnsi="Times New Roman"/>
                <w:bCs/>
              </w:rPr>
              <w:lastRenderedPageBreak/>
              <w:t xml:space="preserve">elektroenerģiju citam lietotājam, to nevar uzskatīt par elektroenerģijas tirdzniecību. Līdz ar to, lai nodalītu elektroenerģijas tirdzniecību, ko veic elektroenerģijas tirgotājs, no elektroenerģijas piegādes apakšlietotājiem, ko veic elektroenerģijas lietotājs, ir nepieciešams precizēt elektroenerģijas tirdzniecības un elektroenerģijas tirgotāja definīcijas, paredzot, ka elektroenerģijas tirdzniecība ir komercdarbība, kuru veic komersants. </w:t>
            </w:r>
            <w:r w:rsidR="00C007F3" w:rsidRPr="00C007F3">
              <w:rPr>
                <w:rFonts w:ascii="Times New Roman" w:hAnsi="Times New Roman"/>
                <w:bCs/>
              </w:rPr>
              <w:t>Ņemot vērā visu iepriekš minēto, ir nepieciešams veikt grozījumus ETL 1.</w:t>
            </w:r>
            <w:r w:rsidR="006F7D9F">
              <w:rPr>
                <w:rFonts w:ascii="Times New Roman" w:hAnsi="Times New Roman"/>
                <w:bCs/>
              </w:rPr>
              <w:t> </w:t>
            </w:r>
            <w:r w:rsidR="00C007F3" w:rsidRPr="00C007F3">
              <w:rPr>
                <w:rFonts w:ascii="Times New Roman" w:hAnsi="Times New Roman"/>
                <w:bCs/>
              </w:rPr>
              <w:t>panta otrajā daļā noteiktajās elektroenerģijas tirdzniecības un elektroenerģijas tirgotāja definīcijās.</w:t>
            </w:r>
          </w:p>
          <w:p w:rsidR="005526CE" w:rsidRPr="003D12AB" w:rsidRDefault="00CC19D5" w:rsidP="000A72F6">
            <w:pPr>
              <w:spacing w:after="120" w:line="240" w:lineRule="auto"/>
              <w:ind w:right="-1"/>
              <w:contextualSpacing/>
              <w:jc w:val="both"/>
              <w:rPr>
                <w:rFonts w:ascii="Times New Roman" w:hAnsi="Times New Roman"/>
                <w:bCs/>
              </w:rPr>
            </w:pPr>
            <w:r>
              <w:rPr>
                <w:rFonts w:ascii="Times New Roman" w:hAnsi="Times New Roman"/>
                <w:bCs/>
              </w:rPr>
              <w:t xml:space="preserve">914. noteikumu </w:t>
            </w:r>
            <w:r w:rsidR="005526CE" w:rsidRPr="003D12AB">
              <w:rPr>
                <w:rFonts w:ascii="Times New Roman" w:hAnsi="Times New Roman"/>
                <w:bCs/>
              </w:rPr>
              <w:t>13. punkts nosaka, ka tiesības uz universālo pakalpojumu ir mājsaimniecības lietotājam un elektroenerģijas lietotājam, kura visi pieslēgumi sistēmai vienlaikus atbilst šādiem kritērijiem: pieslēguma spriegums nepārsniedz 400 voltu spriegumu, ievadaizsardzības aparāta nominālā strāva nepārsniedz 100 ampēru un lietotājs pērk elektroenerģiju tikai tādēļ, lai to tālāk piegādātu apakšlietotājiem, kuri pērk un izlieto elektroenerģiju savā mājsaimniecībā pašu vajadzībām, izņemot komercdarbību vai cita veida profesionālās darbības vajadzības.</w:t>
            </w:r>
          </w:p>
          <w:p w:rsidR="005526CE" w:rsidRPr="003D12AB" w:rsidRDefault="005526CE" w:rsidP="000A72F6">
            <w:pPr>
              <w:pStyle w:val="naislab"/>
              <w:spacing w:before="0" w:after="120"/>
              <w:jc w:val="both"/>
              <w:rPr>
                <w:bCs/>
                <w:sz w:val="22"/>
                <w:szCs w:val="22"/>
              </w:rPr>
            </w:pPr>
            <w:r w:rsidRPr="003D12AB">
              <w:rPr>
                <w:bCs/>
                <w:sz w:val="22"/>
                <w:szCs w:val="22"/>
                <w:lang w:eastAsia="en-US"/>
              </w:rPr>
              <w:t>Elektrības direktīvas 3. panta trešajā daļā paredzēts</w:t>
            </w:r>
            <w:r w:rsidRPr="003D12AB">
              <w:rPr>
                <w:bCs/>
                <w:sz w:val="22"/>
                <w:szCs w:val="22"/>
              </w:rPr>
              <w:t xml:space="preserve"> dalībvalsts pienākums nodrošināt universālo pakalpojumu vismaz mājsaimniecības lietotājiem un, kur uzskata par nepieciešamu, arī mazajiem uzņēmumiem. Universālais pakalpojums šīs normas izpratnē ir tiesības saņemt elektroenerģiju</w:t>
            </w:r>
            <w:r w:rsidR="009845D7" w:rsidRPr="003D12AB">
              <w:rPr>
                <w:bCs/>
                <w:sz w:val="22"/>
                <w:szCs w:val="22"/>
              </w:rPr>
              <w:t xml:space="preserve"> par saprātīgām, </w:t>
            </w:r>
            <w:r w:rsidR="001A54A9" w:rsidRPr="003D12AB">
              <w:rPr>
                <w:bCs/>
                <w:sz w:val="22"/>
                <w:szCs w:val="22"/>
              </w:rPr>
              <w:t>viegli un skaidri salīdzināmām, pārskatāmām un nediskriminējošām cenām.</w:t>
            </w:r>
          </w:p>
          <w:p w:rsidR="005526CE" w:rsidRPr="003D12AB" w:rsidRDefault="001A54A9" w:rsidP="000A72F6">
            <w:pPr>
              <w:spacing w:after="120" w:line="240" w:lineRule="auto"/>
              <w:jc w:val="both"/>
              <w:rPr>
                <w:rFonts w:ascii="Times New Roman" w:hAnsi="Times New Roman"/>
                <w:bCs/>
              </w:rPr>
            </w:pPr>
            <w:r w:rsidRPr="003D12AB">
              <w:rPr>
                <w:rFonts w:ascii="Times New Roman" w:hAnsi="Times New Roman"/>
                <w:bCs/>
              </w:rPr>
              <w:t>I</w:t>
            </w:r>
            <w:r w:rsidR="005526CE" w:rsidRPr="003D12AB">
              <w:rPr>
                <w:rFonts w:ascii="Times New Roman" w:hAnsi="Times New Roman"/>
                <w:bCs/>
              </w:rPr>
              <w:t>ekšējā enerģijas tirgus būtība ir nodrošināt konkurētspējīgas enerģijas cenas un augstu pakalpojumu kvalitāti. Tādejādi efektīva tirgus gadījumā valstij obligāti nebūtu jānosaka enerģijas cenu griesti kādai no lietotāju grupām vai jāapstiprina galalietotāju tarifi</w:t>
            </w:r>
            <w:r w:rsidRPr="003D12AB">
              <w:rPr>
                <w:rFonts w:ascii="Times New Roman" w:hAnsi="Times New Roman"/>
                <w:bCs/>
              </w:rPr>
              <w:t xml:space="preserve">, </w:t>
            </w:r>
            <w:r w:rsidR="003C1F69" w:rsidRPr="003D12AB">
              <w:rPr>
                <w:rFonts w:ascii="Times New Roman" w:hAnsi="Times New Roman"/>
                <w:bCs/>
              </w:rPr>
              <w:t>tirgus dalībnieki ir motivēti izvēlēties elektroenerģijas ražotāju ar izdevīgāko cenu piedāvājumus, ko nav iespējams veikt, ja tirgū ir regulētais tarifs</w:t>
            </w:r>
            <w:r w:rsidR="005526CE" w:rsidRPr="003D12AB">
              <w:rPr>
                <w:rFonts w:ascii="Times New Roman" w:hAnsi="Times New Roman"/>
                <w:bCs/>
              </w:rPr>
              <w:t>. Dalībvalstij ir pienākums nodrošināt, ka enerģijas cenas tiek publicētas vienkāršā</w:t>
            </w:r>
            <w:r w:rsidRPr="003D12AB">
              <w:rPr>
                <w:rFonts w:ascii="Times New Roman" w:hAnsi="Times New Roman"/>
                <w:bCs/>
              </w:rPr>
              <w:t>, pieejamā</w:t>
            </w:r>
            <w:r w:rsidR="005526CE" w:rsidRPr="003D12AB">
              <w:rPr>
                <w:rFonts w:ascii="Times New Roman" w:hAnsi="Times New Roman"/>
                <w:bCs/>
              </w:rPr>
              <w:t xml:space="preserve"> un salīdzināmā veidā, kā arī aizsargātajiem lietotājiem ir pieejamas pēdējās garantētās piegādes izmantošanas tiesības.</w:t>
            </w:r>
          </w:p>
          <w:p w:rsidR="005526CE" w:rsidRDefault="005526CE" w:rsidP="000A72F6">
            <w:pPr>
              <w:spacing w:after="120" w:line="240" w:lineRule="auto"/>
              <w:jc w:val="both"/>
              <w:rPr>
                <w:rFonts w:ascii="Times New Roman" w:hAnsi="Times New Roman"/>
                <w:bCs/>
              </w:rPr>
            </w:pPr>
            <w:r w:rsidRPr="003D12AB">
              <w:rPr>
                <w:rFonts w:ascii="Times New Roman" w:hAnsi="Times New Roman"/>
                <w:bCs/>
              </w:rPr>
              <w:t xml:space="preserve">Veidojot nosacījumus efektīvam un integrētam elektroenerģijas tirgum, ir nepieciešams pakāpeniski samazināt to lietotāju skaitu, kas saņem elektroenerģiju par regulētām cenām, un tādejādi nodrošinot pietiekama skaita tirgus dalībnieku klātbūtni tirgū līdz brīdim, kad regulētas cenas vairs netiks noteiktas un elektroenerģijas tirgus tiks pilnībā atvērts.  </w:t>
            </w:r>
          </w:p>
          <w:p w:rsidR="005526CE" w:rsidRPr="003D12AB" w:rsidRDefault="005526CE" w:rsidP="000A72F6">
            <w:pPr>
              <w:spacing w:after="120" w:line="240" w:lineRule="auto"/>
              <w:jc w:val="both"/>
              <w:rPr>
                <w:rFonts w:ascii="Times New Roman" w:hAnsi="Times New Roman"/>
                <w:bCs/>
              </w:rPr>
            </w:pPr>
            <w:r w:rsidRPr="003D12AB">
              <w:rPr>
                <w:rFonts w:ascii="Times New Roman" w:hAnsi="Times New Roman"/>
                <w:bCs/>
              </w:rPr>
              <w:t xml:space="preserve">Norvēģija ir viena no </w:t>
            </w:r>
            <w:r w:rsidR="00BB3D26" w:rsidRPr="003D12AB">
              <w:rPr>
                <w:rFonts w:ascii="Times New Roman" w:hAnsi="Times New Roman"/>
                <w:bCs/>
              </w:rPr>
              <w:t xml:space="preserve"> </w:t>
            </w:r>
            <w:r w:rsidR="00BB3D26">
              <w:rPr>
                <w:rFonts w:ascii="Times New Roman" w:hAnsi="Times New Roman"/>
                <w:bCs/>
              </w:rPr>
              <w:t>e</w:t>
            </w:r>
            <w:r w:rsidR="00BB3D26" w:rsidRPr="003D12AB">
              <w:rPr>
                <w:rFonts w:ascii="Times New Roman" w:hAnsi="Times New Roman"/>
                <w:bCs/>
              </w:rPr>
              <w:t>lektroenerģijas</w:t>
            </w:r>
            <w:r w:rsidR="00BB3D26">
              <w:rPr>
                <w:rFonts w:ascii="Times New Roman" w:hAnsi="Times New Roman"/>
                <w:bCs/>
              </w:rPr>
              <w:t xml:space="preserve"> tirgus liberalizācijas procesu</w:t>
            </w:r>
            <w:r w:rsidR="00BB3D26" w:rsidRPr="003D12AB">
              <w:rPr>
                <w:rFonts w:ascii="Times New Roman" w:hAnsi="Times New Roman"/>
                <w:bCs/>
              </w:rPr>
              <w:t xml:space="preserve"> </w:t>
            </w:r>
            <w:r w:rsidRPr="003D12AB">
              <w:rPr>
                <w:rFonts w:ascii="Times New Roman" w:hAnsi="Times New Roman"/>
                <w:bCs/>
              </w:rPr>
              <w:t>aizsācējām. Norvēģijas elektroenerģijas tirgus tika pilnīgā atvērts 1991.</w:t>
            </w:r>
            <w:r w:rsidR="006F7D9F">
              <w:rPr>
                <w:rFonts w:ascii="Times New Roman" w:hAnsi="Times New Roman"/>
                <w:bCs/>
              </w:rPr>
              <w:t> </w:t>
            </w:r>
            <w:r w:rsidRPr="003D12AB">
              <w:rPr>
                <w:rFonts w:ascii="Times New Roman" w:hAnsi="Times New Roman"/>
                <w:bCs/>
              </w:rPr>
              <w:t>gadā</w:t>
            </w:r>
            <w:r w:rsidR="006F7D9F" w:rsidRPr="003D12AB">
              <w:rPr>
                <w:rFonts w:ascii="Times New Roman" w:hAnsi="Times New Roman"/>
                <w:bCs/>
              </w:rPr>
              <w:t>, un</w:t>
            </w:r>
            <w:r w:rsidRPr="003D12AB">
              <w:rPr>
                <w:rFonts w:ascii="Times New Roman" w:hAnsi="Times New Roman"/>
                <w:bCs/>
              </w:rPr>
              <w:t xml:space="preserve"> atvēršana nenotika pakāpeniski, bet gan vienlaicīgi visiem lietotājiem. Ar tirgus atvēršanu tika atcelti līdz tam pastāvošie regulētie gala tarifi (arī mājsaimniecībām), bet tika izveidots pēdējās piegādes instruments. Elektroenerģijas mazumtirdzniecības cenas Norvēģijā korelē ar vairumtirdzniecības cenu izmaiņām, tomēr  dažkārt mazumtirdzniecības cenas atpaliek no vairumtirdzniecības cenu svārstībām.</w:t>
            </w:r>
          </w:p>
          <w:p w:rsidR="005526CE" w:rsidRPr="003D12AB" w:rsidRDefault="005526CE" w:rsidP="000A72F6">
            <w:pPr>
              <w:spacing w:after="120" w:line="240" w:lineRule="auto"/>
              <w:jc w:val="both"/>
              <w:rPr>
                <w:rFonts w:ascii="Times New Roman" w:hAnsi="Times New Roman"/>
                <w:bCs/>
              </w:rPr>
            </w:pPr>
            <w:r w:rsidRPr="003D12AB">
              <w:rPr>
                <w:rFonts w:ascii="Times New Roman" w:hAnsi="Times New Roman"/>
                <w:bCs/>
              </w:rPr>
              <w:t xml:space="preserve">Somijas elektroenerģijas tirgus ir pilnībā atvērts jau kopš 1998.gada beigām, līdz ar to visi elektroenerģijas lietotāji, tostarp mājsaimniecības, jau vairāk kā desmit gadu var brīvi izvēlēties un mainīt savu elektroenerģijas piegādātāju. Mazumtirdzniecības cenas Somijā nav regulētas un to izmaiņas ir cieši saistītas ar vairumtirdzniecības cenu </w:t>
            </w:r>
            <w:r w:rsidRPr="003D12AB">
              <w:rPr>
                <w:rFonts w:ascii="Times New Roman" w:hAnsi="Times New Roman"/>
                <w:bCs/>
              </w:rPr>
              <w:lastRenderedPageBreak/>
              <w:t xml:space="preserve">izmaiņām, kas savukārt mainās no tirgus apstākļiem, resursu pieejamības un elektrosistēmas kapacitātes iespējām. </w:t>
            </w:r>
          </w:p>
          <w:p w:rsidR="005526CE" w:rsidRPr="003D12AB" w:rsidRDefault="000A72F6" w:rsidP="000A72F6">
            <w:pPr>
              <w:spacing w:after="120" w:line="240" w:lineRule="auto"/>
              <w:jc w:val="both"/>
              <w:rPr>
                <w:rFonts w:ascii="Times New Roman" w:hAnsi="Times New Roman"/>
                <w:bCs/>
              </w:rPr>
            </w:pPr>
            <w:r>
              <w:rPr>
                <w:rFonts w:ascii="Times New Roman" w:hAnsi="Times New Roman"/>
                <w:bCs/>
              </w:rPr>
              <w:t>Ziemeļvalstu</w:t>
            </w:r>
            <w:r w:rsidR="005526CE" w:rsidRPr="003D12AB">
              <w:rPr>
                <w:rFonts w:ascii="Times New Roman" w:hAnsi="Times New Roman"/>
                <w:bCs/>
              </w:rPr>
              <w:t xml:space="preserve"> pieredze liecina, ka mazumtirdzniecības tirgus izveidošana ir nozīmīgs process kopējā tirgus izveidei. Mazumtirdzniecības tirgus nodrošina lietotājiem ieguvumus no tirgotāju dažādajiem produktiem, sniegtajiem servisa pakalpojumiem un pakalpojumu sniegšanas metodēm.</w:t>
            </w:r>
          </w:p>
          <w:p w:rsidR="005526CE" w:rsidRPr="003D12AB" w:rsidRDefault="005526CE" w:rsidP="009230B4">
            <w:pPr>
              <w:spacing w:after="0" w:line="240" w:lineRule="auto"/>
              <w:jc w:val="both"/>
              <w:rPr>
                <w:rFonts w:ascii="Times New Roman" w:hAnsi="Times New Roman"/>
                <w:bCs/>
              </w:rPr>
            </w:pPr>
            <w:r w:rsidRPr="003D12AB">
              <w:rPr>
                <w:rFonts w:ascii="Times New Roman" w:hAnsi="Times New Roman"/>
                <w:bCs/>
              </w:rPr>
              <w:t xml:space="preserve">Igaunijā  2013. gada 1. janvārī elektroenerģijas tirgus tika atvērts pilnībā, un arī visas Igaunijas mājsaimniecības turpmāk pirks elektroenerģiju par mēneša vidējo </w:t>
            </w:r>
            <w:r w:rsidRPr="00E15C93">
              <w:rPr>
                <w:rFonts w:ascii="Times New Roman" w:hAnsi="Times New Roman"/>
                <w:bCs/>
                <w:i/>
              </w:rPr>
              <w:t>Nord</w:t>
            </w:r>
            <w:r w:rsidR="007974FC" w:rsidRPr="00E15C93">
              <w:rPr>
                <w:rFonts w:ascii="Times New Roman" w:hAnsi="Times New Roman"/>
                <w:bCs/>
                <w:i/>
              </w:rPr>
              <w:t xml:space="preserve"> </w:t>
            </w:r>
            <w:r w:rsidRPr="00E15C93">
              <w:rPr>
                <w:rFonts w:ascii="Times New Roman" w:hAnsi="Times New Roman"/>
                <w:bCs/>
                <w:i/>
              </w:rPr>
              <w:t>Pool Spot</w:t>
            </w:r>
            <w:r w:rsidRPr="003D12AB">
              <w:rPr>
                <w:rFonts w:ascii="Times New Roman" w:hAnsi="Times New Roman"/>
                <w:bCs/>
              </w:rPr>
              <w:t xml:space="preserve"> biržas cenu, tai pievienojot sapr</w:t>
            </w:r>
            <w:r w:rsidR="00BB3D26">
              <w:rPr>
                <w:rFonts w:ascii="Times New Roman" w:hAnsi="Times New Roman"/>
                <w:bCs/>
              </w:rPr>
              <w:t>ā</w:t>
            </w:r>
            <w:r w:rsidRPr="003D12AB">
              <w:rPr>
                <w:rFonts w:ascii="Times New Roman" w:hAnsi="Times New Roman"/>
                <w:bCs/>
              </w:rPr>
              <w:t xml:space="preserve">tīgu uzcenojumu. </w:t>
            </w:r>
          </w:p>
          <w:p w:rsidR="005526CE" w:rsidRPr="003D12AB" w:rsidRDefault="005526CE" w:rsidP="000A72F6">
            <w:pPr>
              <w:spacing w:after="120" w:line="240" w:lineRule="auto"/>
              <w:jc w:val="both"/>
              <w:rPr>
                <w:rFonts w:ascii="Times New Roman" w:hAnsi="Times New Roman"/>
                <w:bCs/>
              </w:rPr>
            </w:pPr>
            <w:r w:rsidRPr="003D12AB">
              <w:rPr>
                <w:rFonts w:ascii="Times New Roman" w:hAnsi="Times New Roman"/>
                <w:bCs/>
              </w:rPr>
              <w:t>Lietuvā no 2013. gada 1. janvāra visi lietotāji, kas ir juridiskas personas, kļ</w:t>
            </w:r>
            <w:r w:rsidR="001A54A9" w:rsidRPr="003D12AB">
              <w:rPr>
                <w:rFonts w:ascii="Times New Roman" w:hAnsi="Times New Roman"/>
                <w:bCs/>
              </w:rPr>
              <w:t>u</w:t>
            </w:r>
            <w:r w:rsidRPr="003D12AB">
              <w:rPr>
                <w:rFonts w:ascii="Times New Roman" w:hAnsi="Times New Roman"/>
                <w:bCs/>
              </w:rPr>
              <w:t xml:space="preserve">va par tirgus dalībniekiem, bet mājsaimniecību cenu regulācija tiks saglabāta līdz 2015. gada 1. janvārim. </w:t>
            </w:r>
          </w:p>
          <w:p w:rsidR="005526CE" w:rsidRPr="003D12AB" w:rsidRDefault="005526CE" w:rsidP="000A72F6">
            <w:pPr>
              <w:spacing w:after="120" w:line="240" w:lineRule="auto"/>
              <w:jc w:val="both"/>
              <w:rPr>
                <w:rFonts w:ascii="Times New Roman" w:hAnsi="Times New Roman"/>
                <w:bCs/>
              </w:rPr>
            </w:pPr>
            <w:r w:rsidRPr="003D12AB">
              <w:rPr>
                <w:rFonts w:ascii="Times New Roman" w:hAnsi="Times New Roman"/>
                <w:bCs/>
              </w:rPr>
              <w:t>Līdz šim elektroenerģijas tirgus atvēršana Latvijā notika pakāpeniski un ir veiksmīgi noritējusi trīs posmos, tirgū iesaistot visus Latvijas elektroenerģijas lietotājus izņemot mājsaimniecības. Līdz ar to Latvijas atvērtā elektroenerģijas tirgus daļa sasniegusi 75% no kopējā elektroenerģijas patēriņa</w:t>
            </w:r>
            <w:r w:rsidR="000A72F6">
              <w:rPr>
                <w:rFonts w:ascii="Times New Roman" w:hAnsi="Times New Roman"/>
                <w:bCs/>
              </w:rPr>
              <w:t>.</w:t>
            </w:r>
          </w:p>
          <w:p w:rsidR="005526CE" w:rsidRPr="003D12AB" w:rsidRDefault="005526CE" w:rsidP="000A72F6">
            <w:pPr>
              <w:spacing w:after="120" w:line="240" w:lineRule="auto"/>
              <w:jc w:val="both"/>
              <w:rPr>
                <w:rFonts w:ascii="Times New Roman" w:hAnsi="Times New Roman"/>
              </w:rPr>
            </w:pPr>
            <w:r w:rsidRPr="003D12AB">
              <w:rPr>
                <w:rFonts w:ascii="Times New Roman" w:hAnsi="Times New Roman"/>
              </w:rPr>
              <w:t>Sadales sistēmas operators un tirgotāji veiksmīgi pielāgoja gan savas uzskaites, gan norēķinu sistēmas liela skaita lietotāju vienlaicīgai statusa maiņai, tādējādi gan sistēmas operators, gan tirgotāji ir gatavi tirgus tālākai liberalizācijai.</w:t>
            </w:r>
          </w:p>
          <w:p w:rsidR="005526CE" w:rsidRPr="003D12AB" w:rsidRDefault="005526CE" w:rsidP="000A72F6">
            <w:pPr>
              <w:spacing w:after="120" w:line="240" w:lineRule="auto"/>
              <w:jc w:val="both"/>
              <w:rPr>
                <w:rFonts w:ascii="Times New Roman" w:hAnsi="Times New Roman"/>
              </w:rPr>
            </w:pPr>
            <w:r w:rsidRPr="003D12AB">
              <w:rPr>
                <w:rFonts w:ascii="Times New Roman" w:hAnsi="Times New Roman"/>
              </w:rPr>
              <w:t>Nozīmīgs faktors tirgus veiksmīgai saistīto lietotāju skaita samazināšanai bija arī stabilās elektroenerģijas biržas cenas. Cena, par kādu tirgus dalībnieki varēja pirkt elektroenerģiju, kopumā ir bijusi līdzīga vai zemāka par regulētajos tarifos iekļauto elektroenerģijas cenu un pēdējās garantētās piegādes cenu. Paredzams, ka nākamā perioda biržas cenas gada griezumā varētu saglabāties līdzīgas, tāpēc kļūšana par tirgus dalībniekiem neradīs finansiālo slogu lietotājiem.</w:t>
            </w:r>
          </w:p>
          <w:p w:rsidR="00554262" w:rsidRPr="00E24D9A" w:rsidRDefault="00554262" w:rsidP="00554262">
            <w:pPr>
              <w:pStyle w:val="naiskr"/>
              <w:spacing w:after="0"/>
              <w:ind w:hanging="5"/>
              <w:jc w:val="both"/>
              <w:rPr>
                <w:sz w:val="22"/>
                <w:szCs w:val="22"/>
              </w:rPr>
            </w:pPr>
            <w:r w:rsidRPr="00E24D9A">
              <w:rPr>
                <w:sz w:val="22"/>
                <w:szCs w:val="22"/>
              </w:rPr>
              <w:t>2012.gadā atbalstu elektroenerģijas ražošanai obligātā iepirkuma ietv</w:t>
            </w:r>
            <w:r w:rsidR="000A72F6">
              <w:rPr>
                <w:sz w:val="22"/>
                <w:szCs w:val="22"/>
              </w:rPr>
              <w:t>aros saņēma četras liel</w:t>
            </w:r>
            <w:r w:rsidR="00BB3D26">
              <w:rPr>
                <w:sz w:val="22"/>
                <w:szCs w:val="22"/>
              </w:rPr>
              <w:t>ās</w:t>
            </w:r>
            <w:r w:rsidR="000A72F6">
              <w:rPr>
                <w:sz w:val="22"/>
                <w:szCs w:val="22"/>
              </w:rPr>
              <w:t xml:space="preserve"> dabas</w:t>
            </w:r>
            <w:r w:rsidRPr="00E24D9A">
              <w:rPr>
                <w:sz w:val="22"/>
                <w:szCs w:val="22"/>
              </w:rPr>
              <w:t>gāzes stacijas ar jaudu virs 4 MW, kuras visas ir izvietotas Rīgā - SIA „Jugla jauda” ar neto jaudu 14,9 MW (līdz 2012.</w:t>
            </w:r>
            <w:r w:rsidR="006F7D9F">
              <w:rPr>
                <w:sz w:val="22"/>
                <w:szCs w:val="22"/>
              </w:rPr>
              <w:t> </w:t>
            </w:r>
            <w:r w:rsidRPr="00E24D9A">
              <w:rPr>
                <w:sz w:val="22"/>
                <w:szCs w:val="22"/>
              </w:rPr>
              <w:t>gada aprīlim bija 11,8 MW),  AS „Rīgas siltums” siltuma centrāle  „Imanta” ar neto jaudu 47,7 MW, Rīgas TEC-1 ar neto jaudu 139 MW un Rīgas TEC-2 ar neto jaudu 612 MW (814 MW 2014.</w:t>
            </w:r>
            <w:r w:rsidR="006F7D9F">
              <w:rPr>
                <w:sz w:val="22"/>
                <w:szCs w:val="22"/>
              </w:rPr>
              <w:t> </w:t>
            </w:r>
            <w:r w:rsidRPr="00E24D9A">
              <w:rPr>
                <w:sz w:val="22"/>
                <w:szCs w:val="22"/>
              </w:rPr>
              <w:t>gadā pēc 2.</w:t>
            </w:r>
            <w:r w:rsidR="006F7D9F">
              <w:rPr>
                <w:sz w:val="22"/>
                <w:szCs w:val="22"/>
              </w:rPr>
              <w:t> </w:t>
            </w:r>
            <w:r w:rsidRPr="00E24D9A">
              <w:rPr>
                <w:sz w:val="22"/>
                <w:szCs w:val="22"/>
              </w:rPr>
              <w:t>energobloka rekonstrukcijas pabeigšanas). No 2013.</w:t>
            </w:r>
            <w:r w:rsidR="006F7D9F">
              <w:rPr>
                <w:sz w:val="22"/>
                <w:szCs w:val="22"/>
              </w:rPr>
              <w:t> </w:t>
            </w:r>
            <w:r w:rsidRPr="00E24D9A">
              <w:rPr>
                <w:sz w:val="22"/>
                <w:szCs w:val="22"/>
              </w:rPr>
              <w:t>gada 1.</w:t>
            </w:r>
            <w:r w:rsidR="006F7D9F">
              <w:rPr>
                <w:sz w:val="22"/>
                <w:szCs w:val="22"/>
              </w:rPr>
              <w:t> </w:t>
            </w:r>
            <w:r w:rsidRPr="00E24D9A">
              <w:rPr>
                <w:sz w:val="22"/>
                <w:szCs w:val="22"/>
              </w:rPr>
              <w:t xml:space="preserve">aprīļa apstiprinātā </w:t>
            </w:r>
            <w:r w:rsidR="008426C2">
              <w:rPr>
                <w:sz w:val="22"/>
                <w:szCs w:val="22"/>
              </w:rPr>
              <w:t xml:space="preserve">obligātā iepirkuma komponente (turpmāk – </w:t>
            </w:r>
            <w:r w:rsidRPr="00E24D9A">
              <w:rPr>
                <w:sz w:val="22"/>
                <w:szCs w:val="22"/>
              </w:rPr>
              <w:t>OIK</w:t>
            </w:r>
            <w:r w:rsidR="008426C2">
              <w:rPr>
                <w:sz w:val="22"/>
                <w:szCs w:val="22"/>
              </w:rPr>
              <w:t>)</w:t>
            </w:r>
            <w:r w:rsidRPr="00E24D9A">
              <w:rPr>
                <w:sz w:val="22"/>
                <w:szCs w:val="22"/>
              </w:rPr>
              <w:t xml:space="preserve"> ir 0,0189 LVL/kWh, tajā skaitā:</w:t>
            </w:r>
          </w:p>
          <w:p w:rsidR="00554262" w:rsidRPr="00E24D9A" w:rsidRDefault="00554262" w:rsidP="00554262">
            <w:pPr>
              <w:pStyle w:val="naiskr"/>
              <w:numPr>
                <w:ilvl w:val="0"/>
                <w:numId w:val="14"/>
              </w:numPr>
              <w:spacing w:after="0"/>
              <w:jc w:val="both"/>
              <w:rPr>
                <w:sz w:val="22"/>
                <w:szCs w:val="22"/>
              </w:rPr>
            </w:pPr>
            <w:r w:rsidRPr="00E24D9A">
              <w:rPr>
                <w:sz w:val="22"/>
                <w:szCs w:val="22"/>
              </w:rPr>
              <w:t>komponente no ražotājiem, kas elektroenerģiju ražo koģenerācijā – 0,0133 LVL/kWh;</w:t>
            </w:r>
          </w:p>
          <w:p w:rsidR="00554262" w:rsidRPr="00E24D9A" w:rsidRDefault="00554262" w:rsidP="00554262">
            <w:pPr>
              <w:pStyle w:val="naiskr"/>
              <w:numPr>
                <w:ilvl w:val="0"/>
                <w:numId w:val="14"/>
              </w:numPr>
              <w:spacing w:after="0"/>
              <w:jc w:val="both"/>
              <w:rPr>
                <w:sz w:val="22"/>
                <w:szCs w:val="22"/>
              </w:rPr>
            </w:pPr>
            <w:r w:rsidRPr="00E24D9A">
              <w:rPr>
                <w:sz w:val="22"/>
                <w:szCs w:val="22"/>
              </w:rPr>
              <w:t>komponente no ražotājiem, kas elektroenerģiju ražo, izmantojot atjaunojamos energoresursus – 0,0056 LVL/kWh.</w:t>
            </w:r>
          </w:p>
          <w:p w:rsidR="00554262" w:rsidRPr="00E24D9A" w:rsidRDefault="00A332A1" w:rsidP="00554262">
            <w:pPr>
              <w:pStyle w:val="naiskr"/>
              <w:spacing w:before="0" w:after="0"/>
              <w:ind w:hanging="5"/>
              <w:jc w:val="both"/>
              <w:rPr>
                <w:sz w:val="22"/>
                <w:szCs w:val="22"/>
              </w:rPr>
            </w:pPr>
            <w:r w:rsidRPr="00A332A1">
              <w:rPr>
                <w:sz w:val="22"/>
                <w:szCs w:val="22"/>
              </w:rPr>
              <w:t xml:space="preserve">2012.gadā </w:t>
            </w:r>
            <w:r>
              <w:rPr>
                <w:sz w:val="22"/>
                <w:szCs w:val="22"/>
              </w:rPr>
              <w:t xml:space="preserve"> a</w:t>
            </w:r>
            <w:r w:rsidR="00554262" w:rsidRPr="00E24D9A">
              <w:rPr>
                <w:sz w:val="22"/>
                <w:szCs w:val="22"/>
              </w:rPr>
              <w:t>tbalsts koģenerācijas stacijām ar jaudu virs 4 MW veido 66% no OIK koģenerācijas komponentes</w:t>
            </w:r>
            <w:r>
              <w:rPr>
                <w:sz w:val="22"/>
                <w:szCs w:val="22"/>
              </w:rPr>
              <w:t xml:space="preserve">, t.sk. </w:t>
            </w:r>
            <w:r>
              <w:t xml:space="preserve"> </w:t>
            </w:r>
            <w:r w:rsidRPr="00A332A1">
              <w:rPr>
                <w:sz w:val="22"/>
                <w:szCs w:val="22"/>
              </w:rPr>
              <w:t>AS „Latvenergo” TEC</w:t>
            </w:r>
            <w:r>
              <w:rPr>
                <w:sz w:val="22"/>
                <w:szCs w:val="22"/>
              </w:rPr>
              <w:t>-u</w:t>
            </w:r>
            <w:r w:rsidRPr="00A332A1">
              <w:rPr>
                <w:sz w:val="22"/>
                <w:szCs w:val="22"/>
              </w:rPr>
              <w:t xml:space="preserve"> īpatsvars OIK </w:t>
            </w:r>
            <w:r>
              <w:rPr>
                <w:sz w:val="22"/>
                <w:szCs w:val="22"/>
              </w:rPr>
              <w:t>-</w:t>
            </w:r>
            <w:r w:rsidRPr="00A332A1">
              <w:rPr>
                <w:sz w:val="22"/>
                <w:szCs w:val="22"/>
              </w:rPr>
              <w:t xml:space="preserve"> 42%</w:t>
            </w:r>
            <w:r w:rsidR="00554262" w:rsidRPr="00E24D9A">
              <w:rPr>
                <w:sz w:val="22"/>
                <w:szCs w:val="22"/>
              </w:rPr>
              <w:t>. 2012. gadā atbalsts virs elektroenerģijas tirgus cenas šīm stacijām bija 61,7 milj. LVL, t.i. 46% no visas atbalsta summas virs tirgus cenas.</w:t>
            </w:r>
            <w:r w:rsidR="006F17ED" w:rsidRPr="00E24D9A">
              <w:rPr>
                <w:sz w:val="22"/>
                <w:szCs w:val="22"/>
              </w:rPr>
              <w:t xml:space="preserve"> 2013.</w:t>
            </w:r>
            <w:r w:rsidR="006F7D9F">
              <w:rPr>
                <w:sz w:val="22"/>
                <w:szCs w:val="22"/>
              </w:rPr>
              <w:t> </w:t>
            </w:r>
            <w:r w:rsidR="006F17ED" w:rsidRPr="00E24D9A">
              <w:rPr>
                <w:sz w:val="22"/>
                <w:szCs w:val="22"/>
              </w:rPr>
              <w:t xml:space="preserve">gada </w:t>
            </w:r>
            <w:r w:rsidR="00BB3D26">
              <w:rPr>
                <w:sz w:val="22"/>
                <w:szCs w:val="22"/>
              </w:rPr>
              <w:t>11.septembrī</w:t>
            </w:r>
            <w:r w:rsidR="00BB3D26" w:rsidRPr="00E24D9A">
              <w:rPr>
                <w:sz w:val="22"/>
                <w:szCs w:val="22"/>
              </w:rPr>
              <w:t xml:space="preserve"> </w:t>
            </w:r>
            <w:r w:rsidR="006F17ED" w:rsidRPr="00E24D9A">
              <w:rPr>
                <w:sz w:val="22"/>
                <w:szCs w:val="22"/>
              </w:rPr>
              <w:t>Jelgavā darbu uzsāk</w:t>
            </w:r>
            <w:r w:rsidR="00BB3D26">
              <w:rPr>
                <w:sz w:val="22"/>
                <w:szCs w:val="22"/>
              </w:rPr>
              <w:t>a</w:t>
            </w:r>
            <w:r w:rsidR="006F17ED" w:rsidRPr="00E24D9A">
              <w:rPr>
                <w:sz w:val="22"/>
                <w:szCs w:val="22"/>
              </w:rPr>
              <w:t xml:space="preserve"> SIA „Fortum” koģenerācijas stacija</w:t>
            </w:r>
            <w:r w:rsidR="00BB3D26">
              <w:rPr>
                <w:sz w:val="22"/>
                <w:szCs w:val="22"/>
              </w:rPr>
              <w:t xml:space="preserve"> ar</w:t>
            </w:r>
            <w:r w:rsidR="006F17ED" w:rsidRPr="00E24D9A">
              <w:rPr>
                <w:sz w:val="22"/>
                <w:szCs w:val="22"/>
              </w:rPr>
              <w:t xml:space="preserve"> </w:t>
            </w:r>
            <w:r w:rsidR="00BB3D26" w:rsidRPr="00E24D9A">
              <w:rPr>
                <w:sz w:val="22"/>
                <w:szCs w:val="22"/>
              </w:rPr>
              <w:t>uzstādīt</w:t>
            </w:r>
            <w:r w:rsidR="00BB3D26">
              <w:rPr>
                <w:sz w:val="22"/>
                <w:szCs w:val="22"/>
              </w:rPr>
              <w:t xml:space="preserve">o </w:t>
            </w:r>
            <w:r w:rsidR="006F17ED" w:rsidRPr="00E24D9A">
              <w:rPr>
                <w:sz w:val="22"/>
                <w:szCs w:val="22"/>
              </w:rPr>
              <w:t>elektrisk</w:t>
            </w:r>
            <w:r w:rsidR="00BB3D26">
              <w:rPr>
                <w:sz w:val="22"/>
                <w:szCs w:val="22"/>
              </w:rPr>
              <w:t>o</w:t>
            </w:r>
            <w:r w:rsidR="006F17ED" w:rsidRPr="00E24D9A">
              <w:rPr>
                <w:sz w:val="22"/>
                <w:szCs w:val="22"/>
              </w:rPr>
              <w:t xml:space="preserve"> jaud</w:t>
            </w:r>
            <w:r w:rsidR="00BB3D26">
              <w:rPr>
                <w:sz w:val="22"/>
                <w:szCs w:val="22"/>
              </w:rPr>
              <w:t>u</w:t>
            </w:r>
            <w:r w:rsidR="006F17ED" w:rsidRPr="00E24D9A">
              <w:rPr>
                <w:sz w:val="22"/>
                <w:szCs w:val="22"/>
              </w:rPr>
              <w:t xml:space="preserve"> 23</w:t>
            </w:r>
            <w:r w:rsidR="000A72F6">
              <w:rPr>
                <w:sz w:val="22"/>
                <w:szCs w:val="22"/>
              </w:rPr>
              <w:t xml:space="preserve"> </w:t>
            </w:r>
            <w:r w:rsidR="006F17ED" w:rsidRPr="00E24D9A">
              <w:rPr>
                <w:sz w:val="22"/>
                <w:szCs w:val="22"/>
              </w:rPr>
              <w:t>MW</w:t>
            </w:r>
            <w:r w:rsidR="00BB3D26">
              <w:rPr>
                <w:sz w:val="22"/>
                <w:szCs w:val="22"/>
              </w:rPr>
              <w:t>,</w:t>
            </w:r>
            <w:r w:rsidR="006F17ED" w:rsidRPr="00E24D9A">
              <w:rPr>
                <w:sz w:val="22"/>
                <w:szCs w:val="22"/>
              </w:rPr>
              <w:t xml:space="preserve"> kura saņems atbalstu garantētās maksas par uzstādīto </w:t>
            </w:r>
            <w:r w:rsidR="000A72F6">
              <w:rPr>
                <w:sz w:val="22"/>
                <w:szCs w:val="22"/>
              </w:rPr>
              <w:t xml:space="preserve">elektrisko </w:t>
            </w:r>
            <w:r w:rsidR="006F17ED" w:rsidRPr="00E24D9A">
              <w:rPr>
                <w:sz w:val="22"/>
                <w:szCs w:val="22"/>
              </w:rPr>
              <w:t>jaudu</w:t>
            </w:r>
            <w:r w:rsidR="000A72F6">
              <w:rPr>
                <w:sz w:val="22"/>
                <w:szCs w:val="22"/>
              </w:rPr>
              <w:t xml:space="preserve"> veidā</w:t>
            </w:r>
            <w:r w:rsidR="006F17ED" w:rsidRPr="00E24D9A">
              <w:rPr>
                <w:sz w:val="22"/>
                <w:szCs w:val="22"/>
              </w:rPr>
              <w:t>.</w:t>
            </w:r>
            <w:r w:rsidR="00C441F9" w:rsidRPr="00E24D9A">
              <w:rPr>
                <w:sz w:val="22"/>
                <w:szCs w:val="22"/>
              </w:rPr>
              <w:t xml:space="preserve"> </w:t>
            </w:r>
            <w:r w:rsidR="0060577C" w:rsidRPr="00E24D9A">
              <w:rPr>
                <w:sz w:val="22"/>
                <w:szCs w:val="22"/>
              </w:rPr>
              <w:t xml:space="preserve">Līdz ar to, nemainot atbalsta intensitāti, komponente no </w:t>
            </w:r>
            <w:r w:rsidR="0060577C" w:rsidRPr="00E24D9A">
              <w:rPr>
                <w:sz w:val="22"/>
                <w:szCs w:val="22"/>
              </w:rPr>
              <w:lastRenderedPageBreak/>
              <w:t>ražotājiem, kas elektroenerģiju ražo koģenerācijā</w:t>
            </w:r>
            <w:r w:rsidR="000A72F6">
              <w:rPr>
                <w:sz w:val="22"/>
                <w:szCs w:val="22"/>
              </w:rPr>
              <w:t>,</w:t>
            </w:r>
            <w:r w:rsidR="0060577C" w:rsidRPr="00E24D9A">
              <w:rPr>
                <w:sz w:val="22"/>
                <w:szCs w:val="22"/>
              </w:rPr>
              <w:t xml:space="preserve"> turpinās pieaugt. </w:t>
            </w:r>
            <w:r w:rsidR="00A47DB3" w:rsidRPr="00E24D9A">
              <w:rPr>
                <w:sz w:val="22"/>
                <w:szCs w:val="22"/>
              </w:rPr>
              <w:t xml:space="preserve">Lai saglabātu ražotāju konkurētspēju un  nepalielinātu mājsaimniecību izdevumu līmeni un vienlaikus garantētu elektroenerģijas ražotājiem obligātā iepirkuma izmaksas, nepieciešams </w:t>
            </w:r>
            <w:r w:rsidR="0060577C" w:rsidRPr="00E24D9A">
              <w:rPr>
                <w:sz w:val="22"/>
                <w:szCs w:val="22"/>
              </w:rPr>
              <w:t>koģenerācijas  stacijām ar uzstādīto jaudu</w:t>
            </w:r>
            <w:r w:rsidR="00343793">
              <w:rPr>
                <w:sz w:val="22"/>
                <w:szCs w:val="22"/>
              </w:rPr>
              <w:t xml:space="preserve"> lielāku par</w:t>
            </w:r>
            <w:r w:rsidR="0060577C" w:rsidRPr="00E24D9A">
              <w:rPr>
                <w:sz w:val="22"/>
                <w:szCs w:val="22"/>
              </w:rPr>
              <w:t xml:space="preserve"> 4MW, </w:t>
            </w:r>
            <w:r w:rsidR="00A47DB3" w:rsidRPr="00E24D9A">
              <w:rPr>
                <w:sz w:val="22"/>
                <w:szCs w:val="22"/>
              </w:rPr>
              <w:t xml:space="preserve">samazināt atbalsta intensitāti. </w:t>
            </w:r>
          </w:p>
          <w:p w:rsidR="005526CE" w:rsidRPr="003D12AB" w:rsidRDefault="00240A30" w:rsidP="00DA0206">
            <w:pPr>
              <w:pStyle w:val="naiskr"/>
              <w:spacing w:after="0"/>
              <w:ind w:hanging="5"/>
              <w:jc w:val="both"/>
              <w:rPr>
                <w:sz w:val="22"/>
                <w:szCs w:val="22"/>
              </w:rPr>
            </w:pPr>
            <w:r w:rsidRPr="00E24D9A">
              <w:rPr>
                <w:sz w:val="22"/>
                <w:szCs w:val="22"/>
              </w:rPr>
              <w:t>Pašlaik publiskā tirgotāja pienākumus, tajā skaitā koģenerācijā saražotās elektroenerģijas un elektroenerģijas, kas saražota, izmantojot atjaunojamos energoresursus, iepirkšanu obligātā iepirkuma ietvaros veic AS „Latvenergo”, jo atbilst ETL 33. panta pirm</w:t>
            </w:r>
            <w:r w:rsidR="00BB3D26">
              <w:rPr>
                <w:sz w:val="22"/>
                <w:szCs w:val="22"/>
              </w:rPr>
              <w:t>ajā</w:t>
            </w:r>
            <w:r w:rsidRPr="00E24D9A">
              <w:rPr>
                <w:sz w:val="22"/>
                <w:szCs w:val="22"/>
              </w:rPr>
              <w:t xml:space="preserve"> daļā noteiktajām prasībām publiskajam</w:t>
            </w:r>
            <w:r>
              <w:rPr>
                <w:sz w:val="22"/>
                <w:szCs w:val="22"/>
              </w:rPr>
              <w:t xml:space="preserve"> tirgotājam. Lai lietotājiem piemērojamo </w:t>
            </w:r>
            <w:r w:rsidRPr="00157AF3">
              <w:rPr>
                <w:sz w:val="22"/>
                <w:szCs w:val="22"/>
              </w:rPr>
              <w:t xml:space="preserve">OIK saglabātu </w:t>
            </w:r>
            <w:r>
              <w:rPr>
                <w:sz w:val="22"/>
                <w:szCs w:val="22"/>
              </w:rPr>
              <w:t>2013.</w:t>
            </w:r>
            <w:r w:rsidR="006F7D9F">
              <w:rPr>
                <w:sz w:val="22"/>
                <w:szCs w:val="22"/>
              </w:rPr>
              <w:t> </w:t>
            </w:r>
            <w:r>
              <w:rPr>
                <w:sz w:val="22"/>
                <w:szCs w:val="22"/>
              </w:rPr>
              <w:t>gada līmenī -</w:t>
            </w:r>
            <w:r w:rsidR="009A574B">
              <w:rPr>
                <w:sz w:val="22"/>
                <w:szCs w:val="22"/>
              </w:rPr>
              <w:t xml:space="preserve"> </w:t>
            </w:r>
            <w:r w:rsidRPr="00157AF3">
              <w:rPr>
                <w:sz w:val="22"/>
                <w:szCs w:val="22"/>
              </w:rPr>
              <w:t>1,89</w:t>
            </w:r>
            <w:r>
              <w:rPr>
                <w:sz w:val="22"/>
                <w:szCs w:val="22"/>
              </w:rPr>
              <w:t xml:space="preserve"> sant./kWh, </w:t>
            </w:r>
            <w:r w:rsidR="008F31E5">
              <w:rPr>
                <w:sz w:val="22"/>
                <w:szCs w:val="22"/>
              </w:rPr>
              <w:t>publiskajam tirgotājam nepieciešams</w:t>
            </w:r>
            <w:r w:rsidR="00452385">
              <w:rPr>
                <w:sz w:val="22"/>
                <w:szCs w:val="22"/>
              </w:rPr>
              <w:t xml:space="preserve"> </w:t>
            </w:r>
            <w:r w:rsidR="008F31E5">
              <w:rPr>
                <w:sz w:val="22"/>
                <w:szCs w:val="22"/>
              </w:rPr>
              <w:t xml:space="preserve"> sa</w:t>
            </w:r>
            <w:r>
              <w:rPr>
                <w:sz w:val="22"/>
                <w:szCs w:val="22"/>
              </w:rPr>
              <w:t>ņem valsts budžeta dotācija.</w:t>
            </w:r>
            <w:r w:rsidR="00C441F9">
              <w:rPr>
                <w:sz w:val="22"/>
                <w:szCs w:val="22"/>
              </w:rPr>
              <w:t xml:space="preserve"> </w:t>
            </w:r>
            <w:r>
              <w:rPr>
                <w:sz w:val="22"/>
                <w:szCs w:val="22"/>
              </w:rPr>
              <w:t>O</w:t>
            </w:r>
            <w:r w:rsidRPr="00766FEB">
              <w:rPr>
                <w:sz w:val="22"/>
                <w:szCs w:val="22"/>
              </w:rPr>
              <w:t xml:space="preserve">ptimāls risinājums, kas pilnībā iekļautos valsts rīcības brīvības robežās, ir </w:t>
            </w:r>
            <w:r>
              <w:rPr>
                <w:sz w:val="22"/>
                <w:szCs w:val="22"/>
              </w:rPr>
              <w:t>jaunas AS „Latvenergo” meitassabiedrības izveidošana, kas</w:t>
            </w:r>
            <w:r w:rsidR="008F31E5">
              <w:rPr>
                <w:sz w:val="22"/>
                <w:szCs w:val="22"/>
              </w:rPr>
              <w:t xml:space="preserve"> pildīs publiskā tirgotāja pienākumus, tajā skaitā,</w:t>
            </w:r>
            <w:r>
              <w:rPr>
                <w:sz w:val="22"/>
                <w:szCs w:val="22"/>
              </w:rPr>
              <w:t xml:space="preserve"> administrēs </w:t>
            </w:r>
            <w:r w:rsidR="008F31E5">
              <w:rPr>
                <w:sz w:val="22"/>
                <w:szCs w:val="22"/>
              </w:rPr>
              <w:t xml:space="preserve"> e</w:t>
            </w:r>
            <w:r w:rsidR="008F31E5" w:rsidRPr="008F31E5">
              <w:rPr>
                <w:sz w:val="22"/>
                <w:szCs w:val="22"/>
              </w:rPr>
              <w:t>lektroenerģijas obligātā iepirkuma ieņēmumu</w:t>
            </w:r>
            <w:r w:rsidR="008F31E5">
              <w:rPr>
                <w:sz w:val="22"/>
                <w:szCs w:val="22"/>
              </w:rPr>
              <w:t>s</w:t>
            </w:r>
            <w:r w:rsidR="008F31E5" w:rsidRPr="008F31E5">
              <w:rPr>
                <w:sz w:val="22"/>
                <w:szCs w:val="22"/>
              </w:rPr>
              <w:t xml:space="preserve"> </w:t>
            </w:r>
            <w:r w:rsidRPr="00766FEB">
              <w:rPr>
                <w:sz w:val="22"/>
                <w:szCs w:val="22"/>
              </w:rPr>
              <w:t xml:space="preserve">, </w:t>
            </w:r>
            <w:r w:rsidR="008F31E5" w:rsidRPr="00766FEB">
              <w:rPr>
                <w:sz w:val="22"/>
                <w:szCs w:val="22"/>
              </w:rPr>
              <w:t>kur</w:t>
            </w:r>
            <w:r w:rsidR="008F31E5">
              <w:rPr>
                <w:sz w:val="22"/>
                <w:szCs w:val="22"/>
              </w:rPr>
              <w:t xml:space="preserve">i veidojas </w:t>
            </w:r>
            <w:r w:rsidRPr="00766FEB">
              <w:rPr>
                <w:sz w:val="22"/>
                <w:szCs w:val="22"/>
              </w:rPr>
              <w:t xml:space="preserve">gan </w:t>
            </w:r>
            <w:r w:rsidR="008F31E5">
              <w:rPr>
                <w:sz w:val="22"/>
                <w:szCs w:val="22"/>
              </w:rPr>
              <w:t xml:space="preserve"> no</w:t>
            </w:r>
            <w:r w:rsidR="008F31E5" w:rsidRPr="00766FEB">
              <w:rPr>
                <w:sz w:val="22"/>
                <w:szCs w:val="22"/>
              </w:rPr>
              <w:t xml:space="preserve"> </w:t>
            </w:r>
            <w:r w:rsidRPr="00766FEB">
              <w:rPr>
                <w:sz w:val="22"/>
                <w:szCs w:val="22"/>
              </w:rPr>
              <w:t xml:space="preserve">lietotāju </w:t>
            </w:r>
            <w:r w:rsidR="00343793">
              <w:rPr>
                <w:sz w:val="22"/>
                <w:szCs w:val="22"/>
              </w:rPr>
              <w:t xml:space="preserve">OIK </w:t>
            </w:r>
            <w:r w:rsidRPr="00766FEB">
              <w:rPr>
                <w:sz w:val="22"/>
                <w:szCs w:val="22"/>
              </w:rPr>
              <w:t>maksājumi</w:t>
            </w:r>
            <w:r w:rsidR="008F31E5">
              <w:rPr>
                <w:sz w:val="22"/>
                <w:szCs w:val="22"/>
              </w:rPr>
              <w:t>em</w:t>
            </w:r>
            <w:r w:rsidRPr="00766FEB">
              <w:rPr>
                <w:sz w:val="22"/>
                <w:szCs w:val="22"/>
              </w:rPr>
              <w:t>, gan maksājumi</w:t>
            </w:r>
            <w:r w:rsidR="008F31E5">
              <w:rPr>
                <w:sz w:val="22"/>
                <w:szCs w:val="22"/>
              </w:rPr>
              <w:t>em</w:t>
            </w:r>
            <w:r w:rsidRPr="00766FEB">
              <w:rPr>
                <w:sz w:val="22"/>
                <w:szCs w:val="22"/>
              </w:rPr>
              <w:t xml:space="preserve"> no valsts budžeta</w:t>
            </w:r>
            <w:r>
              <w:rPr>
                <w:sz w:val="22"/>
                <w:szCs w:val="22"/>
              </w:rPr>
              <w:t>. Līdz ar to tiktu  novērsti iespējamie konkurences un juridiskie riski</w:t>
            </w:r>
            <w:r w:rsidRPr="00240A30">
              <w:rPr>
                <w:sz w:val="22"/>
                <w:szCs w:val="22"/>
              </w:rPr>
              <w:t>, kas var rasties, ja AS „Latvenergo” saņemtu publisku finansējumu un reizē darbotos konkurējošā vidē kā elektroenerģijas tirgotājs</w:t>
            </w:r>
            <w:r>
              <w:rPr>
                <w:sz w:val="22"/>
                <w:szCs w:val="22"/>
              </w:rPr>
              <w:t>.</w:t>
            </w:r>
            <w:r w:rsidR="00CF056D">
              <w:rPr>
                <w:sz w:val="22"/>
                <w:szCs w:val="22"/>
              </w:rPr>
              <w:t xml:space="preserve"> Turklāt </w:t>
            </w:r>
            <w:r w:rsidR="00DA0206">
              <w:rPr>
                <w:sz w:val="22"/>
                <w:szCs w:val="22"/>
              </w:rPr>
              <w:t>ar likumprojektu tiek nodrošināts</w:t>
            </w:r>
            <w:r w:rsidR="00CF056D">
              <w:rPr>
                <w:sz w:val="22"/>
                <w:szCs w:val="22"/>
              </w:rPr>
              <w:t xml:space="preserve">, ka </w:t>
            </w:r>
            <w:r w:rsidR="008F31E5">
              <w:rPr>
                <w:sz w:val="22"/>
                <w:szCs w:val="22"/>
              </w:rPr>
              <w:t xml:space="preserve">jaunais publiskais tirgotājs </w:t>
            </w:r>
            <w:r w:rsidR="00CF056D">
              <w:rPr>
                <w:sz w:val="22"/>
                <w:szCs w:val="22"/>
              </w:rPr>
              <w:t xml:space="preserve">veic </w:t>
            </w:r>
            <w:r w:rsidR="00DA0206">
              <w:rPr>
                <w:sz w:val="22"/>
                <w:szCs w:val="22"/>
              </w:rPr>
              <w:t xml:space="preserve">izmaksas </w:t>
            </w:r>
            <w:r w:rsidR="00CF056D">
              <w:rPr>
                <w:sz w:val="22"/>
                <w:szCs w:val="22"/>
              </w:rPr>
              <w:t xml:space="preserve">gan </w:t>
            </w:r>
            <w:r w:rsidR="00DA0206">
              <w:rPr>
                <w:sz w:val="22"/>
                <w:szCs w:val="22"/>
              </w:rPr>
              <w:t xml:space="preserve">par </w:t>
            </w:r>
            <w:r w:rsidR="00CF056D">
              <w:rPr>
                <w:sz w:val="22"/>
                <w:szCs w:val="22"/>
              </w:rPr>
              <w:t>obligāt</w:t>
            </w:r>
            <w:r w:rsidR="00DA0206">
              <w:rPr>
                <w:sz w:val="22"/>
                <w:szCs w:val="22"/>
              </w:rPr>
              <w:t>o</w:t>
            </w:r>
            <w:r w:rsidR="00CF056D">
              <w:rPr>
                <w:sz w:val="22"/>
                <w:szCs w:val="22"/>
              </w:rPr>
              <w:t xml:space="preserve"> iepirkum</w:t>
            </w:r>
            <w:r w:rsidR="00DA0206">
              <w:rPr>
                <w:sz w:val="22"/>
                <w:szCs w:val="22"/>
              </w:rPr>
              <w:t>u</w:t>
            </w:r>
            <w:r w:rsidR="00CF056D">
              <w:rPr>
                <w:sz w:val="22"/>
                <w:szCs w:val="22"/>
              </w:rPr>
              <w:t>, gan par garantēto maksu par stacijā uzstādīto elektrisko jaudu. Pašlaik t</w:t>
            </w:r>
            <w:r w:rsidR="00DA0206">
              <w:rPr>
                <w:sz w:val="22"/>
                <w:szCs w:val="22"/>
              </w:rPr>
              <w:t>ās</w:t>
            </w:r>
            <w:r w:rsidR="00CF056D">
              <w:rPr>
                <w:sz w:val="22"/>
                <w:szCs w:val="22"/>
              </w:rPr>
              <w:t xml:space="preserve"> veic publiskais tirgotājus un pārvades sistēmas operators.</w:t>
            </w:r>
          </w:p>
        </w:tc>
      </w:tr>
      <w:tr w:rsidR="003D12AB" w:rsidRPr="003D12AB" w:rsidTr="00CB6338">
        <w:trPr>
          <w:trHeight w:val="554"/>
        </w:trPr>
        <w:tc>
          <w:tcPr>
            <w:tcW w:w="550" w:type="dxa"/>
          </w:tcPr>
          <w:p w:rsidR="005526CE" w:rsidRPr="003D12AB" w:rsidRDefault="005526CE" w:rsidP="00A0154D">
            <w:pPr>
              <w:pStyle w:val="naiskr"/>
              <w:spacing w:before="0" w:after="0"/>
              <w:rPr>
                <w:sz w:val="22"/>
                <w:szCs w:val="22"/>
              </w:rPr>
            </w:pPr>
            <w:r w:rsidRPr="003D12AB">
              <w:rPr>
                <w:sz w:val="22"/>
                <w:szCs w:val="22"/>
              </w:rPr>
              <w:lastRenderedPageBreak/>
              <w:t>3.</w:t>
            </w:r>
          </w:p>
        </w:tc>
        <w:tc>
          <w:tcPr>
            <w:tcW w:w="2716" w:type="dxa"/>
          </w:tcPr>
          <w:p w:rsidR="005526CE" w:rsidRPr="003D12AB" w:rsidRDefault="005526CE" w:rsidP="00A0154D">
            <w:pPr>
              <w:pStyle w:val="naiskr"/>
              <w:spacing w:before="0" w:after="0"/>
              <w:rPr>
                <w:sz w:val="22"/>
                <w:szCs w:val="22"/>
              </w:rPr>
            </w:pPr>
            <w:r w:rsidRPr="003D12AB">
              <w:rPr>
                <w:sz w:val="22"/>
                <w:szCs w:val="22"/>
              </w:rPr>
              <w:t>Saistītie politikas ietekmes novērtējumi un pētījumi</w:t>
            </w:r>
          </w:p>
        </w:tc>
        <w:tc>
          <w:tcPr>
            <w:tcW w:w="6459" w:type="dxa"/>
          </w:tcPr>
          <w:p w:rsidR="005526CE" w:rsidRPr="003D12AB" w:rsidRDefault="00264B20" w:rsidP="00E15C93">
            <w:pPr>
              <w:pStyle w:val="naiskr"/>
              <w:spacing w:after="0"/>
              <w:ind w:hanging="5"/>
              <w:jc w:val="both"/>
              <w:rPr>
                <w:sz w:val="22"/>
                <w:lang w:eastAsia="en-US"/>
              </w:rPr>
            </w:pPr>
            <w:r>
              <w:rPr>
                <w:sz w:val="22"/>
                <w:szCs w:val="22"/>
              </w:rPr>
              <w:t>Ziņojuma 7.nodaļa, kas apraksta nepieciešamās izmaiņas normatīvajos aktos un Ziņojuma 8.nodaļa ar secinājumiem un priekšlikumiem turpmākajām darbībām.</w:t>
            </w:r>
          </w:p>
        </w:tc>
      </w:tr>
      <w:tr w:rsidR="003D12AB" w:rsidRPr="003D12AB" w:rsidTr="00E15C93">
        <w:trPr>
          <w:trHeight w:val="841"/>
        </w:trPr>
        <w:tc>
          <w:tcPr>
            <w:tcW w:w="550" w:type="dxa"/>
          </w:tcPr>
          <w:p w:rsidR="005526CE" w:rsidRPr="003D12AB" w:rsidRDefault="005526CE" w:rsidP="00A0154D">
            <w:pPr>
              <w:pStyle w:val="naiskr"/>
              <w:spacing w:before="0" w:after="0"/>
              <w:rPr>
                <w:sz w:val="22"/>
                <w:szCs w:val="22"/>
              </w:rPr>
            </w:pPr>
            <w:r w:rsidRPr="003D12AB">
              <w:rPr>
                <w:sz w:val="22"/>
                <w:szCs w:val="22"/>
              </w:rPr>
              <w:t>4.</w:t>
            </w:r>
          </w:p>
        </w:tc>
        <w:tc>
          <w:tcPr>
            <w:tcW w:w="2716" w:type="dxa"/>
          </w:tcPr>
          <w:p w:rsidR="005526CE" w:rsidRPr="003D12AB" w:rsidRDefault="005526CE" w:rsidP="00A0154D">
            <w:pPr>
              <w:pStyle w:val="naiskr"/>
              <w:spacing w:before="0" w:after="0"/>
              <w:rPr>
                <w:sz w:val="22"/>
                <w:szCs w:val="22"/>
              </w:rPr>
            </w:pPr>
            <w:r w:rsidRPr="003D12AB">
              <w:rPr>
                <w:sz w:val="22"/>
                <w:szCs w:val="22"/>
              </w:rPr>
              <w:t>Tiesiskā regulējuma mērķis un būtība</w:t>
            </w:r>
          </w:p>
        </w:tc>
        <w:tc>
          <w:tcPr>
            <w:tcW w:w="6459" w:type="dxa"/>
          </w:tcPr>
          <w:p w:rsidR="00C007F3" w:rsidRPr="00343793" w:rsidRDefault="00C007F3" w:rsidP="00343793">
            <w:pPr>
              <w:spacing w:after="120" w:line="240" w:lineRule="auto"/>
              <w:jc w:val="both"/>
              <w:rPr>
                <w:rFonts w:ascii="Times New Roman" w:hAnsi="Times New Roman"/>
              </w:rPr>
            </w:pPr>
            <w:r w:rsidRPr="00343793">
              <w:rPr>
                <w:rFonts w:ascii="Times New Roman" w:hAnsi="Times New Roman"/>
              </w:rPr>
              <w:t xml:space="preserve">ETL lietotajā elektroenerģijas tirgotāja definīcijā nav </w:t>
            </w:r>
            <w:r w:rsidRPr="00343793">
              <w:rPr>
                <w:rFonts w:ascii="Times New Roman" w:hAnsi="Times New Roman"/>
                <w:bCs/>
              </w:rPr>
              <w:t>nodalīta elektroenerģijas tirdzniecība</w:t>
            </w:r>
            <w:r w:rsidR="00373CB6" w:rsidRPr="00343793">
              <w:rPr>
                <w:rFonts w:ascii="Times New Roman" w:hAnsi="Times New Roman"/>
                <w:bCs/>
              </w:rPr>
              <w:t>, ko veic elektroenerģijas tirgotājs, no elektroenerģijas piegādes apakšlietotājiem, ko v</w:t>
            </w:r>
            <w:r w:rsidR="00C7082C" w:rsidRPr="00343793">
              <w:rPr>
                <w:rFonts w:ascii="Times New Roman" w:hAnsi="Times New Roman"/>
                <w:bCs/>
              </w:rPr>
              <w:t>eic elektroenerģijas lietotājs.</w:t>
            </w:r>
            <w:r w:rsidR="00343793" w:rsidRPr="00343793">
              <w:rPr>
                <w:rFonts w:ascii="Times New Roman" w:hAnsi="Times New Roman"/>
                <w:bCs/>
              </w:rPr>
              <w:t xml:space="preserve"> </w:t>
            </w:r>
            <w:r w:rsidRPr="00343793">
              <w:rPr>
                <w:rFonts w:ascii="Times New Roman" w:hAnsi="Times New Roman"/>
                <w:bCs/>
              </w:rPr>
              <w:t xml:space="preserve">Vienlaikus, ievērojot </w:t>
            </w:r>
            <w:r w:rsidRPr="00343793">
              <w:rPr>
                <w:rFonts w:ascii="Times New Roman" w:hAnsi="Times New Roman"/>
              </w:rPr>
              <w:t xml:space="preserve"> </w:t>
            </w:r>
            <w:r w:rsidRPr="00343793">
              <w:rPr>
                <w:rFonts w:ascii="Times New Roman" w:hAnsi="Times New Roman"/>
                <w:bCs/>
              </w:rPr>
              <w:t>Elektrības direktīvas dalībvalstīm izvirzītās prasības, tostarp, veikt visus vajadzīgos pasākumus, lai nodrošinātu, ka administratīvās procedūras nerada šķēršļus piegādes uzņēmumiem, kas jau ir reģistrēti citā dalībvalstī (direktīvas 3.</w:t>
            </w:r>
            <w:r w:rsidR="006F7D9F">
              <w:rPr>
                <w:rFonts w:ascii="Times New Roman" w:hAnsi="Times New Roman"/>
                <w:bCs/>
              </w:rPr>
              <w:t> </w:t>
            </w:r>
            <w:r w:rsidRPr="00343793">
              <w:rPr>
                <w:rFonts w:ascii="Times New Roman" w:hAnsi="Times New Roman"/>
                <w:bCs/>
              </w:rPr>
              <w:t>panta 4.</w:t>
            </w:r>
            <w:r w:rsidR="006F7D9F">
              <w:rPr>
                <w:rFonts w:ascii="Times New Roman" w:hAnsi="Times New Roman"/>
                <w:bCs/>
              </w:rPr>
              <w:t> </w:t>
            </w:r>
            <w:r w:rsidRPr="00343793">
              <w:rPr>
                <w:rFonts w:ascii="Times New Roman" w:hAnsi="Times New Roman"/>
                <w:bCs/>
              </w:rPr>
              <w:t xml:space="preserve">punkts), kā arī Brīvas pakalpojumu sniegšanas likuma regulējumu, ir nepieciešams paredzēt, ka elektroenerģijas tirgotājs var būt arī ārvalstu komersanta filiāle. </w:t>
            </w:r>
            <w:r w:rsidR="006F7D9F" w:rsidRPr="00343793">
              <w:rPr>
                <w:rFonts w:ascii="Times New Roman" w:hAnsi="Times New Roman"/>
                <w:bCs/>
              </w:rPr>
              <w:t>Turklāt</w:t>
            </w:r>
            <w:r w:rsidRPr="00343793">
              <w:rPr>
                <w:rFonts w:ascii="Times New Roman" w:hAnsi="Times New Roman"/>
                <w:bCs/>
              </w:rPr>
              <w:t xml:space="preserve"> jau šobrīd, piemēram, Elektronisko sakaru likums paredz, ka elektronisko sakaru komersants ir komersants vai ārvalstu komersanta filiāle (likuma 1.</w:t>
            </w:r>
            <w:r w:rsidR="006F7D9F">
              <w:rPr>
                <w:rFonts w:ascii="Times New Roman" w:hAnsi="Times New Roman"/>
                <w:bCs/>
              </w:rPr>
              <w:t> </w:t>
            </w:r>
            <w:r w:rsidRPr="00343793">
              <w:rPr>
                <w:rFonts w:ascii="Times New Roman" w:hAnsi="Times New Roman"/>
                <w:bCs/>
              </w:rPr>
              <w:t>panta 8.</w:t>
            </w:r>
            <w:r w:rsidR="006F7D9F">
              <w:rPr>
                <w:rFonts w:ascii="Times New Roman" w:hAnsi="Times New Roman"/>
                <w:bCs/>
              </w:rPr>
              <w:t> </w:t>
            </w:r>
            <w:r w:rsidRPr="00343793">
              <w:rPr>
                <w:rFonts w:ascii="Times New Roman" w:hAnsi="Times New Roman"/>
                <w:bCs/>
              </w:rPr>
              <w:t>punkts).</w:t>
            </w:r>
            <w:r w:rsidR="006F7D9F">
              <w:rPr>
                <w:rFonts w:ascii="Times New Roman" w:hAnsi="Times New Roman"/>
                <w:bCs/>
              </w:rPr>
              <w:t> </w:t>
            </w:r>
            <w:r w:rsidRPr="00343793">
              <w:rPr>
                <w:rFonts w:ascii="Times New Roman" w:hAnsi="Times New Roman"/>
              </w:rPr>
              <w:t>Tāpēc likumprojektā tiek precizētas ETL 1.</w:t>
            </w:r>
            <w:r w:rsidR="006F7D9F">
              <w:rPr>
                <w:rFonts w:ascii="Times New Roman" w:hAnsi="Times New Roman"/>
              </w:rPr>
              <w:t> </w:t>
            </w:r>
            <w:r w:rsidRPr="00343793">
              <w:rPr>
                <w:rFonts w:ascii="Times New Roman" w:hAnsi="Times New Roman"/>
              </w:rPr>
              <w:t>panta otrā daļā lietotās elektroenerģijas tirdzniecības un elektroenerģijas tirgotāja definīcijas</w:t>
            </w:r>
            <w:r w:rsidR="00C7082C" w:rsidRPr="00343793">
              <w:rPr>
                <w:rFonts w:ascii="Times New Roman" w:hAnsi="Times New Roman"/>
                <w:bCs/>
              </w:rPr>
              <w:t>, paredzot, ka elektroenerģijas tirdzniecība ir komercdarbība, kuru veic komersants.</w:t>
            </w:r>
          </w:p>
          <w:p w:rsidR="005526CE" w:rsidRPr="003D12AB" w:rsidRDefault="005526CE" w:rsidP="00343793">
            <w:pPr>
              <w:pStyle w:val="naislab"/>
              <w:spacing w:before="0" w:after="120"/>
              <w:jc w:val="both"/>
              <w:rPr>
                <w:bCs/>
                <w:sz w:val="22"/>
                <w:szCs w:val="22"/>
              </w:rPr>
            </w:pPr>
            <w:r w:rsidRPr="003D12AB">
              <w:rPr>
                <w:bCs/>
                <w:sz w:val="22"/>
                <w:szCs w:val="22"/>
              </w:rPr>
              <w:t xml:space="preserve">Likumprojekts paredz veikt izmaiņas vairākos </w:t>
            </w:r>
            <w:r w:rsidR="00842C1C">
              <w:rPr>
                <w:bCs/>
                <w:sz w:val="22"/>
                <w:szCs w:val="22"/>
              </w:rPr>
              <w:t>ETL</w:t>
            </w:r>
            <w:r w:rsidRPr="003D12AB">
              <w:rPr>
                <w:bCs/>
                <w:sz w:val="22"/>
                <w:szCs w:val="22"/>
              </w:rPr>
              <w:t xml:space="preserve"> pantos, kā rezultātā visi elektroenerģijas lietotāji pirks elektroenerģiju brīvajā tirgū. Izmaiņu rezultātā elektroenerģijas tirgū tiktu iesaistīti visi māj</w:t>
            </w:r>
            <w:r w:rsidR="002E64A8">
              <w:rPr>
                <w:bCs/>
                <w:sz w:val="22"/>
                <w:szCs w:val="22"/>
              </w:rPr>
              <w:t>saimniecības lietotāji (ap 847</w:t>
            </w:r>
            <w:r w:rsidR="00842C1C">
              <w:rPr>
                <w:bCs/>
                <w:sz w:val="22"/>
                <w:szCs w:val="22"/>
              </w:rPr>
              <w:t xml:space="preserve"> </w:t>
            </w:r>
            <w:r w:rsidR="002E64A8">
              <w:rPr>
                <w:bCs/>
                <w:sz w:val="22"/>
                <w:szCs w:val="22"/>
              </w:rPr>
              <w:t>3</w:t>
            </w:r>
            <w:r w:rsidRPr="003D12AB">
              <w:rPr>
                <w:bCs/>
                <w:sz w:val="22"/>
                <w:szCs w:val="22"/>
              </w:rPr>
              <w:t>00 lietotājiem), kas patērē ap 25% elektroenerģijas.</w:t>
            </w:r>
          </w:p>
          <w:p w:rsidR="005526CE" w:rsidRPr="003D12AB" w:rsidRDefault="005526CE" w:rsidP="00CC19D5">
            <w:pPr>
              <w:pStyle w:val="naislab"/>
              <w:spacing w:before="0" w:after="120"/>
              <w:jc w:val="both"/>
              <w:rPr>
                <w:bCs/>
                <w:sz w:val="22"/>
                <w:szCs w:val="22"/>
              </w:rPr>
            </w:pPr>
            <w:r w:rsidRPr="003D12AB">
              <w:rPr>
                <w:sz w:val="22"/>
                <w:szCs w:val="22"/>
              </w:rPr>
              <w:t>Elektroenerģijas tirgus</w:t>
            </w:r>
            <w:r w:rsidR="0029330C">
              <w:rPr>
                <w:sz w:val="22"/>
                <w:szCs w:val="22"/>
              </w:rPr>
              <w:t xml:space="preserve"> atvēršana ieplānota uz 2014</w:t>
            </w:r>
            <w:r w:rsidRPr="003D12AB">
              <w:rPr>
                <w:sz w:val="22"/>
                <w:szCs w:val="22"/>
              </w:rPr>
              <w:t>.</w:t>
            </w:r>
            <w:r w:rsidR="006F7D9F">
              <w:rPr>
                <w:sz w:val="22"/>
                <w:szCs w:val="22"/>
              </w:rPr>
              <w:t> </w:t>
            </w:r>
            <w:r w:rsidRPr="003D12AB">
              <w:rPr>
                <w:sz w:val="22"/>
                <w:szCs w:val="22"/>
              </w:rPr>
              <w:t>gada 1.</w:t>
            </w:r>
            <w:r w:rsidR="006F7D9F">
              <w:rPr>
                <w:sz w:val="22"/>
                <w:szCs w:val="22"/>
              </w:rPr>
              <w:t> </w:t>
            </w:r>
            <w:r w:rsidR="0029330C">
              <w:rPr>
                <w:sz w:val="22"/>
                <w:szCs w:val="22"/>
              </w:rPr>
              <w:t>aprīli</w:t>
            </w:r>
            <w:r w:rsidRPr="003D12AB">
              <w:rPr>
                <w:sz w:val="22"/>
                <w:szCs w:val="22"/>
              </w:rPr>
              <w:t>. Plānot</w:t>
            </w:r>
            <w:r w:rsidR="003C1F69" w:rsidRPr="003D12AB">
              <w:rPr>
                <w:sz w:val="22"/>
                <w:szCs w:val="22"/>
              </w:rPr>
              <w:t>ā</w:t>
            </w:r>
            <w:r w:rsidRPr="003D12AB">
              <w:rPr>
                <w:sz w:val="22"/>
                <w:szCs w:val="22"/>
              </w:rPr>
              <w:t xml:space="preserve"> tirgus atvēršana paredz mājsaimniecības lietotāju ienākšanu tirgū, kuriem</w:t>
            </w:r>
            <w:r w:rsidR="00343793">
              <w:rPr>
                <w:sz w:val="22"/>
                <w:szCs w:val="22"/>
              </w:rPr>
              <w:t>,</w:t>
            </w:r>
            <w:r w:rsidRPr="003D12AB">
              <w:rPr>
                <w:sz w:val="22"/>
                <w:szCs w:val="22"/>
              </w:rPr>
              <w:t xml:space="preserve"> izvēloties elektroenerģijas tirgotāju līdz iepriekš noteiktam datumam, pamatojoties uz </w:t>
            </w:r>
            <w:r w:rsidR="00CC19D5">
              <w:rPr>
                <w:sz w:val="22"/>
                <w:szCs w:val="22"/>
              </w:rPr>
              <w:t>914.</w:t>
            </w:r>
            <w:r w:rsidRPr="003D12AB">
              <w:rPr>
                <w:sz w:val="22"/>
                <w:szCs w:val="22"/>
              </w:rPr>
              <w:t xml:space="preserve"> noteikumiem, arī jānoslēdz elektroenerģijas tirdzniecības līgums</w:t>
            </w:r>
            <w:r w:rsidR="00F54799" w:rsidRPr="003D12AB">
              <w:rPr>
                <w:sz w:val="22"/>
                <w:szCs w:val="22"/>
              </w:rPr>
              <w:t xml:space="preserve">. </w:t>
            </w:r>
            <w:r w:rsidR="00842C1C">
              <w:rPr>
                <w:sz w:val="22"/>
                <w:szCs w:val="22"/>
              </w:rPr>
              <w:t>914.</w:t>
            </w:r>
            <w:r w:rsidR="00842C1C" w:rsidRPr="003D12AB">
              <w:rPr>
                <w:sz w:val="22"/>
                <w:szCs w:val="22"/>
              </w:rPr>
              <w:t xml:space="preserve"> noteikum</w:t>
            </w:r>
            <w:r w:rsidR="00842C1C">
              <w:rPr>
                <w:sz w:val="22"/>
                <w:szCs w:val="22"/>
              </w:rPr>
              <w:t>u</w:t>
            </w:r>
            <w:r w:rsidR="00842C1C" w:rsidRPr="003D12AB" w:rsidDel="00842C1C">
              <w:rPr>
                <w:sz w:val="22"/>
                <w:szCs w:val="22"/>
              </w:rPr>
              <w:t xml:space="preserve"> </w:t>
            </w:r>
            <w:r w:rsidR="00F54799" w:rsidRPr="003D12AB">
              <w:rPr>
                <w:sz w:val="22"/>
                <w:szCs w:val="22"/>
              </w:rPr>
              <w:t xml:space="preserve">pašreizējā redakcija paredz, ka elektroenerģijas tirdzniecības līgumu lietotājam ar tirgotāju jānoslēdz vismaz 21 dienu pirms elektroenerģijas piegādes </w:t>
            </w:r>
            <w:r w:rsidR="00F54799" w:rsidRPr="003D12AB">
              <w:rPr>
                <w:sz w:val="22"/>
                <w:szCs w:val="22"/>
              </w:rPr>
              <w:lastRenderedPageBreak/>
              <w:t>uzsākšanas</w:t>
            </w:r>
            <w:r w:rsidRPr="003D12AB">
              <w:rPr>
                <w:sz w:val="22"/>
                <w:szCs w:val="22"/>
              </w:rPr>
              <w:t>.</w:t>
            </w:r>
            <w:r w:rsidR="00EF7B2B" w:rsidRPr="003D12AB">
              <w:rPr>
                <w:sz w:val="22"/>
                <w:szCs w:val="22"/>
              </w:rPr>
              <w:t xml:space="preserve"> Likumprojekts paredz paziņošanas termiņa samazināšanu par elektroenerģijas tirgotāja, ar kuru lietotājs ir noslēdzis elektroenerģijas tirdzniecības līgumu, maiņu, kas ļaus paaugstināt elastību elektroenerģijas tirgū, ka arī pozitīvi ietekmēs gan lietotājus, gan tirgotājus.</w:t>
            </w:r>
            <w:r w:rsidR="00F54799" w:rsidRPr="003D12AB">
              <w:rPr>
                <w:sz w:val="22"/>
                <w:szCs w:val="22"/>
              </w:rPr>
              <w:t xml:space="preserve"> </w:t>
            </w:r>
            <w:r w:rsidR="00EF7B2B" w:rsidRPr="003D12AB">
              <w:rPr>
                <w:sz w:val="22"/>
                <w:szCs w:val="22"/>
              </w:rPr>
              <w:t>V</w:t>
            </w:r>
            <w:r w:rsidR="00F54799" w:rsidRPr="003D12AB">
              <w:rPr>
                <w:sz w:val="22"/>
                <w:szCs w:val="22"/>
              </w:rPr>
              <w:t xml:space="preserve">ienlaicīgi ar iesniedzamo likumprojektu notiek darbs pie </w:t>
            </w:r>
            <w:r w:rsidR="00D33022" w:rsidRPr="003D12AB">
              <w:rPr>
                <w:sz w:val="22"/>
                <w:szCs w:val="22"/>
              </w:rPr>
              <w:t xml:space="preserve">914. noteikumu </w:t>
            </w:r>
            <w:r w:rsidR="00F54799" w:rsidRPr="003D12AB">
              <w:rPr>
                <w:sz w:val="22"/>
                <w:szCs w:val="22"/>
              </w:rPr>
              <w:t>grozījumu izstrādes, kas paredz</w:t>
            </w:r>
            <w:r w:rsidR="00D33022" w:rsidRPr="003D12AB">
              <w:rPr>
                <w:sz w:val="22"/>
                <w:szCs w:val="22"/>
              </w:rPr>
              <w:t>ētu</w:t>
            </w:r>
            <w:r w:rsidR="00F54799" w:rsidRPr="003D12AB">
              <w:rPr>
                <w:sz w:val="22"/>
                <w:szCs w:val="22"/>
              </w:rPr>
              <w:t xml:space="preserve"> </w:t>
            </w:r>
            <w:r w:rsidR="00D33022" w:rsidRPr="003D12AB">
              <w:rPr>
                <w:sz w:val="22"/>
                <w:szCs w:val="22"/>
              </w:rPr>
              <w:t>elektroenerģijas tirdzniecības līguma noslēgšanas termiņa samazināšanu līdz 14 dienām. Līdz ar to, mājsaimni</w:t>
            </w:r>
            <w:r w:rsidR="00CC19D5">
              <w:rPr>
                <w:sz w:val="22"/>
                <w:szCs w:val="22"/>
              </w:rPr>
              <w:t>ecības lietotājiem, pieņemot, ka</w:t>
            </w:r>
            <w:r w:rsidR="00D33022" w:rsidRPr="003D12AB">
              <w:rPr>
                <w:sz w:val="22"/>
                <w:szCs w:val="22"/>
              </w:rPr>
              <w:t xml:space="preserve"> elektr</w:t>
            </w:r>
            <w:r w:rsidR="0029330C">
              <w:rPr>
                <w:sz w:val="22"/>
                <w:szCs w:val="22"/>
              </w:rPr>
              <w:t>oenerģijas tirgus atvērsies 2014</w:t>
            </w:r>
            <w:r w:rsidR="00D33022" w:rsidRPr="003D12AB">
              <w:rPr>
                <w:sz w:val="22"/>
                <w:szCs w:val="22"/>
              </w:rPr>
              <w:t>.</w:t>
            </w:r>
            <w:r w:rsidR="006F7D9F">
              <w:rPr>
                <w:sz w:val="22"/>
                <w:szCs w:val="22"/>
              </w:rPr>
              <w:t> </w:t>
            </w:r>
            <w:r w:rsidR="00D33022" w:rsidRPr="003D12AB">
              <w:rPr>
                <w:sz w:val="22"/>
                <w:szCs w:val="22"/>
              </w:rPr>
              <w:t xml:space="preserve">gada 1. </w:t>
            </w:r>
            <w:r w:rsidR="0029330C">
              <w:rPr>
                <w:sz w:val="22"/>
                <w:szCs w:val="22"/>
              </w:rPr>
              <w:t>aprīlī</w:t>
            </w:r>
            <w:r w:rsidR="00D33022" w:rsidRPr="003D12AB">
              <w:rPr>
                <w:sz w:val="22"/>
                <w:szCs w:val="22"/>
              </w:rPr>
              <w:t xml:space="preserve"> un tiks veikti atbilstoši grozījumi 914. </w:t>
            </w:r>
            <w:r w:rsidR="006F7D9F">
              <w:rPr>
                <w:sz w:val="22"/>
                <w:szCs w:val="22"/>
              </w:rPr>
              <w:t> </w:t>
            </w:r>
            <w:r w:rsidR="00D33022" w:rsidRPr="003D12AB">
              <w:rPr>
                <w:sz w:val="22"/>
                <w:szCs w:val="22"/>
              </w:rPr>
              <w:t xml:space="preserve">noteikumos, būtu jānoslēdz līgums </w:t>
            </w:r>
            <w:r w:rsidR="0029330C">
              <w:rPr>
                <w:sz w:val="22"/>
                <w:szCs w:val="22"/>
              </w:rPr>
              <w:t>ar kādu no tirgotājiem līdz 2014</w:t>
            </w:r>
            <w:r w:rsidR="00D33022" w:rsidRPr="003D12AB">
              <w:rPr>
                <w:sz w:val="22"/>
                <w:szCs w:val="22"/>
              </w:rPr>
              <w:t>.</w:t>
            </w:r>
            <w:r w:rsidR="006F7D9F">
              <w:rPr>
                <w:sz w:val="22"/>
                <w:szCs w:val="22"/>
              </w:rPr>
              <w:t> </w:t>
            </w:r>
            <w:r w:rsidR="00D33022" w:rsidRPr="003D12AB">
              <w:rPr>
                <w:sz w:val="22"/>
                <w:szCs w:val="22"/>
              </w:rPr>
              <w:t>gada 15.</w:t>
            </w:r>
            <w:r w:rsidR="006F7D9F">
              <w:rPr>
                <w:sz w:val="22"/>
                <w:szCs w:val="22"/>
              </w:rPr>
              <w:t> </w:t>
            </w:r>
            <w:r w:rsidR="0029330C">
              <w:rPr>
                <w:sz w:val="22"/>
                <w:szCs w:val="22"/>
              </w:rPr>
              <w:t>martam</w:t>
            </w:r>
            <w:r w:rsidR="00D33022" w:rsidRPr="003D12AB">
              <w:rPr>
                <w:sz w:val="22"/>
                <w:szCs w:val="22"/>
              </w:rPr>
              <w:t>.</w:t>
            </w:r>
            <w:r w:rsidR="00F54799" w:rsidRPr="003D12AB">
              <w:rPr>
                <w:sz w:val="22"/>
                <w:szCs w:val="22"/>
              </w:rPr>
              <w:t xml:space="preserve"> </w:t>
            </w:r>
            <w:r w:rsidRPr="003D12AB">
              <w:rPr>
                <w:sz w:val="22"/>
                <w:szCs w:val="22"/>
              </w:rPr>
              <w:t>Ņemot vērā Ekonomikas ministrijas prognozē</w:t>
            </w:r>
            <w:r w:rsidR="003C1F69" w:rsidRPr="003D12AB">
              <w:rPr>
                <w:sz w:val="22"/>
                <w:szCs w:val="22"/>
              </w:rPr>
              <w:t>t</w:t>
            </w:r>
            <w:r w:rsidRPr="003D12AB">
              <w:rPr>
                <w:sz w:val="22"/>
                <w:szCs w:val="22"/>
              </w:rPr>
              <w:t>o mājsaimniecības lietotāju aktivitāti elektroenerģijas tirgotāja izvēlē, Ekonomikas ministrija likumprojektā ietvērusi normu, kas nodrošinātu ar elektroenerģij</w:t>
            </w:r>
            <w:r w:rsidR="0029330C">
              <w:rPr>
                <w:sz w:val="22"/>
                <w:szCs w:val="22"/>
              </w:rPr>
              <w:t>as apgādi pēc 2014.</w:t>
            </w:r>
            <w:r w:rsidR="006F7D9F">
              <w:rPr>
                <w:sz w:val="22"/>
                <w:szCs w:val="22"/>
              </w:rPr>
              <w:t> </w:t>
            </w:r>
            <w:r w:rsidR="0029330C">
              <w:rPr>
                <w:sz w:val="22"/>
                <w:szCs w:val="22"/>
              </w:rPr>
              <w:t>gada 1.</w:t>
            </w:r>
            <w:r w:rsidR="006F7D9F">
              <w:rPr>
                <w:sz w:val="22"/>
                <w:szCs w:val="22"/>
              </w:rPr>
              <w:t> </w:t>
            </w:r>
            <w:r w:rsidR="0029330C">
              <w:rPr>
                <w:sz w:val="22"/>
                <w:szCs w:val="22"/>
              </w:rPr>
              <w:t>aprīļa</w:t>
            </w:r>
            <w:r w:rsidRPr="003D12AB">
              <w:rPr>
                <w:sz w:val="22"/>
                <w:szCs w:val="22"/>
              </w:rPr>
              <w:t xml:space="preserve"> arī tos lietotājus, kas nav noslēguši elektroenerģijas piegādes līgumu ne ar vienu elektroenerģijas tirgotāju.</w:t>
            </w:r>
          </w:p>
          <w:p w:rsidR="003C1F69" w:rsidRPr="003D12AB" w:rsidRDefault="00BE5863" w:rsidP="00CC19D5">
            <w:pPr>
              <w:spacing w:after="120" w:line="240" w:lineRule="auto"/>
              <w:jc w:val="both"/>
              <w:rPr>
                <w:rFonts w:ascii="Times New Roman" w:hAnsi="Times New Roman"/>
              </w:rPr>
            </w:pPr>
            <w:r w:rsidRPr="003D12AB">
              <w:rPr>
                <w:rFonts w:ascii="Times New Roman" w:hAnsi="Times New Roman"/>
              </w:rPr>
              <w:t xml:space="preserve">Saskaņā ar </w:t>
            </w:r>
            <w:r w:rsidR="00656D57" w:rsidRPr="003D12AB">
              <w:rPr>
                <w:rFonts w:ascii="Times New Roman" w:hAnsi="Times New Roman"/>
              </w:rPr>
              <w:t xml:space="preserve">SPRK </w:t>
            </w:r>
            <w:r w:rsidR="006C0B2F">
              <w:rPr>
                <w:rFonts w:ascii="Times New Roman" w:hAnsi="Times New Roman"/>
              </w:rPr>
              <w:t>tīmekļa vietnē</w:t>
            </w:r>
            <w:r w:rsidRPr="003D12AB">
              <w:rPr>
                <w:rFonts w:ascii="Times New Roman" w:hAnsi="Times New Roman"/>
              </w:rPr>
              <w:t xml:space="preserve"> atrodamo informāciju, Latv</w:t>
            </w:r>
            <w:r w:rsidR="0029330C">
              <w:rPr>
                <w:rFonts w:ascii="Times New Roman" w:hAnsi="Times New Roman"/>
              </w:rPr>
              <w:t>ijā ir reģistrētas vairāk nekā 5</w:t>
            </w:r>
            <w:r w:rsidRPr="003D12AB">
              <w:rPr>
                <w:rFonts w:ascii="Times New Roman" w:hAnsi="Times New Roman"/>
              </w:rPr>
              <w:t xml:space="preserve">0 juridiskās personas, kas var nodarboties ar elektroenerģijas tirdzniecību. Tomēr </w:t>
            </w:r>
            <w:r w:rsidR="003C1F69" w:rsidRPr="003D12AB">
              <w:rPr>
                <w:rFonts w:ascii="Times New Roman" w:hAnsi="Times New Roman"/>
              </w:rPr>
              <w:t xml:space="preserve">Ekonomikas ministrija prognozē, ka </w:t>
            </w:r>
            <w:r w:rsidR="001524B6" w:rsidRPr="003D12AB">
              <w:rPr>
                <w:rFonts w:ascii="Times New Roman" w:hAnsi="Times New Roman"/>
              </w:rPr>
              <w:t>elektroenerģij</w:t>
            </w:r>
            <w:r w:rsidRPr="003D12AB">
              <w:rPr>
                <w:rFonts w:ascii="Times New Roman" w:hAnsi="Times New Roman"/>
              </w:rPr>
              <w:t>as tirdzniecības piedāvājumus</w:t>
            </w:r>
            <w:r w:rsidR="001524B6" w:rsidRPr="003D12AB">
              <w:rPr>
                <w:rFonts w:ascii="Times New Roman" w:hAnsi="Times New Roman"/>
              </w:rPr>
              <w:t xml:space="preserve"> mājsaimniecībām </w:t>
            </w:r>
            <w:r w:rsidRPr="003D12AB">
              <w:rPr>
                <w:rFonts w:ascii="Times New Roman" w:hAnsi="Times New Roman"/>
              </w:rPr>
              <w:t xml:space="preserve">varētu aktīvi </w:t>
            </w:r>
            <w:r w:rsidR="001524B6" w:rsidRPr="003D12AB">
              <w:rPr>
                <w:rFonts w:ascii="Times New Roman" w:hAnsi="Times New Roman"/>
              </w:rPr>
              <w:t>piedāvā</w:t>
            </w:r>
            <w:r w:rsidRPr="003D12AB">
              <w:rPr>
                <w:rFonts w:ascii="Times New Roman" w:hAnsi="Times New Roman"/>
              </w:rPr>
              <w:t>t</w:t>
            </w:r>
            <w:r w:rsidR="001524B6" w:rsidRPr="003D12AB">
              <w:rPr>
                <w:rFonts w:ascii="Times New Roman" w:hAnsi="Times New Roman"/>
              </w:rPr>
              <w:t xml:space="preserve"> </w:t>
            </w:r>
            <w:r w:rsidR="00CC19D5">
              <w:rPr>
                <w:rFonts w:ascii="Times New Roman" w:hAnsi="Times New Roman"/>
              </w:rPr>
              <w:t>8</w:t>
            </w:r>
            <w:r w:rsidRPr="003D12AB">
              <w:rPr>
                <w:rFonts w:ascii="Times New Roman" w:hAnsi="Times New Roman"/>
              </w:rPr>
              <w:t xml:space="preserve"> elektroenerģijas tirgotāji</w:t>
            </w:r>
            <w:r w:rsidR="0029330C">
              <w:rPr>
                <w:rFonts w:ascii="Times New Roman" w:hAnsi="Times New Roman"/>
              </w:rPr>
              <w:t>, kuriem ir noslēgts līgums ar AS „Sadales tīkls”</w:t>
            </w:r>
            <w:r w:rsidRPr="003D12AB">
              <w:rPr>
                <w:rFonts w:ascii="Times New Roman" w:hAnsi="Times New Roman"/>
              </w:rPr>
              <w:t>,</w:t>
            </w:r>
            <w:r w:rsidR="001524B6" w:rsidRPr="003D12AB">
              <w:rPr>
                <w:rFonts w:ascii="Times New Roman" w:hAnsi="Times New Roman"/>
              </w:rPr>
              <w:t xml:space="preserve"> kas</w:t>
            </w:r>
            <w:r w:rsidRPr="003D12AB">
              <w:rPr>
                <w:rFonts w:ascii="Times New Roman" w:hAnsi="Times New Roman"/>
              </w:rPr>
              <w:t xml:space="preserve">, savukārt, </w:t>
            </w:r>
            <w:r w:rsidR="001524B6" w:rsidRPr="003D12AB">
              <w:rPr>
                <w:rFonts w:ascii="Times New Roman" w:hAnsi="Times New Roman"/>
              </w:rPr>
              <w:t xml:space="preserve">palielina konkurenci un motivē </w:t>
            </w:r>
            <w:r w:rsidRPr="003D12AB">
              <w:rPr>
                <w:rFonts w:ascii="Times New Roman" w:hAnsi="Times New Roman"/>
              </w:rPr>
              <w:t>tirgotājus</w:t>
            </w:r>
            <w:r w:rsidR="001524B6" w:rsidRPr="003D12AB">
              <w:rPr>
                <w:rFonts w:ascii="Times New Roman" w:hAnsi="Times New Roman"/>
              </w:rPr>
              <w:t xml:space="preserve"> piedāvāt mājsaimniecībām piemērotus pakalpojumus par pieņemamu cenu</w:t>
            </w:r>
            <w:r w:rsidRPr="003D12AB">
              <w:rPr>
                <w:rFonts w:ascii="Times New Roman" w:hAnsi="Times New Roman"/>
              </w:rPr>
              <w:t>.</w:t>
            </w:r>
          </w:p>
          <w:p w:rsidR="005526CE" w:rsidRPr="00B814E5" w:rsidRDefault="00B814E5" w:rsidP="00CC19D5">
            <w:pPr>
              <w:pStyle w:val="naislab"/>
              <w:spacing w:before="0" w:after="120"/>
              <w:jc w:val="both"/>
              <w:rPr>
                <w:bCs/>
                <w:sz w:val="22"/>
                <w:szCs w:val="22"/>
              </w:rPr>
            </w:pPr>
            <w:r w:rsidRPr="00B814E5">
              <w:rPr>
                <w:bCs/>
                <w:sz w:val="22"/>
                <w:szCs w:val="22"/>
              </w:rPr>
              <w:t>Vienlaikus likumprojekta 16.pantā</w:t>
            </w:r>
            <w:r w:rsidR="005526CE" w:rsidRPr="00B814E5">
              <w:rPr>
                <w:bCs/>
                <w:sz w:val="22"/>
                <w:szCs w:val="22"/>
              </w:rPr>
              <w:t xml:space="preserve"> </w:t>
            </w:r>
            <w:r w:rsidRPr="00B814E5">
              <w:rPr>
                <w:bCs/>
                <w:sz w:val="22"/>
                <w:szCs w:val="22"/>
              </w:rPr>
              <w:t xml:space="preserve"> Ministru kabinetam dots deleģējums </w:t>
            </w:r>
            <w:r w:rsidRPr="00B814E5">
              <w:rPr>
                <w:sz w:val="22"/>
                <w:szCs w:val="22"/>
              </w:rPr>
              <w:t xml:space="preserve">  noteikt u</w:t>
            </w:r>
            <w:r w:rsidRPr="00B814E5">
              <w:rPr>
                <w:bCs/>
                <w:sz w:val="22"/>
                <w:szCs w:val="22"/>
              </w:rPr>
              <w:t>niversālā pakalpojuma piedāvājuma nosacījumus un tā izteikšanas veidu</w:t>
            </w:r>
            <w:r w:rsidR="005526CE" w:rsidRPr="00B814E5">
              <w:rPr>
                <w:bCs/>
                <w:sz w:val="22"/>
                <w:szCs w:val="22"/>
              </w:rPr>
              <w:t>. Jaunais universālais pakalpojums  likumprojektā ir noteikts kā obligāts tirgotāju tirdzniecības pakalpojuma piedāvājums gadījumos, ja tirgotājs piedāvā elektroenerģijas tirdzniecības pakalpojumus mājsaimniecības lietotājiem.</w:t>
            </w:r>
          </w:p>
          <w:p w:rsidR="00A86201" w:rsidRPr="00E24D9A" w:rsidRDefault="00A86201" w:rsidP="007F46B5">
            <w:pPr>
              <w:pStyle w:val="NormalWeb"/>
              <w:spacing w:before="0" w:beforeAutospacing="0" w:after="120" w:afterAutospacing="0"/>
              <w:jc w:val="both"/>
              <w:rPr>
                <w:sz w:val="22"/>
                <w:szCs w:val="22"/>
                <w:lang w:val="lv-LV" w:eastAsia="en-US"/>
              </w:rPr>
            </w:pPr>
            <w:r w:rsidRPr="00E24D9A">
              <w:rPr>
                <w:sz w:val="22"/>
                <w:szCs w:val="22"/>
                <w:lang w:val="lv-LV" w:eastAsia="en-US"/>
              </w:rPr>
              <w:t>Tā kā koģenerācijas stacijā tiek ražota gan elektroenerģija, gan siltumenerģija, likumprojekts paredz redakcionālas izmaiņas, aizstājot vārd</w:t>
            </w:r>
            <w:r w:rsidR="007F46B5">
              <w:rPr>
                <w:sz w:val="22"/>
                <w:szCs w:val="22"/>
                <w:lang w:val="lv-LV" w:eastAsia="en-US"/>
              </w:rPr>
              <w:t>us</w:t>
            </w:r>
            <w:r w:rsidRPr="00E24D9A">
              <w:rPr>
                <w:sz w:val="22"/>
                <w:szCs w:val="22"/>
                <w:lang w:val="lv-LV" w:eastAsia="en-US"/>
              </w:rPr>
              <w:t xml:space="preserve"> „koģenerācijas elektrostacija” ar vārd</w:t>
            </w:r>
            <w:r w:rsidR="007F46B5">
              <w:rPr>
                <w:sz w:val="22"/>
                <w:szCs w:val="22"/>
                <w:lang w:val="lv-LV" w:eastAsia="en-US"/>
              </w:rPr>
              <w:t>iem</w:t>
            </w:r>
            <w:r w:rsidRPr="00E24D9A">
              <w:rPr>
                <w:sz w:val="22"/>
                <w:szCs w:val="22"/>
                <w:lang w:val="lv-LV" w:eastAsia="en-US"/>
              </w:rPr>
              <w:t xml:space="preserve"> „koģenerācijas stacija”.</w:t>
            </w:r>
          </w:p>
          <w:p w:rsidR="001E0FE2" w:rsidRPr="00E24D9A" w:rsidRDefault="00157D1D" w:rsidP="004D3CA6">
            <w:pPr>
              <w:pStyle w:val="contentstory"/>
              <w:spacing w:before="0" w:beforeAutospacing="0" w:after="120" w:afterAutospacing="0"/>
              <w:rPr>
                <w:rFonts w:ascii="Times New Roman" w:hAnsi="Times New Roman"/>
                <w:color w:val="auto"/>
                <w:sz w:val="22"/>
                <w:szCs w:val="22"/>
              </w:rPr>
            </w:pPr>
            <w:r w:rsidRPr="00E24D9A">
              <w:rPr>
                <w:rFonts w:ascii="Times New Roman" w:hAnsi="Times New Roman"/>
                <w:color w:val="auto"/>
                <w:sz w:val="22"/>
                <w:szCs w:val="22"/>
              </w:rPr>
              <w:t>Ņemot vērā, ka atbalsts koģenerācijas stacijām ar uzstādīto elektrisko jaudu</w:t>
            </w:r>
            <w:r w:rsidR="004D3CA6">
              <w:rPr>
                <w:rFonts w:ascii="Times New Roman" w:hAnsi="Times New Roman"/>
                <w:color w:val="auto"/>
                <w:sz w:val="22"/>
                <w:szCs w:val="22"/>
              </w:rPr>
              <w:t xml:space="preserve"> lielāku</w:t>
            </w:r>
            <w:r w:rsidRPr="00E24D9A">
              <w:rPr>
                <w:rFonts w:ascii="Times New Roman" w:hAnsi="Times New Roman"/>
                <w:color w:val="auto"/>
                <w:sz w:val="22"/>
                <w:szCs w:val="22"/>
              </w:rPr>
              <w:t xml:space="preserve"> </w:t>
            </w:r>
            <w:r w:rsidR="004D3CA6">
              <w:rPr>
                <w:rFonts w:ascii="Times New Roman" w:hAnsi="Times New Roman"/>
                <w:color w:val="auto"/>
                <w:sz w:val="22"/>
                <w:szCs w:val="22"/>
              </w:rPr>
              <w:t xml:space="preserve">par 4 </w:t>
            </w:r>
            <w:r w:rsidR="00E15C93">
              <w:rPr>
                <w:rFonts w:ascii="Times New Roman" w:hAnsi="Times New Roman"/>
                <w:color w:val="auto"/>
                <w:sz w:val="22"/>
                <w:szCs w:val="22"/>
              </w:rPr>
              <w:t>MW</w:t>
            </w:r>
            <w:r w:rsidRPr="00E24D9A">
              <w:rPr>
                <w:rFonts w:ascii="Times New Roman" w:hAnsi="Times New Roman"/>
                <w:color w:val="auto"/>
                <w:sz w:val="22"/>
                <w:szCs w:val="22"/>
              </w:rPr>
              <w:t xml:space="preserve"> veido gandrīz pusi (46%) no 2013.gada 1.aprīļa apstiprinātās OIK 0,0189 LVL/kWh un, 2013.gadā</w:t>
            </w:r>
            <w:r w:rsidR="00E15C93">
              <w:rPr>
                <w:rFonts w:ascii="Times New Roman" w:hAnsi="Times New Roman"/>
                <w:color w:val="auto"/>
                <w:sz w:val="22"/>
                <w:szCs w:val="22"/>
              </w:rPr>
              <w:t>,</w:t>
            </w:r>
            <w:r w:rsidRPr="00E24D9A">
              <w:rPr>
                <w:rFonts w:ascii="Times New Roman" w:hAnsi="Times New Roman"/>
                <w:color w:val="auto"/>
                <w:sz w:val="22"/>
                <w:szCs w:val="22"/>
              </w:rPr>
              <w:t xml:space="preserve"> nododot ekspluatācija SIA „Fortum” </w:t>
            </w:r>
            <w:r w:rsidR="00DE06EE" w:rsidRPr="00E24D9A">
              <w:rPr>
                <w:rFonts w:ascii="Times New Roman" w:hAnsi="Times New Roman"/>
                <w:color w:val="auto"/>
                <w:sz w:val="22"/>
                <w:szCs w:val="22"/>
              </w:rPr>
              <w:t xml:space="preserve">koģenerācijas </w:t>
            </w:r>
            <w:r w:rsidRPr="00E24D9A">
              <w:rPr>
                <w:rFonts w:ascii="Times New Roman" w:hAnsi="Times New Roman"/>
                <w:color w:val="auto"/>
                <w:sz w:val="22"/>
                <w:szCs w:val="22"/>
              </w:rPr>
              <w:t xml:space="preserve">staciju un Rīgas TEC-2 </w:t>
            </w:r>
            <w:r w:rsidR="00E51DAB" w:rsidRPr="00E24D9A">
              <w:rPr>
                <w:rFonts w:ascii="Times New Roman" w:hAnsi="Times New Roman"/>
                <w:color w:val="auto"/>
                <w:sz w:val="22"/>
                <w:szCs w:val="22"/>
              </w:rPr>
              <w:t>otrā energobloka otro kārtu, atbalsta īpatsvars pieaugs, l</w:t>
            </w:r>
            <w:r w:rsidRPr="00E24D9A">
              <w:rPr>
                <w:rFonts w:ascii="Times New Roman" w:hAnsi="Times New Roman"/>
                <w:color w:val="auto"/>
                <w:sz w:val="22"/>
                <w:szCs w:val="22"/>
              </w:rPr>
              <w:t xml:space="preserve">īdz ar to </w:t>
            </w:r>
            <w:r w:rsidR="00E51DAB" w:rsidRPr="00E24D9A">
              <w:rPr>
                <w:rFonts w:ascii="Times New Roman" w:hAnsi="Times New Roman"/>
                <w:color w:val="auto"/>
                <w:sz w:val="22"/>
                <w:szCs w:val="22"/>
              </w:rPr>
              <w:t xml:space="preserve">likumprojektā paredzēts noteikt </w:t>
            </w:r>
            <w:r w:rsidR="00DE06EE" w:rsidRPr="00E24D9A">
              <w:rPr>
                <w:rFonts w:ascii="Times New Roman" w:hAnsi="Times New Roman"/>
                <w:color w:val="auto"/>
                <w:sz w:val="22"/>
                <w:szCs w:val="22"/>
              </w:rPr>
              <w:t xml:space="preserve">atšķirīgu atbalsta noteikšanas </w:t>
            </w:r>
            <w:r w:rsidR="00E51DAB" w:rsidRPr="00E24D9A">
              <w:rPr>
                <w:rFonts w:ascii="Times New Roman" w:hAnsi="Times New Roman"/>
                <w:color w:val="auto"/>
                <w:sz w:val="22"/>
                <w:szCs w:val="22"/>
              </w:rPr>
              <w:t>kārtību</w:t>
            </w:r>
            <w:r w:rsidR="00DE06EE" w:rsidRPr="00E24D9A">
              <w:rPr>
                <w:rFonts w:ascii="Times New Roman" w:hAnsi="Times New Roman"/>
                <w:color w:val="auto"/>
                <w:sz w:val="22"/>
                <w:szCs w:val="22"/>
              </w:rPr>
              <w:t xml:space="preserve"> </w:t>
            </w:r>
            <w:r w:rsidR="00FF14F9" w:rsidRPr="00E24D9A">
              <w:rPr>
                <w:rFonts w:ascii="Times New Roman" w:hAnsi="Times New Roman"/>
                <w:color w:val="auto"/>
                <w:sz w:val="22"/>
                <w:szCs w:val="22"/>
              </w:rPr>
              <w:t xml:space="preserve">koģenerācijas </w:t>
            </w:r>
            <w:r w:rsidR="00DE06EE" w:rsidRPr="00E24D9A">
              <w:rPr>
                <w:rFonts w:ascii="Times New Roman" w:hAnsi="Times New Roman"/>
                <w:color w:val="auto"/>
                <w:sz w:val="22"/>
                <w:szCs w:val="22"/>
              </w:rPr>
              <w:t>stacijām ar uzstādīto elektrisko jaudu</w:t>
            </w:r>
            <w:r w:rsidR="004D3CA6" w:rsidRPr="004D3CA6">
              <w:rPr>
                <w:rFonts w:ascii="Times New Roman" w:hAnsi="Times New Roman"/>
                <w:color w:val="auto"/>
                <w:sz w:val="22"/>
                <w:szCs w:val="22"/>
              </w:rPr>
              <w:t xml:space="preserve">, kura nepārsniedz  4 </w:t>
            </w:r>
            <w:r w:rsidR="00DA0206">
              <w:rPr>
                <w:rFonts w:ascii="Times New Roman" w:hAnsi="Times New Roman"/>
                <w:color w:val="auto"/>
                <w:sz w:val="22"/>
                <w:szCs w:val="22"/>
              </w:rPr>
              <w:t>MW</w:t>
            </w:r>
            <w:r w:rsidR="004D3CA6">
              <w:rPr>
                <w:rFonts w:ascii="Times New Roman" w:hAnsi="Times New Roman"/>
                <w:color w:val="auto"/>
                <w:sz w:val="22"/>
                <w:szCs w:val="22"/>
              </w:rPr>
              <w:t xml:space="preserve">, </w:t>
            </w:r>
            <w:r w:rsidR="00DE06EE" w:rsidRPr="00E24D9A">
              <w:rPr>
                <w:rFonts w:ascii="Times New Roman" w:hAnsi="Times New Roman"/>
                <w:color w:val="auto"/>
                <w:sz w:val="22"/>
                <w:szCs w:val="22"/>
              </w:rPr>
              <w:t xml:space="preserve">un </w:t>
            </w:r>
            <w:r w:rsidR="004D3CA6">
              <w:rPr>
                <w:rFonts w:ascii="Times New Roman" w:hAnsi="Times New Roman"/>
                <w:color w:val="auto"/>
                <w:sz w:val="22"/>
                <w:szCs w:val="22"/>
              </w:rPr>
              <w:t xml:space="preserve">jaudu lielāku par </w:t>
            </w:r>
            <w:r w:rsidR="00DE06EE" w:rsidRPr="00E24D9A">
              <w:rPr>
                <w:rFonts w:ascii="Times New Roman" w:hAnsi="Times New Roman"/>
                <w:color w:val="auto"/>
                <w:sz w:val="22"/>
                <w:szCs w:val="22"/>
              </w:rPr>
              <w:t>4 MW</w:t>
            </w:r>
            <w:r w:rsidRPr="00E24D9A">
              <w:rPr>
                <w:rFonts w:ascii="Times New Roman" w:hAnsi="Times New Roman"/>
                <w:color w:val="auto"/>
                <w:sz w:val="22"/>
                <w:szCs w:val="22"/>
              </w:rPr>
              <w:t>, samazinot atbalsta intensitāti</w:t>
            </w:r>
            <w:r w:rsidR="00DE06EE" w:rsidRPr="00E24D9A">
              <w:rPr>
                <w:rFonts w:ascii="Times New Roman" w:hAnsi="Times New Roman"/>
                <w:color w:val="auto"/>
                <w:sz w:val="22"/>
                <w:szCs w:val="22"/>
              </w:rPr>
              <w:t xml:space="preserve"> pēdējām</w:t>
            </w:r>
            <w:r w:rsidRPr="00E24D9A">
              <w:rPr>
                <w:rFonts w:ascii="Times New Roman" w:hAnsi="Times New Roman"/>
                <w:color w:val="auto"/>
                <w:sz w:val="22"/>
                <w:szCs w:val="22"/>
              </w:rPr>
              <w:t>.</w:t>
            </w:r>
          </w:p>
          <w:p w:rsidR="0032015C" w:rsidRPr="00282276" w:rsidRDefault="00DE06EE" w:rsidP="00282276">
            <w:pPr>
              <w:pStyle w:val="naiskr"/>
              <w:spacing w:before="0" w:after="0"/>
              <w:ind w:hanging="5"/>
              <w:jc w:val="both"/>
              <w:rPr>
                <w:color w:val="000000"/>
                <w:sz w:val="22"/>
                <w:szCs w:val="22"/>
              </w:rPr>
            </w:pPr>
            <w:r w:rsidRPr="00E24D9A">
              <w:rPr>
                <w:sz w:val="22"/>
                <w:szCs w:val="22"/>
              </w:rPr>
              <w:t xml:space="preserve">Likumprojekts nosaka, ka </w:t>
            </w:r>
            <w:r w:rsidR="00FF14F9" w:rsidRPr="00E24D9A">
              <w:rPr>
                <w:sz w:val="22"/>
                <w:szCs w:val="22"/>
              </w:rPr>
              <w:t xml:space="preserve">koģenerācijas </w:t>
            </w:r>
            <w:r w:rsidRPr="00E24D9A">
              <w:rPr>
                <w:sz w:val="22"/>
                <w:szCs w:val="22"/>
              </w:rPr>
              <w:t>stacijām ar uzstādīto elektrisko jaudu līdz 4 MW saglabājas iepriekš</w:t>
            </w:r>
            <w:r w:rsidR="00FF14F9" w:rsidRPr="00E24D9A">
              <w:rPr>
                <w:sz w:val="22"/>
                <w:szCs w:val="22"/>
              </w:rPr>
              <w:t xml:space="preserve">ējais </w:t>
            </w:r>
            <w:r w:rsidR="00DA0206">
              <w:rPr>
                <w:sz w:val="22"/>
                <w:szCs w:val="22"/>
              </w:rPr>
              <w:t xml:space="preserve">ETL </w:t>
            </w:r>
            <w:r w:rsidR="00FF14F9" w:rsidRPr="00E24D9A">
              <w:rPr>
                <w:sz w:val="22"/>
                <w:szCs w:val="22"/>
              </w:rPr>
              <w:t>28.</w:t>
            </w:r>
            <w:r w:rsidR="006F7D9F">
              <w:rPr>
                <w:sz w:val="22"/>
                <w:szCs w:val="22"/>
              </w:rPr>
              <w:t> </w:t>
            </w:r>
            <w:r w:rsidR="00FF14F9" w:rsidRPr="00E24D9A">
              <w:rPr>
                <w:sz w:val="22"/>
                <w:szCs w:val="22"/>
              </w:rPr>
              <w:t xml:space="preserve">pantā noteiktais regulējums. </w:t>
            </w:r>
            <w:r w:rsidR="000018EE" w:rsidRPr="00E24D9A">
              <w:rPr>
                <w:sz w:val="22"/>
                <w:szCs w:val="22"/>
              </w:rPr>
              <w:t>Savukārt stacijām ar uzstādīto elektrisko jaudu</w:t>
            </w:r>
            <w:r w:rsidR="00356FC9" w:rsidRPr="00E24D9A">
              <w:rPr>
                <w:sz w:val="22"/>
                <w:szCs w:val="22"/>
              </w:rPr>
              <w:t xml:space="preserve"> lielāku par </w:t>
            </w:r>
            <w:r w:rsidR="000018EE" w:rsidRPr="00E24D9A">
              <w:rPr>
                <w:sz w:val="22"/>
                <w:szCs w:val="22"/>
              </w:rPr>
              <w:t>4 MW turpmāk vairs nebūs iespējas</w:t>
            </w:r>
            <w:r w:rsidR="001E0FE2" w:rsidRPr="00E24D9A">
              <w:rPr>
                <w:sz w:val="22"/>
                <w:szCs w:val="22"/>
              </w:rPr>
              <w:t xml:space="preserve"> iegūt tiesības </w:t>
            </w:r>
            <w:r w:rsidR="000018EE" w:rsidRPr="00E24D9A">
              <w:rPr>
                <w:sz w:val="22"/>
                <w:szCs w:val="22"/>
              </w:rPr>
              <w:t xml:space="preserve">pārdot elektroenerģiju obligātā iepirkuma ietvaros, </w:t>
            </w:r>
            <w:r w:rsidR="001E0FE2" w:rsidRPr="00E24D9A">
              <w:rPr>
                <w:sz w:val="22"/>
                <w:szCs w:val="22"/>
              </w:rPr>
              <w:t xml:space="preserve">bet </w:t>
            </w:r>
            <w:r w:rsidR="000018EE" w:rsidRPr="00E24D9A">
              <w:rPr>
                <w:sz w:val="22"/>
                <w:szCs w:val="22"/>
              </w:rPr>
              <w:t>būs iespējams tikai iegūt tiesības saņemt garantētu maksu par koģenerācijas stacijā uzstādīto elektrisko jaudu</w:t>
            </w:r>
            <w:r w:rsidR="001E0FE2" w:rsidRPr="00E24D9A">
              <w:rPr>
                <w:sz w:val="22"/>
                <w:szCs w:val="22"/>
              </w:rPr>
              <w:t xml:space="preserve">. </w:t>
            </w:r>
            <w:r w:rsidR="006B786F">
              <w:rPr>
                <w:sz w:val="22"/>
                <w:szCs w:val="22"/>
              </w:rPr>
              <w:t xml:space="preserve">Pašlaik stacijas uzstādīto elektrisko jaudu lielāku par </w:t>
            </w:r>
            <w:r w:rsidR="00A47DB3" w:rsidRPr="00E24D9A">
              <w:rPr>
                <w:sz w:val="22"/>
                <w:szCs w:val="22"/>
              </w:rPr>
              <w:t>4</w:t>
            </w:r>
            <w:r w:rsidR="006B786F">
              <w:rPr>
                <w:sz w:val="22"/>
                <w:szCs w:val="22"/>
              </w:rPr>
              <w:t xml:space="preserve"> </w:t>
            </w:r>
            <w:r w:rsidR="00A47DB3" w:rsidRPr="00E24D9A">
              <w:rPr>
                <w:sz w:val="22"/>
                <w:szCs w:val="22"/>
              </w:rPr>
              <w:t xml:space="preserve">MW, saņem atbalstu, kas veidojas no </w:t>
            </w:r>
            <w:r w:rsidR="00373CB6" w:rsidRPr="00E24D9A">
              <w:rPr>
                <w:sz w:val="22"/>
                <w:szCs w:val="22"/>
              </w:rPr>
              <w:t xml:space="preserve">enerģijas komponentes un </w:t>
            </w:r>
            <w:r w:rsidR="00A47DB3" w:rsidRPr="00E24D9A">
              <w:rPr>
                <w:sz w:val="22"/>
                <w:szCs w:val="22"/>
              </w:rPr>
              <w:t xml:space="preserve">jaudas komponentes. Grozījumi paredz atteikties no enerģijas komponentes, saglabājot atbalstu par jaudu, </w:t>
            </w:r>
            <w:r w:rsidR="00282276">
              <w:rPr>
                <w:sz w:val="22"/>
                <w:szCs w:val="22"/>
              </w:rPr>
              <w:t>t.i., tās koģenerācijas stacijas</w:t>
            </w:r>
            <w:r w:rsidR="00A47DB3" w:rsidRPr="00E24D9A">
              <w:rPr>
                <w:sz w:val="22"/>
                <w:szCs w:val="22"/>
              </w:rPr>
              <w:t xml:space="preserve">, kuras pašlaik izmanto tiesības pārdot saražoto elektroenerģiju obligātā iepirkuma ietvaros, no </w:t>
            </w:r>
            <w:r w:rsidR="00A47DB3" w:rsidRPr="00E24D9A">
              <w:rPr>
                <w:sz w:val="22"/>
                <w:szCs w:val="22"/>
              </w:rPr>
              <w:lastRenderedPageBreak/>
              <w:t>2014.</w:t>
            </w:r>
            <w:r w:rsidR="006F7D9F">
              <w:rPr>
                <w:sz w:val="22"/>
                <w:szCs w:val="22"/>
              </w:rPr>
              <w:t> </w:t>
            </w:r>
            <w:r w:rsidR="00A47DB3" w:rsidRPr="00E24D9A">
              <w:rPr>
                <w:sz w:val="22"/>
                <w:szCs w:val="22"/>
              </w:rPr>
              <w:t>gada 1.</w:t>
            </w:r>
            <w:r w:rsidR="006F7D9F">
              <w:rPr>
                <w:sz w:val="22"/>
                <w:szCs w:val="22"/>
              </w:rPr>
              <w:t> </w:t>
            </w:r>
            <w:r w:rsidR="00A47DB3" w:rsidRPr="00E24D9A">
              <w:rPr>
                <w:sz w:val="22"/>
                <w:szCs w:val="22"/>
              </w:rPr>
              <w:t xml:space="preserve">janvāra saņems garantēto maksu par koģenerācijas stacijā uzstādīto elektrisko jaudu atbilstoši tiem pašiem nosacījumiem par darbības režīmu, termiņiem un jaudas komponentes </w:t>
            </w:r>
            <w:r w:rsidR="00282276">
              <w:rPr>
                <w:sz w:val="22"/>
                <w:szCs w:val="22"/>
              </w:rPr>
              <w:t>aprēķinu</w:t>
            </w:r>
            <w:r w:rsidR="00A47DB3" w:rsidRPr="00E24D9A">
              <w:rPr>
                <w:sz w:val="22"/>
                <w:szCs w:val="22"/>
              </w:rPr>
              <w:t>, kād</w:t>
            </w:r>
            <w:r w:rsidR="00282276">
              <w:rPr>
                <w:sz w:val="22"/>
                <w:szCs w:val="22"/>
              </w:rPr>
              <w:t>s</w:t>
            </w:r>
            <w:r w:rsidR="00A47DB3" w:rsidRPr="00E24D9A">
              <w:rPr>
                <w:sz w:val="22"/>
                <w:szCs w:val="22"/>
              </w:rPr>
              <w:t xml:space="preserve"> uz </w:t>
            </w:r>
            <w:r w:rsidR="00A47DB3" w:rsidRPr="00282276">
              <w:rPr>
                <w:sz w:val="22"/>
                <w:szCs w:val="22"/>
              </w:rPr>
              <w:t>koģenerācijas stacijā uzstādīto elektrisko jaudu attiecās līdz 2014.</w:t>
            </w:r>
            <w:r w:rsidR="006F7D9F">
              <w:rPr>
                <w:sz w:val="22"/>
                <w:szCs w:val="22"/>
              </w:rPr>
              <w:t> </w:t>
            </w:r>
            <w:r w:rsidR="00A47DB3" w:rsidRPr="00282276">
              <w:rPr>
                <w:sz w:val="22"/>
                <w:szCs w:val="22"/>
              </w:rPr>
              <w:t>gada 1.</w:t>
            </w:r>
            <w:r w:rsidR="006F7D9F">
              <w:rPr>
                <w:sz w:val="22"/>
                <w:szCs w:val="22"/>
              </w:rPr>
              <w:t> </w:t>
            </w:r>
            <w:r w:rsidR="00A47DB3" w:rsidRPr="00282276">
              <w:rPr>
                <w:sz w:val="22"/>
                <w:szCs w:val="22"/>
              </w:rPr>
              <w:t>janvārim.</w:t>
            </w:r>
            <w:r w:rsidR="00282276" w:rsidRPr="00282276">
              <w:rPr>
                <w:sz w:val="22"/>
                <w:szCs w:val="22"/>
              </w:rPr>
              <w:t xml:space="preserve"> </w:t>
            </w:r>
            <w:r w:rsidR="00842C1C">
              <w:rPr>
                <w:sz w:val="22"/>
                <w:szCs w:val="22"/>
              </w:rPr>
              <w:t>Likumprojekt</w:t>
            </w:r>
            <w:r w:rsidR="00E15C93">
              <w:rPr>
                <w:sz w:val="22"/>
                <w:szCs w:val="22"/>
              </w:rPr>
              <w:t>s</w:t>
            </w:r>
            <w:r w:rsidR="00842C1C">
              <w:rPr>
                <w:sz w:val="22"/>
                <w:szCs w:val="22"/>
              </w:rPr>
              <w:t xml:space="preserve"> </w:t>
            </w:r>
            <w:r w:rsidR="00157D1D" w:rsidRPr="00282276">
              <w:rPr>
                <w:sz w:val="22"/>
                <w:szCs w:val="22"/>
              </w:rPr>
              <w:t xml:space="preserve">paredz, ka jaudas komponente </w:t>
            </w:r>
            <w:r w:rsidR="00157D1D" w:rsidRPr="00282276">
              <w:rPr>
                <w:color w:val="000000"/>
                <w:sz w:val="22"/>
                <w:szCs w:val="22"/>
              </w:rPr>
              <w:t>koģenerācijas stacijām par vienu uzstādīto elektrisko megavatu gadā (LVL/MW) veido šādā sadalījumā pēc stacijā uzstādītās elektriskās jaudas:</w:t>
            </w:r>
          </w:p>
          <w:p w:rsidR="00157D1D" w:rsidRPr="00282276" w:rsidRDefault="00157D1D" w:rsidP="0032015C">
            <w:pPr>
              <w:pStyle w:val="ListParagraph"/>
              <w:numPr>
                <w:ilvl w:val="0"/>
                <w:numId w:val="16"/>
              </w:numPr>
              <w:tabs>
                <w:tab w:val="left" w:pos="851"/>
              </w:tabs>
              <w:jc w:val="both"/>
              <w:rPr>
                <w:rFonts w:ascii="Times New Roman" w:hAnsi="Times New Roman"/>
                <w:color w:val="000000"/>
              </w:rPr>
            </w:pPr>
            <w:r w:rsidRPr="00282276">
              <w:rPr>
                <w:rFonts w:ascii="Times New Roman" w:hAnsi="Times New Roman"/>
                <w:color w:val="000000"/>
              </w:rPr>
              <w:t xml:space="preserve">lielāka par </w:t>
            </w:r>
            <w:r w:rsidR="00DA0206">
              <w:rPr>
                <w:rFonts w:ascii="Times New Roman" w:hAnsi="Times New Roman"/>
                <w:color w:val="000000"/>
              </w:rPr>
              <w:t>4</w:t>
            </w:r>
            <w:r w:rsidR="00DA0206" w:rsidRPr="00282276">
              <w:rPr>
                <w:rFonts w:ascii="Times New Roman" w:hAnsi="Times New Roman"/>
                <w:color w:val="000000"/>
              </w:rPr>
              <w:t xml:space="preserve"> </w:t>
            </w:r>
            <w:r w:rsidRPr="00282276">
              <w:rPr>
                <w:rFonts w:ascii="Times New Roman" w:hAnsi="Times New Roman"/>
                <w:color w:val="000000"/>
              </w:rPr>
              <w:t>MW, bet mazāka par 20 MW - 107 900 LVL;</w:t>
            </w:r>
          </w:p>
          <w:p w:rsidR="00157D1D" w:rsidRPr="00282276" w:rsidRDefault="00157D1D" w:rsidP="0032015C">
            <w:pPr>
              <w:pStyle w:val="ListParagraph"/>
              <w:numPr>
                <w:ilvl w:val="0"/>
                <w:numId w:val="16"/>
              </w:numPr>
              <w:tabs>
                <w:tab w:val="left" w:pos="284"/>
                <w:tab w:val="left" w:pos="851"/>
              </w:tabs>
              <w:suppressAutoHyphens/>
              <w:autoSpaceDE w:val="0"/>
              <w:autoSpaceDN w:val="0"/>
              <w:adjustRightInd w:val="0"/>
              <w:jc w:val="both"/>
              <w:rPr>
                <w:rFonts w:ascii="Times New Roman" w:hAnsi="Times New Roman"/>
                <w:color w:val="000000"/>
              </w:rPr>
            </w:pPr>
            <w:r w:rsidRPr="00282276">
              <w:rPr>
                <w:rFonts w:ascii="Times New Roman" w:hAnsi="Times New Roman"/>
                <w:color w:val="000000"/>
              </w:rPr>
              <w:t xml:space="preserve">lielāka par 20 MW (ieskaitot),  bet mazāka par 100 MW - </w:t>
            </w:r>
            <w:r w:rsidR="00E15C93">
              <w:rPr>
                <w:rFonts w:ascii="Times New Roman" w:hAnsi="Times New Roman"/>
                <w:color w:val="000000"/>
              </w:rPr>
              <w:t xml:space="preserve">        </w:t>
            </w:r>
            <w:r w:rsidRPr="00282276">
              <w:rPr>
                <w:rFonts w:ascii="Times New Roman" w:hAnsi="Times New Roman"/>
                <w:color w:val="000000"/>
              </w:rPr>
              <w:t>83 800 LVL;</w:t>
            </w:r>
          </w:p>
          <w:p w:rsidR="00FB4183" w:rsidRPr="00282276" w:rsidRDefault="00157D1D" w:rsidP="00A332A1">
            <w:pPr>
              <w:pStyle w:val="ListParagraph"/>
              <w:numPr>
                <w:ilvl w:val="0"/>
                <w:numId w:val="16"/>
              </w:numPr>
              <w:tabs>
                <w:tab w:val="left" w:pos="284"/>
                <w:tab w:val="left" w:pos="851"/>
              </w:tabs>
              <w:suppressAutoHyphens/>
              <w:autoSpaceDE w:val="0"/>
              <w:autoSpaceDN w:val="0"/>
              <w:adjustRightInd w:val="0"/>
              <w:ind w:left="714" w:hanging="357"/>
              <w:jc w:val="both"/>
              <w:rPr>
                <w:rFonts w:ascii="Times New Roman" w:hAnsi="Times New Roman"/>
                <w:color w:val="000000"/>
              </w:rPr>
            </w:pPr>
            <w:r w:rsidRPr="00282276">
              <w:rPr>
                <w:rFonts w:ascii="Times New Roman" w:hAnsi="Times New Roman"/>
                <w:color w:val="000000"/>
              </w:rPr>
              <w:t>lielāka par 100 MW (ieskaitot) - 71 900 LVL.</w:t>
            </w:r>
          </w:p>
          <w:p w:rsidR="00A332A1" w:rsidRDefault="00A332A1" w:rsidP="00282276">
            <w:pPr>
              <w:pStyle w:val="naislab"/>
              <w:spacing w:before="0" w:after="120"/>
              <w:jc w:val="both"/>
              <w:rPr>
                <w:bCs/>
                <w:sz w:val="22"/>
                <w:szCs w:val="22"/>
              </w:rPr>
            </w:pPr>
            <w:r>
              <w:rPr>
                <w:bCs/>
                <w:sz w:val="22"/>
                <w:szCs w:val="22"/>
              </w:rPr>
              <w:t>Jaudas komponente sed</w:t>
            </w:r>
            <w:r w:rsidR="00F54F7D">
              <w:rPr>
                <w:bCs/>
                <w:sz w:val="22"/>
                <w:szCs w:val="22"/>
              </w:rPr>
              <w:t>z stacijās veiktās investīcijas, un st</w:t>
            </w:r>
            <w:r w:rsidR="00F54F7D" w:rsidRPr="00F54F7D">
              <w:rPr>
                <w:bCs/>
                <w:sz w:val="22"/>
                <w:szCs w:val="22"/>
              </w:rPr>
              <w:t>acijām ar jaudu līdz 100</w:t>
            </w:r>
            <w:r w:rsidR="00F54F7D">
              <w:rPr>
                <w:bCs/>
                <w:sz w:val="22"/>
                <w:szCs w:val="22"/>
              </w:rPr>
              <w:t xml:space="preserve"> </w:t>
            </w:r>
            <w:r w:rsidR="00F54F7D" w:rsidRPr="00F54F7D">
              <w:rPr>
                <w:bCs/>
                <w:sz w:val="22"/>
                <w:szCs w:val="22"/>
              </w:rPr>
              <w:t xml:space="preserve">MW ir fiksēta 2013. gada maijā piemērotajā </w:t>
            </w:r>
            <w:r w:rsidR="00F54F7D">
              <w:rPr>
                <w:bCs/>
                <w:sz w:val="22"/>
                <w:szCs w:val="22"/>
              </w:rPr>
              <w:t xml:space="preserve">jaudas komponentes </w:t>
            </w:r>
            <w:r w:rsidR="00F54F7D" w:rsidRPr="00F54F7D">
              <w:rPr>
                <w:bCs/>
                <w:sz w:val="22"/>
                <w:szCs w:val="22"/>
              </w:rPr>
              <w:t>apjomā</w:t>
            </w:r>
            <w:r w:rsidR="00F54F7D">
              <w:rPr>
                <w:bCs/>
                <w:sz w:val="22"/>
                <w:szCs w:val="22"/>
              </w:rPr>
              <w:t>, kas noteikta saskaņā ar regulatora metodiku vai MK 221.noteikumos noteikto formulu.</w:t>
            </w:r>
            <w:r w:rsidR="00F54F7D" w:rsidRPr="00F54F7D">
              <w:rPr>
                <w:bCs/>
                <w:sz w:val="22"/>
                <w:szCs w:val="22"/>
              </w:rPr>
              <w:t xml:space="preserve">   </w:t>
            </w:r>
          </w:p>
          <w:p w:rsidR="001F1D3E" w:rsidRPr="00484598" w:rsidRDefault="008F31E5" w:rsidP="00282276">
            <w:pPr>
              <w:pStyle w:val="naislab"/>
              <w:spacing w:before="0" w:after="120"/>
              <w:jc w:val="both"/>
              <w:rPr>
                <w:bCs/>
                <w:sz w:val="22"/>
                <w:szCs w:val="22"/>
              </w:rPr>
            </w:pPr>
            <w:r w:rsidRPr="00484598">
              <w:rPr>
                <w:bCs/>
                <w:sz w:val="22"/>
                <w:szCs w:val="22"/>
              </w:rPr>
              <w:t xml:space="preserve">Publiskā tirgotāja  </w:t>
            </w:r>
            <w:r w:rsidR="00FB4183" w:rsidRPr="00484598">
              <w:rPr>
                <w:bCs/>
                <w:sz w:val="22"/>
                <w:szCs w:val="22"/>
              </w:rPr>
              <w:t xml:space="preserve">uzdevums ir  kompensēt starpību starp reālo OIK un lietotājiem piemērojamo 1,89 sant./kWh. </w:t>
            </w:r>
            <w:r w:rsidR="001F1D3E" w:rsidRPr="00484598">
              <w:rPr>
                <w:bCs/>
                <w:sz w:val="22"/>
                <w:szCs w:val="22"/>
              </w:rPr>
              <w:t>Tā kā kompensējamā summa tiks saņemta valsts budžeta dotācijas veidā, kas radītu esošajam publiskajam tirgotājam AS „Latvenergo” nepamatotu konkurences priekšrocību, likumprojekts paredz, ka publiskā tirgotāja pienākumus no 2014.</w:t>
            </w:r>
            <w:r w:rsidR="006F7D9F" w:rsidRPr="00484598">
              <w:rPr>
                <w:bCs/>
                <w:sz w:val="22"/>
                <w:szCs w:val="22"/>
              </w:rPr>
              <w:t> </w:t>
            </w:r>
            <w:r w:rsidR="001F1D3E" w:rsidRPr="00484598">
              <w:rPr>
                <w:bCs/>
                <w:sz w:val="22"/>
                <w:szCs w:val="22"/>
              </w:rPr>
              <w:t xml:space="preserve">gada 1.aprīļa pildīs jaunizveidota AS „Latvenergo” meitassabiedrība. </w:t>
            </w:r>
            <w:r w:rsidR="00484598" w:rsidRPr="00484598">
              <w:rPr>
                <w:bCs/>
                <w:sz w:val="22"/>
                <w:szCs w:val="22"/>
              </w:rPr>
              <w:t xml:space="preserve">Tā kā </w:t>
            </w:r>
            <w:r w:rsidR="00484598" w:rsidRPr="00484598">
              <w:rPr>
                <w:sz w:val="22"/>
                <w:szCs w:val="22"/>
              </w:rPr>
              <w:t xml:space="preserve"> valsts budžeta dotācija, lai  kompensēt starpību starp reālo OIK un lietotājiem piemērojamo 1,89 sant./kWh</w:t>
            </w:r>
            <w:r w:rsidR="00484598">
              <w:rPr>
                <w:sz w:val="22"/>
                <w:szCs w:val="22"/>
              </w:rPr>
              <w:t xml:space="preserve">, </w:t>
            </w:r>
            <w:r w:rsidR="00484598" w:rsidRPr="00484598">
              <w:rPr>
                <w:sz w:val="22"/>
                <w:szCs w:val="22"/>
              </w:rPr>
              <w:t xml:space="preserve"> </w:t>
            </w:r>
            <w:r w:rsidR="00484598" w:rsidRPr="00484598">
              <w:rPr>
                <w:bCs/>
                <w:sz w:val="22"/>
                <w:szCs w:val="22"/>
              </w:rPr>
              <w:t>potenciāli kvalificējas kā valsts atbalsts</w:t>
            </w:r>
            <w:r w:rsidR="00484598">
              <w:rPr>
                <w:bCs/>
                <w:sz w:val="22"/>
                <w:szCs w:val="22"/>
              </w:rPr>
              <w:t xml:space="preserve"> Ekonomikas ministrija pēc likumprojekta apstiprināšanas Ministru kabinetā nosūtīs Eiropas Komisijai </w:t>
            </w:r>
            <w:r w:rsidR="00484598">
              <w:t xml:space="preserve"> </w:t>
            </w:r>
            <w:r w:rsidR="00484598" w:rsidRPr="00484598">
              <w:rPr>
                <w:bCs/>
                <w:sz w:val="22"/>
                <w:szCs w:val="22"/>
              </w:rPr>
              <w:t xml:space="preserve">atbalsta pasākuma </w:t>
            </w:r>
            <w:proofErr w:type="spellStart"/>
            <w:r w:rsidR="00484598" w:rsidRPr="00484598">
              <w:rPr>
                <w:bCs/>
                <w:sz w:val="22"/>
                <w:szCs w:val="22"/>
              </w:rPr>
              <w:t>pirmspaziņojumu</w:t>
            </w:r>
            <w:proofErr w:type="spellEnd"/>
            <w:r w:rsidR="00484598">
              <w:rPr>
                <w:bCs/>
                <w:sz w:val="22"/>
                <w:szCs w:val="22"/>
              </w:rPr>
              <w:t>.</w:t>
            </w:r>
          </w:p>
          <w:p w:rsidR="00A370AD" w:rsidRDefault="00DB0784" w:rsidP="00282276">
            <w:pPr>
              <w:pStyle w:val="naislab"/>
              <w:spacing w:before="0" w:after="120"/>
              <w:jc w:val="both"/>
              <w:rPr>
                <w:bCs/>
                <w:sz w:val="22"/>
                <w:szCs w:val="22"/>
              </w:rPr>
            </w:pPr>
            <w:r w:rsidRPr="00E24D9A">
              <w:rPr>
                <w:bCs/>
                <w:sz w:val="22"/>
                <w:szCs w:val="22"/>
              </w:rPr>
              <w:t>Lai nodrošinātu efektīvu</w:t>
            </w:r>
            <w:r w:rsidR="00671D55" w:rsidRPr="00E24D9A">
              <w:rPr>
                <w:bCs/>
                <w:sz w:val="22"/>
                <w:szCs w:val="22"/>
              </w:rPr>
              <w:t xml:space="preserve"> obligātā iepirkuma ieņēmumu un</w:t>
            </w:r>
            <w:r w:rsidR="00A370AD">
              <w:rPr>
                <w:bCs/>
                <w:sz w:val="22"/>
                <w:szCs w:val="22"/>
              </w:rPr>
              <w:t xml:space="preserve"> </w:t>
            </w:r>
            <w:r w:rsidR="00671D55" w:rsidRPr="00E24D9A">
              <w:rPr>
                <w:bCs/>
                <w:sz w:val="22"/>
                <w:szCs w:val="22"/>
              </w:rPr>
              <w:t>valsts budžeta dotāciju un izmaksu elektroenerģijas ražotājiem administrāciju,  samazinot procesā iesaistītās puses, likumprojekts paredz, ka, sākot ar 2014.</w:t>
            </w:r>
            <w:r w:rsidR="006F7D9F">
              <w:rPr>
                <w:bCs/>
                <w:sz w:val="22"/>
                <w:szCs w:val="22"/>
              </w:rPr>
              <w:t> </w:t>
            </w:r>
            <w:r w:rsidR="00671D55" w:rsidRPr="00E24D9A">
              <w:rPr>
                <w:bCs/>
                <w:sz w:val="22"/>
                <w:szCs w:val="22"/>
              </w:rPr>
              <w:t>gada 1.</w:t>
            </w:r>
            <w:r w:rsidR="006F7D9F">
              <w:rPr>
                <w:bCs/>
                <w:sz w:val="22"/>
                <w:szCs w:val="22"/>
              </w:rPr>
              <w:t> </w:t>
            </w:r>
            <w:r w:rsidR="00671D55" w:rsidRPr="00E24D9A">
              <w:rPr>
                <w:bCs/>
                <w:sz w:val="22"/>
                <w:szCs w:val="22"/>
              </w:rPr>
              <w:t>janvāri, garantētās maksas par koģenerācijas stacijā uzstādīto elektrisko jaudu maksājumus veiks publiskais tirgotājs</w:t>
            </w:r>
            <w:r w:rsidR="00CF056D" w:rsidRPr="00E24D9A">
              <w:rPr>
                <w:bCs/>
                <w:sz w:val="22"/>
                <w:szCs w:val="22"/>
              </w:rPr>
              <w:t>,</w:t>
            </w:r>
            <w:r w:rsidR="00671D55" w:rsidRPr="00E24D9A">
              <w:rPr>
                <w:bCs/>
                <w:sz w:val="22"/>
                <w:szCs w:val="22"/>
              </w:rPr>
              <w:t xml:space="preserve"> nevis pārvades sistēmas operators. </w:t>
            </w:r>
          </w:p>
          <w:p w:rsidR="00DB0784" w:rsidRPr="00E24D9A" w:rsidRDefault="00DB0784" w:rsidP="00282276">
            <w:pPr>
              <w:pStyle w:val="naislab"/>
              <w:spacing w:before="0" w:after="120"/>
              <w:jc w:val="both"/>
              <w:rPr>
                <w:bCs/>
                <w:sz w:val="22"/>
                <w:szCs w:val="22"/>
              </w:rPr>
            </w:pPr>
            <w:r w:rsidRPr="00E24D9A">
              <w:rPr>
                <w:bCs/>
                <w:sz w:val="22"/>
                <w:szCs w:val="22"/>
              </w:rPr>
              <w:t xml:space="preserve">Ņemot vērā, ka obligātā iepirkuma ieņēmumi un izdevumi nesakrīt laikā, likumprojektā iekļauts nosacījums, kas </w:t>
            </w:r>
            <w:r w:rsidRPr="00E24D9A">
              <w:rPr>
                <w:sz w:val="22"/>
                <w:szCs w:val="22"/>
              </w:rPr>
              <w:t xml:space="preserve">uzliek jaunajam publiskajam tirgotājam </w:t>
            </w:r>
            <w:r w:rsidR="00282276">
              <w:rPr>
                <w:sz w:val="22"/>
                <w:szCs w:val="22"/>
              </w:rPr>
              <w:t xml:space="preserve">pienākumu </w:t>
            </w:r>
            <w:r w:rsidRPr="00E24D9A">
              <w:rPr>
                <w:sz w:val="22"/>
                <w:szCs w:val="22"/>
              </w:rPr>
              <w:t xml:space="preserve">gada laikā </w:t>
            </w:r>
            <w:r w:rsidRPr="00E24D9A">
              <w:rPr>
                <w:bCs/>
                <w:sz w:val="22"/>
                <w:szCs w:val="22"/>
              </w:rPr>
              <w:t xml:space="preserve">kompensēt iepriekšējam publiskā tirgotājam starpību starp obligātā iepirkuma izmaksām virs tirgus cenas un saņemtajiem obligātā iepirkuma komponentes maksājumiem. </w:t>
            </w:r>
            <w:r w:rsidR="001F1D3E" w:rsidRPr="00E24D9A">
              <w:rPr>
                <w:bCs/>
                <w:sz w:val="22"/>
                <w:szCs w:val="22"/>
              </w:rPr>
              <w:t xml:space="preserve">Šo summu jaunais </w:t>
            </w:r>
            <w:r w:rsidRPr="00E24D9A">
              <w:rPr>
                <w:bCs/>
                <w:sz w:val="22"/>
                <w:szCs w:val="22"/>
              </w:rPr>
              <w:t>publiskais tirgotājs</w:t>
            </w:r>
            <w:r w:rsidR="001F1D3E" w:rsidRPr="00E24D9A">
              <w:rPr>
                <w:bCs/>
                <w:sz w:val="22"/>
                <w:szCs w:val="22"/>
              </w:rPr>
              <w:t xml:space="preserve"> segs no tekošajiem ieņēmumiem un aizņēmuma no mātes</w:t>
            </w:r>
            <w:r w:rsidRPr="00E24D9A">
              <w:rPr>
                <w:bCs/>
                <w:sz w:val="22"/>
                <w:szCs w:val="22"/>
              </w:rPr>
              <w:t xml:space="preserve"> sabiedrība</w:t>
            </w:r>
            <w:r w:rsidR="001F1D3E" w:rsidRPr="00E24D9A">
              <w:rPr>
                <w:bCs/>
                <w:sz w:val="22"/>
                <w:szCs w:val="22"/>
              </w:rPr>
              <w:t xml:space="preserve"> vai </w:t>
            </w:r>
            <w:r w:rsidR="00282276">
              <w:rPr>
                <w:bCs/>
                <w:sz w:val="22"/>
                <w:szCs w:val="22"/>
              </w:rPr>
              <w:t>finanšu iestādēm</w:t>
            </w:r>
            <w:r w:rsidR="001F1D3E" w:rsidRPr="00E24D9A">
              <w:rPr>
                <w:bCs/>
                <w:sz w:val="22"/>
                <w:szCs w:val="22"/>
              </w:rPr>
              <w:t>.</w:t>
            </w:r>
            <w:r w:rsidR="00A86201" w:rsidRPr="00E24D9A">
              <w:rPr>
                <w:bCs/>
                <w:sz w:val="22"/>
                <w:szCs w:val="22"/>
              </w:rPr>
              <w:t xml:space="preserve"> </w:t>
            </w:r>
            <w:r w:rsidR="00A86201" w:rsidRPr="00E24D9A">
              <w:rPr>
                <w:sz w:val="22"/>
                <w:szCs w:val="22"/>
              </w:rPr>
              <w:t xml:space="preserve"> </w:t>
            </w:r>
          </w:p>
          <w:p w:rsidR="00FB4183" w:rsidRPr="003D12AB" w:rsidRDefault="00A86201" w:rsidP="00282276">
            <w:pPr>
              <w:pStyle w:val="NormalWeb"/>
              <w:spacing w:before="0" w:beforeAutospacing="0" w:after="0" w:afterAutospacing="0"/>
              <w:jc w:val="both"/>
              <w:rPr>
                <w:szCs w:val="24"/>
                <w:lang w:val="lv-LV" w:eastAsia="en-US"/>
              </w:rPr>
            </w:pPr>
            <w:r w:rsidRPr="00E24D9A">
              <w:rPr>
                <w:sz w:val="22"/>
                <w:szCs w:val="22"/>
                <w:lang w:val="lv-LV" w:eastAsia="en-US"/>
              </w:rPr>
              <w:t xml:space="preserve">Lai ierobežotu OIK pieaugumu, likumprojektā paredzēts, ka </w:t>
            </w:r>
            <w:r w:rsidR="00356FC9" w:rsidRPr="00E24D9A">
              <w:rPr>
                <w:sz w:val="22"/>
                <w:szCs w:val="22"/>
              </w:rPr>
              <w:t xml:space="preserve"> </w:t>
            </w:r>
            <w:r w:rsidR="00356FC9" w:rsidRPr="00E24D9A">
              <w:rPr>
                <w:sz w:val="22"/>
                <w:szCs w:val="22"/>
                <w:lang w:val="lv-LV" w:eastAsia="en-US"/>
              </w:rPr>
              <w:t>ražotājs, kurš ir saņēmis tiesības pārdot koģenerācijas stacijā, kuras</w:t>
            </w:r>
            <w:r w:rsidR="00282276">
              <w:rPr>
                <w:sz w:val="22"/>
                <w:szCs w:val="22"/>
                <w:lang w:val="lv-LV" w:eastAsia="en-US"/>
              </w:rPr>
              <w:t xml:space="preserve"> uzstādītā</w:t>
            </w:r>
            <w:r w:rsidR="00356FC9" w:rsidRPr="00E24D9A">
              <w:rPr>
                <w:sz w:val="22"/>
                <w:szCs w:val="22"/>
                <w:lang w:val="lv-LV" w:eastAsia="en-US"/>
              </w:rPr>
              <w:t xml:space="preserve"> elektriskā jauda  ir lielāka par 4 megavatiem, saražoto elektroenerģiju obligātā iepirkuma ietvaros, bet nav uzsācis elektroenerģijas pārdošanu saņems atbalstu tikai jaudas komponentes veidā, nesaņemot maksu par  </w:t>
            </w:r>
            <w:r w:rsidR="00356FC9" w:rsidRPr="00E24D9A">
              <w:rPr>
                <w:sz w:val="22"/>
                <w:szCs w:val="22"/>
              </w:rPr>
              <w:t xml:space="preserve"> </w:t>
            </w:r>
            <w:r w:rsidR="00356FC9" w:rsidRPr="00E24D9A">
              <w:rPr>
                <w:sz w:val="22"/>
                <w:szCs w:val="22"/>
                <w:lang w:val="lv-LV" w:eastAsia="en-US"/>
              </w:rPr>
              <w:t>enerģijas komponenti. Šāds regulējums veicinātu komersantus, kuri saņēmu</w:t>
            </w:r>
            <w:r w:rsidR="00282276">
              <w:rPr>
                <w:sz w:val="22"/>
                <w:szCs w:val="22"/>
                <w:lang w:val="lv-LV" w:eastAsia="en-US"/>
              </w:rPr>
              <w:t>ši</w:t>
            </w:r>
            <w:r w:rsidR="00356FC9" w:rsidRPr="00E24D9A">
              <w:rPr>
                <w:sz w:val="22"/>
                <w:szCs w:val="22"/>
                <w:lang w:val="lv-LV" w:eastAsia="en-US"/>
              </w:rPr>
              <w:t xml:space="preserve"> tiesības pārdot saražoto elektroenerģiju obligātā iepirkuma ietvaros, pieņemt lēmumu par s</w:t>
            </w:r>
            <w:r w:rsidR="00282276">
              <w:rPr>
                <w:sz w:val="22"/>
                <w:szCs w:val="22"/>
                <w:lang w:val="lv-LV" w:eastAsia="en-US"/>
              </w:rPr>
              <w:t>tacijas būvniecības neuzsākšanu, kas attiecīgi samazinātu OIK pieaugumu nākotnē.</w:t>
            </w:r>
          </w:p>
        </w:tc>
      </w:tr>
      <w:tr w:rsidR="003D12AB" w:rsidRPr="003D12AB" w:rsidTr="00845D04">
        <w:trPr>
          <w:trHeight w:val="476"/>
        </w:trPr>
        <w:tc>
          <w:tcPr>
            <w:tcW w:w="550" w:type="dxa"/>
          </w:tcPr>
          <w:p w:rsidR="005526CE" w:rsidRPr="003D12AB" w:rsidRDefault="005526CE" w:rsidP="00A0154D">
            <w:pPr>
              <w:pStyle w:val="naiskr"/>
              <w:spacing w:before="0" w:after="0"/>
              <w:rPr>
                <w:sz w:val="22"/>
                <w:szCs w:val="22"/>
              </w:rPr>
            </w:pPr>
            <w:r w:rsidRPr="003D12AB">
              <w:rPr>
                <w:sz w:val="22"/>
                <w:szCs w:val="22"/>
              </w:rPr>
              <w:lastRenderedPageBreak/>
              <w:t>5.</w:t>
            </w:r>
          </w:p>
        </w:tc>
        <w:tc>
          <w:tcPr>
            <w:tcW w:w="2716" w:type="dxa"/>
          </w:tcPr>
          <w:p w:rsidR="005526CE" w:rsidRPr="003D12AB" w:rsidRDefault="005526CE" w:rsidP="00A0154D">
            <w:pPr>
              <w:pStyle w:val="naiskr"/>
              <w:spacing w:before="0" w:after="0"/>
              <w:rPr>
                <w:sz w:val="22"/>
                <w:szCs w:val="22"/>
              </w:rPr>
            </w:pPr>
            <w:r w:rsidRPr="003D12AB">
              <w:rPr>
                <w:sz w:val="22"/>
                <w:szCs w:val="22"/>
              </w:rPr>
              <w:t>Projekta izstrādē iesaistītās institūcijas</w:t>
            </w:r>
          </w:p>
        </w:tc>
        <w:tc>
          <w:tcPr>
            <w:tcW w:w="6459" w:type="dxa"/>
          </w:tcPr>
          <w:p w:rsidR="005526CE" w:rsidRPr="003D12AB" w:rsidRDefault="005526CE" w:rsidP="00842C1C">
            <w:pPr>
              <w:spacing w:after="0" w:line="240" w:lineRule="auto"/>
              <w:jc w:val="both"/>
              <w:rPr>
                <w:rFonts w:ascii="Times New Roman" w:hAnsi="Times New Roman"/>
              </w:rPr>
            </w:pPr>
            <w:r w:rsidRPr="003D12AB">
              <w:rPr>
                <w:rFonts w:ascii="Times New Roman" w:hAnsi="Times New Roman"/>
              </w:rPr>
              <w:t>Ekonomikas ministrija</w:t>
            </w:r>
            <w:r w:rsidR="00282276">
              <w:rPr>
                <w:rFonts w:ascii="Times New Roman" w:hAnsi="Times New Roman"/>
              </w:rPr>
              <w:t xml:space="preserve">, </w:t>
            </w:r>
            <w:r w:rsidR="00842C1C">
              <w:rPr>
                <w:rFonts w:ascii="Times New Roman" w:hAnsi="Times New Roman"/>
              </w:rPr>
              <w:t>SPRK</w:t>
            </w:r>
          </w:p>
        </w:tc>
      </w:tr>
      <w:tr w:rsidR="003D12AB" w:rsidRPr="003D12AB" w:rsidTr="00845D04">
        <w:trPr>
          <w:trHeight w:val="410"/>
        </w:trPr>
        <w:tc>
          <w:tcPr>
            <w:tcW w:w="550" w:type="dxa"/>
          </w:tcPr>
          <w:p w:rsidR="005526CE" w:rsidRPr="003D12AB" w:rsidRDefault="005526CE" w:rsidP="00A0154D">
            <w:pPr>
              <w:pStyle w:val="naiskr"/>
              <w:spacing w:before="0" w:after="0"/>
              <w:rPr>
                <w:sz w:val="22"/>
                <w:szCs w:val="22"/>
              </w:rPr>
            </w:pPr>
            <w:r w:rsidRPr="003D12AB">
              <w:rPr>
                <w:sz w:val="22"/>
                <w:szCs w:val="22"/>
              </w:rPr>
              <w:t>6.</w:t>
            </w:r>
          </w:p>
        </w:tc>
        <w:tc>
          <w:tcPr>
            <w:tcW w:w="2716" w:type="dxa"/>
          </w:tcPr>
          <w:p w:rsidR="005526CE" w:rsidRPr="003D12AB" w:rsidRDefault="005526CE" w:rsidP="00A0154D">
            <w:pPr>
              <w:pStyle w:val="naiskr"/>
              <w:spacing w:before="0" w:after="0"/>
              <w:rPr>
                <w:i/>
                <w:sz w:val="22"/>
                <w:szCs w:val="22"/>
                <w:highlight w:val="yellow"/>
              </w:rPr>
            </w:pPr>
            <w:r w:rsidRPr="003D12AB">
              <w:rPr>
                <w:sz w:val="22"/>
                <w:szCs w:val="22"/>
              </w:rPr>
              <w:t xml:space="preserve">Iemesli, kādēļ netika nodrošināta sabiedrības </w:t>
            </w:r>
            <w:r w:rsidRPr="003D12AB">
              <w:rPr>
                <w:sz w:val="22"/>
                <w:szCs w:val="22"/>
              </w:rPr>
              <w:lastRenderedPageBreak/>
              <w:t>līdzdalība</w:t>
            </w:r>
          </w:p>
        </w:tc>
        <w:tc>
          <w:tcPr>
            <w:tcW w:w="6459" w:type="dxa"/>
          </w:tcPr>
          <w:p w:rsidR="005526CE" w:rsidRPr="003D12AB" w:rsidRDefault="005526CE" w:rsidP="00A332A1">
            <w:pPr>
              <w:spacing w:after="0" w:line="240" w:lineRule="auto"/>
              <w:ind w:right="81"/>
              <w:jc w:val="both"/>
              <w:rPr>
                <w:rFonts w:ascii="Times New Roman" w:hAnsi="Times New Roman"/>
              </w:rPr>
            </w:pPr>
            <w:r w:rsidRPr="003D12AB">
              <w:rPr>
                <w:rFonts w:ascii="Times New Roman" w:hAnsi="Times New Roman"/>
              </w:rPr>
              <w:lastRenderedPageBreak/>
              <w:t>Pēc projekta izsludināšanas Valsts sekretāru sanāksmē</w:t>
            </w:r>
            <w:r w:rsidR="00A332A1">
              <w:rPr>
                <w:rFonts w:ascii="Times New Roman" w:hAnsi="Times New Roman"/>
              </w:rPr>
              <w:t xml:space="preserve"> (</w:t>
            </w:r>
            <w:r w:rsidR="00A332A1">
              <w:t xml:space="preserve"> </w:t>
            </w:r>
            <w:r w:rsidR="00A332A1" w:rsidRPr="00A332A1">
              <w:rPr>
                <w:rFonts w:ascii="Times New Roman" w:hAnsi="Times New Roman"/>
              </w:rPr>
              <w:t>VSS-1289</w:t>
            </w:r>
            <w:r w:rsidR="00A332A1">
              <w:rPr>
                <w:rFonts w:ascii="Times New Roman" w:hAnsi="Times New Roman"/>
              </w:rPr>
              <w:t>)</w:t>
            </w:r>
            <w:r w:rsidRPr="003D12AB">
              <w:rPr>
                <w:rFonts w:ascii="Times New Roman" w:hAnsi="Times New Roman"/>
              </w:rPr>
              <w:t xml:space="preserve">, veikta saskaņošanas procedūra atbilstoši Ministru kabineta kārtības </w:t>
            </w:r>
            <w:r w:rsidRPr="003D12AB">
              <w:rPr>
                <w:rFonts w:ascii="Times New Roman" w:hAnsi="Times New Roman"/>
              </w:rPr>
              <w:lastRenderedPageBreak/>
              <w:t xml:space="preserve">rullim, kā arī likumprojekts apspriests EM Elektroenerģijas tirgus konsultatīvajā padomē un izskatīts Ministru kabineta komitejas </w:t>
            </w:r>
            <w:r w:rsidR="00282276">
              <w:rPr>
                <w:rFonts w:ascii="Times New Roman" w:hAnsi="Times New Roman"/>
              </w:rPr>
              <w:t>2013. gada 18.</w:t>
            </w:r>
            <w:r w:rsidR="006F7D9F">
              <w:rPr>
                <w:rFonts w:ascii="Times New Roman" w:hAnsi="Times New Roman"/>
              </w:rPr>
              <w:t> </w:t>
            </w:r>
            <w:r w:rsidR="006C0B2F">
              <w:rPr>
                <w:rFonts w:ascii="Times New Roman" w:hAnsi="Times New Roman"/>
              </w:rPr>
              <w:t>februāra</w:t>
            </w:r>
            <w:r w:rsidR="00282276">
              <w:rPr>
                <w:rFonts w:ascii="Times New Roman" w:hAnsi="Times New Roman"/>
              </w:rPr>
              <w:t xml:space="preserve"> </w:t>
            </w:r>
            <w:r w:rsidRPr="003D12AB">
              <w:rPr>
                <w:rFonts w:ascii="Times New Roman" w:hAnsi="Times New Roman"/>
              </w:rPr>
              <w:t>sēdē.</w:t>
            </w:r>
            <w:r w:rsidR="00842C1C">
              <w:rPr>
                <w:rFonts w:ascii="Times New Roman" w:hAnsi="Times New Roman"/>
              </w:rPr>
              <w:t xml:space="preserve"> </w:t>
            </w:r>
            <w:r w:rsidR="00E15C93">
              <w:rPr>
                <w:rFonts w:ascii="Times New Roman" w:hAnsi="Times New Roman"/>
              </w:rPr>
              <w:t>Likumprojekts  viedokļu sniegšanai nosūtīts Tautsaimniecības padomes</w:t>
            </w:r>
            <w:r w:rsidR="00842C1C">
              <w:rPr>
                <w:rFonts w:ascii="Times New Roman" w:hAnsi="Times New Roman"/>
              </w:rPr>
              <w:t xml:space="preserve"> Enerģētikas komitejas dalībniekiem.</w:t>
            </w:r>
            <w:r w:rsidR="00A332A1">
              <w:rPr>
                <w:rFonts w:ascii="Times New Roman" w:hAnsi="Times New Roman"/>
              </w:rPr>
              <w:t xml:space="preserve"> Valsts sekretāru sanāksmē izsludinātais un </w:t>
            </w:r>
            <w:r w:rsidR="00A332A1" w:rsidRPr="003D12AB">
              <w:rPr>
                <w:rFonts w:ascii="Times New Roman" w:hAnsi="Times New Roman"/>
              </w:rPr>
              <w:t>Ministru kabineta komiteja</w:t>
            </w:r>
            <w:r w:rsidR="00A332A1">
              <w:rPr>
                <w:rFonts w:ascii="Times New Roman" w:hAnsi="Times New Roman"/>
              </w:rPr>
              <w:t>s sēdē apstiprinātais likumprojekts papildināts ar pantiem, kas saistīti ar atbalsta ierobežošanu koģenerācijas stacijām</w:t>
            </w:r>
          </w:p>
        </w:tc>
      </w:tr>
      <w:tr w:rsidR="003D12AB" w:rsidRPr="003D12AB" w:rsidTr="00845D04">
        <w:tc>
          <w:tcPr>
            <w:tcW w:w="550" w:type="dxa"/>
          </w:tcPr>
          <w:p w:rsidR="005526CE" w:rsidRPr="003D12AB" w:rsidRDefault="005526CE" w:rsidP="00A0154D">
            <w:pPr>
              <w:pStyle w:val="naiskr"/>
              <w:spacing w:before="0" w:after="0"/>
              <w:rPr>
                <w:sz w:val="22"/>
                <w:szCs w:val="22"/>
              </w:rPr>
            </w:pPr>
            <w:r w:rsidRPr="003D12AB">
              <w:rPr>
                <w:sz w:val="22"/>
                <w:szCs w:val="22"/>
              </w:rPr>
              <w:lastRenderedPageBreak/>
              <w:t>7.</w:t>
            </w:r>
          </w:p>
        </w:tc>
        <w:tc>
          <w:tcPr>
            <w:tcW w:w="2716" w:type="dxa"/>
          </w:tcPr>
          <w:p w:rsidR="005526CE" w:rsidRPr="003D12AB" w:rsidRDefault="005526CE" w:rsidP="00A0154D">
            <w:pPr>
              <w:pStyle w:val="naiskr"/>
              <w:spacing w:before="0" w:after="0"/>
              <w:rPr>
                <w:sz w:val="22"/>
                <w:szCs w:val="22"/>
              </w:rPr>
            </w:pPr>
            <w:r w:rsidRPr="003D12AB">
              <w:rPr>
                <w:sz w:val="22"/>
                <w:szCs w:val="22"/>
              </w:rPr>
              <w:t>Cita informācija</w:t>
            </w:r>
          </w:p>
        </w:tc>
        <w:tc>
          <w:tcPr>
            <w:tcW w:w="6459" w:type="dxa"/>
          </w:tcPr>
          <w:p w:rsidR="005526CE" w:rsidRPr="003D12AB" w:rsidRDefault="005526CE" w:rsidP="00A0154D">
            <w:pPr>
              <w:pStyle w:val="naiskr"/>
              <w:spacing w:before="0" w:after="0"/>
              <w:jc w:val="both"/>
              <w:rPr>
                <w:sz w:val="22"/>
                <w:szCs w:val="22"/>
              </w:rPr>
            </w:pPr>
            <w:r w:rsidRPr="003D12AB">
              <w:rPr>
                <w:sz w:val="22"/>
                <w:szCs w:val="22"/>
              </w:rPr>
              <w:t>Nav.</w:t>
            </w:r>
          </w:p>
        </w:tc>
      </w:tr>
    </w:tbl>
    <w:p w:rsidR="005526CE" w:rsidRDefault="005526CE" w:rsidP="00A0154D">
      <w:pPr>
        <w:pStyle w:val="naisf"/>
        <w:tabs>
          <w:tab w:val="left" w:pos="5760"/>
        </w:tabs>
        <w:spacing w:before="0" w:after="0"/>
        <w:ind w:firstLine="0"/>
        <w:rPr>
          <w:sz w:val="22"/>
          <w:lang w:val="lv-LV"/>
        </w:rPr>
      </w:pPr>
    </w:p>
    <w:p w:rsidR="00F54F7D" w:rsidRPr="00F54F7D" w:rsidRDefault="00F54F7D" w:rsidP="00A0154D">
      <w:pPr>
        <w:pStyle w:val="naisf"/>
        <w:tabs>
          <w:tab w:val="left" w:pos="5760"/>
        </w:tabs>
        <w:spacing w:before="0" w:after="0"/>
        <w:ind w:firstLine="0"/>
        <w:rPr>
          <w:sz w:val="22"/>
          <w:lang w:val="lv-LV"/>
        </w:rPr>
      </w:pPr>
    </w:p>
    <w:tbl>
      <w:tblPr>
        <w:tblpPr w:leftFromText="180" w:rightFromText="180" w:vertAnchor="text" w:horzAnchor="margin" w:tblpXSpec="center" w:tblpY="149"/>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688"/>
        <w:gridCol w:w="6525"/>
      </w:tblGrid>
      <w:tr w:rsidR="003D12AB" w:rsidRPr="003D12AB" w:rsidTr="004F70FC">
        <w:tc>
          <w:tcPr>
            <w:tcW w:w="9644" w:type="dxa"/>
            <w:gridSpan w:val="3"/>
            <w:vAlign w:val="center"/>
          </w:tcPr>
          <w:p w:rsidR="005526CE" w:rsidRPr="003D12AB" w:rsidRDefault="005526CE" w:rsidP="00A0154D">
            <w:pPr>
              <w:pStyle w:val="naisnod"/>
              <w:spacing w:before="0" w:after="0"/>
              <w:rPr>
                <w:sz w:val="22"/>
                <w:szCs w:val="22"/>
              </w:rPr>
            </w:pPr>
            <w:r w:rsidRPr="003D12AB">
              <w:rPr>
                <w:sz w:val="22"/>
                <w:szCs w:val="22"/>
              </w:rPr>
              <w:t>II. Tiesību akta projekta ietekme uz sabiedrību</w:t>
            </w:r>
          </w:p>
        </w:tc>
      </w:tr>
      <w:tr w:rsidR="003D12AB" w:rsidRPr="003D12AB" w:rsidTr="004F70FC">
        <w:trPr>
          <w:trHeight w:val="835"/>
        </w:trPr>
        <w:tc>
          <w:tcPr>
            <w:tcW w:w="431" w:type="dxa"/>
          </w:tcPr>
          <w:p w:rsidR="005526CE" w:rsidRPr="003D12AB" w:rsidRDefault="005526CE" w:rsidP="00A0154D">
            <w:pPr>
              <w:pStyle w:val="naiskr"/>
              <w:spacing w:before="0" w:after="0"/>
              <w:rPr>
                <w:sz w:val="22"/>
                <w:szCs w:val="22"/>
              </w:rPr>
            </w:pPr>
            <w:r w:rsidRPr="003D12AB">
              <w:rPr>
                <w:sz w:val="22"/>
                <w:szCs w:val="22"/>
              </w:rPr>
              <w:t>1.</w:t>
            </w:r>
          </w:p>
        </w:tc>
        <w:tc>
          <w:tcPr>
            <w:tcW w:w="2688" w:type="dxa"/>
          </w:tcPr>
          <w:p w:rsidR="005526CE" w:rsidRPr="003D12AB" w:rsidRDefault="005526CE" w:rsidP="00A0154D">
            <w:pPr>
              <w:pStyle w:val="naiskr"/>
              <w:spacing w:before="0" w:after="0"/>
              <w:ind w:hanging="10"/>
              <w:rPr>
                <w:sz w:val="22"/>
                <w:szCs w:val="22"/>
              </w:rPr>
            </w:pPr>
            <w:r w:rsidRPr="003D12AB">
              <w:rPr>
                <w:sz w:val="22"/>
                <w:szCs w:val="22"/>
              </w:rPr>
              <w:t>Sabiedrības mērķgrupa</w:t>
            </w:r>
          </w:p>
        </w:tc>
        <w:tc>
          <w:tcPr>
            <w:tcW w:w="6525" w:type="dxa"/>
          </w:tcPr>
          <w:p w:rsidR="005526CE" w:rsidRPr="003D12AB" w:rsidRDefault="005526CE" w:rsidP="0032015C">
            <w:pPr>
              <w:spacing w:after="0" w:line="240" w:lineRule="auto"/>
              <w:jc w:val="both"/>
              <w:rPr>
                <w:rFonts w:ascii="Times New Roman" w:hAnsi="Times New Roman"/>
                <w:bCs/>
              </w:rPr>
            </w:pPr>
            <w:r w:rsidRPr="003D12AB">
              <w:rPr>
                <w:rFonts w:ascii="Times New Roman" w:hAnsi="Times New Roman"/>
                <w:bCs/>
              </w:rPr>
              <w:t xml:space="preserve">Aptuveni </w:t>
            </w:r>
            <w:r w:rsidR="00484080">
              <w:rPr>
                <w:rFonts w:ascii="Times New Roman" w:hAnsi="Times New Roman"/>
                <w:bCs/>
              </w:rPr>
              <w:t>847300</w:t>
            </w:r>
            <w:r w:rsidRPr="003D12AB">
              <w:rPr>
                <w:rFonts w:ascii="Times New Roman" w:hAnsi="Times New Roman"/>
                <w:bCs/>
              </w:rPr>
              <w:t xml:space="preserve"> elektroenerģijas galalietotāju, kam šobrīd ir tiesības pirkt elektroenerģiju par regulētu tarifu</w:t>
            </w:r>
            <w:r w:rsidR="0032015C">
              <w:rPr>
                <w:rFonts w:ascii="Times New Roman" w:hAnsi="Times New Roman"/>
                <w:bCs/>
              </w:rPr>
              <w:t>,</w:t>
            </w:r>
            <w:r w:rsidR="0032015C" w:rsidRPr="003D12AB">
              <w:rPr>
                <w:rFonts w:ascii="Times New Roman" w:hAnsi="Times New Roman"/>
                <w:bCs/>
              </w:rPr>
              <w:t xml:space="preserve"> </w:t>
            </w:r>
            <w:r w:rsidR="0032015C">
              <w:rPr>
                <w:rFonts w:ascii="Times New Roman" w:hAnsi="Times New Roman"/>
                <w:bCs/>
              </w:rPr>
              <w:t>s</w:t>
            </w:r>
            <w:r w:rsidRPr="003D12AB">
              <w:rPr>
                <w:rFonts w:ascii="Times New Roman" w:hAnsi="Times New Roman"/>
                <w:bCs/>
              </w:rPr>
              <w:t>istēmu operatori, tirgotāji, publiskais tirgotājs</w:t>
            </w:r>
            <w:r w:rsidR="0032015C">
              <w:rPr>
                <w:rFonts w:ascii="Times New Roman" w:hAnsi="Times New Roman"/>
                <w:bCs/>
              </w:rPr>
              <w:t xml:space="preserve">, </w:t>
            </w:r>
            <w:r w:rsidR="0032015C">
              <w:t xml:space="preserve"> </w:t>
            </w:r>
            <w:r w:rsidR="0032015C">
              <w:rPr>
                <w:rFonts w:ascii="Times New Roman" w:hAnsi="Times New Roman"/>
                <w:bCs/>
              </w:rPr>
              <w:t>r</w:t>
            </w:r>
            <w:r w:rsidR="0032015C" w:rsidRPr="0032015C">
              <w:rPr>
                <w:rFonts w:ascii="Times New Roman" w:hAnsi="Times New Roman"/>
                <w:bCs/>
              </w:rPr>
              <w:t>ažotāji, kas ieguvuši vai plāno iegūt tiesības pārdot saražoto elektroenerģiju obligātā iepirkuma ietvaros vai saņemt garantēto maksu par stacijā uzstādīto elektrisko jaudu.</w:t>
            </w:r>
          </w:p>
        </w:tc>
      </w:tr>
      <w:tr w:rsidR="003D12AB" w:rsidRPr="003D12AB" w:rsidTr="004F70FC">
        <w:trPr>
          <w:trHeight w:val="472"/>
        </w:trPr>
        <w:tc>
          <w:tcPr>
            <w:tcW w:w="431" w:type="dxa"/>
          </w:tcPr>
          <w:p w:rsidR="005526CE" w:rsidRPr="003D12AB" w:rsidRDefault="005526CE" w:rsidP="00A0154D">
            <w:pPr>
              <w:pStyle w:val="naiskr"/>
              <w:spacing w:before="0" w:after="0"/>
              <w:rPr>
                <w:sz w:val="22"/>
                <w:szCs w:val="22"/>
              </w:rPr>
            </w:pPr>
            <w:r w:rsidRPr="003D12AB">
              <w:rPr>
                <w:sz w:val="22"/>
                <w:szCs w:val="22"/>
              </w:rPr>
              <w:t>2.</w:t>
            </w:r>
          </w:p>
        </w:tc>
        <w:tc>
          <w:tcPr>
            <w:tcW w:w="2688" w:type="dxa"/>
          </w:tcPr>
          <w:p w:rsidR="005526CE" w:rsidRPr="003D12AB" w:rsidRDefault="005526CE" w:rsidP="00A0154D">
            <w:pPr>
              <w:pStyle w:val="naiskr"/>
              <w:tabs>
                <w:tab w:val="left" w:pos="170"/>
              </w:tabs>
              <w:spacing w:before="0" w:after="0"/>
              <w:rPr>
                <w:sz w:val="22"/>
                <w:szCs w:val="22"/>
              </w:rPr>
            </w:pPr>
            <w:r w:rsidRPr="003D12AB">
              <w:rPr>
                <w:sz w:val="22"/>
                <w:szCs w:val="22"/>
              </w:rPr>
              <w:t>Citas sabiedrības grupas (bez mērķgrupas), kuras tiesiskais regulējums arī ietekmē vai varētu ietekmēt</w:t>
            </w:r>
          </w:p>
        </w:tc>
        <w:tc>
          <w:tcPr>
            <w:tcW w:w="6525" w:type="dxa"/>
          </w:tcPr>
          <w:p w:rsidR="005526CE" w:rsidRPr="003D12AB" w:rsidRDefault="00D004CD" w:rsidP="00842C1C">
            <w:pPr>
              <w:spacing w:after="0" w:line="240" w:lineRule="auto"/>
              <w:jc w:val="both"/>
              <w:rPr>
                <w:rFonts w:ascii="Times New Roman" w:hAnsi="Times New Roman"/>
              </w:rPr>
            </w:pPr>
            <w:r w:rsidRPr="00D004CD">
              <w:rPr>
                <w:rFonts w:ascii="Times New Roman" w:hAnsi="Times New Roman"/>
              </w:rPr>
              <w:t xml:space="preserve">Visi elektroenerģijas lietotāji, tai skaitā uzņēmumi un mājsaimniecības, kuriem </w:t>
            </w:r>
            <w:r>
              <w:rPr>
                <w:rFonts w:ascii="Times New Roman" w:hAnsi="Times New Roman"/>
              </w:rPr>
              <w:t>likumprojektā</w:t>
            </w:r>
            <w:r w:rsidRPr="00D004CD">
              <w:rPr>
                <w:rFonts w:ascii="Times New Roman" w:hAnsi="Times New Roman"/>
              </w:rPr>
              <w:t xml:space="preserve"> paredzēto tiesību normu</w:t>
            </w:r>
            <w:r>
              <w:rPr>
                <w:rFonts w:ascii="Times New Roman" w:hAnsi="Times New Roman"/>
              </w:rPr>
              <w:t xml:space="preserve"> attiecībā uz koģenerācijas stacijām ar uzstādīto elektrisko jaudu </w:t>
            </w:r>
            <w:r w:rsidRPr="00D004CD">
              <w:rPr>
                <w:rFonts w:ascii="Times New Roman" w:hAnsi="Times New Roman"/>
              </w:rPr>
              <w:t>lielāku par 4 megavatiem</w:t>
            </w:r>
            <w:r>
              <w:rPr>
                <w:rFonts w:ascii="Times New Roman" w:hAnsi="Times New Roman"/>
              </w:rPr>
              <w:t xml:space="preserve"> </w:t>
            </w:r>
            <w:r w:rsidRPr="00D004CD">
              <w:rPr>
                <w:rFonts w:ascii="Times New Roman" w:hAnsi="Times New Roman"/>
              </w:rPr>
              <w:t xml:space="preserve">darbības rezultātā samazinātos </w:t>
            </w:r>
            <w:r w:rsidR="00842C1C">
              <w:rPr>
                <w:rFonts w:ascii="Times New Roman" w:hAnsi="Times New Roman"/>
              </w:rPr>
              <w:t>OIK</w:t>
            </w:r>
            <w:r w:rsidRPr="00D004CD">
              <w:rPr>
                <w:rFonts w:ascii="Times New Roman" w:hAnsi="Times New Roman"/>
              </w:rPr>
              <w:t xml:space="preserve"> un </w:t>
            </w:r>
            <w:r>
              <w:rPr>
                <w:rFonts w:ascii="Times New Roman" w:hAnsi="Times New Roman"/>
              </w:rPr>
              <w:t xml:space="preserve">attiecīgi </w:t>
            </w:r>
            <w:r w:rsidRPr="00D004CD">
              <w:rPr>
                <w:rFonts w:ascii="Times New Roman" w:hAnsi="Times New Roman"/>
              </w:rPr>
              <w:t>elektroenerģijas kopējās cenas turpmāks pieaugums</w:t>
            </w:r>
            <w:r>
              <w:rPr>
                <w:rFonts w:ascii="Times New Roman" w:hAnsi="Times New Roman"/>
              </w:rPr>
              <w:t xml:space="preserve">. </w:t>
            </w:r>
          </w:p>
        </w:tc>
      </w:tr>
      <w:tr w:rsidR="003D12AB" w:rsidRPr="003D12AB" w:rsidTr="004F70FC">
        <w:trPr>
          <w:trHeight w:val="386"/>
        </w:trPr>
        <w:tc>
          <w:tcPr>
            <w:tcW w:w="431" w:type="dxa"/>
          </w:tcPr>
          <w:p w:rsidR="005526CE" w:rsidRPr="003D12AB" w:rsidRDefault="005526CE" w:rsidP="00A0154D">
            <w:pPr>
              <w:pStyle w:val="naiskr"/>
              <w:spacing w:before="0" w:after="0"/>
              <w:rPr>
                <w:sz w:val="22"/>
                <w:szCs w:val="22"/>
              </w:rPr>
            </w:pPr>
            <w:r w:rsidRPr="003D12AB">
              <w:rPr>
                <w:sz w:val="22"/>
                <w:szCs w:val="22"/>
              </w:rPr>
              <w:t>3.</w:t>
            </w:r>
          </w:p>
        </w:tc>
        <w:tc>
          <w:tcPr>
            <w:tcW w:w="2688" w:type="dxa"/>
          </w:tcPr>
          <w:p w:rsidR="005526CE" w:rsidRPr="003D12AB" w:rsidRDefault="005526CE" w:rsidP="00A0154D">
            <w:pPr>
              <w:spacing w:after="0" w:line="240" w:lineRule="auto"/>
              <w:rPr>
                <w:rFonts w:ascii="Times New Roman" w:hAnsi="Times New Roman"/>
                <w:lang w:eastAsia="lv-LV"/>
              </w:rPr>
            </w:pPr>
            <w:r w:rsidRPr="003D12AB">
              <w:rPr>
                <w:rFonts w:ascii="Times New Roman" w:hAnsi="Times New Roman"/>
                <w:lang w:eastAsia="lv-LV"/>
              </w:rPr>
              <w:t>Tiesiskā regulējuma finansiālā ietekme</w:t>
            </w:r>
          </w:p>
        </w:tc>
        <w:tc>
          <w:tcPr>
            <w:tcW w:w="6525" w:type="dxa"/>
          </w:tcPr>
          <w:p w:rsidR="001E1866" w:rsidRDefault="001E1866" w:rsidP="001E1866">
            <w:pPr>
              <w:spacing w:after="0" w:line="240" w:lineRule="auto"/>
              <w:jc w:val="both"/>
              <w:rPr>
                <w:rFonts w:ascii="Times New Roman" w:hAnsi="Times New Roman"/>
              </w:rPr>
            </w:pPr>
            <w:r>
              <w:rPr>
                <w:rFonts w:ascii="Times New Roman" w:hAnsi="Times New Roman"/>
              </w:rPr>
              <w:t>N</w:t>
            </w:r>
            <w:r w:rsidRPr="001E1866">
              <w:rPr>
                <w:rFonts w:ascii="Times New Roman" w:hAnsi="Times New Roman"/>
              </w:rPr>
              <w:t xml:space="preserve">o 2011. gada 1. aprīļa </w:t>
            </w:r>
            <w:r>
              <w:rPr>
                <w:rFonts w:ascii="Times New Roman" w:hAnsi="Times New Roman"/>
              </w:rPr>
              <w:t xml:space="preserve">saistītajiem lietotājiem </w:t>
            </w:r>
            <w:r w:rsidRPr="0066233C">
              <w:rPr>
                <w:rFonts w:ascii="Times New Roman" w:hAnsi="Times New Roman"/>
              </w:rPr>
              <w:t>12 mēnešu periodā no 1.</w:t>
            </w:r>
            <w:r w:rsidR="006C0B2F">
              <w:rPr>
                <w:rFonts w:ascii="Times New Roman" w:hAnsi="Times New Roman"/>
              </w:rPr>
              <w:t> </w:t>
            </w:r>
            <w:r w:rsidRPr="0066233C">
              <w:rPr>
                <w:rFonts w:ascii="Times New Roman" w:hAnsi="Times New Roman"/>
              </w:rPr>
              <w:t xml:space="preserve">aprīļa līdz </w:t>
            </w:r>
            <w:r>
              <w:rPr>
                <w:rFonts w:ascii="Times New Roman" w:hAnsi="Times New Roman"/>
              </w:rPr>
              <w:t xml:space="preserve">nākošā gada </w:t>
            </w:r>
            <w:r w:rsidRPr="0066233C">
              <w:rPr>
                <w:rFonts w:ascii="Times New Roman" w:hAnsi="Times New Roman"/>
              </w:rPr>
              <w:t xml:space="preserve">31. </w:t>
            </w:r>
            <w:r>
              <w:rPr>
                <w:rFonts w:ascii="Times New Roman" w:hAnsi="Times New Roman"/>
              </w:rPr>
              <w:t>m</w:t>
            </w:r>
            <w:r w:rsidRPr="0066233C">
              <w:rPr>
                <w:rFonts w:ascii="Times New Roman" w:hAnsi="Times New Roman"/>
              </w:rPr>
              <w:t>artam</w:t>
            </w:r>
            <w:r>
              <w:rPr>
                <w:rFonts w:ascii="Times New Roman" w:hAnsi="Times New Roman"/>
              </w:rPr>
              <w:t xml:space="preserve"> tiek</w:t>
            </w:r>
            <w:r w:rsidR="00615BCC">
              <w:rPr>
                <w:rFonts w:ascii="Times New Roman" w:hAnsi="Times New Roman"/>
              </w:rPr>
              <w:t xml:space="preserve"> </w:t>
            </w:r>
            <w:r>
              <w:rPr>
                <w:rFonts w:ascii="Times New Roman" w:hAnsi="Times New Roman"/>
              </w:rPr>
              <w:t xml:space="preserve">piemēroti divi </w:t>
            </w:r>
            <w:r w:rsidR="0016526C">
              <w:rPr>
                <w:rFonts w:ascii="Times New Roman" w:hAnsi="Times New Roman"/>
              </w:rPr>
              <w:t>elektroenerģijas</w:t>
            </w:r>
            <w:r w:rsidR="00596045">
              <w:rPr>
                <w:rFonts w:ascii="Times New Roman" w:hAnsi="Times New Roman"/>
              </w:rPr>
              <w:t xml:space="preserve"> tirdzniecības</w:t>
            </w:r>
            <w:r w:rsidR="0016526C">
              <w:rPr>
                <w:rFonts w:ascii="Times New Roman" w:hAnsi="Times New Roman"/>
              </w:rPr>
              <w:t xml:space="preserve"> </w:t>
            </w:r>
            <w:r w:rsidR="00615BCC">
              <w:rPr>
                <w:rFonts w:ascii="Times New Roman" w:hAnsi="Times New Roman"/>
              </w:rPr>
              <w:t>tarif</w:t>
            </w:r>
            <w:r>
              <w:rPr>
                <w:rFonts w:ascii="Times New Roman" w:hAnsi="Times New Roman"/>
              </w:rPr>
              <w:t>i</w:t>
            </w:r>
            <w:r w:rsidR="00615BCC">
              <w:rPr>
                <w:rFonts w:ascii="Times New Roman" w:hAnsi="Times New Roman"/>
              </w:rPr>
              <w:t xml:space="preserve">: </w:t>
            </w:r>
          </w:p>
          <w:p w:rsidR="001E1866" w:rsidRDefault="00615BCC" w:rsidP="001E1866">
            <w:pPr>
              <w:spacing w:after="0" w:line="240" w:lineRule="auto"/>
              <w:jc w:val="both"/>
              <w:rPr>
                <w:rFonts w:ascii="Times New Roman" w:hAnsi="Times New Roman"/>
              </w:rPr>
            </w:pPr>
            <w:r>
              <w:rPr>
                <w:rFonts w:ascii="Times New Roman" w:hAnsi="Times New Roman"/>
              </w:rPr>
              <w:t xml:space="preserve">1) </w:t>
            </w:r>
            <w:r w:rsidRPr="001E1866">
              <w:rPr>
                <w:rFonts w:ascii="Times New Roman" w:hAnsi="Times New Roman"/>
                <w:i/>
              </w:rPr>
              <w:t>Starta tarif</w:t>
            </w:r>
            <w:r w:rsidR="001E1866">
              <w:rPr>
                <w:rFonts w:ascii="Times New Roman" w:hAnsi="Times New Roman"/>
                <w:i/>
              </w:rPr>
              <w:t>s</w:t>
            </w:r>
            <w:r w:rsidR="00842C1C">
              <w:rPr>
                <w:rFonts w:ascii="Times New Roman" w:hAnsi="Times New Roman"/>
              </w:rPr>
              <w:t xml:space="preserve"> (8,18 sant./kWh)</w:t>
            </w:r>
            <w:r>
              <w:rPr>
                <w:rFonts w:ascii="Times New Roman" w:hAnsi="Times New Roman"/>
              </w:rPr>
              <w:t xml:space="preserve">, kas tiek piemērots </w:t>
            </w:r>
            <w:r w:rsidR="001E1866" w:rsidRPr="001E1866">
              <w:rPr>
                <w:rFonts w:ascii="Times New Roman" w:hAnsi="Times New Roman"/>
              </w:rPr>
              <w:t xml:space="preserve">visiem mājsaimniecību patēriņa objektiem </w:t>
            </w:r>
            <w:r w:rsidRPr="00615BCC">
              <w:rPr>
                <w:rFonts w:ascii="Times New Roman" w:hAnsi="Times New Roman"/>
              </w:rPr>
              <w:t xml:space="preserve">pirmajām 1200 patērētajām kilovatstundām; un </w:t>
            </w:r>
          </w:p>
          <w:p w:rsidR="001E1866" w:rsidRDefault="00615BCC" w:rsidP="001E1866">
            <w:pPr>
              <w:spacing w:after="120" w:line="240" w:lineRule="auto"/>
              <w:jc w:val="both"/>
              <w:rPr>
                <w:rFonts w:ascii="Times New Roman" w:hAnsi="Times New Roman"/>
              </w:rPr>
            </w:pPr>
            <w:r w:rsidRPr="00615BCC">
              <w:rPr>
                <w:rFonts w:ascii="Times New Roman" w:hAnsi="Times New Roman"/>
              </w:rPr>
              <w:t xml:space="preserve">2) </w:t>
            </w:r>
            <w:r w:rsidRPr="001E1866">
              <w:rPr>
                <w:rFonts w:ascii="Times New Roman" w:hAnsi="Times New Roman"/>
                <w:i/>
              </w:rPr>
              <w:t>Pamata tarif</w:t>
            </w:r>
            <w:r w:rsidR="001E1866">
              <w:rPr>
                <w:rFonts w:ascii="Times New Roman" w:hAnsi="Times New Roman"/>
                <w:i/>
              </w:rPr>
              <w:t>s</w:t>
            </w:r>
            <w:r w:rsidR="00842C1C">
              <w:rPr>
                <w:rFonts w:ascii="Times New Roman" w:hAnsi="Times New Roman"/>
                <w:i/>
              </w:rPr>
              <w:t xml:space="preserve"> (10,65 sant./kWh)</w:t>
            </w:r>
            <w:r w:rsidRPr="00615BCC">
              <w:rPr>
                <w:rFonts w:ascii="Times New Roman" w:hAnsi="Times New Roman"/>
              </w:rPr>
              <w:t>, kas tiek piemērots lietotāja elektroenerģijas patēriņam</w:t>
            </w:r>
            <w:r w:rsidR="00D93ECB">
              <w:rPr>
                <w:rFonts w:ascii="Times New Roman" w:hAnsi="Times New Roman"/>
              </w:rPr>
              <w:t>,</w:t>
            </w:r>
            <w:r w:rsidRPr="00615BCC">
              <w:rPr>
                <w:rFonts w:ascii="Times New Roman" w:hAnsi="Times New Roman"/>
              </w:rPr>
              <w:t xml:space="preserve"> sākot ar 1201 kilovatstundu. </w:t>
            </w:r>
          </w:p>
          <w:p w:rsidR="0007173E" w:rsidRDefault="009C7D37" w:rsidP="001E1866">
            <w:pPr>
              <w:spacing w:after="120" w:line="240" w:lineRule="auto"/>
              <w:jc w:val="both"/>
              <w:rPr>
                <w:rFonts w:ascii="Times New Roman" w:hAnsi="Times New Roman"/>
              </w:rPr>
            </w:pPr>
            <w:r>
              <w:rPr>
                <w:rFonts w:ascii="Times New Roman" w:hAnsi="Times New Roman"/>
              </w:rPr>
              <w:t xml:space="preserve">Tarifos </w:t>
            </w:r>
            <w:r w:rsidR="00615BCC" w:rsidRPr="00615BCC">
              <w:rPr>
                <w:rFonts w:ascii="Times New Roman" w:hAnsi="Times New Roman"/>
              </w:rPr>
              <w:t xml:space="preserve">ietvertā elektroenerģijas cena ir zemāka par elektroenerģijas tirgus cenu un </w:t>
            </w:r>
            <w:r w:rsidR="00615BCC" w:rsidRPr="00615BCC">
              <w:rPr>
                <w:rFonts w:ascii="Times New Roman" w:hAnsi="Times New Roman"/>
                <w:bCs/>
              </w:rPr>
              <w:t>tiek kompensēta uz AS „Latvenergo” ieņēmumu rēķina.</w:t>
            </w:r>
            <w:r w:rsidR="00615BCC" w:rsidRPr="00615BCC">
              <w:rPr>
                <w:rFonts w:ascii="Times New Roman" w:hAnsi="Times New Roman"/>
              </w:rPr>
              <w:t xml:space="preserve"> </w:t>
            </w:r>
          </w:p>
          <w:p w:rsidR="00CD4B90" w:rsidRDefault="0007173E" w:rsidP="001E1866">
            <w:pPr>
              <w:spacing w:after="120" w:line="240" w:lineRule="auto"/>
              <w:jc w:val="both"/>
              <w:rPr>
                <w:rFonts w:ascii="Times New Roman" w:hAnsi="Times New Roman"/>
                <w:iCs/>
              </w:rPr>
            </w:pPr>
            <w:r w:rsidRPr="00D1776D">
              <w:rPr>
                <w:rFonts w:ascii="Times New Roman" w:hAnsi="Times New Roman"/>
                <w:iCs/>
              </w:rPr>
              <w:t>2013. g</w:t>
            </w:r>
            <w:r>
              <w:rPr>
                <w:rFonts w:ascii="Times New Roman" w:hAnsi="Times New Roman"/>
                <w:iCs/>
              </w:rPr>
              <w:t>ada 3. jūnijā</w:t>
            </w:r>
            <w:r w:rsidRPr="00D1776D">
              <w:rPr>
                <w:rFonts w:ascii="Times New Roman" w:hAnsi="Times New Roman"/>
                <w:iCs/>
              </w:rPr>
              <w:t xml:space="preserve"> darbu ir uzsākusi </w:t>
            </w:r>
            <w:r w:rsidRPr="001E1866">
              <w:rPr>
                <w:rFonts w:ascii="Times New Roman" w:hAnsi="Times New Roman"/>
                <w:i/>
                <w:iCs/>
              </w:rPr>
              <w:t>Nord</w:t>
            </w:r>
            <w:r w:rsidR="009A06C2" w:rsidRPr="001E1866">
              <w:rPr>
                <w:rFonts w:ascii="Times New Roman" w:hAnsi="Times New Roman"/>
                <w:i/>
                <w:iCs/>
              </w:rPr>
              <w:t xml:space="preserve"> </w:t>
            </w:r>
            <w:r w:rsidRPr="001E1866">
              <w:rPr>
                <w:rFonts w:ascii="Times New Roman" w:hAnsi="Times New Roman"/>
                <w:i/>
                <w:iCs/>
              </w:rPr>
              <w:t>Pool Spot</w:t>
            </w:r>
            <w:r>
              <w:rPr>
                <w:rFonts w:ascii="Times New Roman" w:hAnsi="Times New Roman"/>
                <w:iCs/>
              </w:rPr>
              <w:t xml:space="preserve"> Latvijas cenu zona, kurā j</w:t>
            </w:r>
            <w:r w:rsidR="00CD4B90">
              <w:rPr>
                <w:rFonts w:ascii="Times New Roman" w:hAnsi="Times New Roman"/>
                <w:iCs/>
              </w:rPr>
              <w:t>ūl</w:t>
            </w:r>
            <w:r>
              <w:rPr>
                <w:rFonts w:ascii="Times New Roman" w:hAnsi="Times New Roman"/>
                <w:iCs/>
              </w:rPr>
              <w:t xml:space="preserve">ijā mēneša elektroenerģijas cena bija 34,55 </w:t>
            </w:r>
            <w:r w:rsidR="009A06C2">
              <w:rPr>
                <w:rFonts w:ascii="Times New Roman" w:hAnsi="Times New Roman"/>
                <w:iCs/>
              </w:rPr>
              <w:t>LVL</w:t>
            </w:r>
            <w:r>
              <w:rPr>
                <w:rFonts w:ascii="Times New Roman" w:hAnsi="Times New Roman"/>
                <w:iCs/>
              </w:rPr>
              <w:t xml:space="preserve">/MWh un augustā – 36,06 </w:t>
            </w:r>
            <w:r w:rsidR="009A06C2">
              <w:rPr>
                <w:rFonts w:ascii="Times New Roman" w:hAnsi="Times New Roman"/>
                <w:iCs/>
              </w:rPr>
              <w:t>LVL</w:t>
            </w:r>
            <w:r>
              <w:rPr>
                <w:rFonts w:ascii="Times New Roman" w:hAnsi="Times New Roman"/>
                <w:iCs/>
              </w:rPr>
              <w:t xml:space="preserve">/MWh. Elektroenerģijas Pamata tarifā iekļautā elektroenerģijas cena ir 27,80 </w:t>
            </w:r>
            <w:r w:rsidR="009A06C2">
              <w:rPr>
                <w:rFonts w:ascii="Times New Roman" w:hAnsi="Times New Roman"/>
                <w:iCs/>
              </w:rPr>
              <w:t>LVL</w:t>
            </w:r>
            <w:r>
              <w:rPr>
                <w:rFonts w:ascii="Times New Roman" w:hAnsi="Times New Roman"/>
                <w:iCs/>
              </w:rPr>
              <w:t xml:space="preserve">/MWh.  </w:t>
            </w:r>
          </w:p>
          <w:p w:rsidR="0007173E" w:rsidRDefault="00CD4B90" w:rsidP="001E1866">
            <w:pPr>
              <w:spacing w:after="120" w:line="240" w:lineRule="auto"/>
              <w:jc w:val="both"/>
              <w:rPr>
                <w:rFonts w:ascii="Times New Roman" w:hAnsi="Times New Roman"/>
                <w:iCs/>
              </w:rPr>
            </w:pPr>
            <w:r w:rsidRPr="003D12AB">
              <w:rPr>
                <w:rFonts w:ascii="Times New Roman" w:hAnsi="Times New Roman"/>
              </w:rPr>
              <w:t>Spēkā esošie elektroenerģijas tarifi mājsaimniecībām iekļauj arī OIK komponenti 1,</w:t>
            </w:r>
            <w:r>
              <w:rPr>
                <w:rFonts w:ascii="Times New Roman" w:hAnsi="Times New Roman"/>
              </w:rPr>
              <w:t>89</w:t>
            </w:r>
            <w:r w:rsidRPr="003D12AB">
              <w:rPr>
                <w:rFonts w:ascii="Times New Roman" w:hAnsi="Times New Roman"/>
              </w:rPr>
              <w:t xml:space="preserve"> sant./kWh (santīmi par kilovatstundu) apmērā</w:t>
            </w:r>
            <w:r>
              <w:rPr>
                <w:rFonts w:ascii="Times New Roman" w:hAnsi="Times New Roman"/>
              </w:rPr>
              <w:t>.</w:t>
            </w:r>
            <w:r w:rsidRPr="003D12AB">
              <w:rPr>
                <w:rFonts w:ascii="Times New Roman" w:hAnsi="Times New Roman"/>
              </w:rPr>
              <w:t xml:space="preserve"> OIK aprēķināšanu veic SPRK</w:t>
            </w:r>
            <w:r>
              <w:rPr>
                <w:rFonts w:ascii="Times New Roman" w:hAnsi="Times New Roman"/>
                <w:b/>
                <w:bCs/>
              </w:rPr>
              <w:t>,</w:t>
            </w:r>
            <w:r w:rsidRPr="003D12AB">
              <w:rPr>
                <w:rFonts w:ascii="Times New Roman" w:hAnsi="Times New Roman"/>
              </w:rPr>
              <w:t xml:space="preserve"> pamatojoties uz ar 2009.gada 19.augusta SPRK Padomes lēmumu Nr.1/2 apstiprināto metodiku „Obligātā iepirkuma komponenšu aprēķināšanas metodika”.</w:t>
            </w:r>
            <w:r w:rsidRPr="00430780">
              <w:rPr>
                <w:rFonts w:ascii="Times New Roman" w:hAnsi="Times New Roman"/>
              </w:rPr>
              <w:t xml:space="preserve"> </w:t>
            </w:r>
            <w:r w:rsidRPr="00CD4B90">
              <w:rPr>
                <w:rFonts w:ascii="Times New Roman" w:hAnsi="Times New Roman"/>
              </w:rPr>
              <w:t>Pēc E</w:t>
            </w:r>
            <w:r>
              <w:rPr>
                <w:rFonts w:ascii="Times New Roman" w:hAnsi="Times New Roman"/>
              </w:rPr>
              <w:t xml:space="preserve">konomikas ministrijas </w:t>
            </w:r>
            <w:r w:rsidRPr="00CD4B90">
              <w:rPr>
                <w:rFonts w:ascii="Times New Roman" w:hAnsi="Times New Roman"/>
              </w:rPr>
              <w:t xml:space="preserve">prognozēm faktiskā OIK varētu pieaugt līdz 2,2 sant./kWh 2014. gadā, 2,41 sant./kWh 2015. gadā un 2,46 sant./kWh 2016. gadā. Savukārt, sākot ar 2018. gadu, OIK apjoms nedaudz samazinās tādēļ, ka ar 2017. gada 1. jūliju atbalstu vairs nesaņems daļa no dabasgāzes koģenerācijas stacijām. </w:t>
            </w:r>
            <w:r w:rsidR="00D10A33">
              <w:rPr>
                <w:rFonts w:ascii="Times New Roman" w:hAnsi="Times New Roman"/>
              </w:rPr>
              <w:t>L</w:t>
            </w:r>
            <w:r>
              <w:rPr>
                <w:rFonts w:ascii="Times New Roman" w:hAnsi="Times New Roman"/>
              </w:rPr>
              <w:t xml:space="preserve">ietotājiem piemērojamās OIK saglabāšanos pašreizējā līmenī </w:t>
            </w:r>
            <w:r w:rsidR="00D10A33">
              <w:rPr>
                <w:rFonts w:ascii="Times New Roman" w:hAnsi="Times New Roman"/>
              </w:rPr>
              <w:t xml:space="preserve"> - 1,89 sant./kWh </w:t>
            </w:r>
            <w:r>
              <w:rPr>
                <w:rFonts w:ascii="Times New Roman" w:hAnsi="Times New Roman"/>
              </w:rPr>
              <w:t>vismaz līdz 2017.</w:t>
            </w:r>
            <w:r w:rsidR="006F7D9F">
              <w:rPr>
                <w:rFonts w:ascii="Times New Roman" w:hAnsi="Times New Roman"/>
              </w:rPr>
              <w:t> </w:t>
            </w:r>
            <w:r>
              <w:rPr>
                <w:rFonts w:ascii="Times New Roman" w:hAnsi="Times New Roman"/>
              </w:rPr>
              <w:t xml:space="preserve">gadam, kad iespējama </w:t>
            </w:r>
            <w:r w:rsidR="00D10A33">
              <w:t xml:space="preserve"> </w:t>
            </w:r>
            <w:r w:rsidR="00D10A33" w:rsidRPr="00D10A33">
              <w:rPr>
                <w:rFonts w:ascii="Times New Roman" w:hAnsi="Times New Roman"/>
              </w:rPr>
              <w:t>elektroenerģi</w:t>
            </w:r>
            <w:r w:rsidR="00D10A33">
              <w:rPr>
                <w:rFonts w:ascii="Times New Roman" w:hAnsi="Times New Roman"/>
              </w:rPr>
              <w:t xml:space="preserve">jas obligātā iepirkuma ieņēmumu administrēšanas </w:t>
            </w:r>
            <w:r w:rsidR="00D10A33" w:rsidRPr="00D10A33" w:rsidDel="00D10A33">
              <w:rPr>
                <w:rFonts w:ascii="Times New Roman" w:hAnsi="Times New Roman"/>
              </w:rPr>
              <w:t xml:space="preserve"> </w:t>
            </w:r>
            <w:r>
              <w:rPr>
                <w:rFonts w:ascii="Times New Roman" w:hAnsi="Times New Roman"/>
              </w:rPr>
              <w:t xml:space="preserve"> darbības pārskatīšana</w:t>
            </w:r>
            <w:r w:rsidR="00D10A33">
              <w:rPr>
                <w:rFonts w:ascii="Times New Roman" w:hAnsi="Times New Roman"/>
              </w:rPr>
              <w:t>, nodrošinās ikgadēja valsts budžeta dotācija, kas tiek piešķirta publiskajam tirgotājam.</w:t>
            </w:r>
          </w:p>
          <w:p w:rsidR="00D93ECB" w:rsidRDefault="00D93ECB" w:rsidP="00501389">
            <w:pPr>
              <w:autoSpaceDE w:val="0"/>
              <w:autoSpaceDN w:val="0"/>
              <w:spacing w:after="120" w:line="240" w:lineRule="auto"/>
              <w:jc w:val="both"/>
              <w:rPr>
                <w:rFonts w:ascii="Times New Roman" w:hAnsi="Times New Roman"/>
              </w:rPr>
            </w:pPr>
            <w:r w:rsidRPr="00D93ECB">
              <w:rPr>
                <w:rFonts w:ascii="Times New Roman" w:hAnsi="Times New Roman"/>
              </w:rPr>
              <w:t xml:space="preserve">Ņemot vērā subsidētās elektroenerģijas izmaksu, tas ir OIK, pieaugumu, kā arī to, ka </w:t>
            </w:r>
            <w:r>
              <w:rPr>
                <w:rFonts w:ascii="Times New Roman" w:hAnsi="Times New Roman"/>
              </w:rPr>
              <w:t>tarifos</w:t>
            </w:r>
            <w:r w:rsidRPr="00D93ECB">
              <w:rPr>
                <w:rFonts w:ascii="Times New Roman" w:hAnsi="Times New Roman"/>
              </w:rPr>
              <w:t xml:space="preserve"> neatspoguļojas faktiskā elektroenerģijas cena, paredzams, ka elektroenerģijas kopējā cena mājsaimniecībām 2014. gadā </w:t>
            </w:r>
            <w:r w:rsidRPr="00D93ECB">
              <w:rPr>
                <w:rFonts w:ascii="Times New Roman" w:hAnsi="Times New Roman"/>
              </w:rPr>
              <w:lastRenderedPageBreak/>
              <w:t>pieaugs no 8,18 sant./kWh (</w:t>
            </w:r>
            <w:r w:rsidRPr="00596045">
              <w:rPr>
                <w:rFonts w:ascii="Times New Roman" w:hAnsi="Times New Roman"/>
                <w:i/>
              </w:rPr>
              <w:t>Starta tarifs</w:t>
            </w:r>
            <w:r w:rsidRPr="00D93ECB">
              <w:rPr>
                <w:rFonts w:ascii="Times New Roman" w:hAnsi="Times New Roman"/>
              </w:rPr>
              <w:t>) vai 10,65 sant./kWh (</w:t>
            </w:r>
            <w:r w:rsidRPr="00596045">
              <w:rPr>
                <w:rFonts w:ascii="Times New Roman" w:hAnsi="Times New Roman"/>
                <w:i/>
              </w:rPr>
              <w:t>Pamata tarifs</w:t>
            </w:r>
            <w:r w:rsidRPr="00D93ECB">
              <w:rPr>
                <w:rFonts w:ascii="Times New Roman" w:hAnsi="Times New Roman"/>
              </w:rPr>
              <w:t>) – līdz 11,68 sant./kWh. Bet, ja tiek veikti OIK pieauguma ierobežošanas pasākumi, tad elektroenerģijas kopējā cena būs aptuveni 11,30 sant./kWh</w:t>
            </w:r>
            <w:r w:rsidR="00D1776D">
              <w:rPr>
                <w:rFonts w:ascii="Times New Roman" w:hAnsi="Times New Roman"/>
              </w:rPr>
              <w:t>.</w:t>
            </w:r>
          </w:p>
          <w:p w:rsidR="00521E71" w:rsidRDefault="00CD4B90" w:rsidP="00501389">
            <w:pPr>
              <w:autoSpaceDE w:val="0"/>
              <w:autoSpaceDN w:val="0"/>
              <w:spacing w:after="120" w:line="240" w:lineRule="auto"/>
              <w:jc w:val="both"/>
              <w:rPr>
                <w:rFonts w:ascii="Times New Roman" w:hAnsi="Times New Roman"/>
                <w:iCs/>
              </w:rPr>
            </w:pPr>
            <w:r>
              <w:rPr>
                <w:rFonts w:ascii="Times New Roman" w:hAnsi="Times New Roman"/>
              </w:rPr>
              <w:t>Līdz ar to</w:t>
            </w:r>
            <w:r w:rsidR="00D93ECB">
              <w:rPr>
                <w:rFonts w:ascii="Times New Roman" w:hAnsi="Times New Roman"/>
              </w:rPr>
              <w:t xml:space="preserve"> </w:t>
            </w:r>
            <w:r w:rsidR="00615BCC" w:rsidRPr="00615BCC">
              <w:rPr>
                <w:rFonts w:ascii="Times New Roman" w:hAnsi="Times New Roman"/>
              </w:rPr>
              <w:t>pēc tirgus atvēršanas</w:t>
            </w:r>
            <w:r w:rsidR="00D93ECB">
              <w:rPr>
                <w:rFonts w:ascii="Times New Roman" w:hAnsi="Times New Roman"/>
              </w:rPr>
              <w:t>, kad</w:t>
            </w:r>
            <w:r w:rsidR="00615BCC" w:rsidRPr="00615BCC">
              <w:rPr>
                <w:rFonts w:ascii="Times New Roman" w:hAnsi="Times New Roman"/>
              </w:rPr>
              <w:t xml:space="preserve"> </w:t>
            </w:r>
            <w:r w:rsidR="00D93ECB" w:rsidRPr="00615BCC">
              <w:rPr>
                <w:rFonts w:ascii="Times New Roman" w:hAnsi="Times New Roman"/>
              </w:rPr>
              <w:t xml:space="preserve"> nepastāvēs </w:t>
            </w:r>
            <w:r w:rsidR="00615BCC" w:rsidRPr="00615BCC">
              <w:rPr>
                <w:rFonts w:ascii="Times New Roman" w:hAnsi="Times New Roman"/>
              </w:rPr>
              <w:t>regulētie tarifi</w:t>
            </w:r>
            <w:r w:rsidR="0016526C">
              <w:rPr>
                <w:rFonts w:ascii="Times New Roman" w:hAnsi="Times New Roman"/>
              </w:rPr>
              <w:t>,</w:t>
            </w:r>
            <w:r w:rsidR="00615BCC" w:rsidRPr="00615BCC">
              <w:rPr>
                <w:rFonts w:ascii="Times New Roman" w:hAnsi="Times New Roman"/>
              </w:rPr>
              <w:t xml:space="preserve"> mājsaimniecības lietotājam, kas gada laikā patērē vismaz 1200</w:t>
            </w:r>
            <w:r w:rsidR="00487E3C">
              <w:rPr>
                <w:rFonts w:ascii="Times New Roman" w:hAnsi="Times New Roman"/>
              </w:rPr>
              <w:t xml:space="preserve"> </w:t>
            </w:r>
            <w:r w:rsidR="00615BCC" w:rsidRPr="00615BCC">
              <w:rPr>
                <w:rFonts w:ascii="Times New Roman" w:hAnsi="Times New Roman"/>
              </w:rPr>
              <w:t xml:space="preserve">kWh elektroenerģijas, </w:t>
            </w:r>
            <w:r w:rsidR="00615BCC" w:rsidRPr="00615BCC">
              <w:rPr>
                <w:rFonts w:ascii="Times New Roman" w:hAnsi="Times New Roman"/>
                <w:iCs/>
              </w:rPr>
              <w:t xml:space="preserve">maksājumos par elektroenerģiju, salīdzinot ar iepriekšējiem maksājumiem, varētu rasties starpība </w:t>
            </w:r>
            <w:r w:rsidR="00D93ECB">
              <w:rPr>
                <w:rFonts w:ascii="Times New Roman" w:hAnsi="Times New Roman"/>
                <w:iCs/>
              </w:rPr>
              <w:t>37,44</w:t>
            </w:r>
            <w:r w:rsidR="00487E3C">
              <w:rPr>
                <w:rFonts w:ascii="Times New Roman" w:hAnsi="Times New Roman"/>
                <w:iCs/>
              </w:rPr>
              <w:t xml:space="preserve"> </w:t>
            </w:r>
            <w:r w:rsidR="00615BCC" w:rsidRPr="00615BCC">
              <w:rPr>
                <w:rFonts w:ascii="Times New Roman" w:hAnsi="Times New Roman"/>
                <w:iCs/>
              </w:rPr>
              <w:t>Ls apmērā gadā</w:t>
            </w:r>
            <w:r w:rsidR="00D93ECB">
              <w:rPr>
                <w:rFonts w:ascii="Times New Roman" w:hAnsi="Times New Roman"/>
                <w:iCs/>
              </w:rPr>
              <w:t>.</w:t>
            </w:r>
          </w:p>
          <w:p w:rsidR="00923B81" w:rsidRPr="003D12AB" w:rsidRDefault="006E12A9" w:rsidP="00127232">
            <w:pPr>
              <w:spacing w:after="120" w:line="240" w:lineRule="auto"/>
              <w:jc w:val="both"/>
              <w:rPr>
                <w:rFonts w:ascii="Times New Roman" w:hAnsi="Times New Roman"/>
              </w:rPr>
            </w:pPr>
            <w:r w:rsidRPr="003D12AB">
              <w:rPr>
                <w:rFonts w:ascii="Times New Roman" w:hAnsi="Times New Roman"/>
              </w:rPr>
              <w:t>Sakarā ar elektroenerģijas tirgus atvēršanu tiek plānota arī mazāka elektroenerģijas t</w:t>
            </w:r>
            <w:r w:rsidR="00923B81" w:rsidRPr="003D12AB">
              <w:rPr>
                <w:rFonts w:ascii="Times New Roman" w:hAnsi="Times New Roman"/>
              </w:rPr>
              <w:t>irdzniecības uzcenoj</w:t>
            </w:r>
            <w:r w:rsidRPr="003D12AB">
              <w:rPr>
                <w:rFonts w:ascii="Times New Roman" w:hAnsi="Times New Roman"/>
              </w:rPr>
              <w:t>u</w:t>
            </w:r>
            <w:r w:rsidR="00923B81" w:rsidRPr="003D12AB">
              <w:rPr>
                <w:rFonts w:ascii="Times New Roman" w:hAnsi="Times New Roman"/>
              </w:rPr>
              <w:t>ma ietekme uz elektroenerģijas cenu</w:t>
            </w:r>
            <w:r w:rsidRPr="003D12AB">
              <w:rPr>
                <w:rFonts w:ascii="Times New Roman" w:hAnsi="Times New Roman"/>
              </w:rPr>
              <w:t>, jo tirgus atvēršanas rezultātā starp elektroenerģijas  tirgotājiem palielinās konkurence un tie centīsies noteikt pēc iespējas mazāku uzcenojuma apjomu.</w:t>
            </w:r>
          </w:p>
          <w:p w:rsidR="005526CE" w:rsidRPr="003D12AB" w:rsidRDefault="005526CE" w:rsidP="007B6239">
            <w:pPr>
              <w:spacing w:line="240" w:lineRule="auto"/>
              <w:jc w:val="both"/>
              <w:rPr>
                <w:rFonts w:ascii="Times New Roman" w:hAnsi="Times New Roman"/>
              </w:rPr>
            </w:pPr>
            <w:r w:rsidRPr="003D12AB">
              <w:rPr>
                <w:rFonts w:ascii="Times New Roman" w:hAnsi="Times New Roman"/>
              </w:rPr>
              <w:t xml:space="preserve">Jāuzsver, ka ar elektroenerģijas </w:t>
            </w:r>
            <w:r w:rsidR="00CD4B90">
              <w:rPr>
                <w:rFonts w:ascii="Times New Roman" w:hAnsi="Times New Roman"/>
              </w:rPr>
              <w:t xml:space="preserve">kopējās cenas </w:t>
            </w:r>
            <w:r w:rsidRPr="003D12AB">
              <w:rPr>
                <w:rFonts w:ascii="Times New Roman" w:hAnsi="Times New Roman"/>
              </w:rPr>
              <w:t xml:space="preserve">pieaugums nav saistīts ar </w:t>
            </w:r>
            <w:r w:rsidR="00CD4B90">
              <w:rPr>
                <w:rFonts w:ascii="Times New Roman" w:hAnsi="Times New Roman"/>
              </w:rPr>
              <w:t xml:space="preserve">tikai ar </w:t>
            </w:r>
            <w:r w:rsidRPr="003D12AB">
              <w:rPr>
                <w:rFonts w:ascii="Times New Roman" w:hAnsi="Times New Roman"/>
              </w:rPr>
              <w:t xml:space="preserve">elektroenerģijas tirgus pilnīgu atvēršanu, jo tirgus atvēršana attiecas tikai uz elektroenerģijas tirdzniecību un neietekmē pārējās ar elektroenerģiju saistītas izmaksas (OIK, tīkla pakalpojuma izmaksas, </w:t>
            </w:r>
            <w:r w:rsidR="006F7D9F">
              <w:rPr>
                <w:rFonts w:ascii="Times New Roman" w:hAnsi="Times New Roman"/>
              </w:rPr>
              <w:t>pievienotās vērtības nodoklis (turpmāk - PVN)</w:t>
            </w:r>
            <w:r w:rsidRPr="003D12AB">
              <w:rPr>
                <w:rFonts w:ascii="Times New Roman" w:hAnsi="Times New Roman"/>
              </w:rPr>
              <w:t>).</w:t>
            </w:r>
          </w:p>
          <w:p w:rsidR="00DF6A47" w:rsidRPr="00DF6A47" w:rsidRDefault="00DF6A47" w:rsidP="00DF6A47">
            <w:pPr>
              <w:autoSpaceDE w:val="0"/>
              <w:autoSpaceDN w:val="0"/>
              <w:adjustRightInd w:val="0"/>
              <w:spacing w:after="0" w:line="240" w:lineRule="auto"/>
              <w:jc w:val="both"/>
              <w:rPr>
                <w:rFonts w:ascii="Times New Roman" w:hAnsi="Times New Roman"/>
                <w:lang w:eastAsia="lv-LV"/>
              </w:rPr>
            </w:pPr>
            <w:r w:rsidRPr="00DF6A47">
              <w:rPr>
                <w:rFonts w:ascii="Times New Roman" w:hAnsi="Times New Roman"/>
                <w:lang w:eastAsia="lv-LV"/>
              </w:rPr>
              <w:t>Šobrīd pastāvošie sociālā atbalsta instrumenti attiecībā uz izmaksām par elektroenerģiju tiek pilnībā uzturēti no AS „Latvenergo” līdzekļiem, un tie ir:</w:t>
            </w:r>
          </w:p>
          <w:p w:rsidR="00DF6A47" w:rsidRPr="00DF6A47" w:rsidRDefault="00DF6A47" w:rsidP="00DF6A47">
            <w:pPr>
              <w:pStyle w:val="ListParagraph"/>
              <w:numPr>
                <w:ilvl w:val="0"/>
                <w:numId w:val="19"/>
              </w:numPr>
              <w:autoSpaceDE w:val="0"/>
              <w:autoSpaceDN w:val="0"/>
              <w:adjustRightInd w:val="0"/>
              <w:jc w:val="both"/>
              <w:rPr>
                <w:rFonts w:ascii="Times New Roman" w:hAnsi="Times New Roman"/>
              </w:rPr>
            </w:pPr>
            <w:r w:rsidRPr="00DF6A47">
              <w:rPr>
                <w:rFonts w:ascii="Times New Roman" w:hAnsi="Times New Roman"/>
              </w:rPr>
              <w:t>kompensācija starp Starta tarifu un Pamata tarifu, kas pēc AS „Latvenergo” aplēsēm  ir aptuveni 18 milj. LVL gadā. Starta tarifs tiek piemērots par pirmajām patērētajām 1200 kWh gada laikā, bet Pamata tarifs tiek piemērots lietotāja elektroenerģijas patēriņam, sākot ar 1201 kWh;</w:t>
            </w:r>
          </w:p>
          <w:p w:rsidR="00DF6A47" w:rsidRPr="00DF6A47" w:rsidRDefault="00DF6A47" w:rsidP="00DF6A47">
            <w:pPr>
              <w:pStyle w:val="ListParagraph"/>
              <w:numPr>
                <w:ilvl w:val="0"/>
                <w:numId w:val="19"/>
              </w:numPr>
              <w:autoSpaceDE w:val="0"/>
              <w:autoSpaceDN w:val="0"/>
              <w:adjustRightInd w:val="0"/>
              <w:jc w:val="both"/>
              <w:rPr>
                <w:rFonts w:ascii="Times New Roman" w:hAnsi="Times New Roman"/>
              </w:rPr>
            </w:pPr>
            <w:r w:rsidRPr="00DF6A47">
              <w:rPr>
                <w:rFonts w:ascii="Times New Roman" w:hAnsi="Times New Roman"/>
              </w:rPr>
              <w:t>elektroenerģijas norēķinu karšu izsniegšana lietotājiem ar zemu ienākumu līmeni par aptuveni 0,75 milj. LVL gadā;</w:t>
            </w:r>
          </w:p>
          <w:p w:rsidR="00DF6A47" w:rsidRPr="00DF6A47" w:rsidRDefault="00DF6A47" w:rsidP="00DF6A47">
            <w:pPr>
              <w:pStyle w:val="ListParagraph"/>
              <w:numPr>
                <w:ilvl w:val="0"/>
                <w:numId w:val="19"/>
              </w:numPr>
              <w:autoSpaceDE w:val="0"/>
              <w:autoSpaceDN w:val="0"/>
              <w:adjustRightInd w:val="0"/>
              <w:jc w:val="both"/>
              <w:rPr>
                <w:rFonts w:ascii="Times New Roman" w:hAnsi="Times New Roman"/>
              </w:rPr>
            </w:pPr>
            <w:r w:rsidRPr="00DF6A47">
              <w:rPr>
                <w:rFonts w:ascii="Times New Roman" w:hAnsi="Times New Roman"/>
              </w:rPr>
              <w:t xml:space="preserve">papildus atbalsts daudzbērnu ģimenēm, apmaksājot  2400 kWh pēc Starta tarifa – 0,5 milj. LVL gadā. </w:t>
            </w:r>
          </w:p>
          <w:p w:rsidR="00DF6A47" w:rsidRDefault="00DF6A47" w:rsidP="00DF6A47">
            <w:pPr>
              <w:autoSpaceDE w:val="0"/>
              <w:autoSpaceDN w:val="0"/>
              <w:adjustRightInd w:val="0"/>
              <w:spacing w:after="120" w:line="240" w:lineRule="auto"/>
              <w:jc w:val="both"/>
              <w:rPr>
                <w:rFonts w:ascii="Times New Roman" w:hAnsi="Times New Roman"/>
                <w:lang w:eastAsia="lv-LV"/>
              </w:rPr>
            </w:pPr>
            <w:r w:rsidRPr="00DF6A47">
              <w:rPr>
                <w:rFonts w:ascii="Times New Roman" w:hAnsi="Times New Roman"/>
                <w:lang w:eastAsia="lv-LV"/>
              </w:rPr>
              <w:t xml:space="preserve">Paredzams, ka pēc pilnīgas elektroenerģijas tirgus liberalizācijas AS „Latvenergo” vairs nepildīs sociālās palīdzības funkcijas, līdz ar to pašvaldībām būs nepieciešami papildu līdzekļi sociāli neaizsargāto iedzīvotāju atbalstam. </w:t>
            </w:r>
          </w:p>
          <w:p w:rsidR="00094F8D" w:rsidRDefault="00094F8D" w:rsidP="00DF6A47">
            <w:pPr>
              <w:autoSpaceDE w:val="0"/>
              <w:autoSpaceDN w:val="0"/>
              <w:adjustRightInd w:val="0"/>
              <w:spacing w:after="120" w:line="240" w:lineRule="auto"/>
              <w:jc w:val="both"/>
              <w:rPr>
                <w:rFonts w:ascii="Times New Roman" w:hAnsi="Times New Roman"/>
              </w:rPr>
            </w:pPr>
            <w:r w:rsidRPr="003D12AB">
              <w:rPr>
                <w:rFonts w:ascii="Times New Roman" w:hAnsi="Times New Roman"/>
              </w:rPr>
              <w:t>Elektrības direktīvas preambulas 45.</w:t>
            </w:r>
            <w:r w:rsidR="006F7D9F">
              <w:rPr>
                <w:rFonts w:ascii="Times New Roman" w:hAnsi="Times New Roman"/>
              </w:rPr>
              <w:t> </w:t>
            </w:r>
            <w:r w:rsidRPr="003D12AB">
              <w:rPr>
                <w:rFonts w:ascii="Times New Roman" w:hAnsi="Times New Roman"/>
              </w:rPr>
              <w:t>punktā ir nostiprināta atziņa, ka dalībvalstīm būtu jāveic neaizsargāto lietotāju aizsardzībai vajadzīgie pasākumi elektroenerģijas iekšējā tirgus kontekstā. Šādi pasākumi var būt atšķirīgi, ņemot vērā konkrētos apstākļus attiecīgajās dalībvalstīs, un var ietvert īpašus pasākumus attiecībā uz elektroenerģijas rēķinu apmaksu vai vispārīgākus pasākumus sociālās nodrošināšanas sistēmā</w:t>
            </w:r>
            <w:r>
              <w:rPr>
                <w:rFonts w:ascii="Times New Roman" w:hAnsi="Times New Roman"/>
              </w:rPr>
              <w:t>.</w:t>
            </w:r>
          </w:p>
          <w:p w:rsidR="00127232" w:rsidRDefault="00127232" w:rsidP="00DF6A47">
            <w:pPr>
              <w:autoSpaceDE w:val="0"/>
              <w:autoSpaceDN w:val="0"/>
              <w:adjustRightInd w:val="0"/>
              <w:spacing w:before="120" w:after="0" w:line="240" w:lineRule="auto"/>
              <w:jc w:val="both"/>
              <w:rPr>
                <w:rFonts w:ascii="Times New Roman" w:hAnsi="Times New Roman"/>
                <w:lang w:eastAsia="lv-LV"/>
              </w:rPr>
            </w:pPr>
            <w:r w:rsidRPr="00127232">
              <w:rPr>
                <w:rFonts w:ascii="Times New Roman" w:hAnsi="Times New Roman"/>
                <w:lang w:eastAsia="lv-LV"/>
              </w:rPr>
              <w:t xml:space="preserve">Šobrīd ne Sociālo pakalpojumu un sociālās palīdzības likums, ne arī likums „Par palīdzību dzīvokļa jautājumu risināšanā” nenosaka pamatvajadzības mājoklis - saturu, proti, nav noteikts ar dzīvokļa īpašuma lietošanu saistīto pakalpojumu loks, kuru sedz pašvaldība  izmaksājot dzīvokļa pabalstu. Tādēļ šobrīd pašvaldības savos saistošajos noteikumos šo pakalpojumu loku ir noteikušas atšķirīgu un tikai atsevišķas pašvaldības ir paredzējušas, ka dzīvokļa pabalsta ietvaros ir apmaksājama arī elektroenerģija. Vienlaikus tām pašvaldībām, kuras dzīvokļa pabalsta ietvaros šobrīd neapmaksā elektroenerģiju, bet turpmāk plāno piešķirt atbalstu tās iegādei, būs jāgroza iepriekš izdotie saistošie </w:t>
            </w:r>
            <w:r w:rsidRPr="00127232">
              <w:rPr>
                <w:rFonts w:ascii="Times New Roman" w:hAnsi="Times New Roman"/>
                <w:lang w:eastAsia="lv-LV"/>
              </w:rPr>
              <w:lastRenderedPageBreak/>
              <w:t>noteikumi. Jau pašlaik normatīvie akti ļauj pašvaldībām dzīvokļa pabalsta ietvaros apmaksāt arī elektroenerģiju. Ekonomikas ministrija par šo iespēju paredz informēt pašvaldības.</w:t>
            </w:r>
          </w:p>
          <w:p w:rsidR="005526CE" w:rsidRPr="003D12AB" w:rsidRDefault="00430780" w:rsidP="006F7D9F">
            <w:pPr>
              <w:pStyle w:val="Default"/>
              <w:jc w:val="both"/>
              <w:rPr>
                <w:rFonts w:ascii="Times New Roman" w:hAnsi="Times New Roman" w:cs="Times New Roman"/>
                <w:color w:val="auto"/>
                <w:sz w:val="22"/>
                <w:szCs w:val="22"/>
              </w:rPr>
            </w:pPr>
            <w:r w:rsidRPr="00430780">
              <w:rPr>
                <w:rFonts w:ascii="Times New Roman" w:hAnsi="Times New Roman" w:cs="Times New Roman"/>
                <w:color w:val="auto"/>
                <w:sz w:val="22"/>
                <w:szCs w:val="22"/>
              </w:rPr>
              <w:t xml:space="preserve">Pēc Ekonomikas ministrijas provizoriskām prognozēm izmaiņas </w:t>
            </w:r>
            <w:r>
              <w:rPr>
                <w:rFonts w:ascii="Times New Roman" w:hAnsi="Times New Roman" w:cs="Times New Roman"/>
                <w:color w:val="auto"/>
                <w:sz w:val="22"/>
                <w:szCs w:val="22"/>
              </w:rPr>
              <w:t>koģenerācijas staciju ar uzstādīto elektrisko jaudu</w:t>
            </w:r>
            <w:r w:rsidR="00DF6A47">
              <w:rPr>
                <w:rFonts w:ascii="Times New Roman" w:hAnsi="Times New Roman" w:cs="Times New Roman"/>
                <w:color w:val="auto"/>
                <w:sz w:val="22"/>
                <w:szCs w:val="22"/>
              </w:rPr>
              <w:t xml:space="preserve"> lielāku par </w:t>
            </w:r>
            <w:r>
              <w:rPr>
                <w:rFonts w:ascii="Times New Roman" w:hAnsi="Times New Roman" w:cs="Times New Roman"/>
                <w:color w:val="auto"/>
                <w:sz w:val="22"/>
                <w:szCs w:val="22"/>
              </w:rPr>
              <w:t>4 MW</w:t>
            </w:r>
            <w:r w:rsidR="00DF6A47">
              <w:rPr>
                <w:rFonts w:ascii="Times New Roman" w:hAnsi="Times New Roman" w:cs="Times New Roman"/>
                <w:color w:val="auto"/>
                <w:sz w:val="22"/>
                <w:szCs w:val="22"/>
              </w:rPr>
              <w:t xml:space="preserve"> atbalstā </w:t>
            </w:r>
            <w:r w:rsidRPr="00430780">
              <w:rPr>
                <w:rFonts w:ascii="Times New Roman" w:hAnsi="Times New Roman" w:cs="Times New Roman"/>
                <w:color w:val="auto"/>
                <w:sz w:val="22"/>
                <w:szCs w:val="22"/>
              </w:rPr>
              <w:t>var</w:t>
            </w:r>
            <w:r>
              <w:rPr>
                <w:rFonts w:ascii="Times New Roman" w:hAnsi="Times New Roman" w:cs="Times New Roman"/>
                <w:color w:val="auto"/>
                <w:sz w:val="22"/>
                <w:szCs w:val="22"/>
              </w:rPr>
              <w:t>,</w:t>
            </w:r>
            <w:r w:rsidRPr="00430780">
              <w:rPr>
                <w:rFonts w:ascii="Times New Roman" w:hAnsi="Times New Roman" w:cs="Times New Roman"/>
                <w:color w:val="auto"/>
                <w:sz w:val="22"/>
                <w:szCs w:val="22"/>
              </w:rPr>
              <w:t xml:space="preserve"> sākot ar 2014. </w:t>
            </w:r>
            <w:r>
              <w:rPr>
                <w:rFonts w:ascii="Times New Roman" w:hAnsi="Times New Roman" w:cs="Times New Roman"/>
                <w:color w:val="auto"/>
                <w:sz w:val="22"/>
                <w:szCs w:val="22"/>
              </w:rPr>
              <w:t>g</w:t>
            </w:r>
            <w:r w:rsidRPr="00430780">
              <w:rPr>
                <w:rFonts w:ascii="Times New Roman" w:hAnsi="Times New Roman" w:cs="Times New Roman"/>
                <w:color w:val="auto"/>
                <w:sz w:val="22"/>
                <w:szCs w:val="22"/>
              </w:rPr>
              <w:t>adu</w:t>
            </w:r>
            <w:r>
              <w:rPr>
                <w:rFonts w:ascii="Times New Roman" w:hAnsi="Times New Roman" w:cs="Times New Roman"/>
                <w:color w:val="auto"/>
                <w:sz w:val="22"/>
                <w:szCs w:val="22"/>
              </w:rPr>
              <w:t>,</w:t>
            </w:r>
            <w:r w:rsidRPr="00430780">
              <w:rPr>
                <w:rFonts w:ascii="Times New Roman" w:hAnsi="Times New Roman" w:cs="Times New Roman"/>
                <w:color w:val="auto"/>
                <w:sz w:val="22"/>
                <w:szCs w:val="22"/>
              </w:rPr>
              <w:t xml:space="preserve"> radīt obligātā iepirkuma izmaksātās kopējās atbalsta summas samazinājumu 19,4 milj.LVL apjomā, ierobežojot 2014. gadā izmaksājamo obligātā iepirkuma atbalsta summas pieaugumu attiecībā pret 2013. gadu. Šādas obligātā iepirkuma komponentes samazināšanas aktivitātes rezultāts ietekmētu 2014. gada </w:t>
            </w:r>
            <w:r w:rsidR="006F7D9F">
              <w:rPr>
                <w:rFonts w:ascii="Times New Roman" w:hAnsi="Times New Roman" w:cs="Times New Roman"/>
                <w:color w:val="auto"/>
                <w:sz w:val="22"/>
                <w:szCs w:val="22"/>
              </w:rPr>
              <w:t>OIK</w:t>
            </w:r>
            <w:r w:rsidRPr="00430780">
              <w:rPr>
                <w:rFonts w:ascii="Times New Roman" w:hAnsi="Times New Roman" w:cs="Times New Roman"/>
                <w:color w:val="auto"/>
                <w:sz w:val="22"/>
                <w:szCs w:val="22"/>
              </w:rPr>
              <w:t>, kuras pieaugums izmaiņu rezultātā veidotu ne vairāk kā 2,</w:t>
            </w:r>
            <w:r w:rsidR="006F7D9F">
              <w:rPr>
                <w:rFonts w:ascii="Times New Roman" w:hAnsi="Times New Roman" w:cs="Times New Roman"/>
                <w:color w:val="auto"/>
                <w:sz w:val="22"/>
                <w:szCs w:val="22"/>
              </w:rPr>
              <w:t>20</w:t>
            </w:r>
            <w:r w:rsidR="006F7D9F" w:rsidRPr="00430780">
              <w:rPr>
                <w:rFonts w:ascii="Times New Roman" w:hAnsi="Times New Roman" w:cs="Times New Roman"/>
                <w:color w:val="auto"/>
                <w:sz w:val="22"/>
                <w:szCs w:val="22"/>
              </w:rPr>
              <w:t xml:space="preserve"> </w:t>
            </w:r>
            <w:r w:rsidRPr="00430780">
              <w:rPr>
                <w:rFonts w:ascii="Times New Roman" w:hAnsi="Times New Roman" w:cs="Times New Roman"/>
                <w:color w:val="auto"/>
                <w:sz w:val="22"/>
                <w:szCs w:val="22"/>
              </w:rPr>
              <w:t>sant./kWh</w:t>
            </w:r>
            <w:r w:rsidR="00DF6A47">
              <w:rPr>
                <w:rFonts w:ascii="Times New Roman" w:hAnsi="Times New Roman" w:cs="Times New Roman"/>
                <w:color w:val="auto"/>
                <w:sz w:val="22"/>
                <w:szCs w:val="22"/>
              </w:rPr>
              <w:t>.</w:t>
            </w:r>
          </w:p>
        </w:tc>
      </w:tr>
      <w:tr w:rsidR="003D12AB" w:rsidRPr="003D12AB" w:rsidTr="004F70FC">
        <w:trPr>
          <w:trHeight w:val="557"/>
        </w:trPr>
        <w:tc>
          <w:tcPr>
            <w:tcW w:w="431" w:type="dxa"/>
          </w:tcPr>
          <w:p w:rsidR="005526CE" w:rsidRPr="003D12AB" w:rsidRDefault="005526CE" w:rsidP="00A0154D">
            <w:pPr>
              <w:pStyle w:val="naiskr"/>
              <w:spacing w:before="0" w:after="0"/>
              <w:rPr>
                <w:sz w:val="22"/>
                <w:szCs w:val="22"/>
              </w:rPr>
            </w:pPr>
            <w:r w:rsidRPr="003D12AB">
              <w:rPr>
                <w:sz w:val="22"/>
                <w:szCs w:val="22"/>
              </w:rPr>
              <w:lastRenderedPageBreak/>
              <w:t>4.</w:t>
            </w:r>
          </w:p>
        </w:tc>
        <w:tc>
          <w:tcPr>
            <w:tcW w:w="2688" w:type="dxa"/>
          </w:tcPr>
          <w:p w:rsidR="005526CE" w:rsidRPr="003D12AB" w:rsidRDefault="005526CE" w:rsidP="00A0154D">
            <w:pPr>
              <w:spacing w:after="0" w:line="240" w:lineRule="auto"/>
              <w:rPr>
                <w:rFonts w:ascii="Times New Roman" w:hAnsi="Times New Roman"/>
                <w:lang w:eastAsia="lv-LV"/>
              </w:rPr>
            </w:pPr>
            <w:r w:rsidRPr="003D12AB">
              <w:rPr>
                <w:rFonts w:ascii="Times New Roman" w:hAnsi="Times New Roman"/>
                <w:lang w:eastAsia="lv-LV"/>
              </w:rPr>
              <w:t>Tiesiskā regulējuma nefinansiālā ietekme</w:t>
            </w:r>
          </w:p>
        </w:tc>
        <w:tc>
          <w:tcPr>
            <w:tcW w:w="6525" w:type="dxa"/>
          </w:tcPr>
          <w:p w:rsidR="005526CE" w:rsidRPr="003D12AB" w:rsidRDefault="00DF6A47" w:rsidP="00843EA4">
            <w:pPr>
              <w:spacing w:after="0" w:line="240" w:lineRule="auto"/>
              <w:jc w:val="both"/>
              <w:rPr>
                <w:rFonts w:ascii="Times New Roman" w:hAnsi="Times New Roman"/>
                <w:lang w:eastAsia="lv-LV"/>
              </w:rPr>
            </w:pPr>
            <w:r>
              <w:rPr>
                <w:rFonts w:ascii="Times New Roman" w:hAnsi="Times New Roman"/>
                <w:lang w:eastAsia="lv-LV"/>
              </w:rPr>
              <w:t>Regulējums</w:t>
            </w:r>
            <w:r w:rsidR="005526CE" w:rsidRPr="003D12AB">
              <w:rPr>
                <w:rFonts w:ascii="Times New Roman" w:hAnsi="Times New Roman"/>
                <w:lang w:eastAsia="lv-LV"/>
              </w:rPr>
              <w:t xml:space="preserve"> paredz nodrošināt elektroenerģijas lietotājus ar elektroenerģiju universālā pakalpojuma un pēdējās garantētās piegādes ietvaros gadījumos, ja lietotājam nav spēkā esoša elektroenerģijas tirdzniecības līguma. </w:t>
            </w:r>
            <w:r>
              <w:rPr>
                <w:rFonts w:ascii="Times New Roman" w:hAnsi="Times New Roman"/>
                <w:lang w:eastAsia="lv-LV"/>
              </w:rPr>
              <w:t>Regulējumā n</w:t>
            </w:r>
            <w:r w:rsidR="005526CE" w:rsidRPr="003D12AB">
              <w:rPr>
                <w:rFonts w:ascii="Times New Roman" w:hAnsi="Times New Roman"/>
                <w:lang w:eastAsia="lv-LV"/>
              </w:rPr>
              <w:t>oteikts lietotāju pienākums norēķināties par saņemtajiem pakalpojumiem</w:t>
            </w:r>
            <w:r>
              <w:rPr>
                <w:rFonts w:ascii="Times New Roman" w:hAnsi="Times New Roman"/>
                <w:lang w:eastAsia="lv-LV"/>
              </w:rPr>
              <w:t>, kā arī</w:t>
            </w:r>
            <w:r w:rsidR="005526CE" w:rsidRPr="003D12AB">
              <w:rPr>
                <w:rFonts w:ascii="Times New Roman" w:hAnsi="Times New Roman"/>
              </w:rPr>
              <w:t xml:space="preserve"> </w:t>
            </w:r>
            <w:r w:rsidR="00843EA4">
              <w:rPr>
                <w:rFonts w:ascii="Times New Roman" w:hAnsi="Times New Roman"/>
              </w:rPr>
              <w:t xml:space="preserve">saīsināts paziņošanas laiks no 21 dienas uz 14 dienām, līdz kurām </w:t>
            </w:r>
            <w:r w:rsidR="00843EA4">
              <w:t xml:space="preserve"> </w:t>
            </w:r>
            <w:r w:rsidR="00843EA4">
              <w:rPr>
                <w:rFonts w:ascii="Times New Roman" w:hAnsi="Times New Roman"/>
              </w:rPr>
              <w:t>e</w:t>
            </w:r>
            <w:r w:rsidR="00843EA4" w:rsidRPr="00843EA4">
              <w:rPr>
                <w:rFonts w:ascii="Times New Roman" w:hAnsi="Times New Roman"/>
              </w:rPr>
              <w:t>lektroenerģijas galalietotājam</w:t>
            </w:r>
            <w:r w:rsidR="00843EA4">
              <w:rPr>
                <w:rFonts w:ascii="Times New Roman" w:hAnsi="Times New Roman"/>
              </w:rPr>
              <w:t xml:space="preserve">  jāinformē esošais tirgotājs par tā maiņu. </w:t>
            </w:r>
          </w:p>
        </w:tc>
      </w:tr>
      <w:tr w:rsidR="003D12AB" w:rsidRPr="003D12AB" w:rsidTr="004F70FC">
        <w:trPr>
          <w:trHeight w:val="476"/>
        </w:trPr>
        <w:tc>
          <w:tcPr>
            <w:tcW w:w="431" w:type="dxa"/>
          </w:tcPr>
          <w:p w:rsidR="005526CE" w:rsidRPr="003D12AB" w:rsidRDefault="005526CE" w:rsidP="00A0154D">
            <w:pPr>
              <w:pStyle w:val="naiskr"/>
              <w:spacing w:before="0" w:after="0"/>
              <w:rPr>
                <w:sz w:val="22"/>
                <w:szCs w:val="22"/>
              </w:rPr>
            </w:pPr>
            <w:r w:rsidRPr="003D12AB">
              <w:rPr>
                <w:sz w:val="22"/>
                <w:szCs w:val="22"/>
              </w:rPr>
              <w:t>5.</w:t>
            </w:r>
          </w:p>
        </w:tc>
        <w:tc>
          <w:tcPr>
            <w:tcW w:w="2688" w:type="dxa"/>
          </w:tcPr>
          <w:p w:rsidR="005526CE" w:rsidRPr="003D12AB" w:rsidRDefault="005526CE" w:rsidP="00A0154D">
            <w:pPr>
              <w:spacing w:after="0" w:line="240" w:lineRule="auto"/>
              <w:rPr>
                <w:rFonts w:ascii="Times New Roman" w:hAnsi="Times New Roman"/>
                <w:lang w:eastAsia="lv-LV"/>
              </w:rPr>
            </w:pPr>
            <w:r w:rsidRPr="003D12AB">
              <w:rPr>
                <w:rFonts w:ascii="Times New Roman" w:hAnsi="Times New Roman"/>
                <w:lang w:eastAsia="lv-LV"/>
              </w:rPr>
              <w:t>Administratīvās procedūras raksturojums</w:t>
            </w:r>
          </w:p>
        </w:tc>
        <w:tc>
          <w:tcPr>
            <w:tcW w:w="6525" w:type="dxa"/>
          </w:tcPr>
          <w:p w:rsidR="005526CE" w:rsidRPr="003D12AB" w:rsidRDefault="005526CE" w:rsidP="00A0154D">
            <w:pPr>
              <w:spacing w:after="0" w:line="240" w:lineRule="auto"/>
              <w:jc w:val="both"/>
              <w:rPr>
                <w:rFonts w:ascii="Times New Roman" w:hAnsi="Times New Roman"/>
                <w:lang w:eastAsia="lv-LV"/>
              </w:rPr>
            </w:pPr>
            <w:r w:rsidRPr="003D12AB">
              <w:rPr>
                <w:rFonts w:ascii="Times New Roman" w:hAnsi="Times New Roman"/>
              </w:rPr>
              <w:t>Projekts šo jomu neskar.</w:t>
            </w:r>
          </w:p>
        </w:tc>
      </w:tr>
      <w:tr w:rsidR="003D12AB" w:rsidRPr="003D12AB" w:rsidTr="004F70FC">
        <w:trPr>
          <w:trHeight w:val="469"/>
        </w:trPr>
        <w:tc>
          <w:tcPr>
            <w:tcW w:w="431" w:type="dxa"/>
          </w:tcPr>
          <w:p w:rsidR="005526CE" w:rsidRPr="003D12AB" w:rsidRDefault="005526CE" w:rsidP="00A0154D">
            <w:pPr>
              <w:pStyle w:val="naiskr"/>
              <w:spacing w:before="0" w:after="0"/>
              <w:rPr>
                <w:sz w:val="22"/>
                <w:szCs w:val="22"/>
              </w:rPr>
            </w:pPr>
            <w:r w:rsidRPr="003D12AB">
              <w:rPr>
                <w:sz w:val="22"/>
                <w:szCs w:val="22"/>
              </w:rPr>
              <w:t>6.</w:t>
            </w:r>
          </w:p>
        </w:tc>
        <w:tc>
          <w:tcPr>
            <w:tcW w:w="2688" w:type="dxa"/>
          </w:tcPr>
          <w:p w:rsidR="005526CE" w:rsidRPr="003D12AB" w:rsidRDefault="005526CE" w:rsidP="00A0154D">
            <w:pPr>
              <w:spacing w:after="0" w:line="240" w:lineRule="auto"/>
              <w:rPr>
                <w:rFonts w:ascii="Times New Roman" w:hAnsi="Times New Roman"/>
                <w:lang w:eastAsia="lv-LV"/>
              </w:rPr>
            </w:pPr>
            <w:r w:rsidRPr="003D12AB">
              <w:rPr>
                <w:rFonts w:ascii="Times New Roman" w:hAnsi="Times New Roman"/>
                <w:lang w:eastAsia="lv-LV"/>
              </w:rPr>
              <w:t>Administratīvo izmaksu monetārs novērtējums</w:t>
            </w:r>
          </w:p>
        </w:tc>
        <w:tc>
          <w:tcPr>
            <w:tcW w:w="6525" w:type="dxa"/>
          </w:tcPr>
          <w:p w:rsidR="005526CE" w:rsidRPr="003D12AB" w:rsidRDefault="005526CE" w:rsidP="00A0154D">
            <w:pPr>
              <w:spacing w:after="0" w:line="240" w:lineRule="auto"/>
              <w:jc w:val="both"/>
              <w:rPr>
                <w:rFonts w:ascii="Times New Roman" w:hAnsi="Times New Roman"/>
                <w:lang w:eastAsia="lv-LV"/>
              </w:rPr>
            </w:pPr>
            <w:r w:rsidRPr="003D12AB">
              <w:rPr>
                <w:rFonts w:ascii="Times New Roman" w:hAnsi="Times New Roman"/>
                <w:iCs/>
              </w:rPr>
              <w:t>Projekts šo jomu neskar.</w:t>
            </w:r>
          </w:p>
        </w:tc>
      </w:tr>
      <w:tr w:rsidR="003D12AB" w:rsidRPr="003D12AB" w:rsidTr="004F70FC">
        <w:trPr>
          <w:trHeight w:val="324"/>
        </w:trPr>
        <w:tc>
          <w:tcPr>
            <w:tcW w:w="431" w:type="dxa"/>
          </w:tcPr>
          <w:p w:rsidR="005526CE" w:rsidRPr="003D12AB" w:rsidRDefault="005526CE" w:rsidP="00A0154D">
            <w:pPr>
              <w:pStyle w:val="naiskr"/>
              <w:spacing w:before="0" w:after="0"/>
              <w:rPr>
                <w:sz w:val="22"/>
                <w:szCs w:val="22"/>
              </w:rPr>
            </w:pPr>
            <w:r w:rsidRPr="003D12AB">
              <w:rPr>
                <w:sz w:val="22"/>
                <w:szCs w:val="22"/>
              </w:rPr>
              <w:t>7.</w:t>
            </w:r>
          </w:p>
        </w:tc>
        <w:tc>
          <w:tcPr>
            <w:tcW w:w="2688" w:type="dxa"/>
          </w:tcPr>
          <w:p w:rsidR="005526CE" w:rsidRPr="003D12AB" w:rsidRDefault="005526CE" w:rsidP="00A0154D">
            <w:pPr>
              <w:spacing w:after="0" w:line="240" w:lineRule="auto"/>
              <w:rPr>
                <w:rFonts w:ascii="Times New Roman" w:hAnsi="Times New Roman"/>
                <w:lang w:eastAsia="lv-LV"/>
              </w:rPr>
            </w:pPr>
            <w:r w:rsidRPr="003D12AB">
              <w:rPr>
                <w:rFonts w:ascii="Times New Roman" w:hAnsi="Times New Roman"/>
                <w:lang w:eastAsia="lv-LV"/>
              </w:rPr>
              <w:t>Cita informācija</w:t>
            </w:r>
          </w:p>
        </w:tc>
        <w:tc>
          <w:tcPr>
            <w:tcW w:w="6525" w:type="dxa"/>
          </w:tcPr>
          <w:p w:rsidR="005526CE" w:rsidRPr="003D12AB" w:rsidRDefault="005526CE" w:rsidP="00A0154D">
            <w:pPr>
              <w:spacing w:after="0" w:line="240" w:lineRule="auto"/>
              <w:rPr>
                <w:rFonts w:ascii="Times New Roman" w:hAnsi="Times New Roman"/>
                <w:lang w:eastAsia="lv-LV"/>
              </w:rPr>
            </w:pPr>
            <w:r w:rsidRPr="003D12AB">
              <w:rPr>
                <w:rFonts w:ascii="Times New Roman" w:hAnsi="Times New Roman"/>
                <w:lang w:eastAsia="lv-LV"/>
              </w:rPr>
              <w:t>Nav.</w:t>
            </w:r>
          </w:p>
        </w:tc>
      </w:tr>
      <w:tr w:rsidR="003D12AB" w:rsidRPr="003D12AB" w:rsidTr="004F70FC">
        <w:trPr>
          <w:trHeight w:val="324"/>
        </w:trPr>
        <w:tc>
          <w:tcPr>
            <w:tcW w:w="431" w:type="dxa"/>
            <w:tcBorders>
              <w:left w:val="single" w:sz="4" w:space="0" w:color="FFFFFF"/>
              <w:bottom w:val="single" w:sz="4" w:space="0" w:color="FFFFFF"/>
              <w:right w:val="single" w:sz="4" w:space="0" w:color="FFFFFF"/>
            </w:tcBorders>
          </w:tcPr>
          <w:p w:rsidR="005526CE" w:rsidRPr="003D12AB" w:rsidRDefault="005526CE" w:rsidP="00A0154D">
            <w:pPr>
              <w:pStyle w:val="naiskr"/>
              <w:spacing w:before="0" w:after="0"/>
              <w:rPr>
                <w:sz w:val="22"/>
                <w:szCs w:val="22"/>
              </w:rPr>
            </w:pPr>
          </w:p>
          <w:p w:rsidR="005526CE" w:rsidRPr="003D12AB" w:rsidRDefault="005526CE" w:rsidP="00A0154D">
            <w:pPr>
              <w:pStyle w:val="naiskr"/>
              <w:spacing w:before="0" w:after="0"/>
              <w:rPr>
                <w:sz w:val="22"/>
                <w:szCs w:val="22"/>
              </w:rPr>
            </w:pPr>
          </w:p>
          <w:p w:rsidR="005526CE" w:rsidRPr="003D12AB" w:rsidRDefault="005526CE" w:rsidP="00A0154D">
            <w:pPr>
              <w:pStyle w:val="naiskr"/>
              <w:spacing w:before="0" w:after="0"/>
              <w:rPr>
                <w:sz w:val="22"/>
                <w:szCs w:val="22"/>
              </w:rPr>
            </w:pPr>
          </w:p>
        </w:tc>
        <w:tc>
          <w:tcPr>
            <w:tcW w:w="2688" w:type="dxa"/>
            <w:tcBorders>
              <w:left w:val="single" w:sz="4" w:space="0" w:color="FFFFFF"/>
              <w:bottom w:val="single" w:sz="4" w:space="0" w:color="FFFFFF"/>
              <w:right w:val="single" w:sz="4" w:space="0" w:color="FFFFFF"/>
            </w:tcBorders>
          </w:tcPr>
          <w:p w:rsidR="005526CE" w:rsidRPr="003D12AB" w:rsidRDefault="005526CE" w:rsidP="00A0154D">
            <w:pPr>
              <w:spacing w:after="0" w:line="240" w:lineRule="auto"/>
              <w:rPr>
                <w:rFonts w:ascii="Times New Roman" w:hAnsi="Times New Roman"/>
                <w:lang w:eastAsia="lv-LV"/>
              </w:rPr>
            </w:pPr>
          </w:p>
          <w:p w:rsidR="005526CE" w:rsidRPr="003D12AB" w:rsidRDefault="005526CE" w:rsidP="00A0154D">
            <w:pPr>
              <w:spacing w:after="0" w:line="240" w:lineRule="auto"/>
              <w:rPr>
                <w:rFonts w:ascii="Times New Roman" w:hAnsi="Times New Roman"/>
                <w:lang w:eastAsia="lv-LV"/>
              </w:rPr>
            </w:pPr>
          </w:p>
        </w:tc>
        <w:tc>
          <w:tcPr>
            <w:tcW w:w="6525" w:type="dxa"/>
            <w:tcBorders>
              <w:left w:val="single" w:sz="4" w:space="0" w:color="FFFFFF"/>
              <w:bottom w:val="single" w:sz="4" w:space="0" w:color="FFFFFF"/>
              <w:right w:val="single" w:sz="4" w:space="0" w:color="FFFFFF"/>
            </w:tcBorders>
          </w:tcPr>
          <w:p w:rsidR="0052290A" w:rsidRPr="003D12AB" w:rsidRDefault="0052290A" w:rsidP="005261D0">
            <w:pPr>
              <w:spacing w:after="0" w:line="240" w:lineRule="auto"/>
              <w:rPr>
                <w:rFonts w:ascii="Times New Roman" w:hAnsi="Times New Roman"/>
                <w:lang w:eastAsia="lv-LV"/>
              </w:rPr>
            </w:pPr>
          </w:p>
        </w:tc>
      </w:tr>
    </w:tbl>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1"/>
        <w:gridCol w:w="1056"/>
        <w:gridCol w:w="1272"/>
        <w:gridCol w:w="1271"/>
        <w:gridCol w:w="1223"/>
        <w:gridCol w:w="1327"/>
      </w:tblGrid>
      <w:tr w:rsidR="003D12AB" w:rsidRPr="003D12AB" w:rsidTr="004F70FC">
        <w:tc>
          <w:tcPr>
            <w:tcW w:w="9640" w:type="dxa"/>
            <w:gridSpan w:val="6"/>
          </w:tcPr>
          <w:p w:rsidR="005526CE" w:rsidRPr="00843EA4" w:rsidRDefault="005526CE">
            <w:pPr>
              <w:pStyle w:val="tvhtml1"/>
              <w:spacing w:before="0" w:beforeAutospacing="0" w:line="240" w:lineRule="auto"/>
              <w:jc w:val="center"/>
              <w:rPr>
                <w:rFonts w:ascii="Times New Roman" w:hAnsi="Times New Roman"/>
                <w:sz w:val="22"/>
                <w:szCs w:val="22"/>
              </w:rPr>
            </w:pPr>
            <w:r w:rsidRPr="00843EA4">
              <w:rPr>
                <w:rFonts w:ascii="Times New Roman" w:hAnsi="Times New Roman"/>
                <w:b/>
                <w:bCs/>
                <w:sz w:val="22"/>
                <w:szCs w:val="22"/>
              </w:rPr>
              <w:t>III. Tiesību akta projekta ietekme uz valsts budžetu un pašvaldību budžetiem</w:t>
            </w:r>
          </w:p>
        </w:tc>
      </w:tr>
      <w:tr w:rsidR="003D12AB" w:rsidRPr="003D12AB" w:rsidTr="004F70FC">
        <w:tc>
          <w:tcPr>
            <w:tcW w:w="3491" w:type="dxa"/>
            <w:vMerge w:val="restart"/>
            <w:vAlign w:val="center"/>
          </w:tcPr>
          <w:p w:rsidR="005526CE" w:rsidRPr="00843EA4" w:rsidRDefault="005526CE">
            <w:pPr>
              <w:pStyle w:val="tvhtml1"/>
              <w:spacing w:before="0" w:beforeAutospacing="0" w:line="240" w:lineRule="auto"/>
              <w:jc w:val="center"/>
              <w:rPr>
                <w:rFonts w:ascii="Times New Roman" w:hAnsi="Times New Roman"/>
                <w:sz w:val="22"/>
                <w:szCs w:val="22"/>
              </w:rPr>
            </w:pPr>
            <w:r w:rsidRPr="00843EA4">
              <w:rPr>
                <w:rFonts w:ascii="Times New Roman" w:hAnsi="Times New Roman"/>
                <w:b/>
                <w:bCs/>
                <w:sz w:val="22"/>
                <w:szCs w:val="22"/>
              </w:rPr>
              <w:t>Rādītāji</w:t>
            </w:r>
          </w:p>
        </w:tc>
        <w:tc>
          <w:tcPr>
            <w:tcW w:w="2328" w:type="dxa"/>
            <w:gridSpan w:val="2"/>
            <w:vMerge w:val="restart"/>
            <w:vAlign w:val="center"/>
          </w:tcPr>
          <w:p w:rsidR="005526CE" w:rsidRPr="00843EA4" w:rsidRDefault="00317127" w:rsidP="00317127">
            <w:pPr>
              <w:pStyle w:val="tvhtml1"/>
              <w:spacing w:before="0" w:beforeAutospacing="0" w:line="240" w:lineRule="auto"/>
              <w:jc w:val="center"/>
              <w:rPr>
                <w:rFonts w:ascii="Times New Roman" w:hAnsi="Times New Roman"/>
                <w:sz w:val="22"/>
                <w:szCs w:val="22"/>
              </w:rPr>
            </w:pPr>
            <w:r w:rsidRPr="00843EA4">
              <w:rPr>
                <w:rFonts w:ascii="Times New Roman" w:hAnsi="Times New Roman"/>
                <w:b/>
                <w:bCs/>
                <w:sz w:val="22"/>
                <w:szCs w:val="22"/>
              </w:rPr>
              <w:t xml:space="preserve">2013. </w:t>
            </w:r>
            <w:r w:rsidR="005526CE" w:rsidRPr="00843EA4">
              <w:rPr>
                <w:rFonts w:ascii="Times New Roman" w:hAnsi="Times New Roman"/>
                <w:b/>
                <w:bCs/>
                <w:sz w:val="22"/>
                <w:szCs w:val="22"/>
              </w:rPr>
              <w:t>gads</w:t>
            </w:r>
          </w:p>
        </w:tc>
        <w:tc>
          <w:tcPr>
            <w:tcW w:w="3821" w:type="dxa"/>
            <w:gridSpan w:val="3"/>
            <w:vAlign w:val="center"/>
          </w:tcPr>
          <w:p w:rsidR="005526CE" w:rsidRPr="00843EA4" w:rsidRDefault="005924B1">
            <w:pPr>
              <w:pStyle w:val="tvhtml1"/>
              <w:spacing w:before="0" w:beforeAutospacing="0" w:line="240" w:lineRule="auto"/>
              <w:jc w:val="center"/>
              <w:rPr>
                <w:rFonts w:ascii="Times New Roman" w:hAnsi="Times New Roman"/>
                <w:sz w:val="22"/>
                <w:szCs w:val="22"/>
              </w:rPr>
            </w:pPr>
            <w:r>
              <w:rPr>
                <w:rFonts w:ascii="Times New Roman" w:hAnsi="Times New Roman"/>
                <w:sz w:val="22"/>
                <w:szCs w:val="22"/>
              </w:rPr>
              <w:t>Turpmākie trīs gadi tūkst. latu ( tūkst. EUR)</w:t>
            </w:r>
          </w:p>
        </w:tc>
      </w:tr>
      <w:tr w:rsidR="003D12AB" w:rsidRPr="003D12AB" w:rsidTr="004F70FC">
        <w:tc>
          <w:tcPr>
            <w:tcW w:w="3491" w:type="dxa"/>
            <w:vMerge/>
            <w:vAlign w:val="center"/>
          </w:tcPr>
          <w:p w:rsidR="005526CE" w:rsidRPr="00843EA4" w:rsidRDefault="005526CE">
            <w:pPr>
              <w:spacing w:after="0" w:line="240" w:lineRule="auto"/>
              <w:rPr>
                <w:rFonts w:ascii="Times New Roman" w:hAnsi="Times New Roman"/>
                <w:lang w:eastAsia="lv-LV"/>
              </w:rPr>
            </w:pPr>
          </w:p>
        </w:tc>
        <w:tc>
          <w:tcPr>
            <w:tcW w:w="2328" w:type="dxa"/>
            <w:gridSpan w:val="2"/>
            <w:vMerge/>
            <w:vAlign w:val="center"/>
          </w:tcPr>
          <w:p w:rsidR="005526CE" w:rsidRPr="00843EA4" w:rsidRDefault="005526CE">
            <w:pPr>
              <w:spacing w:after="0" w:line="240" w:lineRule="auto"/>
              <w:rPr>
                <w:rFonts w:ascii="Times New Roman" w:hAnsi="Times New Roman"/>
                <w:lang w:eastAsia="lv-LV"/>
              </w:rPr>
            </w:pPr>
          </w:p>
        </w:tc>
        <w:tc>
          <w:tcPr>
            <w:tcW w:w="1271" w:type="dxa"/>
            <w:vAlign w:val="center"/>
          </w:tcPr>
          <w:p w:rsidR="005526CE" w:rsidRPr="00843EA4" w:rsidRDefault="00317127">
            <w:pPr>
              <w:pStyle w:val="tvhtml1"/>
              <w:spacing w:before="0" w:beforeAutospacing="0" w:line="240" w:lineRule="auto"/>
              <w:jc w:val="center"/>
              <w:rPr>
                <w:rFonts w:ascii="Times New Roman" w:hAnsi="Times New Roman"/>
                <w:sz w:val="22"/>
                <w:szCs w:val="22"/>
              </w:rPr>
            </w:pPr>
            <w:r w:rsidRPr="00843EA4">
              <w:rPr>
                <w:rFonts w:ascii="Times New Roman" w:hAnsi="Times New Roman"/>
                <w:b/>
                <w:bCs/>
                <w:sz w:val="22"/>
                <w:szCs w:val="22"/>
              </w:rPr>
              <w:t>2014.</w:t>
            </w:r>
          </w:p>
        </w:tc>
        <w:tc>
          <w:tcPr>
            <w:tcW w:w="1223" w:type="dxa"/>
            <w:vAlign w:val="center"/>
          </w:tcPr>
          <w:p w:rsidR="005526CE" w:rsidRPr="00843EA4" w:rsidRDefault="00317127">
            <w:pPr>
              <w:pStyle w:val="tvhtml1"/>
              <w:spacing w:before="0" w:beforeAutospacing="0" w:line="240" w:lineRule="auto"/>
              <w:jc w:val="center"/>
              <w:rPr>
                <w:rFonts w:ascii="Times New Roman" w:hAnsi="Times New Roman"/>
                <w:sz w:val="22"/>
                <w:szCs w:val="22"/>
              </w:rPr>
            </w:pPr>
            <w:r w:rsidRPr="00843EA4">
              <w:rPr>
                <w:rFonts w:ascii="Times New Roman" w:hAnsi="Times New Roman"/>
                <w:b/>
                <w:bCs/>
                <w:sz w:val="22"/>
                <w:szCs w:val="22"/>
              </w:rPr>
              <w:t>2015.</w:t>
            </w:r>
          </w:p>
        </w:tc>
        <w:tc>
          <w:tcPr>
            <w:tcW w:w="1327" w:type="dxa"/>
            <w:vAlign w:val="center"/>
          </w:tcPr>
          <w:p w:rsidR="005526CE" w:rsidRPr="00843EA4" w:rsidRDefault="00317127">
            <w:pPr>
              <w:pStyle w:val="tvhtml1"/>
              <w:spacing w:before="0" w:beforeAutospacing="0" w:line="240" w:lineRule="auto"/>
              <w:jc w:val="center"/>
              <w:rPr>
                <w:rFonts w:ascii="Times New Roman" w:hAnsi="Times New Roman"/>
                <w:sz w:val="22"/>
                <w:szCs w:val="22"/>
              </w:rPr>
            </w:pPr>
            <w:r w:rsidRPr="00843EA4">
              <w:rPr>
                <w:rFonts w:ascii="Times New Roman" w:hAnsi="Times New Roman"/>
                <w:b/>
                <w:bCs/>
                <w:sz w:val="22"/>
                <w:szCs w:val="22"/>
              </w:rPr>
              <w:t>2016.</w:t>
            </w:r>
          </w:p>
        </w:tc>
      </w:tr>
      <w:tr w:rsidR="003D12AB" w:rsidRPr="003D12AB" w:rsidTr="004F70FC">
        <w:tc>
          <w:tcPr>
            <w:tcW w:w="3491" w:type="dxa"/>
            <w:vMerge/>
            <w:vAlign w:val="center"/>
          </w:tcPr>
          <w:p w:rsidR="005526CE" w:rsidRPr="00843EA4" w:rsidRDefault="005526CE">
            <w:pPr>
              <w:spacing w:after="0" w:line="240" w:lineRule="auto"/>
              <w:rPr>
                <w:rFonts w:ascii="Times New Roman" w:hAnsi="Times New Roman"/>
                <w:lang w:eastAsia="lv-LV"/>
              </w:rPr>
            </w:pPr>
          </w:p>
        </w:tc>
        <w:tc>
          <w:tcPr>
            <w:tcW w:w="1056" w:type="dxa"/>
            <w:vAlign w:val="center"/>
          </w:tcPr>
          <w:p w:rsidR="005526CE" w:rsidRPr="00843EA4" w:rsidRDefault="005526CE">
            <w:pPr>
              <w:pStyle w:val="tvhtml1"/>
              <w:spacing w:before="0" w:beforeAutospacing="0" w:line="240" w:lineRule="auto"/>
              <w:jc w:val="center"/>
              <w:rPr>
                <w:rFonts w:ascii="Times New Roman" w:hAnsi="Times New Roman"/>
                <w:sz w:val="22"/>
                <w:szCs w:val="22"/>
              </w:rPr>
            </w:pPr>
            <w:r w:rsidRPr="00843EA4">
              <w:rPr>
                <w:rFonts w:ascii="Times New Roman" w:hAnsi="Times New Roman"/>
                <w:sz w:val="22"/>
                <w:szCs w:val="22"/>
              </w:rPr>
              <w:t>Saskaņā ar valsts budžetu kārtējam gadam</w:t>
            </w:r>
          </w:p>
        </w:tc>
        <w:tc>
          <w:tcPr>
            <w:tcW w:w="1272" w:type="dxa"/>
            <w:vAlign w:val="center"/>
          </w:tcPr>
          <w:p w:rsidR="005526CE" w:rsidRPr="00843EA4" w:rsidRDefault="005526CE">
            <w:pPr>
              <w:pStyle w:val="tvhtml1"/>
              <w:spacing w:before="0" w:beforeAutospacing="0" w:line="240" w:lineRule="auto"/>
              <w:jc w:val="center"/>
              <w:rPr>
                <w:rFonts w:ascii="Times New Roman" w:hAnsi="Times New Roman"/>
                <w:sz w:val="22"/>
                <w:szCs w:val="22"/>
              </w:rPr>
            </w:pPr>
            <w:r w:rsidRPr="00843EA4">
              <w:rPr>
                <w:rFonts w:ascii="Times New Roman" w:hAnsi="Times New Roman"/>
                <w:sz w:val="22"/>
                <w:szCs w:val="22"/>
              </w:rPr>
              <w:t>Izmaiņas kārtējā gadā, salīdzinot ar budžetu kārtējam gadam</w:t>
            </w:r>
          </w:p>
        </w:tc>
        <w:tc>
          <w:tcPr>
            <w:tcW w:w="1271" w:type="dxa"/>
            <w:vAlign w:val="center"/>
          </w:tcPr>
          <w:p w:rsidR="005526CE" w:rsidRPr="00843EA4" w:rsidRDefault="005526CE">
            <w:pPr>
              <w:pStyle w:val="tvhtml1"/>
              <w:spacing w:before="0" w:beforeAutospacing="0" w:line="240" w:lineRule="auto"/>
              <w:jc w:val="center"/>
              <w:rPr>
                <w:rFonts w:ascii="Times New Roman" w:hAnsi="Times New Roman"/>
                <w:sz w:val="22"/>
                <w:szCs w:val="22"/>
              </w:rPr>
            </w:pPr>
            <w:r w:rsidRPr="00843EA4">
              <w:rPr>
                <w:rFonts w:ascii="Times New Roman" w:hAnsi="Times New Roman"/>
                <w:sz w:val="22"/>
                <w:szCs w:val="22"/>
              </w:rPr>
              <w:t>Izmaiņas, salīdzinot ar kārtējo (n) gadu</w:t>
            </w:r>
          </w:p>
        </w:tc>
        <w:tc>
          <w:tcPr>
            <w:tcW w:w="1223" w:type="dxa"/>
            <w:vAlign w:val="center"/>
          </w:tcPr>
          <w:p w:rsidR="005526CE" w:rsidRPr="00843EA4" w:rsidRDefault="005526CE">
            <w:pPr>
              <w:pStyle w:val="tvhtml1"/>
              <w:spacing w:before="0" w:beforeAutospacing="0" w:line="240" w:lineRule="auto"/>
              <w:jc w:val="center"/>
              <w:rPr>
                <w:rFonts w:ascii="Times New Roman" w:hAnsi="Times New Roman"/>
                <w:sz w:val="22"/>
                <w:szCs w:val="22"/>
              </w:rPr>
            </w:pPr>
            <w:r w:rsidRPr="00843EA4">
              <w:rPr>
                <w:rFonts w:ascii="Times New Roman" w:hAnsi="Times New Roman"/>
                <w:sz w:val="22"/>
                <w:szCs w:val="22"/>
              </w:rPr>
              <w:t>Izmaiņas, salīdzinot ar kārtējo (n) gadu</w:t>
            </w:r>
          </w:p>
        </w:tc>
        <w:tc>
          <w:tcPr>
            <w:tcW w:w="1327" w:type="dxa"/>
            <w:vAlign w:val="center"/>
          </w:tcPr>
          <w:p w:rsidR="005526CE" w:rsidRPr="00843EA4" w:rsidRDefault="005526CE">
            <w:pPr>
              <w:pStyle w:val="tvhtml1"/>
              <w:spacing w:before="0" w:beforeAutospacing="0" w:line="240" w:lineRule="auto"/>
              <w:jc w:val="center"/>
              <w:rPr>
                <w:rFonts w:ascii="Times New Roman" w:hAnsi="Times New Roman"/>
                <w:sz w:val="22"/>
                <w:szCs w:val="22"/>
              </w:rPr>
            </w:pPr>
            <w:r w:rsidRPr="00843EA4">
              <w:rPr>
                <w:rFonts w:ascii="Times New Roman" w:hAnsi="Times New Roman"/>
                <w:sz w:val="22"/>
                <w:szCs w:val="22"/>
              </w:rPr>
              <w:t>Izmaiņas, salīdzinot ar kārtējo (n) gadu</w:t>
            </w:r>
          </w:p>
        </w:tc>
      </w:tr>
      <w:tr w:rsidR="003D12AB" w:rsidRPr="003D12AB" w:rsidTr="004F70FC">
        <w:tc>
          <w:tcPr>
            <w:tcW w:w="3491" w:type="dxa"/>
            <w:vAlign w:val="center"/>
          </w:tcPr>
          <w:p w:rsidR="005526CE" w:rsidRPr="00843EA4" w:rsidRDefault="005526CE">
            <w:pPr>
              <w:pStyle w:val="tvhtml1"/>
              <w:spacing w:before="0" w:beforeAutospacing="0" w:line="240" w:lineRule="auto"/>
              <w:jc w:val="center"/>
              <w:rPr>
                <w:rFonts w:ascii="Times New Roman" w:hAnsi="Times New Roman"/>
                <w:sz w:val="22"/>
                <w:szCs w:val="22"/>
              </w:rPr>
            </w:pPr>
            <w:r w:rsidRPr="00843EA4">
              <w:rPr>
                <w:rFonts w:ascii="Times New Roman" w:hAnsi="Times New Roman"/>
                <w:sz w:val="22"/>
                <w:szCs w:val="22"/>
              </w:rPr>
              <w:t>1</w:t>
            </w:r>
          </w:p>
        </w:tc>
        <w:tc>
          <w:tcPr>
            <w:tcW w:w="1056" w:type="dxa"/>
            <w:vAlign w:val="center"/>
          </w:tcPr>
          <w:p w:rsidR="005526CE" w:rsidRPr="00843EA4" w:rsidRDefault="005526CE">
            <w:pPr>
              <w:pStyle w:val="tvhtml1"/>
              <w:spacing w:before="0" w:beforeAutospacing="0" w:line="240" w:lineRule="auto"/>
              <w:jc w:val="center"/>
              <w:rPr>
                <w:rFonts w:ascii="Times New Roman" w:hAnsi="Times New Roman"/>
                <w:sz w:val="22"/>
                <w:szCs w:val="22"/>
              </w:rPr>
            </w:pPr>
            <w:r w:rsidRPr="00843EA4">
              <w:rPr>
                <w:rFonts w:ascii="Times New Roman" w:hAnsi="Times New Roman"/>
                <w:sz w:val="22"/>
                <w:szCs w:val="22"/>
              </w:rPr>
              <w:t>2</w:t>
            </w:r>
          </w:p>
        </w:tc>
        <w:tc>
          <w:tcPr>
            <w:tcW w:w="1272" w:type="dxa"/>
            <w:vAlign w:val="center"/>
          </w:tcPr>
          <w:p w:rsidR="005526CE" w:rsidRPr="00843EA4" w:rsidRDefault="005526CE">
            <w:pPr>
              <w:pStyle w:val="tvhtml1"/>
              <w:spacing w:before="0" w:beforeAutospacing="0" w:line="240" w:lineRule="auto"/>
              <w:jc w:val="center"/>
              <w:rPr>
                <w:rFonts w:ascii="Times New Roman" w:hAnsi="Times New Roman"/>
                <w:sz w:val="22"/>
                <w:szCs w:val="22"/>
              </w:rPr>
            </w:pPr>
            <w:r w:rsidRPr="00843EA4">
              <w:rPr>
                <w:rFonts w:ascii="Times New Roman" w:hAnsi="Times New Roman"/>
                <w:sz w:val="22"/>
                <w:szCs w:val="22"/>
              </w:rPr>
              <w:t>3</w:t>
            </w:r>
          </w:p>
        </w:tc>
        <w:tc>
          <w:tcPr>
            <w:tcW w:w="1271" w:type="dxa"/>
            <w:vAlign w:val="center"/>
          </w:tcPr>
          <w:p w:rsidR="005526CE" w:rsidRPr="00843EA4" w:rsidRDefault="005526CE">
            <w:pPr>
              <w:pStyle w:val="tvhtml1"/>
              <w:spacing w:before="0" w:beforeAutospacing="0" w:line="240" w:lineRule="auto"/>
              <w:jc w:val="center"/>
              <w:rPr>
                <w:rFonts w:ascii="Times New Roman" w:hAnsi="Times New Roman"/>
                <w:sz w:val="22"/>
                <w:szCs w:val="22"/>
              </w:rPr>
            </w:pPr>
            <w:r w:rsidRPr="00843EA4">
              <w:rPr>
                <w:rFonts w:ascii="Times New Roman" w:hAnsi="Times New Roman"/>
                <w:sz w:val="22"/>
                <w:szCs w:val="22"/>
              </w:rPr>
              <w:t>4</w:t>
            </w:r>
          </w:p>
        </w:tc>
        <w:tc>
          <w:tcPr>
            <w:tcW w:w="1223" w:type="dxa"/>
            <w:vAlign w:val="center"/>
          </w:tcPr>
          <w:p w:rsidR="005526CE" w:rsidRPr="00843EA4" w:rsidRDefault="005526CE">
            <w:pPr>
              <w:pStyle w:val="tvhtml1"/>
              <w:spacing w:before="0" w:beforeAutospacing="0" w:line="240" w:lineRule="auto"/>
              <w:jc w:val="center"/>
              <w:rPr>
                <w:rFonts w:ascii="Times New Roman" w:hAnsi="Times New Roman"/>
                <w:sz w:val="22"/>
                <w:szCs w:val="22"/>
              </w:rPr>
            </w:pPr>
            <w:r w:rsidRPr="00843EA4">
              <w:rPr>
                <w:rFonts w:ascii="Times New Roman" w:hAnsi="Times New Roman"/>
                <w:sz w:val="22"/>
                <w:szCs w:val="22"/>
              </w:rPr>
              <w:t>5</w:t>
            </w:r>
          </w:p>
        </w:tc>
        <w:tc>
          <w:tcPr>
            <w:tcW w:w="1327" w:type="dxa"/>
            <w:vAlign w:val="center"/>
          </w:tcPr>
          <w:p w:rsidR="005526CE" w:rsidRPr="00843EA4" w:rsidRDefault="005526CE">
            <w:pPr>
              <w:pStyle w:val="tvhtml1"/>
              <w:spacing w:before="0" w:beforeAutospacing="0" w:line="240" w:lineRule="auto"/>
              <w:jc w:val="center"/>
              <w:rPr>
                <w:rFonts w:ascii="Times New Roman" w:hAnsi="Times New Roman"/>
                <w:sz w:val="22"/>
                <w:szCs w:val="22"/>
              </w:rPr>
            </w:pPr>
            <w:r w:rsidRPr="00843EA4">
              <w:rPr>
                <w:rFonts w:ascii="Times New Roman" w:hAnsi="Times New Roman"/>
                <w:sz w:val="22"/>
                <w:szCs w:val="22"/>
              </w:rPr>
              <w:t>6</w:t>
            </w:r>
          </w:p>
        </w:tc>
      </w:tr>
      <w:tr w:rsidR="003D12AB" w:rsidRPr="003D12AB" w:rsidTr="004F70FC">
        <w:tc>
          <w:tcPr>
            <w:tcW w:w="3491" w:type="dxa"/>
            <w:vAlign w:val="center"/>
          </w:tcPr>
          <w:p w:rsidR="005526CE" w:rsidRPr="00843EA4" w:rsidRDefault="005526CE">
            <w:pPr>
              <w:pStyle w:val="tvhtml1"/>
              <w:spacing w:before="0" w:beforeAutospacing="0" w:line="240" w:lineRule="auto"/>
              <w:jc w:val="center"/>
              <w:rPr>
                <w:rFonts w:ascii="Times New Roman" w:hAnsi="Times New Roman"/>
                <w:sz w:val="22"/>
                <w:szCs w:val="22"/>
              </w:rPr>
            </w:pPr>
            <w:r w:rsidRPr="00843EA4">
              <w:rPr>
                <w:rFonts w:ascii="Times New Roman" w:hAnsi="Times New Roman"/>
                <w:sz w:val="22"/>
                <w:szCs w:val="22"/>
              </w:rPr>
              <w:t>1. Budžeta ieņēmumi:</w:t>
            </w:r>
          </w:p>
        </w:tc>
        <w:tc>
          <w:tcPr>
            <w:tcW w:w="1056" w:type="dxa"/>
            <w:vAlign w:val="center"/>
          </w:tcPr>
          <w:p w:rsidR="005526CE" w:rsidRPr="00843EA4" w:rsidRDefault="005526CE">
            <w:pPr>
              <w:pStyle w:val="tvhtml"/>
              <w:spacing w:before="0" w:beforeAutospacing="0" w:after="0" w:afterAutospacing="0"/>
              <w:jc w:val="center"/>
              <w:rPr>
                <w:rFonts w:ascii="Times New Roman" w:hAnsi="Times New Roman"/>
                <w:iCs/>
                <w:sz w:val="22"/>
                <w:szCs w:val="22"/>
              </w:rPr>
            </w:pPr>
          </w:p>
        </w:tc>
        <w:tc>
          <w:tcPr>
            <w:tcW w:w="1272" w:type="dxa"/>
            <w:vAlign w:val="center"/>
          </w:tcPr>
          <w:p w:rsidR="005526CE" w:rsidRPr="00843EA4" w:rsidRDefault="005526CE">
            <w:pPr>
              <w:pStyle w:val="tvhtml"/>
              <w:spacing w:before="0" w:beforeAutospacing="0" w:after="0" w:afterAutospacing="0"/>
              <w:jc w:val="center"/>
              <w:rPr>
                <w:rFonts w:ascii="Times New Roman" w:hAnsi="Times New Roman"/>
                <w:iCs/>
                <w:sz w:val="22"/>
                <w:szCs w:val="22"/>
              </w:rPr>
            </w:pPr>
          </w:p>
        </w:tc>
        <w:tc>
          <w:tcPr>
            <w:tcW w:w="1271" w:type="dxa"/>
            <w:vAlign w:val="center"/>
          </w:tcPr>
          <w:p w:rsidR="005526CE" w:rsidRDefault="00317127" w:rsidP="00317127">
            <w:pPr>
              <w:pStyle w:val="tvhtml"/>
              <w:spacing w:before="0" w:beforeAutospacing="0" w:after="0" w:afterAutospacing="0"/>
              <w:jc w:val="center"/>
              <w:rPr>
                <w:rFonts w:ascii="Times New Roman" w:hAnsi="Times New Roman"/>
                <w:iCs/>
                <w:sz w:val="22"/>
                <w:szCs w:val="22"/>
              </w:rPr>
            </w:pPr>
            <w:r w:rsidRPr="00843EA4">
              <w:rPr>
                <w:rFonts w:ascii="Times New Roman" w:hAnsi="Times New Roman"/>
                <w:iCs/>
                <w:sz w:val="22"/>
                <w:szCs w:val="22"/>
              </w:rPr>
              <w:t>+ 5,0</w:t>
            </w:r>
          </w:p>
          <w:p w:rsidR="005924B1" w:rsidRPr="00843EA4" w:rsidRDefault="005924B1" w:rsidP="005924B1">
            <w:pPr>
              <w:pStyle w:val="tvhtml"/>
              <w:spacing w:before="0" w:beforeAutospacing="0" w:after="0" w:afterAutospacing="0"/>
              <w:jc w:val="center"/>
              <w:rPr>
                <w:rFonts w:ascii="Times New Roman" w:hAnsi="Times New Roman"/>
                <w:iCs/>
                <w:sz w:val="22"/>
                <w:szCs w:val="22"/>
              </w:rPr>
            </w:pPr>
            <w:r>
              <w:rPr>
                <w:rFonts w:ascii="Times New Roman" w:hAnsi="Times New Roman"/>
                <w:iCs/>
                <w:sz w:val="22"/>
                <w:szCs w:val="22"/>
              </w:rPr>
              <w:t>(+7,11</w:t>
            </w:r>
            <w:r w:rsidR="006C0B2F">
              <w:rPr>
                <w:rFonts w:ascii="Times New Roman" w:hAnsi="Times New Roman"/>
                <w:iCs/>
                <w:sz w:val="22"/>
                <w:szCs w:val="22"/>
              </w:rPr>
              <w:t xml:space="preserve"> euro</w:t>
            </w:r>
            <w:r>
              <w:rPr>
                <w:rFonts w:ascii="Times New Roman" w:hAnsi="Times New Roman"/>
                <w:iCs/>
                <w:sz w:val="22"/>
                <w:szCs w:val="22"/>
              </w:rPr>
              <w:t xml:space="preserve">) </w:t>
            </w:r>
          </w:p>
        </w:tc>
        <w:tc>
          <w:tcPr>
            <w:tcW w:w="1223" w:type="dxa"/>
            <w:vAlign w:val="center"/>
          </w:tcPr>
          <w:p w:rsidR="005526CE" w:rsidRDefault="00317127">
            <w:pPr>
              <w:pStyle w:val="tvhtml"/>
              <w:spacing w:before="0" w:beforeAutospacing="0" w:after="0" w:afterAutospacing="0"/>
              <w:jc w:val="center"/>
              <w:rPr>
                <w:rFonts w:ascii="Times New Roman" w:hAnsi="Times New Roman"/>
                <w:iCs/>
                <w:sz w:val="22"/>
                <w:szCs w:val="22"/>
              </w:rPr>
            </w:pPr>
            <w:r w:rsidRPr="00843EA4">
              <w:rPr>
                <w:rFonts w:ascii="Times New Roman" w:hAnsi="Times New Roman"/>
                <w:iCs/>
                <w:sz w:val="22"/>
                <w:szCs w:val="22"/>
              </w:rPr>
              <w:t>+ 6,7</w:t>
            </w:r>
          </w:p>
          <w:p w:rsidR="005924B1" w:rsidRPr="00843EA4" w:rsidRDefault="005924B1">
            <w:pPr>
              <w:pStyle w:val="tvhtml"/>
              <w:spacing w:before="0" w:beforeAutospacing="0" w:after="0" w:afterAutospacing="0"/>
              <w:jc w:val="center"/>
              <w:rPr>
                <w:rFonts w:ascii="Times New Roman" w:hAnsi="Times New Roman"/>
                <w:iCs/>
                <w:sz w:val="22"/>
                <w:szCs w:val="22"/>
              </w:rPr>
            </w:pPr>
            <w:r>
              <w:rPr>
                <w:rFonts w:ascii="Times New Roman" w:hAnsi="Times New Roman"/>
                <w:iCs/>
                <w:sz w:val="22"/>
                <w:szCs w:val="22"/>
              </w:rPr>
              <w:t>(+9,53</w:t>
            </w:r>
            <w:r w:rsidR="006C0B2F">
              <w:rPr>
                <w:rFonts w:ascii="Times New Roman" w:hAnsi="Times New Roman"/>
                <w:iCs/>
                <w:sz w:val="22"/>
                <w:szCs w:val="22"/>
              </w:rPr>
              <w:t xml:space="preserve"> euro</w:t>
            </w:r>
            <w:r>
              <w:rPr>
                <w:rFonts w:ascii="Times New Roman" w:hAnsi="Times New Roman"/>
                <w:iCs/>
                <w:sz w:val="22"/>
                <w:szCs w:val="22"/>
              </w:rPr>
              <w:t>)</w:t>
            </w:r>
          </w:p>
        </w:tc>
        <w:tc>
          <w:tcPr>
            <w:tcW w:w="1327" w:type="dxa"/>
            <w:vAlign w:val="center"/>
          </w:tcPr>
          <w:p w:rsidR="005526CE" w:rsidRDefault="00317127">
            <w:pPr>
              <w:pStyle w:val="tvhtml"/>
              <w:spacing w:before="0" w:beforeAutospacing="0" w:after="0" w:afterAutospacing="0"/>
              <w:jc w:val="center"/>
              <w:rPr>
                <w:rFonts w:ascii="Times New Roman" w:hAnsi="Times New Roman"/>
                <w:iCs/>
                <w:sz w:val="22"/>
                <w:szCs w:val="22"/>
              </w:rPr>
            </w:pPr>
            <w:r w:rsidRPr="00843EA4">
              <w:rPr>
                <w:rFonts w:ascii="Times New Roman" w:hAnsi="Times New Roman"/>
                <w:iCs/>
                <w:sz w:val="22"/>
                <w:szCs w:val="22"/>
              </w:rPr>
              <w:t>+ 6,7</w:t>
            </w:r>
          </w:p>
          <w:p w:rsidR="005924B1" w:rsidRPr="00843EA4" w:rsidRDefault="005924B1" w:rsidP="006C0B2F">
            <w:pPr>
              <w:pStyle w:val="tvhtml"/>
              <w:spacing w:before="0" w:beforeAutospacing="0" w:after="0" w:afterAutospacing="0"/>
              <w:jc w:val="center"/>
              <w:rPr>
                <w:rFonts w:ascii="Times New Roman" w:hAnsi="Times New Roman"/>
                <w:iCs/>
                <w:sz w:val="22"/>
                <w:szCs w:val="22"/>
              </w:rPr>
            </w:pPr>
            <w:r>
              <w:rPr>
                <w:rFonts w:ascii="Times New Roman" w:hAnsi="Times New Roman"/>
                <w:iCs/>
                <w:sz w:val="22"/>
                <w:szCs w:val="22"/>
              </w:rPr>
              <w:t>(+9,53</w:t>
            </w:r>
            <w:r w:rsidR="006C0B2F">
              <w:rPr>
                <w:rFonts w:ascii="Times New Roman" w:hAnsi="Times New Roman"/>
                <w:iCs/>
                <w:sz w:val="22"/>
                <w:szCs w:val="22"/>
              </w:rPr>
              <w:t xml:space="preserve"> euro</w:t>
            </w:r>
            <w:r>
              <w:rPr>
                <w:rFonts w:ascii="Times New Roman" w:hAnsi="Times New Roman"/>
                <w:iCs/>
                <w:sz w:val="22"/>
                <w:szCs w:val="22"/>
              </w:rPr>
              <w:t>)</w:t>
            </w:r>
          </w:p>
        </w:tc>
      </w:tr>
      <w:tr w:rsidR="005924B1" w:rsidRPr="003D12AB" w:rsidTr="004F70FC">
        <w:tc>
          <w:tcPr>
            <w:tcW w:w="3491" w:type="dxa"/>
            <w:vAlign w:val="center"/>
          </w:tcPr>
          <w:p w:rsidR="005924B1" w:rsidRPr="00843EA4" w:rsidRDefault="005924B1">
            <w:pPr>
              <w:pStyle w:val="tvhtml1"/>
              <w:spacing w:before="0" w:beforeAutospacing="0" w:line="240" w:lineRule="auto"/>
              <w:jc w:val="center"/>
              <w:rPr>
                <w:rFonts w:ascii="Times New Roman" w:hAnsi="Times New Roman"/>
                <w:sz w:val="22"/>
                <w:szCs w:val="22"/>
              </w:rPr>
            </w:pPr>
            <w:r w:rsidRPr="00843EA4">
              <w:rPr>
                <w:rFonts w:ascii="Times New Roman" w:hAnsi="Times New Roman"/>
                <w:sz w:val="22"/>
                <w:szCs w:val="22"/>
              </w:rPr>
              <w:t>1.1. valsts pamatbudžets, tai skaitā ieņēmumi no maksas pakalpojumiem un citi pašu ieņēmumi</w:t>
            </w:r>
          </w:p>
        </w:tc>
        <w:tc>
          <w:tcPr>
            <w:tcW w:w="1056" w:type="dxa"/>
            <w:vAlign w:val="center"/>
          </w:tcPr>
          <w:p w:rsidR="005924B1" w:rsidRPr="00843EA4" w:rsidRDefault="005924B1">
            <w:pPr>
              <w:pStyle w:val="tvhtml"/>
              <w:spacing w:before="0" w:beforeAutospacing="0" w:after="0" w:afterAutospacing="0"/>
              <w:jc w:val="center"/>
              <w:rPr>
                <w:rFonts w:ascii="Times New Roman" w:hAnsi="Times New Roman"/>
                <w:iCs/>
                <w:sz w:val="22"/>
                <w:szCs w:val="22"/>
              </w:rPr>
            </w:pPr>
          </w:p>
        </w:tc>
        <w:tc>
          <w:tcPr>
            <w:tcW w:w="1272" w:type="dxa"/>
            <w:vAlign w:val="center"/>
          </w:tcPr>
          <w:p w:rsidR="005924B1" w:rsidRPr="00843EA4" w:rsidRDefault="005924B1">
            <w:pPr>
              <w:pStyle w:val="tvhtml"/>
              <w:spacing w:before="0" w:beforeAutospacing="0" w:after="0" w:afterAutospacing="0"/>
              <w:jc w:val="center"/>
              <w:rPr>
                <w:rFonts w:ascii="Times New Roman" w:hAnsi="Times New Roman"/>
                <w:iCs/>
                <w:sz w:val="22"/>
                <w:szCs w:val="22"/>
              </w:rPr>
            </w:pPr>
          </w:p>
        </w:tc>
        <w:tc>
          <w:tcPr>
            <w:tcW w:w="1271" w:type="dxa"/>
            <w:vAlign w:val="center"/>
          </w:tcPr>
          <w:p w:rsidR="005924B1" w:rsidRDefault="005924B1" w:rsidP="00665D4B">
            <w:pPr>
              <w:pStyle w:val="tvhtml"/>
              <w:spacing w:before="0" w:beforeAutospacing="0" w:after="0" w:afterAutospacing="0"/>
              <w:jc w:val="center"/>
              <w:rPr>
                <w:rFonts w:ascii="Times New Roman" w:hAnsi="Times New Roman"/>
                <w:iCs/>
                <w:sz w:val="22"/>
                <w:szCs w:val="22"/>
              </w:rPr>
            </w:pPr>
            <w:r w:rsidRPr="00843EA4">
              <w:rPr>
                <w:rFonts w:ascii="Times New Roman" w:hAnsi="Times New Roman"/>
                <w:iCs/>
                <w:sz w:val="22"/>
                <w:szCs w:val="22"/>
              </w:rPr>
              <w:t>+ 5,0</w:t>
            </w:r>
          </w:p>
          <w:p w:rsidR="005924B1" w:rsidRPr="00843EA4" w:rsidRDefault="005924B1" w:rsidP="00665D4B">
            <w:pPr>
              <w:pStyle w:val="tvhtml"/>
              <w:spacing w:before="0" w:beforeAutospacing="0" w:after="0" w:afterAutospacing="0"/>
              <w:jc w:val="center"/>
              <w:rPr>
                <w:rFonts w:ascii="Times New Roman" w:hAnsi="Times New Roman"/>
                <w:iCs/>
                <w:sz w:val="22"/>
                <w:szCs w:val="22"/>
              </w:rPr>
            </w:pPr>
            <w:r>
              <w:rPr>
                <w:rFonts w:ascii="Times New Roman" w:hAnsi="Times New Roman"/>
                <w:iCs/>
                <w:sz w:val="22"/>
                <w:szCs w:val="22"/>
              </w:rPr>
              <w:t>(+7,11</w:t>
            </w:r>
            <w:r w:rsidR="006C0B2F">
              <w:rPr>
                <w:rFonts w:ascii="Times New Roman" w:hAnsi="Times New Roman"/>
                <w:iCs/>
                <w:sz w:val="22"/>
                <w:szCs w:val="22"/>
              </w:rPr>
              <w:t xml:space="preserve"> euro</w:t>
            </w:r>
            <w:r>
              <w:rPr>
                <w:rFonts w:ascii="Times New Roman" w:hAnsi="Times New Roman"/>
                <w:iCs/>
                <w:sz w:val="22"/>
                <w:szCs w:val="22"/>
              </w:rPr>
              <w:t xml:space="preserve">) </w:t>
            </w:r>
          </w:p>
        </w:tc>
        <w:tc>
          <w:tcPr>
            <w:tcW w:w="1223" w:type="dxa"/>
            <w:vAlign w:val="center"/>
          </w:tcPr>
          <w:p w:rsidR="005924B1" w:rsidRDefault="005924B1" w:rsidP="00665D4B">
            <w:pPr>
              <w:pStyle w:val="tvhtml"/>
              <w:spacing w:before="0" w:beforeAutospacing="0" w:after="0" w:afterAutospacing="0"/>
              <w:jc w:val="center"/>
              <w:rPr>
                <w:rFonts w:ascii="Times New Roman" w:hAnsi="Times New Roman"/>
                <w:iCs/>
                <w:sz w:val="22"/>
                <w:szCs w:val="22"/>
              </w:rPr>
            </w:pPr>
            <w:r w:rsidRPr="00843EA4">
              <w:rPr>
                <w:rFonts w:ascii="Times New Roman" w:hAnsi="Times New Roman"/>
                <w:iCs/>
                <w:sz w:val="22"/>
                <w:szCs w:val="22"/>
              </w:rPr>
              <w:t>+ 6,7</w:t>
            </w:r>
          </w:p>
          <w:p w:rsidR="005924B1" w:rsidRPr="00843EA4" w:rsidRDefault="005924B1" w:rsidP="00665D4B">
            <w:pPr>
              <w:pStyle w:val="tvhtml"/>
              <w:spacing w:before="0" w:beforeAutospacing="0" w:after="0" w:afterAutospacing="0"/>
              <w:jc w:val="center"/>
              <w:rPr>
                <w:rFonts w:ascii="Times New Roman" w:hAnsi="Times New Roman"/>
                <w:iCs/>
                <w:sz w:val="22"/>
                <w:szCs w:val="22"/>
              </w:rPr>
            </w:pPr>
            <w:r>
              <w:rPr>
                <w:rFonts w:ascii="Times New Roman" w:hAnsi="Times New Roman"/>
                <w:iCs/>
                <w:sz w:val="22"/>
                <w:szCs w:val="22"/>
              </w:rPr>
              <w:t>(+9,53</w:t>
            </w:r>
            <w:r w:rsidR="006C0B2F">
              <w:rPr>
                <w:rFonts w:ascii="Times New Roman" w:hAnsi="Times New Roman"/>
                <w:iCs/>
                <w:sz w:val="22"/>
                <w:szCs w:val="22"/>
              </w:rPr>
              <w:t xml:space="preserve"> euro</w:t>
            </w:r>
            <w:r>
              <w:rPr>
                <w:rFonts w:ascii="Times New Roman" w:hAnsi="Times New Roman"/>
                <w:iCs/>
                <w:sz w:val="22"/>
                <w:szCs w:val="22"/>
              </w:rPr>
              <w:t>)</w:t>
            </w:r>
          </w:p>
        </w:tc>
        <w:tc>
          <w:tcPr>
            <w:tcW w:w="1327" w:type="dxa"/>
            <w:vAlign w:val="center"/>
          </w:tcPr>
          <w:p w:rsidR="005924B1" w:rsidRDefault="005924B1" w:rsidP="00665D4B">
            <w:pPr>
              <w:pStyle w:val="tvhtml"/>
              <w:spacing w:before="0" w:beforeAutospacing="0" w:after="0" w:afterAutospacing="0"/>
              <w:jc w:val="center"/>
              <w:rPr>
                <w:rFonts w:ascii="Times New Roman" w:hAnsi="Times New Roman"/>
                <w:iCs/>
                <w:sz w:val="22"/>
                <w:szCs w:val="22"/>
              </w:rPr>
            </w:pPr>
            <w:r w:rsidRPr="00843EA4">
              <w:rPr>
                <w:rFonts w:ascii="Times New Roman" w:hAnsi="Times New Roman"/>
                <w:iCs/>
                <w:sz w:val="22"/>
                <w:szCs w:val="22"/>
              </w:rPr>
              <w:t>+ 6,7</w:t>
            </w:r>
          </w:p>
          <w:p w:rsidR="005924B1" w:rsidRPr="00843EA4" w:rsidRDefault="005924B1" w:rsidP="00665D4B">
            <w:pPr>
              <w:pStyle w:val="tvhtml"/>
              <w:spacing w:before="0" w:beforeAutospacing="0" w:after="0" w:afterAutospacing="0"/>
              <w:jc w:val="center"/>
              <w:rPr>
                <w:rFonts w:ascii="Times New Roman" w:hAnsi="Times New Roman"/>
                <w:iCs/>
                <w:sz w:val="22"/>
                <w:szCs w:val="22"/>
              </w:rPr>
            </w:pPr>
            <w:r>
              <w:rPr>
                <w:rFonts w:ascii="Times New Roman" w:hAnsi="Times New Roman"/>
                <w:iCs/>
                <w:sz w:val="22"/>
                <w:szCs w:val="22"/>
              </w:rPr>
              <w:t>(+9,53</w:t>
            </w:r>
            <w:r w:rsidR="006C0B2F">
              <w:rPr>
                <w:rFonts w:ascii="Times New Roman" w:hAnsi="Times New Roman"/>
                <w:iCs/>
                <w:sz w:val="22"/>
                <w:szCs w:val="22"/>
              </w:rPr>
              <w:t xml:space="preserve"> euro</w:t>
            </w:r>
            <w:r>
              <w:rPr>
                <w:rFonts w:ascii="Times New Roman" w:hAnsi="Times New Roman"/>
                <w:iCs/>
                <w:sz w:val="22"/>
                <w:szCs w:val="22"/>
              </w:rPr>
              <w:t>)</w:t>
            </w:r>
          </w:p>
        </w:tc>
      </w:tr>
      <w:tr w:rsidR="00317127" w:rsidRPr="003D12AB" w:rsidTr="004F70FC">
        <w:tc>
          <w:tcPr>
            <w:tcW w:w="3491" w:type="dxa"/>
            <w:vAlign w:val="center"/>
          </w:tcPr>
          <w:p w:rsidR="00317127" w:rsidRPr="00843EA4" w:rsidRDefault="00317127">
            <w:pPr>
              <w:pStyle w:val="tvhtml1"/>
              <w:spacing w:before="0" w:beforeAutospacing="0" w:line="240" w:lineRule="auto"/>
              <w:jc w:val="center"/>
              <w:rPr>
                <w:rFonts w:ascii="Times New Roman" w:hAnsi="Times New Roman"/>
                <w:sz w:val="22"/>
                <w:szCs w:val="22"/>
              </w:rPr>
            </w:pPr>
            <w:r w:rsidRPr="00843EA4">
              <w:rPr>
                <w:rFonts w:ascii="Times New Roman" w:hAnsi="Times New Roman"/>
                <w:sz w:val="22"/>
                <w:szCs w:val="22"/>
              </w:rPr>
              <w:t>1.2. valsts speciālais budžets</w:t>
            </w:r>
          </w:p>
        </w:tc>
        <w:tc>
          <w:tcPr>
            <w:tcW w:w="1056" w:type="dxa"/>
            <w:vAlign w:val="center"/>
          </w:tcPr>
          <w:p w:rsidR="00317127" w:rsidRPr="00843EA4" w:rsidRDefault="00317127">
            <w:pPr>
              <w:pStyle w:val="tvhtml"/>
              <w:spacing w:before="0" w:beforeAutospacing="0" w:after="0" w:afterAutospacing="0"/>
              <w:jc w:val="center"/>
              <w:rPr>
                <w:rFonts w:ascii="Times New Roman" w:hAnsi="Times New Roman"/>
                <w:iCs/>
                <w:sz w:val="22"/>
                <w:szCs w:val="22"/>
              </w:rPr>
            </w:pPr>
          </w:p>
        </w:tc>
        <w:tc>
          <w:tcPr>
            <w:tcW w:w="1272" w:type="dxa"/>
            <w:vAlign w:val="center"/>
          </w:tcPr>
          <w:p w:rsidR="00317127" w:rsidRPr="00843EA4" w:rsidRDefault="00317127">
            <w:pPr>
              <w:pStyle w:val="tvhtml"/>
              <w:spacing w:before="0" w:beforeAutospacing="0" w:after="0" w:afterAutospacing="0"/>
              <w:jc w:val="center"/>
              <w:rPr>
                <w:rFonts w:ascii="Times New Roman" w:hAnsi="Times New Roman"/>
                <w:iCs/>
                <w:sz w:val="22"/>
                <w:szCs w:val="22"/>
              </w:rPr>
            </w:pPr>
          </w:p>
        </w:tc>
        <w:tc>
          <w:tcPr>
            <w:tcW w:w="1271" w:type="dxa"/>
            <w:vAlign w:val="center"/>
          </w:tcPr>
          <w:p w:rsidR="00317127" w:rsidRPr="00843EA4" w:rsidRDefault="00317127">
            <w:pPr>
              <w:pStyle w:val="tvhtml"/>
              <w:spacing w:before="0" w:beforeAutospacing="0" w:after="0" w:afterAutospacing="0"/>
              <w:jc w:val="center"/>
              <w:rPr>
                <w:rFonts w:ascii="Times New Roman" w:hAnsi="Times New Roman"/>
                <w:iCs/>
                <w:sz w:val="22"/>
                <w:szCs w:val="22"/>
              </w:rPr>
            </w:pPr>
          </w:p>
        </w:tc>
        <w:tc>
          <w:tcPr>
            <w:tcW w:w="1223" w:type="dxa"/>
            <w:vAlign w:val="center"/>
          </w:tcPr>
          <w:p w:rsidR="00317127" w:rsidRPr="00843EA4" w:rsidRDefault="00317127">
            <w:pPr>
              <w:pStyle w:val="tvhtml"/>
              <w:spacing w:before="0" w:beforeAutospacing="0" w:after="0" w:afterAutospacing="0"/>
              <w:jc w:val="center"/>
              <w:rPr>
                <w:rFonts w:ascii="Times New Roman" w:hAnsi="Times New Roman"/>
                <w:iCs/>
                <w:sz w:val="22"/>
                <w:szCs w:val="22"/>
              </w:rPr>
            </w:pPr>
          </w:p>
        </w:tc>
        <w:tc>
          <w:tcPr>
            <w:tcW w:w="1327" w:type="dxa"/>
            <w:vAlign w:val="center"/>
          </w:tcPr>
          <w:p w:rsidR="00317127" w:rsidRPr="00843EA4" w:rsidRDefault="00317127">
            <w:pPr>
              <w:pStyle w:val="tvhtml"/>
              <w:spacing w:before="0" w:beforeAutospacing="0" w:after="0" w:afterAutospacing="0"/>
              <w:jc w:val="center"/>
              <w:rPr>
                <w:rFonts w:ascii="Times New Roman" w:hAnsi="Times New Roman"/>
                <w:iCs/>
                <w:sz w:val="22"/>
                <w:szCs w:val="22"/>
              </w:rPr>
            </w:pPr>
          </w:p>
        </w:tc>
      </w:tr>
      <w:tr w:rsidR="00317127" w:rsidRPr="003D12AB" w:rsidTr="004F70FC">
        <w:tc>
          <w:tcPr>
            <w:tcW w:w="3491" w:type="dxa"/>
            <w:vAlign w:val="center"/>
          </w:tcPr>
          <w:p w:rsidR="00317127" w:rsidRPr="00843EA4" w:rsidRDefault="00317127">
            <w:pPr>
              <w:pStyle w:val="tvhtml1"/>
              <w:spacing w:before="0" w:beforeAutospacing="0" w:line="240" w:lineRule="auto"/>
              <w:jc w:val="center"/>
              <w:rPr>
                <w:rFonts w:ascii="Times New Roman" w:hAnsi="Times New Roman"/>
                <w:sz w:val="22"/>
                <w:szCs w:val="22"/>
              </w:rPr>
            </w:pPr>
            <w:r w:rsidRPr="00843EA4">
              <w:rPr>
                <w:rFonts w:ascii="Times New Roman" w:hAnsi="Times New Roman"/>
                <w:sz w:val="22"/>
                <w:szCs w:val="22"/>
              </w:rPr>
              <w:t>1.3. pašvaldību budžets</w:t>
            </w:r>
          </w:p>
        </w:tc>
        <w:tc>
          <w:tcPr>
            <w:tcW w:w="1056" w:type="dxa"/>
            <w:vAlign w:val="center"/>
          </w:tcPr>
          <w:p w:rsidR="00317127" w:rsidRPr="00843EA4" w:rsidRDefault="00317127">
            <w:pPr>
              <w:pStyle w:val="tvhtml"/>
              <w:spacing w:before="0" w:beforeAutospacing="0" w:after="0" w:afterAutospacing="0"/>
              <w:jc w:val="center"/>
              <w:rPr>
                <w:rFonts w:ascii="Times New Roman" w:hAnsi="Times New Roman"/>
                <w:iCs/>
                <w:sz w:val="22"/>
                <w:szCs w:val="22"/>
              </w:rPr>
            </w:pPr>
          </w:p>
        </w:tc>
        <w:tc>
          <w:tcPr>
            <w:tcW w:w="1272" w:type="dxa"/>
            <w:vAlign w:val="center"/>
          </w:tcPr>
          <w:p w:rsidR="00317127" w:rsidRPr="00843EA4" w:rsidRDefault="00317127">
            <w:pPr>
              <w:pStyle w:val="tvhtml"/>
              <w:spacing w:before="0" w:beforeAutospacing="0" w:after="0" w:afterAutospacing="0"/>
              <w:jc w:val="center"/>
              <w:rPr>
                <w:rFonts w:ascii="Times New Roman" w:hAnsi="Times New Roman"/>
                <w:iCs/>
                <w:sz w:val="22"/>
                <w:szCs w:val="22"/>
              </w:rPr>
            </w:pPr>
          </w:p>
        </w:tc>
        <w:tc>
          <w:tcPr>
            <w:tcW w:w="1271" w:type="dxa"/>
            <w:vAlign w:val="center"/>
          </w:tcPr>
          <w:p w:rsidR="00317127" w:rsidRPr="00843EA4" w:rsidRDefault="00317127">
            <w:pPr>
              <w:pStyle w:val="tvhtml"/>
              <w:spacing w:before="0" w:beforeAutospacing="0" w:after="0" w:afterAutospacing="0"/>
              <w:jc w:val="center"/>
              <w:rPr>
                <w:rFonts w:ascii="Times New Roman" w:hAnsi="Times New Roman"/>
                <w:iCs/>
                <w:sz w:val="22"/>
                <w:szCs w:val="22"/>
              </w:rPr>
            </w:pPr>
          </w:p>
        </w:tc>
        <w:tc>
          <w:tcPr>
            <w:tcW w:w="1223" w:type="dxa"/>
            <w:vAlign w:val="center"/>
          </w:tcPr>
          <w:p w:rsidR="00317127" w:rsidRPr="00843EA4" w:rsidRDefault="00317127">
            <w:pPr>
              <w:pStyle w:val="tvhtml"/>
              <w:spacing w:before="0" w:beforeAutospacing="0" w:after="0" w:afterAutospacing="0"/>
              <w:jc w:val="center"/>
              <w:rPr>
                <w:rFonts w:ascii="Times New Roman" w:hAnsi="Times New Roman"/>
                <w:iCs/>
                <w:sz w:val="22"/>
                <w:szCs w:val="22"/>
              </w:rPr>
            </w:pPr>
          </w:p>
        </w:tc>
        <w:tc>
          <w:tcPr>
            <w:tcW w:w="1327" w:type="dxa"/>
            <w:vAlign w:val="center"/>
          </w:tcPr>
          <w:p w:rsidR="00317127" w:rsidRPr="00843EA4" w:rsidRDefault="00317127">
            <w:pPr>
              <w:pStyle w:val="tvhtml"/>
              <w:spacing w:before="0" w:beforeAutospacing="0" w:after="0" w:afterAutospacing="0"/>
              <w:jc w:val="center"/>
              <w:rPr>
                <w:rFonts w:ascii="Times New Roman" w:hAnsi="Times New Roman"/>
                <w:iCs/>
                <w:sz w:val="22"/>
                <w:szCs w:val="22"/>
              </w:rPr>
            </w:pPr>
          </w:p>
        </w:tc>
      </w:tr>
      <w:tr w:rsidR="00317127" w:rsidRPr="003D12AB" w:rsidTr="004F70FC">
        <w:tc>
          <w:tcPr>
            <w:tcW w:w="3491" w:type="dxa"/>
            <w:vAlign w:val="center"/>
          </w:tcPr>
          <w:p w:rsidR="00317127" w:rsidRPr="00843EA4" w:rsidRDefault="00317127">
            <w:pPr>
              <w:pStyle w:val="tvhtml1"/>
              <w:spacing w:before="0" w:beforeAutospacing="0" w:line="240" w:lineRule="auto"/>
              <w:jc w:val="center"/>
              <w:rPr>
                <w:rFonts w:ascii="Times New Roman" w:hAnsi="Times New Roman"/>
                <w:sz w:val="22"/>
                <w:szCs w:val="22"/>
              </w:rPr>
            </w:pPr>
            <w:r w:rsidRPr="00843EA4">
              <w:rPr>
                <w:rFonts w:ascii="Times New Roman" w:hAnsi="Times New Roman"/>
                <w:sz w:val="22"/>
                <w:szCs w:val="22"/>
              </w:rPr>
              <w:t>2. Budžeta izdevumi:</w:t>
            </w:r>
          </w:p>
        </w:tc>
        <w:tc>
          <w:tcPr>
            <w:tcW w:w="1056" w:type="dxa"/>
            <w:vAlign w:val="center"/>
          </w:tcPr>
          <w:p w:rsidR="00317127" w:rsidRPr="00843EA4" w:rsidRDefault="00317127">
            <w:pPr>
              <w:pStyle w:val="tvhtml"/>
              <w:spacing w:before="0" w:beforeAutospacing="0" w:after="0" w:afterAutospacing="0"/>
              <w:jc w:val="center"/>
              <w:rPr>
                <w:rFonts w:ascii="Times New Roman" w:hAnsi="Times New Roman"/>
                <w:iCs/>
                <w:sz w:val="22"/>
                <w:szCs w:val="22"/>
              </w:rPr>
            </w:pPr>
          </w:p>
        </w:tc>
        <w:tc>
          <w:tcPr>
            <w:tcW w:w="1272" w:type="dxa"/>
            <w:vAlign w:val="center"/>
          </w:tcPr>
          <w:p w:rsidR="00317127" w:rsidRPr="00843EA4" w:rsidRDefault="00317127">
            <w:pPr>
              <w:pStyle w:val="tvhtml"/>
              <w:spacing w:before="0" w:beforeAutospacing="0" w:after="0" w:afterAutospacing="0"/>
              <w:jc w:val="center"/>
              <w:rPr>
                <w:rFonts w:ascii="Times New Roman" w:hAnsi="Times New Roman"/>
                <w:iCs/>
                <w:sz w:val="22"/>
                <w:szCs w:val="22"/>
              </w:rPr>
            </w:pPr>
          </w:p>
        </w:tc>
        <w:tc>
          <w:tcPr>
            <w:tcW w:w="1271" w:type="dxa"/>
            <w:vAlign w:val="center"/>
          </w:tcPr>
          <w:p w:rsidR="00317127" w:rsidRPr="00843EA4" w:rsidRDefault="00317127">
            <w:pPr>
              <w:pStyle w:val="tvhtml"/>
              <w:spacing w:before="0" w:beforeAutospacing="0" w:after="0" w:afterAutospacing="0"/>
              <w:jc w:val="center"/>
              <w:rPr>
                <w:rFonts w:ascii="Times New Roman" w:hAnsi="Times New Roman"/>
                <w:iCs/>
                <w:sz w:val="22"/>
                <w:szCs w:val="22"/>
              </w:rPr>
            </w:pPr>
          </w:p>
        </w:tc>
        <w:tc>
          <w:tcPr>
            <w:tcW w:w="1223" w:type="dxa"/>
            <w:vAlign w:val="center"/>
          </w:tcPr>
          <w:p w:rsidR="00317127" w:rsidRPr="00843EA4" w:rsidRDefault="00317127">
            <w:pPr>
              <w:pStyle w:val="tvhtml"/>
              <w:spacing w:before="0" w:beforeAutospacing="0" w:after="0" w:afterAutospacing="0"/>
              <w:jc w:val="center"/>
              <w:rPr>
                <w:rFonts w:ascii="Times New Roman" w:hAnsi="Times New Roman"/>
                <w:iCs/>
                <w:sz w:val="22"/>
                <w:szCs w:val="22"/>
              </w:rPr>
            </w:pPr>
          </w:p>
        </w:tc>
        <w:tc>
          <w:tcPr>
            <w:tcW w:w="1327" w:type="dxa"/>
            <w:vAlign w:val="center"/>
          </w:tcPr>
          <w:p w:rsidR="00317127" w:rsidRPr="00843EA4" w:rsidRDefault="00317127">
            <w:pPr>
              <w:pStyle w:val="tvhtml"/>
              <w:spacing w:before="0" w:beforeAutospacing="0" w:after="0" w:afterAutospacing="0"/>
              <w:jc w:val="center"/>
              <w:rPr>
                <w:rFonts w:ascii="Times New Roman" w:hAnsi="Times New Roman"/>
                <w:iCs/>
                <w:sz w:val="22"/>
                <w:szCs w:val="22"/>
              </w:rPr>
            </w:pPr>
          </w:p>
        </w:tc>
      </w:tr>
      <w:tr w:rsidR="00317127" w:rsidRPr="003D12AB" w:rsidTr="004F70FC">
        <w:tc>
          <w:tcPr>
            <w:tcW w:w="3491" w:type="dxa"/>
            <w:vAlign w:val="center"/>
          </w:tcPr>
          <w:p w:rsidR="00317127" w:rsidRPr="00843EA4" w:rsidRDefault="00317127">
            <w:pPr>
              <w:pStyle w:val="tvhtml1"/>
              <w:spacing w:before="0" w:beforeAutospacing="0" w:line="240" w:lineRule="auto"/>
              <w:jc w:val="center"/>
              <w:rPr>
                <w:rFonts w:ascii="Times New Roman" w:hAnsi="Times New Roman"/>
                <w:sz w:val="22"/>
                <w:szCs w:val="22"/>
              </w:rPr>
            </w:pPr>
            <w:r w:rsidRPr="00843EA4">
              <w:rPr>
                <w:rFonts w:ascii="Times New Roman" w:hAnsi="Times New Roman"/>
                <w:sz w:val="22"/>
                <w:szCs w:val="22"/>
              </w:rPr>
              <w:t>2.1. valsts pamatbudžets</w:t>
            </w:r>
          </w:p>
        </w:tc>
        <w:tc>
          <w:tcPr>
            <w:tcW w:w="1056" w:type="dxa"/>
            <w:vAlign w:val="center"/>
          </w:tcPr>
          <w:p w:rsidR="00317127" w:rsidRPr="00843EA4" w:rsidRDefault="00317127">
            <w:pPr>
              <w:pStyle w:val="tvhtml"/>
              <w:spacing w:before="0" w:beforeAutospacing="0" w:after="0" w:afterAutospacing="0"/>
              <w:jc w:val="center"/>
              <w:rPr>
                <w:rFonts w:ascii="Times New Roman" w:hAnsi="Times New Roman"/>
                <w:iCs/>
                <w:sz w:val="22"/>
                <w:szCs w:val="22"/>
              </w:rPr>
            </w:pPr>
          </w:p>
        </w:tc>
        <w:tc>
          <w:tcPr>
            <w:tcW w:w="1272" w:type="dxa"/>
            <w:vAlign w:val="center"/>
          </w:tcPr>
          <w:p w:rsidR="00317127" w:rsidRPr="00843EA4" w:rsidRDefault="00317127">
            <w:pPr>
              <w:pStyle w:val="tvhtml"/>
              <w:spacing w:before="0" w:beforeAutospacing="0" w:after="0" w:afterAutospacing="0"/>
              <w:jc w:val="center"/>
              <w:rPr>
                <w:rFonts w:ascii="Times New Roman" w:hAnsi="Times New Roman"/>
                <w:iCs/>
                <w:sz w:val="22"/>
                <w:szCs w:val="22"/>
              </w:rPr>
            </w:pPr>
          </w:p>
        </w:tc>
        <w:tc>
          <w:tcPr>
            <w:tcW w:w="1271" w:type="dxa"/>
            <w:vAlign w:val="center"/>
          </w:tcPr>
          <w:p w:rsidR="00317127" w:rsidRPr="00843EA4" w:rsidRDefault="00317127">
            <w:pPr>
              <w:pStyle w:val="tvhtml"/>
              <w:spacing w:before="0" w:beforeAutospacing="0" w:after="0" w:afterAutospacing="0"/>
              <w:jc w:val="center"/>
              <w:rPr>
                <w:rFonts w:ascii="Times New Roman" w:hAnsi="Times New Roman"/>
                <w:iCs/>
                <w:sz w:val="22"/>
                <w:szCs w:val="22"/>
              </w:rPr>
            </w:pPr>
          </w:p>
        </w:tc>
        <w:tc>
          <w:tcPr>
            <w:tcW w:w="1223" w:type="dxa"/>
            <w:vAlign w:val="center"/>
          </w:tcPr>
          <w:p w:rsidR="00317127" w:rsidRPr="00843EA4" w:rsidRDefault="00317127">
            <w:pPr>
              <w:pStyle w:val="tvhtml"/>
              <w:spacing w:before="0" w:beforeAutospacing="0" w:after="0" w:afterAutospacing="0"/>
              <w:jc w:val="center"/>
              <w:rPr>
                <w:rFonts w:ascii="Times New Roman" w:hAnsi="Times New Roman"/>
                <w:iCs/>
                <w:sz w:val="22"/>
                <w:szCs w:val="22"/>
              </w:rPr>
            </w:pPr>
          </w:p>
        </w:tc>
        <w:tc>
          <w:tcPr>
            <w:tcW w:w="1327" w:type="dxa"/>
            <w:vAlign w:val="center"/>
          </w:tcPr>
          <w:p w:rsidR="00317127" w:rsidRPr="00843EA4" w:rsidRDefault="00317127">
            <w:pPr>
              <w:pStyle w:val="tvhtml"/>
              <w:spacing w:before="0" w:beforeAutospacing="0" w:after="0" w:afterAutospacing="0"/>
              <w:jc w:val="center"/>
              <w:rPr>
                <w:rFonts w:ascii="Times New Roman" w:hAnsi="Times New Roman"/>
                <w:iCs/>
                <w:sz w:val="22"/>
                <w:szCs w:val="22"/>
              </w:rPr>
            </w:pPr>
          </w:p>
        </w:tc>
      </w:tr>
      <w:tr w:rsidR="00317127" w:rsidRPr="003D12AB" w:rsidTr="004F70FC">
        <w:tc>
          <w:tcPr>
            <w:tcW w:w="3491" w:type="dxa"/>
            <w:vAlign w:val="center"/>
          </w:tcPr>
          <w:p w:rsidR="00317127" w:rsidRPr="00843EA4" w:rsidRDefault="00317127">
            <w:pPr>
              <w:pStyle w:val="tvhtml1"/>
              <w:spacing w:before="0" w:beforeAutospacing="0" w:line="240" w:lineRule="auto"/>
              <w:jc w:val="center"/>
              <w:rPr>
                <w:rFonts w:ascii="Times New Roman" w:hAnsi="Times New Roman"/>
                <w:sz w:val="22"/>
                <w:szCs w:val="22"/>
              </w:rPr>
            </w:pPr>
            <w:r w:rsidRPr="00843EA4">
              <w:rPr>
                <w:rFonts w:ascii="Times New Roman" w:hAnsi="Times New Roman"/>
                <w:sz w:val="22"/>
                <w:szCs w:val="22"/>
              </w:rPr>
              <w:t>2.2. valsts speciālais budžets</w:t>
            </w:r>
          </w:p>
        </w:tc>
        <w:tc>
          <w:tcPr>
            <w:tcW w:w="1056" w:type="dxa"/>
            <w:vAlign w:val="center"/>
          </w:tcPr>
          <w:p w:rsidR="00317127" w:rsidRPr="00843EA4" w:rsidRDefault="00317127">
            <w:pPr>
              <w:pStyle w:val="tvhtml"/>
              <w:spacing w:before="0" w:beforeAutospacing="0" w:after="0" w:afterAutospacing="0"/>
              <w:jc w:val="center"/>
              <w:rPr>
                <w:rFonts w:ascii="Times New Roman" w:hAnsi="Times New Roman"/>
                <w:iCs/>
                <w:sz w:val="22"/>
                <w:szCs w:val="22"/>
              </w:rPr>
            </w:pPr>
          </w:p>
        </w:tc>
        <w:tc>
          <w:tcPr>
            <w:tcW w:w="1272" w:type="dxa"/>
            <w:vAlign w:val="center"/>
          </w:tcPr>
          <w:p w:rsidR="00317127" w:rsidRPr="00843EA4" w:rsidRDefault="00317127">
            <w:pPr>
              <w:pStyle w:val="tvhtml"/>
              <w:spacing w:before="0" w:beforeAutospacing="0" w:after="0" w:afterAutospacing="0"/>
              <w:jc w:val="center"/>
              <w:rPr>
                <w:rFonts w:ascii="Times New Roman" w:hAnsi="Times New Roman"/>
                <w:iCs/>
                <w:sz w:val="22"/>
                <w:szCs w:val="22"/>
              </w:rPr>
            </w:pPr>
          </w:p>
        </w:tc>
        <w:tc>
          <w:tcPr>
            <w:tcW w:w="1271" w:type="dxa"/>
            <w:vAlign w:val="center"/>
          </w:tcPr>
          <w:p w:rsidR="00317127" w:rsidRPr="00843EA4" w:rsidRDefault="00317127">
            <w:pPr>
              <w:pStyle w:val="tvhtml"/>
              <w:spacing w:before="0" w:beforeAutospacing="0" w:after="0" w:afterAutospacing="0"/>
              <w:jc w:val="center"/>
              <w:rPr>
                <w:rFonts w:ascii="Times New Roman" w:hAnsi="Times New Roman"/>
                <w:iCs/>
                <w:sz w:val="22"/>
                <w:szCs w:val="22"/>
              </w:rPr>
            </w:pPr>
          </w:p>
        </w:tc>
        <w:tc>
          <w:tcPr>
            <w:tcW w:w="1223" w:type="dxa"/>
            <w:vAlign w:val="center"/>
          </w:tcPr>
          <w:p w:rsidR="00317127" w:rsidRPr="00843EA4" w:rsidRDefault="00317127">
            <w:pPr>
              <w:pStyle w:val="tvhtml"/>
              <w:spacing w:before="0" w:beforeAutospacing="0" w:after="0" w:afterAutospacing="0"/>
              <w:jc w:val="center"/>
              <w:rPr>
                <w:rFonts w:ascii="Times New Roman" w:hAnsi="Times New Roman"/>
                <w:iCs/>
                <w:sz w:val="22"/>
                <w:szCs w:val="22"/>
              </w:rPr>
            </w:pPr>
          </w:p>
        </w:tc>
        <w:tc>
          <w:tcPr>
            <w:tcW w:w="1327" w:type="dxa"/>
            <w:vAlign w:val="center"/>
          </w:tcPr>
          <w:p w:rsidR="00317127" w:rsidRPr="00843EA4" w:rsidRDefault="00317127">
            <w:pPr>
              <w:pStyle w:val="tvhtml"/>
              <w:spacing w:before="0" w:beforeAutospacing="0" w:after="0" w:afterAutospacing="0"/>
              <w:jc w:val="center"/>
              <w:rPr>
                <w:rFonts w:ascii="Times New Roman" w:hAnsi="Times New Roman"/>
                <w:iCs/>
                <w:sz w:val="22"/>
                <w:szCs w:val="22"/>
              </w:rPr>
            </w:pPr>
          </w:p>
        </w:tc>
      </w:tr>
      <w:tr w:rsidR="00317127" w:rsidRPr="003D12AB" w:rsidTr="004F70FC">
        <w:tc>
          <w:tcPr>
            <w:tcW w:w="3491" w:type="dxa"/>
            <w:vAlign w:val="center"/>
          </w:tcPr>
          <w:p w:rsidR="00317127" w:rsidRPr="00843EA4" w:rsidRDefault="00317127">
            <w:pPr>
              <w:pStyle w:val="tvhtml1"/>
              <w:spacing w:before="0" w:beforeAutospacing="0" w:line="240" w:lineRule="auto"/>
              <w:jc w:val="center"/>
              <w:rPr>
                <w:rFonts w:ascii="Times New Roman" w:hAnsi="Times New Roman"/>
                <w:sz w:val="22"/>
                <w:szCs w:val="22"/>
              </w:rPr>
            </w:pPr>
            <w:r w:rsidRPr="00843EA4">
              <w:rPr>
                <w:rFonts w:ascii="Times New Roman" w:hAnsi="Times New Roman"/>
                <w:sz w:val="22"/>
                <w:szCs w:val="22"/>
              </w:rPr>
              <w:t>2.3. pašvaldību budžets</w:t>
            </w:r>
          </w:p>
        </w:tc>
        <w:tc>
          <w:tcPr>
            <w:tcW w:w="1056" w:type="dxa"/>
            <w:vAlign w:val="center"/>
          </w:tcPr>
          <w:p w:rsidR="00317127" w:rsidRPr="00843EA4" w:rsidRDefault="00317127">
            <w:pPr>
              <w:pStyle w:val="tvhtml"/>
              <w:spacing w:before="0" w:beforeAutospacing="0" w:after="0" w:afterAutospacing="0"/>
              <w:jc w:val="center"/>
              <w:rPr>
                <w:rFonts w:ascii="Times New Roman" w:hAnsi="Times New Roman"/>
                <w:iCs/>
                <w:sz w:val="22"/>
                <w:szCs w:val="22"/>
              </w:rPr>
            </w:pPr>
          </w:p>
        </w:tc>
        <w:tc>
          <w:tcPr>
            <w:tcW w:w="1272" w:type="dxa"/>
            <w:vAlign w:val="center"/>
          </w:tcPr>
          <w:p w:rsidR="00317127" w:rsidRPr="00843EA4" w:rsidRDefault="00317127">
            <w:pPr>
              <w:pStyle w:val="tvhtml"/>
              <w:spacing w:before="0" w:beforeAutospacing="0" w:after="0" w:afterAutospacing="0"/>
              <w:jc w:val="center"/>
              <w:rPr>
                <w:rFonts w:ascii="Times New Roman" w:hAnsi="Times New Roman"/>
                <w:iCs/>
                <w:sz w:val="22"/>
                <w:szCs w:val="22"/>
              </w:rPr>
            </w:pPr>
          </w:p>
        </w:tc>
        <w:tc>
          <w:tcPr>
            <w:tcW w:w="1271" w:type="dxa"/>
            <w:vAlign w:val="center"/>
          </w:tcPr>
          <w:p w:rsidR="00317127" w:rsidRPr="00843EA4" w:rsidRDefault="00317127">
            <w:pPr>
              <w:pStyle w:val="tvhtml"/>
              <w:spacing w:before="0" w:beforeAutospacing="0" w:after="0" w:afterAutospacing="0"/>
              <w:jc w:val="center"/>
              <w:rPr>
                <w:rFonts w:ascii="Times New Roman" w:hAnsi="Times New Roman"/>
                <w:iCs/>
                <w:sz w:val="22"/>
                <w:szCs w:val="22"/>
              </w:rPr>
            </w:pPr>
          </w:p>
        </w:tc>
        <w:tc>
          <w:tcPr>
            <w:tcW w:w="1223" w:type="dxa"/>
            <w:vAlign w:val="center"/>
          </w:tcPr>
          <w:p w:rsidR="00317127" w:rsidRPr="00843EA4" w:rsidRDefault="00317127">
            <w:pPr>
              <w:pStyle w:val="tvhtml"/>
              <w:spacing w:before="0" w:beforeAutospacing="0" w:after="0" w:afterAutospacing="0"/>
              <w:jc w:val="center"/>
              <w:rPr>
                <w:rFonts w:ascii="Times New Roman" w:hAnsi="Times New Roman"/>
                <w:iCs/>
                <w:sz w:val="22"/>
                <w:szCs w:val="22"/>
              </w:rPr>
            </w:pPr>
          </w:p>
        </w:tc>
        <w:tc>
          <w:tcPr>
            <w:tcW w:w="1327" w:type="dxa"/>
            <w:vAlign w:val="center"/>
          </w:tcPr>
          <w:p w:rsidR="00317127" w:rsidRPr="00843EA4" w:rsidRDefault="00317127">
            <w:pPr>
              <w:pStyle w:val="tvhtml"/>
              <w:spacing w:before="0" w:beforeAutospacing="0" w:after="0" w:afterAutospacing="0"/>
              <w:jc w:val="center"/>
              <w:rPr>
                <w:rFonts w:ascii="Times New Roman" w:hAnsi="Times New Roman"/>
                <w:iCs/>
                <w:sz w:val="22"/>
                <w:szCs w:val="22"/>
              </w:rPr>
            </w:pPr>
          </w:p>
        </w:tc>
      </w:tr>
      <w:tr w:rsidR="00317127" w:rsidRPr="003D12AB" w:rsidTr="004F70FC">
        <w:tc>
          <w:tcPr>
            <w:tcW w:w="3491" w:type="dxa"/>
            <w:vAlign w:val="center"/>
          </w:tcPr>
          <w:p w:rsidR="00317127" w:rsidRPr="00843EA4" w:rsidRDefault="00317127">
            <w:pPr>
              <w:pStyle w:val="tvhtml1"/>
              <w:spacing w:before="0" w:beforeAutospacing="0" w:line="240" w:lineRule="auto"/>
              <w:jc w:val="center"/>
              <w:rPr>
                <w:rFonts w:ascii="Times New Roman" w:hAnsi="Times New Roman"/>
                <w:sz w:val="22"/>
                <w:szCs w:val="22"/>
              </w:rPr>
            </w:pPr>
            <w:r w:rsidRPr="00843EA4">
              <w:rPr>
                <w:rFonts w:ascii="Times New Roman" w:hAnsi="Times New Roman"/>
                <w:sz w:val="22"/>
                <w:szCs w:val="22"/>
              </w:rPr>
              <w:t>3. Finansiālā ietekme:</w:t>
            </w:r>
          </w:p>
        </w:tc>
        <w:tc>
          <w:tcPr>
            <w:tcW w:w="1056" w:type="dxa"/>
            <w:vAlign w:val="center"/>
          </w:tcPr>
          <w:p w:rsidR="00317127" w:rsidRPr="00843EA4" w:rsidRDefault="00317127">
            <w:pPr>
              <w:pStyle w:val="tvhtml"/>
              <w:spacing w:before="0" w:beforeAutospacing="0" w:after="0" w:afterAutospacing="0"/>
              <w:jc w:val="center"/>
              <w:rPr>
                <w:rFonts w:ascii="Times New Roman" w:hAnsi="Times New Roman"/>
                <w:iCs/>
                <w:sz w:val="22"/>
                <w:szCs w:val="22"/>
              </w:rPr>
            </w:pPr>
          </w:p>
        </w:tc>
        <w:tc>
          <w:tcPr>
            <w:tcW w:w="1272" w:type="dxa"/>
            <w:vAlign w:val="center"/>
          </w:tcPr>
          <w:p w:rsidR="00317127" w:rsidRPr="00843EA4" w:rsidRDefault="00317127">
            <w:pPr>
              <w:pStyle w:val="tvhtml"/>
              <w:spacing w:before="0" w:beforeAutospacing="0" w:after="0" w:afterAutospacing="0"/>
              <w:jc w:val="center"/>
              <w:rPr>
                <w:rFonts w:ascii="Times New Roman" w:hAnsi="Times New Roman"/>
                <w:iCs/>
                <w:sz w:val="22"/>
                <w:szCs w:val="22"/>
              </w:rPr>
            </w:pPr>
          </w:p>
        </w:tc>
        <w:tc>
          <w:tcPr>
            <w:tcW w:w="1271" w:type="dxa"/>
            <w:vAlign w:val="center"/>
          </w:tcPr>
          <w:p w:rsidR="00317127" w:rsidRPr="00843EA4" w:rsidRDefault="00317127">
            <w:pPr>
              <w:pStyle w:val="tvhtml"/>
              <w:spacing w:before="0" w:beforeAutospacing="0" w:after="0" w:afterAutospacing="0"/>
              <w:jc w:val="center"/>
              <w:rPr>
                <w:rFonts w:ascii="Times New Roman" w:hAnsi="Times New Roman"/>
                <w:iCs/>
                <w:sz w:val="22"/>
                <w:szCs w:val="22"/>
              </w:rPr>
            </w:pPr>
          </w:p>
        </w:tc>
        <w:tc>
          <w:tcPr>
            <w:tcW w:w="1223" w:type="dxa"/>
            <w:vAlign w:val="center"/>
          </w:tcPr>
          <w:p w:rsidR="00317127" w:rsidRPr="00843EA4" w:rsidRDefault="00317127">
            <w:pPr>
              <w:pStyle w:val="tvhtml"/>
              <w:spacing w:before="0" w:beforeAutospacing="0" w:after="0" w:afterAutospacing="0"/>
              <w:jc w:val="center"/>
              <w:rPr>
                <w:rFonts w:ascii="Times New Roman" w:hAnsi="Times New Roman"/>
                <w:iCs/>
                <w:sz w:val="22"/>
                <w:szCs w:val="22"/>
              </w:rPr>
            </w:pPr>
          </w:p>
        </w:tc>
        <w:tc>
          <w:tcPr>
            <w:tcW w:w="1327" w:type="dxa"/>
            <w:vAlign w:val="center"/>
          </w:tcPr>
          <w:p w:rsidR="00317127" w:rsidRPr="00843EA4" w:rsidRDefault="00317127">
            <w:pPr>
              <w:pStyle w:val="tvhtml"/>
              <w:spacing w:before="0" w:beforeAutospacing="0" w:after="0" w:afterAutospacing="0"/>
              <w:jc w:val="center"/>
              <w:rPr>
                <w:rFonts w:ascii="Times New Roman" w:hAnsi="Times New Roman"/>
                <w:iCs/>
                <w:sz w:val="22"/>
                <w:szCs w:val="22"/>
              </w:rPr>
            </w:pPr>
          </w:p>
        </w:tc>
      </w:tr>
      <w:tr w:rsidR="00317127" w:rsidRPr="003D12AB" w:rsidTr="004F70FC">
        <w:tc>
          <w:tcPr>
            <w:tcW w:w="3491" w:type="dxa"/>
            <w:vMerge w:val="restart"/>
            <w:vAlign w:val="center"/>
          </w:tcPr>
          <w:p w:rsidR="00317127" w:rsidRPr="00843EA4" w:rsidRDefault="00317127">
            <w:pPr>
              <w:pStyle w:val="tvhtml1"/>
              <w:spacing w:before="0" w:beforeAutospacing="0" w:line="240" w:lineRule="auto"/>
              <w:jc w:val="center"/>
              <w:rPr>
                <w:rFonts w:ascii="Times New Roman" w:hAnsi="Times New Roman"/>
                <w:sz w:val="22"/>
                <w:szCs w:val="22"/>
              </w:rPr>
            </w:pPr>
            <w:r w:rsidRPr="00843EA4">
              <w:rPr>
                <w:rFonts w:ascii="Times New Roman" w:hAnsi="Times New Roman"/>
                <w:sz w:val="22"/>
                <w:szCs w:val="22"/>
              </w:rPr>
              <w:lastRenderedPageBreak/>
              <w:t>4. Finanšu līdzekļi papildu izde</w:t>
            </w:r>
            <w:r w:rsidRPr="00843EA4">
              <w:rPr>
                <w:rFonts w:ascii="Times New Roman" w:hAnsi="Times New Roman"/>
                <w:sz w:val="22"/>
                <w:szCs w:val="22"/>
              </w:rPr>
              <w:softHyphen/>
              <w:t>vumu finansēšanai (kompensējošu izdevumu samazinājumu norāda ar "+" zīmi)</w:t>
            </w:r>
          </w:p>
          <w:p w:rsidR="00317127" w:rsidRPr="00843EA4" w:rsidRDefault="00317127">
            <w:pPr>
              <w:pStyle w:val="tvhtml"/>
              <w:spacing w:before="0" w:beforeAutospacing="0" w:after="0" w:afterAutospacing="0"/>
              <w:jc w:val="center"/>
              <w:rPr>
                <w:rFonts w:ascii="Times New Roman" w:hAnsi="Times New Roman"/>
                <w:iCs/>
                <w:sz w:val="22"/>
                <w:szCs w:val="22"/>
              </w:rPr>
            </w:pPr>
          </w:p>
        </w:tc>
        <w:tc>
          <w:tcPr>
            <w:tcW w:w="1056" w:type="dxa"/>
            <w:vMerge w:val="restart"/>
            <w:vAlign w:val="center"/>
          </w:tcPr>
          <w:p w:rsidR="00317127" w:rsidRPr="00843EA4" w:rsidRDefault="00317127">
            <w:pPr>
              <w:pStyle w:val="tvhtml"/>
              <w:spacing w:before="0" w:beforeAutospacing="0" w:after="0" w:afterAutospacing="0"/>
              <w:jc w:val="center"/>
              <w:rPr>
                <w:rFonts w:ascii="Times New Roman" w:hAnsi="Times New Roman"/>
                <w:iCs/>
                <w:sz w:val="22"/>
                <w:szCs w:val="22"/>
              </w:rPr>
            </w:pPr>
          </w:p>
        </w:tc>
        <w:tc>
          <w:tcPr>
            <w:tcW w:w="1272" w:type="dxa"/>
            <w:vAlign w:val="center"/>
          </w:tcPr>
          <w:p w:rsidR="00317127" w:rsidRPr="00843EA4" w:rsidRDefault="00317127">
            <w:pPr>
              <w:pStyle w:val="tvhtml"/>
              <w:spacing w:before="0" w:beforeAutospacing="0" w:after="0" w:afterAutospacing="0"/>
              <w:jc w:val="center"/>
              <w:rPr>
                <w:rFonts w:ascii="Times New Roman" w:hAnsi="Times New Roman"/>
                <w:iCs/>
                <w:sz w:val="22"/>
                <w:szCs w:val="22"/>
              </w:rPr>
            </w:pPr>
          </w:p>
        </w:tc>
        <w:tc>
          <w:tcPr>
            <w:tcW w:w="1271" w:type="dxa"/>
            <w:vAlign w:val="center"/>
          </w:tcPr>
          <w:p w:rsidR="00317127" w:rsidRPr="00843EA4" w:rsidRDefault="00317127">
            <w:pPr>
              <w:pStyle w:val="tvhtml"/>
              <w:spacing w:before="0" w:beforeAutospacing="0" w:after="0" w:afterAutospacing="0"/>
              <w:jc w:val="center"/>
              <w:rPr>
                <w:rFonts w:ascii="Times New Roman" w:hAnsi="Times New Roman"/>
                <w:iCs/>
                <w:sz w:val="22"/>
                <w:szCs w:val="22"/>
              </w:rPr>
            </w:pPr>
          </w:p>
        </w:tc>
        <w:tc>
          <w:tcPr>
            <w:tcW w:w="1223" w:type="dxa"/>
            <w:vAlign w:val="center"/>
          </w:tcPr>
          <w:p w:rsidR="00317127" w:rsidRPr="00843EA4" w:rsidRDefault="00317127">
            <w:pPr>
              <w:pStyle w:val="tvhtml"/>
              <w:spacing w:before="0" w:beforeAutospacing="0" w:after="0" w:afterAutospacing="0"/>
              <w:jc w:val="center"/>
              <w:rPr>
                <w:rFonts w:ascii="Times New Roman" w:hAnsi="Times New Roman"/>
                <w:iCs/>
                <w:sz w:val="22"/>
                <w:szCs w:val="22"/>
              </w:rPr>
            </w:pPr>
          </w:p>
        </w:tc>
        <w:tc>
          <w:tcPr>
            <w:tcW w:w="1327" w:type="dxa"/>
            <w:vAlign w:val="center"/>
          </w:tcPr>
          <w:p w:rsidR="00317127" w:rsidRPr="00843EA4" w:rsidRDefault="00317127">
            <w:pPr>
              <w:pStyle w:val="tvhtml"/>
              <w:spacing w:before="0" w:beforeAutospacing="0" w:after="0" w:afterAutospacing="0"/>
              <w:jc w:val="center"/>
              <w:rPr>
                <w:rFonts w:ascii="Times New Roman" w:hAnsi="Times New Roman"/>
                <w:iCs/>
                <w:sz w:val="22"/>
                <w:szCs w:val="22"/>
              </w:rPr>
            </w:pPr>
          </w:p>
        </w:tc>
      </w:tr>
      <w:tr w:rsidR="00317127" w:rsidRPr="003D12AB" w:rsidTr="004F70FC">
        <w:tc>
          <w:tcPr>
            <w:tcW w:w="3491" w:type="dxa"/>
            <w:vMerge/>
            <w:vAlign w:val="center"/>
          </w:tcPr>
          <w:p w:rsidR="00317127" w:rsidRPr="00843EA4" w:rsidRDefault="00317127">
            <w:pPr>
              <w:spacing w:after="0" w:line="240" w:lineRule="auto"/>
              <w:rPr>
                <w:rFonts w:ascii="Times New Roman" w:hAnsi="Times New Roman"/>
                <w:iCs/>
                <w:lang w:eastAsia="lv-LV"/>
              </w:rPr>
            </w:pPr>
          </w:p>
        </w:tc>
        <w:tc>
          <w:tcPr>
            <w:tcW w:w="1056" w:type="dxa"/>
            <w:vMerge/>
            <w:vAlign w:val="center"/>
          </w:tcPr>
          <w:p w:rsidR="00317127" w:rsidRPr="00843EA4" w:rsidRDefault="00317127">
            <w:pPr>
              <w:spacing w:after="0" w:line="240" w:lineRule="auto"/>
              <w:rPr>
                <w:rFonts w:ascii="Times New Roman" w:hAnsi="Times New Roman"/>
                <w:iCs/>
                <w:lang w:eastAsia="lv-LV"/>
              </w:rPr>
            </w:pPr>
          </w:p>
        </w:tc>
        <w:tc>
          <w:tcPr>
            <w:tcW w:w="1272" w:type="dxa"/>
            <w:vAlign w:val="center"/>
          </w:tcPr>
          <w:p w:rsidR="00317127" w:rsidRPr="00843EA4" w:rsidRDefault="00317127">
            <w:pPr>
              <w:pStyle w:val="tvhtml"/>
              <w:spacing w:before="0" w:beforeAutospacing="0" w:after="0" w:afterAutospacing="0"/>
              <w:jc w:val="center"/>
              <w:rPr>
                <w:rFonts w:ascii="Times New Roman" w:hAnsi="Times New Roman"/>
                <w:iCs/>
                <w:sz w:val="22"/>
                <w:szCs w:val="22"/>
              </w:rPr>
            </w:pPr>
          </w:p>
        </w:tc>
        <w:tc>
          <w:tcPr>
            <w:tcW w:w="1271" w:type="dxa"/>
            <w:vAlign w:val="center"/>
          </w:tcPr>
          <w:p w:rsidR="00317127" w:rsidRPr="00843EA4" w:rsidRDefault="00317127">
            <w:pPr>
              <w:pStyle w:val="tvhtml"/>
              <w:spacing w:before="0" w:beforeAutospacing="0" w:after="0" w:afterAutospacing="0"/>
              <w:jc w:val="center"/>
              <w:rPr>
                <w:rFonts w:ascii="Times New Roman" w:hAnsi="Times New Roman"/>
                <w:iCs/>
                <w:sz w:val="22"/>
                <w:szCs w:val="22"/>
              </w:rPr>
            </w:pPr>
          </w:p>
        </w:tc>
        <w:tc>
          <w:tcPr>
            <w:tcW w:w="1223" w:type="dxa"/>
            <w:vAlign w:val="center"/>
          </w:tcPr>
          <w:p w:rsidR="00317127" w:rsidRPr="00843EA4" w:rsidRDefault="00317127">
            <w:pPr>
              <w:pStyle w:val="tvhtml"/>
              <w:spacing w:before="0" w:beforeAutospacing="0" w:after="0" w:afterAutospacing="0"/>
              <w:jc w:val="center"/>
              <w:rPr>
                <w:rFonts w:ascii="Times New Roman" w:hAnsi="Times New Roman"/>
                <w:iCs/>
                <w:sz w:val="22"/>
                <w:szCs w:val="22"/>
              </w:rPr>
            </w:pPr>
          </w:p>
        </w:tc>
        <w:tc>
          <w:tcPr>
            <w:tcW w:w="1327" w:type="dxa"/>
            <w:vAlign w:val="center"/>
          </w:tcPr>
          <w:p w:rsidR="00317127" w:rsidRPr="00843EA4" w:rsidRDefault="00317127">
            <w:pPr>
              <w:pStyle w:val="tvhtml"/>
              <w:spacing w:before="0" w:beforeAutospacing="0" w:after="0" w:afterAutospacing="0"/>
              <w:jc w:val="center"/>
              <w:rPr>
                <w:rFonts w:ascii="Times New Roman" w:hAnsi="Times New Roman"/>
                <w:iCs/>
                <w:sz w:val="22"/>
                <w:szCs w:val="22"/>
              </w:rPr>
            </w:pPr>
          </w:p>
        </w:tc>
      </w:tr>
      <w:tr w:rsidR="00317127" w:rsidRPr="003D12AB" w:rsidTr="004F70FC">
        <w:tc>
          <w:tcPr>
            <w:tcW w:w="3491" w:type="dxa"/>
            <w:vMerge/>
            <w:vAlign w:val="center"/>
          </w:tcPr>
          <w:p w:rsidR="00317127" w:rsidRPr="00843EA4" w:rsidRDefault="00317127">
            <w:pPr>
              <w:spacing w:after="0" w:line="240" w:lineRule="auto"/>
              <w:rPr>
                <w:rFonts w:ascii="Times New Roman" w:hAnsi="Times New Roman"/>
                <w:iCs/>
                <w:lang w:eastAsia="lv-LV"/>
              </w:rPr>
            </w:pPr>
          </w:p>
        </w:tc>
        <w:tc>
          <w:tcPr>
            <w:tcW w:w="1056" w:type="dxa"/>
            <w:vMerge/>
            <w:vAlign w:val="center"/>
          </w:tcPr>
          <w:p w:rsidR="00317127" w:rsidRPr="00843EA4" w:rsidRDefault="00317127">
            <w:pPr>
              <w:spacing w:after="0" w:line="240" w:lineRule="auto"/>
              <w:rPr>
                <w:rFonts w:ascii="Times New Roman" w:hAnsi="Times New Roman"/>
                <w:iCs/>
                <w:lang w:eastAsia="lv-LV"/>
              </w:rPr>
            </w:pPr>
          </w:p>
        </w:tc>
        <w:tc>
          <w:tcPr>
            <w:tcW w:w="1272" w:type="dxa"/>
            <w:vAlign w:val="center"/>
          </w:tcPr>
          <w:p w:rsidR="00317127" w:rsidRPr="00843EA4" w:rsidRDefault="00317127">
            <w:pPr>
              <w:pStyle w:val="tvhtml"/>
              <w:spacing w:before="0" w:beforeAutospacing="0" w:after="0" w:afterAutospacing="0"/>
              <w:jc w:val="center"/>
              <w:rPr>
                <w:rFonts w:ascii="Times New Roman" w:hAnsi="Times New Roman"/>
                <w:iCs/>
                <w:sz w:val="22"/>
                <w:szCs w:val="22"/>
              </w:rPr>
            </w:pPr>
          </w:p>
        </w:tc>
        <w:tc>
          <w:tcPr>
            <w:tcW w:w="1271" w:type="dxa"/>
            <w:vAlign w:val="center"/>
          </w:tcPr>
          <w:p w:rsidR="00317127" w:rsidRPr="00843EA4" w:rsidRDefault="00317127">
            <w:pPr>
              <w:pStyle w:val="tvhtml"/>
              <w:spacing w:before="0" w:beforeAutospacing="0" w:after="0" w:afterAutospacing="0"/>
              <w:jc w:val="center"/>
              <w:rPr>
                <w:rFonts w:ascii="Times New Roman" w:hAnsi="Times New Roman"/>
                <w:iCs/>
                <w:sz w:val="22"/>
                <w:szCs w:val="22"/>
              </w:rPr>
            </w:pPr>
          </w:p>
        </w:tc>
        <w:tc>
          <w:tcPr>
            <w:tcW w:w="1223" w:type="dxa"/>
            <w:vAlign w:val="center"/>
          </w:tcPr>
          <w:p w:rsidR="00317127" w:rsidRPr="00843EA4" w:rsidRDefault="00317127">
            <w:pPr>
              <w:pStyle w:val="tvhtml"/>
              <w:spacing w:before="0" w:beforeAutospacing="0" w:after="0" w:afterAutospacing="0"/>
              <w:jc w:val="center"/>
              <w:rPr>
                <w:rFonts w:ascii="Times New Roman" w:hAnsi="Times New Roman"/>
                <w:iCs/>
                <w:sz w:val="22"/>
                <w:szCs w:val="22"/>
              </w:rPr>
            </w:pPr>
          </w:p>
        </w:tc>
        <w:tc>
          <w:tcPr>
            <w:tcW w:w="1327" w:type="dxa"/>
            <w:vAlign w:val="center"/>
          </w:tcPr>
          <w:p w:rsidR="00317127" w:rsidRPr="00843EA4" w:rsidRDefault="00317127">
            <w:pPr>
              <w:pStyle w:val="tvhtml"/>
              <w:spacing w:before="0" w:beforeAutospacing="0" w:after="0" w:afterAutospacing="0"/>
              <w:jc w:val="center"/>
              <w:rPr>
                <w:rFonts w:ascii="Times New Roman" w:hAnsi="Times New Roman"/>
                <w:iCs/>
                <w:sz w:val="22"/>
                <w:szCs w:val="22"/>
              </w:rPr>
            </w:pPr>
          </w:p>
        </w:tc>
      </w:tr>
      <w:tr w:rsidR="00317127" w:rsidRPr="003D12AB" w:rsidTr="004F70FC">
        <w:tc>
          <w:tcPr>
            <w:tcW w:w="3491" w:type="dxa"/>
            <w:vAlign w:val="center"/>
          </w:tcPr>
          <w:p w:rsidR="00317127" w:rsidRPr="00843EA4" w:rsidRDefault="00317127">
            <w:pPr>
              <w:pStyle w:val="tvhtml1"/>
              <w:spacing w:before="0" w:beforeAutospacing="0" w:line="240" w:lineRule="auto"/>
              <w:jc w:val="center"/>
              <w:rPr>
                <w:rFonts w:ascii="Times New Roman" w:hAnsi="Times New Roman"/>
                <w:sz w:val="22"/>
                <w:szCs w:val="22"/>
              </w:rPr>
            </w:pPr>
            <w:r w:rsidRPr="00843EA4">
              <w:rPr>
                <w:rFonts w:ascii="Times New Roman" w:hAnsi="Times New Roman"/>
                <w:sz w:val="22"/>
                <w:szCs w:val="22"/>
              </w:rPr>
              <w:t>5. Precizēta finansiālā ietekme:</w:t>
            </w:r>
          </w:p>
        </w:tc>
        <w:tc>
          <w:tcPr>
            <w:tcW w:w="1056" w:type="dxa"/>
            <w:vMerge w:val="restart"/>
            <w:vAlign w:val="center"/>
          </w:tcPr>
          <w:p w:rsidR="00317127" w:rsidRPr="00843EA4" w:rsidRDefault="00317127">
            <w:pPr>
              <w:pStyle w:val="tvhtml"/>
              <w:spacing w:before="0" w:beforeAutospacing="0" w:after="0" w:afterAutospacing="0"/>
              <w:jc w:val="center"/>
              <w:rPr>
                <w:rFonts w:ascii="Times New Roman" w:hAnsi="Times New Roman"/>
                <w:iCs/>
                <w:sz w:val="22"/>
                <w:szCs w:val="22"/>
              </w:rPr>
            </w:pPr>
          </w:p>
        </w:tc>
        <w:tc>
          <w:tcPr>
            <w:tcW w:w="1272" w:type="dxa"/>
            <w:vAlign w:val="center"/>
          </w:tcPr>
          <w:p w:rsidR="00317127" w:rsidRPr="00843EA4" w:rsidRDefault="00317127">
            <w:pPr>
              <w:pStyle w:val="tvhtml"/>
              <w:spacing w:before="0" w:beforeAutospacing="0" w:after="0" w:afterAutospacing="0"/>
              <w:jc w:val="center"/>
              <w:rPr>
                <w:rFonts w:ascii="Times New Roman" w:hAnsi="Times New Roman"/>
                <w:iCs/>
                <w:sz w:val="22"/>
                <w:szCs w:val="22"/>
              </w:rPr>
            </w:pPr>
          </w:p>
        </w:tc>
        <w:tc>
          <w:tcPr>
            <w:tcW w:w="1271" w:type="dxa"/>
            <w:vAlign w:val="center"/>
          </w:tcPr>
          <w:p w:rsidR="00317127" w:rsidRPr="00843EA4" w:rsidRDefault="00317127">
            <w:pPr>
              <w:pStyle w:val="tvhtml"/>
              <w:spacing w:before="0" w:beforeAutospacing="0" w:after="0" w:afterAutospacing="0"/>
              <w:jc w:val="center"/>
              <w:rPr>
                <w:rFonts w:ascii="Times New Roman" w:hAnsi="Times New Roman"/>
                <w:iCs/>
                <w:sz w:val="22"/>
                <w:szCs w:val="22"/>
              </w:rPr>
            </w:pPr>
          </w:p>
        </w:tc>
        <w:tc>
          <w:tcPr>
            <w:tcW w:w="1223" w:type="dxa"/>
            <w:vAlign w:val="center"/>
          </w:tcPr>
          <w:p w:rsidR="00317127" w:rsidRPr="00843EA4" w:rsidRDefault="00317127">
            <w:pPr>
              <w:pStyle w:val="tvhtml"/>
              <w:spacing w:before="0" w:beforeAutospacing="0" w:after="0" w:afterAutospacing="0"/>
              <w:jc w:val="center"/>
              <w:rPr>
                <w:rFonts w:ascii="Times New Roman" w:hAnsi="Times New Roman"/>
                <w:iCs/>
                <w:sz w:val="22"/>
                <w:szCs w:val="22"/>
              </w:rPr>
            </w:pPr>
          </w:p>
        </w:tc>
        <w:tc>
          <w:tcPr>
            <w:tcW w:w="1327" w:type="dxa"/>
            <w:vAlign w:val="center"/>
          </w:tcPr>
          <w:p w:rsidR="00317127" w:rsidRPr="00843EA4" w:rsidRDefault="00317127">
            <w:pPr>
              <w:pStyle w:val="tvhtml"/>
              <w:spacing w:before="0" w:beforeAutospacing="0" w:after="0" w:afterAutospacing="0"/>
              <w:jc w:val="center"/>
              <w:rPr>
                <w:rFonts w:ascii="Times New Roman" w:hAnsi="Times New Roman"/>
                <w:iCs/>
                <w:sz w:val="22"/>
                <w:szCs w:val="22"/>
              </w:rPr>
            </w:pPr>
          </w:p>
        </w:tc>
      </w:tr>
      <w:tr w:rsidR="00317127" w:rsidRPr="003D12AB" w:rsidTr="004F70FC">
        <w:tc>
          <w:tcPr>
            <w:tcW w:w="3491" w:type="dxa"/>
            <w:vAlign w:val="center"/>
          </w:tcPr>
          <w:p w:rsidR="00317127" w:rsidRPr="00843EA4" w:rsidRDefault="00317127">
            <w:pPr>
              <w:pStyle w:val="tvhtml1"/>
              <w:spacing w:before="0" w:beforeAutospacing="0" w:line="240" w:lineRule="auto"/>
              <w:jc w:val="center"/>
              <w:rPr>
                <w:rFonts w:ascii="Times New Roman" w:hAnsi="Times New Roman"/>
                <w:sz w:val="22"/>
                <w:szCs w:val="22"/>
              </w:rPr>
            </w:pPr>
            <w:r w:rsidRPr="00843EA4">
              <w:rPr>
                <w:rFonts w:ascii="Times New Roman" w:hAnsi="Times New Roman"/>
                <w:sz w:val="22"/>
                <w:szCs w:val="22"/>
              </w:rPr>
              <w:t>5.1. valsts pamatbudžets</w:t>
            </w:r>
          </w:p>
        </w:tc>
        <w:tc>
          <w:tcPr>
            <w:tcW w:w="1056" w:type="dxa"/>
            <w:vMerge/>
            <w:vAlign w:val="center"/>
          </w:tcPr>
          <w:p w:rsidR="00317127" w:rsidRPr="00843EA4" w:rsidRDefault="00317127">
            <w:pPr>
              <w:spacing w:after="0" w:line="240" w:lineRule="auto"/>
              <w:rPr>
                <w:rFonts w:ascii="Times New Roman" w:hAnsi="Times New Roman"/>
                <w:iCs/>
                <w:lang w:eastAsia="lv-LV"/>
              </w:rPr>
            </w:pPr>
          </w:p>
        </w:tc>
        <w:tc>
          <w:tcPr>
            <w:tcW w:w="1272" w:type="dxa"/>
            <w:vAlign w:val="center"/>
          </w:tcPr>
          <w:p w:rsidR="00317127" w:rsidRPr="00843EA4" w:rsidRDefault="00317127">
            <w:pPr>
              <w:pStyle w:val="tvhtml"/>
              <w:spacing w:before="0" w:beforeAutospacing="0" w:after="0" w:afterAutospacing="0"/>
              <w:jc w:val="center"/>
              <w:rPr>
                <w:rFonts w:ascii="Times New Roman" w:hAnsi="Times New Roman"/>
                <w:iCs/>
                <w:sz w:val="22"/>
                <w:szCs w:val="22"/>
              </w:rPr>
            </w:pPr>
          </w:p>
        </w:tc>
        <w:tc>
          <w:tcPr>
            <w:tcW w:w="1271" w:type="dxa"/>
            <w:vAlign w:val="center"/>
          </w:tcPr>
          <w:p w:rsidR="00317127" w:rsidRPr="00843EA4" w:rsidRDefault="00317127">
            <w:pPr>
              <w:pStyle w:val="tvhtml"/>
              <w:spacing w:before="0" w:beforeAutospacing="0" w:after="0" w:afterAutospacing="0"/>
              <w:jc w:val="center"/>
              <w:rPr>
                <w:rFonts w:ascii="Times New Roman" w:hAnsi="Times New Roman"/>
                <w:iCs/>
                <w:sz w:val="22"/>
                <w:szCs w:val="22"/>
              </w:rPr>
            </w:pPr>
          </w:p>
        </w:tc>
        <w:tc>
          <w:tcPr>
            <w:tcW w:w="1223" w:type="dxa"/>
            <w:vAlign w:val="center"/>
          </w:tcPr>
          <w:p w:rsidR="00317127" w:rsidRPr="00843EA4" w:rsidRDefault="00317127">
            <w:pPr>
              <w:pStyle w:val="tvhtml"/>
              <w:spacing w:before="0" w:beforeAutospacing="0" w:after="0" w:afterAutospacing="0"/>
              <w:jc w:val="center"/>
              <w:rPr>
                <w:rFonts w:ascii="Times New Roman" w:hAnsi="Times New Roman"/>
                <w:iCs/>
                <w:sz w:val="22"/>
                <w:szCs w:val="22"/>
              </w:rPr>
            </w:pPr>
          </w:p>
        </w:tc>
        <w:tc>
          <w:tcPr>
            <w:tcW w:w="1327" w:type="dxa"/>
            <w:vAlign w:val="center"/>
          </w:tcPr>
          <w:p w:rsidR="00317127" w:rsidRPr="00843EA4" w:rsidRDefault="00317127">
            <w:pPr>
              <w:pStyle w:val="tvhtml"/>
              <w:spacing w:before="0" w:beforeAutospacing="0" w:after="0" w:afterAutospacing="0"/>
              <w:jc w:val="center"/>
              <w:rPr>
                <w:rFonts w:ascii="Times New Roman" w:hAnsi="Times New Roman"/>
                <w:iCs/>
                <w:sz w:val="22"/>
                <w:szCs w:val="22"/>
              </w:rPr>
            </w:pPr>
          </w:p>
        </w:tc>
      </w:tr>
      <w:tr w:rsidR="00317127" w:rsidRPr="003D12AB" w:rsidTr="004F70FC">
        <w:tc>
          <w:tcPr>
            <w:tcW w:w="3491" w:type="dxa"/>
            <w:vAlign w:val="center"/>
          </w:tcPr>
          <w:p w:rsidR="00317127" w:rsidRPr="00843EA4" w:rsidRDefault="00317127">
            <w:pPr>
              <w:pStyle w:val="tvhtml1"/>
              <w:spacing w:before="0" w:beforeAutospacing="0" w:line="240" w:lineRule="auto"/>
              <w:jc w:val="center"/>
              <w:rPr>
                <w:rFonts w:ascii="Times New Roman" w:hAnsi="Times New Roman"/>
                <w:sz w:val="22"/>
                <w:szCs w:val="22"/>
              </w:rPr>
            </w:pPr>
            <w:r w:rsidRPr="00843EA4">
              <w:rPr>
                <w:rFonts w:ascii="Times New Roman" w:hAnsi="Times New Roman"/>
                <w:sz w:val="22"/>
                <w:szCs w:val="22"/>
              </w:rPr>
              <w:t>5.2. speciālais budžets</w:t>
            </w:r>
          </w:p>
        </w:tc>
        <w:tc>
          <w:tcPr>
            <w:tcW w:w="1056" w:type="dxa"/>
            <w:vMerge/>
            <w:vAlign w:val="center"/>
          </w:tcPr>
          <w:p w:rsidR="00317127" w:rsidRPr="00843EA4" w:rsidRDefault="00317127">
            <w:pPr>
              <w:spacing w:after="0" w:line="240" w:lineRule="auto"/>
              <w:rPr>
                <w:rFonts w:ascii="Times New Roman" w:hAnsi="Times New Roman"/>
                <w:iCs/>
                <w:lang w:eastAsia="lv-LV"/>
              </w:rPr>
            </w:pPr>
          </w:p>
        </w:tc>
        <w:tc>
          <w:tcPr>
            <w:tcW w:w="1272" w:type="dxa"/>
            <w:vAlign w:val="center"/>
          </w:tcPr>
          <w:p w:rsidR="00317127" w:rsidRPr="00843EA4" w:rsidRDefault="00317127">
            <w:pPr>
              <w:pStyle w:val="tvhtml"/>
              <w:spacing w:before="0" w:beforeAutospacing="0" w:after="0" w:afterAutospacing="0"/>
              <w:jc w:val="center"/>
              <w:rPr>
                <w:rFonts w:ascii="Times New Roman" w:hAnsi="Times New Roman"/>
                <w:iCs/>
                <w:sz w:val="22"/>
                <w:szCs w:val="22"/>
              </w:rPr>
            </w:pPr>
          </w:p>
        </w:tc>
        <w:tc>
          <w:tcPr>
            <w:tcW w:w="1271" w:type="dxa"/>
            <w:vAlign w:val="center"/>
          </w:tcPr>
          <w:p w:rsidR="00317127" w:rsidRPr="00843EA4" w:rsidRDefault="00317127">
            <w:pPr>
              <w:pStyle w:val="tvhtml"/>
              <w:spacing w:before="0" w:beforeAutospacing="0" w:after="0" w:afterAutospacing="0"/>
              <w:jc w:val="center"/>
              <w:rPr>
                <w:rFonts w:ascii="Times New Roman" w:hAnsi="Times New Roman"/>
                <w:iCs/>
                <w:sz w:val="22"/>
                <w:szCs w:val="22"/>
              </w:rPr>
            </w:pPr>
          </w:p>
        </w:tc>
        <w:tc>
          <w:tcPr>
            <w:tcW w:w="1223" w:type="dxa"/>
            <w:vAlign w:val="center"/>
          </w:tcPr>
          <w:p w:rsidR="00317127" w:rsidRPr="00843EA4" w:rsidRDefault="00317127">
            <w:pPr>
              <w:pStyle w:val="tvhtml"/>
              <w:spacing w:before="0" w:beforeAutospacing="0" w:after="0" w:afterAutospacing="0"/>
              <w:jc w:val="center"/>
              <w:rPr>
                <w:rFonts w:ascii="Times New Roman" w:hAnsi="Times New Roman"/>
                <w:iCs/>
                <w:sz w:val="22"/>
                <w:szCs w:val="22"/>
              </w:rPr>
            </w:pPr>
          </w:p>
        </w:tc>
        <w:tc>
          <w:tcPr>
            <w:tcW w:w="1327" w:type="dxa"/>
            <w:vAlign w:val="center"/>
          </w:tcPr>
          <w:p w:rsidR="00317127" w:rsidRPr="00843EA4" w:rsidRDefault="00317127">
            <w:pPr>
              <w:pStyle w:val="tvhtml"/>
              <w:spacing w:before="0" w:beforeAutospacing="0" w:after="0" w:afterAutospacing="0"/>
              <w:jc w:val="center"/>
              <w:rPr>
                <w:rFonts w:ascii="Times New Roman" w:hAnsi="Times New Roman"/>
                <w:iCs/>
                <w:sz w:val="22"/>
                <w:szCs w:val="22"/>
              </w:rPr>
            </w:pPr>
          </w:p>
        </w:tc>
      </w:tr>
      <w:tr w:rsidR="00317127" w:rsidRPr="003D12AB" w:rsidTr="004F70FC">
        <w:tc>
          <w:tcPr>
            <w:tcW w:w="3491" w:type="dxa"/>
            <w:vAlign w:val="center"/>
          </w:tcPr>
          <w:p w:rsidR="00317127" w:rsidRPr="00843EA4" w:rsidRDefault="00317127">
            <w:pPr>
              <w:pStyle w:val="tvhtml1"/>
              <w:spacing w:before="0" w:beforeAutospacing="0" w:line="240" w:lineRule="auto"/>
              <w:jc w:val="center"/>
              <w:rPr>
                <w:rFonts w:ascii="Times New Roman" w:hAnsi="Times New Roman"/>
                <w:sz w:val="22"/>
                <w:szCs w:val="22"/>
              </w:rPr>
            </w:pPr>
            <w:r w:rsidRPr="00843EA4">
              <w:rPr>
                <w:rFonts w:ascii="Times New Roman" w:hAnsi="Times New Roman"/>
                <w:sz w:val="22"/>
                <w:szCs w:val="22"/>
              </w:rPr>
              <w:t>5.3. pašvaldību budžets</w:t>
            </w:r>
          </w:p>
        </w:tc>
        <w:tc>
          <w:tcPr>
            <w:tcW w:w="1056" w:type="dxa"/>
            <w:vMerge/>
            <w:vAlign w:val="center"/>
          </w:tcPr>
          <w:p w:rsidR="00317127" w:rsidRPr="00843EA4" w:rsidRDefault="00317127">
            <w:pPr>
              <w:spacing w:after="0" w:line="240" w:lineRule="auto"/>
              <w:rPr>
                <w:rFonts w:ascii="Times New Roman" w:hAnsi="Times New Roman"/>
                <w:iCs/>
                <w:lang w:eastAsia="lv-LV"/>
              </w:rPr>
            </w:pPr>
          </w:p>
        </w:tc>
        <w:tc>
          <w:tcPr>
            <w:tcW w:w="1272" w:type="dxa"/>
            <w:vAlign w:val="center"/>
          </w:tcPr>
          <w:p w:rsidR="00317127" w:rsidRPr="00843EA4" w:rsidRDefault="00317127">
            <w:pPr>
              <w:pStyle w:val="tvhtml"/>
              <w:spacing w:before="0" w:beforeAutospacing="0" w:after="0" w:afterAutospacing="0"/>
              <w:jc w:val="center"/>
              <w:rPr>
                <w:rFonts w:ascii="Times New Roman" w:hAnsi="Times New Roman"/>
                <w:iCs/>
                <w:sz w:val="22"/>
                <w:szCs w:val="22"/>
              </w:rPr>
            </w:pPr>
          </w:p>
        </w:tc>
        <w:tc>
          <w:tcPr>
            <w:tcW w:w="1271" w:type="dxa"/>
            <w:vAlign w:val="center"/>
          </w:tcPr>
          <w:p w:rsidR="00317127" w:rsidRPr="00843EA4" w:rsidRDefault="00317127">
            <w:pPr>
              <w:pStyle w:val="tvhtml"/>
              <w:spacing w:before="0" w:beforeAutospacing="0" w:after="0" w:afterAutospacing="0"/>
              <w:jc w:val="center"/>
              <w:rPr>
                <w:rFonts w:ascii="Times New Roman" w:hAnsi="Times New Roman"/>
                <w:iCs/>
                <w:sz w:val="22"/>
                <w:szCs w:val="22"/>
              </w:rPr>
            </w:pPr>
          </w:p>
        </w:tc>
        <w:tc>
          <w:tcPr>
            <w:tcW w:w="1223" w:type="dxa"/>
            <w:vAlign w:val="center"/>
          </w:tcPr>
          <w:p w:rsidR="00317127" w:rsidRPr="00843EA4" w:rsidRDefault="00317127">
            <w:pPr>
              <w:pStyle w:val="tvhtml"/>
              <w:spacing w:before="0" w:beforeAutospacing="0" w:after="0" w:afterAutospacing="0"/>
              <w:jc w:val="center"/>
              <w:rPr>
                <w:rFonts w:ascii="Times New Roman" w:hAnsi="Times New Roman"/>
                <w:iCs/>
                <w:sz w:val="22"/>
                <w:szCs w:val="22"/>
              </w:rPr>
            </w:pPr>
          </w:p>
        </w:tc>
        <w:tc>
          <w:tcPr>
            <w:tcW w:w="1327" w:type="dxa"/>
            <w:vAlign w:val="center"/>
          </w:tcPr>
          <w:p w:rsidR="00317127" w:rsidRPr="00843EA4" w:rsidRDefault="00317127">
            <w:pPr>
              <w:pStyle w:val="tvhtml"/>
              <w:spacing w:before="0" w:beforeAutospacing="0" w:after="0" w:afterAutospacing="0"/>
              <w:jc w:val="center"/>
              <w:rPr>
                <w:rFonts w:ascii="Times New Roman" w:hAnsi="Times New Roman"/>
                <w:iCs/>
                <w:sz w:val="22"/>
                <w:szCs w:val="22"/>
              </w:rPr>
            </w:pPr>
          </w:p>
        </w:tc>
      </w:tr>
      <w:tr w:rsidR="00317127" w:rsidRPr="003D12AB" w:rsidTr="004F70FC">
        <w:tc>
          <w:tcPr>
            <w:tcW w:w="3491" w:type="dxa"/>
            <w:vAlign w:val="center"/>
          </w:tcPr>
          <w:p w:rsidR="00317127" w:rsidRPr="00843EA4" w:rsidRDefault="00317127">
            <w:pPr>
              <w:pStyle w:val="tvhtml1"/>
              <w:spacing w:before="0" w:beforeAutospacing="0" w:line="240" w:lineRule="auto"/>
              <w:jc w:val="center"/>
              <w:rPr>
                <w:rFonts w:ascii="Times New Roman" w:hAnsi="Times New Roman"/>
                <w:sz w:val="22"/>
                <w:szCs w:val="22"/>
              </w:rPr>
            </w:pPr>
            <w:r w:rsidRPr="00843EA4">
              <w:rPr>
                <w:rFonts w:ascii="Times New Roman" w:hAnsi="Times New Roman"/>
                <w:sz w:val="22"/>
                <w:szCs w:val="22"/>
              </w:rPr>
              <w:t>6. Detalizēts ieņēmumu un izdevu</w:t>
            </w:r>
            <w:r w:rsidRPr="00843EA4">
              <w:rPr>
                <w:rFonts w:ascii="Times New Roman" w:hAnsi="Times New Roman"/>
                <w:sz w:val="22"/>
                <w:szCs w:val="22"/>
              </w:rPr>
              <w:softHyphen/>
              <w:t>mu aprēķins (ja nepieciešams, detalizētu ieņēmumu un izdevumu aprēķinu var pievienot anotācijas pielikumā):</w:t>
            </w:r>
          </w:p>
        </w:tc>
        <w:tc>
          <w:tcPr>
            <w:tcW w:w="6149" w:type="dxa"/>
            <w:gridSpan w:val="5"/>
            <w:vMerge w:val="restart"/>
            <w:vAlign w:val="center"/>
          </w:tcPr>
          <w:p w:rsidR="00317127" w:rsidRPr="00596045" w:rsidRDefault="00317127" w:rsidP="005924B1">
            <w:pPr>
              <w:spacing w:after="0" w:line="240" w:lineRule="auto"/>
              <w:jc w:val="both"/>
              <w:rPr>
                <w:rFonts w:ascii="Times New Roman" w:hAnsi="Times New Roman"/>
              </w:rPr>
            </w:pPr>
            <w:r w:rsidRPr="00596045">
              <w:rPr>
                <w:rFonts w:ascii="Times New Roman" w:hAnsi="Times New Roman"/>
              </w:rPr>
              <w:t>Plānotās elektroenerģijas tirgus atvēršanas rezultātā vairs nepastāvēs regulētie elektroenerģijas tarifi</w:t>
            </w:r>
            <w:r w:rsidR="00347831" w:rsidRPr="00596045">
              <w:rPr>
                <w:rFonts w:ascii="Times New Roman" w:hAnsi="Times New Roman"/>
              </w:rPr>
              <w:t>. Paredzams, ka elektroenerģijas kopējā cena mājsaimniecībām 2014. gadā pieaugs no 8,18 sant./kWh</w:t>
            </w:r>
            <w:r w:rsidR="005924B1">
              <w:rPr>
                <w:rFonts w:ascii="Times New Roman" w:hAnsi="Times New Roman"/>
              </w:rPr>
              <w:t xml:space="preserve"> (11,64 EUR cent./kWh) </w:t>
            </w:r>
            <w:r w:rsidR="00347831" w:rsidRPr="00596045">
              <w:rPr>
                <w:rFonts w:ascii="Times New Roman" w:hAnsi="Times New Roman"/>
              </w:rPr>
              <w:t>(</w:t>
            </w:r>
            <w:r w:rsidR="00347831" w:rsidRPr="00596045">
              <w:rPr>
                <w:rFonts w:ascii="Times New Roman" w:hAnsi="Times New Roman"/>
                <w:i/>
              </w:rPr>
              <w:t>Starta tarifs</w:t>
            </w:r>
            <w:r w:rsidR="00347831" w:rsidRPr="00596045">
              <w:rPr>
                <w:rFonts w:ascii="Times New Roman" w:hAnsi="Times New Roman"/>
              </w:rPr>
              <w:t>) vai 10,65 sant./kWh</w:t>
            </w:r>
            <w:r w:rsidR="005924B1">
              <w:rPr>
                <w:rFonts w:ascii="Times New Roman" w:hAnsi="Times New Roman"/>
              </w:rPr>
              <w:t xml:space="preserve"> (15,15 EUR cent./kWh) </w:t>
            </w:r>
            <w:r w:rsidR="00347831" w:rsidRPr="00596045">
              <w:rPr>
                <w:rFonts w:ascii="Times New Roman" w:hAnsi="Times New Roman"/>
              </w:rPr>
              <w:t xml:space="preserve"> (</w:t>
            </w:r>
            <w:r w:rsidR="00347831" w:rsidRPr="00596045">
              <w:rPr>
                <w:rFonts w:ascii="Times New Roman" w:hAnsi="Times New Roman"/>
                <w:i/>
              </w:rPr>
              <w:t>Pamata tarifs</w:t>
            </w:r>
            <w:r w:rsidR="00347831" w:rsidRPr="00596045">
              <w:rPr>
                <w:rFonts w:ascii="Times New Roman" w:hAnsi="Times New Roman"/>
              </w:rPr>
              <w:t>) līdz 11,30 sant./kWh</w:t>
            </w:r>
            <w:r w:rsidR="005924B1">
              <w:rPr>
                <w:rFonts w:ascii="Times New Roman" w:hAnsi="Times New Roman"/>
              </w:rPr>
              <w:t xml:space="preserve"> (16,08 EUR cent./kWh)</w:t>
            </w:r>
            <w:r w:rsidR="00347831" w:rsidRPr="00596045">
              <w:rPr>
                <w:rFonts w:ascii="Times New Roman" w:hAnsi="Times New Roman"/>
              </w:rPr>
              <w:t>. P</w:t>
            </w:r>
            <w:r w:rsidRPr="00596045">
              <w:rPr>
                <w:rFonts w:ascii="Times New Roman" w:hAnsi="Times New Roman"/>
              </w:rPr>
              <w:t xml:space="preserve">ieaugot elektroenerģijas kopējai cenai, </w:t>
            </w:r>
            <w:r w:rsidR="00347831" w:rsidRPr="00596045">
              <w:rPr>
                <w:rFonts w:ascii="Times New Roman" w:hAnsi="Times New Roman"/>
              </w:rPr>
              <w:t xml:space="preserve">vienlaikus </w:t>
            </w:r>
            <w:r w:rsidRPr="00596045">
              <w:rPr>
                <w:rFonts w:ascii="Times New Roman" w:hAnsi="Times New Roman"/>
              </w:rPr>
              <w:t>proporcionāli palielinās arī aprēķināmā</w:t>
            </w:r>
            <w:r w:rsidR="006F7D9F" w:rsidRPr="00596045">
              <w:rPr>
                <w:rFonts w:ascii="Times New Roman" w:hAnsi="Times New Roman"/>
              </w:rPr>
              <w:t xml:space="preserve"> </w:t>
            </w:r>
            <w:r w:rsidRPr="00596045">
              <w:rPr>
                <w:rFonts w:ascii="Times New Roman" w:hAnsi="Times New Roman"/>
              </w:rPr>
              <w:t>PVN summa (šobrīd elektroenerģijas piegād</w:t>
            </w:r>
            <w:r w:rsidR="00347831" w:rsidRPr="00596045">
              <w:rPr>
                <w:rFonts w:ascii="Times New Roman" w:hAnsi="Times New Roman"/>
              </w:rPr>
              <w:t>ēm piemēro PVN standartlikmi 21</w:t>
            </w:r>
            <w:r w:rsidRPr="00596045">
              <w:rPr>
                <w:rFonts w:ascii="Times New Roman" w:hAnsi="Times New Roman"/>
              </w:rPr>
              <w:t xml:space="preserve">% apmērā). </w:t>
            </w:r>
            <w:r w:rsidR="00127232" w:rsidRPr="00596045">
              <w:rPr>
                <w:rFonts w:ascii="Times New Roman" w:hAnsi="Times New Roman"/>
              </w:rPr>
              <w:t>P</w:t>
            </w:r>
            <w:r w:rsidRPr="00596045">
              <w:rPr>
                <w:rFonts w:ascii="Times New Roman" w:hAnsi="Times New Roman"/>
              </w:rPr>
              <w:t>ie elektroenerģijas kopējās cenas ar PVN 11,30 sant./kWh</w:t>
            </w:r>
            <w:r w:rsidR="005924B1">
              <w:rPr>
                <w:rFonts w:ascii="Times New Roman" w:hAnsi="Times New Roman"/>
              </w:rPr>
              <w:t xml:space="preserve"> (16,08 EUR cent./kWh)</w:t>
            </w:r>
            <w:r w:rsidRPr="00596045">
              <w:rPr>
                <w:rFonts w:ascii="Times New Roman" w:hAnsi="Times New Roman"/>
              </w:rPr>
              <w:t xml:space="preserve"> </w:t>
            </w:r>
            <w:r w:rsidR="005924B1">
              <w:rPr>
                <w:rFonts w:ascii="Times New Roman" w:hAnsi="Times New Roman"/>
              </w:rPr>
              <w:t xml:space="preserve"> </w:t>
            </w:r>
            <w:r w:rsidRPr="00596045">
              <w:rPr>
                <w:rFonts w:ascii="Times New Roman" w:hAnsi="Times New Roman"/>
              </w:rPr>
              <w:t>PVN summa sastādīs 1,96 sant.</w:t>
            </w:r>
            <w:r w:rsidR="005924B1">
              <w:rPr>
                <w:rFonts w:ascii="Times New Roman" w:hAnsi="Times New Roman"/>
              </w:rPr>
              <w:t xml:space="preserve"> (2,79 EUR cent.)</w:t>
            </w:r>
            <w:r w:rsidRPr="00596045">
              <w:rPr>
                <w:rFonts w:ascii="Times New Roman" w:hAnsi="Times New Roman"/>
              </w:rPr>
              <w:t>, kas, salīdzinot ar PVN summu, kas ietilpst Starta tarifā, nozīmē PVN summas pieaugumu par 0,54 santīmiem</w:t>
            </w:r>
            <w:r w:rsidR="005924B1">
              <w:rPr>
                <w:rFonts w:ascii="Times New Roman" w:hAnsi="Times New Roman"/>
              </w:rPr>
              <w:t xml:space="preserve"> (0,77 EUR cent.) </w:t>
            </w:r>
            <w:r w:rsidRPr="00596045">
              <w:rPr>
                <w:rFonts w:ascii="Times New Roman" w:hAnsi="Times New Roman"/>
              </w:rPr>
              <w:t>. Gada griezumā kopējais elektroenerģijas cenas pieaugums veidos papildus PVN maksājumus aptuveni 5.milj. LVL</w:t>
            </w:r>
            <w:r w:rsidR="005924B1">
              <w:rPr>
                <w:rFonts w:ascii="Times New Roman" w:hAnsi="Times New Roman"/>
              </w:rPr>
              <w:t xml:space="preserve"> (7,11 </w:t>
            </w:r>
            <w:proofErr w:type="spellStart"/>
            <w:r w:rsidR="005924B1">
              <w:rPr>
                <w:rFonts w:ascii="Times New Roman" w:hAnsi="Times New Roman"/>
              </w:rPr>
              <w:t>milj.EUR</w:t>
            </w:r>
            <w:proofErr w:type="spellEnd"/>
            <w:r w:rsidR="005924B1">
              <w:rPr>
                <w:rFonts w:ascii="Times New Roman" w:hAnsi="Times New Roman"/>
              </w:rPr>
              <w:t>)</w:t>
            </w:r>
            <w:r w:rsidRPr="00596045">
              <w:rPr>
                <w:rFonts w:ascii="Times New Roman" w:hAnsi="Times New Roman"/>
              </w:rPr>
              <w:t xml:space="preserve"> 2014.</w:t>
            </w:r>
            <w:r w:rsidR="006F7D9F" w:rsidRPr="00596045">
              <w:rPr>
                <w:rFonts w:ascii="Times New Roman" w:hAnsi="Times New Roman"/>
              </w:rPr>
              <w:t> </w:t>
            </w:r>
            <w:r w:rsidRPr="00596045">
              <w:rPr>
                <w:rFonts w:ascii="Times New Roman" w:hAnsi="Times New Roman"/>
              </w:rPr>
              <w:t xml:space="preserve">gadā, bet 2015.-2017. gadā un turpmākajos gados aptuveni 6,7 milj. LVL </w:t>
            </w:r>
            <w:r w:rsidR="005924B1">
              <w:rPr>
                <w:rFonts w:ascii="Times New Roman" w:hAnsi="Times New Roman"/>
              </w:rPr>
              <w:t xml:space="preserve"> (9,53 milj. EUR) </w:t>
            </w:r>
            <w:r w:rsidRPr="00596045">
              <w:rPr>
                <w:rFonts w:ascii="Times New Roman" w:hAnsi="Times New Roman"/>
              </w:rPr>
              <w:t>apmērā katru gadu.</w:t>
            </w:r>
          </w:p>
        </w:tc>
      </w:tr>
      <w:tr w:rsidR="00317127" w:rsidRPr="003D12AB" w:rsidTr="004F70FC">
        <w:tc>
          <w:tcPr>
            <w:tcW w:w="3491" w:type="dxa"/>
            <w:vAlign w:val="center"/>
          </w:tcPr>
          <w:p w:rsidR="00317127" w:rsidRPr="00843EA4" w:rsidRDefault="00317127">
            <w:pPr>
              <w:pStyle w:val="tvhtml1"/>
              <w:spacing w:before="0" w:beforeAutospacing="0" w:line="240" w:lineRule="auto"/>
              <w:jc w:val="center"/>
              <w:rPr>
                <w:rFonts w:ascii="Times New Roman" w:hAnsi="Times New Roman"/>
                <w:sz w:val="22"/>
                <w:szCs w:val="22"/>
              </w:rPr>
            </w:pPr>
            <w:r w:rsidRPr="00843EA4">
              <w:rPr>
                <w:rFonts w:ascii="Times New Roman" w:hAnsi="Times New Roman"/>
                <w:sz w:val="22"/>
                <w:szCs w:val="22"/>
              </w:rPr>
              <w:t>6.1. detalizēts ieņēmumu aprēķins</w:t>
            </w:r>
          </w:p>
        </w:tc>
        <w:tc>
          <w:tcPr>
            <w:tcW w:w="6149" w:type="dxa"/>
            <w:gridSpan w:val="5"/>
            <w:vMerge/>
            <w:vAlign w:val="center"/>
          </w:tcPr>
          <w:p w:rsidR="00317127" w:rsidRPr="00843EA4" w:rsidRDefault="00317127">
            <w:pPr>
              <w:spacing w:after="0" w:line="240" w:lineRule="auto"/>
              <w:rPr>
                <w:rFonts w:ascii="Times New Roman" w:hAnsi="Times New Roman"/>
                <w:iCs/>
                <w:lang w:eastAsia="lv-LV"/>
              </w:rPr>
            </w:pPr>
          </w:p>
        </w:tc>
      </w:tr>
      <w:tr w:rsidR="00317127" w:rsidRPr="003D12AB" w:rsidTr="004F70FC">
        <w:trPr>
          <w:trHeight w:val="391"/>
        </w:trPr>
        <w:tc>
          <w:tcPr>
            <w:tcW w:w="3491" w:type="dxa"/>
            <w:vAlign w:val="center"/>
          </w:tcPr>
          <w:p w:rsidR="00317127" w:rsidRPr="00843EA4" w:rsidRDefault="00317127">
            <w:pPr>
              <w:pStyle w:val="tvhtml1"/>
              <w:spacing w:before="0" w:beforeAutospacing="0" w:line="240" w:lineRule="auto"/>
              <w:jc w:val="center"/>
              <w:rPr>
                <w:rFonts w:ascii="Times New Roman" w:hAnsi="Times New Roman"/>
                <w:sz w:val="22"/>
                <w:szCs w:val="22"/>
              </w:rPr>
            </w:pPr>
            <w:r w:rsidRPr="00843EA4">
              <w:rPr>
                <w:rFonts w:ascii="Times New Roman" w:hAnsi="Times New Roman"/>
                <w:sz w:val="22"/>
                <w:szCs w:val="22"/>
              </w:rPr>
              <w:t>6.2. detalizēts izdevumu aprēķins</w:t>
            </w:r>
          </w:p>
        </w:tc>
        <w:tc>
          <w:tcPr>
            <w:tcW w:w="6149" w:type="dxa"/>
            <w:gridSpan w:val="5"/>
            <w:vMerge/>
            <w:vAlign w:val="center"/>
          </w:tcPr>
          <w:p w:rsidR="00317127" w:rsidRPr="00843EA4" w:rsidRDefault="00317127">
            <w:pPr>
              <w:spacing w:after="0" w:line="240" w:lineRule="auto"/>
              <w:rPr>
                <w:rFonts w:ascii="Times New Roman" w:hAnsi="Times New Roman"/>
                <w:iCs/>
                <w:lang w:eastAsia="lv-LV"/>
              </w:rPr>
            </w:pPr>
          </w:p>
        </w:tc>
      </w:tr>
      <w:tr w:rsidR="00317127" w:rsidRPr="003D12AB" w:rsidTr="004F70FC">
        <w:tc>
          <w:tcPr>
            <w:tcW w:w="3491" w:type="dxa"/>
            <w:vAlign w:val="center"/>
          </w:tcPr>
          <w:p w:rsidR="00317127" w:rsidRPr="00843EA4" w:rsidRDefault="00317127">
            <w:pPr>
              <w:pStyle w:val="tvhtml1"/>
              <w:spacing w:before="0" w:beforeAutospacing="0" w:line="240" w:lineRule="auto"/>
              <w:jc w:val="center"/>
              <w:rPr>
                <w:rFonts w:ascii="Times New Roman" w:hAnsi="Times New Roman"/>
                <w:sz w:val="22"/>
                <w:szCs w:val="22"/>
              </w:rPr>
            </w:pPr>
            <w:r w:rsidRPr="00843EA4">
              <w:rPr>
                <w:rFonts w:ascii="Times New Roman" w:hAnsi="Times New Roman"/>
                <w:sz w:val="22"/>
                <w:szCs w:val="22"/>
              </w:rPr>
              <w:t>7. Cita informācija</w:t>
            </w:r>
          </w:p>
        </w:tc>
        <w:tc>
          <w:tcPr>
            <w:tcW w:w="6149" w:type="dxa"/>
            <w:gridSpan w:val="5"/>
            <w:vAlign w:val="center"/>
          </w:tcPr>
          <w:p w:rsidR="00317127" w:rsidRPr="00843EA4" w:rsidRDefault="00CF0EC2" w:rsidP="00317127">
            <w:pPr>
              <w:pStyle w:val="tvhtml"/>
              <w:spacing w:before="0" w:beforeAutospacing="0" w:after="0" w:afterAutospacing="0"/>
              <w:jc w:val="both"/>
              <w:rPr>
                <w:rFonts w:ascii="Times New Roman" w:hAnsi="Times New Roman"/>
                <w:iCs/>
                <w:sz w:val="22"/>
                <w:szCs w:val="22"/>
              </w:rPr>
            </w:pPr>
            <w:r>
              <w:rPr>
                <w:rFonts w:ascii="Times New Roman" w:hAnsi="Times New Roman"/>
                <w:iCs/>
                <w:sz w:val="22"/>
                <w:szCs w:val="22"/>
              </w:rPr>
              <w:t>Nav.</w:t>
            </w:r>
          </w:p>
        </w:tc>
      </w:tr>
    </w:tbl>
    <w:p w:rsidR="005526CE" w:rsidRDefault="005526CE" w:rsidP="00A0154D">
      <w:pPr>
        <w:pStyle w:val="tvhtml"/>
        <w:spacing w:before="0" w:beforeAutospacing="0" w:after="0" w:afterAutospacing="0"/>
        <w:jc w:val="center"/>
        <w:rPr>
          <w:rFonts w:ascii="Times New Roman" w:hAnsi="Times New Roman"/>
          <w:iCs/>
          <w:sz w:val="22"/>
          <w:szCs w:val="22"/>
        </w:rPr>
      </w:pPr>
    </w:p>
    <w:p w:rsidR="00F54F7D" w:rsidRPr="003D12AB" w:rsidRDefault="00F54F7D" w:rsidP="00A0154D">
      <w:pPr>
        <w:pStyle w:val="tvhtml"/>
        <w:spacing w:before="0" w:beforeAutospacing="0" w:after="0" w:afterAutospacing="0"/>
        <w:jc w:val="center"/>
        <w:rPr>
          <w:rFonts w:ascii="Times New Roman" w:hAnsi="Times New Roman"/>
          <w:iCs/>
          <w:sz w:val="22"/>
          <w:szCs w:val="22"/>
        </w:rPr>
      </w:pPr>
    </w:p>
    <w:tbl>
      <w:tblPr>
        <w:tblW w:w="5279" w:type="pct"/>
        <w:tblInd w:w="-254"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525"/>
        <w:gridCol w:w="3588"/>
        <w:gridCol w:w="5528"/>
      </w:tblGrid>
      <w:tr w:rsidR="003D12AB" w:rsidRPr="003D12AB" w:rsidTr="00F84CD4">
        <w:tc>
          <w:tcPr>
            <w:tcW w:w="5000" w:type="pct"/>
            <w:gridSpan w:val="3"/>
            <w:tcBorders>
              <w:top w:val="single" w:sz="6" w:space="0" w:color="000000"/>
              <w:left w:val="single" w:sz="6" w:space="0" w:color="000000"/>
              <w:bottom w:val="outset" w:sz="6" w:space="0" w:color="000000"/>
              <w:right w:val="single" w:sz="6" w:space="0" w:color="000000"/>
            </w:tcBorders>
          </w:tcPr>
          <w:p w:rsidR="005526CE" w:rsidRPr="003D12AB" w:rsidRDefault="005526CE">
            <w:pPr>
              <w:pStyle w:val="NormalWeb"/>
              <w:spacing w:before="0" w:beforeAutospacing="0" w:after="0" w:afterAutospacing="0"/>
              <w:jc w:val="center"/>
              <w:rPr>
                <w:b/>
                <w:bCs/>
                <w:sz w:val="22"/>
                <w:szCs w:val="22"/>
                <w:lang w:val="lv-LV" w:eastAsia="lv-LV"/>
              </w:rPr>
            </w:pPr>
            <w:r w:rsidRPr="003D12AB">
              <w:rPr>
                <w:b/>
                <w:bCs/>
                <w:sz w:val="22"/>
                <w:szCs w:val="22"/>
                <w:lang w:val="lv-LV" w:eastAsia="lv-LV"/>
              </w:rPr>
              <w:t>IV. Tiesību akta projekta ietekme uz spēkā esošo tiesību normu sistēmu</w:t>
            </w:r>
          </w:p>
        </w:tc>
      </w:tr>
      <w:tr w:rsidR="003D12AB" w:rsidRPr="003D12AB" w:rsidTr="001017EE">
        <w:tc>
          <w:tcPr>
            <w:tcW w:w="272" w:type="pct"/>
            <w:tcBorders>
              <w:top w:val="outset" w:sz="6" w:space="0" w:color="000000"/>
              <w:bottom w:val="outset" w:sz="6" w:space="0" w:color="000000"/>
              <w:right w:val="outset" w:sz="6" w:space="0" w:color="000000"/>
            </w:tcBorders>
          </w:tcPr>
          <w:p w:rsidR="005526CE" w:rsidRPr="003D12AB" w:rsidRDefault="005526CE">
            <w:pPr>
              <w:pStyle w:val="NormalWeb"/>
              <w:spacing w:before="0" w:beforeAutospacing="0" w:after="0" w:afterAutospacing="0"/>
              <w:rPr>
                <w:sz w:val="22"/>
                <w:szCs w:val="22"/>
                <w:lang w:val="lv-LV" w:eastAsia="lv-LV"/>
              </w:rPr>
            </w:pPr>
            <w:r w:rsidRPr="003D12AB">
              <w:rPr>
                <w:sz w:val="22"/>
                <w:szCs w:val="22"/>
                <w:lang w:val="lv-LV" w:eastAsia="lv-LV"/>
              </w:rPr>
              <w:t>1.</w:t>
            </w:r>
          </w:p>
        </w:tc>
        <w:tc>
          <w:tcPr>
            <w:tcW w:w="1861" w:type="pct"/>
            <w:tcBorders>
              <w:top w:val="outset" w:sz="6" w:space="0" w:color="000000"/>
              <w:left w:val="outset" w:sz="6" w:space="0" w:color="000000"/>
              <w:bottom w:val="outset" w:sz="6" w:space="0" w:color="000000"/>
              <w:right w:val="outset" w:sz="6" w:space="0" w:color="000000"/>
            </w:tcBorders>
          </w:tcPr>
          <w:p w:rsidR="005526CE" w:rsidRPr="003D12AB" w:rsidRDefault="005526CE">
            <w:pPr>
              <w:pStyle w:val="NormalWeb"/>
              <w:spacing w:before="0" w:beforeAutospacing="0" w:after="0" w:afterAutospacing="0"/>
              <w:rPr>
                <w:sz w:val="22"/>
                <w:szCs w:val="22"/>
                <w:lang w:val="lv-LV" w:eastAsia="lv-LV"/>
              </w:rPr>
            </w:pPr>
            <w:r w:rsidRPr="003D12AB">
              <w:rPr>
                <w:sz w:val="22"/>
                <w:szCs w:val="22"/>
                <w:lang w:val="lv-LV" w:eastAsia="lv-LV"/>
              </w:rPr>
              <w:t>Nepieciešamie saistītie tiesību aktu projekti</w:t>
            </w:r>
          </w:p>
        </w:tc>
        <w:tc>
          <w:tcPr>
            <w:tcW w:w="2867" w:type="pct"/>
            <w:tcBorders>
              <w:top w:val="outset" w:sz="6" w:space="0" w:color="000000"/>
              <w:left w:val="outset" w:sz="6" w:space="0" w:color="000000"/>
              <w:bottom w:val="outset" w:sz="6" w:space="0" w:color="000000"/>
            </w:tcBorders>
          </w:tcPr>
          <w:p w:rsidR="00E71350" w:rsidRPr="003D12AB" w:rsidRDefault="005526CE" w:rsidP="006F7D9F">
            <w:pPr>
              <w:pStyle w:val="NormalWeb"/>
              <w:spacing w:before="0" w:beforeAutospacing="0" w:after="0" w:afterAutospacing="0"/>
              <w:jc w:val="both"/>
              <w:rPr>
                <w:sz w:val="22"/>
                <w:szCs w:val="22"/>
                <w:lang w:val="lv-LV" w:eastAsia="lv-LV"/>
              </w:rPr>
            </w:pPr>
            <w:r w:rsidRPr="003D12AB">
              <w:rPr>
                <w:sz w:val="22"/>
                <w:szCs w:val="22"/>
                <w:lang w:val="lv-LV" w:eastAsia="lv-LV"/>
              </w:rPr>
              <w:t xml:space="preserve">Nepieciešamas izmaiņas </w:t>
            </w:r>
            <w:r w:rsidR="006F7D9F">
              <w:rPr>
                <w:sz w:val="22"/>
                <w:szCs w:val="22"/>
                <w:lang w:val="lv-LV" w:eastAsia="lv-LV"/>
              </w:rPr>
              <w:t>914. noteikumos</w:t>
            </w:r>
            <w:r w:rsidRPr="003D12AB">
              <w:rPr>
                <w:sz w:val="22"/>
                <w:szCs w:val="22"/>
                <w:lang w:val="lv-LV" w:eastAsia="lv-LV"/>
              </w:rPr>
              <w:t>. Paredzēts, ka nepieciešamās izmaiņas tiks izstrādātas un noteikumi tiks izdoti līdz 20</w:t>
            </w:r>
            <w:r w:rsidR="00E71350">
              <w:rPr>
                <w:sz w:val="22"/>
                <w:szCs w:val="22"/>
                <w:lang w:val="lv-LV" w:eastAsia="lv-LV"/>
              </w:rPr>
              <w:t>14.gada 1. janvārim</w:t>
            </w:r>
            <w:r w:rsidR="004F7329">
              <w:rPr>
                <w:sz w:val="22"/>
                <w:szCs w:val="22"/>
                <w:lang w:val="lv-LV" w:eastAsia="lv-LV"/>
              </w:rPr>
              <w:t>.</w:t>
            </w:r>
          </w:p>
        </w:tc>
      </w:tr>
      <w:tr w:rsidR="003D12AB" w:rsidRPr="003D12AB" w:rsidTr="001017EE">
        <w:trPr>
          <w:trHeight w:val="35"/>
        </w:trPr>
        <w:tc>
          <w:tcPr>
            <w:tcW w:w="272" w:type="pct"/>
            <w:tcBorders>
              <w:top w:val="outset" w:sz="6" w:space="0" w:color="000000"/>
              <w:bottom w:val="outset" w:sz="6" w:space="0" w:color="000000"/>
              <w:right w:val="outset" w:sz="6" w:space="0" w:color="000000"/>
            </w:tcBorders>
          </w:tcPr>
          <w:p w:rsidR="005526CE" w:rsidRPr="003D12AB" w:rsidRDefault="005526CE">
            <w:pPr>
              <w:pStyle w:val="NormalWeb"/>
              <w:spacing w:before="0" w:beforeAutospacing="0" w:after="0" w:afterAutospacing="0"/>
              <w:rPr>
                <w:sz w:val="22"/>
                <w:szCs w:val="22"/>
                <w:lang w:val="lv-LV" w:eastAsia="lv-LV"/>
              </w:rPr>
            </w:pPr>
            <w:r w:rsidRPr="003D12AB">
              <w:rPr>
                <w:sz w:val="22"/>
                <w:szCs w:val="22"/>
                <w:lang w:val="lv-LV" w:eastAsia="lv-LV"/>
              </w:rPr>
              <w:t>2.</w:t>
            </w:r>
          </w:p>
        </w:tc>
        <w:tc>
          <w:tcPr>
            <w:tcW w:w="1861" w:type="pct"/>
            <w:tcBorders>
              <w:top w:val="outset" w:sz="6" w:space="0" w:color="000000"/>
              <w:left w:val="outset" w:sz="6" w:space="0" w:color="000000"/>
              <w:bottom w:val="outset" w:sz="6" w:space="0" w:color="000000"/>
              <w:right w:val="outset" w:sz="6" w:space="0" w:color="000000"/>
            </w:tcBorders>
          </w:tcPr>
          <w:p w:rsidR="005526CE" w:rsidRPr="003D12AB" w:rsidRDefault="005526CE">
            <w:pPr>
              <w:pStyle w:val="NormalWeb"/>
              <w:spacing w:before="0" w:beforeAutospacing="0" w:after="0" w:afterAutospacing="0"/>
              <w:rPr>
                <w:sz w:val="22"/>
                <w:szCs w:val="22"/>
                <w:lang w:val="lv-LV" w:eastAsia="lv-LV"/>
              </w:rPr>
            </w:pPr>
            <w:r w:rsidRPr="003D12AB">
              <w:rPr>
                <w:sz w:val="22"/>
                <w:szCs w:val="22"/>
                <w:lang w:val="lv-LV" w:eastAsia="lv-LV"/>
              </w:rPr>
              <w:t>Cita informācija</w:t>
            </w:r>
          </w:p>
        </w:tc>
        <w:tc>
          <w:tcPr>
            <w:tcW w:w="2867" w:type="pct"/>
            <w:tcBorders>
              <w:top w:val="outset" w:sz="6" w:space="0" w:color="000000"/>
              <w:left w:val="outset" w:sz="6" w:space="0" w:color="000000"/>
              <w:bottom w:val="outset" w:sz="6" w:space="0" w:color="000000"/>
            </w:tcBorders>
          </w:tcPr>
          <w:p w:rsidR="005526CE" w:rsidRPr="003D12AB" w:rsidRDefault="005526CE" w:rsidP="006C0B2F">
            <w:pPr>
              <w:pStyle w:val="PlainText"/>
              <w:jc w:val="both"/>
              <w:rPr>
                <w:sz w:val="22"/>
                <w:szCs w:val="22"/>
                <w:lang w:eastAsia="lv-LV"/>
              </w:rPr>
            </w:pPr>
            <w:r w:rsidRPr="003D12AB">
              <w:rPr>
                <w:rFonts w:ascii="Times New Roman" w:hAnsi="Times New Roman"/>
                <w:sz w:val="22"/>
                <w:szCs w:val="22"/>
                <w:lang w:eastAsia="lv-LV"/>
              </w:rPr>
              <w:t>Valdības rīcības plāna (apstiprināts ar MK 16.02.2012. rīkojumu Nr.84 „Par Valdības rīcības plānu Deklarācijas par Valda Dombrovska vadītā Ministru kabineta iecerēto darbību īstenošanai”) 17.4.</w:t>
            </w:r>
            <w:r w:rsidR="006F7D9F">
              <w:rPr>
                <w:rFonts w:ascii="Times New Roman" w:hAnsi="Times New Roman"/>
                <w:sz w:val="22"/>
                <w:szCs w:val="22"/>
                <w:lang w:eastAsia="lv-LV"/>
              </w:rPr>
              <w:t> </w:t>
            </w:r>
            <w:r w:rsidRPr="003D12AB">
              <w:rPr>
                <w:rFonts w:ascii="Times New Roman" w:hAnsi="Times New Roman"/>
                <w:sz w:val="22"/>
                <w:szCs w:val="22"/>
                <w:lang w:eastAsia="lv-LV"/>
              </w:rPr>
              <w:t xml:space="preserve">punktā noteikts uzdevums Ekonomikas ministrijai sadarbībā ar </w:t>
            </w:r>
            <w:r w:rsidR="006C0B2F">
              <w:rPr>
                <w:rFonts w:ascii="Times New Roman" w:hAnsi="Times New Roman"/>
                <w:sz w:val="22"/>
                <w:szCs w:val="22"/>
                <w:lang w:eastAsia="lv-LV"/>
              </w:rPr>
              <w:t>Vides aizsardzības reģionālās attīstības ministriju</w:t>
            </w:r>
            <w:r w:rsidRPr="003D12AB">
              <w:rPr>
                <w:rFonts w:ascii="Times New Roman" w:hAnsi="Times New Roman"/>
                <w:sz w:val="22"/>
                <w:szCs w:val="22"/>
                <w:lang w:eastAsia="lv-LV"/>
              </w:rPr>
              <w:t xml:space="preserve"> izstrādāt un līdz 2013.</w:t>
            </w:r>
            <w:r w:rsidR="006F7D9F">
              <w:rPr>
                <w:rFonts w:ascii="Times New Roman" w:hAnsi="Times New Roman"/>
                <w:sz w:val="22"/>
                <w:szCs w:val="22"/>
                <w:lang w:eastAsia="lv-LV"/>
              </w:rPr>
              <w:t> </w:t>
            </w:r>
            <w:r w:rsidRPr="003D12AB">
              <w:rPr>
                <w:rFonts w:ascii="Times New Roman" w:hAnsi="Times New Roman"/>
                <w:sz w:val="22"/>
                <w:szCs w:val="22"/>
                <w:lang w:eastAsia="lv-LV"/>
              </w:rPr>
              <w:t>gada 15.</w:t>
            </w:r>
            <w:r w:rsidR="006F7D9F">
              <w:rPr>
                <w:rFonts w:ascii="Times New Roman" w:hAnsi="Times New Roman"/>
                <w:sz w:val="22"/>
                <w:szCs w:val="22"/>
                <w:lang w:eastAsia="lv-LV"/>
              </w:rPr>
              <w:t> </w:t>
            </w:r>
            <w:r w:rsidRPr="003D12AB">
              <w:rPr>
                <w:rFonts w:ascii="Times New Roman" w:hAnsi="Times New Roman"/>
                <w:sz w:val="22"/>
                <w:szCs w:val="22"/>
                <w:lang w:eastAsia="lv-LV"/>
              </w:rPr>
              <w:t>oktobrim iesniegt Valdībā vienotus nosacījumus dzīvokļa pabalstu saņemšanai valstī.</w:t>
            </w:r>
          </w:p>
        </w:tc>
      </w:tr>
    </w:tbl>
    <w:p w:rsidR="00F54F7D" w:rsidRDefault="00F54F7D" w:rsidP="004F70FC">
      <w:pPr>
        <w:pStyle w:val="tvhtml"/>
        <w:spacing w:before="120" w:beforeAutospacing="0" w:after="120" w:afterAutospacing="0"/>
        <w:jc w:val="center"/>
        <w:rPr>
          <w:rFonts w:ascii="Times New Roman" w:hAnsi="Times New Roman"/>
          <w:i/>
          <w:iCs/>
          <w:sz w:val="22"/>
          <w:szCs w:val="22"/>
        </w:rPr>
      </w:pPr>
    </w:p>
    <w:p w:rsidR="00E129FC" w:rsidRPr="004F70FC" w:rsidRDefault="004F70FC" w:rsidP="004F70FC">
      <w:pPr>
        <w:pStyle w:val="tvhtml"/>
        <w:spacing w:before="120" w:beforeAutospacing="0" w:after="120" w:afterAutospacing="0"/>
        <w:jc w:val="center"/>
        <w:rPr>
          <w:rFonts w:ascii="Times New Roman" w:hAnsi="Times New Roman"/>
          <w:i/>
          <w:iCs/>
          <w:sz w:val="22"/>
          <w:szCs w:val="22"/>
        </w:rPr>
      </w:pPr>
      <w:r w:rsidRPr="004F70FC">
        <w:rPr>
          <w:rFonts w:ascii="Times New Roman" w:hAnsi="Times New Roman"/>
          <w:i/>
          <w:iCs/>
          <w:sz w:val="22"/>
          <w:szCs w:val="22"/>
        </w:rPr>
        <w:t>Anotācijas V sadaļa – projekts šīs jomas neskar.</w:t>
      </w:r>
    </w:p>
    <w:tbl>
      <w:tblPr>
        <w:tblW w:w="5279" w:type="pct"/>
        <w:tblInd w:w="-254"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525"/>
        <w:gridCol w:w="44"/>
        <w:gridCol w:w="2977"/>
        <w:gridCol w:w="6095"/>
      </w:tblGrid>
      <w:tr w:rsidR="003D12AB" w:rsidRPr="003D12AB" w:rsidTr="005261D0">
        <w:tc>
          <w:tcPr>
            <w:tcW w:w="5000" w:type="pct"/>
            <w:gridSpan w:val="4"/>
            <w:tcBorders>
              <w:top w:val="single" w:sz="6" w:space="0" w:color="000000"/>
              <w:left w:val="single" w:sz="6" w:space="0" w:color="000000"/>
              <w:bottom w:val="outset" w:sz="6" w:space="0" w:color="000000"/>
              <w:right w:val="single" w:sz="6" w:space="0" w:color="000000"/>
            </w:tcBorders>
          </w:tcPr>
          <w:p w:rsidR="005526CE" w:rsidRPr="003D12AB" w:rsidRDefault="005526CE">
            <w:pPr>
              <w:pStyle w:val="tvhtml1"/>
              <w:jc w:val="center"/>
              <w:rPr>
                <w:rFonts w:ascii="Times New Roman" w:hAnsi="Times New Roman"/>
                <w:sz w:val="22"/>
                <w:szCs w:val="22"/>
              </w:rPr>
            </w:pPr>
            <w:r w:rsidRPr="003D12AB">
              <w:rPr>
                <w:rFonts w:ascii="Times New Roman" w:hAnsi="Times New Roman"/>
                <w:b/>
                <w:bCs/>
                <w:sz w:val="22"/>
                <w:szCs w:val="22"/>
              </w:rPr>
              <w:t>VI. Sabiedrības līdzdalība un šīs līdzdalības rezultāti</w:t>
            </w:r>
          </w:p>
        </w:tc>
      </w:tr>
      <w:tr w:rsidR="003D12AB" w:rsidRPr="003D12AB" w:rsidTr="005261D0">
        <w:tc>
          <w:tcPr>
            <w:tcW w:w="272" w:type="pct"/>
            <w:tcBorders>
              <w:top w:val="outset" w:sz="6" w:space="0" w:color="000000"/>
              <w:bottom w:val="outset" w:sz="6" w:space="0" w:color="000000"/>
              <w:right w:val="outset" w:sz="6" w:space="0" w:color="000000"/>
            </w:tcBorders>
          </w:tcPr>
          <w:p w:rsidR="005526CE" w:rsidRPr="003D12AB" w:rsidRDefault="005526CE">
            <w:pPr>
              <w:pStyle w:val="NormalWeb"/>
              <w:spacing w:before="0" w:beforeAutospacing="0" w:after="0" w:afterAutospacing="0"/>
              <w:rPr>
                <w:sz w:val="22"/>
                <w:szCs w:val="22"/>
                <w:lang w:val="lv-LV" w:eastAsia="en-US"/>
              </w:rPr>
            </w:pPr>
            <w:r w:rsidRPr="003D12AB">
              <w:rPr>
                <w:sz w:val="22"/>
                <w:szCs w:val="22"/>
                <w:lang w:val="lv-LV" w:eastAsia="en-US"/>
              </w:rPr>
              <w:t>1.</w:t>
            </w:r>
          </w:p>
        </w:tc>
        <w:tc>
          <w:tcPr>
            <w:tcW w:w="1567" w:type="pct"/>
            <w:gridSpan w:val="2"/>
            <w:tcBorders>
              <w:top w:val="outset" w:sz="6" w:space="0" w:color="000000"/>
              <w:left w:val="outset" w:sz="6" w:space="0" w:color="000000"/>
              <w:bottom w:val="outset" w:sz="6" w:space="0" w:color="000000"/>
              <w:right w:val="outset" w:sz="6" w:space="0" w:color="000000"/>
            </w:tcBorders>
          </w:tcPr>
          <w:p w:rsidR="005526CE" w:rsidRPr="003D12AB" w:rsidRDefault="005526CE">
            <w:pPr>
              <w:pStyle w:val="tvhtml1"/>
              <w:spacing w:before="0" w:beforeAutospacing="0" w:line="240" w:lineRule="auto"/>
              <w:rPr>
                <w:rFonts w:ascii="Times New Roman" w:hAnsi="Times New Roman"/>
                <w:sz w:val="22"/>
                <w:szCs w:val="22"/>
              </w:rPr>
            </w:pPr>
            <w:r w:rsidRPr="003D12AB">
              <w:rPr>
                <w:rFonts w:ascii="Times New Roman" w:hAnsi="Times New Roman"/>
                <w:sz w:val="22"/>
                <w:szCs w:val="22"/>
              </w:rPr>
              <w:t>Sabiedrības informēšana par projekta izstrādes uzsākšanu</w:t>
            </w:r>
          </w:p>
        </w:tc>
        <w:tc>
          <w:tcPr>
            <w:tcW w:w="3161" w:type="pct"/>
            <w:tcBorders>
              <w:top w:val="outset" w:sz="6" w:space="0" w:color="000000"/>
              <w:left w:val="outset" w:sz="6" w:space="0" w:color="000000"/>
              <w:bottom w:val="outset" w:sz="6" w:space="0" w:color="000000"/>
            </w:tcBorders>
          </w:tcPr>
          <w:p w:rsidR="005526CE" w:rsidRPr="003D12AB" w:rsidRDefault="005526CE" w:rsidP="004F70FC">
            <w:pPr>
              <w:pStyle w:val="NormalWeb"/>
              <w:spacing w:before="0" w:beforeAutospacing="0" w:after="0" w:afterAutospacing="0"/>
              <w:jc w:val="both"/>
              <w:rPr>
                <w:sz w:val="22"/>
                <w:szCs w:val="22"/>
                <w:lang w:val="lv-LV" w:eastAsia="en-US"/>
              </w:rPr>
            </w:pPr>
            <w:r w:rsidRPr="003D12AB">
              <w:rPr>
                <w:sz w:val="22"/>
                <w:szCs w:val="22"/>
                <w:lang w:val="lv-LV" w:eastAsia="en-US"/>
              </w:rPr>
              <w:t xml:space="preserve">Tika sagatavots un </w:t>
            </w:r>
            <w:r w:rsidR="00636777" w:rsidRPr="003D12AB">
              <w:rPr>
                <w:sz w:val="22"/>
                <w:szCs w:val="22"/>
                <w:lang w:val="lv-LV" w:eastAsia="en-US"/>
              </w:rPr>
              <w:t>2012.</w:t>
            </w:r>
            <w:r w:rsidR="006F7D9F">
              <w:rPr>
                <w:sz w:val="22"/>
                <w:szCs w:val="22"/>
                <w:lang w:val="lv-LV" w:eastAsia="en-US"/>
              </w:rPr>
              <w:t> </w:t>
            </w:r>
            <w:r w:rsidR="00636777" w:rsidRPr="003D12AB">
              <w:rPr>
                <w:sz w:val="22"/>
                <w:szCs w:val="22"/>
                <w:lang w:val="lv-LV" w:eastAsia="en-US"/>
              </w:rPr>
              <w:t>gada 20.</w:t>
            </w:r>
            <w:r w:rsidR="006F7D9F">
              <w:rPr>
                <w:sz w:val="22"/>
                <w:szCs w:val="22"/>
                <w:lang w:val="lv-LV" w:eastAsia="en-US"/>
              </w:rPr>
              <w:t> </w:t>
            </w:r>
            <w:r w:rsidR="00636777" w:rsidRPr="003D12AB">
              <w:rPr>
                <w:sz w:val="22"/>
                <w:szCs w:val="22"/>
                <w:lang w:val="lv-LV" w:eastAsia="en-US"/>
              </w:rPr>
              <w:t>septembrī pieteikts Valsts sekretāru sanāksmei atbilstošs</w:t>
            </w:r>
            <w:r w:rsidRPr="003D12AB">
              <w:rPr>
                <w:sz w:val="22"/>
                <w:szCs w:val="22"/>
                <w:lang w:val="lv-LV" w:eastAsia="en-US"/>
              </w:rPr>
              <w:t xml:space="preserve"> informatīvais ziņojums.</w:t>
            </w:r>
          </w:p>
        </w:tc>
      </w:tr>
      <w:tr w:rsidR="003D12AB" w:rsidRPr="003D12AB" w:rsidTr="005261D0">
        <w:trPr>
          <w:trHeight w:val="35"/>
        </w:trPr>
        <w:tc>
          <w:tcPr>
            <w:tcW w:w="272" w:type="pct"/>
            <w:tcBorders>
              <w:top w:val="outset" w:sz="6" w:space="0" w:color="000000"/>
              <w:bottom w:val="outset" w:sz="6" w:space="0" w:color="000000"/>
              <w:right w:val="outset" w:sz="6" w:space="0" w:color="000000"/>
            </w:tcBorders>
          </w:tcPr>
          <w:p w:rsidR="005526CE" w:rsidRPr="003D12AB" w:rsidRDefault="005526CE">
            <w:pPr>
              <w:pStyle w:val="NormalWeb"/>
              <w:spacing w:before="0" w:beforeAutospacing="0" w:after="0" w:afterAutospacing="0"/>
              <w:rPr>
                <w:sz w:val="22"/>
                <w:szCs w:val="22"/>
                <w:lang w:val="lv-LV" w:eastAsia="en-US"/>
              </w:rPr>
            </w:pPr>
            <w:r w:rsidRPr="003D12AB">
              <w:rPr>
                <w:sz w:val="22"/>
                <w:szCs w:val="22"/>
                <w:lang w:val="lv-LV" w:eastAsia="en-US"/>
              </w:rPr>
              <w:t>2.</w:t>
            </w:r>
          </w:p>
        </w:tc>
        <w:tc>
          <w:tcPr>
            <w:tcW w:w="1567" w:type="pct"/>
            <w:gridSpan w:val="2"/>
            <w:tcBorders>
              <w:top w:val="outset" w:sz="6" w:space="0" w:color="000000"/>
              <w:left w:val="outset" w:sz="6" w:space="0" w:color="000000"/>
              <w:bottom w:val="outset" w:sz="6" w:space="0" w:color="000000"/>
              <w:right w:val="outset" w:sz="6" w:space="0" w:color="000000"/>
            </w:tcBorders>
          </w:tcPr>
          <w:p w:rsidR="005526CE" w:rsidRPr="003D12AB" w:rsidRDefault="005526CE">
            <w:pPr>
              <w:pStyle w:val="tvhtml1"/>
              <w:spacing w:before="0" w:beforeAutospacing="0" w:line="240" w:lineRule="auto"/>
              <w:rPr>
                <w:rFonts w:ascii="Times New Roman" w:hAnsi="Times New Roman"/>
                <w:sz w:val="22"/>
                <w:szCs w:val="22"/>
              </w:rPr>
            </w:pPr>
            <w:r w:rsidRPr="003D12AB">
              <w:rPr>
                <w:rFonts w:ascii="Times New Roman" w:hAnsi="Times New Roman"/>
                <w:sz w:val="22"/>
                <w:szCs w:val="22"/>
              </w:rPr>
              <w:t>Sabiedrības līdzdalība projekta izstrādē</w:t>
            </w:r>
          </w:p>
          <w:p w:rsidR="005526CE" w:rsidRPr="003D12AB" w:rsidRDefault="005526CE">
            <w:pPr>
              <w:pStyle w:val="NormalWeb"/>
              <w:spacing w:before="0" w:beforeAutospacing="0" w:after="0" w:afterAutospacing="0"/>
              <w:rPr>
                <w:sz w:val="22"/>
                <w:szCs w:val="22"/>
                <w:lang w:val="lv-LV" w:eastAsia="en-US"/>
              </w:rPr>
            </w:pPr>
          </w:p>
        </w:tc>
        <w:tc>
          <w:tcPr>
            <w:tcW w:w="3161" w:type="pct"/>
            <w:tcBorders>
              <w:top w:val="outset" w:sz="6" w:space="0" w:color="000000"/>
              <w:left w:val="outset" w:sz="6" w:space="0" w:color="000000"/>
              <w:bottom w:val="outset" w:sz="6" w:space="0" w:color="000000"/>
            </w:tcBorders>
          </w:tcPr>
          <w:p w:rsidR="005526CE" w:rsidRPr="003D12AB" w:rsidRDefault="005526CE" w:rsidP="004F70FC">
            <w:pPr>
              <w:pStyle w:val="NormalWeb"/>
              <w:spacing w:before="0" w:beforeAutospacing="0" w:after="0" w:afterAutospacing="0"/>
              <w:jc w:val="both"/>
              <w:rPr>
                <w:sz w:val="22"/>
                <w:szCs w:val="22"/>
                <w:lang w:val="lv-LV" w:eastAsia="en-US"/>
              </w:rPr>
            </w:pPr>
            <w:r w:rsidRPr="003D12AB">
              <w:rPr>
                <w:sz w:val="22"/>
                <w:szCs w:val="22"/>
                <w:lang w:val="lv-LV" w:eastAsia="en-US"/>
              </w:rPr>
              <w:t>2013.</w:t>
            </w:r>
            <w:r w:rsidR="006F7D9F">
              <w:rPr>
                <w:sz w:val="22"/>
                <w:szCs w:val="22"/>
                <w:lang w:val="lv-LV" w:eastAsia="en-US"/>
              </w:rPr>
              <w:t> </w:t>
            </w:r>
            <w:r w:rsidRPr="003D12AB">
              <w:rPr>
                <w:sz w:val="22"/>
                <w:szCs w:val="22"/>
                <w:lang w:val="lv-LV" w:eastAsia="en-US"/>
              </w:rPr>
              <w:t>gada 4.</w:t>
            </w:r>
            <w:r w:rsidR="006F7D9F">
              <w:rPr>
                <w:sz w:val="22"/>
                <w:szCs w:val="22"/>
                <w:lang w:val="lv-LV" w:eastAsia="en-US"/>
              </w:rPr>
              <w:t> </w:t>
            </w:r>
            <w:r w:rsidRPr="003D12AB">
              <w:rPr>
                <w:sz w:val="22"/>
                <w:szCs w:val="22"/>
                <w:lang w:val="lv-LV" w:eastAsia="en-US"/>
              </w:rPr>
              <w:t>janvārī notika Elektroenerģijas tirgus konsultatīvās padomes sēde, kuras laikā tika sniegti priekšlikumi likumprojekta izstrādei.</w:t>
            </w:r>
          </w:p>
        </w:tc>
      </w:tr>
      <w:tr w:rsidR="003D12AB" w:rsidRPr="003D12AB" w:rsidTr="005261D0">
        <w:trPr>
          <w:trHeight w:val="35"/>
        </w:trPr>
        <w:tc>
          <w:tcPr>
            <w:tcW w:w="272" w:type="pct"/>
            <w:tcBorders>
              <w:top w:val="outset" w:sz="6" w:space="0" w:color="000000"/>
              <w:bottom w:val="outset" w:sz="6" w:space="0" w:color="000000"/>
              <w:right w:val="outset" w:sz="6" w:space="0" w:color="000000"/>
            </w:tcBorders>
          </w:tcPr>
          <w:p w:rsidR="005526CE" w:rsidRPr="003D12AB" w:rsidRDefault="005526CE">
            <w:pPr>
              <w:pStyle w:val="NormalWeb"/>
              <w:spacing w:before="0" w:beforeAutospacing="0" w:after="0" w:afterAutospacing="0"/>
              <w:rPr>
                <w:sz w:val="22"/>
                <w:szCs w:val="22"/>
                <w:lang w:val="lv-LV" w:eastAsia="en-US"/>
              </w:rPr>
            </w:pPr>
            <w:r w:rsidRPr="003D12AB">
              <w:rPr>
                <w:sz w:val="22"/>
                <w:szCs w:val="22"/>
                <w:lang w:val="lv-LV" w:eastAsia="en-US"/>
              </w:rPr>
              <w:t>3.</w:t>
            </w:r>
          </w:p>
        </w:tc>
        <w:tc>
          <w:tcPr>
            <w:tcW w:w="1567" w:type="pct"/>
            <w:gridSpan w:val="2"/>
            <w:tcBorders>
              <w:top w:val="outset" w:sz="6" w:space="0" w:color="000000"/>
              <w:left w:val="outset" w:sz="6" w:space="0" w:color="000000"/>
              <w:bottom w:val="outset" w:sz="6" w:space="0" w:color="000000"/>
              <w:right w:val="outset" w:sz="6" w:space="0" w:color="000000"/>
            </w:tcBorders>
          </w:tcPr>
          <w:p w:rsidR="005526CE" w:rsidRPr="003D12AB" w:rsidRDefault="005526CE">
            <w:pPr>
              <w:pStyle w:val="tvhtml1"/>
              <w:spacing w:before="0" w:beforeAutospacing="0" w:line="240" w:lineRule="auto"/>
              <w:rPr>
                <w:rFonts w:ascii="Times New Roman" w:hAnsi="Times New Roman"/>
                <w:sz w:val="22"/>
                <w:szCs w:val="22"/>
              </w:rPr>
            </w:pPr>
            <w:r w:rsidRPr="003D12AB">
              <w:rPr>
                <w:rFonts w:ascii="Times New Roman" w:hAnsi="Times New Roman"/>
                <w:sz w:val="22"/>
                <w:szCs w:val="22"/>
              </w:rPr>
              <w:t>Sabiedrības līdzdalības rezultāti</w:t>
            </w:r>
          </w:p>
          <w:p w:rsidR="005526CE" w:rsidRPr="003D12AB" w:rsidRDefault="005526CE">
            <w:pPr>
              <w:pStyle w:val="NormalWeb"/>
              <w:tabs>
                <w:tab w:val="left" w:pos="1503"/>
              </w:tabs>
              <w:spacing w:before="0" w:beforeAutospacing="0" w:after="0" w:afterAutospacing="0"/>
              <w:rPr>
                <w:sz w:val="22"/>
                <w:szCs w:val="22"/>
                <w:lang w:val="lv-LV" w:eastAsia="en-US"/>
              </w:rPr>
            </w:pPr>
          </w:p>
        </w:tc>
        <w:tc>
          <w:tcPr>
            <w:tcW w:w="3161" w:type="pct"/>
            <w:tcBorders>
              <w:top w:val="outset" w:sz="6" w:space="0" w:color="000000"/>
              <w:left w:val="outset" w:sz="6" w:space="0" w:color="000000"/>
              <w:bottom w:val="outset" w:sz="6" w:space="0" w:color="000000"/>
            </w:tcBorders>
          </w:tcPr>
          <w:p w:rsidR="005526CE" w:rsidRPr="003D12AB" w:rsidRDefault="005526CE">
            <w:pPr>
              <w:pStyle w:val="NormalWeb"/>
              <w:spacing w:before="0" w:beforeAutospacing="0" w:after="0" w:afterAutospacing="0"/>
              <w:rPr>
                <w:sz w:val="22"/>
                <w:szCs w:val="22"/>
                <w:lang w:val="lv-LV" w:eastAsia="en-US"/>
              </w:rPr>
            </w:pPr>
            <w:r w:rsidRPr="003D12AB">
              <w:rPr>
                <w:sz w:val="22"/>
                <w:szCs w:val="22"/>
                <w:lang w:val="lv-LV" w:eastAsia="en-US"/>
              </w:rPr>
              <w:lastRenderedPageBreak/>
              <w:t>Nav</w:t>
            </w:r>
          </w:p>
        </w:tc>
      </w:tr>
      <w:tr w:rsidR="003D12AB" w:rsidRPr="003D12AB" w:rsidTr="005261D0">
        <w:trPr>
          <w:trHeight w:val="35"/>
        </w:trPr>
        <w:tc>
          <w:tcPr>
            <w:tcW w:w="272" w:type="pct"/>
            <w:tcBorders>
              <w:top w:val="outset" w:sz="6" w:space="0" w:color="000000"/>
              <w:bottom w:val="outset" w:sz="6" w:space="0" w:color="000000"/>
              <w:right w:val="outset" w:sz="6" w:space="0" w:color="000000"/>
            </w:tcBorders>
          </w:tcPr>
          <w:p w:rsidR="005526CE" w:rsidRPr="003D12AB" w:rsidRDefault="005526CE">
            <w:pPr>
              <w:pStyle w:val="NormalWeb"/>
              <w:spacing w:before="0" w:beforeAutospacing="0" w:after="0" w:afterAutospacing="0"/>
              <w:rPr>
                <w:sz w:val="22"/>
                <w:szCs w:val="22"/>
                <w:lang w:val="lv-LV" w:eastAsia="en-US"/>
              </w:rPr>
            </w:pPr>
            <w:r w:rsidRPr="003D12AB">
              <w:rPr>
                <w:sz w:val="22"/>
                <w:szCs w:val="22"/>
                <w:lang w:val="lv-LV" w:eastAsia="en-US"/>
              </w:rPr>
              <w:lastRenderedPageBreak/>
              <w:t>4.</w:t>
            </w:r>
          </w:p>
        </w:tc>
        <w:tc>
          <w:tcPr>
            <w:tcW w:w="1567" w:type="pct"/>
            <w:gridSpan w:val="2"/>
            <w:tcBorders>
              <w:top w:val="outset" w:sz="6" w:space="0" w:color="000000"/>
              <w:left w:val="outset" w:sz="6" w:space="0" w:color="000000"/>
              <w:bottom w:val="outset" w:sz="6" w:space="0" w:color="000000"/>
              <w:right w:val="outset" w:sz="6" w:space="0" w:color="000000"/>
            </w:tcBorders>
          </w:tcPr>
          <w:p w:rsidR="005526CE" w:rsidRPr="003D12AB" w:rsidRDefault="005526CE" w:rsidP="0052290A">
            <w:pPr>
              <w:pStyle w:val="tvhtml1"/>
              <w:spacing w:before="0" w:beforeAutospacing="0" w:line="240" w:lineRule="auto"/>
              <w:rPr>
                <w:sz w:val="22"/>
                <w:szCs w:val="22"/>
                <w:lang w:eastAsia="en-US"/>
              </w:rPr>
            </w:pPr>
            <w:r w:rsidRPr="003D12AB">
              <w:rPr>
                <w:rFonts w:ascii="Times New Roman" w:hAnsi="Times New Roman"/>
                <w:sz w:val="22"/>
                <w:szCs w:val="22"/>
              </w:rPr>
              <w:t>Saeimas un ekspertu līdzdalība</w:t>
            </w:r>
          </w:p>
        </w:tc>
        <w:tc>
          <w:tcPr>
            <w:tcW w:w="3161" w:type="pct"/>
            <w:tcBorders>
              <w:top w:val="outset" w:sz="6" w:space="0" w:color="000000"/>
              <w:left w:val="outset" w:sz="6" w:space="0" w:color="000000"/>
              <w:bottom w:val="outset" w:sz="6" w:space="0" w:color="000000"/>
            </w:tcBorders>
          </w:tcPr>
          <w:p w:rsidR="005526CE" w:rsidRPr="003D12AB" w:rsidRDefault="005526CE">
            <w:pPr>
              <w:pStyle w:val="NormalWeb"/>
              <w:spacing w:before="0" w:beforeAutospacing="0" w:after="0" w:afterAutospacing="0"/>
              <w:rPr>
                <w:sz w:val="22"/>
                <w:szCs w:val="22"/>
                <w:lang w:val="lv-LV" w:eastAsia="en-US"/>
              </w:rPr>
            </w:pPr>
            <w:r w:rsidRPr="003D12AB">
              <w:rPr>
                <w:sz w:val="22"/>
                <w:szCs w:val="22"/>
                <w:lang w:val="lv-LV" w:eastAsia="en-US"/>
              </w:rPr>
              <w:t>Nav</w:t>
            </w:r>
          </w:p>
        </w:tc>
      </w:tr>
      <w:tr w:rsidR="003D12AB" w:rsidRPr="003D12AB" w:rsidTr="005261D0">
        <w:trPr>
          <w:trHeight w:val="35"/>
        </w:trPr>
        <w:tc>
          <w:tcPr>
            <w:tcW w:w="272" w:type="pct"/>
            <w:tcBorders>
              <w:top w:val="outset" w:sz="6" w:space="0" w:color="000000"/>
              <w:bottom w:val="single" w:sz="4" w:space="0" w:color="auto"/>
              <w:right w:val="outset" w:sz="6" w:space="0" w:color="000000"/>
            </w:tcBorders>
          </w:tcPr>
          <w:p w:rsidR="005526CE" w:rsidRPr="003D12AB" w:rsidRDefault="005526CE">
            <w:pPr>
              <w:pStyle w:val="NormalWeb"/>
              <w:spacing w:before="0" w:beforeAutospacing="0" w:after="0" w:afterAutospacing="0"/>
              <w:rPr>
                <w:sz w:val="22"/>
                <w:szCs w:val="22"/>
                <w:lang w:val="lv-LV" w:eastAsia="en-US"/>
              </w:rPr>
            </w:pPr>
            <w:r w:rsidRPr="003D12AB">
              <w:rPr>
                <w:sz w:val="22"/>
                <w:szCs w:val="22"/>
                <w:lang w:val="lv-LV" w:eastAsia="en-US"/>
              </w:rPr>
              <w:t>5.</w:t>
            </w:r>
          </w:p>
        </w:tc>
        <w:tc>
          <w:tcPr>
            <w:tcW w:w="1567" w:type="pct"/>
            <w:gridSpan w:val="2"/>
            <w:tcBorders>
              <w:top w:val="outset" w:sz="6" w:space="0" w:color="000000"/>
              <w:left w:val="outset" w:sz="6" w:space="0" w:color="000000"/>
              <w:bottom w:val="single" w:sz="4" w:space="0" w:color="auto"/>
              <w:right w:val="outset" w:sz="6" w:space="0" w:color="000000"/>
            </w:tcBorders>
          </w:tcPr>
          <w:p w:rsidR="005526CE" w:rsidRPr="003D12AB" w:rsidRDefault="005526CE">
            <w:pPr>
              <w:pStyle w:val="tvhtml1"/>
              <w:spacing w:before="0" w:beforeAutospacing="0" w:line="240" w:lineRule="auto"/>
              <w:rPr>
                <w:rFonts w:ascii="Times New Roman" w:hAnsi="Times New Roman"/>
                <w:sz w:val="22"/>
                <w:szCs w:val="22"/>
              </w:rPr>
            </w:pPr>
            <w:r w:rsidRPr="003D12AB">
              <w:rPr>
                <w:rFonts w:ascii="Times New Roman" w:hAnsi="Times New Roman"/>
                <w:sz w:val="22"/>
                <w:szCs w:val="22"/>
              </w:rPr>
              <w:t>Cita informācija</w:t>
            </w:r>
          </w:p>
          <w:p w:rsidR="005526CE" w:rsidRPr="003D12AB" w:rsidRDefault="005526CE">
            <w:pPr>
              <w:pStyle w:val="NormalWeb"/>
              <w:spacing w:before="0" w:beforeAutospacing="0" w:after="0" w:afterAutospacing="0"/>
              <w:rPr>
                <w:sz w:val="22"/>
                <w:szCs w:val="22"/>
                <w:lang w:val="lv-LV" w:eastAsia="en-US"/>
              </w:rPr>
            </w:pPr>
          </w:p>
        </w:tc>
        <w:tc>
          <w:tcPr>
            <w:tcW w:w="3161" w:type="pct"/>
            <w:tcBorders>
              <w:top w:val="outset" w:sz="6" w:space="0" w:color="000000"/>
              <w:left w:val="outset" w:sz="6" w:space="0" w:color="000000"/>
              <w:bottom w:val="single" w:sz="4" w:space="0" w:color="auto"/>
            </w:tcBorders>
          </w:tcPr>
          <w:p w:rsidR="005526CE" w:rsidRPr="003D12AB" w:rsidRDefault="005526CE" w:rsidP="006F7D9F">
            <w:pPr>
              <w:pStyle w:val="NormalWeb"/>
              <w:spacing w:before="0" w:beforeAutospacing="0" w:after="0" w:afterAutospacing="0"/>
              <w:jc w:val="both"/>
              <w:rPr>
                <w:sz w:val="22"/>
                <w:szCs w:val="22"/>
                <w:lang w:val="lv-LV" w:eastAsia="en-US"/>
              </w:rPr>
            </w:pPr>
            <w:r w:rsidRPr="003D12AB">
              <w:rPr>
                <w:sz w:val="22"/>
                <w:szCs w:val="22"/>
                <w:lang w:val="lv-LV" w:eastAsia="en-US"/>
              </w:rPr>
              <w:t xml:space="preserve">Ekonomikas ministrijā ir izstrādāts komunikāciju plāns sakarā ar elektroenerģijas tirgus atvēršanu. Plānoti preses </w:t>
            </w:r>
            <w:proofErr w:type="spellStart"/>
            <w:r w:rsidRPr="003D12AB">
              <w:rPr>
                <w:sz w:val="22"/>
                <w:szCs w:val="22"/>
                <w:lang w:val="lv-LV" w:eastAsia="en-US"/>
              </w:rPr>
              <w:t>brīfingi</w:t>
            </w:r>
            <w:proofErr w:type="spellEnd"/>
            <w:r w:rsidRPr="003D12AB">
              <w:rPr>
                <w:sz w:val="22"/>
                <w:szCs w:val="22"/>
                <w:lang w:val="lv-LV" w:eastAsia="en-US"/>
              </w:rPr>
              <w:t xml:space="preserve"> un relīzes par grozījumiem </w:t>
            </w:r>
            <w:r w:rsidR="006F7D9F">
              <w:rPr>
                <w:sz w:val="22"/>
                <w:szCs w:val="22"/>
                <w:lang w:val="lv-LV" w:eastAsia="en-US"/>
              </w:rPr>
              <w:t>ETL</w:t>
            </w:r>
            <w:r w:rsidRPr="003D12AB">
              <w:rPr>
                <w:sz w:val="22"/>
                <w:szCs w:val="22"/>
                <w:lang w:val="lv-LV" w:eastAsia="en-US"/>
              </w:rPr>
              <w:t xml:space="preserve">. Tāpat paredzēta semināra rīkošana plašsaziņas līdzekļu pārstāvjiem ar tiešraidi internetā, publiskā diskusija, komunikācija caur sociāliem tīkliem, elektroenerģijas tirgum veltītas </w:t>
            </w:r>
            <w:r w:rsidR="006F7D9F">
              <w:rPr>
                <w:sz w:val="22"/>
                <w:szCs w:val="22"/>
                <w:lang w:val="lv-LV" w:eastAsia="en-US"/>
              </w:rPr>
              <w:t>tīmek</w:t>
            </w:r>
            <w:r w:rsidR="00596045">
              <w:rPr>
                <w:sz w:val="22"/>
                <w:szCs w:val="22"/>
                <w:lang w:val="lv-LV" w:eastAsia="en-US"/>
              </w:rPr>
              <w:t>ļa</w:t>
            </w:r>
            <w:r w:rsidR="006F7D9F">
              <w:rPr>
                <w:sz w:val="22"/>
                <w:szCs w:val="22"/>
                <w:lang w:val="lv-LV" w:eastAsia="en-US"/>
              </w:rPr>
              <w:t xml:space="preserve"> vietnes</w:t>
            </w:r>
            <w:r w:rsidRPr="003D12AB">
              <w:rPr>
                <w:sz w:val="22"/>
                <w:szCs w:val="22"/>
                <w:lang w:val="lv-LV" w:eastAsia="en-US"/>
              </w:rPr>
              <w:t xml:space="preserve"> izstrāde, </w:t>
            </w:r>
            <w:r w:rsidR="006F7D9F" w:rsidRPr="003D12AB">
              <w:rPr>
                <w:sz w:val="22"/>
                <w:szCs w:val="22"/>
                <w:lang w:val="lv-LV" w:eastAsia="en-US"/>
              </w:rPr>
              <w:t>video seminārs</w:t>
            </w:r>
            <w:r w:rsidRPr="003D12AB">
              <w:rPr>
                <w:sz w:val="22"/>
                <w:szCs w:val="22"/>
                <w:lang w:val="lv-LV" w:eastAsia="en-US"/>
              </w:rPr>
              <w:t xml:space="preserve"> mājsaimniecībām, </w:t>
            </w:r>
            <w:r w:rsidR="006F7D9F" w:rsidRPr="003D12AB">
              <w:rPr>
                <w:sz w:val="22"/>
                <w:szCs w:val="22"/>
                <w:lang w:val="lv-LV" w:eastAsia="en-US"/>
              </w:rPr>
              <w:t>video prezentāciju</w:t>
            </w:r>
            <w:r w:rsidRPr="003D12AB">
              <w:rPr>
                <w:sz w:val="22"/>
                <w:szCs w:val="22"/>
                <w:lang w:val="lv-LV" w:eastAsia="en-US"/>
              </w:rPr>
              <w:t xml:space="preserve"> izveide un citi pasākumi, kuru mērķis ir sabiedrībai plašāk skaidrot plānoto izmaiņu būtību un to ietekmi uz iedzīvotājiem un elektroenerģijas </w:t>
            </w:r>
            <w:r w:rsidR="006F7D9F">
              <w:rPr>
                <w:sz w:val="22"/>
                <w:szCs w:val="22"/>
                <w:lang w:val="lv-LV" w:eastAsia="en-US"/>
              </w:rPr>
              <w:t>kopējo cenu</w:t>
            </w:r>
            <w:r w:rsidRPr="003D12AB">
              <w:rPr>
                <w:sz w:val="22"/>
                <w:szCs w:val="22"/>
                <w:lang w:val="lv-LV" w:eastAsia="en-US"/>
              </w:rPr>
              <w:t>.</w:t>
            </w:r>
          </w:p>
        </w:tc>
      </w:tr>
      <w:tr w:rsidR="005261D0" w:rsidRPr="003D12AB" w:rsidTr="005261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5000" w:type="pct"/>
            <w:gridSpan w:val="4"/>
            <w:tcBorders>
              <w:left w:val="nil"/>
              <w:right w:val="nil"/>
            </w:tcBorders>
          </w:tcPr>
          <w:p w:rsidR="005261D0" w:rsidRDefault="005261D0" w:rsidP="007526AE">
            <w:pPr>
              <w:pStyle w:val="tvhtml"/>
              <w:spacing w:before="0" w:beforeAutospacing="0" w:after="0" w:afterAutospacing="0"/>
              <w:jc w:val="center"/>
              <w:rPr>
                <w:rFonts w:ascii="Times New Roman" w:hAnsi="Times New Roman"/>
                <w:b/>
                <w:sz w:val="24"/>
                <w:szCs w:val="24"/>
              </w:rPr>
            </w:pPr>
          </w:p>
          <w:p w:rsidR="00F54F7D" w:rsidRDefault="00F54F7D" w:rsidP="007526AE">
            <w:pPr>
              <w:pStyle w:val="tvhtml"/>
              <w:spacing w:before="0" w:beforeAutospacing="0" w:after="0" w:afterAutospacing="0"/>
              <w:jc w:val="center"/>
              <w:rPr>
                <w:rFonts w:ascii="Times New Roman" w:hAnsi="Times New Roman"/>
                <w:b/>
                <w:sz w:val="24"/>
                <w:szCs w:val="24"/>
              </w:rPr>
            </w:pPr>
          </w:p>
        </w:tc>
      </w:tr>
      <w:tr w:rsidR="003D12AB" w:rsidRPr="003D12AB" w:rsidTr="005261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5000" w:type="pct"/>
            <w:gridSpan w:val="4"/>
          </w:tcPr>
          <w:p w:rsidR="005526CE" w:rsidRPr="005261D0" w:rsidRDefault="005526CE" w:rsidP="007526AE">
            <w:pPr>
              <w:pStyle w:val="tvhtml"/>
              <w:spacing w:before="0" w:beforeAutospacing="0" w:after="0" w:afterAutospacing="0"/>
              <w:jc w:val="center"/>
              <w:rPr>
                <w:rFonts w:ascii="Times New Roman" w:hAnsi="Times New Roman"/>
                <w:b/>
                <w:iCs/>
                <w:sz w:val="22"/>
                <w:szCs w:val="22"/>
              </w:rPr>
            </w:pPr>
            <w:r w:rsidRPr="005261D0">
              <w:rPr>
                <w:rFonts w:ascii="Times New Roman" w:hAnsi="Times New Roman"/>
                <w:b/>
                <w:sz w:val="22"/>
                <w:szCs w:val="22"/>
              </w:rPr>
              <w:t>VII. Tiesību akta projekta izpildes nodrošināšana un tās ietekme uz institūcijām</w:t>
            </w:r>
          </w:p>
        </w:tc>
      </w:tr>
      <w:tr w:rsidR="003D12AB" w:rsidRPr="003D12AB" w:rsidTr="004F7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295" w:type="pct"/>
            <w:gridSpan w:val="2"/>
          </w:tcPr>
          <w:p w:rsidR="005526CE" w:rsidRPr="003D12AB" w:rsidRDefault="005526CE" w:rsidP="007526AE">
            <w:pPr>
              <w:pStyle w:val="naisnod"/>
              <w:spacing w:before="0" w:after="0"/>
              <w:ind w:left="57" w:right="57"/>
              <w:jc w:val="left"/>
              <w:rPr>
                <w:b w:val="0"/>
                <w:sz w:val="22"/>
                <w:szCs w:val="22"/>
              </w:rPr>
            </w:pPr>
            <w:r w:rsidRPr="003D12AB">
              <w:rPr>
                <w:b w:val="0"/>
                <w:sz w:val="22"/>
                <w:szCs w:val="22"/>
              </w:rPr>
              <w:t>1.</w:t>
            </w:r>
          </w:p>
        </w:tc>
        <w:tc>
          <w:tcPr>
            <w:tcW w:w="1544" w:type="pct"/>
          </w:tcPr>
          <w:p w:rsidR="005526CE" w:rsidRPr="003D12AB" w:rsidRDefault="005526CE" w:rsidP="007526AE">
            <w:pPr>
              <w:pStyle w:val="naisf"/>
              <w:spacing w:before="0" w:after="0"/>
              <w:ind w:left="57" w:right="57" w:firstLine="0"/>
              <w:jc w:val="left"/>
              <w:rPr>
                <w:sz w:val="22"/>
                <w:szCs w:val="22"/>
                <w:lang w:val="lv-LV" w:eastAsia="lv-LV"/>
              </w:rPr>
            </w:pPr>
            <w:r w:rsidRPr="003D12AB">
              <w:rPr>
                <w:sz w:val="22"/>
                <w:szCs w:val="22"/>
                <w:lang w:val="lv-LV" w:eastAsia="lv-LV"/>
              </w:rPr>
              <w:t xml:space="preserve">Projekta izpildē iesaistītās institūcijas </w:t>
            </w:r>
          </w:p>
        </w:tc>
        <w:tc>
          <w:tcPr>
            <w:tcW w:w="3161" w:type="pct"/>
          </w:tcPr>
          <w:p w:rsidR="005526CE" w:rsidRPr="003D12AB" w:rsidRDefault="005526CE" w:rsidP="00D10A33">
            <w:pPr>
              <w:pStyle w:val="naisnod"/>
              <w:spacing w:before="0" w:after="0"/>
              <w:ind w:left="57" w:right="57"/>
              <w:jc w:val="both"/>
              <w:rPr>
                <w:b w:val="0"/>
                <w:sz w:val="22"/>
                <w:szCs w:val="22"/>
              </w:rPr>
            </w:pPr>
            <w:r w:rsidRPr="003D12AB">
              <w:rPr>
                <w:b w:val="0"/>
                <w:sz w:val="22"/>
                <w:szCs w:val="22"/>
              </w:rPr>
              <w:t xml:space="preserve">Projekta izpildi nodrošina elektroenerģijas, elektroenerģijas sadales sistēmas operatori, </w:t>
            </w:r>
            <w:r w:rsidR="00D10A33">
              <w:rPr>
                <w:b w:val="0"/>
                <w:sz w:val="22"/>
                <w:szCs w:val="22"/>
              </w:rPr>
              <w:t>publiskais tirgotājs</w:t>
            </w:r>
            <w:r w:rsidR="006F7D9F">
              <w:rPr>
                <w:b w:val="0"/>
                <w:sz w:val="22"/>
                <w:szCs w:val="22"/>
              </w:rPr>
              <w:t>, Ekonomikas ministrija</w:t>
            </w:r>
            <w:r w:rsidRPr="003D12AB">
              <w:rPr>
                <w:b w:val="0"/>
                <w:sz w:val="22"/>
                <w:szCs w:val="22"/>
              </w:rPr>
              <w:t xml:space="preserve"> elektroenerģijas tirgotāji un </w:t>
            </w:r>
            <w:r w:rsidR="006F7D9F">
              <w:rPr>
                <w:b w:val="0"/>
                <w:sz w:val="22"/>
                <w:szCs w:val="22"/>
              </w:rPr>
              <w:t>SPRK</w:t>
            </w:r>
            <w:r w:rsidRPr="003D12AB">
              <w:rPr>
                <w:b w:val="0"/>
                <w:sz w:val="22"/>
                <w:szCs w:val="22"/>
              </w:rPr>
              <w:t>.</w:t>
            </w:r>
          </w:p>
        </w:tc>
      </w:tr>
      <w:tr w:rsidR="003D12AB" w:rsidRPr="003D12AB" w:rsidTr="004F7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295" w:type="pct"/>
            <w:gridSpan w:val="2"/>
          </w:tcPr>
          <w:p w:rsidR="005526CE" w:rsidRPr="003D12AB" w:rsidRDefault="005526CE" w:rsidP="007526AE">
            <w:pPr>
              <w:pStyle w:val="naisnod"/>
              <w:spacing w:before="0" w:after="0"/>
              <w:ind w:left="57" w:right="57"/>
              <w:jc w:val="left"/>
              <w:rPr>
                <w:b w:val="0"/>
                <w:sz w:val="22"/>
                <w:szCs w:val="22"/>
              </w:rPr>
            </w:pPr>
            <w:r w:rsidRPr="003D12AB">
              <w:rPr>
                <w:b w:val="0"/>
                <w:sz w:val="22"/>
                <w:szCs w:val="22"/>
              </w:rPr>
              <w:t>2.</w:t>
            </w:r>
          </w:p>
        </w:tc>
        <w:tc>
          <w:tcPr>
            <w:tcW w:w="1544" w:type="pct"/>
          </w:tcPr>
          <w:p w:rsidR="005526CE" w:rsidRPr="003D12AB" w:rsidRDefault="005526CE" w:rsidP="007526AE">
            <w:pPr>
              <w:pStyle w:val="naisf"/>
              <w:spacing w:before="0" w:after="0"/>
              <w:ind w:left="57" w:right="57" w:firstLine="0"/>
              <w:jc w:val="left"/>
              <w:rPr>
                <w:sz w:val="22"/>
                <w:szCs w:val="22"/>
                <w:lang w:val="lv-LV" w:eastAsia="lv-LV"/>
              </w:rPr>
            </w:pPr>
            <w:r w:rsidRPr="003D12AB">
              <w:rPr>
                <w:sz w:val="22"/>
                <w:szCs w:val="22"/>
                <w:lang w:val="lv-LV" w:eastAsia="lv-LV"/>
              </w:rPr>
              <w:t xml:space="preserve">Projekta izpildes ietekme uz pārvaldes funkcijām </w:t>
            </w:r>
          </w:p>
        </w:tc>
        <w:tc>
          <w:tcPr>
            <w:tcW w:w="3161" w:type="pct"/>
          </w:tcPr>
          <w:p w:rsidR="005526CE" w:rsidRPr="003D12AB" w:rsidRDefault="005526CE" w:rsidP="007526AE">
            <w:pPr>
              <w:pStyle w:val="naisnod"/>
              <w:spacing w:before="0" w:after="0"/>
              <w:ind w:left="57" w:right="57"/>
              <w:jc w:val="left"/>
              <w:rPr>
                <w:b w:val="0"/>
                <w:sz w:val="22"/>
                <w:szCs w:val="22"/>
              </w:rPr>
            </w:pPr>
            <w:r w:rsidRPr="003D12AB">
              <w:rPr>
                <w:b w:val="0"/>
                <w:sz w:val="22"/>
                <w:szCs w:val="22"/>
              </w:rPr>
              <w:t>Projekts neparedz funkciju paplašināšanu.</w:t>
            </w:r>
          </w:p>
          <w:p w:rsidR="005526CE" w:rsidRPr="003D12AB" w:rsidRDefault="005526CE" w:rsidP="007526AE">
            <w:pPr>
              <w:pStyle w:val="naisnod"/>
              <w:spacing w:before="0" w:after="0"/>
              <w:ind w:left="57" w:right="57"/>
              <w:jc w:val="left"/>
              <w:rPr>
                <w:b w:val="0"/>
                <w:sz w:val="22"/>
                <w:szCs w:val="22"/>
              </w:rPr>
            </w:pPr>
          </w:p>
        </w:tc>
      </w:tr>
      <w:tr w:rsidR="003D12AB" w:rsidRPr="003D12AB" w:rsidTr="004F7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295" w:type="pct"/>
            <w:gridSpan w:val="2"/>
          </w:tcPr>
          <w:p w:rsidR="005526CE" w:rsidRPr="003D12AB" w:rsidRDefault="005526CE" w:rsidP="007526AE">
            <w:pPr>
              <w:pStyle w:val="naisnod"/>
              <w:spacing w:before="0" w:after="0"/>
              <w:ind w:left="57" w:right="57"/>
              <w:jc w:val="left"/>
              <w:rPr>
                <w:b w:val="0"/>
                <w:sz w:val="22"/>
                <w:szCs w:val="22"/>
              </w:rPr>
            </w:pPr>
            <w:r w:rsidRPr="003D12AB">
              <w:rPr>
                <w:b w:val="0"/>
                <w:sz w:val="22"/>
                <w:szCs w:val="22"/>
              </w:rPr>
              <w:t>3.</w:t>
            </w:r>
          </w:p>
        </w:tc>
        <w:tc>
          <w:tcPr>
            <w:tcW w:w="1544" w:type="pct"/>
          </w:tcPr>
          <w:p w:rsidR="005526CE" w:rsidRPr="003D12AB" w:rsidRDefault="005526CE" w:rsidP="007526AE">
            <w:pPr>
              <w:pStyle w:val="naisf"/>
              <w:spacing w:before="0" w:after="0"/>
              <w:ind w:left="57" w:right="57" w:firstLine="0"/>
              <w:jc w:val="left"/>
              <w:rPr>
                <w:sz w:val="22"/>
                <w:szCs w:val="22"/>
                <w:lang w:val="lv-LV" w:eastAsia="lv-LV"/>
              </w:rPr>
            </w:pPr>
            <w:r w:rsidRPr="003D12AB">
              <w:rPr>
                <w:sz w:val="22"/>
                <w:szCs w:val="22"/>
                <w:lang w:val="lv-LV" w:eastAsia="lv-LV"/>
              </w:rPr>
              <w:t>Projekta izpildes ietekme uz pārvaldes institucionālo struktūru.</w:t>
            </w:r>
          </w:p>
          <w:p w:rsidR="005526CE" w:rsidRPr="003D12AB" w:rsidRDefault="005526CE" w:rsidP="007526AE">
            <w:pPr>
              <w:pStyle w:val="naisf"/>
              <w:spacing w:before="0" w:after="0"/>
              <w:ind w:left="57" w:right="57" w:firstLine="0"/>
              <w:jc w:val="left"/>
              <w:rPr>
                <w:sz w:val="22"/>
                <w:szCs w:val="22"/>
                <w:lang w:val="lv-LV" w:eastAsia="lv-LV"/>
              </w:rPr>
            </w:pPr>
            <w:r w:rsidRPr="003D12AB">
              <w:rPr>
                <w:sz w:val="22"/>
                <w:szCs w:val="22"/>
                <w:lang w:val="lv-LV" w:eastAsia="lv-LV"/>
              </w:rPr>
              <w:t>Jaunu institūciju izveide</w:t>
            </w:r>
          </w:p>
        </w:tc>
        <w:tc>
          <w:tcPr>
            <w:tcW w:w="3161" w:type="pct"/>
          </w:tcPr>
          <w:p w:rsidR="005526CE" w:rsidRPr="003D12AB" w:rsidRDefault="005526CE" w:rsidP="007526AE">
            <w:pPr>
              <w:pStyle w:val="naisnod"/>
              <w:spacing w:before="0" w:after="0"/>
              <w:ind w:left="57" w:right="57"/>
              <w:jc w:val="left"/>
              <w:rPr>
                <w:b w:val="0"/>
                <w:sz w:val="22"/>
                <w:szCs w:val="22"/>
              </w:rPr>
            </w:pPr>
            <w:r w:rsidRPr="003D12AB">
              <w:rPr>
                <w:b w:val="0"/>
                <w:sz w:val="22"/>
                <w:szCs w:val="22"/>
              </w:rPr>
              <w:t>Projekts neparedz veidot jaunas valsts institūcijas.</w:t>
            </w:r>
          </w:p>
        </w:tc>
      </w:tr>
      <w:tr w:rsidR="003D12AB" w:rsidRPr="003D12AB" w:rsidTr="004F7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295" w:type="pct"/>
            <w:gridSpan w:val="2"/>
          </w:tcPr>
          <w:p w:rsidR="005526CE" w:rsidRPr="003D12AB" w:rsidRDefault="005526CE" w:rsidP="007526AE">
            <w:pPr>
              <w:pStyle w:val="naisnod"/>
              <w:spacing w:before="0" w:after="0"/>
              <w:ind w:left="57" w:right="57"/>
              <w:jc w:val="left"/>
              <w:rPr>
                <w:b w:val="0"/>
                <w:sz w:val="22"/>
                <w:szCs w:val="22"/>
              </w:rPr>
            </w:pPr>
            <w:r w:rsidRPr="003D12AB">
              <w:rPr>
                <w:b w:val="0"/>
                <w:sz w:val="22"/>
                <w:szCs w:val="22"/>
              </w:rPr>
              <w:t>4.</w:t>
            </w:r>
          </w:p>
        </w:tc>
        <w:tc>
          <w:tcPr>
            <w:tcW w:w="1544" w:type="pct"/>
          </w:tcPr>
          <w:p w:rsidR="005526CE" w:rsidRPr="003D12AB" w:rsidRDefault="005526CE" w:rsidP="007526AE">
            <w:pPr>
              <w:pStyle w:val="naisf"/>
              <w:spacing w:before="0" w:after="0"/>
              <w:ind w:left="57" w:right="57" w:firstLine="0"/>
              <w:jc w:val="left"/>
              <w:rPr>
                <w:sz w:val="22"/>
                <w:szCs w:val="22"/>
                <w:lang w:val="lv-LV" w:eastAsia="lv-LV"/>
              </w:rPr>
            </w:pPr>
            <w:r w:rsidRPr="003D12AB">
              <w:rPr>
                <w:sz w:val="22"/>
                <w:szCs w:val="22"/>
                <w:lang w:val="lv-LV" w:eastAsia="lv-LV"/>
              </w:rPr>
              <w:t>Projekta izpildes ietekme uz pārvaldes institucionālo struktūru.</w:t>
            </w:r>
          </w:p>
          <w:p w:rsidR="005526CE" w:rsidRPr="003D12AB" w:rsidRDefault="005526CE" w:rsidP="007526AE">
            <w:pPr>
              <w:pStyle w:val="naisf"/>
              <w:spacing w:before="0" w:after="0"/>
              <w:ind w:left="57" w:right="57" w:firstLine="0"/>
              <w:jc w:val="left"/>
              <w:rPr>
                <w:sz w:val="22"/>
                <w:szCs w:val="22"/>
                <w:lang w:val="lv-LV" w:eastAsia="lv-LV"/>
              </w:rPr>
            </w:pPr>
            <w:r w:rsidRPr="003D12AB">
              <w:rPr>
                <w:sz w:val="22"/>
                <w:szCs w:val="22"/>
                <w:lang w:val="lv-LV" w:eastAsia="lv-LV"/>
              </w:rPr>
              <w:t>Esošu institūciju likvidācija</w:t>
            </w:r>
          </w:p>
        </w:tc>
        <w:tc>
          <w:tcPr>
            <w:tcW w:w="3161" w:type="pct"/>
          </w:tcPr>
          <w:p w:rsidR="005526CE" w:rsidRPr="003D12AB" w:rsidRDefault="005526CE" w:rsidP="007526AE">
            <w:pPr>
              <w:pStyle w:val="naisnod"/>
              <w:spacing w:before="0" w:after="0"/>
              <w:ind w:left="57" w:right="57"/>
              <w:jc w:val="left"/>
              <w:rPr>
                <w:b w:val="0"/>
                <w:sz w:val="22"/>
                <w:szCs w:val="22"/>
              </w:rPr>
            </w:pPr>
            <w:r w:rsidRPr="003D12AB">
              <w:rPr>
                <w:b w:val="0"/>
                <w:sz w:val="22"/>
                <w:szCs w:val="22"/>
              </w:rPr>
              <w:t>Projekts šo jomu neskar.</w:t>
            </w:r>
          </w:p>
        </w:tc>
      </w:tr>
      <w:tr w:rsidR="003D12AB" w:rsidRPr="003D12AB" w:rsidTr="004F7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295" w:type="pct"/>
            <w:gridSpan w:val="2"/>
          </w:tcPr>
          <w:p w:rsidR="005526CE" w:rsidRPr="003D12AB" w:rsidRDefault="005526CE" w:rsidP="007526AE">
            <w:pPr>
              <w:pStyle w:val="naisnod"/>
              <w:spacing w:before="0" w:after="0"/>
              <w:ind w:left="57" w:right="57"/>
              <w:jc w:val="left"/>
              <w:rPr>
                <w:b w:val="0"/>
                <w:sz w:val="22"/>
                <w:szCs w:val="22"/>
              </w:rPr>
            </w:pPr>
            <w:r w:rsidRPr="003D12AB">
              <w:rPr>
                <w:b w:val="0"/>
                <w:sz w:val="22"/>
                <w:szCs w:val="22"/>
              </w:rPr>
              <w:t>5.</w:t>
            </w:r>
          </w:p>
        </w:tc>
        <w:tc>
          <w:tcPr>
            <w:tcW w:w="1544" w:type="pct"/>
          </w:tcPr>
          <w:p w:rsidR="005526CE" w:rsidRPr="003D12AB" w:rsidRDefault="005526CE" w:rsidP="007526AE">
            <w:pPr>
              <w:pStyle w:val="naisf"/>
              <w:spacing w:before="0" w:after="0"/>
              <w:ind w:left="57" w:right="57" w:firstLine="0"/>
              <w:jc w:val="left"/>
              <w:rPr>
                <w:sz w:val="22"/>
                <w:szCs w:val="22"/>
                <w:lang w:val="lv-LV" w:eastAsia="lv-LV"/>
              </w:rPr>
            </w:pPr>
            <w:r w:rsidRPr="003D12AB">
              <w:rPr>
                <w:sz w:val="22"/>
                <w:szCs w:val="22"/>
                <w:lang w:val="lv-LV" w:eastAsia="lv-LV"/>
              </w:rPr>
              <w:t>Projekta izpildes ietekme uz pārvaldes institucionālo struktūru.</w:t>
            </w:r>
          </w:p>
          <w:p w:rsidR="005526CE" w:rsidRPr="003D12AB" w:rsidRDefault="005526CE" w:rsidP="007526AE">
            <w:pPr>
              <w:pStyle w:val="naisf"/>
              <w:spacing w:before="0" w:after="0"/>
              <w:ind w:left="57" w:right="57" w:firstLine="0"/>
              <w:jc w:val="left"/>
              <w:rPr>
                <w:sz w:val="22"/>
                <w:szCs w:val="22"/>
                <w:lang w:val="lv-LV" w:eastAsia="lv-LV"/>
              </w:rPr>
            </w:pPr>
            <w:r w:rsidRPr="003D12AB">
              <w:rPr>
                <w:sz w:val="22"/>
                <w:szCs w:val="22"/>
                <w:lang w:val="lv-LV" w:eastAsia="lv-LV"/>
              </w:rPr>
              <w:t>Esošu institūciju reorganizācija</w:t>
            </w:r>
          </w:p>
        </w:tc>
        <w:tc>
          <w:tcPr>
            <w:tcW w:w="3161" w:type="pct"/>
          </w:tcPr>
          <w:p w:rsidR="005526CE" w:rsidRPr="003D12AB" w:rsidRDefault="005526CE" w:rsidP="007526AE">
            <w:pPr>
              <w:pStyle w:val="naisnod"/>
              <w:spacing w:before="0" w:after="0"/>
              <w:ind w:left="57" w:right="57"/>
              <w:jc w:val="both"/>
              <w:rPr>
                <w:b w:val="0"/>
                <w:sz w:val="22"/>
                <w:szCs w:val="22"/>
              </w:rPr>
            </w:pPr>
            <w:r w:rsidRPr="003D12AB">
              <w:rPr>
                <w:b w:val="0"/>
                <w:sz w:val="22"/>
                <w:szCs w:val="22"/>
              </w:rPr>
              <w:t>Projekts šo jomu neskar.</w:t>
            </w:r>
          </w:p>
        </w:tc>
      </w:tr>
      <w:tr w:rsidR="005526CE" w:rsidRPr="003D12AB" w:rsidTr="004F7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295" w:type="pct"/>
            <w:gridSpan w:val="2"/>
          </w:tcPr>
          <w:p w:rsidR="005526CE" w:rsidRPr="003D12AB" w:rsidRDefault="005526CE" w:rsidP="007526AE">
            <w:pPr>
              <w:pStyle w:val="naiskr"/>
              <w:spacing w:before="0" w:after="0"/>
              <w:ind w:left="57" w:right="57"/>
              <w:rPr>
                <w:sz w:val="22"/>
                <w:szCs w:val="22"/>
              </w:rPr>
            </w:pPr>
            <w:r w:rsidRPr="003D12AB">
              <w:rPr>
                <w:sz w:val="22"/>
                <w:szCs w:val="22"/>
              </w:rPr>
              <w:t>6.</w:t>
            </w:r>
          </w:p>
        </w:tc>
        <w:tc>
          <w:tcPr>
            <w:tcW w:w="1544" w:type="pct"/>
          </w:tcPr>
          <w:p w:rsidR="005526CE" w:rsidRPr="003D12AB" w:rsidRDefault="005526CE" w:rsidP="007526AE">
            <w:pPr>
              <w:pStyle w:val="naiskr"/>
              <w:spacing w:before="0" w:after="0"/>
              <w:ind w:left="57" w:right="57"/>
              <w:rPr>
                <w:sz w:val="22"/>
                <w:szCs w:val="22"/>
              </w:rPr>
            </w:pPr>
            <w:r w:rsidRPr="003D12AB">
              <w:rPr>
                <w:sz w:val="22"/>
                <w:szCs w:val="22"/>
              </w:rPr>
              <w:t>Cita informācija</w:t>
            </w:r>
          </w:p>
        </w:tc>
        <w:tc>
          <w:tcPr>
            <w:tcW w:w="3161" w:type="pct"/>
          </w:tcPr>
          <w:p w:rsidR="005526CE" w:rsidRPr="003D12AB" w:rsidRDefault="005526CE" w:rsidP="007526AE">
            <w:pPr>
              <w:pStyle w:val="naiskr"/>
              <w:spacing w:before="0" w:after="0"/>
              <w:ind w:left="57" w:right="57"/>
              <w:rPr>
                <w:sz w:val="22"/>
                <w:szCs w:val="22"/>
              </w:rPr>
            </w:pPr>
            <w:r w:rsidRPr="003D12AB">
              <w:rPr>
                <w:sz w:val="22"/>
                <w:szCs w:val="22"/>
              </w:rPr>
              <w:t>Projekts šo jomu neskar.</w:t>
            </w:r>
          </w:p>
        </w:tc>
      </w:tr>
    </w:tbl>
    <w:p w:rsidR="00F54F7D" w:rsidRDefault="00F54F7D" w:rsidP="004F70FC">
      <w:pPr>
        <w:jc w:val="both"/>
        <w:rPr>
          <w:rFonts w:ascii="Times New Roman" w:hAnsi="Times New Roman"/>
          <w:color w:val="000000" w:themeColor="text1"/>
          <w:sz w:val="28"/>
          <w:szCs w:val="28"/>
        </w:rPr>
      </w:pPr>
    </w:p>
    <w:p w:rsidR="00F54F7D" w:rsidRDefault="00F54F7D" w:rsidP="004F70FC">
      <w:pPr>
        <w:jc w:val="both"/>
        <w:rPr>
          <w:rFonts w:ascii="Times New Roman" w:hAnsi="Times New Roman"/>
          <w:color w:val="000000" w:themeColor="text1"/>
          <w:sz w:val="28"/>
          <w:szCs w:val="28"/>
        </w:rPr>
      </w:pPr>
    </w:p>
    <w:p w:rsidR="004F70FC" w:rsidRPr="004F70FC" w:rsidRDefault="004F70FC" w:rsidP="004F70FC">
      <w:pPr>
        <w:jc w:val="both"/>
        <w:rPr>
          <w:rFonts w:ascii="Times New Roman" w:hAnsi="Times New Roman"/>
          <w:color w:val="000000" w:themeColor="text1"/>
          <w:sz w:val="28"/>
          <w:szCs w:val="28"/>
        </w:rPr>
      </w:pPr>
      <w:r w:rsidRPr="004F70FC">
        <w:rPr>
          <w:rFonts w:ascii="Times New Roman" w:hAnsi="Times New Roman"/>
          <w:color w:val="000000" w:themeColor="text1"/>
          <w:sz w:val="28"/>
          <w:szCs w:val="28"/>
        </w:rPr>
        <w:t xml:space="preserve">Iesniedzējs: </w:t>
      </w:r>
    </w:p>
    <w:p w:rsidR="004F70FC" w:rsidRDefault="004F70FC" w:rsidP="004F70FC">
      <w:pPr>
        <w:jc w:val="both"/>
        <w:rPr>
          <w:rFonts w:ascii="Times New Roman" w:hAnsi="Times New Roman"/>
          <w:color w:val="000000" w:themeColor="text1"/>
          <w:sz w:val="28"/>
          <w:szCs w:val="28"/>
        </w:rPr>
      </w:pPr>
      <w:r w:rsidRPr="004F70FC">
        <w:rPr>
          <w:rFonts w:ascii="Times New Roman" w:hAnsi="Times New Roman"/>
          <w:color w:val="000000" w:themeColor="text1"/>
          <w:sz w:val="28"/>
          <w:szCs w:val="28"/>
        </w:rPr>
        <w:t>ekonomikas ministrs</w:t>
      </w:r>
      <w:r w:rsidRPr="004F70FC">
        <w:rPr>
          <w:rFonts w:ascii="Times New Roman" w:hAnsi="Times New Roman"/>
          <w:color w:val="000000" w:themeColor="text1"/>
          <w:sz w:val="28"/>
          <w:szCs w:val="28"/>
        </w:rPr>
        <w:tab/>
      </w:r>
      <w:r w:rsidRPr="004F70FC">
        <w:rPr>
          <w:rFonts w:ascii="Times New Roman" w:hAnsi="Times New Roman"/>
          <w:color w:val="000000" w:themeColor="text1"/>
          <w:sz w:val="28"/>
          <w:szCs w:val="28"/>
        </w:rPr>
        <w:tab/>
      </w:r>
      <w:r w:rsidRPr="004F70FC">
        <w:rPr>
          <w:rFonts w:ascii="Times New Roman" w:hAnsi="Times New Roman"/>
          <w:color w:val="000000" w:themeColor="text1"/>
          <w:sz w:val="28"/>
          <w:szCs w:val="28"/>
        </w:rPr>
        <w:tab/>
      </w:r>
      <w:r w:rsidRPr="004F70FC">
        <w:rPr>
          <w:rFonts w:ascii="Times New Roman" w:hAnsi="Times New Roman"/>
          <w:color w:val="000000" w:themeColor="text1"/>
          <w:sz w:val="28"/>
          <w:szCs w:val="28"/>
        </w:rPr>
        <w:tab/>
      </w:r>
      <w:r w:rsidRPr="004F70FC">
        <w:rPr>
          <w:rFonts w:ascii="Times New Roman" w:hAnsi="Times New Roman"/>
          <w:color w:val="000000" w:themeColor="text1"/>
          <w:sz w:val="28"/>
          <w:szCs w:val="28"/>
        </w:rPr>
        <w:tab/>
      </w:r>
      <w:r w:rsidRPr="004F70FC">
        <w:rPr>
          <w:rFonts w:ascii="Times New Roman" w:hAnsi="Times New Roman"/>
          <w:color w:val="000000" w:themeColor="text1"/>
          <w:sz w:val="28"/>
          <w:szCs w:val="28"/>
        </w:rPr>
        <w:tab/>
      </w:r>
      <w:r w:rsidRPr="004F70FC">
        <w:rPr>
          <w:rFonts w:ascii="Times New Roman" w:hAnsi="Times New Roman"/>
          <w:color w:val="000000" w:themeColor="text1"/>
          <w:sz w:val="28"/>
          <w:szCs w:val="28"/>
        </w:rPr>
        <w:tab/>
        <w:t>D.Pavļuts</w:t>
      </w:r>
    </w:p>
    <w:p w:rsidR="00F54F7D" w:rsidRPr="004F70FC" w:rsidRDefault="00F54F7D" w:rsidP="004F70FC">
      <w:pPr>
        <w:jc w:val="both"/>
        <w:rPr>
          <w:rFonts w:ascii="Times New Roman" w:hAnsi="Times New Roman"/>
          <w:color w:val="000000" w:themeColor="text1"/>
          <w:sz w:val="28"/>
          <w:szCs w:val="28"/>
        </w:rPr>
      </w:pPr>
    </w:p>
    <w:p w:rsidR="004F70FC" w:rsidRPr="004F70FC" w:rsidRDefault="004F70FC" w:rsidP="004F70FC">
      <w:pPr>
        <w:jc w:val="both"/>
        <w:rPr>
          <w:rFonts w:ascii="Times New Roman" w:hAnsi="Times New Roman"/>
          <w:color w:val="000000" w:themeColor="text1"/>
          <w:sz w:val="28"/>
          <w:szCs w:val="28"/>
        </w:rPr>
      </w:pPr>
      <w:r w:rsidRPr="004F70FC">
        <w:rPr>
          <w:rFonts w:ascii="Times New Roman" w:hAnsi="Times New Roman"/>
          <w:color w:val="000000" w:themeColor="text1"/>
          <w:sz w:val="28"/>
          <w:szCs w:val="28"/>
        </w:rPr>
        <w:t>Vīza: valsts sekretārs</w:t>
      </w:r>
      <w:r w:rsidRPr="004F70FC">
        <w:rPr>
          <w:rFonts w:ascii="Times New Roman" w:hAnsi="Times New Roman"/>
          <w:color w:val="000000" w:themeColor="text1"/>
          <w:sz w:val="28"/>
          <w:szCs w:val="28"/>
        </w:rPr>
        <w:tab/>
      </w:r>
      <w:r w:rsidRPr="004F70FC">
        <w:rPr>
          <w:rFonts w:ascii="Times New Roman" w:hAnsi="Times New Roman"/>
          <w:color w:val="000000" w:themeColor="text1"/>
          <w:sz w:val="28"/>
          <w:szCs w:val="28"/>
        </w:rPr>
        <w:tab/>
      </w:r>
      <w:r w:rsidRPr="004F70FC">
        <w:rPr>
          <w:rFonts w:ascii="Times New Roman" w:hAnsi="Times New Roman"/>
          <w:color w:val="000000" w:themeColor="text1"/>
          <w:sz w:val="28"/>
          <w:szCs w:val="28"/>
        </w:rPr>
        <w:tab/>
      </w:r>
      <w:r w:rsidRPr="004F70FC">
        <w:rPr>
          <w:rFonts w:ascii="Times New Roman" w:hAnsi="Times New Roman"/>
          <w:color w:val="000000" w:themeColor="text1"/>
          <w:sz w:val="28"/>
          <w:szCs w:val="28"/>
        </w:rPr>
        <w:tab/>
      </w:r>
      <w:r w:rsidRPr="004F70FC">
        <w:rPr>
          <w:rFonts w:ascii="Times New Roman" w:hAnsi="Times New Roman"/>
          <w:color w:val="000000" w:themeColor="text1"/>
          <w:sz w:val="28"/>
          <w:szCs w:val="28"/>
        </w:rPr>
        <w:tab/>
      </w:r>
      <w:r w:rsidRPr="004F70FC">
        <w:rPr>
          <w:rFonts w:ascii="Times New Roman" w:hAnsi="Times New Roman"/>
          <w:color w:val="000000" w:themeColor="text1"/>
          <w:sz w:val="28"/>
          <w:szCs w:val="28"/>
        </w:rPr>
        <w:tab/>
      </w:r>
      <w:r w:rsidRPr="004F70FC">
        <w:rPr>
          <w:rFonts w:ascii="Times New Roman" w:hAnsi="Times New Roman"/>
          <w:color w:val="000000" w:themeColor="text1"/>
          <w:sz w:val="28"/>
          <w:szCs w:val="28"/>
        </w:rPr>
        <w:tab/>
        <w:t>J.Pūce</w:t>
      </w:r>
    </w:p>
    <w:p w:rsidR="004F70FC" w:rsidRPr="00F54F7D" w:rsidRDefault="005261D0" w:rsidP="004F70FC">
      <w:pPr>
        <w:pStyle w:val="NormalWeb"/>
        <w:spacing w:before="0" w:beforeAutospacing="0" w:after="0" w:afterAutospacing="0"/>
        <w:jc w:val="both"/>
        <w:rPr>
          <w:color w:val="000000" w:themeColor="text1"/>
          <w:sz w:val="20"/>
          <w:lang w:val="lv-LV"/>
        </w:rPr>
      </w:pPr>
      <w:r w:rsidRPr="00F54F7D">
        <w:rPr>
          <w:color w:val="000000" w:themeColor="text1"/>
          <w:sz w:val="20"/>
          <w:lang w:val="lv-LV"/>
        </w:rPr>
        <w:t>1</w:t>
      </w:r>
      <w:r w:rsidR="007B298C">
        <w:rPr>
          <w:color w:val="000000" w:themeColor="text1"/>
          <w:sz w:val="20"/>
          <w:lang w:val="lv-LV"/>
        </w:rPr>
        <w:t>7</w:t>
      </w:r>
      <w:r w:rsidRPr="00F54F7D">
        <w:rPr>
          <w:color w:val="000000" w:themeColor="text1"/>
          <w:sz w:val="20"/>
          <w:lang w:val="lv-LV"/>
        </w:rPr>
        <w:t xml:space="preserve">.09.2013. </w:t>
      </w:r>
      <w:r w:rsidR="007B298C">
        <w:rPr>
          <w:color w:val="000000" w:themeColor="text1"/>
          <w:sz w:val="20"/>
          <w:lang w:val="lv-LV"/>
        </w:rPr>
        <w:t>08</w:t>
      </w:r>
      <w:r w:rsidR="00F54F7D">
        <w:rPr>
          <w:color w:val="000000" w:themeColor="text1"/>
          <w:sz w:val="20"/>
          <w:lang w:val="lv-LV"/>
        </w:rPr>
        <w:t>:</w:t>
      </w:r>
      <w:r w:rsidR="007B298C">
        <w:rPr>
          <w:color w:val="000000" w:themeColor="text1"/>
          <w:sz w:val="20"/>
          <w:lang w:val="lv-LV"/>
        </w:rPr>
        <w:t>49</w:t>
      </w:r>
    </w:p>
    <w:p w:rsidR="005261D0" w:rsidRPr="00F54F7D" w:rsidRDefault="00AC3ED2" w:rsidP="005261D0">
      <w:pPr>
        <w:spacing w:after="0" w:line="240" w:lineRule="auto"/>
        <w:rPr>
          <w:rFonts w:ascii="Times New Roman" w:hAnsi="Times New Roman"/>
          <w:sz w:val="20"/>
          <w:szCs w:val="20"/>
        </w:rPr>
      </w:pPr>
      <w:r w:rsidRPr="00F54F7D">
        <w:rPr>
          <w:rFonts w:ascii="Times New Roman" w:hAnsi="Times New Roman"/>
          <w:sz w:val="20"/>
          <w:szCs w:val="20"/>
        </w:rPr>
        <w:fldChar w:fldCharType="begin"/>
      </w:r>
      <w:r w:rsidRPr="00F54F7D">
        <w:rPr>
          <w:rFonts w:ascii="Times New Roman" w:hAnsi="Times New Roman"/>
          <w:sz w:val="20"/>
          <w:szCs w:val="20"/>
        </w:rPr>
        <w:instrText xml:space="preserve"> NUMWORDS   \* MERGEFORMAT </w:instrText>
      </w:r>
      <w:r w:rsidRPr="00F54F7D">
        <w:rPr>
          <w:rFonts w:ascii="Times New Roman" w:hAnsi="Times New Roman"/>
          <w:sz w:val="20"/>
          <w:szCs w:val="20"/>
        </w:rPr>
        <w:fldChar w:fldCharType="separate"/>
      </w:r>
      <w:r w:rsidR="00F54F7D">
        <w:rPr>
          <w:rFonts w:ascii="Times New Roman" w:hAnsi="Times New Roman"/>
          <w:noProof/>
          <w:sz w:val="20"/>
          <w:szCs w:val="20"/>
        </w:rPr>
        <w:t>44</w:t>
      </w:r>
      <w:r w:rsidR="006C0B2F">
        <w:rPr>
          <w:rFonts w:ascii="Times New Roman" w:hAnsi="Times New Roman"/>
          <w:noProof/>
          <w:sz w:val="20"/>
          <w:szCs w:val="20"/>
        </w:rPr>
        <w:t>50</w:t>
      </w:r>
      <w:r w:rsidRPr="00F54F7D">
        <w:rPr>
          <w:rFonts w:ascii="Times New Roman" w:hAnsi="Times New Roman"/>
          <w:noProof/>
          <w:sz w:val="20"/>
          <w:szCs w:val="20"/>
        </w:rPr>
        <w:fldChar w:fldCharType="end"/>
      </w:r>
    </w:p>
    <w:p w:rsidR="005261D0" w:rsidRPr="00F54F7D" w:rsidRDefault="005261D0" w:rsidP="005261D0">
      <w:pPr>
        <w:spacing w:after="0" w:line="240" w:lineRule="auto"/>
        <w:rPr>
          <w:rFonts w:ascii="Times New Roman" w:hAnsi="Times New Roman"/>
          <w:sz w:val="20"/>
          <w:szCs w:val="20"/>
        </w:rPr>
      </w:pPr>
      <w:r w:rsidRPr="00F54F7D">
        <w:rPr>
          <w:rFonts w:ascii="Times New Roman" w:hAnsi="Times New Roman"/>
          <w:sz w:val="20"/>
          <w:szCs w:val="20"/>
        </w:rPr>
        <w:t>E. Luca-Ratfeldere,</w:t>
      </w:r>
      <w:r w:rsidR="008426C2" w:rsidRPr="00F54F7D">
        <w:rPr>
          <w:rFonts w:ascii="Times New Roman" w:hAnsi="Times New Roman"/>
          <w:sz w:val="20"/>
          <w:szCs w:val="20"/>
        </w:rPr>
        <w:t xml:space="preserve"> </w:t>
      </w:r>
      <w:r w:rsidRPr="00F54F7D">
        <w:rPr>
          <w:rFonts w:ascii="Times New Roman" w:hAnsi="Times New Roman"/>
          <w:sz w:val="20"/>
          <w:szCs w:val="20"/>
        </w:rPr>
        <w:t>67013133</w:t>
      </w:r>
    </w:p>
    <w:p w:rsidR="005261D0" w:rsidRPr="00F54F7D" w:rsidRDefault="00493EE0" w:rsidP="005261D0">
      <w:pPr>
        <w:spacing w:after="0" w:line="240" w:lineRule="auto"/>
        <w:rPr>
          <w:rFonts w:ascii="Times New Roman" w:hAnsi="Times New Roman"/>
          <w:sz w:val="20"/>
          <w:szCs w:val="20"/>
        </w:rPr>
      </w:pPr>
      <w:hyperlink r:id="rId8" w:history="1">
        <w:r w:rsidR="005261D0" w:rsidRPr="00F54F7D">
          <w:rPr>
            <w:rStyle w:val="Hyperlink"/>
            <w:rFonts w:ascii="Times New Roman" w:hAnsi="Times New Roman"/>
            <w:sz w:val="20"/>
            <w:szCs w:val="20"/>
          </w:rPr>
          <w:t>elina.luca-ratfeldere@em.gov.lv</w:t>
        </w:r>
      </w:hyperlink>
      <w:r w:rsidR="005261D0" w:rsidRPr="00F54F7D">
        <w:rPr>
          <w:rFonts w:ascii="Times New Roman" w:hAnsi="Times New Roman"/>
          <w:sz w:val="20"/>
          <w:szCs w:val="20"/>
        </w:rPr>
        <w:t>;</w:t>
      </w:r>
    </w:p>
    <w:p w:rsidR="005261D0" w:rsidRPr="00F54F7D" w:rsidRDefault="005261D0" w:rsidP="005261D0">
      <w:pPr>
        <w:spacing w:after="0" w:line="240" w:lineRule="auto"/>
        <w:rPr>
          <w:rFonts w:ascii="Times New Roman" w:hAnsi="Times New Roman"/>
          <w:sz w:val="20"/>
          <w:szCs w:val="20"/>
        </w:rPr>
      </w:pPr>
      <w:r w:rsidRPr="00F54F7D">
        <w:rPr>
          <w:rFonts w:ascii="Times New Roman" w:hAnsi="Times New Roman"/>
          <w:sz w:val="20"/>
          <w:szCs w:val="20"/>
        </w:rPr>
        <w:t xml:space="preserve">I.Niedrīte, 67013168 </w:t>
      </w:r>
    </w:p>
    <w:p w:rsidR="005526CE" w:rsidRPr="00F54F7D" w:rsidRDefault="00493EE0" w:rsidP="00596045">
      <w:pPr>
        <w:spacing w:after="0" w:line="240" w:lineRule="auto"/>
        <w:rPr>
          <w:rFonts w:ascii="Times New Roman" w:hAnsi="Times New Roman"/>
          <w:sz w:val="20"/>
          <w:szCs w:val="20"/>
        </w:rPr>
      </w:pPr>
      <w:hyperlink r:id="rId9" w:history="1">
        <w:r w:rsidR="005261D0" w:rsidRPr="00F54F7D">
          <w:rPr>
            <w:rStyle w:val="Hyperlink"/>
            <w:rFonts w:ascii="Times New Roman" w:hAnsi="Times New Roman"/>
            <w:sz w:val="20"/>
            <w:szCs w:val="20"/>
          </w:rPr>
          <w:t>Indra.Niedrite@em.gov.lv</w:t>
        </w:r>
      </w:hyperlink>
      <w:bookmarkStart w:id="4" w:name="_GoBack"/>
      <w:bookmarkEnd w:id="4"/>
    </w:p>
    <w:sectPr w:rsidR="005526CE" w:rsidRPr="00F54F7D" w:rsidSect="00AB5795">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EE0" w:rsidRDefault="00493EE0" w:rsidP="009640EB">
      <w:pPr>
        <w:spacing w:after="0" w:line="240" w:lineRule="auto"/>
      </w:pPr>
      <w:r>
        <w:separator/>
      </w:r>
    </w:p>
  </w:endnote>
  <w:endnote w:type="continuationSeparator" w:id="0">
    <w:p w:rsidR="00493EE0" w:rsidRDefault="00493EE0" w:rsidP="009640EB">
      <w:pPr>
        <w:spacing w:after="0" w:line="240" w:lineRule="auto"/>
      </w:pPr>
      <w:r>
        <w:continuationSeparator/>
      </w:r>
    </w:p>
  </w:endnote>
  <w:endnote w:type="continuationNotice" w:id="1">
    <w:p w:rsidR="00493EE0" w:rsidRDefault="00493E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61002A87" w:usb1="80000000" w:usb2="00000008" w:usb3="00000000" w:csb0="000101FF" w:csb1="00000000"/>
  </w:font>
  <w:font w:name="Consolas">
    <w:panose1 w:val="020B0609020204030204"/>
    <w:charset w:val="BA"/>
    <w:family w:val="modern"/>
    <w:pitch w:val="fixed"/>
    <w:sig w:usb0="E10002FF" w:usb1="4000FCFF" w:usb2="00000009" w:usb3="00000000" w:csb0="0000019F" w:csb1="00000000"/>
  </w:font>
  <w:font w:name="Arial">
    <w:panose1 w:val="020B0604020202020204"/>
    <w:charset w:val="BA"/>
    <w:family w:val="swiss"/>
    <w:pitch w:val="variable"/>
    <w:sig w:usb0="20002A87" w:usb1="00000000" w:usb2="00000000"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Verdana">
    <w:panose1 w:val="020B0604030504040204"/>
    <w:charset w:val="BA"/>
    <w:family w:val="swiss"/>
    <w:pitch w:val="variable"/>
    <w:sig w:usb0="20000287" w:usb1="00000000" w:usb2="00000000" w:usb3="00000000" w:csb0="0000019F" w:csb1="00000000"/>
  </w:font>
  <w:font w:name="Impact">
    <w:panose1 w:val="020B0806030902050204"/>
    <w:charset w:val="BA"/>
    <w:family w:val="swiss"/>
    <w:pitch w:val="variable"/>
    <w:sig w:usb0="00000287" w:usb1="00000000" w:usb2="00000000" w:usb3="00000000" w:csb0="0000009F"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D55" w:rsidRPr="007F340F" w:rsidRDefault="00671D55" w:rsidP="007B298C">
    <w:pPr>
      <w:pStyle w:val="naisf"/>
      <w:spacing w:before="0" w:after="0"/>
      <w:ind w:firstLine="0"/>
    </w:pPr>
    <w:r>
      <w:rPr>
        <w:sz w:val="20"/>
      </w:rPr>
      <w:fldChar w:fldCharType="begin"/>
    </w:r>
    <w:r>
      <w:rPr>
        <w:sz w:val="20"/>
      </w:rPr>
      <w:instrText xml:space="preserve"> FILENAME   \* MERGEFORMAT </w:instrText>
    </w:r>
    <w:r>
      <w:rPr>
        <w:sz w:val="20"/>
      </w:rPr>
      <w:fldChar w:fldCharType="separate"/>
    </w:r>
    <w:r>
      <w:rPr>
        <w:noProof/>
        <w:sz w:val="20"/>
      </w:rPr>
      <w:t>EManot_</w:t>
    </w:r>
    <w:r w:rsidR="005261D0">
      <w:rPr>
        <w:noProof/>
        <w:sz w:val="20"/>
        <w:lang w:val="lv-LV"/>
      </w:rPr>
      <w:t>1</w:t>
    </w:r>
    <w:r w:rsidR="007B298C">
      <w:rPr>
        <w:noProof/>
        <w:sz w:val="20"/>
        <w:lang w:val="lv-LV"/>
      </w:rPr>
      <w:t>7</w:t>
    </w:r>
    <w:r w:rsidR="004F7329">
      <w:rPr>
        <w:noProof/>
        <w:sz w:val="20"/>
        <w:lang w:val="lv-LV"/>
      </w:rPr>
      <w:t>0913</w:t>
    </w:r>
    <w:r>
      <w:rPr>
        <w:noProof/>
        <w:sz w:val="20"/>
      </w:rPr>
      <w:t>_</w:t>
    </w:r>
    <w:r w:rsidR="004F7329">
      <w:rPr>
        <w:noProof/>
        <w:sz w:val="20"/>
        <w:lang w:val="lv-LV"/>
      </w:rPr>
      <w:t>ETL</w:t>
    </w:r>
    <w:r>
      <w:rPr>
        <w:noProof/>
        <w:sz w:val="20"/>
      </w:rPr>
      <w:t>groz</w:t>
    </w:r>
    <w:r>
      <w:rPr>
        <w:sz w:val="20"/>
      </w:rPr>
      <w:fldChar w:fldCharType="end"/>
    </w:r>
    <w:r w:rsidRPr="00540F96">
      <w:rPr>
        <w:sz w:val="20"/>
      </w:rPr>
      <w:t xml:space="preserve">; </w:t>
    </w:r>
    <w:r w:rsidRPr="00540F96">
      <w:rPr>
        <w:color w:val="000000"/>
        <w:sz w:val="20"/>
      </w:rPr>
      <w:t>Likumprojekta „Grozījumi Elektroenerģijas tirgus likumā</w:t>
    </w:r>
    <w:r w:rsidRPr="00540F96">
      <w:rPr>
        <w:bCs/>
        <w:color w:val="000000"/>
        <w:sz w:val="20"/>
      </w:rPr>
      <w:t>”</w:t>
    </w:r>
    <w:r w:rsidRPr="00540F96">
      <w:rPr>
        <w:color w:val="000000"/>
        <w:sz w:val="20"/>
      </w:rPr>
      <w:t xml:space="preserve"> </w:t>
    </w:r>
    <w:r w:rsidRPr="00540F96">
      <w:rPr>
        <w:bCs/>
        <w:color w:val="000000"/>
        <w:sz w:val="20"/>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D55" w:rsidRPr="004C7262" w:rsidRDefault="004F7329" w:rsidP="007B298C">
    <w:pPr>
      <w:pStyle w:val="naisf"/>
      <w:spacing w:before="0" w:after="0"/>
      <w:ind w:firstLine="0"/>
      <w:rPr>
        <w:bCs/>
        <w:sz w:val="20"/>
        <w:lang w:eastAsia="lv-LV"/>
      </w:rPr>
    </w:pPr>
    <w:r>
      <w:rPr>
        <w:sz w:val="20"/>
      </w:rPr>
      <w:fldChar w:fldCharType="begin"/>
    </w:r>
    <w:r>
      <w:rPr>
        <w:sz w:val="20"/>
      </w:rPr>
      <w:instrText xml:space="preserve"> FILENAME   \* MERGEFORMAT </w:instrText>
    </w:r>
    <w:r>
      <w:rPr>
        <w:sz w:val="20"/>
      </w:rPr>
      <w:fldChar w:fldCharType="separate"/>
    </w:r>
    <w:r>
      <w:rPr>
        <w:noProof/>
        <w:sz w:val="20"/>
      </w:rPr>
      <w:t>EManot_</w:t>
    </w:r>
    <w:r w:rsidR="005261D0">
      <w:rPr>
        <w:noProof/>
        <w:sz w:val="20"/>
        <w:lang w:val="lv-LV"/>
      </w:rPr>
      <w:t>1</w:t>
    </w:r>
    <w:r w:rsidR="007B298C">
      <w:rPr>
        <w:noProof/>
        <w:sz w:val="20"/>
        <w:lang w:val="lv-LV"/>
      </w:rPr>
      <w:t>7</w:t>
    </w:r>
    <w:r>
      <w:rPr>
        <w:noProof/>
        <w:sz w:val="20"/>
        <w:lang w:val="lv-LV"/>
      </w:rPr>
      <w:t>0913</w:t>
    </w:r>
    <w:r>
      <w:rPr>
        <w:noProof/>
        <w:sz w:val="20"/>
      </w:rPr>
      <w:t>_</w:t>
    </w:r>
    <w:r>
      <w:rPr>
        <w:noProof/>
        <w:sz w:val="20"/>
        <w:lang w:val="lv-LV"/>
      </w:rPr>
      <w:t>ETL</w:t>
    </w:r>
    <w:r>
      <w:rPr>
        <w:noProof/>
        <w:sz w:val="20"/>
      </w:rPr>
      <w:t>groz</w:t>
    </w:r>
    <w:r>
      <w:rPr>
        <w:sz w:val="20"/>
      </w:rPr>
      <w:fldChar w:fldCharType="end"/>
    </w:r>
    <w:r w:rsidRPr="00540F96">
      <w:rPr>
        <w:sz w:val="20"/>
      </w:rPr>
      <w:t xml:space="preserve">; </w:t>
    </w:r>
    <w:r w:rsidRPr="00540F96">
      <w:rPr>
        <w:color w:val="000000"/>
        <w:sz w:val="20"/>
      </w:rPr>
      <w:t>Likumprojekta „Grozījumi Elektroenerģijas tirgus likumā</w:t>
    </w:r>
    <w:r w:rsidRPr="00540F96">
      <w:rPr>
        <w:bCs/>
        <w:color w:val="000000"/>
        <w:sz w:val="20"/>
      </w:rPr>
      <w:t>”</w:t>
    </w:r>
    <w:r w:rsidRPr="00540F96">
      <w:rPr>
        <w:color w:val="000000"/>
        <w:sz w:val="20"/>
      </w:rPr>
      <w:t xml:space="preserve"> </w:t>
    </w:r>
    <w:r w:rsidRPr="00540F96">
      <w:rPr>
        <w:bCs/>
        <w:color w:val="000000"/>
        <w:sz w:val="20"/>
      </w:rPr>
      <w:t>sākotnējās ietekmes n</w:t>
    </w:r>
    <w:r>
      <w:rPr>
        <w:bCs/>
        <w:color w:val="000000"/>
        <w:sz w:val="20"/>
      </w:rPr>
      <w:t>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EE0" w:rsidRDefault="00493EE0" w:rsidP="009640EB">
      <w:pPr>
        <w:spacing w:after="0" w:line="240" w:lineRule="auto"/>
      </w:pPr>
      <w:r>
        <w:separator/>
      </w:r>
    </w:p>
  </w:footnote>
  <w:footnote w:type="continuationSeparator" w:id="0">
    <w:p w:rsidR="00493EE0" w:rsidRDefault="00493EE0" w:rsidP="009640EB">
      <w:pPr>
        <w:spacing w:after="0" w:line="240" w:lineRule="auto"/>
      </w:pPr>
      <w:r>
        <w:continuationSeparator/>
      </w:r>
    </w:p>
  </w:footnote>
  <w:footnote w:type="continuationNotice" w:id="1">
    <w:p w:rsidR="00493EE0" w:rsidRDefault="00493EE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D55" w:rsidRDefault="00671D55">
    <w:pPr>
      <w:pStyle w:val="Header"/>
      <w:jc w:val="center"/>
    </w:pPr>
    <w:r w:rsidRPr="00C25AD5">
      <w:rPr>
        <w:rFonts w:ascii="Times New Roman" w:hAnsi="Times New Roman"/>
        <w:sz w:val="24"/>
        <w:szCs w:val="24"/>
      </w:rPr>
      <w:fldChar w:fldCharType="begin"/>
    </w:r>
    <w:r w:rsidRPr="00C25AD5">
      <w:rPr>
        <w:rFonts w:ascii="Times New Roman" w:hAnsi="Times New Roman"/>
        <w:sz w:val="24"/>
        <w:szCs w:val="24"/>
      </w:rPr>
      <w:instrText xml:space="preserve"> PAGE   \* MERGEFORMAT </w:instrText>
    </w:r>
    <w:r w:rsidRPr="00C25AD5">
      <w:rPr>
        <w:rFonts w:ascii="Times New Roman" w:hAnsi="Times New Roman"/>
        <w:sz w:val="24"/>
        <w:szCs w:val="24"/>
      </w:rPr>
      <w:fldChar w:fldCharType="separate"/>
    </w:r>
    <w:r w:rsidR="007B298C">
      <w:rPr>
        <w:rFonts w:ascii="Times New Roman" w:hAnsi="Times New Roman"/>
        <w:noProof/>
        <w:sz w:val="24"/>
        <w:szCs w:val="24"/>
      </w:rPr>
      <w:t>12</w:t>
    </w:r>
    <w:r w:rsidRPr="00C25AD5">
      <w:rPr>
        <w:rFonts w:ascii="Times New Roman" w:hAnsi="Times New Roman"/>
        <w:sz w:val="24"/>
        <w:szCs w:val="24"/>
      </w:rPr>
      <w:fldChar w:fldCharType="end"/>
    </w:r>
  </w:p>
  <w:p w:rsidR="00671D55" w:rsidRDefault="00671D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E7A14"/>
    <w:multiLevelType w:val="hybridMultilevel"/>
    <w:tmpl w:val="40D468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1DA7922"/>
    <w:multiLevelType w:val="hybridMultilevel"/>
    <w:tmpl w:val="C0E6CEC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9B15022"/>
    <w:multiLevelType w:val="multilevel"/>
    <w:tmpl w:val="F7FC1760"/>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i w:val="0"/>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
    <w:nsid w:val="1D347886"/>
    <w:multiLevelType w:val="hybridMultilevel"/>
    <w:tmpl w:val="0EFE6FBE"/>
    <w:lvl w:ilvl="0" w:tplc="5138226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25555A42"/>
    <w:multiLevelType w:val="multilevel"/>
    <w:tmpl w:val="F7FC1760"/>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i w:val="0"/>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5">
    <w:nsid w:val="26221F9D"/>
    <w:multiLevelType w:val="hybridMultilevel"/>
    <w:tmpl w:val="862CE82A"/>
    <w:lvl w:ilvl="0" w:tplc="C8FC2986">
      <w:numFmt w:val="bullet"/>
      <w:lvlText w:val="-"/>
      <w:lvlJc w:val="left"/>
      <w:pPr>
        <w:ind w:left="720" w:hanging="360"/>
      </w:pPr>
      <w:rPr>
        <w:rFonts w:ascii="Calibri" w:eastAsia="Times New Roman" w:hAnsi="Calibri" w:hint="default"/>
      </w:rPr>
    </w:lvl>
    <w:lvl w:ilvl="1" w:tplc="04260003">
      <w:start w:val="1"/>
      <w:numFmt w:val="decimal"/>
      <w:lvlText w:val="%2."/>
      <w:lvlJc w:val="left"/>
      <w:pPr>
        <w:tabs>
          <w:tab w:val="num" w:pos="1440"/>
        </w:tabs>
        <w:ind w:left="1440" w:hanging="360"/>
      </w:pPr>
      <w:rPr>
        <w:rFonts w:cs="Times New Roman"/>
      </w:rPr>
    </w:lvl>
    <w:lvl w:ilvl="2" w:tplc="04260005">
      <w:start w:val="1"/>
      <w:numFmt w:val="decimal"/>
      <w:lvlText w:val="%3."/>
      <w:lvlJc w:val="left"/>
      <w:pPr>
        <w:tabs>
          <w:tab w:val="num" w:pos="2160"/>
        </w:tabs>
        <w:ind w:left="2160" w:hanging="360"/>
      </w:pPr>
      <w:rPr>
        <w:rFonts w:cs="Times New Roman"/>
      </w:rPr>
    </w:lvl>
    <w:lvl w:ilvl="3" w:tplc="04260001">
      <w:start w:val="1"/>
      <w:numFmt w:val="decimal"/>
      <w:lvlText w:val="%4."/>
      <w:lvlJc w:val="left"/>
      <w:pPr>
        <w:tabs>
          <w:tab w:val="num" w:pos="2880"/>
        </w:tabs>
        <w:ind w:left="2880" w:hanging="360"/>
      </w:pPr>
      <w:rPr>
        <w:rFonts w:cs="Times New Roman"/>
      </w:rPr>
    </w:lvl>
    <w:lvl w:ilvl="4" w:tplc="04260003">
      <w:start w:val="1"/>
      <w:numFmt w:val="decimal"/>
      <w:lvlText w:val="%5."/>
      <w:lvlJc w:val="left"/>
      <w:pPr>
        <w:tabs>
          <w:tab w:val="num" w:pos="3600"/>
        </w:tabs>
        <w:ind w:left="3600" w:hanging="360"/>
      </w:pPr>
      <w:rPr>
        <w:rFonts w:cs="Times New Roman"/>
      </w:rPr>
    </w:lvl>
    <w:lvl w:ilvl="5" w:tplc="04260005">
      <w:start w:val="1"/>
      <w:numFmt w:val="decimal"/>
      <w:lvlText w:val="%6."/>
      <w:lvlJc w:val="left"/>
      <w:pPr>
        <w:tabs>
          <w:tab w:val="num" w:pos="4320"/>
        </w:tabs>
        <w:ind w:left="4320" w:hanging="360"/>
      </w:pPr>
      <w:rPr>
        <w:rFonts w:cs="Times New Roman"/>
      </w:rPr>
    </w:lvl>
    <w:lvl w:ilvl="6" w:tplc="04260001">
      <w:start w:val="1"/>
      <w:numFmt w:val="decimal"/>
      <w:lvlText w:val="%7."/>
      <w:lvlJc w:val="left"/>
      <w:pPr>
        <w:tabs>
          <w:tab w:val="num" w:pos="5040"/>
        </w:tabs>
        <w:ind w:left="5040" w:hanging="360"/>
      </w:pPr>
      <w:rPr>
        <w:rFonts w:cs="Times New Roman"/>
      </w:rPr>
    </w:lvl>
    <w:lvl w:ilvl="7" w:tplc="04260003">
      <w:start w:val="1"/>
      <w:numFmt w:val="decimal"/>
      <w:lvlText w:val="%8."/>
      <w:lvlJc w:val="left"/>
      <w:pPr>
        <w:tabs>
          <w:tab w:val="num" w:pos="5760"/>
        </w:tabs>
        <w:ind w:left="5760" w:hanging="360"/>
      </w:pPr>
      <w:rPr>
        <w:rFonts w:cs="Times New Roman"/>
      </w:rPr>
    </w:lvl>
    <w:lvl w:ilvl="8" w:tplc="04260005">
      <w:start w:val="1"/>
      <w:numFmt w:val="decimal"/>
      <w:lvlText w:val="%9."/>
      <w:lvlJc w:val="left"/>
      <w:pPr>
        <w:tabs>
          <w:tab w:val="num" w:pos="6480"/>
        </w:tabs>
        <w:ind w:left="6480" w:hanging="360"/>
      </w:pPr>
      <w:rPr>
        <w:rFonts w:cs="Times New Roman"/>
      </w:rPr>
    </w:lvl>
  </w:abstractNum>
  <w:abstractNum w:abstractNumId="6">
    <w:nsid w:val="2B267C05"/>
    <w:multiLevelType w:val="hybridMultilevel"/>
    <w:tmpl w:val="5DC6DEF6"/>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7">
    <w:nsid w:val="2FAB6EDE"/>
    <w:multiLevelType w:val="hybridMultilevel"/>
    <w:tmpl w:val="17C41DE4"/>
    <w:lvl w:ilvl="0" w:tplc="04260011">
      <w:start w:val="1"/>
      <w:numFmt w:val="decimal"/>
      <w:lvlText w:val="%1)"/>
      <w:lvlJc w:val="left"/>
      <w:pPr>
        <w:ind w:left="715" w:hanging="360"/>
      </w:pPr>
    </w:lvl>
    <w:lvl w:ilvl="1" w:tplc="04260019" w:tentative="1">
      <w:start w:val="1"/>
      <w:numFmt w:val="lowerLetter"/>
      <w:lvlText w:val="%2."/>
      <w:lvlJc w:val="left"/>
      <w:pPr>
        <w:ind w:left="1435" w:hanging="360"/>
      </w:pPr>
    </w:lvl>
    <w:lvl w:ilvl="2" w:tplc="0426001B" w:tentative="1">
      <w:start w:val="1"/>
      <w:numFmt w:val="lowerRoman"/>
      <w:lvlText w:val="%3."/>
      <w:lvlJc w:val="right"/>
      <w:pPr>
        <w:ind w:left="2155" w:hanging="180"/>
      </w:pPr>
    </w:lvl>
    <w:lvl w:ilvl="3" w:tplc="0426000F" w:tentative="1">
      <w:start w:val="1"/>
      <w:numFmt w:val="decimal"/>
      <w:lvlText w:val="%4."/>
      <w:lvlJc w:val="left"/>
      <w:pPr>
        <w:ind w:left="2875" w:hanging="360"/>
      </w:pPr>
    </w:lvl>
    <w:lvl w:ilvl="4" w:tplc="04260019" w:tentative="1">
      <w:start w:val="1"/>
      <w:numFmt w:val="lowerLetter"/>
      <w:lvlText w:val="%5."/>
      <w:lvlJc w:val="left"/>
      <w:pPr>
        <w:ind w:left="3595" w:hanging="360"/>
      </w:pPr>
    </w:lvl>
    <w:lvl w:ilvl="5" w:tplc="0426001B" w:tentative="1">
      <w:start w:val="1"/>
      <w:numFmt w:val="lowerRoman"/>
      <w:lvlText w:val="%6."/>
      <w:lvlJc w:val="right"/>
      <w:pPr>
        <w:ind w:left="4315" w:hanging="180"/>
      </w:pPr>
    </w:lvl>
    <w:lvl w:ilvl="6" w:tplc="0426000F" w:tentative="1">
      <w:start w:val="1"/>
      <w:numFmt w:val="decimal"/>
      <w:lvlText w:val="%7."/>
      <w:lvlJc w:val="left"/>
      <w:pPr>
        <w:ind w:left="5035" w:hanging="360"/>
      </w:pPr>
    </w:lvl>
    <w:lvl w:ilvl="7" w:tplc="04260019" w:tentative="1">
      <w:start w:val="1"/>
      <w:numFmt w:val="lowerLetter"/>
      <w:lvlText w:val="%8."/>
      <w:lvlJc w:val="left"/>
      <w:pPr>
        <w:ind w:left="5755" w:hanging="360"/>
      </w:pPr>
    </w:lvl>
    <w:lvl w:ilvl="8" w:tplc="0426001B" w:tentative="1">
      <w:start w:val="1"/>
      <w:numFmt w:val="lowerRoman"/>
      <w:lvlText w:val="%9."/>
      <w:lvlJc w:val="right"/>
      <w:pPr>
        <w:ind w:left="6475" w:hanging="180"/>
      </w:pPr>
    </w:lvl>
  </w:abstractNum>
  <w:abstractNum w:abstractNumId="8">
    <w:nsid w:val="3BA5614F"/>
    <w:multiLevelType w:val="multilevel"/>
    <w:tmpl w:val="F7FC1760"/>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i w:val="0"/>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9">
    <w:nsid w:val="4E7470BC"/>
    <w:multiLevelType w:val="hybridMultilevel"/>
    <w:tmpl w:val="5330DD24"/>
    <w:lvl w:ilvl="0" w:tplc="51382266">
      <w:start w:val="1"/>
      <w:numFmt w:val="bullet"/>
      <w:lvlText w:val=""/>
      <w:lvlJc w:val="left"/>
      <w:pPr>
        <w:ind w:left="715" w:hanging="360"/>
      </w:pPr>
      <w:rPr>
        <w:rFonts w:ascii="Symbol" w:hAnsi="Symbol" w:hint="default"/>
      </w:rPr>
    </w:lvl>
    <w:lvl w:ilvl="1" w:tplc="04260003" w:tentative="1">
      <w:start w:val="1"/>
      <w:numFmt w:val="bullet"/>
      <w:lvlText w:val="o"/>
      <w:lvlJc w:val="left"/>
      <w:pPr>
        <w:ind w:left="1435" w:hanging="360"/>
      </w:pPr>
      <w:rPr>
        <w:rFonts w:ascii="Courier New" w:hAnsi="Courier New" w:cs="Courier New" w:hint="default"/>
      </w:rPr>
    </w:lvl>
    <w:lvl w:ilvl="2" w:tplc="04260005" w:tentative="1">
      <w:start w:val="1"/>
      <w:numFmt w:val="bullet"/>
      <w:lvlText w:val=""/>
      <w:lvlJc w:val="left"/>
      <w:pPr>
        <w:ind w:left="2155" w:hanging="360"/>
      </w:pPr>
      <w:rPr>
        <w:rFonts w:ascii="Wingdings" w:hAnsi="Wingdings" w:hint="default"/>
      </w:rPr>
    </w:lvl>
    <w:lvl w:ilvl="3" w:tplc="04260001" w:tentative="1">
      <w:start w:val="1"/>
      <w:numFmt w:val="bullet"/>
      <w:lvlText w:val=""/>
      <w:lvlJc w:val="left"/>
      <w:pPr>
        <w:ind w:left="2875" w:hanging="360"/>
      </w:pPr>
      <w:rPr>
        <w:rFonts w:ascii="Symbol" w:hAnsi="Symbol" w:hint="default"/>
      </w:rPr>
    </w:lvl>
    <w:lvl w:ilvl="4" w:tplc="04260003" w:tentative="1">
      <w:start w:val="1"/>
      <w:numFmt w:val="bullet"/>
      <w:lvlText w:val="o"/>
      <w:lvlJc w:val="left"/>
      <w:pPr>
        <w:ind w:left="3595" w:hanging="360"/>
      </w:pPr>
      <w:rPr>
        <w:rFonts w:ascii="Courier New" w:hAnsi="Courier New" w:cs="Courier New" w:hint="default"/>
      </w:rPr>
    </w:lvl>
    <w:lvl w:ilvl="5" w:tplc="04260005" w:tentative="1">
      <w:start w:val="1"/>
      <w:numFmt w:val="bullet"/>
      <w:lvlText w:val=""/>
      <w:lvlJc w:val="left"/>
      <w:pPr>
        <w:ind w:left="4315" w:hanging="360"/>
      </w:pPr>
      <w:rPr>
        <w:rFonts w:ascii="Wingdings" w:hAnsi="Wingdings" w:hint="default"/>
      </w:rPr>
    </w:lvl>
    <w:lvl w:ilvl="6" w:tplc="04260001" w:tentative="1">
      <w:start w:val="1"/>
      <w:numFmt w:val="bullet"/>
      <w:lvlText w:val=""/>
      <w:lvlJc w:val="left"/>
      <w:pPr>
        <w:ind w:left="5035" w:hanging="360"/>
      </w:pPr>
      <w:rPr>
        <w:rFonts w:ascii="Symbol" w:hAnsi="Symbol" w:hint="default"/>
      </w:rPr>
    </w:lvl>
    <w:lvl w:ilvl="7" w:tplc="04260003" w:tentative="1">
      <w:start w:val="1"/>
      <w:numFmt w:val="bullet"/>
      <w:lvlText w:val="o"/>
      <w:lvlJc w:val="left"/>
      <w:pPr>
        <w:ind w:left="5755" w:hanging="360"/>
      </w:pPr>
      <w:rPr>
        <w:rFonts w:ascii="Courier New" w:hAnsi="Courier New" w:cs="Courier New" w:hint="default"/>
      </w:rPr>
    </w:lvl>
    <w:lvl w:ilvl="8" w:tplc="04260005" w:tentative="1">
      <w:start w:val="1"/>
      <w:numFmt w:val="bullet"/>
      <w:lvlText w:val=""/>
      <w:lvlJc w:val="left"/>
      <w:pPr>
        <w:ind w:left="6475" w:hanging="360"/>
      </w:pPr>
      <w:rPr>
        <w:rFonts w:ascii="Wingdings" w:hAnsi="Wingdings" w:hint="default"/>
      </w:rPr>
    </w:lvl>
  </w:abstractNum>
  <w:abstractNum w:abstractNumId="10">
    <w:nsid w:val="59FB2E1E"/>
    <w:multiLevelType w:val="multilevel"/>
    <w:tmpl w:val="F5623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4571C62"/>
    <w:multiLevelType w:val="hybridMultilevel"/>
    <w:tmpl w:val="0A18BB86"/>
    <w:lvl w:ilvl="0" w:tplc="04090011">
      <w:start w:val="1"/>
      <w:numFmt w:val="decimal"/>
      <w:lvlText w:val="%1."/>
      <w:lvlJc w:val="left"/>
      <w:pPr>
        <w:tabs>
          <w:tab w:val="num" w:pos="1440"/>
        </w:tabs>
        <w:ind w:left="1440" w:hanging="360"/>
      </w:pPr>
      <w:rPr>
        <w:rFonts w:cs="Times New Roman"/>
        <w:sz w:val="28"/>
        <w:szCs w:val="28"/>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2">
    <w:nsid w:val="6C926286"/>
    <w:multiLevelType w:val="hybridMultilevel"/>
    <w:tmpl w:val="20A6E072"/>
    <w:lvl w:ilvl="0" w:tplc="10226A44">
      <w:start w:val="1"/>
      <w:numFmt w:val="decimal"/>
      <w:lvlText w:val="%1)"/>
      <w:lvlJc w:val="left"/>
      <w:pPr>
        <w:ind w:left="464" w:hanging="360"/>
      </w:pPr>
      <w:rPr>
        <w:rFonts w:cs="Times New Roman" w:hint="default"/>
      </w:rPr>
    </w:lvl>
    <w:lvl w:ilvl="1" w:tplc="04260019" w:tentative="1">
      <w:start w:val="1"/>
      <w:numFmt w:val="lowerLetter"/>
      <w:lvlText w:val="%2."/>
      <w:lvlJc w:val="left"/>
      <w:pPr>
        <w:ind w:left="1184" w:hanging="360"/>
      </w:pPr>
      <w:rPr>
        <w:rFonts w:cs="Times New Roman"/>
      </w:rPr>
    </w:lvl>
    <w:lvl w:ilvl="2" w:tplc="0426001B" w:tentative="1">
      <w:start w:val="1"/>
      <w:numFmt w:val="lowerRoman"/>
      <w:lvlText w:val="%3."/>
      <w:lvlJc w:val="right"/>
      <w:pPr>
        <w:ind w:left="1904" w:hanging="180"/>
      </w:pPr>
      <w:rPr>
        <w:rFonts w:cs="Times New Roman"/>
      </w:rPr>
    </w:lvl>
    <w:lvl w:ilvl="3" w:tplc="0426000F" w:tentative="1">
      <w:start w:val="1"/>
      <w:numFmt w:val="decimal"/>
      <w:lvlText w:val="%4."/>
      <w:lvlJc w:val="left"/>
      <w:pPr>
        <w:ind w:left="2624" w:hanging="360"/>
      </w:pPr>
      <w:rPr>
        <w:rFonts w:cs="Times New Roman"/>
      </w:rPr>
    </w:lvl>
    <w:lvl w:ilvl="4" w:tplc="04260019" w:tentative="1">
      <w:start w:val="1"/>
      <w:numFmt w:val="lowerLetter"/>
      <w:lvlText w:val="%5."/>
      <w:lvlJc w:val="left"/>
      <w:pPr>
        <w:ind w:left="3344" w:hanging="360"/>
      </w:pPr>
      <w:rPr>
        <w:rFonts w:cs="Times New Roman"/>
      </w:rPr>
    </w:lvl>
    <w:lvl w:ilvl="5" w:tplc="0426001B" w:tentative="1">
      <w:start w:val="1"/>
      <w:numFmt w:val="lowerRoman"/>
      <w:lvlText w:val="%6."/>
      <w:lvlJc w:val="right"/>
      <w:pPr>
        <w:ind w:left="4064" w:hanging="180"/>
      </w:pPr>
      <w:rPr>
        <w:rFonts w:cs="Times New Roman"/>
      </w:rPr>
    </w:lvl>
    <w:lvl w:ilvl="6" w:tplc="0426000F" w:tentative="1">
      <w:start w:val="1"/>
      <w:numFmt w:val="decimal"/>
      <w:lvlText w:val="%7."/>
      <w:lvlJc w:val="left"/>
      <w:pPr>
        <w:ind w:left="4784" w:hanging="360"/>
      </w:pPr>
      <w:rPr>
        <w:rFonts w:cs="Times New Roman"/>
      </w:rPr>
    </w:lvl>
    <w:lvl w:ilvl="7" w:tplc="04260019" w:tentative="1">
      <w:start w:val="1"/>
      <w:numFmt w:val="lowerLetter"/>
      <w:lvlText w:val="%8."/>
      <w:lvlJc w:val="left"/>
      <w:pPr>
        <w:ind w:left="5504" w:hanging="360"/>
      </w:pPr>
      <w:rPr>
        <w:rFonts w:cs="Times New Roman"/>
      </w:rPr>
    </w:lvl>
    <w:lvl w:ilvl="8" w:tplc="0426001B" w:tentative="1">
      <w:start w:val="1"/>
      <w:numFmt w:val="lowerRoman"/>
      <w:lvlText w:val="%9."/>
      <w:lvlJc w:val="right"/>
      <w:pPr>
        <w:ind w:left="6224" w:hanging="180"/>
      </w:pPr>
      <w:rPr>
        <w:rFonts w:cs="Times New Roman"/>
      </w:rPr>
    </w:lvl>
  </w:abstractNum>
  <w:abstractNum w:abstractNumId="13">
    <w:nsid w:val="6E6A1D4D"/>
    <w:multiLevelType w:val="multilevel"/>
    <w:tmpl w:val="F7FC1760"/>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i w:val="0"/>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4">
    <w:nsid w:val="71F52350"/>
    <w:multiLevelType w:val="hybridMultilevel"/>
    <w:tmpl w:val="96CEFBBA"/>
    <w:lvl w:ilvl="0" w:tplc="114AB58A">
      <w:start w:val="1"/>
      <w:numFmt w:val="decimal"/>
      <w:lvlText w:val="%1)"/>
      <w:lvlJc w:val="left"/>
      <w:pPr>
        <w:ind w:left="1070" w:hanging="360"/>
      </w:pPr>
      <w:rPr>
        <w:rFonts w:hint="default"/>
        <w:b/>
      </w:rPr>
    </w:lvl>
    <w:lvl w:ilvl="1" w:tplc="04260019" w:tentative="1">
      <w:start w:val="1"/>
      <w:numFmt w:val="lowerLetter"/>
      <w:lvlText w:val="%2."/>
      <w:lvlJc w:val="left"/>
      <w:pPr>
        <w:ind w:left="165" w:hanging="360"/>
      </w:pPr>
    </w:lvl>
    <w:lvl w:ilvl="2" w:tplc="0426001B" w:tentative="1">
      <w:start w:val="1"/>
      <w:numFmt w:val="lowerRoman"/>
      <w:lvlText w:val="%3."/>
      <w:lvlJc w:val="right"/>
      <w:pPr>
        <w:ind w:left="885" w:hanging="180"/>
      </w:pPr>
    </w:lvl>
    <w:lvl w:ilvl="3" w:tplc="0426000F" w:tentative="1">
      <w:start w:val="1"/>
      <w:numFmt w:val="decimal"/>
      <w:lvlText w:val="%4."/>
      <w:lvlJc w:val="left"/>
      <w:pPr>
        <w:ind w:left="1605" w:hanging="360"/>
      </w:pPr>
    </w:lvl>
    <w:lvl w:ilvl="4" w:tplc="04260019" w:tentative="1">
      <w:start w:val="1"/>
      <w:numFmt w:val="lowerLetter"/>
      <w:lvlText w:val="%5."/>
      <w:lvlJc w:val="left"/>
      <w:pPr>
        <w:ind w:left="2325" w:hanging="360"/>
      </w:pPr>
    </w:lvl>
    <w:lvl w:ilvl="5" w:tplc="0426001B" w:tentative="1">
      <w:start w:val="1"/>
      <w:numFmt w:val="lowerRoman"/>
      <w:lvlText w:val="%6."/>
      <w:lvlJc w:val="right"/>
      <w:pPr>
        <w:ind w:left="3045" w:hanging="180"/>
      </w:pPr>
    </w:lvl>
    <w:lvl w:ilvl="6" w:tplc="0426000F" w:tentative="1">
      <w:start w:val="1"/>
      <w:numFmt w:val="decimal"/>
      <w:lvlText w:val="%7."/>
      <w:lvlJc w:val="left"/>
      <w:pPr>
        <w:ind w:left="3765" w:hanging="360"/>
      </w:pPr>
    </w:lvl>
    <w:lvl w:ilvl="7" w:tplc="04260019" w:tentative="1">
      <w:start w:val="1"/>
      <w:numFmt w:val="lowerLetter"/>
      <w:lvlText w:val="%8."/>
      <w:lvlJc w:val="left"/>
      <w:pPr>
        <w:ind w:left="4485" w:hanging="360"/>
      </w:pPr>
    </w:lvl>
    <w:lvl w:ilvl="8" w:tplc="0426001B" w:tentative="1">
      <w:start w:val="1"/>
      <w:numFmt w:val="lowerRoman"/>
      <w:lvlText w:val="%9."/>
      <w:lvlJc w:val="right"/>
      <w:pPr>
        <w:ind w:left="5205" w:hanging="180"/>
      </w:pPr>
    </w:lvl>
  </w:abstractNum>
  <w:abstractNum w:abstractNumId="15">
    <w:nsid w:val="742908A5"/>
    <w:multiLevelType w:val="hybridMultilevel"/>
    <w:tmpl w:val="1D3272FC"/>
    <w:lvl w:ilvl="0" w:tplc="0426000F">
      <w:start w:val="1"/>
      <w:numFmt w:val="decimal"/>
      <w:lvlText w:val="%1."/>
      <w:lvlJc w:val="left"/>
      <w:pPr>
        <w:ind w:left="720" w:hanging="360"/>
      </w:pPr>
      <w:rPr>
        <w:rFonts w:cs="Times New Roman"/>
      </w:rPr>
    </w:lvl>
    <w:lvl w:ilvl="1" w:tplc="04260019">
      <w:start w:val="1"/>
      <w:numFmt w:val="decimal"/>
      <w:lvlText w:val="%2."/>
      <w:lvlJc w:val="left"/>
      <w:pPr>
        <w:tabs>
          <w:tab w:val="num" w:pos="1440"/>
        </w:tabs>
        <w:ind w:left="1440" w:hanging="360"/>
      </w:pPr>
      <w:rPr>
        <w:rFonts w:cs="Times New Roman"/>
      </w:rPr>
    </w:lvl>
    <w:lvl w:ilvl="2" w:tplc="0426001B">
      <w:start w:val="1"/>
      <w:numFmt w:val="decimal"/>
      <w:lvlText w:val="%3."/>
      <w:lvlJc w:val="left"/>
      <w:pPr>
        <w:tabs>
          <w:tab w:val="num" w:pos="2160"/>
        </w:tabs>
        <w:ind w:left="2160" w:hanging="36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decimal"/>
      <w:lvlText w:val="%5."/>
      <w:lvlJc w:val="left"/>
      <w:pPr>
        <w:tabs>
          <w:tab w:val="num" w:pos="3600"/>
        </w:tabs>
        <w:ind w:left="3600" w:hanging="360"/>
      </w:pPr>
      <w:rPr>
        <w:rFonts w:cs="Times New Roman"/>
      </w:rPr>
    </w:lvl>
    <w:lvl w:ilvl="5" w:tplc="0426001B">
      <w:start w:val="1"/>
      <w:numFmt w:val="decimal"/>
      <w:lvlText w:val="%6."/>
      <w:lvlJc w:val="left"/>
      <w:pPr>
        <w:tabs>
          <w:tab w:val="num" w:pos="4320"/>
        </w:tabs>
        <w:ind w:left="4320" w:hanging="36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decimal"/>
      <w:lvlText w:val="%8."/>
      <w:lvlJc w:val="left"/>
      <w:pPr>
        <w:tabs>
          <w:tab w:val="num" w:pos="5760"/>
        </w:tabs>
        <w:ind w:left="5760" w:hanging="360"/>
      </w:pPr>
      <w:rPr>
        <w:rFonts w:cs="Times New Roman"/>
      </w:rPr>
    </w:lvl>
    <w:lvl w:ilvl="8" w:tplc="0426001B">
      <w:start w:val="1"/>
      <w:numFmt w:val="decimal"/>
      <w:lvlText w:val="%9."/>
      <w:lvlJc w:val="left"/>
      <w:pPr>
        <w:tabs>
          <w:tab w:val="num" w:pos="6480"/>
        </w:tabs>
        <w:ind w:left="6480" w:hanging="360"/>
      </w:pPr>
      <w:rPr>
        <w:rFonts w:cs="Times New Roman"/>
      </w:rPr>
    </w:lvl>
  </w:abstractNum>
  <w:abstractNum w:abstractNumId="16">
    <w:nsid w:val="74DB3E32"/>
    <w:multiLevelType w:val="hybridMultilevel"/>
    <w:tmpl w:val="87C29E36"/>
    <w:lvl w:ilvl="0" w:tplc="12FEDCC0">
      <w:start w:val="1"/>
      <w:numFmt w:val="bullet"/>
      <w:lvlText w:val=""/>
      <w:lvlJc w:val="left"/>
      <w:pPr>
        <w:tabs>
          <w:tab w:val="num" w:pos="720"/>
        </w:tabs>
        <w:ind w:left="720" w:hanging="360"/>
      </w:pPr>
      <w:rPr>
        <w:rFonts w:ascii="Wingdings" w:hAnsi="Wingdings" w:hint="default"/>
      </w:rPr>
    </w:lvl>
    <w:lvl w:ilvl="1" w:tplc="3A0E93F8" w:tentative="1">
      <w:start w:val="1"/>
      <w:numFmt w:val="bullet"/>
      <w:lvlText w:val=""/>
      <w:lvlJc w:val="left"/>
      <w:pPr>
        <w:tabs>
          <w:tab w:val="num" w:pos="1440"/>
        </w:tabs>
        <w:ind w:left="1440" w:hanging="360"/>
      </w:pPr>
      <w:rPr>
        <w:rFonts w:ascii="Wingdings" w:hAnsi="Wingdings" w:hint="default"/>
      </w:rPr>
    </w:lvl>
    <w:lvl w:ilvl="2" w:tplc="3DF413EE" w:tentative="1">
      <w:start w:val="1"/>
      <w:numFmt w:val="bullet"/>
      <w:lvlText w:val=""/>
      <w:lvlJc w:val="left"/>
      <w:pPr>
        <w:tabs>
          <w:tab w:val="num" w:pos="2160"/>
        </w:tabs>
        <w:ind w:left="2160" w:hanging="360"/>
      </w:pPr>
      <w:rPr>
        <w:rFonts w:ascii="Wingdings" w:hAnsi="Wingdings" w:hint="default"/>
      </w:rPr>
    </w:lvl>
    <w:lvl w:ilvl="3" w:tplc="19923C14" w:tentative="1">
      <w:start w:val="1"/>
      <w:numFmt w:val="bullet"/>
      <w:lvlText w:val=""/>
      <w:lvlJc w:val="left"/>
      <w:pPr>
        <w:tabs>
          <w:tab w:val="num" w:pos="2880"/>
        </w:tabs>
        <w:ind w:left="2880" w:hanging="360"/>
      </w:pPr>
      <w:rPr>
        <w:rFonts w:ascii="Wingdings" w:hAnsi="Wingdings" w:hint="default"/>
      </w:rPr>
    </w:lvl>
    <w:lvl w:ilvl="4" w:tplc="1CB6F26A" w:tentative="1">
      <w:start w:val="1"/>
      <w:numFmt w:val="bullet"/>
      <w:lvlText w:val=""/>
      <w:lvlJc w:val="left"/>
      <w:pPr>
        <w:tabs>
          <w:tab w:val="num" w:pos="3600"/>
        </w:tabs>
        <w:ind w:left="3600" w:hanging="360"/>
      </w:pPr>
      <w:rPr>
        <w:rFonts w:ascii="Wingdings" w:hAnsi="Wingdings" w:hint="default"/>
      </w:rPr>
    </w:lvl>
    <w:lvl w:ilvl="5" w:tplc="7C369AE8" w:tentative="1">
      <w:start w:val="1"/>
      <w:numFmt w:val="bullet"/>
      <w:lvlText w:val=""/>
      <w:lvlJc w:val="left"/>
      <w:pPr>
        <w:tabs>
          <w:tab w:val="num" w:pos="4320"/>
        </w:tabs>
        <w:ind w:left="4320" w:hanging="360"/>
      </w:pPr>
      <w:rPr>
        <w:rFonts w:ascii="Wingdings" w:hAnsi="Wingdings" w:hint="default"/>
      </w:rPr>
    </w:lvl>
    <w:lvl w:ilvl="6" w:tplc="581CABCC" w:tentative="1">
      <w:start w:val="1"/>
      <w:numFmt w:val="bullet"/>
      <w:lvlText w:val=""/>
      <w:lvlJc w:val="left"/>
      <w:pPr>
        <w:tabs>
          <w:tab w:val="num" w:pos="5040"/>
        </w:tabs>
        <w:ind w:left="5040" w:hanging="360"/>
      </w:pPr>
      <w:rPr>
        <w:rFonts w:ascii="Wingdings" w:hAnsi="Wingdings" w:hint="default"/>
      </w:rPr>
    </w:lvl>
    <w:lvl w:ilvl="7" w:tplc="4A225244" w:tentative="1">
      <w:start w:val="1"/>
      <w:numFmt w:val="bullet"/>
      <w:lvlText w:val=""/>
      <w:lvlJc w:val="left"/>
      <w:pPr>
        <w:tabs>
          <w:tab w:val="num" w:pos="5760"/>
        </w:tabs>
        <w:ind w:left="5760" w:hanging="360"/>
      </w:pPr>
      <w:rPr>
        <w:rFonts w:ascii="Wingdings" w:hAnsi="Wingdings" w:hint="default"/>
      </w:rPr>
    </w:lvl>
    <w:lvl w:ilvl="8" w:tplc="8AE64112" w:tentative="1">
      <w:start w:val="1"/>
      <w:numFmt w:val="bullet"/>
      <w:lvlText w:val=""/>
      <w:lvlJc w:val="left"/>
      <w:pPr>
        <w:tabs>
          <w:tab w:val="num" w:pos="6480"/>
        </w:tabs>
        <w:ind w:left="6480" w:hanging="360"/>
      </w:pPr>
      <w:rPr>
        <w:rFonts w:ascii="Wingdings" w:hAnsi="Wingdings" w:hint="default"/>
      </w:rPr>
    </w:lvl>
  </w:abstractNum>
  <w:abstractNum w:abstractNumId="17">
    <w:nsid w:val="7E071510"/>
    <w:multiLevelType w:val="hybridMultilevel"/>
    <w:tmpl w:val="58205598"/>
    <w:lvl w:ilvl="0" w:tplc="0426000D">
      <w:start w:val="1"/>
      <w:numFmt w:val="bullet"/>
      <w:lvlText w:val=""/>
      <w:lvlJc w:val="left"/>
      <w:pPr>
        <w:ind w:left="1287" w:hanging="360"/>
      </w:pPr>
      <w:rPr>
        <w:rFonts w:ascii="Wingdings" w:hAnsi="Wingdings"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num w:numId="1">
    <w:abstractNumId w:val="4"/>
  </w:num>
  <w:num w:numId="2">
    <w:abstractNumId w:val="2"/>
  </w:num>
  <w:num w:numId="3">
    <w:abstractNumId w:val="13"/>
  </w:num>
  <w:num w:numId="4">
    <w:abstractNumId w:val="8"/>
  </w:num>
  <w:num w:numId="5">
    <w:abstractNumId w:val="12"/>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6"/>
  </w:num>
  <w:num w:numId="9">
    <w:abstractNumId w:val="16"/>
  </w:num>
  <w:num w:numId="10">
    <w:abstractNumId w:val="10"/>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5"/>
  </w:num>
  <w:num w:numId="14">
    <w:abstractNumId w:val="9"/>
  </w:num>
  <w:num w:numId="15">
    <w:abstractNumId w:val="17"/>
  </w:num>
  <w:num w:numId="16">
    <w:abstractNumId w:val="3"/>
  </w:num>
  <w:num w:numId="17">
    <w:abstractNumId w:val="7"/>
  </w:num>
  <w:num w:numId="18">
    <w:abstractNumId w:val="0"/>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3E8"/>
    <w:rsid w:val="000018EE"/>
    <w:rsid w:val="00002268"/>
    <w:rsid w:val="00002503"/>
    <w:rsid w:val="00004F4D"/>
    <w:rsid w:val="00007FDB"/>
    <w:rsid w:val="000114C7"/>
    <w:rsid w:val="0001271E"/>
    <w:rsid w:val="00013003"/>
    <w:rsid w:val="00014144"/>
    <w:rsid w:val="0001422A"/>
    <w:rsid w:val="00015A72"/>
    <w:rsid w:val="00015EC6"/>
    <w:rsid w:val="00017C7B"/>
    <w:rsid w:val="000214C4"/>
    <w:rsid w:val="000224F0"/>
    <w:rsid w:val="0002742E"/>
    <w:rsid w:val="00030477"/>
    <w:rsid w:val="00030D50"/>
    <w:rsid w:val="00035037"/>
    <w:rsid w:val="000362F1"/>
    <w:rsid w:val="00036A9B"/>
    <w:rsid w:val="0004231A"/>
    <w:rsid w:val="00043735"/>
    <w:rsid w:val="00043C1A"/>
    <w:rsid w:val="00046C40"/>
    <w:rsid w:val="00046F23"/>
    <w:rsid w:val="00047945"/>
    <w:rsid w:val="000504F6"/>
    <w:rsid w:val="0005099F"/>
    <w:rsid w:val="00050FC3"/>
    <w:rsid w:val="00053D19"/>
    <w:rsid w:val="00053E9B"/>
    <w:rsid w:val="00055F75"/>
    <w:rsid w:val="0006010E"/>
    <w:rsid w:val="00060684"/>
    <w:rsid w:val="00062F83"/>
    <w:rsid w:val="00063A04"/>
    <w:rsid w:val="000675BF"/>
    <w:rsid w:val="00071419"/>
    <w:rsid w:val="0007173E"/>
    <w:rsid w:val="00072931"/>
    <w:rsid w:val="000758F7"/>
    <w:rsid w:val="00076769"/>
    <w:rsid w:val="00080D0B"/>
    <w:rsid w:val="0008206C"/>
    <w:rsid w:val="000820A2"/>
    <w:rsid w:val="000833E2"/>
    <w:rsid w:val="00083E6F"/>
    <w:rsid w:val="00084090"/>
    <w:rsid w:val="00085DBA"/>
    <w:rsid w:val="00086787"/>
    <w:rsid w:val="00092065"/>
    <w:rsid w:val="000931B5"/>
    <w:rsid w:val="00093ACE"/>
    <w:rsid w:val="00093DEB"/>
    <w:rsid w:val="00094F8D"/>
    <w:rsid w:val="00095E97"/>
    <w:rsid w:val="000A1292"/>
    <w:rsid w:val="000A15BE"/>
    <w:rsid w:val="000A556D"/>
    <w:rsid w:val="000A5A46"/>
    <w:rsid w:val="000A67F8"/>
    <w:rsid w:val="000A72F6"/>
    <w:rsid w:val="000A747F"/>
    <w:rsid w:val="000B0780"/>
    <w:rsid w:val="000B1064"/>
    <w:rsid w:val="000B1697"/>
    <w:rsid w:val="000B29E9"/>
    <w:rsid w:val="000B2A4E"/>
    <w:rsid w:val="000B2C2A"/>
    <w:rsid w:val="000B2D19"/>
    <w:rsid w:val="000B4666"/>
    <w:rsid w:val="000B7F35"/>
    <w:rsid w:val="000C06CD"/>
    <w:rsid w:val="000D0C6F"/>
    <w:rsid w:val="000D10CB"/>
    <w:rsid w:val="000D16A5"/>
    <w:rsid w:val="000D29B1"/>
    <w:rsid w:val="000D51D2"/>
    <w:rsid w:val="000D6B0C"/>
    <w:rsid w:val="000D6EEE"/>
    <w:rsid w:val="000E11A5"/>
    <w:rsid w:val="000E1317"/>
    <w:rsid w:val="000E1F11"/>
    <w:rsid w:val="000E2B3C"/>
    <w:rsid w:val="000E47B5"/>
    <w:rsid w:val="000E7AB3"/>
    <w:rsid w:val="000F18F4"/>
    <w:rsid w:val="000F27FD"/>
    <w:rsid w:val="000F2E2F"/>
    <w:rsid w:val="001017EE"/>
    <w:rsid w:val="00103E89"/>
    <w:rsid w:val="0010532F"/>
    <w:rsid w:val="00110673"/>
    <w:rsid w:val="00110AA1"/>
    <w:rsid w:val="00111F9B"/>
    <w:rsid w:val="001128BE"/>
    <w:rsid w:val="001134C5"/>
    <w:rsid w:val="00115CA5"/>
    <w:rsid w:val="0011631B"/>
    <w:rsid w:val="0011734D"/>
    <w:rsid w:val="00122ED0"/>
    <w:rsid w:val="00127194"/>
    <w:rsid w:val="00127232"/>
    <w:rsid w:val="00127523"/>
    <w:rsid w:val="0012760F"/>
    <w:rsid w:val="00131457"/>
    <w:rsid w:val="00133765"/>
    <w:rsid w:val="00136A18"/>
    <w:rsid w:val="001400B0"/>
    <w:rsid w:val="001418F5"/>
    <w:rsid w:val="001443E1"/>
    <w:rsid w:val="00144A85"/>
    <w:rsid w:val="001463BF"/>
    <w:rsid w:val="001467DC"/>
    <w:rsid w:val="001524B6"/>
    <w:rsid w:val="00152DD0"/>
    <w:rsid w:val="001534B7"/>
    <w:rsid w:val="00154B5E"/>
    <w:rsid w:val="001554EC"/>
    <w:rsid w:val="001565D2"/>
    <w:rsid w:val="00157AF3"/>
    <w:rsid w:val="00157D1D"/>
    <w:rsid w:val="0016526C"/>
    <w:rsid w:val="00167706"/>
    <w:rsid w:val="0017436F"/>
    <w:rsid w:val="001759C5"/>
    <w:rsid w:val="00176424"/>
    <w:rsid w:val="001767E4"/>
    <w:rsid w:val="001771B5"/>
    <w:rsid w:val="0017768B"/>
    <w:rsid w:val="0018151D"/>
    <w:rsid w:val="001827CC"/>
    <w:rsid w:val="00182D0A"/>
    <w:rsid w:val="00183532"/>
    <w:rsid w:val="00184DAF"/>
    <w:rsid w:val="001915B6"/>
    <w:rsid w:val="00192763"/>
    <w:rsid w:val="001930EC"/>
    <w:rsid w:val="00196AE4"/>
    <w:rsid w:val="00197BBC"/>
    <w:rsid w:val="001A2478"/>
    <w:rsid w:val="001A54A9"/>
    <w:rsid w:val="001A5CEB"/>
    <w:rsid w:val="001A65B8"/>
    <w:rsid w:val="001B0BCF"/>
    <w:rsid w:val="001B1627"/>
    <w:rsid w:val="001B1710"/>
    <w:rsid w:val="001B2AEC"/>
    <w:rsid w:val="001B4FE6"/>
    <w:rsid w:val="001B7C95"/>
    <w:rsid w:val="001C1561"/>
    <w:rsid w:val="001C318D"/>
    <w:rsid w:val="001C70FE"/>
    <w:rsid w:val="001D380F"/>
    <w:rsid w:val="001D4937"/>
    <w:rsid w:val="001E0FE2"/>
    <w:rsid w:val="001E1866"/>
    <w:rsid w:val="001E2C12"/>
    <w:rsid w:val="001F03B6"/>
    <w:rsid w:val="001F048F"/>
    <w:rsid w:val="001F1D3E"/>
    <w:rsid w:val="001F4771"/>
    <w:rsid w:val="001F5388"/>
    <w:rsid w:val="001F609F"/>
    <w:rsid w:val="001F6164"/>
    <w:rsid w:val="001F61AC"/>
    <w:rsid w:val="00201FF2"/>
    <w:rsid w:val="0020265D"/>
    <w:rsid w:val="002045EF"/>
    <w:rsid w:val="00204842"/>
    <w:rsid w:val="002049FF"/>
    <w:rsid w:val="002112B0"/>
    <w:rsid w:val="00211B99"/>
    <w:rsid w:val="00214893"/>
    <w:rsid w:val="00215B3E"/>
    <w:rsid w:val="00215FD3"/>
    <w:rsid w:val="0022058D"/>
    <w:rsid w:val="002229F9"/>
    <w:rsid w:val="00224736"/>
    <w:rsid w:val="0023040B"/>
    <w:rsid w:val="0023060F"/>
    <w:rsid w:val="002322D7"/>
    <w:rsid w:val="00233AA4"/>
    <w:rsid w:val="0023533F"/>
    <w:rsid w:val="0023700D"/>
    <w:rsid w:val="00237539"/>
    <w:rsid w:val="00237DDA"/>
    <w:rsid w:val="002403CE"/>
    <w:rsid w:val="00240A30"/>
    <w:rsid w:val="00240A58"/>
    <w:rsid w:val="0024117C"/>
    <w:rsid w:val="002425A8"/>
    <w:rsid w:val="002428E2"/>
    <w:rsid w:val="00242B86"/>
    <w:rsid w:val="002441E9"/>
    <w:rsid w:val="0024490A"/>
    <w:rsid w:val="002462A2"/>
    <w:rsid w:val="00247636"/>
    <w:rsid w:val="002507E8"/>
    <w:rsid w:val="00251B9E"/>
    <w:rsid w:val="00255D5E"/>
    <w:rsid w:val="00255ED8"/>
    <w:rsid w:val="0025630E"/>
    <w:rsid w:val="002577DF"/>
    <w:rsid w:val="00260D74"/>
    <w:rsid w:val="00261E6A"/>
    <w:rsid w:val="002628E5"/>
    <w:rsid w:val="00263A5A"/>
    <w:rsid w:val="0026471F"/>
    <w:rsid w:val="00264B20"/>
    <w:rsid w:val="00275C23"/>
    <w:rsid w:val="00280F65"/>
    <w:rsid w:val="002811AB"/>
    <w:rsid w:val="00282125"/>
    <w:rsid w:val="00282276"/>
    <w:rsid w:val="00282451"/>
    <w:rsid w:val="00282660"/>
    <w:rsid w:val="00282D20"/>
    <w:rsid w:val="00282D4F"/>
    <w:rsid w:val="0028310B"/>
    <w:rsid w:val="002836F8"/>
    <w:rsid w:val="00283D0E"/>
    <w:rsid w:val="00283E98"/>
    <w:rsid w:val="0028694F"/>
    <w:rsid w:val="00286F3D"/>
    <w:rsid w:val="00287AF7"/>
    <w:rsid w:val="00287E87"/>
    <w:rsid w:val="0029051C"/>
    <w:rsid w:val="00291ACB"/>
    <w:rsid w:val="00292822"/>
    <w:rsid w:val="0029330C"/>
    <w:rsid w:val="0029471D"/>
    <w:rsid w:val="00294E26"/>
    <w:rsid w:val="002961CF"/>
    <w:rsid w:val="002978B7"/>
    <w:rsid w:val="002A277A"/>
    <w:rsid w:val="002B193E"/>
    <w:rsid w:val="002B2901"/>
    <w:rsid w:val="002B5ADD"/>
    <w:rsid w:val="002B6F89"/>
    <w:rsid w:val="002B7FD6"/>
    <w:rsid w:val="002C2267"/>
    <w:rsid w:val="002C3295"/>
    <w:rsid w:val="002C368E"/>
    <w:rsid w:val="002C3BCC"/>
    <w:rsid w:val="002C637D"/>
    <w:rsid w:val="002C7399"/>
    <w:rsid w:val="002C745E"/>
    <w:rsid w:val="002D1FC5"/>
    <w:rsid w:val="002D25FD"/>
    <w:rsid w:val="002D2AA7"/>
    <w:rsid w:val="002D5BC5"/>
    <w:rsid w:val="002D6CAC"/>
    <w:rsid w:val="002D7E5A"/>
    <w:rsid w:val="002E0515"/>
    <w:rsid w:val="002E1A29"/>
    <w:rsid w:val="002E26E0"/>
    <w:rsid w:val="002E43E8"/>
    <w:rsid w:val="002E64A8"/>
    <w:rsid w:val="002F1108"/>
    <w:rsid w:val="002F152D"/>
    <w:rsid w:val="002F21C2"/>
    <w:rsid w:val="002F2995"/>
    <w:rsid w:val="002F4BA9"/>
    <w:rsid w:val="002F5081"/>
    <w:rsid w:val="002F5860"/>
    <w:rsid w:val="002F5E3F"/>
    <w:rsid w:val="002F64E8"/>
    <w:rsid w:val="002F67CF"/>
    <w:rsid w:val="002F6DE1"/>
    <w:rsid w:val="002F6EAE"/>
    <w:rsid w:val="002F78A0"/>
    <w:rsid w:val="002F78DD"/>
    <w:rsid w:val="003037FC"/>
    <w:rsid w:val="00305FB6"/>
    <w:rsid w:val="00313B1A"/>
    <w:rsid w:val="00314456"/>
    <w:rsid w:val="00314B96"/>
    <w:rsid w:val="0031617D"/>
    <w:rsid w:val="003161BE"/>
    <w:rsid w:val="00316E18"/>
    <w:rsid w:val="00317127"/>
    <w:rsid w:val="0031758A"/>
    <w:rsid w:val="0032015C"/>
    <w:rsid w:val="003222F7"/>
    <w:rsid w:val="00322836"/>
    <w:rsid w:val="00323244"/>
    <w:rsid w:val="0032351A"/>
    <w:rsid w:val="00324A66"/>
    <w:rsid w:val="003254CB"/>
    <w:rsid w:val="00325CD2"/>
    <w:rsid w:val="00333B86"/>
    <w:rsid w:val="00333DBC"/>
    <w:rsid w:val="00336E91"/>
    <w:rsid w:val="00337A55"/>
    <w:rsid w:val="00342129"/>
    <w:rsid w:val="00342867"/>
    <w:rsid w:val="00343793"/>
    <w:rsid w:val="0034411F"/>
    <w:rsid w:val="00345A48"/>
    <w:rsid w:val="00347831"/>
    <w:rsid w:val="00355629"/>
    <w:rsid w:val="00356C22"/>
    <w:rsid w:val="00356FC9"/>
    <w:rsid w:val="00357966"/>
    <w:rsid w:val="00360D0D"/>
    <w:rsid w:val="00361CAB"/>
    <w:rsid w:val="00361FBA"/>
    <w:rsid w:val="00362073"/>
    <w:rsid w:val="003643AA"/>
    <w:rsid w:val="00364D84"/>
    <w:rsid w:val="0036509B"/>
    <w:rsid w:val="00367CEC"/>
    <w:rsid w:val="0037144E"/>
    <w:rsid w:val="00371C4E"/>
    <w:rsid w:val="00373A67"/>
    <w:rsid w:val="00373CB6"/>
    <w:rsid w:val="003758FC"/>
    <w:rsid w:val="0037632F"/>
    <w:rsid w:val="00377FD9"/>
    <w:rsid w:val="0038144C"/>
    <w:rsid w:val="0038304B"/>
    <w:rsid w:val="00383C62"/>
    <w:rsid w:val="003876E0"/>
    <w:rsid w:val="00387874"/>
    <w:rsid w:val="00390BAD"/>
    <w:rsid w:val="00391B44"/>
    <w:rsid w:val="00392124"/>
    <w:rsid w:val="00394BE5"/>
    <w:rsid w:val="00394C29"/>
    <w:rsid w:val="00395204"/>
    <w:rsid w:val="00396C30"/>
    <w:rsid w:val="003A2269"/>
    <w:rsid w:val="003A3602"/>
    <w:rsid w:val="003A3DDD"/>
    <w:rsid w:val="003A5446"/>
    <w:rsid w:val="003A54DF"/>
    <w:rsid w:val="003A6A35"/>
    <w:rsid w:val="003A768C"/>
    <w:rsid w:val="003B03E0"/>
    <w:rsid w:val="003B29F1"/>
    <w:rsid w:val="003B3870"/>
    <w:rsid w:val="003B7A77"/>
    <w:rsid w:val="003C19CD"/>
    <w:rsid w:val="003C1F69"/>
    <w:rsid w:val="003C3DDF"/>
    <w:rsid w:val="003C3FA4"/>
    <w:rsid w:val="003C3FFA"/>
    <w:rsid w:val="003C439A"/>
    <w:rsid w:val="003C7172"/>
    <w:rsid w:val="003D07A9"/>
    <w:rsid w:val="003D07ED"/>
    <w:rsid w:val="003D0B2F"/>
    <w:rsid w:val="003D12AB"/>
    <w:rsid w:val="003D241E"/>
    <w:rsid w:val="003D432A"/>
    <w:rsid w:val="003D534F"/>
    <w:rsid w:val="003E009E"/>
    <w:rsid w:val="003E3BAC"/>
    <w:rsid w:val="003E731E"/>
    <w:rsid w:val="003E77C8"/>
    <w:rsid w:val="003E7EBF"/>
    <w:rsid w:val="003F04CE"/>
    <w:rsid w:val="003F1772"/>
    <w:rsid w:val="003F19BA"/>
    <w:rsid w:val="003F2B6D"/>
    <w:rsid w:val="003F3B24"/>
    <w:rsid w:val="003F50D9"/>
    <w:rsid w:val="00404742"/>
    <w:rsid w:val="00407013"/>
    <w:rsid w:val="00407EA2"/>
    <w:rsid w:val="00410AC4"/>
    <w:rsid w:val="00417CCA"/>
    <w:rsid w:val="00420B68"/>
    <w:rsid w:val="0042572C"/>
    <w:rsid w:val="00426B13"/>
    <w:rsid w:val="00430780"/>
    <w:rsid w:val="00433757"/>
    <w:rsid w:val="0043390E"/>
    <w:rsid w:val="0043514A"/>
    <w:rsid w:val="004361C9"/>
    <w:rsid w:val="004401A8"/>
    <w:rsid w:val="004425C2"/>
    <w:rsid w:val="00442AAD"/>
    <w:rsid w:val="0044361C"/>
    <w:rsid w:val="00446981"/>
    <w:rsid w:val="00452385"/>
    <w:rsid w:val="00453B0C"/>
    <w:rsid w:val="00453BF3"/>
    <w:rsid w:val="00454F14"/>
    <w:rsid w:val="00455D64"/>
    <w:rsid w:val="00460CFE"/>
    <w:rsid w:val="00463696"/>
    <w:rsid w:val="004637B9"/>
    <w:rsid w:val="00464AB1"/>
    <w:rsid w:val="00465BBD"/>
    <w:rsid w:val="0046609B"/>
    <w:rsid w:val="004675E5"/>
    <w:rsid w:val="00467A94"/>
    <w:rsid w:val="004704FF"/>
    <w:rsid w:val="00480ADE"/>
    <w:rsid w:val="0048135D"/>
    <w:rsid w:val="004814AD"/>
    <w:rsid w:val="00484080"/>
    <w:rsid w:val="00484598"/>
    <w:rsid w:val="00484E60"/>
    <w:rsid w:val="004866EB"/>
    <w:rsid w:val="00486B4F"/>
    <w:rsid w:val="004877A5"/>
    <w:rsid w:val="00487C33"/>
    <w:rsid w:val="00487E3C"/>
    <w:rsid w:val="00491881"/>
    <w:rsid w:val="00492245"/>
    <w:rsid w:val="00493EE0"/>
    <w:rsid w:val="00494467"/>
    <w:rsid w:val="00494494"/>
    <w:rsid w:val="00494B41"/>
    <w:rsid w:val="00496501"/>
    <w:rsid w:val="00497BAC"/>
    <w:rsid w:val="004A238E"/>
    <w:rsid w:val="004A347F"/>
    <w:rsid w:val="004A3A83"/>
    <w:rsid w:val="004A3F2B"/>
    <w:rsid w:val="004A52B1"/>
    <w:rsid w:val="004A7151"/>
    <w:rsid w:val="004B2B54"/>
    <w:rsid w:val="004B46DA"/>
    <w:rsid w:val="004C0015"/>
    <w:rsid w:val="004C14DE"/>
    <w:rsid w:val="004C165F"/>
    <w:rsid w:val="004C2C9E"/>
    <w:rsid w:val="004C5D6A"/>
    <w:rsid w:val="004C6C07"/>
    <w:rsid w:val="004C7262"/>
    <w:rsid w:val="004D0657"/>
    <w:rsid w:val="004D2168"/>
    <w:rsid w:val="004D2783"/>
    <w:rsid w:val="004D3161"/>
    <w:rsid w:val="004D377B"/>
    <w:rsid w:val="004D3CA6"/>
    <w:rsid w:val="004D3E38"/>
    <w:rsid w:val="004D5ADC"/>
    <w:rsid w:val="004D7981"/>
    <w:rsid w:val="004E0BF2"/>
    <w:rsid w:val="004E2197"/>
    <w:rsid w:val="004E401F"/>
    <w:rsid w:val="004E648F"/>
    <w:rsid w:val="004F0198"/>
    <w:rsid w:val="004F0221"/>
    <w:rsid w:val="004F0E93"/>
    <w:rsid w:val="004F0F48"/>
    <w:rsid w:val="004F1BCF"/>
    <w:rsid w:val="004F2537"/>
    <w:rsid w:val="004F454F"/>
    <w:rsid w:val="004F70FC"/>
    <w:rsid w:val="004F7329"/>
    <w:rsid w:val="005011A8"/>
    <w:rsid w:val="00501389"/>
    <w:rsid w:val="00501D51"/>
    <w:rsid w:val="0050309E"/>
    <w:rsid w:val="00503F2E"/>
    <w:rsid w:val="00504636"/>
    <w:rsid w:val="005054BC"/>
    <w:rsid w:val="00507BE0"/>
    <w:rsid w:val="00507F1A"/>
    <w:rsid w:val="005108A2"/>
    <w:rsid w:val="00510CDA"/>
    <w:rsid w:val="00513575"/>
    <w:rsid w:val="0051445C"/>
    <w:rsid w:val="00517AD2"/>
    <w:rsid w:val="00520C10"/>
    <w:rsid w:val="00521E71"/>
    <w:rsid w:val="0052290A"/>
    <w:rsid w:val="005261D0"/>
    <w:rsid w:val="005270B5"/>
    <w:rsid w:val="005273EE"/>
    <w:rsid w:val="00527B87"/>
    <w:rsid w:val="00531C94"/>
    <w:rsid w:val="00532D11"/>
    <w:rsid w:val="00533E74"/>
    <w:rsid w:val="005344D9"/>
    <w:rsid w:val="00534C66"/>
    <w:rsid w:val="00534CE2"/>
    <w:rsid w:val="005402FA"/>
    <w:rsid w:val="00540792"/>
    <w:rsid w:val="00540973"/>
    <w:rsid w:val="00540F96"/>
    <w:rsid w:val="00541F97"/>
    <w:rsid w:val="00544474"/>
    <w:rsid w:val="00551FD6"/>
    <w:rsid w:val="005526CE"/>
    <w:rsid w:val="005538BE"/>
    <w:rsid w:val="00554262"/>
    <w:rsid w:val="0055465E"/>
    <w:rsid w:val="0055505E"/>
    <w:rsid w:val="00555588"/>
    <w:rsid w:val="00555884"/>
    <w:rsid w:val="005563C4"/>
    <w:rsid w:val="00556975"/>
    <w:rsid w:val="00565900"/>
    <w:rsid w:val="005676D6"/>
    <w:rsid w:val="00572292"/>
    <w:rsid w:val="00582C05"/>
    <w:rsid w:val="005876F3"/>
    <w:rsid w:val="005917FB"/>
    <w:rsid w:val="005924B1"/>
    <w:rsid w:val="00596045"/>
    <w:rsid w:val="0059640E"/>
    <w:rsid w:val="005A00C9"/>
    <w:rsid w:val="005A058F"/>
    <w:rsid w:val="005A306C"/>
    <w:rsid w:val="005A42F2"/>
    <w:rsid w:val="005A7EF2"/>
    <w:rsid w:val="005B1566"/>
    <w:rsid w:val="005B1FCF"/>
    <w:rsid w:val="005B330C"/>
    <w:rsid w:val="005C2599"/>
    <w:rsid w:val="005C4483"/>
    <w:rsid w:val="005C7530"/>
    <w:rsid w:val="005D08A0"/>
    <w:rsid w:val="005D1AE6"/>
    <w:rsid w:val="005D5C44"/>
    <w:rsid w:val="005D5ECF"/>
    <w:rsid w:val="005E1F8A"/>
    <w:rsid w:val="005E2839"/>
    <w:rsid w:val="005E2A92"/>
    <w:rsid w:val="005E328C"/>
    <w:rsid w:val="005E76E0"/>
    <w:rsid w:val="005F0647"/>
    <w:rsid w:val="005F2596"/>
    <w:rsid w:val="005F287E"/>
    <w:rsid w:val="005F28AA"/>
    <w:rsid w:val="005F29C9"/>
    <w:rsid w:val="005F2A46"/>
    <w:rsid w:val="005F4DC5"/>
    <w:rsid w:val="005F57D0"/>
    <w:rsid w:val="005F70EB"/>
    <w:rsid w:val="00600918"/>
    <w:rsid w:val="00600E25"/>
    <w:rsid w:val="006018E5"/>
    <w:rsid w:val="006019E1"/>
    <w:rsid w:val="006054BE"/>
    <w:rsid w:val="0060577C"/>
    <w:rsid w:val="00605F74"/>
    <w:rsid w:val="006067E8"/>
    <w:rsid w:val="00607ACA"/>
    <w:rsid w:val="00610696"/>
    <w:rsid w:val="006108F5"/>
    <w:rsid w:val="00610BAD"/>
    <w:rsid w:val="00615BCC"/>
    <w:rsid w:val="00616C57"/>
    <w:rsid w:val="00620548"/>
    <w:rsid w:val="006208C4"/>
    <w:rsid w:val="0062386F"/>
    <w:rsid w:val="00627FEB"/>
    <w:rsid w:val="006306CC"/>
    <w:rsid w:val="00630F7B"/>
    <w:rsid w:val="006359CB"/>
    <w:rsid w:val="00636777"/>
    <w:rsid w:val="00637F84"/>
    <w:rsid w:val="00640E4A"/>
    <w:rsid w:val="00641012"/>
    <w:rsid w:val="00641B53"/>
    <w:rsid w:val="0064201D"/>
    <w:rsid w:val="0064261E"/>
    <w:rsid w:val="00642ABC"/>
    <w:rsid w:val="006430DC"/>
    <w:rsid w:val="00644029"/>
    <w:rsid w:val="00644608"/>
    <w:rsid w:val="00645E9A"/>
    <w:rsid w:val="00646703"/>
    <w:rsid w:val="00646CF4"/>
    <w:rsid w:val="00650C21"/>
    <w:rsid w:val="00651E7C"/>
    <w:rsid w:val="006527AB"/>
    <w:rsid w:val="00653003"/>
    <w:rsid w:val="00653B0F"/>
    <w:rsid w:val="00654D86"/>
    <w:rsid w:val="00655817"/>
    <w:rsid w:val="00655DD7"/>
    <w:rsid w:val="006564DA"/>
    <w:rsid w:val="00656517"/>
    <w:rsid w:val="00656D57"/>
    <w:rsid w:val="006615AC"/>
    <w:rsid w:val="00664156"/>
    <w:rsid w:val="006641FF"/>
    <w:rsid w:val="00666184"/>
    <w:rsid w:val="00666CB8"/>
    <w:rsid w:val="00671021"/>
    <w:rsid w:val="00671D55"/>
    <w:rsid w:val="0067306D"/>
    <w:rsid w:val="0067312D"/>
    <w:rsid w:val="0067340F"/>
    <w:rsid w:val="00674F28"/>
    <w:rsid w:val="00674F81"/>
    <w:rsid w:val="006761DB"/>
    <w:rsid w:val="0067623F"/>
    <w:rsid w:val="00680FF6"/>
    <w:rsid w:val="006827DB"/>
    <w:rsid w:val="00683D14"/>
    <w:rsid w:val="00684B38"/>
    <w:rsid w:val="00687FFB"/>
    <w:rsid w:val="00690EDA"/>
    <w:rsid w:val="00695734"/>
    <w:rsid w:val="006960C4"/>
    <w:rsid w:val="00696BA8"/>
    <w:rsid w:val="006973CD"/>
    <w:rsid w:val="006977AD"/>
    <w:rsid w:val="00697DDA"/>
    <w:rsid w:val="006A030F"/>
    <w:rsid w:val="006A178B"/>
    <w:rsid w:val="006A3067"/>
    <w:rsid w:val="006A6392"/>
    <w:rsid w:val="006A74FD"/>
    <w:rsid w:val="006B1C7C"/>
    <w:rsid w:val="006B4AFF"/>
    <w:rsid w:val="006B786F"/>
    <w:rsid w:val="006C0B2F"/>
    <w:rsid w:val="006C3856"/>
    <w:rsid w:val="006C6A4B"/>
    <w:rsid w:val="006C7906"/>
    <w:rsid w:val="006D1CF8"/>
    <w:rsid w:val="006D3549"/>
    <w:rsid w:val="006D39AF"/>
    <w:rsid w:val="006D3E12"/>
    <w:rsid w:val="006D4B58"/>
    <w:rsid w:val="006D55ED"/>
    <w:rsid w:val="006E063B"/>
    <w:rsid w:val="006E12A9"/>
    <w:rsid w:val="006E1C2B"/>
    <w:rsid w:val="006E4575"/>
    <w:rsid w:val="006E6052"/>
    <w:rsid w:val="006E729D"/>
    <w:rsid w:val="006F17ED"/>
    <w:rsid w:val="006F2200"/>
    <w:rsid w:val="006F2A9A"/>
    <w:rsid w:val="006F54FE"/>
    <w:rsid w:val="006F5C75"/>
    <w:rsid w:val="006F5F96"/>
    <w:rsid w:val="006F6E8F"/>
    <w:rsid w:val="006F7D9F"/>
    <w:rsid w:val="007005F7"/>
    <w:rsid w:val="007020A8"/>
    <w:rsid w:val="007023C4"/>
    <w:rsid w:val="00703544"/>
    <w:rsid w:val="00703E87"/>
    <w:rsid w:val="00705C12"/>
    <w:rsid w:val="007063AD"/>
    <w:rsid w:val="00706E89"/>
    <w:rsid w:val="00707B4E"/>
    <w:rsid w:val="00707C95"/>
    <w:rsid w:val="00714636"/>
    <w:rsid w:val="00715E17"/>
    <w:rsid w:val="00717805"/>
    <w:rsid w:val="007178BA"/>
    <w:rsid w:val="00720718"/>
    <w:rsid w:val="007209B5"/>
    <w:rsid w:val="00721B0B"/>
    <w:rsid w:val="00721E9E"/>
    <w:rsid w:val="0072443E"/>
    <w:rsid w:val="00726614"/>
    <w:rsid w:val="0072734B"/>
    <w:rsid w:val="00727467"/>
    <w:rsid w:val="00730452"/>
    <w:rsid w:val="007315EA"/>
    <w:rsid w:val="0073204C"/>
    <w:rsid w:val="00736DCC"/>
    <w:rsid w:val="00741445"/>
    <w:rsid w:val="00741A9C"/>
    <w:rsid w:val="00742AAF"/>
    <w:rsid w:val="00742F8A"/>
    <w:rsid w:val="00743E90"/>
    <w:rsid w:val="007470A1"/>
    <w:rsid w:val="007500F3"/>
    <w:rsid w:val="007526AE"/>
    <w:rsid w:val="007549B2"/>
    <w:rsid w:val="00756503"/>
    <w:rsid w:val="007572C7"/>
    <w:rsid w:val="0076047A"/>
    <w:rsid w:val="00760ACC"/>
    <w:rsid w:val="007636A5"/>
    <w:rsid w:val="00766058"/>
    <w:rsid w:val="00766FEB"/>
    <w:rsid w:val="00770785"/>
    <w:rsid w:val="00770D00"/>
    <w:rsid w:val="00776677"/>
    <w:rsid w:val="00776E0F"/>
    <w:rsid w:val="00781C1C"/>
    <w:rsid w:val="00782780"/>
    <w:rsid w:val="00784577"/>
    <w:rsid w:val="007845C2"/>
    <w:rsid w:val="00784696"/>
    <w:rsid w:val="00785B77"/>
    <w:rsid w:val="007866FC"/>
    <w:rsid w:val="00792075"/>
    <w:rsid w:val="00793EC5"/>
    <w:rsid w:val="00794955"/>
    <w:rsid w:val="007974FC"/>
    <w:rsid w:val="007978CD"/>
    <w:rsid w:val="007A23D7"/>
    <w:rsid w:val="007A27F5"/>
    <w:rsid w:val="007A56E1"/>
    <w:rsid w:val="007B0091"/>
    <w:rsid w:val="007B298C"/>
    <w:rsid w:val="007B37A4"/>
    <w:rsid w:val="007B4715"/>
    <w:rsid w:val="007B5A08"/>
    <w:rsid w:val="007B606A"/>
    <w:rsid w:val="007B6239"/>
    <w:rsid w:val="007C1D1F"/>
    <w:rsid w:val="007C1F8B"/>
    <w:rsid w:val="007C330B"/>
    <w:rsid w:val="007C6779"/>
    <w:rsid w:val="007C727B"/>
    <w:rsid w:val="007D0A73"/>
    <w:rsid w:val="007D2352"/>
    <w:rsid w:val="007D578E"/>
    <w:rsid w:val="007D58D9"/>
    <w:rsid w:val="007D61A2"/>
    <w:rsid w:val="007D671D"/>
    <w:rsid w:val="007D6B57"/>
    <w:rsid w:val="007D7A48"/>
    <w:rsid w:val="007E049E"/>
    <w:rsid w:val="007E2FF4"/>
    <w:rsid w:val="007E53F4"/>
    <w:rsid w:val="007E724F"/>
    <w:rsid w:val="007F15EB"/>
    <w:rsid w:val="007F1A21"/>
    <w:rsid w:val="007F1C80"/>
    <w:rsid w:val="007F340F"/>
    <w:rsid w:val="007F387B"/>
    <w:rsid w:val="007F46B5"/>
    <w:rsid w:val="007F5599"/>
    <w:rsid w:val="0080058E"/>
    <w:rsid w:val="0080253D"/>
    <w:rsid w:val="0080302C"/>
    <w:rsid w:val="00803856"/>
    <w:rsid w:val="00806D94"/>
    <w:rsid w:val="00806D96"/>
    <w:rsid w:val="008103B1"/>
    <w:rsid w:val="00810AC1"/>
    <w:rsid w:val="00812951"/>
    <w:rsid w:val="008137F2"/>
    <w:rsid w:val="00815235"/>
    <w:rsid w:val="0081799D"/>
    <w:rsid w:val="00817B48"/>
    <w:rsid w:val="0082289E"/>
    <w:rsid w:val="00823121"/>
    <w:rsid w:val="00823BD5"/>
    <w:rsid w:val="0082529C"/>
    <w:rsid w:val="00827C03"/>
    <w:rsid w:val="00827DCE"/>
    <w:rsid w:val="008306A8"/>
    <w:rsid w:val="00834400"/>
    <w:rsid w:val="00835A72"/>
    <w:rsid w:val="00835C2F"/>
    <w:rsid w:val="00836BF8"/>
    <w:rsid w:val="00840B0F"/>
    <w:rsid w:val="00840EA9"/>
    <w:rsid w:val="00841444"/>
    <w:rsid w:val="00841A74"/>
    <w:rsid w:val="008426C2"/>
    <w:rsid w:val="00842C1C"/>
    <w:rsid w:val="00843EA4"/>
    <w:rsid w:val="008448B1"/>
    <w:rsid w:val="00844C36"/>
    <w:rsid w:val="0084545E"/>
    <w:rsid w:val="00845D04"/>
    <w:rsid w:val="00846362"/>
    <w:rsid w:val="0084744C"/>
    <w:rsid w:val="00854ADE"/>
    <w:rsid w:val="00856485"/>
    <w:rsid w:val="00857B8B"/>
    <w:rsid w:val="00857C21"/>
    <w:rsid w:val="00860F24"/>
    <w:rsid w:val="00861C82"/>
    <w:rsid w:val="008621D2"/>
    <w:rsid w:val="00864E83"/>
    <w:rsid w:val="00865432"/>
    <w:rsid w:val="008659F9"/>
    <w:rsid w:val="008718F3"/>
    <w:rsid w:val="008732AA"/>
    <w:rsid w:val="008771EF"/>
    <w:rsid w:val="008810B9"/>
    <w:rsid w:val="00882208"/>
    <w:rsid w:val="0088539B"/>
    <w:rsid w:val="00885AF3"/>
    <w:rsid w:val="00885F4B"/>
    <w:rsid w:val="00891261"/>
    <w:rsid w:val="00894C5F"/>
    <w:rsid w:val="00897DDF"/>
    <w:rsid w:val="008A039D"/>
    <w:rsid w:val="008A2149"/>
    <w:rsid w:val="008A2BC9"/>
    <w:rsid w:val="008A55AA"/>
    <w:rsid w:val="008B0F57"/>
    <w:rsid w:val="008B2364"/>
    <w:rsid w:val="008B634A"/>
    <w:rsid w:val="008B6C85"/>
    <w:rsid w:val="008B7844"/>
    <w:rsid w:val="008C3053"/>
    <w:rsid w:val="008C36E3"/>
    <w:rsid w:val="008C6560"/>
    <w:rsid w:val="008C6875"/>
    <w:rsid w:val="008C745B"/>
    <w:rsid w:val="008D59C2"/>
    <w:rsid w:val="008D5F04"/>
    <w:rsid w:val="008D6629"/>
    <w:rsid w:val="008E1E57"/>
    <w:rsid w:val="008E263D"/>
    <w:rsid w:val="008E4848"/>
    <w:rsid w:val="008E5CF2"/>
    <w:rsid w:val="008E78F4"/>
    <w:rsid w:val="008E7DCA"/>
    <w:rsid w:val="008F1823"/>
    <w:rsid w:val="008F31E5"/>
    <w:rsid w:val="008F6947"/>
    <w:rsid w:val="009008E8"/>
    <w:rsid w:val="00902C21"/>
    <w:rsid w:val="009043CE"/>
    <w:rsid w:val="009053E2"/>
    <w:rsid w:val="00905647"/>
    <w:rsid w:val="00906BD5"/>
    <w:rsid w:val="00907A47"/>
    <w:rsid w:val="0091006D"/>
    <w:rsid w:val="00910F58"/>
    <w:rsid w:val="00911258"/>
    <w:rsid w:val="009126D8"/>
    <w:rsid w:val="00913554"/>
    <w:rsid w:val="00917519"/>
    <w:rsid w:val="00917736"/>
    <w:rsid w:val="00917C4A"/>
    <w:rsid w:val="00917EE2"/>
    <w:rsid w:val="00917F1B"/>
    <w:rsid w:val="00920595"/>
    <w:rsid w:val="00920B96"/>
    <w:rsid w:val="00920BC7"/>
    <w:rsid w:val="009216EE"/>
    <w:rsid w:val="00922C2D"/>
    <w:rsid w:val="009230B4"/>
    <w:rsid w:val="00923343"/>
    <w:rsid w:val="00923413"/>
    <w:rsid w:val="00923B81"/>
    <w:rsid w:val="0092576A"/>
    <w:rsid w:val="009269C2"/>
    <w:rsid w:val="00927D02"/>
    <w:rsid w:val="009311A7"/>
    <w:rsid w:val="00932B17"/>
    <w:rsid w:val="00934B9B"/>
    <w:rsid w:val="009353BE"/>
    <w:rsid w:val="009405FF"/>
    <w:rsid w:val="00941DED"/>
    <w:rsid w:val="0094315B"/>
    <w:rsid w:val="00946212"/>
    <w:rsid w:val="009462DC"/>
    <w:rsid w:val="00946BBB"/>
    <w:rsid w:val="0095030C"/>
    <w:rsid w:val="00951411"/>
    <w:rsid w:val="00952893"/>
    <w:rsid w:val="009545D9"/>
    <w:rsid w:val="00957281"/>
    <w:rsid w:val="0096168E"/>
    <w:rsid w:val="00961793"/>
    <w:rsid w:val="0096281F"/>
    <w:rsid w:val="00962FE0"/>
    <w:rsid w:val="009640EB"/>
    <w:rsid w:val="009657A6"/>
    <w:rsid w:val="00966159"/>
    <w:rsid w:val="009708C8"/>
    <w:rsid w:val="00970C45"/>
    <w:rsid w:val="0097250D"/>
    <w:rsid w:val="00972F36"/>
    <w:rsid w:val="0097311D"/>
    <w:rsid w:val="009731B4"/>
    <w:rsid w:val="00974BA2"/>
    <w:rsid w:val="00975B61"/>
    <w:rsid w:val="009768DB"/>
    <w:rsid w:val="00976B71"/>
    <w:rsid w:val="009802E3"/>
    <w:rsid w:val="00980FBF"/>
    <w:rsid w:val="009815E4"/>
    <w:rsid w:val="00982002"/>
    <w:rsid w:val="009827A4"/>
    <w:rsid w:val="00982D75"/>
    <w:rsid w:val="00982F91"/>
    <w:rsid w:val="009845D7"/>
    <w:rsid w:val="0098467F"/>
    <w:rsid w:val="00985AF1"/>
    <w:rsid w:val="00986BD0"/>
    <w:rsid w:val="0099382C"/>
    <w:rsid w:val="009947F0"/>
    <w:rsid w:val="00995E83"/>
    <w:rsid w:val="009A06C2"/>
    <w:rsid w:val="009A4D19"/>
    <w:rsid w:val="009A574B"/>
    <w:rsid w:val="009B0D78"/>
    <w:rsid w:val="009B1ADB"/>
    <w:rsid w:val="009B2156"/>
    <w:rsid w:val="009B6FA1"/>
    <w:rsid w:val="009B772C"/>
    <w:rsid w:val="009C38C2"/>
    <w:rsid w:val="009C3B44"/>
    <w:rsid w:val="009C4059"/>
    <w:rsid w:val="009C5773"/>
    <w:rsid w:val="009C6ED6"/>
    <w:rsid w:val="009C77C5"/>
    <w:rsid w:val="009C7D37"/>
    <w:rsid w:val="009D16E1"/>
    <w:rsid w:val="009D2246"/>
    <w:rsid w:val="009D5E33"/>
    <w:rsid w:val="009D669E"/>
    <w:rsid w:val="009E16D8"/>
    <w:rsid w:val="009E2BA0"/>
    <w:rsid w:val="009E4D9A"/>
    <w:rsid w:val="009E6EBD"/>
    <w:rsid w:val="009F2568"/>
    <w:rsid w:val="009F26F2"/>
    <w:rsid w:val="009F28E2"/>
    <w:rsid w:val="009F2D07"/>
    <w:rsid w:val="009F3965"/>
    <w:rsid w:val="009F6ECA"/>
    <w:rsid w:val="009F7955"/>
    <w:rsid w:val="00A002D3"/>
    <w:rsid w:val="00A0154D"/>
    <w:rsid w:val="00A01C1A"/>
    <w:rsid w:val="00A053F5"/>
    <w:rsid w:val="00A0793E"/>
    <w:rsid w:val="00A10232"/>
    <w:rsid w:val="00A13D14"/>
    <w:rsid w:val="00A14F6C"/>
    <w:rsid w:val="00A15C9D"/>
    <w:rsid w:val="00A161D6"/>
    <w:rsid w:val="00A1679C"/>
    <w:rsid w:val="00A226BC"/>
    <w:rsid w:val="00A22777"/>
    <w:rsid w:val="00A22FDC"/>
    <w:rsid w:val="00A316A9"/>
    <w:rsid w:val="00A33062"/>
    <w:rsid w:val="00A332A1"/>
    <w:rsid w:val="00A363C9"/>
    <w:rsid w:val="00A370AD"/>
    <w:rsid w:val="00A37CAB"/>
    <w:rsid w:val="00A422D5"/>
    <w:rsid w:val="00A43488"/>
    <w:rsid w:val="00A45951"/>
    <w:rsid w:val="00A45D88"/>
    <w:rsid w:val="00A462A1"/>
    <w:rsid w:val="00A469CB"/>
    <w:rsid w:val="00A46AA5"/>
    <w:rsid w:val="00A46CBE"/>
    <w:rsid w:val="00A47DB3"/>
    <w:rsid w:val="00A52034"/>
    <w:rsid w:val="00A52271"/>
    <w:rsid w:val="00A54B8A"/>
    <w:rsid w:val="00A57B55"/>
    <w:rsid w:val="00A63386"/>
    <w:rsid w:val="00A67D40"/>
    <w:rsid w:val="00A72D98"/>
    <w:rsid w:val="00A74DED"/>
    <w:rsid w:val="00A75695"/>
    <w:rsid w:val="00A75CEC"/>
    <w:rsid w:val="00A76E93"/>
    <w:rsid w:val="00A77026"/>
    <w:rsid w:val="00A806F3"/>
    <w:rsid w:val="00A80F18"/>
    <w:rsid w:val="00A820D2"/>
    <w:rsid w:val="00A845A2"/>
    <w:rsid w:val="00A85461"/>
    <w:rsid w:val="00A86201"/>
    <w:rsid w:val="00A86FC3"/>
    <w:rsid w:val="00A873FA"/>
    <w:rsid w:val="00A87E8F"/>
    <w:rsid w:val="00A9005D"/>
    <w:rsid w:val="00A91151"/>
    <w:rsid w:val="00A9126C"/>
    <w:rsid w:val="00A92325"/>
    <w:rsid w:val="00A931B8"/>
    <w:rsid w:val="00A94D08"/>
    <w:rsid w:val="00A95042"/>
    <w:rsid w:val="00A95732"/>
    <w:rsid w:val="00AA36E0"/>
    <w:rsid w:val="00AA4FFD"/>
    <w:rsid w:val="00AB065B"/>
    <w:rsid w:val="00AB08E5"/>
    <w:rsid w:val="00AB34E4"/>
    <w:rsid w:val="00AB37E0"/>
    <w:rsid w:val="00AB3D14"/>
    <w:rsid w:val="00AB5795"/>
    <w:rsid w:val="00AB6B6E"/>
    <w:rsid w:val="00AB6CE8"/>
    <w:rsid w:val="00AB7BC5"/>
    <w:rsid w:val="00AC05DC"/>
    <w:rsid w:val="00AC2C7F"/>
    <w:rsid w:val="00AC3ED2"/>
    <w:rsid w:val="00AC467E"/>
    <w:rsid w:val="00AC5899"/>
    <w:rsid w:val="00AC5A05"/>
    <w:rsid w:val="00AC6E4C"/>
    <w:rsid w:val="00AC7840"/>
    <w:rsid w:val="00AC7E98"/>
    <w:rsid w:val="00AD3151"/>
    <w:rsid w:val="00AD4122"/>
    <w:rsid w:val="00AD455A"/>
    <w:rsid w:val="00AD4F27"/>
    <w:rsid w:val="00AD7D52"/>
    <w:rsid w:val="00AE47C1"/>
    <w:rsid w:val="00AE7262"/>
    <w:rsid w:val="00B0131D"/>
    <w:rsid w:val="00B05EED"/>
    <w:rsid w:val="00B06F37"/>
    <w:rsid w:val="00B0725E"/>
    <w:rsid w:val="00B07A55"/>
    <w:rsid w:val="00B07C44"/>
    <w:rsid w:val="00B10DA0"/>
    <w:rsid w:val="00B113D2"/>
    <w:rsid w:val="00B11B6D"/>
    <w:rsid w:val="00B12A77"/>
    <w:rsid w:val="00B12F99"/>
    <w:rsid w:val="00B151BF"/>
    <w:rsid w:val="00B15949"/>
    <w:rsid w:val="00B15BD2"/>
    <w:rsid w:val="00B160F2"/>
    <w:rsid w:val="00B16F12"/>
    <w:rsid w:val="00B20A5C"/>
    <w:rsid w:val="00B20B97"/>
    <w:rsid w:val="00B2132D"/>
    <w:rsid w:val="00B22369"/>
    <w:rsid w:val="00B23AE5"/>
    <w:rsid w:val="00B2499F"/>
    <w:rsid w:val="00B26BE4"/>
    <w:rsid w:val="00B316F1"/>
    <w:rsid w:val="00B3226B"/>
    <w:rsid w:val="00B328EA"/>
    <w:rsid w:val="00B32B34"/>
    <w:rsid w:val="00B344D9"/>
    <w:rsid w:val="00B368B5"/>
    <w:rsid w:val="00B377DF"/>
    <w:rsid w:val="00B37ED8"/>
    <w:rsid w:val="00B406C8"/>
    <w:rsid w:val="00B42139"/>
    <w:rsid w:val="00B4457C"/>
    <w:rsid w:val="00B467C4"/>
    <w:rsid w:val="00B47780"/>
    <w:rsid w:val="00B51226"/>
    <w:rsid w:val="00B51313"/>
    <w:rsid w:val="00B51F07"/>
    <w:rsid w:val="00B53559"/>
    <w:rsid w:val="00B53767"/>
    <w:rsid w:val="00B542EC"/>
    <w:rsid w:val="00B54F7A"/>
    <w:rsid w:val="00B5578D"/>
    <w:rsid w:val="00B56412"/>
    <w:rsid w:val="00B56DA5"/>
    <w:rsid w:val="00B5796F"/>
    <w:rsid w:val="00B57F16"/>
    <w:rsid w:val="00B624BB"/>
    <w:rsid w:val="00B62912"/>
    <w:rsid w:val="00B6445F"/>
    <w:rsid w:val="00B66388"/>
    <w:rsid w:val="00B66ACE"/>
    <w:rsid w:val="00B66CA8"/>
    <w:rsid w:val="00B7041A"/>
    <w:rsid w:val="00B70DE7"/>
    <w:rsid w:val="00B75F32"/>
    <w:rsid w:val="00B762B5"/>
    <w:rsid w:val="00B76460"/>
    <w:rsid w:val="00B76846"/>
    <w:rsid w:val="00B814E5"/>
    <w:rsid w:val="00B819C2"/>
    <w:rsid w:val="00B83B4D"/>
    <w:rsid w:val="00B84FB9"/>
    <w:rsid w:val="00B87219"/>
    <w:rsid w:val="00B875D7"/>
    <w:rsid w:val="00B93E94"/>
    <w:rsid w:val="00B95307"/>
    <w:rsid w:val="00B978C8"/>
    <w:rsid w:val="00BA1B6A"/>
    <w:rsid w:val="00BA28B4"/>
    <w:rsid w:val="00BA50DA"/>
    <w:rsid w:val="00BA627E"/>
    <w:rsid w:val="00BA6571"/>
    <w:rsid w:val="00BA7835"/>
    <w:rsid w:val="00BA7C19"/>
    <w:rsid w:val="00BA7F1A"/>
    <w:rsid w:val="00BB3D26"/>
    <w:rsid w:val="00BB437C"/>
    <w:rsid w:val="00BB4E2C"/>
    <w:rsid w:val="00BB5D92"/>
    <w:rsid w:val="00BB66C5"/>
    <w:rsid w:val="00BC06A3"/>
    <w:rsid w:val="00BC10F5"/>
    <w:rsid w:val="00BC2390"/>
    <w:rsid w:val="00BC5062"/>
    <w:rsid w:val="00BD033A"/>
    <w:rsid w:val="00BD0509"/>
    <w:rsid w:val="00BD199F"/>
    <w:rsid w:val="00BD43E5"/>
    <w:rsid w:val="00BD53C9"/>
    <w:rsid w:val="00BD570E"/>
    <w:rsid w:val="00BD5C78"/>
    <w:rsid w:val="00BE2E3F"/>
    <w:rsid w:val="00BE5863"/>
    <w:rsid w:val="00BE760C"/>
    <w:rsid w:val="00BF044D"/>
    <w:rsid w:val="00BF10B9"/>
    <w:rsid w:val="00BF50F2"/>
    <w:rsid w:val="00BF6567"/>
    <w:rsid w:val="00BF665E"/>
    <w:rsid w:val="00BF66A7"/>
    <w:rsid w:val="00C007F3"/>
    <w:rsid w:val="00C01DDB"/>
    <w:rsid w:val="00C01EEB"/>
    <w:rsid w:val="00C02828"/>
    <w:rsid w:val="00C035CA"/>
    <w:rsid w:val="00C03A43"/>
    <w:rsid w:val="00C0648A"/>
    <w:rsid w:val="00C112A9"/>
    <w:rsid w:val="00C11E0D"/>
    <w:rsid w:val="00C128CD"/>
    <w:rsid w:val="00C14CEB"/>
    <w:rsid w:val="00C15920"/>
    <w:rsid w:val="00C159B8"/>
    <w:rsid w:val="00C16C38"/>
    <w:rsid w:val="00C16F17"/>
    <w:rsid w:val="00C208B9"/>
    <w:rsid w:val="00C212CC"/>
    <w:rsid w:val="00C21A5B"/>
    <w:rsid w:val="00C21DAE"/>
    <w:rsid w:val="00C23F61"/>
    <w:rsid w:val="00C25AD5"/>
    <w:rsid w:val="00C25CA9"/>
    <w:rsid w:val="00C269D1"/>
    <w:rsid w:val="00C356B3"/>
    <w:rsid w:val="00C36FFF"/>
    <w:rsid w:val="00C37458"/>
    <w:rsid w:val="00C37D83"/>
    <w:rsid w:val="00C40B20"/>
    <w:rsid w:val="00C41351"/>
    <w:rsid w:val="00C441F9"/>
    <w:rsid w:val="00C44835"/>
    <w:rsid w:val="00C478E0"/>
    <w:rsid w:val="00C506F3"/>
    <w:rsid w:val="00C50EBC"/>
    <w:rsid w:val="00C51690"/>
    <w:rsid w:val="00C52B6E"/>
    <w:rsid w:val="00C534CD"/>
    <w:rsid w:val="00C53908"/>
    <w:rsid w:val="00C5512B"/>
    <w:rsid w:val="00C569AD"/>
    <w:rsid w:val="00C5731D"/>
    <w:rsid w:val="00C6380E"/>
    <w:rsid w:val="00C658EB"/>
    <w:rsid w:val="00C65CBF"/>
    <w:rsid w:val="00C6679A"/>
    <w:rsid w:val="00C7082C"/>
    <w:rsid w:val="00C723D7"/>
    <w:rsid w:val="00C72D15"/>
    <w:rsid w:val="00C73336"/>
    <w:rsid w:val="00C75BE5"/>
    <w:rsid w:val="00C771B1"/>
    <w:rsid w:val="00C80DDF"/>
    <w:rsid w:val="00C8242D"/>
    <w:rsid w:val="00C82452"/>
    <w:rsid w:val="00C847F7"/>
    <w:rsid w:val="00C85060"/>
    <w:rsid w:val="00C87535"/>
    <w:rsid w:val="00C91CA7"/>
    <w:rsid w:val="00C93ABC"/>
    <w:rsid w:val="00C94736"/>
    <w:rsid w:val="00C959C4"/>
    <w:rsid w:val="00C96172"/>
    <w:rsid w:val="00CA0883"/>
    <w:rsid w:val="00CA1337"/>
    <w:rsid w:val="00CA62E9"/>
    <w:rsid w:val="00CB0122"/>
    <w:rsid w:val="00CB05FF"/>
    <w:rsid w:val="00CB233F"/>
    <w:rsid w:val="00CB2952"/>
    <w:rsid w:val="00CB2DA4"/>
    <w:rsid w:val="00CB3031"/>
    <w:rsid w:val="00CB6338"/>
    <w:rsid w:val="00CB6C83"/>
    <w:rsid w:val="00CC19D5"/>
    <w:rsid w:val="00CC1D40"/>
    <w:rsid w:val="00CC230E"/>
    <w:rsid w:val="00CC3DD2"/>
    <w:rsid w:val="00CC49D1"/>
    <w:rsid w:val="00CC69EE"/>
    <w:rsid w:val="00CC7F49"/>
    <w:rsid w:val="00CD1163"/>
    <w:rsid w:val="00CD21AB"/>
    <w:rsid w:val="00CD4B90"/>
    <w:rsid w:val="00CD599E"/>
    <w:rsid w:val="00CD59A2"/>
    <w:rsid w:val="00CD6276"/>
    <w:rsid w:val="00CE1AA5"/>
    <w:rsid w:val="00CE2B4C"/>
    <w:rsid w:val="00CE3EDE"/>
    <w:rsid w:val="00CE3F41"/>
    <w:rsid w:val="00CE44D6"/>
    <w:rsid w:val="00CE752C"/>
    <w:rsid w:val="00CF0520"/>
    <w:rsid w:val="00CF056D"/>
    <w:rsid w:val="00CF0EC2"/>
    <w:rsid w:val="00CF421F"/>
    <w:rsid w:val="00CF5013"/>
    <w:rsid w:val="00D001E7"/>
    <w:rsid w:val="00D004CD"/>
    <w:rsid w:val="00D007AF"/>
    <w:rsid w:val="00D00DD2"/>
    <w:rsid w:val="00D02651"/>
    <w:rsid w:val="00D03859"/>
    <w:rsid w:val="00D03CCB"/>
    <w:rsid w:val="00D03E73"/>
    <w:rsid w:val="00D1085E"/>
    <w:rsid w:val="00D10894"/>
    <w:rsid w:val="00D10A33"/>
    <w:rsid w:val="00D10E20"/>
    <w:rsid w:val="00D12396"/>
    <w:rsid w:val="00D14B59"/>
    <w:rsid w:val="00D156D7"/>
    <w:rsid w:val="00D15BBE"/>
    <w:rsid w:val="00D160C2"/>
    <w:rsid w:val="00D16AD9"/>
    <w:rsid w:val="00D170A5"/>
    <w:rsid w:val="00D1776D"/>
    <w:rsid w:val="00D2172C"/>
    <w:rsid w:val="00D231BF"/>
    <w:rsid w:val="00D24435"/>
    <w:rsid w:val="00D25500"/>
    <w:rsid w:val="00D30E31"/>
    <w:rsid w:val="00D31726"/>
    <w:rsid w:val="00D31F68"/>
    <w:rsid w:val="00D33022"/>
    <w:rsid w:val="00D33344"/>
    <w:rsid w:val="00D33EF5"/>
    <w:rsid w:val="00D358F5"/>
    <w:rsid w:val="00D372C2"/>
    <w:rsid w:val="00D409F3"/>
    <w:rsid w:val="00D471A0"/>
    <w:rsid w:val="00D473E8"/>
    <w:rsid w:val="00D515AE"/>
    <w:rsid w:val="00D53548"/>
    <w:rsid w:val="00D53797"/>
    <w:rsid w:val="00D53D99"/>
    <w:rsid w:val="00D54E01"/>
    <w:rsid w:val="00D6024D"/>
    <w:rsid w:val="00D60CB0"/>
    <w:rsid w:val="00D64BF8"/>
    <w:rsid w:val="00D67FAB"/>
    <w:rsid w:val="00D7033A"/>
    <w:rsid w:val="00D745C8"/>
    <w:rsid w:val="00D757E1"/>
    <w:rsid w:val="00D7724F"/>
    <w:rsid w:val="00D809FA"/>
    <w:rsid w:val="00D8160D"/>
    <w:rsid w:val="00D8179B"/>
    <w:rsid w:val="00D81BA0"/>
    <w:rsid w:val="00D81BE8"/>
    <w:rsid w:val="00D84384"/>
    <w:rsid w:val="00D85B5F"/>
    <w:rsid w:val="00D91742"/>
    <w:rsid w:val="00D92B0A"/>
    <w:rsid w:val="00D93ECB"/>
    <w:rsid w:val="00D9504C"/>
    <w:rsid w:val="00D955FC"/>
    <w:rsid w:val="00D961AB"/>
    <w:rsid w:val="00D97FEC"/>
    <w:rsid w:val="00DA0206"/>
    <w:rsid w:val="00DA0815"/>
    <w:rsid w:val="00DA41B5"/>
    <w:rsid w:val="00DA7644"/>
    <w:rsid w:val="00DA7D81"/>
    <w:rsid w:val="00DB0784"/>
    <w:rsid w:val="00DB1626"/>
    <w:rsid w:val="00DB1888"/>
    <w:rsid w:val="00DB1D57"/>
    <w:rsid w:val="00DB22B4"/>
    <w:rsid w:val="00DB3A23"/>
    <w:rsid w:val="00DB3CDD"/>
    <w:rsid w:val="00DC356F"/>
    <w:rsid w:val="00DC35E8"/>
    <w:rsid w:val="00DC4A00"/>
    <w:rsid w:val="00DC6B05"/>
    <w:rsid w:val="00DC6F64"/>
    <w:rsid w:val="00DD0A8D"/>
    <w:rsid w:val="00DD2C61"/>
    <w:rsid w:val="00DD3479"/>
    <w:rsid w:val="00DD4AAE"/>
    <w:rsid w:val="00DD65D9"/>
    <w:rsid w:val="00DD68CD"/>
    <w:rsid w:val="00DD7623"/>
    <w:rsid w:val="00DE06EE"/>
    <w:rsid w:val="00DE0727"/>
    <w:rsid w:val="00DE0D0B"/>
    <w:rsid w:val="00DE24FC"/>
    <w:rsid w:val="00DE43AE"/>
    <w:rsid w:val="00DE6ECE"/>
    <w:rsid w:val="00DF3D3C"/>
    <w:rsid w:val="00DF4AE4"/>
    <w:rsid w:val="00DF4F32"/>
    <w:rsid w:val="00DF5491"/>
    <w:rsid w:val="00DF6A47"/>
    <w:rsid w:val="00E0035B"/>
    <w:rsid w:val="00E00768"/>
    <w:rsid w:val="00E00E94"/>
    <w:rsid w:val="00E059CC"/>
    <w:rsid w:val="00E061E8"/>
    <w:rsid w:val="00E066F8"/>
    <w:rsid w:val="00E06B55"/>
    <w:rsid w:val="00E07609"/>
    <w:rsid w:val="00E079D7"/>
    <w:rsid w:val="00E1000A"/>
    <w:rsid w:val="00E11932"/>
    <w:rsid w:val="00E129FC"/>
    <w:rsid w:val="00E1515E"/>
    <w:rsid w:val="00E15177"/>
    <w:rsid w:val="00E15C93"/>
    <w:rsid w:val="00E16348"/>
    <w:rsid w:val="00E1693C"/>
    <w:rsid w:val="00E17422"/>
    <w:rsid w:val="00E2092F"/>
    <w:rsid w:val="00E20BC1"/>
    <w:rsid w:val="00E21CF1"/>
    <w:rsid w:val="00E23CCD"/>
    <w:rsid w:val="00E23F2F"/>
    <w:rsid w:val="00E24D9A"/>
    <w:rsid w:val="00E2614B"/>
    <w:rsid w:val="00E30AAF"/>
    <w:rsid w:val="00E36F00"/>
    <w:rsid w:val="00E37328"/>
    <w:rsid w:val="00E3744E"/>
    <w:rsid w:val="00E40E5F"/>
    <w:rsid w:val="00E4188F"/>
    <w:rsid w:val="00E42425"/>
    <w:rsid w:val="00E42BE4"/>
    <w:rsid w:val="00E44CBA"/>
    <w:rsid w:val="00E47654"/>
    <w:rsid w:val="00E5051A"/>
    <w:rsid w:val="00E506CE"/>
    <w:rsid w:val="00E51DAB"/>
    <w:rsid w:val="00E533DD"/>
    <w:rsid w:val="00E54262"/>
    <w:rsid w:val="00E55CAB"/>
    <w:rsid w:val="00E56668"/>
    <w:rsid w:val="00E57020"/>
    <w:rsid w:val="00E57D30"/>
    <w:rsid w:val="00E6009B"/>
    <w:rsid w:val="00E615EF"/>
    <w:rsid w:val="00E61EB5"/>
    <w:rsid w:val="00E6245E"/>
    <w:rsid w:val="00E6283A"/>
    <w:rsid w:val="00E62CF8"/>
    <w:rsid w:val="00E669D5"/>
    <w:rsid w:val="00E71350"/>
    <w:rsid w:val="00E715BA"/>
    <w:rsid w:val="00E72FD6"/>
    <w:rsid w:val="00E73AC8"/>
    <w:rsid w:val="00E757A1"/>
    <w:rsid w:val="00E75ED5"/>
    <w:rsid w:val="00E77052"/>
    <w:rsid w:val="00E778A4"/>
    <w:rsid w:val="00E77A75"/>
    <w:rsid w:val="00E8080B"/>
    <w:rsid w:val="00E80EA1"/>
    <w:rsid w:val="00E841AC"/>
    <w:rsid w:val="00E841D3"/>
    <w:rsid w:val="00E84465"/>
    <w:rsid w:val="00E84A3B"/>
    <w:rsid w:val="00E85073"/>
    <w:rsid w:val="00E8679B"/>
    <w:rsid w:val="00E878F4"/>
    <w:rsid w:val="00E9059C"/>
    <w:rsid w:val="00E909F8"/>
    <w:rsid w:val="00E93083"/>
    <w:rsid w:val="00E936ED"/>
    <w:rsid w:val="00E9519C"/>
    <w:rsid w:val="00E969C1"/>
    <w:rsid w:val="00E97749"/>
    <w:rsid w:val="00EA1058"/>
    <w:rsid w:val="00EA3224"/>
    <w:rsid w:val="00EA417A"/>
    <w:rsid w:val="00EA44AC"/>
    <w:rsid w:val="00EA50BA"/>
    <w:rsid w:val="00EA648D"/>
    <w:rsid w:val="00EB09C7"/>
    <w:rsid w:val="00EB0A01"/>
    <w:rsid w:val="00EB2890"/>
    <w:rsid w:val="00EB7B2C"/>
    <w:rsid w:val="00EC0649"/>
    <w:rsid w:val="00EC0745"/>
    <w:rsid w:val="00EC2E44"/>
    <w:rsid w:val="00EC46B3"/>
    <w:rsid w:val="00EC7380"/>
    <w:rsid w:val="00ED187E"/>
    <w:rsid w:val="00ED57B8"/>
    <w:rsid w:val="00ED6CD0"/>
    <w:rsid w:val="00EE22FC"/>
    <w:rsid w:val="00EE269B"/>
    <w:rsid w:val="00EE49B5"/>
    <w:rsid w:val="00EE4C50"/>
    <w:rsid w:val="00EE6188"/>
    <w:rsid w:val="00EE6A10"/>
    <w:rsid w:val="00EF25A7"/>
    <w:rsid w:val="00EF2748"/>
    <w:rsid w:val="00EF36C9"/>
    <w:rsid w:val="00EF4FFB"/>
    <w:rsid w:val="00EF7A4D"/>
    <w:rsid w:val="00EF7B2B"/>
    <w:rsid w:val="00F00140"/>
    <w:rsid w:val="00F004C5"/>
    <w:rsid w:val="00F00BCA"/>
    <w:rsid w:val="00F04763"/>
    <w:rsid w:val="00F05883"/>
    <w:rsid w:val="00F0778B"/>
    <w:rsid w:val="00F11B16"/>
    <w:rsid w:val="00F156CB"/>
    <w:rsid w:val="00F161EA"/>
    <w:rsid w:val="00F223AE"/>
    <w:rsid w:val="00F24EC1"/>
    <w:rsid w:val="00F27031"/>
    <w:rsid w:val="00F2727C"/>
    <w:rsid w:val="00F30153"/>
    <w:rsid w:val="00F30261"/>
    <w:rsid w:val="00F3027A"/>
    <w:rsid w:val="00F33023"/>
    <w:rsid w:val="00F330F2"/>
    <w:rsid w:val="00F341CB"/>
    <w:rsid w:val="00F351C0"/>
    <w:rsid w:val="00F35E67"/>
    <w:rsid w:val="00F36140"/>
    <w:rsid w:val="00F364D0"/>
    <w:rsid w:val="00F409D8"/>
    <w:rsid w:val="00F41346"/>
    <w:rsid w:val="00F452D2"/>
    <w:rsid w:val="00F4577B"/>
    <w:rsid w:val="00F4623B"/>
    <w:rsid w:val="00F506A9"/>
    <w:rsid w:val="00F5198C"/>
    <w:rsid w:val="00F51C36"/>
    <w:rsid w:val="00F51CBC"/>
    <w:rsid w:val="00F51D0D"/>
    <w:rsid w:val="00F545EB"/>
    <w:rsid w:val="00F54799"/>
    <w:rsid w:val="00F54F7D"/>
    <w:rsid w:val="00F600D2"/>
    <w:rsid w:val="00F61B4F"/>
    <w:rsid w:val="00F61E70"/>
    <w:rsid w:val="00F6279C"/>
    <w:rsid w:val="00F63ECF"/>
    <w:rsid w:val="00F64DC6"/>
    <w:rsid w:val="00F66429"/>
    <w:rsid w:val="00F67326"/>
    <w:rsid w:val="00F73413"/>
    <w:rsid w:val="00F74751"/>
    <w:rsid w:val="00F77DF3"/>
    <w:rsid w:val="00F81046"/>
    <w:rsid w:val="00F826F3"/>
    <w:rsid w:val="00F83ECD"/>
    <w:rsid w:val="00F84192"/>
    <w:rsid w:val="00F84CD4"/>
    <w:rsid w:val="00F85CA6"/>
    <w:rsid w:val="00F85D45"/>
    <w:rsid w:val="00F878B6"/>
    <w:rsid w:val="00F9061E"/>
    <w:rsid w:val="00F907C3"/>
    <w:rsid w:val="00F90F1A"/>
    <w:rsid w:val="00F91E36"/>
    <w:rsid w:val="00F9315B"/>
    <w:rsid w:val="00F940DF"/>
    <w:rsid w:val="00F95CC9"/>
    <w:rsid w:val="00F97423"/>
    <w:rsid w:val="00F97601"/>
    <w:rsid w:val="00FA06E2"/>
    <w:rsid w:val="00FA35D7"/>
    <w:rsid w:val="00FA3CCA"/>
    <w:rsid w:val="00FA5696"/>
    <w:rsid w:val="00FA5AF6"/>
    <w:rsid w:val="00FB02AE"/>
    <w:rsid w:val="00FB0B01"/>
    <w:rsid w:val="00FB27B5"/>
    <w:rsid w:val="00FB394E"/>
    <w:rsid w:val="00FB4183"/>
    <w:rsid w:val="00FB51D9"/>
    <w:rsid w:val="00FC03FD"/>
    <w:rsid w:val="00FC34BD"/>
    <w:rsid w:val="00FC3A6B"/>
    <w:rsid w:val="00FC4F36"/>
    <w:rsid w:val="00FC6B16"/>
    <w:rsid w:val="00FD00C8"/>
    <w:rsid w:val="00FD0A86"/>
    <w:rsid w:val="00FD362F"/>
    <w:rsid w:val="00FD4F2E"/>
    <w:rsid w:val="00FD5011"/>
    <w:rsid w:val="00FD5F15"/>
    <w:rsid w:val="00FE0094"/>
    <w:rsid w:val="00FE08D6"/>
    <w:rsid w:val="00FE1040"/>
    <w:rsid w:val="00FE2353"/>
    <w:rsid w:val="00FE26DE"/>
    <w:rsid w:val="00FE5359"/>
    <w:rsid w:val="00FE7647"/>
    <w:rsid w:val="00FF0411"/>
    <w:rsid w:val="00FF10B6"/>
    <w:rsid w:val="00FF14F9"/>
    <w:rsid w:val="00FF1B64"/>
    <w:rsid w:val="00FF1CAF"/>
    <w:rsid w:val="00FF4C4D"/>
    <w:rsid w:val="00FF698C"/>
    <w:rsid w:val="00FF6E4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envelope return"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696"/>
    <w:pPr>
      <w:spacing w:after="200" w:line="276" w:lineRule="auto"/>
    </w:pPr>
    <w:rPr>
      <w:sz w:val="22"/>
      <w:szCs w:val="22"/>
      <w:lang w:eastAsia="en-US"/>
    </w:rPr>
  </w:style>
  <w:style w:type="paragraph" w:styleId="Heading1">
    <w:name w:val="heading 1"/>
    <w:basedOn w:val="Normal"/>
    <w:next w:val="Normal"/>
    <w:link w:val="Heading1Char"/>
    <w:uiPriority w:val="9"/>
    <w:qFormat/>
    <w:rsid w:val="00DC6B05"/>
    <w:pPr>
      <w:keepNext/>
      <w:keepLines/>
      <w:spacing w:before="480" w:after="0"/>
      <w:outlineLvl w:val="0"/>
    </w:pPr>
    <w:rPr>
      <w:rFonts w:ascii="Cambria" w:hAnsi="Cambria"/>
      <w:b/>
      <w:bCs/>
      <w:color w:val="365F91"/>
      <w:sz w:val="28"/>
      <w:szCs w:val="28"/>
    </w:rPr>
  </w:style>
  <w:style w:type="paragraph" w:styleId="Heading4">
    <w:name w:val="heading 4"/>
    <w:basedOn w:val="Normal"/>
    <w:link w:val="Heading4Char"/>
    <w:uiPriority w:val="9"/>
    <w:qFormat/>
    <w:rsid w:val="002E43E8"/>
    <w:pPr>
      <w:spacing w:before="100" w:beforeAutospacing="1" w:after="100" w:afterAutospacing="1" w:line="240" w:lineRule="auto"/>
      <w:outlineLvl w:val="3"/>
    </w:pPr>
    <w:rPr>
      <w:rFonts w:ascii="Times New Roman" w:hAnsi="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C6B05"/>
    <w:rPr>
      <w:rFonts w:ascii="Cambria" w:hAnsi="Cambria"/>
      <w:b/>
      <w:color w:val="365F91"/>
      <w:sz w:val="28"/>
      <w:lang w:val="x-none" w:eastAsia="en-US"/>
    </w:rPr>
  </w:style>
  <w:style w:type="character" w:customStyle="1" w:styleId="Heading4Char">
    <w:name w:val="Heading 4 Char"/>
    <w:basedOn w:val="DefaultParagraphFont"/>
    <w:link w:val="Heading4"/>
    <w:uiPriority w:val="9"/>
    <w:locked/>
    <w:rsid w:val="002E43E8"/>
    <w:rPr>
      <w:rFonts w:ascii="Times New Roman" w:hAnsi="Times New Roman"/>
      <w:b/>
      <w:sz w:val="24"/>
      <w:lang w:val="x-none" w:eastAsia="lv-LV"/>
    </w:rPr>
  </w:style>
  <w:style w:type="paragraph" w:styleId="NormalWeb">
    <w:name w:val="Normal (Web)"/>
    <w:basedOn w:val="Normal"/>
    <w:link w:val="NormalWebChar"/>
    <w:uiPriority w:val="99"/>
    <w:unhideWhenUsed/>
    <w:rsid w:val="002E43E8"/>
    <w:pPr>
      <w:spacing w:before="100" w:beforeAutospacing="1" w:after="100" w:afterAutospacing="1" w:line="240" w:lineRule="auto"/>
    </w:pPr>
    <w:rPr>
      <w:rFonts w:ascii="Times New Roman" w:hAnsi="Times New Roman"/>
      <w:sz w:val="24"/>
      <w:szCs w:val="20"/>
      <w:lang w:val="x-none" w:eastAsia="x-none"/>
    </w:rPr>
  </w:style>
  <w:style w:type="paragraph" w:styleId="Header">
    <w:name w:val="header"/>
    <w:basedOn w:val="Normal"/>
    <w:link w:val="HeaderChar"/>
    <w:uiPriority w:val="99"/>
    <w:unhideWhenUsed/>
    <w:rsid w:val="009640EB"/>
    <w:pPr>
      <w:tabs>
        <w:tab w:val="center" w:pos="4153"/>
        <w:tab w:val="right" w:pos="8306"/>
      </w:tabs>
    </w:pPr>
  </w:style>
  <w:style w:type="character" w:customStyle="1" w:styleId="HeaderChar">
    <w:name w:val="Header Char"/>
    <w:basedOn w:val="DefaultParagraphFont"/>
    <w:link w:val="Header"/>
    <w:uiPriority w:val="99"/>
    <w:locked/>
    <w:rsid w:val="009640EB"/>
    <w:rPr>
      <w:sz w:val="22"/>
      <w:lang w:val="x-none" w:eastAsia="en-US"/>
    </w:rPr>
  </w:style>
  <w:style w:type="paragraph" w:styleId="Footer">
    <w:name w:val="footer"/>
    <w:basedOn w:val="Normal"/>
    <w:link w:val="FooterChar"/>
    <w:uiPriority w:val="99"/>
    <w:unhideWhenUsed/>
    <w:rsid w:val="009640EB"/>
    <w:pPr>
      <w:tabs>
        <w:tab w:val="center" w:pos="4153"/>
        <w:tab w:val="right" w:pos="8306"/>
      </w:tabs>
    </w:pPr>
  </w:style>
  <w:style w:type="character" w:customStyle="1" w:styleId="FooterChar">
    <w:name w:val="Footer Char"/>
    <w:basedOn w:val="DefaultParagraphFont"/>
    <w:link w:val="Footer"/>
    <w:uiPriority w:val="99"/>
    <w:locked/>
    <w:rsid w:val="009640EB"/>
    <w:rPr>
      <w:sz w:val="22"/>
      <w:lang w:val="x-none" w:eastAsia="en-US"/>
    </w:rPr>
  </w:style>
  <w:style w:type="paragraph" w:styleId="BalloonText">
    <w:name w:val="Balloon Text"/>
    <w:basedOn w:val="Normal"/>
    <w:link w:val="BalloonTextChar"/>
    <w:uiPriority w:val="99"/>
    <w:semiHidden/>
    <w:unhideWhenUsed/>
    <w:rsid w:val="009640EB"/>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9640EB"/>
    <w:rPr>
      <w:rFonts w:ascii="Tahoma" w:hAnsi="Tahoma"/>
      <w:sz w:val="16"/>
      <w:lang w:val="x-none" w:eastAsia="en-US"/>
    </w:rPr>
  </w:style>
  <w:style w:type="character" w:styleId="Hyperlink">
    <w:name w:val="Hyperlink"/>
    <w:basedOn w:val="DefaultParagraphFont"/>
    <w:uiPriority w:val="99"/>
    <w:unhideWhenUsed/>
    <w:rsid w:val="00972F36"/>
    <w:rPr>
      <w:color w:val="0000FF"/>
      <w:u w:val="single"/>
    </w:rPr>
  </w:style>
  <w:style w:type="paragraph" w:customStyle="1" w:styleId="naislab">
    <w:name w:val="naislab"/>
    <w:basedOn w:val="Normal"/>
    <w:rsid w:val="00CE3EDE"/>
    <w:pPr>
      <w:spacing w:before="75" w:after="75" w:line="240" w:lineRule="auto"/>
      <w:jc w:val="right"/>
    </w:pPr>
    <w:rPr>
      <w:rFonts w:ascii="Times New Roman" w:hAnsi="Times New Roman"/>
      <w:sz w:val="24"/>
      <w:szCs w:val="24"/>
      <w:lang w:eastAsia="lv-LV"/>
    </w:rPr>
  </w:style>
  <w:style w:type="character" w:styleId="Strong">
    <w:name w:val="Strong"/>
    <w:basedOn w:val="DefaultParagraphFont"/>
    <w:uiPriority w:val="22"/>
    <w:qFormat/>
    <w:rsid w:val="00CE3EDE"/>
    <w:rPr>
      <w:b/>
    </w:rPr>
  </w:style>
  <w:style w:type="paragraph" w:customStyle="1" w:styleId="naisf">
    <w:name w:val="naisf"/>
    <w:basedOn w:val="Normal"/>
    <w:link w:val="naisfChar"/>
    <w:rsid w:val="00CE3EDE"/>
    <w:pPr>
      <w:spacing w:before="75" w:after="75" w:line="240" w:lineRule="auto"/>
      <w:ind w:firstLine="375"/>
      <w:jc w:val="both"/>
    </w:pPr>
    <w:rPr>
      <w:rFonts w:ascii="Times New Roman" w:hAnsi="Times New Roman"/>
      <w:sz w:val="24"/>
      <w:szCs w:val="20"/>
      <w:lang w:val="x-none" w:eastAsia="x-none"/>
    </w:rPr>
  </w:style>
  <w:style w:type="paragraph" w:customStyle="1" w:styleId="naiskr">
    <w:name w:val="naiskr"/>
    <w:basedOn w:val="Normal"/>
    <w:rsid w:val="00CE3EDE"/>
    <w:pPr>
      <w:spacing w:before="75" w:after="75" w:line="240" w:lineRule="auto"/>
    </w:pPr>
    <w:rPr>
      <w:rFonts w:ascii="Times New Roman" w:hAnsi="Times New Roman"/>
      <w:sz w:val="24"/>
      <w:szCs w:val="24"/>
      <w:lang w:eastAsia="lv-LV"/>
    </w:rPr>
  </w:style>
  <w:style w:type="paragraph" w:styleId="PlainText">
    <w:name w:val="Plain Text"/>
    <w:basedOn w:val="Normal"/>
    <w:link w:val="PlainTextChar"/>
    <w:uiPriority w:val="99"/>
    <w:unhideWhenUsed/>
    <w:rsid w:val="00607AC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locked/>
    <w:rsid w:val="00607ACA"/>
    <w:rPr>
      <w:rFonts w:ascii="Consolas" w:hAnsi="Consolas"/>
      <w:sz w:val="21"/>
      <w:lang w:val="x-none" w:eastAsia="en-US"/>
    </w:rPr>
  </w:style>
  <w:style w:type="paragraph" w:styleId="CommentText">
    <w:name w:val="annotation text"/>
    <w:basedOn w:val="Normal"/>
    <w:link w:val="CommentTextChar"/>
    <w:uiPriority w:val="99"/>
    <w:semiHidden/>
    <w:unhideWhenUsed/>
    <w:rsid w:val="00607ACA"/>
    <w:pPr>
      <w:spacing w:line="240" w:lineRule="auto"/>
    </w:pPr>
    <w:rPr>
      <w:sz w:val="20"/>
      <w:szCs w:val="20"/>
    </w:rPr>
  </w:style>
  <w:style w:type="character" w:customStyle="1" w:styleId="CommentTextChar">
    <w:name w:val="Comment Text Char"/>
    <w:basedOn w:val="DefaultParagraphFont"/>
    <w:link w:val="CommentText"/>
    <w:uiPriority w:val="99"/>
    <w:semiHidden/>
    <w:locked/>
    <w:rsid w:val="00607ACA"/>
    <w:rPr>
      <w:lang w:val="x-none" w:eastAsia="en-US"/>
    </w:rPr>
  </w:style>
  <w:style w:type="paragraph" w:styleId="CommentSubject">
    <w:name w:val="annotation subject"/>
    <w:basedOn w:val="CommentText"/>
    <w:next w:val="CommentText"/>
    <w:link w:val="CommentSubjectChar"/>
    <w:uiPriority w:val="99"/>
    <w:semiHidden/>
    <w:unhideWhenUsed/>
    <w:rsid w:val="00607ACA"/>
    <w:pPr>
      <w:spacing w:line="276" w:lineRule="auto"/>
    </w:pPr>
    <w:rPr>
      <w:b/>
      <w:bCs/>
    </w:rPr>
  </w:style>
  <w:style w:type="character" w:customStyle="1" w:styleId="CommentSubjectChar">
    <w:name w:val="Comment Subject Char"/>
    <w:basedOn w:val="CommentTextChar"/>
    <w:link w:val="CommentSubject"/>
    <w:uiPriority w:val="99"/>
    <w:semiHidden/>
    <w:locked/>
    <w:rsid w:val="00607ACA"/>
    <w:rPr>
      <w:b/>
      <w:lang w:val="x-none" w:eastAsia="en-US"/>
    </w:rPr>
  </w:style>
  <w:style w:type="paragraph" w:styleId="BodyText2">
    <w:name w:val="Body Text 2"/>
    <w:basedOn w:val="Normal"/>
    <w:link w:val="BodyText2Char"/>
    <w:uiPriority w:val="99"/>
    <w:rsid w:val="00FD5011"/>
    <w:pPr>
      <w:spacing w:after="120" w:line="480" w:lineRule="auto"/>
    </w:pPr>
    <w:rPr>
      <w:rFonts w:ascii="Times New Roman" w:hAnsi="Times New Roman"/>
      <w:sz w:val="24"/>
      <w:szCs w:val="24"/>
      <w:lang w:eastAsia="lv-LV"/>
    </w:rPr>
  </w:style>
  <w:style w:type="character" w:customStyle="1" w:styleId="BodyText2Char">
    <w:name w:val="Body Text 2 Char"/>
    <w:basedOn w:val="DefaultParagraphFont"/>
    <w:link w:val="BodyText2"/>
    <w:uiPriority w:val="99"/>
    <w:locked/>
    <w:rsid w:val="00FD5011"/>
    <w:rPr>
      <w:rFonts w:ascii="Times New Roman" w:hAnsi="Times New Roman"/>
      <w:sz w:val="24"/>
    </w:rPr>
  </w:style>
  <w:style w:type="character" w:customStyle="1" w:styleId="NormalWebChar">
    <w:name w:val="Normal (Web) Char"/>
    <w:link w:val="NormalWeb"/>
    <w:uiPriority w:val="99"/>
    <w:locked/>
    <w:rsid w:val="0082289E"/>
    <w:rPr>
      <w:rFonts w:ascii="Times New Roman" w:hAnsi="Times New Roman"/>
      <w:sz w:val="24"/>
    </w:rPr>
  </w:style>
  <w:style w:type="character" w:styleId="FollowedHyperlink">
    <w:name w:val="FollowedHyperlink"/>
    <w:basedOn w:val="DefaultParagraphFont"/>
    <w:uiPriority w:val="99"/>
    <w:semiHidden/>
    <w:unhideWhenUsed/>
    <w:rsid w:val="00355629"/>
    <w:rPr>
      <w:color w:val="800080"/>
      <w:u w:val="single"/>
    </w:rPr>
  </w:style>
  <w:style w:type="paragraph" w:customStyle="1" w:styleId="naisc">
    <w:name w:val="naisc"/>
    <w:basedOn w:val="Normal"/>
    <w:rsid w:val="00683D14"/>
    <w:pPr>
      <w:spacing w:before="75" w:after="75" w:line="240" w:lineRule="auto"/>
      <w:jc w:val="center"/>
    </w:pPr>
    <w:rPr>
      <w:rFonts w:ascii="Times New Roman" w:hAnsi="Times New Roman"/>
      <w:sz w:val="24"/>
      <w:szCs w:val="24"/>
      <w:lang w:eastAsia="lv-LV"/>
    </w:rPr>
  </w:style>
  <w:style w:type="paragraph" w:styleId="ListParagraph">
    <w:name w:val="List Paragraph"/>
    <w:basedOn w:val="Normal"/>
    <w:uiPriority w:val="99"/>
    <w:qFormat/>
    <w:rsid w:val="00DD2C61"/>
    <w:pPr>
      <w:spacing w:after="0" w:line="240" w:lineRule="auto"/>
      <w:ind w:left="720"/>
    </w:pPr>
    <w:rPr>
      <w:lang w:eastAsia="lv-LV"/>
    </w:rPr>
  </w:style>
  <w:style w:type="paragraph" w:styleId="EnvelopeReturn">
    <w:name w:val="envelope return"/>
    <w:basedOn w:val="Normal"/>
    <w:uiPriority w:val="99"/>
    <w:unhideWhenUsed/>
    <w:rsid w:val="00F3027A"/>
    <w:pPr>
      <w:keepLines/>
      <w:widowControl w:val="0"/>
      <w:spacing w:before="600" w:after="0" w:line="240" w:lineRule="auto"/>
    </w:pPr>
    <w:rPr>
      <w:rFonts w:ascii="Times New Roman" w:hAnsi="Times New Roman"/>
      <w:sz w:val="26"/>
      <w:szCs w:val="20"/>
      <w:lang w:val="en-AU"/>
    </w:rPr>
  </w:style>
  <w:style w:type="character" w:styleId="CommentReference">
    <w:name w:val="annotation reference"/>
    <w:basedOn w:val="DefaultParagraphFont"/>
    <w:uiPriority w:val="99"/>
    <w:semiHidden/>
    <w:unhideWhenUsed/>
    <w:rsid w:val="002C2267"/>
    <w:rPr>
      <w:sz w:val="16"/>
    </w:rPr>
  </w:style>
  <w:style w:type="paragraph" w:styleId="BodyText">
    <w:name w:val="Body Text"/>
    <w:aliases w:val="Rakstz."/>
    <w:basedOn w:val="Normal"/>
    <w:link w:val="BodyTextChar"/>
    <w:uiPriority w:val="99"/>
    <w:rsid w:val="00342867"/>
    <w:pPr>
      <w:spacing w:after="120" w:line="240" w:lineRule="auto"/>
    </w:pPr>
    <w:rPr>
      <w:rFonts w:ascii="Times New Roman" w:hAnsi="Times New Roman"/>
      <w:sz w:val="24"/>
      <w:szCs w:val="24"/>
    </w:rPr>
  </w:style>
  <w:style w:type="character" w:customStyle="1" w:styleId="BodyTextChar">
    <w:name w:val="Body Text Char"/>
    <w:aliases w:val="Rakstz. Char"/>
    <w:basedOn w:val="DefaultParagraphFont"/>
    <w:link w:val="BodyText"/>
    <w:uiPriority w:val="99"/>
    <w:locked/>
    <w:rsid w:val="00342867"/>
    <w:rPr>
      <w:rFonts w:ascii="Times New Roman" w:hAnsi="Times New Roman"/>
      <w:sz w:val="24"/>
      <w:lang w:val="x-none" w:eastAsia="en-US"/>
    </w:rPr>
  </w:style>
  <w:style w:type="paragraph" w:styleId="z-BottomofForm">
    <w:name w:val="HTML Bottom of Form"/>
    <w:basedOn w:val="Normal"/>
    <w:next w:val="Normal"/>
    <w:link w:val="z-BottomofFormChar"/>
    <w:hidden/>
    <w:uiPriority w:val="99"/>
    <w:rsid w:val="000504F6"/>
    <w:pPr>
      <w:pBdr>
        <w:top w:val="single" w:sz="6" w:space="1" w:color="auto"/>
      </w:pBdr>
      <w:spacing w:after="0" w:line="240" w:lineRule="auto"/>
      <w:jc w:val="center"/>
    </w:pPr>
    <w:rPr>
      <w:rFonts w:ascii="Arial" w:hAnsi="Arial"/>
      <w:vanish/>
      <w:sz w:val="16"/>
      <w:szCs w:val="16"/>
      <w:lang w:eastAsia="lv-LV"/>
    </w:rPr>
  </w:style>
  <w:style w:type="character" w:customStyle="1" w:styleId="z-BottomofFormChar">
    <w:name w:val="z-Bottom of Form Char"/>
    <w:basedOn w:val="DefaultParagraphFont"/>
    <w:link w:val="z-BottomofForm"/>
    <w:uiPriority w:val="99"/>
    <w:locked/>
    <w:rsid w:val="000504F6"/>
    <w:rPr>
      <w:rFonts w:ascii="Arial" w:hAnsi="Arial"/>
      <w:vanish/>
      <w:sz w:val="16"/>
    </w:rPr>
  </w:style>
  <w:style w:type="paragraph" w:customStyle="1" w:styleId="naisnod">
    <w:name w:val="naisnod"/>
    <w:basedOn w:val="Normal"/>
    <w:rsid w:val="000D16A5"/>
    <w:pPr>
      <w:spacing w:before="150" w:after="150" w:line="240" w:lineRule="auto"/>
      <w:jc w:val="center"/>
    </w:pPr>
    <w:rPr>
      <w:rFonts w:ascii="Times New Roman" w:hAnsi="Times New Roman"/>
      <w:b/>
      <w:bCs/>
      <w:sz w:val="24"/>
      <w:szCs w:val="24"/>
      <w:lang w:eastAsia="lv-LV"/>
    </w:rPr>
  </w:style>
  <w:style w:type="paragraph" w:customStyle="1" w:styleId="Default">
    <w:name w:val="Default"/>
    <w:rsid w:val="000D16A5"/>
    <w:pPr>
      <w:autoSpaceDE w:val="0"/>
      <w:autoSpaceDN w:val="0"/>
      <w:adjustRightInd w:val="0"/>
    </w:pPr>
    <w:rPr>
      <w:rFonts w:ascii="EUAlbertina" w:hAnsi="EUAlbertina" w:cs="EUAlbertina"/>
      <w:color w:val="000000"/>
      <w:sz w:val="24"/>
      <w:szCs w:val="24"/>
    </w:rPr>
  </w:style>
  <w:style w:type="paragraph" w:styleId="FootnoteText">
    <w:name w:val="footnote text"/>
    <w:aliases w:val="Fußnotentext Char,Fußnotentext Char1 Char1,Fußnotentext Char Char Char Char,Fußnotentext Char1 Char Char Char,Fußnotentext Char Char,Fußnotentext Char1 Char Char Char Char,Fußnotentext Char Char Char Char Char Char,Fußnotentext Char1,Fußn"/>
    <w:basedOn w:val="Normal"/>
    <w:link w:val="FootnoteTextChar"/>
    <w:uiPriority w:val="99"/>
    <w:rsid w:val="00CE44D6"/>
    <w:pPr>
      <w:spacing w:after="0" w:line="240" w:lineRule="auto"/>
    </w:pPr>
    <w:rPr>
      <w:rFonts w:ascii="Times New Roman" w:hAnsi="Times New Roman"/>
      <w:sz w:val="20"/>
      <w:szCs w:val="20"/>
      <w:lang w:eastAsia="lv-LV"/>
    </w:rPr>
  </w:style>
  <w:style w:type="character" w:customStyle="1" w:styleId="FootnoteTextChar">
    <w:name w:val="Footnote Text Char"/>
    <w:aliases w:val="Fußnotentext Char Char1,Fußnotentext Char1 Char1 Char,Fußnotentext Char Char Char Char Char,Fußnotentext Char1 Char Char Char Char1,Fußnotentext Char Char Char,Fußnotentext Char1 Char Char Char Char Char,Fußnotentext Char1 Char"/>
    <w:basedOn w:val="DefaultParagraphFont"/>
    <w:link w:val="FootnoteText"/>
    <w:uiPriority w:val="99"/>
    <w:locked/>
    <w:rsid w:val="00CE44D6"/>
    <w:rPr>
      <w:rFonts w:ascii="Times New Roman" w:hAnsi="Times New Roman"/>
    </w:rPr>
  </w:style>
  <w:style w:type="character" w:styleId="FootnoteReference">
    <w:name w:val="footnote reference"/>
    <w:aliases w:val="Footnote Reference Number,SUPERS"/>
    <w:basedOn w:val="DefaultParagraphFont"/>
    <w:uiPriority w:val="99"/>
    <w:rsid w:val="004675E5"/>
    <w:rPr>
      <w:vertAlign w:val="superscript"/>
    </w:rPr>
  </w:style>
  <w:style w:type="character" w:customStyle="1" w:styleId="naisfChar">
    <w:name w:val="naisf Char"/>
    <w:link w:val="naisf"/>
    <w:locked/>
    <w:rsid w:val="006067E8"/>
    <w:rPr>
      <w:rFonts w:ascii="Times New Roman" w:hAnsi="Times New Roman"/>
      <w:sz w:val="24"/>
    </w:rPr>
  </w:style>
  <w:style w:type="paragraph" w:customStyle="1" w:styleId="body">
    <w:name w:val="body"/>
    <w:basedOn w:val="Normal"/>
    <w:uiPriority w:val="99"/>
    <w:rsid w:val="00465BBD"/>
    <w:pPr>
      <w:shd w:val="clear" w:color="auto" w:fill="C9E1DF"/>
      <w:spacing w:before="100" w:beforeAutospacing="1" w:after="100" w:afterAutospacing="1" w:line="240" w:lineRule="auto"/>
    </w:pPr>
    <w:rPr>
      <w:rFonts w:ascii="Arial" w:hAnsi="Arial" w:cs="Arial"/>
      <w:color w:val="333333"/>
      <w:sz w:val="24"/>
      <w:szCs w:val="24"/>
      <w:lang w:eastAsia="lv-LV"/>
    </w:rPr>
  </w:style>
  <w:style w:type="character" w:customStyle="1" w:styleId="spelle">
    <w:name w:val="spelle"/>
    <w:basedOn w:val="DefaultParagraphFont"/>
    <w:rsid w:val="00721B0B"/>
    <w:rPr>
      <w:rFonts w:cs="Times New Roman"/>
    </w:rPr>
  </w:style>
  <w:style w:type="paragraph" w:customStyle="1" w:styleId="tvhtml">
    <w:name w:val="tv_html"/>
    <w:basedOn w:val="Normal"/>
    <w:rsid w:val="00D16AD9"/>
    <w:pPr>
      <w:spacing w:before="100" w:beforeAutospacing="1" w:after="100" w:afterAutospacing="1" w:line="240" w:lineRule="auto"/>
    </w:pPr>
    <w:rPr>
      <w:rFonts w:ascii="Verdana" w:hAnsi="Verdana"/>
      <w:sz w:val="16"/>
      <w:szCs w:val="16"/>
      <w:lang w:eastAsia="lv-LV"/>
    </w:rPr>
  </w:style>
  <w:style w:type="paragraph" w:customStyle="1" w:styleId="tvhtml1">
    <w:name w:val="tv_html1"/>
    <w:basedOn w:val="Normal"/>
    <w:rsid w:val="00122ED0"/>
    <w:pPr>
      <w:spacing w:before="100" w:beforeAutospacing="1" w:after="0" w:line="360" w:lineRule="auto"/>
    </w:pPr>
    <w:rPr>
      <w:rFonts w:ascii="Verdana" w:hAnsi="Verdana"/>
      <w:sz w:val="18"/>
      <w:szCs w:val="18"/>
      <w:lang w:eastAsia="lv-LV"/>
    </w:rPr>
  </w:style>
  <w:style w:type="paragraph" w:styleId="Subtitle">
    <w:name w:val="Subtitle"/>
    <w:basedOn w:val="Normal"/>
    <w:next w:val="Normal"/>
    <w:link w:val="SubtitleChar"/>
    <w:uiPriority w:val="11"/>
    <w:qFormat/>
    <w:rsid w:val="00854ADE"/>
    <w:pPr>
      <w:keepNext/>
      <w:keepLines/>
      <w:widowControl w:val="0"/>
      <w:suppressAutoHyphens/>
      <w:spacing w:before="600" w:after="600" w:line="240" w:lineRule="auto"/>
      <w:ind w:right="4820"/>
    </w:pPr>
    <w:rPr>
      <w:rFonts w:ascii="Times New Roman" w:hAnsi="Times New Roman"/>
      <w:b/>
      <w:sz w:val="26"/>
      <w:szCs w:val="20"/>
      <w:lang w:val="en-AU"/>
    </w:rPr>
  </w:style>
  <w:style w:type="character" w:customStyle="1" w:styleId="SubtitleChar">
    <w:name w:val="Subtitle Char"/>
    <w:basedOn w:val="DefaultParagraphFont"/>
    <w:link w:val="Subtitle"/>
    <w:uiPriority w:val="11"/>
    <w:locked/>
    <w:rsid w:val="00854ADE"/>
    <w:rPr>
      <w:rFonts w:ascii="Times New Roman" w:hAnsi="Times New Roman"/>
      <w:b/>
      <w:sz w:val="26"/>
      <w:lang w:val="en-AU" w:eastAsia="en-US"/>
    </w:rPr>
  </w:style>
  <w:style w:type="paragraph" w:customStyle="1" w:styleId="Style8">
    <w:name w:val="Style8"/>
    <w:basedOn w:val="Normal"/>
    <w:uiPriority w:val="99"/>
    <w:rsid w:val="00007FDB"/>
    <w:pPr>
      <w:widowControl w:val="0"/>
      <w:autoSpaceDE w:val="0"/>
      <w:autoSpaceDN w:val="0"/>
      <w:adjustRightInd w:val="0"/>
      <w:spacing w:after="0" w:line="274" w:lineRule="exact"/>
      <w:ind w:hanging="350"/>
    </w:pPr>
    <w:rPr>
      <w:rFonts w:ascii="Impact" w:hAnsi="Impact"/>
      <w:sz w:val="24"/>
      <w:szCs w:val="24"/>
      <w:lang w:eastAsia="lv-LV"/>
    </w:rPr>
  </w:style>
  <w:style w:type="paragraph" w:customStyle="1" w:styleId="default0">
    <w:name w:val="default"/>
    <w:basedOn w:val="Normal"/>
    <w:rsid w:val="00B7041A"/>
    <w:pPr>
      <w:spacing w:before="100" w:beforeAutospacing="1" w:after="100" w:afterAutospacing="1" w:line="240" w:lineRule="auto"/>
    </w:pPr>
    <w:rPr>
      <w:rFonts w:ascii="Times New Roman" w:hAnsi="Times New Roman"/>
      <w:color w:val="000000"/>
      <w:sz w:val="24"/>
      <w:szCs w:val="24"/>
      <w:lang w:eastAsia="lv-LV"/>
    </w:rPr>
  </w:style>
  <w:style w:type="table" w:styleId="TableGrid">
    <w:name w:val="Table Grid"/>
    <w:basedOn w:val="TableNormal"/>
    <w:uiPriority w:val="59"/>
    <w:rsid w:val="00F61E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F61E70"/>
    <w:rPr>
      <w:sz w:val="22"/>
      <w:szCs w:val="22"/>
      <w:lang w:eastAsia="en-US"/>
    </w:rPr>
  </w:style>
  <w:style w:type="paragraph" w:customStyle="1" w:styleId="tv2071366801">
    <w:name w:val="tv207_136_6801"/>
    <w:basedOn w:val="Normal"/>
    <w:rsid w:val="00F341CB"/>
    <w:pPr>
      <w:spacing w:after="567" w:line="360" w:lineRule="auto"/>
      <w:jc w:val="center"/>
    </w:pPr>
    <w:rPr>
      <w:rFonts w:ascii="Verdana" w:hAnsi="Verdana"/>
      <w:b/>
      <w:bCs/>
      <w:sz w:val="28"/>
      <w:szCs w:val="28"/>
      <w:lang w:eastAsia="lv-LV"/>
    </w:rPr>
  </w:style>
  <w:style w:type="paragraph" w:customStyle="1" w:styleId="contentstory">
    <w:name w:val="contentstory"/>
    <w:basedOn w:val="Normal"/>
    <w:rsid w:val="00157D1D"/>
    <w:pPr>
      <w:spacing w:before="100" w:beforeAutospacing="1" w:after="100" w:afterAutospacing="1" w:line="240" w:lineRule="auto"/>
      <w:jc w:val="both"/>
    </w:pPr>
    <w:rPr>
      <w:rFonts w:ascii="TimesNewRoman" w:hAnsi="TimesNewRoman"/>
      <w:color w:val="003366"/>
      <w:sz w:val="20"/>
      <w:szCs w:val="20"/>
      <w:lang w:eastAsia="lv-LV"/>
    </w:rPr>
  </w:style>
  <w:style w:type="character" w:customStyle="1" w:styleId="apple-converted-space">
    <w:name w:val="apple-converted-space"/>
    <w:basedOn w:val="DefaultParagraphFont"/>
    <w:rsid w:val="009A57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envelope return"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696"/>
    <w:pPr>
      <w:spacing w:after="200" w:line="276" w:lineRule="auto"/>
    </w:pPr>
    <w:rPr>
      <w:sz w:val="22"/>
      <w:szCs w:val="22"/>
      <w:lang w:eastAsia="en-US"/>
    </w:rPr>
  </w:style>
  <w:style w:type="paragraph" w:styleId="Heading1">
    <w:name w:val="heading 1"/>
    <w:basedOn w:val="Normal"/>
    <w:next w:val="Normal"/>
    <w:link w:val="Heading1Char"/>
    <w:uiPriority w:val="9"/>
    <w:qFormat/>
    <w:rsid w:val="00DC6B05"/>
    <w:pPr>
      <w:keepNext/>
      <w:keepLines/>
      <w:spacing w:before="480" w:after="0"/>
      <w:outlineLvl w:val="0"/>
    </w:pPr>
    <w:rPr>
      <w:rFonts w:ascii="Cambria" w:hAnsi="Cambria"/>
      <w:b/>
      <w:bCs/>
      <w:color w:val="365F91"/>
      <w:sz w:val="28"/>
      <w:szCs w:val="28"/>
    </w:rPr>
  </w:style>
  <w:style w:type="paragraph" w:styleId="Heading4">
    <w:name w:val="heading 4"/>
    <w:basedOn w:val="Normal"/>
    <w:link w:val="Heading4Char"/>
    <w:uiPriority w:val="9"/>
    <w:qFormat/>
    <w:rsid w:val="002E43E8"/>
    <w:pPr>
      <w:spacing w:before="100" w:beforeAutospacing="1" w:after="100" w:afterAutospacing="1" w:line="240" w:lineRule="auto"/>
      <w:outlineLvl w:val="3"/>
    </w:pPr>
    <w:rPr>
      <w:rFonts w:ascii="Times New Roman" w:hAnsi="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C6B05"/>
    <w:rPr>
      <w:rFonts w:ascii="Cambria" w:hAnsi="Cambria"/>
      <w:b/>
      <w:color w:val="365F91"/>
      <w:sz w:val="28"/>
      <w:lang w:val="x-none" w:eastAsia="en-US"/>
    </w:rPr>
  </w:style>
  <w:style w:type="character" w:customStyle="1" w:styleId="Heading4Char">
    <w:name w:val="Heading 4 Char"/>
    <w:basedOn w:val="DefaultParagraphFont"/>
    <w:link w:val="Heading4"/>
    <w:uiPriority w:val="9"/>
    <w:locked/>
    <w:rsid w:val="002E43E8"/>
    <w:rPr>
      <w:rFonts w:ascii="Times New Roman" w:hAnsi="Times New Roman"/>
      <w:b/>
      <w:sz w:val="24"/>
      <w:lang w:val="x-none" w:eastAsia="lv-LV"/>
    </w:rPr>
  </w:style>
  <w:style w:type="paragraph" w:styleId="NormalWeb">
    <w:name w:val="Normal (Web)"/>
    <w:basedOn w:val="Normal"/>
    <w:link w:val="NormalWebChar"/>
    <w:uiPriority w:val="99"/>
    <w:unhideWhenUsed/>
    <w:rsid w:val="002E43E8"/>
    <w:pPr>
      <w:spacing w:before="100" w:beforeAutospacing="1" w:after="100" w:afterAutospacing="1" w:line="240" w:lineRule="auto"/>
    </w:pPr>
    <w:rPr>
      <w:rFonts w:ascii="Times New Roman" w:hAnsi="Times New Roman"/>
      <w:sz w:val="24"/>
      <w:szCs w:val="20"/>
      <w:lang w:val="x-none" w:eastAsia="x-none"/>
    </w:rPr>
  </w:style>
  <w:style w:type="paragraph" w:styleId="Header">
    <w:name w:val="header"/>
    <w:basedOn w:val="Normal"/>
    <w:link w:val="HeaderChar"/>
    <w:uiPriority w:val="99"/>
    <w:unhideWhenUsed/>
    <w:rsid w:val="009640EB"/>
    <w:pPr>
      <w:tabs>
        <w:tab w:val="center" w:pos="4153"/>
        <w:tab w:val="right" w:pos="8306"/>
      </w:tabs>
    </w:pPr>
  </w:style>
  <w:style w:type="character" w:customStyle="1" w:styleId="HeaderChar">
    <w:name w:val="Header Char"/>
    <w:basedOn w:val="DefaultParagraphFont"/>
    <w:link w:val="Header"/>
    <w:uiPriority w:val="99"/>
    <w:locked/>
    <w:rsid w:val="009640EB"/>
    <w:rPr>
      <w:sz w:val="22"/>
      <w:lang w:val="x-none" w:eastAsia="en-US"/>
    </w:rPr>
  </w:style>
  <w:style w:type="paragraph" w:styleId="Footer">
    <w:name w:val="footer"/>
    <w:basedOn w:val="Normal"/>
    <w:link w:val="FooterChar"/>
    <w:uiPriority w:val="99"/>
    <w:unhideWhenUsed/>
    <w:rsid w:val="009640EB"/>
    <w:pPr>
      <w:tabs>
        <w:tab w:val="center" w:pos="4153"/>
        <w:tab w:val="right" w:pos="8306"/>
      </w:tabs>
    </w:pPr>
  </w:style>
  <w:style w:type="character" w:customStyle="1" w:styleId="FooterChar">
    <w:name w:val="Footer Char"/>
    <w:basedOn w:val="DefaultParagraphFont"/>
    <w:link w:val="Footer"/>
    <w:uiPriority w:val="99"/>
    <w:locked/>
    <w:rsid w:val="009640EB"/>
    <w:rPr>
      <w:sz w:val="22"/>
      <w:lang w:val="x-none" w:eastAsia="en-US"/>
    </w:rPr>
  </w:style>
  <w:style w:type="paragraph" w:styleId="BalloonText">
    <w:name w:val="Balloon Text"/>
    <w:basedOn w:val="Normal"/>
    <w:link w:val="BalloonTextChar"/>
    <w:uiPriority w:val="99"/>
    <w:semiHidden/>
    <w:unhideWhenUsed/>
    <w:rsid w:val="009640EB"/>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9640EB"/>
    <w:rPr>
      <w:rFonts w:ascii="Tahoma" w:hAnsi="Tahoma"/>
      <w:sz w:val="16"/>
      <w:lang w:val="x-none" w:eastAsia="en-US"/>
    </w:rPr>
  </w:style>
  <w:style w:type="character" w:styleId="Hyperlink">
    <w:name w:val="Hyperlink"/>
    <w:basedOn w:val="DefaultParagraphFont"/>
    <w:uiPriority w:val="99"/>
    <w:unhideWhenUsed/>
    <w:rsid w:val="00972F36"/>
    <w:rPr>
      <w:color w:val="0000FF"/>
      <w:u w:val="single"/>
    </w:rPr>
  </w:style>
  <w:style w:type="paragraph" w:customStyle="1" w:styleId="naislab">
    <w:name w:val="naislab"/>
    <w:basedOn w:val="Normal"/>
    <w:rsid w:val="00CE3EDE"/>
    <w:pPr>
      <w:spacing w:before="75" w:after="75" w:line="240" w:lineRule="auto"/>
      <w:jc w:val="right"/>
    </w:pPr>
    <w:rPr>
      <w:rFonts w:ascii="Times New Roman" w:hAnsi="Times New Roman"/>
      <w:sz w:val="24"/>
      <w:szCs w:val="24"/>
      <w:lang w:eastAsia="lv-LV"/>
    </w:rPr>
  </w:style>
  <w:style w:type="character" w:styleId="Strong">
    <w:name w:val="Strong"/>
    <w:basedOn w:val="DefaultParagraphFont"/>
    <w:uiPriority w:val="22"/>
    <w:qFormat/>
    <w:rsid w:val="00CE3EDE"/>
    <w:rPr>
      <w:b/>
    </w:rPr>
  </w:style>
  <w:style w:type="paragraph" w:customStyle="1" w:styleId="naisf">
    <w:name w:val="naisf"/>
    <w:basedOn w:val="Normal"/>
    <w:link w:val="naisfChar"/>
    <w:rsid w:val="00CE3EDE"/>
    <w:pPr>
      <w:spacing w:before="75" w:after="75" w:line="240" w:lineRule="auto"/>
      <w:ind w:firstLine="375"/>
      <w:jc w:val="both"/>
    </w:pPr>
    <w:rPr>
      <w:rFonts w:ascii="Times New Roman" w:hAnsi="Times New Roman"/>
      <w:sz w:val="24"/>
      <w:szCs w:val="20"/>
      <w:lang w:val="x-none" w:eastAsia="x-none"/>
    </w:rPr>
  </w:style>
  <w:style w:type="paragraph" w:customStyle="1" w:styleId="naiskr">
    <w:name w:val="naiskr"/>
    <w:basedOn w:val="Normal"/>
    <w:rsid w:val="00CE3EDE"/>
    <w:pPr>
      <w:spacing w:before="75" w:after="75" w:line="240" w:lineRule="auto"/>
    </w:pPr>
    <w:rPr>
      <w:rFonts w:ascii="Times New Roman" w:hAnsi="Times New Roman"/>
      <w:sz w:val="24"/>
      <w:szCs w:val="24"/>
      <w:lang w:eastAsia="lv-LV"/>
    </w:rPr>
  </w:style>
  <w:style w:type="paragraph" w:styleId="PlainText">
    <w:name w:val="Plain Text"/>
    <w:basedOn w:val="Normal"/>
    <w:link w:val="PlainTextChar"/>
    <w:uiPriority w:val="99"/>
    <w:unhideWhenUsed/>
    <w:rsid w:val="00607AC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locked/>
    <w:rsid w:val="00607ACA"/>
    <w:rPr>
      <w:rFonts w:ascii="Consolas" w:hAnsi="Consolas"/>
      <w:sz w:val="21"/>
      <w:lang w:val="x-none" w:eastAsia="en-US"/>
    </w:rPr>
  </w:style>
  <w:style w:type="paragraph" w:styleId="CommentText">
    <w:name w:val="annotation text"/>
    <w:basedOn w:val="Normal"/>
    <w:link w:val="CommentTextChar"/>
    <w:uiPriority w:val="99"/>
    <w:semiHidden/>
    <w:unhideWhenUsed/>
    <w:rsid w:val="00607ACA"/>
    <w:pPr>
      <w:spacing w:line="240" w:lineRule="auto"/>
    </w:pPr>
    <w:rPr>
      <w:sz w:val="20"/>
      <w:szCs w:val="20"/>
    </w:rPr>
  </w:style>
  <w:style w:type="character" w:customStyle="1" w:styleId="CommentTextChar">
    <w:name w:val="Comment Text Char"/>
    <w:basedOn w:val="DefaultParagraphFont"/>
    <w:link w:val="CommentText"/>
    <w:uiPriority w:val="99"/>
    <w:semiHidden/>
    <w:locked/>
    <w:rsid w:val="00607ACA"/>
    <w:rPr>
      <w:lang w:val="x-none" w:eastAsia="en-US"/>
    </w:rPr>
  </w:style>
  <w:style w:type="paragraph" w:styleId="CommentSubject">
    <w:name w:val="annotation subject"/>
    <w:basedOn w:val="CommentText"/>
    <w:next w:val="CommentText"/>
    <w:link w:val="CommentSubjectChar"/>
    <w:uiPriority w:val="99"/>
    <w:semiHidden/>
    <w:unhideWhenUsed/>
    <w:rsid w:val="00607ACA"/>
    <w:pPr>
      <w:spacing w:line="276" w:lineRule="auto"/>
    </w:pPr>
    <w:rPr>
      <w:b/>
      <w:bCs/>
    </w:rPr>
  </w:style>
  <w:style w:type="character" w:customStyle="1" w:styleId="CommentSubjectChar">
    <w:name w:val="Comment Subject Char"/>
    <w:basedOn w:val="CommentTextChar"/>
    <w:link w:val="CommentSubject"/>
    <w:uiPriority w:val="99"/>
    <w:semiHidden/>
    <w:locked/>
    <w:rsid w:val="00607ACA"/>
    <w:rPr>
      <w:b/>
      <w:lang w:val="x-none" w:eastAsia="en-US"/>
    </w:rPr>
  </w:style>
  <w:style w:type="paragraph" w:styleId="BodyText2">
    <w:name w:val="Body Text 2"/>
    <w:basedOn w:val="Normal"/>
    <w:link w:val="BodyText2Char"/>
    <w:uiPriority w:val="99"/>
    <w:rsid w:val="00FD5011"/>
    <w:pPr>
      <w:spacing w:after="120" w:line="480" w:lineRule="auto"/>
    </w:pPr>
    <w:rPr>
      <w:rFonts w:ascii="Times New Roman" w:hAnsi="Times New Roman"/>
      <w:sz w:val="24"/>
      <w:szCs w:val="24"/>
      <w:lang w:eastAsia="lv-LV"/>
    </w:rPr>
  </w:style>
  <w:style w:type="character" w:customStyle="1" w:styleId="BodyText2Char">
    <w:name w:val="Body Text 2 Char"/>
    <w:basedOn w:val="DefaultParagraphFont"/>
    <w:link w:val="BodyText2"/>
    <w:uiPriority w:val="99"/>
    <w:locked/>
    <w:rsid w:val="00FD5011"/>
    <w:rPr>
      <w:rFonts w:ascii="Times New Roman" w:hAnsi="Times New Roman"/>
      <w:sz w:val="24"/>
    </w:rPr>
  </w:style>
  <w:style w:type="character" w:customStyle="1" w:styleId="NormalWebChar">
    <w:name w:val="Normal (Web) Char"/>
    <w:link w:val="NormalWeb"/>
    <w:uiPriority w:val="99"/>
    <w:locked/>
    <w:rsid w:val="0082289E"/>
    <w:rPr>
      <w:rFonts w:ascii="Times New Roman" w:hAnsi="Times New Roman"/>
      <w:sz w:val="24"/>
    </w:rPr>
  </w:style>
  <w:style w:type="character" w:styleId="FollowedHyperlink">
    <w:name w:val="FollowedHyperlink"/>
    <w:basedOn w:val="DefaultParagraphFont"/>
    <w:uiPriority w:val="99"/>
    <w:semiHidden/>
    <w:unhideWhenUsed/>
    <w:rsid w:val="00355629"/>
    <w:rPr>
      <w:color w:val="800080"/>
      <w:u w:val="single"/>
    </w:rPr>
  </w:style>
  <w:style w:type="paragraph" w:customStyle="1" w:styleId="naisc">
    <w:name w:val="naisc"/>
    <w:basedOn w:val="Normal"/>
    <w:rsid w:val="00683D14"/>
    <w:pPr>
      <w:spacing w:before="75" w:after="75" w:line="240" w:lineRule="auto"/>
      <w:jc w:val="center"/>
    </w:pPr>
    <w:rPr>
      <w:rFonts w:ascii="Times New Roman" w:hAnsi="Times New Roman"/>
      <w:sz w:val="24"/>
      <w:szCs w:val="24"/>
      <w:lang w:eastAsia="lv-LV"/>
    </w:rPr>
  </w:style>
  <w:style w:type="paragraph" w:styleId="ListParagraph">
    <w:name w:val="List Paragraph"/>
    <w:basedOn w:val="Normal"/>
    <w:uiPriority w:val="99"/>
    <w:qFormat/>
    <w:rsid w:val="00DD2C61"/>
    <w:pPr>
      <w:spacing w:after="0" w:line="240" w:lineRule="auto"/>
      <w:ind w:left="720"/>
    </w:pPr>
    <w:rPr>
      <w:lang w:eastAsia="lv-LV"/>
    </w:rPr>
  </w:style>
  <w:style w:type="paragraph" w:styleId="EnvelopeReturn">
    <w:name w:val="envelope return"/>
    <w:basedOn w:val="Normal"/>
    <w:uiPriority w:val="99"/>
    <w:unhideWhenUsed/>
    <w:rsid w:val="00F3027A"/>
    <w:pPr>
      <w:keepLines/>
      <w:widowControl w:val="0"/>
      <w:spacing w:before="600" w:after="0" w:line="240" w:lineRule="auto"/>
    </w:pPr>
    <w:rPr>
      <w:rFonts w:ascii="Times New Roman" w:hAnsi="Times New Roman"/>
      <w:sz w:val="26"/>
      <w:szCs w:val="20"/>
      <w:lang w:val="en-AU"/>
    </w:rPr>
  </w:style>
  <w:style w:type="character" w:styleId="CommentReference">
    <w:name w:val="annotation reference"/>
    <w:basedOn w:val="DefaultParagraphFont"/>
    <w:uiPriority w:val="99"/>
    <w:semiHidden/>
    <w:unhideWhenUsed/>
    <w:rsid w:val="002C2267"/>
    <w:rPr>
      <w:sz w:val="16"/>
    </w:rPr>
  </w:style>
  <w:style w:type="paragraph" w:styleId="BodyText">
    <w:name w:val="Body Text"/>
    <w:aliases w:val="Rakstz."/>
    <w:basedOn w:val="Normal"/>
    <w:link w:val="BodyTextChar"/>
    <w:uiPriority w:val="99"/>
    <w:rsid w:val="00342867"/>
    <w:pPr>
      <w:spacing w:after="120" w:line="240" w:lineRule="auto"/>
    </w:pPr>
    <w:rPr>
      <w:rFonts w:ascii="Times New Roman" w:hAnsi="Times New Roman"/>
      <w:sz w:val="24"/>
      <w:szCs w:val="24"/>
    </w:rPr>
  </w:style>
  <w:style w:type="character" w:customStyle="1" w:styleId="BodyTextChar">
    <w:name w:val="Body Text Char"/>
    <w:aliases w:val="Rakstz. Char"/>
    <w:basedOn w:val="DefaultParagraphFont"/>
    <w:link w:val="BodyText"/>
    <w:uiPriority w:val="99"/>
    <w:locked/>
    <w:rsid w:val="00342867"/>
    <w:rPr>
      <w:rFonts w:ascii="Times New Roman" w:hAnsi="Times New Roman"/>
      <w:sz w:val="24"/>
      <w:lang w:val="x-none" w:eastAsia="en-US"/>
    </w:rPr>
  </w:style>
  <w:style w:type="paragraph" w:styleId="z-BottomofForm">
    <w:name w:val="HTML Bottom of Form"/>
    <w:basedOn w:val="Normal"/>
    <w:next w:val="Normal"/>
    <w:link w:val="z-BottomofFormChar"/>
    <w:hidden/>
    <w:uiPriority w:val="99"/>
    <w:rsid w:val="000504F6"/>
    <w:pPr>
      <w:pBdr>
        <w:top w:val="single" w:sz="6" w:space="1" w:color="auto"/>
      </w:pBdr>
      <w:spacing w:after="0" w:line="240" w:lineRule="auto"/>
      <w:jc w:val="center"/>
    </w:pPr>
    <w:rPr>
      <w:rFonts w:ascii="Arial" w:hAnsi="Arial"/>
      <w:vanish/>
      <w:sz w:val="16"/>
      <w:szCs w:val="16"/>
      <w:lang w:eastAsia="lv-LV"/>
    </w:rPr>
  </w:style>
  <w:style w:type="character" w:customStyle="1" w:styleId="z-BottomofFormChar">
    <w:name w:val="z-Bottom of Form Char"/>
    <w:basedOn w:val="DefaultParagraphFont"/>
    <w:link w:val="z-BottomofForm"/>
    <w:uiPriority w:val="99"/>
    <w:locked/>
    <w:rsid w:val="000504F6"/>
    <w:rPr>
      <w:rFonts w:ascii="Arial" w:hAnsi="Arial"/>
      <w:vanish/>
      <w:sz w:val="16"/>
    </w:rPr>
  </w:style>
  <w:style w:type="paragraph" w:customStyle="1" w:styleId="naisnod">
    <w:name w:val="naisnod"/>
    <w:basedOn w:val="Normal"/>
    <w:rsid w:val="000D16A5"/>
    <w:pPr>
      <w:spacing w:before="150" w:after="150" w:line="240" w:lineRule="auto"/>
      <w:jc w:val="center"/>
    </w:pPr>
    <w:rPr>
      <w:rFonts w:ascii="Times New Roman" w:hAnsi="Times New Roman"/>
      <w:b/>
      <w:bCs/>
      <w:sz w:val="24"/>
      <w:szCs w:val="24"/>
      <w:lang w:eastAsia="lv-LV"/>
    </w:rPr>
  </w:style>
  <w:style w:type="paragraph" w:customStyle="1" w:styleId="Default">
    <w:name w:val="Default"/>
    <w:rsid w:val="000D16A5"/>
    <w:pPr>
      <w:autoSpaceDE w:val="0"/>
      <w:autoSpaceDN w:val="0"/>
      <w:adjustRightInd w:val="0"/>
    </w:pPr>
    <w:rPr>
      <w:rFonts w:ascii="EUAlbertina" w:hAnsi="EUAlbertina" w:cs="EUAlbertina"/>
      <w:color w:val="000000"/>
      <w:sz w:val="24"/>
      <w:szCs w:val="24"/>
    </w:rPr>
  </w:style>
  <w:style w:type="paragraph" w:styleId="FootnoteText">
    <w:name w:val="footnote text"/>
    <w:aliases w:val="Fußnotentext Char,Fußnotentext Char1 Char1,Fußnotentext Char Char Char Char,Fußnotentext Char1 Char Char Char,Fußnotentext Char Char,Fußnotentext Char1 Char Char Char Char,Fußnotentext Char Char Char Char Char Char,Fußnotentext Char1,Fußn"/>
    <w:basedOn w:val="Normal"/>
    <w:link w:val="FootnoteTextChar"/>
    <w:uiPriority w:val="99"/>
    <w:rsid w:val="00CE44D6"/>
    <w:pPr>
      <w:spacing w:after="0" w:line="240" w:lineRule="auto"/>
    </w:pPr>
    <w:rPr>
      <w:rFonts w:ascii="Times New Roman" w:hAnsi="Times New Roman"/>
      <w:sz w:val="20"/>
      <w:szCs w:val="20"/>
      <w:lang w:eastAsia="lv-LV"/>
    </w:rPr>
  </w:style>
  <w:style w:type="character" w:customStyle="1" w:styleId="FootnoteTextChar">
    <w:name w:val="Footnote Text Char"/>
    <w:aliases w:val="Fußnotentext Char Char1,Fußnotentext Char1 Char1 Char,Fußnotentext Char Char Char Char Char,Fußnotentext Char1 Char Char Char Char1,Fußnotentext Char Char Char,Fußnotentext Char1 Char Char Char Char Char,Fußnotentext Char1 Char"/>
    <w:basedOn w:val="DefaultParagraphFont"/>
    <w:link w:val="FootnoteText"/>
    <w:uiPriority w:val="99"/>
    <w:locked/>
    <w:rsid w:val="00CE44D6"/>
    <w:rPr>
      <w:rFonts w:ascii="Times New Roman" w:hAnsi="Times New Roman"/>
    </w:rPr>
  </w:style>
  <w:style w:type="character" w:styleId="FootnoteReference">
    <w:name w:val="footnote reference"/>
    <w:aliases w:val="Footnote Reference Number,SUPERS"/>
    <w:basedOn w:val="DefaultParagraphFont"/>
    <w:uiPriority w:val="99"/>
    <w:rsid w:val="004675E5"/>
    <w:rPr>
      <w:vertAlign w:val="superscript"/>
    </w:rPr>
  </w:style>
  <w:style w:type="character" w:customStyle="1" w:styleId="naisfChar">
    <w:name w:val="naisf Char"/>
    <w:link w:val="naisf"/>
    <w:locked/>
    <w:rsid w:val="006067E8"/>
    <w:rPr>
      <w:rFonts w:ascii="Times New Roman" w:hAnsi="Times New Roman"/>
      <w:sz w:val="24"/>
    </w:rPr>
  </w:style>
  <w:style w:type="paragraph" w:customStyle="1" w:styleId="body">
    <w:name w:val="body"/>
    <w:basedOn w:val="Normal"/>
    <w:uiPriority w:val="99"/>
    <w:rsid w:val="00465BBD"/>
    <w:pPr>
      <w:shd w:val="clear" w:color="auto" w:fill="C9E1DF"/>
      <w:spacing w:before="100" w:beforeAutospacing="1" w:after="100" w:afterAutospacing="1" w:line="240" w:lineRule="auto"/>
    </w:pPr>
    <w:rPr>
      <w:rFonts w:ascii="Arial" w:hAnsi="Arial" w:cs="Arial"/>
      <w:color w:val="333333"/>
      <w:sz w:val="24"/>
      <w:szCs w:val="24"/>
      <w:lang w:eastAsia="lv-LV"/>
    </w:rPr>
  </w:style>
  <w:style w:type="character" w:customStyle="1" w:styleId="spelle">
    <w:name w:val="spelle"/>
    <w:basedOn w:val="DefaultParagraphFont"/>
    <w:rsid w:val="00721B0B"/>
    <w:rPr>
      <w:rFonts w:cs="Times New Roman"/>
    </w:rPr>
  </w:style>
  <w:style w:type="paragraph" w:customStyle="1" w:styleId="tvhtml">
    <w:name w:val="tv_html"/>
    <w:basedOn w:val="Normal"/>
    <w:rsid w:val="00D16AD9"/>
    <w:pPr>
      <w:spacing w:before="100" w:beforeAutospacing="1" w:after="100" w:afterAutospacing="1" w:line="240" w:lineRule="auto"/>
    </w:pPr>
    <w:rPr>
      <w:rFonts w:ascii="Verdana" w:hAnsi="Verdana"/>
      <w:sz w:val="16"/>
      <w:szCs w:val="16"/>
      <w:lang w:eastAsia="lv-LV"/>
    </w:rPr>
  </w:style>
  <w:style w:type="paragraph" w:customStyle="1" w:styleId="tvhtml1">
    <w:name w:val="tv_html1"/>
    <w:basedOn w:val="Normal"/>
    <w:rsid w:val="00122ED0"/>
    <w:pPr>
      <w:spacing w:before="100" w:beforeAutospacing="1" w:after="0" w:line="360" w:lineRule="auto"/>
    </w:pPr>
    <w:rPr>
      <w:rFonts w:ascii="Verdana" w:hAnsi="Verdana"/>
      <w:sz w:val="18"/>
      <w:szCs w:val="18"/>
      <w:lang w:eastAsia="lv-LV"/>
    </w:rPr>
  </w:style>
  <w:style w:type="paragraph" w:styleId="Subtitle">
    <w:name w:val="Subtitle"/>
    <w:basedOn w:val="Normal"/>
    <w:next w:val="Normal"/>
    <w:link w:val="SubtitleChar"/>
    <w:uiPriority w:val="11"/>
    <w:qFormat/>
    <w:rsid w:val="00854ADE"/>
    <w:pPr>
      <w:keepNext/>
      <w:keepLines/>
      <w:widowControl w:val="0"/>
      <w:suppressAutoHyphens/>
      <w:spacing w:before="600" w:after="600" w:line="240" w:lineRule="auto"/>
      <w:ind w:right="4820"/>
    </w:pPr>
    <w:rPr>
      <w:rFonts w:ascii="Times New Roman" w:hAnsi="Times New Roman"/>
      <w:b/>
      <w:sz w:val="26"/>
      <w:szCs w:val="20"/>
      <w:lang w:val="en-AU"/>
    </w:rPr>
  </w:style>
  <w:style w:type="character" w:customStyle="1" w:styleId="SubtitleChar">
    <w:name w:val="Subtitle Char"/>
    <w:basedOn w:val="DefaultParagraphFont"/>
    <w:link w:val="Subtitle"/>
    <w:uiPriority w:val="11"/>
    <w:locked/>
    <w:rsid w:val="00854ADE"/>
    <w:rPr>
      <w:rFonts w:ascii="Times New Roman" w:hAnsi="Times New Roman"/>
      <w:b/>
      <w:sz w:val="26"/>
      <w:lang w:val="en-AU" w:eastAsia="en-US"/>
    </w:rPr>
  </w:style>
  <w:style w:type="paragraph" w:customStyle="1" w:styleId="Style8">
    <w:name w:val="Style8"/>
    <w:basedOn w:val="Normal"/>
    <w:uiPriority w:val="99"/>
    <w:rsid w:val="00007FDB"/>
    <w:pPr>
      <w:widowControl w:val="0"/>
      <w:autoSpaceDE w:val="0"/>
      <w:autoSpaceDN w:val="0"/>
      <w:adjustRightInd w:val="0"/>
      <w:spacing w:after="0" w:line="274" w:lineRule="exact"/>
      <w:ind w:hanging="350"/>
    </w:pPr>
    <w:rPr>
      <w:rFonts w:ascii="Impact" w:hAnsi="Impact"/>
      <w:sz w:val="24"/>
      <w:szCs w:val="24"/>
      <w:lang w:eastAsia="lv-LV"/>
    </w:rPr>
  </w:style>
  <w:style w:type="paragraph" w:customStyle="1" w:styleId="default0">
    <w:name w:val="default"/>
    <w:basedOn w:val="Normal"/>
    <w:rsid w:val="00B7041A"/>
    <w:pPr>
      <w:spacing w:before="100" w:beforeAutospacing="1" w:after="100" w:afterAutospacing="1" w:line="240" w:lineRule="auto"/>
    </w:pPr>
    <w:rPr>
      <w:rFonts w:ascii="Times New Roman" w:hAnsi="Times New Roman"/>
      <w:color w:val="000000"/>
      <w:sz w:val="24"/>
      <w:szCs w:val="24"/>
      <w:lang w:eastAsia="lv-LV"/>
    </w:rPr>
  </w:style>
  <w:style w:type="table" w:styleId="TableGrid">
    <w:name w:val="Table Grid"/>
    <w:basedOn w:val="TableNormal"/>
    <w:uiPriority w:val="59"/>
    <w:rsid w:val="00F61E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F61E70"/>
    <w:rPr>
      <w:sz w:val="22"/>
      <w:szCs w:val="22"/>
      <w:lang w:eastAsia="en-US"/>
    </w:rPr>
  </w:style>
  <w:style w:type="paragraph" w:customStyle="1" w:styleId="tv2071366801">
    <w:name w:val="tv207_136_6801"/>
    <w:basedOn w:val="Normal"/>
    <w:rsid w:val="00F341CB"/>
    <w:pPr>
      <w:spacing w:after="567" w:line="360" w:lineRule="auto"/>
      <w:jc w:val="center"/>
    </w:pPr>
    <w:rPr>
      <w:rFonts w:ascii="Verdana" w:hAnsi="Verdana"/>
      <w:b/>
      <w:bCs/>
      <w:sz w:val="28"/>
      <w:szCs w:val="28"/>
      <w:lang w:eastAsia="lv-LV"/>
    </w:rPr>
  </w:style>
  <w:style w:type="paragraph" w:customStyle="1" w:styleId="contentstory">
    <w:name w:val="contentstory"/>
    <w:basedOn w:val="Normal"/>
    <w:rsid w:val="00157D1D"/>
    <w:pPr>
      <w:spacing w:before="100" w:beforeAutospacing="1" w:after="100" w:afterAutospacing="1" w:line="240" w:lineRule="auto"/>
      <w:jc w:val="both"/>
    </w:pPr>
    <w:rPr>
      <w:rFonts w:ascii="TimesNewRoman" w:hAnsi="TimesNewRoman"/>
      <w:color w:val="003366"/>
      <w:sz w:val="20"/>
      <w:szCs w:val="20"/>
      <w:lang w:eastAsia="lv-LV"/>
    </w:rPr>
  </w:style>
  <w:style w:type="character" w:customStyle="1" w:styleId="apple-converted-space">
    <w:name w:val="apple-converted-space"/>
    <w:basedOn w:val="DefaultParagraphFont"/>
    <w:rsid w:val="009A57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798588">
      <w:bodyDiv w:val="1"/>
      <w:marLeft w:val="0"/>
      <w:marRight w:val="0"/>
      <w:marTop w:val="0"/>
      <w:marBottom w:val="0"/>
      <w:divBdr>
        <w:top w:val="none" w:sz="0" w:space="0" w:color="auto"/>
        <w:left w:val="none" w:sz="0" w:space="0" w:color="auto"/>
        <w:bottom w:val="none" w:sz="0" w:space="0" w:color="auto"/>
        <w:right w:val="none" w:sz="0" w:space="0" w:color="auto"/>
      </w:divBdr>
    </w:div>
    <w:div w:id="577788529">
      <w:bodyDiv w:val="1"/>
      <w:marLeft w:val="0"/>
      <w:marRight w:val="0"/>
      <w:marTop w:val="0"/>
      <w:marBottom w:val="0"/>
      <w:divBdr>
        <w:top w:val="none" w:sz="0" w:space="0" w:color="auto"/>
        <w:left w:val="none" w:sz="0" w:space="0" w:color="auto"/>
        <w:bottom w:val="none" w:sz="0" w:space="0" w:color="auto"/>
        <w:right w:val="none" w:sz="0" w:space="0" w:color="auto"/>
      </w:divBdr>
    </w:div>
    <w:div w:id="1036587514">
      <w:marLeft w:val="0"/>
      <w:marRight w:val="0"/>
      <w:marTop w:val="0"/>
      <w:marBottom w:val="0"/>
      <w:divBdr>
        <w:top w:val="none" w:sz="0" w:space="0" w:color="auto"/>
        <w:left w:val="none" w:sz="0" w:space="0" w:color="auto"/>
        <w:bottom w:val="none" w:sz="0" w:space="0" w:color="auto"/>
        <w:right w:val="none" w:sz="0" w:space="0" w:color="auto"/>
      </w:divBdr>
    </w:div>
    <w:div w:id="1036587515">
      <w:marLeft w:val="0"/>
      <w:marRight w:val="0"/>
      <w:marTop w:val="0"/>
      <w:marBottom w:val="0"/>
      <w:divBdr>
        <w:top w:val="none" w:sz="0" w:space="0" w:color="auto"/>
        <w:left w:val="none" w:sz="0" w:space="0" w:color="auto"/>
        <w:bottom w:val="none" w:sz="0" w:space="0" w:color="auto"/>
        <w:right w:val="none" w:sz="0" w:space="0" w:color="auto"/>
      </w:divBdr>
    </w:div>
    <w:div w:id="1036587516">
      <w:marLeft w:val="0"/>
      <w:marRight w:val="0"/>
      <w:marTop w:val="0"/>
      <w:marBottom w:val="0"/>
      <w:divBdr>
        <w:top w:val="none" w:sz="0" w:space="0" w:color="auto"/>
        <w:left w:val="none" w:sz="0" w:space="0" w:color="auto"/>
        <w:bottom w:val="none" w:sz="0" w:space="0" w:color="auto"/>
        <w:right w:val="none" w:sz="0" w:space="0" w:color="auto"/>
      </w:divBdr>
    </w:div>
    <w:div w:id="1036587518">
      <w:marLeft w:val="0"/>
      <w:marRight w:val="0"/>
      <w:marTop w:val="0"/>
      <w:marBottom w:val="0"/>
      <w:divBdr>
        <w:top w:val="none" w:sz="0" w:space="0" w:color="auto"/>
        <w:left w:val="none" w:sz="0" w:space="0" w:color="auto"/>
        <w:bottom w:val="none" w:sz="0" w:space="0" w:color="auto"/>
        <w:right w:val="none" w:sz="0" w:space="0" w:color="auto"/>
      </w:divBdr>
    </w:div>
    <w:div w:id="1036587519">
      <w:marLeft w:val="0"/>
      <w:marRight w:val="0"/>
      <w:marTop w:val="0"/>
      <w:marBottom w:val="0"/>
      <w:divBdr>
        <w:top w:val="none" w:sz="0" w:space="0" w:color="auto"/>
        <w:left w:val="none" w:sz="0" w:space="0" w:color="auto"/>
        <w:bottom w:val="none" w:sz="0" w:space="0" w:color="auto"/>
        <w:right w:val="none" w:sz="0" w:space="0" w:color="auto"/>
      </w:divBdr>
    </w:div>
    <w:div w:id="1036587520">
      <w:marLeft w:val="0"/>
      <w:marRight w:val="0"/>
      <w:marTop w:val="0"/>
      <w:marBottom w:val="0"/>
      <w:divBdr>
        <w:top w:val="none" w:sz="0" w:space="0" w:color="auto"/>
        <w:left w:val="none" w:sz="0" w:space="0" w:color="auto"/>
        <w:bottom w:val="none" w:sz="0" w:space="0" w:color="auto"/>
        <w:right w:val="none" w:sz="0" w:space="0" w:color="auto"/>
      </w:divBdr>
    </w:div>
    <w:div w:id="1036587521">
      <w:marLeft w:val="0"/>
      <w:marRight w:val="0"/>
      <w:marTop w:val="0"/>
      <w:marBottom w:val="0"/>
      <w:divBdr>
        <w:top w:val="none" w:sz="0" w:space="0" w:color="auto"/>
        <w:left w:val="none" w:sz="0" w:space="0" w:color="auto"/>
        <w:bottom w:val="none" w:sz="0" w:space="0" w:color="auto"/>
        <w:right w:val="none" w:sz="0" w:space="0" w:color="auto"/>
      </w:divBdr>
    </w:div>
    <w:div w:id="1036587522">
      <w:marLeft w:val="0"/>
      <w:marRight w:val="0"/>
      <w:marTop w:val="0"/>
      <w:marBottom w:val="0"/>
      <w:divBdr>
        <w:top w:val="none" w:sz="0" w:space="0" w:color="auto"/>
        <w:left w:val="none" w:sz="0" w:space="0" w:color="auto"/>
        <w:bottom w:val="none" w:sz="0" w:space="0" w:color="auto"/>
        <w:right w:val="none" w:sz="0" w:space="0" w:color="auto"/>
      </w:divBdr>
    </w:div>
    <w:div w:id="1036587523">
      <w:marLeft w:val="0"/>
      <w:marRight w:val="0"/>
      <w:marTop w:val="0"/>
      <w:marBottom w:val="0"/>
      <w:divBdr>
        <w:top w:val="none" w:sz="0" w:space="0" w:color="auto"/>
        <w:left w:val="none" w:sz="0" w:space="0" w:color="auto"/>
        <w:bottom w:val="none" w:sz="0" w:space="0" w:color="auto"/>
        <w:right w:val="none" w:sz="0" w:space="0" w:color="auto"/>
      </w:divBdr>
    </w:div>
    <w:div w:id="1036587524">
      <w:marLeft w:val="0"/>
      <w:marRight w:val="0"/>
      <w:marTop w:val="0"/>
      <w:marBottom w:val="0"/>
      <w:divBdr>
        <w:top w:val="none" w:sz="0" w:space="0" w:color="auto"/>
        <w:left w:val="none" w:sz="0" w:space="0" w:color="auto"/>
        <w:bottom w:val="none" w:sz="0" w:space="0" w:color="auto"/>
        <w:right w:val="none" w:sz="0" w:space="0" w:color="auto"/>
      </w:divBdr>
    </w:div>
    <w:div w:id="1036587525">
      <w:marLeft w:val="0"/>
      <w:marRight w:val="0"/>
      <w:marTop w:val="0"/>
      <w:marBottom w:val="0"/>
      <w:divBdr>
        <w:top w:val="none" w:sz="0" w:space="0" w:color="auto"/>
        <w:left w:val="none" w:sz="0" w:space="0" w:color="auto"/>
        <w:bottom w:val="none" w:sz="0" w:space="0" w:color="auto"/>
        <w:right w:val="none" w:sz="0" w:space="0" w:color="auto"/>
      </w:divBdr>
    </w:div>
    <w:div w:id="1036587526">
      <w:marLeft w:val="0"/>
      <w:marRight w:val="0"/>
      <w:marTop w:val="0"/>
      <w:marBottom w:val="0"/>
      <w:divBdr>
        <w:top w:val="none" w:sz="0" w:space="0" w:color="auto"/>
        <w:left w:val="none" w:sz="0" w:space="0" w:color="auto"/>
        <w:bottom w:val="none" w:sz="0" w:space="0" w:color="auto"/>
        <w:right w:val="none" w:sz="0" w:space="0" w:color="auto"/>
      </w:divBdr>
    </w:div>
    <w:div w:id="1036587527">
      <w:marLeft w:val="0"/>
      <w:marRight w:val="0"/>
      <w:marTop w:val="0"/>
      <w:marBottom w:val="0"/>
      <w:divBdr>
        <w:top w:val="none" w:sz="0" w:space="0" w:color="auto"/>
        <w:left w:val="none" w:sz="0" w:space="0" w:color="auto"/>
        <w:bottom w:val="none" w:sz="0" w:space="0" w:color="auto"/>
        <w:right w:val="none" w:sz="0" w:space="0" w:color="auto"/>
      </w:divBdr>
    </w:div>
    <w:div w:id="1036587529">
      <w:marLeft w:val="0"/>
      <w:marRight w:val="0"/>
      <w:marTop w:val="0"/>
      <w:marBottom w:val="0"/>
      <w:divBdr>
        <w:top w:val="none" w:sz="0" w:space="0" w:color="auto"/>
        <w:left w:val="none" w:sz="0" w:space="0" w:color="auto"/>
        <w:bottom w:val="none" w:sz="0" w:space="0" w:color="auto"/>
        <w:right w:val="none" w:sz="0" w:space="0" w:color="auto"/>
      </w:divBdr>
    </w:div>
    <w:div w:id="1036587530">
      <w:marLeft w:val="0"/>
      <w:marRight w:val="0"/>
      <w:marTop w:val="0"/>
      <w:marBottom w:val="0"/>
      <w:divBdr>
        <w:top w:val="none" w:sz="0" w:space="0" w:color="auto"/>
        <w:left w:val="none" w:sz="0" w:space="0" w:color="auto"/>
        <w:bottom w:val="none" w:sz="0" w:space="0" w:color="auto"/>
        <w:right w:val="none" w:sz="0" w:space="0" w:color="auto"/>
      </w:divBdr>
      <w:divsChild>
        <w:div w:id="1036587540">
          <w:marLeft w:val="0"/>
          <w:marRight w:val="0"/>
          <w:marTop w:val="0"/>
          <w:marBottom w:val="0"/>
          <w:divBdr>
            <w:top w:val="none" w:sz="0" w:space="0" w:color="auto"/>
            <w:left w:val="none" w:sz="0" w:space="0" w:color="auto"/>
            <w:bottom w:val="none" w:sz="0" w:space="0" w:color="auto"/>
            <w:right w:val="none" w:sz="0" w:space="0" w:color="auto"/>
          </w:divBdr>
          <w:divsChild>
            <w:div w:id="10365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587531">
      <w:marLeft w:val="0"/>
      <w:marRight w:val="0"/>
      <w:marTop w:val="0"/>
      <w:marBottom w:val="0"/>
      <w:divBdr>
        <w:top w:val="none" w:sz="0" w:space="0" w:color="auto"/>
        <w:left w:val="none" w:sz="0" w:space="0" w:color="auto"/>
        <w:bottom w:val="none" w:sz="0" w:space="0" w:color="auto"/>
        <w:right w:val="none" w:sz="0" w:space="0" w:color="auto"/>
      </w:divBdr>
    </w:div>
    <w:div w:id="1036587532">
      <w:marLeft w:val="0"/>
      <w:marRight w:val="0"/>
      <w:marTop w:val="0"/>
      <w:marBottom w:val="0"/>
      <w:divBdr>
        <w:top w:val="none" w:sz="0" w:space="0" w:color="auto"/>
        <w:left w:val="none" w:sz="0" w:space="0" w:color="auto"/>
        <w:bottom w:val="none" w:sz="0" w:space="0" w:color="auto"/>
        <w:right w:val="none" w:sz="0" w:space="0" w:color="auto"/>
      </w:divBdr>
    </w:div>
    <w:div w:id="1036587534">
      <w:marLeft w:val="0"/>
      <w:marRight w:val="0"/>
      <w:marTop w:val="0"/>
      <w:marBottom w:val="0"/>
      <w:divBdr>
        <w:top w:val="none" w:sz="0" w:space="0" w:color="auto"/>
        <w:left w:val="none" w:sz="0" w:space="0" w:color="auto"/>
        <w:bottom w:val="none" w:sz="0" w:space="0" w:color="auto"/>
        <w:right w:val="none" w:sz="0" w:space="0" w:color="auto"/>
      </w:divBdr>
    </w:div>
    <w:div w:id="1036587535">
      <w:marLeft w:val="0"/>
      <w:marRight w:val="0"/>
      <w:marTop w:val="0"/>
      <w:marBottom w:val="0"/>
      <w:divBdr>
        <w:top w:val="none" w:sz="0" w:space="0" w:color="auto"/>
        <w:left w:val="none" w:sz="0" w:space="0" w:color="auto"/>
        <w:bottom w:val="none" w:sz="0" w:space="0" w:color="auto"/>
        <w:right w:val="none" w:sz="0" w:space="0" w:color="auto"/>
      </w:divBdr>
    </w:div>
    <w:div w:id="1036587536">
      <w:marLeft w:val="0"/>
      <w:marRight w:val="0"/>
      <w:marTop w:val="0"/>
      <w:marBottom w:val="0"/>
      <w:divBdr>
        <w:top w:val="none" w:sz="0" w:space="0" w:color="auto"/>
        <w:left w:val="none" w:sz="0" w:space="0" w:color="auto"/>
        <w:bottom w:val="none" w:sz="0" w:space="0" w:color="auto"/>
        <w:right w:val="none" w:sz="0" w:space="0" w:color="auto"/>
      </w:divBdr>
    </w:div>
    <w:div w:id="1036587538">
      <w:marLeft w:val="0"/>
      <w:marRight w:val="0"/>
      <w:marTop w:val="0"/>
      <w:marBottom w:val="0"/>
      <w:divBdr>
        <w:top w:val="none" w:sz="0" w:space="0" w:color="auto"/>
        <w:left w:val="none" w:sz="0" w:space="0" w:color="auto"/>
        <w:bottom w:val="none" w:sz="0" w:space="0" w:color="auto"/>
        <w:right w:val="none" w:sz="0" w:space="0" w:color="auto"/>
      </w:divBdr>
    </w:div>
    <w:div w:id="1036587539">
      <w:marLeft w:val="0"/>
      <w:marRight w:val="0"/>
      <w:marTop w:val="0"/>
      <w:marBottom w:val="0"/>
      <w:divBdr>
        <w:top w:val="none" w:sz="0" w:space="0" w:color="auto"/>
        <w:left w:val="none" w:sz="0" w:space="0" w:color="auto"/>
        <w:bottom w:val="none" w:sz="0" w:space="0" w:color="auto"/>
        <w:right w:val="none" w:sz="0" w:space="0" w:color="auto"/>
      </w:divBdr>
    </w:div>
    <w:div w:id="1036587543">
      <w:marLeft w:val="0"/>
      <w:marRight w:val="0"/>
      <w:marTop w:val="0"/>
      <w:marBottom w:val="0"/>
      <w:divBdr>
        <w:top w:val="none" w:sz="0" w:space="0" w:color="auto"/>
        <w:left w:val="none" w:sz="0" w:space="0" w:color="auto"/>
        <w:bottom w:val="none" w:sz="0" w:space="0" w:color="auto"/>
        <w:right w:val="none" w:sz="0" w:space="0" w:color="auto"/>
      </w:divBdr>
    </w:div>
    <w:div w:id="1036587544">
      <w:marLeft w:val="0"/>
      <w:marRight w:val="0"/>
      <w:marTop w:val="0"/>
      <w:marBottom w:val="0"/>
      <w:divBdr>
        <w:top w:val="none" w:sz="0" w:space="0" w:color="auto"/>
        <w:left w:val="none" w:sz="0" w:space="0" w:color="auto"/>
        <w:bottom w:val="none" w:sz="0" w:space="0" w:color="auto"/>
        <w:right w:val="none" w:sz="0" w:space="0" w:color="auto"/>
      </w:divBdr>
    </w:div>
    <w:div w:id="1036587545">
      <w:marLeft w:val="0"/>
      <w:marRight w:val="0"/>
      <w:marTop w:val="0"/>
      <w:marBottom w:val="0"/>
      <w:divBdr>
        <w:top w:val="none" w:sz="0" w:space="0" w:color="auto"/>
        <w:left w:val="none" w:sz="0" w:space="0" w:color="auto"/>
        <w:bottom w:val="none" w:sz="0" w:space="0" w:color="auto"/>
        <w:right w:val="none" w:sz="0" w:space="0" w:color="auto"/>
      </w:divBdr>
    </w:div>
    <w:div w:id="1036587546">
      <w:marLeft w:val="0"/>
      <w:marRight w:val="0"/>
      <w:marTop w:val="0"/>
      <w:marBottom w:val="0"/>
      <w:divBdr>
        <w:top w:val="none" w:sz="0" w:space="0" w:color="auto"/>
        <w:left w:val="none" w:sz="0" w:space="0" w:color="auto"/>
        <w:bottom w:val="none" w:sz="0" w:space="0" w:color="auto"/>
        <w:right w:val="none" w:sz="0" w:space="0" w:color="auto"/>
      </w:divBdr>
    </w:div>
    <w:div w:id="1036587547">
      <w:marLeft w:val="0"/>
      <w:marRight w:val="0"/>
      <w:marTop w:val="0"/>
      <w:marBottom w:val="0"/>
      <w:divBdr>
        <w:top w:val="none" w:sz="0" w:space="0" w:color="auto"/>
        <w:left w:val="none" w:sz="0" w:space="0" w:color="auto"/>
        <w:bottom w:val="none" w:sz="0" w:space="0" w:color="auto"/>
        <w:right w:val="none" w:sz="0" w:space="0" w:color="auto"/>
      </w:divBdr>
    </w:div>
    <w:div w:id="1036587548">
      <w:marLeft w:val="0"/>
      <w:marRight w:val="0"/>
      <w:marTop w:val="0"/>
      <w:marBottom w:val="0"/>
      <w:divBdr>
        <w:top w:val="none" w:sz="0" w:space="0" w:color="auto"/>
        <w:left w:val="none" w:sz="0" w:space="0" w:color="auto"/>
        <w:bottom w:val="none" w:sz="0" w:space="0" w:color="auto"/>
        <w:right w:val="none" w:sz="0" w:space="0" w:color="auto"/>
      </w:divBdr>
    </w:div>
    <w:div w:id="1036587549">
      <w:marLeft w:val="0"/>
      <w:marRight w:val="0"/>
      <w:marTop w:val="0"/>
      <w:marBottom w:val="0"/>
      <w:divBdr>
        <w:top w:val="none" w:sz="0" w:space="0" w:color="auto"/>
        <w:left w:val="none" w:sz="0" w:space="0" w:color="auto"/>
        <w:bottom w:val="none" w:sz="0" w:space="0" w:color="auto"/>
        <w:right w:val="none" w:sz="0" w:space="0" w:color="auto"/>
      </w:divBdr>
    </w:div>
    <w:div w:id="1036587550">
      <w:marLeft w:val="41"/>
      <w:marRight w:val="41"/>
      <w:marTop w:val="82"/>
      <w:marBottom w:val="82"/>
      <w:divBdr>
        <w:top w:val="none" w:sz="0" w:space="0" w:color="auto"/>
        <w:left w:val="none" w:sz="0" w:space="0" w:color="auto"/>
        <w:bottom w:val="none" w:sz="0" w:space="0" w:color="auto"/>
        <w:right w:val="none" w:sz="0" w:space="0" w:color="auto"/>
      </w:divBdr>
      <w:divsChild>
        <w:div w:id="1036587517">
          <w:marLeft w:val="0"/>
          <w:marRight w:val="0"/>
          <w:marTop w:val="240"/>
          <w:marBottom w:val="0"/>
          <w:divBdr>
            <w:top w:val="none" w:sz="0" w:space="0" w:color="auto"/>
            <w:left w:val="none" w:sz="0" w:space="0" w:color="auto"/>
            <w:bottom w:val="none" w:sz="0" w:space="0" w:color="auto"/>
            <w:right w:val="none" w:sz="0" w:space="0" w:color="auto"/>
          </w:divBdr>
        </w:div>
      </w:divsChild>
    </w:div>
    <w:div w:id="1036587551">
      <w:marLeft w:val="0"/>
      <w:marRight w:val="0"/>
      <w:marTop w:val="0"/>
      <w:marBottom w:val="0"/>
      <w:divBdr>
        <w:top w:val="none" w:sz="0" w:space="0" w:color="auto"/>
        <w:left w:val="none" w:sz="0" w:space="0" w:color="auto"/>
        <w:bottom w:val="none" w:sz="0" w:space="0" w:color="auto"/>
        <w:right w:val="none" w:sz="0" w:space="0" w:color="auto"/>
      </w:divBdr>
    </w:div>
    <w:div w:id="1036587552">
      <w:marLeft w:val="0"/>
      <w:marRight w:val="0"/>
      <w:marTop w:val="0"/>
      <w:marBottom w:val="0"/>
      <w:divBdr>
        <w:top w:val="none" w:sz="0" w:space="0" w:color="auto"/>
        <w:left w:val="none" w:sz="0" w:space="0" w:color="auto"/>
        <w:bottom w:val="none" w:sz="0" w:space="0" w:color="auto"/>
        <w:right w:val="none" w:sz="0" w:space="0" w:color="auto"/>
      </w:divBdr>
      <w:divsChild>
        <w:div w:id="1036587557">
          <w:marLeft w:val="0"/>
          <w:marRight w:val="0"/>
          <w:marTop w:val="0"/>
          <w:marBottom w:val="0"/>
          <w:divBdr>
            <w:top w:val="none" w:sz="0" w:space="0" w:color="auto"/>
            <w:left w:val="none" w:sz="0" w:space="0" w:color="auto"/>
            <w:bottom w:val="none" w:sz="0" w:space="0" w:color="auto"/>
            <w:right w:val="none" w:sz="0" w:space="0" w:color="auto"/>
          </w:divBdr>
          <w:divsChild>
            <w:div w:id="103658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587553">
      <w:marLeft w:val="0"/>
      <w:marRight w:val="0"/>
      <w:marTop w:val="0"/>
      <w:marBottom w:val="0"/>
      <w:divBdr>
        <w:top w:val="none" w:sz="0" w:space="0" w:color="auto"/>
        <w:left w:val="none" w:sz="0" w:space="0" w:color="auto"/>
        <w:bottom w:val="none" w:sz="0" w:space="0" w:color="auto"/>
        <w:right w:val="none" w:sz="0" w:space="0" w:color="auto"/>
      </w:divBdr>
      <w:divsChild>
        <w:div w:id="1036587542">
          <w:marLeft w:val="994"/>
          <w:marRight w:val="0"/>
          <w:marTop w:val="0"/>
          <w:marBottom w:val="120"/>
          <w:divBdr>
            <w:top w:val="none" w:sz="0" w:space="0" w:color="auto"/>
            <w:left w:val="none" w:sz="0" w:space="0" w:color="auto"/>
            <w:bottom w:val="none" w:sz="0" w:space="0" w:color="auto"/>
            <w:right w:val="none" w:sz="0" w:space="0" w:color="auto"/>
          </w:divBdr>
        </w:div>
      </w:divsChild>
    </w:div>
    <w:div w:id="1036587555">
      <w:marLeft w:val="0"/>
      <w:marRight w:val="0"/>
      <w:marTop w:val="0"/>
      <w:marBottom w:val="0"/>
      <w:divBdr>
        <w:top w:val="none" w:sz="0" w:space="0" w:color="auto"/>
        <w:left w:val="none" w:sz="0" w:space="0" w:color="auto"/>
        <w:bottom w:val="none" w:sz="0" w:space="0" w:color="auto"/>
        <w:right w:val="none" w:sz="0" w:space="0" w:color="auto"/>
      </w:divBdr>
      <w:divsChild>
        <w:div w:id="1036587513">
          <w:marLeft w:val="0"/>
          <w:marRight w:val="0"/>
          <w:marTop w:val="0"/>
          <w:marBottom w:val="0"/>
          <w:divBdr>
            <w:top w:val="none" w:sz="0" w:space="0" w:color="auto"/>
            <w:left w:val="none" w:sz="0" w:space="0" w:color="auto"/>
            <w:bottom w:val="none" w:sz="0" w:space="0" w:color="auto"/>
            <w:right w:val="none" w:sz="0" w:space="0" w:color="auto"/>
          </w:divBdr>
          <w:divsChild>
            <w:div w:id="10365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587556">
      <w:marLeft w:val="0"/>
      <w:marRight w:val="0"/>
      <w:marTop w:val="0"/>
      <w:marBottom w:val="0"/>
      <w:divBdr>
        <w:top w:val="none" w:sz="0" w:space="0" w:color="auto"/>
        <w:left w:val="none" w:sz="0" w:space="0" w:color="auto"/>
        <w:bottom w:val="none" w:sz="0" w:space="0" w:color="auto"/>
        <w:right w:val="none" w:sz="0" w:space="0" w:color="auto"/>
      </w:divBdr>
    </w:div>
    <w:div w:id="1036587558">
      <w:marLeft w:val="0"/>
      <w:marRight w:val="0"/>
      <w:marTop w:val="0"/>
      <w:marBottom w:val="0"/>
      <w:divBdr>
        <w:top w:val="none" w:sz="0" w:space="0" w:color="auto"/>
        <w:left w:val="none" w:sz="0" w:space="0" w:color="auto"/>
        <w:bottom w:val="none" w:sz="0" w:space="0" w:color="auto"/>
        <w:right w:val="none" w:sz="0" w:space="0" w:color="auto"/>
      </w:divBdr>
      <w:divsChild>
        <w:div w:id="1036587554">
          <w:marLeft w:val="0"/>
          <w:marRight w:val="0"/>
          <w:marTop w:val="0"/>
          <w:marBottom w:val="0"/>
          <w:divBdr>
            <w:top w:val="none" w:sz="0" w:space="0" w:color="auto"/>
            <w:left w:val="none" w:sz="0" w:space="0" w:color="auto"/>
            <w:bottom w:val="none" w:sz="0" w:space="0" w:color="auto"/>
            <w:right w:val="none" w:sz="0" w:space="0" w:color="auto"/>
          </w:divBdr>
          <w:divsChild>
            <w:div w:id="103658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lina.luca-ratfeldere@em.gov.l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dra.Niedrite@e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12</Pages>
  <Words>23467</Words>
  <Characters>13377</Characters>
  <Application>Microsoft Office Word</Application>
  <DocSecurity>0</DocSecurity>
  <Lines>111</Lines>
  <Paragraphs>73</Paragraphs>
  <ScaleCrop>false</ScaleCrop>
  <HeadingPairs>
    <vt:vector size="2" baseType="variant">
      <vt:variant>
        <vt:lpstr>Title</vt:lpstr>
      </vt:variant>
      <vt:variant>
        <vt:i4>1</vt:i4>
      </vt:variant>
    </vt:vector>
  </HeadingPairs>
  <TitlesOfParts>
    <vt:vector size="1" baseType="lpstr">
      <vt:lpstr>Likumprojekta „Grozījumi Elektroenerģijas tirgus likumā” sākotnējās ietekmes novērtējuma ziņojums (anotācija)</vt:lpstr>
    </vt:vector>
  </TitlesOfParts>
  <Company>LR Ekonomikas ministrija</Company>
  <LinksUpToDate>false</LinksUpToDate>
  <CharactersWithSpaces>36771</CharactersWithSpaces>
  <SharedDoc>false</SharedDoc>
  <HLinks>
    <vt:vector size="6" baseType="variant">
      <vt:variant>
        <vt:i4>6750334</vt:i4>
      </vt:variant>
      <vt:variant>
        <vt:i4>0</vt:i4>
      </vt:variant>
      <vt:variant>
        <vt:i4>0</vt:i4>
      </vt:variant>
      <vt:variant>
        <vt:i4>5</vt:i4>
      </vt:variant>
      <vt:variant>
        <vt:lpwstr>http://eur-lex.europa.eu/LexUriServ/LexUriServ.do?uri=COM:2010:0716:FIN:EN:PDF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Elektroenerģijas tirgus likumā” sākotnējās ietekmes novērtējuma ziņojums (anotācija)</dc:title>
  <dc:subject>Anotācija</dc:subject>
  <dc:creator>Elina.Luca-Ratfeldere@em.gov.lv;Indra.Niedrite@em.gov.lv</dc:creator>
  <cp:keywords/>
  <dc:description/>
  <cp:lastModifiedBy>PigensK</cp:lastModifiedBy>
  <cp:revision>9</cp:revision>
  <cp:lastPrinted>2013-03-01T11:39:00Z</cp:lastPrinted>
  <dcterms:created xsi:type="dcterms:W3CDTF">2013-09-16T13:11:00Z</dcterms:created>
  <dcterms:modified xsi:type="dcterms:W3CDTF">2013-09-17T05:49:00Z</dcterms:modified>
</cp:coreProperties>
</file>