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C5" w:rsidRPr="00DE7125" w:rsidRDefault="00976AC5" w:rsidP="008D3A75">
      <w:pPr>
        <w:jc w:val="both"/>
        <w:rPr>
          <w:sz w:val="28"/>
          <w:szCs w:val="28"/>
        </w:rPr>
      </w:pPr>
      <w:bookmarkStart w:id="0" w:name="_GoBack"/>
      <w:bookmarkEnd w:id="0"/>
    </w:p>
    <w:p w:rsidR="00976AC5" w:rsidRPr="00DE7125" w:rsidRDefault="008E2863" w:rsidP="00761CA9">
      <w:pPr>
        <w:jc w:val="right"/>
        <w:rPr>
          <w:i/>
          <w:sz w:val="28"/>
          <w:szCs w:val="28"/>
        </w:rPr>
      </w:pPr>
      <w:r w:rsidRPr="00DE7125">
        <w:rPr>
          <w:i/>
          <w:sz w:val="28"/>
          <w:szCs w:val="28"/>
        </w:rPr>
        <w:t>Likumprojekts</w:t>
      </w:r>
    </w:p>
    <w:p w:rsidR="008E2863" w:rsidRPr="00DE7125" w:rsidRDefault="008E2863" w:rsidP="00761CA9">
      <w:pPr>
        <w:jc w:val="center"/>
        <w:rPr>
          <w:sz w:val="28"/>
          <w:szCs w:val="28"/>
        </w:rPr>
      </w:pPr>
    </w:p>
    <w:p w:rsidR="008E2863" w:rsidRPr="00DE7125" w:rsidRDefault="008E2863" w:rsidP="00761CA9">
      <w:pPr>
        <w:jc w:val="center"/>
        <w:rPr>
          <w:b/>
          <w:sz w:val="28"/>
          <w:szCs w:val="28"/>
        </w:rPr>
      </w:pPr>
      <w:r w:rsidRPr="00DE7125">
        <w:rPr>
          <w:b/>
          <w:sz w:val="28"/>
          <w:szCs w:val="28"/>
        </w:rPr>
        <w:t>Grozījum</w:t>
      </w:r>
      <w:r w:rsidR="00515466">
        <w:rPr>
          <w:b/>
          <w:sz w:val="28"/>
          <w:szCs w:val="28"/>
        </w:rPr>
        <w:t>i</w:t>
      </w:r>
      <w:r w:rsidR="00C9523F">
        <w:rPr>
          <w:b/>
          <w:sz w:val="28"/>
          <w:szCs w:val="28"/>
        </w:rPr>
        <w:t xml:space="preserve"> </w:t>
      </w:r>
      <w:r w:rsidR="004B15D6">
        <w:rPr>
          <w:b/>
          <w:sz w:val="28"/>
          <w:szCs w:val="28"/>
        </w:rPr>
        <w:t>Elektroenerģijas tirgus likumā</w:t>
      </w:r>
    </w:p>
    <w:p w:rsidR="00976AC5" w:rsidRPr="00DE7125" w:rsidRDefault="00976AC5" w:rsidP="008D3A75">
      <w:pPr>
        <w:jc w:val="both"/>
        <w:rPr>
          <w:sz w:val="28"/>
          <w:szCs w:val="28"/>
        </w:rPr>
      </w:pPr>
    </w:p>
    <w:p w:rsidR="004B15D6" w:rsidRDefault="00DE7125" w:rsidP="008D3A75">
      <w:pPr>
        <w:jc w:val="both"/>
        <w:rPr>
          <w:sz w:val="28"/>
          <w:szCs w:val="28"/>
        </w:rPr>
      </w:pPr>
      <w:r w:rsidRPr="00DE7125">
        <w:rPr>
          <w:sz w:val="28"/>
          <w:szCs w:val="28"/>
        </w:rPr>
        <w:t xml:space="preserve">Izdarīt </w:t>
      </w:r>
      <w:r w:rsidR="004B15D6">
        <w:rPr>
          <w:sz w:val="28"/>
          <w:szCs w:val="28"/>
        </w:rPr>
        <w:t>Elektroenerģijas tirgus likumā</w:t>
      </w:r>
      <w:r w:rsidRPr="00DE7125">
        <w:rPr>
          <w:sz w:val="28"/>
          <w:szCs w:val="28"/>
        </w:rPr>
        <w:t xml:space="preserve"> (</w:t>
      </w:r>
      <w:r w:rsidR="004B15D6">
        <w:rPr>
          <w:sz w:val="28"/>
          <w:szCs w:val="28"/>
        </w:rPr>
        <w:t xml:space="preserve">Latvijas Vēstnesis, 2005, </w:t>
      </w:r>
      <w:r w:rsidR="00F37A14">
        <w:rPr>
          <w:sz w:val="28"/>
          <w:szCs w:val="28"/>
        </w:rPr>
        <w:t>Nr.82</w:t>
      </w:r>
      <w:r w:rsidR="004B15D6">
        <w:rPr>
          <w:sz w:val="28"/>
          <w:szCs w:val="28"/>
        </w:rPr>
        <w:t xml:space="preserve">; </w:t>
      </w:r>
      <w:r w:rsidR="004B15D6" w:rsidRPr="004B15D6">
        <w:rPr>
          <w:sz w:val="28"/>
          <w:szCs w:val="28"/>
        </w:rPr>
        <w:t>2008,</w:t>
      </w:r>
      <w:r w:rsidR="004B15D6">
        <w:rPr>
          <w:sz w:val="28"/>
          <w:szCs w:val="28"/>
        </w:rPr>
        <w:t xml:space="preserve"> </w:t>
      </w:r>
      <w:r w:rsidR="00F37A14">
        <w:rPr>
          <w:sz w:val="28"/>
          <w:szCs w:val="28"/>
        </w:rPr>
        <w:t>Nr.</w:t>
      </w:r>
      <w:r w:rsidR="004B15D6" w:rsidRPr="004B15D6">
        <w:rPr>
          <w:sz w:val="28"/>
          <w:szCs w:val="28"/>
        </w:rPr>
        <w:t>64</w:t>
      </w:r>
      <w:r w:rsidR="00F37A14">
        <w:rPr>
          <w:sz w:val="28"/>
          <w:szCs w:val="28"/>
        </w:rPr>
        <w:t>; 2011, Nr.117</w:t>
      </w:r>
      <w:r w:rsidR="004B15D6" w:rsidRPr="004B15D6">
        <w:rPr>
          <w:sz w:val="28"/>
          <w:szCs w:val="28"/>
        </w:rPr>
        <w:t xml:space="preserve">) </w:t>
      </w:r>
      <w:r w:rsidR="00F54627">
        <w:rPr>
          <w:sz w:val="28"/>
          <w:szCs w:val="28"/>
        </w:rPr>
        <w:t>šādu</w:t>
      </w:r>
      <w:r w:rsidR="00515466">
        <w:rPr>
          <w:sz w:val="28"/>
          <w:szCs w:val="28"/>
        </w:rPr>
        <w:t>s</w:t>
      </w:r>
      <w:r w:rsidR="00F54627">
        <w:rPr>
          <w:sz w:val="28"/>
          <w:szCs w:val="28"/>
        </w:rPr>
        <w:t xml:space="preserve"> grozījumu</w:t>
      </w:r>
      <w:r w:rsidR="00515466">
        <w:rPr>
          <w:sz w:val="28"/>
          <w:szCs w:val="28"/>
        </w:rPr>
        <w:t>s</w:t>
      </w:r>
      <w:r w:rsidR="00F54627">
        <w:rPr>
          <w:sz w:val="28"/>
          <w:szCs w:val="28"/>
        </w:rPr>
        <w:t>:</w:t>
      </w:r>
      <w:r w:rsidR="004B15D6">
        <w:rPr>
          <w:sz w:val="28"/>
          <w:szCs w:val="28"/>
        </w:rPr>
        <w:t xml:space="preserve"> </w:t>
      </w:r>
    </w:p>
    <w:p w:rsidR="004B15D6" w:rsidRDefault="004B15D6" w:rsidP="008D3A75">
      <w:pPr>
        <w:jc w:val="both"/>
        <w:rPr>
          <w:sz w:val="28"/>
          <w:szCs w:val="28"/>
        </w:rPr>
      </w:pPr>
    </w:p>
    <w:p w:rsidR="00492FB5" w:rsidRDefault="008D3A75" w:rsidP="008D3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15466">
        <w:rPr>
          <w:b/>
          <w:sz w:val="28"/>
          <w:szCs w:val="28"/>
        </w:rPr>
        <w:t>.</w:t>
      </w:r>
      <w:r w:rsidR="00492FB5">
        <w:rPr>
          <w:b/>
          <w:sz w:val="28"/>
          <w:szCs w:val="28"/>
        </w:rPr>
        <w:t>Papildināts 1.panta otro daļu ar 11</w:t>
      </w:r>
      <w:r w:rsidR="00492FB5" w:rsidRPr="00492FB5">
        <w:rPr>
          <w:b/>
          <w:sz w:val="28"/>
          <w:szCs w:val="28"/>
          <w:vertAlign w:val="superscript"/>
        </w:rPr>
        <w:t>1</w:t>
      </w:r>
      <w:r w:rsidR="00492FB5">
        <w:rPr>
          <w:b/>
          <w:sz w:val="28"/>
          <w:szCs w:val="28"/>
        </w:rPr>
        <w:t>) punktu šādā redakcijā:</w:t>
      </w:r>
    </w:p>
    <w:p w:rsidR="00492FB5" w:rsidRDefault="00492FB5" w:rsidP="008D3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„11</w:t>
      </w:r>
      <w:r w:rsidRPr="00492FB5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)</w:t>
      </w:r>
      <w:r w:rsidRPr="00492FB5">
        <w:t xml:space="preserve"> </w:t>
      </w:r>
      <w:r>
        <w:rPr>
          <w:b/>
          <w:sz w:val="28"/>
          <w:szCs w:val="28"/>
        </w:rPr>
        <w:t>izcelsmes apliecinājums</w:t>
      </w:r>
      <w:r w:rsidRPr="00492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492FB5">
        <w:rPr>
          <w:sz w:val="28"/>
          <w:szCs w:val="28"/>
        </w:rPr>
        <w:t xml:space="preserve">elektroniska formāta dokuments, ko izmanto vienīgi kā pierādījumu </w:t>
      </w:r>
      <w:r w:rsidR="00157459">
        <w:rPr>
          <w:sz w:val="28"/>
          <w:szCs w:val="28"/>
        </w:rPr>
        <w:t>elektroenerģijas lietotājam,</w:t>
      </w:r>
      <w:r w:rsidRPr="00492FB5">
        <w:rPr>
          <w:sz w:val="28"/>
          <w:szCs w:val="28"/>
        </w:rPr>
        <w:t xml:space="preserve"> ka attiecīgā enerģijas daļa vai daudzums ir ražots, izmantojot atjaunojamos energoresursus</w:t>
      </w:r>
      <w:r w:rsidR="00157459">
        <w:rPr>
          <w:sz w:val="28"/>
          <w:szCs w:val="28"/>
        </w:rPr>
        <w:t>;</w:t>
      </w:r>
      <w:r>
        <w:rPr>
          <w:sz w:val="28"/>
          <w:szCs w:val="28"/>
        </w:rPr>
        <w:t>”</w:t>
      </w:r>
    </w:p>
    <w:p w:rsidR="00515466" w:rsidRPr="00352712" w:rsidRDefault="00492FB5" w:rsidP="008D3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D3A75">
        <w:rPr>
          <w:b/>
          <w:sz w:val="28"/>
          <w:szCs w:val="28"/>
        </w:rPr>
        <w:t>I</w:t>
      </w:r>
      <w:r w:rsidR="00515466">
        <w:rPr>
          <w:b/>
          <w:sz w:val="28"/>
          <w:szCs w:val="28"/>
        </w:rPr>
        <w:t xml:space="preserve">zteikt </w:t>
      </w:r>
      <w:r w:rsidR="00515466" w:rsidRPr="00352712">
        <w:rPr>
          <w:b/>
          <w:sz w:val="28"/>
          <w:szCs w:val="28"/>
        </w:rPr>
        <w:t>2</w:t>
      </w:r>
      <w:r w:rsidR="00515466">
        <w:rPr>
          <w:b/>
          <w:sz w:val="28"/>
          <w:szCs w:val="28"/>
        </w:rPr>
        <w:t>8</w:t>
      </w:r>
      <w:r w:rsidR="00515466" w:rsidRPr="00352712">
        <w:rPr>
          <w:b/>
          <w:sz w:val="28"/>
          <w:szCs w:val="28"/>
        </w:rPr>
        <w:t>.</w:t>
      </w:r>
      <w:r w:rsidR="00515466">
        <w:rPr>
          <w:b/>
          <w:sz w:val="28"/>
          <w:szCs w:val="28"/>
        </w:rPr>
        <w:t>p</w:t>
      </w:r>
      <w:r w:rsidR="00515466" w:rsidRPr="00352712">
        <w:rPr>
          <w:b/>
          <w:sz w:val="28"/>
          <w:szCs w:val="28"/>
        </w:rPr>
        <w:t>ant</w:t>
      </w:r>
      <w:r w:rsidR="00515466">
        <w:rPr>
          <w:b/>
          <w:sz w:val="28"/>
          <w:szCs w:val="28"/>
        </w:rPr>
        <w:t xml:space="preserve">a pirmo daļu </w:t>
      </w:r>
      <w:r w:rsidR="00515466" w:rsidRPr="00352712">
        <w:rPr>
          <w:b/>
          <w:sz w:val="28"/>
          <w:szCs w:val="28"/>
        </w:rPr>
        <w:t>šādā redakcijā:</w:t>
      </w:r>
    </w:p>
    <w:p w:rsidR="00515466" w:rsidRDefault="00515466" w:rsidP="008D3A75">
      <w:pPr>
        <w:jc w:val="both"/>
        <w:rPr>
          <w:sz w:val="28"/>
          <w:szCs w:val="28"/>
        </w:rPr>
      </w:pPr>
      <w:r w:rsidRPr="00352712">
        <w:rPr>
          <w:sz w:val="28"/>
          <w:szCs w:val="28"/>
        </w:rPr>
        <w:t>„</w:t>
      </w:r>
      <w:r w:rsidRPr="00E620FC">
        <w:rPr>
          <w:sz w:val="28"/>
          <w:szCs w:val="28"/>
        </w:rPr>
        <w:t>(1) Ražotājs, kas elektroenerģiju ražo koģenerācij</w:t>
      </w:r>
      <w:r>
        <w:rPr>
          <w:sz w:val="28"/>
          <w:szCs w:val="28"/>
        </w:rPr>
        <w:t>as stacijā</w:t>
      </w:r>
      <w:r w:rsidRPr="00E620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ne ilgāk kā uz 20 gadiem </w:t>
      </w:r>
      <w:r w:rsidRPr="00E620FC">
        <w:rPr>
          <w:sz w:val="28"/>
          <w:szCs w:val="28"/>
        </w:rPr>
        <w:t>var iegūt tiesības pārdot saražoto elektroenerģi</w:t>
      </w:r>
      <w:r>
        <w:rPr>
          <w:sz w:val="28"/>
          <w:szCs w:val="28"/>
        </w:rPr>
        <w:t>ju obligātā iepirkuma ietvaros.”</w:t>
      </w:r>
    </w:p>
    <w:p w:rsidR="00515466" w:rsidRPr="00352712" w:rsidRDefault="00492FB5" w:rsidP="008D3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15466">
        <w:rPr>
          <w:b/>
          <w:sz w:val="28"/>
          <w:szCs w:val="28"/>
        </w:rPr>
        <w:t>.</w:t>
      </w:r>
      <w:r w:rsidR="008D3A75">
        <w:rPr>
          <w:b/>
          <w:sz w:val="28"/>
          <w:szCs w:val="28"/>
        </w:rPr>
        <w:t>I</w:t>
      </w:r>
      <w:r w:rsidR="00515466">
        <w:rPr>
          <w:b/>
          <w:sz w:val="28"/>
          <w:szCs w:val="28"/>
        </w:rPr>
        <w:t xml:space="preserve">zteikt </w:t>
      </w:r>
      <w:r w:rsidR="00515466" w:rsidRPr="00352712">
        <w:rPr>
          <w:b/>
          <w:sz w:val="28"/>
          <w:szCs w:val="28"/>
        </w:rPr>
        <w:t>2</w:t>
      </w:r>
      <w:r w:rsidR="00515466">
        <w:rPr>
          <w:b/>
          <w:sz w:val="28"/>
          <w:szCs w:val="28"/>
        </w:rPr>
        <w:t>8</w:t>
      </w:r>
      <w:r w:rsidR="00515466" w:rsidRPr="00352712">
        <w:rPr>
          <w:b/>
          <w:sz w:val="28"/>
          <w:szCs w:val="28"/>
        </w:rPr>
        <w:t>.</w:t>
      </w:r>
      <w:r w:rsidR="00515466" w:rsidRPr="008323EE">
        <w:rPr>
          <w:b/>
          <w:sz w:val="28"/>
          <w:szCs w:val="28"/>
          <w:vertAlign w:val="superscript"/>
        </w:rPr>
        <w:t>1</w:t>
      </w:r>
      <w:r w:rsidR="00515466" w:rsidRPr="00352712">
        <w:rPr>
          <w:b/>
          <w:sz w:val="28"/>
          <w:szCs w:val="28"/>
        </w:rPr>
        <w:t xml:space="preserve"> </w:t>
      </w:r>
      <w:r w:rsidR="00515466">
        <w:rPr>
          <w:b/>
          <w:sz w:val="28"/>
          <w:szCs w:val="28"/>
        </w:rPr>
        <w:t>p</w:t>
      </w:r>
      <w:r w:rsidR="00515466" w:rsidRPr="00352712">
        <w:rPr>
          <w:b/>
          <w:sz w:val="28"/>
          <w:szCs w:val="28"/>
        </w:rPr>
        <w:t>ant</w:t>
      </w:r>
      <w:r w:rsidR="00515466">
        <w:rPr>
          <w:b/>
          <w:sz w:val="28"/>
          <w:szCs w:val="28"/>
        </w:rPr>
        <w:t xml:space="preserve">a pirmo daļu </w:t>
      </w:r>
      <w:r w:rsidR="00515466" w:rsidRPr="00352712">
        <w:rPr>
          <w:b/>
          <w:sz w:val="28"/>
          <w:szCs w:val="28"/>
        </w:rPr>
        <w:t>šādā redakcijā:</w:t>
      </w:r>
    </w:p>
    <w:p w:rsidR="00515466" w:rsidRDefault="00515466" w:rsidP="008D3A75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E620FC">
        <w:rPr>
          <w:sz w:val="28"/>
          <w:szCs w:val="28"/>
        </w:rPr>
        <w:t xml:space="preserve">(1) Ražotājs, kas elektroenerģiju ražo koģenerācijas stacijā, kuras uzstādītā elektriskā jauda ir, sākot ar 20 megavatiem, </w:t>
      </w:r>
      <w:r>
        <w:rPr>
          <w:sz w:val="28"/>
          <w:szCs w:val="28"/>
        </w:rPr>
        <w:t xml:space="preserve">ne ilgāk kā uz 20 gadiem </w:t>
      </w:r>
      <w:r w:rsidRPr="00E620FC">
        <w:rPr>
          <w:sz w:val="28"/>
          <w:szCs w:val="28"/>
        </w:rPr>
        <w:t>var iegūt tiesības saņemt garantētu maksu par koģenerācijas stacijā uzstādīto elektr</w:t>
      </w:r>
      <w:r>
        <w:rPr>
          <w:sz w:val="28"/>
          <w:szCs w:val="28"/>
        </w:rPr>
        <w:t>isko jaudu.”</w:t>
      </w:r>
    </w:p>
    <w:p w:rsidR="00515466" w:rsidRPr="00352712" w:rsidRDefault="00492FB5" w:rsidP="008D3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15466">
        <w:rPr>
          <w:b/>
          <w:sz w:val="28"/>
          <w:szCs w:val="28"/>
        </w:rPr>
        <w:t>.</w:t>
      </w:r>
      <w:r w:rsidR="008D3A75">
        <w:rPr>
          <w:b/>
          <w:sz w:val="28"/>
          <w:szCs w:val="28"/>
        </w:rPr>
        <w:t xml:space="preserve"> I</w:t>
      </w:r>
      <w:r w:rsidR="00515466">
        <w:rPr>
          <w:b/>
          <w:sz w:val="28"/>
          <w:szCs w:val="28"/>
        </w:rPr>
        <w:t xml:space="preserve">zteikt </w:t>
      </w:r>
      <w:r w:rsidR="00515466" w:rsidRPr="00352712">
        <w:rPr>
          <w:b/>
          <w:sz w:val="28"/>
          <w:szCs w:val="28"/>
        </w:rPr>
        <w:t xml:space="preserve">29. </w:t>
      </w:r>
      <w:r w:rsidR="00515466">
        <w:rPr>
          <w:b/>
          <w:sz w:val="28"/>
          <w:szCs w:val="28"/>
        </w:rPr>
        <w:t>p</w:t>
      </w:r>
      <w:r w:rsidR="00515466" w:rsidRPr="00352712">
        <w:rPr>
          <w:b/>
          <w:sz w:val="28"/>
          <w:szCs w:val="28"/>
        </w:rPr>
        <w:t>ant</w:t>
      </w:r>
      <w:r w:rsidR="00515466">
        <w:rPr>
          <w:b/>
          <w:sz w:val="28"/>
          <w:szCs w:val="28"/>
        </w:rPr>
        <w:t xml:space="preserve">a pirmo daļu </w:t>
      </w:r>
      <w:r w:rsidR="00515466" w:rsidRPr="00352712">
        <w:rPr>
          <w:b/>
          <w:sz w:val="28"/>
          <w:szCs w:val="28"/>
        </w:rPr>
        <w:t>šādā redakcijā:</w:t>
      </w:r>
    </w:p>
    <w:p w:rsidR="00515466" w:rsidRPr="00CB35C1" w:rsidRDefault="00515466" w:rsidP="008D3A75">
      <w:pPr>
        <w:jc w:val="both"/>
        <w:rPr>
          <w:sz w:val="28"/>
          <w:szCs w:val="28"/>
        </w:rPr>
      </w:pPr>
      <w:r w:rsidRPr="00352712">
        <w:rPr>
          <w:sz w:val="28"/>
          <w:szCs w:val="28"/>
        </w:rPr>
        <w:t>„</w:t>
      </w:r>
      <w:r w:rsidRPr="00CB35C1">
        <w:rPr>
          <w:sz w:val="28"/>
          <w:szCs w:val="28"/>
        </w:rPr>
        <w:t xml:space="preserve">(1) Ražotājs, kas elektroenerģiju ražo, izmantojot atjaunojamos energoresursus, </w:t>
      </w:r>
      <w:r>
        <w:rPr>
          <w:sz w:val="28"/>
          <w:szCs w:val="28"/>
        </w:rPr>
        <w:t xml:space="preserve">ne ilgāk kā uz 20 gadiem </w:t>
      </w:r>
      <w:r w:rsidRPr="00CB35C1">
        <w:rPr>
          <w:sz w:val="28"/>
          <w:szCs w:val="28"/>
        </w:rPr>
        <w:t>var iegūt tiesības pārdot saražoto elektroenerģiju obligāti iepērkamā</w:t>
      </w:r>
      <w:r>
        <w:rPr>
          <w:sz w:val="28"/>
          <w:szCs w:val="28"/>
        </w:rPr>
        <w:t xml:space="preserve"> elektroenerģijas apjoma veidā.”</w:t>
      </w:r>
    </w:p>
    <w:p w:rsidR="00515466" w:rsidRPr="00352712" w:rsidRDefault="00492FB5" w:rsidP="008D3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15466">
        <w:rPr>
          <w:b/>
          <w:sz w:val="28"/>
          <w:szCs w:val="28"/>
        </w:rPr>
        <w:t>.</w:t>
      </w:r>
      <w:r w:rsidR="00515466" w:rsidRPr="00352712">
        <w:rPr>
          <w:b/>
          <w:sz w:val="28"/>
          <w:szCs w:val="28"/>
        </w:rPr>
        <w:t xml:space="preserve"> </w:t>
      </w:r>
      <w:r w:rsidR="008D3A75">
        <w:rPr>
          <w:b/>
          <w:sz w:val="28"/>
          <w:szCs w:val="28"/>
        </w:rPr>
        <w:t>I</w:t>
      </w:r>
      <w:r w:rsidR="00515466">
        <w:rPr>
          <w:b/>
          <w:sz w:val="28"/>
          <w:szCs w:val="28"/>
        </w:rPr>
        <w:t xml:space="preserve">zteikt </w:t>
      </w:r>
      <w:r w:rsidR="00515466" w:rsidRPr="00352712">
        <w:rPr>
          <w:b/>
          <w:sz w:val="28"/>
          <w:szCs w:val="28"/>
        </w:rPr>
        <w:t>29.</w:t>
      </w:r>
      <w:r w:rsidR="00515466" w:rsidRPr="008323EE">
        <w:rPr>
          <w:b/>
          <w:sz w:val="28"/>
          <w:szCs w:val="28"/>
          <w:vertAlign w:val="superscript"/>
        </w:rPr>
        <w:t>1</w:t>
      </w:r>
      <w:r w:rsidR="00515466" w:rsidRPr="00352712">
        <w:rPr>
          <w:b/>
          <w:sz w:val="28"/>
          <w:szCs w:val="28"/>
        </w:rPr>
        <w:t xml:space="preserve"> </w:t>
      </w:r>
      <w:r w:rsidR="00515466">
        <w:rPr>
          <w:b/>
          <w:sz w:val="28"/>
          <w:szCs w:val="28"/>
        </w:rPr>
        <w:t>p</w:t>
      </w:r>
      <w:r w:rsidR="00515466" w:rsidRPr="00352712">
        <w:rPr>
          <w:b/>
          <w:sz w:val="28"/>
          <w:szCs w:val="28"/>
        </w:rPr>
        <w:t>ant</w:t>
      </w:r>
      <w:r w:rsidR="00515466">
        <w:rPr>
          <w:b/>
          <w:sz w:val="28"/>
          <w:szCs w:val="28"/>
        </w:rPr>
        <w:t xml:space="preserve">a pirmo daļu </w:t>
      </w:r>
      <w:r w:rsidR="00515466" w:rsidRPr="00352712">
        <w:rPr>
          <w:b/>
          <w:sz w:val="28"/>
          <w:szCs w:val="28"/>
        </w:rPr>
        <w:t>šādā redakcijā:</w:t>
      </w:r>
    </w:p>
    <w:p w:rsidR="00515466" w:rsidRDefault="00515466" w:rsidP="008D3A75">
      <w:pPr>
        <w:jc w:val="both"/>
        <w:rPr>
          <w:sz w:val="28"/>
          <w:szCs w:val="28"/>
        </w:rPr>
      </w:pPr>
      <w:r w:rsidRPr="00352712">
        <w:rPr>
          <w:sz w:val="28"/>
          <w:szCs w:val="28"/>
        </w:rPr>
        <w:t>„</w:t>
      </w:r>
      <w:r w:rsidRPr="00E620FC">
        <w:rPr>
          <w:sz w:val="28"/>
          <w:szCs w:val="28"/>
        </w:rPr>
        <w:t xml:space="preserve">(1) Ražotājs, kas elektroenerģiju ražo elektrostacijās ar uzstādīto elektrisko jaudu virs viena megavata, izmantojot biomasu vai biogāzi, </w:t>
      </w:r>
      <w:r>
        <w:rPr>
          <w:sz w:val="28"/>
          <w:szCs w:val="28"/>
        </w:rPr>
        <w:t xml:space="preserve">ne ilgāk kā uz 20 gadiem </w:t>
      </w:r>
      <w:r w:rsidRPr="00E620FC">
        <w:rPr>
          <w:sz w:val="28"/>
          <w:szCs w:val="28"/>
        </w:rPr>
        <w:t>var iegūt tiesības saņemt garantētu maksu par elektrostac</w:t>
      </w:r>
      <w:r>
        <w:rPr>
          <w:sz w:val="28"/>
          <w:szCs w:val="28"/>
        </w:rPr>
        <w:t>ijā uzstādīto elektrisko jaudu.„</w:t>
      </w:r>
    </w:p>
    <w:p w:rsidR="00515466" w:rsidRDefault="00492FB5" w:rsidP="008D3A75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15466" w:rsidRPr="00A8052E">
        <w:rPr>
          <w:b/>
          <w:sz w:val="28"/>
          <w:szCs w:val="28"/>
        </w:rPr>
        <w:t xml:space="preserve">. </w:t>
      </w:r>
      <w:r w:rsidR="008D3A75">
        <w:rPr>
          <w:b/>
          <w:sz w:val="28"/>
          <w:szCs w:val="28"/>
        </w:rPr>
        <w:t>A</w:t>
      </w:r>
      <w:r w:rsidR="00515466" w:rsidRPr="00A8052E">
        <w:rPr>
          <w:b/>
          <w:sz w:val="28"/>
          <w:szCs w:val="28"/>
        </w:rPr>
        <w:t xml:space="preserve">izstāt visā </w:t>
      </w:r>
      <w:r w:rsidR="00515466">
        <w:rPr>
          <w:b/>
          <w:sz w:val="28"/>
          <w:szCs w:val="28"/>
        </w:rPr>
        <w:t>likumā</w:t>
      </w:r>
      <w:r w:rsidR="00515466" w:rsidRPr="00A8052E">
        <w:rPr>
          <w:b/>
          <w:sz w:val="28"/>
          <w:szCs w:val="28"/>
        </w:rPr>
        <w:t xml:space="preserve"> vārd</w:t>
      </w:r>
      <w:r w:rsidR="00515466">
        <w:rPr>
          <w:b/>
          <w:sz w:val="28"/>
          <w:szCs w:val="28"/>
        </w:rPr>
        <w:t>kopu</w:t>
      </w:r>
      <w:r w:rsidR="00515466" w:rsidRPr="00A8052E">
        <w:rPr>
          <w:b/>
          <w:sz w:val="28"/>
          <w:szCs w:val="28"/>
        </w:rPr>
        <w:t xml:space="preserve"> </w:t>
      </w:r>
      <w:r w:rsidR="00515466">
        <w:rPr>
          <w:b/>
          <w:sz w:val="28"/>
          <w:szCs w:val="28"/>
        </w:rPr>
        <w:t>„koģenerācijas elektrostacija</w:t>
      </w:r>
      <w:r w:rsidR="00515466" w:rsidRPr="00A8052E">
        <w:rPr>
          <w:b/>
          <w:sz w:val="28"/>
          <w:szCs w:val="28"/>
        </w:rPr>
        <w:t>" (attiecīgā locījumā) ar vārd</w:t>
      </w:r>
      <w:r w:rsidR="00515466">
        <w:rPr>
          <w:b/>
          <w:sz w:val="28"/>
          <w:szCs w:val="28"/>
        </w:rPr>
        <w:t>kopu</w:t>
      </w:r>
      <w:r w:rsidR="00515466" w:rsidRPr="00A8052E">
        <w:rPr>
          <w:b/>
          <w:sz w:val="28"/>
          <w:szCs w:val="28"/>
        </w:rPr>
        <w:t xml:space="preserve"> "</w:t>
      </w:r>
      <w:r w:rsidR="00515466">
        <w:rPr>
          <w:b/>
          <w:sz w:val="28"/>
          <w:szCs w:val="28"/>
        </w:rPr>
        <w:t>koģenerācijas stacija</w:t>
      </w:r>
      <w:r w:rsidR="00515466" w:rsidRPr="00A8052E">
        <w:rPr>
          <w:b/>
          <w:sz w:val="28"/>
          <w:szCs w:val="28"/>
        </w:rPr>
        <w:t>" (attiecīgā locījumā).</w:t>
      </w:r>
    </w:p>
    <w:p w:rsidR="008D3A75" w:rsidRPr="00B166D0" w:rsidRDefault="00492FB5" w:rsidP="008D3A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D3A75">
        <w:rPr>
          <w:b/>
          <w:sz w:val="28"/>
          <w:szCs w:val="28"/>
        </w:rPr>
        <w:t>.P</w:t>
      </w:r>
      <w:r w:rsidR="008D3A75" w:rsidRPr="00FB1AEF">
        <w:rPr>
          <w:b/>
          <w:sz w:val="28"/>
          <w:szCs w:val="28"/>
        </w:rPr>
        <w:t>apildināt likuma pārejas noteikumus ar 29.,</w:t>
      </w:r>
      <w:r w:rsidR="008D3A75">
        <w:rPr>
          <w:b/>
          <w:sz w:val="28"/>
          <w:szCs w:val="28"/>
        </w:rPr>
        <w:t xml:space="preserve"> </w:t>
      </w:r>
      <w:r w:rsidR="008D3A75" w:rsidRPr="00FB1AEF">
        <w:rPr>
          <w:b/>
          <w:sz w:val="28"/>
          <w:szCs w:val="28"/>
        </w:rPr>
        <w:t>30., 31.,</w:t>
      </w:r>
      <w:r w:rsidR="008D3A75">
        <w:rPr>
          <w:b/>
          <w:sz w:val="28"/>
          <w:szCs w:val="28"/>
        </w:rPr>
        <w:t xml:space="preserve"> 32., </w:t>
      </w:r>
      <w:r w:rsidR="008D3A75" w:rsidRPr="00FB1AEF">
        <w:rPr>
          <w:b/>
          <w:sz w:val="28"/>
          <w:szCs w:val="28"/>
        </w:rPr>
        <w:t>33., 34. un 35.punktu šādā redakcijā:</w:t>
      </w:r>
    </w:p>
    <w:p w:rsidR="008D3A75" w:rsidRDefault="008D3A75" w:rsidP="008D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„29.Elektroenerģijas ražotājiem šā likuma 28.panta trešajā daļā un 29.panta ceturtajā daļā noteiktajā kārtībā iegūtās tiesības attiecībā uz </w:t>
      </w:r>
      <w:r w:rsidRPr="00D36828">
        <w:rPr>
          <w:sz w:val="28"/>
          <w:szCs w:val="28"/>
        </w:rPr>
        <w:t>koģenerācijas stacij</w:t>
      </w:r>
      <w:r>
        <w:rPr>
          <w:sz w:val="28"/>
          <w:szCs w:val="28"/>
        </w:rPr>
        <w:t>u</w:t>
      </w:r>
      <w:r w:rsidRPr="00D36828">
        <w:rPr>
          <w:sz w:val="28"/>
          <w:szCs w:val="28"/>
        </w:rPr>
        <w:t xml:space="preserve"> vai elektrostacij</w:t>
      </w:r>
      <w:r>
        <w:rPr>
          <w:sz w:val="28"/>
          <w:szCs w:val="28"/>
        </w:rPr>
        <w:t xml:space="preserve">u, kurā elektroenerģijas ražošanai izmanto atjaunojamos energoresursus, ir spēkā ne ilgāk kā 20 gadus no dienas, kad koģenerācijas stacijā vai elektrostacijā ražotā </w:t>
      </w:r>
      <w:r w:rsidRPr="004E7B22">
        <w:rPr>
          <w:sz w:val="28"/>
          <w:szCs w:val="28"/>
        </w:rPr>
        <w:t xml:space="preserve">elektroenerģija pirmo reizi pārdota </w:t>
      </w:r>
      <w:r w:rsidRPr="008D376D">
        <w:rPr>
          <w:sz w:val="28"/>
          <w:szCs w:val="28"/>
        </w:rPr>
        <w:t xml:space="preserve">publiskajam tirgotājam </w:t>
      </w:r>
      <w:r>
        <w:rPr>
          <w:sz w:val="28"/>
          <w:szCs w:val="28"/>
        </w:rPr>
        <w:t>obligātā iepirkuma ietvaros.”</w:t>
      </w:r>
      <w:r w:rsidRPr="00D76BC6">
        <w:rPr>
          <w:sz w:val="28"/>
          <w:szCs w:val="28"/>
        </w:rPr>
        <w:t xml:space="preserve"> </w:t>
      </w:r>
    </w:p>
    <w:p w:rsidR="008D3A75" w:rsidRDefault="008D3A75" w:rsidP="008D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„30. </w:t>
      </w:r>
      <w:r w:rsidRPr="00305800">
        <w:rPr>
          <w:sz w:val="28"/>
          <w:szCs w:val="28"/>
        </w:rPr>
        <w:t xml:space="preserve">Elektroenerģijas ražotājiem šā </w:t>
      </w:r>
      <w:r w:rsidRPr="001F0963">
        <w:rPr>
          <w:sz w:val="28"/>
          <w:szCs w:val="28"/>
        </w:rPr>
        <w:t xml:space="preserve">likuma 30.panta pirmajā </w:t>
      </w:r>
      <w:proofErr w:type="spellStart"/>
      <w:r w:rsidRPr="001F0963">
        <w:rPr>
          <w:sz w:val="28"/>
          <w:szCs w:val="28"/>
        </w:rPr>
        <w:t>prim</w:t>
      </w:r>
      <w:proofErr w:type="spellEnd"/>
      <w:r w:rsidRPr="001F0963">
        <w:rPr>
          <w:sz w:val="28"/>
          <w:szCs w:val="28"/>
        </w:rPr>
        <w:t xml:space="preserve"> daļā</w:t>
      </w:r>
      <w:r w:rsidRPr="00305800">
        <w:rPr>
          <w:sz w:val="28"/>
          <w:szCs w:val="28"/>
        </w:rPr>
        <w:t xml:space="preserve"> noteiktajā kārtībā iegūtās tiesības attiecībā uz elektrostaciju</w:t>
      </w:r>
      <w:r>
        <w:rPr>
          <w:sz w:val="28"/>
          <w:szCs w:val="28"/>
        </w:rPr>
        <w:t xml:space="preserve"> ir spēkā līdz dienai, </w:t>
      </w:r>
      <w:r w:rsidRPr="001F0963">
        <w:rPr>
          <w:sz w:val="28"/>
          <w:szCs w:val="28"/>
        </w:rPr>
        <w:t xml:space="preserve">kad pagājuši 20 gadi no </w:t>
      </w:r>
      <w:r>
        <w:rPr>
          <w:sz w:val="28"/>
          <w:szCs w:val="28"/>
        </w:rPr>
        <w:t xml:space="preserve">elektrostacijā ražotās </w:t>
      </w:r>
      <w:r w:rsidRPr="001F0963">
        <w:rPr>
          <w:sz w:val="28"/>
          <w:szCs w:val="28"/>
        </w:rPr>
        <w:t xml:space="preserve">elektroenerģijas pārpalikuma </w:t>
      </w:r>
      <w:r w:rsidRPr="001F0963">
        <w:rPr>
          <w:sz w:val="28"/>
          <w:szCs w:val="28"/>
        </w:rPr>
        <w:lastRenderedPageBreak/>
        <w:t>iepirkumam īpašā kārtībā noteiktās elektroenerģijas iepirkuma cenas pirmās piemērošanas reizes.”</w:t>
      </w:r>
    </w:p>
    <w:p w:rsidR="008D3A75" w:rsidRDefault="008D3A75" w:rsidP="008D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„31. Elektroenerģijas ražotājiem šā likuma </w:t>
      </w:r>
      <w:r w:rsidRPr="009704B4">
        <w:rPr>
          <w:sz w:val="28"/>
          <w:szCs w:val="28"/>
        </w:rPr>
        <w:t>28.</w:t>
      </w:r>
      <w:r w:rsidRPr="009704B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panta otrajā daļā un </w:t>
      </w:r>
      <w:r w:rsidRPr="009704B4">
        <w:rPr>
          <w:sz w:val="28"/>
          <w:szCs w:val="28"/>
        </w:rPr>
        <w:t>29.</w:t>
      </w:r>
      <w:r w:rsidRPr="009704B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panta otrajā daļā</w:t>
      </w:r>
      <w:r w:rsidRPr="00970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noteiktajā kārtībā iegūtās tiesības attiecībā uz </w:t>
      </w:r>
      <w:r w:rsidRPr="00D36828">
        <w:rPr>
          <w:sz w:val="28"/>
          <w:szCs w:val="28"/>
        </w:rPr>
        <w:t>koģenerācijas stacij</w:t>
      </w:r>
      <w:r>
        <w:rPr>
          <w:sz w:val="28"/>
          <w:szCs w:val="28"/>
        </w:rPr>
        <w:t>u</w:t>
      </w:r>
      <w:r w:rsidRPr="00D36828">
        <w:rPr>
          <w:sz w:val="28"/>
          <w:szCs w:val="28"/>
        </w:rPr>
        <w:t xml:space="preserve"> vai elektrostacij</w:t>
      </w:r>
      <w:r>
        <w:rPr>
          <w:sz w:val="28"/>
          <w:szCs w:val="28"/>
        </w:rPr>
        <w:t xml:space="preserve">u, kurā elektroenerģijas ražošanai izmanto biomasu un biogāzi, ir spēkā ne ilgāk kā 20 gadus no dienas, kad pirmo reizi saņemta garantētā maksa par koģenerācijas stacijā vai </w:t>
      </w:r>
      <w:r w:rsidRPr="007F73E1">
        <w:rPr>
          <w:sz w:val="28"/>
          <w:szCs w:val="28"/>
        </w:rPr>
        <w:t>elektrostacijā uzstādīto elektrisko jaudu</w:t>
      </w:r>
      <w:r>
        <w:rPr>
          <w:sz w:val="28"/>
          <w:szCs w:val="28"/>
        </w:rPr>
        <w:t>.”</w:t>
      </w:r>
    </w:p>
    <w:p w:rsidR="008D3A75" w:rsidRPr="008D376D" w:rsidRDefault="008D3A75" w:rsidP="008D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„32.</w:t>
      </w:r>
      <w:r w:rsidRPr="008D376D">
        <w:t xml:space="preserve"> </w:t>
      </w:r>
      <w:r w:rsidRPr="008D376D">
        <w:rPr>
          <w:sz w:val="28"/>
          <w:szCs w:val="28"/>
        </w:rPr>
        <w:t xml:space="preserve">Šā likuma </w:t>
      </w:r>
      <w:r>
        <w:rPr>
          <w:sz w:val="28"/>
          <w:szCs w:val="28"/>
        </w:rPr>
        <w:t>28</w:t>
      </w:r>
      <w:r w:rsidRPr="008D376D">
        <w:rPr>
          <w:sz w:val="28"/>
          <w:szCs w:val="28"/>
        </w:rPr>
        <w:t xml:space="preserve">.panta </w:t>
      </w:r>
      <w:r>
        <w:rPr>
          <w:sz w:val="28"/>
          <w:szCs w:val="28"/>
        </w:rPr>
        <w:t>ceturtajā</w:t>
      </w:r>
      <w:r w:rsidRPr="008D376D">
        <w:rPr>
          <w:sz w:val="28"/>
          <w:szCs w:val="28"/>
        </w:rPr>
        <w:t xml:space="preserve"> daļā minētie ražotāji 2014.gada 1.janvārī zaudē tiesības pārdot elektroenerģiju publiskajam tirgotājam atbilstoši tiem nosacījumiem par darbības režīmu, iepirkuma termiņiem un cenu, kādi uz tiem attiecās šā likuma spēkā stāšanās brīdī.”</w:t>
      </w:r>
    </w:p>
    <w:p w:rsidR="008D3A75" w:rsidRDefault="008D3A75" w:rsidP="008D3A75">
      <w:pPr>
        <w:jc w:val="both"/>
        <w:rPr>
          <w:sz w:val="28"/>
          <w:szCs w:val="28"/>
        </w:rPr>
      </w:pPr>
      <w:r w:rsidRPr="008D376D">
        <w:rPr>
          <w:sz w:val="28"/>
          <w:szCs w:val="28"/>
        </w:rPr>
        <w:t>„3</w:t>
      </w:r>
      <w:r>
        <w:rPr>
          <w:sz w:val="28"/>
          <w:szCs w:val="28"/>
        </w:rPr>
        <w:t>3</w:t>
      </w:r>
      <w:r w:rsidRPr="008D376D">
        <w:rPr>
          <w:sz w:val="28"/>
          <w:szCs w:val="28"/>
        </w:rPr>
        <w:t xml:space="preserve">. Šā likuma </w:t>
      </w:r>
      <w:r>
        <w:rPr>
          <w:sz w:val="28"/>
          <w:szCs w:val="28"/>
        </w:rPr>
        <w:t>28</w:t>
      </w:r>
      <w:r w:rsidRPr="008D376D">
        <w:rPr>
          <w:sz w:val="28"/>
          <w:szCs w:val="28"/>
        </w:rPr>
        <w:t xml:space="preserve">.panta </w:t>
      </w:r>
      <w:r>
        <w:rPr>
          <w:sz w:val="28"/>
          <w:szCs w:val="28"/>
        </w:rPr>
        <w:t>ceturtā</w:t>
      </w:r>
      <w:r w:rsidRPr="008D376D">
        <w:rPr>
          <w:sz w:val="28"/>
          <w:szCs w:val="28"/>
        </w:rPr>
        <w:t xml:space="preserve"> daļa zaudē spēku 2014.gada 1.janvārī.”</w:t>
      </w:r>
    </w:p>
    <w:p w:rsidR="008D3A75" w:rsidRDefault="008D3A75" w:rsidP="008D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„34. </w:t>
      </w:r>
      <w:r w:rsidRPr="006107A8">
        <w:rPr>
          <w:sz w:val="28"/>
          <w:szCs w:val="28"/>
        </w:rPr>
        <w:t>Šā likuma 30.panta pirmajā daļā minētie ražotāji 201</w:t>
      </w:r>
      <w:r>
        <w:rPr>
          <w:sz w:val="28"/>
          <w:szCs w:val="28"/>
        </w:rPr>
        <w:t>4</w:t>
      </w:r>
      <w:r w:rsidRPr="006107A8">
        <w:rPr>
          <w:sz w:val="28"/>
          <w:szCs w:val="28"/>
        </w:rPr>
        <w:t>.gada 1.</w:t>
      </w:r>
      <w:r>
        <w:rPr>
          <w:sz w:val="28"/>
          <w:szCs w:val="28"/>
        </w:rPr>
        <w:t>janvārī</w:t>
      </w:r>
      <w:r w:rsidRPr="006107A8">
        <w:rPr>
          <w:sz w:val="28"/>
          <w:szCs w:val="28"/>
        </w:rPr>
        <w:t xml:space="preserve"> zaudē tiesības pārdot elektroenerģiju publiskajam tirgotājam atbilstoši tiem nosacījumiem par darbības režīmu, iepirkuma termiņiem un cenu, kādi uz tiem attiecās šā likuma spēkā stāšanās brīdī.</w:t>
      </w:r>
      <w:r>
        <w:rPr>
          <w:sz w:val="28"/>
          <w:szCs w:val="28"/>
        </w:rPr>
        <w:t>”</w:t>
      </w:r>
    </w:p>
    <w:p w:rsidR="008D3A75" w:rsidRDefault="008D3A75" w:rsidP="008D3A75">
      <w:pPr>
        <w:jc w:val="both"/>
        <w:rPr>
          <w:sz w:val="28"/>
          <w:szCs w:val="28"/>
        </w:rPr>
      </w:pPr>
      <w:r w:rsidRPr="00893427">
        <w:rPr>
          <w:sz w:val="28"/>
          <w:szCs w:val="28"/>
        </w:rPr>
        <w:t>„</w:t>
      </w:r>
      <w:r>
        <w:rPr>
          <w:sz w:val="28"/>
          <w:szCs w:val="28"/>
        </w:rPr>
        <w:t xml:space="preserve">35. </w:t>
      </w:r>
      <w:r w:rsidRPr="00893427">
        <w:rPr>
          <w:sz w:val="28"/>
          <w:szCs w:val="28"/>
        </w:rPr>
        <w:t xml:space="preserve">Šā likuma </w:t>
      </w:r>
      <w:r>
        <w:rPr>
          <w:sz w:val="28"/>
          <w:szCs w:val="28"/>
        </w:rPr>
        <w:t>30</w:t>
      </w:r>
      <w:r w:rsidRPr="00893427">
        <w:rPr>
          <w:sz w:val="28"/>
          <w:szCs w:val="28"/>
        </w:rPr>
        <w:t>.pant</w:t>
      </w:r>
      <w:r>
        <w:rPr>
          <w:sz w:val="28"/>
          <w:szCs w:val="28"/>
        </w:rPr>
        <w:t>a pirmā daļa</w:t>
      </w:r>
      <w:r w:rsidRPr="00893427">
        <w:rPr>
          <w:sz w:val="28"/>
          <w:szCs w:val="28"/>
        </w:rPr>
        <w:t xml:space="preserve"> zaudē spēku 201</w:t>
      </w:r>
      <w:r>
        <w:rPr>
          <w:sz w:val="28"/>
          <w:szCs w:val="28"/>
        </w:rPr>
        <w:t>4</w:t>
      </w:r>
      <w:r w:rsidRPr="00893427">
        <w:rPr>
          <w:sz w:val="28"/>
          <w:szCs w:val="28"/>
        </w:rPr>
        <w:t>.gada 1.</w:t>
      </w:r>
      <w:r>
        <w:rPr>
          <w:sz w:val="28"/>
          <w:szCs w:val="28"/>
        </w:rPr>
        <w:t>janvārī</w:t>
      </w:r>
      <w:r w:rsidRPr="00893427">
        <w:rPr>
          <w:sz w:val="28"/>
          <w:szCs w:val="28"/>
        </w:rPr>
        <w:t>.”</w:t>
      </w:r>
    </w:p>
    <w:p w:rsidR="008D3A75" w:rsidRPr="00A8052E" w:rsidRDefault="008D3A75" w:rsidP="008D3A75">
      <w:pPr>
        <w:jc w:val="both"/>
        <w:rPr>
          <w:b/>
          <w:sz w:val="28"/>
          <w:szCs w:val="28"/>
        </w:rPr>
      </w:pPr>
    </w:p>
    <w:p w:rsidR="004B15D6" w:rsidRPr="004B15D6" w:rsidRDefault="00515466" w:rsidP="008D3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169A" w:rsidRPr="00DE7125" w:rsidRDefault="0006169A" w:rsidP="008D3A75">
      <w:pPr>
        <w:jc w:val="both"/>
        <w:rPr>
          <w:sz w:val="28"/>
          <w:szCs w:val="28"/>
        </w:rPr>
      </w:pPr>
    </w:p>
    <w:p w:rsidR="00BE0C27" w:rsidRDefault="00BE0C27" w:rsidP="008D3A75">
      <w:pPr>
        <w:jc w:val="both"/>
        <w:rPr>
          <w:sz w:val="28"/>
          <w:szCs w:val="28"/>
        </w:rPr>
      </w:pPr>
      <w:r w:rsidRPr="00DE7125">
        <w:rPr>
          <w:sz w:val="28"/>
          <w:szCs w:val="28"/>
        </w:rPr>
        <w:t>Iesniedzējs:</w:t>
      </w:r>
      <w:r w:rsidR="008D3A75">
        <w:rPr>
          <w:sz w:val="28"/>
          <w:szCs w:val="28"/>
        </w:rPr>
        <w:t xml:space="preserve"> </w:t>
      </w:r>
      <w:r w:rsidRPr="00DE7125">
        <w:rPr>
          <w:sz w:val="28"/>
          <w:szCs w:val="28"/>
        </w:rPr>
        <w:t>Ekonomikas ministr</w:t>
      </w:r>
      <w:r w:rsidR="00DE7125">
        <w:rPr>
          <w:sz w:val="28"/>
          <w:szCs w:val="28"/>
        </w:rPr>
        <w:t>s</w:t>
      </w:r>
      <w:r w:rsidR="00DE7125">
        <w:rPr>
          <w:sz w:val="28"/>
          <w:szCs w:val="28"/>
        </w:rPr>
        <w:tab/>
      </w:r>
      <w:r w:rsidR="00DE7125">
        <w:rPr>
          <w:sz w:val="28"/>
          <w:szCs w:val="28"/>
        </w:rPr>
        <w:tab/>
      </w:r>
      <w:r w:rsidR="00DE7125">
        <w:rPr>
          <w:sz w:val="28"/>
          <w:szCs w:val="28"/>
        </w:rPr>
        <w:tab/>
      </w:r>
      <w:r w:rsidR="00DE7125">
        <w:rPr>
          <w:sz w:val="28"/>
          <w:szCs w:val="28"/>
        </w:rPr>
        <w:tab/>
      </w:r>
      <w:r w:rsidR="00DE7125">
        <w:rPr>
          <w:sz w:val="28"/>
          <w:szCs w:val="28"/>
        </w:rPr>
        <w:tab/>
      </w:r>
      <w:r w:rsidR="00227A90">
        <w:rPr>
          <w:sz w:val="28"/>
          <w:szCs w:val="28"/>
        </w:rPr>
        <w:t>D.Pavļuts</w:t>
      </w:r>
    </w:p>
    <w:p w:rsidR="008D3A75" w:rsidRPr="00DE7125" w:rsidRDefault="008D3A75" w:rsidP="008D3A75">
      <w:pPr>
        <w:jc w:val="both"/>
        <w:rPr>
          <w:sz w:val="28"/>
          <w:szCs w:val="28"/>
        </w:rPr>
      </w:pPr>
    </w:p>
    <w:p w:rsidR="00BE0C27" w:rsidRPr="00DE7125" w:rsidRDefault="00BE0C27" w:rsidP="008D3A75">
      <w:pPr>
        <w:jc w:val="both"/>
        <w:rPr>
          <w:sz w:val="28"/>
          <w:szCs w:val="28"/>
        </w:rPr>
      </w:pPr>
    </w:p>
    <w:p w:rsidR="00BE0C27" w:rsidRPr="00DE7125" w:rsidRDefault="00BE0C27" w:rsidP="008D3A75">
      <w:pPr>
        <w:jc w:val="both"/>
        <w:rPr>
          <w:sz w:val="28"/>
          <w:szCs w:val="28"/>
        </w:rPr>
      </w:pPr>
      <w:r w:rsidRPr="00DE7125">
        <w:rPr>
          <w:sz w:val="28"/>
          <w:szCs w:val="28"/>
        </w:rPr>
        <w:t>Vīza: Valsts sekretārs</w:t>
      </w:r>
      <w:r w:rsidRPr="00DE7125">
        <w:rPr>
          <w:sz w:val="28"/>
          <w:szCs w:val="28"/>
        </w:rPr>
        <w:tab/>
      </w:r>
      <w:r w:rsidRPr="00DE7125">
        <w:rPr>
          <w:sz w:val="28"/>
          <w:szCs w:val="28"/>
        </w:rPr>
        <w:tab/>
      </w:r>
      <w:r w:rsidRPr="00DE7125">
        <w:rPr>
          <w:sz w:val="28"/>
          <w:szCs w:val="28"/>
        </w:rPr>
        <w:tab/>
      </w:r>
      <w:r w:rsidRPr="00DE7125">
        <w:rPr>
          <w:sz w:val="28"/>
          <w:szCs w:val="28"/>
        </w:rPr>
        <w:tab/>
      </w:r>
      <w:r w:rsidRPr="00DE7125">
        <w:rPr>
          <w:sz w:val="28"/>
          <w:szCs w:val="28"/>
        </w:rPr>
        <w:tab/>
      </w:r>
      <w:r w:rsidRPr="00DE7125">
        <w:rPr>
          <w:sz w:val="28"/>
          <w:szCs w:val="28"/>
        </w:rPr>
        <w:tab/>
      </w:r>
      <w:r w:rsidRPr="00DE7125">
        <w:rPr>
          <w:sz w:val="28"/>
          <w:szCs w:val="28"/>
        </w:rPr>
        <w:tab/>
      </w:r>
      <w:r w:rsidR="00DE7125">
        <w:rPr>
          <w:sz w:val="28"/>
          <w:szCs w:val="28"/>
        </w:rPr>
        <w:t>J.Pūce</w:t>
      </w:r>
    </w:p>
    <w:p w:rsidR="00A205A2" w:rsidRPr="00DE7125" w:rsidRDefault="00A205A2" w:rsidP="008D3A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205A2" w:rsidRDefault="00A205A2" w:rsidP="008D3A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9523F" w:rsidRDefault="00C9523F" w:rsidP="008D3A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9523F" w:rsidRDefault="00C9523F" w:rsidP="008D3A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9523F" w:rsidRDefault="00C9523F" w:rsidP="008D3A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9523F" w:rsidRDefault="00C9523F" w:rsidP="008D3A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15466" w:rsidRPr="00CC77D5" w:rsidRDefault="00BB79B5" w:rsidP="008D3A7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</w:t>
      </w:r>
      <w:r w:rsidR="00912518">
        <w:rPr>
          <w:color w:val="000000"/>
          <w:sz w:val="20"/>
          <w:szCs w:val="20"/>
        </w:rPr>
        <w:t>.06.</w:t>
      </w:r>
      <w:r w:rsidR="00515466" w:rsidRPr="00CC77D5">
        <w:rPr>
          <w:color w:val="000000"/>
          <w:sz w:val="20"/>
          <w:szCs w:val="20"/>
        </w:rPr>
        <w:t xml:space="preserve">2013. </w:t>
      </w:r>
      <w:r>
        <w:rPr>
          <w:color w:val="000000"/>
          <w:sz w:val="20"/>
          <w:szCs w:val="20"/>
        </w:rPr>
        <w:t>09:50</w:t>
      </w:r>
    </w:p>
    <w:p w:rsidR="00515466" w:rsidRPr="00CC77D5" w:rsidRDefault="00515466" w:rsidP="008D3A75">
      <w:pPr>
        <w:jc w:val="both"/>
        <w:rPr>
          <w:color w:val="000000"/>
          <w:sz w:val="20"/>
          <w:szCs w:val="20"/>
        </w:rPr>
      </w:pPr>
      <w:r w:rsidRPr="00DF34EC">
        <w:rPr>
          <w:color w:val="000000"/>
          <w:sz w:val="20"/>
          <w:szCs w:val="20"/>
        </w:rPr>
        <w:fldChar w:fldCharType="begin"/>
      </w:r>
      <w:r w:rsidRPr="00DF34EC">
        <w:rPr>
          <w:color w:val="000000"/>
          <w:sz w:val="20"/>
          <w:szCs w:val="20"/>
        </w:rPr>
        <w:instrText xml:space="preserve"> NUMWORDS  \* Arabic  \* MERGEFORMAT </w:instrText>
      </w:r>
      <w:r w:rsidRPr="00DF34EC">
        <w:rPr>
          <w:color w:val="000000"/>
          <w:sz w:val="20"/>
          <w:szCs w:val="20"/>
        </w:rPr>
        <w:fldChar w:fldCharType="separate"/>
      </w:r>
      <w:r w:rsidR="00BB79B5">
        <w:rPr>
          <w:noProof/>
          <w:color w:val="000000"/>
          <w:sz w:val="20"/>
          <w:szCs w:val="20"/>
        </w:rPr>
        <w:t>474</w:t>
      </w:r>
      <w:r w:rsidRPr="00DF34EC">
        <w:rPr>
          <w:color w:val="000000"/>
          <w:sz w:val="20"/>
          <w:szCs w:val="20"/>
        </w:rPr>
        <w:fldChar w:fldCharType="end"/>
      </w:r>
    </w:p>
    <w:p w:rsidR="00515466" w:rsidRPr="00CC77D5" w:rsidRDefault="00912518" w:rsidP="008D3A7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I.Niedrīte</w:t>
      </w:r>
      <w:r w:rsidR="00515466" w:rsidRPr="00CC77D5">
        <w:rPr>
          <w:color w:val="000000"/>
          <w:sz w:val="20"/>
          <w:szCs w:val="20"/>
        </w:rPr>
        <w:t>, 670131</w:t>
      </w:r>
      <w:r>
        <w:rPr>
          <w:color w:val="000000"/>
          <w:sz w:val="20"/>
          <w:szCs w:val="20"/>
        </w:rPr>
        <w:t>68</w:t>
      </w:r>
      <w:r w:rsidR="00515466" w:rsidRPr="00CC77D5">
        <w:rPr>
          <w:color w:val="000000"/>
          <w:sz w:val="20"/>
          <w:szCs w:val="20"/>
        </w:rPr>
        <w:t xml:space="preserve"> </w:t>
      </w:r>
    </w:p>
    <w:p w:rsidR="00515466" w:rsidRPr="00CC77D5" w:rsidRDefault="00DA03AD" w:rsidP="008D3A75">
      <w:pPr>
        <w:jc w:val="both"/>
        <w:rPr>
          <w:color w:val="000000"/>
          <w:sz w:val="20"/>
          <w:szCs w:val="20"/>
        </w:rPr>
      </w:pPr>
      <w:hyperlink r:id="rId8" w:history="1">
        <w:r w:rsidR="00912518" w:rsidRPr="00274B4D">
          <w:rPr>
            <w:rStyle w:val="Hyperlink"/>
            <w:sz w:val="20"/>
            <w:szCs w:val="20"/>
          </w:rPr>
          <w:t>Indra.Niedrite@em.gov.lv</w:t>
        </w:r>
      </w:hyperlink>
    </w:p>
    <w:p w:rsidR="00965F75" w:rsidRPr="00DE7125" w:rsidRDefault="00965F75" w:rsidP="008D3A7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965F75" w:rsidRPr="00DE7125" w:rsidSect="003E51E2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AD" w:rsidRDefault="00DA03AD" w:rsidP="00AE7F21">
      <w:r>
        <w:separator/>
      </w:r>
    </w:p>
  </w:endnote>
  <w:endnote w:type="continuationSeparator" w:id="0">
    <w:p w:rsidR="00DA03AD" w:rsidRDefault="00DA03AD" w:rsidP="00AE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49" w:rsidRPr="00B63649" w:rsidRDefault="00BE63AA">
    <w:pPr>
      <w:pStyle w:val="Footer"/>
      <w:rPr>
        <w:sz w:val="22"/>
      </w:rPr>
    </w:pPr>
    <w:r>
      <w:rPr>
        <w:sz w:val="22"/>
      </w:rPr>
      <w:t>EMlik_</w:t>
    </w:r>
    <w:r w:rsidR="0054487A">
      <w:rPr>
        <w:sz w:val="22"/>
      </w:rPr>
      <w:t>1</w:t>
    </w:r>
    <w:r w:rsidR="00BB79B5">
      <w:rPr>
        <w:sz w:val="22"/>
      </w:rPr>
      <w:t>1</w:t>
    </w:r>
    <w:r w:rsidR="00912518">
      <w:rPr>
        <w:sz w:val="22"/>
      </w:rPr>
      <w:t>0613</w:t>
    </w:r>
    <w:r w:rsidRPr="00B63649">
      <w:rPr>
        <w:sz w:val="22"/>
      </w:rPr>
      <w:t>_ETL</w:t>
    </w:r>
    <w:r w:rsidR="00912518">
      <w:rPr>
        <w:sz w:val="22"/>
      </w:rPr>
      <w:t>_goz</w:t>
    </w:r>
    <w:r w:rsidR="00B63649" w:rsidRPr="00B63649">
      <w:rPr>
        <w:sz w:val="22"/>
      </w:rPr>
      <w:t>; Likumprojekts „Grozījum</w:t>
    </w:r>
    <w:r w:rsidR="00912518">
      <w:rPr>
        <w:sz w:val="22"/>
      </w:rPr>
      <w:t>i</w:t>
    </w:r>
    <w:r w:rsidR="00B63649" w:rsidRPr="00B63649">
      <w:rPr>
        <w:sz w:val="22"/>
      </w:rPr>
      <w:t xml:space="preserve"> Elektroenerģijas tirgus likumā”</w:t>
    </w:r>
  </w:p>
  <w:p w:rsidR="00B63649" w:rsidRPr="00B63649" w:rsidRDefault="00B63649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AD" w:rsidRDefault="00DA03AD" w:rsidP="00AE7F21">
      <w:r>
        <w:separator/>
      </w:r>
    </w:p>
  </w:footnote>
  <w:footnote w:type="continuationSeparator" w:id="0">
    <w:p w:rsidR="00DA03AD" w:rsidRDefault="00DA03AD" w:rsidP="00AE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760"/>
    <w:multiLevelType w:val="hybridMultilevel"/>
    <w:tmpl w:val="15DAC0B6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DC25C7"/>
    <w:multiLevelType w:val="hybridMultilevel"/>
    <w:tmpl w:val="3C226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66A0B"/>
    <w:multiLevelType w:val="multilevel"/>
    <w:tmpl w:val="A336F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C5"/>
    <w:rsid w:val="00003565"/>
    <w:rsid w:val="00020C2E"/>
    <w:rsid w:val="00043691"/>
    <w:rsid w:val="0006169A"/>
    <w:rsid w:val="000A627E"/>
    <w:rsid w:val="000C306B"/>
    <w:rsid w:val="00100950"/>
    <w:rsid w:val="0012540C"/>
    <w:rsid w:val="00157459"/>
    <w:rsid w:val="001A09FB"/>
    <w:rsid w:val="001B23B5"/>
    <w:rsid w:val="001E407D"/>
    <w:rsid w:val="00227A90"/>
    <w:rsid w:val="0023376E"/>
    <w:rsid w:val="00241661"/>
    <w:rsid w:val="002422E3"/>
    <w:rsid w:val="00243EA4"/>
    <w:rsid w:val="00251EBD"/>
    <w:rsid w:val="002602B6"/>
    <w:rsid w:val="00267D1C"/>
    <w:rsid w:val="00272016"/>
    <w:rsid w:val="0028016F"/>
    <w:rsid w:val="002C06D1"/>
    <w:rsid w:val="002C0C77"/>
    <w:rsid w:val="002D559B"/>
    <w:rsid w:val="002F0B01"/>
    <w:rsid w:val="00306DD1"/>
    <w:rsid w:val="00326FEA"/>
    <w:rsid w:val="003A2E2B"/>
    <w:rsid w:val="003B2059"/>
    <w:rsid w:val="003B26FD"/>
    <w:rsid w:val="003C1D34"/>
    <w:rsid w:val="003D3DBA"/>
    <w:rsid w:val="003E51E2"/>
    <w:rsid w:val="0040508F"/>
    <w:rsid w:val="0047062B"/>
    <w:rsid w:val="0047761A"/>
    <w:rsid w:val="0048106B"/>
    <w:rsid w:val="00492FB5"/>
    <w:rsid w:val="004963FE"/>
    <w:rsid w:val="004B0B56"/>
    <w:rsid w:val="004B14CA"/>
    <w:rsid w:val="004B15D6"/>
    <w:rsid w:val="004B43E3"/>
    <w:rsid w:val="004E7803"/>
    <w:rsid w:val="004F3EC3"/>
    <w:rsid w:val="00515466"/>
    <w:rsid w:val="00522FFC"/>
    <w:rsid w:val="0054487A"/>
    <w:rsid w:val="00553166"/>
    <w:rsid w:val="00583CAD"/>
    <w:rsid w:val="005B3F9E"/>
    <w:rsid w:val="005D26D2"/>
    <w:rsid w:val="005F26DD"/>
    <w:rsid w:val="005F2732"/>
    <w:rsid w:val="00631219"/>
    <w:rsid w:val="00667361"/>
    <w:rsid w:val="006C770F"/>
    <w:rsid w:val="006D270F"/>
    <w:rsid w:val="006D685A"/>
    <w:rsid w:val="006F6789"/>
    <w:rsid w:val="00710A46"/>
    <w:rsid w:val="00711053"/>
    <w:rsid w:val="00725923"/>
    <w:rsid w:val="00725F98"/>
    <w:rsid w:val="00752E8C"/>
    <w:rsid w:val="00754C13"/>
    <w:rsid w:val="00761CA9"/>
    <w:rsid w:val="00776840"/>
    <w:rsid w:val="0079319F"/>
    <w:rsid w:val="0079479C"/>
    <w:rsid w:val="007C1ABD"/>
    <w:rsid w:val="00801755"/>
    <w:rsid w:val="00826CAA"/>
    <w:rsid w:val="00840450"/>
    <w:rsid w:val="00853ED7"/>
    <w:rsid w:val="00857C52"/>
    <w:rsid w:val="00886CD8"/>
    <w:rsid w:val="008D3A75"/>
    <w:rsid w:val="008D670C"/>
    <w:rsid w:val="008E2863"/>
    <w:rsid w:val="008E34CC"/>
    <w:rsid w:val="008E74D1"/>
    <w:rsid w:val="009035FB"/>
    <w:rsid w:val="00912518"/>
    <w:rsid w:val="00912A55"/>
    <w:rsid w:val="00934245"/>
    <w:rsid w:val="00945043"/>
    <w:rsid w:val="00963961"/>
    <w:rsid w:val="00965F75"/>
    <w:rsid w:val="00976AC5"/>
    <w:rsid w:val="009A4986"/>
    <w:rsid w:val="009E2A09"/>
    <w:rsid w:val="009F5FC0"/>
    <w:rsid w:val="00A205A2"/>
    <w:rsid w:val="00A31F0A"/>
    <w:rsid w:val="00A44F32"/>
    <w:rsid w:val="00A92E30"/>
    <w:rsid w:val="00AB08F7"/>
    <w:rsid w:val="00AE47CC"/>
    <w:rsid w:val="00AE7F21"/>
    <w:rsid w:val="00AF4436"/>
    <w:rsid w:val="00B173C5"/>
    <w:rsid w:val="00B32699"/>
    <w:rsid w:val="00B452AB"/>
    <w:rsid w:val="00B63649"/>
    <w:rsid w:val="00B72191"/>
    <w:rsid w:val="00BB79B5"/>
    <w:rsid w:val="00BC0403"/>
    <w:rsid w:val="00BC0B97"/>
    <w:rsid w:val="00BC71BE"/>
    <w:rsid w:val="00BE0C27"/>
    <w:rsid w:val="00BE63AA"/>
    <w:rsid w:val="00BE6C3D"/>
    <w:rsid w:val="00BE7903"/>
    <w:rsid w:val="00C243EF"/>
    <w:rsid w:val="00C41B61"/>
    <w:rsid w:val="00C9523F"/>
    <w:rsid w:val="00CC5135"/>
    <w:rsid w:val="00CD47D6"/>
    <w:rsid w:val="00D27F86"/>
    <w:rsid w:val="00D33579"/>
    <w:rsid w:val="00DA03AD"/>
    <w:rsid w:val="00DA395C"/>
    <w:rsid w:val="00DB371B"/>
    <w:rsid w:val="00DE6177"/>
    <w:rsid w:val="00DE7125"/>
    <w:rsid w:val="00DF1499"/>
    <w:rsid w:val="00DF34EC"/>
    <w:rsid w:val="00E005D7"/>
    <w:rsid w:val="00E25EA9"/>
    <w:rsid w:val="00E45EB0"/>
    <w:rsid w:val="00E86283"/>
    <w:rsid w:val="00E86BB9"/>
    <w:rsid w:val="00EA4CF4"/>
    <w:rsid w:val="00F1373A"/>
    <w:rsid w:val="00F37A14"/>
    <w:rsid w:val="00F433DD"/>
    <w:rsid w:val="00F54627"/>
    <w:rsid w:val="00F6453F"/>
    <w:rsid w:val="00F7102B"/>
    <w:rsid w:val="00F812F8"/>
    <w:rsid w:val="00F93C50"/>
    <w:rsid w:val="00F94FF0"/>
    <w:rsid w:val="00FD0480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5F75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965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A2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7F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7F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7F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21"/>
    <w:rPr>
      <w:sz w:val="24"/>
      <w:szCs w:val="24"/>
    </w:rPr>
  </w:style>
  <w:style w:type="character" w:customStyle="1" w:styleId="tvdoctopindex">
    <w:name w:val="tv_doc_top_index"/>
    <w:basedOn w:val="DefaultParagraphFont"/>
    <w:rsid w:val="004B15D6"/>
  </w:style>
  <w:style w:type="character" w:styleId="Hyperlink">
    <w:name w:val="Hyperlink"/>
    <w:basedOn w:val="DefaultParagraphFont"/>
    <w:uiPriority w:val="99"/>
    <w:unhideWhenUsed/>
    <w:rsid w:val="004B15D6"/>
    <w:rPr>
      <w:color w:val="0000FF"/>
      <w:u w:val="single"/>
    </w:rPr>
  </w:style>
  <w:style w:type="character" w:styleId="CommentReference">
    <w:name w:val="annotation reference"/>
    <w:basedOn w:val="DefaultParagraphFont"/>
    <w:rsid w:val="004F3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EC3"/>
  </w:style>
  <w:style w:type="paragraph" w:styleId="CommentSubject">
    <w:name w:val="annotation subject"/>
    <w:basedOn w:val="CommentText"/>
    <w:next w:val="CommentText"/>
    <w:link w:val="CommentSubjectChar"/>
    <w:rsid w:val="004F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3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5F75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965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A2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7F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E7F2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7F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F21"/>
    <w:rPr>
      <w:sz w:val="24"/>
      <w:szCs w:val="24"/>
    </w:rPr>
  </w:style>
  <w:style w:type="character" w:customStyle="1" w:styleId="tvdoctopindex">
    <w:name w:val="tv_doc_top_index"/>
    <w:basedOn w:val="DefaultParagraphFont"/>
    <w:rsid w:val="004B15D6"/>
  </w:style>
  <w:style w:type="character" w:styleId="Hyperlink">
    <w:name w:val="Hyperlink"/>
    <w:basedOn w:val="DefaultParagraphFont"/>
    <w:uiPriority w:val="99"/>
    <w:unhideWhenUsed/>
    <w:rsid w:val="004B15D6"/>
    <w:rPr>
      <w:color w:val="0000FF"/>
      <w:u w:val="single"/>
    </w:rPr>
  </w:style>
  <w:style w:type="character" w:styleId="CommentReference">
    <w:name w:val="annotation reference"/>
    <w:basedOn w:val="DefaultParagraphFont"/>
    <w:rsid w:val="004F3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3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3EC3"/>
  </w:style>
  <w:style w:type="paragraph" w:styleId="CommentSubject">
    <w:name w:val="annotation subject"/>
    <w:basedOn w:val="CommentText"/>
    <w:next w:val="CommentText"/>
    <w:link w:val="CommentSubjectChar"/>
    <w:rsid w:val="004F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3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.Niedrite@em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3377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Elektroenerģijas tirgus likumā </vt:lpstr>
    </vt:vector>
  </TitlesOfParts>
  <Manager>Dins.Merirands@em.gov.lv</Manager>
  <Company>LR Ekonomikas ministrija</Company>
  <LinksUpToDate>false</LinksUpToDate>
  <CharactersWithSpaces>3833</CharactersWithSpaces>
  <SharedDoc>false</SharedDoc>
  <HLinks>
    <vt:vector size="6" baseType="variant">
      <vt:variant>
        <vt:i4>5439603</vt:i4>
      </vt:variant>
      <vt:variant>
        <vt:i4>3</vt:i4>
      </vt:variant>
      <vt:variant>
        <vt:i4>0</vt:i4>
      </vt:variant>
      <vt:variant>
        <vt:i4>5</vt:i4>
      </vt:variant>
      <vt:variant>
        <vt:lpwstr>mailto:Indra.Niedrite@em.gov.lv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Elektroenerģijas tirgus likumā </dc:title>
  <dc:subject>Likumprojekts</dc:subject>
  <dc:creator>Indra.Niedrite@em.gov.lv</dc:creator>
  <cp:keywords/>
  <dc:description/>
  <cp:lastModifiedBy>Indra Niedrīte</cp:lastModifiedBy>
  <cp:revision>4</cp:revision>
  <cp:lastPrinted>2012-01-10T12:55:00Z</cp:lastPrinted>
  <dcterms:created xsi:type="dcterms:W3CDTF">2013-06-10T11:36:00Z</dcterms:created>
  <dcterms:modified xsi:type="dcterms:W3CDTF">2013-06-11T06:50:00Z</dcterms:modified>
</cp:coreProperties>
</file>