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081A" w14:textId="77777777" w:rsidR="00976AC5" w:rsidRPr="007D1A25" w:rsidRDefault="008E2863" w:rsidP="00BA1F28">
      <w:pPr>
        <w:jc w:val="right"/>
        <w:rPr>
          <w:sz w:val="28"/>
          <w:szCs w:val="28"/>
        </w:rPr>
      </w:pPr>
      <w:r w:rsidRPr="007D1A25">
        <w:rPr>
          <w:sz w:val="28"/>
          <w:szCs w:val="28"/>
        </w:rPr>
        <w:t>Likumprojekts</w:t>
      </w:r>
    </w:p>
    <w:p w14:paraId="6A786859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1C" w14:textId="77777777" w:rsidR="008E2863" w:rsidRPr="00A7418D" w:rsidRDefault="008E2863" w:rsidP="00BA1F28">
      <w:pPr>
        <w:jc w:val="center"/>
        <w:rPr>
          <w:b/>
          <w:sz w:val="28"/>
          <w:szCs w:val="28"/>
        </w:rPr>
      </w:pPr>
      <w:r w:rsidRPr="00A7418D">
        <w:rPr>
          <w:b/>
          <w:sz w:val="28"/>
          <w:szCs w:val="28"/>
        </w:rPr>
        <w:t>Grozījum</w:t>
      </w:r>
      <w:r w:rsidR="00E41F4C" w:rsidRPr="00A7418D">
        <w:rPr>
          <w:b/>
          <w:sz w:val="28"/>
          <w:szCs w:val="28"/>
        </w:rPr>
        <w:t>i</w:t>
      </w:r>
      <w:r w:rsidR="00C9523F" w:rsidRPr="00A7418D">
        <w:rPr>
          <w:b/>
          <w:sz w:val="28"/>
          <w:szCs w:val="28"/>
        </w:rPr>
        <w:t xml:space="preserve"> </w:t>
      </w:r>
      <w:r w:rsidR="004B15D6" w:rsidRPr="00A7418D">
        <w:rPr>
          <w:b/>
          <w:sz w:val="28"/>
          <w:szCs w:val="28"/>
        </w:rPr>
        <w:t>Elektroenerģijas tirgus likumā</w:t>
      </w:r>
    </w:p>
    <w:p w14:paraId="5AFB0194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1E" w14:textId="7A810D29" w:rsidR="00E41F4C" w:rsidRPr="00A7418D" w:rsidRDefault="00DE7125" w:rsidP="00BA1F28">
      <w:pPr>
        <w:ind w:firstLine="567"/>
        <w:jc w:val="both"/>
        <w:rPr>
          <w:sz w:val="28"/>
          <w:szCs w:val="28"/>
        </w:rPr>
      </w:pPr>
      <w:r w:rsidRPr="00A7418D">
        <w:rPr>
          <w:sz w:val="28"/>
          <w:szCs w:val="28"/>
        </w:rPr>
        <w:t xml:space="preserve">Izdarīt </w:t>
      </w:r>
      <w:r w:rsidR="004B15D6" w:rsidRPr="00A7418D">
        <w:rPr>
          <w:sz w:val="28"/>
          <w:szCs w:val="28"/>
        </w:rPr>
        <w:t>Elektroenerģijas tirgus likumā</w:t>
      </w:r>
      <w:r w:rsidRPr="00A7418D">
        <w:rPr>
          <w:sz w:val="28"/>
          <w:szCs w:val="28"/>
        </w:rPr>
        <w:t xml:space="preserve"> (</w:t>
      </w:r>
      <w:r w:rsidR="00A7418D">
        <w:rPr>
          <w:sz w:val="28"/>
          <w:szCs w:val="28"/>
        </w:rPr>
        <w:t>Latvijas Republikas Saeimas un Ministru Kabineta Ziņotājs, 2005, 12.nr.</w:t>
      </w:r>
      <w:r w:rsidR="00935C2D">
        <w:rPr>
          <w:sz w:val="28"/>
          <w:szCs w:val="28"/>
        </w:rPr>
        <w:t>;</w:t>
      </w:r>
      <w:r w:rsidR="00A7418D">
        <w:rPr>
          <w:sz w:val="28"/>
          <w:szCs w:val="28"/>
        </w:rPr>
        <w:t xml:space="preserve"> 2008, 10.nr.</w:t>
      </w:r>
      <w:r w:rsidR="0015078B">
        <w:rPr>
          <w:sz w:val="28"/>
          <w:szCs w:val="28"/>
        </w:rPr>
        <w:t>;</w:t>
      </w:r>
      <w:r w:rsidR="00A7418D">
        <w:rPr>
          <w:sz w:val="28"/>
          <w:szCs w:val="28"/>
        </w:rPr>
        <w:t xml:space="preserve"> </w:t>
      </w:r>
      <w:r w:rsidR="004B15D6" w:rsidRPr="00A7418D">
        <w:rPr>
          <w:sz w:val="28"/>
          <w:szCs w:val="28"/>
        </w:rPr>
        <w:t xml:space="preserve">Latvijas Vēstnesis, </w:t>
      </w:r>
      <w:r w:rsidR="00F37A14" w:rsidRPr="00A7418D">
        <w:rPr>
          <w:sz w:val="28"/>
          <w:szCs w:val="28"/>
        </w:rPr>
        <w:t>2011, 117</w:t>
      </w:r>
      <w:r w:rsidR="00A7418D">
        <w:rPr>
          <w:sz w:val="28"/>
          <w:szCs w:val="28"/>
        </w:rPr>
        <w:t>.nr.</w:t>
      </w:r>
      <w:r w:rsidR="004B15D6" w:rsidRPr="00A7418D">
        <w:rPr>
          <w:sz w:val="28"/>
          <w:szCs w:val="28"/>
        </w:rPr>
        <w:t xml:space="preserve">) </w:t>
      </w:r>
      <w:r w:rsidR="00E41F4C" w:rsidRPr="00A7418D">
        <w:rPr>
          <w:sz w:val="28"/>
          <w:szCs w:val="28"/>
        </w:rPr>
        <w:t>šādu</w:t>
      </w:r>
      <w:r w:rsidR="00A7418D">
        <w:rPr>
          <w:sz w:val="28"/>
          <w:szCs w:val="28"/>
        </w:rPr>
        <w:t>s</w:t>
      </w:r>
      <w:r w:rsidR="00E41F4C" w:rsidRPr="00A7418D">
        <w:rPr>
          <w:sz w:val="28"/>
          <w:szCs w:val="28"/>
        </w:rPr>
        <w:t xml:space="preserve"> grozījumus:</w:t>
      </w:r>
    </w:p>
    <w:p w14:paraId="529B081F" w14:textId="77777777" w:rsidR="00F40F9D" w:rsidRPr="00D67541" w:rsidRDefault="00F40F9D" w:rsidP="00BA1F28">
      <w:pPr>
        <w:pStyle w:val="ListParagraph"/>
        <w:jc w:val="both"/>
        <w:rPr>
          <w:szCs w:val="28"/>
        </w:rPr>
      </w:pPr>
    </w:p>
    <w:p w14:paraId="529B0820" w14:textId="2551A0E3" w:rsidR="00F40F9D" w:rsidRDefault="007D1A25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40F9D" w:rsidRPr="007D1A25">
        <w:rPr>
          <w:sz w:val="28"/>
          <w:szCs w:val="28"/>
        </w:rPr>
        <w:t>Papildināt 5.pantu ar ceturto un piekto daļu šādā redakcijā:</w:t>
      </w:r>
    </w:p>
    <w:p w14:paraId="74A43F1F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21" w14:textId="0C01D8A3" w:rsidR="00F40F9D" w:rsidRPr="007D1A25" w:rsidRDefault="007D1A25" w:rsidP="007D1A25">
      <w:pPr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"</w:t>
      </w:r>
      <w:r w:rsidR="00F40F9D" w:rsidRPr="007D1A25">
        <w:rPr>
          <w:sz w:val="28"/>
          <w:szCs w:val="28"/>
        </w:rPr>
        <w:t>(4)</w:t>
      </w:r>
      <w:r w:rsidR="00E8486F" w:rsidRPr="007D1A25">
        <w:rPr>
          <w:sz w:val="28"/>
          <w:szCs w:val="28"/>
        </w:rPr>
        <w:t xml:space="preserve"> </w:t>
      </w:r>
      <w:r w:rsidR="00F40F9D" w:rsidRPr="007D1A25">
        <w:rPr>
          <w:sz w:val="28"/>
          <w:szCs w:val="28"/>
        </w:rPr>
        <w:t>Elektroenerģijas tirgus pārskatāmību un konkurences līmeni tajā uzrauga regulators.</w:t>
      </w:r>
    </w:p>
    <w:p w14:paraId="529B0823" w14:textId="6A26A8CD" w:rsidR="00F40F9D" w:rsidRPr="007D1A25" w:rsidRDefault="00F40F9D" w:rsidP="007D1A25">
      <w:pPr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(5)</w:t>
      </w:r>
      <w:r w:rsidR="00E8486F" w:rsidRPr="007D1A25">
        <w:rPr>
          <w:sz w:val="28"/>
          <w:szCs w:val="28"/>
        </w:rPr>
        <w:t xml:space="preserve"> </w:t>
      </w:r>
      <w:r w:rsidRPr="007D1A25">
        <w:rPr>
          <w:sz w:val="28"/>
          <w:szCs w:val="28"/>
        </w:rPr>
        <w:t xml:space="preserve">Regulators reizi gadā ziņo Eiropas Komisijai un </w:t>
      </w:r>
      <w:proofErr w:type="spellStart"/>
      <w:r w:rsidRPr="007D1A25">
        <w:rPr>
          <w:sz w:val="28"/>
          <w:szCs w:val="28"/>
        </w:rPr>
        <w:t>Energoregulatoru</w:t>
      </w:r>
      <w:proofErr w:type="spellEnd"/>
      <w:r w:rsidRPr="007D1A25">
        <w:rPr>
          <w:sz w:val="28"/>
          <w:szCs w:val="28"/>
        </w:rPr>
        <w:t xml:space="preserve"> sadarbības aģentūrai par savu darbību un šajā likumā noteikto pienākumu izpildi, kā arī publicē šo ziņojumu savā mājaslapā internetā.</w:t>
      </w:r>
      <w:r w:rsidR="007D1A25" w:rsidRPr="007D1A25">
        <w:rPr>
          <w:sz w:val="28"/>
          <w:szCs w:val="28"/>
        </w:rPr>
        <w:t>"</w:t>
      </w:r>
    </w:p>
    <w:p w14:paraId="5C168A30" w14:textId="77777777" w:rsidR="00D67541" w:rsidRPr="00D67541" w:rsidRDefault="00D67541" w:rsidP="00D67541">
      <w:pPr>
        <w:pStyle w:val="ListParagraph"/>
        <w:jc w:val="both"/>
        <w:rPr>
          <w:sz w:val="22"/>
          <w:szCs w:val="28"/>
        </w:rPr>
      </w:pPr>
    </w:p>
    <w:p w14:paraId="43A577BE" w14:textId="77777777" w:rsidR="00C93A49" w:rsidRDefault="007D1A25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93A49">
        <w:rPr>
          <w:sz w:val="28"/>
          <w:szCs w:val="28"/>
        </w:rPr>
        <w:t> </w:t>
      </w:r>
      <w:r w:rsidR="00C93A49" w:rsidRPr="007D1A25">
        <w:rPr>
          <w:sz w:val="28"/>
          <w:szCs w:val="28"/>
        </w:rPr>
        <w:t>8.pant</w:t>
      </w:r>
      <w:r w:rsidR="00C93A49">
        <w:rPr>
          <w:sz w:val="28"/>
          <w:szCs w:val="28"/>
        </w:rPr>
        <w:t>ā:</w:t>
      </w:r>
      <w:r w:rsidR="00C93A49" w:rsidRPr="007D1A25">
        <w:rPr>
          <w:sz w:val="28"/>
          <w:szCs w:val="28"/>
        </w:rPr>
        <w:t xml:space="preserve"> </w:t>
      </w:r>
    </w:p>
    <w:p w14:paraId="46FD3DC6" w14:textId="646FF696" w:rsidR="00E8486F" w:rsidRPr="00E8486F" w:rsidRDefault="00C93A49" w:rsidP="00C93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40F9D" w:rsidRPr="007D1A25">
        <w:rPr>
          <w:sz w:val="28"/>
          <w:szCs w:val="28"/>
        </w:rPr>
        <w:t>zslēgt trešās daļas 5.punktu</w:t>
      </w:r>
      <w:r>
        <w:rPr>
          <w:sz w:val="28"/>
          <w:szCs w:val="28"/>
        </w:rPr>
        <w:t>;</w:t>
      </w:r>
    </w:p>
    <w:p w14:paraId="529B0825" w14:textId="683BF3EA" w:rsidR="00F40F9D" w:rsidRPr="007D1A25" w:rsidRDefault="00C93A49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7D1A25">
        <w:rPr>
          <w:sz w:val="28"/>
          <w:szCs w:val="28"/>
        </w:rPr>
        <w:t xml:space="preserve">zslēgt </w:t>
      </w:r>
      <w:r w:rsidR="00F40F9D" w:rsidRPr="007D1A25">
        <w:rPr>
          <w:sz w:val="28"/>
          <w:szCs w:val="28"/>
        </w:rPr>
        <w:t>septīto daļu.</w:t>
      </w:r>
    </w:p>
    <w:p w14:paraId="67C02C13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6178026E" w14:textId="03A9AB61" w:rsidR="00E8486F" w:rsidRDefault="00C93A49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A25">
        <w:rPr>
          <w:sz w:val="28"/>
          <w:szCs w:val="28"/>
        </w:rPr>
        <w:t>. </w:t>
      </w:r>
      <w:r w:rsidR="00585FDC" w:rsidRPr="007D1A25">
        <w:rPr>
          <w:sz w:val="28"/>
          <w:szCs w:val="28"/>
        </w:rPr>
        <w:t>Papildināt 9.pantu ar 2.</w:t>
      </w:r>
      <w:r w:rsidR="00585FDC" w:rsidRPr="007D1A25">
        <w:rPr>
          <w:sz w:val="28"/>
          <w:szCs w:val="28"/>
          <w:vertAlign w:val="superscript"/>
        </w:rPr>
        <w:t>2</w:t>
      </w:r>
      <w:r w:rsidR="00585FDC" w:rsidRPr="00C93A49">
        <w:rPr>
          <w:sz w:val="28"/>
          <w:szCs w:val="28"/>
          <w:vertAlign w:val="superscript"/>
        </w:rPr>
        <w:t xml:space="preserve"> </w:t>
      </w:r>
      <w:r w:rsidR="00585FDC" w:rsidRPr="007D1A25">
        <w:rPr>
          <w:sz w:val="28"/>
          <w:szCs w:val="28"/>
        </w:rPr>
        <w:t>daļu šādā redakcijā:</w:t>
      </w:r>
    </w:p>
    <w:p w14:paraId="5267D089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28" w14:textId="03071ED6" w:rsidR="00585FDC" w:rsidRPr="007D1A25" w:rsidRDefault="007D1A25" w:rsidP="007D1A25">
      <w:pPr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"</w:t>
      </w:r>
      <w:r w:rsidR="00585FDC" w:rsidRPr="007D1A25">
        <w:rPr>
          <w:sz w:val="28"/>
          <w:szCs w:val="28"/>
        </w:rPr>
        <w:t>(2</w:t>
      </w:r>
      <w:r w:rsidR="00585FDC" w:rsidRPr="007D1A25">
        <w:rPr>
          <w:sz w:val="28"/>
          <w:szCs w:val="28"/>
          <w:vertAlign w:val="superscript"/>
        </w:rPr>
        <w:t>2</w:t>
      </w:r>
      <w:r w:rsidR="00585FDC" w:rsidRPr="007D1A25">
        <w:rPr>
          <w:sz w:val="28"/>
          <w:szCs w:val="28"/>
        </w:rPr>
        <w:t>) Sistēmas operators saskaņā ar regulatora noteiktajiem noteikumiem izstrādā, iesniedz apstiprināšanai regulatoram un publicē atļautās slodzes efektīvas izmantošanas nosacījumus un to piemērošanas kārtību jauniem pieslēgumiem, kuri atbilst regulatora noteiktajām prasībām.</w:t>
      </w:r>
      <w:r w:rsidRPr="007D1A25">
        <w:rPr>
          <w:sz w:val="28"/>
          <w:szCs w:val="28"/>
        </w:rPr>
        <w:t>"</w:t>
      </w:r>
    </w:p>
    <w:p w14:paraId="73B7E65E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2A" w14:textId="3987B4D7" w:rsidR="00585FDC" w:rsidRDefault="00C93A49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A25">
        <w:rPr>
          <w:sz w:val="28"/>
          <w:szCs w:val="28"/>
        </w:rPr>
        <w:t>. </w:t>
      </w:r>
      <w:r w:rsidR="00585FDC" w:rsidRPr="007D1A25">
        <w:rPr>
          <w:sz w:val="28"/>
          <w:szCs w:val="28"/>
        </w:rPr>
        <w:t>Papildināt 18.pantu ar ceturto daļu šādā redakcijā:</w:t>
      </w:r>
    </w:p>
    <w:p w14:paraId="710D92BD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2B" w14:textId="0246F1F2" w:rsidR="00585FDC" w:rsidRPr="007D1A25" w:rsidRDefault="007D1A25" w:rsidP="007D1A25">
      <w:pPr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"</w:t>
      </w:r>
      <w:r w:rsidR="00585FDC" w:rsidRPr="007D1A25">
        <w:rPr>
          <w:sz w:val="28"/>
          <w:szCs w:val="28"/>
        </w:rPr>
        <w:t>(4)</w:t>
      </w:r>
      <w:r w:rsidR="00D67541">
        <w:rPr>
          <w:sz w:val="28"/>
          <w:szCs w:val="28"/>
        </w:rPr>
        <w:t> </w:t>
      </w:r>
      <w:r w:rsidR="00585FDC" w:rsidRPr="007D1A25">
        <w:rPr>
          <w:sz w:val="28"/>
          <w:szCs w:val="28"/>
        </w:rPr>
        <w:t>Sadales sistēmas operators izstrādā, iesniedz</w:t>
      </w:r>
      <w:proofErr w:type="gramStart"/>
      <w:r w:rsidR="00585FDC" w:rsidRPr="007D1A25">
        <w:rPr>
          <w:sz w:val="28"/>
          <w:szCs w:val="28"/>
        </w:rPr>
        <w:t xml:space="preserve"> apstiprināšanai regula</w:t>
      </w:r>
      <w:r w:rsidR="00D67541">
        <w:rPr>
          <w:sz w:val="28"/>
          <w:szCs w:val="28"/>
        </w:rPr>
        <w:softHyphen/>
      </w:r>
      <w:r w:rsidR="00585FDC" w:rsidRPr="007D1A25">
        <w:rPr>
          <w:sz w:val="28"/>
          <w:szCs w:val="28"/>
        </w:rPr>
        <w:t>toram un regulatora noteiktajā kārtībā publicē</w:t>
      </w:r>
      <w:proofErr w:type="gramEnd"/>
      <w:r w:rsidR="00585FDC" w:rsidRPr="007D1A25">
        <w:rPr>
          <w:sz w:val="28"/>
          <w:szCs w:val="28"/>
        </w:rPr>
        <w:t xml:space="preserve"> apstiprināto sistēmas pakalpojumu tipveida līgumu saistītajiem lietotājiem.</w:t>
      </w:r>
      <w:r w:rsidRPr="007D1A25">
        <w:rPr>
          <w:sz w:val="28"/>
          <w:szCs w:val="28"/>
        </w:rPr>
        <w:t>"</w:t>
      </w:r>
    </w:p>
    <w:p w14:paraId="30C360C3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2D" w14:textId="5155E44B" w:rsidR="00F54627" w:rsidRDefault="00C93A49" w:rsidP="007D1A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D1A25">
        <w:rPr>
          <w:sz w:val="28"/>
          <w:szCs w:val="28"/>
        </w:rPr>
        <w:t>. </w:t>
      </w:r>
      <w:r w:rsidR="00E41F4C" w:rsidRPr="007D1A25">
        <w:rPr>
          <w:sz w:val="28"/>
          <w:szCs w:val="28"/>
        </w:rPr>
        <w:t>P</w:t>
      </w:r>
      <w:r w:rsidR="00F54627" w:rsidRPr="007D1A25">
        <w:rPr>
          <w:sz w:val="28"/>
          <w:szCs w:val="28"/>
        </w:rPr>
        <w:t>apildināt</w:t>
      </w:r>
      <w:r w:rsidR="00C243EF" w:rsidRPr="007D1A25">
        <w:rPr>
          <w:sz w:val="28"/>
          <w:szCs w:val="28"/>
        </w:rPr>
        <w:t xml:space="preserve"> likumu ar </w:t>
      </w:r>
      <w:r w:rsidR="003B26FD" w:rsidRPr="007D1A25">
        <w:rPr>
          <w:sz w:val="28"/>
          <w:szCs w:val="28"/>
        </w:rPr>
        <w:t>30.</w:t>
      </w:r>
      <w:r w:rsidR="007D1A25" w:rsidRPr="00C93A49">
        <w:rPr>
          <w:sz w:val="28"/>
          <w:szCs w:val="28"/>
          <w:vertAlign w:val="superscript"/>
        </w:rPr>
        <w:t>1</w:t>
      </w:r>
      <w:r w:rsidR="00CC046F" w:rsidRPr="0015078B">
        <w:rPr>
          <w:sz w:val="28"/>
          <w:szCs w:val="28"/>
          <w:vertAlign w:val="superscript"/>
        </w:rPr>
        <w:t xml:space="preserve"> </w:t>
      </w:r>
      <w:r w:rsidR="00C243EF" w:rsidRPr="007D1A25">
        <w:rPr>
          <w:sz w:val="28"/>
          <w:szCs w:val="28"/>
        </w:rPr>
        <w:t>pantu šādā redakcijā:</w:t>
      </w:r>
    </w:p>
    <w:p w14:paraId="5263D54E" w14:textId="77777777" w:rsidR="00D67541" w:rsidRPr="00D67541" w:rsidRDefault="00D67541" w:rsidP="00D67541">
      <w:pPr>
        <w:pStyle w:val="ListParagraph"/>
        <w:jc w:val="both"/>
        <w:rPr>
          <w:szCs w:val="28"/>
        </w:rPr>
      </w:pPr>
    </w:p>
    <w:p w14:paraId="529B082E" w14:textId="3085959C" w:rsidR="003B26FD" w:rsidRPr="007D1A25" w:rsidRDefault="007D1A25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"</w:t>
      </w:r>
      <w:r w:rsidR="003B26FD" w:rsidRPr="0015078B">
        <w:rPr>
          <w:b/>
          <w:sz w:val="28"/>
          <w:szCs w:val="28"/>
        </w:rPr>
        <w:t>30.</w:t>
      </w:r>
      <w:r w:rsidRPr="0015078B">
        <w:rPr>
          <w:b/>
          <w:sz w:val="28"/>
          <w:szCs w:val="28"/>
          <w:vertAlign w:val="superscript"/>
        </w:rPr>
        <w:t>1</w:t>
      </w:r>
      <w:r w:rsidR="0015078B" w:rsidRPr="0015078B">
        <w:rPr>
          <w:b/>
          <w:sz w:val="28"/>
          <w:szCs w:val="28"/>
          <w:vertAlign w:val="superscript"/>
        </w:rPr>
        <w:t> </w:t>
      </w:r>
      <w:r w:rsidR="0015078B" w:rsidRPr="0015078B">
        <w:rPr>
          <w:b/>
          <w:sz w:val="28"/>
          <w:szCs w:val="28"/>
        </w:rPr>
        <w:t xml:space="preserve">pants. </w:t>
      </w:r>
      <w:r w:rsidR="003B26FD" w:rsidRPr="0015078B">
        <w:rPr>
          <w:b/>
          <w:sz w:val="28"/>
          <w:szCs w:val="28"/>
        </w:rPr>
        <w:t xml:space="preserve">Elektroenerģijas neto </w:t>
      </w:r>
      <w:r w:rsidR="006C770F" w:rsidRPr="0015078B">
        <w:rPr>
          <w:b/>
          <w:sz w:val="28"/>
          <w:szCs w:val="28"/>
        </w:rPr>
        <w:t>norēķinu sistēma</w:t>
      </w:r>
      <w:r w:rsidR="006C770F" w:rsidRPr="007D1A25">
        <w:rPr>
          <w:sz w:val="28"/>
          <w:szCs w:val="28"/>
        </w:rPr>
        <w:t xml:space="preserve"> </w:t>
      </w:r>
    </w:p>
    <w:p w14:paraId="39CEDB63" w14:textId="28481984" w:rsidR="00ED308C" w:rsidRPr="00C93A49" w:rsidRDefault="007D1A25" w:rsidP="007D1A25">
      <w:pPr>
        <w:tabs>
          <w:tab w:val="left" w:pos="360"/>
        </w:tabs>
        <w:ind w:firstLine="709"/>
        <w:jc w:val="both"/>
        <w:rPr>
          <w:spacing w:val="-2"/>
          <w:sz w:val="28"/>
          <w:szCs w:val="28"/>
        </w:rPr>
      </w:pPr>
      <w:r w:rsidRPr="00C93A49">
        <w:rPr>
          <w:spacing w:val="-2"/>
          <w:sz w:val="28"/>
          <w:szCs w:val="28"/>
        </w:rPr>
        <w:t>(1) </w:t>
      </w:r>
      <w:r w:rsidR="00EA0945" w:rsidRPr="00C93A49">
        <w:rPr>
          <w:spacing w:val="-2"/>
          <w:sz w:val="28"/>
          <w:szCs w:val="28"/>
        </w:rPr>
        <w:t>Elektroenerģijas neto norēķinu sistēma ir maksājumu kārtība par patērēto elektroenerģiju, kuras ietvaros sadales sistēmas operators</w:t>
      </w:r>
      <w:r w:rsidR="007C2C65" w:rsidRPr="00C93A49">
        <w:rPr>
          <w:spacing w:val="-2"/>
          <w:sz w:val="28"/>
          <w:szCs w:val="28"/>
        </w:rPr>
        <w:t xml:space="preserve"> </w:t>
      </w:r>
      <w:r w:rsidR="00EA0945" w:rsidRPr="00C93A49">
        <w:rPr>
          <w:color w:val="000000"/>
          <w:spacing w:val="-2"/>
          <w:sz w:val="28"/>
          <w:szCs w:val="28"/>
        </w:rPr>
        <w:t xml:space="preserve">veic ieskaitu par </w:t>
      </w:r>
      <w:r w:rsidR="000C66BD" w:rsidRPr="00C93A49">
        <w:rPr>
          <w:color w:val="000000"/>
          <w:spacing w:val="-2"/>
          <w:sz w:val="28"/>
          <w:szCs w:val="28"/>
        </w:rPr>
        <w:t xml:space="preserve">mājsaimniecības lietotāja </w:t>
      </w:r>
      <w:r w:rsidR="00385D40" w:rsidRPr="00C93A49">
        <w:rPr>
          <w:color w:val="000000"/>
          <w:spacing w:val="-2"/>
          <w:sz w:val="28"/>
          <w:szCs w:val="28"/>
        </w:rPr>
        <w:t>izlietoto</w:t>
      </w:r>
      <w:r w:rsidR="000C66BD" w:rsidRPr="00C93A49">
        <w:rPr>
          <w:color w:val="000000"/>
          <w:spacing w:val="-2"/>
          <w:sz w:val="28"/>
          <w:szCs w:val="28"/>
        </w:rPr>
        <w:t xml:space="preserve"> elektroenerģiju un </w:t>
      </w:r>
      <w:r w:rsidR="00C93A49" w:rsidRPr="00C93A49">
        <w:rPr>
          <w:color w:val="000000"/>
          <w:spacing w:val="-2"/>
          <w:sz w:val="28"/>
          <w:szCs w:val="28"/>
        </w:rPr>
        <w:t xml:space="preserve">mājsaimniecības lietotāja </w:t>
      </w:r>
      <w:r w:rsidR="00EA0945" w:rsidRPr="00C93A49">
        <w:rPr>
          <w:color w:val="000000"/>
          <w:spacing w:val="-2"/>
          <w:sz w:val="28"/>
          <w:szCs w:val="28"/>
        </w:rPr>
        <w:t xml:space="preserve">saražoto elektroenerģiju, kas nodota sadales sistēmas operatora tīklā. Ja </w:t>
      </w:r>
      <w:r w:rsidR="00C26DBD" w:rsidRPr="00C93A49">
        <w:rPr>
          <w:color w:val="000000"/>
          <w:spacing w:val="-2"/>
          <w:sz w:val="28"/>
          <w:szCs w:val="28"/>
        </w:rPr>
        <w:t xml:space="preserve">saskaņā ar aprēķinu par patērēto un saražoto elektroenerģijas apjomu </w:t>
      </w:r>
      <w:r w:rsidR="00EA0945" w:rsidRPr="00C93A49">
        <w:rPr>
          <w:color w:val="000000"/>
          <w:spacing w:val="-2"/>
          <w:sz w:val="28"/>
          <w:szCs w:val="28"/>
        </w:rPr>
        <w:t>mājsaim</w:t>
      </w:r>
      <w:r w:rsidR="00D67541">
        <w:rPr>
          <w:color w:val="000000"/>
          <w:spacing w:val="-2"/>
          <w:sz w:val="28"/>
          <w:szCs w:val="28"/>
        </w:rPr>
        <w:softHyphen/>
      </w:r>
      <w:r w:rsidR="00EA0945" w:rsidRPr="00C93A49">
        <w:rPr>
          <w:color w:val="000000"/>
          <w:spacing w:val="-2"/>
          <w:sz w:val="28"/>
          <w:szCs w:val="28"/>
        </w:rPr>
        <w:t xml:space="preserve">niecības lietotājs elektroenerģijas sadales sistēmas operatora tīklā ir nodevis vairāk elektroenerģijas nekā </w:t>
      </w:r>
      <w:r w:rsidR="00385D40" w:rsidRPr="00C93A49">
        <w:rPr>
          <w:color w:val="000000"/>
          <w:spacing w:val="-2"/>
          <w:sz w:val="28"/>
          <w:szCs w:val="28"/>
        </w:rPr>
        <w:t>izlietojis</w:t>
      </w:r>
      <w:r w:rsidR="00EA0945" w:rsidRPr="00C93A49">
        <w:rPr>
          <w:color w:val="000000"/>
          <w:spacing w:val="-2"/>
          <w:sz w:val="28"/>
          <w:szCs w:val="28"/>
        </w:rPr>
        <w:t xml:space="preserve">, attiecīgo elektroenerģijas apjomu ieskaita nākamajā patērētās elektroenerģijas </w:t>
      </w:r>
      <w:r w:rsidR="00EA0945" w:rsidRPr="00C93A49">
        <w:rPr>
          <w:spacing w:val="-2"/>
          <w:sz w:val="28"/>
          <w:szCs w:val="28"/>
        </w:rPr>
        <w:t>norēķinu</w:t>
      </w:r>
      <w:r w:rsidR="004740F4" w:rsidRPr="00C93A49">
        <w:rPr>
          <w:spacing w:val="-2"/>
          <w:sz w:val="28"/>
          <w:szCs w:val="28"/>
        </w:rPr>
        <w:t xml:space="preserve"> periodā</w:t>
      </w:r>
      <w:r w:rsidR="000B2801" w:rsidRPr="00C93A49">
        <w:rPr>
          <w:spacing w:val="-2"/>
          <w:sz w:val="28"/>
          <w:szCs w:val="28"/>
        </w:rPr>
        <w:t xml:space="preserve"> </w:t>
      </w:r>
      <w:r w:rsidR="00C44729" w:rsidRPr="00C93A49">
        <w:rPr>
          <w:spacing w:val="-2"/>
          <w:sz w:val="28"/>
          <w:szCs w:val="28"/>
        </w:rPr>
        <w:t>viena</w:t>
      </w:r>
      <w:r w:rsidR="000B2801" w:rsidRPr="00C93A49">
        <w:rPr>
          <w:spacing w:val="-2"/>
          <w:sz w:val="28"/>
          <w:szCs w:val="28"/>
        </w:rPr>
        <w:t xml:space="preserve"> kalendār</w:t>
      </w:r>
      <w:r w:rsidR="00C93A49">
        <w:rPr>
          <w:spacing w:val="-2"/>
          <w:sz w:val="28"/>
          <w:szCs w:val="28"/>
        </w:rPr>
        <w:t>a</w:t>
      </w:r>
      <w:r w:rsidR="000B2801" w:rsidRPr="00C93A49">
        <w:rPr>
          <w:spacing w:val="-2"/>
          <w:sz w:val="28"/>
          <w:szCs w:val="28"/>
        </w:rPr>
        <w:t xml:space="preserve"> gada ietvaros. </w:t>
      </w:r>
      <w:r w:rsidR="008B6F08" w:rsidRPr="00C93A49">
        <w:rPr>
          <w:spacing w:val="-2"/>
          <w:sz w:val="28"/>
          <w:szCs w:val="28"/>
        </w:rPr>
        <w:t>Elektroenerģijas neto norēķinu sistēmas aprēķ</w:t>
      </w:r>
      <w:r w:rsidR="00C93A49">
        <w:rPr>
          <w:spacing w:val="-2"/>
          <w:sz w:val="28"/>
          <w:szCs w:val="28"/>
        </w:rPr>
        <w:t>ina periods ir viens kalendāra</w:t>
      </w:r>
      <w:r w:rsidR="008B6F08" w:rsidRPr="00C93A49">
        <w:rPr>
          <w:spacing w:val="-2"/>
          <w:sz w:val="28"/>
          <w:szCs w:val="28"/>
        </w:rPr>
        <w:t xml:space="preserve"> mēnesis.</w:t>
      </w:r>
      <w:r w:rsidR="00ED308C" w:rsidRPr="00C93A49">
        <w:rPr>
          <w:spacing w:val="-2"/>
          <w:sz w:val="28"/>
          <w:szCs w:val="28"/>
        </w:rPr>
        <w:t xml:space="preserve"> </w:t>
      </w:r>
    </w:p>
    <w:p w14:paraId="529B082F" w14:textId="185927B1" w:rsidR="00F40F9D" w:rsidRPr="007D1A25" w:rsidRDefault="007D1A25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(2) </w:t>
      </w:r>
      <w:r w:rsidR="00F40F9D" w:rsidRPr="007D1A25">
        <w:rPr>
          <w:sz w:val="28"/>
          <w:szCs w:val="28"/>
        </w:rPr>
        <w:t>Mājsaimniecības lietotājam, kas ražo elektroenerģiju izlietošanai savā mājsaimniecībā paša vajadzībām (galapatēriņam), ir tiesības</w:t>
      </w:r>
      <w:r w:rsidR="00434ABD" w:rsidRPr="007D1A25">
        <w:rPr>
          <w:sz w:val="28"/>
          <w:szCs w:val="28"/>
        </w:rPr>
        <w:t xml:space="preserve"> </w:t>
      </w:r>
      <w:r w:rsidR="00F40F9D" w:rsidRPr="007D1A25">
        <w:rPr>
          <w:sz w:val="28"/>
          <w:szCs w:val="28"/>
        </w:rPr>
        <w:t xml:space="preserve">norēķinos par mājsaimniecībā saražoto un izlietoto elektroenerģiju izmantot elektroenerģijas neto norēķinu sistēmu, ja ir ievēroti </w:t>
      </w:r>
      <w:r w:rsidR="001B2661" w:rsidRPr="007D1A25">
        <w:rPr>
          <w:sz w:val="28"/>
          <w:szCs w:val="28"/>
        </w:rPr>
        <w:t xml:space="preserve">visi </w:t>
      </w:r>
      <w:r w:rsidR="00CC046F" w:rsidRPr="007D1A25">
        <w:rPr>
          <w:sz w:val="28"/>
          <w:szCs w:val="28"/>
        </w:rPr>
        <w:t xml:space="preserve">šādi </w:t>
      </w:r>
      <w:r w:rsidR="00F40F9D" w:rsidRPr="007D1A25">
        <w:rPr>
          <w:sz w:val="28"/>
          <w:szCs w:val="28"/>
        </w:rPr>
        <w:t>nosacījumi:</w:t>
      </w:r>
    </w:p>
    <w:p w14:paraId="04760DD6" w14:textId="19CFE6D5" w:rsidR="00434ABD" w:rsidRPr="007D1A25" w:rsidRDefault="007D1A25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34ABD" w:rsidRPr="007D1A25">
        <w:rPr>
          <w:sz w:val="28"/>
          <w:szCs w:val="28"/>
        </w:rPr>
        <w:t xml:space="preserve">mājsaimniecības lietotājs </w:t>
      </w:r>
      <w:r w:rsidR="00C93A49">
        <w:rPr>
          <w:sz w:val="28"/>
          <w:szCs w:val="28"/>
        </w:rPr>
        <w:t>ar</w:t>
      </w:r>
      <w:r w:rsidR="00434ABD" w:rsidRPr="007D1A25">
        <w:rPr>
          <w:sz w:val="28"/>
          <w:szCs w:val="28"/>
        </w:rPr>
        <w:t xml:space="preserve"> sadales sistēmas operator</w:t>
      </w:r>
      <w:r w:rsidR="00C93A49">
        <w:rPr>
          <w:sz w:val="28"/>
          <w:szCs w:val="28"/>
        </w:rPr>
        <w:t>u</w:t>
      </w:r>
      <w:r w:rsidR="00434ABD" w:rsidRPr="007D1A25">
        <w:rPr>
          <w:sz w:val="28"/>
          <w:szCs w:val="28"/>
        </w:rPr>
        <w:t xml:space="preserve"> ir noslēdzis rakstveida vienošanos par elektroenerģijas neto norēķinu sistēmas piemērošanu;</w:t>
      </w:r>
    </w:p>
    <w:p w14:paraId="529B0830" w14:textId="52A8439A" w:rsidR="00F40F9D" w:rsidRPr="007D1A25" w:rsidRDefault="007D1A25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40F9D" w:rsidRPr="007D1A25">
        <w:rPr>
          <w:sz w:val="28"/>
          <w:szCs w:val="28"/>
        </w:rPr>
        <w:t>elektroenerģija mājsaimniecībā tiek ražota, izmantojot atjaunojamos energoresursus;</w:t>
      </w:r>
    </w:p>
    <w:p w14:paraId="529B0831" w14:textId="1C365DF6" w:rsidR="00F40F9D" w:rsidRPr="007D1A25" w:rsidRDefault="007D1A25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40F9D" w:rsidRPr="007D1A25">
        <w:rPr>
          <w:sz w:val="28"/>
          <w:szCs w:val="28"/>
        </w:rPr>
        <w:t>elektroenerģija mājsaimniecībā tiek ražota un izlietota viena sistēmas pieslēguma ietvaros;</w:t>
      </w:r>
    </w:p>
    <w:p w14:paraId="529B0832" w14:textId="6CBF793C" w:rsidR="00F40F9D" w:rsidRPr="007D1A25" w:rsidRDefault="007D1A25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40F9D" w:rsidRPr="007D1A25">
        <w:rPr>
          <w:sz w:val="28"/>
          <w:szCs w:val="28"/>
        </w:rPr>
        <w:t>mājsaimniecībā uzstādīto elektroenerģijas ražošanas iekārtu darba spriegums nepārsniedz 400</w:t>
      </w:r>
      <w:r w:rsidR="00E3791A" w:rsidRPr="007D1A25">
        <w:rPr>
          <w:sz w:val="28"/>
          <w:szCs w:val="28"/>
        </w:rPr>
        <w:t xml:space="preserve"> voltu</w:t>
      </w:r>
      <w:r w:rsidR="00F40F9D" w:rsidRPr="007D1A25">
        <w:rPr>
          <w:sz w:val="28"/>
          <w:szCs w:val="28"/>
        </w:rPr>
        <w:t xml:space="preserve"> un kopējā darba strāva vienfāzes vai trīsfāzu pieslēgumā nepārsniedz 16</w:t>
      </w:r>
      <w:r w:rsidR="00E3791A" w:rsidRPr="007D1A25">
        <w:rPr>
          <w:sz w:val="28"/>
          <w:szCs w:val="28"/>
        </w:rPr>
        <w:t xml:space="preserve"> ampēru</w:t>
      </w:r>
      <w:r w:rsidR="00F40F9D" w:rsidRPr="007D1A25">
        <w:rPr>
          <w:sz w:val="28"/>
          <w:szCs w:val="28"/>
        </w:rPr>
        <w:t>.</w:t>
      </w:r>
    </w:p>
    <w:p w14:paraId="529B0836" w14:textId="12EC3480" w:rsidR="00F9501E" w:rsidRPr="007D1A25" w:rsidRDefault="00F40F9D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(</w:t>
      </w:r>
      <w:r w:rsidR="00ED308C" w:rsidRPr="007D1A25">
        <w:rPr>
          <w:sz w:val="28"/>
          <w:szCs w:val="28"/>
        </w:rPr>
        <w:t>3</w:t>
      </w:r>
      <w:r w:rsidR="003E6C41" w:rsidRPr="007D1A25">
        <w:rPr>
          <w:sz w:val="28"/>
          <w:szCs w:val="28"/>
        </w:rPr>
        <w:t>)</w:t>
      </w:r>
      <w:r w:rsidR="00CE26EC" w:rsidRPr="007D1A25">
        <w:rPr>
          <w:sz w:val="28"/>
          <w:szCs w:val="28"/>
        </w:rPr>
        <w:t xml:space="preserve"> </w:t>
      </w:r>
      <w:r w:rsidR="00CC046F" w:rsidRPr="007D1A25">
        <w:rPr>
          <w:sz w:val="28"/>
          <w:szCs w:val="28"/>
        </w:rPr>
        <w:t xml:space="preserve">Elektroenerģijas neto norēķinu sistēmu </w:t>
      </w:r>
      <w:r w:rsidRPr="007D1A25">
        <w:rPr>
          <w:sz w:val="28"/>
          <w:szCs w:val="28"/>
        </w:rPr>
        <w:t xml:space="preserve">piemēro </w:t>
      </w:r>
      <w:r w:rsidR="00CC046F" w:rsidRPr="007D1A25">
        <w:rPr>
          <w:sz w:val="28"/>
          <w:szCs w:val="28"/>
        </w:rPr>
        <w:t xml:space="preserve">tikai </w:t>
      </w:r>
      <w:r w:rsidRPr="007D1A25">
        <w:rPr>
          <w:sz w:val="28"/>
          <w:szCs w:val="28"/>
        </w:rPr>
        <w:t xml:space="preserve">norēķiniem par </w:t>
      </w:r>
      <w:r w:rsidR="0024590D" w:rsidRPr="007D1A25">
        <w:rPr>
          <w:sz w:val="28"/>
          <w:szCs w:val="28"/>
        </w:rPr>
        <w:t xml:space="preserve">mājsaimniecības lietotāja </w:t>
      </w:r>
      <w:r w:rsidRPr="007D1A25">
        <w:rPr>
          <w:sz w:val="28"/>
          <w:szCs w:val="28"/>
        </w:rPr>
        <w:t xml:space="preserve">izlietoto elektroenerģiju, bet nepiemēro norēķiniem par saņemtajiem </w:t>
      </w:r>
      <w:r w:rsidR="0024590D" w:rsidRPr="007D1A25">
        <w:rPr>
          <w:sz w:val="28"/>
          <w:szCs w:val="28"/>
        </w:rPr>
        <w:t xml:space="preserve">sadales </w:t>
      </w:r>
      <w:r w:rsidRPr="007D1A25">
        <w:rPr>
          <w:sz w:val="28"/>
          <w:szCs w:val="28"/>
        </w:rPr>
        <w:t xml:space="preserve">sistēmas pakalpojumiem </w:t>
      </w:r>
      <w:r w:rsidR="00C93A2C" w:rsidRPr="007D1A25">
        <w:rPr>
          <w:sz w:val="28"/>
          <w:szCs w:val="28"/>
        </w:rPr>
        <w:t>vai</w:t>
      </w:r>
      <w:r w:rsidRPr="007D1A25">
        <w:rPr>
          <w:sz w:val="28"/>
          <w:szCs w:val="28"/>
        </w:rPr>
        <w:t xml:space="preserve"> citiem normatīvajos aktos noteiktajiem maksājumiem.</w:t>
      </w:r>
    </w:p>
    <w:p w14:paraId="529B0837" w14:textId="0DA3841C" w:rsidR="00DA395C" w:rsidRPr="007D1A25" w:rsidRDefault="004C6C37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(</w:t>
      </w:r>
      <w:r w:rsidR="00ED308C" w:rsidRPr="007D1A25">
        <w:rPr>
          <w:sz w:val="28"/>
          <w:szCs w:val="28"/>
        </w:rPr>
        <w:t>4</w:t>
      </w:r>
      <w:r w:rsidR="00532D0F" w:rsidRPr="007D1A25">
        <w:rPr>
          <w:sz w:val="28"/>
          <w:szCs w:val="28"/>
        </w:rPr>
        <w:t>)</w:t>
      </w:r>
      <w:r w:rsidR="00CE26EC" w:rsidRPr="007D1A25">
        <w:rPr>
          <w:sz w:val="28"/>
          <w:szCs w:val="28"/>
        </w:rPr>
        <w:t xml:space="preserve"> </w:t>
      </w:r>
      <w:r w:rsidR="00944CAD" w:rsidRPr="007D1A25">
        <w:rPr>
          <w:sz w:val="28"/>
          <w:szCs w:val="28"/>
        </w:rPr>
        <w:t>Kārtību, kādā mājsaimniecības lietotājs vienojas ar sadales sistēmas operatoru par elektroenerģijas neto norēķinu sistēmas piemērošanu un sistēmas piemērošanas k</w:t>
      </w:r>
      <w:r w:rsidR="0060463B" w:rsidRPr="007D1A25">
        <w:rPr>
          <w:sz w:val="28"/>
          <w:szCs w:val="28"/>
        </w:rPr>
        <w:t>ārtību</w:t>
      </w:r>
      <w:r w:rsidR="00D67541">
        <w:rPr>
          <w:sz w:val="28"/>
          <w:szCs w:val="28"/>
        </w:rPr>
        <w:t>,</w:t>
      </w:r>
      <w:r w:rsidR="0060463B" w:rsidRPr="007D1A25">
        <w:rPr>
          <w:sz w:val="28"/>
          <w:szCs w:val="28"/>
        </w:rPr>
        <w:t xml:space="preserve"> nosaka Ministru kabinets</w:t>
      </w:r>
      <w:r w:rsidR="00E41F4C" w:rsidRPr="007D1A25">
        <w:rPr>
          <w:sz w:val="28"/>
          <w:szCs w:val="28"/>
        </w:rPr>
        <w:t>.</w:t>
      </w:r>
      <w:r w:rsidR="007D1A25" w:rsidRPr="007D1A25">
        <w:rPr>
          <w:sz w:val="28"/>
          <w:szCs w:val="28"/>
        </w:rPr>
        <w:t>"</w:t>
      </w:r>
    </w:p>
    <w:p w14:paraId="529B0838" w14:textId="77777777" w:rsidR="00585FDC" w:rsidRPr="00A7418D" w:rsidRDefault="00585FDC" w:rsidP="007D1A25">
      <w:pPr>
        <w:ind w:firstLine="709"/>
        <w:jc w:val="both"/>
        <w:rPr>
          <w:sz w:val="28"/>
          <w:szCs w:val="28"/>
        </w:rPr>
      </w:pPr>
    </w:p>
    <w:p w14:paraId="39D91233" w14:textId="6A2663D5" w:rsidR="005453EB" w:rsidRPr="007D1A25" w:rsidRDefault="00C93A49" w:rsidP="007D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A25">
        <w:rPr>
          <w:sz w:val="28"/>
          <w:szCs w:val="28"/>
        </w:rPr>
        <w:t>. </w:t>
      </w:r>
      <w:r w:rsidR="005453EB" w:rsidRPr="007D1A25">
        <w:rPr>
          <w:sz w:val="28"/>
          <w:szCs w:val="28"/>
        </w:rPr>
        <w:t xml:space="preserve">Aizstāt </w:t>
      </w:r>
      <w:r w:rsidR="00585FDC" w:rsidRPr="007D1A25">
        <w:rPr>
          <w:iCs/>
          <w:sz w:val="28"/>
          <w:szCs w:val="28"/>
        </w:rPr>
        <w:t>37.</w:t>
      </w:r>
      <w:r w:rsidR="00585FDC" w:rsidRPr="007D1A25">
        <w:rPr>
          <w:iCs/>
          <w:sz w:val="28"/>
          <w:szCs w:val="28"/>
          <w:vertAlign w:val="superscript"/>
        </w:rPr>
        <w:t>2</w:t>
      </w:r>
      <w:r w:rsidR="005453EB" w:rsidRPr="007D1A25">
        <w:rPr>
          <w:iCs/>
          <w:sz w:val="28"/>
          <w:szCs w:val="28"/>
        </w:rPr>
        <w:t xml:space="preserve"> panta trešās daļas pirmajā teikumā vārdu </w:t>
      </w:r>
      <w:r w:rsidR="007D1A25" w:rsidRPr="007D1A25">
        <w:rPr>
          <w:iCs/>
          <w:sz w:val="28"/>
          <w:szCs w:val="28"/>
        </w:rPr>
        <w:t>"</w:t>
      </w:r>
      <w:r w:rsidR="005453EB" w:rsidRPr="007D1A25">
        <w:rPr>
          <w:iCs/>
          <w:sz w:val="28"/>
          <w:szCs w:val="28"/>
        </w:rPr>
        <w:t>birža</w:t>
      </w:r>
      <w:r w:rsidR="007D1A25" w:rsidRPr="007D1A25">
        <w:rPr>
          <w:iCs/>
          <w:sz w:val="28"/>
          <w:szCs w:val="28"/>
        </w:rPr>
        <w:t>"</w:t>
      </w:r>
      <w:r w:rsidR="005453EB" w:rsidRPr="007D1A25">
        <w:rPr>
          <w:iCs/>
          <w:sz w:val="28"/>
          <w:szCs w:val="28"/>
        </w:rPr>
        <w:t xml:space="preserve"> ar vārdiem </w:t>
      </w:r>
      <w:r w:rsidR="007D1A25" w:rsidRPr="007D1A25">
        <w:rPr>
          <w:iCs/>
          <w:sz w:val="28"/>
          <w:szCs w:val="28"/>
        </w:rPr>
        <w:t>"</w:t>
      </w:r>
      <w:r w:rsidR="005453EB" w:rsidRPr="007D1A25">
        <w:rPr>
          <w:iCs/>
          <w:sz w:val="28"/>
          <w:szCs w:val="28"/>
        </w:rPr>
        <w:t>tirgus operators</w:t>
      </w:r>
      <w:r w:rsidR="007D1A25" w:rsidRPr="007D1A25">
        <w:rPr>
          <w:iCs/>
          <w:sz w:val="28"/>
          <w:szCs w:val="28"/>
        </w:rPr>
        <w:t>"</w:t>
      </w:r>
      <w:r w:rsidR="005453EB" w:rsidRPr="007D1A25">
        <w:rPr>
          <w:iCs/>
          <w:sz w:val="28"/>
          <w:szCs w:val="28"/>
        </w:rPr>
        <w:t>.</w:t>
      </w:r>
    </w:p>
    <w:p w14:paraId="4948D25D" w14:textId="0F416D5A" w:rsidR="00CE26EC" w:rsidRDefault="00CE26EC" w:rsidP="007D1A25">
      <w:pPr>
        <w:pStyle w:val="ListParagraph"/>
        <w:ind w:left="0" w:firstLine="709"/>
        <w:jc w:val="both"/>
        <w:rPr>
          <w:sz w:val="28"/>
          <w:szCs w:val="28"/>
        </w:rPr>
      </w:pPr>
    </w:p>
    <w:p w14:paraId="5A73BC06" w14:textId="5C4B84E8" w:rsidR="00CE26EC" w:rsidRPr="007D1A25" w:rsidRDefault="00C93A49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A25">
        <w:rPr>
          <w:sz w:val="28"/>
          <w:szCs w:val="28"/>
        </w:rPr>
        <w:t>. </w:t>
      </w:r>
      <w:r w:rsidR="00CE26EC" w:rsidRPr="007D1A25">
        <w:rPr>
          <w:sz w:val="28"/>
          <w:szCs w:val="28"/>
        </w:rPr>
        <w:t xml:space="preserve">Aizstāt 38.panta trešajā daļā vārdus </w:t>
      </w:r>
      <w:r w:rsidR="007D1A25" w:rsidRPr="007D1A25">
        <w:rPr>
          <w:sz w:val="28"/>
          <w:szCs w:val="28"/>
        </w:rPr>
        <w:t>"</w:t>
      </w:r>
      <w:r w:rsidR="00CE26EC" w:rsidRPr="007D1A25">
        <w:rPr>
          <w:sz w:val="28"/>
          <w:szCs w:val="28"/>
        </w:rPr>
        <w:t xml:space="preserve">likumam </w:t>
      </w:r>
      <w:r w:rsidR="007D1A25" w:rsidRPr="007D1A25">
        <w:rPr>
          <w:sz w:val="28"/>
          <w:szCs w:val="28"/>
        </w:rPr>
        <w:t>"</w:t>
      </w:r>
      <w:r w:rsidR="00CE26EC" w:rsidRPr="007D1A25">
        <w:rPr>
          <w:sz w:val="28"/>
          <w:szCs w:val="28"/>
        </w:rPr>
        <w:t>Par uzņēmumu gada pārskatiem</w:t>
      </w:r>
      <w:r w:rsidR="007D1A25" w:rsidRPr="007D1A25">
        <w:rPr>
          <w:sz w:val="28"/>
          <w:szCs w:val="28"/>
        </w:rPr>
        <w:t>""</w:t>
      </w:r>
      <w:r w:rsidR="00CE26EC" w:rsidRPr="007D1A25">
        <w:rPr>
          <w:sz w:val="28"/>
          <w:szCs w:val="28"/>
        </w:rPr>
        <w:t xml:space="preserve"> ar vārdiem </w:t>
      </w:r>
      <w:r w:rsidR="007D1A25" w:rsidRPr="007D1A25">
        <w:rPr>
          <w:sz w:val="28"/>
          <w:szCs w:val="28"/>
        </w:rPr>
        <w:t>"</w:t>
      </w:r>
      <w:r w:rsidR="00CE26EC" w:rsidRPr="007D1A25">
        <w:rPr>
          <w:sz w:val="28"/>
          <w:szCs w:val="28"/>
        </w:rPr>
        <w:t>Gada pārskatu likumam</w:t>
      </w:r>
      <w:r w:rsidR="007D1A25" w:rsidRPr="007D1A25">
        <w:rPr>
          <w:sz w:val="28"/>
          <w:szCs w:val="28"/>
        </w:rPr>
        <w:t>"</w:t>
      </w:r>
      <w:r w:rsidR="00D67541">
        <w:rPr>
          <w:sz w:val="28"/>
          <w:szCs w:val="28"/>
        </w:rPr>
        <w:t>.</w:t>
      </w:r>
    </w:p>
    <w:p w14:paraId="25011E27" w14:textId="77777777" w:rsidR="00CE26EC" w:rsidRDefault="00CE26EC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14:paraId="36EE8E31" w14:textId="65E6EE68" w:rsidR="00CE26EC" w:rsidRPr="007D1A25" w:rsidRDefault="00C93A49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A25">
        <w:rPr>
          <w:sz w:val="28"/>
          <w:szCs w:val="28"/>
        </w:rPr>
        <w:t>. </w:t>
      </w:r>
      <w:r w:rsidR="00CE26EC" w:rsidRPr="007D1A25">
        <w:rPr>
          <w:sz w:val="28"/>
          <w:szCs w:val="28"/>
        </w:rPr>
        <w:t xml:space="preserve">Aizstāt 39.panta pirmajā daļā vārdus </w:t>
      </w:r>
      <w:r w:rsidR="007D1A25" w:rsidRPr="007D1A25">
        <w:rPr>
          <w:sz w:val="28"/>
          <w:szCs w:val="28"/>
        </w:rPr>
        <w:t>"</w:t>
      </w:r>
      <w:r w:rsidR="00CE26EC" w:rsidRPr="007D1A25">
        <w:rPr>
          <w:sz w:val="28"/>
          <w:szCs w:val="28"/>
        </w:rPr>
        <w:t xml:space="preserve">likumā </w:t>
      </w:r>
      <w:r w:rsidR="007D1A25" w:rsidRPr="007D1A25">
        <w:rPr>
          <w:sz w:val="28"/>
          <w:szCs w:val="28"/>
        </w:rPr>
        <w:t>"</w:t>
      </w:r>
      <w:r w:rsidR="00CE26EC" w:rsidRPr="007D1A25">
        <w:rPr>
          <w:sz w:val="28"/>
          <w:szCs w:val="28"/>
        </w:rPr>
        <w:t>Par uzņēmumu gada pārskatiem</w:t>
      </w:r>
      <w:r w:rsidR="007D1A25" w:rsidRPr="007D1A25">
        <w:rPr>
          <w:sz w:val="28"/>
          <w:szCs w:val="28"/>
        </w:rPr>
        <w:t>""</w:t>
      </w:r>
      <w:r w:rsidR="00CE26EC" w:rsidRPr="007D1A25">
        <w:rPr>
          <w:sz w:val="28"/>
          <w:szCs w:val="28"/>
        </w:rPr>
        <w:t xml:space="preserve"> ar vārdiem </w:t>
      </w:r>
      <w:r w:rsidR="007D1A25" w:rsidRPr="007D1A25">
        <w:rPr>
          <w:sz w:val="28"/>
          <w:szCs w:val="28"/>
        </w:rPr>
        <w:t>"</w:t>
      </w:r>
      <w:r w:rsidR="00CE26EC" w:rsidRPr="007D1A25">
        <w:rPr>
          <w:sz w:val="28"/>
          <w:szCs w:val="28"/>
        </w:rPr>
        <w:t>Gada pārskatu likumā</w:t>
      </w:r>
      <w:r w:rsidR="007D1A25" w:rsidRPr="007D1A25">
        <w:rPr>
          <w:sz w:val="28"/>
          <w:szCs w:val="28"/>
        </w:rPr>
        <w:t>"</w:t>
      </w:r>
      <w:r w:rsidR="00CE26EC" w:rsidRPr="007D1A25">
        <w:rPr>
          <w:sz w:val="28"/>
          <w:szCs w:val="28"/>
        </w:rPr>
        <w:t xml:space="preserve">. </w:t>
      </w:r>
    </w:p>
    <w:p w14:paraId="529B083B" w14:textId="77777777" w:rsidR="00E767D4" w:rsidRPr="00A7418D" w:rsidRDefault="00E767D4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14:paraId="529B083C" w14:textId="422FF172" w:rsidR="00E41F4C" w:rsidRDefault="00C93A49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1A25">
        <w:rPr>
          <w:sz w:val="28"/>
          <w:szCs w:val="28"/>
        </w:rPr>
        <w:t>. </w:t>
      </w:r>
      <w:r w:rsidR="00E41F4C" w:rsidRPr="007D1A25">
        <w:rPr>
          <w:sz w:val="28"/>
          <w:szCs w:val="28"/>
        </w:rPr>
        <w:t xml:space="preserve">Papildināt pārejas noteikumus ar </w:t>
      </w:r>
      <w:r w:rsidR="00FE10D4" w:rsidRPr="007D1A25">
        <w:rPr>
          <w:sz w:val="28"/>
          <w:szCs w:val="28"/>
        </w:rPr>
        <w:t>28.</w:t>
      </w:r>
      <w:r w:rsidR="00E41F4C" w:rsidRPr="007D1A25">
        <w:rPr>
          <w:sz w:val="28"/>
          <w:szCs w:val="28"/>
        </w:rPr>
        <w:t>punktu šādā redakcijā:</w:t>
      </w:r>
    </w:p>
    <w:p w14:paraId="796A7DE2" w14:textId="77777777" w:rsidR="007D1A25" w:rsidRPr="007D1A25" w:rsidRDefault="007D1A25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14:paraId="529B083D" w14:textId="7475943C" w:rsidR="00E41F4C" w:rsidRPr="007D1A25" w:rsidRDefault="007D1A25" w:rsidP="007D1A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D1A25">
        <w:rPr>
          <w:sz w:val="28"/>
          <w:szCs w:val="28"/>
        </w:rPr>
        <w:t>"</w:t>
      </w:r>
      <w:r w:rsidR="00E41F4C" w:rsidRPr="007D1A25">
        <w:rPr>
          <w:sz w:val="28"/>
          <w:szCs w:val="28"/>
        </w:rPr>
        <w:t>28.</w:t>
      </w:r>
      <w:r w:rsidR="00C93A49">
        <w:rPr>
          <w:sz w:val="28"/>
          <w:szCs w:val="28"/>
        </w:rPr>
        <w:t> </w:t>
      </w:r>
      <w:r w:rsidR="00E41F4C" w:rsidRPr="007D1A25">
        <w:rPr>
          <w:sz w:val="28"/>
          <w:szCs w:val="28"/>
        </w:rPr>
        <w:t>Ministru kabinets līdz 2013.gada 1.janvārim izdod šā likuma 30.</w:t>
      </w:r>
      <w:r w:rsidR="00E41F4C" w:rsidRPr="007D1A2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D028FC" w:rsidRPr="007D1A25">
        <w:rPr>
          <w:sz w:val="28"/>
          <w:szCs w:val="28"/>
        </w:rPr>
        <w:t xml:space="preserve">panta </w:t>
      </w:r>
      <w:r w:rsidR="00ED308C" w:rsidRPr="007D1A25">
        <w:rPr>
          <w:sz w:val="28"/>
          <w:szCs w:val="28"/>
        </w:rPr>
        <w:t>ceturtajā</w:t>
      </w:r>
      <w:r w:rsidR="00BB602C" w:rsidRPr="007D1A25">
        <w:rPr>
          <w:sz w:val="28"/>
          <w:szCs w:val="28"/>
        </w:rPr>
        <w:t xml:space="preserve"> </w:t>
      </w:r>
      <w:r w:rsidR="00D028FC" w:rsidRPr="007D1A25">
        <w:rPr>
          <w:sz w:val="28"/>
          <w:szCs w:val="28"/>
        </w:rPr>
        <w:t xml:space="preserve">daļā </w:t>
      </w:r>
      <w:r w:rsidR="00E41F4C" w:rsidRPr="007D1A25">
        <w:rPr>
          <w:sz w:val="28"/>
          <w:szCs w:val="28"/>
        </w:rPr>
        <w:t>minētos noteikumus.</w:t>
      </w:r>
      <w:r w:rsidRPr="007D1A25">
        <w:rPr>
          <w:sz w:val="28"/>
          <w:szCs w:val="28"/>
        </w:rPr>
        <w:t>"</w:t>
      </w:r>
    </w:p>
    <w:p w14:paraId="529B083E" w14:textId="663D26CE" w:rsidR="0006169A" w:rsidRDefault="0006169A" w:rsidP="007D1A25">
      <w:pPr>
        <w:ind w:firstLine="709"/>
        <w:rPr>
          <w:sz w:val="28"/>
          <w:szCs w:val="28"/>
        </w:rPr>
      </w:pPr>
    </w:p>
    <w:p w14:paraId="6DD5E70A" w14:textId="77777777" w:rsidR="007D1A25" w:rsidRDefault="007D1A25" w:rsidP="00BA1F28">
      <w:pPr>
        <w:rPr>
          <w:sz w:val="28"/>
          <w:szCs w:val="28"/>
        </w:rPr>
      </w:pPr>
    </w:p>
    <w:p w14:paraId="420D5B40" w14:textId="77777777" w:rsidR="007D1A25" w:rsidRPr="00DE7125" w:rsidRDefault="007D1A25" w:rsidP="00BA1F28">
      <w:pPr>
        <w:rPr>
          <w:sz w:val="28"/>
          <w:szCs w:val="28"/>
        </w:rPr>
      </w:pPr>
    </w:p>
    <w:p w14:paraId="15728064" w14:textId="1800058F" w:rsidR="007D1A25" w:rsidRDefault="00BE0C27" w:rsidP="007D1A25">
      <w:pPr>
        <w:ind w:firstLine="709"/>
        <w:rPr>
          <w:sz w:val="28"/>
          <w:szCs w:val="28"/>
        </w:rPr>
      </w:pPr>
      <w:r w:rsidRPr="00DE7125">
        <w:rPr>
          <w:sz w:val="28"/>
          <w:szCs w:val="28"/>
        </w:rPr>
        <w:t>Ekonomikas ministr</w:t>
      </w:r>
      <w:r w:rsidR="00B1610B">
        <w:rPr>
          <w:sz w:val="28"/>
          <w:szCs w:val="28"/>
        </w:rPr>
        <w:t>a vietā –</w:t>
      </w:r>
    </w:p>
    <w:p w14:paraId="1003DE47" w14:textId="77777777" w:rsidR="00B1610B" w:rsidRDefault="00B1610B" w:rsidP="007D1A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reģionālās attīstības un </w:t>
      </w:r>
    </w:p>
    <w:p w14:paraId="78A039AD" w14:textId="77777777" w:rsidR="00B1610B" w:rsidRDefault="00B1610B" w:rsidP="007D1A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pašvaldību lietu ministrs</w:t>
      </w:r>
      <w:r>
        <w:rPr>
          <w:sz w:val="28"/>
          <w:szCs w:val="28"/>
        </w:rPr>
        <w:tab/>
      </w:r>
    </w:p>
    <w:p w14:paraId="51D94A30" w14:textId="35D18AE6" w:rsidR="00B1610B" w:rsidRDefault="00B1610B" w:rsidP="007D1A25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E.Sprūdžs</w:t>
      </w:r>
      <w:bookmarkStart w:id="0" w:name="_GoBack"/>
      <w:bookmarkEnd w:id="0"/>
      <w:proofErr w:type="spellEnd"/>
    </w:p>
    <w:sectPr w:rsidR="00B1610B" w:rsidSect="00935C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084A" w14:textId="77777777" w:rsidR="00C93A49" w:rsidRDefault="00C93A49" w:rsidP="00AE7F21">
      <w:r>
        <w:separator/>
      </w:r>
    </w:p>
  </w:endnote>
  <w:endnote w:type="continuationSeparator" w:id="0">
    <w:p w14:paraId="529B084B" w14:textId="77777777" w:rsidR="00C93A49" w:rsidRDefault="00C93A49" w:rsidP="00A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084D" w14:textId="1FC8F6A0" w:rsidR="00C93A49" w:rsidRPr="007D1A25" w:rsidRDefault="00C93A49" w:rsidP="007D1A25">
    <w:pPr>
      <w:pStyle w:val="Footer"/>
      <w:jc w:val="both"/>
      <w:rPr>
        <w:sz w:val="16"/>
        <w:szCs w:val="16"/>
      </w:rPr>
    </w:pPr>
    <w:r w:rsidRPr="007D1A25">
      <w:rPr>
        <w:sz w:val="16"/>
        <w:szCs w:val="16"/>
      </w:rPr>
      <w:t>L2437_2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284E" w14:textId="70C321C5" w:rsidR="00C93A49" w:rsidRPr="007D1A25" w:rsidRDefault="00C93A49">
    <w:pPr>
      <w:pStyle w:val="Footer"/>
      <w:rPr>
        <w:sz w:val="16"/>
        <w:szCs w:val="16"/>
      </w:rPr>
    </w:pPr>
    <w:proofErr w:type="spellStart"/>
    <w:r w:rsidRPr="007D1A25">
      <w:rPr>
        <w:sz w:val="16"/>
        <w:szCs w:val="16"/>
      </w:rPr>
      <w:t>L2437_2</w:t>
    </w:r>
    <w:proofErr w:type="spellEnd"/>
    <w:proofErr w:type="gramStart"/>
    <w:r w:rsidR="00D67541">
      <w:rPr>
        <w:sz w:val="16"/>
        <w:szCs w:val="16"/>
      </w:rPr>
      <w:t xml:space="preserve"> </w:t>
    </w:r>
    <w:r w:rsidR="00B1610B">
      <w:rPr>
        <w:sz w:val="16"/>
        <w:szCs w:val="16"/>
      </w:rPr>
      <w:t xml:space="preserve">  </w:t>
    </w:r>
    <w:proofErr w:type="spellStart"/>
    <w:proofErr w:type="gramEnd"/>
    <w:r w:rsidR="00B1610B">
      <w:rPr>
        <w:sz w:val="16"/>
        <w:szCs w:val="16"/>
      </w:rPr>
      <w:t>v_sk</w:t>
    </w:r>
    <w:proofErr w:type="spellEnd"/>
    <w:r w:rsidR="00B1610B">
      <w:rPr>
        <w:sz w:val="16"/>
        <w:szCs w:val="16"/>
      </w:rPr>
      <w:t xml:space="preserve">. = </w:t>
    </w:r>
    <w:r w:rsidR="00B1610B">
      <w:rPr>
        <w:sz w:val="16"/>
        <w:szCs w:val="16"/>
      </w:rPr>
      <w:fldChar w:fldCharType="begin"/>
    </w:r>
    <w:r w:rsidR="00B1610B">
      <w:rPr>
        <w:sz w:val="16"/>
        <w:szCs w:val="16"/>
      </w:rPr>
      <w:instrText xml:space="preserve"> NUMWORDS  \* MERGEFORMAT </w:instrText>
    </w:r>
    <w:r w:rsidR="00B1610B">
      <w:rPr>
        <w:sz w:val="16"/>
        <w:szCs w:val="16"/>
      </w:rPr>
      <w:fldChar w:fldCharType="separate"/>
    </w:r>
    <w:r w:rsidR="00B1610B">
      <w:rPr>
        <w:noProof/>
        <w:sz w:val="16"/>
        <w:szCs w:val="16"/>
      </w:rPr>
      <w:t>462</w:t>
    </w:r>
    <w:r w:rsidR="00B161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0848" w14:textId="77777777" w:rsidR="00C93A49" w:rsidRDefault="00C93A49" w:rsidP="00AE7F21">
      <w:r>
        <w:separator/>
      </w:r>
    </w:p>
  </w:footnote>
  <w:footnote w:type="continuationSeparator" w:id="0">
    <w:p w14:paraId="529B0849" w14:textId="77777777" w:rsidR="00C93A49" w:rsidRDefault="00C93A49" w:rsidP="00AE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85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34EB72" w14:textId="34D8BAB3" w:rsidR="00A93778" w:rsidRDefault="00A93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648FD" w14:textId="77777777" w:rsidR="00A93778" w:rsidRDefault="00A93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E2EC" w14:textId="022022D3" w:rsidR="00935C2D" w:rsidRDefault="00935C2D">
    <w:pPr>
      <w:pStyle w:val="Header"/>
      <w:jc w:val="center"/>
    </w:pPr>
  </w:p>
  <w:p w14:paraId="77B0E040" w14:textId="77777777" w:rsidR="00935C2D" w:rsidRDefault="00935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B2"/>
    <w:multiLevelType w:val="hybridMultilevel"/>
    <w:tmpl w:val="D02A67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8ECEE616">
      <w:start w:val="1"/>
      <w:numFmt w:val="decimal"/>
      <w:lvlText w:val="(%2)"/>
      <w:lvlJc w:val="left"/>
      <w:pPr>
        <w:ind w:left="1755" w:hanging="675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760"/>
    <w:multiLevelType w:val="hybridMultilevel"/>
    <w:tmpl w:val="15DAC0B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B3599A"/>
    <w:multiLevelType w:val="hybridMultilevel"/>
    <w:tmpl w:val="ACE69B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02CA5"/>
    <w:multiLevelType w:val="hybridMultilevel"/>
    <w:tmpl w:val="FF32E806"/>
    <w:lvl w:ilvl="0" w:tplc="AAD05A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C25C7"/>
    <w:multiLevelType w:val="hybridMultilevel"/>
    <w:tmpl w:val="3C226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6A0B"/>
    <w:multiLevelType w:val="multilevel"/>
    <w:tmpl w:val="A336F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AC5"/>
    <w:rsid w:val="00003565"/>
    <w:rsid w:val="0000526E"/>
    <w:rsid w:val="00020C2E"/>
    <w:rsid w:val="000467B3"/>
    <w:rsid w:val="0006169A"/>
    <w:rsid w:val="000748D1"/>
    <w:rsid w:val="0009513E"/>
    <w:rsid w:val="000A51B1"/>
    <w:rsid w:val="000A627E"/>
    <w:rsid w:val="000B2801"/>
    <w:rsid w:val="000B7A5B"/>
    <w:rsid w:val="000C306B"/>
    <w:rsid w:val="000C66BD"/>
    <w:rsid w:val="000D3BCE"/>
    <w:rsid w:val="000E5BF8"/>
    <w:rsid w:val="000F11FC"/>
    <w:rsid w:val="00100950"/>
    <w:rsid w:val="00103DB6"/>
    <w:rsid w:val="001043A8"/>
    <w:rsid w:val="00105B28"/>
    <w:rsid w:val="0012540C"/>
    <w:rsid w:val="001332BD"/>
    <w:rsid w:val="00143391"/>
    <w:rsid w:val="00143C78"/>
    <w:rsid w:val="0015078B"/>
    <w:rsid w:val="00150D86"/>
    <w:rsid w:val="00167CDE"/>
    <w:rsid w:val="001A09FB"/>
    <w:rsid w:val="001B23B5"/>
    <w:rsid w:val="001B2661"/>
    <w:rsid w:val="001C426E"/>
    <w:rsid w:val="001E407D"/>
    <w:rsid w:val="001E47CB"/>
    <w:rsid w:val="00227A90"/>
    <w:rsid w:val="0023376E"/>
    <w:rsid w:val="00240D91"/>
    <w:rsid w:val="00241661"/>
    <w:rsid w:val="002422E3"/>
    <w:rsid w:val="002428AE"/>
    <w:rsid w:val="00243EA4"/>
    <w:rsid w:val="00245882"/>
    <w:rsid w:val="0024590D"/>
    <w:rsid w:val="00251EBD"/>
    <w:rsid w:val="002602B6"/>
    <w:rsid w:val="00267D1C"/>
    <w:rsid w:val="0027060A"/>
    <w:rsid w:val="00272016"/>
    <w:rsid w:val="002725CD"/>
    <w:rsid w:val="0028016F"/>
    <w:rsid w:val="00280FA0"/>
    <w:rsid w:val="002C06D1"/>
    <w:rsid w:val="002C0C77"/>
    <w:rsid w:val="002D559B"/>
    <w:rsid w:val="002F0B01"/>
    <w:rsid w:val="0030232D"/>
    <w:rsid w:val="00306DD1"/>
    <w:rsid w:val="00326FEA"/>
    <w:rsid w:val="0034565E"/>
    <w:rsid w:val="00364E0E"/>
    <w:rsid w:val="00377558"/>
    <w:rsid w:val="00385D40"/>
    <w:rsid w:val="003A2E2B"/>
    <w:rsid w:val="003B2059"/>
    <w:rsid w:val="003B26FD"/>
    <w:rsid w:val="003C1D34"/>
    <w:rsid w:val="003D3DBA"/>
    <w:rsid w:val="003E21F5"/>
    <w:rsid w:val="003E51E2"/>
    <w:rsid w:val="003E6C41"/>
    <w:rsid w:val="0040508F"/>
    <w:rsid w:val="00434ABD"/>
    <w:rsid w:val="00443CF1"/>
    <w:rsid w:val="00465DCA"/>
    <w:rsid w:val="004740F4"/>
    <w:rsid w:val="0047761A"/>
    <w:rsid w:val="004776D9"/>
    <w:rsid w:val="004963FE"/>
    <w:rsid w:val="004B0B56"/>
    <w:rsid w:val="004B14CA"/>
    <w:rsid w:val="004B15D6"/>
    <w:rsid w:val="004B43E3"/>
    <w:rsid w:val="004B5353"/>
    <w:rsid w:val="004C6C37"/>
    <w:rsid w:val="004D02E2"/>
    <w:rsid w:val="004E58E2"/>
    <w:rsid w:val="004E7803"/>
    <w:rsid w:val="004F3EC3"/>
    <w:rsid w:val="00505672"/>
    <w:rsid w:val="00522FFC"/>
    <w:rsid w:val="00532D0F"/>
    <w:rsid w:val="00543CF5"/>
    <w:rsid w:val="005453EB"/>
    <w:rsid w:val="00547D83"/>
    <w:rsid w:val="00553166"/>
    <w:rsid w:val="0056252A"/>
    <w:rsid w:val="00583CAD"/>
    <w:rsid w:val="00585FDC"/>
    <w:rsid w:val="005B3F9E"/>
    <w:rsid w:val="005D26D2"/>
    <w:rsid w:val="005F1ACE"/>
    <w:rsid w:val="005F26DD"/>
    <w:rsid w:val="005F2732"/>
    <w:rsid w:val="0060463B"/>
    <w:rsid w:val="00611D10"/>
    <w:rsid w:val="00631219"/>
    <w:rsid w:val="006412CB"/>
    <w:rsid w:val="00667361"/>
    <w:rsid w:val="006A75B9"/>
    <w:rsid w:val="006C770F"/>
    <w:rsid w:val="006D685A"/>
    <w:rsid w:val="006E23AB"/>
    <w:rsid w:val="006E389F"/>
    <w:rsid w:val="006F6789"/>
    <w:rsid w:val="00704E4A"/>
    <w:rsid w:val="00710A46"/>
    <w:rsid w:val="00711053"/>
    <w:rsid w:val="00725F98"/>
    <w:rsid w:val="00752E8C"/>
    <w:rsid w:val="00754C13"/>
    <w:rsid w:val="0077401E"/>
    <w:rsid w:val="0079319F"/>
    <w:rsid w:val="0079479C"/>
    <w:rsid w:val="007B0458"/>
    <w:rsid w:val="007B2230"/>
    <w:rsid w:val="007B358A"/>
    <w:rsid w:val="007C2C65"/>
    <w:rsid w:val="007C3A27"/>
    <w:rsid w:val="007D1A25"/>
    <w:rsid w:val="00801755"/>
    <w:rsid w:val="00804530"/>
    <w:rsid w:val="00826613"/>
    <w:rsid w:val="00826CAA"/>
    <w:rsid w:val="00840450"/>
    <w:rsid w:val="00841B6E"/>
    <w:rsid w:val="00853ED7"/>
    <w:rsid w:val="00857C52"/>
    <w:rsid w:val="00886CD8"/>
    <w:rsid w:val="00893CFE"/>
    <w:rsid w:val="008B6F08"/>
    <w:rsid w:val="008D670C"/>
    <w:rsid w:val="008E2863"/>
    <w:rsid w:val="008E34CC"/>
    <w:rsid w:val="009035FB"/>
    <w:rsid w:val="00906FD0"/>
    <w:rsid w:val="009079EA"/>
    <w:rsid w:val="00912A55"/>
    <w:rsid w:val="00926231"/>
    <w:rsid w:val="00931781"/>
    <w:rsid w:val="00934245"/>
    <w:rsid w:val="00935C2D"/>
    <w:rsid w:val="00937CF5"/>
    <w:rsid w:val="00944CAD"/>
    <w:rsid w:val="00945043"/>
    <w:rsid w:val="00963961"/>
    <w:rsid w:val="00965F75"/>
    <w:rsid w:val="00976AC5"/>
    <w:rsid w:val="0099422B"/>
    <w:rsid w:val="009968CA"/>
    <w:rsid w:val="009A4986"/>
    <w:rsid w:val="009B329A"/>
    <w:rsid w:val="009E2A09"/>
    <w:rsid w:val="009F5FC0"/>
    <w:rsid w:val="00A154F2"/>
    <w:rsid w:val="00A205A2"/>
    <w:rsid w:val="00A31F0A"/>
    <w:rsid w:val="00A44F32"/>
    <w:rsid w:val="00A666EB"/>
    <w:rsid w:val="00A7418D"/>
    <w:rsid w:val="00A92E30"/>
    <w:rsid w:val="00A93778"/>
    <w:rsid w:val="00A96806"/>
    <w:rsid w:val="00AB08F7"/>
    <w:rsid w:val="00AC0A3C"/>
    <w:rsid w:val="00AE47CC"/>
    <w:rsid w:val="00AE7F21"/>
    <w:rsid w:val="00AF4436"/>
    <w:rsid w:val="00B1610B"/>
    <w:rsid w:val="00B173C5"/>
    <w:rsid w:val="00B32699"/>
    <w:rsid w:val="00B452AB"/>
    <w:rsid w:val="00B63649"/>
    <w:rsid w:val="00B65EFC"/>
    <w:rsid w:val="00B72191"/>
    <w:rsid w:val="00B807CD"/>
    <w:rsid w:val="00B84C80"/>
    <w:rsid w:val="00BA1F28"/>
    <w:rsid w:val="00BA2A45"/>
    <w:rsid w:val="00BB04A7"/>
    <w:rsid w:val="00BB602C"/>
    <w:rsid w:val="00BC0403"/>
    <w:rsid w:val="00BC0B97"/>
    <w:rsid w:val="00BC71BE"/>
    <w:rsid w:val="00BE0C27"/>
    <w:rsid w:val="00BE63AA"/>
    <w:rsid w:val="00BE6C3D"/>
    <w:rsid w:val="00BE7903"/>
    <w:rsid w:val="00C243EF"/>
    <w:rsid w:val="00C26DBD"/>
    <w:rsid w:val="00C41B61"/>
    <w:rsid w:val="00C44729"/>
    <w:rsid w:val="00C53E3E"/>
    <w:rsid w:val="00C93A2C"/>
    <w:rsid w:val="00C93A49"/>
    <w:rsid w:val="00C9523F"/>
    <w:rsid w:val="00CA1E69"/>
    <w:rsid w:val="00CC046F"/>
    <w:rsid w:val="00CC3D04"/>
    <w:rsid w:val="00CC5135"/>
    <w:rsid w:val="00CD47D6"/>
    <w:rsid w:val="00CD48BE"/>
    <w:rsid w:val="00CE1619"/>
    <w:rsid w:val="00CE26EC"/>
    <w:rsid w:val="00CF48CE"/>
    <w:rsid w:val="00D028FC"/>
    <w:rsid w:val="00D27F86"/>
    <w:rsid w:val="00D33579"/>
    <w:rsid w:val="00D377D9"/>
    <w:rsid w:val="00D505CB"/>
    <w:rsid w:val="00D63F1D"/>
    <w:rsid w:val="00D67541"/>
    <w:rsid w:val="00D96979"/>
    <w:rsid w:val="00DA2B72"/>
    <w:rsid w:val="00DA395C"/>
    <w:rsid w:val="00DB18F9"/>
    <w:rsid w:val="00DB371B"/>
    <w:rsid w:val="00DC200D"/>
    <w:rsid w:val="00DC6057"/>
    <w:rsid w:val="00DE6177"/>
    <w:rsid w:val="00DE6866"/>
    <w:rsid w:val="00DE7125"/>
    <w:rsid w:val="00DF1499"/>
    <w:rsid w:val="00E25EA9"/>
    <w:rsid w:val="00E366A1"/>
    <w:rsid w:val="00E3791A"/>
    <w:rsid w:val="00E41F4C"/>
    <w:rsid w:val="00E45EB0"/>
    <w:rsid w:val="00E52059"/>
    <w:rsid w:val="00E767D4"/>
    <w:rsid w:val="00E80A5E"/>
    <w:rsid w:val="00E82793"/>
    <w:rsid w:val="00E8486F"/>
    <w:rsid w:val="00E86283"/>
    <w:rsid w:val="00E86BB9"/>
    <w:rsid w:val="00EA0945"/>
    <w:rsid w:val="00ED308C"/>
    <w:rsid w:val="00EE6214"/>
    <w:rsid w:val="00EF15A1"/>
    <w:rsid w:val="00F1373A"/>
    <w:rsid w:val="00F37A14"/>
    <w:rsid w:val="00F40F9D"/>
    <w:rsid w:val="00F427D3"/>
    <w:rsid w:val="00F433DD"/>
    <w:rsid w:val="00F54627"/>
    <w:rsid w:val="00F61928"/>
    <w:rsid w:val="00F64198"/>
    <w:rsid w:val="00F6453F"/>
    <w:rsid w:val="00F64A9E"/>
    <w:rsid w:val="00F93C50"/>
    <w:rsid w:val="00F94FF0"/>
    <w:rsid w:val="00F9501E"/>
    <w:rsid w:val="00F95C87"/>
    <w:rsid w:val="00FA63D8"/>
    <w:rsid w:val="00FC0DB1"/>
    <w:rsid w:val="00FC7281"/>
    <w:rsid w:val="00FD0480"/>
    <w:rsid w:val="00FE10D4"/>
    <w:rsid w:val="00FF0832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9B0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5F75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96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21"/>
    <w:rPr>
      <w:sz w:val="24"/>
      <w:szCs w:val="24"/>
    </w:rPr>
  </w:style>
  <w:style w:type="character" w:customStyle="1" w:styleId="tvdoctopindex">
    <w:name w:val="tv_doc_top_index"/>
    <w:basedOn w:val="DefaultParagraphFont"/>
    <w:rsid w:val="004B15D6"/>
  </w:style>
  <w:style w:type="character" w:styleId="Hyperlink">
    <w:name w:val="Hyperlink"/>
    <w:basedOn w:val="DefaultParagraphFont"/>
    <w:uiPriority w:val="99"/>
    <w:unhideWhenUsed/>
    <w:rsid w:val="004B15D6"/>
    <w:rPr>
      <w:color w:val="0000FF"/>
      <w:u w:val="single"/>
    </w:rPr>
  </w:style>
  <w:style w:type="character" w:styleId="CommentReference">
    <w:name w:val="annotation reference"/>
    <w:basedOn w:val="DefaultParagraphFont"/>
    <w:rsid w:val="004F3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EC3"/>
  </w:style>
  <w:style w:type="paragraph" w:styleId="CommentSubject">
    <w:name w:val="annotation subject"/>
    <w:basedOn w:val="CommentText"/>
    <w:next w:val="CommentText"/>
    <w:link w:val="CommentSubjectChar"/>
    <w:rsid w:val="004F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EC3"/>
    <w:rPr>
      <w:b/>
      <w:bCs/>
    </w:rPr>
  </w:style>
  <w:style w:type="paragraph" w:styleId="ListParagraph">
    <w:name w:val="List Paragraph"/>
    <w:basedOn w:val="Normal"/>
    <w:uiPriority w:val="34"/>
    <w:qFormat/>
    <w:rsid w:val="00F4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73B8-EDE6-45CB-93D4-8D5881EF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465</Words>
  <Characters>3467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Elektroenerģijas tirgus likumā </vt:lpstr>
    </vt:vector>
  </TitlesOfParts>
  <Manager>SarmaU</Manager>
  <Company>LR Ekonomikas ministrija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Elektroenerģijas tirgus likumā </dc:title>
  <dc:subject>Likumprojekts</dc:subject>
  <dc:creator>BunkovskisJ</dc:creator>
  <cp:keywords/>
  <dc:description>67013170, 
janis.bunkovskis@em.gov.lv</dc:description>
  <cp:lastModifiedBy>Inese Lismane</cp:lastModifiedBy>
  <cp:revision>104</cp:revision>
  <cp:lastPrinted>2012-11-06T08:11:00Z</cp:lastPrinted>
  <dcterms:created xsi:type="dcterms:W3CDTF">2012-09-04T07:11:00Z</dcterms:created>
  <dcterms:modified xsi:type="dcterms:W3CDTF">2012-11-06T08:12:00Z</dcterms:modified>
</cp:coreProperties>
</file>