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24F" w:rsidRPr="004C299B" w:rsidRDefault="0089524F" w:rsidP="00ED0A54">
      <w:pPr>
        <w:ind w:firstLine="737"/>
        <w:jc w:val="center"/>
        <w:rPr>
          <w:b/>
          <w:sz w:val="28"/>
          <w:szCs w:val="28"/>
        </w:rPr>
      </w:pPr>
      <w:bookmarkStart w:id="0" w:name="_GoBack"/>
      <w:bookmarkEnd w:id="0"/>
      <w:r w:rsidRPr="004C299B">
        <w:rPr>
          <w:b/>
          <w:sz w:val="28"/>
          <w:szCs w:val="28"/>
        </w:rPr>
        <w:t>Informatīvais ziņojums</w:t>
      </w:r>
    </w:p>
    <w:p w:rsidR="00F323F1" w:rsidRPr="00537DB6" w:rsidRDefault="00004780" w:rsidP="00537DB6">
      <w:pPr>
        <w:ind w:firstLine="737"/>
        <w:jc w:val="center"/>
        <w:rPr>
          <w:b/>
          <w:sz w:val="28"/>
          <w:szCs w:val="28"/>
        </w:rPr>
      </w:pPr>
      <w:r w:rsidRPr="00537DB6">
        <w:rPr>
          <w:b/>
          <w:sz w:val="28"/>
          <w:szCs w:val="28"/>
        </w:rPr>
        <w:t xml:space="preserve">par Latvijas nostāju </w:t>
      </w:r>
      <w:r w:rsidR="000C70CD" w:rsidRPr="00537DB6">
        <w:rPr>
          <w:b/>
          <w:sz w:val="28"/>
          <w:szCs w:val="28"/>
        </w:rPr>
        <w:t xml:space="preserve">Eiropas Savienības </w:t>
      </w:r>
      <w:r w:rsidRPr="00537DB6">
        <w:rPr>
          <w:b/>
          <w:sz w:val="28"/>
          <w:szCs w:val="28"/>
        </w:rPr>
        <w:t xml:space="preserve">Transporta, telekomunikāciju un enerģētikas ministru padomes 2013.gada 12.decembra </w:t>
      </w:r>
      <w:r w:rsidR="000C70CD" w:rsidRPr="00537DB6">
        <w:rPr>
          <w:b/>
          <w:sz w:val="28"/>
          <w:szCs w:val="28"/>
        </w:rPr>
        <w:t>sanāksmē izskatāmajos Ekonomikas ministrijas kompetences jautājumos</w:t>
      </w:r>
    </w:p>
    <w:p w:rsidR="00ED0A54" w:rsidRDefault="00ED0A54" w:rsidP="00ED0A54">
      <w:pPr>
        <w:ind w:firstLine="737"/>
        <w:jc w:val="center"/>
        <w:rPr>
          <w:rFonts w:eastAsia="Calibri"/>
          <w:b/>
          <w:sz w:val="28"/>
          <w:szCs w:val="28"/>
        </w:rPr>
      </w:pPr>
    </w:p>
    <w:p w:rsidR="00F323F1" w:rsidRPr="004C299B" w:rsidRDefault="00F323F1" w:rsidP="00ED0A54">
      <w:pPr>
        <w:ind w:firstLine="737"/>
        <w:jc w:val="center"/>
        <w:rPr>
          <w:rFonts w:eastAsia="Calibri"/>
          <w:b/>
          <w:sz w:val="28"/>
          <w:szCs w:val="28"/>
        </w:rPr>
      </w:pPr>
      <w:r w:rsidRPr="004C299B">
        <w:rPr>
          <w:rFonts w:eastAsia="Calibri"/>
          <w:b/>
          <w:sz w:val="28"/>
          <w:szCs w:val="28"/>
        </w:rPr>
        <w:t>1. Transporta, telekomunikāciju un enerģētikas ministru padomes sanāksmes darba kārtība</w:t>
      </w:r>
    </w:p>
    <w:p w:rsidR="00F323F1" w:rsidRPr="004C299B" w:rsidRDefault="00F323F1" w:rsidP="00ED0A54">
      <w:pPr>
        <w:ind w:firstLine="737"/>
        <w:jc w:val="both"/>
        <w:rPr>
          <w:rFonts w:eastAsia="Calibri"/>
          <w:b/>
          <w:sz w:val="28"/>
          <w:szCs w:val="28"/>
        </w:rPr>
      </w:pPr>
    </w:p>
    <w:p w:rsidR="00F323F1" w:rsidRPr="004C299B" w:rsidRDefault="00F323F1" w:rsidP="00ED0A54">
      <w:pPr>
        <w:ind w:firstLine="737"/>
        <w:jc w:val="both"/>
        <w:rPr>
          <w:rFonts w:eastAsia="Calibri"/>
          <w:sz w:val="28"/>
          <w:szCs w:val="28"/>
        </w:rPr>
      </w:pPr>
      <w:r w:rsidRPr="004C299B">
        <w:rPr>
          <w:rFonts w:eastAsia="Calibri"/>
          <w:sz w:val="28"/>
          <w:szCs w:val="28"/>
        </w:rPr>
        <w:t>2013. gada 12.decembrī Briselē notiks Eiropas Savienības (turpmāk – ES) Transporta, Telekomunikāciju un Enerģētikas</w:t>
      </w:r>
      <w:r w:rsidR="00B11601">
        <w:rPr>
          <w:rFonts w:eastAsia="Calibri"/>
          <w:sz w:val="28"/>
          <w:szCs w:val="28"/>
        </w:rPr>
        <w:t xml:space="preserve"> (turpmāk - TTE)</w:t>
      </w:r>
      <w:r w:rsidRPr="004C299B">
        <w:rPr>
          <w:rFonts w:eastAsia="Calibri"/>
          <w:sz w:val="28"/>
          <w:szCs w:val="28"/>
        </w:rPr>
        <w:t xml:space="preserve"> ministru padomes sanāksme (turpmāk – sanāksme), kurā tiks izskatīti šādi enerģētikas jautājumi:</w:t>
      </w:r>
    </w:p>
    <w:p w:rsidR="00F323F1" w:rsidRPr="004C299B" w:rsidRDefault="00F323F1" w:rsidP="00ED0A54">
      <w:pPr>
        <w:ind w:firstLine="737"/>
        <w:jc w:val="both"/>
        <w:rPr>
          <w:rFonts w:eastAsia="Calibri"/>
          <w:sz w:val="28"/>
          <w:szCs w:val="28"/>
        </w:rPr>
      </w:pPr>
    </w:p>
    <w:p w:rsidR="00F323F1" w:rsidRPr="004C299B" w:rsidRDefault="00F323F1" w:rsidP="00ED0A54">
      <w:pPr>
        <w:jc w:val="both"/>
        <w:rPr>
          <w:b/>
          <w:sz w:val="28"/>
          <w:szCs w:val="28"/>
          <w:lang w:eastAsia="zh-CN"/>
        </w:rPr>
      </w:pPr>
      <w:r w:rsidRPr="004C299B">
        <w:rPr>
          <w:b/>
          <w:sz w:val="28"/>
          <w:szCs w:val="28"/>
          <w:lang w:eastAsia="zh-CN"/>
        </w:rPr>
        <w:t xml:space="preserve">1.1. Priekšlikums – Eiropas Parlamenta un Padomes Direktīva, ar kuru groza Eiropas Parlamenta un Padomes Direktīvu 2009/28/EK par atjaunojamo energoresursu izmantošanas veicināšanu un ar ko groza un sekojoši atceļ Direktīvas 2001/77/EK un 2003/30/EK, un ar kuru groza Eiropas Parlamenta un Padomes Direktīvu 98/70/EK, kas attiecas uz benzīna un dīzeļdegvielu kvalitāti un ar ko groza Padomes Direktīvu 93/12/EEK </w:t>
      </w:r>
      <w:r w:rsidR="000C33C1" w:rsidRPr="000C33C1">
        <w:rPr>
          <w:i/>
          <w:sz w:val="28"/>
          <w:szCs w:val="28"/>
          <w:lang w:eastAsia="zh-CN"/>
        </w:rPr>
        <w:t>(sagatavota</w:t>
      </w:r>
      <w:r w:rsidR="000C33C1">
        <w:rPr>
          <w:i/>
          <w:sz w:val="28"/>
          <w:szCs w:val="28"/>
          <w:lang w:eastAsia="zh-CN"/>
        </w:rPr>
        <w:t xml:space="preserve"> nacionālā</w:t>
      </w:r>
      <w:r w:rsidR="000C33C1" w:rsidRPr="000C33C1">
        <w:rPr>
          <w:i/>
          <w:sz w:val="28"/>
          <w:szCs w:val="28"/>
          <w:lang w:eastAsia="zh-CN"/>
        </w:rPr>
        <w:t xml:space="preserve"> pozīcija)</w:t>
      </w:r>
    </w:p>
    <w:p w:rsidR="00F323F1" w:rsidRPr="004C299B" w:rsidRDefault="00F323F1" w:rsidP="00ED0A54">
      <w:pPr>
        <w:ind w:firstLine="737"/>
        <w:jc w:val="both"/>
        <w:rPr>
          <w:i/>
          <w:sz w:val="28"/>
          <w:szCs w:val="28"/>
          <w:lang w:eastAsia="zh-CN"/>
        </w:rPr>
      </w:pPr>
      <w:r w:rsidRPr="004C299B">
        <w:rPr>
          <w:i/>
          <w:sz w:val="28"/>
          <w:szCs w:val="28"/>
          <w:lang w:eastAsia="zh-CN"/>
        </w:rPr>
        <w:t>–</w:t>
      </w:r>
      <w:r w:rsidRPr="004C299B">
        <w:rPr>
          <w:i/>
          <w:sz w:val="28"/>
          <w:szCs w:val="28"/>
          <w:lang w:eastAsia="zh-CN"/>
        </w:rPr>
        <w:tab/>
        <w:t>politisk</w:t>
      </w:r>
      <w:r w:rsidR="00C67CCC">
        <w:rPr>
          <w:i/>
          <w:sz w:val="28"/>
          <w:szCs w:val="28"/>
          <w:lang w:eastAsia="zh-CN"/>
        </w:rPr>
        <w:t>ā</w:t>
      </w:r>
      <w:r w:rsidRPr="004C299B">
        <w:rPr>
          <w:i/>
          <w:sz w:val="28"/>
          <w:szCs w:val="28"/>
          <w:lang w:eastAsia="zh-CN"/>
        </w:rPr>
        <w:t xml:space="preserve"> vienošanās</w:t>
      </w:r>
    </w:p>
    <w:p w:rsidR="00966B31" w:rsidRPr="004C299B" w:rsidRDefault="00966B31" w:rsidP="00ED0A54">
      <w:pPr>
        <w:ind w:firstLine="737"/>
        <w:jc w:val="both"/>
        <w:rPr>
          <w:i/>
          <w:sz w:val="28"/>
          <w:szCs w:val="28"/>
          <w:lang w:eastAsia="zh-CN"/>
        </w:rPr>
      </w:pPr>
    </w:p>
    <w:p w:rsidR="00E753D3" w:rsidRPr="004C299B" w:rsidRDefault="00966B31" w:rsidP="00ED0A54">
      <w:pPr>
        <w:ind w:firstLine="737"/>
        <w:jc w:val="both"/>
        <w:rPr>
          <w:sz w:val="28"/>
          <w:szCs w:val="28"/>
          <w:lang w:eastAsia="zh-CN"/>
        </w:rPr>
      </w:pPr>
      <w:r w:rsidRPr="004C299B">
        <w:rPr>
          <w:sz w:val="28"/>
          <w:szCs w:val="28"/>
          <w:lang w:eastAsia="zh-CN"/>
        </w:rPr>
        <w:t xml:space="preserve">Eiropas Komisija (turpmāk – EK) 2012. gada 17. oktobrī nāca klajā ar Priekšlikumu </w:t>
      </w:r>
      <w:r w:rsidRPr="004C299B">
        <w:rPr>
          <w:i/>
          <w:sz w:val="28"/>
          <w:szCs w:val="28"/>
          <w:lang w:eastAsia="zh-CN"/>
        </w:rPr>
        <w:t>Eiropas Parlamenta un Padomes Direktīvai, ar ko groza Direktīvu 98/70/EK, kas attiecas uz benzīna un dīzeļdegvielu kvalitāti un Direktīvu 2009/28/EK par atjaunojamo energoresursu veicināšanu</w:t>
      </w:r>
      <w:r w:rsidRPr="004C299B">
        <w:rPr>
          <w:sz w:val="28"/>
          <w:szCs w:val="28"/>
          <w:lang w:eastAsia="zh-CN"/>
        </w:rPr>
        <w:t xml:space="preserve"> (turpmāk – Priekšlikums), ar kuru paredzēts veicināt pāreju uz biodegvielām, kas dod ievērojamus siltumnīcefekta gāzu (turpmāk – SEG) emisiju ietaupījumus arī tad, ja aprēķinos ietver netiešu zemes izmantojuma izmaiņu (</w:t>
      </w:r>
      <w:r w:rsidRPr="004C299B">
        <w:rPr>
          <w:i/>
          <w:sz w:val="28"/>
          <w:szCs w:val="28"/>
          <w:lang w:eastAsia="zh-CN"/>
        </w:rPr>
        <w:t>indirect land use change</w:t>
      </w:r>
      <w:r w:rsidR="000C70CD" w:rsidRPr="004C299B">
        <w:rPr>
          <w:sz w:val="28"/>
          <w:szCs w:val="28"/>
          <w:lang w:eastAsia="zh-CN"/>
        </w:rPr>
        <w:t xml:space="preserve"> -</w:t>
      </w:r>
      <w:r w:rsidRPr="004C299B">
        <w:rPr>
          <w:sz w:val="28"/>
          <w:szCs w:val="28"/>
          <w:lang w:eastAsia="zh-CN"/>
        </w:rPr>
        <w:t xml:space="preserve"> ILUC) radītās emisijas, tajā pašā laikā aizsargājot līdzšinējās investīcijas. </w:t>
      </w:r>
    </w:p>
    <w:p w:rsidR="00D90859" w:rsidRPr="004C299B" w:rsidRDefault="00060F2D" w:rsidP="00ED0A54">
      <w:pPr>
        <w:ind w:firstLine="737"/>
        <w:jc w:val="both"/>
        <w:rPr>
          <w:sz w:val="28"/>
          <w:szCs w:val="28"/>
          <w:lang w:eastAsia="zh-CN"/>
        </w:rPr>
      </w:pPr>
      <w:r w:rsidRPr="004C299B">
        <w:rPr>
          <w:sz w:val="28"/>
          <w:szCs w:val="28"/>
          <w:lang w:eastAsia="zh-CN"/>
        </w:rPr>
        <w:t xml:space="preserve">Orientējošās debates par Priekšlikumu notika TTE ministru padomes 2013. gada 22. februāra sanāksmē un Vides ministru padomes 2013. gada 21. marta sanāksmē. </w:t>
      </w:r>
      <w:r w:rsidR="007F2153" w:rsidRPr="004C299B">
        <w:rPr>
          <w:sz w:val="28"/>
          <w:szCs w:val="28"/>
          <w:lang w:eastAsia="zh-CN"/>
        </w:rPr>
        <w:t>Eiropas Parlamenta (turpmāk – EP) pirmā lasījuma nostāja tika apstiprināta 2013.gada septembrī. Vienlaikus EP ir izvēlējies neuzsākt sarunas par agru otrā lasījuma vienošanos, līdz ar ko priekšlikums tiks virzīts uz otru lasījumu.</w:t>
      </w:r>
      <w:r w:rsidR="00D90859" w:rsidRPr="004C299B">
        <w:rPr>
          <w:sz w:val="28"/>
          <w:szCs w:val="28"/>
          <w:lang w:eastAsia="zh-CN"/>
        </w:rPr>
        <w:t xml:space="preserve"> </w:t>
      </w:r>
      <w:r w:rsidRPr="004C299B">
        <w:rPr>
          <w:sz w:val="28"/>
          <w:szCs w:val="28"/>
          <w:lang w:eastAsia="zh-CN"/>
        </w:rPr>
        <w:t>Lietuvas</w:t>
      </w:r>
      <w:r w:rsidR="000C70CD" w:rsidRPr="004C299B">
        <w:rPr>
          <w:sz w:val="28"/>
          <w:szCs w:val="28"/>
          <w:lang w:eastAsia="zh-CN"/>
        </w:rPr>
        <w:t xml:space="preserve"> p</w:t>
      </w:r>
      <w:r w:rsidR="00D90859" w:rsidRPr="004C299B">
        <w:rPr>
          <w:sz w:val="28"/>
          <w:szCs w:val="28"/>
          <w:lang w:eastAsia="zh-CN"/>
        </w:rPr>
        <w:t xml:space="preserve">rezidentūra plāno sanāksmē apstiprināt </w:t>
      </w:r>
      <w:r w:rsidR="007F2153" w:rsidRPr="004C299B">
        <w:rPr>
          <w:sz w:val="28"/>
          <w:szCs w:val="28"/>
          <w:lang w:eastAsia="zh-CN"/>
        </w:rPr>
        <w:t xml:space="preserve">Padomes </w:t>
      </w:r>
      <w:r w:rsidR="00D90859" w:rsidRPr="004C299B">
        <w:rPr>
          <w:sz w:val="28"/>
          <w:szCs w:val="28"/>
          <w:lang w:eastAsia="zh-CN"/>
        </w:rPr>
        <w:t>nostāju</w:t>
      </w:r>
      <w:r w:rsidR="000C70CD" w:rsidRPr="004C299B">
        <w:rPr>
          <w:sz w:val="28"/>
          <w:szCs w:val="28"/>
          <w:lang w:eastAsia="zh-CN"/>
        </w:rPr>
        <w:t xml:space="preserve"> un sagatavoja priekšlikuma kompromisa redakciju.</w:t>
      </w:r>
      <w:r w:rsidR="00E753D3" w:rsidRPr="004C299B">
        <w:rPr>
          <w:sz w:val="28"/>
          <w:szCs w:val="28"/>
          <w:lang w:eastAsia="zh-CN"/>
        </w:rPr>
        <w:t xml:space="preserve"> Sanāksmē Padome tiks aicināta panākt politisko vienošanās par Prezidentūras kompromisu</w:t>
      </w:r>
      <w:r w:rsidR="007F2153" w:rsidRPr="004C299B">
        <w:rPr>
          <w:sz w:val="28"/>
          <w:szCs w:val="28"/>
          <w:lang w:eastAsia="zh-CN"/>
        </w:rPr>
        <w:t>.</w:t>
      </w:r>
    </w:p>
    <w:p w:rsidR="00D70E56" w:rsidRPr="004C299B" w:rsidRDefault="00D70E56" w:rsidP="00ED0A54">
      <w:pPr>
        <w:tabs>
          <w:tab w:val="left" w:pos="3048"/>
        </w:tabs>
        <w:ind w:firstLine="737"/>
        <w:jc w:val="both"/>
        <w:rPr>
          <w:b/>
          <w:sz w:val="28"/>
          <w:szCs w:val="28"/>
          <w:lang w:eastAsia="zh-CN"/>
        </w:rPr>
      </w:pPr>
      <w:r w:rsidRPr="004C299B">
        <w:rPr>
          <w:sz w:val="28"/>
          <w:szCs w:val="28"/>
          <w:lang w:eastAsia="zh-CN"/>
        </w:rPr>
        <w:t>Prezidentūras kompromiss paredz ierobežot tradicionālo biodegvielu patēriņu, uzlabot biodegvielu ražošanas procesu, raugoties no emisiju samazināšanas aspekta, kā arī</w:t>
      </w:r>
      <w:r w:rsidR="00E753D3" w:rsidRPr="004C299B">
        <w:rPr>
          <w:sz w:val="28"/>
          <w:szCs w:val="28"/>
          <w:lang w:eastAsia="zh-CN"/>
        </w:rPr>
        <w:t xml:space="preserve"> aicina</w:t>
      </w:r>
      <w:r w:rsidRPr="004C299B">
        <w:rPr>
          <w:sz w:val="28"/>
          <w:szCs w:val="28"/>
          <w:lang w:eastAsia="zh-CN"/>
        </w:rPr>
        <w:t xml:space="preserve"> veicināt otrās paaudzes biodegvielu </w:t>
      </w:r>
      <w:r w:rsidRPr="004C299B">
        <w:rPr>
          <w:sz w:val="28"/>
          <w:szCs w:val="28"/>
          <w:lang w:eastAsia="zh-CN"/>
        </w:rPr>
        <w:lastRenderedPageBreak/>
        <w:t>ienākšanu tirgū</w:t>
      </w:r>
      <w:r w:rsidR="00E753D3" w:rsidRPr="00B80B89">
        <w:rPr>
          <w:sz w:val="28"/>
          <w:szCs w:val="28"/>
          <w:lang w:eastAsia="zh-CN"/>
        </w:rPr>
        <w:t>, neuzliekot saistošus mērķus</w:t>
      </w:r>
      <w:r w:rsidRPr="00B80B89">
        <w:rPr>
          <w:sz w:val="28"/>
          <w:szCs w:val="28"/>
          <w:lang w:eastAsia="zh-CN"/>
        </w:rPr>
        <w:t xml:space="preserve">. Vienlaikus </w:t>
      </w:r>
      <w:r w:rsidR="00E753D3" w:rsidRPr="00B80B89">
        <w:rPr>
          <w:sz w:val="28"/>
          <w:szCs w:val="28"/>
          <w:lang w:eastAsia="zh-CN"/>
        </w:rPr>
        <w:t xml:space="preserve">tas norāda, ka </w:t>
      </w:r>
      <w:r w:rsidRPr="003B0651">
        <w:rPr>
          <w:sz w:val="28"/>
          <w:szCs w:val="28"/>
          <w:lang w:eastAsia="zh-CN"/>
        </w:rPr>
        <w:t>būtisks faktors ir kaitīgo emi</w:t>
      </w:r>
      <w:r w:rsidRPr="00CE6AA2">
        <w:rPr>
          <w:sz w:val="28"/>
          <w:szCs w:val="28"/>
          <w:lang w:eastAsia="zh-CN"/>
        </w:rPr>
        <w:t>siju ziņošanas mehānisma pilnveidošana ar mērķi veicināt caurredzamību un iespēju robežās maksimāli samazinot radītos CO</w:t>
      </w:r>
      <w:r w:rsidRPr="004C299B">
        <w:rPr>
          <w:sz w:val="28"/>
          <w:szCs w:val="28"/>
          <w:vertAlign w:val="subscript"/>
          <w:lang w:eastAsia="zh-CN"/>
        </w:rPr>
        <w:t>2</w:t>
      </w:r>
      <w:r w:rsidRPr="004C299B">
        <w:rPr>
          <w:sz w:val="28"/>
          <w:szCs w:val="28"/>
          <w:lang w:eastAsia="zh-CN"/>
        </w:rPr>
        <w:t xml:space="preserve"> izmešu apmērus.</w:t>
      </w:r>
    </w:p>
    <w:p w:rsidR="00800BE8" w:rsidRDefault="00800BE8" w:rsidP="00ED0A54">
      <w:pPr>
        <w:ind w:firstLine="737"/>
        <w:jc w:val="both"/>
        <w:rPr>
          <w:sz w:val="28"/>
          <w:szCs w:val="28"/>
          <w:lang w:eastAsia="zh-CN"/>
        </w:rPr>
      </w:pPr>
      <w:r w:rsidRPr="004C299B">
        <w:rPr>
          <w:sz w:val="28"/>
          <w:szCs w:val="28"/>
          <w:lang w:eastAsia="zh-CN"/>
        </w:rPr>
        <w:t xml:space="preserve">Saskaņā ar Centrālās statistikas pārvaldes datiem par biodīzeļdegvielas un bioetanola patēriņu 2012.gadā </w:t>
      </w:r>
      <w:r w:rsidR="00E753D3" w:rsidRPr="004C299B">
        <w:rPr>
          <w:sz w:val="28"/>
          <w:szCs w:val="28"/>
          <w:lang w:eastAsia="zh-CN"/>
        </w:rPr>
        <w:t xml:space="preserve">Latvijā </w:t>
      </w:r>
      <w:r w:rsidRPr="004C299B">
        <w:rPr>
          <w:sz w:val="28"/>
          <w:szCs w:val="28"/>
          <w:lang w:eastAsia="zh-CN"/>
        </w:rPr>
        <w:t>biodegvielu īpatsvars enerģijas galapatēriņā transportā 2012. gadā bija 2,2%. Savukārt no AER saražotas enerģijas īpatsvars visā transportā 2012. gadā bija 3,1%</w:t>
      </w:r>
      <w:r w:rsidR="000C33C1">
        <w:rPr>
          <w:sz w:val="28"/>
          <w:szCs w:val="28"/>
          <w:lang w:eastAsia="zh-CN"/>
        </w:rPr>
        <w:t>,</w:t>
      </w:r>
      <w:r w:rsidRPr="004C299B">
        <w:rPr>
          <w:sz w:val="28"/>
          <w:szCs w:val="28"/>
          <w:lang w:eastAsia="zh-CN"/>
        </w:rPr>
        <w:t xml:space="preserve"> no tiem 0,9% bija no atjaunojamajiem energoresursiem saražotā un transportā patērētā elektroenerģija. Latvijā biodegvielu ražošanai pārsvarā izmanto graudus un rapsi. Bioetanola ražošanai izmanto kviešus, rudzus un tritikāli, bet tīras augu eļļas, kuru var izmantot kā transporta degvielu, un biodīzeļdegvielas ražošanai pārsvarā izmanto rapsi. Pašlaik Latvijā netiek ražotas un izmantotas otrās paaudzes biodegvielas, kas ražotas no atkritumiem, atlikumiem, nepārtikas celulozes izejvielām un lignocelulozes izejvielām, kā arī nav veikti aprēķini par otrās paaudzes biodegvielas izmantošanas vai ražošanas ietekmi uz tautsaimniecību no vides, ekonomikas un sociālā aspekta.</w:t>
      </w:r>
    </w:p>
    <w:p w:rsidR="000C33C1" w:rsidRDefault="000C33C1" w:rsidP="000C33C1">
      <w:pPr>
        <w:jc w:val="both"/>
        <w:rPr>
          <w:sz w:val="28"/>
          <w:szCs w:val="28"/>
          <w:lang w:eastAsia="zh-CN"/>
        </w:rPr>
      </w:pPr>
    </w:p>
    <w:p w:rsidR="000C33C1" w:rsidRPr="000C33C1" w:rsidRDefault="000C33C1" w:rsidP="000C33C1">
      <w:pPr>
        <w:jc w:val="both"/>
        <w:rPr>
          <w:b/>
          <w:i/>
          <w:sz w:val="28"/>
          <w:szCs w:val="28"/>
          <w:lang w:eastAsia="zh-CN"/>
        </w:rPr>
      </w:pPr>
      <w:r w:rsidRPr="000C33C1">
        <w:rPr>
          <w:b/>
          <w:i/>
          <w:sz w:val="28"/>
          <w:szCs w:val="28"/>
          <w:lang w:eastAsia="zh-CN"/>
        </w:rPr>
        <w:t>Latvijas pozīcija:</w:t>
      </w:r>
    </w:p>
    <w:p w:rsidR="00E753D3" w:rsidRPr="004C299B" w:rsidRDefault="00966B31" w:rsidP="00ED0A54">
      <w:pPr>
        <w:ind w:firstLine="737"/>
        <w:jc w:val="both"/>
        <w:rPr>
          <w:sz w:val="28"/>
          <w:szCs w:val="28"/>
          <w:lang w:eastAsia="zh-CN"/>
        </w:rPr>
      </w:pPr>
      <w:r w:rsidRPr="004C299B">
        <w:rPr>
          <w:sz w:val="28"/>
          <w:szCs w:val="28"/>
          <w:lang w:eastAsia="zh-CN"/>
        </w:rPr>
        <w:t xml:space="preserve">Latvija kopumā atbalsta </w:t>
      </w:r>
      <w:r w:rsidR="00800BE8" w:rsidRPr="004C299B">
        <w:rPr>
          <w:sz w:val="28"/>
          <w:szCs w:val="28"/>
          <w:lang w:eastAsia="zh-CN"/>
        </w:rPr>
        <w:t xml:space="preserve">Prezidentūras piedāvāto kompromisa </w:t>
      </w:r>
      <w:r w:rsidRPr="004C299B">
        <w:rPr>
          <w:sz w:val="28"/>
          <w:szCs w:val="28"/>
          <w:lang w:eastAsia="zh-CN"/>
        </w:rPr>
        <w:t>redakciju</w:t>
      </w:r>
      <w:r w:rsidR="00E753D3" w:rsidRPr="004C299B">
        <w:rPr>
          <w:sz w:val="28"/>
          <w:szCs w:val="28"/>
          <w:lang w:eastAsia="zh-CN"/>
        </w:rPr>
        <w:t>, jo</w:t>
      </w:r>
      <w:r w:rsidR="00800BE8" w:rsidRPr="004C299B">
        <w:rPr>
          <w:sz w:val="28"/>
          <w:szCs w:val="28"/>
          <w:lang w:eastAsia="zh-CN"/>
        </w:rPr>
        <w:t xml:space="preserve"> </w:t>
      </w:r>
      <w:r w:rsidR="00E753D3" w:rsidRPr="004C299B">
        <w:rPr>
          <w:sz w:val="28"/>
          <w:szCs w:val="28"/>
          <w:lang w:eastAsia="zh-CN"/>
        </w:rPr>
        <w:t>tas</w:t>
      </w:r>
      <w:r w:rsidRPr="004C299B">
        <w:rPr>
          <w:sz w:val="28"/>
          <w:szCs w:val="28"/>
          <w:lang w:eastAsia="zh-CN"/>
        </w:rPr>
        <w:t xml:space="preserve"> līdzsvaro dalībvalstu īpašās intereses. </w:t>
      </w:r>
      <w:r w:rsidR="00E753D3" w:rsidRPr="004C299B">
        <w:rPr>
          <w:sz w:val="28"/>
          <w:szCs w:val="28"/>
          <w:lang w:eastAsia="zh-CN"/>
        </w:rPr>
        <w:t>Prezid</w:t>
      </w:r>
      <w:r w:rsidR="00F92EAA">
        <w:rPr>
          <w:sz w:val="28"/>
          <w:szCs w:val="28"/>
          <w:lang w:eastAsia="zh-CN"/>
        </w:rPr>
        <w:t xml:space="preserve">entūras </w:t>
      </w:r>
      <w:r w:rsidRPr="004C299B">
        <w:rPr>
          <w:sz w:val="28"/>
          <w:szCs w:val="28"/>
          <w:lang w:eastAsia="zh-CN"/>
        </w:rPr>
        <w:t xml:space="preserve">kompromiss ir atbilstošs Latvijas interesēm, jo īpaši attiecībā uz ierobežojuma līmeni pirmās paaudzes biodegvielai (minimums 7%), kā arī paredz īpaši atbalstīt elektrību kā atjaunojamo energoresursu transportā, paredzot tam vairākkārtīgus skaitītājus </w:t>
      </w:r>
      <w:r w:rsidR="00F92EAA">
        <w:rPr>
          <w:sz w:val="28"/>
          <w:szCs w:val="28"/>
          <w:lang w:eastAsia="zh-CN"/>
        </w:rPr>
        <w:t xml:space="preserve">sasniegtā mērķa aprēķināšanai. </w:t>
      </w:r>
      <w:r w:rsidR="00800BE8" w:rsidRPr="004C299B">
        <w:rPr>
          <w:sz w:val="28"/>
          <w:szCs w:val="28"/>
          <w:lang w:eastAsia="zh-CN"/>
        </w:rPr>
        <w:t>Latvija</w:t>
      </w:r>
      <w:r w:rsidRPr="004C299B">
        <w:rPr>
          <w:sz w:val="28"/>
          <w:szCs w:val="28"/>
          <w:lang w:eastAsia="zh-CN"/>
        </w:rPr>
        <w:t xml:space="preserve"> </w:t>
      </w:r>
      <w:r w:rsidR="00F92EAA">
        <w:rPr>
          <w:sz w:val="28"/>
          <w:szCs w:val="28"/>
          <w:lang w:eastAsia="zh-CN"/>
        </w:rPr>
        <w:t xml:space="preserve">īpaši </w:t>
      </w:r>
      <w:r w:rsidRPr="004C299B">
        <w:rPr>
          <w:sz w:val="28"/>
          <w:szCs w:val="28"/>
          <w:lang w:eastAsia="zh-CN"/>
        </w:rPr>
        <w:t xml:space="preserve">atbalsta priekšlikumu sekmēt elektrisko transportlīdzekļu ienākšanu tirgū un no AER iegūtās elektroenerģijas ieviešanu transporta sistēmās. </w:t>
      </w:r>
      <w:r w:rsidR="00E753D3" w:rsidRPr="004C299B">
        <w:rPr>
          <w:sz w:val="28"/>
          <w:szCs w:val="28"/>
          <w:lang w:eastAsia="zh-CN"/>
        </w:rPr>
        <w:t>Latvija uzskata, ka, turpinot diskusijas, tiek palielināts risks, ka šie labojumi nestājas spēkā, attiecīgi nedodot pietiekamu laiku šo labojumu ietekmei uz emisiju apjomiem.</w:t>
      </w:r>
    </w:p>
    <w:p w:rsidR="00966B31" w:rsidRPr="004C299B" w:rsidRDefault="00966B31" w:rsidP="00ED0A54">
      <w:pPr>
        <w:ind w:firstLine="737"/>
        <w:jc w:val="both"/>
        <w:rPr>
          <w:sz w:val="28"/>
          <w:szCs w:val="28"/>
          <w:lang w:eastAsia="zh-CN"/>
        </w:rPr>
      </w:pPr>
    </w:p>
    <w:p w:rsidR="00F323F1" w:rsidRPr="00B80B89" w:rsidRDefault="00F323F1" w:rsidP="00ED0A54">
      <w:pPr>
        <w:jc w:val="both"/>
        <w:rPr>
          <w:b/>
          <w:sz w:val="28"/>
          <w:szCs w:val="28"/>
          <w:lang w:eastAsia="zh-CN"/>
        </w:rPr>
      </w:pPr>
      <w:r w:rsidRPr="004C299B">
        <w:rPr>
          <w:b/>
          <w:sz w:val="28"/>
          <w:szCs w:val="28"/>
          <w:lang w:eastAsia="zh-CN"/>
        </w:rPr>
        <w:t xml:space="preserve">1.2. Iekšējais </w:t>
      </w:r>
      <w:r w:rsidR="00E9729A" w:rsidRPr="004C299B">
        <w:rPr>
          <w:b/>
          <w:sz w:val="28"/>
          <w:szCs w:val="28"/>
          <w:lang w:eastAsia="zh-CN"/>
        </w:rPr>
        <w:t xml:space="preserve">enerģētikas </w:t>
      </w:r>
      <w:r w:rsidRPr="004C299B">
        <w:rPr>
          <w:b/>
          <w:sz w:val="28"/>
          <w:szCs w:val="28"/>
          <w:lang w:eastAsia="zh-CN"/>
        </w:rPr>
        <w:t>tirgus</w:t>
      </w:r>
      <w:r w:rsidR="004C299B">
        <w:rPr>
          <w:b/>
          <w:sz w:val="28"/>
          <w:szCs w:val="28"/>
          <w:lang w:eastAsia="zh-CN"/>
        </w:rPr>
        <w:t xml:space="preserve">: </w:t>
      </w:r>
      <w:r w:rsidRPr="00B80B89">
        <w:rPr>
          <w:b/>
          <w:sz w:val="28"/>
          <w:szCs w:val="28"/>
          <w:lang w:eastAsia="zh-CN"/>
        </w:rPr>
        <w:t>Turpmākie pasākumi pēc 2013. gada 22. maija Eiropadomes sanāksmes – panākumi saistībā ar iekšējā enerģ</w:t>
      </w:r>
      <w:r w:rsidR="00E9729A" w:rsidRPr="00B80B89">
        <w:rPr>
          <w:b/>
          <w:sz w:val="28"/>
          <w:szCs w:val="28"/>
          <w:lang w:eastAsia="zh-CN"/>
        </w:rPr>
        <w:t>ētikas</w:t>
      </w:r>
      <w:r w:rsidR="00582319" w:rsidRPr="00B80B89">
        <w:rPr>
          <w:b/>
          <w:sz w:val="28"/>
          <w:szCs w:val="28"/>
          <w:lang w:eastAsia="zh-CN"/>
        </w:rPr>
        <w:t xml:space="preserve"> </w:t>
      </w:r>
      <w:r w:rsidRPr="00B80B89">
        <w:rPr>
          <w:b/>
          <w:sz w:val="28"/>
          <w:szCs w:val="28"/>
          <w:lang w:eastAsia="zh-CN"/>
        </w:rPr>
        <w:t>tirgus izveides pabeigšanu</w:t>
      </w:r>
    </w:p>
    <w:p w:rsidR="00F323F1" w:rsidRPr="00CE6AA2" w:rsidRDefault="00C67CCC" w:rsidP="00ED0A54">
      <w:pPr>
        <w:ind w:firstLine="737"/>
        <w:jc w:val="both"/>
        <w:rPr>
          <w:i/>
          <w:sz w:val="28"/>
          <w:szCs w:val="28"/>
          <w:lang w:eastAsia="zh-CN"/>
        </w:rPr>
      </w:pPr>
      <w:r>
        <w:rPr>
          <w:i/>
          <w:sz w:val="28"/>
          <w:szCs w:val="28"/>
          <w:lang w:eastAsia="zh-CN"/>
        </w:rPr>
        <w:t>–</w:t>
      </w:r>
      <w:r>
        <w:rPr>
          <w:i/>
          <w:sz w:val="28"/>
          <w:szCs w:val="28"/>
          <w:lang w:eastAsia="zh-CN"/>
        </w:rPr>
        <w:tab/>
        <w:t>Padomes ziņojuma apstiprināšana</w:t>
      </w:r>
      <w:r w:rsidR="00526AB3" w:rsidRPr="00B80B89">
        <w:rPr>
          <w:i/>
          <w:sz w:val="28"/>
          <w:szCs w:val="28"/>
          <w:lang w:eastAsia="zh-CN"/>
        </w:rPr>
        <w:t xml:space="preserve"> un </w:t>
      </w:r>
      <w:r w:rsidR="005856DB" w:rsidRPr="00B80B89">
        <w:rPr>
          <w:i/>
          <w:sz w:val="28"/>
          <w:szCs w:val="28"/>
          <w:lang w:eastAsia="zh-CN"/>
        </w:rPr>
        <w:t xml:space="preserve">EK </w:t>
      </w:r>
      <w:r w:rsidR="00526AB3" w:rsidRPr="00B80B89">
        <w:rPr>
          <w:i/>
          <w:sz w:val="28"/>
          <w:szCs w:val="28"/>
          <w:lang w:eastAsia="zh-CN"/>
        </w:rPr>
        <w:t xml:space="preserve">sniegta informācija par ES iekšējā </w:t>
      </w:r>
      <w:r w:rsidR="00E9729A" w:rsidRPr="003B0651">
        <w:rPr>
          <w:i/>
          <w:sz w:val="28"/>
          <w:szCs w:val="28"/>
          <w:lang w:eastAsia="zh-CN"/>
        </w:rPr>
        <w:t xml:space="preserve">enerģētikas </w:t>
      </w:r>
      <w:r w:rsidR="00526AB3" w:rsidRPr="00CE6AA2">
        <w:rPr>
          <w:i/>
          <w:sz w:val="28"/>
          <w:szCs w:val="28"/>
          <w:lang w:eastAsia="zh-CN"/>
        </w:rPr>
        <w:t>tirgus izveides pabeigšanu</w:t>
      </w:r>
    </w:p>
    <w:p w:rsidR="008939CE" w:rsidRPr="004C299B" w:rsidRDefault="008939CE" w:rsidP="00ED0A54">
      <w:pPr>
        <w:ind w:firstLine="737"/>
        <w:jc w:val="both"/>
        <w:rPr>
          <w:sz w:val="28"/>
          <w:szCs w:val="28"/>
          <w:lang w:eastAsia="zh-CN"/>
        </w:rPr>
      </w:pPr>
    </w:p>
    <w:p w:rsidR="002903A4" w:rsidRPr="004C299B" w:rsidRDefault="00D90859" w:rsidP="00ED0A54">
      <w:pPr>
        <w:ind w:firstLine="737"/>
        <w:jc w:val="both"/>
        <w:rPr>
          <w:sz w:val="28"/>
          <w:szCs w:val="28"/>
          <w:lang w:eastAsia="zh-CN"/>
        </w:rPr>
      </w:pPr>
      <w:r w:rsidRPr="004C299B">
        <w:rPr>
          <w:sz w:val="28"/>
          <w:szCs w:val="28"/>
          <w:lang w:eastAsia="zh-CN"/>
        </w:rPr>
        <w:t xml:space="preserve">Paredzēts, ka sanāksmē ministri apstiprinās Padomes ziņojumu </w:t>
      </w:r>
      <w:r w:rsidR="00D70E56" w:rsidRPr="004C299B">
        <w:rPr>
          <w:sz w:val="28"/>
          <w:szCs w:val="28"/>
          <w:lang w:eastAsia="zh-CN"/>
        </w:rPr>
        <w:t>„</w:t>
      </w:r>
      <w:r w:rsidR="00E753D3" w:rsidRPr="004C299B">
        <w:rPr>
          <w:sz w:val="28"/>
          <w:szCs w:val="28"/>
          <w:lang w:eastAsia="zh-CN"/>
        </w:rPr>
        <w:t xml:space="preserve">Progress </w:t>
      </w:r>
      <w:r w:rsidR="00D70E56" w:rsidRPr="004C299B">
        <w:rPr>
          <w:sz w:val="28"/>
          <w:szCs w:val="28"/>
          <w:lang w:eastAsia="zh-CN"/>
        </w:rPr>
        <w:t>attiecībā uz ES iekšējā enerģētikas tirgus pabeigšanu 2014.gadā</w:t>
      </w:r>
      <w:r w:rsidR="005856DB" w:rsidRPr="004C299B">
        <w:rPr>
          <w:sz w:val="28"/>
          <w:szCs w:val="28"/>
          <w:lang w:eastAsia="zh-CN"/>
        </w:rPr>
        <w:t>”</w:t>
      </w:r>
      <w:r w:rsidRPr="004C299B">
        <w:rPr>
          <w:sz w:val="28"/>
          <w:szCs w:val="28"/>
          <w:lang w:eastAsia="zh-CN"/>
        </w:rPr>
        <w:t>, k</w:t>
      </w:r>
      <w:r w:rsidR="00D70E56" w:rsidRPr="004C299B">
        <w:rPr>
          <w:sz w:val="28"/>
          <w:szCs w:val="28"/>
        </w:rPr>
        <w:t xml:space="preserve">ura pamatā ir visaptverošs dalībvalstu un </w:t>
      </w:r>
      <w:r w:rsidR="005856DB" w:rsidRPr="004C299B">
        <w:rPr>
          <w:sz w:val="28"/>
          <w:szCs w:val="28"/>
        </w:rPr>
        <w:t xml:space="preserve">EK </w:t>
      </w:r>
      <w:r w:rsidR="00D70E56" w:rsidRPr="004C299B">
        <w:rPr>
          <w:sz w:val="28"/>
          <w:szCs w:val="28"/>
        </w:rPr>
        <w:t>pienesums,</w:t>
      </w:r>
      <w:r w:rsidRPr="004C299B">
        <w:rPr>
          <w:sz w:val="28"/>
          <w:szCs w:val="28"/>
          <w:lang w:eastAsia="zh-CN"/>
        </w:rPr>
        <w:t xml:space="preserve"> un </w:t>
      </w:r>
      <w:r w:rsidR="00D70E56" w:rsidRPr="004C299B">
        <w:rPr>
          <w:sz w:val="28"/>
          <w:szCs w:val="28"/>
          <w:lang w:eastAsia="zh-CN"/>
        </w:rPr>
        <w:t xml:space="preserve">tā </w:t>
      </w:r>
      <w:r w:rsidRPr="004C299B">
        <w:rPr>
          <w:sz w:val="28"/>
          <w:szCs w:val="28"/>
          <w:lang w:eastAsia="zh-CN"/>
        </w:rPr>
        <w:t xml:space="preserve">ir atbilde uz 2013.gada maija Eiropadomes </w:t>
      </w:r>
      <w:r w:rsidR="005856DB" w:rsidRPr="004C299B">
        <w:rPr>
          <w:sz w:val="28"/>
          <w:szCs w:val="28"/>
          <w:lang w:eastAsia="zh-CN"/>
        </w:rPr>
        <w:t>secinājumos izteiktajiem aicinājumiem</w:t>
      </w:r>
      <w:r w:rsidRPr="004C299B">
        <w:rPr>
          <w:sz w:val="28"/>
          <w:szCs w:val="28"/>
          <w:lang w:eastAsia="zh-CN"/>
        </w:rPr>
        <w:t xml:space="preserve">.  </w:t>
      </w:r>
      <w:r w:rsidRPr="004C299B">
        <w:rPr>
          <w:sz w:val="28"/>
          <w:szCs w:val="28"/>
          <w:lang w:eastAsia="fr-BE"/>
        </w:rPr>
        <w:t>2013.gada 22.maija Eirop</w:t>
      </w:r>
      <w:r w:rsidR="004942FF" w:rsidRPr="004C299B">
        <w:rPr>
          <w:sz w:val="28"/>
          <w:szCs w:val="28"/>
          <w:lang w:eastAsia="fr-BE"/>
        </w:rPr>
        <w:t>a</w:t>
      </w:r>
      <w:r w:rsidRPr="004C299B">
        <w:rPr>
          <w:sz w:val="28"/>
          <w:szCs w:val="28"/>
          <w:lang w:eastAsia="fr-BE"/>
        </w:rPr>
        <w:t xml:space="preserve">domes stratēģiskās debates ietvaros </w:t>
      </w:r>
      <w:r w:rsidR="005856DB" w:rsidRPr="004C299B">
        <w:rPr>
          <w:sz w:val="28"/>
          <w:szCs w:val="28"/>
          <w:lang w:eastAsia="fr-BE"/>
        </w:rPr>
        <w:t xml:space="preserve">EK </w:t>
      </w:r>
      <w:r w:rsidRPr="004C299B">
        <w:rPr>
          <w:sz w:val="28"/>
          <w:szCs w:val="28"/>
          <w:lang w:eastAsia="fr-BE"/>
        </w:rPr>
        <w:t xml:space="preserve">un dalībvalstis </w:t>
      </w:r>
      <w:r w:rsidR="005856DB" w:rsidRPr="004C299B">
        <w:rPr>
          <w:sz w:val="28"/>
          <w:szCs w:val="28"/>
          <w:lang w:eastAsia="fr-BE"/>
        </w:rPr>
        <w:t xml:space="preserve">izvirzīja </w:t>
      </w:r>
      <w:r w:rsidRPr="004C299B">
        <w:rPr>
          <w:sz w:val="28"/>
          <w:szCs w:val="28"/>
          <w:lang w:eastAsia="fr-BE"/>
        </w:rPr>
        <w:t xml:space="preserve">piecas enerģētikas jomas prioritātes: vienots tirgus, investīcijas, enerģētikas avotu </w:t>
      </w:r>
      <w:r w:rsidRPr="004C299B">
        <w:rPr>
          <w:sz w:val="28"/>
          <w:szCs w:val="28"/>
          <w:lang w:eastAsia="fr-BE"/>
        </w:rPr>
        <w:lastRenderedPageBreak/>
        <w:t xml:space="preserve">diversifikācija, energoefektivitāte un konkurētspēja. </w:t>
      </w:r>
      <w:r w:rsidR="00614088" w:rsidRPr="004C299B">
        <w:rPr>
          <w:sz w:val="28"/>
          <w:szCs w:val="28"/>
          <w:lang w:eastAsia="fr-BE"/>
        </w:rPr>
        <w:t>Eiropadomes</w:t>
      </w:r>
      <w:r w:rsidRPr="004C299B">
        <w:rPr>
          <w:sz w:val="28"/>
          <w:szCs w:val="28"/>
          <w:lang w:eastAsia="fr-BE"/>
        </w:rPr>
        <w:t xml:space="preserve"> secinājumos </w:t>
      </w:r>
      <w:r w:rsidR="00614088" w:rsidRPr="004C299B">
        <w:rPr>
          <w:sz w:val="28"/>
          <w:szCs w:val="28"/>
          <w:lang w:eastAsia="fr-BE"/>
        </w:rPr>
        <w:t xml:space="preserve">tika </w:t>
      </w:r>
      <w:r w:rsidRPr="004C299B">
        <w:rPr>
          <w:sz w:val="28"/>
          <w:szCs w:val="28"/>
          <w:lang w:eastAsia="fr-BE"/>
        </w:rPr>
        <w:t>atkārtoti uzsvēr</w:t>
      </w:r>
      <w:r w:rsidR="00614088" w:rsidRPr="004C299B">
        <w:rPr>
          <w:sz w:val="28"/>
          <w:szCs w:val="28"/>
          <w:lang w:eastAsia="fr-BE"/>
        </w:rPr>
        <w:t>ts</w:t>
      </w:r>
      <w:r w:rsidR="00F92EAA">
        <w:rPr>
          <w:sz w:val="28"/>
          <w:szCs w:val="28"/>
          <w:lang w:eastAsia="fr-BE"/>
        </w:rPr>
        <w:t xml:space="preserve">, ka </w:t>
      </w:r>
      <w:r w:rsidRPr="004C299B">
        <w:rPr>
          <w:sz w:val="28"/>
          <w:szCs w:val="28"/>
          <w:lang w:eastAsia="fr-BE"/>
        </w:rPr>
        <w:t xml:space="preserve">līdz 2014.gada beigām </w:t>
      </w:r>
      <w:r w:rsidR="00F92EAA">
        <w:rPr>
          <w:sz w:val="28"/>
          <w:szCs w:val="28"/>
          <w:lang w:eastAsia="fr-BE"/>
        </w:rPr>
        <w:t xml:space="preserve">jāpabeidz </w:t>
      </w:r>
      <w:r w:rsidRPr="004C299B">
        <w:rPr>
          <w:sz w:val="28"/>
          <w:szCs w:val="28"/>
          <w:lang w:eastAsia="fr-BE"/>
        </w:rPr>
        <w:t>vienot</w:t>
      </w:r>
      <w:r w:rsidR="00F92EAA">
        <w:rPr>
          <w:sz w:val="28"/>
          <w:szCs w:val="28"/>
          <w:lang w:eastAsia="fr-BE"/>
        </w:rPr>
        <w:t xml:space="preserve">ā </w:t>
      </w:r>
      <w:r w:rsidRPr="004C299B">
        <w:rPr>
          <w:sz w:val="28"/>
          <w:szCs w:val="28"/>
          <w:lang w:eastAsia="fr-BE"/>
        </w:rPr>
        <w:t>tirgu</w:t>
      </w:r>
      <w:r w:rsidR="00F92EAA">
        <w:rPr>
          <w:sz w:val="28"/>
          <w:szCs w:val="28"/>
          <w:lang w:eastAsia="fr-BE"/>
        </w:rPr>
        <w:t>s izveidošana</w:t>
      </w:r>
      <w:r w:rsidRPr="004C299B">
        <w:rPr>
          <w:sz w:val="28"/>
          <w:szCs w:val="28"/>
          <w:lang w:eastAsia="fr-BE"/>
        </w:rPr>
        <w:t xml:space="preserve"> un</w:t>
      </w:r>
      <w:r w:rsidR="001F5649" w:rsidRPr="004C299B">
        <w:rPr>
          <w:sz w:val="28"/>
          <w:szCs w:val="28"/>
          <w:lang w:eastAsia="fr-BE"/>
        </w:rPr>
        <w:t>,</w:t>
      </w:r>
      <w:r w:rsidRPr="004C299B">
        <w:rPr>
          <w:sz w:val="28"/>
          <w:szCs w:val="28"/>
          <w:lang w:eastAsia="fr-BE"/>
        </w:rPr>
        <w:t xml:space="preserve"> līdz 2015.gadam</w:t>
      </w:r>
      <w:r w:rsidR="00F92EAA">
        <w:rPr>
          <w:sz w:val="28"/>
          <w:szCs w:val="28"/>
          <w:lang w:eastAsia="fr-BE"/>
        </w:rPr>
        <w:t xml:space="preserve"> jā</w:t>
      </w:r>
      <w:r w:rsidRPr="004C299B">
        <w:rPr>
          <w:sz w:val="28"/>
          <w:szCs w:val="28"/>
          <w:lang w:eastAsia="fr-BE"/>
        </w:rPr>
        <w:t>attīst</w:t>
      </w:r>
      <w:r w:rsidR="00F92EAA">
        <w:rPr>
          <w:sz w:val="28"/>
          <w:szCs w:val="28"/>
          <w:lang w:eastAsia="fr-BE"/>
        </w:rPr>
        <w:t xml:space="preserve">a </w:t>
      </w:r>
      <w:r w:rsidRPr="004C299B">
        <w:rPr>
          <w:sz w:val="28"/>
          <w:szCs w:val="28"/>
          <w:lang w:eastAsia="fr-BE"/>
        </w:rPr>
        <w:t>starpsavienojum</w:t>
      </w:r>
      <w:r w:rsidR="00F92EAA">
        <w:rPr>
          <w:sz w:val="28"/>
          <w:szCs w:val="28"/>
          <w:lang w:eastAsia="fr-BE"/>
        </w:rPr>
        <w:t xml:space="preserve">i, lai </w:t>
      </w:r>
      <w:r w:rsidRPr="004C299B">
        <w:rPr>
          <w:sz w:val="28"/>
          <w:szCs w:val="28"/>
          <w:lang w:eastAsia="fr-BE"/>
        </w:rPr>
        <w:t>izbeigt</w:t>
      </w:r>
      <w:r w:rsidR="00F92EAA">
        <w:rPr>
          <w:sz w:val="28"/>
          <w:szCs w:val="28"/>
          <w:lang w:eastAsia="fr-BE"/>
        </w:rPr>
        <w:t>u</w:t>
      </w:r>
      <w:r w:rsidRPr="004C299B">
        <w:rPr>
          <w:sz w:val="28"/>
          <w:szCs w:val="28"/>
          <w:lang w:eastAsia="fr-BE"/>
        </w:rPr>
        <w:t xml:space="preserve"> dalībvalstu izolētību no Eiropas gāzes un elektrības tirgiem. </w:t>
      </w:r>
      <w:r w:rsidR="00B746DD" w:rsidRPr="004C299B">
        <w:rPr>
          <w:sz w:val="28"/>
          <w:szCs w:val="28"/>
          <w:lang w:eastAsia="fr-BE"/>
        </w:rPr>
        <w:t xml:space="preserve">Padomes ziņojums izklāsta </w:t>
      </w:r>
      <w:r w:rsidR="005856DB" w:rsidRPr="004C299B">
        <w:rPr>
          <w:sz w:val="28"/>
          <w:szCs w:val="28"/>
          <w:lang w:eastAsia="fr-BE"/>
        </w:rPr>
        <w:t xml:space="preserve">paveikto </w:t>
      </w:r>
      <w:r w:rsidR="00B746DD" w:rsidRPr="004C299B">
        <w:rPr>
          <w:sz w:val="28"/>
          <w:szCs w:val="28"/>
          <w:lang w:eastAsia="fr-BE"/>
        </w:rPr>
        <w:t xml:space="preserve">virzībā uz </w:t>
      </w:r>
      <w:r w:rsidR="005856DB" w:rsidRPr="004C299B">
        <w:rPr>
          <w:sz w:val="28"/>
          <w:szCs w:val="28"/>
          <w:lang w:eastAsia="fr-BE"/>
        </w:rPr>
        <w:t xml:space="preserve">vienotā </w:t>
      </w:r>
      <w:r w:rsidR="00B746DD" w:rsidRPr="004C299B">
        <w:rPr>
          <w:sz w:val="28"/>
          <w:szCs w:val="28"/>
          <w:lang w:eastAsia="fr-BE"/>
        </w:rPr>
        <w:t xml:space="preserve">iekšējā </w:t>
      </w:r>
      <w:r w:rsidR="00E9729A" w:rsidRPr="004C299B">
        <w:rPr>
          <w:sz w:val="28"/>
          <w:szCs w:val="28"/>
          <w:lang w:eastAsia="fr-BE"/>
        </w:rPr>
        <w:t xml:space="preserve">enerģētikas </w:t>
      </w:r>
      <w:r w:rsidR="00B746DD" w:rsidRPr="004C299B">
        <w:rPr>
          <w:sz w:val="28"/>
          <w:szCs w:val="28"/>
          <w:lang w:eastAsia="fr-BE"/>
        </w:rPr>
        <w:t>tirgus izveidošanu</w:t>
      </w:r>
      <w:r w:rsidR="00277D3D" w:rsidRPr="004C299B">
        <w:rPr>
          <w:sz w:val="28"/>
          <w:szCs w:val="28"/>
          <w:lang w:eastAsia="fr-BE"/>
        </w:rPr>
        <w:t xml:space="preserve"> un </w:t>
      </w:r>
      <w:r w:rsidR="005856DB" w:rsidRPr="004C299B">
        <w:rPr>
          <w:sz w:val="28"/>
          <w:szCs w:val="28"/>
          <w:lang w:eastAsia="zh-CN"/>
        </w:rPr>
        <w:t>ietver sekojošus</w:t>
      </w:r>
      <w:r w:rsidR="002903A4" w:rsidRPr="004C299B">
        <w:rPr>
          <w:sz w:val="28"/>
          <w:szCs w:val="28"/>
          <w:lang w:eastAsia="zh-CN"/>
        </w:rPr>
        <w:t xml:space="preserve"> </w:t>
      </w:r>
      <w:r w:rsidR="00EB329D" w:rsidRPr="004C299B">
        <w:rPr>
          <w:sz w:val="28"/>
          <w:szCs w:val="28"/>
          <w:lang w:eastAsia="zh-CN"/>
        </w:rPr>
        <w:t>aspektus</w:t>
      </w:r>
      <w:r w:rsidR="002903A4" w:rsidRPr="004C299B">
        <w:rPr>
          <w:sz w:val="28"/>
          <w:szCs w:val="28"/>
          <w:lang w:eastAsia="zh-CN"/>
        </w:rPr>
        <w:t>:</w:t>
      </w:r>
    </w:p>
    <w:p w:rsidR="002903A4" w:rsidRPr="004C299B" w:rsidRDefault="001C2CBE" w:rsidP="00ED0A54">
      <w:pPr>
        <w:ind w:firstLine="737"/>
        <w:jc w:val="both"/>
        <w:rPr>
          <w:sz w:val="28"/>
          <w:szCs w:val="28"/>
          <w:lang w:eastAsia="zh-CN"/>
        </w:rPr>
      </w:pPr>
      <w:r w:rsidRPr="004C299B">
        <w:rPr>
          <w:sz w:val="28"/>
          <w:szCs w:val="28"/>
          <w:lang w:eastAsia="zh-CN"/>
        </w:rPr>
        <w:t>a)</w:t>
      </w:r>
      <w:r w:rsidR="00ED0A54">
        <w:rPr>
          <w:sz w:val="28"/>
          <w:szCs w:val="28"/>
          <w:lang w:eastAsia="zh-CN"/>
        </w:rPr>
        <w:t xml:space="preserve"> </w:t>
      </w:r>
      <w:r w:rsidR="002903A4" w:rsidRPr="004C299B">
        <w:rPr>
          <w:sz w:val="28"/>
          <w:szCs w:val="28"/>
          <w:lang w:eastAsia="zh-CN"/>
        </w:rPr>
        <w:t xml:space="preserve">Iekšējā Enerģētikas </w:t>
      </w:r>
      <w:r w:rsidR="00F92EAA">
        <w:rPr>
          <w:sz w:val="28"/>
          <w:szCs w:val="28"/>
          <w:lang w:eastAsia="zh-CN"/>
        </w:rPr>
        <w:t>t</w:t>
      </w:r>
      <w:r w:rsidR="002903A4" w:rsidRPr="004C299B">
        <w:rPr>
          <w:sz w:val="28"/>
          <w:szCs w:val="28"/>
          <w:lang w:eastAsia="zh-CN"/>
        </w:rPr>
        <w:t xml:space="preserve">irgus </w:t>
      </w:r>
      <w:r w:rsidRPr="004C299B">
        <w:rPr>
          <w:sz w:val="28"/>
          <w:szCs w:val="28"/>
          <w:lang w:eastAsia="zh-CN"/>
        </w:rPr>
        <w:t xml:space="preserve">izveides </w:t>
      </w:r>
      <w:r w:rsidR="002903A4" w:rsidRPr="004C299B">
        <w:rPr>
          <w:sz w:val="28"/>
          <w:szCs w:val="28"/>
          <w:lang w:eastAsia="zh-CN"/>
        </w:rPr>
        <w:t xml:space="preserve">pabeigšana un enerģētikas izolācijas </w:t>
      </w:r>
      <w:r w:rsidRPr="004C299B">
        <w:rPr>
          <w:sz w:val="28"/>
          <w:szCs w:val="28"/>
          <w:lang w:eastAsia="zh-CN"/>
        </w:rPr>
        <w:t>novēršana;</w:t>
      </w:r>
    </w:p>
    <w:p w:rsidR="002903A4" w:rsidRPr="004C299B" w:rsidRDefault="001C2CBE" w:rsidP="00ED0A54">
      <w:pPr>
        <w:ind w:firstLine="737"/>
        <w:jc w:val="both"/>
        <w:rPr>
          <w:sz w:val="28"/>
          <w:szCs w:val="28"/>
          <w:lang w:eastAsia="zh-CN"/>
        </w:rPr>
      </w:pPr>
      <w:r w:rsidRPr="004C299B">
        <w:rPr>
          <w:sz w:val="28"/>
          <w:szCs w:val="28"/>
          <w:lang w:eastAsia="zh-CN"/>
        </w:rPr>
        <w:t>b)</w:t>
      </w:r>
      <w:r w:rsidR="00ED0A54">
        <w:rPr>
          <w:sz w:val="28"/>
          <w:szCs w:val="28"/>
          <w:lang w:eastAsia="zh-CN"/>
        </w:rPr>
        <w:t xml:space="preserve"> </w:t>
      </w:r>
      <w:r w:rsidR="002903A4" w:rsidRPr="004C299B">
        <w:rPr>
          <w:sz w:val="28"/>
          <w:szCs w:val="28"/>
          <w:lang w:eastAsia="zh-CN"/>
        </w:rPr>
        <w:t>Investīciju veicināšana</w:t>
      </w:r>
      <w:r w:rsidRPr="004C299B">
        <w:rPr>
          <w:sz w:val="28"/>
          <w:szCs w:val="28"/>
          <w:lang w:eastAsia="zh-CN"/>
        </w:rPr>
        <w:t>;</w:t>
      </w:r>
    </w:p>
    <w:p w:rsidR="002903A4" w:rsidRPr="004C299B" w:rsidRDefault="001C2CBE" w:rsidP="00ED0A54">
      <w:pPr>
        <w:ind w:firstLine="737"/>
        <w:jc w:val="both"/>
        <w:rPr>
          <w:sz w:val="28"/>
          <w:szCs w:val="28"/>
          <w:lang w:eastAsia="zh-CN"/>
        </w:rPr>
      </w:pPr>
      <w:r w:rsidRPr="004C299B">
        <w:rPr>
          <w:sz w:val="28"/>
          <w:szCs w:val="28"/>
          <w:lang w:eastAsia="zh-CN"/>
        </w:rPr>
        <w:t>c) Energoresursu</w:t>
      </w:r>
      <w:r w:rsidR="002903A4" w:rsidRPr="004C299B">
        <w:rPr>
          <w:sz w:val="28"/>
          <w:szCs w:val="28"/>
          <w:lang w:eastAsia="zh-CN"/>
        </w:rPr>
        <w:t xml:space="preserve"> un piegādes ceļu diversifikācija, energoefektivitāte un cenas</w:t>
      </w:r>
      <w:r w:rsidRPr="004C299B">
        <w:rPr>
          <w:sz w:val="28"/>
          <w:szCs w:val="28"/>
          <w:lang w:eastAsia="zh-CN"/>
        </w:rPr>
        <w:t>.</w:t>
      </w:r>
    </w:p>
    <w:p w:rsidR="00277D3D" w:rsidRPr="004C299B" w:rsidRDefault="00277D3D" w:rsidP="00ED0A54">
      <w:pPr>
        <w:ind w:firstLine="737"/>
        <w:jc w:val="both"/>
        <w:rPr>
          <w:sz w:val="28"/>
          <w:szCs w:val="28"/>
          <w:lang w:eastAsia="zh-CN"/>
        </w:rPr>
      </w:pPr>
      <w:r w:rsidRPr="004C299B">
        <w:rPr>
          <w:sz w:val="28"/>
          <w:szCs w:val="28"/>
          <w:lang w:eastAsia="zh-CN"/>
        </w:rPr>
        <w:t xml:space="preserve">Padome savā ziņojumā atkārtoti </w:t>
      </w:r>
      <w:r w:rsidR="00F92EAA">
        <w:rPr>
          <w:sz w:val="28"/>
          <w:szCs w:val="28"/>
          <w:lang w:eastAsia="zh-CN"/>
        </w:rPr>
        <w:t xml:space="preserve">uzsver, ka </w:t>
      </w:r>
      <w:r w:rsidRPr="004C299B">
        <w:rPr>
          <w:sz w:val="28"/>
          <w:szCs w:val="28"/>
          <w:lang w:eastAsia="zh-CN"/>
        </w:rPr>
        <w:t>nepieciešam</w:t>
      </w:r>
      <w:r w:rsidR="00F92EAA">
        <w:rPr>
          <w:sz w:val="28"/>
          <w:szCs w:val="28"/>
          <w:lang w:eastAsia="zh-CN"/>
        </w:rPr>
        <w:t xml:space="preserve">s sekot </w:t>
      </w:r>
      <w:r w:rsidRPr="004C299B">
        <w:rPr>
          <w:sz w:val="28"/>
          <w:szCs w:val="28"/>
          <w:lang w:eastAsia="zh-CN"/>
        </w:rPr>
        <w:t xml:space="preserve">2014.gada </w:t>
      </w:r>
      <w:r w:rsidR="00F92EAA">
        <w:rPr>
          <w:sz w:val="28"/>
          <w:szCs w:val="28"/>
          <w:lang w:eastAsia="zh-CN"/>
        </w:rPr>
        <w:t xml:space="preserve">nospraustajam </w:t>
      </w:r>
      <w:r w:rsidRPr="004C299B">
        <w:rPr>
          <w:sz w:val="28"/>
          <w:szCs w:val="28"/>
          <w:lang w:eastAsia="zh-CN"/>
        </w:rPr>
        <w:t>mērķ</w:t>
      </w:r>
      <w:r w:rsidR="00F92EAA">
        <w:rPr>
          <w:sz w:val="28"/>
          <w:szCs w:val="28"/>
          <w:lang w:eastAsia="zh-CN"/>
        </w:rPr>
        <w:t xml:space="preserve">im. </w:t>
      </w:r>
      <w:r w:rsidRPr="004C299B">
        <w:rPr>
          <w:sz w:val="28"/>
          <w:szCs w:val="28"/>
          <w:lang w:eastAsia="zh-CN"/>
        </w:rPr>
        <w:t xml:space="preserve">Lai gan tika sasniegts ievērojams progress šī mērķa sasniegšanai, pastāv vairākas jomas, kurās ir nepieciešama turpmākā rīcība. </w:t>
      </w:r>
    </w:p>
    <w:p w:rsidR="00277D3D" w:rsidRPr="004C299B" w:rsidRDefault="00277D3D" w:rsidP="00ED0A54">
      <w:pPr>
        <w:ind w:firstLine="737"/>
        <w:jc w:val="both"/>
        <w:rPr>
          <w:sz w:val="28"/>
          <w:szCs w:val="28"/>
          <w:lang w:eastAsia="zh-CN"/>
        </w:rPr>
      </w:pPr>
      <w:r w:rsidRPr="004C299B">
        <w:rPr>
          <w:sz w:val="28"/>
          <w:szCs w:val="28"/>
          <w:lang w:eastAsia="zh-CN"/>
        </w:rPr>
        <w:t xml:space="preserve">Pirmkārt, </w:t>
      </w:r>
      <w:r w:rsidR="004C299B">
        <w:rPr>
          <w:sz w:val="28"/>
          <w:szCs w:val="28"/>
          <w:lang w:eastAsia="zh-CN"/>
        </w:rPr>
        <w:t>i</w:t>
      </w:r>
      <w:r w:rsidRPr="004C299B">
        <w:rPr>
          <w:sz w:val="28"/>
          <w:szCs w:val="28"/>
          <w:lang w:eastAsia="zh-CN"/>
        </w:rPr>
        <w:t>r n</w:t>
      </w:r>
      <w:r w:rsidR="004C299B">
        <w:rPr>
          <w:sz w:val="28"/>
          <w:szCs w:val="28"/>
          <w:lang w:eastAsia="zh-CN"/>
        </w:rPr>
        <w:t>ep</w:t>
      </w:r>
      <w:r w:rsidRPr="004C299B">
        <w:rPr>
          <w:sz w:val="28"/>
          <w:szCs w:val="28"/>
          <w:lang w:eastAsia="zh-CN"/>
        </w:rPr>
        <w:t>i</w:t>
      </w:r>
      <w:r w:rsidR="004C299B">
        <w:rPr>
          <w:sz w:val="28"/>
          <w:szCs w:val="28"/>
          <w:lang w:eastAsia="zh-CN"/>
        </w:rPr>
        <w:t>e</w:t>
      </w:r>
      <w:r w:rsidRPr="004C299B">
        <w:rPr>
          <w:sz w:val="28"/>
          <w:szCs w:val="28"/>
          <w:lang w:eastAsia="zh-CN"/>
        </w:rPr>
        <w:t>ciešams turpināt harmonizāciju c</w:t>
      </w:r>
      <w:r w:rsidR="00F92EAA">
        <w:rPr>
          <w:sz w:val="28"/>
          <w:szCs w:val="28"/>
          <w:lang w:eastAsia="zh-CN"/>
        </w:rPr>
        <w:t xml:space="preserve">aur </w:t>
      </w:r>
      <w:r w:rsidRPr="00B80B89">
        <w:rPr>
          <w:sz w:val="28"/>
          <w:szCs w:val="28"/>
          <w:lang w:eastAsia="zh-CN"/>
        </w:rPr>
        <w:t>pilnvērtīg</w:t>
      </w:r>
      <w:r w:rsidR="00F92EAA">
        <w:rPr>
          <w:sz w:val="28"/>
          <w:szCs w:val="28"/>
          <w:lang w:eastAsia="zh-CN"/>
        </w:rPr>
        <w:t>u</w:t>
      </w:r>
      <w:r w:rsidRPr="00B80B89">
        <w:rPr>
          <w:sz w:val="28"/>
          <w:szCs w:val="28"/>
          <w:lang w:eastAsia="zh-CN"/>
        </w:rPr>
        <w:t xml:space="preserve"> Trešās </w:t>
      </w:r>
      <w:r w:rsidR="00F92EAA">
        <w:rPr>
          <w:sz w:val="28"/>
          <w:szCs w:val="28"/>
          <w:lang w:eastAsia="zh-CN"/>
        </w:rPr>
        <w:t>e</w:t>
      </w:r>
      <w:r w:rsidRPr="00B80B89">
        <w:rPr>
          <w:sz w:val="28"/>
          <w:szCs w:val="28"/>
          <w:lang w:eastAsia="zh-CN"/>
        </w:rPr>
        <w:t xml:space="preserve">nerģētikas </w:t>
      </w:r>
      <w:r w:rsidR="00F92EAA">
        <w:rPr>
          <w:sz w:val="28"/>
          <w:szCs w:val="28"/>
          <w:lang w:eastAsia="zh-CN"/>
        </w:rPr>
        <w:t>p</w:t>
      </w:r>
      <w:r w:rsidRPr="00B80B89">
        <w:rPr>
          <w:sz w:val="28"/>
          <w:szCs w:val="28"/>
          <w:lang w:eastAsia="zh-CN"/>
        </w:rPr>
        <w:t>aketes ieviešan</w:t>
      </w:r>
      <w:r w:rsidR="00F92EAA">
        <w:rPr>
          <w:sz w:val="28"/>
          <w:szCs w:val="28"/>
          <w:lang w:eastAsia="zh-CN"/>
        </w:rPr>
        <w:t>u</w:t>
      </w:r>
      <w:r w:rsidRPr="00B80B89">
        <w:rPr>
          <w:sz w:val="28"/>
          <w:szCs w:val="28"/>
          <w:lang w:eastAsia="zh-CN"/>
        </w:rPr>
        <w:t xml:space="preserve">. Atzīmējot panākto šajā jomā, ziņojums </w:t>
      </w:r>
      <w:r w:rsidRPr="003B0651">
        <w:rPr>
          <w:sz w:val="28"/>
          <w:szCs w:val="28"/>
          <w:lang w:eastAsia="zh-CN"/>
        </w:rPr>
        <w:t>uzsver</w:t>
      </w:r>
      <w:r w:rsidRPr="00CE6AA2">
        <w:rPr>
          <w:sz w:val="28"/>
          <w:szCs w:val="28"/>
          <w:lang w:eastAsia="zh-CN"/>
        </w:rPr>
        <w:t xml:space="preserve"> </w:t>
      </w:r>
      <w:r w:rsidR="00C67CCC">
        <w:rPr>
          <w:sz w:val="28"/>
          <w:szCs w:val="28"/>
          <w:lang w:eastAsia="zh-CN"/>
        </w:rPr>
        <w:t>iekšējā enerģētikas t</w:t>
      </w:r>
      <w:r w:rsidRPr="004C299B">
        <w:rPr>
          <w:sz w:val="28"/>
          <w:szCs w:val="28"/>
          <w:lang w:eastAsia="zh-CN"/>
        </w:rPr>
        <w:t>irgus tīkla kodeksu izveides nepieciešamību, kā arī patērētāju lomu enerģijas tirg</w:t>
      </w:r>
      <w:r w:rsidR="00FC3B5F">
        <w:rPr>
          <w:sz w:val="28"/>
          <w:szCs w:val="28"/>
          <w:lang w:eastAsia="zh-CN"/>
        </w:rPr>
        <w:t xml:space="preserve">ū </w:t>
      </w:r>
      <w:r w:rsidRPr="004C299B">
        <w:rPr>
          <w:sz w:val="28"/>
          <w:szCs w:val="28"/>
          <w:lang w:eastAsia="zh-CN"/>
        </w:rPr>
        <w:t>un mazaizsargāto patērētāju problēmas.</w:t>
      </w:r>
    </w:p>
    <w:p w:rsidR="00277D3D" w:rsidRPr="004C299B" w:rsidRDefault="00277D3D" w:rsidP="00ED0A54">
      <w:pPr>
        <w:ind w:firstLine="737"/>
        <w:jc w:val="both"/>
        <w:rPr>
          <w:sz w:val="28"/>
          <w:szCs w:val="28"/>
          <w:lang w:eastAsia="zh-CN"/>
        </w:rPr>
      </w:pPr>
      <w:r w:rsidRPr="004C299B">
        <w:rPr>
          <w:sz w:val="28"/>
          <w:szCs w:val="28"/>
          <w:lang w:eastAsia="zh-CN"/>
        </w:rPr>
        <w:t>Otrkārt, ziņojums uzsver turpmāko enerģētikas infrastruktūras attīstību, kurai ir jāpievēršas nekavējoties. Padome augstu novērtē CEF instrumenta izveidi un Kopējas Intereses Projektu (turpmāk - KIP) sarakstu pieņemšanu</w:t>
      </w:r>
      <w:r w:rsidR="004C299B" w:rsidRPr="004C299B">
        <w:rPr>
          <w:sz w:val="28"/>
          <w:szCs w:val="28"/>
          <w:lang w:eastAsia="zh-CN"/>
        </w:rPr>
        <w:t>, norādot, ka KIP saraksts sniegs ieguldījumu ES iekšējā enerģijas tirgus izveidē, nodrošinot augstāku savienojumu pakāpi un nodrošinot resursu un piegādātāju diversifikāciju.</w:t>
      </w:r>
      <w:r w:rsidRPr="004C299B">
        <w:rPr>
          <w:sz w:val="28"/>
          <w:szCs w:val="28"/>
          <w:lang w:eastAsia="zh-CN"/>
        </w:rPr>
        <w:t xml:space="preserve"> Ziņojums uzsv</w:t>
      </w:r>
      <w:r w:rsidR="00FC3B5F">
        <w:rPr>
          <w:sz w:val="28"/>
          <w:szCs w:val="28"/>
          <w:lang w:eastAsia="zh-CN"/>
        </w:rPr>
        <w:t>e</w:t>
      </w:r>
      <w:r w:rsidRPr="004C299B">
        <w:rPr>
          <w:sz w:val="28"/>
          <w:szCs w:val="28"/>
          <w:lang w:eastAsia="zh-CN"/>
        </w:rPr>
        <w:t>r arī EK paziņojumā „Ilgtermiņa redzējums infrastruktūras jomā Eiropai un ārpus tās”, ietvertās problēmas: „abpusējas intereses projektu” koncepts, enerģētikas cenas, cenu regulējums un konkurētspēja, savstarpēji saistītas naftas un gāzes cenas</w:t>
      </w:r>
      <w:r w:rsidR="004C299B" w:rsidRPr="004C299B">
        <w:rPr>
          <w:sz w:val="28"/>
          <w:szCs w:val="28"/>
          <w:lang w:eastAsia="zh-CN"/>
        </w:rPr>
        <w:t>.</w:t>
      </w:r>
    </w:p>
    <w:p w:rsidR="004258C2" w:rsidRDefault="004C299B" w:rsidP="00ED0A54">
      <w:pPr>
        <w:ind w:firstLine="737"/>
        <w:jc w:val="both"/>
        <w:rPr>
          <w:sz w:val="28"/>
          <w:szCs w:val="28"/>
          <w:lang w:eastAsia="zh-CN"/>
        </w:rPr>
      </w:pPr>
      <w:r w:rsidRPr="004C299B">
        <w:rPr>
          <w:sz w:val="28"/>
          <w:szCs w:val="28"/>
          <w:lang w:eastAsia="zh-CN"/>
        </w:rPr>
        <w:t>Treškārt, ziņojumā Padome norāda, ka ir nepieciešama efektīva ES noteikumu par tirgus integrāciju un energoefektivitāti piemērošana un izpilde, kā arī ir nepieciešams izveidot vienādus konkurences apstākļus uzņēmumiem, kas darbojas ES. Padome augstu novērtē EK secinājumus paziņojumā par valsts atbalstu un piekrīt, ka efektīvu konkurenci var panākt, tikai saskaņojot, un, ja nepieciešams, veidojot kopīgus pasākumus un noteikumus. Atbalsta shēmas atjaunojamiem energoresursie</w:t>
      </w:r>
      <w:r w:rsidR="00FC3B5F">
        <w:rPr>
          <w:sz w:val="28"/>
          <w:szCs w:val="28"/>
          <w:lang w:eastAsia="zh-CN"/>
        </w:rPr>
        <w:t>m</w:t>
      </w:r>
      <w:r w:rsidRPr="004C299B">
        <w:rPr>
          <w:sz w:val="28"/>
          <w:szCs w:val="28"/>
          <w:lang w:eastAsia="zh-CN"/>
        </w:rPr>
        <w:t>, valsts atbalsts un kapacitāšu mehānismi ir elementi, kas būtu rūpīgi jāv</w:t>
      </w:r>
      <w:r w:rsidR="000C33C1">
        <w:rPr>
          <w:sz w:val="28"/>
          <w:szCs w:val="28"/>
          <w:lang w:eastAsia="zh-CN"/>
        </w:rPr>
        <w:t>ē</w:t>
      </w:r>
      <w:r w:rsidRPr="004C299B">
        <w:rPr>
          <w:sz w:val="28"/>
          <w:szCs w:val="28"/>
          <w:lang w:eastAsia="zh-CN"/>
        </w:rPr>
        <w:t xml:space="preserve">rtē, lai nodrošinātu labi funkcionējošu </w:t>
      </w:r>
      <w:r w:rsidR="00FC3B5F">
        <w:rPr>
          <w:sz w:val="28"/>
          <w:szCs w:val="28"/>
          <w:lang w:eastAsia="zh-CN"/>
        </w:rPr>
        <w:t>iekš</w:t>
      </w:r>
      <w:r w:rsidR="000C33C1">
        <w:rPr>
          <w:sz w:val="28"/>
          <w:szCs w:val="28"/>
          <w:lang w:eastAsia="zh-CN"/>
        </w:rPr>
        <w:t>ē</w:t>
      </w:r>
      <w:r w:rsidR="00FC3B5F">
        <w:rPr>
          <w:sz w:val="28"/>
          <w:szCs w:val="28"/>
          <w:lang w:eastAsia="zh-CN"/>
        </w:rPr>
        <w:t>jo tirgu.</w:t>
      </w:r>
    </w:p>
    <w:p w:rsidR="004258C2" w:rsidRDefault="004258C2" w:rsidP="004B3FD8">
      <w:pPr>
        <w:jc w:val="both"/>
        <w:rPr>
          <w:sz w:val="28"/>
          <w:szCs w:val="28"/>
          <w:lang w:eastAsia="zh-CN"/>
        </w:rPr>
      </w:pPr>
    </w:p>
    <w:p w:rsidR="004C299B" w:rsidRPr="004B3FD8" w:rsidRDefault="004258C2" w:rsidP="004B3FD8">
      <w:pPr>
        <w:jc w:val="both"/>
        <w:rPr>
          <w:b/>
          <w:i/>
          <w:sz w:val="28"/>
          <w:szCs w:val="28"/>
          <w:lang w:eastAsia="zh-CN"/>
        </w:rPr>
      </w:pPr>
      <w:r w:rsidRPr="004B3FD8">
        <w:rPr>
          <w:b/>
          <w:i/>
          <w:sz w:val="28"/>
          <w:szCs w:val="28"/>
          <w:lang w:eastAsia="zh-CN"/>
        </w:rPr>
        <w:t>Latvijas nostāja:</w:t>
      </w:r>
    </w:p>
    <w:p w:rsidR="00F308B7" w:rsidRPr="00B80B89" w:rsidRDefault="00C67CCC" w:rsidP="00ED0A54">
      <w:pPr>
        <w:ind w:firstLine="737"/>
        <w:jc w:val="both"/>
        <w:rPr>
          <w:sz w:val="28"/>
          <w:szCs w:val="28"/>
        </w:rPr>
      </w:pPr>
      <w:r>
        <w:rPr>
          <w:sz w:val="28"/>
          <w:szCs w:val="28"/>
          <w:lang w:eastAsia="zh-CN"/>
        </w:rPr>
        <w:t>Iekšējā enerģētikas t</w:t>
      </w:r>
      <w:r w:rsidR="00B80B89" w:rsidRPr="000C0ABF">
        <w:rPr>
          <w:sz w:val="28"/>
          <w:szCs w:val="28"/>
          <w:lang w:eastAsia="zh-CN"/>
        </w:rPr>
        <w:t xml:space="preserve">irgus pabeigšana ir viens no ES svarīgākajiem mērķiem enerģētikas jomā. </w:t>
      </w:r>
      <w:r w:rsidR="00F308B7" w:rsidRPr="00B80B89">
        <w:rPr>
          <w:sz w:val="28"/>
          <w:szCs w:val="28"/>
        </w:rPr>
        <w:t>L</w:t>
      </w:r>
      <w:r w:rsidR="00D90859" w:rsidRPr="00B80B89">
        <w:rPr>
          <w:sz w:val="28"/>
          <w:szCs w:val="28"/>
        </w:rPr>
        <w:t>atvija uzskata, ka</w:t>
      </w:r>
      <w:r w:rsidR="00EB329D" w:rsidRPr="00B80B89">
        <w:rPr>
          <w:sz w:val="28"/>
          <w:szCs w:val="28"/>
        </w:rPr>
        <w:t>,</w:t>
      </w:r>
      <w:r w:rsidR="00D90859" w:rsidRPr="00B80B89">
        <w:rPr>
          <w:sz w:val="28"/>
          <w:szCs w:val="28"/>
        </w:rPr>
        <w:t xml:space="preserve"> l</w:t>
      </w:r>
      <w:r w:rsidR="00F308B7" w:rsidRPr="00B80B89">
        <w:rPr>
          <w:sz w:val="28"/>
          <w:szCs w:val="28"/>
        </w:rPr>
        <w:t xml:space="preserve">ai ES būtu spējīga atbildēt uz mainīgo globālu kontekstu, Eiropai ir nepieciešams </w:t>
      </w:r>
      <w:r w:rsidR="00EB329D" w:rsidRPr="00B80B89">
        <w:rPr>
          <w:sz w:val="28"/>
          <w:szCs w:val="28"/>
        </w:rPr>
        <w:t xml:space="preserve">pabeigt </w:t>
      </w:r>
      <w:r w:rsidR="00F308B7" w:rsidRPr="00B80B89">
        <w:rPr>
          <w:sz w:val="28"/>
          <w:szCs w:val="28"/>
        </w:rPr>
        <w:t xml:space="preserve">konkurētspējīga un funkcionējošā </w:t>
      </w:r>
      <w:r w:rsidR="00E9729A" w:rsidRPr="00B80B89">
        <w:rPr>
          <w:sz w:val="28"/>
          <w:szCs w:val="28"/>
        </w:rPr>
        <w:t xml:space="preserve">enerģētikas </w:t>
      </w:r>
      <w:r w:rsidR="00F308B7" w:rsidRPr="00B80B89">
        <w:rPr>
          <w:sz w:val="28"/>
          <w:szCs w:val="28"/>
        </w:rPr>
        <w:t>tirgus izveidi.</w:t>
      </w:r>
      <w:r w:rsidR="00F308B7" w:rsidRPr="003B0651">
        <w:rPr>
          <w:sz w:val="28"/>
          <w:szCs w:val="28"/>
        </w:rPr>
        <w:t xml:space="preserve"> Iekšējā tirgus pabeigšana un </w:t>
      </w:r>
      <w:r w:rsidR="00F308B7" w:rsidRPr="003B0651">
        <w:rPr>
          <w:sz w:val="28"/>
          <w:szCs w:val="28"/>
        </w:rPr>
        <w:lastRenderedPageBreak/>
        <w:t>enerģ</w:t>
      </w:r>
      <w:r w:rsidR="00E9729A" w:rsidRPr="003B0651">
        <w:rPr>
          <w:sz w:val="28"/>
          <w:szCs w:val="28"/>
        </w:rPr>
        <w:t>ētikas</w:t>
      </w:r>
      <w:r w:rsidR="00F308B7" w:rsidRPr="00E32269">
        <w:rPr>
          <w:sz w:val="28"/>
          <w:szCs w:val="28"/>
        </w:rPr>
        <w:t xml:space="preserve"> tirgu izolācijas izskaušana ir Latvijas enerģētikas sektora prioritātes. </w:t>
      </w:r>
      <w:r w:rsidR="00B80B89">
        <w:rPr>
          <w:sz w:val="28"/>
          <w:szCs w:val="28"/>
        </w:rPr>
        <w:t>Latvija piekrīt, ka infrastruktūras attīstība ir būtisk</w:t>
      </w:r>
      <w:r w:rsidR="00FC3B5F">
        <w:rPr>
          <w:sz w:val="28"/>
          <w:szCs w:val="28"/>
        </w:rPr>
        <w:t xml:space="preserve">s </w:t>
      </w:r>
      <w:r w:rsidR="00B80B89">
        <w:rPr>
          <w:sz w:val="28"/>
          <w:szCs w:val="28"/>
        </w:rPr>
        <w:t>solis tirgus integrācijas un resursu un piegādātāju diversifikācijas virzienā. Latvija atbalsta Padomes nostāju, ka turpmākās rīcības jāvērtē no konkurētspējas aspekta.</w:t>
      </w:r>
    </w:p>
    <w:p w:rsidR="001F5649" w:rsidRPr="004C299B" w:rsidRDefault="001F5649" w:rsidP="00ED0A54">
      <w:pPr>
        <w:ind w:firstLine="737"/>
        <w:jc w:val="both"/>
        <w:rPr>
          <w:sz w:val="28"/>
          <w:szCs w:val="28"/>
          <w:lang w:eastAsia="zh-CN"/>
        </w:rPr>
      </w:pPr>
    </w:p>
    <w:p w:rsidR="00F323F1" w:rsidRPr="004C299B" w:rsidRDefault="00F323F1" w:rsidP="00ED0A54">
      <w:pPr>
        <w:ind w:firstLine="737"/>
        <w:jc w:val="both"/>
        <w:rPr>
          <w:b/>
          <w:sz w:val="28"/>
          <w:szCs w:val="28"/>
          <w:lang w:eastAsia="zh-CN"/>
        </w:rPr>
      </w:pPr>
    </w:p>
    <w:p w:rsidR="00F323F1" w:rsidRPr="00B80B89" w:rsidRDefault="00F323F1" w:rsidP="00ED0A54">
      <w:pPr>
        <w:jc w:val="both"/>
        <w:rPr>
          <w:b/>
          <w:sz w:val="28"/>
          <w:szCs w:val="28"/>
          <w:lang w:eastAsia="zh-CN"/>
        </w:rPr>
      </w:pPr>
      <w:r w:rsidRPr="004C299B">
        <w:rPr>
          <w:b/>
          <w:sz w:val="28"/>
          <w:szCs w:val="28"/>
          <w:lang w:eastAsia="zh-CN"/>
        </w:rPr>
        <w:t>1.3. Ārējās attiecības enerģētikas jomā</w:t>
      </w:r>
      <w:r w:rsidR="00B80B89">
        <w:rPr>
          <w:b/>
          <w:sz w:val="28"/>
          <w:szCs w:val="28"/>
          <w:lang w:eastAsia="zh-CN"/>
        </w:rPr>
        <w:t xml:space="preserve">: </w:t>
      </w:r>
      <w:r w:rsidRPr="00B80B89">
        <w:rPr>
          <w:b/>
          <w:sz w:val="28"/>
          <w:szCs w:val="28"/>
          <w:lang w:eastAsia="zh-CN"/>
        </w:rPr>
        <w:t xml:space="preserve">Turpmākie pasākumi pēc 2013. gada 22. maija Eiropadomes sanāksmes – ES enerģētikas politikas ārējo aspektu attīstības pārskats </w:t>
      </w:r>
    </w:p>
    <w:p w:rsidR="00F323F1" w:rsidRPr="00B80B89" w:rsidRDefault="00C67CCC" w:rsidP="00ED0A54">
      <w:pPr>
        <w:ind w:firstLine="737"/>
        <w:jc w:val="both"/>
        <w:rPr>
          <w:i/>
          <w:sz w:val="28"/>
          <w:szCs w:val="28"/>
          <w:lang w:eastAsia="zh-CN"/>
        </w:rPr>
      </w:pPr>
      <w:r>
        <w:rPr>
          <w:i/>
          <w:sz w:val="28"/>
          <w:szCs w:val="28"/>
          <w:lang w:eastAsia="zh-CN"/>
        </w:rPr>
        <w:t>–</w:t>
      </w:r>
      <w:r>
        <w:rPr>
          <w:i/>
          <w:sz w:val="28"/>
          <w:szCs w:val="28"/>
          <w:lang w:eastAsia="zh-CN"/>
        </w:rPr>
        <w:tab/>
        <w:t>Padomes ziņojuma apstiprināšana un Prezidentūras</w:t>
      </w:r>
      <w:r w:rsidR="00526AB3" w:rsidRPr="00B80B89">
        <w:rPr>
          <w:i/>
          <w:sz w:val="28"/>
          <w:szCs w:val="28"/>
          <w:lang w:eastAsia="zh-CN"/>
        </w:rPr>
        <w:t xml:space="preserve"> un Komisijas sniegta informācija par nesenajiem notikumiem ārējās attiecībās enerģētikas jomā</w:t>
      </w:r>
    </w:p>
    <w:p w:rsidR="0051290B" w:rsidRPr="00B80B89" w:rsidRDefault="0051290B" w:rsidP="00ED0A54">
      <w:pPr>
        <w:ind w:firstLine="737"/>
        <w:jc w:val="both"/>
        <w:rPr>
          <w:i/>
          <w:sz w:val="28"/>
          <w:szCs w:val="28"/>
          <w:lang w:eastAsia="zh-CN"/>
        </w:rPr>
      </w:pPr>
    </w:p>
    <w:p w:rsidR="003B0651" w:rsidRPr="003B0651" w:rsidRDefault="003B0651" w:rsidP="00ED0A54">
      <w:pPr>
        <w:ind w:firstLine="709"/>
        <w:jc w:val="both"/>
        <w:rPr>
          <w:sz w:val="28"/>
          <w:szCs w:val="28"/>
          <w:lang w:eastAsia="zh-CN"/>
        </w:rPr>
      </w:pPr>
      <w:r>
        <w:rPr>
          <w:sz w:val="28"/>
          <w:szCs w:val="28"/>
          <w:lang w:eastAsia="zh-CN"/>
        </w:rPr>
        <w:t>Paredzēts, ka sanāksmē Lietuvas prezidentūra un EK informēs par n</w:t>
      </w:r>
      <w:r w:rsidRPr="003B0651">
        <w:rPr>
          <w:sz w:val="28"/>
          <w:szCs w:val="28"/>
          <w:lang w:eastAsia="zh-CN"/>
        </w:rPr>
        <w:t>esenie</w:t>
      </w:r>
      <w:r>
        <w:rPr>
          <w:sz w:val="28"/>
          <w:szCs w:val="28"/>
          <w:lang w:eastAsia="zh-CN"/>
        </w:rPr>
        <w:t>m</w:t>
      </w:r>
      <w:r w:rsidRPr="003B0651">
        <w:rPr>
          <w:sz w:val="28"/>
          <w:szCs w:val="28"/>
          <w:lang w:eastAsia="zh-CN"/>
        </w:rPr>
        <w:t xml:space="preserve"> notikumi</w:t>
      </w:r>
      <w:r>
        <w:rPr>
          <w:sz w:val="28"/>
          <w:szCs w:val="28"/>
          <w:lang w:eastAsia="zh-CN"/>
        </w:rPr>
        <w:t>em</w:t>
      </w:r>
      <w:r w:rsidRPr="003B0651">
        <w:rPr>
          <w:sz w:val="28"/>
          <w:szCs w:val="28"/>
          <w:lang w:eastAsia="zh-CN"/>
        </w:rPr>
        <w:t xml:space="preserve"> E</w:t>
      </w:r>
      <w:r>
        <w:rPr>
          <w:sz w:val="28"/>
          <w:szCs w:val="28"/>
          <w:lang w:eastAsia="zh-CN"/>
        </w:rPr>
        <w:t xml:space="preserve">S ārējās enerģētikas attiecībās, kā arī ministri tiks aicināti apstiprināt Padomes ziņojumu par </w:t>
      </w:r>
      <w:r w:rsidRPr="003B0651">
        <w:rPr>
          <w:sz w:val="28"/>
          <w:szCs w:val="28"/>
          <w:lang w:eastAsia="zh-CN"/>
        </w:rPr>
        <w:t>ES enerģētikas politikas ā</w:t>
      </w:r>
      <w:r>
        <w:rPr>
          <w:sz w:val="28"/>
          <w:szCs w:val="28"/>
          <w:lang w:eastAsia="zh-CN"/>
        </w:rPr>
        <w:t>rējo aspektu attīstības pārskatu</w:t>
      </w:r>
    </w:p>
    <w:p w:rsidR="00B80B89" w:rsidRDefault="00D52733" w:rsidP="00ED0A54">
      <w:pPr>
        <w:pStyle w:val="EntEmet"/>
        <w:spacing w:before="0"/>
        <w:ind w:firstLine="737"/>
        <w:jc w:val="both"/>
        <w:rPr>
          <w:sz w:val="28"/>
          <w:szCs w:val="28"/>
          <w:lang w:val="lv-LV" w:eastAsia="zh-CN"/>
        </w:rPr>
      </w:pPr>
      <w:r w:rsidRPr="00B80B89">
        <w:rPr>
          <w:sz w:val="28"/>
          <w:szCs w:val="28"/>
          <w:lang w:val="lv-LV" w:eastAsia="zh-CN"/>
        </w:rPr>
        <w:t xml:space="preserve">2013.gada 22.maijā Eiropadome </w:t>
      </w:r>
      <w:r w:rsidR="00CD4111" w:rsidRPr="00B80B89">
        <w:rPr>
          <w:sz w:val="28"/>
          <w:szCs w:val="28"/>
          <w:lang w:val="lv-LV" w:eastAsia="zh-CN"/>
        </w:rPr>
        <w:t xml:space="preserve">deva </w:t>
      </w:r>
      <w:r w:rsidRPr="00B80B89">
        <w:rPr>
          <w:sz w:val="28"/>
          <w:szCs w:val="28"/>
          <w:lang w:val="lv-LV" w:eastAsia="zh-CN"/>
        </w:rPr>
        <w:t xml:space="preserve">Padomei norādījumus līdz 2013.gada beigām ņemt vērā 2011.gada novembra </w:t>
      </w:r>
      <w:r w:rsidR="00CD4111" w:rsidRPr="00B80B89">
        <w:rPr>
          <w:sz w:val="28"/>
          <w:szCs w:val="28"/>
          <w:lang w:val="lv-LV" w:eastAsia="zh-CN"/>
        </w:rPr>
        <w:t xml:space="preserve">Padomes </w:t>
      </w:r>
      <w:r w:rsidRPr="00B80B89">
        <w:rPr>
          <w:sz w:val="28"/>
          <w:szCs w:val="28"/>
          <w:lang w:val="lv-LV" w:eastAsia="zh-CN"/>
        </w:rPr>
        <w:t>secinājumus</w:t>
      </w:r>
      <w:r w:rsidR="009B06BA" w:rsidRPr="00B80B89">
        <w:rPr>
          <w:sz w:val="28"/>
          <w:szCs w:val="28"/>
          <w:lang w:val="lv-LV" w:eastAsia="zh-CN"/>
        </w:rPr>
        <w:t xml:space="preserve"> par ES ārējās enerģētikas politikas dimensijas stiprināšanu</w:t>
      </w:r>
      <w:r w:rsidRPr="003B0651">
        <w:rPr>
          <w:sz w:val="28"/>
          <w:szCs w:val="28"/>
          <w:lang w:val="lv-LV" w:eastAsia="zh-CN"/>
        </w:rPr>
        <w:t xml:space="preserve"> un veikt pārskatu pār ES ārējo enerģētikas politiku. </w:t>
      </w:r>
      <w:r w:rsidR="00B80B89">
        <w:rPr>
          <w:sz w:val="28"/>
          <w:szCs w:val="28"/>
          <w:lang w:val="lv-LV" w:eastAsia="zh-CN"/>
        </w:rPr>
        <w:t xml:space="preserve">Padomes ziņojums, kuru ministri tiks aicināti apstiprināt, ir atbilde uz Eiropadomes secinājumiem. Ziņojumā </w:t>
      </w:r>
      <w:r w:rsidR="00B80B89" w:rsidRPr="00C24505">
        <w:rPr>
          <w:sz w:val="28"/>
          <w:szCs w:val="28"/>
          <w:lang w:val="lv-LV" w:eastAsia="zh-CN"/>
        </w:rPr>
        <w:t>ir sniegts pārskats par galvenajiem sasniegumiem attiecībā uz ES enerģētikas politikas ārējiem aspektiem kopš 2011.gada.</w:t>
      </w:r>
    </w:p>
    <w:p w:rsidR="00B80B89" w:rsidRPr="00ED0A54" w:rsidRDefault="00B80B89" w:rsidP="00ED0A54">
      <w:pPr>
        <w:pStyle w:val="EntEmet"/>
        <w:spacing w:before="0"/>
        <w:ind w:firstLine="737"/>
        <w:jc w:val="both"/>
        <w:rPr>
          <w:sz w:val="28"/>
          <w:szCs w:val="28"/>
          <w:lang w:val="lv-LV" w:eastAsia="zh-CN"/>
        </w:rPr>
      </w:pPr>
      <w:r w:rsidRPr="00ED0A54">
        <w:rPr>
          <w:sz w:val="28"/>
          <w:szCs w:val="28"/>
          <w:lang w:val="lv-LV" w:eastAsia="zh-CN"/>
        </w:rPr>
        <w:t xml:space="preserve">Kopš 2011.gada enerģētika jomā ir norisinājušies vairāki būtiski notikumi. Pirmkārt, </w:t>
      </w:r>
      <w:r>
        <w:rPr>
          <w:sz w:val="28"/>
          <w:szCs w:val="28"/>
          <w:lang w:val="lv-LV" w:eastAsia="zh-CN"/>
        </w:rPr>
        <w:t xml:space="preserve">pieauga </w:t>
      </w:r>
      <w:r w:rsidRPr="00ED0A54">
        <w:rPr>
          <w:sz w:val="28"/>
          <w:szCs w:val="28"/>
          <w:lang w:val="lv-LV" w:eastAsia="zh-CN"/>
        </w:rPr>
        <w:t>attīstības valstu loma globālajā kontekstā: palielin</w:t>
      </w:r>
      <w:r>
        <w:rPr>
          <w:sz w:val="28"/>
          <w:szCs w:val="28"/>
          <w:lang w:val="lv-LV" w:eastAsia="zh-CN"/>
        </w:rPr>
        <w:t>āj</w:t>
      </w:r>
      <w:r w:rsidRPr="00ED0A54">
        <w:rPr>
          <w:sz w:val="28"/>
          <w:szCs w:val="28"/>
          <w:lang w:val="lv-LV" w:eastAsia="zh-CN"/>
        </w:rPr>
        <w:t>ās gan enerģētikas resursu patēriņš šajās valstīs, gan vienlaikus arvien vairāk</w:t>
      </w:r>
      <w:r>
        <w:rPr>
          <w:sz w:val="28"/>
          <w:szCs w:val="28"/>
          <w:lang w:val="lv-LV" w:eastAsia="zh-CN"/>
        </w:rPr>
        <w:t>as</w:t>
      </w:r>
      <w:r w:rsidRPr="00ED0A54">
        <w:rPr>
          <w:sz w:val="28"/>
          <w:szCs w:val="28"/>
          <w:lang w:val="lv-LV" w:eastAsia="zh-CN"/>
        </w:rPr>
        <w:t xml:space="preserve"> valstis ir ieinteresētas iesaistīties enerģētikas efektivitātes uzlabošanā un atjaunojamo resursu izmantošanas veicināšanā. Otrkārt, enerģētikas sektoru zīmīgi ietekmē globālie konflikti un katastrofas. Situācija Tuvajos Austrumos un Ziemeļāfrikā joprojām ir nestabila un tas atstāj būtisku ietekmi uz </w:t>
      </w:r>
      <w:r>
        <w:rPr>
          <w:sz w:val="28"/>
          <w:szCs w:val="28"/>
          <w:lang w:val="lv-LV" w:eastAsia="zh-CN"/>
        </w:rPr>
        <w:t>ES</w:t>
      </w:r>
      <w:r w:rsidRPr="00ED0A54">
        <w:rPr>
          <w:sz w:val="28"/>
          <w:szCs w:val="28"/>
          <w:lang w:val="lv-LV" w:eastAsia="zh-CN"/>
        </w:rPr>
        <w:t xml:space="preserve"> centieniem stiprināt sadarbību ar šo reģionu valstīm. Arī Fukušimas atomkatastrofa ir ietekmējusi starptautisko spēlētāju izpratni par nākotnes enerģētikas portfeli, turklāt valstis šobrīd sadarbojas vienotu globālu atomelektrostaciju standartu noteikšanai. Treškārt, jaunu nekonvencionālo un konvencionālo fosilo resursu atradnes pasaulē, tostarp, ES, paver plašas iespējas diversificēt gan energoresursu piegāžu ceļus, gan avotus. Vienlaikus lieli slānekļa gāzes krājumi ASV jau šobrīd un nākotnē radīs būtisku apdraudējumu ES globālajai konkurētspējai.</w:t>
      </w:r>
    </w:p>
    <w:p w:rsidR="00B80B89" w:rsidRPr="004B3FD8" w:rsidRDefault="00B80B89" w:rsidP="00ED0A54">
      <w:pPr>
        <w:pStyle w:val="EntEmet"/>
        <w:spacing w:before="0"/>
        <w:ind w:firstLine="737"/>
        <w:jc w:val="both"/>
        <w:rPr>
          <w:sz w:val="28"/>
          <w:szCs w:val="28"/>
          <w:lang w:val="lv-LV" w:eastAsia="zh-CN"/>
        </w:rPr>
      </w:pPr>
      <w:r w:rsidRPr="004258C2">
        <w:rPr>
          <w:sz w:val="28"/>
          <w:szCs w:val="28"/>
          <w:lang w:val="lv-LV" w:eastAsia="zh-CN"/>
        </w:rPr>
        <w:t xml:space="preserve">Kopš 2011.gada ES ārējo enerģētikas attiecību kontekstā ir ticis sasniegts zīmīgs progress. </w:t>
      </w:r>
      <w:r w:rsidRPr="004B3FD8">
        <w:rPr>
          <w:sz w:val="28"/>
          <w:szCs w:val="28"/>
          <w:lang w:val="lv-LV" w:eastAsia="zh-CN"/>
        </w:rPr>
        <w:t xml:space="preserve">Enerģētikas Kopiena ir viens no veiksmīgākajiem Eiropas ārējās enerģētikas politikas ietvariem. 2013.gada novembra Austrumu </w:t>
      </w:r>
      <w:r w:rsidRPr="004B3FD8">
        <w:rPr>
          <w:sz w:val="28"/>
          <w:szCs w:val="28"/>
          <w:lang w:val="lv-LV" w:eastAsia="zh-CN"/>
        </w:rPr>
        <w:lastRenderedPageBreak/>
        <w:t>Partnerības samita ietvaros tika likti pamati Moldovas un Gruzijas Asociāciju līgumiem. Vienošanās panākšana nākotnē arī ar Ukrainu par enerģētikas reformu un enerģētikas diversifikācijas jautājumu risināšanu joprojām ir viena no ES Austrumu Partnerības prioritātēm. Zīmīgs progress enerģētikas sadarbības veicināšanas kontekstā ir ticis sasniegts arī ar ASV, Ķīnu, Krieviju un Naftas Eksportētājvalstu Organizācijas (OPEC) dalībvalstīm. Stratēģijas sarunām ar Trešajām valstīm tiek izstrādātas Stratēģiskās Grupas Starptautiskajai Enerģētikas Sadarbībai ietvaros, un tas ir pozitīvi ietekmējis abu pušu bilaterālo sadarbību.</w:t>
      </w:r>
    </w:p>
    <w:p w:rsidR="00B80B89" w:rsidRDefault="00B80B89" w:rsidP="00ED0A54">
      <w:pPr>
        <w:pStyle w:val="EntEmet"/>
        <w:spacing w:before="0"/>
        <w:ind w:firstLine="737"/>
        <w:jc w:val="both"/>
        <w:rPr>
          <w:sz w:val="28"/>
          <w:szCs w:val="28"/>
          <w:lang w:val="lv-LV" w:eastAsia="zh-CN"/>
        </w:rPr>
      </w:pPr>
      <w:r w:rsidRPr="004B3FD8">
        <w:rPr>
          <w:sz w:val="28"/>
          <w:szCs w:val="28"/>
          <w:lang w:val="lv-LV" w:eastAsia="zh-CN"/>
        </w:rPr>
        <w:t xml:space="preserve">Padome secināja, ka efektīvākai ārējās enerģētikas politikas īstenošanai ES jārunā vienotā balsī un jāīsteno saskaņota ES enerģētikas politika. Šo mērķi palīdzēs īstenot ES Vienotā Enerģētikas tirgus pabeigšana, saskaņota likumdošana un regulatīvais ietvars, kā arī vienoti drošības standarti. </w:t>
      </w:r>
    </w:p>
    <w:p w:rsidR="004258C2" w:rsidRDefault="004258C2" w:rsidP="004B3FD8">
      <w:pPr>
        <w:pStyle w:val="EntEmet"/>
        <w:spacing w:before="0"/>
        <w:jc w:val="both"/>
        <w:rPr>
          <w:sz w:val="28"/>
          <w:szCs w:val="28"/>
          <w:lang w:val="lv-LV" w:eastAsia="zh-CN"/>
        </w:rPr>
      </w:pPr>
    </w:p>
    <w:p w:rsidR="004258C2" w:rsidRPr="004B3FD8" w:rsidRDefault="004258C2" w:rsidP="004B3FD8">
      <w:pPr>
        <w:pStyle w:val="EntEmet"/>
        <w:spacing w:before="0"/>
        <w:jc w:val="both"/>
        <w:rPr>
          <w:b/>
          <w:i/>
          <w:sz w:val="28"/>
          <w:szCs w:val="28"/>
          <w:lang w:val="lv-LV" w:eastAsia="zh-CN"/>
        </w:rPr>
      </w:pPr>
      <w:r w:rsidRPr="004B3FD8">
        <w:rPr>
          <w:b/>
          <w:i/>
          <w:sz w:val="28"/>
          <w:szCs w:val="28"/>
          <w:lang w:val="lv-LV" w:eastAsia="zh-CN"/>
        </w:rPr>
        <w:t>Latvijas nostāja:</w:t>
      </w:r>
    </w:p>
    <w:p w:rsidR="00B80B89" w:rsidRPr="004B3FD8" w:rsidRDefault="00B80B89" w:rsidP="00ED0A54">
      <w:pPr>
        <w:pStyle w:val="EntEmet"/>
        <w:spacing w:before="0"/>
        <w:ind w:firstLine="737"/>
        <w:jc w:val="both"/>
        <w:rPr>
          <w:sz w:val="28"/>
          <w:szCs w:val="28"/>
          <w:lang w:val="lv-LV" w:eastAsia="zh-CN"/>
        </w:rPr>
      </w:pPr>
      <w:r w:rsidRPr="004B3FD8">
        <w:rPr>
          <w:sz w:val="28"/>
          <w:szCs w:val="28"/>
          <w:lang w:val="lv-LV" w:eastAsia="zh-CN"/>
        </w:rPr>
        <w:t>Latvija atbalsta nepieciešamību ES dalībvalstīm paust vienotu viedokli attiecībās ārpus ES, tādējādi nodrošinot efektīvāku mērķu sasniegšanu un īstenošanu. Latvijai ir īpaši svarīgi vērst uzmanību iespējām sekmēt enerģētikas neatkarību, diversificējot piegādes avotus un ceļus. Latvijas piekrīt, ka Kopējas Intereses Projektu īstenošana spēlēs vienu no galvenajām lomām minētā mērķa sasniegšanai. Eiropas Komisijai, ES Padomei un dalībvalstīm ir aktīvi jāturpina pievērsties turpmākai vienotas ES ārējās enerģētikas politikas attīstīšanai. Vienlaikus jāņem vērā, ka vienotas ES stratēģijas izstrāde būtu jābalsta 2011.gada ES Padomes secinājumos un rekomendācijās.</w:t>
      </w:r>
    </w:p>
    <w:p w:rsidR="00B80B89" w:rsidRPr="00B80B89" w:rsidRDefault="00B80B89" w:rsidP="00ED0A54">
      <w:pPr>
        <w:pStyle w:val="EntEmet"/>
        <w:spacing w:before="0"/>
        <w:ind w:firstLine="737"/>
        <w:jc w:val="both"/>
        <w:rPr>
          <w:sz w:val="28"/>
          <w:szCs w:val="28"/>
          <w:lang w:val="lv-LV" w:eastAsia="zh-CN"/>
        </w:rPr>
      </w:pPr>
    </w:p>
    <w:p w:rsidR="00947967" w:rsidRPr="00B80B89" w:rsidRDefault="00947967" w:rsidP="00ED0A54">
      <w:pPr>
        <w:pStyle w:val="EntEmet"/>
        <w:spacing w:before="0"/>
        <w:ind w:firstLine="737"/>
        <w:jc w:val="both"/>
        <w:rPr>
          <w:sz w:val="28"/>
          <w:szCs w:val="28"/>
          <w:lang w:val="lv-LV" w:eastAsia="zh-CN"/>
        </w:rPr>
      </w:pPr>
    </w:p>
    <w:p w:rsidR="00F323F1" w:rsidRPr="00B80B89" w:rsidRDefault="00F323F1" w:rsidP="00ED0A54">
      <w:pPr>
        <w:jc w:val="both"/>
        <w:rPr>
          <w:sz w:val="28"/>
          <w:szCs w:val="28"/>
        </w:rPr>
      </w:pPr>
      <w:r w:rsidRPr="00B80B89">
        <w:rPr>
          <w:b/>
          <w:sz w:val="28"/>
          <w:szCs w:val="28"/>
          <w:lang w:eastAsia="zh-CN"/>
        </w:rPr>
        <w:t>1.4. Citi jautājumi</w:t>
      </w:r>
    </w:p>
    <w:p w:rsidR="00E32269" w:rsidRDefault="00E32269" w:rsidP="00ED0A54">
      <w:pPr>
        <w:jc w:val="both"/>
        <w:rPr>
          <w:b/>
          <w:sz w:val="28"/>
          <w:szCs w:val="28"/>
          <w:lang w:eastAsia="zh-CN"/>
        </w:rPr>
      </w:pPr>
    </w:p>
    <w:p w:rsidR="00F323F1" w:rsidRPr="00B80B89" w:rsidRDefault="00F323F1" w:rsidP="00ED0A54">
      <w:pPr>
        <w:jc w:val="both"/>
        <w:rPr>
          <w:b/>
          <w:sz w:val="28"/>
          <w:szCs w:val="28"/>
          <w:lang w:eastAsia="zh-CN"/>
        </w:rPr>
      </w:pPr>
      <w:r w:rsidRPr="00B80B89">
        <w:rPr>
          <w:b/>
          <w:sz w:val="28"/>
          <w:szCs w:val="28"/>
          <w:lang w:eastAsia="zh-CN"/>
        </w:rPr>
        <w:t>a)</w:t>
      </w:r>
      <w:r w:rsidRPr="00B80B89">
        <w:rPr>
          <w:b/>
          <w:sz w:val="28"/>
          <w:szCs w:val="28"/>
          <w:lang w:eastAsia="zh-CN"/>
        </w:rPr>
        <w:tab/>
        <w:t>Priekšlikums Eiropas Parlamenta un Padomes Regulai, ar ko nosaka kārtību, kādā ziņot Komisijai par energoinfrastruktūras investīciju projektiem Eiropas Savienībā, un aizstāj Padomes Regulu (ES, Euratom) Nr. 617/2010 (pirmais lasījums)</w:t>
      </w:r>
    </w:p>
    <w:p w:rsidR="00F323F1" w:rsidRPr="00B80B89" w:rsidRDefault="00F323F1" w:rsidP="00ED0A54">
      <w:pPr>
        <w:ind w:firstLine="737"/>
        <w:jc w:val="both"/>
        <w:rPr>
          <w:b/>
          <w:sz w:val="28"/>
          <w:szCs w:val="28"/>
          <w:lang w:eastAsia="zh-CN"/>
        </w:rPr>
      </w:pPr>
      <w:r w:rsidRPr="00B80B89">
        <w:rPr>
          <w:b/>
          <w:sz w:val="28"/>
          <w:szCs w:val="28"/>
          <w:lang w:eastAsia="zh-CN"/>
        </w:rPr>
        <w:t>Starpiestāžu lieta: 2013/0082 (COD)</w:t>
      </w:r>
    </w:p>
    <w:p w:rsidR="00A25EAE" w:rsidRPr="004C299B" w:rsidRDefault="00F323F1" w:rsidP="00ED0A54">
      <w:pPr>
        <w:ind w:firstLine="737"/>
        <w:jc w:val="both"/>
        <w:rPr>
          <w:i/>
          <w:sz w:val="28"/>
          <w:szCs w:val="28"/>
          <w:lang w:eastAsia="zh-CN"/>
        </w:rPr>
      </w:pPr>
      <w:r w:rsidRPr="003B0651">
        <w:rPr>
          <w:i/>
          <w:sz w:val="28"/>
          <w:szCs w:val="28"/>
          <w:lang w:eastAsia="zh-CN"/>
        </w:rPr>
        <w:t>–</w:t>
      </w:r>
      <w:r w:rsidRPr="003B0651">
        <w:rPr>
          <w:i/>
          <w:sz w:val="28"/>
          <w:szCs w:val="28"/>
          <w:lang w:eastAsia="zh-CN"/>
        </w:rPr>
        <w:tab/>
        <w:t>Prez</w:t>
      </w:r>
      <w:r w:rsidR="00526AB3" w:rsidRPr="003B0651">
        <w:rPr>
          <w:i/>
          <w:sz w:val="28"/>
          <w:szCs w:val="28"/>
          <w:lang w:eastAsia="zh-CN"/>
        </w:rPr>
        <w:t>ident</w:t>
      </w:r>
      <w:r w:rsidR="00C67CCC">
        <w:rPr>
          <w:i/>
          <w:sz w:val="28"/>
          <w:szCs w:val="28"/>
          <w:lang w:eastAsia="zh-CN"/>
        </w:rPr>
        <w:t>ūras</w:t>
      </w:r>
      <w:r w:rsidR="00526AB3" w:rsidRPr="003B0651">
        <w:rPr>
          <w:i/>
          <w:sz w:val="28"/>
          <w:szCs w:val="28"/>
          <w:lang w:eastAsia="zh-CN"/>
        </w:rPr>
        <w:t xml:space="preserve"> sniegta informācija un </w:t>
      </w:r>
      <w:r w:rsidRPr="00E32269">
        <w:rPr>
          <w:i/>
          <w:sz w:val="28"/>
          <w:szCs w:val="28"/>
          <w:lang w:eastAsia="zh-CN"/>
        </w:rPr>
        <w:t xml:space="preserve">publiska apspriešana saskaņā ar Līguma par Eiropas Savienību </w:t>
      </w:r>
      <w:r w:rsidR="00526AB3" w:rsidRPr="004C299B">
        <w:rPr>
          <w:i/>
          <w:sz w:val="28"/>
          <w:szCs w:val="28"/>
          <w:lang w:eastAsia="zh-CN"/>
        </w:rPr>
        <w:t xml:space="preserve">16. panta 8. </w:t>
      </w:r>
      <w:r w:rsidR="00382143" w:rsidRPr="004C299B">
        <w:rPr>
          <w:i/>
          <w:sz w:val="28"/>
          <w:szCs w:val="28"/>
          <w:lang w:eastAsia="zh-CN"/>
        </w:rPr>
        <w:t>P</w:t>
      </w:r>
      <w:r w:rsidR="00526AB3" w:rsidRPr="004C299B">
        <w:rPr>
          <w:i/>
          <w:sz w:val="28"/>
          <w:szCs w:val="28"/>
          <w:lang w:eastAsia="zh-CN"/>
        </w:rPr>
        <w:t>unktu</w:t>
      </w:r>
    </w:p>
    <w:p w:rsidR="00A25EAE" w:rsidRPr="004C299B" w:rsidRDefault="00A25EAE" w:rsidP="00ED0A54">
      <w:pPr>
        <w:ind w:firstLine="737"/>
        <w:jc w:val="both"/>
        <w:rPr>
          <w:sz w:val="28"/>
          <w:szCs w:val="28"/>
          <w:lang w:eastAsia="zh-CN"/>
        </w:rPr>
      </w:pPr>
    </w:p>
    <w:p w:rsidR="005E7BF9" w:rsidRPr="004C299B" w:rsidRDefault="005E7BF9" w:rsidP="00ED0A54">
      <w:pPr>
        <w:ind w:firstLine="737"/>
        <w:jc w:val="both"/>
        <w:rPr>
          <w:sz w:val="28"/>
          <w:szCs w:val="28"/>
          <w:lang w:eastAsia="zh-CN"/>
        </w:rPr>
      </w:pPr>
      <w:r w:rsidRPr="004C299B">
        <w:rPr>
          <w:sz w:val="28"/>
          <w:szCs w:val="28"/>
          <w:lang w:eastAsia="zh-CN"/>
        </w:rPr>
        <w:t xml:space="preserve">2013.gada 20.martā </w:t>
      </w:r>
      <w:r w:rsidR="00CD4111" w:rsidRPr="004C299B">
        <w:rPr>
          <w:sz w:val="28"/>
          <w:szCs w:val="28"/>
          <w:lang w:eastAsia="zh-CN"/>
        </w:rPr>
        <w:t>EK</w:t>
      </w:r>
      <w:r w:rsidRPr="004C299B">
        <w:rPr>
          <w:sz w:val="28"/>
          <w:szCs w:val="28"/>
          <w:lang w:eastAsia="zh-CN"/>
        </w:rPr>
        <w:t xml:space="preserve"> ir nākusi klajā ar Priekšlikumu </w:t>
      </w:r>
      <w:r w:rsidR="00AD0EDB" w:rsidRPr="004C299B">
        <w:rPr>
          <w:sz w:val="28"/>
          <w:szCs w:val="28"/>
          <w:lang w:eastAsia="zh-CN"/>
        </w:rPr>
        <w:t>EP</w:t>
      </w:r>
      <w:r w:rsidRPr="004C299B">
        <w:rPr>
          <w:sz w:val="28"/>
          <w:szCs w:val="28"/>
          <w:lang w:eastAsia="zh-CN"/>
        </w:rPr>
        <w:t xml:space="preserve"> un Padomes regulai, ar ko nosaka kārtību, kādā ziņot </w:t>
      </w:r>
      <w:r w:rsidR="00CD4111" w:rsidRPr="004C299B">
        <w:rPr>
          <w:sz w:val="28"/>
          <w:szCs w:val="28"/>
          <w:lang w:eastAsia="zh-CN"/>
        </w:rPr>
        <w:t xml:space="preserve">EK </w:t>
      </w:r>
      <w:r w:rsidRPr="004C299B">
        <w:rPr>
          <w:sz w:val="28"/>
          <w:szCs w:val="28"/>
          <w:lang w:eastAsia="zh-CN"/>
        </w:rPr>
        <w:t xml:space="preserve">par energoinfrastruktūras investīciju projektiem </w:t>
      </w:r>
      <w:r w:rsidR="00CD4111" w:rsidRPr="004C299B">
        <w:rPr>
          <w:sz w:val="28"/>
          <w:szCs w:val="28"/>
          <w:lang w:eastAsia="zh-CN"/>
        </w:rPr>
        <w:t>ES</w:t>
      </w:r>
      <w:r w:rsidRPr="004C299B">
        <w:rPr>
          <w:sz w:val="28"/>
          <w:szCs w:val="28"/>
          <w:lang w:eastAsia="zh-CN"/>
        </w:rPr>
        <w:t xml:space="preserve">, un aizstāj Padomes Regulu Nr. 617/2010 (turpmāk – Regulas priekšlikums). </w:t>
      </w:r>
      <w:r w:rsidR="00CD4111" w:rsidRPr="004C299B">
        <w:rPr>
          <w:sz w:val="28"/>
          <w:szCs w:val="28"/>
          <w:lang w:eastAsia="zh-CN"/>
        </w:rPr>
        <w:t xml:space="preserve">EK </w:t>
      </w:r>
      <w:r w:rsidRPr="004C299B">
        <w:rPr>
          <w:sz w:val="28"/>
          <w:szCs w:val="28"/>
          <w:lang w:eastAsia="zh-CN"/>
        </w:rPr>
        <w:t xml:space="preserve">Regulas priekšlikumu ir ierosinājusi pēc </w:t>
      </w:r>
      <w:r w:rsidR="002658D2" w:rsidRPr="004C299B">
        <w:rPr>
          <w:sz w:val="28"/>
          <w:szCs w:val="28"/>
          <w:lang w:eastAsia="zh-CN"/>
        </w:rPr>
        <w:t xml:space="preserve">Eiropas Savienības </w:t>
      </w:r>
      <w:r w:rsidRPr="004C299B">
        <w:rPr>
          <w:sz w:val="28"/>
          <w:szCs w:val="28"/>
          <w:lang w:eastAsia="zh-CN"/>
        </w:rPr>
        <w:t xml:space="preserve">Tiesas 2012. gada 6. septembra sprieduma, ar ko tika atcelta Padomes Regula Nr. 617/2010 par to, kā ziņot </w:t>
      </w:r>
      <w:r w:rsidR="00CD4111" w:rsidRPr="004C299B">
        <w:rPr>
          <w:sz w:val="28"/>
          <w:szCs w:val="28"/>
          <w:lang w:eastAsia="zh-CN"/>
        </w:rPr>
        <w:t xml:space="preserve">EK </w:t>
      </w:r>
      <w:r w:rsidRPr="004C299B">
        <w:rPr>
          <w:sz w:val="28"/>
          <w:szCs w:val="28"/>
          <w:lang w:eastAsia="zh-CN"/>
        </w:rPr>
        <w:t xml:space="preserve">par enerģētikas infrastruktūras investīciju </w:t>
      </w:r>
      <w:r w:rsidRPr="004C299B">
        <w:rPr>
          <w:sz w:val="28"/>
          <w:szCs w:val="28"/>
          <w:lang w:eastAsia="zh-CN"/>
        </w:rPr>
        <w:lastRenderedPageBreak/>
        <w:t>projektiem Eiropas Kopienā (turpmāk – Regula 617/2010), savukārt līdz jaunas regulas pieņemšanai spēkā tika atstātas Regula</w:t>
      </w:r>
      <w:r w:rsidR="00C67CCC">
        <w:rPr>
          <w:sz w:val="28"/>
          <w:szCs w:val="28"/>
          <w:lang w:eastAsia="zh-CN"/>
        </w:rPr>
        <w:t>s</w:t>
      </w:r>
      <w:r w:rsidRPr="004C299B">
        <w:rPr>
          <w:sz w:val="28"/>
          <w:szCs w:val="28"/>
          <w:lang w:eastAsia="zh-CN"/>
        </w:rPr>
        <w:t xml:space="preserve"> 617/2010 sekas.</w:t>
      </w:r>
    </w:p>
    <w:p w:rsidR="005E76EF" w:rsidRPr="00C24505" w:rsidRDefault="00AD0EDB" w:rsidP="005E76EF">
      <w:pPr>
        <w:ind w:firstLine="737"/>
        <w:jc w:val="both"/>
        <w:rPr>
          <w:sz w:val="28"/>
          <w:szCs w:val="28"/>
          <w:lang w:eastAsia="zh-CN"/>
        </w:rPr>
      </w:pPr>
      <w:r w:rsidRPr="004C299B">
        <w:rPr>
          <w:sz w:val="28"/>
          <w:szCs w:val="28"/>
          <w:lang w:eastAsia="zh-CN"/>
        </w:rPr>
        <w:t>Tiesas spriedums, kas atcēla Regulu 617/2010, tika pieņemts pēc tam, kad EP 2010. gada oktobrī iesniedza Tiesā prasību pret Padomi, apstrīdot Regulas Nr. 617/2010 pieņemšanas juridisko pamatu un lūdzot Tiesu minēto regulu atcelt (lieta C-490/10).</w:t>
      </w:r>
      <w:r w:rsidR="005E76EF">
        <w:rPr>
          <w:sz w:val="28"/>
          <w:szCs w:val="28"/>
          <w:lang w:eastAsia="zh-CN"/>
        </w:rPr>
        <w:t xml:space="preserve"> </w:t>
      </w:r>
      <w:r w:rsidR="005E76EF" w:rsidRPr="00C24505">
        <w:rPr>
          <w:sz w:val="28"/>
          <w:szCs w:val="28"/>
          <w:lang w:eastAsia="zh-CN"/>
        </w:rPr>
        <w:t>Padome kā Regulas 617/2010 juridisko pamatu izmantoja Līguma par ES darbību (turpmāk – LESD) 337. pantu un Eiropas Atomenerģijas Kopienas dibināšanas līguma 187. pantu, pamatojoties uz to, ka regula attiecas uz vispārīgas informācijas vākšanu. Regulas priekšlikuma juridiskais pamatojums ir LESD 194.pants “Enerģētikas politika”. Iepriekšējais juridiskais pamatojums pieņemšanai prasīja vienkāršu vairākumu Padomē, savukārt jaunais pamatojums paredz parasto likumdošanas procedūru.</w:t>
      </w:r>
    </w:p>
    <w:p w:rsidR="005E7BF9" w:rsidRPr="004C299B" w:rsidRDefault="005E7BF9" w:rsidP="00ED0A54">
      <w:pPr>
        <w:ind w:firstLine="737"/>
        <w:jc w:val="both"/>
        <w:rPr>
          <w:sz w:val="28"/>
          <w:szCs w:val="28"/>
          <w:lang w:eastAsia="zh-CN"/>
        </w:rPr>
      </w:pPr>
      <w:r w:rsidRPr="004C299B">
        <w:rPr>
          <w:sz w:val="28"/>
          <w:szCs w:val="28"/>
          <w:lang w:eastAsia="zh-CN"/>
        </w:rPr>
        <w:t>Regulas 617/2010 mērķis bija izveidot efektīvu un praktisku ziņošanas un uzraudzības sistēmu, t.i., vākt atbilstošus datus par investīcijām ES enerģētikas infrastruktūrā un ieviest mehānismu, kas ļautu informēt par rezultātiem dalībvalstis un nozares interesentus. Tas ļaus atrisināt konsekventu datu un informācijas trūkumu par investīciju projektiem (dažādās to stadijās) un ar šo trūkumu saistītās problēmas.</w:t>
      </w:r>
    </w:p>
    <w:p w:rsidR="005E7BF9" w:rsidRPr="004C299B" w:rsidRDefault="005E7BF9" w:rsidP="00ED0A54">
      <w:pPr>
        <w:ind w:firstLine="737"/>
        <w:jc w:val="both"/>
        <w:rPr>
          <w:sz w:val="28"/>
          <w:szCs w:val="28"/>
          <w:lang w:eastAsia="zh-CN"/>
        </w:rPr>
      </w:pPr>
      <w:r w:rsidRPr="004C299B">
        <w:rPr>
          <w:sz w:val="28"/>
          <w:szCs w:val="28"/>
          <w:lang w:eastAsia="zh-CN"/>
        </w:rPr>
        <w:t xml:space="preserve">Regulas priekšlikums nosaka, ka dalībvalstīm ik pēc diviem gadiem jāziņo </w:t>
      </w:r>
      <w:r w:rsidR="00CD4111" w:rsidRPr="004C299B">
        <w:rPr>
          <w:sz w:val="28"/>
          <w:szCs w:val="28"/>
          <w:lang w:eastAsia="zh-CN"/>
        </w:rPr>
        <w:t xml:space="preserve">EK </w:t>
      </w:r>
      <w:r w:rsidRPr="004C299B">
        <w:rPr>
          <w:sz w:val="28"/>
          <w:szCs w:val="28"/>
          <w:lang w:eastAsia="zh-CN"/>
        </w:rPr>
        <w:t xml:space="preserve">dati un informācija par investīciju projektiem, kas saistīti ar naftas, dabasgāzes, elektroenerģijas (tostarp no atjaunojamiem energoavotiem iegūtas elektroenerģijas) un biokurināmā/biodegvielas ražošanu, glabāšanu un transportēšanu un oglekļa dioksīda uztveršanu un uzglabāšanu. Investīcijas, par kurām jāziņo </w:t>
      </w:r>
      <w:r w:rsidR="00CD4111" w:rsidRPr="004C299B">
        <w:rPr>
          <w:sz w:val="28"/>
          <w:szCs w:val="28"/>
          <w:lang w:eastAsia="zh-CN"/>
        </w:rPr>
        <w:t>EK</w:t>
      </w:r>
      <w:r w:rsidRPr="004C299B">
        <w:rPr>
          <w:sz w:val="28"/>
          <w:szCs w:val="28"/>
          <w:lang w:eastAsia="zh-CN"/>
        </w:rPr>
        <w:t>, ietver gan plānotus projektus un projektus būvdarbu posmā, gan esošās infrastruktūras pārveidošanas un ekspluatācijas izbeigšanas projektus, kas dalībvalsts teritorijā tiks īstenoti nākamo piecu gadu laikā, to</w:t>
      </w:r>
      <w:r w:rsidR="00710ED4" w:rsidRPr="004C299B">
        <w:rPr>
          <w:sz w:val="28"/>
          <w:szCs w:val="28"/>
          <w:lang w:eastAsia="zh-CN"/>
        </w:rPr>
        <w:t>starp starpsavienojumus ar treša</w:t>
      </w:r>
      <w:r w:rsidRPr="004C299B">
        <w:rPr>
          <w:sz w:val="28"/>
          <w:szCs w:val="28"/>
          <w:lang w:eastAsia="zh-CN"/>
        </w:rPr>
        <w:t>jām valstīm.</w:t>
      </w:r>
    </w:p>
    <w:p w:rsidR="00382143" w:rsidRPr="004C299B" w:rsidRDefault="00DA22BC" w:rsidP="00ED0A54">
      <w:pPr>
        <w:ind w:firstLine="737"/>
        <w:jc w:val="both"/>
        <w:rPr>
          <w:sz w:val="28"/>
          <w:szCs w:val="28"/>
          <w:lang w:eastAsia="zh-CN"/>
        </w:rPr>
      </w:pPr>
      <w:r w:rsidRPr="004C299B">
        <w:rPr>
          <w:sz w:val="28"/>
          <w:szCs w:val="28"/>
          <w:lang w:eastAsia="zh-CN"/>
        </w:rPr>
        <w:t>Latvija uzskata, ka Prezidentūras kompromiss saskan ar dalībvalstu interesēm un regula kopumā veicina lielāku caurredzamību attiecībā uz investīciju projektiem par enerģijas resursu ražošanu, glabāšanu un transportēšanu un oglekļa dioksīda uztveršanu un uzglabāšanu.</w:t>
      </w:r>
    </w:p>
    <w:p w:rsidR="00F323F1" w:rsidRPr="004C299B" w:rsidRDefault="00F323F1" w:rsidP="00ED0A54">
      <w:pPr>
        <w:ind w:firstLine="737"/>
        <w:jc w:val="both"/>
        <w:rPr>
          <w:b/>
          <w:sz w:val="28"/>
          <w:szCs w:val="28"/>
          <w:lang w:eastAsia="zh-CN"/>
        </w:rPr>
      </w:pPr>
    </w:p>
    <w:p w:rsidR="00F323F1" w:rsidRPr="004C299B" w:rsidRDefault="00F323F1" w:rsidP="00ED0A54">
      <w:pPr>
        <w:ind w:firstLine="737"/>
        <w:jc w:val="both"/>
        <w:rPr>
          <w:b/>
          <w:sz w:val="28"/>
          <w:szCs w:val="28"/>
          <w:lang w:eastAsia="zh-CN"/>
        </w:rPr>
      </w:pPr>
      <w:r w:rsidRPr="004C299B">
        <w:rPr>
          <w:b/>
          <w:sz w:val="28"/>
          <w:szCs w:val="28"/>
          <w:lang w:eastAsia="zh-CN"/>
        </w:rPr>
        <w:t>b)</w:t>
      </w:r>
      <w:r w:rsidRPr="004C299B">
        <w:rPr>
          <w:b/>
          <w:sz w:val="28"/>
          <w:szCs w:val="28"/>
          <w:lang w:eastAsia="zh-CN"/>
        </w:rPr>
        <w:tab/>
        <w:t>Nākamās prezidentvalsts darba programma</w:t>
      </w:r>
    </w:p>
    <w:p w:rsidR="00F323F1" w:rsidRPr="004C299B" w:rsidRDefault="00F323F1" w:rsidP="00ED0A54">
      <w:pPr>
        <w:ind w:firstLine="737"/>
        <w:jc w:val="both"/>
        <w:rPr>
          <w:i/>
          <w:sz w:val="28"/>
          <w:szCs w:val="28"/>
          <w:lang w:eastAsia="zh-CN"/>
        </w:rPr>
      </w:pPr>
      <w:r w:rsidRPr="004C299B">
        <w:rPr>
          <w:i/>
          <w:sz w:val="28"/>
          <w:szCs w:val="28"/>
          <w:lang w:eastAsia="zh-CN"/>
        </w:rPr>
        <w:t>–</w:t>
      </w:r>
      <w:r w:rsidRPr="004C299B">
        <w:rPr>
          <w:i/>
          <w:sz w:val="28"/>
          <w:szCs w:val="28"/>
          <w:lang w:eastAsia="zh-CN"/>
        </w:rPr>
        <w:tab/>
        <w:t>Grieķijas delegācijas sniegta informācija</w:t>
      </w:r>
    </w:p>
    <w:p w:rsidR="003B014A" w:rsidRPr="004C299B" w:rsidRDefault="003B014A" w:rsidP="00ED0A54">
      <w:pPr>
        <w:ind w:firstLine="737"/>
        <w:jc w:val="both"/>
        <w:rPr>
          <w:sz w:val="28"/>
          <w:szCs w:val="28"/>
          <w:highlight w:val="yellow"/>
          <w:lang w:eastAsia="fr-BE"/>
        </w:rPr>
      </w:pPr>
    </w:p>
    <w:p w:rsidR="0091370C" w:rsidRPr="00ED0A54" w:rsidRDefault="003B014A" w:rsidP="00ED0A54">
      <w:pPr>
        <w:pStyle w:val="Default"/>
        <w:ind w:firstLine="737"/>
        <w:jc w:val="both"/>
        <w:rPr>
          <w:sz w:val="28"/>
          <w:szCs w:val="28"/>
        </w:rPr>
      </w:pPr>
      <w:r w:rsidRPr="004C299B">
        <w:rPr>
          <w:sz w:val="28"/>
          <w:szCs w:val="28"/>
          <w:lang w:eastAsia="fr-BE"/>
        </w:rPr>
        <w:t xml:space="preserve">2014.gada janvārī Lietuvas prezidentūru ES Padomē </w:t>
      </w:r>
      <w:r w:rsidR="007A4FD9" w:rsidRPr="004C299B">
        <w:rPr>
          <w:sz w:val="28"/>
          <w:szCs w:val="28"/>
          <w:lang w:eastAsia="fr-BE"/>
        </w:rPr>
        <w:t>nomainīs Grieķijas prezidentūra.</w:t>
      </w:r>
      <w:r w:rsidRPr="004C299B">
        <w:rPr>
          <w:sz w:val="28"/>
          <w:szCs w:val="28"/>
          <w:lang w:eastAsia="fr-BE"/>
        </w:rPr>
        <w:t xml:space="preserve"> </w:t>
      </w:r>
      <w:r w:rsidR="0091370C" w:rsidRPr="004C299B">
        <w:rPr>
          <w:rFonts w:eastAsia="Calibri"/>
          <w:sz w:val="28"/>
          <w:szCs w:val="28"/>
        </w:rPr>
        <w:t xml:space="preserve">Paredzēts, ka sanāksmes laikā Grieķijas delegācija prezentēs savas prezidentūras darba kārtības jautājumus. </w:t>
      </w:r>
      <w:r w:rsidR="007A4FD9" w:rsidRPr="004C299B">
        <w:rPr>
          <w:sz w:val="28"/>
          <w:szCs w:val="28"/>
          <w:lang w:eastAsia="fr-BE"/>
        </w:rPr>
        <w:t>Lielākais uzsvars tiks likts</w:t>
      </w:r>
      <w:r w:rsidR="007F6B49" w:rsidRPr="004C299B">
        <w:rPr>
          <w:sz w:val="28"/>
          <w:szCs w:val="28"/>
          <w:lang w:eastAsia="fr-BE"/>
        </w:rPr>
        <w:t xml:space="preserve"> uz</w:t>
      </w:r>
      <w:r w:rsidR="007A4FD9" w:rsidRPr="004C299B">
        <w:rPr>
          <w:sz w:val="28"/>
          <w:szCs w:val="28"/>
          <w:lang w:eastAsia="fr-BE"/>
        </w:rPr>
        <w:t xml:space="preserve"> labklājības veicināšanu, ekonomisko atveseļošanu un nodarbinātības līmeņa celšanu.  </w:t>
      </w:r>
      <w:r w:rsidR="0091370C" w:rsidRPr="00ED0A54">
        <w:rPr>
          <w:sz w:val="28"/>
          <w:szCs w:val="28"/>
        </w:rPr>
        <w:t xml:space="preserve"> </w:t>
      </w:r>
      <w:r w:rsidR="0091370C" w:rsidRPr="004C299B">
        <w:rPr>
          <w:sz w:val="28"/>
          <w:szCs w:val="28"/>
          <w:lang w:eastAsia="fr-BE"/>
        </w:rPr>
        <w:t xml:space="preserve">Grieķijas prezidentūra risinās jautājumus, kas ir saistīti ar šādiem enerģētikas politikai nozīmīgiem datumiem: 2014. gada termiņš, lai pabeigtu iekšējo tirgu, 2015. gada termiņš, lai panāktu, ka neviena dalībvalsts nepaliek </w:t>
      </w:r>
      <w:r w:rsidR="0091370C" w:rsidRPr="004C299B">
        <w:rPr>
          <w:sz w:val="28"/>
          <w:szCs w:val="28"/>
          <w:lang w:eastAsia="fr-BE"/>
        </w:rPr>
        <w:lastRenderedPageBreak/>
        <w:t>izolēta no kopējā ES enerģ</w:t>
      </w:r>
      <w:r w:rsidR="00422D9C" w:rsidRPr="00B80B89">
        <w:rPr>
          <w:sz w:val="28"/>
          <w:szCs w:val="28"/>
          <w:lang w:eastAsia="fr-BE"/>
        </w:rPr>
        <w:t>ētikas</w:t>
      </w:r>
      <w:r w:rsidR="0091370C" w:rsidRPr="00B80B89">
        <w:rPr>
          <w:sz w:val="28"/>
          <w:szCs w:val="28"/>
          <w:lang w:eastAsia="fr-BE"/>
        </w:rPr>
        <w:t xml:space="preserve"> tīkla, un 2015. gadā paredzētās sarunas par klimata pārmaiņām. Grieķijas prezidentūra paredz uzsākt ES līmeņa diskusijas par ES klimata un enerģētikas ietvaru 2030. gadam.  2014. gada pirmajā pusgadā aktualizēsies jautājumi, kas atspoguļo enerģētikas politikas un konkurētspējas politikas savstarpējo sasaisti.</w:t>
      </w:r>
    </w:p>
    <w:p w:rsidR="00C67CCC" w:rsidRPr="00B80B89" w:rsidRDefault="00C67CCC" w:rsidP="00ED0A54">
      <w:pPr>
        <w:ind w:firstLine="737"/>
        <w:jc w:val="both"/>
        <w:rPr>
          <w:b/>
          <w:sz w:val="28"/>
          <w:szCs w:val="28"/>
          <w:lang w:eastAsia="fr-BE"/>
        </w:rPr>
      </w:pPr>
    </w:p>
    <w:p w:rsidR="00800BE8" w:rsidRPr="00B80B89" w:rsidRDefault="00800BE8" w:rsidP="00C67CCC">
      <w:pPr>
        <w:ind w:firstLine="737"/>
        <w:jc w:val="both"/>
        <w:rPr>
          <w:b/>
          <w:sz w:val="28"/>
          <w:szCs w:val="28"/>
          <w:lang w:eastAsia="fr-BE"/>
        </w:rPr>
      </w:pPr>
      <w:r w:rsidRPr="00B80B89">
        <w:rPr>
          <w:b/>
          <w:sz w:val="28"/>
          <w:szCs w:val="28"/>
          <w:lang w:eastAsia="fr-BE"/>
        </w:rPr>
        <w:t>c)</w:t>
      </w:r>
      <w:r w:rsidRPr="00B80B89">
        <w:rPr>
          <w:b/>
          <w:sz w:val="28"/>
          <w:szCs w:val="28"/>
          <w:lang w:eastAsia="fr-BE"/>
        </w:rPr>
        <w:tab/>
        <w:t>Nesenie notikumi kodolenerģijas jomā</w:t>
      </w:r>
    </w:p>
    <w:p w:rsidR="00800BE8" w:rsidRPr="00B80B89" w:rsidRDefault="00800BE8" w:rsidP="00ED0A54">
      <w:pPr>
        <w:ind w:firstLine="737"/>
        <w:jc w:val="both"/>
        <w:rPr>
          <w:b/>
          <w:sz w:val="28"/>
          <w:szCs w:val="28"/>
          <w:lang w:eastAsia="fr-BE"/>
        </w:rPr>
      </w:pPr>
      <w:r w:rsidRPr="00B80B89">
        <w:rPr>
          <w:b/>
          <w:sz w:val="28"/>
          <w:szCs w:val="28"/>
          <w:lang w:eastAsia="fr-BE"/>
        </w:rPr>
        <w:t>–</w:t>
      </w:r>
      <w:r w:rsidRPr="00B80B89">
        <w:rPr>
          <w:b/>
          <w:sz w:val="28"/>
          <w:szCs w:val="28"/>
          <w:lang w:eastAsia="fr-BE"/>
        </w:rPr>
        <w:tab/>
      </w:r>
      <w:r w:rsidRPr="00ED0A54">
        <w:rPr>
          <w:i/>
          <w:sz w:val="28"/>
          <w:szCs w:val="28"/>
          <w:lang w:eastAsia="fr-BE"/>
        </w:rPr>
        <w:t>Prezident</w:t>
      </w:r>
      <w:r w:rsidR="00C67CCC">
        <w:rPr>
          <w:i/>
          <w:sz w:val="28"/>
          <w:szCs w:val="28"/>
          <w:lang w:eastAsia="fr-BE"/>
        </w:rPr>
        <w:t>ūras</w:t>
      </w:r>
      <w:r w:rsidRPr="00ED0A54">
        <w:rPr>
          <w:i/>
          <w:sz w:val="28"/>
          <w:szCs w:val="28"/>
          <w:lang w:eastAsia="fr-BE"/>
        </w:rPr>
        <w:t xml:space="preserve"> un </w:t>
      </w:r>
      <w:r w:rsidR="00AD0EDB" w:rsidRPr="00ED0A54">
        <w:rPr>
          <w:i/>
          <w:sz w:val="28"/>
          <w:szCs w:val="28"/>
          <w:lang w:eastAsia="fr-BE"/>
        </w:rPr>
        <w:t xml:space="preserve">EK </w:t>
      </w:r>
      <w:r w:rsidRPr="00ED0A54">
        <w:rPr>
          <w:i/>
          <w:sz w:val="28"/>
          <w:szCs w:val="28"/>
          <w:lang w:eastAsia="fr-BE"/>
        </w:rPr>
        <w:t>sniegta informācija</w:t>
      </w:r>
    </w:p>
    <w:p w:rsidR="00830A35" w:rsidRPr="003B0651" w:rsidRDefault="00830A35" w:rsidP="00ED0A54">
      <w:pPr>
        <w:ind w:firstLine="737"/>
        <w:jc w:val="both"/>
        <w:rPr>
          <w:b/>
          <w:sz w:val="28"/>
          <w:szCs w:val="28"/>
          <w:lang w:eastAsia="fr-BE"/>
        </w:rPr>
      </w:pPr>
    </w:p>
    <w:p w:rsidR="00830A35" w:rsidRPr="00CE6AA2" w:rsidRDefault="00CE6AA2" w:rsidP="00ED0A54">
      <w:pPr>
        <w:ind w:firstLine="737"/>
        <w:jc w:val="both"/>
        <w:rPr>
          <w:sz w:val="28"/>
          <w:szCs w:val="28"/>
          <w:lang w:eastAsia="fr-BE"/>
        </w:rPr>
      </w:pPr>
      <w:r>
        <w:rPr>
          <w:sz w:val="28"/>
          <w:szCs w:val="28"/>
          <w:lang w:eastAsia="fr-BE"/>
        </w:rPr>
        <w:t>Paredzēts, ka sanāksmē Lietuvas Prezidentūra un EK informēs par neseniem notikumiem ko</w:t>
      </w:r>
      <w:r w:rsidR="00FC3B5F">
        <w:rPr>
          <w:sz w:val="28"/>
          <w:szCs w:val="28"/>
          <w:lang w:eastAsia="fr-BE"/>
        </w:rPr>
        <w:t>d</w:t>
      </w:r>
      <w:r>
        <w:rPr>
          <w:sz w:val="28"/>
          <w:szCs w:val="28"/>
          <w:lang w:eastAsia="fr-BE"/>
        </w:rPr>
        <w:t>olenerģijas jomā.</w:t>
      </w:r>
      <w:r w:rsidR="00830A35" w:rsidRPr="00CE6AA2">
        <w:rPr>
          <w:sz w:val="28"/>
          <w:szCs w:val="28"/>
          <w:lang w:eastAsia="fr-BE"/>
        </w:rPr>
        <w:t xml:space="preserve"> </w:t>
      </w:r>
    </w:p>
    <w:p w:rsidR="00830A35" w:rsidRPr="004C299B" w:rsidRDefault="00830A35" w:rsidP="00ED0A54">
      <w:pPr>
        <w:ind w:firstLine="737"/>
        <w:jc w:val="both"/>
        <w:rPr>
          <w:sz w:val="28"/>
          <w:szCs w:val="28"/>
          <w:lang w:eastAsia="fr-BE"/>
        </w:rPr>
      </w:pPr>
      <w:r w:rsidRPr="004C299B">
        <w:rPr>
          <w:sz w:val="28"/>
          <w:szCs w:val="28"/>
          <w:lang w:eastAsia="fr-BE"/>
        </w:rPr>
        <w:t xml:space="preserve">Eiropadome 2011.gada martā deva mandātu esošā likumdošanas un regulatīvā kodolenerģijas drošības ietvara pārskatīšanai ar mērķi veikt nepieciešamos uzlabojumus. Šī mērķa īstenošanai </w:t>
      </w:r>
      <w:r w:rsidR="00AD0EDB" w:rsidRPr="004C299B">
        <w:rPr>
          <w:sz w:val="28"/>
          <w:szCs w:val="28"/>
          <w:lang w:eastAsia="fr-BE"/>
        </w:rPr>
        <w:t>EK</w:t>
      </w:r>
      <w:r w:rsidRPr="004C299B">
        <w:rPr>
          <w:sz w:val="28"/>
          <w:szCs w:val="28"/>
          <w:lang w:eastAsia="fr-BE"/>
        </w:rPr>
        <w:t xml:space="preserve"> 2013.gada jūnijā nāca klajā ar leģislatīva priekšlikuma pro</w:t>
      </w:r>
      <w:r w:rsidR="00422D9C" w:rsidRPr="004C299B">
        <w:rPr>
          <w:sz w:val="28"/>
          <w:szCs w:val="28"/>
          <w:lang w:eastAsia="fr-BE"/>
        </w:rPr>
        <w:t>jek</w:t>
      </w:r>
      <w:r w:rsidRPr="004C299B">
        <w:rPr>
          <w:sz w:val="28"/>
          <w:szCs w:val="28"/>
          <w:lang w:eastAsia="fr-BE"/>
        </w:rPr>
        <w:t xml:space="preserve">tu 2009.gada </w:t>
      </w:r>
      <w:r w:rsidR="00422D9C" w:rsidRPr="004C299B">
        <w:rPr>
          <w:sz w:val="28"/>
          <w:szCs w:val="28"/>
          <w:lang w:eastAsia="fr-BE"/>
        </w:rPr>
        <w:t>Kodolenerģijas</w:t>
      </w:r>
      <w:r w:rsidRPr="004C299B">
        <w:rPr>
          <w:sz w:val="28"/>
          <w:szCs w:val="28"/>
          <w:lang w:eastAsia="fr-BE"/>
        </w:rPr>
        <w:t xml:space="preserve"> Drošības Direktīvas pārskatam. </w:t>
      </w:r>
    </w:p>
    <w:p w:rsidR="00422D9C" w:rsidRPr="004C299B" w:rsidRDefault="00AD0EDB" w:rsidP="00ED0A54">
      <w:pPr>
        <w:ind w:firstLine="737"/>
        <w:jc w:val="both"/>
        <w:rPr>
          <w:sz w:val="28"/>
          <w:szCs w:val="28"/>
          <w:lang w:eastAsia="fr-BE"/>
        </w:rPr>
      </w:pPr>
      <w:r w:rsidRPr="004C299B">
        <w:rPr>
          <w:sz w:val="28"/>
          <w:szCs w:val="28"/>
          <w:lang w:eastAsia="fr-BE"/>
        </w:rPr>
        <w:t xml:space="preserve">Direktīvas </w:t>
      </w:r>
      <w:r w:rsidR="00CD5C80" w:rsidRPr="004C299B">
        <w:rPr>
          <w:sz w:val="28"/>
          <w:szCs w:val="28"/>
          <w:lang w:eastAsia="fr-BE"/>
        </w:rPr>
        <w:t>priekšlikuma mērķ</w:t>
      </w:r>
      <w:r w:rsidR="00422D9C" w:rsidRPr="004C299B">
        <w:rPr>
          <w:sz w:val="28"/>
          <w:szCs w:val="28"/>
          <w:lang w:eastAsia="fr-BE"/>
        </w:rPr>
        <w:t>i</w:t>
      </w:r>
      <w:r w:rsidR="00CD5C80" w:rsidRPr="004C299B">
        <w:rPr>
          <w:sz w:val="28"/>
          <w:szCs w:val="28"/>
          <w:lang w:eastAsia="fr-BE"/>
        </w:rPr>
        <w:t xml:space="preserve"> ir</w:t>
      </w:r>
      <w:r w:rsidR="00CE6AA2">
        <w:rPr>
          <w:sz w:val="28"/>
          <w:szCs w:val="28"/>
          <w:lang w:eastAsia="fr-BE"/>
        </w:rPr>
        <w:t xml:space="preserve"> i</w:t>
      </w:r>
      <w:r w:rsidR="00CD5C80" w:rsidRPr="00CE6AA2">
        <w:rPr>
          <w:sz w:val="28"/>
          <w:szCs w:val="28"/>
          <w:lang w:eastAsia="fr-BE"/>
        </w:rPr>
        <w:t>zveidot ES līmeņa ietvaru kodolenerģijas drošības standartiem ar mērķi maksimāli ierobežot potenciālās atomkatastrofas sekas;</w:t>
      </w:r>
      <w:r w:rsidR="00ED0A54">
        <w:rPr>
          <w:sz w:val="28"/>
          <w:szCs w:val="28"/>
          <w:lang w:eastAsia="fr-BE"/>
        </w:rPr>
        <w:t xml:space="preserve"> </w:t>
      </w:r>
      <w:r w:rsidR="00CE6AA2">
        <w:rPr>
          <w:sz w:val="28"/>
          <w:szCs w:val="28"/>
          <w:lang w:eastAsia="fr-BE"/>
        </w:rPr>
        <w:t>v</w:t>
      </w:r>
      <w:r w:rsidR="00CE6AA2" w:rsidRPr="00CE6AA2">
        <w:rPr>
          <w:sz w:val="28"/>
          <w:szCs w:val="28"/>
          <w:lang w:eastAsia="fr-BE"/>
        </w:rPr>
        <w:t xml:space="preserve">eicināt </w:t>
      </w:r>
      <w:r w:rsidR="00CD5C80" w:rsidRPr="00CE6AA2">
        <w:rPr>
          <w:sz w:val="28"/>
          <w:szCs w:val="28"/>
          <w:lang w:eastAsia="fr-BE"/>
        </w:rPr>
        <w:t>m</w:t>
      </w:r>
      <w:r w:rsidR="00FC3B5F">
        <w:rPr>
          <w:sz w:val="28"/>
          <w:szCs w:val="28"/>
          <w:lang w:eastAsia="fr-BE"/>
        </w:rPr>
        <w:t>o</w:t>
      </w:r>
      <w:r w:rsidR="00CD5C80" w:rsidRPr="00CE6AA2">
        <w:rPr>
          <w:sz w:val="28"/>
          <w:szCs w:val="28"/>
          <w:lang w:eastAsia="fr-BE"/>
        </w:rPr>
        <w:t>nitoringa pasākumus un pieredzes apmaiņu, dibinot Eiropas sistēmu kodolelektrostaciju darbības pārskatam;</w:t>
      </w:r>
      <w:r w:rsidR="00ED0A54">
        <w:rPr>
          <w:sz w:val="28"/>
          <w:szCs w:val="28"/>
          <w:lang w:eastAsia="fr-BE"/>
        </w:rPr>
        <w:t xml:space="preserve"> </w:t>
      </w:r>
      <w:r w:rsidR="00CE6AA2">
        <w:rPr>
          <w:sz w:val="28"/>
          <w:szCs w:val="28"/>
          <w:lang w:eastAsia="fr-BE"/>
        </w:rPr>
        <w:t>v</w:t>
      </w:r>
      <w:r w:rsidR="00CE6AA2" w:rsidRPr="00CE6AA2">
        <w:rPr>
          <w:sz w:val="28"/>
          <w:szCs w:val="28"/>
          <w:lang w:eastAsia="fr-BE"/>
        </w:rPr>
        <w:t xml:space="preserve">eicināt </w:t>
      </w:r>
      <w:r w:rsidR="00CD5C80" w:rsidRPr="00CE6AA2">
        <w:rPr>
          <w:sz w:val="28"/>
          <w:szCs w:val="28"/>
          <w:lang w:eastAsia="fr-BE"/>
        </w:rPr>
        <w:t>nacionālo regulatīvo autoritāšu neatkarības stiprināšanu;</w:t>
      </w:r>
      <w:r w:rsidR="00ED0A54">
        <w:rPr>
          <w:sz w:val="28"/>
          <w:szCs w:val="28"/>
          <w:lang w:eastAsia="fr-BE"/>
        </w:rPr>
        <w:t xml:space="preserve"> </w:t>
      </w:r>
      <w:r w:rsidR="00CE6AA2">
        <w:rPr>
          <w:sz w:val="28"/>
          <w:szCs w:val="28"/>
          <w:lang w:eastAsia="fr-BE"/>
        </w:rPr>
        <w:t>t</w:t>
      </w:r>
      <w:r w:rsidR="00CD5C80" w:rsidRPr="00CE6AA2">
        <w:rPr>
          <w:sz w:val="28"/>
          <w:szCs w:val="28"/>
          <w:lang w:eastAsia="fr-BE"/>
        </w:rPr>
        <w:t>urpināt veicināt kodolene</w:t>
      </w:r>
      <w:r w:rsidR="00ED0A54">
        <w:rPr>
          <w:sz w:val="28"/>
          <w:szCs w:val="28"/>
          <w:lang w:eastAsia="fr-BE"/>
        </w:rPr>
        <w:t>rģijas jomas caurredzamību.</w:t>
      </w:r>
    </w:p>
    <w:p w:rsidR="00550DA4" w:rsidRPr="004C299B" w:rsidRDefault="00422D9C" w:rsidP="00ED0A54">
      <w:pPr>
        <w:ind w:firstLine="737"/>
        <w:jc w:val="both"/>
        <w:rPr>
          <w:b/>
          <w:sz w:val="28"/>
          <w:szCs w:val="28"/>
          <w:lang w:eastAsia="fr-BE"/>
        </w:rPr>
      </w:pPr>
      <w:r w:rsidRPr="004C299B">
        <w:rPr>
          <w:sz w:val="28"/>
          <w:szCs w:val="28"/>
          <w:lang w:eastAsia="fr-BE"/>
        </w:rPr>
        <w:t xml:space="preserve">ES līmenī </w:t>
      </w:r>
      <w:r w:rsidR="00AD0EDB" w:rsidRPr="004C299B">
        <w:rPr>
          <w:sz w:val="28"/>
          <w:szCs w:val="28"/>
          <w:lang w:eastAsia="fr-BE"/>
        </w:rPr>
        <w:t xml:space="preserve">EK </w:t>
      </w:r>
      <w:r w:rsidRPr="004C299B">
        <w:rPr>
          <w:sz w:val="28"/>
          <w:szCs w:val="28"/>
          <w:lang w:eastAsia="fr-BE"/>
        </w:rPr>
        <w:t>mērķi tiek ietverti dalībvalstu nacionālo attīstības plānu ietvaros. Turklāt, iepriekš uzskaitītie mērķi tiek īstenoti ne vien ES teritorijā, bet arī notiek nepārtraukta sadarbība ar ES kaimiņvalstīm</w:t>
      </w:r>
      <w:r w:rsidR="001B2DBF">
        <w:rPr>
          <w:sz w:val="28"/>
          <w:szCs w:val="28"/>
          <w:lang w:eastAsia="fr-BE"/>
        </w:rPr>
        <w:t xml:space="preserve"> </w:t>
      </w:r>
      <w:r w:rsidR="00582319" w:rsidRPr="001B2DBF">
        <w:rPr>
          <w:sz w:val="28"/>
          <w:szCs w:val="28"/>
          <w:lang w:eastAsia="fr-BE"/>
        </w:rPr>
        <w:t>-</w:t>
      </w:r>
      <w:r w:rsidRPr="001B2DBF">
        <w:rPr>
          <w:sz w:val="28"/>
          <w:szCs w:val="28"/>
          <w:lang w:eastAsia="fr-BE"/>
        </w:rPr>
        <w:t xml:space="preserve"> ar mērķi nodr</w:t>
      </w:r>
      <w:r w:rsidRPr="004C299B">
        <w:rPr>
          <w:sz w:val="28"/>
          <w:szCs w:val="28"/>
          <w:lang w:eastAsia="fr-BE"/>
        </w:rPr>
        <w:t xml:space="preserve">ošināt augstākos kodolenerģijas drošības standartus arī ārpus ES robežām. </w:t>
      </w:r>
    </w:p>
    <w:p w:rsidR="009E2F1A" w:rsidRDefault="009E2F1A" w:rsidP="00ED0A54">
      <w:pPr>
        <w:ind w:firstLine="737"/>
        <w:jc w:val="both"/>
        <w:rPr>
          <w:sz w:val="28"/>
          <w:szCs w:val="28"/>
          <w:lang w:eastAsia="fr-BE"/>
        </w:rPr>
      </w:pPr>
    </w:p>
    <w:p w:rsidR="009E28DC" w:rsidRDefault="009E28DC">
      <w:pPr>
        <w:spacing w:after="200" w:line="276" w:lineRule="auto"/>
        <w:rPr>
          <w:sz w:val="28"/>
          <w:szCs w:val="28"/>
          <w:lang w:eastAsia="fr-BE"/>
        </w:rPr>
      </w:pPr>
      <w:r>
        <w:rPr>
          <w:sz w:val="28"/>
          <w:szCs w:val="28"/>
          <w:lang w:eastAsia="fr-BE"/>
        </w:rPr>
        <w:br w:type="page"/>
      </w:r>
    </w:p>
    <w:p w:rsidR="009E28DC" w:rsidRPr="004C299B" w:rsidRDefault="009E28DC" w:rsidP="00ED0A54">
      <w:pPr>
        <w:ind w:firstLine="737"/>
        <w:jc w:val="both"/>
        <w:rPr>
          <w:sz w:val="28"/>
          <w:szCs w:val="28"/>
          <w:lang w:eastAsia="fr-BE"/>
        </w:rPr>
      </w:pPr>
    </w:p>
    <w:p w:rsidR="00800BE8" w:rsidRPr="004C299B" w:rsidRDefault="00800BE8" w:rsidP="00ED0A54">
      <w:pPr>
        <w:numPr>
          <w:ilvl w:val="0"/>
          <w:numId w:val="3"/>
        </w:numPr>
        <w:ind w:left="0" w:firstLine="737"/>
        <w:jc w:val="center"/>
        <w:rPr>
          <w:rFonts w:eastAsia="Calibri"/>
          <w:b/>
          <w:sz w:val="28"/>
          <w:szCs w:val="28"/>
        </w:rPr>
      </w:pPr>
      <w:r w:rsidRPr="004C299B">
        <w:rPr>
          <w:rFonts w:eastAsia="Calibri"/>
          <w:b/>
          <w:sz w:val="28"/>
          <w:szCs w:val="28"/>
        </w:rPr>
        <w:t>Latvijas delegācija</w:t>
      </w:r>
    </w:p>
    <w:p w:rsidR="00800BE8" w:rsidRPr="004C299B" w:rsidRDefault="00800BE8" w:rsidP="00ED0A54">
      <w:pPr>
        <w:ind w:firstLine="737"/>
        <w:jc w:val="both"/>
        <w:rPr>
          <w:rFonts w:eastAsia="Calibri"/>
          <w:b/>
          <w:sz w:val="28"/>
          <w:szCs w:val="28"/>
        </w:rPr>
      </w:pPr>
    </w:p>
    <w:p w:rsidR="00800BE8" w:rsidRPr="004C299B" w:rsidRDefault="00800BE8" w:rsidP="00ED0A54">
      <w:pPr>
        <w:jc w:val="both"/>
        <w:rPr>
          <w:rFonts w:eastAsia="Calibri"/>
          <w:sz w:val="28"/>
          <w:szCs w:val="28"/>
        </w:rPr>
      </w:pPr>
      <w:r w:rsidRPr="004C299B">
        <w:rPr>
          <w:rFonts w:eastAsia="Calibri"/>
          <w:sz w:val="28"/>
          <w:szCs w:val="28"/>
        </w:rPr>
        <w:t xml:space="preserve">Delegācijas vadītājs: </w:t>
      </w:r>
      <w:r w:rsidRPr="004C299B">
        <w:rPr>
          <w:rFonts w:eastAsia="Calibri"/>
          <w:sz w:val="28"/>
          <w:szCs w:val="28"/>
        </w:rPr>
        <w:tab/>
        <w:t>D.Pavļuts, ekonomikas ministrs.</w:t>
      </w:r>
    </w:p>
    <w:p w:rsidR="00800BE8" w:rsidRPr="005E76EF" w:rsidRDefault="00800BE8" w:rsidP="00ED0A54">
      <w:pPr>
        <w:ind w:left="2880" w:hanging="2880"/>
        <w:jc w:val="both"/>
        <w:rPr>
          <w:rFonts w:eastAsia="Calibri"/>
          <w:sz w:val="28"/>
          <w:szCs w:val="28"/>
        </w:rPr>
      </w:pPr>
      <w:r w:rsidRPr="004C299B">
        <w:rPr>
          <w:rFonts w:eastAsia="Calibri"/>
          <w:sz w:val="28"/>
          <w:szCs w:val="28"/>
        </w:rPr>
        <w:t xml:space="preserve">Delegācijas dalībnieki: </w:t>
      </w:r>
      <w:r w:rsidRPr="004C299B">
        <w:rPr>
          <w:rFonts w:eastAsia="Calibri"/>
          <w:sz w:val="28"/>
          <w:szCs w:val="28"/>
        </w:rPr>
        <w:tab/>
        <w:t xml:space="preserve">J.Štālmeistars, Latvijas Republikas pastāvīgā </w:t>
      </w:r>
      <w:r w:rsidRPr="005E76EF">
        <w:rPr>
          <w:rFonts w:eastAsia="Calibri"/>
          <w:sz w:val="28"/>
          <w:szCs w:val="28"/>
        </w:rPr>
        <w:t>pārstāvja Eiropas Savienībā vietnieks</w:t>
      </w:r>
      <w:r w:rsidR="004258C2">
        <w:rPr>
          <w:rFonts w:eastAsia="Calibri"/>
          <w:sz w:val="28"/>
          <w:szCs w:val="28"/>
        </w:rPr>
        <w:t>, vēstnieks</w:t>
      </w:r>
      <w:r w:rsidRPr="005E76EF">
        <w:rPr>
          <w:rFonts w:eastAsia="Calibri"/>
          <w:sz w:val="28"/>
          <w:szCs w:val="28"/>
        </w:rPr>
        <w:t>;</w:t>
      </w:r>
    </w:p>
    <w:p w:rsidR="00550670" w:rsidRPr="004C299B" w:rsidRDefault="00550670" w:rsidP="00550670">
      <w:pPr>
        <w:ind w:left="2880"/>
        <w:jc w:val="both"/>
        <w:rPr>
          <w:rFonts w:eastAsia="Calibri"/>
          <w:sz w:val="28"/>
          <w:szCs w:val="28"/>
        </w:rPr>
      </w:pPr>
      <w:r w:rsidRPr="004C299B">
        <w:rPr>
          <w:rFonts w:eastAsia="Calibri"/>
          <w:sz w:val="28"/>
          <w:szCs w:val="28"/>
        </w:rPr>
        <w:t>R.Šņuka, Ekonomikas ministrijas Enerģētikas departamenta direktore;</w:t>
      </w:r>
    </w:p>
    <w:p w:rsidR="00800BE8" w:rsidRPr="004C299B" w:rsidRDefault="0091370C" w:rsidP="00ED0A54">
      <w:pPr>
        <w:ind w:left="2880"/>
        <w:jc w:val="both"/>
        <w:rPr>
          <w:rFonts w:eastAsia="Calibri"/>
          <w:sz w:val="28"/>
          <w:szCs w:val="28"/>
        </w:rPr>
      </w:pPr>
      <w:r w:rsidRPr="005E76EF">
        <w:rPr>
          <w:rFonts w:eastAsia="Calibri"/>
          <w:sz w:val="28"/>
          <w:szCs w:val="28"/>
        </w:rPr>
        <w:t>M.Zjurikova</w:t>
      </w:r>
      <w:r w:rsidR="00800BE8" w:rsidRPr="005E76EF">
        <w:rPr>
          <w:rFonts w:eastAsia="Calibri"/>
          <w:sz w:val="28"/>
          <w:szCs w:val="28"/>
        </w:rPr>
        <w:t xml:space="preserve">, Ekonomikas ministrijas nozares </w:t>
      </w:r>
      <w:r w:rsidRPr="005E76EF">
        <w:rPr>
          <w:rFonts w:eastAsia="Calibri"/>
          <w:sz w:val="28"/>
          <w:szCs w:val="28"/>
        </w:rPr>
        <w:t xml:space="preserve">padomniece </w:t>
      </w:r>
      <w:r w:rsidR="00800BE8" w:rsidRPr="005E76EF">
        <w:rPr>
          <w:rFonts w:eastAsia="Calibri"/>
          <w:sz w:val="28"/>
          <w:szCs w:val="28"/>
        </w:rPr>
        <w:t>Latvijas Republikas pārstāvniecībā Eiropas Savienībā;</w:t>
      </w:r>
    </w:p>
    <w:p w:rsidR="00800BE8" w:rsidRPr="004C299B" w:rsidRDefault="00AD0EDB" w:rsidP="00ED0A54">
      <w:pPr>
        <w:ind w:left="2880"/>
        <w:jc w:val="both"/>
        <w:rPr>
          <w:rFonts w:eastAsia="Calibri"/>
          <w:sz w:val="28"/>
          <w:szCs w:val="28"/>
        </w:rPr>
      </w:pPr>
      <w:r w:rsidRPr="004C299B">
        <w:rPr>
          <w:rFonts w:eastAsia="Calibri"/>
          <w:sz w:val="28"/>
          <w:szCs w:val="28"/>
        </w:rPr>
        <w:t>M.Rone, Ekonomikas ministrijas Ārējo ekonomisko attiecību departamenta Eiropas Savienības lietu nodaļas vadītāja</w:t>
      </w:r>
      <w:r w:rsidR="004258C2">
        <w:rPr>
          <w:rFonts w:eastAsia="Calibri"/>
          <w:sz w:val="28"/>
          <w:szCs w:val="28"/>
        </w:rPr>
        <w:t>.</w:t>
      </w:r>
    </w:p>
    <w:p w:rsidR="00800BE8" w:rsidRPr="004C299B" w:rsidRDefault="00800BE8" w:rsidP="00ED0A54">
      <w:pPr>
        <w:ind w:firstLine="737"/>
        <w:jc w:val="both"/>
        <w:rPr>
          <w:rFonts w:eastAsia="Calibri"/>
          <w:sz w:val="28"/>
          <w:szCs w:val="28"/>
        </w:rPr>
      </w:pPr>
    </w:p>
    <w:p w:rsidR="00800BE8" w:rsidRPr="004C299B" w:rsidRDefault="00800BE8" w:rsidP="00ED0A54">
      <w:pPr>
        <w:ind w:firstLine="737"/>
        <w:jc w:val="both"/>
        <w:rPr>
          <w:rFonts w:eastAsia="Calibri"/>
          <w:sz w:val="28"/>
          <w:szCs w:val="28"/>
        </w:rPr>
      </w:pPr>
    </w:p>
    <w:p w:rsidR="00800BE8" w:rsidRPr="004C299B" w:rsidRDefault="00800BE8" w:rsidP="004B3FD8">
      <w:pPr>
        <w:jc w:val="both"/>
        <w:rPr>
          <w:rFonts w:eastAsia="Calibri"/>
          <w:sz w:val="28"/>
          <w:szCs w:val="28"/>
        </w:rPr>
      </w:pPr>
      <w:r w:rsidRPr="004C299B">
        <w:rPr>
          <w:rFonts w:eastAsia="Calibri"/>
          <w:sz w:val="28"/>
          <w:szCs w:val="28"/>
        </w:rPr>
        <w:t>Ekonomikas ministrs</w:t>
      </w:r>
      <w:r w:rsidR="004048A0">
        <w:rPr>
          <w:rFonts w:eastAsia="Calibri"/>
          <w:sz w:val="28"/>
          <w:szCs w:val="28"/>
        </w:rPr>
        <w:tab/>
      </w:r>
      <w:r w:rsidR="004048A0">
        <w:rPr>
          <w:rFonts w:eastAsia="Calibri"/>
          <w:sz w:val="28"/>
          <w:szCs w:val="28"/>
        </w:rPr>
        <w:tab/>
      </w:r>
      <w:r w:rsidR="004048A0">
        <w:rPr>
          <w:rFonts w:eastAsia="Calibri"/>
          <w:sz w:val="28"/>
          <w:szCs w:val="28"/>
        </w:rPr>
        <w:tab/>
      </w:r>
      <w:r w:rsidR="004048A0">
        <w:rPr>
          <w:rFonts w:eastAsia="Calibri"/>
          <w:sz w:val="28"/>
          <w:szCs w:val="28"/>
        </w:rPr>
        <w:tab/>
      </w:r>
      <w:r w:rsidR="004048A0">
        <w:rPr>
          <w:rFonts w:eastAsia="Calibri"/>
          <w:sz w:val="28"/>
          <w:szCs w:val="28"/>
        </w:rPr>
        <w:tab/>
      </w:r>
      <w:r w:rsidR="004048A0">
        <w:rPr>
          <w:rFonts w:eastAsia="Calibri"/>
          <w:sz w:val="28"/>
          <w:szCs w:val="28"/>
        </w:rPr>
        <w:tab/>
      </w:r>
      <w:r w:rsidR="004258C2">
        <w:rPr>
          <w:rFonts w:eastAsia="Calibri"/>
          <w:sz w:val="28"/>
          <w:szCs w:val="28"/>
        </w:rPr>
        <w:tab/>
      </w:r>
      <w:r w:rsidR="004258C2">
        <w:rPr>
          <w:rFonts w:eastAsia="Calibri"/>
          <w:sz w:val="28"/>
          <w:szCs w:val="28"/>
        </w:rPr>
        <w:tab/>
      </w:r>
      <w:r w:rsidRPr="004C299B">
        <w:rPr>
          <w:rFonts w:eastAsia="Calibri"/>
          <w:sz w:val="28"/>
          <w:szCs w:val="28"/>
        </w:rPr>
        <w:t xml:space="preserve">D.Pavļuts </w:t>
      </w:r>
    </w:p>
    <w:p w:rsidR="00800BE8" w:rsidRPr="004C299B" w:rsidRDefault="00800BE8" w:rsidP="00ED0A54">
      <w:pPr>
        <w:tabs>
          <w:tab w:val="right" w:pos="9497"/>
        </w:tabs>
        <w:ind w:firstLine="737"/>
        <w:jc w:val="both"/>
        <w:rPr>
          <w:rFonts w:eastAsia="Calibri"/>
          <w:sz w:val="28"/>
          <w:szCs w:val="28"/>
        </w:rPr>
      </w:pPr>
    </w:p>
    <w:p w:rsidR="00800BE8" w:rsidRPr="004C299B" w:rsidRDefault="00800BE8" w:rsidP="00ED0A54">
      <w:pPr>
        <w:ind w:firstLine="737"/>
        <w:jc w:val="both"/>
        <w:rPr>
          <w:rFonts w:eastAsia="Calibri"/>
          <w:sz w:val="28"/>
          <w:szCs w:val="28"/>
        </w:rPr>
      </w:pPr>
    </w:p>
    <w:p w:rsidR="004048A0" w:rsidRDefault="00800BE8" w:rsidP="004B3FD8">
      <w:pPr>
        <w:jc w:val="both"/>
        <w:rPr>
          <w:rFonts w:eastAsia="Calibri"/>
          <w:sz w:val="28"/>
          <w:szCs w:val="28"/>
        </w:rPr>
      </w:pPr>
      <w:r w:rsidRPr="004C299B">
        <w:rPr>
          <w:rFonts w:eastAsia="Calibri"/>
          <w:sz w:val="28"/>
          <w:szCs w:val="28"/>
        </w:rPr>
        <w:t>Valsts sekretāra amata pienākumu izpildītājs</w:t>
      </w:r>
      <w:r w:rsidR="004048A0">
        <w:rPr>
          <w:rFonts w:eastAsia="Calibri"/>
          <w:sz w:val="28"/>
          <w:szCs w:val="28"/>
        </w:rPr>
        <w:tab/>
      </w:r>
    </w:p>
    <w:p w:rsidR="00800BE8" w:rsidRPr="004C299B" w:rsidRDefault="00800BE8" w:rsidP="004B3FD8">
      <w:pPr>
        <w:jc w:val="both"/>
        <w:rPr>
          <w:rFonts w:eastAsia="Calibri"/>
          <w:sz w:val="28"/>
          <w:szCs w:val="28"/>
        </w:rPr>
      </w:pPr>
      <w:r w:rsidRPr="004C299B">
        <w:rPr>
          <w:rFonts w:eastAsia="Calibri"/>
          <w:sz w:val="28"/>
          <w:szCs w:val="28"/>
        </w:rPr>
        <w:t xml:space="preserve">Valsts sekretāra vietnieks </w:t>
      </w:r>
      <w:r w:rsidRPr="004C299B">
        <w:rPr>
          <w:rFonts w:eastAsia="Calibri"/>
          <w:sz w:val="28"/>
          <w:szCs w:val="28"/>
        </w:rPr>
        <w:tab/>
      </w:r>
      <w:r w:rsidR="004048A0">
        <w:rPr>
          <w:rFonts w:eastAsia="Calibri"/>
          <w:sz w:val="28"/>
          <w:szCs w:val="28"/>
        </w:rPr>
        <w:tab/>
      </w:r>
      <w:r w:rsidR="004048A0">
        <w:rPr>
          <w:rFonts w:eastAsia="Calibri"/>
          <w:sz w:val="28"/>
          <w:szCs w:val="28"/>
        </w:rPr>
        <w:tab/>
      </w:r>
      <w:r w:rsidR="004048A0">
        <w:rPr>
          <w:rFonts w:eastAsia="Calibri"/>
          <w:sz w:val="28"/>
          <w:szCs w:val="28"/>
        </w:rPr>
        <w:tab/>
      </w:r>
      <w:r w:rsidR="004048A0">
        <w:rPr>
          <w:rFonts w:eastAsia="Calibri"/>
          <w:sz w:val="28"/>
          <w:szCs w:val="28"/>
        </w:rPr>
        <w:tab/>
      </w:r>
      <w:r w:rsidR="004258C2">
        <w:rPr>
          <w:rFonts w:eastAsia="Calibri"/>
          <w:sz w:val="28"/>
          <w:szCs w:val="28"/>
        </w:rPr>
        <w:tab/>
        <w:t xml:space="preserve">    </w:t>
      </w:r>
      <w:r w:rsidR="00FF2F9C">
        <w:rPr>
          <w:rFonts w:eastAsia="Calibri"/>
          <w:sz w:val="28"/>
          <w:szCs w:val="28"/>
        </w:rPr>
        <w:t xml:space="preserve">      A.Liepiņš</w:t>
      </w:r>
    </w:p>
    <w:p w:rsidR="00800BE8" w:rsidRPr="00ED0A54" w:rsidRDefault="00800BE8" w:rsidP="00ED0A54">
      <w:pPr>
        <w:ind w:firstLine="737"/>
        <w:jc w:val="both"/>
        <w:rPr>
          <w:rFonts w:eastAsia="Calibri"/>
          <w:i/>
          <w:sz w:val="28"/>
          <w:szCs w:val="28"/>
        </w:rPr>
      </w:pPr>
    </w:p>
    <w:p w:rsidR="00356D0D" w:rsidRDefault="00356D0D" w:rsidP="00ED0A54">
      <w:pPr>
        <w:tabs>
          <w:tab w:val="left" w:pos="720"/>
          <w:tab w:val="center" w:pos="4153"/>
          <w:tab w:val="right" w:pos="8306"/>
        </w:tabs>
        <w:ind w:firstLine="737"/>
        <w:jc w:val="both"/>
        <w:rPr>
          <w:rFonts w:eastAsia="Calibri"/>
          <w:sz w:val="18"/>
          <w:szCs w:val="28"/>
        </w:rPr>
      </w:pPr>
    </w:p>
    <w:p w:rsidR="00356D0D" w:rsidRDefault="00356D0D" w:rsidP="00ED0A54">
      <w:pPr>
        <w:tabs>
          <w:tab w:val="left" w:pos="720"/>
          <w:tab w:val="center" w:pos="4153"/>
          <w:tab w:val="right" w:pos="8306"/>
        </w:tabs>
        <w:ind w:firstLine="737"/>
        <w:jc w:val="both"/>
        <w:rPr>
          <w:rFonts w:eastAsia="Calibri"/>
          <w:sz w:val="18"/>
          <w:szCs w:val="28"/>
        </w:rPr>
      </w:pPr>
    </w:p>
    <w:p w:rsidR="00356D0D" w:rsidRDefault="00356D0D" w:rsidP="00ED0A54">
      <w:pPr>
        <w:tabs>
          <w:tab w:val="left" w:pos="720"/>
          <w:tab w:val="center" w:pos="4153"/>
          <w:tab w:val="right" w:pos="8306"/>
        </w:tabs>
        <w:ind w:firstLine="737"/>
        <w:jc w:val="both"/>
        <w:rPr>
          <w:rFonts w:eastAsia="Calibri"/>
          <w:sz w:val="18"/>
          <w:szCs w:val="28"/>
        </w:rPr>
      </w:pPr>
    </w:p>
    <w:p w:rsidR="00356D0D" w:rsidRDefault="00356D0D" w:rsidP="004B3FD8">
      <w:pPr>
        <w:tabs>
          <w:tab w:val="left" w:pos="720"/>
          <w:tab w:val="center" w:pos="4153"/>
          <w:tab w:val="right" w:pos="8306"/>
        </w:tabs>
        <w:jc w:val="both"/>
        <w:rPr>
          <w:rFonts w:eastAsia="Calibri"/>
          <w:sz w:val="18"/>
          <w:szCs w:val="28"/>
        </w:rPr>
      </w:pPr>
    </w:p>
    <w:p w:rsidR="00800BE8" w:rsidRPr="004048A0" w:rsidRDefault="00800BE8" w:rsidP="004B3FD8">
      <w:pPr>
        <w:tabs>
          <w:tab w:val="left" w:pos="720"/>
          <w:tab w:val="center" w:pos="4153"/>
          <w:tab w:val="right" w:pos="8306"/>
        </w:tabs>
        <w:jc w:val="both"/>
        <w:rPr>
          <w:rFonts w:eastAsia="Calibri"/>
          <w:sz w:val="18"/>
          <w:szCs w:val="28"/>
        </w:rPr>
      </w:pPr>
      <w:r w:rsidRPr="004048A0">
        <w:rPr>
          <w:rFonts w:eastAsia="Calibri"/>
          <w:sz w:val="18"/>
          <w:szCs w:val="28"/>
        </w:rPr>
        <w:t>3.12.2013. 10:00</w:t>
      </w:r>
    </w:p>
    <w:p w:rsidR="00800BE8" w:rsidRPr="004048A0" w:rsidRDefault="00C67CCC" w:rsidP="004B3FD8">
      <w:pPr>
        <w:jc w:val="both"/>
        <w:rPr>
          <w:rFonts w:eastAsia="Calibri"/>
          <w:sz w:val="18"/>
          <w:szCs w:val="28"/>
        </w:rPr>
      </w:pPr>
      <w:r>
        <w:rPr>
          <w:rFonts w:eastAsia="Calibri"/>
          <w:sz w:val="18"/>
          <w:szCs w:val="28"/>
        </w:rPr>
        <w:t>21</w:t>
      </w:r>
      <w:r w:rsidR="004B3FD8">
        <w:rPr>
          <w:rFonts w:eastAsia="Calibri"/>
          <w:sz w:val="18"/>
          <w:szCs w:val="28"/>
        </w:rPr>
        <w:t>6</w:t>
      </w:r>
      <w:r>
        <w:rPr>
          <w:rFonts w:eastAsia="Calibri"/>
          <w:sz w:val="18"/>
          <w:szCs w:val="28"/>
        </w:rPr>
        <w:t>6</w:t>
      </w:r>
      <w:r w:rsidR="00E9729A" w:rsidRPr="004048A0">
        <w:rPr>
          <w:rFonts w:eastAsia="Calibri"/>
          <w:sz w:val="18"/>
          <w:szCs w:val="28"/>
        </w:rPr>
        <w:t xml:space="preserve">                      </w:t>
      </w:r>
    </w:p>
    <w:p w:rsidR="00800BE8" w:rsidRPr="004048A0" w:rsidRDefault="00800BE8" w:rsidP="004B3FD8">
      <w:pPr>
        <w:jc w:val="both"/>
        <w:rPr>
          <w:rFonts w:eastAsia="Calibri"/>
          <w:sz w:val="18"/>
          <w:szCs w:val="28"/>
        </w:rPr>
      </w:pPr>
      <w:r w:rsidRPr="004048A0">
        <w:rPr>
          <w:rFonts w:eastAsia="Calibri"/>
          <w:sz w:val="18"/>
          <w:szCs w:val="28"/>
        </w:rPr>
        <w:t>I.Prokofjeva 67013173</w:t>
      </w:r>
    </w:p>
    <w:p w:rsidR="00800BE8" w:rsidRPr="004048A0" w:rsidRDefault="00376726" w:rsidP="004B3FD8">
      <w:pPr>
        <w:jc w:val="both"/>
        <w:rPr>
          <w:rFonts w:eastAsia="Calibri"/>
          <w:sz w:val="18"/>
          <w:szCs w:val="28"/>
        </w:rPr>
      </w:pPr>
      <w:hyperlink r:id="rId9" w:history="1">
        <w:r w:rsidR="00800BE8" w:rsidRPr="004048A0">
          <w:rPr>
            <w:rFonts w:eastAsia="Calibri"/>
            <w:color w:val="0000FF"/>
            <w:sz w:val="18"/>
            <w:szCs w:val="28"/>
            <w:u w:val="single"/>
          </w:rPr>
          <w:t>Inga.Prokofjeva @em.gov.lv</w:t>
        </w:r>
      </w:hyperlink>
    </w:p>
    <w:p w:rsidR="0089524F" w:rsidRPr="00ED0A54" w:rsidRDefault="0089524F" w:rsidP="00ED0A54">
      <w:pPr>
        <w:ind w:firstLine="737"/>
        <w:jc w:val="both"/>
        <w:rPr>
          <w:sz w:val="28"/>
          <w:szCs w:val="28"/>
        </w:rPr>
      </w:pPr>
    </w:p>
    <w:sectPr w:rsidR="0089524F" w:rsidRPr="00ED0A54" w:rsidSect="0089524F">
      <w:footerReference w:type="default" r:id="rId10"/>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726" w:rsidRDefault="00376726" w:rsidP="008939CE">
      <w:r>
        <w:separator/>
      </w:r>
    </w:p>
  </w:endnote>
  <w:endnote w:type="continuationSeparator" w:id="0">
    <w:p w:rsidR="00376726" w:rsidRDefault="00376726" w:rsidP="00893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19948"/>
      <w:docPartObj>
        <w:docPartGallery w:val="Page Numbers (Bottom of Page)"/>
        <w:docPartUnique/>
      </w:docPartObj>
    </w:sdtPr>
    <w:sdtEndPr>
      <w:rPr>
        <w:noProof/>
      </w:rPr>
    </w:sdtEndPr>
    <w:sdtContent>
      <w:p w:rsidR="00550670" w:rsidRDefault="00550670">
        <w:pPr>
          <w:pStyle w:val="Footer"/>
          <w:jc w:val="right"/>
          <w:rPr>
            <w:noProof/>
          </w:rPr>
        </w:pPr>
        <w:r>
          <w:fldChar w:fldCharType="begin"/>
        </w:r>
        <w:r>
          <w:instrText xml:space="preserve"> PAGE   \* MERGEFORMAT </w:instrText>
        </w:r>
        <w:r>
          <w:fldChar w:fldCharType="separate"/>
        </w:r>
        <w:r w:rsidR="0055164E">
          <w:rPr>
            <w:noProof/>
          </w:rPr>
          <w:t>8</w:t>
        </w:r>
        <w:r>
          <w:rPr>
            <w:noProof/>
          </w:rPr>
          <w:fldChar w:fldCharType="end"/>
        </w:r>
        <w:r>
          <w:rPr>
            <w:noProof/>
          </w:rPr>
          <w:t>-8</w:t>
        </w:r>
      </w:p>
      <w:p w:rsidR="00550670" w:rsidRDefault="00376726">
        <w:pPr>
          <w:pStyle w:val="Footer"/>
          <w:jc w:val="right"/>
        </w:pPr>
      </w:p>
    </w:sdtContent>
  </w:sdt>
  <w:p w:rsidR="0055164E" w:rsidRDefault="0055164E" w:rsidP="00E753D3">
    <w:pPr>
      <w:tabs>
        <w:tab w:val="center" w:pos="4153"/>
        <w:tab w:val="right" w:pos="8306"/>
      </w:tabs>
    </w:pPr>
    <w:r>
      <w:t>EM_zino041213_Energ; Informatīvais ziņojums par Latvijas nostāju Eiropas Savienības Transporta, telekomunikāciju un enerģētikas Eiropas Savienības ministru padomes 2013.gada 12.decembra sanāksmē izskatāmajos Ekonomikas ministrijas kompetences jautājumos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726" w:rsidRDefault="00376726" w:rsidP="008939CE">
      <w:r>
        <w:separator/>
      </w:r>
    </w:p>
  </w:footnote>
  <w:footnote w:type="continuationSeparator" w:id="0">
    <w:p w:rsidR="00376726" w:rsidRDefault="00376726" w:rsidP="008939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373E"/>
    <w:multiLevelType w:val="hybridMultilevel"/>
    <w:tmpl w:val="8C9CA226"/>
    <w:lvl w:ilvl="0" w:tplc="39107706">
      <w:start w:val="2"/>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0D1B7838"/>
    <w:multiLevelType w:val="hybridMultilevel"/>
    <w:tmpl w:val="E98653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11E07D10"/>
    <w:multiLevelType w:val="hybridMultilevel"/>
    <w:tmpl w:val="1FD810E2"/>
    <w:lvl w:ilvl="0" w:tplc="CE10D2C4">
      <w:start w:val="20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465C0808"/>
    <w:multiLevelType w:val="multilevel"/>
    <w:tmpl w:val="92B24294"/>
    <w:lvl w:ilvl="0">
      <w:start w:val="1"/>
      <w:numFmt w:val="decimal"/>
      <w:pStyle w:val="Par-number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24F"/>
    <w:rsid w:val="00004780"/>
    <w:rsid w:val="00060F2D"/>
    <w:rsid w:val="00063EAA"/>
    <w:rsid w:val="000860C6"/>
    <w:rsid w:val="00086CFC"/>
    <w:rsid w:val="00091975"/>
    <w:rsid w:val="000C33C1"/>
    <w:rsid w:val="000C5565"/>
    <w:rsid w:val="000C70CD"/>
    <w:rsid w:val="0016607A"/>
    <w:rsid w:val="00187821"/>
    <w:rsid w:val="001B2DBF"/>
    <w:rsid w:val="001B604F"/>
    <w:rsid w:val="001C2CBE"/>
    <w:rsid w:val="001F5649"/>
    <w:rsid w:val="002658D2"/>
    <w:rsid w:val="00277873"/>
    <w:rsid w:val="00277D3D"/>
    <w:rsid w:val="002903A4"/>
    <w:rsid w:val="002F03ED"/>
    <w:rsid w:val="002F0C56"/>
    <w:rsid w:val="003324E6"/>
    <w:rsid w:val="00356D0D"/>
    <w:rsid w:val="00376726"/>
    <w:rsid w:val="00382143"/>
    <w:rsid w:val="003B014A"/>
    <w:rsid w:val="003B0651"/>
    <w:rsid w:val="004048A0"/>
    <w:rsid w:val="004217BE"/>
    <w:rsid w:val="00422D9C"/>
    <w:rsid w:val="004258C2"/>
    <w:rsid w:val="004863CB"/>
    <w:rsid w:val="004942FF"/>
    <w:rsid w:val="004B3FD8"/>
    <w:rsid w:val="004C299B"/>
    <w:rsid w:val="0051290B"/>
    <w:rsid w:val="00526AB3"/>
    <w:rsid w:val="00535D64"/>
    <w:rsid w:val="00537DB6"/>
    <w:rsid w:val="00550670"/>
    <w:rsid w:val="00550DA4"/>
    <w:rsid w:val="0055164E"/>
    <w:rsid w:val="0057478B"/>
    <w:rsid w:val="00582319"/>
    <w:rsid w:val="005856DB"/>
    <w:rsid w:val="005876DA"/>
    <w:rsid w:val="005E76EF"/>
    <w:rsid w:val="005E7BF9"/>
    <w:rsid w:val="00614088"/>
    <w:rsid w:val="0062006C"/>
    <w:rsid w:val="00632393"/>
    <w:rsid w:val="00672176"/>
    <w:rsid w:val="006A366B"/>
    <w:rsid w:val="006C477D"/>
    <w:rsid w:val="00710ED4"/>
    <w:rsid w:val="007672FE"/>
    <w:rsid w:val="00796F17"/>
    <w:rsid w:val="007A4FD9"/>
    <w:rsid w:val="007F2153"/>
    <w:rsid w:val="007F6B49"/>
    <w:rsid w:val="00800BE8"/>
    <w:rsid w:val="008269F8"/>
    <w:rsid w:val="00830A35"/>
    <w:rsid w:val="008939CE"/>
    <w:rsid w:val="0089524F"/>
    <w:rsid w:val="008C5266"/>
    <w:rsid w:val="009078D4"/>
    <w:rsid w:val="0091370C"/>
    <w:rsid w:val="00927AE7"/>
    <w:rsid w:val="00947967"/>
    <w:rsid w:val="009651CC"/>
    <w:rsid w:val="00966B31"/>
    <w:rsid w:val="009A5A0F"/>
    <w:rsid w:val="009B06BA"/>
    <w:rsid w:val="009E28DC"/>
    <w:rsid w:val="009E2F1A"/>
    <w:rsid w:val="00A25EAE"/>
    <w:rsid w:val="00A45621"/>
    <w:rsid w:val="00A91CC7"/>
    <w:rsid w:val="00AC4CA2"/>
    <w:rsid w:val="00AD0EDB"/>
    <w:rsid w:val="00AF591B"/>
    <w:rsid w:val="00B11601"/>
    <w:rsid w:val="00B746DD"/>
    <w:rsid w:val="00B80B89"/>
    <w:rsid w:val="00B83FEA"/>
    <w:rsid w:val="00BB3D1D"/>
    <w:rsid w:val="00BE49A6"/>
    <w:rsid w:val="00C45CF6"/>
    <w:rsid w:val="00C67CCC"/>
    <w:rsid w:val="00C93C37"/>
    <w:rsid w:val="00CA1806"/>
    <w:rsid w:val="00CD4111"/>
    <w:rsid w:val="00CD5C80"/>
    <w:rsid w:val="00CE051C"/>
    <w:rsid w:val="00CE6AA2"/>
    <w:rsid w:val="00D3352E"/>
    <w:rsid w:val="00D52733"/>
    <w:rsid w:val="00D70E56"/>
    <w:rsid w:val="00D75767"/>
    <w:rsid w:val="00D83BF8"/>
    <w:rsid w:val="00D90859"/>
    <w:rsid w:val="00DA22BC"/>
    <w:rsid w:val="00E32269"/>
    <w:rsid w:val="00E623A1"/>
    <w:rsid w:val="00E753D3"/>
    <w:rsid w:val="00E94B16"/>
    <w:rsid w:val="00E9729A"/>
    <w:rsid w:val="00EA58F1"/>
    <w:rsid w:val="00EB329D"/>
    <w:rsid w:val="00ED0A54"/>
    <w:rsid w:val="00ED5D8E"/>
    <w:rsid w:val="00F308B7"/>
    <w:rsid w:val="00F30F6B"/>
    <w:rsid w:val="00F323F1"/>
    <w:rsid w:val="00F40884"/>
    <w:rsid w:val="00F92EAA"/>
    <w:rsid w:val="00FA45BB"/>
    <w:rsid w:val="00FB76CD"/>
    <w:rsid w:val="00FC3B5F"/>
    <w:rsid w:val="00FF2F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2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939CE"/>
    <w:rPr>
      <w:sz w:val="20"/>
      <w:szCs w:val="20"/>
    </w:rPr>
  </w:style>
  <w:style w:type="character" w:customStyle="1" w:styleId="FootnoteTextChar">
    <w:name w:val="Footnote Text Char"/>
    <w:basedOn w:val="DefaultParagraphFont"/>
    <w:link w:val="FootnoteText"/>
    <w:uiPriority w:val="99"/>
    <w:rsid w:val="008939CE"/>
    <w:rPr>
      <w:rFonts w:ascii="Times New Roman" w:eastAsia="Times New Roman" w:hAnsi="Times New Roman" w:cs="Times New Roman"/>
      <w:sz w:val="20"/>
      <w:szCs w:val="20"/>
    </w:rPr>
  </w:style>
  <w:style w:type="character" w:styleId="FootnoteReference">
    <w:name w:val="footnote reference"/>
    <w:uiPriority w:val="99"/>
    <w:unhideWhenUsed/>
    <w:rsid w:val="008939CE"/>
    <w:rPr>
      <w:b/>
      <w:bCs w:val="0"/>
      <w:vertAlign w:val="superscript"/>
    </w:rPr>
  </w:style>
  <w:style w:type="paragraph" w:customStyle="1" w:styleId="EntEmet">
    <w:name w:val="EntEmet"/>
    <w:basedOn w:val="Normal"/>
    <w:rsid w:val="00187821"/>
    <w:pPr>
      <w:widowControl w:val="0"/>
      <w:tabs>
        <w:tab w:val="left" w:pos="284"/>
        <w:tab w:val="left" w:pos="567"/>
        <w:tab w:val="left" w:pos="851"/>
        <w:tab w:val="left" w:pos="1134"/>
        <w:tab w:val="left" w:pos="1418"/>
      </w:tabs>
      <w:spacing w:before="40"/>
    </w:pPr>
    <w:rPr>
      <w:szCs w:val="20"/>
      <w:lang w:val="en-GB" w:eastAsia="fr-BE"/>
    </w:rPr>
  </w:style>
  <w:style w:type="paragraph" w:customStyle="1" w:styleId="Par-number1">
    <w:name w:val="Par-number 1)"/>
    <w:basedOn w:val="Normal"/>
    <w:next w:val="Normal"/>
    <w:rsid w:val="00D83BF8"/>
    <w:pPr>
      <w:widowControl w:val="0"/>
      <w:numPr>
        <w:numId w:val="2"/>
      </w:numPr>
      <w:spacing w:line="360" w:lineRule="auto"/>
    </w:pPr>
    <w:rPr>
      <w:szCs w:val="20"/>
      <w:lang w:val="en-GB" w:eastAsia="fr-BE"/>
    </w:rPr>
  </w:style>
  <w:style w:type="paragraph" w:styleId="BalloonText">
    <w:name w:val="Balloon Text"/>
    <w:basedOn w:val="Normal"/>
    <w:link w:val="BalloonTextChar"/>
    <w:uiPriority w:val="99"/>
    <w:semiHidden/>
    <w:unhideWhenUsed/>
    <w:rsid w:val="008269F8"/>
    <w:rPr>
      <w:rFonts w:ascii="Arial" w:hAnsi="Arial" w:cs="Arial"/>
      <w:sz w:val="16"/>
      <w:szCs w:val="16"/>
    </w:rPr>
  </w:style>
  <w:style w:type="character" w:customStyle="1" w:styleId="BalloonTextChar">
    <w:name w:val="Balloon Text Char"/>
    <w:basedOn w:val="DefaultParagraphFont"/>
    <w:link w:val="BalloonText"/>
    <w:uiPriority w:val="99"/>
    <w:semiHidden/>
    <w:rsid w:val="008269F8"/>
    <w:rPr>
      <w:rFonts w:ascii="Arial" w:eastAsia="Times New Roman" w:hAnsi="Arial" w:cs="Arial"/>
      <w:sz w:val="16"/>
      <w:szCs w:val="16"/>
    </w:rPr>
  </w:style>
  <w:style w:type="paragraph" w:styleId="Header">
    <w:name w:val="header"/>
    <w:basedOn w:val="Normal"/>
    <w:link w:val="HeaderChar"/>
    <w:uiPriority w:val="99"/>
    <w:unhideWhenUsed/>
    <w:rsid w:val="006C477D"/>
    <w:pPr>
      <w:tabs>
        <w:tab w:val="center" w:pos="4153"/>
        <w:tab w:val="right" w:pos="8306"/>
      </w:tabs>
    </w:pPr>
  </w:style>
  <w:style w:type="character" w:customStyle="1" w:styleId="HeaderChar">
    <w:name w:val="Header Char"/>
    <w:basedOn w:val="DefaultParagraphFont"/>
    <w:link w:val="Header"/>
    <w:uiPriority w:val="99"/>
    <w:rsid w:val="006C477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C477D"/>
    <w:pPr>
      <w:tabs>
        <w:tab w:val="center" w:pos="4153"/>
        <w:tab w:val="right" w:pos="8306"/>
      </w:tabs>
    </w:pPr>
  </w:style>
  <w:style w:type="character" w:customStyle="1" w:styleId="FooterChar">
    <w:name w:val="Footer Char"/>
    <w:basedOn w:val="DefaultParagraphFont"/>
    <w:link w:val="Footer"/>
    <w:uiPriority w:val="99"/>
    <w:rsid w:val="006C477D"/>
    <w:rPr>
      <w:rFonts w:ascii="Times New Roman" w:eastAsia="Times New Roman" w:hAnsi="Times New Roman" w:cs="Times New Roman"/>
      <w:sz w:val="24"/>
      <w:szCs w:val="24"/>
    </w:rPr>
  </w:style>
  <w:style w:type="paragraph" w:customStyle="1" w:styleId="Default">
    <w:name w:val="Default"/>
    <w:rsid w:val="0091370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91370C"/>
    <w:rPr>
      <w:sz w:val="16"/>
      <w:szCs w:val="16"/>
    </w:rPr>
  </w:style>
  <w:style w:type="paragraph" w:styleId="CommentText">
    <w:name w:val="annotation text"/>
    <w:basedOn w:val="Normal"/>
    <w:link w:val="CommentTextChar"/>
    <w:uiPriority w:val="99"/>
    <w:semiHidden/>
    <w:unhideWhenUsed/>
    <w:rsid w:val="0091370C"/>
    <w:rPr>
      <w:sz w:val="20"/>
      <w:szCs w:val="20"/>
    </w:rPr>
  </w:style>
  <w:style w:type="character" w:customStyle="1" w:styleId="CommentTextChar">
    <w:name w:val="Comment Text Char"/>
    <w:basedOn w:val="DefaultParagraphFont"/>
    <w:link w:val="CommentText"/>
    <w:uiPriority w:val="99"/>
    <w:semiHidden/>
    <w:rsid w:val="009137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1370C"/>
    <w:rPr>
      <w:b/>
      <w:bCs/>
    </w:rPr>
  </w:style>
  <w:style w:type="character" w:customStyle="1" w:styleId="CommentSubjectChar">
    <w:name w:val="Comment Subject Char"/>
    <w:basedOn w:val="CommentTextChar"/>
    <w:link w:val="CommentSubject"/>
    <w:uiPriority w:val="99"/>
    <w:semiHidden/>
    <w:rsid w:val="0091370C"/>
    <w:rPr>
      <w:rFonts w:ascii="Times New Roman" w:eastAsia="Times New Roman" w:hAnsi="Times New Roman" w:cs="Times New Roman"/>
      <w:b/>
      <w:bCs/>
      <w:sz w:val="20"/>
      <w:szCs w:val="20"/>
    </w:rPr>
  </w:style>
  <w:style w:type="paragraph" w:customStyle="1" w:styleId="EntRefer">
    <w:name w:val="EntRefer"/>
    <w:basedOn w:val="Normal"/>
    <w:rsid w:val="00D90859"/>
    <w:pPr>
      <w:widowControl w:val="0"/>
    </w:pPr>
    <w:rPr>
      <w:b/>
      <w:szCs w:val="20"/>
      <w:lang w:val="en-GB" w:eastAsia="fr-BE"/>
    </w:rPr>
  </w:style>
  <w:style w:type="paragraph" w:styleId="ListParagraph">
    <w:name w:val="List Paragraph"/>
    <w:basedOn w:val="Normal"/>
    <w:uiPriority w:val="34"/>
    <w:qFormat/>
    <w:rsid w:val="00CD5C80"/>
    <w:pPr>
      <w:ind w:left="720"/>
      <w:contextualSpacing/>
    </w:pPr>
  </w:style>
  <w:style w:type="character" w:customStyle="1" w:styleId="hps">
    <w:name w:val="hps"/>
    <w:basedOn w:val="DefaultParagraphFont"/>
    <w:rsid w:val="00B80B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2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939CE"/>
    <w:rPr>
      <w:sz w:val="20"/>
      <w:szCs w:val="20"/>
    </w:rPr>
  </w:style>
  <w:style w:type="character" w:customStyle="1" w:styleId="FootnoteTextChar">
    <w:name w:val="Footnote Text Char"/>
    <w:basedOn w:val="DefaultParagraphFont"/>
    <w:link w:val="FootnoteText"/>
    <w:uiPriority w:val="99"/>
    <w:rsid w:val="008939CE"/>
    <w:rPr>
      <w:rFonts w:ascii="Times New Roman" w:eastAsia="Times New Roman" w:hAnsi="Times New Roman" w:cs="Times New Roman"/>
      <w:sz w:val="20"/>
      <w:szCs w:val="20"/>
    </w:rPr>
  </w:style>
  <w:style w:type="character" w:styleId="FootnoteReference">
    <w:name w:val="footnote reference"/>
    <w:uiPriority w:val="99"/>
    <w:unhideWhenUsed/>
    <w:rsid w:val="008939CE"/>
    <w:rPr>
      <w:b/>
      <w:bCs w:val="0"/>
      <w:vertAlign w:val="superscript"/>
    </w:rPr>
  </w:style>
  <w:style w:type="paragraph" w:customStyle="1" w:styleId="EntEmet">
    <w:name w:val="EntEmet"/>
    <w:basedOn w:val="Normal"/>
    <w:rsid w:val="00187821"/>
    <w:pPr>
      <w:widowControl w:val="0"/>
      <w:tabs>
        <w:tab w:val="left" w:pos="284"/>
        <w:tab w:val="left" w:pos="567"/>
        <w:tab w:val="left" w:pos="851"/>
        <w:tab w:val="left" w:pos="1134"/>
        <w:tab w:val="left" w:pos="1418"/>
      </w:tabs>
      <w:spacing w:before="40"/>
    </w:pPr>
    <w:rPr>
      <w:szCs w:val="20"/>
      <w:lang w:val="en-GB" w:eastAsia="fr-BE"/>
    </w:rPr>
  </w:style>
  <w:style w:type="paragraph" w:customStyle="1" w:styleId="Par-number1">
    <w:name w:val="Par-number 1)"/>
    <w:basedOn w:val="Normal"/>
    <w:next w:val="Normal"/>
    <w:rsid w:val="00D83BF8"/>
    <w:pPr>
      <w:widowControl w:val="0"/>
      <w:numPr>
        <w:numId w:val="2"/>
      </w:numPr>
      <w:spacing w:line="360" w:lineRule="auto"/>
    </w:pPr>
    <w:rPr>
      <w:szCs w:val="20"/>
      <w:lang w:val="en-GB" w:eastAsia="fr-BE"/>
    </w:rPr>
  </w:style>
  <w:style w:type="paragraph" w:styleId="BalloonText">
    <w:name w:val="Balloon Text"/>
    <w:basedOn w:val="Normal"/>
    <w:link w:val="BalloonTextChar"/>
    <w:uiPriority w:val="99"/>
    <w:semiHidden/>
    <w:unhideWhenUsed/>
    <w:rsid w:val="008269F8"/>
    <w:rPr>
      <w:rFonts w:ascii="Arial" w:hAnsi="Arial" w:cs="Arial"/>
      <w:sz w:val="16"/>
      <w:szCs w:val="16"/>
    </w:rPr>
  </w:style>
  <w:style w:type="character" w:customStyle="1" w:styleId="BalloonTextChar">
    <w:name w:val="Balloon Text Char"/>
    <w:basedOn w:val="DefaultParagraphFont"/>
    <w:link w:val="BalloonText"/>
    <w:uiPriority w:val="99"/>
    <w:semiHidden/>
    <w:rsid w:val="008269F8"/>
    <w:rPr>
      <w:rFonts w:ascii="Arial" w:eastAsia="Times New Roman" w:hAnsi="Arial" w:cs="Arial"/>
      <w:sz w:val="16"/>
      <w:szCs w:val="16"/>
    </w:rPr>
  </w:style>
  <w:style w:type="paragraph" w:styleId="Header">
    <w:name w:val="header"/>
    <w:basedOn w:val="Normal"/>
    <w:link w:val="HeaderChar"/>
    <w:uiPriority w:val="99"/>
    <w:unhideWhenUsed/>
    <w:rsid w:val="006C477D"/>
    <w:pPr>
      <w:tabs>
        <w:tab w:val="center" w:pos="4153"/>
        <w:tab w:val="right" w:pos="8306"/>
      </w:tabs>
    </w:pPr>
  </w:style>
  <w:style w:type="character" w:customStyle="1" w:styleId="HeaderChar">
    <w:name w:val="Header Char"/>
    <w:basedOn w:val="DefaultParagraphFont"/>
    <w:link w:val="Header"/>
    <w:uiPriority w:val="99"/>
    <w:rsid w:val="006C477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C477D"/>
    <w:pPr>
      <w:tabs>
        <w:tab w:val="center" w:pos="4153"/>
        <w:tab w:val="right" w:pos="8306"/>
      </w:tabs>
    </w:pPr>
  </w:style>
  <w:style w:type="character" w:customStyle="1" w:styleId="FooterChar">
    <w:name w:val="Footer Char"/>
    <w:basedOn w:val="DefaultParagraphFont"/>
    <w:link w:val="Footer"/>
    <w:uiPriority w:val="99"/>
    <w:rsid w:val="006C477D"/>
    <w:rPr>
      <w:rFonts w:ascii="Times New Roman" w:eastAsia="Times New Roman" w:hAnsi="Times New Roman" w:cs="Times New Roman"/>
      <w:sz w:val="24"/>
      <w:szCs w:val="24"/>
    </w:rPr>
  </w:style>
  <w:style w:type="paragraph" w:customStyle="1" w:styleId="Default">
    <w:name w:val="Default"/>
    <w:rsid w:val="0091370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91370C"/>
    <w:rPr>
      <w:sz w:val="16"/>
      <w:szCs w:val="16"/>
    </w:rPr>
  </w:style>
  <w:style w:type="paragraph" w:styleId="CommentText">
    <w:name w:val="annotation text"/>
    <w:basedOn w:val="Normal"/>
    <w:link w:val="CommentTextChar"/>
    <w:uiPriority w:val="99"/>
    <w:semiHidden/>
    <w:unhideWhenUsed/>
    <w:rsid w:val="0091370C"/>
    <w:rPr>
      <w:sz w:val="20"/>
      <w:szCs w:val="20"/>
    </w:rPr>
  </w:style>
  <w:style w:type="character" w:customStyle="1" w:styleId="CommentTextChar">
    <w:name w:val="Comment Text Char"/>
    <w:basedOn w:val="DefaultParagraphFont"/>
    <w:link w:val="CommentText"/>
    <w:uiPriority w:val="99"/>
    <w:semiHidden/>
    <w:rsid w:val="009137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1370C"/>
    <w:rPr>
      <w:b/>
      <w:bCs/>
    </w:rPr>
  </w:style>
  <w:style w:type="character" w:customStyle="1" w:styleId="CommentSubjectChar">
    <w:name w:val="Comment Subject Char"/>
    <w:basedOn w:val="CommentTextChar"/>
    <w:link w:val="CommentSubject"/>
    <w:uiPriority w:val="99"/>
    <w:semiHidden/>
    <w:rsid w:val="0091370C"/>
    <w:rPr>
      <w:rFonts w:ascii="Times New Roman" w:eastAsia="Times New Roman" w:hAnsi="Times New Roman" w:cs="Times New Roman"/>
      <w:b/>
      <w:bCs/>
      <w:sz w:val="20"/>
      <w:szCs w:val="20"/>
    </w:rPr>
  </w:style>
  <w:style w:type="paragraph" w:customStyle="1" w:styleId="EntRefer">
    <w:name w:val="EntRefer"/>
    <w:basedOn w:val="Normal"/>
    <w:rsid w:val="00D90859"/>
    <w:pPr>
      <w:widowControl w:val="0"/>
    </w:pPr>
    <w:rPr>
      <w:b/>
      <w:szCs w:val="20"/>
      <w:lang w:val="en-GB" w:eastAsia="fr-BE"/>
    </w:rPr>
  </w:style>
  <w:style w:type="paragraph" w:styleId="ListParagraph">
    <w:name w:val="List Paragraph"/>
    <w:basedOn w:val="Normal"/>
    <w:uiPriority w:val="34"/>
    <w:qFormat/>
    <w:rsid w:val="00CD5C80"/>
    <w:pPr>
      <w:ind w:left="720"/>
      <w:contextualSpacing/>
    </w:pPr>
  </w:style>
  <w:style w:type="character" w:customStyle="1" w:styleId="hps">
    <w:name w:val="hps"/>
    <w:basedOn w:val="DefaultParagraphFont"/>
    <w:rsid w:val="00B80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37068">
      <w:bodyDiv w:val="1"/>
      <w:marLeft w:val="0"/>
      <w:marRight w:val="0"/>
      <w:marTop w:val="0"/>
      <w:marBottom w:val="0"/>
      <w:divBdr>
        <w:top w:val="none" w:sz="0" w:space="0" w:color="auto"/>
        <w:left w:val="none" w:sz="0" w:space="0" w:color="auto"/>
        <w:bottom w:val="none" w:sz="0" w:space="0" w:color="auto"/>
        <w:right w:val="none" w:sz="0" w:space="0" w:color="auto"/>
      </w:divBdr>
    </w:div>
    <w:div w:id="297077416">
      <w:bodyDiv w:val="1"/>
      <w:marLeft w:val="0"/>
      <w:marRight w:val="0"/>
      <w:marTop w:val="0"/>
      <w:marBottom w:val="0"/>
      <w:divBdr>
        <w:top w:val="none" w:sz="0" w:space="0" w:color="auto"/>
        <w:left w:val="none" w:sz="0" w:space="0" w:color="auto"/>
        <w:bottom w:val="none" w:sz="0" w:space="0" w:color="auto"/>
        <w:right w:val="none" w:sz="0" w:space="0" w:color="auto"/>
      </w:divBdr>
    </w:div>
    <w:div w:id="936913598">
      <w:bodyDiv w:val="1"/>
      <w:marLeft w:val="0"/>
      <w:marRight w:val="0"/>
      <w:marTop w:val="0"/>
      <w:marBottom w:val="0"/>
      <w:divBdr>
        <w:top w:val="none" w:sz="0" w:space="0" w:color="auto"/>
        <w:left w:val="none" w:sz="0" w:space="0" w:color="auto"/>
        <w:bottom w:val="none" w:sz="0" w:space="0" w:color="auto"/>
        <w:right w:val="none" w:sz="0" w:space="0" w:color="auto"/>
      </w:divBdr>
    </w:div>
    <w:div w:id="960919889">
      <w:bodyDiv w:val="1"/>
      <w:marLeft w:val="0"/>
      <w:marRight w:val="0"/>
      <w:marTop w:val="0"/>
      <w:marBottom w:val="0"/>
      <w:divBdr>
        <w:top w:val="none" w:sz="0" w:space="0" w:color="auto"/>
        <w:left w:val="none" w:sz="0" w:space="0" w:color="auto"/>
        <w:bottom w:val="none" w:sz="0" w:space="0" w:color="auto"/>
        <w:right w:val="none" w:sz="0" w:space="0" w:color="auto"/>
      </w:divBdr>
    </w:div>
    <w:div w:id="1200513749">
      <w:bodyDiv w:val="1"/>
      <w:marLeft w:val="0"/>
      <w:marRight w:val="0"/>
      <w:marTop w:val="0"/>
      <w:marBottom w:val="0"/>
      <w:divBdr>
        <w:top w:val="none" w:sz="0" w:space="0" w:color="auto"/>
        <w:left w:val="none" w:sz="0" w:space="0" w:color="auto"/>
        <w:bottom w:val="none" w:sz="0" w:space="0" w:color="auto"/>
        <w:right w:val="none" w:sz="0" w:space="0" w:color="auto"/>
      </w:divBdr>
    </w:div>
    <w:div w:id="1361512105">
      <w:bodyDiv w:val="1"/>
      <w:marLeft w:val="0"/>
      <w:marRight w:val="0"/>
      <w:marTop w:val="0"/>
      <w:marBottom w:val="0"/>
      <w:divBdr>
        <w:top w:val="none" w:sz="0" w:space="0" w:color="auto"/>
        <w:left w:val="none" w:sz="0" w:space="0" w:color="auto"/>
        <w:bottom w:val="none" w:sz="0" w:space="0" w:color="auto"/>
        <w:right w:val="none" w:sz="0" w:space="0" w:color="auto"/>
      </w:divBdr>
    </w:div>
    <w:div w:id="1905991968">
      <w:bodyDiv w:val="1"/>
      <w:marLeft w:val="0"/>
      <w:marRight w:val="0"/>
      <w:marTop w:val="0"/>
      <w:marBottom w:val="0"/>
      <w:divBdr>
        <w:top w:val="none" w:sz="0" w:space="0" w:color="auto"/>
        <w:left w:val="none" w:sz="0" w:space="0" w:color="auto"/>
        <w:bottom w:val="none" w:sz="0" w:space="0" w:color="auto"/>
        <w:right w:val="none" w:sz="0" w:space="0" w:color="auto"/>
      </w:divBdr>
    </w:div>
    <w:div w:id="198839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arija.Zjurikova@e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4920C-0FB7-4A26-8E80-CCB12C6CC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11498</Words>
  <Characters>6555</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Prokofjeva</dc:creator>
  <cp:lastModifiedBy>Inga Prokofjeva</cp:lastModifiedBy>
  <cp:revision>5</cp:revision>
  <cp:lastPrinted>2013-12-09T06:59:00Z</cp:lastPrinted>
  <dcterms:created xsi:type="dcterms:W3CDTF">2013-12-06T08:21:00Z</dcterms:created>
  <dcterms:modified xsi:type="dcterms:W3CDTF">2013-12-09T08:34:00Z</dcterms:modified>
</cp:coreProperties>
</file>