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8E" w:rsidRPr="0032041A" w:rsidRDefault="0072388E" w:rsidP="001222DF">
      <w:pPr>
        <w:jc w:val="center"/>
        <w:rPr>
          <w:b/>
          <w:szCs w:val="28"/>
        </w:rPr>
      </w:pPr>
      <w:r w:rsidRPr="0032041A">
        <w:rPr>
          <w:b/>
          <w:szCs w:val="28"/>
        </w:rPr>
        <w:t>Informatīvais ziņojums</w:t>
      </w:r>
    </w:p>
    <w:p w:rsidR="0072388E" w:rsidRPr="0032041A" w:rsidRDefault="0072388E" w:rsidP="001222DF">
      <w:pPr>
        <w:jc w:val="center"/>
        <w:rPr>
          <w:b/>
          <w:szCs w:val="28"/>
        </w:rPr>
      </w:pPr>
      <w:r w:rsidRPr="0032041A">
        <w:rPr>
          <w:b/>
          <w:szCs w:val="28"/>
        </w:rPr>
        <w:t>Par Baltijas Inovāciju fondu</w:t>
      </w:r>
    </w:p>
    <w:p w:rsidR="0072388E" w:rsidRPr="0032041A" w:rsidRDefault="0072388E" w:rsidP="001222DF">
      <w:pPr>
        <w:jc w:val="both"/>
        <w:rPr>
          <w:szCs w:val="28"/>
        </w:rPr>
      </w:pPr>
    </w:p>
    <w:p w:rsidR="0072388E" w:rsidRPr="0032041A" w:rsidRDefault="0072388E" w:rsidP="00AC41F5">
      <w:pPr>
        <w:spacing w:after="120"/>
        <w:ind w:firstLine="720"/>
        <w:jc w:val="both"/>
      </w:pPr>
      <w:r w:rsidRPr="0032041A">
        <w:rPr>
          <w:szCs w:val="28"/>
        </w:rPr>
        <w:t xml:space="preserve">Saskaņā ar Ministru kabineta 2011.gada  1.novembra sēdes protokola Nr.62 64.§ </w:t>
      </w:r>
      <w:proofErr w:type="spellStart"/>
      <w:r w:rsidRPr="0032041A">
        <w:rPr>
          <w:szCs w:val="28"/>
        </w:rPr>
        <w:t>protokollēmuma</w:t>
      </w:r>
      <w:proofErr w:type="spellEnd"/>
      <w:r w:rsidRPr="0032041A">
        <w:rPr>
          <w:szCs w:val="28"/>
        </w:rPr>
        <w:t xml:space="preserve"> 16.punktu tika izveidota konsultatīvā padome valsts atbalsta programmu koordinācijai un pilnveidošanai (turpmāk – Konsultatīvā padome). Atbilstoši Konsultatīvās padomes 2012.gada 13.aprīļa sēdes protokola </w:t>
      </w:r>
      <w:r w:rsidRPr="0032041A">
        <w:t>Nr.4 5.punktam,</w:t>
      </w:r>
      <w:r w:rsidRPr="0032041A">
        <w:rPr>
          <w:szCs w:val="28"/>
        </w:rPr>
        <w:t xml:space="preserve"> Konsultatīvā padome </w:t>
      </w:r>
      <w:r w:rsidRPr="0032041A">
        <w:rPr>
          <w:color w:val="000000" w:themeColor="text1"/>
          <w:szCs w:val="28"/>
        </w:rPr>
        <w:t>konceptuāli atbalstīja Baltijas Inovāciju fonda izveidi.</w:t>
      </w:r>
      <w:r w:rsidRPr="0032041A">
        <w:rPr>
          <w:szCs w:val="28"/>
        </w:rPr>
        <w:t xml:space="preserve"> Savukārt atbilstoši Konsultatīvās padomes 2012.gada 16.augusta sēdes protokola </w:t>
      </w:r>
      <w:r w:rsidRPr="0032041A">
        <w:t>Nr.7 6.punktam, ņemot vērā apņemšanos izveidot vienotu attīstības finanšu institūciju (turpmāk - AFI) un to, ka investīcijas Baltijas Inovāciju fondā veicamas no 2013. līdz 2028.gadam, Ekonomikas ministrija ir sagatavojusi informatīvo ziņojumu par Baltijas Inovāciju fonda izveidi, tālākām veicamām darbībām un pēctecības nodrošināšanu uzņemto līgumsaistību izpildei.</w:t>
      </w:r>
    </w:p>
    <w:p w:rsidR="0072388E" w:rsidRPr="0032041A" w:rsidRDefault="0072388E" w:rsidP="001222DF">
      <w:pPr>
        <w:jc w:val="both"/>
        <w:rPr>
          <w:b/>
          <w:szCs w:val="28"/>
        </w:rPr>
      </w:pPr>
      <w:r w:rsidRPr="0032041A">
        <w:rPr>
          <w:b/>
          <w:szCs w:val="28"/>
        </w:rPr>
        <w:t>Baltijas Inovāciju fonda mērķis</w:t>
      </w:r>
    </w:p>
    <w:p w:rsidR="0072388E" w:rsidRPr="0032041A" w:rsidRDefault="0072388E" w:rsidP="001222DF">
      <w:pPr>
        <w:ind w:firstLine="720"/>
        <w:jc w:val="both"/>
        <w:rPr>
          <w:szCs w:val="28"/>
        </w:rPr>
      </w:pPr>
      <w:r w:rsidRPr="0032041A">
        <w:rPr>
          <w:szCs w:val="28"/>
        </w:rPr>
        <w:t>Baltijas Inovāciju fonds (turpmāk – BIF) tiks izveidots ar mērķi nodrošināt agrīnās stadijas un izaugsmes stadijas investīcijas uzņēmumos galvenokārt Baltijas valstīs, katrai no Baltijas valstīm</w:t>
      </w:r>
      <w:r w:rsidRPr="0032041A">
        <w:rPr>
          <w:rStyle w:val="FootnoteReference"/>
          <w:szCs w:val="28"/>
        </w:rPr>
        <w:footnoteReference w:id="1"/>
      </w:r>
      <w:r w:rsidRPr="0032041A">
        <w:rPr>
          <w:szCs w:val="28"/>
        </w:rPr>
        <w:t xml:space="preserve"> ieguldot tā izveidē 20 </w:t>
      </w:r>
      <w:proofErr w:type="spellStart"/>
      <w:r w:rsidRPr="0032041A">
        <w:rPr>
          <w:szCs w:val="28"/>
        </w:rPr>
        <w:t>milj</w:t>
      </w:r>
      <w:proofErr w:type="spellEnd"/>
      <w:r w:rsidRPr="0032041A">
        <w:rPr>
          <w:szCs w:val="28"/>
        </w:rPr>
        <w:t xml:space="preserve">. EUR, savukārt Eiropas Investīciju fondam (turpmāk - EIF) – 40 </w:t>
      </w:r>
      <w:proofErr w:type="spellStart"/>
      <w:r w:rsidRPr="0032041A">
        <w:rPr>
          <w:szCs w:val="28"/>
        </w:rPr>
        <w:t>milj</w:t>
      </w:r>
      <w:proofErr w:type="spellEnd"/>
      <w:r w:rsidRPr="0032041A">
        <w:rPr>
          <w:szCs w:val="28"/>
        </w:rPr>
        <w:t xml:space="preserve">. EUR, kopā BIF izveidei sākotnēji piesaistot publiskos līdzekļus 100 </w:t>
      </w:r>
      <w:proofErr w:type="spellStart"/>
      <w:r w:rsidRPr="0032041A">
        <w:rPr>
          <w:szCs w:val="28"/>
        </w:rPr>
        <w:t>milj</w:t>
      </w:r>
      <w:proofErr w:type="spellEnd"/>
      <w:r w:rsidRPr="0032041A">
        <w:rPr>
          <w:szCs w:val="28"/>
        </w:rPr>
        <w:t>. EUR apjomā. Plānots, ka privātie investori, piemēram, Baltijas valstu pensiju fondi</w:t>
      </w:r>
      <w:r w:rsidR="00C95946" w:rsidRPr="0032041A">
        <w:rPr>
          <w:szCs w:val="28"/>
        </w:rPr>
        <w:t xml:space="preserve"> un citi investori</w:t>
      </w:r>
      <w:r w:rsidRPr="0032041A">
        <w:rPr>
          <w:szCs w:val="28"/>
        </w:rPr>
        <w:t xml:space="preserve"> ieguldīs riska kapitāla fondos kopā ar BIF, neizslēdzot iespēju, ka tie vēlākā stadijā varētu </w:t>
      </w:r>
      <w:proofErr w:type="spellStart"/>
      <w:r w:rsidRPr="0032041A">
        <w:rPr>
          <w:szCs w:val="28"/>
        </w:rPr>
        <w:t>līdzinvestēt</w:t>
      </w:r>
      <w:proofErr w:type="spellEnd"/>
      <w:r w:rsidRPr="0032041A">
        <w:rPr>
          <w:szCs w:val="28"/>
        </w:rPr>
        <w:t xml:space="preserve"> arī BIF. </w:t>
      </w:r>
      <w:r w:rsidR="0012556C" w:rsidRPr="0032041A">
        <w:rPr>
          <w:szCs w:val="28"/>
        </w:rPr>
        <w:t>P</w:t>
      </w:r>
      <w:r w:rsidRPr="0032041A">
        <w:rPr>
          <w:szCs w:val="28"/>
        </w:rPr>
        <w:t>rivāt</w:t>
      </w:r>
      <w:r w:rsidR="0012556C" w:rsidRPr="0032041A">
        <w:rPr>
          <w:szCs w:val="28"/>
        </w:rPr>
        <w:t>ie</w:t>
      </w:r>
      <w:r w:rsidRPr="0032041A">
        <w:rPr>
          <w:szCs w:val="28"/>
        </w:rPr>
        <w:t xml:space="preserve"> </w:t>
      </w:r>
      <w:r w:rsidR="0012556C" w:rsidRPr="0032041A">
        <w:rPr>
          <w:szCs w:val="28"/>
        </w:rPr>
        <w:t xml:space="preserve">investori tiks piesaistīti </w:t>
      </w:r>
      <w:r w:rsidR="00B909A3" w:rsidRPr="0032041A">
        <w:rPr>
          <w:szCs w:val="28"/>
        </w:rPr>
        <w:t xml:space="preserve">riska kapitāla fondu līmenī </w:t>
      </w:r>
      <w:r w:rsidRPr="0032041A">
        <w:rPr>
          <w:szCs w:val="28"/>
        </w:rPr>
        <w:t xml:space="preserve">vismaz tādā pašā apjomā, tā nodrošinot uzņēmumiem </w:t>
      </w:r>
      <w:r w:rsidRPr="00DC3996">
        <w:rPr>
          <w:szCs w:val="28"/>
        </w:rPr>
        <w:t xml:space="preserve">pieejamo finansējumu vismaz 200 </w:t>
      </w:r>
      <w:proofErr w:type="spellStart"/>
      <w:r w:rsidRPr="00DC3996">
        <w:rPr>
          <w:szCs w:val="28"/>
        </w:rPr>
        <w:t>milj</w:t>
      </w:r>
      <w:proofErr w:type="spellEnd"/>
      <w:r w:rsidRPr="00DC3996">
        <w:rPr>
          <w:szCs w:val="28"/>
        </w:rPr>
        <w:t xml:space="preserve">. EUR apmērā. </w:t>
      </w:r>
      <w:r w:rsidR="0012556C" w:rsidRPr="00DC3996">
        <w:rPr>
          <w:szCs w:val="28"/>
        </w:rPr>
        <w:t xml:space="preserve">No </w:t>
      </w:r>
      <w:r w:rsidR="00B909A3" w:rsidRPr="00DC3996">
        <w:rPr>
          <w:szCs w:val="28"/>
        </w:rPr>
        <w:t xml:space="preserve">BIF </w:t>
      </w:r>
      <w:r w:rsidR="0012556C" w:rsidRPr="00DC3996">
        <w:rPr>
          <w:szCs w:val="28"/>
        </w:rPr>
        <w:t xml:space="preserve">ietvaros </w:t>
      </w:r>
      <w:r w:rsidR="00A14C5D" w:rsidRPr="00DC3996">
        <w:t xml:space="preserve">izveidotajos riska kapitāla fondos </w:t>
      </w:r>
      <w:r w:rsidR="0012556C" w:rsidRPr="00DC3996">
        <w:rPr>
          <w:szCs w:val="28"/>
        </w:rPr>
        <w:t>pieejamā finansējuma</w:t>
      </w:r>
      <w:r w:rsidR="00F70107" w:rsidRPr="00DC3996">
        <w:rPr>
          <w:szCs w:val="28"/>
        </w:rPr>
        <w:t xml:space="preserve"> </w:t>
      </w:r>
      <w:r w:rsidRPr="00DC3996">
        <w:rPr>
          <w:szCs w:val="28"/>
        </w:rPr>
        <w:t xml:space="preserve">katrā valstī </w:t>
      </w:r>
      <w:r w:rsidR="0012556C" w:rsidRPr="00DC3996">
        <w:rPr>
          <w:szCs w:val="28"/>
        </w:rPr>
        <w:t xml:space="preserve">tiks ieguldīts </w:t>
      </w:r>
      <w:r w:rsidRPr="00DC3996">
        <w:rPr>
          <w:szCs w:val="28"/>
        </w:rPr>
        <w:t xml:space="preserve">vismaz katras Baltijas valsts </w:t>
      </w:r>
      <w:r w:rsidR="0012556C" w:rsidRPr="00DC3996">
        <w:rPr>
          <w:szCs w:val="28"/>
        </w:rPr>
        <w:t xml:space="preserve">līdzfinansētais apjoms </w:t>
      </w:r>
      <w:r w:rsidRPr="00DC3996">
        <w:rPr>
          <w:szCs w:val="28"/>
        </w:rPr>
        <w:t xml:space="preserve">jeb 20 </w:t>
      </w:r>
      <w:proofErr w:type="spellStart"/>
      <w:r w:rsidRPr="00DC3996">
        <w:rPr>
          <w:szCs w:val="28"/>
        </w:rPr>
        <w:t>milj</w:t>
      </w:r>
      <w:proofErr w:type="spellEnd"/>
      <w:r w:rsidRPr="00DC3996">
        <w:rPr>
          <w:szCs w:val="28"/>
        </w:rPr>
        <w:t>. EUR</w:t>
      </w:r>
      <w:r w:rsidR="004A26D4" w:rsidRPr="00DC3996">
        <w:rPr>
          <w:szCs w:val="28"/>
        </w:rPr>
        <w:t xml:space="preserve">. </w:t>
      </w:r>
      <w:r w:rsidR="005A7E93" w:rsidRPr="00DC3996">
        <w:t>Vismaz 50% no BIF ietvaros izveidotajos riska kapitāla fondos kopējā (BIF un privāto investoru ieguldītā) pieejamā finansējuma  tiks ieguldīti uzņēmumos, kas darbojas Baltijas valstīs</w:t>
      </w:r>
      <w:r w:rsidRPr="00DC3996">
        <w:rPr>
          <w:szCs w:val="28"/>
        </w:rPr>
        <w:t xml:space="preserve">. BIF pārvaldīs EIF saskaņā ar </w:t>
      </w:r>
      <w:proofErr w:type="spellStart"/>
      <w:r w:rsidRPr="00DC3996">
        <w:rPr>
          <w:szCs w:val="28"/>
        </w:rPr>
        <w:t>četrpusēju</w:t>
      </w:r>
      <w:proofErr w:type="spellEnd"/>
      <w:r w:rsidRPr="00DC3996">
        <w:rPr>
          <w:szCs w:val="28"/>
        </w:rPr>
        <w:t xml:space="preserve"> līgumu, kas tiks noslēgts starp Latviju</w:t>
      </w:r>
      <w:r w:rsidRPr="0032041A">
        <w:rPr>
          <w:szCs w:val="28"/>
        </w:rPr>
        <w:t xml:space="preserve">, Lietuvu, Igauniju un EIF. </w:t>
      </w:r>
    </w:p>
    <w:p w:rsidR="0072388E" w:rsidRPr="0032041A" w:rsidRDefault="00F14D80" w:rsidP="001222DF">
      <w:pPr>
        <w:ind w:firstLine="720"/>
        <w:jc w:val="both"/>
        <w:rPr>
          <w:szCs w:val="28"/>
        </w:rPr>
      </w:pPr>
      <w:r w:rsidRPr="0032041A">
        <w:rPr>
          <w:szCs w:val="28"/>
        </w:rPr>
        <w:t xml:space="preserve">EIF kā BIF pārvaldītājs nodrošinās, ka </w:t>
      </w:r>
      <w:r w:rsidR="0072388E" w:rsidRPr="0032041A">
        <w:rPr>
          <w:szCs w:val="28"/>
        </w:rPr>
        <w:t xml:space="preserve">BIF darbosies atbilstoši </w:t>
      </w:r>
      <w:proofErr w:type="spellStart"/>
      <w:r w:rsidR="0072388E" w:rsidRPr="0032041A">
        <w:rPr>
          <w:i/>
          <w:szCs w:val="28"/>
        </w:rPr>
        <w:t>pari</w:t>
      </w:r>
      <w:proofErr w:type="spellEnd"/>
      <w:r w:rsidR="0072388E" w:rsidRPr="0032041A">
        <w:rPr>
          <w:i/>
          <w:szCs w:val="28"/>
        </w:rPr>
        <w:t xml:space="preserve"> </w:t>
      </w:r>
      <w:proofErr w:type="spellStart"/>
      <w:r w:rsidR="0072388E" w:rsidRPr="0032041A">
        <w:rPr>
          <w:i/>
          <w:szCs w:val="28"/>
        </w:rPr>
        <w:t>passu</w:t>
      </w:r>
      <w:proofErr w:type="spellEnd"/>
      <w:r w:rsidR="0072388E" w:rsidRPr="0032041A">
        <w:rPr>
          <w:szCs w:val="28"/>
        </w:rPr>
        <w:t xml:space="preserve"> principiem, un investīcijas tiks veiktas atbilstoši tirgus praksei (uz komerciāliem nosacījumiem) ar mērķi gūt peļņu. </w:t>
      </w:r>
    </w:p>
    <w:p w:rsidR="00971213" w:rsidRPr="0032041A" w:rsidRDefault="0072388E" w:rsidP="001222DF">
      <w:pPr>
        <w:ind w:firstLine="720"/>
        <w:jc w:val="both"/>
        <w:rPr>
          <w:szCs w:val="28"/>
        </w:rPr>
      </w:pPr>
      <w:r w:rsidRPr="0032041A">
        <w:rPr>
          <w:szCs w:val="28"/>
        </w:rPr>
        <w:t>Šobrīd Baltijas valstīs jau tiek ieviesti finanšu instrumenti riska kapitāla veidā, līdz ar to, lai nodrošinātu, ka BIF ietvaros veiktās investīcijas nepārklājas ar jau šobrīd tirgū esošajiem</w:t>
      </w:r>
      <w:r w:rsidR="00E10DC0" w:rsidRPr="0032041A">
        <w:rPr>
          <w:szCs w:val="28"/>
        </w:rPr>
        <w:t xml:space="preserve"> riska kapitāla</w:t>
      </w:r>
      <w:r w:rsidRPr="0032041A">
        <w:rPr>
          <w:szCs w:val="28"/>
        </w:rPr>
        <w:t xml:space="preserve"> finanšu instrumentiem, BIF investīcijas tiks vērstas uz uzņēmumiem, kas vēlas attīstīt uzņēmuma darbību</w:t>
      </w:r>
      <w:r w:rsidR="00B909A3" w:rsidRPr="0032041A">
        <w:rPr>
          <w:szCs w:val="28"/>
        </w:rPr>
        <w:t xml:space="preserve"> Baltijas un starptautiskā līmenī, tam piesaistot riska kapitāla investīcijas </w:t>
      </w:r>
      <w:r w:rsidR="0012556C" w:rsidRPr="0032041A">
        <w:rPr>
          <w:szCs w:val="28"/>
        </w:rPr>
        <w:t xml:space="preserve">vienam uzņēmumam </w:t>
      </w:r>
      <w:r w:rsidR="00B909A3" w:rsidRPr="0032041A">
        <w:rPr>
          <w:szCs w:val="28"/>
        </w:rPr>
        <w:t>līdz pat 15</w:t>
      </w:r>
      <w:r w:rsidR="001B0DFB" w:rsidRPr="0032041A">
        <w:rPr>
          <w:szCs w:val="28"/>
        </w:rPr>
        <w:t xml:space="preserve"> </w:t>
      </w:r>
      <w:proofErr w:type="spellStart"/>
      <w:r w:rsidR="00B909A3" w:rsidRPr="0032041A">
        <w:rPr>
          <w:szCs w:val="28"/>
        </w:rPr>
        <w:t>milj</w:t>
      </w:r>
      <w:proofErr w:type="spellEnd"/>
      <w:r w:rsidR="00B909A3" w:rsidRPr="0032041A">
        <w:rPr>
          <w:szCs w:val="28"/>
        </w:rPr>
        <w:t>. EUR apmērā</w:t>
      </w:r>
      <w:r w:rsidRPr="0032041A">
        <w:rPr>
          <w:szCs w:val="28"/>
        </w:rPr>
        <w:t>.</w:t>
      </w:r>
      <w:r w:rsidR="00E10DC0" w:rsidRPr="0032041A">
        <w:rPr>
          <w:szCs w:val="28"/>
        </w:rPr>
        <w:t xml:space="preserve"> Šobrīd Latvijas tirgū darbojas </w:t>
      </w:r>
      <w:r w:rsidR="00E10DC0" w:rsidRPr="0032041A">
        <w:rPr>
          <w:szCs w:val="28"/>
        </w:rPr>
        <w:lastRenderedPageBreak/>
        <w:t>agrīnās stadijas investor</w:t>
      </w:r>
      <w:r w:rsidR="00D26121" w:rsidRPr="0032041A">
        <w:rPr>
          <w:szCs w:val="28"/>
        </w:rPr>
        <w:t>s</w:t>
      </w:r>
      <w:r w:rsidR="00E10DC0" w:rsidRPr="0032041A">
        <w:rPr>
          <w:szCs w:val="28"/>
        </w:rPr>
        <w:t>, kas investē sēklas un uzsākšanas stadijās, kā ar</w:t>
      </w:r>
      <w:r w:rsidR="00D26121" w:rsidRPr="0032041A">
        <w:rPr>
          <w:szCs w:val="28"/>
        </w:rPr>
        <w:t xml:space="preserve">ī </w:t>
      </w:r>
      <w:r w:rsidR="00E10DC0" w:rsidRPr="0032041A">
        <w:rPr>
          <w:szCs w:val="28"/>
        </w:rPr>
        <w:t>riska kapitāla fonds, kas investē uzņē</w:t>
      </w:r>
      <w:r w:rsidR="00D26121" w:rsidRPr="0032041A">
        <w:rPr>
          <w:szCs w:val="28"/>
        </w:rPr>
        <w:t>muma izaugsmes stadijā</w:t>
      </w:r>
      <w:r w:rsidR="00B909A3" w:rsidRPr="0032041A">
        <w:rPr>
          <w:szCs w:val="28"/>
        </w:rPr>
        <w:t xml:space="preserve"> līdz 1,5 </w:t>
      </w:r>
      <w:proofErr w:type="spellStart"/>
      <w:r w:rsidR="00B909A3" w:rsidRPr="0032041A">
        <w:rPr>
          <w:szCs w:val="28"/>
        </w:rPr>
        <w:t>milj</w:t>
      </w:r>
      <w:proofErr w:type="spellEnd"/>
      <w:r w:rsidR="00B909A3" w:rsidRPr="0032041A">
        <w:rPr>
          <w:szCs w:val="28"/>
        </w:rPr>
        <w:t xml:space="preserve"> EUR gadā</w:t>
      </w:r>
      <w:r w:rsidR="00D26121" w:rsidRPr="0032041A">
        <w:rPr>
          <w:szCs w:val="28"/>
        </w:rPr>
        <w:t>, taču nepieciešams</w:t>
      </w:r>
      <w:r w:rsidR="00E10DC0" w:rsidRPr="0032041A">
        <w:rPr>
          <w:szCs w:val="28"/>
        </w:rPr>
        <w:t xml:space="preserve"> attīst</w:t>
      </w:r>
      <w:r w:rsidR="00D26121" w:rsidRPr="0032041A">
        <w:rPr>
          <w:szCs w:val="28"/>
        </w:rPr>
        <w:t>īt</w:t>
      </w:r>
      <w:r w:rsidR="00E10DC0" w:rsidRPr="0032041A">
        <w:rPr>
          <w:szCs w:val="28"/>
        </w:rPr>
        <w:t xml:space="preserve"> </w:t>
      </w:r>
      <w:r w:rsidR="00B909A3" w:rsidRPr="0032041A">
        <w:rPr>
          <w:szCs w:val="28"/>
        </w:rPr>
        <w:t xml:space="preserve">arī lielāka mēroga </w:t>
      </w:r>
      <w:r w:rsidR="00E10DC0" w:rsidRPr="0032041A">
        <w:rPr>
          <w:szCs w:val="28"/>
        </w:rPr>
        <w:t>riska kapitāla</w:t>
      </w:r>
      <w:r w:rsidR="00B909A3" w:rsidRPr="0032041A">
        <w:rPr>
          <w:szCs w:val="28"/>
        </w:rPr>
        <w:t xml:space="preserve"> investīciju</w:t>
      </w:r>
      <w:r w:rsidR="00E10DC0" w:rsidRPr="0032041A">
        <w:rPr>
          <w:szCs w:val="28"/>
        </w:rPr>
        <w:t xml:space="preserve"> tirgu, un nodrošināt </w:t>
      </w:r>
      <w:r w:rsidR="00D26121" w:rsidRPr="0032041A">
        <w:rPr>
          <w:szCs w:val="28"/>
        </w:rPr>
        <w:t xml:space="preserve">uzņēmumiem </w:t>
      </w:r>
      <w:r w:rsidR="00E10DC0" w:rsidRPr="0032041A">
        <w:rPr>
          <w:szCs w:val="28"/>
        </w:rPr>
        <w:t>plašāku pieejamību nepieciešamajam finansējumam</w:t>
      </w:r>
      <w:r w:rsidR="00B909A3" w:rsidRPr="0032041A">
        <w:rPr>
          <w:szCs w:val="28"/>
        </w:rPr>
        <w:t xml:space="preserve"> Baltijas līmenī</w:t>
      </w:r>
      <w:r w:rsidR="00E10DC0" w:rsidRPr="0032041A">
        <w:rPr>
          <w:szCs w:val="28"/>
        </w:rPr>
        <w:t>.</w:t>
      </w:r>
      <w:r w:rsidRPr="0032041A">
        <w:rPr>
          <w:szCs w:val="28"/>
        </w:rPr>
        <w:t xml:space="preserve"> Līdz ar to BIF kopā ar riska kapitāla fondiem, kas izveidoti Eiropas Savienības (ES) struktūrfondu līdzfinansēto aktivitāšu ietvaros, spēs nodrošināt plaša spektra finansējuma pieejamību uzņēmumiem dažādās izaugsmes stadijās – kā agrīnās stadijas vai uzsākšanas kapitāla veidā, tā arī uzņēmumu attīstības veicināšanai</w:t>
      </w:r>
      <w:r w:rsidR="00B909A3" w:rsidRPr="0032041A">
        <w:rPr>
          <w:szCs w:val="28"/>
        </w:rPr>
        <w:t xml:space="preserve"> līdz pat starptautiskai ekspansijai</w:t>
      </w:r>
      <w:r w:rsidRPr="0032041A">
        <w:rPr>
          <w:szCs w:val="28"/>
        </w:rPr>
        <w:t>.</w:t>
      </w:r>
    </w:p>
    <w:p w:rsidR="000279E7" w:rsidRPr="0032041A" w:rsidRDefault="0072388E" w:rsidP="001222DF">
      <w:pPr>
        <w:ind w:firstLine="720"/>
        <w:jc w:val="both"/>
        <w:rPr>
          <w:szCs w:val="28"/>
        </w:rPr>
      </w:pPr>
      <w:r w:rsidRPr="0032041A">
        <w:rPr>
          <w:szCs w:val="28"/>
        </w:rPr>
        <w:t xml:space="preserve">EIF darbosies gan kā BIF </w:t>
      </w:r>
      <w:r w:rsidR="000C1A47" w:rsidRPr="0032041A">
        <w:rPr>
          <w:szCs w:val="28"/>
        </w:rPr>
        <w:t>pārval</w:t>
      </w:r>
      <w:r w:rsidRPr="0032041A">
        <w:rPr>
          <w:szCs w:val="28"/>
        </w:rPr>
        <w:t xml:space="preserve">dītājs, gan investors. EIF kā starptautiski atzīta institūcija spēj nodrošināt profesionālu fondu vadības kompāniju atlasi un to uzraudzību, kā arī nodrošināt BIF vadību, nepieciešamos juridiskos </w:t>
      </w:r>
      <w:proofErr w:type="spellStart"/>
      <w:r w:rsidRPr="0032041A">
        <w:rPr>
          <w:szCs w:val="28"/>
        </w:rPr>
        <w:t>u.c</w:t>
      </w:r>
      <w:proofErr w:type="spellEnd"/>
      <w:r w:rsidRPr="0032041A">
        <w:rPr>
          <w:szCs w:val="28"/>
        </w:rPr>
        <w:t xml:space="preserve">. pakalpojumus fonda veiksmīgai darbībai. EIF Baltijas reģionā ir veicis investīcijas vairāk nekā 200 </w:t>
      </w:r>
      <w:proofErr w:type="spellStart"/>
      <w:r w:rsidRPr="0032041A">
        <w:rPr>
          <w:szCs w:val="28"/>
        </w:rPr>
        <w:t>milj</w:t>
      </w:r>
      <w:proofErr w:type="spellEnd"/>
      <w:r w:rsidRPr="0032041A">
        <w:rPr>
          <w:szCs w:val="28"/>
        </w:rPr>
        <w:t xml:space="preserve">. EUR apmērā, piesaistot gan ES struktūrfondu līdzekļus, gan izmantojot savus resursus. </w:t>
      </w:r>
    </w:p>
    <w:p w:rsidR="000279E7" w:rsidRPr="0032041A" w:rsidRDefault="00B909A3" w:rsidP="001222DF">
      <w:pPr>
        <w:spacing w:after="120"/>
        <w:ind w:firstLine="720"/>
        <w:jc w:val="both"/>
      </w:pPr>
      <w:r w:rsidRPr="0032041A">
        <w:t xml:space="preserve">Pārrunas par BIF līgumu jau ir praktiski noslēgušās un </w:t>
      </w:r>
      <w:r w:rsidR="000279E7" w:rsidRPr="0032041A">
        <w:t>2012.gada 26.septembrī Viļņā plānota līguma parakstīšana starp EIF, Latviju</w:t>
      </w:r>
      <w:r w:rsidR="004E5AA7" w:rsidRPr="0032041A">
        <w:t>, Igauniju</w:t>
      </w:r>
      <w:r w:rsidR="000279E7" w:rsidRPr="0032041A">
        <w:t xml:space="preserve"> un Lietuvu. Plānots, ka BIF uzsāk </w:t>
      </w:r>
      <w:r w:rsidR="004E5AA7" w:rsidRPr="0032041A">
        <w:t xml:space="preserve">aktīvu </w:t>
      </w:r>
      <w:r w:rsidR="000279E7" w:rsidRPr="0032041A">
        <w:t>darbību 2013.gada janvārī.</w:t>
      </w:r>
    </w:p>
    <w:p w:rsidR="0072388E" w:rsidRPr="0032041A" w:rsidRDefault="0072388E" w:rsidP="001222DF">
      <w:pPr>
        <w:autoSpaceDE w:val="0"/>
        <w:autoSpaceDN w:val="0"/>
        <w:adjustRightInd w:val="0"/>
        <w:jc w:val="both"/>
        <w:rPr>
          <w:szCs w:val="28"/>
        </w:rPr>
      </w:pPr>
      <w:r w:rsidRPr="0032041A">
        <w:rPr>
          <w:szCs w:val="28"/>
        </w:rPr>
        <w:t>Investīcijas BIF veicinās:</w:t>
      </w:r>
    </w:p>
    <w:p w:rsidR="0072388E" w:rsidRPr="0032041A" w:rsidRDefault="0072388E" w:rsidP="001222DF">
      <w:pPr>
        <w:pStyle w:val="ListParagraph"/>
        <w:numPr>
          <w:ilvl w:val="0"/>
          <w:numId w:val="2"/>
        </w:numPr>
        <w:autoSpaceDE w:val="0"/>
        <w:autoSpaceDN w:val="0"/>
        <w:adjustRightInd w:val="0"/>
        <w:jc w:val="both"/>
        <w:rPr>
          <w:szCs w:val="28"/>
        </w:rPr>
      </w:pPr>
      <w:r w:rsidRPr="0032041A">
        <w:rPr>
          <w:szCs w:val="28"/>
        </w:rPr>
        <w:t xml:space="preserve">finansējuma pieejamību Baltijas valstu </w:t>
      </w:r>
      <w:proofErr w:type="spellStart"/>
      <w:r w:rsidRPr="0032041A">
        <w:rPr>
          <w:szCs w:val="28"/>
        </w:rPr>
        <w:t>mikro</w:t>
      </w:r>
      <w:proofErr w:type="spellEnd"/>
      <w:r w:rsidRPr="0032041A">
        <w:rPr>
          <w:szCs w:val="28"/>
        </w:rPr>
        <w:t xml:space="preserve">, maziem un vidējiem uzņēmumiem, palielinot ne-banku alternatīvā kapitāla instrumentu klāstu.  </w:t>
      </w:r>
    </w:p>
    <w:p w:rsidR="0072388E" w:rsidRPr="0032041A" w:rsidRDefault="0072388E" w:rsidP="001222DF">
      <w:pPr>
        <w:pStyle w:val="ListParagraph"/>
        <w:numPr>
          <w:ilvl w:val="0"/>
          <w:numId w:val="3"/>
        </w:numPr>
        <w:autoSpaceDE w:val="0"/>
        <w:autoSpaceDN w:val="0"/>
        <w:adjustRightInd w:val="0"/>
        <w:jc w:val="both"/>
        <w:rPr>
          <w:szCs w:val="28"/>
        </w:rPr>
      </w:pPr>
      <w:r w:rsidRPr="0032041A">
        <w:rPr>
          <w:szCs w:val="28"/>
        </w:rPr>
        <w:t>Latvijas vēlīnas stadijas investīciju tirgus attīstību (nodrošinot kapitāla tirgus segmenta attīstību, ļaujot investēt uzņēmumos 3-1</w:t>
      </w:r>
      <w:r w:rsidR="004E5AA7" w:rsidRPr="0032041A">
        <w:rPr>
          <w:szCs w:val="28"/>
        </w:rPr>
        <w:t>5</w:t>
      </w:r>
      <w:r w:rsidRPr="0032041A">
        <w:rPr>
          <w:szCs w:val="28"/>
        </w:rPr>
        <w:t xml:space="preserve"> </w:t>
      </w:r>
      <w:proofErr w:type="spellStart"/>
      <w:r w:rsidRPr="0032041A">
        <w:rPr>
          <w:szCs w:val="28"/>
        </w:rPr>
        <w:t>milj</w:t>
      </w:r>
      <w:proofErr w:type="spellEnd"/>
      <w:r w:rsidRPr="0032041A">
        <w:rPr>
          <w:szCs w:val="28"/>
        </w:rPr>
        <w:t>. EUR apjomā, kas nav pieejams uzņēmumiem, izmantojot jau ieviestos un plānotos valsts atbalsta riska kapitāla instrumentus), veicinot uzņēmumu turpmāko izaugsmi, kā arī palielinot ieguvumus no veiktajām agrīnās stadijas investīcijām, radot jaunas darbavietas ar pievienoto vērtību un veicinot uz zināšanām balstītas ekonomikas izveidi Baltijas valstīs.</w:t>
      </w:r>
    </w:p>
    <w:p w:rsidR="0072388E" w:rsidRPr="0032041A" w:rsidRDefault="0072388E" w:rsidP="001222DF">
      <w:pPr>
        <w:pStyle w:val="ListParagraph"/>
        <w:numPr>
          <w:ilvl w:val="0"/>
          <w:numId w:val="2"/>
        </w:numPr>
        <w:autoSpaceDE w:val="0"/>
        <w:autoSpaceDN w:val="0"/>
        <w:adjustRightInd w:val="0"/>
        <w:jc w:val="both"/>
        <w:rPr>
          <w:szCs w:val="28"/>
        </w:rPr>
      </w:pPr>
      <w:r w:rsidRPr="0032041A">
        <w:rPr>
          <w:szCs w:val="28"/>
        </w:rPr>
        <w:t>jaunu riska kapitāla fondu un vadības komandu veidošanās, nozares attīstību un riska kapitāla infrastruktūras veidošanos.</w:t>
      </w:r>
    </w:p>
    <w:p w:rsidR="0072388E" w:rsidRPr="0032041A" w:rsidRDefault="0072388E" w:rsidP="001222DF">
      <w:pPr>
        <w:pStyle w:val="ListParagraph"/>
        <w:numPr>
          <w:ilvl w:val="0"/>
          <w:numId w:val="2"/>
        </w:numPr>
        <w:autoSpaceDE w:val="0"/>
        <w:autoSpaceDN w:val="0"/>
        <w:adjustRightInd w:val="0"/>
        <w:jc w:val="both"/>
        <w:rPr>
          <w:szCs w:val="28"/>
        </w:rPr>
      </w:pPr>
      <w:r w:rsidRPr="0032041A">
        <w:rPr>
          <w:szCs w:val="28"/>
        </w:rPr>
        <w:t>pensiju fondu iespējas ieguldīt Baltijas valstu aktīvos</w:t>
      </w:r>
      <w:r w:rsidR="004E5AA7" w:rsidRPr="0032041A">
        <w:rPr>
          <w:szCs w:val="28"/>
        </w:rPr>
        <w:t>, kas līdz šim bijušas visai ierobežotas piemērotu aktīvu trūkum</w:t>
      </w:r>
      <w:r w:rsidR="0012556C" w:rsidRPr="0032041A">
        <w:rPr>
          <w:szCs w:val="28"/>
        </w:rPr>
        <w:t>a dēļ</w:t>
      </w:r>
      <w:r w:rsidRPr="0032041A">
        <w:rPr>
          <w:szCs w:val="28"/>
        </w:rPr>
        <w:t xml:space="preserve">. </w:t>
      </w:r>
    </w:p>
    <w:p w:rsidR="00B135B4" w:rsidRPr="0032041A" w:rsidRDefault="0072388E" w:rsidP="001222DF">
      <w:pPr>
        <w:pStyle w:val="ListParagraph"/>
        <w:numPr>
          <w:ilvl w:val="0"/>
          <w:numId w:val="2"/>
        </w:numPr>
        <w:autoSpaceDE w:val="0"/>
        <w:autoSpaceDN w:val="0"/>
        <w:adjustRightInd w:val="0"/>
        <w:jc w:val="both"/>
      </w:pPr>
      <w:r w:rsidRPr="0032041A">
        <w:t>ievērojama investīcija apjoma nodrošināšanu Baltijas reģionam, kas citkārt tiktu investēts attīstītākos reģionos.</w:t>
      </w:r>
    </w:p>
    <w:p w:rsidR="001D6154" w:rsidRPr="0032041A" w:rsidRDefault="0072388E" w:rsidP="001D6154">
      <w:pPr>
        <w:pStyle w:val="ListParagraph"/>
        <w:numPr>
          <w:ilvl w:val="0"/>
          <w:numId w:val="2"/>
        </w:numPr>
        <w:autoSpaceDE w:val="0"/>
        <w:autoSpaceDN w:val="0"/>
        <w:adjustRightInd w:val="0"/>
        <w:jc w:val="both"/>
        <w:rPr>
          <w:szCs w:val="28"/>
        </w:rPr>
      </w:pPr>
      <w:r w:rsidRPr="0032041A">
        <w:rPr>
          <w:szCs w:val="28"/>
        </w:rPr>
        <w:t>Baltijas valstu tirgus pievilcību starp reģionālajiem un starptautiskajiem investoriem un fondu vadības komandām, ņemot vērā BIF ievērojamo apjomu un investīciju dažādības iespējas.</w:t>
      </w:r>
    </w:p>
    <w:p w:rsidR="0072388E" w:rsidRPr="0032041A" w:rsidRDefault="000279E7" w:rsidP="001D6154">
      <w:pPr>
        <w:spacing w:before="120"/>
        <w:jc w:val="both"/>
        <w:rPr>
          <w:b/>
        </w:rPr>
      </w:pPr>
      <w:r w:rsidRPr="0032041A">
        <w:rPr>
          <w:b/>
        </w:rPr>
        <w:t>F</w:t>
      </w:r>
      <w:r w:rsidR="0072388E" w:rsidRPr="0032041A">
        <w:rPr>
          <w:b/>
        </w:rPr>
        <w:t>inansējuma avoti investīcijām BIF</w:t>
      </w:r>
    </w:p>
    <w:p w:rsidR="0072388E" w:rsidRPr="0032041A" w:rsidRDefault="0072388E" w:rsidP="001222DF">
      <w:pPr>
        <w:ind w:firstLine="720"/>
        <w:jc w:val="both"/>
        <w:rPr>
          <w:szCs w:val="28"/>
        </w:rPr>
      </w:pPr>
      <w:r w:rsidRPr="0032041A">
        <w:rPr>
          <w:szCs w:val="28"/>
        </w:rPr>
        <w:t xml:space="preserve">Latvija nepieciešamo līdzfinansējumu BIF izveidei (20 </w:t>
      </w:r>
      <w:proofErr w:type="spellStart"/>
      <w:r w:rsidRPr="0032041A">
        <w:rPr>
          <w:szCs w:val="28"/>
        </w:rPr>
        <w:t>milj</w:t>
      </w:r>
      <w:proofErr w:type="spellEnd"/>
      <w:r w:rsidRPr="0032041A">
        <w:rPr>
          <w:szCs w:val="28"/>
        </w:rPr>
        <w:t xml:space="preserve">. EUR) nodrošinās no SIA „Latvijas Garantiju aģentūra” (turpmāk – LGA) pieejamajiem resursiem. LGA plāno finansēt ieguldījumus BIF no līdzekļiem, kas tiek atmaksāti no mazos un vidējos uzņēmumos veiktajiem ieguldījumiem LGA pārvaldītās ES struktūrfondu līdzfinansētās 2.2.1.1.aktivitātes </w:t>
      </w:r>
      <w:r w:rsidRPr="0032041A">
        <w:rPr>
          <w:szCs w:val="28"/>
        </w:rPr>
        <w:lastRenderedPageBreak/>
        <w:t>„Ieguldījumu fonds investīcijām garantijās, paaugstināta riska aizdevumos, riska kapitāla fondos un cita veida finanšu instrumentos”  (turpmāk – 2.2.1.1.aktivitāte) ietvaros (</w:t>
      </w:r>
      <w:proofErr w:type="spellStart"/>
      <w:r w:rsidRPr="0032041A">
        <w:rPr>
          <w:szCs w:val="28"/>
        </w:rPr>
        <w:t>skat</w:t>
      </w:r>
      <w:proofErr w:type="spellEnd"/>
      <w:r w:rsidRPr="0032041A">
        <w:rPr>
          <w:szCs w:val="28"/>
        </w:rPr>
        <w:t xml:space="preserve">. Pielikumu Nr.1). LGA izstrādātā prognoze balstīta uz jau 2.2.1.1.aktivitātes ietvaros noslēgtajiem līgumiem ar finanšu starpniekinstitūcijām (SEB banka, </w:t>
      </w:r>
      <w:proofErr w:type="spellStart"/>
      <w:r w:rsidRPr="0032041A">
        <w:rPr>
          <w:szCs w:val="28"/>
        </w:rPr>
        <w:t>Swedbank</w:t>
      </w:r>
      <w:proofErr w:type="spellEnd"/>
      <w:r w:rsidRPr="0032041A">
        <w:rPr>
          <w:szCs w:val="28"/>
        </w:rPr>
        <w:t xml:space="preserve">, </w:t>
      </w:r>
      <w:proofErr w:type="spellStart"/>
      <w:r w:rsidRPr="0032041A">
        <w:rPr>
          <w:szCs w:val="28"/>
        </w:rPr>
        <w:t>BaltCap</w:t>
      </w:r>
      <w:proofErr w:type="spellEnd"/>
      <w:r w:rsidRPr="0032041A">
        <w:rPr>
          <w:szCs w:val="28"/>
        </w:rPr>
        <w:t xml:space="preserve"> un </w:t>
      </w:r>
      <w:proofErr w:type="spellStart"/>
      <w:r w:rsidRPr="0032041A">
        <w:rPr>
          <w:szCs w:val="28"/>
        </w:rPr>
        <w:t>Imprimatur</w:t>
      </w:r>
      <w:proofErr w:type="spellEnd"/>
      <w:r w:rsidRPr="0032041A">
        <w:rPr>
          <w:szCs w:val="28"/>
        </w:rPr>
        <w:t>) un tiem līgumiem, kurus plānots noslēgt jau izsludinātās atlases rezultātā, proti, ar jaunajiem riska kapitāla fondiem (publiskā iepirkuma konkurss izsludināts 2012.gada 2.augustā).</w:t>
      </w:r>
    </w:p>
    <w:p w:rsidR="0072388E" w:rsidRPr="0032041A" w:rsidRDefault="0072388E" w:rsidP="001222DF">
      <w:pPr>
        <w:ind w:firstLine="720"/>
        <w:jc w:val="both"/>
        <w:rPr>
          <w:szCs w:val="28"/>
        </w:rPr>
      </w:pPr>
      <w:r w:rsidRPr="0032041A">
        <w:rPr>
          <w:szCs w:val="28"/>
        </w:rPr>
        <w:t xml:space="preserve">Ņemot vērā pašreizējās diskusijas ar Eiropas Komisiju (EK 2012.gada 26.jūnija starpposma revīzijas ziņojuma projekts Nr.Ref.Ares(2012)766717) par izdevumu </w:t>
      </w:r>
      <w:proofErr w:type="spellStart"/>
      <w:r w:rsidRPr="0032041A">
        <w:rPr>
          <w:szCs w:val="28"/>
        </w:rPr>
        <w:t>attiecināmības</w:t>
      </w:r>
      <w:proofErr w:type="spellEnd"/>
      <w:r w:rsidRPr="0032041A">
        <w:rPr>
          <w:szCs w:val="28"/>
        </w:rPr>
        <w:t xml:space="preserve"> jautājumiem LGA īstenotajā 2.2.1.3.aktivitātē „Garantijas komersantu konkurētspējas uzlabošanai”</w:t>
      </w:r>
      <w:r w:rsidR="00C1537A" w:rsidRPr="0032041A">
        <w:rPr>
          <w:szCs w:val="28"/>
        </w:rPr>
        <w:t xml:space="preserve"> (turpmāk – 2.2.1.3.aktivitāte)</w:t>
      </w:r>
      <w:r w:rsidRPr="0032041A">
        <w:rPr>
          <w:szCs w:val="28"/>
        </w:rPr>
        <w:t xml:space="preserve"> un VAS „Latvijas Hipotēku un zemes banka” (turpmāk – </w:t>
      </w:r>
      <w:r w:rsidR="00103791" w:rsidRPr="0032041A">
        <w:rPr>
          <w:szCs w:val="28"/>
        </w:rPr>
        <w:t>Hipotēku banka</w:t>
      </w:r>
      <w:r w:rsidRPr="0032041A">
        <w:rPr>
          <w:szCs w:val="28"/>
        </w:rPr>
        <w:t>) īstenotajā 2.2.1.4.1.</w:t>
      </w:r>
      <w:r w:rsidR="00C1537A" w:rsidRPr="0032041A">
        <w:rPr>
          <w:szCs w:val="28"/>
        </w:rPr>
        <w:t>apakš</w:t>
      </w:r>
      <w:r w:rsidRPr="0032041A">
        <w:rPr>
          <w:szCs w:val="28"/>
        </w:rPr>
        <w:t>aktivitātē „Atbalsts aizdevuma veidā komersantu konkurētspējas uzlabošanai”</w:t>
      </w:r>
      <w:r w:rsidR="00C1537A" w:rsidRPr="0032041A">
        <w:rPr>
          <w:szCs w:val="28"/>
        </w:rPr>
        <w:t xml:space="preserve"> (turpmāk – 2.2.1.4.1.apakšaktivitāte)</w:t>
      </w:r>
      <w:r w:rsidRPr="0032041A">
        <w:rPr>
          <w:szCs w:val="28"/>
        </w:rPr>
        <w:t xml:space="preserve">, plānotajā BIF investīciju </w:t>
      </w:r>
      <w:r w:rsidR="00C24DBA" w:rsidRPr="0032041A">
        <w:rPr>
          <w:szCs w:val="28"/>
        </w:rPr>
        <w:t>pamat</w:t>
      </w:r>
      <w:r w:rsidR="00AA770C" w:rsidRPr="0032041A">
        <w:rPr>
          <w:szCs w:val="28"/>
        </w:rPr>
        <w:t xml:space="preserve">a </w:t>
      </w:r>
      <w:r w:rsidRPr="0032041A">
        <w:rPr>
          <w:szCs w:val="28"/>
        </w:rPr>
        <w:t>prognozē netiek iekļauti līdzekļu apjomi, kas tiks atmaksāti no augstākminētajām ES struktūrfondu līdzfinansētajām aktivitātēm</w:t>
      </w:r>
      <w:r w:rsidR="004B72DE" w:rsidRPr="0032041A">
        <w:rPr>
          <w:szCs w:val="28"/>
        </w:rPr>
        <w:t>. Ja finanšu instrumentu ieviešana 2.2.1.1.aktivitātē nenorisināsies atbilstoši pamat</w:t>
      </w:r>
      <w:r w:rsidR="00173179" w:rsidRPr="0032041A">
        <w:rPr>
          <w:szCs w:val="28"/>
        </w:rPr>
        <w:t xml:space="preserve">a </w:t>
      </w:r>
      <w:r w:rsidR="004B72DE" w:rsidRPr="0032041A">
        <w:rPr>
          <w:szCs w:val="28"/>
        </w:rPr>
        <w:t xml:space="preserve">prognozei, pastāv iespēja </w:t>
      </w:r>
      <w:r w:rsidR="00C1537A" w:rsidRPr="0032041A">
        <w:rPr>
          <w:szCs w:val="28"/>
        </w:rPr>
        <w:t xml:space="preserve">BIF izveidei izmantot 2.2.1.3.aktivitātes ietvaros </w:t>
      </w:r>
      <w:r w:rsidR="004B72DE" w:rsidRPr="0032041A">
        <w:rPr>
          <w:szCs w:val="28"/>
        </w:rPr>
        <w:t>atmaksātos līdzekļus</w:t>
      </w:r>
      <w:r w:rsidR="00C24DBA" w:rsidRPr="0032041A">
        <w:rPr>
          <w:szCs w:val="28"/>
        </w:rPr>
        <w:t>,</w:t>
      </w:r>
      <w:r w:rsidR="004B72DE" w:rsidRPr="0032041A">
        <w:rPr>
          <w:szCs w:val="28"/>
        </w:rPr>
        <w:t xml:space="preserve"> </w:t>
      </w:r>
      <w:r w:rsidR="00C24DBA" w:rsidRPr="0032041A">
        <w:rPr>
          <w:szCs w:val="28"/>
        </w:rPr>
        <w:t xml:space="preserve">ja tie būs </w:t>
      </w:r>
      <w:r w:rsidR="004B72DE" w:rsidRPr="0032041A">
        <w:rPr>
          <w:szCs w:val="28"/>
        </w:rPr>
        <w:t xml:space="preserve">nodeklarēti un </w:t>
      </w:r>
      <w:r w:rsidR="00C24DBA" w:rsidRPr="0032041A">
        <w:rPr>
          <w:szCs w:val="28"/>
        </w:rPr>
        <w:t>pieejami attiecīgajā brīdī</w:t>
      </w:r>
      <w:r w:rsidRPr="0032041A">
        <w:rPr>
          <w:szCs w:val="28"/>
        </w:rPr>
        <w:t xml:space="preserve">. </w:t>
      </w:r>
    </w:p>
    <w:p w:rsidR="0072388E" w:rsidRPr="0032041A" w:rsidRDefault="0072388E" w:rsidP="001222DF">
      <w:pPr>
        <w:ind w:firstLine="720"/>
        <w:jc w:val="both"/>
        <w:rPr>
          <w:szCs w:val="28"/>
        </w:rPr>
      </w:pPr>
      <w:r w:rsidRPr="0032041A">
        <w:rPr>
          <w:szCs w:val="28"/>
        </w:rPr>
        <w:t xml:space="preserve">Atbilstoši pielikumā pievienotajai finanšu prognozei līdz 2028.gadam BIF ir plānots novirzīt līdzekļus 20 </w:t>
      </w:r>
      <w:proofErr w:type="spellStart"/>
      <w:r w:rsidRPr="0032041A">
        <w:rPr>
          <w:szCs w:val="28"/>
        </w:rPr>
        <w:t>milj</w:t>
      </w:r>
      <w:proofErr w:type="spellEnd"/>
      <w:r w:rsidRPr="0032041A">
        <w:rPr>
          <w:szCs w:val="28"/>
        </w:rPr>
        <w:t>. EUR apjomā, paredzot, ka atbilstoši EIF izstrādātajam grafikam lielākais investīciju apjoms gadā būs laika posmā no 2014.gada līdz 2020.gadam (</w:t>
      </w:r>
      <w:proofErr w:type="spellStart"/>
      <w:r w:rsidRPr="0032041A">
        <w:rPr>
          <w:szCs w:val="28"/>
        </w:rPr>
        <w:t>skat</w:t>
      </w:r>
      <w:proofErr w:type="spellEnd"/>
      <w:r w:rsidRPr="0032041A">
        <w:rPr>
          <w:szCs w:val="28"/>
        </w:rPr>
        <w:t>. Pielikumu Nr.2).</w:t>
      </w:r>
    </w:p>
    <w:p w:rsidR="0072388E" w:rsidRPr="0032041A" w:rsidRDefault="0072388E" w:rsidP="001222DF">
      <w:pPr>
        <w:ind w:firstLine="360"/>
        <w:jc w:val="both"/>
        <w:rPr>
          <w:szCs w:val="28"/>
        </w:rPr>
      </w:pPr>
      <w:r w:rsidRPr="0032041A">
        <w:rPr>
          <w:szCs w:val="28"/>
        </w:rPr>
        <w:t xml:space="preserve">Vēršam uzmanību, ka investīciju </w:t>
      </w:r>
      <w:r w:rsidR="00AA770C" w:rsidRPr="0032041A">
        <w:rPr>
          <w:szCs w:val="28"/>
        </w:rPr>
        <w:t xml:space="preserve">pamata </w:t>
      </w:r>
      <w:r w:rsidRPr="0032041A">
        <w:rPr>
          <w:szCs w:val="28"/>
        </w:rPr>
        <w:t>prognoze ir balstīta uz šādiem pieņēmumiem un apsvērumiem 2.2.1.1.aktivitātē ieviesto un plānoto finanšu instrumentu ietvaros:</w:t>
      </w:r>
    </w:p>
    <w:p w:rsidR="0072388E" w:rsidRPr="0032041A" w:rsidRDefault="0072388E" w:rsidP="001222DF">
      <w:pPr>
        <w:numPr>
          <w:ilvl w:val="0"/>
          <w:numId w:val="4"/>
        </w:numPr>
        <w:jc w:val="both"/>
        <w:rPr>
          <w:szCs w:val="28"/>
        </w:rPr>
      </w:pPr>
      <w:r w:rsidRPr="0032041A">
        <w:rPr>
          <w:szCs w:val="28"/>
        </w:rPr>
        <w:t xml:space="preserve">Atmaksās no SEB banka un </w:t>
      </w:r>
      <w:proofErr w:type="spellStart"/>
      <w:r w:rsidRPr="0032041A">
        <w:rPr>
          <w:szCs w:val="28"/>
        </w:rPr>
        <w:t>Swedbank</w:t>
      </w:r>
      <w:proofErr w:type="spellEnd"/>
      <w:r w:rsidRPr="0032041A">
        <w:rPr>
          <w:szCs w:val="28"/>
        </w:rPr>
        <w:t xml:space="preserve"> pārvaldītajiem aizdevumu fondiem</w:t>
      </w:r>
      <w:r w:rsidR="009A34D3" w:rsidRPr="0032041A">
        <w:rPr>
          <w:szCs w:val="28"/>
        </w:rPr>
        <w:t xml:space="preserve"> -</w:t>
      </w:r>
      <w:r w:rsidRPr="0032041A">
        <w:rPr>
          <w:szCs w:val="28"/>
        </w:rPr>
        <w:t xml:space="preserve"> prognozē iekļautas aizdevumu atmaksas, ņemot vērā ar uzņēmumiem noslēgto kredītlīgumu nosacījumus. 2012.gada 31.</w:t>
      </w:r>
      <w:r w:rsidR="00994EFB" w:rsidRPr="0032041A">
        <w:rPr>
          <w:szCs w:val="28"/>
        </w:rPr>
        <w:t>augustā</w:t>
      </w:r>
      <w:r w:rsidRPr="0032041A">
        <w:rPr>
          <w:szCs w:val="28"/>
        </w:rPr>
        <w:t xml:space="preserve"> aizdevumu fondu ietvaros bija noslēgt</w:t>
      </w:r>
      <w:r w:rsidR="00994EFB" w:rsidRPr="0032041A">
        <w:rPr>
          <w:szCs w:val="28"/>
        </w:rPr>
        <w:t>i</w:t>
      </w:r>
      <w:r w:rsidRPr="0032041A">
        <w:rPr>
          <w:szCs w:val="28"/>
        </w:rPr>
        <w:t xml:space="preserve"> 3</w:t>
      </w:r>
      <w:r w:rsidR="00994EFB" w:rsidRPr="0032041A">
        <w:rPr>
          <w:szCs w:val="28"/>
        </w:rPr>
        <w:t>2</w:t>
      </w:r>
      <w:r w:rsidRPr="0032041A">
        <w:rPr>
          <w:szCs w:val="28"/>
        </w:rPr>
        <w:t xml:space="preserve"> aizdevuma līgum</w:t>
      </w:r>
      <w:r w:rsidR="00994EFB" w:rsidRPr="0032041A">
        <w:rPr>
          <w:szCs w:val="28"/>
        </w:rPr>
        <w:t>i</w:t>
      </w:r>
      <w:r w:rsidRPr="0032041A">
        <w:rPr>
          <w:szCs w:val="28"/>
        </w:rPr>
        <w:t xml:space="preserve"> 10,7</w:t>
      </w:r>
      <w:r w:rsidR="00994EFB" w:rsidRPr="0032041A">
        <w:rPr>
          <w:szCs w:val="28"/>
        </w:rPr>
        <w:t>9</w:t>
      </w:r>
      <w:r w:rsidRPr="0032041A">
        <w:rPr>
          <w:szCs w:val="28"/>
        </w:rPr>
        <w:t xml:space="preserve"> </w:t>
      </w:r>
      <w:proofErr w:type="spellStart"/>
      <w:r w:rsidRPr="0032041A">
        <w:rPr>
          <w:szCs w:val="28"/>
        </w:rPr>
        <w:t>milj</w:t>
      </w:r>
      <w:proofErr w:type="spellEnd"/>
      <w:r w:rsidRPr="0032041A">
        <w:rPr>
          <w:szCs w:val="28"/>
        </w:rPr>
        <w:t>. LVL (15,</w:t>
      </w:r>
      <w:r w:rsidR="00994EFB" w:rsidRPr="0032041A">
        <w:rPr>
          <w:szCs w:val="28"/>
        </w:rPr>
        <w:t>3</w:t>
      </w:r>
      <w:r w:rsidRPr="0032041A">
        <w:rPr>
          <w:szCs w:val="28"/>
        </w:rPr>
        <w:t xml:space="preserve">5 </w:t>
      </w:r>
      <w:proofErr w:type="spellStart"/>
      <w:r w:rsidRPr="0032041A">
        <w:rPr>
          <w:szCs w:val="28"/>
        </w:rPr>
        <w:t>milj</w:t>
      </w:r>
      <w:proofErr w:type="spellEnd"/>
      <w:r w:rsidRPr="0032041A">
        <w:rPr>
          <w:szCs w:val="28"/>
        </w:rPr>
        <w:t>. EUR) apjomā;</w:t>
      </w:r>
    </w:p>
    <w:p w:rsidR="0072388E" w:rsidRPr="0032041A" w:rsidRDefault="0072388E" w:rsidP="001222DF">
      <w:pPr>
        <w:numPr>
          <w:ilvl w:val="0"/>
          <w:numId w:val="4"/>
        </w:numPr>
        <w:jc w:val="both"/>
        <w:rPr>
          <w:szCs w:val="28"/>
        </w:rPr>
      </w:pPr>
      <w:r w:rsidRPr="0032041A">
        <w:rPr>
          <w:szCs w:val="28"/>
        </w:rPr>
        <w:t>Riska kapitāla fondu (</w:t>
      </w:r>
      <w:proofErr w:type="spellStart"/>
      <w:r w:rsidRPr="0032041A">
        <w:rPr>
          <w:szCs w:val="28"/>
        </w:rPr>
        <w:t>BaltCap</w:t>
      </w:r>
      <w:proofErr w:type="spellEnd"/>
      <w:r w:rsidRPr="0032041A">
        <w:rPr>
          <w:szCs w:val="28"/>
        </w:rPr>
        <w:t xml:space="preserve"> un </w:t>
      </w:r>
      <w:proofErr w:type="spellStart"/>
      <w:r w:rsidRPr="0032041A">
        <w:rPr>
          <w:szCs w:val="28"/>
        </w:rPr>
        <w:t>Imprimatur</w:t>
      </w:r>
      <w:proofErr w:type="spellEnd"/>
      <w:r w:rsidRPr="0032041A">
        <w:rPr>
          <w:szCs w:val="28"/>
        </w:rPr>
        <w:t>) atmaksu aprēķināšanā tiek pieņemts, ka vidējais investīciju turēšanas periods ir pieci gadi, investoriem atgrieztā pamatsumma ir 50% apmērā no ieguldījuma (šāda pieeja atspoguļo neveiksmes scenāriju, kas ir viskonservatīvākā prognoze);</w:t>
      </w:r>
    </w:p>
    <w:p w:rsidR="0072388E" w:rsidRPr="0032041A" w:rsidRDefault="0072388E" w:rsidP="001222DF">
      <w:pPr>
        <w:numPr>
          <w:ilvl w:val="0"/>
          <w:numId w:val="4"/>
        </w:numPr>
        <w:jc w:val="both"/>
        <w:rPr>
          <w:szCs w:val="28"/>
        </w:rPr>
      </w:pPr>
      <w:r w:rsidRPr="0032041A">
        <w:rPr>
          <w:szCs w:val="28"/>
        </w:rPr>
        <w:t xml:space="preserve">2012.gada 2.augustā izsludinātā sarunu procedūra paredz 2.2.1.1.aktivitātes ietvaros izveidot trīs jaunus riska kapitāla fondus, par kopējo publiskā finansējuma apjomu 40 </w:t>
      </w:r>
      <w:proofErr w:type="spellStart"/>
      <w:r w:rsidRPr="0032041A">
        <w:rPr>
          <w:szCs w:val="28"/>
        </w:rPr>
        <w:t>milj</w:t>
      </w:r>
      <w:proofErr w:type="spellEnd"/>
      <w:r w:rsidRPr="0032041A">
        <w:rPr>
          <w:szCs w:val="28"/>
        </w:rPr>
        <w:t xml:space="preserve">. EUR. Taču BIF investīciju prognoze tiek veidota pēc konservatīviem apsvērumiem, lai nodrošinātos pret iespējamo nepieciešamo līdzekļu trūkumu, līdz ar to tiek pieņemts, ka </w:t>
      </w:r>
      <w:r w:rsidRPr="0032041A">
        <w:rPr>
          <w:szCs w:val="28"/>
        </w:rPr>
        <w:lastRenderedPageBreak/>
        <w:t xml:space="preserve">2.2.1.1.aktivitātes ietvaros tiks izveidoti divi jauni riska kapitāla fondi, par kopējā publiskā finansējuma apjomu 20 </w:t>
      </w:r>
      <w:proofErr w:type="spellStart"/>
      <w:r w:rsidRPr="0032041A">
        <w:rPr>
          <w:szCs w:val="28"/>
        </w:rPr>
        <w:t>milj</w:t>
      </w:r>
      <w:proofErr w:type="spellEnd"/>
      <w:r w:rsidRPr="0032041A">
        <w:rPr>
          <w:szCs w:val="28"/>
        </w:rPr>
        <w:t>. EUR;</w:t>
      </w:r>
    </w:p>
    <w:p w:rsidR="0072388E" w:rsidRPr="0032041A" w:rsidRDefault="0072388E" w:rsidP="001222DF">
      <w:pPr>
        <w:numPr>
          <w:ilvl w:val="0"/>
          <w:numId w:val="4"/>
        </w:numPr>
        <w:ind w:left="714" w:hanging="357"/>
        <w:jc w:val="both"/>
        <w:rPr>
          <w:szCs w:val="28"/>
        </w:rPr>
      </w:pPr>
      <w:r w:rsidRPr="0032041A">
        <w:rPr>
          <w:szCs w:val="28"/>
        </w:rPr>
        <w:t xml:space="preserve">Prognozē netiek iekļauts </w:t>
      </w:r>
      <w:r w:rsidR="009A34D3" w:rsidRPr="0032041A">
        <w:rPr>
          <w:szCs w:val="28"/>
        </w:rPr>
        <w:t>K</w:t>
      </w:r>
      <w:r w:rsidRPr="0032041A">
        <w:rPr>
          <w:szCs w:val="28"/>
        </w:rPr>
        <w:t xml:space="preserve">onsultatīvās padomes 2012.gada 16.augusta sēdē atbalstītais </w:t>
      </w:r>
      <w:proofErr w:type="spellStart"/>
      <w:r w:rsidRPr="0032041A">
        <w:rPr>
          <w:szCs w:val="28"/>
        </w:rPr>
        <w:t>mikroaizdevumu</w:t>
      </w:r>
      <w:proofErr w:type="spellEnd"/>
      <w:r w:rsidRPr="0032041A">
        <w:rPr>
          <w:szCs w:val="28"/>
        </w:rPr>
        <w:t xml:space="preserve"> instruments, jo tam vēl nav izstrādāti un apstiprināti Ministru kabineta noteikumi un nav iespējams prognozēt tā ieviešanas tempu un plānoto atmaksu grafiku. </w:t>
      </w:r>
    </w:p>
    <w:p w:rsidR="0072388E" w:rsidRPr="0032041A" w:rsidRDefault="0072388E" w:rsidP="001222DF">
      <w:pPr>
        <w:ind w:firstLine="720"/>
        <w:jc w:val="both"/>
        <w:rPr>
          <w:szCs w:val="28"/>
        </w:rPr>
      </w:pPr>
      <w:r w:rsidRPr="0032041A">
        <w:rPr>
          <w:szCs w:val="28"/>
        </w:rPr>
        <w:t xml:space="preserve">Ja finanšu instrumentu ieviešana 2.2.1.1.aktivitātē nenorisināsies atbilstoši </w:t>
      </w:r>
      <w:r w:rsidR="00AA770C" w:rsidRPr="0032041A">
        <w:rPr>
          <w:szCs w:val="28"/>
        </w:rPr>
        <w:t xml:space="preserve">pamata </w:t>
      </w:r>
      <w:r w:rsidRPr="0032041A">
        <w:rPr>
          <w:szCs w:val="28"/>
        </w:rPr>
        <w:t>prognozēm, pastāv vairāki iespējamie problēmas risinājumi</w:t>
      </w:r>
      <w:r w:rsidR="009A34D3" w:rsidRPr="0032041A">
        <w:rPr>
          <w:szCs w:val="28"/>
        </w:rPr>
        <w:t xml:space="preserve"> BIF nepieciešamo līdzekļu piesaistei</w:t>
      </w:r>
      <w:r w:rsidRPr="0032041A">
        <w:rPr>
          <w:szCs w:val="28"/>
        </w:rPr>
        <w:t>:</w:t>
      </w:r>
    </w:p>
    <w:p w:rsidR="004A1ADC" w:rsidRPr="0032041A" w:rsidRDefault="0072388E" w:rsidP="001222DF">
      <w:pPr>
        <w:numPr>
          <w:ilvl w:val="0"/>
          <w:numId w:val="5"/>
        </w:numPr>
        <w:jc w:val="both"/>
        <w:rPr>
          <w:szCs w:val="28"/>
        </w:rPr>
      </w:pPr>
      <w:r w:rsidRPr="0032041A">
        <w:rPr>
          <w:szCs w:val="28"/>
        </w:rPr>
        <w:t>no LGA</w:t>
      </w:r>
      <w:r w:rsidR="004A1ADC" w:rsidRPr="0032041A">
        <w:rPr>
          <w:szCs w:val="28"/>
        </w:rPr>
        <w:t xml:space="preserve"> </w:t>
      </w:r>
      <w:r w:rsidRPr="0032041A">
        <w:rPr>
          <w:szCs w:val="28"/>
        </w:rPr>
        <w:t xml:space="preserve">administrētajām </w:t>
      </w:r>
      <w:r w:rsidR="00635643" w:rsidRPr="0032041A">
        <w:rPr>
          <w:szCs w:val="28"/>
        </w:rPr>
        <w:t>ES</w:t>
      </w:r>
      <w:r w:rsidRPr="0032041A">
        <w:rPr>
          <w:szCs w:val="28"/>
        </w:rPr>
        <w:t xml:space="preserve"> fondu 2004.-2006.gada plānošanas perioda programmām</w:t>
      </w:r>
      <w:r w:rsidR="007324CF" w:rsidRPr="0032041A">
        <w:rPr>
          <w:szCs w:val="28"/>
        </w:rPr>
        <w:t>;</w:t>
      </w:r>
    </w:p>
    <w:p w:rsidR="0072388E" w:rsidRPr="0032041A" w:rsidRDefault="009A34D3" w:rsidP="001222DF">
      <w:pPr>
        <w:numPr>
          <w:ilvl w:val="0"/>
          <w:numId w:val="5"/>
        </w:numPr>
        <w:jc w:val="both"/>
        <w:rPr>
          <w:szCs w:val="28"/>
        </w:rPr>
      </w:pPr>
      <w:r w:rsidRPr="0032041A">
        <w:rPr>
          <w:szCs w:val="28"/>
        </w:rPr>
        <w:t xml:space="preserve">no </w:t>
      </w:r>
      <w:r w:rsidR="004A1ADC" w:rsidRPr="0032041A">
        <w:rPr>
          <w:szCs w:val="28"/>
        </w:rPr>
        <w:t xml:space="preserve">LGA administrētājām </w:t>
      </w:r>
      <w:r w:rsidR="00635643" w:rsidRPr="0032041A">
        <w:rPr>
          <w:szCs w:val="28"/>
        </w:rPr>
        <w:t xml:space="preserve">ES </w:t>
      </w:r>
      <w:r w:rsidRPr="0032041A">
        <w:rPr>
          <w:szCs w:val="28"/>
        </w:rPr>
        <w:t xml:space="preserve">fondu </w:t>
      </w:r>
      <w:r w:rsidR="0072388E" w:rsidRPr="0032041A">
        <w:rPr>
          <w:szCs w:val="28"/>
        </w:rPr>
        <w:t>2007.-2013.gada plānošanas perioda programmām (2.2.1.3.aktivitāte</w:t>
      </w:r>
      <w:r w:rsidR="0032041A">
        <w:rPr>
          <w:szCs w:val="28"/>
        </w:rPr>
        <w:t xml:space="preserve"> </w:t>
      </w:r>
      <w:r w:rsidR="0072388E" w:rsidRPr="0032041A">
        <w:rPr>
          <w:szCs w:val="28"/>
        </w:rPr>
        <w:t>un 2.2.1.4.2.aktivitāte „</w:t>
      </w:r>
      <w:proofErr w:type="spellStart"/>
      <w:r w:rsidR="0072388E" w:rsidRPr="0032041A">
        <w:rPr>
          <w:szCs w:val="28"/>
        </w:rPr>
        <w:t>Mezanīna</w:t>
      </w:r>
      <w:proofErr w:type="spellEnd"/>
      <w:r w:rsidR="0072388E" w:rsidRPr="0032041A">
        <w:rPr>
          <w:szCs w:val="28"/>
        </w:rPr>
        <w:t xml:space="preserve"> aizdevumi investīcijām komersantu konkurētspējas uzlabošanai”), </w:t>
      </w:r>
      <w:r w:rsidR="00635643" w:rsidRPr="0032041A">
        <w:rPr>
          <w:szCs w:val="28"/>
        </w:rPr>
        <w:t>ja tie būs nodeklarēti un pieejami attiecīgajā brīdī</w:t>
      </w:r>
      <w:r w:rsidR="0072388E" w:rsidRPr="0032041A">
        <w:rPr>
          <w:szCs w:val="28"/>
        </w:rPr>
        <w:t>;</w:t>
      </w:r>
    </w:p>
    <w:p w:rsidR="0072388E" w:rsidRPr="0032041A" w:rsidRDefault="0072388E" w:rsidP="00635643">
      <w:pPr>
        <w:numPr>
          <w:ilvl w:val="0"/>
          <w:numId w:val="5"/>
        </w:numPr>
        <w:jc w:val="both"/>
        <w:rPr>
          <w:szCs w:val="28"/>
        </w:rPr>
      </w:pPr>
      <w:r w:rsidRPr="0032041A">
        <w:rPr>
          <w:szCs w:val="28"/>
        </w:rPr>
        <w:t xml:space="preserve">ja visi </w:t>
      </w:r>
      <w:r w:rsidR="00635643" w:rsidRPr="0032041A">
        <w:rPr>
          <w:szCs w:val="28"/>
        </w:rPr>
        <w:t>augstākminētie</w:t>
      </w:r>
      <w:r w:rsidRPr="0032041A">
        <w:rPr>
          <w:szCs w:val="28"/>
        </w:rPr>
        <w:t xml:space="preserve"> finanšu avoti būs izsmelti vai nebūs pieejami, nepieciešamos  finanšu līdzekļus </w:t>
      </w:r>
      <w:r w:rsidR="00635643" w:rsidRPr="0032041A">
        <w:rPr>
          <w:szCs w:val="28"/>
        </w:rPr>
        <w:t>nodrošinās valsts aizdevuma veidā</w:t>
      </w:r>
      <w:r w:rsidR="004E5AA7" w:rsidRPr="0032041A">
        <w:rPr>
          <w:szCs w:val="28"/>
        </w:rPr>
        <w:t>, ievērojot normatīvajos aktos noteikto kārtību</w:t>
      </w:r>
      <w:r w:rsidRPr="0032041A">
        <w:rPr>
          <w:szCs w:val="28"/>
        </w:rPr>
        <w:t>.</w:t>
      </w:r>
    </w:p>
    <w:p w:rsidR="0072388E" w:rsidRPr="0032041A" w:rsidRDefault="00216ACA" w:rsidP="00AC41F5">
      <w:pPr>
        <w:spacing w:after="120"/>
        <w:ind w:firstLine="720"/>
        <w:jc w:val="both"/>
        <w:rPr>
          <w:szCs w:val="28"/>
        </w:rPr>
      </w:pPr>
      <w:r w:rsidRPr="0032041A">
        <w:rPr>
          <w:color w:val="000000" w:themeColor="text1"/>
          <w:szCs w:val="28"/>
        </w:rPr>
        <w:t>Vienlaikus, LGA nodrošinās, ka BIF izveide neradīs ietekmi uz LGA ES fondu 2007.-2013.gada plānošanas perioda ietvaros piešķirto struktūrfondu līdzekļu apguves nodrošināšanu 100% apmērā līdz 2015.gada 31.decembrim.</w:t>
      </w:r>
      <w:r w:rsidRPr="0032041A">
        <w:rPr>
          <w:szCs w:val="28"/>
        </w:rPr>
        <w:t xml:space="preserve"> </w:t>
      </w:r>
      <w:r w:rsidR="0072388E" w:rsidRPr="0032041A">
        <w:rPr>
          <w:szCs w:val="28"/>
        </w:rPr>
        <w:t xml:space="preserve">Pielikumā Nr.1 esošā </w:t>
      </w:r>
      <w:r w:rsidR="00AA770C" w:rsidRPr="0032041A">
        <w:rPr>
          <w:szCs w:val="28"/>
        </w:rPr>
        <w:t xml:space="preserve">pamata </w:t>
      </w:r>
      <w:r w:rsidR="0072388E" w:rsidRPr="0032041A">
        <w:rPr>
          <w:szCs w:val="28"/>
        </w:rPr>
        <w:t xml:space="preserve">prognoze veidota kā reālistiskais/konservatīvais scenārijs, ņemot vērā reālistiskas prognozes par līdzekļu apjomu, kas varētu tikt apgūts finanšu instrumentu, par kuru </w:t>
      </w:r>
      <w:proofErr w:type="spellStart"/>
      <w:r w:rsidR="0072388E" w:rsidRPr="0032041A">
        <w:rPr>
          <w:szCs w:val="28"/>
        </w:rPr>
        <w:t>attiecināmību</w:t>
      </w:r>
      <w:proofErr w:type="spellEnd"/>
      <w:r w:rsidR="0072388E" w:rsidRPr="0032041A">
        <w:rPr>
          <w:szCs w:val="28"/>
        </w:rPr>
        <w:t xml:space="preserve"> nenotiek diskusijas ar Eiropas Komisiju, ietvaros.</w:t>
      </w:r>
    </w:p>
    <w:p w:rsidR="0072388E" w:rsidRPr="0032041A" w:rsidRDefault="0072388E" w:rsidP="001222DF">
      <w:pPr>
        <w:jc w:val="both"/>
        <w:rPr>
          <w:b/>
          <w:szCs w:val="28"/>
        </w:rPr>
      </w:pPr>
      <w:r w:rsidRPr="0032041A">
        <w:rPr>
          <w:b/>
          <w:szCs w:val="28"/>
        </w:rPr>
        <w:t>BIF līgumsaistību pārņemšana</w:t>
      </w:r>
    </w:p>
    <w:p w:rsidR="0072388E" w:rsidRPr="0032041A" w:rsidRDefault="0072388E" w:rsidP="001222DF">
      <w:pPr>
        <w:ind w:right="-58" w:firstLine="720"/>
        <w:jc w:val="both"/>
        <w:rPr>
          <w:szCs w:val="28"/>
        </w:rPr>
      </w:pPr>
      <w:r w:rsidRPr="0032041A">
        <w:rPr>
          <w:szCs w:val="28"/>
        </w:rPr>
        <w:t xml:space="preserve">Atbilstoši 2010.gada 3.novembra deklarācijai par </w:t>
      </w:r>
      <w:proofErr w:type="spellStart"/>
      <w:r w:rsidRPr="0032041A">
        <w:rPr>
          <w:szCs w:val="28"/>
        </w:rPr>
        <w:t>V.Dombrovska</w:t>
      </w:r>
      <w:proofErr w:type="spellEnd"/>
      <w:r w:rsidRPr="0032041A">
        <w:rPr>
          <w:szCs w:val="28"/>
        </w:rPr>
        <w:t xml:space="preserve"> vadītā Ministru kabineta iecerēto darbību ir iekļauta apņemšanās izveidot pilna spektra </w:t>
      </w:r>
      <w:r w:rsidR="008E43C2" w:rsidRPr="0032041A">
        <w:rPr>
          <w:szCs w:val="28"/>
        </w:rPr>
        <w:t>AFI</w:t>
      </w:r>
      <w:r w:rsidRPr="0032041A">
        <w:rPr>
          <w:szCs w:val="28"/>
        </w:rPr>
        <w:t>,</w:t>
      </w:r>
      <w:r w:rsidR="004D4985" w:rsidRPr="0032041A">
        <w:rPr>
          <w:szCs w:val="28"/>
        </w:rPr>
        <w:t xml:space="preserve"> centralizējot resursus un sadarbībā ar privāto sektoru izveido</w:t>
      </w:r>
      <w:r w:rsidR="00103791" w:rsidRPr="0032041A">
        <w:rPr>
          <w:szCs w:val="28"/>
        </w:rPr>
        <w:t>jo</w:t>
      </w:r>
      <w:r w:rsidR="004D4985" w:rsidRPr="0032041A">
        <w:rPr>
          <w:szCs w:val="28"/>
        </w:rPr>
        <w:t xml:space="preserve">t tās profesionālu uzraudzības mehānismu. </w:t>
      </w:r>
      <w:r w:rsidRPr="0032041A">
        <w:rPr>
          <w:szCs w:val="28"/>
        </w:rPr>
        <w:t xml:space="preserve"> </w:t>
      </w:r>
      <w:r w:rsidR="008E43C2" w:rsidRPr="0032041A">
        <w:rPr>
          <w:szCs w:val="28"/>
        </w:rPr>
        <w:t>AFI</w:t>
      </w:r>
      <w:r w:rsidR="004D4985" w:rsidRPr="0032041A">
        <w:rPr>
          <w:szCs w:val="28"/>
        </w:rPr>
        <w:t xml:space="preserve"> </w:t>
      </w:r>
      <w:r w:rsidRPr="0032041A">
        <w:rPr>
          <w:szCs w:val="28"/>
        </w:rPr>
        <w:t xml:space="preserve">īstenos valsts atbalsta programmas, kas tiek īstenotas finanšu instrumentu veidā, ko līdz šim ir veikusi LGA, </w:t>
      </w:r>
      <w:r w:rsidR="00103791" w:rsidRPr="0032041A">
        <w:rPr>
          <w:szCs w:val="28"/>
        </w:rPr>
        <w:t>Hipotēku banka</w:t>
      </w:r>
      <w:r w:rsidRPr="0032041A">
        <w:rPr>
          <w:szCs w:val="28"/>
        </w:rPr>
        <w:t xml:space="preserve">, Lauku Attīstības fonds un Vides Investīciju fonds. AFI nodrošinās esošo programmu nepārtrauktību, jaunu programmu uzsākšanu, vienlaikus </w:t>
      </w:r>
      <w:r w:rsidRPr="0032041A">
        <w:rPr>
          <w:rFonts w:cs="Times New Roman"/>
          <w:szCs w:val="28"/>
        </w:rPr>
        <w:t>spējot pildīt iepriekš uzņemtās saistības</w:t>
      </w:r>
      <w:r w:rsidRPr="0032041A">
        <w:rPr>
          <w:szCs w:val="28"/>
        </w:rPr>
        <w:t>, kā arī veicinās vienas pieturas tipa valsts atbalsta pakalpojumu sniegšanu, nodrošinās kvalitatīvāku ieguldīto līdzekļu pārraudzību un izmaksu optimizāciju.</w:t>
      </w:r>
    </w:p>
    <w:p w:rsidR="004D4985" w:rsidRPr="0032041A" w:rsidRDefault="004D4985" w:rsidP="00DC3996">
      <w:pPr>
        <w:ind w:right="-57" w:firstLine="720"/>
        <w:jc w:val="both"/>
        <w:rPr>
          <w:rFonts w:cs="Times New Roman"/>
          <w:szCs w:val="28"/>
        </w:rPr>
      </w:pPr>
      <w:r w:rsidRPr="0032041A">
        <w:rPr>
          <w:szCs w:val="28"/>
        </w:rPr>
        <w:t xml:space="preserve">Ministru kabineta 2011.gada 1.novembra sēdes protokola Nr.62 64.§ 18.punktā paredzēts iesniegt Ministru kabinetā vienotas </w:t>
      </w:r>
      <w:r w:rsidR="008E43C2" w:rsidRPr="0032041A">
        <w:rPr>
          <w:szCs w:val="28"/>
        </w:rPr>
        <w:t>AFI</w:t>
      </w:r>
      <w:r w:rsidRPr="0032041A">
        <w:rPr>
          <w:szCs w:val="28"/>
        </w:rPr>
        <w:t xml:space="preserve"> izveides plānu, kas izstrādāts, ņemot vērā konsultatīvās padomes izstrādātās vadlīnijas un ārējā juridiskā eksperta veikto izvērtējumu, tai skaitā Hipotēku bankas darbības plānu pēc </w:t>
      </w:r>
      <w:proofErr w:type="spellStart"/>
      <w:r w:rsidRPr="0032041A">
        <w:rPr>
          <w:szCs w:val="28"/>
        </w:rPr>
        <w:t>komercdaļas</w:t>
      </w:r>
      <w:proofErr w:type="spellEnd"/>
      <w:r w:rsidRPr="0032041A">
        <w:rPr>
          <w:szCs w:val="28"/>
        </w:rPr>
        <w:t xml:space="preserve"> atsavināšanas. Vienotu </w:t>
      </w:r>
      <w:r w:rsidR="008E43C2" w:rsidRPr="0032041A">
        <w:rPr>
          <w:szCs w:val="28"/>
        </w:rPr>
        <w:t>AFI</w:t>
      </w:r>
      <w:r w:rsidRPr="0032041A">
        <w:rPr>
          <w:szCs w:val="28"/>
        </w:rPr>
        <w:t xml:space="preserve"> plānots izveidot līdz 2013.gada beigām.</w:t>
      </w:r>
      <w:r w:rsidR="00734B65" w:rsidRPr="0032041A">
        <w:rPr>
          <w:szCs w:val="28"/>
        </w:rPr>
        <w:t xml:space="preserve"> </w:t>
      </w:r>
      <w:r w:rsidR="00734B65" w:rsidRPr="0032041A">
        <w:rPr>
          <w:rFonts w:cs="Times New Roman"/>
          <w:szCs w:val="28"/>
        </w:rPr>
        <w:t xml:space="preserve">Priekšlikumi </w:t>
      </w:r>
      <w:r w:rsidR="008E43C2" w:rsidRPr="0032041A">
        <w:rPr>
          <w:rFonts w:cs="Times New Roman"/>
          <w:szCs w:val="28"/>
        </w:rPr>
        <w:t>AFI</w:t>
      </w:r>
      <w:r w:rsidR="00734B65" w:rsidRPr="0032041A">
        <w:rPr>
          <w:rFonts w:cs="Times New Roman"/>
          <w:szCs w:val="28"/>
        </w:rPr>
        <w:t xml:space="preserve"> apvienošanas modelim tiks iesniegti izskatīšanai Ministru kabinetā, balstoties uz juridiskās analīzes secinājumiem, kuru ietvaros </w:t>
      </w:r>
      <w:r w:rsidR="00734B65" w:rsidRPr="0032041A">
        <w:rPr>
          <w:rFonts w:cs="Times New Roman"/>
          <w:szCs w:val="28"/>
        </w:rPr>
        <w:lastRenderedPageBreak/>
        <w:t>tiks analizēti juridiskie, ekonomiskie un lietderības aspekti institūciju apvienošanai, tai skaitā, ņemot vērā komercdarbības valsts atbalsta regulējumu.</w:t>
      </w:r>
    </w:p>
    <w:p w:rsidR="0072388E" w:rsidRPr="0032041A" w:rsidRDefault="0072388E" w:rsidP="00DC3996">
      <w:pPr>
        <w:ind w:right="-57" w:firstLine="720"/>
        <w:jc w:val="both"/>
        <w:rPr>
          <w:szCs w:val="28"/>
        </w:rPr>
      </w:pPr>
      <w:r w:rsidRPr="0032041A">
        <w:rPr>
          <w:szCs w:val="28"/>
        </w:rPr>
        <w:t xml:space="preserve">Nepieciešamo līdzfinansējumu Latvija BIF izveidei nodrošinās no LGA līdzekļiem, attiecīgi LGA būs arī BIF līgumslēdzēja puse. Norādām, ka </w:t>
      </w:r>
      <w:r w:rsidRPr="0032041A">
        <w:t xml:space="preserve">investīcijas BIF veicamas arī 2014. un turpmākajos gados atbilstoši Pielikumam Nr.1, kad līguma izpildītājs potenciāli jau būs vienota AFI. Informējam, ka AFI </w:t>
      </w:r>
      <w:r w:rsidR="00FE1D93" w:rsidRPr="0032041A">
        <w:t xml:space="preserve">pilnībā </w:t>
      </w:r>
      <w:r w:rsidRPr="0032041A">
        <w:t xml:space="preserve">pārņems katras iesaistītās </w:t>
      </w:r>
      <w:r w:rsidRPr="0032041A">
        <w:rPr>
          <w:szCs w:val="28"/>
        </w:rPr>
        <w:t xml:space="preserve">institūcijas funkcijas, pienākumus un saistības, līdz ar to, tiks pārņemta arī LGA līguma ar EIF par BIF izpilde. Ekonomikas ministrija nodrošinās </w:t>
      </w:r>
      <w:r w:rsidR="008E43C2" w:rsidRPr="0032041A">
        <w:rPr>
          <w:szCs w:val="28"/>
        </w:rPr>
        <w:t>LGA</w:t>
      </w:r>
      <w:r w:rsidRPr="0032041A">
        <w:rPr>
          <w:szCs w:val="28"/>
        </w:rPr>
        <w:t xml:space="preserve"> uzņemto līgumsaistību un  </w:t>
      </w:r>
      <w:r w:rsidR="008E43C2" w:rsidRPr="0032041A">
        <w:rPr>
          <w:szCs w:val="28"/>
        </w:rPr>
        <w:t>BIF</w:t>
      </w:r>
      <w:r w:rsidRPr="0032041A">
        <w:rPr>
          <w:szCs w:val="28"/>
        </w:rPr>
        <w:t xml:space="preserve"> darbības uzraudzību.</w:t>
      </w:r>
    </w:p>
    <w:p w:rsidR="0072388E" w:rsidRPr="0032041A" w:rsidRDefault="0072388E" w:rsidP="001222DF">
      <w:pPr>
        <w:jc w:val="both"/>
        <w:rPr>
          <w:szCs w:val="28"/>
        </w:rPr>
      </w:pPr>
    </w:p>
    <w:p w:rsidR="00DC3996" w:rsidRDefault="00DC3996" w:rsidP="001222DF">
      <w:pPr>
        <w:jc w:val="both"/>
        <w:rPr>
          <w:szCs w:val="28"/>
        </w:rPr>
      </w:pPr>
    </w:p>
    <w:p w:rsidR="0072388E" w:rsidRPr="0032041A" w:rsidRDefault="0072388E" w:rsidP="001222DF">
      <w:pPr>
        <w:jc w:val="both"/>
        <w:rPr>
          <w:szCs w:val="28"/>
        </w:rPr>
      </w:pPr>
      <w:r w:rsidRPr="0032041A">
        <w:rPr>
          <w:szCs w:val="28"/>
        </w:rPr>
        <w:t>Pielikumi:</w:t>
      </w:r>
    </w:p>
    <w:p w:rsidR="0072388E" w:rsidRPr="0032041A" w:rsidRDefault="00DC3996" w:rsidP="001222DF">
      <w:pPr>
        <w:pStyle w:val="ListParagraph"/>
        <w:numPr>
          <w:ilvl w:val="0"/>
          <w:numId w:val="6"/>
        </w:numPr>
        <w:jc w:val="both"/>
        <w:rPr>
          <w:szCs w:val="28"/>
        </w:rPr>
      </w:pPr>
      <w:bookmarkStart w:id="0" w:name="OLE_LINK5"/>
      <w:bookmarkStart w:id="1" w:name="OLE_LINK6"/>
      <w:r>
        <w:rPr>
          <w:szCs w:val="28"/>
        </w:rPr>
        <w:t xml:space="preserve">Pielikums Nr.1 - </w:t>
      </w:r>
      <w:r w:rsidR="0072388E" w:rsidRPr="0032041A">
        <w:rPr>
          <w:szCs w:val="28"/>
        </w:rPr>
        <w:t>LGA finanšu prognoze „Plānotās atmaksas 2.2.1.1.aktivitātes ietvaros un prognozētās iemaksas Baltijas Inovāciju fondā”</w:t>
      </w:r>
      <w:bookmarkEnd w:id="0"/>
      <w:bookmarkEnd w:id="1"/>
      <w:r w:rsidR="0072388E" w:rsidRPr="0032041A">
        <w:rPr>
          <w:szCs w:val="28"/>
        </w:rPr>
        <w:t>;</w:t>
      </w:r>
    </w:p>
    <w:p w:rsidR="0072388E" w:rsidRPr="0032041A" w:rsidRDefault="00DC3996" w:rsidP="004B2595">
      <w:pPr>
        <w:pStyle w:val="ListParagraph"/>
        <w:numPr>
          <w:ilvl w:val="0"/>
          <w:numId w:val="6"/>
        </w:numPr>
        <w:jc w:val="both"/>
        <w:rPr>
          <w:szCs w:val="28"/>
        </w:rPr>
      </w:pPr>
      <w:r>
        <w:rPr>
          <w:szCs w:val="28"/>
        </w:rPr>
        <w:t xml:space="preserve">Pielikums Nr.2 - </w:t>
      </w:r>
      <w:r w:rsidR="0072388E" w:rsidRPr="0032041A">
        <w:rPr>
          <w:szCs w:val="28"/>
        </w:rPr>
        <w:t xml:space="preserve">EIF izstrādātā prognoze investīciju grafikam </w:t>
      </w:r>
      <w:r w:rsidR="008E43C2" w:rsidRPr="0032041A">
        <w:rPr>
          <w:szCs w:val="28"/>
        </w:rPr>
        <w:t>BIF</w:t>
      </w:r>
      <w:r w:rsidR="0072388E" w:rsidRPr="0032041A">
        <w:rPr>
          <w:szCs w:val="28"/>
        </w:rPr>
        <w:t>.</w:t>
      </w:r>
    </w:p>
    <w:p w:rsidR="0072388E" w:rsidRPr="0032041A" w:rsidRDefault="0072388E" w:rsidP="001222DF">
      <w:pPr>
        <w:tabs>
          <w:tab w:val="right" w:pos="9214"/>
        </w:tabs>
        <w:rPr>
          <w:rFonts w:eastAsia="Times New Roman"/>
          <w:szCs w:val="28"/>
          <w:lang w:eastAsia="lv-LV"/>
        </w:rPr>
      </w:pPr>
    </w:p>
    <w:p w:rsidR="002274F4" w:rsidRPr="0032041A" w:rsidRDefault="002274F4" w:rsidP="001222DF">
      <w:pPr>
        <w:tabs>
          <w:tab w:val="right" w:pos="9214"/>
        </w:tabs>
        <w:rPr>
          <w:rFonts w:eastAsia="Times New Roman"/>
          <w:szCs w:val="28"/>
          <w:lang w:eastAsia="lv-LV"/>
        </w:rPr>
      </w:pPr>
    </w:p>
    <w:p w:rsidR="002274F4" w:rsidRPr="0032041A" w:rsidRDefault="002274F4" w:rsidP="001222DF">
      <w:pPr>
        <w:tabs>
          <w:tab w:val="right" w:pos="9214"/>
        </w:tabs>
        <w:rPr>
          <w:rFonts w:eastAsia="Times New Roman"/>
          <w:szCs w:val="28"/>
          <w:lang w:eastAsia="lv-LV"/>
        </w:rPr>
      </w:pPr>
    </w:p>
    <w:p w:rsidR="002274F4" w:rsidRPr="0032041A" w:rsidRDefault="002274F4" w:rsidP="001222DF">
      <w:pPr>
        <w:tabs>
          <w:tab w:val="right" w:pos="9214"/>
        </w:tabs>
        <w:rPr>
          <w:rFonts w:eastAsia="Times New Roman"/>
          <w:szCs w:val="28"/>
          <w:lang w:eastAsia="lv-LV"/>
        </w:rPr>
      </w:pPr>
    </w:p>
    <w:p w:rsidR="0072388E" w:rsidRPr="0032041A" w:rsidRDefault="0072388E" w:rsidP="001222DF">
      <w:pPr>
        <w:tabs>
          <w:tab w:val="right" w:pos="9214"/>
        </w:tabs>
        <w:rPr>
          <w:rFonts w:eastAsia="Times New Roman"/>
          <w:szCs w:val="28"/>
          <w:lang w:eastAsia="lv-LV"/>
        </w:rPr>
      </w:pPr>
      <w:r w:rsidRPr="0032041A">
        <w:rPr>
          <w:rFonts w:eastAsia="Times New Roman"/>
          <w:szCs w:val="28"/>
          <w:lang w:eastAsia="lv-LV"/>
        </w:rPr>
        <w:t>Ekonomikas ministrs</w:t>
      </w:r>
      <w:r w:rsidRPr="0032041A">
        <w:rPr>
          <w:rFonts w:eastAsia="Times New Roman"/>
          <w:szCs w:val="28"/>
          <w:lang w:eastAsia="lv-LV"/>
        </w:rPr>
        <w:tab/>
      </w:r>
      <w:proofErr w:type="spellStart"/>
      <w:r w:rsidRPr="0032041A">
        <w:rPr>
          <w:rFonts w:eastAsia="Times New Roman"/>
          <w:szCs w:val="28"/>
          <w:lang w:eastAsia="lv-LV"/>
        </w:rPr>
        <w:t>D.Pavļuts</w:t>
      </w:r>
      <w:proofErr w:type="spellEnd"/>
    </w:p>
    <w:p w:rsidR="006C622C" w:rsidRPr="0032041A" w:rsidRDefault="006C622C" w:rsidP="001222DF">
      <w:pPr>
        <w:tabs>
          <w:tab w:val="right" w:pos="9214"/>
        </w:tabs>
        <w:jc w:val="both"/>
        <w:rPr>
          <w:rFonts w:eastAsia="Times New Roman"/>
          <w:sz w:val="26"/>
          <w:szCs w:val="26"/>
          <w:lang w:eastAsia="lv-LV"/>
        </w:rPr>
      </w:pPr>
    </w:p>
    <w:p w:rsidR="006C622C" w:rsidRPr="0032041A" w:rsidRDefault="006C622C" w:rsidP="001222DF">
      <w:pPr>
        <w:tabs>
          <w:tab w:val="right" w:pos="9214"/>
        </w:tabs>
        <w:jc w:val="both"/>
        <w:rPr>
          <w:rFonts w:eastAsia="Times New Roman"/>
          <w:sz w:val="26"/>
          <w:szCs w:val="26"/>
          <w:lang w:eastAsia="lv-LV"/>
        </w:rPr>
      </w:pPr>
    </w:p>
    <w:p w:rsidR="002274F4" w:rsidRPr="0032041A" w:rsidRDefault="002274F4" w:rsidP="001222DF">
      <w:pPr>
        <w:tabs>
          <w:tab w:val="right" w:pos="9214"/>
        </w:tabs>
        <w:jc w:val="both"/>
        <w:rPr>
          <w:rFonts w:eastAsia="Times New Roman"/>
          <w:sz w:val="26"/>
          <w:szCs w:val="26"/>
          <w:lang w:eastAsia="lv-LV"/>
        </w:rPr>
      </w:pPr>
    </w:p>
    <w:p w:rsidR="002274F4" w:rsidRPr="0032041A" w:rsidRDefault="002274F4" w:rsidP="001222DF">
      <w:pPr>
        <w:tabs>
          <w:tab w:val="right" w:pos="9214"/>
        </w:tabs>
        <w:jc w:val="both"/>
        <w:rPr>
          <w:rFonts w:eastAsia="Times New Roman"/>
          <w:sz w:val="26"/>
          <w:szCs w:val="26"/>
          <w:lang w:eastAsia="lv-LV"/>
        </w:rPr>
      </w:pPr>
    </w:p>
    <w:p w:rsidR="00DC3996" w:rsidRDefault="000F4AD6" w:rsidP="007009CD">
      <w:pPr>
        <w:tabs>
          <w:tab w:val="right" w:pos="9214"/>
        </w:tabs>
        <w:jc w:val="both"/>
        <w:rPr>
          <w:rFonts w:eastAsia="Times New Roman"/>
          <w:sz w:val="26"/>
          <w:szCs w:val="26"/>
          <w:lang w:eastAsia="lv-LV"/>
        </w:rPr>
      </w:pPr>
      <w:r w:rsidRPr="0032041A">
        <w:rPr>
          <w:rFonts w:eastAsia="Times New Roman"/>
          <w:sz w:val="26"/>
          <w:szCs w:val="26"/>
          <w:lang w:eastAsia="lv-LV"/>
        </w:rPr>
        <w:t>Vīza: valsts sekretār</w:t>
      </w:r>
      <w:r w:rsidR="00DC3996">
        <w:rPr>
          <w:rFonts w:eastAsia="Times New Roman"/>
          <w:sz w:val="26"/>
          <w:szCs w:val="26"/>
          <w:lang w:eastAsia="lv-LV"/>
        </w:rPr>
        <w:t>a pienākumu izpildītājs,</w:t>
      </w:r>
    </w:p>
    <w:p w:rsidR="007009CD" w:rsidRPr="0032041A" w:rsidRDefault="00DC3996" w:rsidP="007009CD">
      <w:pPr>
        <w:tabs>
          <w:tab w:val="right" w:pos="9214"/>
        </w:tabs>
        <w:jc w:val="both"/>
        <w:rPr>
          <w:rFonts w:eastAsia="Times New Roman"/>
          <w:sz w:val="26"/>
          <w:szCs w:val="26"/>
          <w:lang w:eastAsia="lv-LV"/>
        </w:rPr>
      </w:pPr>
      <w:r>
        <w:rPr>
          <w:rFonts w:eastAsia="Times New Roman"/>
          <w:sz w:val="26"/>
          <w:szCs w:val="26"/>
          <w:lang w:eastAsia="lv-LV"/>
        </w:rPr>
        <w:t>valsts sekretāra vietnieks</w:t>
      </w:r>
      <w:r w:rsidR="000F4AD6" w:rsidRPr="0032041A">
        <w:rPr>
          <w:rFonts w:eastAsia="Times New Roman"/>
          <w:sz w:val="26"/>
          <w:szCs w:val="26"/>
          <w:lang w:eastAsia="lv-LV"/>
        </w:rPr>
        <w:tab/>
      </w:r>
      <w:r>
        <w:rPr>
          <w:rFonts w:eastAsia="Times New Roman"/>
          <w:sz w:val="26"/>
          <w:szCs w:val="26"/>
          <w:lang w:eastAsia="lv-LV"/>
        </w:rPr>
        <w:t>A.Liepiņš</w:t>
      </w:r>
    </w:p>
    <w:p w:rsidR="000F4AD6" w:rsidRPr="0032041A" w:rsidRDefault="000F4AD6" w:rsidP="001222DF">
      <w:pPr>
        <w:jc w:val="both"/>
        <w:rPr>
          <w:rFonts w:ascii="Times" w:eastAsia="Times New Roman" w:hAnsi="Times"/>
          <w:sz w:val="18"/>
          <w:szCs w:val="18"/>
        </w:rPr>
      </w:pPr>
    </w:p>
    <w:p w:rsidR="0072388E" w:rsidRPr="0032041A" w:rsidRDefault="0072388E" w:rsidP="001222DF">
      <w:pPr>
        <w:jc w:val="both"/>
        <w:rPr>
          <w:rFonts w:ascii="Times" w:eastAsia="Times New Roman" w:hAnsi="Times"/>
          <w:sz w:val="18"/>
          <w:szCs w:val="18"/>
        </w:rPr>
      </w:pPr>
    </w:p>
    <w:p w:rsidR="0072388E" w:rsidRPr="0032041A" w:rsidRDefault="0072388E" w:rsidP="001222DF">
      <w:pPr>
        <w:jc w:val="both"/>
        <w:rPr>
          <w:rFonts w:ascii="Times" w:eastAsia="Times New Roman" w:hAnsi="Times"/>
          <w:sz w:val="18"/>
          <w:szCs w:val="18"/>
        </w:rPr>
      </w:pPr>
    </w:p>
    <w:p w:rsidR="0072388E" w:rsidRPr="0032041A" w:rsidRDefault="0072388E" w:rsidP="001222DF">
      <w:pPr>
        <w:jc w:val="both"/>
        <w:rPr>
          <w:rFonts w:ascii="Times" w:eastAsia="Times New Roman" w:hAnsi="Times"/>
          <w:sz w:val="18"/>
          <w:szCs w:val="18"/>
        </w:rPr>
      </w:pPr>
    </w:p>
    <w:p w:rsidR="002274F4" w:rsidRPr="0032041A" w:rsidRDefault="002274F4" w:rsidP="001222DF">
      <w:pPr>
        <w:jc w:val="both"/>
        <w:rPr>
          <w:rFonts w:eastAsia="Times New Roman"/>
          <w:sz w:val="18"/>
          <w:szCs w:val="18"/>
        </w:rPr>
      </w:pPr>
    </w:p>
    <w:p w:rsidR="002274F4" w:rsidRPr="0032041A" w:rsidRDefault="002274F4" w:rsidP="001222DF">
      <w:pPr>
        <w:jc w:val="both"/>
        <w:rPr>
          <w:rFonts w:eastAsia="Times New Roman"/>
          <w:sz w:val="18"/>
          <w:szCs w:val="18"/>
        </w:rPr>
      </w:pPr>
    </w:p>
    <w:p w:rsidR="0072388E" w:rsidRPr="0032041A" w:rsidRDefault="008D5306" w:rsidP="001222DF">
      <w:pPr>
        <w:jc w:val="both"/>
        <w:rPr>
          <w:rFonts w:eastAsia="Times New Roman"/>
          <w:sz w:val="18"/>
          <w:szCs w:val="18"/>
        </w:rPr>
      </w:pPr>
      <w:r>
        <w:rPr>
          <w:rFonts w:eastAsia="Times New Roman"/>
          <w:sz w:val="18"/>
          <w:szCs w:val="18"/>
        </w:rPr>
        <w:t>19.09.2012 14:21</w:t>
      </w:r>
      <w:bookmarkStart w:id="2" w:name="_GoBack"/>
      <w:bookmarkEnd w:id="2"/>
    </w:p>
    <w:p w:rsidR="0072388E" w:rsidRPr="0032041A" w:rsidRDefault="00D23B40" w:rsidP="001222DF">
      <w:pPr>
        <w:jc w:val="both"/>
        <w:rPr>
          <w:rFonts w:eastAsia="Times New Roman"/>
          <w:sz w:val="18"/>
          <w:szCs w:val="18"/>
        </w:rPr>
      </w:pPr>
      <w:fldSimple w:instr=" NUMWORDS   \* MERGEFORMAT ">
        <w:r w:rsidR="008D5306" w:rsidRPr="008D5306">
          <w:rPr>
            <w:rFonts w:eastAsia="Times New Roman"/>
            <w:noProof/>
            <w:sz w:val="18"/>
            <w:szCs w:val="18"/>
          </w:rPr>
          <w:t>1517</w:t>
        </w:r>
      </w:fldSimple>
    </w:p>
    <w:p w:rsidR="0072388E" w:rsidRPr="0032041A" w:rsidRDefault="0072388E" w:rsidP="001222DF">
      <w:pPr>
        <w:jc w:val="both"/>
        <w:rPr>
          <w:rFonts w:eastAsia="Times New Roman"/>
          <w:sz w:val="18"/>
          <w:szCs w:val="18"/>
        </w:rPr>
      </w:pPr>
      <w:proofErr w:type="spellStart"/>
      <w:r w:rsidRPr="0032041A">
        <w:rPr>
          <w:rFonts w:eastAsia="Times New Roman"/>
          <w:sz w:val="18"/>
          <w:szCs w:val="18"/>
        </w:rPr>
        <w:t>E.Poļanska</w:t>
      </w:r>
      <w:proofErr w:type="spellEnd"/>
    </w:p>
    <w:p w:rsidR="00DC3996" w:rsidRDefault="0072388E" w:rsidP="004B2595">
      <w:pPr>
        <w:jc w:val="both"/>
      </w:pPr>
      <w:r w:rsidRPr="0032041A">
        <w:rPr>
          <w:rFonts w:eastAsia="Times New Roman"/>
          <w:sz w:val="18"/>
          <w:szCs w:val="18"/>
        </w:rPr>
        <w:t>67</w:t>
      </w:r>
      <w:r w:rsidR="004B2595" w:rsidRPr="0032041A">
        <w:rPr>
          <w:rFonts w:eastAsia="Times New Roman"/>
          <w:sz w:val="18"/>
          <w:szCs w:val="18"/>
        </w:rPr>
        <w:t>013108, Egita.Polanska@em.gov.lv</w:t>
      </w:r>
    </w:p>
    <w:p w:rsidR="00086935" w:rsidRPr="00DC3996" w:rsidRDefault="00DC3996" w:rsidP="00DC3996">
      <w:pPr>
        <w:tabs>
          <w:tab w:val="left" w:pos="3087"/>
        </w:tabs>
      </w:pPr>
      <w:r>
        <w:tab/>
      </w:r>
    </w:p>
    <w:sectPr w:rsidR="00086935" w:rsidRPr="00DC3996" w:rsidSect="0072388E">
      <w:headerReference w:type="default" r:id="rId8"/>
      <w:footerReference w:type="default" r:id="rId9"/>
      <w:footerReference w:type="first" r:id="rId10"/>
      <w:pgSz w:w="11906" w:h="16838"/>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BF" w:rsidRDefault="004C39BF" w:rsidP="0072388E">
      <w:r>
        <w:separator/>
      </w:r>
    </w:p>
  </w:endnote>
  <w:endnote w:type="continuationSeparator" w:id="0">
    <w:p w:rsidR="004C39BF" w:rsidRDefault="004C39BF" w:rsidP="0072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75" w:rsidRPr="00517109" w:rsidRDefault="002434A5">
    <w:pPr>
      <w:pStyle w:val="Footer"/>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DC3996">
      <w:rPr>
        <w:noProof/>
        <w:sz w:val="24"/>
        <w:szCs w:val="24"/>
      </w:rPr>
      <w:t>EMzino_190912_BIF</w:t>
    </w:r>
    <w:r>
      <w:rPr>
        <w:sz w:val="24"/>
        <w:szCs w:val="24"/>
      </w:rPr>
      <w:fldChar w:fldCharType="end"/>
    </w:r>
    <w:r w:rsidRPr="00517109">
      <w:rPr>
        <w:sz w:val="24"/>
        <w:szCs w:val="24"/>
      </w:rPr>
      <w:t xml:space="preserve">; </w:t>
    </w:r>
    <w:bookmarkStart w:id="3" w:name="OLE_LINK3"/>
    <w:bookmarkStart w:id="4" w:name="OLE_LINK4"/>
    <w:bookmarkStart w:id="5" w:name="_Hlk334443893"/>
    <w:r w:rsidRPr="00517109">
      <w:rPr>
        <w:sz w:val="24"/>
        <w:szCs w:val="24"/>
      </w:rPr>
      <w:t>Informatīvais ziņojums „Par Baltijas Inovāciju fondu”</w:t>
    </w:r>
    <w:bookmarkEnd w:id="3"/>
    <w:bookmarkEnd w:id="4"/>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75" w:rsidRPr="00517109" w:rsidRDefault="002434A5">
    <w:pPr>
      <w:pStyle w:val="Footer"/>
      <w:rPr>
        <w:sz w:val="24"/>
        <w:szCs w:val="24"/>
      </w:rPr>
    </w:pPr>
    <w:r>
      <w:rPr>
        <w:sz w:val="24"/>
        <w:szCs w:val="24"/>
      </w:rPr>
      <w:fldChar w:fldCharType="begin"/>
    </w:r>
    <w:r>
      <w:rPr>
        <w:sz w:val="24"/>
        <w:szCs w:val="24"/>
      </w:rPr>
      <w:instrText xml:space="preserve"> FILENAME   \* MERGEFORMAT </w:instrText>
    </w:r>
    <w:r>
      <w:rPr>
        <w:sz w:val="24"/>
        <w:szCs w:val="24"/>
      </w:rPr>
      <w:fldChar w:fldCharType="separate"/>
    </w:r>
    <w:r w:rsidR="00DC3996">
      <w:rPr>
        <w:noProof/>
        <w:sz w:val="24"/>
        <w:szCs w:val="24"/>
      </w:rPr>
      <w:t>EMzino_190912_BIF</w:t>
    </w:r>
    <w:r>
      <w:rPr>
        <w:sz w:val="24"/>
        <w:szCs w:val="24"/>
      </w:rPr>
      <w:fldChar w:fldCharType="end"/>
    </w:r>
    <w:r w:rsidRPr="00B67581">
      <w:rPr>
        <w:sz w:val="24"/>
        <w:szCs w:val="24"/>
      </w:rPr>
      <w:t>; I</w:t>
    </w:r>
    <w:r w:rsidRPr="00517109">
      <w:rPr>
        <w:sz w:val="24"/>
        <w:szCs w:val="24"/>
      </w:rPr>
      <w:t>nformatīvais ziņojums „Par Baltijas Inovāciju fondu”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BF" w:rsidRDefault="004C39BF" w:rsidP="0072388E">
      <w:r>
        <w:separator/>
      </w:r>
    </w:p>
  </w:footnote>
  <w:footnote w:type="continuationSeparator" w:id="0">
    <w:p w:rsidR="004C39BF" w:rsidRDefault="004C39BF" w:rsidP="0072388E">
      <w:r>
        <w:continuationSeparator/>
      </w:r>
    </w:p>
  </w:footnote>
  <w:footnote w:id="1">
    <w:p w:rsidR="0072388E" w:rsidRDefault="0072388E" w:rsidP="0072388E">
      <w:pPr>
        <w:pStyle w:val="FootnoteText"/>
      </w:pPr>
      <w:r>
        <w:rPr>
          <w:rStyle w:val="FootnoteReference"/>
        </w:rPr>
        <w:footnoteRef/>
      </w:r>
      <w:r>
        <w:t xml:space="preserve"> Lietuvas līdzfinansējumu nodrošinās specializēta finanšu institūcija INVEGA, Igaunijas līdzfinansējumu nodrošinās specializēta finanšu institūcija KredEx.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18675"/>
      <w:docPartObj>
        <w:docPartGallery w:val="Page Numbers (Top of Page)"/>
        <w:docPartUnique/>
      </w:docPartObj>
    </w:sdtPr>
    <w:sdtEndPr>
      <w:rPr>
        <w:noProof/>
      </w:rPr>
    </w:sdtEndPr>
    <w:sdtContent>
      <w:p w:rsidR="00AF2575" w:rsidRDefault="002434A5">
        <w:pPr>
          <w:pStyle w:val="Header"/>
          <w:jc w:val="center"/>
          <w:rPr>
            <w:noProof/>
          </w:rPr>
        </w:pPr>
        <w:r>
          <w:fldChar w:fldCharType="begin"/>
        </w:r>
        <w:r>
          <w:instrText xml:space="preserve"> PAGE   \* MERGEFORMAT </w:instrText>
        </w:r>
        <w:r>
          <w:fldChar w:fldCharType="separate"/>
        </w:r>
        <w:r w:rsidR="008D5306">
          <w:rPr>
            <w:noProof/>
          </w:rPr>
          <w:t>5</w:t>
        </w:r>
        <w:r>
          <w:rPr>
            <w:noProof/>
          </w:rPr>
          <w:fldChar w:fldCharType="end"/>
        </w:r>
      </w:p>
    </w:sdtContent>
  </w:sdt>
  <w:p w:rsidR="00AF2575" w:rsidRDefault="004C3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435A"/>
    <w:multiLevelType w:val="hybridMultilevel"/>
    <w:tmpl w:val="5216A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09C6AB5"/>
    <w:multiLevelType w:val="hybridMultilevel"/>
    <w:tmpl w:val="BF0EF78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B61960"/>
    <w:multiLevelType w:val="hybridMultilevel"/>
    <w:tmpl w:val="383E1D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5A066B"/>
    <w:multiLevelType w:val="hybridMultilevel"/>
    <w:tmpl w:val="AB264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631627"/>
    <w:multiLevelType w:val="hybridMultilevel"/>
    <w:tmpl w:val="344CD3D4"/>
    <w:lvl w:ilvl="0" w:tplc="04260001">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F147103"/>
    <w:multiLevelType w:val="hybridMultilevel"/>
    <w:tmpl w:val="C2142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8E"/>
    <w:rsid w:val="000279E7"/>
    <w:rsid w:val="00031BA5"/>
    <w:rsid w:val="00053AB3"/>
    <w:rsid w:val="00086935"/>
    <w:rsid w:val="000C1A47"/>
    <w:rsid w:val="000F4AD6"/>
    <w:rsid w:val="00103791"/>
    <w:rsid w:val="0012132F"/>
    <w:rsid w:val="001222DF"/>
    <w:rsid w:val="0012556C"/>
    <w:rsid w:val="00133222"/>
    <w:rsid w:val="00173179"/>
    <w:rsid w:val="001A5361"/>
    <w:rsid w:val="001B0DFB"/>
    <w:rsid w:val="001D6154"/>
    <w:rsid w:val="00216ACA"/>
    <w:rsid w:val="002274F4"/>
    <w:rsid w:val="002434A5"/>
    <w:rsid w:val="0032041A"/>
    <w:rsid w:val="00354F93"/>
    <w:rsid w:val="00372ACB"/>
    <w:rsid w:val="003C3497"/>
    <w:rsid w:val="00425920"/>
    <w:rsid w:val="00433ADA"/>
    <w:rsid w:val="00472476"/>
    <w:rsid w:val="00475B24"/>
    <w:rsid w:val="00480B62"/>
    <w:rsid w:val="004A1ADC"/>
    <w:rsid w:val="004A26D4"/>
    <w:rsid w:val="004B2595"/>
    <w:rsid w:val="004B72DE"/>
    <w:rsid w:val="004C39BF"/>
    <w:rsid w:val="004D4985"/>
    <w:rsid w:val="004D5A5D"/>
    <w:rsid w:val="004E5AA7"/>
    <w:rsid w:val="00587228"/>
    <w:rsid w:val="005A7E93"/>
    <w:rsid w:val="005C3409"/>
    <w:rsid w:val="005D7293"/>
    <w:rsid w:val="00635643"/>
    <w:rsid w:val="006514E3"/>
    <w:rsid w:val="00655D6E"/>
    <w:rsid w:val="006645E8"/>
    <w:rsid w:val="00686456"/>
    <w:rsid w:val="006B73C8"/>
    <w:rsid w:val="006C622C"/>
    <w:rsid w:val="006D1B9E"/>
    <w:rsid w:val="007009CD"/>
    <w:rsid w:val="0072388E"/>
    <w:rsid w:val="007324CF"/>
    <w:rsid w:val="00734B65"/>
    <w:rsid w:val="00742D8B"/>
    <w:rsid w:val="0083311B"/>
    <w:rsid w:val="00867798"/>
    <w:rsid w:val="008D5306"/>
    <w:rsid w:val="008E43C2"/>
    <w:rsid w:val="00965610"/>
    <w:rsid w:val="00971213"/>
    <w:rsid w:val="00994EFB"/>
    <w:rsid w:val="009A34D3"/>
    <w:rsid w:val="009C583D"/>
    <w:rsid w:val="009C6384"/>
    <w:rsid w:val="009F7F09"/>
    <w:rsid w:val="00A042A2"/>
    <w:rsid w:val="00A14C5D"/>
    <w:rsid w:val="00A87659"/>
    <w:rsid w:val="00AA770C"/>
    <w:rsid w:val="00AC41F5"/>
    <w:rsid w:val="00B135B4"/>
    <w:rsid w:val="00B909A3"/>
    <w:rsid w:val="00C1537A"/>
    <w:rsid w:val="00C24DBA"/>
    <w:rsid w:val="00C42EF5"/>
    <w:rsid w:val="00C57348"/>
    <w:rsid w:val="00C95946"/>
    <w:rsid w:val="00D23B40"/>
    <w:rsid w:val="00D26121"/>
    <w:rsid w:val="00D378F1"/>
    <w:rsid w:val="00DC3996"/>
    <w:rsid w:val="00E10DC0"/>
    <w:rsid w:val="00E11D4E"/>
    <w:rsid w:val="00E17A28"/>
    <w:rsid w:val="00E55E3E"/>
    <w:rsid w:val="00EC62F7"/>
    <w:rsid w:val="00EE0A42"/>
    <w:rsid w:val="00F14D80"/>
    <w:rsid w:val="00F70107"/>
    <w:rsid w:val="00F83445"/>
    <w:rsid w:val="00FC0E87"/>
    <w:rsid w:val="00FE1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8E"/>
    <w:pPr>
      <w:tabs>
        <w:tab w:val="center" w:pos="4153"/>
        <w:tab w:val="right" w:pos="8306"/>
      </w:tabs>
    </w:pPr>
  </w:style>
  <w:style w:type="character" w:customStyle="1" w:styleId="HeaderChar">
    <w:name w:val="Header Char"/>
    <w:basedOn w:val="DefaultParagraphFont"/>
    <w:link w:val="Header"/>
    <w:uiPriority w:val="99"/>
    <w:rsid w:val="0072388E"/>
    <w:rPr>
      <w:rFonts w:ascii="Times New Roman" w:hAnsi="Times New Roman"/>
      <w:sz w:val="28"/>
    </w:rPr>
  </w:style>
  <w:style w:type="paragraph" w:styleId="Footer">
    <w:name w:val="footer"/>
    <w:basedOn w:val="Normal"/>
    <w:link w:val="FooterChar"/>
    <w:uiPriority w:val="99"/>
    <w:unhideWhenUsed/>
    <w:rsid w:val="0072388E"/>
    <w:pPr>
      <w:tabs>
        <w:tab w:val="center" w:pos="4153"/>
        <w:tab w:val="right" w:pos="8306"/>
      </w:tabs>
    </w:pPr>
  </w:style>
  <w:style w:type="character" w:customStyle="1" w:styleId="FooterChar">
    <w:name w:val="Footer Char"/>
    <w:basedOn w:val="DefaultParagraphFont"/>
    <w:link w:val="Footer"/>
    <w:uiPriority w:val="99"/>
    <w:rsid w:val="0072388E"/>
    <w:rPr>
      <w:rFonts w:ascii="Times New Roman" w:hAnsi="Times New Roman"/>
      <w:sz w:val="28"/>
    </w:rPr>
  </w:style>
  <w:style w:type="paragraph" w:styleId="ListParagraph">
    <w:name w:val="List Paragraph"/>
    <w:basedOn w:val="Normal"/>
    <w:link w:val="ListParagraphChar"/>
    <w:uiPriority w:val="34"/>
    <w:qFormat/>
    <w:rsid w:val="0072388E"/>
    <w:pPr>
      <w:ind w:left="720"/>
      <w:contextualSpacing/>
    </w:pPr>
  </w:style>
  <w:style w:type="character" w:customStyle="1" w:styleId="ListParagraphChar">
    <w:name w:val="List Paragraph Char"/>
    <w:link w:val="ListParagraph"/>
    <w:uiPriority w:val="34"/>
    <w:locked/>
    <w:rsid w:val="0072388E"/>
    <w:rPr>
      <w:rFonts w:ascii="Times New Roman" w:hAnsi="Times New Roman"/>
      <w:sz w:val="28"/>
    </w:rPr>
  </w:style>
  <w:style w:type="paragraph" w:styleId="FootnoteText">
    <w:name w:val="footnote text"/>
    <w:basedOn w:val="Normal"/>
    <w:link w:val="FootnoteTextChar"/>
    <w:uiPriority w:val="99"/>
    <w:semiHidden/>
    <w:unhideWhenUsed/>
    <w:rsid w:val="0072388E"/>
    <w:rPr>
      <w:sz w:val="20"/>
      <w:szCs w:val="20"/>
    </w:rPr>
  </w:style>
  <w:style w:type="character" w:customStyle="1" w:styleId="FootnoteTextChar">
    <w:name w:val="Footnote Text Char"/>
    <w:basedOn w:val="DefaultParagraphFont"/>
    <w:link w:val="FootnoteText"/>
    <w:uiPriority w:val="99"/>
    <w:semiHidden/>
    <w:rsid w:val="0072388E"/>
    <w:rPr>
      <w:rFonts w:ascii="Times New Roman" w:hAnsi="Times New Roman"/>
      <w:sz w:val="20"/>
      <w:szCs w:val="20"/>
    </w:rPr>
  </w:style>
  <w:style w:type="character" w:styleId="FootnoteReference">
    <w:name w:val="footnote reference"/>
    <w:basedOn w:val="DefaultParagraphFont"/>
    <w:uiPriority w:val="99"/>
    <w:semiHidden/>
    <w:unhideWhenUsed/>
    <w:rsid w:val="0072388E"/>
    <w:rPr>
      <w:vertAlign w:val="superscript"/>
    </w:rPr>
  </w:style>
  <w:style w:type="paragraph" w:styleId="BalloonText">
    <w:name w:val="Balloon Text"/>
    <w:basedOn w:val="Normal"/>
    <w:link w:val="BalloonTextChar"/>
    <w:uiPriority w:val="99"/>
    <w:semiHidden/>
    <w:unhideWhenUsed/>
    <w:rsid w:val="004D4985"/>
    <w:rPr>
      <w:rFonts w:ascii="Tahoma" w:hAnsi="Tahoma" w:cs="Tahoma"/>
      <w:sz w:val="16"/>
      <w:szCs w:val="16"/>
    </w:rPr>
  </w:style>
  <w:style w:type="character" w:customStyle="1" w:styleId="BalloonTextChar">
    <w:name w:val="Balloon Text Char"/>
    <w:basedOn w:val="DefaultParagraphFont"/>
    <w:link w:val="BalloonText"/>
    <w:uiPriority w:val="99"/>
    <w:semiHidden/>
    <w:rsid w:val="004D4985"/>
    <w:rPr>
      <w:rFonts w:ascii="Tahoma" w:hAnsi="Tahoma" w:cs="Tahoma"/>
      <w:sz w:val="16"/>
      <w:szCs w:val="16"/>
    </w:rPr>
  </w:style>
  <w:style w:type="paragraph" w:styleId="Revision">
    <w:name w:val="Revision"/>
    <w:hidden/>
    <w:uiPriority w:val="99"/>
    <w:semiHidden/>
    <w:rsid w:val="002274F4"/>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F70107"/>
    <w:rPr>
      <w:sz w:val="16"/>
      <w:szCs w:val="16"/>
    </w:rPr>
  </w:style>
  <w:style w:type="paragraph" w:styleId="CommentText">
    <w:name w:val="annotation text"/>
    <w:basedOn w:val="Normal"/>
    <w:link w:val="CommentTextChar"/>
    <w:uiPriority w:val="99"/>
    <w:semiHidden/>
    <w:unhideWhenUsed/>
    <w:rsid w:val="00F70107"/>
    <w:rPr>
      <w:sz w:val="20"/>
      <w:szCs w:val="20"/>
    </w:rPr>
  </w:style>
  <w:style w:type="character" w:customStyle="1" w:styleId="CommentTextChar">
    <w:name w:val="Comment Text Char"/>
    <w:basedOn w:val="DefaultParagraphFont"/>
    <w:link w:val="CommentText"/>
    <w:uiPriority w:val="99"/>
    <w:semiHidden/>
    <w:rsid w:val="00F701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0107"/>
    <w:rPr>
      <w:b/>
      <w:bCs/>
    </w:rPr>
  </w:style>
  <w:style w:type="character" w:customStyle="1" w:styleId="CommentSubjectChar">
    <w:name w:val="Comment Subject Char"/>
    <w:basedOn w:val="CommentTextChar"/>
    <w:link w:val="CommentSubject"/>
    <w:uiPriority w:val="99"/>
    <w:semiHidden/>
    <w:rsid w:val="00F7010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8E"/>
    <w:pPr>
      <w:tabs>
        <w:tab w:val="center" w:pos="4153"/>
        <w:tab w:val="right" w:pos="8306"/>
      </w:tabs>
    </w:pPr>
  </w:style>
  <w:style w:type="character" w:customStyle="1" w:styleId="HeaderChar">
    <w:name w:val="Header Char"/>
    <w:basedOn w:val="DefaultParagraphFont"/>
    <w:link w:val="Header"/>
    <w:uiPriority w:val="99"/>
    <w:rsid w:val="0072388E"/>
    <w:rPr>
      <w:rFonts w:ascii="Times New Roman" w:hAnsi="Times New Roman"/>
      <w:sz w:val="28"/>
    </w:rPr>
  </w:style>
  <w:style w:type="paragraph" w:styleId="Footer">
    <w:name w:val="footer"/>
    <w:basedOn w:val="Normal"/>
    <w:link w:val="FooterChar"/>
    <w:uiPriority w:val="99"/>
    <w:unhideWhenUsed/>
    <w:rsid w:val="0072388E"/>
    <w:pPr>
      <w:tabs>
        <w:tab w:val="center" w:pos="4153"/>
        <w:tab w:val="right" w:pos="8306"/>
      </w:tabs>
    </w:pPr>
  </w:style>
  <w:style w:type="character" w:customStyle="1" w:styleId="FooterChar">
    <w:name w:val="Footer Char"/>
    <w:basedOn w:val="DefaultParagraphFont"/>
    <w:link w:val="Footer"/>
    <w:uiPriority w:val="99"/>
    <w:rsid w:val="0072388E"/>
    <w:rPr>
      <w:rFonts w:ascii="Times New Roman" w:hAnsi="Times New Roman"/>
      <w:sz w:val="28"/>
    </w:rPr>
  </w:style>
  <w:style w:type="paragraph" w:styleId="ListParagraph">
    <w:name w:val="List Paragraph"/>
    <w:basedOn w:val="Normal"/>
    <w:link w:val="ListParagraphChar"/>
    <w:uiPriority w:val="34"/>
    <w:qFormat/>
    <w:rsid w:val="0072388E"/>
    <w:pPr>
      <w:ind w:left="720"/>
      <w:contextualSpacing/>
    </w:pPr>
  </w:style>
  <w:style w:type="character" w:customStyle="1" w:styleId="ListParagraphChar">
    <w:name w:val="List Paragraph Char"/>
    <w:link w:val="ListParagraph"/>
    <w:uiPriority w:val="34"/>
    <w:locked/>
    <w:rsid w:val="0072388E"/>
    <w:rPr>
      <w:rFonts w:ascii="Times New Roman" w:hAnsi="Times New Roman"/>
      <w:sz w:val="28"/>
    </w:rPr>
  </w:style>
  <w:style w:type="paragraph" w:styleId="FootnoteText">
    <w:name w:val="footnote text"/>
    <w:basedOn w:val="Normal"/>
    <w:link w:val="FootnoteTextChar"/>
    <w:uiPriority w:val="99"/>
    <w:semiHidden/>
    <w:unhideWhenUsed/>
    <w:rsid w:val="0072388E"/>
    <w:rPr>
      <w:sz w:val="20"/>
      <w:szCs w:val="20"/>
    </w:rPr>
  </w:style>
  <w:style w:type="character" w:customStyle="1" w:styleId="FootnoteTextChar">
    <w:name w:val="Footnote Text Char"/>
    <w:basedOn w:val="DefaultParagraphFont"/>
    <w:link w:val="FootnoteText"/>
    <w:uiPriority w:val="99"/>
    <w:semiHidden/>
    <w:rsid w:val="0072388E"/>
    <w:rPr>
      <w:rFonts w:ascii="Times New Roman" w:hAnsi="Times New Roman"/>
      <w:sz w:val="20"/>
      <w:szCs w:val="20"/>
    </w:rPr>
  </w:style>
  <w:style w:type="character" w:styleId="FootnoteReference">
    <w:name w:val="footnote reference"/>
    <w:basedOn w:val="DefaultParagraphFont"/>
    <w:uiPriority w:val="99"/>
    <w:semiHidden/>
    <w:unhideWhenUsed/>
    <w:rsid w:val="0072388E"/>
    <w:rPr>
      <w:vertAlign w:val="superscript"/>
    </w:rPr>
  </w:style>
  <w:style w:type="paragraph" w:styleId="BalloonText">
    <w:name w:val="Balloon Text"/>
    <w:basedOn w:val="Normal"/>
    <w:link w:val="BalloonTextChar"/>
    <w:uiPriority w:val="99"/>
    <w:semiHidden/>
    <w:unhideWhenUsed/>
    <w:rsid w:val="004D4985"/>
    <w:rPr>
      <w:rFonts w:ascii="Tahoma" w:hAnsi="Tahoma" w:cs="Tahoma"/>
      <w:sz w:val="16"/>
      <w:szCs w:val="16"/>
    </w:rPr>
  </w:style>
  <w:style w:type="character" w:customStyle="1" w:styleId="BalloonTextChar">
    <w:name w:val="Balloon Text Char"/>
    <w:basedOn w:val="DefaultParagraphFont"/>
    <w:link w:val="BalloonText"/>
    <w:uiPriority w:val="99"/>
    <w:semiHidden/>
    <w:rsid w:val="004D4985"/>
    <w:rPr>
      <w:rFonts w:ascii="Tahoma" w:hAnsi="Tahoma" w:cs="Tahoma"/>
      <w:sz w:val="16"/>
      <w:szCs w:val="16"/>
    </w:rPr>
  </w:style>
  <w:style w:type="paragraph" w:styleId="Revision">
    <w:name w:val="Revision"/>
    <w:hidden/>
    <w:uiPriority w:val="99"/>
    <w:semiHidden/>
    <w:rsid w:val="002274F4"/>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F70107"/>
    <w:rPr>
      <w:sz w:val="16"/>
      <w:szCs w:val="16"/>
    </w:rPr>
  </w:style>
  <w:style w:type="paragraph" w:styleId="CommentText">
    <w:name w:val="annotation text"/>
    <w:basedOn w:val="Normal"/>
    <w:link w:val="CommentTextChar"/>
    <w:uiPriority w:val="99"/>
    <w:semiHidden/>
    <w:unhideWhenUsed/>
    <w:rsid w:val="00F70107"/>
    <w:rPr>
      <w:sz w:val="20"/>
      <w:szCs w:val="20"/>
    </w:rPr>
  </w:style>
  <w:style w:type="character" w:customStyle="1" w:styleId="CommentTextChar">
    <w:name w:val="Comment Text Char"/>
    <w:basedOn w:val="DefaultParagraphFont"/>
    <w:link w:val="CommentText"/>
    <w:uiPriority w:val="99"/>
    <w:semiHidden/>
    <w:rsid w:val="00F701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0107"/>
    <w:rPr>
      <w:b/>
      <w:bCs/>
    </w:rPr>
  </w:style>
  <w:style w:type="character" w:customStyle="1" w:styleId="CommentSubjectChar">
    <w:name w:val="Comment Subject Char"/>
    <w:basedOn w:val="CommentTextChar"/>
    <w:link w:val="CommentSubject"/>
    <w:uiPriority w:val="99"/>
    <w:semiHidden/>
    <w:rsid w:val="00F7010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1523</Words>
  <Characters>10985</Characters>
  <Application>Microsoft Office Word</Application>
  <DocSecurity>0</DocSecurity>
  <Lines>211</Lines>
  <Paragraphs>50</Paragraphs>
  <ScaleCrop>false</ScaleCrop>
  <HeadingPairs>
    <vt:vector size="2" baseType="variant">
      <vt:variant>
        <vt:lpstr>Title</vt:lpstr>
      </vt:variant>
      <vt:variant>
        <vt:i4>1</vt:i4>
      </vt:variant>
    </vt:vector>
  </HeadingPairs>
  <TitlesOfParts>
    <vt:vector size="1" baseType="lpstr">
      <vt:lpstr>MK informatīvais ziņojums</vt:lpstr>
    </vt:vector>
  </TitlesOfParts>
  <Company>EM</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informatīvais ziņojums</dc:title>
  <dc:subject/>
  <dc:creator>Egita Poļanska</dc:creator>
  <cp:keywords/>
  <dc:description>67013108, Egita.Polanska@em.gov.lv</dc:description>
  <cp:lastModifiedBy>Egita Poļanska</cp:lastModifiedBy>
  <cp:revision>8</cp:revision>
  <cp:lastPrinted>2012-09-18T06:49:00Z</cp:lastPrinted>
  <dcterms:created xsi:type="dcterms:W3CDTF">2012-09-18T12:29:00Z</dcterms:created>
  <dcterms:modified xsi:type="dcterms:W3CDTF">2012-09-19T11:21:00Z</dcterms:modified>
</cp:coreProperties>
</file>