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16" w:rsidRPr="00BE7CE5" w:rsidRDefault="00F65F1E" w:rsidP="00BE7CE5">
      <w:pPr>
        <w:jc w:val="center"/>
        <w:rPr>
          <w:b/>
          <w:lang w:eastAsia="lv-LV"/>
        </w:rPr>
      </w:pPr>
      <w:r w:rsidRPr="00BE7CE5">
        <w:rPr>
          <w:b/>
          <w:lang w:eastAsia="lv-LV"/>
        </w:rPr>
        <w:t xml:space="preserve">Ministru kabineta instrukcijas projekta „Grozījumi Ministru kabineta 2012.gada 2.oktobra instrukcijā Nr.12 „Dienesta vieglo automobiļu iegādes un nomas kārtība”” </w:t>
      </w:r>
      <w:r w:rsidR="00EA5E16" w:rsidRPr="00BE7CE5">
        <w:rPr>
          <w:b/>
          <w:lang w:eastAsia="lv-LV"/>
        </w:rPr>
        <w:t>sākotnējās ietekmes novērtējuma ziņojums (anotācija)</w:t>
      </w:r>
    </w:p>
    <w:p w:rsidR="00EA5E16" w:rsidRPr="00EA5E16" w:rsidRDefault="00EA5E16" w:rsidP="00EA5E16">
      <w:pPr>
        <w:jc w:val="center"/>
        <w:rPr>
          <w:rFonts w:eastAsia="Times New Roman" w:cs="Times New Roman"/>
          <w:b/>
          <w:bCs/>
          <w:sz w:val="16"/>
          <w:szCs w:val="16"/>
          <w:lang w:eastAsia="lv-LV"/>
        </w:rPr>
      </w:pPr>
    </w:p>
    <w:p w:rsidR="00EA5E16" w:rsidRPr="00EA5E16" w:rsidRDefault="00EA5E16" w:rsidP="00EA5E16">
      <w:pPr>
        <w:jc w:val="center"/>
        <w:rPr>
          <w:rFonts w:eastAsia="Times New Roman" w:cs="Times New Roman"/>
          <w:b/>
          <w:bCs/>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351"/>
      </w:tblGrid>
      <w:tr w:rsidR="00EA5E16" w:rsidRPr="00EA5E16" w:rsidTr="004A187E">
        <w:tc>
          <w:tcPr>
            <w:tcW w:w="9287" w:type="dxa"/>
            <w:gridSpan w:val="3"/>
          </w:tcPr>
          <w:p w:rsidR="00EA5E16" w:rsidRPr="00EA5E16" w:rsidRDefault="00EA5E16" w:rsidP="00EA5E16">
            <w:pPr>
              <w:jc w:val="center"/>
              <w:rPr>
                <w:rFonts w:eastAsia="Times New Roman" w:cs="Times New Roman"/>
                <w:szCs w:val="24"/>
                <w:lang w:eastAsia="lv-LV"/>
              </w:rPr>
            </w:pPr>
            <w:r w:rsidRPr="00EA5E16">
              <w:rPr>
                <w:rFonts w:eastAsia="Times New Roman" w:cs="Times New Roman"/>
                <w:b/>
                <w:bCs/>
                <w:szCs w:val="24"/>
                <w:lang w:eastAsia="lv-LV"/>
              </w:rPr>
              <w:t>I. Tiesību akta projekta izstrādes nepieciešamība</w:t>
            </w:r>
          </w:p>
        </w:tc>
      </w:tr>
      <w:tr w:rsidR="00EA5E16" w:rsidRPr="00EA5E16" w:rsidTr="004A187E">
        <w:trPr>
          <w:trHeight w:val="1944"/>
        </w:trPr>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1.</w:t>
            </w:r>
          </w:p>
        </w:tc>
        <w:tc>
          <w:tcPr>
            <w:tcW w:w="328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Pamatojums</w:t>
            </w:r>
          </w:p>
        </w:tc>
        <w:tc>
          <w:tcPr>
            <w:tcW w:w="5351" w:type="dxa"/>
          </w:tcPr>
          <w:p w:rsidR="00745E55" w:rsidRDefault="00745E55" w:rsidP="00745E55">
            <w:pPr>
              <w:tabs>
                <w:tab w:val="left" w:pos="354"/>
              </w:tabs>
              <w:ind w:left="33"/>
              <w:jc w:val="both"/>
              <w:rPr>
                <w:rFonts w:eastAsia="Times New Roman" w:cs="Times New Roman"/>
                <w:iCs/>
                <w:szCs w:val="24"/>
                <w:lang w:eastAsia="lv-LV"/>
              </w:rPr>
            </w:pPr>
            <w:proofErr w:type="spellStart"/>
            <w:r w:rsidRPr="00745E55">
              <w:rPr>
                <w:rFonts w:eastAsia="Times New Roman" w:cs="Times New Roman"/>
                <w:iCs/>
                <w:szCs w:val="24"/>
                <w:lang w:eastAsia="lv-LV"/>
              </w:rPr>
              <w:t>Euro</w:t>
            </w:r>
            <w:proofErr w:type="spellEnd"/>
            <w:r w:rsidRPr="00745E55">
              <w:rPr>
                <w:rFonts w:eastAsia="Times New Roman" w:cs="Times New Roman"/>
                <w:iCs/>
                <w:szCs w:val="24"/>
                <w:lang w:eastAsia="lv-LV"/>
              </w:rPr>
              <w:t xml:space="preserve"> ieviešanas likuma 30.panta ceturtā daļa.</w:t>
            </w:r>
          </w:p>
          <w:p w:rsidR="00FD0A4C" w:rsidRDefault="008C1B92" w:rsidP="00FD0A4C">
            <w:pPr>
              <w:tabs>
                <w:tab w:val="left" w:pos="354"/>
              </w:tabs>
              <w:ind w:left="33"/>
              <w:jc w:val="both"/>
              <w:rPr>
                <w:rFonts w:eastAsia="Times New Roman" w:cs="Times New Roman"/>
                <w:iCs/>
                <w:szCs w:val="24"/>
                <w:lang w:eastAsia="lv-LV"/>
              </w:rPr>
            </w:pPr>
            <w:r w:rsidRPr="004C6911">
              <w:rPr>
                <w:rFonts w:eastAsia="Times New Roman" w:cs="Times New Roman"/>
                <w:iCs/>
                <w:szCs w:val="24"/>
                <w:lang w:eastAsia="lv-LV"/>
              </w:rPr>
              <w:t xml:space="preserve">Latvijas Nacionālo </w:t>
            </w:r>
            <w:proofErr w:type="spellStart"/>
            <w:r w:rsidRPr="004C6911">
              <w:rPr>
                <w:rFonts w:eastAsia="Times New Roman" w:cs="Times New Roman"/>
                <w:iCs/>
                <w:szCs w:val="24"/>
                <w:lang w:eastAsia="lv-LV"/>
              </w:rPr>
              <w:t>euro</w:t>
            </w:r>
            <w:proofErr w:type="spellEnd"/>
            <w:r w:rsidRPr="004C6911">
              <w:rPr>
                <w:rFonts w:eastAsia="Times New Roman" w:cs="Times New Roman"/>
                <w:iCs/>
                <w:szCs w:val="24"/>
                <w:lang w:eastAsia="lv-LV"/>
              </w:rPr>
              <w:t xml:space="preserve"> ieviešanas plān</w:t>
            </w:r>
            <w:r w:rsidR="004C6911">
              <w:rPr>
                <w:rFonts w:eastAsia="Times New Roman" w:cs="Times New Roman"/>
                <w:iCs/>
                <w:szCs w:val="24"/>
                <w:lang w:eastAsia="lv-LV"/>
              </w:rPr>
              <w:t>a</w:t>
            </w:r>
            <w:r w:rsidR="004C6911" w:rsidRPr="004C6911">
              <w:rPr>
                <w:rFonts w:eastAsia="Times New Roman" w:cs="Times New Roman"/>
                <w:iCs/>
                <w:szCs w:val="24"/>
                <w:lang w:eastAsia="lv-LV"/>
              </w:rPr>
              <w:t xml:space="preserve"> </w:t>
            </w:r>
            <w:r w:rsidR="004C6911">
              <w:rPr>
                <w:rFonts w:eastAsia="Times New Roman" w:cs="Times New Roman"/>
                <w:iCs/>
                <w:szCs w:val="24"/>
                <w:lang w:eastAsia="lv-LV"/>
              </w:rPr>
              <w:t>(</w:t>
            </w:r>
            <w:r w:rsidR="00E3214F">
              <w:rPr>
                <w:rFonts w:eastAsia="Times New Roman" w:cs="Times New Roman"/>
                <w:iCs/>
                <w:szCs w:val="24"/>
                <w:lang w:eastAsia="lv-LV"/>
              </w:rPr>
              <w:t>Ministru kabineta 2013</w:t>
            </w:r>
            <w:r w:rsidR="004C6911" w:rsidRPr="004C6911">
              <w:rPr>
                <w:rFonts w:eastAsia="Times New Roman" w:cs="Times New Roman"/>
                <w:iCs/>
                <w:szCs w:val="24"/>
                <w:lang w:eastAsia="lv-LV"/>
              </w:rPr>
              <w:t xml:space="preserve">.gada </w:t>
            </w:r>
            <w:r w:rsidR="00E3214F">
              <w:rPr>
                <w:rFonts w:eastAsia="Times New Roman" w:cs="Times New Roman"/>
                <w:iCs/>
                <w:szCs w:val="24"/>
                <w:lang w:eastAsia="lv-LV"/>
              </w:rPr>
              <w:t>4.aprīļa</w:t>
            </w:r>
            <w:r w:rsidR="004C6911" w:rsidRPr="004C6911">
              <w:rPr>
                <w:rFonts w:eastAsia="Times New Roman" w:cs="Times New Roman"/>
                <w:iCs/>
                <w:szCs w:val="24"/>
                <w:lang w:eastAsia="lv-LV"/>
              </w:rPr>
              <w:t xml:space="preserve"> rīkojum</w:t>
            </w:r>
            <w:r w:rsidR="004C6911">
              <w:rPr>
                <w:rFonts w:eastAsia="Times New Roman" w:cs="Times New Roman"/>
                <w:iCs/>
                <w:szCs w:val="24"/>
                <w:lang w:eastAsia="lv-LV"/>
              </w:rPr>
              <w:t>s</w:t>
            </w:r>
            <w:r w:rsidR="004C6911" w:rsidRPr="004C6911">
              <w:rPr>
                <w:rFonts w:eastAsia="Times New Roman" w:cs="Times New Roman"/>
                <w:iCs/>
                <w:szCs w:val="24"/>
                <w:lang w:eastAsia="lv-LV"/>
              </w:rPr>
              <w:t xml:space="preserve"> Nr.</w:t>
            </w:r>
            <w:r w:rsidR="00E3214F">
              <w:rPr>
                <w:rFonts w:eastAsia="Times New Roman" w:cs="Times New Roman"/>
                <w:iCs/>
                <w:szCs w:val="24"/>
                <w:lang w:eastAsia="lv-LV"/>
              </w:rPr>
              <w:t>136</w:t>
            </w:r>
            <w:bookmarkStart w:id="0" w:name="_GoBack"/>
            <w:bookmarkEnd w:id="0"/>
            <w:r w:rsidR="004C6911">
              <w:rPr>
                <w:rFonts w:eastAsia="Times New Roman" w:cs="Times New Roman"/>
                <w:iCs/>
                <w:szCs w:val="24"/>
                <w:lang w:eastAsia="lv-LV"/>
              </w:rPr>
              <w:t>)</w:t>
            </w:r>
            <w:r w:rsidRPr="004C6911">
              <w:rPr>
                <w:rFonts w:eastAsia="Times New Roman" w:cs="Times New Roman"/>
                <w:iCs/>
                <w:szCs w:val="24"/>
                <w:lang w:eastAsia="lv-LV"/>
              </w:rPr>
              <w:t xml:space="preserve"> 1.pielikuma „Pasākumu plāns Eiropas vienotās valūtas ieviešanai Latvijā” Juridisko jautājumu sadaļā </w:t>
            </w:r>
            <w:r w:rsidR="004C6911">
              <w:rPr>
                <w:rFonts w:eastAsia="Times New Roman" w:cs="Times New Roman"/>
                <w:iCs/>
                <w:szCs w:val="24"/>
                <w:lang w:eastAsia="lv-LV"/>
              </w:rPr>
              <w:t xml:space="preserve">pasākums Nr.J2.2.2. nosaka visām ministrijām </w:t>
            </w:r>
            <w:r w:rsidR="00FD0A4C">
              <w:rPr>
                <w:rFonts w:eastAsia="Times New Roman" w:cs="Times New Roman"/>
                <w:iCs/>
                <w:szCs w:val="24"/>
                <w:lang w:eastAsia="lv-LV"/>
              </w:rPr>
              <w:t xml:space="preserve">līdz </w:t>
            </w:r>
            <w:r w:rsidR="00FD0A4C" w:rsidRPr="00FD0A4C">
              <w:rPr>
                <w:rFonts w:eastAsia="Times New Roman" w:cs="Times New Roman"/>
                <w:iCs/>
                <w:szCs w:val="24"/>
                <w:lang w:eastAsia="lv-LV"/>
              </w:rPr>
              <w:t xml:space="preserve">2013.gada 1.oktobrim </w:t>
            </w:r>
            <w:r w:rsidR="004C6911">
              <w:rPr>
                <w:rFonts w:eastAsia="Times New Roman" w:cs="Times New Roman"/>
                <w:iCs/>
                <w:szCs w:val="24"/>
                <w:lang w:eastAsia="lv-LV"/>
              </w:rPr>
              <w:t xml:space="preserve">iesniegt Ministru kabinetā to normatīvos aktus, kas ir </w:t>
            </w:r>
            <w:r w:rsidR="004C6911" w:rsidRPr="004C6911">
              <w:rPr>
                <w:rFonts w:eastAsia="Times New Roman" w:cs="Times New Roman"/>
                <w:iCs/>
                <w:szCs w:val="24"/>
                <w:lang w:eastAsia="lv-LV"/>
              </w:rPr>
              <w:t>būtiski tiesiskās</w:t>
            </w:r>
            <w:r w:rsidR="004C6911">
              <w:rPr>
                <w:rFonts w:eastAsia="Times New Roman" w:cs="Times New Roman"/>
                <w:iCs/>
                <w:szCs w:val="24"/>
                <w:lang w:eastAsia="lv-LV"/>
              </w:rPr>
              <w:t xml:space="preserve"> </w:t>
            </w:r>
            <w:r w:rsidR="004C6911" w:rsidRPr="004C6911">
              <w:rPr>
                <w:rFonts w:eastAsia="Times New Roman" w:cs="Times New Roman"/>
                <w:iCs/>
                <w:szCs w:val="24"/>
                <w:lang w:eastAsia="lv-LV"/>
              </w:rPr>
              <w:t>noteiktības</w:t>
            </w:r>
            <w:r w:rsidR="004C6911">
              <w:rPr>
                <w:rFonts w:eastAsia="Times New Roman" w:cs="Times New Roman"/>
                <w:iCs/>
                <w:szCs w:val="24"/>
                <w:lang w:eastAsia="lv-LV"/>
              </w:rPr>
              <w:t xml:space="preserve"> </w:t>
            </w:r>
            <w:r w:rsidR="004C6911" w:rsidRPr="004C6911">
              <w:rPr>
                <w:rFonts w:eastAsia="Times New Roman" w:cs="Times New Roman"/>
                <w:iCs/>
                <w:szCs w:val="24"/>
                <w:lang w:eastAsia="lv-LV"/>
              </w:rPr>
              <w:t>nodrošināšanai saistībā</w:t>
            </w:r>
            <w:r w:rsidR="004C6911">
              <w:rPr>
                <w:rFonts w:eastAsia="Times New Roman" w:cs="Times New Roman"/>
                <w:iCs/>
                <w:szCs w:val="24"/>
                <w:lang w:eastAsia="lv-LV"/>
              </w:rPr>
              <w:t xml:space="preserve"> </w:t>
            </w:r>
            <w:r w:rsidR="004C6911" w:rsidRPr="004C6911">
              <w:rPr>
                <w:rFonts w:eastAsia="Times New Roman" w:cs="Times New Roman"/>
                <w:iCs/>
                <w:szCs w:val="24"/>
                <w:lang w:eastAsia="lv-LV"/>
              </w:rPr>
              <w:t xml:space="preserve">ar </w:t>
            </w:r>
            <w:proofErr w:type="spellStart"/>
            <w:r w:rsidR="004C6911" w:rsidRPr="004C6911">
              <w:rPr>
                <w:rFonts w:eastAsia="Times New Roman" w:cs="Times New Roman"/>
                <w:iCs/>
                <w:szCs w:val="24"/>
                <w:lang w:eastAsia="lv-LV"/>
              </w:rPr>
              <w:t>euro</w:t>
            </w:r>
            <w:proofErr w:type="spellEnd"/>
            <w:r w:rsidR="004C6911" w:rsidRPr="004C6911">
              <w:rPr>
                <w:rFonts w:eastAsia="Times New Roman" w:cs="Times New Roman"/>
                <w:iCs/>
                <w:szCs w:val="24"/>
                <w:lang w:eastAsia="lv-LV"/>
              </w:rPr>
              <w:t xml:space="preserve"> ieviešanu</w:t>
            </w:r>
            <w:r w:rsidR="003A37E2">
              <w:rPr>
                <w:rFonts w:eastAsia="Times New Roman" w:cs="Times New Roman"/>
                <w:iCs/>
                <w:szCs w:val="24"/>
                <w:lang w:eastAsia="lv-LV"/>
              </w:rPr>
              <w:t>.</w:t>
            </w:r>
          </w:p>
          <w:p w:rsidR="00EA5E16" w:rsidRPr="00EA5E16" w:rsidRDefault="00602435" w:rsidP="00EA5E16">
            <w:pPr>
              <w:tabs>
                <w:tab w:val="left" w:pos="354"/>
              </w:tabs>
              <w:ind w:left="33"/>
              <w:jc w:val="both"/>
              <w:rPr>
                <w:rFonts w:eastAsia="Times New Roman" w:cs="Times New Roman"/>
                <w:szCs w:val="24"/>
                <w:lang w:eastAsia="lv-LV"/>
              </w:rPr>
            </w:pPr>
            <w:r w:rsidRPr="00602435">
              <w:rPr>
                <w:rFonts w:eastAsia="Times New Roman" w:cs="Times New Roman"/>
                <w:iCs/>
                <w:szCs w:val="24"/>
                <w:lang w:eastAsia="lv-LV"/>
              </w:rPr>
              <w:t>Ministru kabineta 2012.gada 27.jūnija rīkojuma Nr.282 „Par „Koncepciju par normatīvo aktu sakārtošanu saistībā ar eiro ieviešanu Latvijā”” 7.1.apakšpunktā dotais uzdevums nosaka visām ministrijām atbilstoši kompetencei sagatavot Ministru kabineta noteikumu, rīkojumu, instrukciju un ieteikumu projektus, kas ir būtiski tiesiskās noteiktības nodrošināšanai, un līdz 2013.gada 1.oktobrim iesniegt tos noteiktā kārtībā Ministru kabinetā.</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2.</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Pašreizējā situācija un problēmas</w:t>
            </w:r>
          </w:p>
        </w:tc>
        <w:tc>
          <w:tcPr>
            <w:tcW w:w="5351" w:type="dxa"/>
          </w:tcPr>
          <w:p w:rsidR="00E72AA8" w:rsidRPr="003064E1" w:rsidRDefault="00425C43" w:rsidP="00425C43">
            <w:pPr>
              <w:tabs>
                <w:tab w:val="left" w:pos="459"/>
              </w:tabs>
              <w:jc w:val="both"/>
              <w:rPr>
                <w:rFonts w:eastAsia="Times New Roman" w:cs="Times New Roman"/>
                <w:bCs/>
                <w:iCs/>
                <w:szCs w:val="24"/>
                <w:lang w:eastAsia="lv-LV"/>
              </w:rPr>
            </w:pPr>
            <w:r>
              <w:rPr>
                <w:rFonts w:eastAsia="Times New Roman" w:cs="Times New Roman"/>
                <w:bCs/>
                <w:iCs/>
                <w:szCs w:val="24"/>
                <w:lang w:eastAsia="lv-LV"/>
              </w:rPr>
              <w:t xml:space="preserve">Pašreiz </w:t>
            </w:r>
            <w:r w:rsidR="005E0F70" w:rsidRPr="005E0F70">
              <w:rPr>
                <w:rFonts w:eastAsia="Times New Roman" w:cs="Times New Roman"/>
                <w:bCs/>
                <w:iCs/>
                <w:szCs w:val="24"/>
                <w:lang w:eastAsia="lv-LV"/>
              </w:rPr>
              <w:t>Ministru kabineta 2012.gada 2.oktobra instrukcij</w:t>
            </w:r>
            <w:r>
              <w:rPr>
                <w:rFonts w:eastAsia="Times New Roman" w:cs="Times New Roman"/>
                <w:bCs/>
                <w:iCs/>
                <w:szCs w:val="24"/>
                <w:lang w:eastAsia="lv-LV"/>
              </w:rPr>
              <w:t>as</w:t>
            </w:r>
            <w:r w:rsidR="005E0F70" w:rsidRPr="005E0F70">
              <w:rPr>
                <w:rFonts w:eastAsia="Times New Roman" w:cs="Times New Roman"/>
                <w:bCs/>
                <w:iCs/>
                <w:szCs w:val="24"/>
                <w:lang w:eastAsia="lv-LV"/>
              </w:rPr>
              <w:t xml:space="preserve"> Nr.12 „Dienesta vieglo automobiļu iegādes un nomas kārtība”</w:t>
            </w:r>
            <w:r w:rsidR="005E0F70">
              <w:rPr>
                <w:rFonts w:eastAsia="Times New Roman" w:cs="Times New Roman"/>
                <w:bCs/>
                <w:iCs/>
                <w:szCs w:val="24"/>
                <w:lang w:eastAsia="lv-LV"/>
              </w:rPr>
              <w:t xml:space="preserve"> (turpmāk – instrukcija Nr.12) </w:t>
            </w:r>
            <w:r>
              <w:rPr>
                <w:rFonts w:eastAsia="Times New Roman" w:cs="Times New Roman"/>
                <w:bCs/>
                <w:iCs/>
                <w:szCs w:val="24"/>
                <w:lang w:eastAsia="lv-LV"/>
              </w:rPr>
              <w:t xml:space="preserve">2.punktā </w:t>
            </w:r>
            <w:r w:rsidR="005E0F70" w:rsidRPr="005E0F70">
              <w:rPr>
                <w:rFonts w:eastAsia="Times New Roman" w:cs="Times New Roman"/>
                <w:bCs/>
                <w:iCs/>
                <w:szCs w:val="24"/>
                <w:lang w:eastAsia="lv-LV"/>
              </w:rPr>
              <w:t>automobiļu maksimālās nomas maksas un automobiļu maksimālās iegādes cenas</w:t>
            </w:r>
            <w:r w:rsidR="005E0F70">
              <w:rPr>
                <w:rFonts w:eastAsia="Times New Roman" w:cs="Times New Roman"/>
                <w:bCs/>
                <w:iCs/>
                <w:szCs w:val="24"/>
                <w:lang w:eastAsia="lv-LV"/>
              </w:rPr>
              <w:t xml:space="preserve"> ir izteiktas latos. Ņemot vērā, ka </w:t>
            </w:r>
            <w:r w:rsidR="001404ED">
              <w:rPr>
                <w:rFonts w:eastAsia="Times New Roman" w:cs="Times New Roman"/>
                <w:bCs/>
                <w:iCs/>
                <w:szCs w:val="24"/>
                <w:lang w:eastAsia="lv-LV"/>
              </w:rPr>
              <w:t xml:space="preserve">Latvijas valdība ar 2012.gada 19.septembra Ministru kabineta rīkojuma Nr.441 „Par Latvijas Nacionālo </w:t>
            </w:r>
            <w:proofErr w:type="spellStart"/>
            <w:r w:rsidR="001404ED">
              <w:rPr>
                <w:rFonts w:eastAsia="Times New Roman" w:cs="Times New Roman"/>
                <w:bCs/>
                <w:iCs/>
                <w:szCs w:val="24"/>
                <w:lang w:eastAsia="lv-LV"/>
              </w:rPr>
              <w:t>euro</w:t>
            </w:r>
            <w:proofErr w:type="spellEnd"/>
            <w:r w:rsidR="001404ED">
              <w:rPr>
                <w:rFonts w:eastAsia="Times New Roman" w:cs="Times New Roman"/>
                <w:bCs/>
                <w:iCs/>
                <w:szCs w:val="24"/>
                <w:lang w:eastAsia="lv-LV"/>
              </w:rPr>
              <w:t xml:space="preserve"> ieviešanas plānu” 6.punktu noteica 2014.gada 1.janvāri par </w:t>
            </w:r>
            <w:proofErr w:type="spellStart"/>
            <w:r w:rsidR="001404ED">
              <w:rPr>
                <w:rFonts w:eastAsia="Times New Roman" w:cs="Times New Roman"/>
                <w:bCs/>
                <w:iCs/>
                <w:szCs w:val="24"/>
                <w:lang w:eastAsia="lv-LV"/>
              </w:rPr>
              <w:t>euro</w:t>
            </w:r>
            <w:proofErr w:type="spellEnd"/>
            <w:r w:rsidR="001404ED">
              <w:rPr>
                <w:rFonts w:eastAsia="Times New Roman" w:cs="Times New Roman"/>
                <w:bCs/>
                <w:iCs/>
                <w:szCs w:val="24"/>
                <w:lang w:eastAsia="lv-LV"/>
              </w:rPr>
              <w:t xml:space="preserve"> ieviešanas mērķa datumu, ir nepieciešams veikt grozījumu instrukcijā Nr.12 un izteikt </w:t>
            </w:r>
            <w:r w:rsidR="001404ED" w:rsidRPr="001404ED">
              <w:rPr>
                <w:rFonts w:eastAsia="Times New Roman" w:cs="Times New Roman"/>
                <w:bCs/>
                <w:iCs/>
                <w:szCs w:val="24"/>
                <w:lang w:eastAsia="lv-LV"/>
              </w:rPr>
              <w:t>maksimālās nomas maksas un automobiļu maksimālās iegādes cenas</w:t>
            </w:r>
            <w:r w:rsidR="001404ED">
              <w:rPr>
                <w:rFonts w:eastAsia="Times New Roman" w:cs="Times New Roman"/>
                <w:bCs/>
                <w:iCs/>
                <w:szCs w:val="24"/>
                <w:lang w:eastAsia="lv-LV"/>
              </w:rPr>
              <w:t xml:space="preserve"> </w:t>
            </w:r>
            <w:proofErr w:type="spellStart"/>
            <w:r w:rsidR="001404ED">
              <w:rPr>
                <w:rFonts w:eastAsia="Times New Roman" w:cs="Times New Roman"/>
                <w:bCs/>
                <w:iCs/>
                <w:szCs w:val="24"/>
                <w:lang w:eastAsia="lv-LV"/>
              </w:rPr>
              <w:t>euro</w:t>
            </w:r>
            <w:proofErr w:type="spellEnd"/>
            <w:r w:rsidR="001404ED">
              <w:rPr>
                <w:rFonts w:eastAsia="Times New Roman" w:cs="Times New Roman"/>
                <w:bCs/>
                <w:iCs/>
                <w:szCs w:val="24"/>
                <w:lang w:eastAsia="lv-LV"/>
              </w:rPr>
              <w:t xml:space="preserve">, kā arī </w:t>
            </w:r>
            <w:r w:rsidR="007749F2">
              <w:rPr>
                <w:rFonts w:eastAsia="Times New Roman" w:cs="Times New Roman"/>
                <w:bCs/>
                <w:iCs/>
                <w:szCs w:val="24"/>
                <w:lang w:eastAsia="lv-LV"/>
              </w:rPr>
              <w:t xml:space="preserve">izslēgt atsauci uz latiem. </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3.</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Saistītie politikas ietekmes novērtējumi un pētījumi</w:t>
            </w:r>
          </w:p>
        </w:tc>
        <w:tc>
          <w:tcPr>
            <w:tcW w:w="5351" w:type="dxa"/>
          </w:tcPr>
          <w:p w:rsidR="00EA5E16" w:rsidRPr="00EA5E16" w:rsidRDefault="00D51B9D" w:rsidP="00EA5E16">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4.</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Tiesiskā regulējuma mērķis un būtība</w:t>
            </w:r>
          </w:p>
        </w:tc>
        <w:tc>
          <w:tcPr>
            <w:tcW w:w="5351" w:type="dxa"/>
          </w:tcPr>
          <w:p w:rsidR="00931587" w:rsidRPr="00931587" w:rsidRDefault="00931587" w:rsidP="00931587">
            <w:pPr>
              <w:jc w:val="both"/>
              <w:rPr>
                <w:rFonts w:eastAsia="Times New Roman" w:cs="Times New Roman"/>
                <w:bCs/>
                <w:iCs/>
                <w:szCs w:val="24"/>
                <w:lang w:eastAsia="lv-LV"/>
              </w:rPr>
            </w:pPr>
            <w:r>
              <w:rPr>
                <w:rFonts w:eastAsia="Times New Roman" w:cs="Times New Roman"/>
                <w:bCs/>
                <w:iCs/>
                <w:szCs w:val="24"/>
                <w:lang w:eastAsia="lv-LV"/>
              </w:rPr>
              <w:t>Instrukcijas</w:t>
            </w:r>
            <w:r w:rsidRPr="00931587">
              <w:rPr>
                <w:rFonts w:eastAsia="Times New Roman" w:cs="Times New Roman"/>
                <w:bCs/>
                <w:iCs/>
                <w:szCs w:val="24"/>
                <w:lang w:eastAsia="lv-LV"/>
              </w:rPr>
              <w:t xml:space="preserve"> </w:t>
            </w:r>
            <w:r w:rsidR="001B16C6">
              <w:rPr>
                <w:rFonts w:eastAsia="Times New Roman" w:cs="Times New Roman"/>
                <w:bCs/>
                <w:iCs/>
                <w:szCs w:val="24"/>
                <w:lang w:eastAsia="lv-LV"/>
              </w:rPr>
              <w:t xml:space="preserve">projekts </w:t>
            </w:r>
            <w:r w:rsidRPr="00931587">
              <w:rPr>
                <w:rFonts w:eastAsia="Times New Roman" w:cs="Times New Roman"/>
                <w:bCs/>
                <w:iCs/>
                <w:szCs w:val="24"/>
                <w:lang w:eastAsia="lv-LV"/>
              </w:rPr>
              <w:t>paredz veikt tehniskos precizējumus, lai nodrošinātu, ka instrukcij</w:t>
            </w:r>
            <w:r w:rsidR="007749F2">
              <w:rPr>
                <w:rFonts w:eastAsia="Times New Roman" w:cs="Times New Roman"/>
                <w:bCs/>
                <w:iCs/>
                <w:szCs w:val="24"/>
                <w:lang w:eastAsia="lv-LV"/>
              </w:rPr>
              <w:t>a</w:t>
            </w:r>
            <w:r w:rsidRPr="00931587">
              <w:rPr>
                <w:rFonts w:eastAsia="Times New Roman" w:cs="Times New Roman"/>
                <w:bCs/>
                <w:iCs/>
                <w:szCs w:val="24"/>
                <w:lang w:eastAsia="lv-LV"/>
              </w:rPr>
              <w:t xml:space="preserve"> Nr.12 nesatur atsauci uz latiem, kā arī, ņemot vērā oficiālo maiņas kursu, izteikt</w:t>
            </w:r>
            <w:r w:rsidRPr="00D00794">
              <w:rPr>
                <w:rFonts w:eastAsia="Times New Roman" w:cs="Times New Roman"/>
                <w:bCs/>
                <w:iCs/>
                <w:szCs w:val="24"/>
                <w:lang w:eastAsia="lv-LV"/>
              </w:rPr>
              <w:t xml:space="preserve"> </w:t>
            </w:r>
            <w:proofErr w:type="spellStart"/>
            <w:r w:rsidRPr="00D00794">
              <w:rPr>
                <w:rFonts w:eastAsia="Times New Roman" w:cs="Times New Roman"/>
                <w:bCs/>
                <w:iCs/>
                <w:szCs w:val="24"/>
                <w:lang w:eastAsia="lv-LV"/>
              </w:rPr>
              <w:t>euro</w:t>
            </w:r>
            <w:proofErr w:type="spellEnd"/>
            <w:r w:rsidRPr="00D00794">
              <w:rPr>
                <w:rFonts w:eastAsia="Times New Roman" w:cs="Times New Roman"/>
                <w:bCs/>
                <w:iCs/>
                <w:szCs w:val="24"/>
                <w:lang w:eastAsia="lv-LV"/>
              </w:rPr>
              <w:t xml:space="preserve"> </w:t>
            </w:r>
            <w:r w:rsidRPr="00931587">
              <w:rPr>
                <w:rFonts w:eastAsia="Times New Roman" w:cs="Times New Roman"/>
                <w:bCs/>
                <w:iCs/>
                <w:szCs w:val="24"/>
                <w:lang w:eastAsia="lv-LV"/>
              </w:rPr>
              <w:t xml:space="preserve">automobiļu maksimālās nomas maksas un automobiļu maksimālās iegādes </w:t>
            </w:r>
            <w:r w:rsidR="006B5607">
              <w:rPr>
                <w:rFonts w:eastAsia="Times New Roman" w:cs="Times New Roman"/>
                <w:bCs/>
                <w:iCs/>
                <w:szCs w:val="24"/>
                <w:lang w:eastAsia="lv-LV"/>
              </w:rPr>
              <w:t>cenas</w:t>
            </w:r>
            <w:r w:rsidRPr="00931587">
              <w:rPr>
                <w:rFonts w:eastAsia="Times New Roman" w:cs="Times New Roman"/>
                <w:bCs/>
                <w:iCs/>
                <w:szCs w:val="24"/>
                <w:lang w:eastAsia="lv-LV"/>
              </w:rPr>
              <w:t>, kas šobrīd ir noteiktas latos.</w:t>
            </w:r>
            <w:r>
              <w:rPr>
                <w:rFonts w:eastAsia="Times New Roman" w:cs="Times New Roman"/>
                <w:bCs/>
                <w:iCs/>
                <w:szCs w:val="24"/>
                <w:lang w:eastAsia="lv-LV"/>
              </w:rPr>
              <w:t xml:space="preserve"> </w:t>
            </w:r>
          </w:p>
          <w:p w:rsidR="007749F2" w:rsidRDefault="00931587" w:rsidP="000A36F5">
            <w:pPr>
              <w:jc w:val="both"/>
              <w:rPr>
                <w:rFonts w:eastAsia="Times New Roman" w:cs="Times New Roman"/>
                <w:bCs/>
                <w:iCs/>
                <w:szCs w:val="24"/>
                <w:lang w:eastAsia="lv-LV"/>
              </w:rPr>
            </w:pPr>
            <w:r w:rsidRPr="00931587">
              <w:rPr>
                <w:rFonts w:eastAsia="Times New Roman" w:cs="Times New Roman"/>
                <w:bCs/>
                <w:iCs/>
                <w:szCs w:val="24"/>
                <w:lang w:eastAsia="lv-LV"/>
              </w:rPr>
              <w:t xml:space="preserve">Atbilstoši </w:t>
            </w:r>
            <w:proofErr w:type="spellStart"/>
            <w:r w:rsidRPr="00931587">
              <w:rPr>
                <w:rFonts w:eastAsia="Times New Roman" w:cs="Times New Roman"/>
                <w:bCs/>
                <w:iCs/>
                <w:szCs w:val="24"/>
                <w:lang w:eastAsia="lv-LV"/>
              </w:rPr>
              <w:t>Euro</w:t>
            </w:r>
            <w:proofErr w:type="spellEnd"/>
            <w:r w:rsidRPr="00931587">
              <w:rPr>
                <w:rFonts w:eastAsia="Times New Roman" w:cs="Times New Roman"/>
                <w:bCs/>
                <w:iCs/>
                <w:szCs w:val="24"/>
                <w:lang w:eastAsia="lv-LV"/>
              </w:rPr>
              <w:t xml:space="preserve"> ieviešanas kārtības likuma 32.panta otrās daļas 2.punktam tiesību normā skaitlisko vērtību, ar kuru tiek aizstāts lats, var noapaļot uz augšu vai leju ar precizitāti, kas nav mazāka par </w:t>
            </w:r>
            <w:r w:rsidRPr="00931587">
              <w:rPr>
                <w:rFonts w:eastAsia="Times New Roman" w:cs="Times New Roman"/>
                <w:bCs/>
                <w:iCs/>
                <w:szCs w:val="24"/>
                <w:lang w:eastAsia="lv-LV"/>
              </w:rPr>
              <w:lastRenderedPageBreak/>
              <w:t xml:space="preserve">noapaļošanas precizitāti skaitliskajai vērtībai latos (ja tiek ievēroti šajā punktā norādītie nosacījumi). Ņemot vērā, ka vēsturiski </w:t>
            </w:r>
            <w:r w:rsidR="006B5607" w:rsidRPr="00931587">
              <w:rPr>
                <w:rFonts w:eastAsia="Times New Roman" w:cs="Times New Roman"/>
                <w:bCs/>
                <w:iCs/>
                <w:szCs w:val="24"/>
                <w:lang w:eastAsia="lv-LV"/>
              </w:rPr>
              <w:t xml:space="preserve">automobiļu maksimālās nomas maksas un automobiļu maksimālās iegādes </w:t>
            </w:r>
            <w:r w:rsidR="006B5607">
              <w:rPr>
                <w:rFonts w:eastAsia="Times New Roman" w:cs="Times New Roman"/>
                <w:bCs/>
                <w:iCs/>
                <w:szCs w:val="24"/>
                <w:lang w:eastAsia="lv-LV"/>
              </w:rPr>
              <w:t>cenas</w:t>
            </w:r>
            <w:r w:rsidR="006B5607" w:rsidRPr="00931587">
              <w:rPr>
                <w:rFonts w:eastAsia="Times New Roman" w:cs="Times New Roman"/>
                <w:bCs/>
                <w:iCs/>
                <w:szCs w:val="24"/>
                <w:lang w:eastAsia="lv-LV"/>
              </w:rPr>
              <w:t xml:space="preserve"> </w:t>
            </w:r>
            <w:r w:rsidRPr="00931587">
              <w:rPr>
                <w:rFonts w:eastAsia="Times New Roman" w:cs="Times New Roman"/>
                <w:bCs/>
                <w:iCs/>
                <w:szCs w:val="24"/>
                <w:lang w:eastAsia="lv-LV"/>
              </w:rPr>
              <w:t xml:space="preserve">ir izteiktas veselos </w:t>
            </w:r>
            <w:r w:rsidR="00D00794">
              <w:rPr>
                <w:rFonts w:eastAsia="Times New Roman" w:cs="Times New Roman"/>
                <w:bCs/>
                <w:iCs/>
                <w:szCs w:val="24"/>
                <w:lang w:eastAsia="lv-LV"/>
              </w:rPr>
              <w:t>latos</w:t>
            </w:r>
            <w:r w:rsidRPr="00931587">
              <w:rPr>
                <w:rFonts w:eastAsia="Times New Roman" w:cs="Times New Roman"/>
                <w:bCs/>
                <w:iCs/>
                <w:szCs w:val="24"/>
                <w:lang w:eastAsia="lv-LV"/>
              </w:rPr>
              <w:t xml:space="preserve">, attiecīgi paredzēts atbilstošās summas noapaļot </w:t>
            </w:r>
            <w:r w:rsidR="00FF29B9">
              <w:rPr>
                <w:rFonts w:eastAsia="Times New Roman" w:cs="Times New Roman"/>
                <w:bCs/>
                <w:iCs/>
                <w:szCs w:val="24"/>
                <w:lang w:eastAsia="lv-LV"/>
              </w:rPr>
              <w:t xml:space="preserve">uz augšu </w:t>
            </w:r>
            <w:r w:rsidRPr="00931587">
              <w:rPr>
                <w:rFonts w:eastAsia="Times New Roman" w:cs="Times New Roman"/>
                <w:bCs/>
                <w:iCs/>
                <w:szCs w:val="24"/>
                <w:lang w:eastAsia="lv-LV"/>
              </w:rPr>
              <w:t xml:space="preserve">līdz veseliem </w:t>
            </w:r>
            <w:proofErr w:type="spellStart"/>
            <w:r w:rsidRPr="00931587">
              <w:rPr>
                <w:rFonts w:eastAsia="Times New Roman" w:cs="Times New Roman"/>
                <w:bCs/>
                <w:iCs/>
                <w:szCs w:val="24"/>
                <w:lang w:eastAsia="lv-LV"/>
              </w:rPr>
              <w:t>euro</w:t>
            </w:r>
            <w:proofErr w:type="spellEnd"/>
            <w:r w:rsidRPr="00931587">
              <w:rPr>
                <w:rFonts w:eastAsia="Times New Roman" w:cs="Times New Roman"/>
                <w:bCs/>
                <w:iCs/>
                <w:szCs w:val="24"/>
                <w:lang w:eastAsia="lv-LV"/>
              </w:rPr>
              <w:t>, ņemot vērā v</w:t>
            </w:r>
            <w:r w:rsidR="007749F2">
              <w:rPr>
                <w:rFonts w:eastAsia="Times New Roman" w:cs="Times New Roman"/>
                <w:bCs/>
                <w:iCs/>
                <w:szCs w:val="24"/>
                <w:lang w:eastAsia="lv-LV"/>
              </w:rPr>
              <w:t>ispārējos matemātikas principus.</w:t>
            </w:r>
            <w:r w:rsidRPr="00931587">
              <w:rPr>
                <w:rFonts w:eastAsia="Times New Roman" w:cs="Times New Roman"/>
                <w:bCs/>
                <w:iCs/>
                <w:szCs w:val="24"/>
                <w:lang w:eastAsia="lv-LV"/>
              </w:rPr>
              <w:t xml:space="preserve"> </w:t>
            </w:r>
          </w:p>
          <w:p w:rsidR="00382AD0" w:rsidRPr="00382AD0" w:rsidRDefault="00382AD0" w:rsidP="00382AD0">
            <w:pPr>
              <w:jc w:val="both"/>
              <w:rPr>
                <w:rFonts w:eastAsia="Times New Roman" w:cs="Times New Roman"/>
                <w:bCs/>
                <w:iCs/>
                <w:szCs w:val="24"/>
                <w:lang w:eastAsia="lv-LV"/>
              </w:rPr>
            </w:pPr>
            <w:r w:rsidRPr="00382AD0">
              <w:rPr>
                <w:rFonts w:eastAsia="Times New Roman" w:cs="Times New Roman"/>
                <w:bCs/>
                <w:iCs/>
                <w:szCs w:val="24"/>
                <w:lang w:eastAsia="lv-LV"/>
              </w:rPr>
              <w:t>Grozījumi paredz</w:t>
            </w:r>
            <w:r>
              <w:rPr>
                <w:rFonts w:eastAsia="Times New Roman" w:cs="Times New Roman"/>
                <w:bCs/>
                <w:iCs/>
                <w:szCs w:val="24"/>
                <w:lang w:eastAsia="lv-LV"/>
              </w:rPr>
              <w:t xml:space="preserve"> izteikt </w:t>
            </w:r>
            <w:r w:rsidR="00AA59EA" w:rsidRPr="00AA59EA">
              <w:rPr>
                <w:rFonts w:eastAsia="Times New Roman" w:cs="Times New Roman"/>
                <w:bCs/>
                <w:iCs/>
                <w:szCs w:val="24"/>
                <w:lang w:eastAsia="lv-LV"/>
              </w:rPr>
              <w:t xml:space="preserve">automobiļu maksimālās nomas maksas un automobiļu maksimālās iegādes cenas </w:t>
            </w:r>
            <w:r>
              <w:rPr>
                <w:rFonts w:eastAsia="Times New Roman" w:cs="Times New Roman"/>
                <w:bCs/>
                <w:iCs/>
                <w:szCs w:val="24"/>
                <w:lang w:eastAsia="lv-LV"/>
              </w:rPr>
              <w:t xml:space="preserve">šādā redakcijā </w:t>
            </w:r>
            <w:r w:rsidRPr="00382AD0">
              <w:rPr>
                <w:rFonts w:eastAsia="Times New Roman" w:cs="Times New Roman"/>
                <w:bCs/>
                <w:i/>
                <w:iCs/>
                <w:szCs w:val="24"/>
                <w:lang w:eastAsia="lv-LV"/>
              </w:rPr>
              <w:t xml:space="preserve">(iekavās </w:t>
            </w:r>
            <w:r>
              <w:rPr>
                <w:rFonts w:eastAsia="Times New Roman" w:cs="Times New Roman"/>
                <w:bCs/>
                <w:i/>
                <w:iCs/>
                <w:szCs w:val="24"/>
                <w:lang w:eastAsia="lv-LV"/>
              </w:rPr>
              <w:t>un slīprakst</w:t>
            </w:r>
            <w:r w:rsidR="00425C43">
              <w:rPr>
                <w:rFonts w:eastAsia="Times New Roman" w:cs="Times New Roman"/>
                <w:bCs/>
                <w:i/>
                <w:iCs/>
                <w:szCs w:val="24"/>
                <w:lang w:eastAsia="lv-LV"/>
              </w:rPr>
              <w:t>ā</w:t>
            </w:r>
            <w:r>
              <w:rPr>
                <w:rFonts w:eastAsia="Times New Roman" w:cs="Times New Roman"/>
                <w:bCs/>
                <w:i/>
                <w:iCs/>
                <w:szCs w:val="24"/>
                <w:lang w:eastAsia="lv-LV"/>
              </w:rPr>
              <w:t xml:space="preserve"> </w:t>
            </w:r>
            <w:r w:rsidRPr="00382AD0">
              <w:rPr>
                <w:rFonts w:eastAsia="Times New Roman" w:cs="Times New Roman"/>
                <w:bCs/>
                <w:i/>
                <w:iCs/>
                <w:szCs w:val="24"/>
                <w:lang w:eastAsia="lv-LV"/>
              </w:rPr>
              <w:t xml:space="preserve">norādīts rezultāts, ja lati tiek izteikti </w:t>
            </w:r>
            <w:proofErr w:type="spellStart"/>
            <w:r w:rsidRPr="00382AD0">
              <w:rPr>
                <w:rFonts w:eastAsia="Times New Roman" w:cs="Times New Roman"/>
                <w:bCs/>
                <w:i/>
                <w:iCs/>
                <w:szCs w:val="24"/>
                <w:lang w:eastAsia="lv-LV"/>
              </w:rPr>
              <w:t>euro</w:t>
            </w:r>
            <w:proofErr w:type="spellEnd"/>
            <w:r w:rsidRPr="00382AD0">
              <w:rPr>
                <w:rFonts w:eastAsia="Times New Roman" w:cs="Times New Roman"/>
                <w:bCs/>
                <w:i/>
                <w:iCs/>
                <w:szCs w:val="24"/>
                <w:lang w:eastAsia="lv-LV"/>
              </w:rPr>
              <w:t xml:space="preserve">, piemērojot matemātiskas darbības, </w:t>
            </w:r>
            <w:proofErr w:type="spellStart"/>
            <w:r w:rsidRPr="00382AD0">
              <w:rPr>
                <w:rFonts w:eastAsia="Times New Roman" w:cs="Times New Roman"/>
                <w:bCs/>
                <w:i/>
                <w:iCs/>
                <w:szCs w:val="24"/>
                <w:lang w:eastAsia="lv-LV"/>
              </w:rPr>
              <w:t>t.i</w:t>
            </w:r>
            <w:proofErr w:type="spellEnd"/>
            <w:r w:rsidRPr="00382AD0">
              <w:rPr>
                <w:rFonts w:eastAsia="Times New Roman" w:cs="Times New Roman"/>
                <w:bCs/>
                <w:i/>
                <w:iCs/>
                <w:szCs w:val="24"/>
                <w:lang w:eastAsia="lv-LV"/>
              </w:rPr>
              <w:t>., summas latos dalot ar 0,702804 un noapaļojot līdz tuvākajam centam)</w:t>
            </w:r>
            <w:r w:rsidRPr="00382AD0">
              <w:rPr>
                <w:rFonts w:eastAsia="Times New Roman" w:cs="Times New Roman"/>
                <w:bCs/>
                <w:iCs/>
                <w:szCs w:val="24"/>
                <w:lang w:eastAsia="lv-LV"/>
              </w:rPr>
              <w:t>:</w:t>
            </w:r>
          </w:p>
          <w:p w:rsidR="007749F2" w:rsidRDefault="007749F2" w:rsidP="000A36F5">
            <w:pPr>
              <w:jc w:val="both"/>
              <w:rPr>
                <w:rFonts w:eastAsia="Times New Roman" w:cs="Times New Roman"/>
                <w:bCs/>
                <w:i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2358"/>
              <w:gridCol w:w="1062"/>
              <w:gridCol w:w="1077"/>
            </w:tblGrid>
            <w:tr w:rsidR="00382AD0" w:rsidRPr="005F2A8D" w:rsidTr="00163891">
              <w:trPr>
                <w:trHeight w:val="1396"/>
              </w:trPr>
              <w:tc>
                <w:tcPr>
                  <w:tcW w:w="330" w:type="pct"/>
                  <w:tcBorders>
                    <w:top w:val="outset" w:sz="6" w:space="0" w:color="auto"/>
                    <w:left w:val="outset" w:sz="6" w:space="0" w:color="auto"/>
                    <w:bottom w:val="outset" w:sz="6" w:space="0" w:color="auto"/>
                    <w:right w:val="outset" w:sz="6" w:space="0" w:color="auto"/>
                  </w:tcBorders>
                  <w:vAlign w:val="center"/>
                  <w:hideMark/>
                </w:tcPr>
                <w:p w:rsidR="00382AD0" w:rsidRPr="005F2A8D" w:rsidRDefault="00382AD0" w:rsidP="00163891">
                  <w:pPr>
                    <w:jc w:val="center"/>
                    <w:rPr>
                      <w:rFonts w:eastAsia="Times New Roman"/>
                      <w:sz w:val="20"/>
                      <w:szCs w:val="24"/>
                      <w:lang w:eastAsia="lv-LV"/>
                    </w:rPr>
                  </w:pPr>
                  <w:proofErr w:type="spellStart"/>
                  <w:r w:rsidRPr="005F2A8D">
                    <w:rPr>
                      <w:rFonts w:eastAsia="Times New Roman"/>
                      <w:sz w:val="20"/>
                      <w:szCs w:val="24"/>
                      <w:lang w:eastAsia="lv-LV"/>
                    </w:rPr>
                    <w:t>Nr.p.k</w:t>
                  </w:r>
                  <w:proofErr w:type="spellEnd"/>
                  <w:r w:rsidRPr="005F2A8D">
                    <w:rPr>
                      <w:rFonts w:eastAsia="Times New Roman"/>
                      <w:sz w:val="20"/>
                      <w:szCs w:val="24"/>
                      <w:lang w:eastAsia="lv-LV"/>
                    </w:rPr>
                    <w:t>.</w:t>
                  </w:r>
                </w:p>
              </w:tc>
              <w:tc>
                <w:tcPr>
                  <w:tcW w:w="2396" w:type="pct"/>
                  <w:tcBorders>
                    <w:top w:val="outset" w:sz="6" w:space="0" w:color="auto"/>
                    <w:left w:val="outset" w:sz="6" w:space="0" w:color="auto"/>
                    <w:bottom w:val="outset" w:sz="6" w:space="0" w:color="auto"/>
                    <w:right w:val="outset" w:sz="6" w:space="0" w:color="auto"/>
                  </w:tcBorders>
                  <w:vAlign w:val="center"/>
                  <w:hideMark/>
                </w:tcPr>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Amats</w:t>
                  </w:r>
                </w:p>
              </w:tc>
              <w:tc>
                <w:tcPr>
                  <w:tcW w:w="1130" w:type="pct"/>
                  <w:tcBorders>
                    <w:top w:val="outset" w:sz="6" w:space="0" w:color="auto"/>
                    <w:left w:val="outset" w:sz="6" w:space="0" w:color="auto"/>
                    <w:bottom w:val="outset" w:sz="6" w:space="0" w:color="auto"/>
                    <w:right w:val="outset" w:sz="6" w:space="0" w:color="auto"/>
                  </w:tcBorders>
                  <w:vAlign w:val="center"/>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 xml:space="preserve">Automobiļa maksimālā nomas maksa mēnesī bez pievienotās vērtības nodokļa </w:t>
                  </w:r>
                </w:p>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w:t>
                  </w:r>
                  <w:proofErr w:type="spellStart"/>
                  <w:r w:rsidRPr="005F2A8D">
                    <w:rPr>
                      <w:rFonts w:eastAsia="Times New Roman"/>
                      <w:sz w:val="20"/>
                      <w:szCs w:val="24"/>
                      <w:lang w:eastAsia="lv-LV"/>
                    </w:rPr>
                    <w:t>euro</w:t>
                  </w:r>
                  <w:proofErr w:type="spellEnd"/>
                  <w:r w:rsidRPr="005F2A8D">
                    <w:rPr>
                      <w:rFonts w:eastAsia="Times New Roman"/>
                      <w:sz w:val="20"/>
                      <w:szCs w:val="24"/>
                      <w:lang w:eastAsia="lv-LV"/>
                    </w:rPr>
                    <w:t>)</w:t>
                  </w:r>
                </w:p>
              </w:tc>
              <w:tc>
                <w:tcPr>
                  <w:tcW w:w="1144" w:type="pct"/>
                  <w:tcBorders>
                    <w:top w:val="outset" w:sz="6" w:space="0" w:color="auto"/>
                    <w:left w:val="outset" w:sz="6" w:space="0" w:color="auto"/>
                    <w:bottom w:val="outset" w:sz="6" w:space="0" w:color="auto"/>
                    <w:right w:val="outset" w:sz="6" w:space="0" w:color="auto"/>
                  </w:tcBorders>
                  <w:vAlign w:val="center"/>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 xml:space="preserve">Automobiļa maksimālā iegādes cena bez pievienotās vērtības nodokļa </w:t>
                  </w:r>
                </w:p>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w:t>
                  </w:r>
                  <w:proofErr w:type="spellStart"/>
                  <w:r w:rsidRPr="005F2A8D">
                    <w:rPr>
                      <w:rFonts w:eastAsia="Times New Roman"/>
                      <w:sz w:val="20"/>
                      <w:szCs w:val="24"/>
                      <w:lang w:eastAsia="lv-LV"/>
                    </w:rPr>
                    <w:t>euro</w:t>
                  </w:r>
                  <w:proofErr w:type="spellEnd"/>
                  <w:r w:rsidRPr="005F2A8D">
                    <w:rPr>
                      <w:rFonts w:eastAsia="Times New Roman"/>
                      <w:sz w:val="20"/>
                      <w:szCs w:val="24"/>
                      <w:lang w:eastAsia="lv-LV"/>
                    </w:rPr>
                    <w:t>)</w:t>
                  </w:r>
                </w:p>
              </w:tc>
            </w:tr>
            <w:tr w:rsidR="00382AD0" w:rsidRPr="005F2A8D" w:rsidTr="00163891">
              <w:trPr>
                <w:trHeight w:val="496"/>
              </w:trPr>
              <w:tc>
                <w:tcPr>
                  <w:tcW w:w="330"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2.1.</w:t>
                  </w:r>
                </w:p>
              </w:tc>
              <w:tc>
                <w:tcPr>
                  <w:tcW w:w="2396"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rPr>
                      <w:rFonts w:eastAsia="Times New Roman"/>
                      <w:sz w:val="20"/>
                      <w:szCs w:val="24"/>
                      <w:lang w:eastAsia="lv-LV"/>
                    </w:rPr>
                  </w:pPr>
                  <w:r w:rsidRPr="005F2A8D">
                    <w:rPr>
                      <w:rFonts w:eastAsia="Times New Roman"/>
                      <w:sz w:val="20"/>
                      <w:szCs w:val="24"/>
                      <w:lang w:eastAsia="lv-LV"/>
                    </w:rPr>
                    <w:t>Ministrs, īpašu uzdevumu ministrs, Ministru prezidenta biedrs</w:t>
                  </w:r>
                </w:p>
              </w:tc>
              <w:tc>
                <w:tcPr>
                  <w:tcW w:w="1130" w:type="pct"/>
                  <w:tcBorders>
                    <w:top w:val="outset" w:sz="6" w:space="0" w:color="auto"/>
                    <w:left w:val="outset" w:sz="6" w:space="0" w:color="auto"/>
                    <w:bottom w:val="outset" w:sz="6" w:space="0" w:color="auto"/>
                    <w:right w:val="outset" w:sz="6" w:space="0" w:color="auto"/>
                  </w:tcBorders>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720</w:t>
                  </w:r>
                </w:p>
                <w:p w:rsidR="00382AD0" w:rsidRDefault="00382AD0" w:rsidP="00382AD0">
                  <w:pPr>
                    <w:jc w:val="center"/>
                    <w:rPr>
                      <w:rFonts w:eastAsia="Times New Roman"/>
                      <w:i/>
                      <w:sz w:val="20"/>
                      <w:szCs w:val="24"/>
                      <w:lang w:eastAsia="lv-LV"/>
                    </w:rPr>
                  </w:pPr>
                </w:p>
                <w:p w:rsidR="00382AD0" w:rsidRPr="00382AD0" w:rsidRDefault="00382AD0" w:rsidP="00382AD0">
                  <w:pPr>
                    <w:jc w:val="center"/>
                    <w:rPr>
                      <w:rFonts w:eastAsia="Times New Roman"/>
                      <w:i/>
                      <w:sz w:val="20"/>
                      <w:szCs w:val="24"/>
                      <w:lang w:eastAsia="lv-LV"/>
                    </w:rPr>
                  </w:pPr>
                  <w:r w:rsidRPr="00382AD0">
                    <w:rPr>
                      <w:rFonts w:eastAsia="Times New Roman"/>
                      <w:i/>
                      <w:sz w:val="20"/>
                      <w:szCs w:val="24"/>
                      <w:lang w:eastAsia="lv-LV"/>
                    </w:rPr>
                    <w:t>(718,55)</w:t>
                  </w:r>
                </w:p>
              </w:tc>
              <w:tc>
                <w:tcPr>
                  <w:tcW w:w="1144" w:type="pct"/>
                  <w:tcBorders>
                    <w:top w:val="outset" w:sz="6" w:space="0" w:color="auto"/>
                    <w:left w:val="outset" w:sz="6" w:space="0" w:color="auto"/>
                    <w:bottom w:val="outset" w:sz="6" w:space="0" w:color="auto"/>
                    <w:right w:val="outset" w:sz="6" w:space="0" w:color="auto"/>
                  </w:tcBorders>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2</w:t>
                  </w:r>
                  <w:r w:rsidR="00A06051">
                    <w:rPr>
                      <w:rFonts w:eastAsia="Times New Roman"/>
                      <w:sz w:val="20"/>
                      <w:szCs w:val="24"/>
                      <w:lang w:eastAsia="lv-LV"/>
                    </w:rPr>
                    <w:t>4</w:t>
                  </w:r>
                  <w:r>
                    <w:rPr>
                      <w:rFonts w:eastAsia="Times New Roman"/>
                      <w:sz w:val="20"/>
                      <w:szCs w:val="24"/>
                      <w:lang w:eastAsia="lv-LV"/>
                    </w:rPr>
                    <w:t> </w:t>
                  </w:r>
                  <w:r w:rsidR="00A06051">
                    <w:rPr>
                      <w:rFonts w:eastAsia="Times New Roman"/>
                      <w:sz w:val="20"/>
                      <w:szCs w:val="24"/>
                      <w:lang w:eastAsia="lv-LV"/>
                    </w:rPr>
                    <w:t>00</w:t>
                  </w:r>
                  <w:r w:rsidRPr="005F2A8D">
                    <w:rPr>
                      <w:rFonts w:eastAsia="Times New Roman"/>
                      <w:sz w:val="20"/>
                      <w:szCs w:val="24"/>
                      <w:lang w:eastAsia="lv-LV"/>
                    </w:rPr>
                    <w:t>0</w:t>
                  </w:r>
                </w:p>
                <w:p w:rsidR="00382AD0" w:rsidRDefault="00382AD0" w:rsidP="00382AD0">
                  <w:pPr>
                    <w:jc w:val="center"/>
                    <w:rPr>
                      <w:rFonts w:eastAsia="Times New Roman"/>
                      <w:i/>
                      <w:sz w:val="20"/>
                      <w:szCs w:val="24"/>
                      <w:lang w:eastAsia="lv-LV"/>
                    </w:rPr>
                  </w:pPr>
                </w:p>
                <w:p w:rsidR="00382AD0" w:rsidRPr="00382AD0" w:rsidRDefault="00382AD0" w:rsidP="00382AD0">
                  <w:pPr>
                    <w:jc w:val="center"/>
                    <w:rPr>
                      <w:rFonts w:eastAsia="Times New Roman"/>
                      <w:i/>
                      <w:sz w:val="20"/>
                      <w:szCs w:val="24"/>
                      <w:lang w:eastAsia="lv-LV"/>
                    </w:rPr>
                  </w:pPr>
                  <w:r w:rsidRPr="00382AD0">
                    <w:rPr>
                      <w:rFonts w:eastAsia="Times New Roman"/>
                      <w:i/>
                      <w:sz w:val="20"/>
                      <w:szCs w:val="24"/>
                      <w:lang w:eastAsia="lv-LV"/>
                    </w:rPr>
                    <w:t>(23 477,38)</w:t>
                  </w:r>
                </w:p>
              </w:tc>
            </w:tr>
            <w:tr w:rsidR="00382AD0" w:rsidRPr="005F2A8D" w:rsidTr="00163891">
              <w:tc>
                <w:tcPr>
                  <w:tcW w:w="330"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2.2.</w:t>
                  </w:r>
                </w:p>
              </w:tc>
              <w:tc>
                <w:tcPr>
                  <w:tcW w:w="2396"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rPr>
                      <w:rFonts w:eastAsia="Times New Roman"/>
                      <w:sz w:val="20"/>
                      <w:szCs w:val="24"/>
                      <w:lang w:eastAsia="lv-LV"/>
                    </w:rPr>
                  </w:pPr>
                  <w:r w:rsidRPr="005F2A8D">
                    <w:rPr>
                      <w:rFonts w:eastAsia="Times New Roman"/>
                      <w:sz w:val="20"/>
                      <w:szCs w:val="24"/>
                      <w:lang w:eastAsia="lv-LV"/>
                    </w:rPr>
                    <w:t xml:space="preserve">Valsts sekretārs, īpašu uzdevumu ministra sekretariāta vadītājs, parlamentārais sekretārs, Valsts kancelejas direktors, </w:t>
                  </w:r>
                  <w:proofErr w:type="spellStart"/>
                  <w:r w:rsidRPr="005F2A8D">
                    <w:rPr>
                      <w:rFonts w:eastAsia="Times New Roman"/>
                      <w:sz w:val="20"/>
                      <w:szCs w:val="24"/>
                      <w:lang w:eastAsia="lv-LV"/>
                    </w:rPr>
                    <w:t>Pārresoru</w:t>
                  </w:r>
                  <w:proofErr w:type="spellEnd"/>
                  <w:r w:rsidRPr="005F2A8D">
                    <w:rPr>
                      <w:rFonts w:eastAsia="Times New Roman"/>
                      <w:sz w:val="20"/>
                      <w:szCs w:val="24"/>
                      <w:lang w:eastAsia="lv-LV"/>
                    </w:rPr>
                    <w:t xml:space="preserve"> koordinācijas centra vadītājs, Sabiedrības integrācijas fonda vadītājs, Korupcijas novēršanas un apkarošanas biroja priekšnieks, Ministru kabineta locekļa konsultatīvās amatpersonas, Valsts kancelejas un ministrijas padotībā esošas iestādes vadītājs (ja strādājošo skaits iestādē ir lielāks par 100)</w:t>
                  </w:r>
                </w:p>
              </w:tc>
              <w:tc>
                <w:tcPr>
                  <w:tcW w:w="1130" w:type="pct"/>
                  <w:tcBorders>
                    <w:top w:val="outset" w:sz="6" w:space="0" w:color="auto"/>
                    <w:left w:val="outset" w:sz="6" w:space="0" w:color="auto"/>
                    <w:bottom w:val="outset" w:sz="6" w:space="0" w:color="auto"/>
                    <w:right w:val="outset" w:sz="6" w:space="0" w:color="auto"/>
                  </w:tcBorders>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680</w:t>
                  </w:r>
                </w:p>
                <w:p w:rsidR="00382AD0" w:rsidRDefault="00382AD0" w:rsidP="00163891">
                  <w:pPr>
                    <w:jc w:val="center"/>
                    <w:rPr>
                      <w:rFonts w:eastAsia="Times New Roman"/>
                      <w:sz w:val="20"/>
                      <w:szCs w:val="24"/>
                      <w:lang w:eastAsia="lv-LV"/>
                    </w:rPr>
                  </w:pPr>
                </w:p>
                <w:p w:rsidR="00382AD0" w:rsidRPr="00382AD0" w:rsidRDefault="00382AD0" w:rsidP="00382AD0">
                  <w:pPr>
                    <w:jc w:val="center"/>
                    <w:rPr>
                      <w:rFonts w:eastAsia="Times New Roman"/>
                      <w:i/>
                      <w:sz w:val="20"/>
                      <w:szCs w:val="24"/>
                      <w:lang w:eastAsia="lv-LV"/>
                    </w:rPr>
                  </w:pPr>
                  <w:r w:rsidRPr="00382AD0">
                    <w:rPr>
                      <w:rFonts w:eastAsia="Times New Roman"/>
                      <w:i/>
                      <w:sz w:val="20"/>
                      <w:szCs w:val="24"/>
                      <w:lang w:eastAsia="lv-LV"/>
                    </w:rPr>
                    <w:t>(675,86)</w:t>
                  </w:r>
                </w:p>
                <w:p w:rsidR="00382AD0" w:rsidRPr="005F2A8D" w:rsidRDefault="00382AD0" w:rsidP="00163891">
                  <w:pPr>
                    <w:jc w:val="center"/>
                    <w:rPr>
                      <w:rFonts w:eastAsia="Times New Roman"/>
                      <w:sz w:val="20"/>
                      <w:szCs w:val="24"/>
                      <w:lang w:eastAsia="lv-LV"/>
                    </w:rPr>
                  </w:pPr>
                </w:p>
                <w:p w:rsidR="00382AD0" w:rsidRPr="005F2A8D" w:rsidRDefault="00382AD0" w:rsidP="00163891">
                  <w:pPr>
                    <w:jc w:val="center"/>
                    <w:rPr>
                      <w:rFonts w:eastAsia="Times New Roman"/>
                      <w:sz w:val="20"/>
                      <w:szCs w:val="24"/>
                      <w:lang w:eastAsia="lv-LV"/>
                    </w:rPr>
                  </w:pPr>
                </w:p>
              </w:tc>
              <w:tc>
                <w:tcPr>
                  <w:tcW w:w="1144"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2</w:t>
                  </w:r>
                  <w:r w:rsidR="00A06051">
                    <w:rPr>
                      <w:rFonts w:eastAsia="Times New Roman"/>
                      <w:sz w:val="20"/>
                      <w:szCs w:val="24"/>
                      <w:lang w:eastAsia="lv-LV"/>
                    </w:rPr>
                    <w:t>1</w:t>
                  </w:r>
                  <w:r w:rsidRPr="005F2A8D">
                    <w:rPr>
                      <w:rFonts w:eastAsia="Times New Roman"/>
                      <w:sz w:val="20"/>
                      <w:szCs w:val="24"/>
                      <w:lang w:eastAsia="lv-LV"/>
                    </w:rPr>
                    <w:t xml:space="preserve"> </w:t>
                  </w:r>
                  <w:r w:rsidR="00A06051">
                    <w:rPr>
                      <w:rFonts w:eastAsia="Times New Roman"/>
                      <w:sz w:val="20"/>
                      <w:szCs w:val="24"/>
                      <w:lang w:eastAsia="lv-LV"/>
                    </w:rPr>
                    <w:t>000</w:t>
                  </w:r>
                </w:p>
                <w:p w:rsidR="00382AD0" w:rsidRDefault="00382AD0" w:rsidP="00163891">
                  <w:pPr>
                    <w:jc w:val="center"/>
                    <w:rPr>
                      <w:rFonts w:eastAsia="Times New Roman"/>
                      <w:sz w:val="20"/>
                      <w:szCs w:val="24"/>
                      <w:lang w:eastAsia="lv-LV"/>
                    </w:rPr>
                  </w:pPr>
                </w:p>
                <w:p w:rsidR="00382AD0" w:rsidRPr="00382AD0" w:rsidRDefault="00382AD0" w:rsidP="00382AD0">
                  <w:pPr>
                    <w:jc w:val="center"/>
                    <w:rPr>
                      <w:rFonts w:eastAsia="Times New Roman"/>
                      <w:i/>
                      <w:sz w:val="20"/>
                      <w:szCs w:val="24"/>
                      <w:lang w:eastAsia="lv-LV"/>
                    </w:rPr>
                  </w:pPr>
                  <w:r w:rsidRPr="00382AD0">
                    <w:rPr>
                      <w:rFonts w:eastAsia="Times New Roman"/>
                      <w:i/>
                      <w:sz w:val="20"/>
                      <w:szCs w:val="24"/>
                      <w:lang w:eastAsia="lv-LV"/>
                    </w:rPr>
                    <w:t>(20 631,64)</w:t>
                  </w:r>
                </w:p>
                <w:p w:rsidR="00382AD0" w:rsidRPr="00382AD0" w:rsidRDefault="00382AD0" w:rsidP="00382AD0">
                  <w:pPr>
                    <w:rPr>
                      <w:rFonts w:eastAsia="Times New Roman"/>
                      <w:sz w:val="20"/>
                      <w:szCs w:val="24"/>
                      <w:lang w:eastAsia="lv-LV"/>
                    </w:rPr>
                  </w:pPr>
                </w:p>
              </w:tc>
            </w:tr>
            <w:tr w:rsidR="00382AD0" w:rsidRPr="005F2A8D" w:rsidTr="00163891">
              <w:trPr>
                <w:trHeight w:val="288"/>
              </w:trPr>
              <w:tc>
                <w:tcPr>
                  <w:tcW w:w="330"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jc w:val="center"/>
                    <w:rPr>
                      <w:rFonts w:eastAsia="Times New Roman"/>
                      <w:sz w:val="20"/>
                      <w:szCs w:val="24"/>
                      <w:lang w:eastAsia="lv-LV"/>
                    </w:rPr>
                  </w:pPr>
                  <w:r w:rsidRPr="005F2A8D">
                    <w:rPr>
                      <w:rFonts w:eastAsia="Times New Roman"/>
                      <w:sz w:val="20"/>
                      <w:szCs w:val="24"/>
                      <w:lang w:eastAsia="lv-LV"/>
                    </w:rPr>
                    <w:t>2.3.</w:t>
                  </w:r>
                </w:p>
              </w:tc>
              <w:tc>
                <w:tcPr>
                  <w:tcW w:w="2396" w:type="pct"/>
                  <w:tcBorders>
                    <w:top w:val="outset" w:sz="6" w:space="0" w:color="auto"/>
                    <w:left w:val="outset" w:sz="6" w:space="0" w:color="auto"/>
                    <w:bottom w:val="outset" w:sz="6" w:space="0" w:color="auto"/>
                    <w:right w:val="outset" w:sz="6" w:space="0" w:color="auto"/>
                  </w:tcBorders>
                  <w:hideMark/>
                </w:tcPr>
                <w:p w:rsidR="00382AD0" w:rsidRPr="005F2A8D" w:rsidRDefault="00382AD0" w:rsidP="00163891">
                  <w:pPr>
                    <w:rPr>
                      <w:rFonts w:eastAsia="Times New Roman"/>
                      <w:sz w:val="20"/>
                      <w:szCs w:val="24"/>
                      <w:lang w:eastAsia="lv-LV"/>
                    </w:rPr>
                  </w:pPr>
                  <w:r w:rsidRPr="005F2A8D">
                    <w:rPr>
                      <w:rFonts w:eastAsia="Times New Roman"/>
                      <w:sz w:val="20"/>
                      <w:szCs w:val="24"/>
                      <w:lang w:eastAsia="lv-LV"/>
                    </w:rPr>
                    <w:t>Pārējie amatpersonu un darbinieku amati</w:t>
                  </w:r>
                </w:p>
              </w:tc>
              <w:tc>
                <w:tcPr>
                  <w:tcW w:w="1130" w:type="pct"/>
                  <w:tcBorders>
                    <w:top w:val="outset" w:sz="6" w:space="0" w:color="auto"/>
                    <w:left w:val="outset" w:sz="6" w:space="0" w:color="auto"/>
                    <w:bottom w:val="outset" w:sz="6" w:space="0" w:color="auto"/>
                    <w:right w:val="outset" w:sz="6" w:space="0" w:color="auto"/>
                  </w:tcBorders>
                  <w:hideMark/>
                </w:tcPr>
                <w:p w:rsidR="00382AD0" w:rsidRDefault="00382AD0" w:rsidP="00163891">
                  <w:pPr>
                    <w:jc w:val="center"/>
                    <w:rPr>
                      <w:rFonts w:eastAsia="Times New Roman"/>
                      <w:sz w:val="20"/>
                      <w:szCs w:val="24"/>
                      <w:lang w:eastAsia="lv-LV"/>
                    </w:rPr>
                  </w:pPr>
                  <w:r w:rsidRPr="005F2A8D">
                    <w:rPr>
                      <w:rFonts w:eastAsia="Times New Roman"/>
                      <w:sz w:val="20"/>
                      <w:szCs w:val="24"/>
                      <w:lang w:eastAsia="lv-LV"/>
                    </w:rPr>
                    <w:t>545</w:t>
                  </w:r>
                </w:p>
                <w:p w:rsidR="00382AD0" w:rsidRDefault="00382AD0" w:rsidP="00382AD0">
                  <w:pPr>
                    <w:jc w:val="center"/>
                    <w:rPr>
                      <w:rFonts w:eastAsia="Times New Roman"/>
                      <w:i/>
                      <w:sz w:val="20"/>
                      <w:szCs w:val="24"/>
                      <w:lang w:eastAsia="lv-LV"/>
                    </w:rPr>
                  </w:pPr>
                </w:p>
                <w:p w:rsidR="00382AD0" w:rsidRPr="00382AD0" w:rsidRDefault="00382AD0" w:rsidP="00382AD0">
                  <w:pPr>
                    <w:jc w:val="center"/>
                    <w:rPr>
                      <w:rFonts w:eastAsia="Times New Roman"/>
                      <w:i/>
                      <w:sz w:val="20"/>
                      <w:szCs w:val="24"/>
                      <w:lang w:eastAsia="lv-LV"/>
                    </w:rPr>
                  </w:pPr>
                  <w:r w:rsidRPr="00382AD0">
                    <w:rPr>
                      <w:rFonts w:eastAsia="Times New Roman"/>
                      <w:i/>
                      <w:sz w:val="20"/>
                      <w:szCs w:val="24"/>
                      <w:lang w:eastAsia="lv-LV"/>
                    </w:rPr>
                    <w:t>(540,69)</w:t>
                  </w:r>
                </w:p>
              </w:tc>
              <w:tc>
                <w:tcPr>
                  <w:tcW w:w="1144" w:type="pct"/>
                  <w:tcBorders>
                    <w:top w:val="outset" w:sz="6" w:space="0" w:color="auto"/>
                    <w:left w:val="outset" w:sz="6" w:space="0" w:color="auto"/>
                    <w:bottom w:val="outset" w:sz="6" w:space="0" w:color="auto"/>
                    <w:right w:val="outset" w:sz="6" w:space="0" w:color="auto"/>
                  </w:tcBorders>
                  <w:hideMark/>
                </w:tcPr>
                <w:p w:rsidR="00382AD0" w:rsidRDefault="00382AD0" w:rsidP="00382AD0">
                  <w:pPr>
                    <w:jc w:val="center"/>
                    <w:rPr>
                      <w:rFonts w:eastAsia="Times New Roman"/>
                      <w:sz w:val="20"/>
                      <w:szCs w:val="24"/>
                      <w:lang w:eastAsia="lv-LV"/>
                    </w:rPr>
                  </w:pPr>
                  <w:r w:rsidRPr="00E83698">
                    <w:rPr>
                      <w:rFonts w:eastAsia="Times New Roman"/>
                      <w:sz w:val="20"/>
                      <w:szCs w:val="24"/>
                      <w:lang w:eastAsia="lv-LV"/>
                    </w:rPr>
                    <w:t>1</w:t>
                  </w:r>
                  <w:r w:rsidR="00A06051">
                    <w:rPr>
                      <w:rFonts w:eastAsia="Times New Roman"/>
                      <w:sz w:val="20"/>
                      <w:szCs w:val="24"/>
                      <w:lang w:eastAsia="lv-LV"/>
                    </w:rPr>
                    <w:t>8</w:t>
                  </w:r>
                  <w:r>
                    <w:rPr>
                      <w:rFonts w:eastAsia="Times New Roman"/>
                      <w:sz w:val="20"/>
                      <w:szCs w:val="24"/>
                      <w:lang w:eastAsia="lv-LV"/>
                    </w:rPr>
                    <w:t> </w:t>
                  </w:r>
                  <w:r w:rsidR="00A06051">
                    <w:rPr>
                      <w:rFonts w:eastAsia="Times New Roman"/>
                      <w:sz w:val="20"/>
                      <w:szCs w:val="24"/>
                      <w:lang w:eastAsia="lv-LV"/>
                    </w:rPr>
                    <w:t>00</w:t>
                  </w:r>
                  <w:r w:rsidR="00AA59EA">
                    <w:rPr>
                      <w:rFonts w:eastAsia="Times New Roman"/>
                      <w:sz w:val="20"/>
                      <w:szCs w:val="24"/>
                      <w:lang w:eastAsia="lv-LV"/>
                    </w:rPr>
                    <w:t>0</w:t>
                  </w:r>
                </w:p>
                <w:p w:rsidR="00382AD0" w:rsidRDefault="00382AD0" w:rsidP="00382AD0">
                  <w:pPr>
                    <w:jc w:val="center"/>
                    <w:rPr>
                      <w:rFonts w:eastAsia="Times New Roman"/>
                      <w:i/>
                      <w:sz w:val="20"/>
                      <w:szCs w:val="24"/>
                      <w:lang w:eastAsia="lv-LV"/>
                    </w:rPr>
                  </w:pPr>
                </w:p>
                <w:p w:rsidR="00382AD0" w:rsidRDefault="00382AD0" w:rsidP="00382AD0">
                  <w:pPr>
                    <w:jc w:val="center"/>
                    <w:rPr>
                      <w:rFonts w:eastAsia="Times New Roman"/>
                      <w:i/>
                      <w:sz w:val="20"/>
                      <w:szCs w:val="24"/>
                      <w:lang w:eastAsia="lv-LV"/>
                    </w:rPr>
                  </w:pPr>
                  <w:r w:rsidRPr="00382AD0">
                    <w:rPr>
                      <w:rFonts w:eastAsia="Times New Roman"/>
                      <w:i/>
                      <w:sz w:val="20"/>
                      <w:szCs w:val="24"/>
                      <w:lang w:eastAsia="lv-LV"/>
                    </w:rPr>
                    <w:t>(17 785,90)</w:t>
                  </w:r>
                </w:p>
                <w:p w:rsidR="00382AD0" w:rsidRPr="00382AD0" w:rsidRDefault="00382AD0" w:rsidP="00382AD0">
                  <w:pPr>
                    <w:jc w:val="right"/>
                    <w:rPr>
                      <w:rFonts w:eastAsia="Times New Roman"/>
                      <w:i/>
                      <w:sz w:val="20"/>
                      <w:szCs w:val="24"/>
                      <w:lang w:eastAsia="lv-LV"/>
                    </w:rPr>
                  </w:pPr>
                </w:p>
              </w:tc>
            </w:tr>
          </w:tbl>
          <w:p w:rsidR="00382AD0" w:rsidRPr="00381CCB" w:rsidRDefault="00382AD0" w:rsidP="000A36F5">
            <w:pPr>
              <w:jc w:val="both"/>
              <w:rPr>
                <w:rFonts w:eastAsia="Times New Roman" w:cs="Times New Roman"/>
                <w:bCs/>
                <w:iCs/>
                <w:sz w:val="20"/>
                <w:szCs w:val="24"/>
                <w:lang w:eastAsia="lv-LV"/>
              </w:rPr>
            </w:pPr>
          </w:p>
          <w:p w:rsidR="00931587" w:rsidRPr="00EA5E16" w:rsidRDefault="00931587" w:rsidP="00381CCB">
            <w:pPr>
              <w:jc w:val="both"/>
              <w:rPr>
                <w:rFonts w:eastAsia="Calibri" w:cs="Times New Roman"/>
                <w:iCs/>
                <w:szCs w:val="24"/>
              </w:rPr>
            </w:pP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5.</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izstrādē iesaistītās institūcijas</w:t>
            </w:r>
          </w:p>
        </w:tc>
        <w:tc>
          <w:tcPr>
            <w:tcW w:w="5351" w:type="dxa"/>
          </w:tcPr>
          <w:p w:rsidR="00EA5E16" w:rsidRPr="00EA5E16" w:rsidRDefault="002D22EF" w:rsidP="000B2718">
            <w:pPr>
              <w:jc w:val="both"/>
              <w:rPr>
                <w:rFonts w:eastAsia="Times New Roman" w:cs="Times New Roman"/>
                <w:szCs w:val="24"/>
                <w:lang w:eastAsia="lv-LV"/>
              </w:rPr>
            </w:pPr>
            <w:r w:rsidRPr="002D22EF">
              <w:rPr>
                <w:rFonts w:eastAsia="Times New Roman" w:cs="Times New Roman"/>
                <w:szCs w:val="24"/>
                <w:lang w:eastAsia="lv-LV"/>
              </w:rPr>
              <w:t>Projekts šo jomu neskar.</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6.</w:t>
            </w:r>
          </w:p>
        </w:tc>
        <w:tc>
          <w:tcPr>
            <w:tcW w:w="3288"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Iemesli, kādēļ netika nodrošināta sabiedrības līdzdalība</w:t>
            </w:r>
          </w:p>
        </w:tc>
        <w:tc>
          <w:tcPr>
            <w:tcW w:w="5351" w:type="dxa"/>
          </w:tcPr>
          <w:p w:rsidR="002F5E0E" w:rsidRDefault="002F5E0E" w:rsidP="002F5E0E">
            <w:pPr>
              <w:jc w:val="both"/>
              <w:rPr>
                <w:rFonts w:eastAsia="Times New Roman" w:cs="Times New Roman"/>
                <w:iCs/>
                <w:szCs w:val="24"/>
                <w:lang w:eastAsia="lv-LV"/>
              </w:rPr>
            </w:pPr>
            <w:r w:rsidRPr="002F5E0E">
              <w:rPr>
                <w:rFonts w:eastAsia="Times New Roman" w:cs="Times New Roman"/>
                <w:iCs/>
                <w:szCs w:val="24"/>
                <w:lang w:eastAsia="lv-LV"/>
              </w:rPr>
              <w:t xml:space="preserve">Sabiedrības līdzdalība </w:t>
            </w:r>
            <w:r w:rsidR="001B16C6">
              <w:rPr>
                <w:rFonts w:eastAsia="Times New Roman" w:cs="Times New Roman"/>
                <w:iCs/>
                <w:szCs w:val="24"/>
                <w:lang w:eastAsia="lv-LV"/>
              </w:rPr>
              <w:t>instrukcijas</w:t>
            </w:r>
            <w:r w:rsidRPr="002F5E0E">
              <w:rPr>
                <w:rFonts w:eastAsia="Times New Roman" w:cs="Times New Roman"/>
                <w:iCs/>
                <w:szCs w:val="24"/>
                <w:lang w:eastAsia="lv-LV"/>
              </w:rPr>
              <w:t xml:space="preserve"> projekta izstrādes gaitā nebija nepieciešama, jo</w:t>
            </w:r>
            <w:r w:rsidR="005A79F5" w:rsidRPr="005A79F5">
              <w:rPr>
                <w:rFonts w:eastAsia="Times New Roman" w:cs="Times New Roman"/>
                <w:iCs/>
                <w:szCs w:val="24"/>
                <w:lang w:eastAsia="lv-LV"/>
              </w:rPr>
              <w:t xml:space="preserve"> </w:t>
            </w:r>
            <w:r w:rsidR="0033693B">
              <w:rPr>
                <w:rFonts w:eastAsia="Times New Roman" w:cs="Times New Roman"/>
                <w:iCs/>
                <w:szCs w:val="24"/>
                <w:lang w:eastAsia="lv-LV"/>
              </w:rPr>
              <w:t>p</w:t>
            </w:r>
            <w:r w:rsidR="0033693B" w:rsidRPr="0033693B">
              <w:rPr>
                <w:rFonts w:eastAsia="Times New Roman" w:cs="Times New Roman"/>
                <w:iCs/>
                <w:szCs w:val="24"/>
                <w:lang w:eastAsia="lv-LV"/>
              </w:rPr>
              <w:t xml:space="preserve">amatā tie ir tehniski grozījumi </w:t>
            </w:r>
            <w:r w:rsidR="0033693B">
              <w:rPr>
                <w:rFonts w:eastAsia="Times New Roman" w:cs="Times New Roman"/>
                <w:iCs/>
                <w:szCs w:val="24"/>
                <w:lang w:eastAsia="lv-LV"/>
              </w:rPr>
              <w:t xml:space="preserve">un </w:t>
            </w:r>
            <w:r w:rsidR="005A79F5" w:rsidRPr="005A79F5">
              <w:rPr>
                <w:rFonts w:eastAsia="Times New Roman" w:cs="Times New Roman"/>
                <w:iCs/>
                <w:szCs w:val="24"/>
                <w:lang w:eastAsia="lv-LV"/>
              </w:rPr>
              <w:t xml:space="preserve">latu konvertācijā uz </w:t>
            </w:r>
            <w:proofErr w:type="spellStart"/>
            <w:r w:rsidR="005A79F5" w:rsidRPr="005A79F5">
              <w:rPr>
                <w:rFonts w:eastAsia="Times New Roman" w:cs="Times New Roman"/>
                <w:iCs/>
                <w:szCs w:val="24"/>
                <w:lang w:eastAsia="lv-LV"/>
              </w:rPr>
              <w:t>euro</w:t>
            </w:r>
            <w:proofErr w:type="spellEnd"/>
            <w:r w:rsidR="005A79F5" w:rsidRPr="005A79F5">
              <w:rPr>
                <w:rFonts w:eastAsia="Times New Roman" w:cs="Times New Roman"/>
                <w:iCs/>
                <w:szCs w:val="24"/>
                <w:lang w:eastAsia="lv-LV"/>
              </w:rPr>
              <w:t xml:space="preserve"> tiek </w:t>
            </w:r>
            <w:r w:rsidR="005A79F5" w:rsidRPr="005A79F5">
              <w:rPr>
                <w:rFonts w:eastAsia="Times New Roman" w:cs="Times New Roman"/>
                <w:iCs/>
                <w:szCs w:val="24"/>
                <w:lang w:eastAsia="lv-LV"/>
              </w:rPr>
              <w:lastRenderedPageBreak/>
              <w:t xml:space="preserve">piemērotas </w:t>
            </w:r>
            <w:proofErr w:type="spellStart"/>
            <w:r w:rsidR="005A79F5" w:rsidRPr="005A79F5">
              <w:rPr>
                <w:rFonts w:eastAsia="Times New Roman" w:cs="Times New Roman"/>
                <w:iCs/>
                <w:szCs w:val="24"/>
                <w:lang w:eastAsia="lv-LV"/>
              </w:rPr>
              <w:t>Euro</w:t>
            </w:r>
            <w:proofErr w:type="spellEnd"/>
            <w:r w:rsidR="005A79F5" w:rsidRPr="005A79F5">
              <w:rPr>
                <w:rFonts w:eastAsia="Times New Roman" w:cs="Times New Roman"/>
                <w:iCs/>
                <w:szCs w:val="24"/>
                <w:lang w:eastAsia="lv-LV"/>
              </w:rPr>
              <w:t xml:space="preserve"> iev</w:t>
            </w:r>
            <w:r w:rsidR="0063654E">
              <w:rPr>
                <w:rFonts w:eastAsia="Times New Roman" w:cs="Times New Roman"/>
                <w:iCs/>
                <w:szCs w:val="24"/>
                <w:lang w:eastAsia="lv-LV"/>
              </w:rPr>
              <w:t xml:space="preserve">iešanas kārtības likumā noteiktie noapaļošanas principi un nosacījumi grozījumiem tiesību aktos, kas saistīti ar </w:t>
            </w:r>
            <w:proofErr w:type="spellStart"/>
            <w:r w:rsidR="0063654E">
              <w:rPr>
                <w:rFonts w:eastAsia="Times New Roman" w:cs="Times New Roman"/>
                <w:iCs/>
                <w:szCs w:val="24"/>
                <w:lang w:eastAsia="lv-LV"/>
              </w:rPr>
              <w:t>euro</w:t>
            </w:r>
            <w:proofErr w:type="spellEnd"/>
            <w:r w:rsidR="0063654E">
              <w:rPr>
                <w:rFonts w:eastAsia="Times New Roman" w:cs="Times New Roman"/>
                <w:iCs/>
                <w:szCs w:val="24"/>
                <w:lang w:eastAsia="lv-LV"/>
              </w:rPr>
              <w:t xml:space="preserve"> ieviešanu</w:t>
            </w:r>
            <w:r w:rsidR="005A79F5" w:rsidRPr="005A79F5">
              <w:rPr>
                <w:rFonts w:eastAsia="Times New Roman" w:cs="Times New Roman"/>
                <w:iCs/>
                <w:szCs w:val="24"/>
                <w:lang w:eastAsia="lv-LV"/>
              </w:rPr>
              <w:t xml:space="preserve">.   </w:t>
            </w:r>
          </w:p>
          <w:p w:rsidR="00EA5E16" w:rsidRPr="00EA5E16" w:rsidRDefault="002F5E0E" w:rsidP="00255B41">
            <w:pPr>
              <w:jc w:val="both"/>
              <w:rPr>
                <w:rFonts w:eastAsia="Times New Roman" w:cs="Times New Roman"/>
                <w:szCs w:val="24"/>
                <w:lang w:eastAsia="lv-LV"/>
              </w:rPr>
            </w:pPr>
            <w:r>
              <w:rPr>
                <w:rFonts w:eastAsia="Times New Roman" w:cs="Times New Roman"/>
                <w:iCs/>
                <w:szCs w:val="24"/>
                <w:lang w:eastAsia="lv-LV"/>
              </w:rPr>
              <w:t xml:space="preserve">Turklāt </w:t>
            </w:r>
            <w:r>
              <w:rPr>
                <w:rFonts w:eastAsia="Times New Roman" w:cs="Times New Roman"/>
                <w:szCs w:val="24"/>
                <w:lang w:eastAsia="lv-LV"/>
              </w:rPr>
              <w:t>instrukcijas</w:t>
            </w:r>
            <w:r w:rsidRPr="00EA5E16">
              <w:rPr>
                <w:rFonts w:eastAsia="Times New Roman" w:cs="Times New Roman"/>
                <w:szCs w:val="24"/>
                <w:lang w:eastAsia="lv-LV"/>
              </w:rPr>
              <w:t xml:space="preserve"> projekts attiecas uz ministrij</w:t>
            </w:r>
            <w:r w:rsidR="00FF52AD">
              <w:rPr>
                <w:rFonts w:eastAsia="Times New Roman" w:cs="Times New Roman"/>
                <w:szCs w:val="24"/>
                <w:lang w:eastAsia="lv-LV"/>
              </w:rPr>
              <w:t>ām</w:t>
            </w:r>
            <w:r w:rsidR="00255B41">
              <w:rPr>
                <w:rFonts w:eastAsia="Times New Roman" w:cs="Times New Roman"/>
                <w:szCs w:val="24"/>
                <w:lang w:eastAsia="lv-LV"/>
              </w:rPr>
              <w:t xml:space="preserve">, </w:t>
            </w:r>
            <w:r w:rsidRPr="00EA5E16">
              <w:rPr>
                <w:rFonts w:eastAsia="Times New Roman" w:cs="Times New Roman"/>
                <w:szCs w:val="24"/>
                <w:lang w:eastAsia="lv-LV"/>
              </w:rPr>
              <w:t>cit</w:t>
            </w:r>
            <w:r w:rsidR="00FF52AD">
              <w:rPr>
                <w:rFonts w:eastAsia="Times New Roman" w:cs="Times New Roman"/>
                <w:szCs w:val="24"/>
                <w:lang w:eastAsia="lv-LV"/>
              </w:rPr>
              <w:t>ām</w:t>
            </w:r>
            <w:r w:rsidRPr="00EA5E16">
              <w:rPr>
                <w:rFonts w:eastAsia="Times New Roman" w:cs="Times New Roman"/>
                <w:szCs w:val="24"/>
                <w:lang w:eastAsia="lv-LV"/>
              </w:rPr>
              <w:t xml:space="preserve"> centrāl</w:t>
            </w:r>
            <w:r w:rsidR="00FF52AD">
              <w:rPr>
                <w:rFonts w:eastAsia="Times New Roman" w:cs="Times New Roman"/>
                <w:szCs w:val="24"/>
                <w:lang w:eastAsia="lv-LV"/>
              </w:rPr>
              <w:t>ajām</w:t>
            </w:r>
            <w:r w:rsidRPr="00EA5E16">
              <w:rPr>
                <w:rFonts w:eastAsia="Times New Roman" w:cs="Times New Roman"/>
                <w:szCs w:val="24"/>
                <w:lang w:eastAsia="lv-LV"/>
              </w:rPr>
              <w:t xml:space="preserve"> valsts iestā</w:t>
            </w:r>
            <w:r w:rsidR="00FF52AD">
              <w:rPr>
                <w:rFonts w:eastAsia="Times New Roman" w:cs="Times New Roman"/>
                <w:szCs w:val="24"/>
                <w:lang w:eastAsia="lv-LV"/>
              </w:rPr>
              <w:t>dēm</w:t>
            </w:r>
            <w:r w:rsidR="00255B41" w:rsidRPr="00255B41">
              <w:rPr>
                <w:rFonts w:eastAsia="Times New Roman" w:cs="Times New Roman"/>
                <w:szCs w:val="24"/>
                <w:lang w:eastAsia="lv-LV"/>
              </w:rPr>
              <w:t xml:space="preserve"> un to padotībā esošā</w:t>
            </w:r>
            <w:r w:rsidR="00255B41">
              <w:rPr>
                <w:rFonts w:eastAsia="Times New Roman" w:cs="Times New Roman"/>
                <w:szCs w:val="24"/>
                <w:lang w:eastAsia="lv-LV"/>
              </w:rPr>
              <w:t>m</w:t>
            </w:r>
            <w:r w:rsidR="00255B41" w:rsidRPr="00255B41">
              <w:rPr>
                <w:rFonts w:eastAsia="Times New Roman" w:cs="Times New Roman"/>
                <w:szCs w:val="24"/>
                <w:lang w:eastAsia="lv-LV"/>
              </w:rPr>
              <w:t xml:space="preserve"> iestād</w:t>
            </w:r>
            <w:r w:rsidR="00255B41">
              <w:rPr>
                <w:rFonts w:eastAsia="Times New Roman" w:cs="Times New Roman"/>
                <w:szCs w:val="24"/>
                <w:lang w:eastAsia="lv-LV"/>
              </w:rPr>
              <w:t>ēm</w:t>
            </w:r>
            <w:r w:rsidR="00FF52AD">
              <w:rPr>
                <w:rFonts w:eastAsia="Times New Roman" w:cs="Times New Roman"/>
                <w:szCs w:val="24"/>
                <w:lang w:eastAsia="lv-LV"/>
              </w:rPr>
              <w:t xml:space="preserve">, paredzot nosacījumus, kurus tiem jāievēro, pērkot vai nomājot automobiļus. </w:t>
            </w:r>
          </w:p>
        </w:tc>
      </w:tr>
      <w:tr w:rsidR="00EA5E16" w:rsidRPr="00EA5E16" w:rsidTr="004A187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7.</w:t>
            </w:r>
          </w:p>
        </w:tc>
        <w:tc>
          <w:tcPr>
            <w:tcW w:w="328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Cita informācija</w:t>
            </w:r>
          </w:p>
        </w:tc>
        <w:tc>
          <w:tcPr>
            <w:tcW w:w="5351" w:type="dxa"/>
          </w:tcPr>
          <w:p w:rsidR="00EA5E16" w:rsidRPr="00EA5E16" w:rsidRDefault="00F46166" w:rsidP="00EA5E16">
            <w:pPr>
              <w:jc w:val="both"/>
              <w:rPr>
                <w:rFonts w:eastAsia="Times New Roman" w:cs="Times New Roman"/>
                <w:szCs w:val="24"/>
                <w:lang w:eastAsia="lv-LV"/>
              </w:rPr>
            </w:pPr>
            <w:r>
              <w:rPr>
                <w:rFonts w:eastAsia="Times New Roman" w:cs="Times New Roman"/>
                <w:szCs w:val="24"/>
                <w:lang w:eastAsia="lv-LV"/>
              </w:rPr>
              <w:t>N</w:t>
            </w:r>
            <w:r w:rsidR="00EA5E16" w:rsidRPr="00EA5E16">
              <w:rPr>
                <w:rFonts w:eastAsia="Times New Roman" w:cs="Times New Roman"/>
                <w:szCs w:val="24"/>
                <w:lang w:eastAsia="lv-LV"/>
              </w:rPr>
              <w:t>av.</w:t>
            </w:r>
          </w:p>
        </w:tc>
      </w:tr>
    </w:tbl>
    <w:p w:rsidR="009F302C" w:rsidRDefault="009F302C" w:rsidP="00EA5E16">
      <w:pPr>
        <w:jc w:val="both"/>
        <w:rPr>
          <w:rFonts w:eastAsia="Times New Roman" w:cs="Times New Roman"/>
          <w:szCs w:val="16"/>
          <w:lang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17"/>
        <w:gridCol w:w="5351"/>
      </w:tblGrid>
      <w:tr w:rsidR="009F302C" w:rsidRPr="009F302C" w:rsidTr="004A187E">
        <w:tc>
          <w:tcPr>
            <w:tcW w:w="9287" w:type="dxa"/>
            <w:gridSpan w:val="3"/>
          </w:tcPr>
          <w:p w:rsidR="009F302C" w:rsidRPr="009F302C" w:rsidRDefault="009F302C" w:rsidP="009F302C">
            <w:pPr>
              <w:jc w:val="center"/>
              <w:rPr>
                <w:rFonts w:eastAsia="Times New Roman" w:cs="Times New Roman"/>
                <w:szCs w:val="24"/>
                <w:lang w:eastAsia="lv-LV"/>
              </w:rPr>
            </w:pPr>
            <w:r w:rsidRPr="009F302C">
              <w:rPr>
                <w:rFonts w:eastAsia="Times New Roman" w:cs="Times New Roman"/>
                <w:b/>
                <w:bCs/>
                <w:szCs w:val="24"/>
                <w:lang w:eastAsia="lv-LV"/>
              </w:rPr>
              <w:t>II. Tiesību akta projekta ietekme uz sabiedrību</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1.</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Sabiedrības </w:t>
            </w:r>
            <w:proofErr w:type="spellStart"/>
            <w:r w:rsidRPr="009F302C">
              <w:rPr>
                <w:rFonts w:eastAsia="Times New Roman" w:cs="Times New Roman"/>
                <w:szCs w:val="24"/>
                <w:lang w:eastAsia="lv-LV"/>
              </w:rPr>
              <w:t>mērķgrupa</w:t>
            </w:r>
            <w:proofErr w:type="spellEnd"/>
          </w:p>
        </w:tc>
        <w:tc>
          <w:tcPr>
            <w:tcW w:w="5351" w:type="dxa"/>
          </w:tcPr>
          <w:p w:rsidR="009F302C" w:rsidRPr="009F302C" w:rsidRDefault="006B260B" w:rsidP="009F302C">
            <w:pPr>
              <w:jc w:val="both"/>
              <w:rPr>
                <w:rFonts w:eastAsia="Times New Roman" w:cs="Times New Roman"/>
                <w:szCs w:val="24"/>
                <w:lang w:eastAsia="lv-LV"/>
              </w:rPr>
            </w:pPr>
            <w:r w:rsidRPr="006B260B">
              <w:rPr>
                <w:rFonts w:eastAsia="Times New Roman" w:cs="Times New Roman"/>
                <w:szCs w:val="24"/>
                <w:lang w:eastAsia="lv-LV"/>
              </w:rPr>
              <w:t>Ministrijas un citas centrālās valsts iestādes Likuma par budžetu un finanšu vadību izpratnē</w:t>
            </w:r>
            <w:r w:rsidR="00434A44" w:rsidRPr="00434A44">
              <w:rPr>
                <w:rFonts w:eastAsia="Times New Roman" w:cs="Times New Roman"/>
                <w:szCs w:val="24"/>
                <w:lang w:eastAsia="lv-LV"/>
              </w:rPr>
              <w:t xml:space="preserve"> un to padotībā esošās iestādes</w:t>
            </w:r>
            <w:r w:rsidRPr="006B260B">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2.</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Citas sabiedrības grupas (bez </w:t>
            </w:r>
            <w:proofErr w:type="spellStart"/>
            <w:r w:rsidRPr="009F302C">
              <w:rPr>
                <w:rFonts w:eastAsia="Times New Roman" w:cs="Times New Roman"/>
                <w:szCs w:val="24"/>
                <w:lang w:eastAsia="lv-LV"/>
              </w:rPr>
              <w:t>mērķgrupas</w:t>
            </w:r>
            <w:proofErr w:type="spellEnd"/>
            <w:r w:rsidRPr="009F302C">
              <w:rPr>
                <w:rFonts w:eastAsia="Times New Roman" w:cs="Times New Roman"/>
                <w:szCs w:val="24"/>
                <w:lang w:eastAsia="lv-LV"/>
              </w:rPr>
              <w:t>), kuras tiesiskais regulējums arī ietekmē vai varētu ietekmēt</w:t>
            </w:r>
          </w:p>
        </w:tc>
        <w:tc>
          <w:tcPr>
            <w:tcW w:w="5351" w:type="dxa"/>
          </w:tcPr>
          <w:p w:rsidR="009F302C" w:rsidRPr="009F302C" w:rsidRDefault="006B260B" w:rsidP="009F302C">
            <w:pPr>
              <w:jc w:val="both"/>
              <w:rPr>
                <w:rFonts w:eastAsia="Times New Roman" w:cs="Times New Roman"/>
                <w:szCs w:val="24"/>
                <w:lang w:eastAsia="lv-LV"/>
              </w:rPr>
            </w:pPr>
            <w:r w:rsidRPr="006B260B">
              <w:rPr>
                <w:rFonts w:eastAsia="Times New Roman" w:cs="Times New Roman"/>
                <w:szCs w:val="24"/>
                <w:lang w:eastAsia="lv-LV"/>
              </w:rPr>
              <w:t>Komersanti, kuru komercdarbība ir vieglo automobiļu nomas vai pārdošanas pakalpojumi un ar to saistītie papildpakalpojumi.</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3.</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Tiesiskā regulējuma finansiālā ietekme</w:t>
            </w:r>
          </w:p>
        </w:tc>
        <w:tc>
          <w:tcPr>
            <w:tcW w:w="5351" w:type="dxa"/>
          </w:tcPr>
          <w:p w:rsidR="006B260B" w:rsidRPr="006B260B" w:rsidRDefault="00493426" w:rsidP="006B260B">
            <w:pPr>
              <w:jc w:val="both"/>
              <w:rPr>
                <w:rFonts w:eastAsia="Times New Roman" w:cs="Times New Roman"/>
                <w:szCs w:val="24"/>
                <w:lang w:eastAsia="lv-LV"/>
              </w:rPr>
            </w:pPr>
            <w:r>
              <w:rPr>
                <w:rFonts w:eastAsia="Times New Roman" w:cs="Times New Roman"/>
                <w:szCs w:val="24"/>
                <w:lang w:eastAsia="lv-LV"/>
              </w:rPr>
              <w:t>Instrukcijas projekta</w:t>
            </w:r>
            <w:r w:rsidR="006B260B" w:rsidRPr="006B260B">
              <w:rPr>
                <w:rFonts w:eastAsia="Times New Roman" w:cs="Times New Roman"/>
                <w:szCs w:val="24"/>
                <w:lang w:eastAsia="lv-LV"/>
              </w:rPr>
              <w:t xml:space="preserve"> izpilde tiks nodrošināta ministriju</w:t>
            </w:r>
            <w:r w:rsidR="00434A44">
              <w:rPr>
                <w:rFonts w:eastAsia="Times New Roman" w:cs="Times New Roman"/>
                <w:szCs w:val="24"/>
                <w:lang w:eastAsia="lv-LV"/>
              </w:rPr>
              <w:t>,</w:t>
            </w:r>
            <w:r w:rsidR="00E20F04">
              <w:rPr>
                <w:rFonts w:eastAsia="Times New Roman" w:cs="Times New Roman"/>
                <w:szCs w:val="24"/>
                <w:lang w:eastAsia="lv-LV"/>
              </w:rPr>
              <w:t xml:space="preserve"> citu centrālo valsts iestāžu </w:t>
            </w:r>
            <w:r w:rsidR="00434A44" w:rsidRPr="00434A44">
              <w:rPr>
                <w:rFonts w:eastAsia="Times New Roman" w:cs="Times New Roman"/>
                <w:szCs w:val="24"/>
                <w:lang w:eastAsia="lv-LV"/>
              </w:rPr>
              <w:t>un to padotībā esoš</w:t>
            </w:r>
            <w:r w:rsidR="00434A44">
              <w:rPr>
                <w:rFonts w:eastAsia="Times New Roman" w:cs="Times New Roman"/>
                <w:szCs w:val="24"/>
                <w:lang w:eastAsia="lv-LV"/>
              </w:rPr>
              <w:t>o</w:t>
            </w:r>
            <w:r w:rsidR="00434A44" w:rsidRPr="00434A44">
              <w:rPr>
                <w:rFonts w:eastAsia="Times New Roman" w:cs="Times New Roman"/>
                <w:szCs w:val="24"/>
                <w:lang w:eastAsia="lv-LV"/>
              </w:rPr>
              <w:t xml:space="preserve"> iestā</w:t>
            </w:r>
            <w:r w:rsidR="00434A44">
              <w:rPr>
                <w:rFonts w:eastAsia="Times New Roman" w:cs="Times New Roman"/>
                <w:szCs w:val="24"/>
                <w:lang w:eastAsia="lv-LV"/>
              </w:rPr>
              <w:t>žu</w:t>
            </w:r>
            <w:r w:rsidR="00434A44" w:rsidRPr="00434A44">
              <w:rPr>
                <w:rFonts w:eastAsia="Times New Roman" w:cs="Times New Roman"/>
                <w:szCs w:val="24"/>
                <w:lang w:eastAsia="lv-LV"/>
              </w:rPr>
              <w:t xml:space="preserve"> </w:t>
            </w:r>
            <w:r w:rsidR="006B260B" w:rsidRPr="006B260B">
              <w:rPr>
                <w:rFonts w:eastAsia="Times New Roman" w:cs="Times New Roman"/>
                <w:szCs w:val="24"/>
                <w:lang w:eastAsia="lv-LV"/>
              </w:rPr>
              <w:t xml:space="preserve">budžetos piešķirtā finansējuma ietvaros. Papildus finansējuma piešķiršana no valsts budžeta līdzekļiem </w:t>
            </w:r>
            <w:r w:rsidR="00960417">
              <w:rPr>
                <w:rFonts w:eastAsia="Times New Roman" w:cs="Times New Roman"/>
                <w:szCs w:val="24"/>
                <w:lang w:eastAsia="lv-LV"/>
              </w:rPr>
              <w:t>instrukcijas projekta</w:t>
            </w:r>
            <w:r w:rsidR="006B260B" w:rsidRPr="006B260B">
              <w:rPr>
                <w:rFonts w:eastAsia="Times New Roman" w:cs="Times New Roman"/>
                <w:szCs w:val="24"/>
                <w:lang w:eastAsia="lv-LV"/>
              </w:rPr>
              <w:t xml:space="preserve"> izpildei nav paredzama.</w:t>
            </w:r>
            <w:r w:rsidR="00434A44">
              <w:rPr>
                <w:rFonts w:eastAsia="Times New Roman" w:cs="Times New Roman"/>
                <w:szCs w:val="24"/>
                <w:lang w:eastAsia="lv-LV"/>
              </w:rPr>
              <w:t xml:space="preserve"> </w:t>
            </w:r>
          </w:p>
          <w:p w:rsidR="009F302C" w:rsidRPr="009F302C" w:rsidRDefault="00493426" w:rsidP="00BA5363">
            <w:pPr>
              <w:jc w:val="both"/>
              <w:rPr>
                <w:rFonts w:eastAsia="Times New Roman" w:cs="Times New Roman"/>
                <w:szCs w:val="24"/>
                <w:lang w:eastAsia="lv-LV"/>
              </w:rPr>
            </w:pPr>
            <w:r>
              <w:rPr>
                <w:rFonts w:eastAsia="Times New Roman" w:cs="Times New Roman"/>
                <w:szCs w:val="24"/>
                <w:lang w:eastAsia="lv-LV"/>
              </w:rPr>
              <w:t>Instrukcijas projekta</w:t>
            </w:r>
            <w:r w:rsidR="006B260B" w:rsidRPr="006B260B">
              <w:rPr>
                <w:rFonts w:eastAsia="Times New Roman" w:cs="Times New Roman"/>
                <w:szCs w:val="24"/>
                <w:lang w:eastAsia="lv-LV"/>
              </w:rPr>
              <w:t xml:space="preserve"> finansiālo ietekmi uz citām sabiedrības grupām (bez </w:t>
            </w:r>
            <w:proofErr w:type="spellStart"/>
            <w:r w:rsidR="006B260B" w:rsidRPr="006B260B">
              <w:rPr>
                <w:rFonts w:eastAsia="Times New Roman" w:cs="Times New Roman"/>
                <w:szCs w:val="24"/>
                <w:lang w:eastAsia="lv-LV"/>
              </w:rPr>
              <w:t>mērķgrupas</w:t>
            </w:r>
            <w:proofErr w:type="spellEnd"/>
            <w:r w:rsidR="006B260B" w:rsidRPr="006B260B">
              <w:rPr>
                <w:rFonts w:eastAsia="Times New Roman" w:cs="Times New Roman"/>
                <w:szCs w:val="24"/>
                <w:lang w:eastAsia="lv-LV"/>
              </w:rPr>
              <w:t>) nevar noteikt, jo tā atkarīga no ministriju</w:t>
            </w:r>
            <w:r w:rsidR="00BA5363">
              <w:rPr>
                <w:rFonts w:eastAsia="Times New Roman" w:cs="Times New Roman"/>
                <w:szCs w:val="24"/>
                <w:lang w:eastAsia="lv-LV"/>
              </w:rPr>
              <w:t>,</w:t>
            </w:r>
            <w:r w:rsidR="00E20F04" w:rsidRPr="00E20F04">
              <w:rPr>
                <w:rFonts w:eastAsia="Times New Roman" w:cs="Times New Roman"/>
                <w:szCs w:val="24"/>
                <w:lang w:eastAsia="lv-LV"/>
              </w:rPr>
              <w:t xml:space="preserve"> citu centrālo valsts iestāžu </w:t>
            </w:r>
            <w:r w:rsidR="00BA5363" w:rsidRPr="00BA5363">
              <w:rPr>
                <w:rFonts w:eastAsia="Times New Roman" w:cs="Times New Roman"/>
                <w:szCs w:val="24"/>
                <w:lang w:eastAsia="lv-LV"/>
              </w:rPr>
              <w:t>un to padotībā esoš</w:t>
            </w:r>
            <w:r w:rsidR="00BA5363">
              <w:rPr>
                <w:rFonts w:eastAsia="Times New Roman" w:cs="Times New Roman"/>
                <w:szCs w:val="24"/>
                <w:lang w:eastAsia="lv-LV"/>
              </w:rPr>
              <w:t>o</w:t>
            </w:r>
            <w:r w:rsidR="00BA5363" w:rsidRPr="00BA5363">
              <w:rPr>
                <w:rFonts w:eastAsia="Times New Roman" w:cs="Times New Roman"/>
                <w:szCs w:val="24"/>
                <w:lang w:eastAsia="lv-LV"/>
              </w:rPr>
              <w:t xml:space="preserve"> iestā</w:t>
            </w:r>
            <w:r w:rsidR="00BA5363">
              <w:rPr>
                <w:rFonts w:eastAsia="Times New Roman" w:cs="Times New Roman"/>
                <w:szCs w:val="24"/>
                <w:lang w:eastAsia="lv-LV"/>
              </w:rPr>
              <w:t>žu</w:t>
            </w:r>
            <w:r w:rsidR="00BA5363" w:rsidRPr="00BA5363">
              <w:rPr>
                <w:rFonts w:eastAsia="Times New Roman" w:cs="Times New Roman"/>
                <w:szCs w:val="24"/>
                <w:lang w:eastAsia="lv-LV"/>
              </w:rPr>
              <w:t xml:space="preserve"> </w:t>
            </w:r>
            <w:r w:rsidR="006B260B" w:rsidRPr="006B260B">
              <w:rPr>
                <w:rFonts w:eastAsia="Times New Roman" w:cs="Times New Roman"/>
                <w:szCs w:val="24"/>
                <w:lang w:eastAsia="lv-LV"/>
              </w:rPr>
              <w:t xml:space="preserve">rīcības, </w:t>
            </w:r>
            <w:proofErr w:type="spellStart"/>
            <w:r w:rsidR="006B260B" w:rsidRPr="006B260B">
              <w:rPr>
                <w:rFonts w:eastAsia="Times New Roman" w:cs="Times New Roman"/>
                <w:szCs w:val="24"/>
                <w:lang w:eastAsia="lv-LV"/>
              </w:rPr>
              <w:t>t.i</w:t>
            </w:r>
            <w:proofErr w:type="spellEnd"/>
            <w:r w:rsidR="006B260B" w:rsidRPr="006B260B">
              <w:rPr>
                <w:rFonts w:eastAsia="Times New Roman" w:cs="Times New Roman"/>
                <w:szCs w:val="24"/>
                <w:lang w:eastAsia="lv-LV"/>
              </w:rPr>
              <w:t>., izvēles turpmāk dienesta vieglos automobiļus nodrošināt nomas vai iegādes kārtībā</w:t>
            </w:r>
            <w:r w:rsidR="006443B8">
              <w:rPr>
                <w:rFonts w:eastAsia="Times New Roman" w:cs="Times New Roman"/>
                <w:szCs w:val="24"/>
                <w:lang w:eastAsia="lv-LV"/>
              </w:rPr>
              <w:t>.</w:t>
            </w:r>
            <w:r w:rsidR="001F66A7">
              <w:rPr>
                <w:rFonts w:eastAsia="Times New Roman" w:cs="Times New Roman"/>
                <w:szCs w:val="24"/>
                <w:lang w:eastAsia="lv-LV"/>
              </w:rPr>
              <w:t xml:space="preserve"> Turklāt nav zināms ne iespējamais automobiļu nomas/iegādes līgumu skaits,</w:t>
            </w:r>
            <w:r w:rsidR="001F66A7" w:rsidRPr="001F66A7">
              <w:rPr>
                <w:rFonts w:eastAsia="Times New Roman" w:cs="Times New Roman"/>
                <w:szCs w:val="24"/>
                <w:lang w:eastAsia="lv-LV"/>
              </w:rPr>
              <w:t xml:space="preserve"> ne automobiļu nomas/iegādes </w:t>
            </w:r>
            <w:r w:rsidR="001F66A7">
              <w:rPr>
                <w:rFonts w:eastAsia="Times New Roman" w:cs="Times New Roman"/>
                <w:szCs w:val="24"/>
                <w:lang w:eastAsia="lv-LV"/>
              </w:rPr>
              <w:t xml:space="preserve">līgumu </w:t>
            </w:r>
            <w:r w:rsidR="001F66A7" w:rsidRPr="001F66A7">
              <w:rPr>
                <w:rFonts w:eastAsia="Times New Roman" w:cs="Times New Roman"/>
                <w:szCs w:val="24"/>
                <w:lang w:eastAsia="lv-LV"/>
              </w:rPr>
              <w:t xml:space="preserve">summas, </w:t>
            </w:r>
            <w:r w:rsidR="001F66A7">
              <w:rPr>
                <w:rFonts w:eastAsia="Times New Roman" w:cs="Times New Roman"/>
                <w:szCs w:val="24"/>
                <w:lang w:eastAsia="lv-LV"/>
              </w:rPr>
              <w:t xml:space="preserve">ne komersanti, kuri nodrošinās </w:t>
            </w:r>
            <w:r w:rsidR="001F66A7" w:rsidRPr="001F66A7">
              <w:rPr>
                <w:rFonts w:eastAsia="Times New Roman" w:cs="Times New Roman"/>
                <w:szCs w:val="24"/>
                <w:lang w:eastAsia="lv-LV"/>
              </w:rPr>
              <w:t>automobiļu nom</w:t>
            </w:r>
            <w:r w:rsidR="001F66A7">
              <w:rPr>
                <w:rFonts w:eastAsia="Times New Roman" w:cs="Times New Roman"/>
                <w:szCs w:val="24"/>
                <w:lang w:eastAsia="lv-LV"/>
              </w:rPr>
              <w:t>u</w:t>
            </w:r>
            <w:r w:rsidR="001F66A7" w:rsidRPr="001F66A7">
              <w:rPr>
                <w:rFonts w:eastAsia="Times New Roman" w:cs="Times New Roman"/>
                <w:szCs w:val="24"/>
                <w:lang w:eastAsia="lv-LV"/>
              </w:rPr>
              <w:t>/iegād</w:t>
            </w:r>
            <w:r w:rsidR="001F66A7">
              <w:rPr>
                <w:rFonts w:eastAsia="Times New Roman" w:cs="Times New Roman"/>
                <w:szCs w:val="24"/>
                <w:lang w:eastAsia="lv-LV"/>
              </w:rPr>
              <w:t>i</w:t>
            </w:r>
            <w:r w:rsidR="006B260B" w:rsidRPr="006B260B">
              <w:rPr>
                <w:rFonts w:eastAsia="Times New Roman" w:cs="Times New Roman"/>
                <w:szCs w:val="24"/>
                <w:lang w:eastAsia="lv-LV"/>
              </w:rPr>
              <w:t>.</w:t>
            </w:r>
            <w:r w:rsidR="00E20F04">
              <w:rPr>
                <w:rFonts w:eastAsia="Times New Roman" w:cs="Times New Roman"/>
                <w:szCs w:val="24"/>
                <w:lang w:eastAsia="lv-LV"/>
              </w:rPr>
              <w:t xml:space="preserve"> </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4.</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Tiesiskā regulējuma nefinansiālā ietekme</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5.</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Administratīvās procedūras raksturojums</w:t>
            </w:r>
          </w:p>
        </w:tc>
        <w:tc>
          <w:tcPr>
            <w:tcW w:w="5351" w:type="dxa"/>
          </w:tcPr>
          <w:p w:rsidR="009F302C" w:rsidRPr="009F302C" w:rsidRDefault="006B260B" w:rsidP="0040216B">
            <w:pPr>
              <w:jc w:val="both"/>
              <w:rPr>
                <w:rFonts w:eastAsia="Times New Roman" w:cs="Times New Roman"/>
                <w:szCs w:val="24"/>
                <w:lang w:eastAsia="lv-LV"/>
              </w:rPr>
            </w:pPr>
            <w:r w:rsidRPr="006B260B">
              <w:t>Projekts šo jomu neskar.</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6.</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Administratīvo izmaksu monetārs novērtējums</w:t>
            </w:r>
          </w:p>
        </w:tc>
        <w:tc>
          <w:tcPr>
            <w:tcW w:w="5351"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DB6441">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7.</w:t>
            </w:r>
          </w:p>
        </w:tc>
        <w:tc>
          <w:tcPr>
            <w:tcW w:w="3417"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Cita informācija</w:t>
            </w:r>
          </w:p>
        </w:tc>
        <w:tc>
          <w:tcPr>
            <w:tcW w:w="5351"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Nav.</w:t>
            </w:r>
          </w:p>
        </w:tc>
      </w:tr>
    </w:tbl>
    <w:p w:rsidR="009F302C" w:rsidRDefault="009F302C" w:rsidP="00EA5E16">
      <w:pPr>
        <w:jc w:val="both"/>
        <w:rPr>
          <w:rFonts w:eastAsia="Times New Roman" w:cs="Times New Roman"/>
          <w:szCs w:val="16"/>
          <w:lang w:eastAsia="lv-LV"/>
        </w:rPr>
      </w:pPr>
    </w:p>
    <w:tbl>
      <w:tblPr>
        <w:tblW w:w="496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63"/>
        <w:gridCol w:w="1224"/>
        <w:gridCol w:w="1527"/>
        <w:gridCol w:w="1166"/>
        <w:gridCol w:w="1166"/>
        <w:gridCol w:w="1310"/>
      </w:tblGrid>
      <w:tr w:rsidR="00D009A6" w:rsidRPr="00D009A6" w:rsidTr="00A404C0">
        <w:tc>
          <w:tcPr>
            <w:tcW w:w="5000" w:type="pct"/>
            <w:gridSpan w:val="6"/>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III. Tiesību akta projekta ietekme uz valsts budžetu un pašvaldību budžetiem</w:t>
            </w:r>
          </w:p>
        </w:tc>
      </w:tr>
      <w:tr w:rsidR="00D009A6" w:rsidRPr="00D009A6" w:rsidTr="00D95256">
        <w:tc>
          <w:tcPr>
            <w:tcW w:w="1583" w:type="pct"/>
            <w:vMerge w:val="restar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2013.gads</w:t>
            </w:r>
          </w:p>
        </w:tc>
        <w:tc>
          <w:tcPr>
            <w:tcW w:w="1946" w:type="pct"/>
            <w:gridSpan w:val="3"/>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Turpmākie trīs gadi (</w:t>
            </w:r>
            <w:proofErr w:type="spellStart"/>
            <w:r w:rsidRPr="00D009A6">
              <w:rPr>
                <w:rFonts w:eastAsia="Times New Roman" w:cs="Times New Roman"/>
                <w:szCs w:val="16"/>
                <w:lang w:eastAsia="lv-LV"/>
              </w:rPr>
              <w:t>tūkst</w:t>
            </w:r>
            <w:proofErr w:type="spellEnd"/>
            <w:smartTag w:uri="schemas-tilde-lv/tildestengine" w:element="currency2">
              <w:smartTagPr>
                <w:attr w:name="currency_id" w:val="48"/>
                <w:attr w:name="currency_key" w:val="LVL"/>
                <w:attr w:name="currency_value" w:val="."/>
                <w:attr w:name="currency_text" w:val="latu"/>
              </w:smartTagPr>
              <w:r w:rsidRPr="00D009A6">
                <w:rPr>
                  <w:rFonts w:eastAsia="Times New Roman" w:cs="Times New Roman"/>
                  <w:szCs w:val="16"/>
                  <w:lang w:eastAsia="lv-LV"/>
                </w:rPr>
                <w:t>. latu</w:t>
              </w:r>
            </w:smartTag>
            <w:r w:rsidRPr="00D009A6">
              <w:rPr>
                <w:rFonts w:eastAsia="Times New Roman" w:cs="Times New Roman"/>
                <w:szCs w:val="16"/>
                <w:lang w:eastAsia="lv-LV"/>
              </w:rPr>
              <w:t>)</w:t>
            </w:r>
          </w:p>
        </w:tc>
      </w:tr>
      <w:tr w:rsidR="00D009A6" w:rsidRPr="00D009A6" w:rsidTr="00A404C0">
        <w:tc>
          <w:tcPr>
            <w:tcW w:w="1583" w:type="pct"/>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2015</w:t>
            </w:r>
          </w:p>
        </w:tc>
        <w:tc>
          <w:tcPr>
            <w:tcW w:w="700"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r w:rsidRPr="00D009A6">
              <w:rPr>
                <w:rFonts w:eastAsia="Times New Roman" w:cs="Times New Roman"/>
                <w:b/>
                <w:bCs/>
                <w:szCs w:val="16"/>
                <w:lang w:eastAsia="lv-LV"/>
              </w:rPr>
              <w:t>2016</w:t>
            </w:r>
          </w:p>
        </w:tc>
      </w:tr>
      <w:tr w:rsidR="00D009A6" w:rsidRPr="00D009A6" w:rsidTr="00A404C0">
        <w:tc>
          <w:tcPr>
            <w:tcW w:w="1583" w:type="pct"/>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b/>
                <w:bCs/>
                <w:szCs w:val="16"/>
                <w:lang w:eastAsia="lv-LV"/>
              </w:rPr>
            </w:pPr>
          </w:p>
        </w:tc>
        <w:tc>
          <w:tcPr>
            <w:tcW w:w="654"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Saskaņā ar valsts budžetu kārtējam gadam</w:t>
            </w:r>
          </w:p>
        </w:tc>
        <w:tc>
          <w:tcPr>
            <w:tcW w:w="816"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 xml:space="preserve">Izmaiņas kārtējā gadā, salīdzinot ar budžetu kārtējam </w:t>
            </w:r>
            <w:r w:rsidRPr="00D009A6">
              <w:rPr>
                <w:rFonts w:eastAsia="Times New Roman" w:cs="Times New Roman"/>
                <w:szCs w:val="16"/>
                <w:lang w:eastAsia="lv-LV"/>
              </w:rPr>
              <w:lastRenderedPageBreak/>
              <w:t>gadam</w:t>
            </w: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785CEA">
            <w:pPr>
              <w:jc w:val="center"/>
              <w:rPr>
                <w:rFonts w:eastAsia="Times New Roman" w:cs="Times New Roman"/>
                <w:szCs w:val="16"/>
                <w:lang w:eastAsia="lv-LV"/>
              </w:rPr>
            </w:pPr>
            <w:r w:rsidRPr="00D009A6">
              <w:rPr>
                <w:rFonts w:eastAsia="Times New Roman" w:cs="Times New Roman"/>
                <w:szCs w:val="16"/>
                <w:lang w:eastAsia="lv-LV"/>
              </w:rPr>
              <w:lastRenderedPageBreak/>
              <w:t xml:space="preserve">Izmaiņas, salīdzinot ar </w:t>
            </w:r>
            <w:r w:rsidR="00785CEA">
              <w:rPr>
                <w:rFonts w:eastAsia="Times New Roman" w:cs="Times New Roman"/>
                <w:szCs w:val="16"/>
                <w:lang w:eastAsia="lv-LV"/>
              </w:rPr>
              <w:t>2013.</w:t>
            </w:r>
            <w:r w:rsidRPr="00D009A6">
              <w:rPr>
                <w:rFonts w:eastAsia="Times New Roman" w:cs="Times New Roman"/>
                <w:szCs w:val="16"/>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785CEA">
            <w:pPr>
              <w:jc w:val="center"/>
              <w:rPr>
                <w:rFonts w:eastAsia="Times New Roman" w:cs="Times New Roman"/>
                <w:szCs w:val="16"/>
                <w:lang w:eastAsia="lv-LV"/>
              </w:rPr>
            </w:pPr>
            <w:r w:rsidRPr="00D009A6">
              <w:rPr>
                <w:rFonts w:eastAsia="Times New Roman" w:cs="Times New Roman"/>
                <w:szCs w:val="16"/>
                <w:lang w:eastAsia="lv-LV"/>
              </w:rPr>
              <w:t xml:space="preserve">Izmaiņas, salīdzinot ar </w:t>
            </w:r>
            <w:r w:rsidR="00785CEA">
              <w:rPr>
                <w:rFonts w:eastAsia="Times New Roman" w:cs="Times New Roman"/>
                <w:szCs w:val="16"/>
                <w:lang w:eastAsia="lv-LV"/>
              </w:rPr>
              <w:t>2013.</w:t>
            </w:r>
            <w:r w:rsidRPr="00D009A6">
              <w:rPr>
                <w:rFonts w:eastAsia="Times New Roman" w:cs="Times New Roman"/>
                <w:szCs w:val="16"/>
                <w:lang w:eastAsia="lv-LV"/>
              </w:rPr>
              <w:t>gadu</w:t>
            </w:r>
          </w:p>
        </w:tc>
        <w:tc>
          <w:tcPr>
            <w:tcW w:w="700"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785CEA">
            <w:pPr>
              <w:jc w:val="center"/>
              <w:rPr>
                <w:rFonts w:eastAsia="Times New Roman" w:cs="Times New Roman"/>
                <w:szCs w:val="16"/>
                <w:lang w:eastAsia="lv-LV"/>
              </w:rPr>
            </w:pPr>
            <w:r w:rsidRPr="00D009A6">
              <w:rPr>
                <w:rFonts w:eastAsia="Times New Roman" w:cs="Times New Roman"/>
                <w:szCs w:val="16"/>
                <w:lang w:eastAsia="lv-LV"/>
              </w:rPr>
              <w:t xml:space="preserve">Izmaiņas, salīdzinot ar </w:t>
            </w:r>
            <w:r w:rsidR="00785CEA">
              <w:rPr>
                <w:rFonts w:eastAsia="Times New Roman" w:cs="Times New Roman"/>
                <w:szCs w:val="16"/>
                <w:lang w:eastAsia="lv-LV"/>
              </w:rPr>
              <w:t>2013.</w:t>
            </w:r>
            <w:r w:rsidRPr="00D009A6">
              <w:rPr>
                <w:rFonts w:eastAsia="Times New Roman" w:cs="Times New Roman"/>
                <w:szCs w:val="16"/>
                <w:lang w:eastAsia="lv-LV"/>
              </w:rPr>
              <w:t>gadu</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lastRenderedPageBreak/>
              <w:t>1</w:t>
            </w:r>
          </w:p>
        </w:tc>
        <w:tc>
          <w:tcPr>
            <w:tcW w:w="654"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2</w:t>
            </w:r>
          </w:p>
        </w:tc>
        <w:tc>
          <w:tcPr>
            <w:tcW w:w="816"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6</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1. Budžeta ieņēmumi:</w:t>
            </w:r>
          </w:p>
        </w:tc>
        <w:tc>
          <w:tcPr>
            <w:tcW w:w="654" w:type="pct"/>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816" w:type="pct"/>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D009A6" w:rsidRPr="00D009A6" w:rsidRDefault="005E6DB8" w:rsidP="00D009A6">
            <w:pPr>
              <w:jc w:val="center"/>
              <w:rPr>
                <w:rFonts w:eastAsia="Times New Roman" w:cs="Times New Roman"/>
                <w:szCs w:val="16"/>
                <w:lang w:eastAsia="lv-LV"/>
              </w:rPr>
            </w:pPr>
            <w:r w:rsidRPr="005E6DB8">
              <w:rPr>
                <w:rFonts w:eastAsia="Times New Roman" w:cs="Times New Roman"/>
                <w:szCs w:val="16"/>
                <w:lang w:eastAsia="lv-LV"/>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D009A6" w:rsidRPr="00D009A6" w:rsidRDefault="005E6DB8" w:rsidP="00D009A6">
            <w:pPr>
              <w:jc w:val="center"/>
              <w:rPr>
                <w:rFonts w:eastAsia="Times New Roman" w:cs="Times New Roman"/>
                <w:szCs w:val="16"/>
                <w:lang w:eastAsia="lv-LV"/>
              </w:rPr>
            </w:pPr>
            <w:r w:rsidRPr="005E6DB8">
              <w:rPr>
                <w:rFonts w:eastAsia="Times New Roman" w:cs="Times New Roman"/>
                <w:szCs w:val="16"/>
                <w:lang w:eastAsia="lv-LV"/>
              </w:rPr>
              <w:t>Projekts šo jomu neskar.</w:t>
            </w:r>
          </w:p>
        </w:tc>
        <w:tc>
          <w:tcPr>
            <w:tcW w:w="700" w:type="pct"/>
            <w:vMerge w:val="restart"/>
            <w:tcBorders>
              <w:top w:val="outset" w:sz="6" w:space="0" w:color="000000"/>
              <w:left w:val="outset" w:sz="6" w:space="0" w:color="000000"/>
              <w:right w:val="outset" w:sz="6" w:space="0" w:color="000000"/>
            </w:tcBorders>
            <w:vAlign w:val="center"/>
          </w:tcPr>
          <w:p w:rsidR="00D009A6" w:rsidRPr="00D009A6" w:rsidRDefault="005E6DB8" w:rsidP="00D009A6">
            <w:pPr>
              <w:jc w:val="center"/>
              <w:rPr>
                <w:rFonts w:eastAsia="Times New Roman" w:cs="Times New Roman"/>
                <w:szCs w:val="16"/>
                <w:lang w:eastAsia="lv-LV"/>
              </w:rPr>
            </w:pPr>
            <w:r w:rsidRPr="005E6DB8">
              <w:rPr>
                <w:rFonts w:eastAsia="Times New Roman" w:cs="Times New Roman"/>
                <w:szCs w:val="16"/>
                <w:lang w:eastAsia="lv-LV"/>
              </w:rPr>
              <w:t>Projekts šo jomu neskar.</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1.1. valsts pamatbudžets, tai skaitā ieņēmumi no maksas pakalpojumiem un citi pašu ieņēmumi</w:t>
            </w:r>
          </w:p>
        </w:tc>
        <w:tc>
          <w:tcPr>
            <w:tcW w:w="654"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1.2. valsts speciālais budžets</w:t>
            </w:r>
          </w:p>
        </w:tc>
        <w:tc>
          <w:tcPr>
            <w:tcW w:w="654"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single" w:sz="4" w:space="0" w:color="auto"/>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1.3. pašvaldību budžets</w:t>
            </w:r>
          </w:p>
        </w:tc>
        <w:tc>
          <w:tcPr>
            <w:tcW w:w="654" w:type="pct"/>
            <w:vMerge/>
            <w:tcBorders>
              <w:left w:val="outset" w:sz="6" w:space="0" w:color="000000"/>
              <w:bottom w:val="single" w:sz="4" w:space="0" w:color="auto"/>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bottom w:val="single" w:sz="4" w:space="0" w:color="auto"/>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bottom w:val="single" w:sz="4" w:space="0" w:color="auto"/>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bottom w:val="single" w:sz="4" w:space="0" w:color="auto"/>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bottom w:val="single" w:sz="4" w:space="0" w:color="auto"/>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single" w:sz="4" w:space="0" w:color="auto"/>
              <w:left w:val="single" w:sz="4" w:space="0" w:color="auto"/>
              <w:bottom w:val="single" w:sz="4" w:space="0" w:color="auto"/>
              <w:right w:val="single" w:sz="4" w:space="0" w:color="auto"/>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2. Budžeta izdevumi:</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816" w:type="pct"/>
            <w:vMerge w:val="restart"/>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r>
      <w:tr w:rsidR="00D009A6" w:rsidRPr="00D009A6" w:rsidTr="00A404C0">
        <w:tc>
          <w:tcPr>
            <w:tcW w:w="1583" w:type="pct"/>
            <w:tcBorders>
              <w:top w:val="single" w:sz="4" w:space="0" w:color="auto"/>
              <w:left w:val="single" w:sz="4" w:space="0" w:color="auto"/>
              <w:bottom w:val="single" w:sz="4" w:space="0" w:color="auto"/>
              <w:right w:val="single" w:sz="4" w:space="0" w:color="auto"/>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2.1. valsts pamatbudžets</w:t>
            </w:r>
          </w:p>
        </w:tc>
        <w:tc>
          <w:tcPr>
            <w:tcW w:w="654"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single" w:sz="4" w:space="0" w:color="auto"/>
              <w:left w:val="single" w:sz="4" w:space="0" w:color="auto"/>
              <w:bottom w:val="single" w:sz="4" w:space="0" w:color="auto"/>
              <w:right w:val="single" w:sz="4" w:space="0" w:color="auto"/>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2.2. valsts speciālais budžets</w:t>
            </w:r>
          </w:p>
        </w:tc>
        <w:tc>
          <w:tcPr>
            <w:tcW w:w="654"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single" w:sz="4" w:space="0" w:color="auto"/>
              <w:left w:val="single" w:sz="4" w:space="0" w:color="auto"/>
              <w:bottom w:val="single" w:sz="4" w:space="0" w:color="auto"/>
              <w:right w:val="single" w:sz="4" w:space="0" w:color="auto"/>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2.3. pašvaldību budžets</w:t>
            </w:r>
          </w:p>
        </w:tc>
        <w:tc>
          <w:tcPr>
            <w:tcW w:w="654"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single" w:sz="4" w:space="0" w:color="auto"/>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3. Finansiālā ietekme:</w:t>
            </w:r>
          </w:p>
        </w:tc>
        <w:tc>
          <w:tcPr>
            <w:tcW w:w="654" w:type="pct"/>
            <w:vMerge w:val="restart"/>
            <w:tcBorders>
              <w:top w:val="single" w:sz="4" w:space="0" w:color="auto"/>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816" w:type="pct"/>
            <w:vMerge w:val="restart"/>
            <w:tcBorders>
              <w:top w:val="single" w:sz="4" w:space="0" w:color="auto"/>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single" w:sz="4" w:space="0" w:color="auto"/>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single" w:sz="4" w:space="0" w:color="auto"/>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700" w:type="pct"/>
            <w:vMerge w:val="restart"/>
            <w:tcBorders>
              <w:top w:val="single" w:sz="4" w:space="0" w:color="auto"/>
              <w:left w:val="outset" w:sz="6" w:space="0" w:color="000000"/>
              <w:right w:val="outset" w:sz="6" w:space="0" w:color="000000"/>
            </w:tcBorders>
            <w:vAlign w:val="center"/>
          </w:tcPr>
          <w:p w:rsidR="00D009A6" w:rsidRPr="00D009A6" w:rsidRDefault="00A404C0" w:rsidP="00D009A6">
            <w:pPr>
              <w:jc w:val="center"/>
              <w:rPr>
                <w:rFonts w:eastAsia="Times New Roman" w:cs="Times New Roman"/>
                <w:szCs w:val="16"/>
                <w:lang w:eastAsia="lv-LV"/>
              </w:rPr>
            </w:pPr>
            <w:r w:rsidRPr="00A404C0">
              <w:rPr>
                <w:rFonts w:eastAsia="Times New Roman" w:cs="Times New Roman"/>
                <w:szCs w:val="16"/>
                <w:lang w:eastAsia="lv-LV"/>
              </w:rPr>
              <w:t>Projekts šo jomu neskar.</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3.1. valsts pamatbudžets</w:t>
            </w:r>
          </w:p>
        </w:tc>
        <w:tc>
          <w:tcPr>
            <w:tcW w:w="654"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3.2. speciālais budžets</w:t>
            </w:r>
          </w:p>
        </w:tc>
        <w:tc>
          <w:tcPr>
            <w:tcW w:w="654"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3.3. pašvaldību budžets</w:t>
            </w:r>
          </w:p>
        </w:tc>
        <w:tc>
          <w:tcPr>
            <w:tcW w:w="654" w:type="pct"/>
            <w:vMerge/>
            <w:tcBorders>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816" w:type="pct"/>
            <w:vMerge/>
            <w:tcBorders>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0" w:type="auto"/>
            <w:vMerge/>
            <w:tcBorders>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c>
          <w:tcPr>
            <w:tcW w:w="700" w:type="pct"/>
            <w:vMerge/>
            <w:tcBorders>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p>
        </w:tc>
      </w:tr>
      <w:tr w:rsidR="00D009A6" w:rsidRPr="00D009A6" w:rsidTr="00A404C0">
        <w:trPr>
          <w:trHeight w:val="1400"/>
        </w:trPr>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4. Finanšu līdzekļi papildu izde</w:t>
            </w:r>
            <w:r w:rsidRPr="00D009A6">
              <w:rPr>
                <w:rFonts w:eastAsia="Times New Roman" w:cs="Times New Roman"/>
                <w:szCs w:val="16"/>
                <w:lang w:eastAsia="lv-LV"/>
              </w:rPr>
              <w:softHyphen/>
              <w:t>vumu finansēšanai (kompensējošu izdevumu samazinājumu norāda ar "+" zīmi)</w:t>
            </w:r>
          </w:p>
        </w:tc>
        <w:tc>
          <w:tcPr>
            <w:tcW w:w="654" w:type="pc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X</w:t>
            </w:r>
          </w:p>
        </w:tc>
        <w:tc>
          <w:tcPr>
            <w:tcW w:w="816" w:type="pc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700" w:type="pc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5. Precizēta finansiālā ietekme:</w:t>
            </w:r>
          </w:p>
        </w:tc>
        <w:tc>
          <w:tcPr>
            <w:tcW w:w="654" w:type="pct"/>
            <w:vMerge w:val="restart"/>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X</w:t>
            </w:r>
          </w:p>
        </w:tc>
        <w:tc>
          <w:tcPr>
            <w:tcW w:w="816" w:type="pct"/>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c>
          <w:tcPr>
            <w:tcW w:w="700" w:type="pct"/>
            <w:vMerge w:val="restart"/>
            <w:tcBorders>
              <w:top w:val="outset" w:sz="6" w:space="0" w:color="000000"/>
              <w:left w:val="outset" w:sz="6" w:space="0" w:color="000000"/>
              <w:right w:val="outset" w:sz="6" w:space="0" w:color="000000"/>
            </w:tcBorders>
            <w:vAlign w:val="center"/>
          </w:tcPr>
          <w:p w:rsidR="00D009A6" w:rsidRPr="00D009A6" w:rsidRDefault="00D009A6" w:rsidP="00D009A6">
            <w:pPr>
              <w:jc w:val="center"/>
              <w:rPr>
                <w:rFonts w:eastAsia="Times New Roman" w:cs="Times New Roman"/>
                <w:szCs w:val="16"/>
                <w:lang w:eastAsia="lv-LV"/>
              </w:rPr>
            </w:pPr>
            <w:r w:rsidRPr="00D009A6">
              <w:rPr>
                <w:rFonts w:eastAsia="Times New Roman" w:cs="Times New Roman"/>
                <w:szCs w:val="16"/>
                <w:lang w:eastAsia="lv-LV"/>
              </w:rPr>
              <w:t>Projekts šo jomu neskar.</w:t>
            </w: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5.1. valsts pamatbudžets</w:t>
            </w:r>
          </w:p>
        </w:tc>
        <w:tc>
          <w:tcPr>
            <w:tcW w:w="654" w:type="pct"/>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5.2. speciālais budžets</w:t>
            </w:r>
          </w:p>
        </w:tc>
        <w:tc>
          <w:tcPr>
            <w:tcW w:w="654" w:type="pct"/>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816" w:type="pct"/>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700" w:type="pct"/>
            <w:vMerge/>
            <w:tcBorders>
              <w:left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5.3. pašvaldību budžets</w:t>
            </w:r>
          </w:p>
        </w:tc>
        <w:tc>
          <w:tcPr>
            <w:tcW w:w="654" w:type="pct"/>
            <w:vMerge/>
            <w:tcBorders>
              <w:top w:val="outset" w:sz="6" w:space="0" w:color="000000"/>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816" w:type="pct"/>
            <w:vMerge/>
            <w:tcBorders>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0" w:type="auto"/>
            <w:vMerge/>
            <w:tcBorders>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c>
          <w:tcPr>
            <w:tcW w:w="700" w:type="pct"/>
            <w:vMerge/>
            <w:tcBorders>
              <w:left w:val="outset" w:sz="6" w:space="0" w:color="000000"/>
              <w:bottom w:val="outset" w:sz="6" w:space="0" w:color="000000"/>
              <w:right w:val="outset" w:sz="6" w:space="0" w:color="000000"/>
            </w:tcBorders>
            <w:vAlign w:val="center"/>
          </w:tcPr>
          <w:p w:rsidR="00D009A6" w:rsidRPr="00D009A6" w:rsidRDefault="00D009A6" w:rsidP="00D009A6">
            <w:pPr>
              <w:jc w:val="both"/>
              <w:rPr>
                <w:rFonts w:eastAsia="Times New Roman" w:cs="Times New Roman"/>
                <w:szCs w:val="16"/>
                <w:lang w:eastAsia="lv-LV"/>
              </w:rPr>
            </w:pPr>
          </w:p>
        </w:tc>
      </w:tr>
      <w:tr w:rsidR="00D95256" w:rsidRPr="00D009A6" w:rsidTr="00D95256">
        <w:tc>
          <w:tcPr>
            <w:tcW w:w="1583" w:type="pct"/>
            <w:tcBorders>
              <w:top w:val="outset" w:sz="6" w:space="0" w:color="000000"/>
              <w:left w:val="outset" w:sz="6" w:space="0" w:color="000000"/>
              <w:bottom w:val="outset" w:sz="6" w:space="0" w:color="000000"/>
              <w:right w:val="outset" w:sz="6" w:space="0" w:color="000000"/>
            </w:tcBorders>
          </w:tcPr>
          <w:p w:rsidR="00D95256" w:rsidRPr="00D009A6" w:rsidRDefault="00D95256" w:rsidP="00D009A6">
            <w:pPr>
              <w:jc w:val="both"/>
              <w:rPr>
                <w:rFonts w:eastAsia="Times New Roman" w:cs="Times New Roman"/>
                <w:szCs w:val="16"/>
                <w:lang w:eastAsia="lv-LV"/>
              </w:rPr>
            </w:pPr>
            <w:r w:rsidRPr="00D009A6">
              <w:rPr>
                <w:rFonts w:eastAsia="Times New Roman" w:cs="Times New Roman"/>
                <w:szCs w:val="16"/>
                <w:lang w:eastAsia="lv-LV"/>
              </w:rPr>
              <w:t>6. Detalizēts ieņēmumu un izdevu</w:t>
            </w:r>
            <w:r w:rsidRPr="00D009A6">
              <w:rPr>
                <w:rFonts w:eastAsia="Times New Roman" w:cs="Times New Roman"/>
                <w:szCs w:val="16"/>
                <w:lang w:eastAsia="lv-LV"/>
              </w:rPr>
              <w:softHyphen/>
              <w:t>mu aprēķins (ja nepieciešams, detalizētu ieņēmumu un izdevumu aprēķinu var pievienot anotācijas pielikumā):</w:t>
            </w:r>
          </w:p>
        </w:tc>
        <w:tc>
          <w:tcPr>
            <w:tcW w:w="3417" w:type="pct"/>
            <w:gridSpan w:val="5"/>
            <w:vMerge w:val="restart"/>
            <w:tcBorders>
              <w:top w:val="outset" w:sz="6" w:space="0" w:color="000000"/>
              <w:left w:val="outset" w:sz="6" w:space="0" w:color="000000"/>
              <w:right w:val="outset" w:sz="6" w:space="0" w:color="000000"/>
            </w:tcBorders>
            <w:vAlign w:val="center"/>
          </w:tcPr>
          <w:p w:rsidR="00D95256" w:rsidRPr="00D95256" w:rsidRDefault="00D95256" w:rsidP="00D95256">
            <w:pPr>
              <w:rPr>
                <w:rFonts w:eastAsia="Times New Roman" w:cs="Times New Roman"/>
                <w:szCs w:val="16"/>
                <w:lang w:eastAsia="lv-LV"/>
              </w:rPr>
            </w:pPr>
            <w:r w:rsidRPr="00D95256">
              <w:rPr>
                <w:rFonts w:eastAsia="Times New Roman" w:cs="Times New Roman"/>
                <w:szCs w:val="16"/>
                <w:lang w:eastAsia="lv-LV"/>
              </w:rPr>
              <w:t>Projekts šo jomu neskar.</w:t>
            </w:r>
          </w:p>
          <w:p w:rsidR="00D95256" w:rsidRPr="00D009A6" w:rsidRDefault="00D95256" w:rsidP="00D95256">
            <w:pPr>
              <w:rPr>
                <w:rFonts w:eastAsia="Times New Roman" w:cs="Times New Roman"/>
                <w:szCs w:val="16"/>
                <w:lang w:eastAsia="lv-LV"/>
              </w:rPr>
            </w:pPr>
          </w:p>
        </w:tc>
      </w:tr>
      <w:tr w:rsidR="00D95256" w:rsidRPr="00D009A6" w:rsidTr="006173DD">
        <w:tc>
          <w:tcPr>
            <w:tcW w:w="1583" w:type="pct"/>
            <w:tcBorders>
              <w:top w:val="outset" w:sz="6" w:space="0" w:color="000000"/>
              <w:left w:val="outset" w:sz="6" w:space="0" w:color="000000"/>
              <w:bottom w:val="outset" w:sz="6" w:space="0" w:color="000000"/>
              <w:right w:val="outset" w:sz="6" w:space="0" w:color="000000"/>
            </w:tcBorders>
          </w:tcPr>
          <w:p w:rsidR="00D95256" w:rsidRPr="00D009A6" w:rsidRDefault="00D95256" w:rsidP="00D009A6">
            <w:pPr>
              <w:jc w:val="both"/>
              <w:rPr>
                <w:rFonts w:eastAsia="Times New Roman" w:cs="Times New Roman"/>
                <w:szCs w:val="16"/>
                <w:lang w:eastAsia="lv-LV"/>
              </w:rPr>
            </w:pPr>
            <w:r w:rsidRPr="00D009A6">
              <w:rPr>
                <w:rFonts w:eastAsia="Times New Roman" w:cs="Times New Roman"/>
                <w:szCs w:val="16"/>
                <w:lang w:eastAsia="lv-LV"/>
              </w:rPr>
              <w:t>6.1. detalizēts ieņēmumu aprēķins</w:t>
            </w:r>
          </w:p>
        </w:tc>
        <w:tc>
          <w:tcPr>
            <w:tcW w:w="3417" w:type="pct"/>
            <w:gridSpan w:val="5"/>
            <w:vMerge/>
            <w:tcBorders>
              <w:left w:val="outset" w:sz="6" w:space="0" w:color="000000"/>
              <w:right w:val="outset" w:sz="6" w:space="0" w:color="000000"/>
            </w:tcBorders>
            <w:vAlign w:val="center"/>
          </w:tcPr>
          <w:p w:rsidR="00D95256" w:rsidRPr="00D009A6" w:rsidRDefault="00D95256" w:rsidP="009375F7">
            <w:pPr>
              <w:jc w:val="both"/>
              <w:rPr>
                <w:rFonts w:eastAsia="Times New Roman" w:cs="Times New Roman"/>
                <w:szCs w:val="16"/>
                <w:lang w:eastAsia="lv-LV"/>
              </w:rPr>
            </w:pPr>
          </w:p>
        </w:tc>
      </w:tr>
      <w:tr w:rsidR="00D95256" w:rsidRPr="00D009A6" w:rsidTr="00D95256">
        <w:trPr>
          <w:trHeight w:val="482"/>
        </w:trPr>
        <w:tc>
          <w:tcPr>
            <w:tcW w:w="1583" w:type="pct"/>
            <w:tcBorders>
              <w:top w:val="outset" w:sz="6" w:space="0" w:color="000000"/>
              <w:left w:val="outset" w:sz="6" w:space="0" w:color="000000"/>
              <w:right w:val="outset" w:sz="6" w:space="0" w:color="000000"/>
            </w:tcBorders>
          </w:tcPr>
          <w:p w:rsidR="00D95256" w:rsidRPr="00D009A6" w:rsidRDefault="00D95256" w:rsidP="00D009A6">
            <w:pPr>
              <w:jc w:val="both"/>
              <w:rPr>
                <w:rFonts w:eastAsia="Times New Roman" w:cs="Times New Roman"/>
                <w:szCs w:val="16"/>
                <w:lang w:eastAsia="lv-LV"/>
              </w:rPr>
            </w:pPr>
            <w:r w:rsidRPr="00D009A6">
              <w:rPr>
                <w:rFonts w:eastAsia="Times New Roman" w:cs="Times New Roman"/>
                <w:szCs w:val="16"/>
                <w:lang w:eastAsia="lv-LV"/>
              </w:rPr>
              <w:t>6.2. detalizēts izdevumu aprēķins</w:t>
            </w:r>
          </w:p>
        </w:tc>
        <w:tc>
          <w:tcPr>
            <w:tcW w:w="3417" w:type="pct"/>
            <w:gridSpan w:val="5"/>
            <w:vMerge/>
            <w:tcBorders>
              <w:left w:val="outset" w:sz="6" w:space="0" w:color="000000"/>
              <w:right w:val="outset" w:sz="6" w:space="0" w:color="000000"/>
            </w:tcBorders>
            <w:vAlign w:val="center"/>
          </w:tcPr>
          <w:p w:rsidR="00D95256" w:rsidRPr="00D009A6" w:rsidRDefault="00D95256" w:rsidP="00D009A6">
            <w:pPr>
              <w:jc w:val="both"/>
              <w:rPr>
                <w:rFonts w:eastAsia="Times New Roman" w:cs="Times New Roman"/>
                <w:szCs w:val="16"/>
                <w:lang w:eastAsia="lv-LV"/>
              </w:rPr>
            </w:pPr>
          </w:p>
        </w:tc>
      </w:tr>
      <w:tr w:rsidR="00D009A6" w:rsidRPr="00D009A6" w:rsidTr="00A404C0">
        <w:tc>
          <w:tcPr>
            <w:tcW w:w="1583" w:type="pct"/>
            <w:tcBorders>
              <w:top w:val="outset" w:sz="6" w:space="0" w:color="000000"/>
              <w:left w:val="outset" w:sz="6" w:space="0" w:color="000000"/>
              <w:bottom w:val="outset" w:sz="6" w:space="0" w:color="000000"/>
              <w:right w:val="outset" w:sz="6" w:space="0" w:color="000000"/>
            </w:tcBorders>
          </w:tcPr>
          <w:p w:rsidR="00D009A6" w:rsidRPr="00D009A6" w:rsidRDefault="00D009A6" w:rsidP="00D009A6">
            <w:pPr>
              <w:jc w:val="both"/>
              <w:rPr>
                <w:rFonts w:eastAsia="Times New Roman" w:cs="Times New Roman"/>
                <w:szCs w:val="16"/>
                <w:lang w:eastAsia="lv-LV"/>
              </w:rPr>
            </w:pPr>
            <w:r w:rsidRPr="00D009A6">
              <w:rPr>
                <w:rFonts w:eastAsia="Times New Roman" w:cs="Times New Roman"/>
                <w:szCs w:val="16"/>
                <w:lang w:eastAsia="lv-LV"/>
              </w:rPr>
              <w:t>7. Cita informācija</w:t>
            </w:r>
          </w:p>
        </w:tc>
        <w:tc>
          <w:tcPr>
            <w:tcW w:w="3417" w:type="pct"/>
            <w:gridSpan w:val="5"/>
            <w:tcBorders>
              <w:top w:val="outset" w:sz="6" w:space="0" w:color="000000"/>
              <w:left w:val="outset" w:sz="6" w:space="0" w:color="000000"/>
              <w:bottom w:val="outset" w:sz="6" w:space="0" w:color="000000"/>
              <w:right w:val="outset" w:sz="6" w:space="0" w:color="000000"/>
            </w:tcBorders>
          </w:tcPr>
          <w:p w:rsidR="00D009A6" w:rsidRPr="00D009A6" w:rsidRDefault="001B16C6" w:rsidP="002D0009">
            <w:pPr>
              <w:jc w:val="both"/>
              <w:rPr>
                <w:rFonts w:eastAsia="Times New Roman" w:cs="Times New Roman"/>
                <w:szCs w:val="16"/>
                <w:lang w:eastAsia="lv-LV"/>
              </w:rPr>
            </w:pPr>
            <w:r>
              <w:rPr>
                <w:rFonts w:eastAsia="Times New Roman" w:cs="Times New Roman"/>
                <w:szCs w:val="16"/>
                <w:lang w:eastAsia="lv-LV"/>
              </w:rPr>
              <w:t>Instrukcijas projekta</w:t>
            </w:r>
            <w:r w:rsidRPr="001B16C6">
              <w:rPr>
                <w:rFonts w:eastAsia="Times New Roman" w:cs="Times New Roman"/>
                <w:szCs w:val="16"/>
                <w:lang w:eastAsia="lv-LV"/>
              </w:rPr>
              <w:t xml:space="preserve"> izpilde tiks nodrošināta ministriju</w:t>
            </w:r>
            <w:r w:rsidR="002D0009">
              <w:rPr>
                <w:rFonts w:eastAsia="Times New Roman" w:cs="Times New Roman"/>
                <w:szCs w:val="16"/>
                <w:lang w:eastAsia="lv-LV"/>
              </w:rPr>
              <w:t>,</w:t>
            </w:r>
            <w:r w:rsidRPr="001B16C6">
              <w:rPr>
                <w:rFonts w:eastAsia="Times New Roman" w:cs="Times New Roman"/>
                <w:szCs w:val="16"/>
                <w:lang w:eastAsia="lv-LV"/>
              </w:rPr>
              <w:t xml:space="preserve"> citu centrālo valsts iestāžu </w:t>
            </w:r>
            <w:r w:rsidR="002D0009" w:rsidRPr="002D0009">
              <w:rPr>
                <w:rFonts w:eastAsia="Times New Roman" w:cs="Times New Roman"/>
                <w:szCs w:val="16"/>
                <w:lang w:eastAsia="lv-LV"/>
              </w:rPr>
              <w:t>un to padotībā esoš</w:t>
            </w:r>
            <w:r w:rsidR="002D0009">
              <w:rPr>
                <w:rFonts w:eastAsia="Times New Roman" w:cs="Times New Roman"/>
                <w:szCs w:val="16"/>
                <w:lang w:eastAsia="lv-LV"/>
              </w:rPr>
              <w:t>o</w:t>
            </w:r>
            <w:r w:rsidR="002D0009" w:rsidRPr="002D0009">
              <w:rPr>
                <w:rFonts w:eastAsia="Times New Roman" w:cs="Times New Roman"/>
                <w:szCs w:val="16"/>
                <w:lang w:eastAsia="lv-LV"/>
              </w:rPr>
              <w:t xml:space="preserve"> iestā</w:t>
            </w:r>
            <w:r w:rsidR="002D0009">
              <w:rPr>
                <w:rFonts w:eastAsia="Times New Roman" w:cs="Times New Roman"/>
                <w:szCs w:val="16"/>
                <w:lang w:eastAsia="lv-LV"/>
              </w:rPr>
              <w:t>žu</w:t>
            </w:r>
            <w:r w:rsidR="002D0009" w:rsidRPr="002D0009">
              <w:rPr>
                <w:rFonts w:eastAsia="Times New Roman" w:cs="Times New Roman"/>
                <w:szCs w:val="16"/>
                <w:lang w:eastAsia="lv-LV"/>
              </w:rPr>
              <w:t xml:space="preserve"> </w:t>
            </w:r>
            <w:r w:rsidRPr="001B16C6">
              <w:rPr>
                <w:rFonts w:eastAsia="Times New Roman" w:cs="Times New Roman"/>
                <w:szCs w:val="16"/>
                <w:lang w:eastAsia="lv-LV"/>
              </w:rPr>
              <w:t xml:space="preserve">budžetos piešķirtā finansējuma ietvaros. Papildus finansējuma piešķiršana no valsts budžeta līdzekļiem </w:t>
            </w:r>
            <w:r w:rsidR="00960417">
              <w:rPr>
                <w:rFonts w:eastAsia="Times New Roman" w:cs="Times New Roman"/>
                <w:szCs w:val="16"/>
                <w:lang w:eastAsia="lv-LV"/>
              </w:rPr>
              <w:t xml:space="preserve">instrukcijas </w:t>
            </w:r>
            <w:r w:rsidR="005E6DB8">
              <w:rPr>
                <w:rFonts w:eastAsia="Times New Roman" w:cs="Times New Roman"/>
                <w:szCs w:val="16"/>
                <w:lang w:eastAsia="lv-LV"/>
              </w:rPr>
              <w:t>projekta</w:t>
            </w:r>
            <w:r w:rsidRPr="001B16C6">
              <w:rPr>
                <w:rFonts w:eastAsia="Times New Roman" w:cs="Times New Roman"/>
                <w:szCs w:val="16"/>
                <w:lang w:eastAsia="lv-LV"/>
              </w:rPr>
              <w:t xml:space="preserve"> izpildei nav paredzama.</w:t>
            </w:r>
          </w:p>
        </w:tc>
      </w:tr>
    </w:tbl>
    <w:p w:rsidR="00D009A6" w:rsidRDefault="00D009A6" w:rsidP="00EA5E16">
      <w:pPr>
        <w:jc w:val="both"/>
        <w:rPr>
          <w:rFonts w:eastAsia="Times New Roman" w:cs="Times New Roman"/>
          <w:szCs w:val="28"/>
          <w:lang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17"/>
        <w:gridCol w:w="5351"/>
      </w:tblGrid>
      <w:tr w:rsidR="00C61B8A" w:rsidRPr="00C61B8A" w:rsidTr="00163891">
        <w:tc>
          <w:tcPr>
            <w:tcW w:w="9287" w:type="dxa"/>
            <w:gridSpan w:val="3"/>
          </w:tcPr>
          <w:p w:rsidR="00C61B8A" w:rsidRPr="00C61B8A" w:rsidRDefault="00C61B8A" w:rsidP="00C61B8A">
            <w:pPr>
              <w:jc w:val="center"/>
              <w:rPr>
                <w:rFonts w:eastAsia="Times New Roman" w:cs="Times New Roman"/>
                <w:szCs w:val="24"/>
                <w:lang w:eastAsia="lv-LV"/>
              </w:rPr>
            </w:pPr>
            <w:r w:rsidRPr="00C61B8A">
              <w:rPr>
                <w:rFonts w:eastAsia="Times New Roman" w:cs="Times New Roman"/>
                <w:b/>
                <w:bCs/>
                <w:szCs w:val="24"/>
                <w:lang w:eastAsia="lv-LV"/>
              </w:rPr>
              <w:t>IV. Tiesību akta projekta ietekme uz spēkā esošo tiesību normu sistēmu</w:t>
            </w:r>
          </w:p>
        </w:tc>
      </w:tr>
      <w:tr w:rsidR="00C61B8A" w:rsidRPr="00C61B8A" w:rsidTr="00163891">
        <w:tc>
          <w:tcPr>
            <w:tcW w:w="519" w:type="dxa"/>
          </w:tcPr>
          <w:p w:rsidR="00C61B8A" w:rsidRPr="00C61B8A" w:rsidRDefault="00C61B8A" w:rsidP="00C61B8A">
            <w:pPr>
              <w:jc w:val="both"/>
              <w:rPr>
                <w:rFonts w:eastAsia="Times New Roman" w:cs="Times New Roman"/>
                <w:szCs w:val="24"/>
                <w:lang w:eastAsia="lv-LV"/>
              </w:rPr>
            </w:pPr>
            <w:r w:rsidRPr="00C61B8A">
              <w:rPr>
                <w:rFonts w:eastAsia="Times New Roman" w:cs="Times New Roman"/>
                <w:szCs w:val="24"/>
                <w:lang w:eastAsia="lv-LV"/>
              </w:rPr>
              <w:lastRenderedPageBreak/>
              <w:t>1.</w:t>
            </w:r>
          </w:p>
        </w:tc>
        <w:tc>
          <w:tcPr>
            <w:tcW w:w="3417" w:type="dxa"/>
          </w:tcPr>
          <w:p w:rsidR="00C61B8A" w:rsidRPr="00C61B8A" w:rsidRDefault="00C61B8A" w:rsidP="00C61B8A">
            <w:pPr>
              <w:jc w:val="both"/>
              <w:rPr>
                <w:rFonts w:eastAsia="Times New Roman" w:cs="Times New Roman"/>
                <w:szCs w:val="24"/>
                <w:lang w:eastAsia="lv-LV"/>
              </w:rPr>
            </w:pPr>
            <w:r w:rsidRPr="00C61B8A">
              <w:rPr>
                <w:rFonts w:eastAsia="Times New Roman" w:cs="Times New Roman"/>
                <w:szCs w:val="24"/>
                <w:lang w:eastAsia="lv-LV"/>
              </w:rPr>
              <w:t>Nepieciešamie saistītie tiesību aktu projekti</w:t>
            </w:r>
          </w:p>
        </w:tc>
        <w:tc>
          <w:tcPr>
            <w:tcW w:w="5351" w:type="dxa"/>
          </w:tcPr>
          <w:p w:rsidR="00C61B8A" w:rsidRPr="00C61B8A" w:rsidRDefault="00C61B8A" w:rsidP="002D0009">
            <w:pPr>
              <w:jc w:val="both"/>
              <w:rPr>
                <w:rFonts w:eastAsia="Times New Roman" w:cs="Times New Roman"/>
                <w:szCs w:val="24"/>
                <w:lang w:eastAsia="lv-LV"/>
              </w:rPr>
            </w:pPr>
            <w:r w:rsidRPr="00C61B8A">
              <w:rPr>
                <w:rFonts w:eastAsia="Times New Roman" w:cs="Times New Roman"/>
                <w:szCs w:val="24"/>
                <w:lang w:eastAsia="lv-LV"/>
              </w:rPr>
              <w:t xml:space="preserve">Lai nodrošinātu </w:t>
            </w:r>
            <w:r>
              <w:rPr>
                <w:rFonts w:eastAsia="Times New Roman" w:cs="Times New Roman"/>
                <w:szCs w:val="24"/>
                <w:lang w:eastAsia="lv-LV"/>
              </w:rPr>
              <w:t xml:space="preserve">instrukcijas </w:t>
            </w:r>
            <w:r w:rsidRPr="00C61B8A">
              <w:rPr>
                <w:rFonts w:eastAsia="Times New Roman" w:cs="Times New Roman"/>
                <w:szCs w:val="24"/>
                <w:lang w:eastAsia="lv-LV"/>
              </w:rPr>
              <w:t xml:space="preserve">projekta </w:t>
            </w:r>
            <w:r>
              <w:rPr>
                <w:rFonts w:eastAsia="Times New Roman" w:cs="Times New Roman"/>
                <w:szCs w:val="24"/>
                <w:lang w:eastAsia="lv-LV"/>
              </w:rPr>
              <w:t>izpildi</w:t>
            </w:r>
            <w:r w:rsidRPr="00C61B8A">
              <w:rPr>
                <w:rFonts w:eastAsia="Times New Roman" w:cs="Times New Roman"/>
                <w:szCs w:val="24"/>
                <w:lang w:eastAsia="lv-LV"/>
              </w:rPr>
              <w:t xml:space="preserve">, </w:t>
            </w:r>
            <w:r>
              <w:rPr>
                <w:rFonts w:eastAsia="Times New Roman" w:cs="Times New Roman"/>
                <w:szCs w:val="24"/>
                <w:lang w:eastAsia="lv-LV"/>
              </w:rPr>
              <w:t>m</w:t>
            </w:r>
            <w:r w:rsidRPr="00C61B8A">
              <w:rPr>
                <w:rFonts w:eastAsia="Times New Roman" w:cs="Times New Roman"/>
                <w:szCs w:val="24"/>
                <w:lang w:eastAsia="lv-LV"/>
              </w:rPr>
              <w:t>inistrij</w:t>
            </w:r>
            <w:r>
              <w:rPr>
                <w:rFonts w:eastAsia="Times New Roman" w:cs="Times New Roman"/>
                <w:szCs w:val="24"/>
                <w:lang w:eastAsia="lv-LV"/>
              </w:rPr>
              <w:t>ām</w:t>
            </w:r>
            <w:r w:rsidR="002D0009">
              <w:rPr>
                <w:rFonts w:eastAsia="Times New Roman" w:cs="Times New Roman"/>
                <w:szCs w:val="24"/>
                <w:lang w:eastAsia="lv-LV"/>
              </w:rPr>
              <w:t>,</w:t>
            </w:r>
            <w:r w:rsidRPr="00C61B8A">
              <w:rPr>
                <w:rFonts w:eastAsia="Times New Roman" w:cs="Times New Roman"/>
                <w:szCs w:val="24"/>
                <w:lang w:eastAsia="lv-LV"/>
              </w:rPr>
              <w:t xml:space="preserve"> cit</w:t>
            </w:r>
            <w:r>
              <w:rPr>
                <w:rFonts w:eastAsia="Times New Roman" w:cs="Times New Roman"/>
                <w:szCs w:val="24"/>
                <w:lang w:eastAsia="lv-LV"/>
              </w:rPr>
              <w:t>ām</w:t>
            </w:r>
            <w:r w:rsidRPr="00C61B8A">
              <w:rPr>
                <w:rFonts w:eastAsia="Times New Roman" w:cs="Times New Roman"/>
                <w:szCs w:val="24"/>
                <w:lang w:eastAsia="lv-LV"/>
              </w:rPr>
              <w:t xml:space="preserve"> centrāl</w:t>
            </w:r>
            <w:r>
              <w:rPr>
                <w:rFonts w:eastAsia="Times New Roman" w:cs="Times New Roman"/>
                <w:szCs w:val="24"/>
                <w:lang w:eastAsia="lv-LV"/>
              </w:rPr>
              <w:t>ajām</w:t>
            </w:r>
            <w:r w:rsidRPr="00C61B8A">
              <w:rPr>
                <w:rFonts w:eastAsia="Times New Roman" w:cs="Times New Roman"/>
                <w:szCs w:val="24"/>
                <w:lang w:eastAsia="lv-LV"/>
              </w:rPr>
              <w:t xml:space="preserve"> valsts iestād</w:t>
            </w:r>
            <w:r>
              <w:rPr>
                <w:rFonts w:eastAsia="Times New Roman" w:cs="Times New Roman"/>
                <w:szCs w:val="24"/>
                <w:lang w:eastAsia="lv-LV"/>
              </w:rPr>
              <w:t>ēm</w:t>
            </w:r>
            <w:r w:rsidRPr="00C61B8A">
              <w:rPr>
                <w:rFonts w:eastAsia="Times New Roman" w:cs="Times New Roman"/>
                <w:szCs w:val="24"/>
                <w:lang w:eastAsia="lv-LV"/>
              </w:rPr>
              <w:t xml:space="preserve"> </w:t>
            </w:r>
            <w:r w:rsidR="002D0009" w:rsidRPr="002D0009">
              <w:rPr>
                <w:rFonts w:eastAsia="Times New Roman" w:cs="Times New Roman"/>
                <w:szCs w:val="24"/>
                <w:lang w:eastAsia="lv-LV"/>
              </w:rPr>
              <w:t>un to padotībā esošā</w:t>
            </w:r>
            <w:r w:rsidR="002D0009">
              <w:rPr>
                <w:rFonts w:eastAsia="Times New Roman" w:cs="Times New Roman"/>
                <w:szCs w:val="24"/>
                <w:lang w:eastAsia="lv-LV"/>
              </w:rPr>
              <w:t>m</w:t>
            </w:r>
            <w:r w:rsidR="002D0009" w:rsidRPr="002D0009">
              <w:rPr>
                <w:rFonts w:eastAsia="Times New Roman" w:cs="Times New Roman"/>
                <w:szCs w:val="24"/>
                <w:lang w:eastAsia="lv-LV"/>
              </w:rPr>
              <w:t xml:space="preserve"> iestād</w:t>
            </w:r>
            <w:r w:rsidR="002D0009">
              <w:rPr>
                <w:rFonts w:eastAsia="Times New Roman" w:cs="Times New Roman"/>
                <w:szCs w:val="24"/>
                <w:lang w:eastAsia="lv-LV"/>
              </w:rPr>
              <w:t>ēm</w:t>
            </w:r>
            <w:r w:rsidR="002D0009" w:rsidRPr="002D0009">
              <w:rPr>
                <w:rFonts w:eastAsia="Times New Roman" w:cs="Times New Roman"/>
                <w:szCs w:val="24"/>
                <w:lang w:eastAsia="lv-LV"/>
              </w:rPr>
              <w:t xml:space="preserve"> </w:t>
            </w:r>
            <w:r w:rsidRPr="00C61B8A">
              <w:rPr>
                <w:rFonts w:eastAsia="Times New Roman" w:cs="Times New Roman"/>
                <w:szCs w:val="24"/>
                <w:lang w:eastAsia="lv-LV"/>
              </w:rPr>
              <w:t xml:space="preserve">ir </w:t>
            </w:r>
            <w:r>
              <w:rPr>
                <w:rFonts w:eastAsia="Times New Roman" w:cs="Times New Roman"/>
                <w:szCs w:val="24"/>
                <w:lang w:eastAsia="lv-LV"/>
              </w:rPr>
              <w:t xml:space="preserve">jāveic grozījumus iekšējos normatīvajos aktos automobiļu iegādes un nomas jomā, lai </w:t>
            </w:r>
            <w:r w:rsidR="00A1144D" w:rsidRPr="00A1144D">
              <w:rPr>
                <w:rFonts w:eastAsia="Times New Roman" w:cs="Times New Roman"/>
                <w:bCs/>
                <w:iCs/>
                <w:szCs w:val="24"/>
                <w:lang w:eastAsia="lv-LV"/>
              </w:rPr>
              <w:t xml:space="preserve">nodrošinātu, ka </w:t>
            </w:r>
            <w:r w:rsidR="00A1144D">
              <w:rPr>
                <w:rFonts w:eastAsia="Times New Roman" w:cs="Times New Roman"/>
                <w:bCs/>
                <w:iCs/>
                <w:szCs w:val="24"/>
                <w:lang w:eastAsia="lv-LV"/>
              </w:rPr>
              <w:t>tie</w:t>
            </w:r>
            <w:r w:rsidR="00A1144D" w:rsidRPr="00A1144D">
              <w:rPr>
                <w:rFonts w:eastAsia="Times New Roman" w:cs="Times New Roman"/>
                <w:bCs/>
                <w:iCs/>
                <w:szCs w:val="24"/>
                <w:lang w:eastAsia="lv-LV"/>
              </w:rPr>
              <w:t xml:space="preserve"> nesatur atsauci uz latiem.</w:t>
            </w:r>
          </w:p>
        </w:tc>
      </w:tr>
      <w:tr w:rsidR="00C61B8A" w:rsidRPr="00C61B8A" w:rsidTr="00163891">
        <w:tc>
          <w:tcPr>
            <w:tcW w:w="519" w:type="dxa"/>
          </w:tcPr>
          <w:p w:rsidR="00C61B8A" w:rsidRPr="00C61B8A" w:rsidRDefault="00C61B8A" w:rsidP="00C61B8A">
            <w:pPr>
              <w:jc w:val="both"/>
              <w:rPr>
                <w:rFonts w:eastAsia="Times New Roman" w:cs="Times New Roman"/>
                <w:szCs w:val="24"/>
                <w:lang w:eastAsia="lv-LV"/>
              </w:rPr>
            </w:pPr>
            <w:r w:rsidRPr="00C61B8A">
              <w:rPr>
                <w:rFonts w:eastAsia="Times New Roman" w:cs="Times New Roman"/>
                <w:szCs w:val="24"/>
                <w:lang w:eastAsia="lv-LV"/>
              </w:rPr>
              <w:t>2.</w:t>
            </w:r>
          </w:p>
        </w:tc>
        <w:tc>
          <w:tcPr>
            <w:tcW w:w="3417" w:type="dxa"/>
          </w:tcPr>
          <w:p w:rsidR="00C61B8A" w:rsidRPr="00C61B8A" w:rsidRDefault="00C61B8A" w:rsidP="00C61B8A">
            <w:pPr>
              <w:jc w:val="both"/>
              <w:rPr>
                <w:rFonts w:eastAsia="Times New Roman" w:cs="Times New Roman"/>
                <w:szCs w:val="24"/>
                <w:lang w:eastAsia="lv-LV"/>
              </w:rPr>
            </w:pPr>
            <w:r w:rsidRPr="00C61B8A">
              <w:rPr>
                <w:rFonts w:eastAsia="Times New Roman" w:cs="Times New Roman"/>
                <w:szCs w:val="24"/>
                <w:lang w:eastAsia="lv-LV"/>
              </w:rPr>
              <w:t>Cita informācija</w:t>
            </w:r>
          </w:p>
        </w:tc>
        <w:tc>
          <w:tcPr>
            <w:tcW w:w="5351" w:type="dxa"/>
          </w:tcPr>
          <w:p w:rsidR="00C61B8A" w:rsidRPr="00C61B8A" w:rsidRDefault="00C61B8A" w:rsidP="00C61B8A">
            <w:pPr>
              <w:jc w:val="both"/>
              <w:rPr>
                <w:rFonts w:eastAsia="Times New Roman" w:cs="Times New Roman"/>
                <w:szCs w:val="24"/>
                <w:lang w:eastAsia="lv-LV"/>
              </w:rPr>
            </w:pPr>
            <w:r w:rsidRPr="00C61B8A">
              <w:rPr>
                <w:rFonts w:eastAsia="Times New Roman" w:cs="Times New Roman"/>
                <w:szCs w:val="24"/>
                <w:lang w:eastAsia="lv-LV"/>
              </w:rPr>
              <w:t>Nav.</w:t>
            </w:r>
          </w:p>
        </w:tc>
      </w:tr>
    </w:tbl>
    <w:p w:rsidR="0048108B" w:rsidRDefault="0048108B" w:rsidP="00EA5E16">
      <w:pPr>
        <w:jc w:val="both"/>
        <w:rPr>
          <w:rFonts w:eastAsia="Times New Roman" w:cs="Times New Roman"/>
          <w:szCs w:val="28"/>
          <w:lang w:eastAsia="lv-LV"/>
        </w:rPr>
      </w:pPr>
    </w:p>
    <w:p w:rsidR="00457B8F" w:rsidRDefault="00457B8F" w:rsidP="00EA5E16">
      <w:pPr>
        <w:jc w:val="both"/>
        <w:rPr>
          <w:rFonts w:eastAsia="Times New Roman" w:cs="Times New Roman"/>
          <w:szCs w:val="28"/>
          <w:lang w:eastAsia="lv-LV"/>
        </w:rPr>
      </w:pPr>
      <w:r w:rsidRPr="00457B8F">
        <w:rPr>
          <w:rFonts w:eastAsia="Times New Roman" w:cs="Times New Roman"/>
          <w:szCs w:val="28"/>
          <w:lang w:eastAsia="lv-LV"/>
        </w:rPr>
        <w:t xml:space="preserve">Anotācijas V sadaļa –  </w:t>
      </w:r>
      <w:r>
        <w:rPr>
          <w:rFonts w:eastAsia="Times New Roman" w:cs="Times New Roman"/>
          <w:szCs w:val="28"/>
          <w:lang w:eastAsia="lv-LV"/>
        </w:rPr>
        <w:t>projekts šo</w:t>
      </w:r>
      <w:r w:rsidRPr="00457B8F">
        <w:rPr>
          <w:rFonts w:eastAsia="Times New Roman" w:cs="Times New Roman"/>
          <w:szCs w:val="28"/>
          <w:lang w:eastAsia="lv-LV"/>
        </w:rPr>
        <w:t xml:space="preserve"> jomas neskar.</w:t>
      </w:r>
    </w:p>
    <w:p w:rsidR="00457B8F" w:rsidRDefault="00457B8F" w:rsidP="00EA5E16">
      <w:pPr>
        <w:jc w:val="both"/>
        <w:rPr>
          <w:rFonts w:eastAsia="Times New Roman" w:cs="Times New Roman"/>
          <w:szCs w:val="28"/>
          <w:lang w:eastAsia="lv-LV"/>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402"/>
        <w:gridCol w:w="5386"/>
      </w:tblGrid>
      <w:tr w:rsidR="004536D4" w:rsidRPr="004536D4" w:rsidTr="004536D4">
        <w:tc>
          <w:tcPr>
            <w:tcW w:w="9356" w:type="dxa"/>
            <w:gridSpan w:val="3"/>
          </w:tcPr>
          <w:p w:rsidR="004536D4" w:rsidRPr="004536D4" w:rsidRDefault="004536D4" w:rsidP="004536D4">
            <w:pPr>
              <w:jc w:val="center"/>
              <w:rPr>
                <w:rFonts w:eastAsia="Times New Roman" w:cs="Times New Roman"/>
                <w:b/>
                <w:bCs/>
                <w:szCs w:val="24"/>
                <w:lang w:eastAsia="lv-LV"/>
              </w:rPr>
            </w:pPr>
            <w:r w:rsidRPr="004536D4">
              <w:rPr>
                <w:rFonts w:eastAsia="Times New Roman" w:cs="Times New Roman"/>
                <w:b/>
                <w:bCs/>
                <w:szCs w:val="24"/>
                <w:lang w:eastAsia="lv-LV"/>
              </w:rPr>
              <w:t>VI. Sabiedrības līdzdalība un šīs līdzdalības rezultāti</w:t>
            </w:r>
          </w:p>
        </w:tc>
      </w:tr>
      <w:tr w:rsidR="004536D4" w:rsidRPr="004536D4" w:rsidTr="004536D4">
        <w:trPr>
          <w:trHeight w:val="553"/>
        </w:trPr>
        <w:tc>
          <w:tcPr>
            <w:tcW w:w="568" w:type="dxa"/>
          </w:tcPr>
          <w:p w:rsidR="004536D4" w:rsidRPr="004536D4" w:rsidRDefault="004536D4" w:rsidP="004536D4">
            <w:pPr>
              <w:jc w:val="both"/>
              <w:rPr>
                <w:rFonts w:eastAsia="Times New Roman" w:cs="Times New Roman"/>
                <w:bCs/>
                <w:szCs w:val="24"/>
                <w:lang w:eastAsia="lv-LV"/>
              </w:rPr>
            </w:pPr>
            <w:r w:rsidRPr="004536D4">
              <w:rPr>
                <w:rFonts w:eastAsia="Times New Roman" w:cs="Times New Roman"/>
                <w:bCs/>
                <w:szCs w:val="24"/>
                <w:lang w:eastAsia="lv-LV"/>
              </w:rPr>
              <w:t>1.</w:t>
            </w:r>
          </w:p>
        </w:tc>
        <w:tc>
          <w:tcPr>
            <w:tcW w:w="3402"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Sabiedrības informēšana par projekta izstrādes uzsākšanu</w:t>
            </w:r>
          </w:p>
        </w:tc>
        <w:tc>
          <w:tcPr>
            <w:tcW w:w="5386" w:type="dxa"/>
          </w:tcPr>
          <w:p w:rsidR="004536D4" w:rsidRDefault="00D73652" w:rsidP="00493FA8">
            <w:pPr>
              <w:ind w:left="141" w:right="142"/>
              <w:jc w:val="both"/>
              <w:rPr>
                <w:rFonts w:eastAsia="Times New Roman" w:cs="Times New Roman"/>
                <w:iCs/>
                <w:szCs w:val="24"/>
                <w:lang w:eastAsia="lv-LV"/>
              </w:rPr>
            </w:pPr>
            <w:r>
              <w:rPr>
                <w:rFonts w:eastAsia="Times New Roman" w:cs="Times New Roman"/>
                <w:iCs/>
                <w:szCs w:val="24"/>
                <w:lang w:eastAsia="lv-LV"/>
              </w:rPr>
              <w:t>Koncepcijas</w:t>
            </w:r>
            <w:r w:rsidR="005D3250" w:rsidRPr="005D3250">
              <w:rPr>
                <w:rFonts w:eastAsia="Times New Roman" w:cs="Times New Roman"/>
                <w:iCs/>
                <w:szCs w:val="24"/>
                <w:lang w:eastAsia="lv-LV"/>
              </w:rPr>
              <w:t xml:space="preserve"> par normatīvo aktu sakārtošanu saistībā ar eiro ieviešanu Latvijā</w:t>
            </w:r>
            <w:r>
              <w:rPr>
                <w:rFonts w:eastAsia="Times New Roman" w:cs="Times New Roman"/>
                <w:iCs/>
                <w:szCs w:val="24"/>
                <w:lang w:eastAsia="lv-LV"/>
              </w:rPr>
              <w:t xml:space="preserve"> (</w:t>
            </w:r>
            <w:r w:rsidR="00824C73">
              <w:rPr>
                <w:rFonts w:eastAsia="Times New Roman" w:cs="Times New Roman"/>
                <w:iCs/>
                <w:szCs w:val="24"/>
                <w:lang w:eastAsia="lv-LV"/>
              </w:rPr>
              <w:t xml:space="preserve">apstiprināta ar </w:t>
            </w:r>
            <w:r w:rsidRPr="005D3250">
              <w:rPr>
                <w:rFonts w:eastAsia="Times New Roman" w:cs="Times New Roman"/>
                <w:iCs/>
                <w:szCs w:val="24"/>
                <w:lang w:eastAsia="lv-LV"/>
              </w:rPr>
              <w:t xml:space="preserve">Ministru kabineta 2012.gada 27.jūnija </w:t>
            </w:r>
            <w:r w:rsidR="00824C73" w:rsidRPr="005D3250">
              <w:rPr>
                <w:rFonts w:eastAsia="Times New Roman" w:cs="Times New Roman"/>
                <w:iCs/>
                <w:szCs w:val="24"/>
                <w:lang w:eastAsia="lv-LV"/>
              </w:rPr>
              <w:t>rīkojum</w:t>
            </w:r>
            <w:r w:rsidR="00824C73">
              <w:rPr>
                <w:rFonts w:eastAsia="Times New Roman" w:cs="Times New Roman"/>
                <w:iCs/>
                <w:szCs w:val="24"/>
                <w:lang w:eastAsia="lv-LV"/>
              </w:rPr>
              <w:t>u</w:t>
            </w:r>
            <w:r w:rsidR="00824C73" w:rsidRPr="005D3250">
              <w:rPr>
                <w:rFonts w:eastAsia="Times New Roman" w:cs="Times New Roman"/>
                <w:iCs/>
                <w:szCs w:val="24"/>
                <w:lang w:eastAsia="lv-LV"/>
              </w:rPr>
              <w:t xml:space="preserve"> </w:t>
            </w:r>
            <w:r w:rsidRPr="005D3250">
              <w:rPr>
                <w:rFonts w:eastAsia="Times New Roman" w:cs="Times New Roman"/>
                <w:iCs/>
                <w:szCs w:val="24"/>
                <w:lang w:eastAsia="lv-LV"/>
              </w:rPr>
              <w:t>Nr.282</w:t>
            </w:r>
            <w:r>
              <w:rPr>
                <w:rFonts w:eastAsia="Times New Roman" w:cs="Times New Roman"/>
                <w:iCs/>
                <w:szCs w:val="24"/>
                <w:lang w:eastAsia="lv-LV"/>
              </w:rPr>
              <w:t xml:space="preserve">) 8.pielikums paredz nepieciešamību veikt grozījumus </w:t>
            </w:r>
            <w:r w:rsidR="004B0C84">
              <w:rPr>
                <w:rFonts w:eastAsia="Times New Roman" w:cs="Times New Roman"/>
                <w:iCs/>
                <w:szCs w:val="24"/>
                <w:lang w:eastAsia="lv-LV"/>
              </w:rPr>
              <w:t xml:space="preserve">Ministru kabineta </w:t>
            </w:r>
            <w:r w:rsidR="004B0C84" w:rsidRPr="004B0C84">
              <w:rPr>
                <w:rFonts w:eastAsia="Times New Roman" w:cs="Times New Roman"/>
                <w:iCs/>
                <w:szCs w:val="24"/>
                <w:lang w:eastAsia="lv-LV"/>
              </w:rPr>
              <w:t>2008.</w:t>
            </w:r>
            <w:r w:rsidR="004B0C84">
              <w:rPr>
                <w:rFonts w:eastAsia="Times New Roman" w:cs="Times New Roman"/>
                <w:iCs/>
                <w:szCs w:val="24"/>
                <w:lang w:eastAsia="lv-LV"/>
              </w:rPr>
              <w:t>gada 4.augusta instrukcijā Nr.11 „</w:t>
            </w:r>
            <w:r w:rsidRPr="00D73652">
              <w:rPr>
                <w:rFonts w:eastAsia="Times New Roman" w:cs="Times New Roman"/>
                <w:iCs/>
                <w:szCs w:val="24"/>
                <w:lang w:eastAsia="lv-LV"/>
              </w:rPr>
              <w:t>Dienesta vieglo auto</w:t>
            </w:r>
            <w:r w:rsidR="004B0C84">
              <w:rPr>
                <w:rFonts w:eastAsia="Times New Roman" w:cs="Times New Roman"/>
                <w:iCs/>
                <w:szCs w:val="24"/>
                <w:lang w:eastAsia="lv-LV"/>
              </w:rPr>
              <w:t>mobiļu iegādes un nomas kārtība” (</w:t>
            </w:r>
            <w:r w:rsidR="007E108A">
              <w:rPr>
                <w:rFonts w:eastAsia="Times New Roman" w:cs="Times New Roman"/>
                <w:iCs/>
                <w:szCs w:val="24"/>
                <w:lang w:eastAsia="lv-LV"/>
              </w:rPr>
              <w:t xml:space="preserve">ņemot vērā, ka informācija ir apkopota </w:t>
            </w:r>
            <w:r w:rsidR="004B0C84">
              <w:rPr>
                <w:rFonts w:eastAsia="Times New Roman" w:cs="Times New Roman"/>
                <w:iCs/>
                <w:szCs w:val="24"/>
                <w:lang w:eastAsia="lv-LV"/>
              </w:rPr>
              <w:t>2011.</w:t>
            </w:r>
            <w:r w:rsidR="004B0C84" w:rsidRPr="004B0C84">
              <w:rPr>
                <w:rFonts w:eastAsia="Times New Roman" w:cs="Times New Roman"/>
                <w:iCs/>
                <w:szCs w:val="24"/>
                <w:lang w:eastAsia="lv-LV"/>
              </w:rPr>
              <w:t>gada augustā</w:t>
            </w:r>
            <w:r w:rsidR="007E108A">
              <w:rPr>
                <w:rFonts w:eastAsia="Times New Roman" w:cs="Times New Roman"/>
                <w:iCs/>
                <w:szCs w:val="24"/>
                <w:lang w:eastAsia="lv-LV"/>
              </w:rPr>
              <w:t xml:space="preserve">, nav precīzs </w:t>
            </w:r>
            <w:r w:rsidR="005A13A8">
              <w:rPr>
                <w:rFonts w:eastAsia="Times New Roman" w:cs="Times New Roman"/>
                <w:iCs/>
                <w:szCs w:val="24"/>
                <w:lang w:eastAsia="lv-LV"/>
              </w:rPr>
              <w:t xml:space="preserve">instrukcijas Nr.12 </w:t>
            </w:r>
            <w:r w:rsidR="007E108A">
              <w:rPr>
                <w:rFonts w:eastAsia="Times New Roman" w:cs="Times New Roman"/>
                <w:iCs/>
                <w:szCs w:val="24"/>
                <w:lang w:eastAsia="lv-LV"/>
              </w:rPr>
              <w:t>nosaukums</w:t>
            </w:r>
            <w:r w:rsidR="00F252AF">
              <w:rPr>
                <w:rFonts w:eastAsia="Times New Roman" w:cs="Times New Roman"/>
                <w:iCs/>
                <w:szCs w:val="24"/>
                <w:lang w:eastAsia="lv-LV"/>
              </w:rPr>
              <w:t xml:space="preserve">), </w:t>
            </w:r>
            <w:r w:rsidR="00F252AF" w:rsidRPr="00F252AF">
              <w:rPr>
                <w:rFonts w:eastAsia="Times New Roman" w:cs="Times New Roman"/>
                <w:iCs/>
                <w:szCs w:val="24"/>
                <w:lang w:eastAsia="lv-LV"/>
              </w:rPr>
              <w:t>un līdz 2013.gada 1.oktobrim iesniegt tos noteiktā kārtībā Ministru kabinetā.</w:t>
            </w:r>
          </w:p>
          <w:p w:rsidR="00D4466E" w:rsidRPr="004536D4" w:rsidRDefault="00D4466E" w:rsidP="001B678B">
            <w:pPr>
              <w:ind w:left="141" w:right="142"/>
              <w:jc w:val="both"/>
              <w:rPr>
                <w:rFonts w:eastAsia="Times New Roman" w:cs="Times New Roman"/>
                <w:iCs/>
                <w:szCs w:val="24"/>
                <w:lang w:eastAsia="lv-LV"/>
              </w:rPr>
            </w:pPr>
            <w:r>
              <w:rPr>
                <w:rFonts w:eastAsia="Times New Roman" w:cs="Times New Roman"/>
                <w:iCs/>
                <w:szCs w:val="24"/>
                <w:lang w:eastAsia="lv-LV"/>
              </w:rPr>
              <w:t>Instrukcijas projekt</w:t>
            </w:r>
            <w:r w:rsidR="007E108A">
              <w:rPr>
                <w:rFonts w:eastAsia="Times New Roman" w:cs="Times New Roman"/>
                <w:iCs/>
                <w:szCs w:val="24"/>
                <w:lang w:eastAsia="lv-LV"/>
              </w:rPr>
              <w:t xml:space="preserve">s tika </w:t>
            </w:r>
            <w:r w:rsidR="006A6045">
              <w:rPr>
                <w:rFonts w:eastAsia="Times New Roman" w:cs="Times New Roman"/>
                <w:iCs/>
                <w:szCs w:val="24"/>
                <w:lang w:eastAsia="lv-LV"/>
              </w:rPr>
              <w:t>izslu</w:t>
            </w:r>
            <w:r>
              <w:rPr>
                <w:rFonts w:eastAsia="Times New Roman" w:cs="Times New Roman"/>
                <w:iCs/>
                <w:szCs w:val="24"/>
                <w:lang w:eastAsia="lv-LV"/>
              </w:rPr>
              <w:t xml:space="preserve">dināts Valsts sekretāru sanāksmē </w:t>
            </w:r>
            <w:r w:rsidRPr="007E108A">
              <w:rPr>
                <w:rFonts w:eastAsia="Times New Roman" w:cs="Times New Roman"/>
                <w:iCs/>
                <w:szCs w:val="24"/>
                <w:lang w:eastAsia="lv-LV"/>
              </w:rPr>
              <w:t xml:space="preserve">2013.gada </w:t>
            </w:r>
            <w:r w:rsidR="002167E6" w:rsidRPr="007E108A">
              <w:rPr>
                <w:rFonts w:eastAsia="Times New Roman" w:cs="Times New Roman"/>
                <w:iCs/>
                <w:szCs w:val="24"/>
                <w:lang w:eastAsia="lv-LV"/>
              </w:rPr>
              <w:t>1</w:t>
            </w:r>
            <w:r w:rsidR="001B678B">
              <w:rPr>
                <w:rFonts w:eastAsia="Times New Roman" w:cs="Times New Roman"/>
                <w:iCs/>
                <w:szCs w:val="24"/>
                <w:lang w:eastAsia="lv-LV"/>
              </w:rPr>
              <w:t>3</w:t>
            </w:r>
            <w:r w:rsidR="002167E6" w:rsidRPr="007E108A">
              <w:rPr>
                <w:rFonts w:eastAsia="Times New Roman" w:cs="Times New Roman"/>
                <w:iCs/>
                <w:szCs w:val="24"/>
                <w:lang w:eastAsia="lv-LV"/>
              </w:rPr>
              <w:t>.</w:t>
            </w:r>
            <w:r w:rsidR="001B678B">
              <w:rPr>
                <w:rFonts w:eastAsia="Times New Roman" w:cs="Times New Roman"/>
                <w:iCs/>
                <w:szCs w:val="24"/>
                <w:lang w:eastAsia="lv-LV"/>
              </w:rPr>
              <w:t>jūnijā</w:t>
            </w:r>
            <w:r w:rsidRPr="007E108A">
              <w:rPr>
                <w:rFonts w:eastAsia="Times New Roman" w:cs="Times New Roman"/>
                <w:iCs/>
                <w:szCs w:val="24"/>
                <w:lang w:eastAsia="lv-LV"/>
              </w:rPr>
              <w:t>.</w:t>
            </w:r>
          </w:p>
        </w:tc>
      </w:tr>
      <w:tr w:rsidR="004536D4" w:rsidRPr="004536D4" w:rsidTr="004536D4">
        <w:trPr>
          <w:trHeight w:val="339"/>
        </w:trPr>
        <w:tc>
          <w:tcPr>
            <w:tcW w:w="568" w:type="dxa"/>
          </w:tcPr>
          <w:p w:rsidR="004536D4" w:rsidRPr="004536D4" w:rsidRDefault="004536D4" w:rsidP="004536D4">
            <w:pPr>
              <w:jc w:val="both"/>
              <w:rPr>
                <w:rFonts w:eastAsia="Times New Roman" w:cs="Times New Roman"/>
                <w:bCs/>
                <w:szCs w:val="24"/>
                <w:lang w:eastAsia="lv-LV"/>
              </w:rPr>
            </w:pPr>
            <w:r w:rsidRPr="004536D4">
              <w:rPr>
                <w:rFonts w:eastAsia="Times New Roman" w:cs="Times New Roman"/>
                <w:bCs/>
                <w:szCs w:val="24"/>
                <w:lang w:eastAsia="lv-LV"/>
              </w:rPr>
              <w:t>2.</w:t>
            </w:r>
          </w:p>
        </w:tc>
        <w:tc>
          <w:tcPr>
            <w:tcW w:w="3402"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 xml:space="preserve">Sabiedrības līdzdalība projekta izstrādē </w:t>
            </w:r>
          </w:p>
        </w:tc>
        <w:tc>
          <w:tcPr>
            <w:tcW w:w="5386" w:type="dxa"/>
          </w:tcPr>
          <w:p w:rsidR="00D4466E" w:rsidRDefault="004C1E9D" w:rsidP="0063441C">
            <w:pPr>
              <w:ind w:left="141" w:right="142"/>
              <w:jc w:val="both"/>
              <w:rPr>
                <w:rFonts w:eastAsia="Times New Roman" w:cs="Times New Roman"/>
                <w:iCs/>
                <w:szCs w:val="24"/>
                <w:lang w:eastAsia="lv-LV"/>
              </w:rPr>
            </w:pPr>
            <w:r w:rsidRPr="004C1E9D">
              <w:rPr>
                <w:rFonts w:eastAsia="Times New Roman" w:cs="Times New Roman"/>
                <w:iCs/>
                <w:szCs w:val="24"/>
                <w:lang w:eastAsia="lv-LV"/>
              </w:rPr>
              <w:t>Pēc savas iniciatīvas</w:t>
            </w:r>
            <w:r w:rsidR="00683DC9">
              <w:rPr>
                <w:rFonts w:eastAsia="Times New Roman" w:cs="Times New Roman"/>
                <w:iCs/>
                <w:szCs w:val="24"/>
                <w:lang w:eastAsia="lv-LV"/>
              </w:rPr>
              <w:t xml:space="preserve"> </w:t>
            </w:r>
            <w:r>
              <w:rPr>
                <w:rFonts w:eastAsia="Times New Roman" w:cs="Times New Roman"/>
                <w:iCs/>
                <w:szCs w:val="24"/>
                <w:lang w:eastAsia="lv-LV"/>
              </w:rPr>
              <w:t>p</w:t>
            </w:r>
            <w:r w:rsidR="004F17A9">
              <w:rPr>
                <w:rFonts w:eastAsia="Times New Roman" w:cs="Times New Roman"/>
                <w:iCs/>
                <w:szCs w:val="24"/>
                <w:lang w:eastAsia="lv-LV"/>
              </w:rPr>
              <w:t>riekšlikumi</w:t>
            </w:r>
            <w:r w:rsidR="00163891">
              <w:rPr>
                <w:rFonts w:eastAsia="Times New Roman" w:cs="Times New Roman"/>
                <w:iCs/>
                <w:szCs w:val="24"/>
                <w:lang w:eastAsia="lv-LV"/>
              </w:rPr>
              <w:t>/rekomendācijas</w:t>
            </w:r>
            <w:r w:rsidR="004F17A9">
              <w:rPr>
                <w:rFonts w:eastAsia="Times New Roman" w:cs="Times New Roman"/>
                <w:iCs/>
                <w:szCs w:val="24"/>
                <w:lang w:eastAsia="lv-LV"/>
              </w:rPr>
              <w:t xml:space="preserve"> </w:t>
            </w:r>
            <w:r w:rsidR="0063441C">
              <w:rPr>
                <w:rFonts w:eastAsia="Times New Roman" w:cs="Times New Roman"/>
                <w:iCs/>
                <w:szCs w:val="24"/>
                <w:lang w:eastAsia="lv-LV"/>
              </w:rPr>
              <w:t xml:space="preserve">instrukcijas projektam </w:t>
            </w:r>
            <w:r w:rsidR="004F17A9">
              <w:rPr>
                <w:rFonts w:eastAsia="Times New Roman" w:cs="Times New Roman"/>
                <w:iCs/>
                <w:szCs w:val="24"/>
                <w:lang w:eastAsia="lv-LV"/>
              </w:rPr>
              <w:t xml:space="preserve">netika </w:t>
            </w:r>
            <w:r w:rsidR="0063441C">
              <w:rPr>
                <w:rFonts w:eastAsia="Times New Roman" w:cs="Times New Roman"/>
                <w:iCs/>
                <w:szCs w:val="24"/>
                <w:lang w:eastAsia="lv-LV"/>
              </w:rPr>
              <w:t>sniegti</w:t>
            </w:r>
            <w:r w:rsidR="004F17A9">
              <w:rPr>
                <w:rFonts w:eastAsia="Times New Roman" w:cs="Times New Roman"/>
                <w:iCs/>
                <w:szCs w:val="24"/>
                <w:lang w:eastAsia="lv-LV"/>
              </w:rPr>
              <w:t>.</w:t>
            </w:r>
          </w:p>
          <w:p w:rsidR="004C5504" w:rsidRPr="00D4466E" w:rsidRDefault="00D4466E" w:rsidP="00231E12">
            <w:pPr>
              <w:ind w:left="141" w:right="142"/>
              <w:jc w:val="both"/>
              <w:rPr>
                <w:rFonts w:eastAsia="Times New Roman" w:cs="Times New Roman"/>
                <w:iCs/>
                <w:szCs w:val="24"/>
                <w:lang w:eastAsia="lv-LV"/>
              </w:rPr>
            </w:pPr>
            <w:r w:rsidRPr="00D4466E">
              <w:rPr>
                <w:rFonts w:eastAsia="Times New Roman" w:cs="Times New Roman"/>
                <w:iCs/>
                <w:szCs w:val="24"/>
                <w:lang w:eastAsia="lv-LV"/>
              </w:rPr>
              <w:t xml:space="preserve">Atbilstoši Valsts sekretāru sanāksmes protokolam  instrukcijas projekts </w:t>
            </w:r>
            <w:r w:rsidRPr="007E108A">
              <w:rPr>
                <w:rFonts w:eastAsia="Times New Roman" w:cs="Times New Roman"/>
                <w:iCs/>
                <w:szCs w:val="24"/>
                <w:lang w:eastAsia="lv-LV"/>
              </w:rPr>
              <w:t xml:space="preserve">bija jāsaskaņo ar </w:t>
            </w:r>
            <w:r w:rsidR="00231E12">
              <w:rPr>
                <w:rFonts w:eastAsia="Times New Roman" w:cs="Times New Roman"/>
                <w:iCs/>
                <w:szCs w:val="24"/>
                <w:lang w:eastAsia="lv-LV"/>
              </w:rPr>
              <w:t>Tieslietu ministriju un Iekšlietu ministriju</w:t>
            </w:r>
            <w:r w:rsidR="005653BD" w:rsidRPr="007E108A">
              <w:rPr>
                <w:rFonts w:eastAsia="Times New Roman" w:cs="Times New Roman"/>
                <w:iCs/>
                <w:szCs w:val="24"/>
                <w:lang w:eastAsia="lv-LV"/>
              </w:rPr>
              <w:t>.</w:t>
            </w:r>
          </w:p>
        </w:tc>
      </w:tr>
      <w:tr w:rsidR="004536D4" w:rsidRPr="004536D4" w:rsidTr="004536D4">
        <w:trPr>
          <w:trHeight w:val="375"/>
        </w:trPr>
        <w:tc>
          <w:tcPr>
            <w:tcW w:w="568" w:type="dxa"/>
          </w:tcPr>
          <w:p w:rsidR="004536D4" w:rsidRPr="004536D4" w:rsidRDefault="004536D4" w:rsidP="004536D4">
            <w:pPr>
              <w:jc w:val="both"/>
              <w:rPr>
                <w:rFonts w:eastAsia="Times New Roman" w:cs="Times New Roman"/>
                <w:bCs/>
                <w:szCs w:val="24"/>
                <w:lang w:eastAsia="lv-LV"/>
              </w:rPr>
            </w:pPr>
            <w:r w:rsidRPr="004536D4">
              <w:rPr>
                <w:rFonts w:eastAsia="Times New Roman" w:cs="Times New Roman"/>
                <w:bCs/>
                <w:szCs w:val="24"/>
                <w:lang w:eastAsia="lv-LV"/>
              </w:rPr>
              <w:t>3.</w:t>
            </w:r>
          </w:p>
        </w:tc>
        <w:tc>
          <w:tcPr>
            <w:tcW w:w="3402"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 xml:space="preserve">Sabiedrības līdzdalības rezultāti </w:t>
            </w:r>
          </w:p>
        </w:tc>
        <w:tc>
          <w:tcPr>
            <w:tcW w:w="5386" w:type="dxa"/>
          </w:tcPr>
          <w:p w:rsidR="004536D4" w:rsidRPr="00231E12" w:rsidRDefault="00231E12" w:rsidP="004C5504">
            <w:pPr>
              <w:ind w:left="141" w:right="142"/>
              <w:jc w:val="both"/>
              <w:rPr>
                <w:rFonts w:eastAsia="Times New Roman" w:cs="Times New Roman"/>
                <w:szCs w:val="24"/>
                <w:lang w:eastAsia="lv-LV"/>
              </w:rPr>
            </w:pPr>
            <w:r>
              <w:t>Tieslietu ministrija un Iekšlietu ministrija saskaņo sagatavoto instrukcijas Nr.12 grozījumu projektu bez iebildumiem un priekšlikumiem.</w:t>
            </w:r>
          </w:p>
        </w:tc>
      </w:tr>
      <w:tr w:rsidR="004536D4" w:rsidRPr="004536D4" w:rsidTr="004536D4">
        <w:trPr>
          <w:trHeight w:val="397"/>
        </w:trPr>
        <w:tc>
          <w:tcPr>
            <w:tcW w:w="568" w:type="dxa"/>
          </w:tcPr>
          <w:p w:rsidR="004536D4" w:rsidRPr="004536D4" w:rsidRDefault="004536D4" w:rsidP="004536D4">
            <w:pPr>
              <w:jc w:val="both"/>
              <w:rPr>
                <w:rFonts w:eastAsia="Times New Roman" w:cs="Times New Roman"/>
                <w:bCs/>
                <w:szCs w:val="24"/>
                <w:lang w:eastAsia="lv-LV"/>
              </w:rPr>
            </w:pPr>
            <w:r w:rsidRPr="004536D4">
              <w:rPr>
                <w:rFonts w:eastAsia="Times New Roman" w:cs="Times New Roman"/>
                <w:bCs/>
                <w:szCs w:val="24"/>
                <w:lang w:eastAsia="lv-LV"/>
              </w:rPr>
              <w:t>4.</w:t>
            </w:r>
          </w:p>
        </w:tc>
        <w:tc>
          <w:tcPr>
            <w:tcW w:w="3402"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Saeimas un ekspertu līdzdalība</w:t>
            </w:r>
          </w:p>
        </w:tc>
        <w:tc>
          <w:tcPr>
            <w:tcW w:w="5386"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Projekts šo jomu neskar.</w:t>
            </w:r>
          </w:p>
        </w:tc>
      </w:tr>
      <w:tr w:rsidR="004536D4" w:rsidRPr="004536D4" w:rsidTr="004536D4">
        <w:trPr>
          <w:trHeight w:val="476"/>
        </w:trPr>
        <w:tc>
          <w:tcPr>
            <w:tcW w:w="568" w:type="dxa"/>
          </w:tcPr>
          <w:p w:rsidR="004536D4" w:rsidRPr="004536D4" w:rsidRDefault="004536D4" w:rsidP="004536D4">
            <w:pPr>
              <w:jc w:val="both"/>
              <w:rPr>
                <w:rFonts w:eastAsia="Times New Roman" w:cs="Times New Roman"/>
                <w:bCs/>
                <w:szCs w:val="24"/>
                <w:lang w:eastAsia="lv-LV"/>
              </w:rPr>
            </w:pPr>
            <w:r w:rsidRPr="004536D4">
              <w:rPr>
                <w:rFonts w:eastAsia="Times New Roman" w:cs="Times New Roman"/>
                <w:bCs/>
                <w:szCs w:val="24"/>
                <w:lang w:eastAsia="lv-LV"/>
              </w:rPr>
              <w:t>5.</w:t>
            </w:r>
          </w:p>
        </w:tc>
        <w:tc>
          <w:tcPr>
            <w:tcW w:w="3402" w:type="dxa"/>
          </w:tcPr>
          <w:p w:rsidR="004536D4" w:rsidRPr="004536D4" w:rsidRDefault="004536D4" w:rsidP="004536D4">
            <w:pPr>
              <w:ind w:left="141" w:right="142"/>
              <w:jc w:val="both"/>
              <w:rPr>
                <w:rFonts w:eastAsia="Times New Roman" w:cs="Times New Roman"/>
                <w:szCs w:val="24"/>
                <w:lang w:eastAsia="lv-LV"/>
              </w:rPr>
            </w:pPr>
            <w:r w:rsidRPr="004536D4">
              <w:rPr>
                <w:rFonts w:eastAsia="Times New Roman" w:cs="Times New Roman"/>
                <w:szCs w:val="24"/>
                <w:lang w:eastAsia="lv-LV"/>
              </w:rPr>
              <w:t>Cita informācija</w:t>
            </w:r>
          </w:p>
        </w:tc>
        <w:tc>
          <w:tcPr>
            <w:tcW w:w="5386" w:type="dxa"/>
          </w:tcPr>
          <w:p w:rsidR="004536D4" w:rsidRPr="004536D4" w:rsidRDefault="005D3250" w:rsidP="004536D4">
            <w:pPr>
              <w:ind w:left="141" w:right="142"/>
              <w:jc w:val="both"/>
              <w:rPr>
                <w:rFonts w:eastAsia="Times New Roman" w:cs="Times New Roman"/>
                <w:szCs w:val="24"/>
                <w:lang w:eastAsia="lv-LV"/>
              </w:rPr>
            </w:pPr>
            <w:r w:rsidRPr="003601CD">
              <w:rPr>
                <w:rFonts w:eastAsia="Times New Roman" w:cs="Times New Roman"/>
                <w:szCs w:val="24"/>
                <w:lang w:eastAsia="lv-LV"/>
              </w:rPr>
              <w:t xml:space="preserve">Ministru kabineta </w:t>
            </w:r>
            <w:r>
              <w:rPr>
                <w:rFonts w:eastAsia="Times New Roman" w:cs="Times New Roman"/>
                <w:szCs w:val="24"/>
                <w:lang w:eastAsia="lv-LV"/>
              </w:rPr>
              <w:t>instrukcija tiks publicēta</w:t>
            </w:r>
            <w:r w:rsidRPr="003601CD">
              <w:rPr>
                <w:rFonts w:eastAsia="Times New Roman" w:cs="Times New Roman"/>
                <w:szCs w:val="24"/>
                <w:lang w:eastAsia="lv-LV"/>
              </w:rPr>
              <w:t xml:space="preserve"> Latvijas Republikas oficiālajā l</w:t>
            </w:r>
            <w:r>
              <w:rPr>
                <w:rFonts w:eastAsia="Times New Roman" w:cs="Times New Roman"/>
                <w:szCs w:val="24"/>
                <w:lang w:eastAsia="lv-LV"/>
              </w:rPr>
              <w:t xml:space="preserve">aikrakstā „Latvijas Vēstnesis”, </w:t>
            </w:r>
            <w:r w:rsidRPr="003601CD">
              <w:rPr>
                <w:rFonts w:eastAsia="Times New Roman" w:cs="Times New Roman"/>
                <w:szCs w:val="24"/>
                <w:lang w:eastAsia="lv-LV"/>
              </w:rPr>
              <w:t>kā arī būs pieejam</w:t>
            </w:r>
            <w:r>
              <w:rPr>
                <w:rFonts w:eastAsia="Times New Roman" w:cs="Times New Roman"/>
                <w:szCs w:val="24"/>
                <w:lang w:eastAsia="lv-LV"/>
              </w:rPr>
              <w:t>a</w:t>
            </w:r>
            <w:r w:rsidRPr="003601CD">
              <w:rPr>
                <w:rFonts w:eastAsia="Times New Roman" w:cs="Times New Roman"/>
                <w:szCs w:val="24"/>
                <w:lang w:eastAsia="lv-LV"/>
              </w:rPr>
              <w:t xml:space="preserve"> bezmaksas normatīvo aktu bāzē </w:t>
            </w:r>
            <w:hyperlink r:id="rId9" w:history="1">
              <w:r w:rsidRPr="003601CD">
                <w:rPr>
                  <w:rFonts w:eastAsia="Times New Roman" w:cs="Times New Roman"/>
                  <w:szCs w:val="24"/>
                  <w:lang w:eastAsia="lv-LV"/>
                </w:rPr>
                <w:t>www.likumi.lv</w:t>
              </w:r>
            </w:hyperlink>
            <w:r w:rsidRPr="003601CD">
              <w:rPr>
                <w:rFonts w:eastAsia="Times New Roman" w:cs="Times New Roman"/>
                <w:szCs w:val="24"/>
                <w:lang w:eastAsia="lv-LV"/>
              </w:rPr>
              <w:t>.</w:t>
            </w:r>
          </w:p>
        </w:tc>
      </w:tr>
    </w:tbl>
    <w:p w:rsidR="00457B8F" w:rsidRPr="00EA5E16" w:rsidRDefault="00457B8F" w:rsidP="00EA5E16">
      <w:pPr>
        <w:jc w:val="both"/>
        <w:rPr>
          <w:rFonts w:eastAsia="Times New Roman" w:cs="Times New Roman"/>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386"/>
      </w:tblGrid>
      <w:tr w:rsidR="00EA5E16" w:rsidRPr="00EA5E16" w:rsidTr="004A187E">
        <w:tc>
          <w:tcPr>
            <w:tcW w:w="9322" w:type="dxa"/>
            <w:gridSpan w:val="3"/>
            <w:shd w:val="clear" w:color="auto" w:fill="auto"/>
          </w:tcPr>
          <w:p w:rsidR="00EA5E16" w:rsidRPr="00EA5E16" w:rsidRDefault="00EA5E16" w:rsidP="00C61B8A">
            <w:pPr>
              <w:jc w:val="center"/>
              <w:rPr>
                <w:rFonts w:eastAsia="Times New Roman" w:cs="Times New Roman"/>
                <w:szCs w:val="24"/>
                <w:lang w:eastAsia="lv-LV"/>
              </w:rPr>
            </w:pPr>
            <w:r w:rsidRPr="00EA5E16">
              <w:rPr>
                <w:rFonts w:eastAsia="Times New Roman" w:cs="Times New Roman"/>
                <w:b/>
                <w:bCs/>
                <w:szCs w:val="24"/>
                <w:lang w:eastAsia="lv-LV"/>
              </w:rPr>
              <w:t> VII. Tiesību akta projekta izpildes nodrošināšana un tās ietekme uz institūcijām</w:t>
            </w:r>
          </w:p>
        </w:tc>
      </w:tr>
      <w:tr w:rsidR="00EA5E16" w:rsidRPr="00EA5E16" w:rsidTr="004536D4">
        <w:trPr>
          <w:trHeight w:val="427"/>
        </w:trPr>
        <w:tc>
          <w:tcPr>
            <w:tcW w:w="534" w:type="dxa"/>
            <w:shd w:val="clear" w:color="auto" w:fill="auto"/>
          </w:tcPr>
          <w:p w:rsidR="00EA5E16" w:rsidRPr="00EA5E16" w:rsidRDefault="00EA5E16" w:rsidP="00EA5E16">
            <w:pPr>
              <w:numPr>
                <w:ilvl w:val="0"/>
                <w:numId w:val="1"/>
              </w:numPr>
              <w:tabs>
                <w:tab w:val="left" w:pos="57"/>
                <w:tab w:val="left" w:pos="225"/>
              </w:tabs>
              <w:jc w:val="both"/>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izpildē iesaistītās institūcijas</w:t>
            </w:r>
          </w:p>
        </w:tc>
        <w:tc>
          <w:tcPr>
            <w:tcW w:w="5386" w:type="dxa"/>
            <w:shd w:val="clear" w:color="auto" w:fill="auto"/>
            <w:hideMark/>
          </w:tcPr>
          <w:p w:rsidR="00EA5E16" w:rsidRPr="00EA5E16" w:rsidRDefault="00F30A74" w:rsidP="003601CD">
            <w:pPr>
              <w:ind w:right="127"/>
              <w:jc w:val="both"/>
              <w:rPr>
                <w:rFonts w:eastAsia="Times New Roman" w:cs="Times New Roman"/>
                <w:szCs w:val="24"/>
                <w:lang w:eastAsia="lv-LV"/>
              </w:rPr>
            </w:pPr>
            <w:r w:rsidRPr="00F30A74">
              <w:rPr>
                <w:rFonts w:eastAsia="Times New Roman" w:cs="Times New Roman"/>
                <w:szCs w:val="24"/>
                <w:lang w:eastAsia="lv-LV"/>
              </w:rPr>
              <w:t>Ministrijas, citas centrālās valsts iestādes un to padotībā esošās iestādes, kas iegādājas vai nomā vieglos automobiļus to funkciju nodrošināšanai.</w:t>
            </w:r>
          </w:p>
        </w:tc>
      </w:tr>
      <w:tr w:rsidR="00EA5E16" w:rsidRPr="00EA5E16" w:rsidTr="004536D4">
        <w:trPr>
          <w:trHeight w:val="463"/>
        </w:trPr>
        <w:tc>
          <w:tcPr>
            <w:tcW w:w="534"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funkcijām</w:t>
            </w:r>
          </w:p>
        </w:tc>
        <w:tc>
          <w:tcPr>
            <w:tcW w:w="5386" w:type="dxa"/>
            <w:shd w:val="clear" w:color="auto" w:fill="auto"/>
            <w:hideMark/>
          </w:tcPr>
          <w:p w:rsidR="00687346" w:rsidRDefault="00687346" w:rsidP="00BE7F78">
            <w:pPr>
              <w:ind w:right="127"/>
              <w:jc w:val="both"/>
            </w:pPr>
            <w:r w:rsidRPr="00687346">
              <w:t>Projekts šo jomu neskar.</w:t>
            </w:r>
          </w:p>
          <w:p w:rsidR="00EA5E16" w:rsidRPr="00EA5E16" w:rsidRDefault="00EA5E16" w:rsidP="00BE7F78">
            <w:pPr>
              <w:ind w:right="127"/>
              <w:jc w:val="both"/>
              <w:rPr>
                <w:rFonts w:eastAsia="Times New Roman" w:cs="Times New Roman"/>
                <w:szCs w:val="24"/>
                <w:lang w:eastAsia="lv-LV"/>
              </w:rPr>
            </w:pPr>
          </w:p>
        </w:tc>
      </w:tr>
      <w:tr w:rsidR="00EA5E16" w:rsidRPr="00EA5E16" w:rsidTr="004536D4">
        <w:trPr>
          <w:trHeight w:val="725"/>
        </w:trPr>
        <w:tc>
          <w:tcPr>
            <w:tcW w:w="534"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Jaunu institūciju izveide</w:t>
            </w:r>
          </w:p>
        </w:tc>
        <w:tc>
          <w:tcPr>
            <w:tcW w:w="5386" w:type="dxa"/>
            <w:shd w:val="clear" w:color="auto" w:fill="auto"/>
            <w:hideMark/>
          </w:tcPr>
          <w:p w:rsidR="00EA5E16" w:rsidRPr="00EA5E16" w:rsidRDefault="004A187E" w:rsidP="00EA5E16">
            <w:pPr>
              <w:ind w:right="127"/>
              <w:jc w:val="both"/>
              <w:rPr>
                <w:rFonts w:eastAsia="Times New Roman" w:cs="Times New Roman"/>
                <w:szCs w:val="24"/>
                <w:lang w:eastAsia="lv-LV"/>
              </w:rPr>
            </w:pPr>
            <w:r w:rsidRPr="00512DEF">
              <w:t>Projekts šo jomu neskar.</w:t>
            </w:r>
          </w:p>
        </w:tc>
      </w:tr>
      <w:tr w:rsidR="00EA5E16" w:rsidRPr="00EA5E16" w:rsidTr="004536D4">
        <w:trPr>
          <w:trHeight w:val="780"/>
        </w:trPr>
        <w:tc>
          <w:tcPr>
            <w:tcW w:w="534"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likvidācija</w:t>
            </w:r>
          </w:p>
        </w:tc>
        <w:tc>
          <w:tcPr>
            <w:tcW w:w="5386" w:type="dxa"/>
            <w:shd w:val="clear" w:color="auto" w:fill="auto"/>
            <w:hideMark/>
          </w:tcPr>
          <w:p w:rsidR="00EA5E16" w:rsidRPr="00EA5E16" w:rsidRDefault="004A187E" w:rsidP="00D51B9D">
            <w:pPr>
              <w:ind w:right="127"/>
              <w:rPr>
                <w:rFonts w:eastAsia="Times New Roman" w:cs="Times New Roman"/>
                <w:szCs w:val="24"/>
                <w:highlight w:val="green"/>
                <w:lang w:eastAsia="lv-LV"/>
              </w:rPr>
            </w:pPr>
            <w:r w:rsidRPr="00512DEF">
              <w:t>Projekts šo jomu neskar.</w:t>
            </w:r>
          </w:p>
        </w:tc>
      </w:tr>
      <w:tr w:rsidR="00EA5E16" w:rsidRPr="00EA5E16" w:rsidTr="004536D4">
        <w:trPr>
          <w:trHeight w:val="703"/>
        </w:trPr>
        <w:tc>
          <w:tcPr>
            <w:tcW w:w="534"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Projekta izpildes ietekme uz pārvaldes institucionālo struktūru.</w:t>
            </w:r>
          </w:p>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Esošu institūciju reorganizācija</w:t>
            </w:r>
          </w:p>
        </w:tc>
        <w:tc>
          <w:tcPr>
            <w:tcW w:w="5386" w:type="dxa"/>
            <w:shd w:val="clear" w:color="auto" w:fill="auto"/>
            <w:hideMark/>
          </w:tcPr>
          <w:p w:rsidR="00EA5E16" w:rsidRPr="00EA5E16" w:rsidRDefault="004A187E" w:rsidP="00D51B9D">
            <w:pPr>
              <w:ind w:right="127"/>
              <w:rPr>
                <w:rFonts w:eastAsia="Times New Roman" w:cs="Times New Roman"/>
                <w:szCs w:val="24"/>
                <w:lang w:eastAsia="lv-LV"/>
              </w:rPr>
            </w:pPr>
            <w:r w:rsidRPr="00512DEF">
              <w:t>Projekts šo jomu neskar.</w:t>
            </w:r>
          </w:p>
        </w:tc>
      </w:tr>
      <w:tr w:rsidR="00EA5E16" w:rsidRPr="00EA5E16" w:rsidTr="004536D4">
        <w:trPr>
          <w:trHeight w:val="267"/>
        </w:trPr>
        <w:tc>
          <w:tcPr>
            <w:tcW w:w="534" w:type="dxa"/>
            <w:shd w:val="clear" w:color="auto" w:fill="auto"/>
          </w:tcPr>
          <w:p w:rsidR="00EA5E16" w:rsidRPr="00EA5E16" w:rsidRDefault="00EA5E16" w:rsidP="00EA5E16">
            <w:pPr>
              <w:numPr>
                <w:ilvl w:val="0"/>
                <w:numId w:val="1"/>
              </w:numPr>
              <w:rPr>
                <w:rFonts w:eastAsia="Times New Roman" w:cs="Times New Roman"/>
                <w:szCs w:val="24"/>
                <w:lang w:eastAsia="lv-LV"/>
              </w:rPr>
            </w:pPr>
          </w:p>
        </w:tc>
        <w:tc>
          <w:tcPr>
            <w:tcW w:w="3402" w:type="dxa"/>
            <w:shd w:val="clear" w:color="auto" w:fill="auto"/>
            <w:hideMark/>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 Cita informācija</w:t>
            </w:r>
          </w:p>
        </w:tc>
        <w:tc>
          <w:tcPr>
            <w:tcW w:w="5386" w:type="dxa"/>
            <w:shd w:val="clear" w:color="auto" w:fill="auto"/>
            <w:hideMark/>
          </w:tcPr>
          <w:p w:rsidR="00EA5E16" w:rsidRPr="00EA5E16" w:rsidRDefault="005D3250" w:rsidP="009C5DEE">
            <w:pPr>
              <w:ind w:right="127"/>
              <w:jc w:val="both"/>
              <w:rPr>
                <w:rFonts w:eastAsia="Times New Roman" w:cs="Times New Roman"/>
                <w:szCs w:val="24"/>
                <w:lang w:eastAsia="lv-LV"/>
              </w:rPr>
            </w:pPr>
            <w:r>
              <w:rPr>
                <w:rFonts w:eastAsia="Times New Roman" w:cs="Times New Roman"/>
                <w:szCs w:val="24"/>
                <w:lang w:eastAsia="lv-LV"/>
              </w:rPr>
              <w:t>Nav.</w:t>
            </w:r>
          </w:p>
        </w:tc>
      </w:tr>
    </w:tbl>
    <w:p w:rsidR="00EA5E16" w:rsidRPr="00EA5E16" w:rsidRDefault="00EA5E16" w:rsidP="00EA5E16">
      <w:pPr>
        <w:jc w:val="both"/>
        <w:rPr>
          <w:rFonts w:eastAsia="Times New Roman" w:cs="Times New Roman"/>
          <w:sz w:val="28"/>
          <w:szCs w:val="28"/>
          <w:lang w:eastAsia="lv-LV"/>
        </w:rPr>
      </w:pPr>
    </w:p>
    <w:p w:rsidR="00D61D12" w:rsidRDefault="00D61D12" w:rsidP="00EA5E16">
      <w:pPr>
        <w:jc w:val="both"/>
        <w:rPr>
          <w:rFonts w:eastAsia="Times New Roman" w:cs="Times New Roman"/>
          <w:sz w:val="28"/>
          <w:szCs w:val="28"/>
          <w:lang w:eastAsia="lv-LV"/>
        </w:rPr>
      </w:pPr>
    </w:p>
    <w:p w:rsidR="006804D9" w:rsidRDefault="006804D9" w:rsidP="00EA5E16">
      <w:pPr>
        <w:jc w:val="both"/>
        <w:rPr>
          <w:rFonts w:eastAsia="Times New Roman" w:cs="Times New Roman"/>
          <w:sz w:val="28"/>
          <w:szCs w:val="28"/>
          <w:lang w:eastAsia="lv-LV"/>
        </w:rPr>
      </w:pPr>
    </w:p>
    <w:p w:rsidR="00715B16" w:rsidRDefault="00715B16" w:rsidP="00EA5E16">
      <w:pPr>
        <w:jc w:val="both"/>
        <w:rPr>
          <w:rFonts w:eastAsia="Times New Roman" w:cs="Times New Roman"/>
          <w:sz w:val="28"/>
          <w:szCs w:val="28"/>
          <w:lang w:eastAsia="lv-LV"/>
        </w:rPr>
      </w:pPr>
    </w:p>
    <w:p w:rsidR="00CC0107" w:rsidRPr="0068602E" w:rsidRDefault="00ED3624" w:rsidP="0068602E">
      <w:pPr>
        <w:jc w:val="both"/>
        <w:rPr>
          <w:rFonts w:eastAsia="Times New Roman" w:cs="Times New Roman"/>
          <w:sz w:val="28"/>
          <w:szCs w:val="28"/>
          <w:lang w:eastAsia="lv-LV"/>
        </w:rPr>
      </w:pPr>
      <w:r>
        <w:rPr>
          <w:rFonts w:eastAsia="Times New Roman" w:cs="Times New Roman"/>
          <w:sz w:val="28"/>
          <w:szCs w:val="28"/>
          <w:lang w:eastAsia="lv-LV"/>
        </w:rPr>
        <w:t xml:space="preserve">              </w:t>
      </w:r>
      <w:r w:rsidR="00EA5E16" w:rsidRPr="00EA5E16">
        <w:rPr>
          <w:rFonts w:eastAsia="Times New Roman" w:cs="Times New Roman"/>
          <w:sz w:val="28"/>
          <w:szCs w:val="28"/>
          <w:lang w:eastAsia="lv-LV"/>
        </w:rPr>
        <w:t>Finanšu ministrs</w:t>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t xml:space="preserve">     </w:t>
      </w:r>
      <w:r w:rsidR="00EA5E16" w:rsidRPr="00EA5E16">
        <w:rPr>
          <w:rFonts w:eastAsia="Times New Roman" w:cs="Times New Roman"/>
          <w:bCs/>
          <w:sz w:val="28"/>
          <w:szCs w:val="28"/>
          <w:lang w:eastAsia="lv-LV"/>
        </w:rPr>
        <w:t>A.Vilks</w:t>
      </w: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6804D9" w:rsidRDefault="006804D9" w:rsidP="00EA5E16">
      <w:pPr>
        <w:tabs>
          <w:tab w:val="center" w:pos="4153"/>
          <w:tab w:val="right" w:pos="8306"/>
        </w:tabs>
        <w:rPr>
          <w:rFonts w:eastAsia="Times New Roman" w:cs="Times New Roman"/>
          <w:sz w:val="18"/>
          <w:szCs w:val="24"/>
          <w:lang w:eastAsia="lv-LV"/>
        </w:rPr>
      </w:pPr>
    </w:p>
    <w:p w:rsidR="006804D9" w:rsidRDefault="006804D9" w:rsidP="00EA5E16">
      <w:pPr>
        <w:tabs>
          <w:tab w:val="center" w:pos="4153"/>
          <w:tab w:val="right" w:pos="8306"/>
        </w:tabs>
        <w:rPr>
          <w:rFonts w:eastAsia="Times New Roman" w:cs="Times New Roman"/>
          <w:sz w:val="18"/>
          <w:szCs w:val="24"/>
          <w:lang w:eastAsia="lv-LV"/>
        </w:rPr>
      </w:pPr>
    </w:p>
    <w:p w:rsidR="006804D9" w:rsidRDefault="006804D9" w:rsidP="00EA5E16">
      <w:pPr>
        <w:tabs>
          <w:tab w:val="center" w:pos="4153"/>
          <w:tab w:val="right" w:pos="8306"/>
        </w:tabs>
        <w:rPr>
          <w:rFonts w:eastAsia="Times New Roman" w:cs="Times New Roman"/>
          <w:sz w:val="18"/>
          <w:szCs w:val="24"/>
          <w:lang w:eastAsia="lv-LV"/>
        </w:rPr>
      </w:pPr>
    </w:p>
    <w:p w:rsidR="006804D9" w:rsidRDefault="006804D9"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6329E3" w:rsidRDefault="006329E3"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Pr="00231E12" w:rsidRDefault="00CC0107" w:rsidP="00EA5E16">
      <w:pPr>
        <w:tabs>
          <w:tab w:val="center" w:pos="4153"/>
          <w:tab w:val="right" w:pos="8306"/>
        </w:tabs>
        <w:rPr>
          <w:rFonts w:eastAsia="Times New Roman" w:cs="Times New Roman"/>
          <w:sz w:val="18"/>
          <w:szCs w:val="18"/>
          <w:lang w:eastAsia="lv-LV"/>
        </w:rPr>
      </w:pPr>
    </w:p>
    <w:p w:rsidR="00EA5E16" w:rsidRPr="00231E12" w:rsidRDefault="00231E12" w:rsidP="00EA5E16">
      <w:pPr>
        <w:tabs>
          <w:tab w:val="center" w:pos="4153"/>
          <w:tab w:val="right" w:pos="8306"/>
        </w:tabs>
        <w:rPr>
          <w:rFonts w:eastAsia="Times New Roman" w:cs="Times New Roman"/>
          <w:sz w:val="18"/>
          <w:szCs w:val="18"/>
          <w:lang w:eastAsia="lv-LV"/>
        </w:rPr>
      </w:pPr>
      <w:r w:rsidRPr="00231E12">
        <w:rPr>
          <w:rFonts w:eastAsia="Times New Roman" w:cs="Times New Roman"/>
          <w:sz w:val="18"/>
          <w:szCs w:val="18"/>
          <w:lang w:eastAsia="lv-LV"/>
        </w:rPr>
        <w:t>02</w:t>
      </w:r>
      <w:r w:rsidR="00EA5E16" w:rsidRPr="00231E12">
        <w:rPr>
          <w:rFonts w:eastAsia="Times New Roman" w:cs="Times New Roman"/>
          <w:sz w:val="18"/>
          <w:szCs w:val="18"/>
          <w:lang w:eastAsia="lv-LV"/>
        </w:rPr>
        <w:t>.</w:t>
      </w:r>
      <w:r w:rsidR="003E3776" w:rsidRPr="00231E12">
        <w:rPr>
          <w:rFonts w:eastAsia="Times New Roman" w:cs="Times New Roman"/>
          <w:sz w:val="18"/>
          <w:szCs w:val="18"/>
          <w:lang w:eastAsia="lv-LV"/>
        </w:rPr>
        <w:t>0</w:t>
      </w:r>
      <w:r w:rsidRPr="00231E12">
        <w:rPr>
          <w:rFonts w:eastAsia="Times New Roman" w:cs="Times New Roman"/>
          <w:sz w:val="18"/>
          <w:szCs w:val="18"/>
          <w:lang w:eastAsia="lv-LV"/>
        </w:rPr>
        <w:t>7</w:t>
      </w:r>
      <w:r w:rsidR="00637F34" w:rsidRPr="00231E12">
        <w:rPr>
          <w:rFonts w:eastAsia="Times New Roman" w:cs="Times New Roman"/>
          <w:sz w:val="18"/>
          <w:szCs w:val="18"/>
          <w:lang w:eastAsia="lv-LV"/>
        </w:rPr>
        <w:t>.2013</w:t>
      </w:r>
      <w:r w:rsidR="00EA5E16" w:rsidRPr="00231E12">
        <w:rPr>
          <w:rFonts w:eastAsia="Times New Roman" w:cs="Times New Roman"/>
          <w:sz w:val="18"/>
          <w:szCs w:val="18"/>
          <w:lang w:eastAsia="lv-LV"/>
        </w:rPr>
        <w:t>.</w:t>
      </w:r>
    </w:p>
    <w:p w:rsidR="00EA5E16" w:rsidRPr="00231E12" w:rsidRDefault="00EA5E16" w:rsidP="00EA5E16">
      <w:pPr>
        <w:tabs>
          <w:tab w:val="center" w:pos="4153"/>
          <w:tab w:val="right" w:pos="8306"/>
        </w:tabs>
        <w:rPr>
          <w:rFonts w:eastAsia="Times New Roman" w:cs="Times New Roman"/>
          <w:sz w:val="18"/>
          <w:szCs w:val="18"/>
          <w:lang w:eastAsia="lv-LV"/>
        </w:rPr>
      </w:pPr>
      <w:r w:rsidRPr="00231E12">
        <w:rPr>
          <w:rFonts w:eastAsia="Times New Roman" w:cs="Times New Roman"/>
          <w:sz w:val="18"/>
          <w:szCs w:val="18"/>
          <w:lang w:eastAsia="lv-LV"/>
        </w:rPr>
        <w:fldChar w:fldCharType="begin"/>
      </w:r>
      <w:r w:rsidRPr="00231E12">
        <w:rPr>
          <w:rFonts w:eastAsia="Times New Roman" w:cs="Times New Roman"/>
          <w:sz w:val="18"/>
          <w:szCs w:val="18"/>
          <w:lang w:eastAsia="lv-LV"/>
        </w:rPr>
        <w:instrText xml:space="preserve"> NUMWORDS   \* MERGEFORMAT </w:instrText>
      </w:r>
      <w:r w:rsidRPr="00231E12">
        <w:rPr>
          <w:rFonts w:eastAsia="Times New Roman" w:cs="Times New Roman"/>
          <w:sz w:val="18"/>
          <w:szCs w:val="18"/>
          <w:lang w:eastAsia="lv-LV"/>
        </w:rPr>
        <w:fldChar w:fldCharType="separate"/>
      </w:r>
      <w:r w:rsidR="00F33AB3">
        <w:rPr>
          <w:rFonts w:eastAsia="Times New Roman" w:cs="Times New Roman"/>
          <w:noProof/>
          <w:sz w:val="18"/>
          <w:szCs w:val="18"/>
          <w:lang w:eastAsia="lv-LV"/>
        </w:rPr>
        <w:t>1359</w:t>
      </w:r>
      <w:r w:rsidRPr="00231E12">
        <w:rPr>
          <w:rFonts w:eastAsia="Times New Roman" w:cs="Times New Roman"/>
          <w:sz w:val="18"/>
          <w:szCs w:val="18"/>
          <w:lang w:eastAsia="lv-LV"/>
        </w:rPr>
        <w:fldChar w:fldCharType="end"/>
      </w:r>
    </w:p>
    <w:p w:rsidR="00EA5E16" w:rsidRPr="00231E12" w:rsidRDefault="00231E12" w:rsidP="00EA5E16">
      <w:pPr>
        <w:jc w:val="both"/>
        <w:rPr>
          <w:rFonts w:eastAsia="Times New Roman" w:cs="Times New Roman"/>
          <w:sz w:val="18"/>
          <w:szCs w:val="18"/>
          <w:lang w:eastAsia="lv-LV"/>
        </w:rPr>
      </w:pPr>
      <w:r w:rsidRPr="00231E12">
        <w:rPr>
          <w:rFonts w:eastAsia="Times New Roman" w:cs="Times New Roman"/>
          <w:sz w:val="18"/>
          <w:szCs w:val="18"/>
          <w:lang w:eastAsia="lv-LV"/>
        </w:rPr>
        <w:t>K.Mužica</w:t>
      </w:r>
    </w:p>
    <w:p w:rsidR="00C15FC1" w:rsidRPr="00231E12" w:rsidRDefault="00231E12">
      <w:pPr>
        <w:rPr>
          <w:sz w:val="18"/>
          <w:szCs w:val="18"/>
        </w:rPr>
      </w:pPr>
      <w:r w:rsidRPr="00231E12">
        <w:rPr>
          <w:rFonts w:eastAsia="Times New Roman" w:cs="Times New Roman"/>
          <w:sz w:val="18"/>
          <w:szCs w:val="18"/>
          <w:lang w:eastAsia="lv-LV"/>
        </w:rPr>
        <w:t>t.67095439</w:t>
      </w:r>
      <w:r w:rsidR="00EA5E16" w:rsidRPr="00231E12">
        <w:rPr>
          <w:rFonts w:eastAsia="Times New Roman" w:cs="Times New Roman"/>
          <w:sz w:val="18"/>
          <w:szCs w:val="18"/>
          <w:lang w:eastAsia="lv-LV"/>
        </w:rPr>
        <w:t xml:space="preserve">; </w:t>
      </w:r>
      <w:hyperlink r:id="rId10" w:history="1">
        <w:r w:rsidRPr="00231E12">
          <w:rPr>
            <w:rStyle w:val="Hyperlink"/>
            <w:sz w:val="18"/>
            <w:szCs w:val="18"/>
          </w:rPr>
          <w:t>Kristine.Muzica@fm.gov.lv</w:t>
        </w:r>
      </w:hyperlink>
    </w:p>
    <w:p w:rsidR="00231E12" w:rsidRPr="00231E12" w:rsidRDefault="00231E12">
      <w:pPr>
        <w:rPr>
          <w:rFonts w:eastAsia="Times New Roman" w:cs="Times New Roman"/>
          <w:color w:val="000000"/>
          <w:sz w:val="18"/>
          <w:szCs w:val="18"/>
          <w:lang w:eastAsia="lv-LV"/>
        </w:rPr>
      </w:pPr>
    </w:p>
    <w:p w:rsidR="00231E12" w:rsidRPr="00231E12" w:rsidRDefault="00231E12">
      <w:pPr>
        <w:rPr>
          <w:rFonts w:eastAsia="Times New Roman" w:cs="Times New Roman"/>
          <w:color w:val="000000"/>
          <w:sz w:val="18"/>
          <w:szCs w:val="18"/>
          <w:lang w:eastAsia="lv-LV"/>
        </w:rPr>
      </w:pPr>
    </w:p>
    <w:sectPr w:rsidR="00231E12" w:rsidRPr="00231E12" w:rsidSect="00715B16">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CC" w:rsidRDefault="00F760CC">
      <w:r>
        <w:separator/>
      </w:r>
    </w:p>
  </w:endnote>
  <w:endnote w:type="continuationSeparator" w:id="0">
    <w:p w:rsidR="00F760CC" w:rsidRDefault="00F7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FF" w:rsidRDefault="00797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8F" w:rsidRPr="0027188F" w:rsidRDefault="0027188F" w:rsidP="0027188F">
    <w:pPr>
      <w:jc w:val="both"/>
      <w:rPr>
        <w:bCs/>
        <w:sz w:val="18"/>
        <w:szCs w:val="20"/>
      </w:rPr>
    </w:pPr>
    <w:r w:rsidRPr="0027188F">
      <w:rPr>
        <w:sz w:val="18"/>
        <w:szCs w:val="20"/>
      </w:rPr>
      <w:fldChar w:fldCharType="begin"/>
    </w:r>
    <w:r w:rsidRPr="0027188F">
      <w:rPr>
        <w:sz w:val="18"/>
        <w:szCs w:val="20"/>
      </w:rPr>
      <w:instrText xml:space="preserve"> FILENAME   \* MERGEFORMAT </w:instrText>
    </w:r>
    <w:r w:rsidRPr="0027188F">
      <w:rPr>
        <w:sz w:val="18"/>
        <w:szCs w:val="20"/>
      </w:rPr>
      <w:fldChar w:fldCharType="separate"/>
    </w:r>
    <w:r w:rsidR="00E3214F">
      <w:rPr>
        <w:noProof/>
        <w:sz w:val="18"/>
        <w:szCs w:val="20"/>
      </w:rPr>
      <w:t>FMAnot_020713_doc</w:t>
    </w:r>
    <w:r w:rsidRPr="0027188F">
      <w:rPr>
        <w:sz w:val="18"/>
        <w:szCs w:val="20"/>
      </w:rPr>
      <w:fldChar w:fldCharType="end"/>
    </w:r>
    <w:r w:rsidRPr="0027188F">
      <w:rPr>
        <w:sz w:val="18"/>
        <w:szCs w:val="20"/>
      </w:rPr>
      <w:t>; Ministru kabineta instrukcijas projekta</w:t>
    </w:r>
    <w:r w:rsidRPr="0027188F">
      <w:rPr>
        <w:bCs/>
        <w:sz w:val="18"/>
        <w:szCs w:val="20"/>
      </w:rPr>
      <w:t xml:space="preserve"> „Grozījumi Ministru kabineta 2012.gada 2.oktobra instrukcijā Nr.12 „Dienesta vieglo automobiļu iegādes un nomas kārtība”” sākotnējās ietekmes novērtējuma ziņojums (anotācija)</w:t>
    </w:r>
  </w:p>
  <w:p w:rsidR="004A187E" w:rsidRPr="00474780" w:rsidRDefault="004A187E" w:rsidP="004A187E">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Pr="0027188F" w:rsidRDefault="00EA5E16" w:rsidP="004A187E">
    <w:pPr>
      <w:jc w:val="both"/>
      <w:rPr>
        <w:bCs/>
        <w:sz w:val="18"/>
        <w:szCs w:val="20"/>
      </w:rPr>
    </w:pPr>
    <w:r w:rsidRPr="00474780">
      <w:rPr>
        <w:sz w:val="18"/>
        <w:szCs w:val="20"/>
      </w:rPr>
      <w:fldChar w:fldCharType="begin"/>
    </w:r>
    <w:r w:rsidRPr="00474780">
      <w:rPr>
        <w:sz w:val="18"/>
        <w:szCs w:val="20"/>
      </w:rPr>
      <w:instrText xml:space="preserve"> FILENAME   \* MERGEFORMAT </w:instrText>
    </w:r>
    <w:r w:rsidRPr="00474780">
      <w:rPr>
        <w:sz w:val="18"/>
        <w:szCs w:val="20"/>
      </w:rPr>
      <w:fldChar w:fldCharType="separate"/>
    </w:r>
    <w:r w:rsidR="00E3214F">
      <w:rPr>
        <w:noProof/>
        <w:sz w:val="18"/>
        <w:szCs w:val="20"/>
      </w:rPr>
      <w:t>FMAnot_020713_doc</w:t>
    </w:r>
    <w:r w:rsidRPr="00474780">
      <w:rPr>
        <w:sz w:val="18"/>
        <w:szCs w:val="20"/>
      </w:rPr>
      <w:fldChar w:fldCharType="end"/>
    </w:r>
    <w:r w:rsidRPr="00474780">
      <w:rPr>
        <w:sz w:val="18"/>
        <w:szCs w:val="20"/>
      </w:rPr>
      <w:t xml:space="preserve">; </w:t>
    </w:r>
    <w:r w:rsidR="0027188F" w:rsidRPr="0027188F">
      <w:rPr>
        <w:sz w:val="18"/>
        <w:szCs w:val="20"/>
      </w:rPr>
      <w:t>Ministru kabineta instrukcijas projekta</w:t>
    </w:r>
    <w:r w:rsidR="0027188F" w:rsidRPr="0027188F">
      <w:rPr>
        <w:bCs/>
        <w:sz w:val="18"/>
        <w:szCs w:val="20"/>
      </w:rPr>
      <w:t xml:space="preserve"> „Grozījumi Ministru kabineta 2012.gada 2.oktobra instrukcijā Nr.12 „Dienesta vieglo automobiļu iegādes un nomas kārtība”” sākotnējās ietekmes novērtējuma ziņojums (anotācija)</w:t>
    </w:r>
  </w:p>
  <w:p w:rsidR="004A187E" w:rsidRPr="00E2650F" w:rsidRDefault="004A187E" w:rsidP="004A187E">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CC" w:rsidRDefault="00F760CC">
      <w:r>
        <w:separator/>
      </w:r>
    </w:p>
  </w:footnote>
  <w:footnote w:type="continuationSeparator" w:id="0">
    <w:p w:rsidR="00F760CC" w:rsidRDefault="00F7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FF" w:rsidRDefault="00797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7E" w:rsidRDefault="00EA5E16"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E3214F">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FF" w:rsidRDefault="00797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0D7A71"/>
    <w:multiLevelType w:val="hybridMultilevel"/>
    <w:tmpl w:val="7EEA7BF4"/>
    <w:lvl w:ilvl="0" w:tplc="26C6BE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7999"/>
    <w:rsid w:val="00010D86"/>
    <w:rsid w:val="000164FB"/>
    <w:rsid w:val="00021BE3"/>
    <w:rsid w:val="00025849"/>
    <w:rsid w:val="00035696"/>
    <w:rsid w:val="000369DD"/>
    <w:rsid w:val="000406A1"/>
    <w:rsid w:val="00041DEE"/>
    <w:rsid w:val="000437A2"/>
    <w:rsid w:val="000463EB"/>
    <w:rsid w:val="00052675"/>
    <w:rsid w:val="000678EE"/>
    <w:rsid w:val="000756E1"/>
    <w:rsid w:val="00083613"/>
    <w:rsid w:val="000A36F5"/>
    <w:rsid w:val="000B05F6"/>
    <w:rsid w:val="000B2718"/>
    <w:rsid w:val="000B6199"/>
    <w:rsid w:val="000F1718"/>
    <w:rsid w:val="000F685A"/>
    <w:rsid w:val="000F6B9F"/>
    <w:rsid w:val="00100344"/>
    <w:rsid w:val="00110A2B"/>
    <w:rsid w:val="001122F1"/>
    <w:rsid w:val="00127343"/>
    <w:rsid w:val="0013355A"/>
    <w:rsid w:val="001404ED"/>
    <w:rsid w:val="00141851"/>
    <w:rsid w:val="00161A29"/>
    <w:rsid w:val="00163276"/>
    <w:rsid w:val="00163891"/>
    <w:rsid w:val="00164507"/>
    <w:rsid w:val="0017108B"/>
    <w:rsid w:val="00172CA8"/>
    <w:rsid w:val="0018018E"/>
    <w:rsid w:val="00191AB6"/>
    <w:rsid w:val="001A49DD"/>
    <w:rsid w:val="001A5FD9"/>
    <w:rsid w:val="001B16C6"/>
    <w:rsid w:val="001B400C"/>
    <w:rsid w:val="001B5851"/>
    <w:rsid w:val="001B678B"/>
    <w:rsid w:val="001B7820"/>
    <w:rsid w:val="001C023A"/>
    <w:rsid w:val="001C351D"/>
    <w:rsid w:val="001C3CA9"/>
    <w:rsid w:val="001C6325"/>
    <w:rsid w:val="001C65D6"/>
    <w:rsid w:val="001D093D"/>
    <w:rsid w:val="001D1EA4"/>
    <w:rsid w:val="001D20C9"/>
    <w:rsid w:val="001D40CF"/>
    <w:rsid w:val="001D48A5"/>
    <w:rsid w:val="001E67BC"/>
    <w:rsid w:val="001F0DD5"/>
    <w:rsid w:val="001F4FD1"/>
    <w:rsid w:val="001F504A"/>
    <w:rsid w:val="001F66A7"/>
    <w:rsid w:val="002129A8"/>
    <w:rsid w:val="002167E6"/>
    <w:rsid w:val="00216953"/>
    <w:rsid w:val="00226422"/>
    <w:rsid w:val="00231E12"/>
    <w:rsid w:val="002429C8"/>
    <w:rsid w:val="00245597"/>
    <w:rsid w:val="002523B2"/>
    <w:rsid w:val="00252C35"/>
    <w:rsid w:val="00254A26"/>
    <w:rsid w:val="00255B41"/>
    <w:rsid w:val="00260744"/>
    <w:rsid w:val="0027188F"/>
    <w:rsid w:val="002729C6"/>
    <w:rsid w:val="00296361"/>
    <w:rsid w:val="002A0093"/>
    <w:rsid w:val="002A1BE9"/>
    <w:rsid w:val="002A4CDC"/>
    <w:rsid w:val="002A7404"/>
    <w:rsid w:val="002B47D3"/>
    <w:rsid w:val="002C4AD1"/>
    <w:rsid w:val="002D0009"/>
    <w:rsid w:val="002D1738"/>
    <w:rsid w:val="002D22EF"/>
    <w:rsid w:val="002E12CA"/>
    <w:rsid w:val="002E226E"/>
    <w:rsid w:val="002E3E2E"/>
    <w:rsid w:val="002E5EDD"/>
    <w:rsid w:val="002E70F6"/>
    <w:rsid w:val="002F031A"/>
    <w:rsid w:val="002F5E0E"/>
    <w:rsid w:val="002F66C0"/>
    <w:rsid w:val="00301939"/>
    <w:rsid w:val="003064E1"/>
    <w:rsid w:val="00317D48"/>
    <w:rsid w:val="00321C6C"/>
    <w:rsid w:val="003222FB"/>
    <w:rsid w:val="0032567F"/>
    <w:rsid w:val="0032585E"/>
    <w:rsid w:val="00331D35"/>
    <w:rsid w:val="00334C53"/>
    <w:rsid w:val="0033532A"/>
    <w:rsid w:val="0033693B"/>
    <w:rsid w:val="00346594"/>
    <w:rsid w:val="00357674"/>
    <w:rsid w:val="003601CD"/>
    <w:rsid w:val="00365793"/>
    <w:rsid w:val="00366F6C"/>
    <w:rsid w:val="00376D22"/>
    <w:rsid w:val="00381CCB"/>
    <w:rsid w:val="00382AD0"/>
    <w:rsid w:val="0038798E"/>
    <w:rsid w:val="00390458"/>
    <w:rsid w:val="003A37E2"/>
    <w:rsid w:val="003A3F9D"/>
    <w:rsid w:val="003B09DF"/>
    <w:rsid w:val="003B1D4B"/>
    <w:rsid w:val="003B46B5"/>
    <w:rsid w:val="003B5386"/>
    <w:rsid w:val="003B70B1"/>
    <w:rsid w:val="003B7153"/>
    <w:rsid w:val="003C20A2"/>
    <w:rsid w:val="003C783D"/>
    <w:rsid w:val="003D370D"/>
    <w:rsid w:val="003D4B2E"/>
    <w:rsid w:val="003E0678"/>
    <w:rsid w:val="003E144D"/>
    <w:rsid w:val="003E1C30"/>
    <w:rsid w:val="003E240E"/>
    <w:rsid w:val="003E3211"/>
    <w:rsid w:val="003E3776"/>
    <w:rsid w:val="003E7ED6"/>
    <w:rsid w:val="0040216B"/>
    <w:rsid w:val="00413634"/>
    <w:rsid w:val="0041460D"/>
    <w:rsid w:val="00415800"/>
    <w:rsid w:val="00415A68"/>
    <w:rsid w:val="00417898"/>
    <w:rsid w:val="00420D2F"/>
    <w:rsid w:val="00425C43"/>
    <w:rsid w:val="004308E8"/>
    <w:rsid w:val="00434A44"/>
    <w:rsid w:val="004536D4"/>
    <w:rsid w:val="00457B8F"/>
    <w:rsid w:val="0046394E"/>
    <w:rsid w:val="0046484D"/>
    <w:rsid w:val="00467859"/>
    <w:rsid w:val="0048108B"/>
    <w:rsid w:val="00484458"/>
    <w:rsid w:val="00493426"/>
    <w:rsid w:val="00493FA8"/>
    <w:rsid w:val="00493FC2"/>
    <w:rsid w:val="004A187E"/>
    <w:rsid w:val="004B0B79"/>
    <w:rsid w:val="004B0C84"/>
    <w:rsid w:val="004B3E78"/>
    <w:rsid w:val="004B477A"/>
    <w:rsid w:val="004C184D"/>
    <w:rsid w:val="004C1E9D"/>
    <w:rsid w:val="004C3813"/>
    <w:rsid w:val="004C5504"/>
    <w:rsid w:val="004C62AB"/>
    <w:rsid w:val="004C6911"/>
    <w:rsid w:val="004D262A"/>
    <w:rsid w:val="004D4016"/>
    <w:rsid w:val="004D40DE"/>
    <w:rsid w:val="004D5C1B"/>
    <w:rsid w:val="004F17A9"/>
    <w:rsid w:val="004F41E9"/>
    <w:rsid w:val="00503798"/>
    <w:rsid w:val="0050495C"/>
    <w:rsid w:val="00511610"/>
    <w:rsid w:val="00512911"/>
    <w:rsid w:val="00525191"/>
    <w:rsid w:val="005305AA"/>
    <w:rsid w:val="005318C1"/>
    <w:rsid w:val="00533F4F"/>
    <w:rsid w:val="00542BED"/>
    <w:rsid w:val="005432EB"/>
    <w:rsid w:val="00550AFC"/>
    <w:rsid w:val="0055429B"/>
    <w:rsid w:val="005653BD"/>
    <w:rsid w:val="005815AD"/>
    <w:rsid w:val="005836E4"/>
    <w:rsid w:val="00590FDF"/>
    <w:rsid w:val="00597978"/>
    <w:rsid w:val="005A03D1"/>
    <w:rsid w:val="005A102B"/>
    <w:rsid w:val="005A13A8"/>
    <w:rsid w:val="005A79F5"/>
    <w:rsid w:val="005B0BEC"/>
    <w:rsid w:val="005B2851"/>
    <w:rsid w:val="005B624D"/>
    <w:rsid w:val="005B7184"/>
    <w:rsid w:val="005C3FF0"/>
    <w:rsid w:val="005C7132"/>
    <w:rsid w:val="005D3250"/>
    <w:rsid w:val="005E0F70"/>
    <w:rsid w:val="005E6DB8"/>
    <w:rsid w:val="00600459"/>
    <w:rsid w:val="00602435"/>
    <w:rsid w:val="00627FD8"/>
    <w:rsid w:val="006329E3"/>
    <w:rsid w:val="0063441C"/>
    <w:rsid w:val="0063654E"/>
    <w:rsid w:val="00637F34"/>
    <w:rsid w:val="006443B8"/>
    <w:rsid w:val="00652A13"/>
    <w:rsid w:val="0065377B"/>
    <w:rsid w:val="00654BCB"/>
    <w:rsid w:val="00664161"/>
    <w:rsid w:val="006649A1"/>
    <w:rsid w:val="00671616"/>
    <w:rsid w:val="006728DF"/>
    <w:rsid w:val="006804D9"/>
    <w:rsid w:val="00683DC9"/>
    <w:rsid w:val="0068602E"/>
    <w:rsid w:val="00687346"/>
    <w:rsid w:val="00691C52"/>
    <w:rsid w:val="006A6045"/>
    <w:rsid w:val="006B260B"/>
    <w:rsid w:val="006B5607"/>
    <w:rsid w:val="006B5A76"/>
    <w:rsid w:val="006B7E5B"/>
    <w:rsid w:val="006C174E"/>
    <w:rsid w:val="006C46DA"/>
    <w:rsid w:val="006D576B"/>
    <w:rsid w:val="006D670E"/>
    <w:rsid w:val="006E6B17"/>
    <w:rsid w:val="00700FFA"/>
    <w:rsid w:val="00710AC0"/>
    <w:rsid w:val="00715B16"/>
    <w:rsid w:val="0072479F"/>
    <w:rsid w:val="0073079A"/>
    <w:rsid w:val="00733DC2"/>
    <w:rsid w:val="00745E55"/>
    <w:rsid w:val="0074712F"/>
    <w:rsid w:val="007578E7"/>
    <w:rsid w:val="00762754"/>
    <w:rsid w:val="007627C0"/>
    <w:rsid w:val="007749F2"/>
    <w:rsid w:val="00776D40"/>
    <w:rsid w:val="00783595"/>
    <w:rsid w:val="00785CEA"/>
    <w:rsid w:val="00791416"/>
    <w:rsid w:val="00792380"/>
    <w:rsid w:val="007977FF"/>
    <w:rsid w:val="007A03F7"/>
    <w:rsid w:val="007A2C09"/>
    <w:rsid w:val="007B6AD0"/>
    <w:rsid w:val="007B7616"/>
    <w:rsid w:val="007C0F29"/>
    <w:rsid w:val="007C7264"/>
    <w:rsid w:val="007E108A"/>
    <w:rsid w:val="007E5020"/>
    <w:rsid w:val="007E5A1A"/>
    <w:rsid w:val="007E64FF"/>
    <w:rsid w:val="00802917"/>
    <w:rsid w:val="00811D9A"/>
    <w:rsid w:val="00815A80"/>
    <w:rsid w:val="00824C73"/>
    <w:rsid w:val="00831D08"/>
    <w:rsid w:val="00844343"/>
    <w:rsid w:val="00860229"/>
    <w:rsid w:val="00875869"/>
    <w:rsid w:val="008773D5"/>
    <w:rsid w:val="008826B6"/>
    <w:rsid w:val="00882F90"/>
    <w:rsid w:val="00895148"/>
    <w:rsid w:val="008A459D"/>
    <w:rsid w:val="008B1821"/>
    <w:rsid w:val="008B1D7C"/>
    <w:rsid w:val="008B2DE0"/>
    <w:rsid w:val="008C1B92"/>
    <w:rsid w:val="008C2A7B"/>
    <w:rsid w:val="008C5BC8"/>
    <w:rsid w:val="008C74EF"/>
    <w:rsid w:val="008D03E3"/>
    <w:rsid w:val="008D7DA0"/>
    <w:rsid w:val="008E0887"/>
    <w:rsid w:val="008E0A88"/>
    <w:rsid w:val="008E2446"/>
    <w:rsid w:val="008F0A0F"/>
    <w:rsid w:val="008F3517"/>
    <w:rsid w:val="008F4B19"/>
    <w:rsid w:val="00901A63"/>
    <w:rsid w:val="00902B59"/>
    <w:rsid w:val="00910783"/>
    <w:rsid w:val="00913088"/>
    <w:rsid w:val="009179D3"/>
    <w:rsid w:val="009221A4"/>
    <w:rsid w:val="009275FF"/>
    <w:rsid w:val="009306DA"/>
    <w:rsid w:val="00931587"/>
    <w:rsid w:val="0093466E"/>
    <w:rsid w:val="00934CE9"/>
    <w:rsid w:val="009375F7"/>
    <w:rsid w:val="00937E45"/>
    <w:rsid w:val="009414D5"/>
    <w:rsid w:val="00954AE5"/>
    <w:rsid w:val="00960417"/>
    <w:rsid w:val="009665CB"/>
    <w:rsid w:val="0097117B"/>
    <w:rsid w:val="00974E9A"/>
    <w:rsid w:val="00976909"/>
    <w:rsid w:val="009771B7"/>
    <w:rsid w:val="00984432"/>
    <w:rsid w:val="00984DC2"/>
    <w:rsid w:val="00985DD0"/>
    <w:rsid w:val="00986F85"/>
    <w:rsid w:val="00997FDD"/>
    <w:rsid w:val="009A52A7"/>
    <w:rsid w:val="009B25D3"/>
    <w:rsid w:val="009B2F51"/>
    <w:rsid w:val="009B59E9"/>
    <w:rsid w:val="009C40F2"/>
    <w:rsid w:val="009C5DEE"/>
    <w:rsid w:val="009F1903"/>
    <w:rsid w:val="009F302C"/>
    <w:rsid w:val="00A06051"/>
    <w:rsid w:val="00A1144D"/>
    <w:rsid w:val="00A11AE2"/>
    <w:rsid w:val="00A17093"/>
    <w:rsid w:val="00A2128C"/>
    <w:rsid w:val="00A21760"/>
    <w:rsid w:val="00A23E30"/>
    <w:rsid w:val="00A26DE3"/>
    <w:rsid w:val="00A313E9"/>
    <w:rsid w:val="00A404C0"/>
    <w:rsid w:val="00A42AFC"/>
    <w:rsid w:val="00A463AA"/>
    <w:rsid w:val="00A56351"/>
    <w:rsid w:val="00A72252"/>
    <w:rsid w:val="00A7285D"/>
    <w:rsid w:val="00A82528"/>
    <w:rsid w:val="00A839E4"/>
    <w:rsid w:val="00A93E45"/>
    <w:rsid w:val="00A96168"/>
    <w:rsid w:val="00AA59EA"/>
    <w:rsid w:val="00AB37EA"/>
    <w:rsid w:val="00AC1CB2"/>
    <w:rsid w:val="00AF2378"/>
    <w:rsid w:val="00AF2B3A"/>
    <w:rsid w:val="00B02248"/>
    <w:rsid w:val="00B121FC"/>
    <w:rsid w:val="00B12851"/>
    <w:rsid w:val="00B14DB5"/>
    <w:rsid w:val="00B20B06"/>
    <w:rsid w:val="00B22212"/>
    <w:rsid w:val="00B262BC"/>
    <w:rsid w:val="00B522F1"/>
    <w:rsid w:val="00B55577"/>
    <w:rsid w:val="00B63E2C"/>
    <w:rsid w:val="00B7116B"/>
    <w:rsid w:val="00B81E0E"/>
    <w:rsid w:val="00B86F1D"/>
    <w:rsid w:val="00B92722"/>
    <w:rsid w:val="00B93B3F"/>
    <w:rsid w:val="00B950BC"/>
    <w:rsid w:val="00B96E3B"/>
    <w:rsid w:val="00BA44DE"/>
    <w:rsid w:val="00BA5363"/>
    <w:rsid w:val="00BB0879"/>
    <w:rsid w:val="00BC2298"/>
    <w:rsid w:val="00BC7BEC"/>
    <w:rsid w:val="00BD11F6"/>
    <w:rsid w:val="00BD493D"/>
    <w:rsid w:val="00BD68FE"/>
    <w:rsid w:val="00BE017A"/>
    <w:rsid w:val="00BE0B7B"/>
    <w:rsid w:val="00BE7CE5"/>
    <w:rsid w:val="00BE7F78"/>
    <w:rsid w:val="00BF0602"/>
    <w:rsid w:val="00C020F5"/>
    <w:rsid w:val="00C0231E"/>
    <w:rsid w:val="00C06C40"/>
    <w:rsid w:val="00C15FC1"/>
    <w:rsid w:val="00C16D04"/>
    <w:rsid w:val="00C2046E"/>
    <w:rsid w:val="00C238F2"/>
    <w:rsid w:val="00C40E57"/>
    <w:rsid w:val="00C51EED"/>
    <w:rsid w:val="00C61B8A"/>
    <w:rsid w:val="00C921CA"/>
    <w:rsid w:val="00C923B5"/>
    <w:rsid w:val="00C92D39"/>
    <w:rsid w:val="00C93418"/>
    <w:rsid w:val="00C937A7"/>
    <w:rsid w:val="00C938DD"/>
    <w:rsid w:val="00C96C2B"/>
    <w:rsid w:val="00CB25C0"/>
    <w:rsid w:val="00CB57B0"/>
    <w:rsid w:val="00CC0107"/>
    <w:rsid w:val="00CC05C9"/>
    <w:rsid w:val="00CC55CC"/>
    <w:rsid w:val="00CD13B8"/>
    <w:rsid w:val="00CD295F"/>
    <w:rsid w:val="00CE0504"/>
    <w:rsid w:val="00CF0B15"/>
    <w:rsid w:val="00CF27A1"/>
    <w:rsid w:val="00CF6736"/>
    <w:rsid w:val="00CF76C2"/>
    <w:rsid w:val="00D00794"/>
    <w:rsid w:val="00D009A6"/>
    <w:rsid w:val="00D01E05"/>
    <w:rsid w:val="00D04947"/>
    <w:rsid w:val="00D16C1A"/>
    <w:rsid w:val="00D17578"/>
    <w:rsid w:val="00D212CF"/>
    <w:rsid w:val="00D22384"/>
    <w:rsid w:val="00D42C80"/>
    <w:rsid w:val="00D4466E"/>
    <w:rsid w:val="00D44D16"/>
    <w:rsid w:val="00D46160"/>
    <w:rsid w:val="00D47871"/>
    <w:rsid w:val="00D51B9D"/>
    <w:rsid w:val="00D52581"/>
    <w:rsid w:val="00D528B1"/>
    <w:rsid w:val="00D529CE"/>
    <w:rsid w:val="00D536E7"/>
    <w:rsid w:val="00D61D12"/>
    <w:rsid w:val="00D72353"/>
    <w:rsid w:val="00D73652"/>
    <w:rsid w:val="00D92916"/>
    <w:rsid w:val="00D93141"/>
    <w:rsid w:val="00D95256"/>
    <w:rsid w:val="00D960C0"/>
    <w:rsid w:val="00DA0881"/>
    <w:rsid w:val="00DA1B02"/>
    <w:rsid w:val="00DA1BBC"/>
    <w:rsid w:val="00DA501C"/>
    <w:rsid w:val="00DA57F3"/>
    <w:rsid w:val="00DB2CAD"/>
    <w:rsid w:val="00DB4543"/>
    <w:rsid w:val="00DB6441"/>
    <w:rsid w:val="00DC1C3F"/>
    <w:rsid w:val="00DC2804"/>
    <w:rsid w:val="00DD01AA"/>
    <w:rsid w:val="00DD08D9"/>
    <w:rsid w:val="00DD0C76"/>
    <w:rsid w:val="00DE2051"/>
    <w:rsid w:val="00DF1523"/>
    <w:rsid w:val="00E140E9"/>
    <w:rsid w:val="00E17996"/>
    <w:rsid w:val="00E20F04"/>
    <w:rsid w:val="00E24EB3"/>
    <w:rsid w:val="00E315D2"/>
    <w:rsid w:val="00E3214F"/>
    <w:rsid w:val="00E422EB"/>
    <w:rsid w:val="00E44253"/>
    <w:rsid w:val="00E57F64"/>
    <w:rsid w:val="00E63D9E"/>
    <w:rsid w:val="00E66763"/>
    <w:rsid w:val="00E67951"/>
    <w:rsid w:val="00E716C6"/>
    <w:rsid w:val="00E72AA8"/>
    <w:rsid w:val="00E81140"/>
    <w:rsid w:val="00E82CD8"/>
    <w:rsid w:val="00EA45C0"/>
    <w:rsid w:val="00EA5E16"/>
    <w:rsid w:val="00EA7E25"/>
    <w:rsid w:val="00EB6A01"/>
    <w:rsid w:val="00EC0850"/>
    <w:rsid w:val="00EC17C2"/>
    <w:rsid w:val="00ED1AA0"/>
    <w:rsid w:val="00ED3624"/>
    <w:rsid w:val="00EE0136"/>
    <w:rsid w:val="00F11DB5"/>
    <w:rsid w:val="00F11FAA"/>
    <w:rsid w:val="00F20A7C"/>
    <w:rsid w:val="00F252AF"/>
    <w:rsid w:val="00F30A74"/>
    <w:rsid w:val="00F33AB3"/>
    <w:rsid w:val="00F44B7D"/>
    <w:rsid w:val="00F46166"/>
    <w:rsid w:val="00F46446"/>
    <w:rsid w:val="00F65F1E"/>
    <w:rsid w:val="00F70963"/>
    <w:rsid w:val="00F7103F"/>
    <w:rsid w:val="00F728AB"/>
    <w:rsid w:val="00F760CC"/>
    <w:rsid w:val="00F86645"/>
    <w:rsid w:val="00F91AFC"/>
    <w:rsid w:val="00F929A4"/>
    <w:rsid w:val="00FA6E8B"/>
    <w:rsid w:val="00FB11C4"/>
    <w:rsid w:val="00FB4517"/>
    <w:rsid w:val="00FB7179"/>
    <w:rsid w:val="00FC73A6"/>
    <w:rsid w:val="00FD0A4C"/>
    <w:rsid w:val="00FF29B9"/>
    <w:rsid w:val="00FF4A4B"/>
    <w:rsid w:val="00FF5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756513090">
      <w:bodyDiv w:val="1"/>
      <w:marLeft w:val="0"/>
      <w:marRight w:val="0"/>
      <w:marTop w:val="0"/>
      <w:marBottom w:val="0"/>
      <w:divBdr>
        <w:top w:val="none" w:sz="0" w:space="0" w:color="auto"/>
        <w:left w:val="none" w:sz="0" w:space="0" w:color="auto"/>
        <w:bottom w:val="none" w:sz="0" w:space="0" w:color="auto"/>
        <w:right w:val="none" w:sz="0" w:space="0" w:color="auto"/>
      </w:divBdr>
    </w:div>
    <w:div w:id="802767279">
      <w:bodyDiv w:val="1"/>
      <w:marLeft w:val="0"/>
      <w:marRight w:val="0"/>
      <w:marTop w:val="0"/>
      <w:marBottom w:val="0"/>
      <w:divBdr>
        <w:top w:val="none" w:sz="0" w:space="0" w:color="auto"/>
        <w:left w:val="none" w:sz="0" w:space="0" w:color="auto"/>
        <w:bottom w:val="none" w:sz="0" w:space="0" w:color="auto"/>
        <w:right w:val="none" w:sz="0" w:space="0" w:color="auto"/>
      </w:divBdr>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 w:id="1316227429">
      <w:bodyDiv w:val="1"/>
      <w:marLeft w:val="0"/>
      <w:marRight w:val="0"/>
      <w:marTop w:val="0"/>
      <w:marBottom w:val="0"/>
      <w:divBdr>
        <w:top w:val="none" w:sz="0" w:space="0" w:color="auto"/>
        <w:left w:val="none" w:sz="0" w:space="0" w:color="auto"/>
        <w:bottom w:val="none" w:sz="0" w:space="0" w:color="auto"/>
        <w:right w:val="none" w:sz="0" w:space="0" w:color="auto"/>
      </w:divBdr>
    </w:div>
    <w:div w:id="1565068213">
      <w:bodyDiv w:val="1"/>
      <w:marLeft w:val="0"/>
      <w:marRight w:val="0"/>
      <w:marTop w:val="0"/>
      <w:marBottom w:val="0"/>
      <w:divBdr>
        <w:top w:val="none" w:sz="0" w:space="0" w:color="auto"/>
        <w:left w:val="none" w:sz="0" w:space="0" w:color="auto"/>
        <w:bottom w:val="none" w:sz="0" w:space="0" w:color="auto"/>
        <w:right w:val="none" w:sz="0" w:space="0" w:color="auto"/>
      </w:divBdr>
    </w:div>
    <w:div w:id="2051104113">
      <w:bodyDiv w:val="1"/>
      <w:marLeft w:val="0"/>
      <w:marRight w:val="0"/>
      <w:marTop w:val="0"/>
      <w:marBottom w:val="0"/>
      <w:divBdr>
        <w:top w:val="none" w:sz="0" w:space="0" w:color="auto"/>
        <w:left w:val="none" w:sz="0" w:space="0" w:color="auto"/>
        <w:bottom w:val="none" w:sz="0" w:space="0" w:color="auto"/>
        <w:right w:val="none" w:sz="0" w:space="0" w:color="auto"/>
      </w:divBdr>
    </w:div>
    <w:div w:id="21056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ristine.Muzica@fm.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E77E-7BBA-472E-B916-3C8104A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Pages>
  <Words>7018</Words>
  <Characters>4001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2012.gada 2.oktobra instrukcijā Nr.12 „Dienesta vieglo automobiļu iegādes un nomas kārtība”” </vt:lpstr>
    </vt:vector>
  </TitlesOfParts>
  <Company>Finanšu ministrija</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2012.gada 2.oktobra instrukcijā Nr.12 „Dienesta vieglo automobiļu iegādes un nomas kārtība”” </dc:title>
  <dc:subject>Anotācija</dc:subject>
  <dc:creator>K.Mužica</dc:creator>
  <cp:keywords/>
  <dc:description>Kristine.Muzica@fm.gov.lv_x000d_
Tel.:67095439</dc:description>
  <cp:lastModifiedBy>Kristīne Mužica</cp:lastModifiedBy>
  <cp:revision>160</cp:revision>
  <cp:lastPrinted>2013-07-04T10:35:00Z</cp:lastPrinted>
  <dcterms:created xsi:type="dcterms:W3CDTF">2012-02-15T08:39:00Z</dcterms:created>
  <dcterms:modified xsi:type="dcterms:W3CDTF">2013-07-04T10:36:00Z</dcterms:modified>
</cp:coreProperties>
</file>