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40" w:rsidRPr="007C0F2C" w:rsidRDefault="00CE4411" w:rsidP="00AF0540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Mini</w:t>
      </w:r>
      <w:r w:rsidR="007E27CB">
        <w:rPr>
          <w:b/>
          <w:sz w:val="28"/>
          <w:szCs w:val="28"/>
        </w:rPr>
        <w:t>stru kabineta noteikumu projekta</w:t>
      </w:r>
      <w:r>
        <w:rPr>
          <w:b/>
          <w:sz w:val="28"/>
          <w:szCs w:val="28"/>
        </w:rPr>
        <w:t xml:space="preserve"> „</w:t>
      </w:r>
      <w:r w:rsidRPr="00CE4411">
        <w:rPr>
          <w:b/>
          <w:sz w:val="28"/>
          <w:szCs w:val="28"/>
        </w:rPr>
        <w:t>Noteikumi par institucionālo sektoru klasifikāciju</w:t>
      </w:r>
      <w:r>
        <w:rPr>
          <w:b/>
          <w:sz w:val="28"/>
          <w:szCs w:val="28"/>
        </w:rPr>
        <w:t>”</w:t>
      </w:r>
      <w:r w:rsidRPr="00CE4411">
        <w:rPr>
          <w:b/>
          <w:sz w:val="28"/>
          <w:szCs w:val="28"/>
        </w:rPr>
        <w:t xml:space="preserve"> </w:t>
      </w:r>
      <w:r w:rsidR="00AF0540" w:rsidRPr="007C0F2C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AF0540" w:rsidRPr="007C0F2C">
          <w:rPr>
            <w:b/>
            <w:sz w:val="28"/>
            <w:szCs w:val="28"/>
          </w:rPr>
          <w:t>ziņojums</w:t>
        </w:r>
      </w:smartTag>
      <w:r w:rsidR="00AF0540" w:rsidRPr="007C0F2C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991"/>
        <w:gridCol w:w="5184"/>
      </w:tblGrid>
      <w:tr w:rsidR="00AF0540" w:rsidRPr="007C0F2C" w:rsidTr="00A809FF">
        <w:trPr>
          <w:trHeight w:val="702"/>
        </w:trPr>
        <w:tc>
          <w:tcPr>
            <w:tcW w:w="9578" w:type="dxa"/>
            <w:gridSpan w:val="3"/>
            <w:vAlign w:val="center"/>
          </w:tcPr>
          <w:p w:rsidR="00AF0540" w:rsidRPr="007C0F2C" w:rsidRDefault="00AF0540" w:rsidP="000809A3">
            <w:pPr>
              <w:pStyle w:val="naisnod"/>
              <w:spacing w:before="0" w:after="0"/>
            </w:pPr>
            <w:r w:rsidRPr="007C0F2C">
              <w:t>I. Tiesību akta projekta izstrādes nepieciešamība</w:t>
            </w:r>
          </w:p>
        </w:tc>
      </w:tr>
      <w:tr w:rsidR="00AF0540" w:rsidRPr="007C0F2C" w:rsidTr="00A809FF">
        <w:trPr>
          <w:trHeight w:val="630"/>
        </w:trPr>
        <w:tc>
          <w:tcPr>
            <w:tcW w:w="403" w:type="dxa"/>
          </w:tcPr>
          <w:p w:rsidR="00AF0540" w:rsidRPr="007C0F2C" w:rsidRDefault="00AF0540" w:rsidP="000809A3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3991" w:type="dxa"/>
          </w:tcPr>
          <w:p w:rsidR="00AF0540" w:rsidRPr="00BF19F8" w:rsidRDefault="00AF0540" w:rsidP="000809A3">
            <w:pPr>
              <w:pStyle w:val="naiskr"/>
              <w:spacing w:before="0" w:after="0"/>
              <w:ind w:hanging="10"/>
            </w:pPr>
            <w:r w:rsidRPr="00BF19F8">
              <w:t>Pamatojums</w:t>
            </w:r>
          </w:p>
        </w:tc>
        <w:tc>
          <w:tcPr>
            <w:tcW w:w="5184" w:type="dxa"/>
          </w:tcPr>
          <w:p w:rsidR="00A809FF" w:rsidRPr="00BF19F8" w:rsidRDefault="007E27CB" w:rsidP="001D1F01">
            <w:pPr>
              <w:pStyle w:val="naiskr"/>
              <w:spacing w:before="0" w:after="0"/>
              <w:ind w:left="147" w:right="75" w:firstLine="289"/>
              <w:jc w:val="both"/>
            </w:pPr>
            <w:r w:rsidRPr="007E27CB">
              <w:t>Mini</w:t>
            </w:r>
            <w:r>
              <w:t>stru kabineta noteikumu projekts</w:t>
            </w:r>
            <w:r w:rsidRPr="007E27CB">
              <w:t xml:space="preserve"> „Noteikumi par institucionālo sektoru klasifikāciju”</w:t>
            </w:r>
            <w:r>
              <w:t xml:space="preserve"> (turpmāk</w:t>
            </w:r>
            <w:r w:rsidR="009B47F1">
              <w:t xml:space="preserve"> – </w:t>
            </w:r>
            <w:r>
              <w:t xml:space="preserve">noteikumu projekts) izstrādāts, ņemot vērā nepieciešamību precizēt normas, lai </w:t>
            </w:r>
            <w:r w:rsidR="000245C3">
              <w:t xml:space="preserve">varētu savstarpēji salīdzināt datus ar </w:t>
            </w:r>
            <w:r w:rsidR="000245C3" w:rsidRPr="000245C3">
              <w:t>Eiropas Savienīb</w:t>
            </w:r>
            <w:r w:rsidR="000245C3">
              <w:t>as</w:t>
            </w:r>
            <w:r w:rsidR="000245C3" w:rsidRPr="000245C3">
              <w:t xml:space="preserve"> </w:t>
            </w:r>
            <w:r w:rsidR="000245C3">
              <w:t>dalībvalstīm</w:t>
            </w:r>
            <w:r>
              <w:t xml:space="preserve"> </w:t>
            </w:r>
            <w:r w:rsidR="00A911AA">
              <w:t>saskaņā ar 2013. gada 21. </w:t>
            </w:r>
            <w:r w:rsidRPr="007E27CB">
              <w:t>maija Eiropas P</w:t>
            </w:r>
            <w:r w:rsidR="00A911AA">
              <w:t>arlamenta un Padomes Regulu Nr. </w:t>
            </w:r>
            <w:r w:rsidRPr="007E27CB">
              <w:t>549/2013</w:t>
            </w:r>
            <w:r w:rsidR="000245C3">
              <w:t xml:space="preserve"> (turpmāk</w:t>
            </w:r>
            <w:r w:rsidR="009B47F1">
              <w:t xml:space="preserve"> – </w:t>
            </w:r>
            <w:r w:rsidR="000245C3">
              <w:t>Regula)</w:t>
            </w:r>
            <w:r w:rsidRPr="007E27CB">
              <w:t xml:space="preserve"> par Eiropas nacionālo un reģionālo kontu sistēmu Eiropas Savienībā</w:t>
            </w:r>
            <w:r w:rsidR="00104CFB">
              <w:t xml:space="preserve">, kas atceļ </w:t>
            </w:r>
            <w:r w:rsidR="00A911AA">
              <w:t>1996. </w:t>
            </w:r>
            <w:r w:rsidR="00104CFB" w:rsidRPr="00104CFB">
              <w:t>gada 25.</w:t>
            </w:r>
            <w:r w:rsidR="00A911AA">
              <w:t> </w:t>
            </w:r>
            <w:r w:rsidR="00104CFB" w:rsidRPr="00104CFB">
              <w:t>jūnija Eiro</w:t>
            </w:r>
            <w:r w:rsidR="00104CFB">
              <w:t>pas Parlamenta un Padomes Regulu</w:t>
            </w:r>
            <w:r w:rsidR="00A911AA">
              <w:t xml:space="preserve"> Nr. </w:t>
            </w:r>
            <w:r w:rsidR="00104CFB" w:rsidRPr="00104CFB">
              <w:t>2223/96 par Eiropas nacionālo un reģionālo kontu sistēmu Eiropas Savienībā</w:t>
            </w:r>
            <w:r w:rsidR="00244D8F">
              <w:t>.</w:t>
            </w:r>
          </w:p>
        </w:tc>
      </w:tr>
      <w:tr w:rsidR="00AF0540" w:rsidRPr="007C0F2C" w:rsidTr="00A809FF">
        <w:trPr>
          <w:trHeight w:val="472"/>
        </w:trPr>
        <w:tc>
          <w:tcPr>
            <w:tcW w:w="403" w:type="dxa"/>
          </w:tcPr>
          <w:p w:rsidR="00AF0540" w:rsidRPr="007C0F2C" w:rsidRDefault="00AF0540" w:rsidP="000809A3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3991" w:type="dxa"/>
          </w:tcPr>
          <w:p w:rsidR="005B16BA" w:rsidRDefault="00AF0540" w:rsidP="000809A3">
            <w:pPr>
              <w:pStyle w:val="naiskr"/>
              <w:tabs>
                <w:tab w:val="left" w:pos="170"/>
              </w:tabs>
              <w:spacing w:before="0" w:after="0"/>
            </w:pPr>
            <w:r w:rsidRPr="00BF19F8">
              <w:t>Pašreizējā situācija un problēmas</w:t>
            </w:r>
          </w:p>
          <w:p w:rsidR="005B16BA" w:rsidRPr="005B16BA" w:rsidRDefault="005B16BA" w:rsidP="005B16BA"/>
          <w:p w:rsidR="005B16BA" w:rsidRPr="005B16BA" w:rsidRDefault="005B16BA" w:rsidP="005B16BA"/>
          <w:p w:rsidR="005B16BA" w:rsidRPr="005B16BA" w:rsidRDefault="005B16BA" w:rsidP="005B16BA"/>
          <w:p w:rsidR="005B16BA" w:rsidRDefault="005B16BA" w:rsidP="005B16BA"/>
          <w:p w:rsidR="00AF0540" w:rsidRPr="005B16BA" w:rsidRDefault="00AF0540" w:rsidP="005B16BA">
            <w:pPr>
              <w:ind w:firstLine="720"/>
            </w:pPr>
          </w:p>
        </w:tc>
        <w:tc>
          <w:tcPr>
            <w:tcW w:w="5184" w:type="dxa"/>
          </w:tcPr>
          <w:p w:rsidR="00244D8F" w:rsidRDefault="000245C3" w:rsidP="00DB267B">
            <w:pPr>
              <w:pStyle w:val="naiskr"/>
              <w:spacing w:before="0" w:after="0"/>
              <w:ind w:left="147" w:right="75" w:firstLine="289"/>
              <w:jc w:val="both"/>
            </w:pPr>
            <w:r>
              <w:t>Regula</w:t>
            </w:r>
            <w:r w:rsidR="006705CC">
              <w:t xml:space="preserve"> </w:t>
            </w:r>
            <w:r>
              <w:t xml:space="preserve">paredz </w:t>
            </w:r>
            <w:r w:rsidR="00834719">
              <w:t xml:space="preserve">izmaiņas sektoru un apakšsektoru </w:t>
            </w:r>
            <w:r w:rsidR="00A911AA">
              <w:t>sadalījumā, t</w:t>
            </w:r>
            <w:r w:rsidR="00834719">
              <w:t>o skaidrojumos</w:t>
            </w:r>
            <w:r w:rsidR="00A911AA">
              <w:t xml:space="preserve"> un principos</w:t>
            </w:r>
            <w:r w:rsidR="00834719">
              <w:t>, līdz ar to</w:t>
            </w:r>
            <w:r w:rsidR="00C32CA1">
              <w:t xml:space="preserve"> šīs izmaiņas ir nepieciešam</w:t>
            </w:r>
            <w:r w:rsidR="00632631">
              <w:t>a</w:t>
            </w:r>
            <w:r w:rsidR="00C32CA1">
              <w:t>s veikt</w:t>
            </w:r>
            <w:r w:rsidR="00834719">
              <w:t xml:space="preserve"> </w:t>
            </w:r>
            <w:r w:rsidR="006705CC" w:rsidRPr="006705CC">
              <w:t>Ministru kabineta 2005. gada 25. oktobra noteikum</w:t>
            </w:r>
            <w:r w:rsidR="00632631">
              <w:t>os</w:t>
            </w:r>
            <w:r w:rsidR="006705CC" w:rsidRPr="006705CC">
              <w:t xml:space="preserve"> Nr. 810 „Noteikumi par institucionālo sektoru klasifikāciju” (turpmāk – spēkā esošais regulējums)</w:t>
            </w:r>
            <w:r w:rsidR="00C32CA1">
              <w:t xml:space="preserve">, lai nodrošinātu atbilstību </w:t>
            </w:r>
            <w:r w:rsidR="00632631">
              <w:t>R</w:t>
            </w:r>
            <w:r w:rsidR="00C32CA1">
              <w:t xml:space="preserve">egulai. </w:t>
            </w:r>
            <w:r w:rsidR="006705CC" w:rsidRPr="006705CC">
              <w:t xml:space="preserve"> </w:t>
            </w:r>
            <w:r w:rsidR="00244D8F">
              <w:t>Datu sagatavošanas piemērošana atbilstoši Regulai stāsies spēkā ar 2014. gada 1. janvāri.</w:t>
            </w:r>
          </w:p>
          <w:p w:rsidR="006705CC" w:rsidRPr="00BF19F8" w:rsidRDefault="006705CC" w:rsidP="00AA7C74">
            <w:pPr>
              <w:pStyle w:val="naiskr"/>
              <w:spacing w:before="0" w:after="0"/>
              <w:ind w:left="147" w:right="75" w:firstLine="289"/>
              <w:jc w:val="both"/>
            </w:pPr>
            <w:r>
              <w:t>V</w:t>
            </w:r>
            <w:r w:rsidRPr="0019658F">
              <w:t>alsts</w:t>
            </w:r>
            <w:r w:rsidRPr="00DB267B">
              <w:t xml:space="preserve"> budžet</w:t>
            </w:r>
            <w:r>
              <w:t>a</w:t>
            </w:r>
            <w:r w:rsidRPr="00DB267B">
              <w:t xml:space="preserve"> maksājumu saņemšan</w:t>
            </w:r>
            <w:r>
              <w:t>a</w:t>
            </w:r>
            <w:r w:rsidRPr="00DB267B">
              <w:t xml:space="preserve"> vai veikšan</w:t>
            </w:r>
            <w:r>
              <w:t>a</w:t>
            </w:r>
            <w:r w:rsidRPr="00DB267B">
              <w:t xml:space="preserve"> </w:t>
            </w:r>
            <w:r w:rsidRPr="0019658F">
              <w:rPr>
                <w:i/>
              </w:rPr>
              <w:t>(nodokļi, nodevas vai citi nenodokļu maksājumi valsts budžetā, ES politiku instrumentu un ārvalstu finanšu palīdzības līdzekļi valsts budžetam, parāda vadības maksājumi, aizdevumi un to atmaksas)</w:t>
            </w:r>
            <w:r>
              <w:rPr>
                <w:i/>
              </w:rPr>
              <w:t xml:space="preserve"> </w:t>
            </w:r>
            <w:r w:rsidRPr="00DB267B">
              <w:t>un pašvaldību finanšu izlīdzināšanas fond</w:t>
            </w:r>
            <w:r>
              <w:t xml:space="preserve">s  nav </w:t>
            </w:r>
            <w:r w:rsidR="00A45B77">
              <w:t xml:space="preserve"> atsevišķs kods, tādējādi</w:t>
            </w:r>
            <w:r>
              <w:t xml:space="preserve"> </w:t>
            </w:r>
            <w:r w:rsidRPr="0019658F">
              <w:t>budžetu uzskaitē (atbilstoši naudas plūsmas un uzkrājuma principam)</w:t>
            </w:r>
            <w:r w:rsidR="00A45B77">
              <w:t xml:space="preserve"> un</w:t>
            </w:r>
            <w:r w:rsidRPr="0019658F">
              <w:t xml:space="preserve"> pārskatu </w:t>
            </w:r>
            <w:r>
              <w:t xml:space="preserve">sagatavošanā </w:t>
            </w:r>
            <w:r w:rsidR="00A45B77">
              <w:t>netiek detalizēti uzrādīta</w:t>
            </w:r>
            <w:r w:rsidRPr="0019658F">
              <w:t xml:space="preserve"> konkrēt</w:t>
            </w:r>
            <w:r w:rsidR="00A45B77">
              <w:t>ā</w:t>
            </w:r>
            <w:r w:rsidRPr="0019658F">
              <w:t xml:space="preserve"> vispārējās valdības apakšsektora </w:t>
            </w:r>
            <w:r w:rsidR="00AA7C74">
              <w:t>klasifikācija.</w:t>
            </w:r>
          </w:p>
        </w:tc>
      </w:tr>
      <w:tr w:rsidR="00AF0540" w:rsidRPr="007C0F2C" w:rsidTr="00244D8F">
        <w:trPr>
          <w:trHeight w:val="460"/>
        </w:trPr>
        <w:tc>
          <w:tcPr>
            <w:tcW w:w="403" w:type="dxa"/>
          </w:tcPr>
          <w:p w:rsidR="00AF0540" w:rsidRPr="007C0F2C" w:rsidRDefault="00AF0540" w:rsidP="000809A3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3.</w:t>
            </w:r>
          </w:p>
        </w:tc>
        <w:tc>
          <w:tcPr>
            <w:tcW w:w="3991" w:type="dxa"/>
          </w:tcPr>
          <w:p w:rsidR="00AF0540" w:rsidRPr="00BF19F8" w:rsidRDefault="00AF0540" w:rsidP="000809A3">
            <w:pPr>
              <w:pStyle w:val="naiskr"/>
              <w:spacing w:before="0" w:after="0"/>
            </w:pPr>
            <w:r w:rsidRPr="00BF19F8">
              <w:t>Saistītie politikas ietekmes novērtējumi un pētījumi</w:t>
            </w:r>
          </w:p>
        </w:tc>
        <w:tc>
          <w:tcPr>
            <w:tcW w:w="5184" w:type="dxa"/>
          </w:tcPr>
          <w:p w:rsidR="00AF0540" w:rsidRPr="00BF19F8" w:rsidRDefault="00365252" w:rsidP="00DB267B">
            <w:pPr>
              <w:pStyle w:val="FootnoteText"/>
              <w:ind w:left="147" w:right="75" w:firstLine="289"/>
              <w:rPr>
                <w:sz w:val="24"/>
                <w:szCs w:val="24"/>
              </w:rPr>
            </w:pPr>
            <w:r w:rsidRPr="00BF19F8">
              <w:rPr>
                <w:sz w:val="24"/>
                <w:szCs w:val="24"/>
              </w:rPr>
              <w:t>Projekts šo jomu neskar.</w:t>
            </w:r>
          </w:p>
        </w:tc>
      </w:tr>
      <w:tr w:rsidR="00AF0540" w:rsidRPr="007C0F2C" w:rsidTr="00A809FF">
        <w:trPr>
          <w:trHeight w:val="384"/>
        </w:trPr>
        <w:tc>
          <w:tcPr>
            <w:tcW w:w="403" w:type="dxa"/>
          </w:tcPr>
          <w:p w:rsidR="00AF0540" w:rsidRPr="007C0F2C" w:rsidRDefault="00AF0540" w:rsidP="000809A3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4.</w:t>
            </w:r>
          </w:p>
        </w:tc>
        <w:tc>
          <w:tcPr>
            <w:tcW w:w="3991" w:type="dxa"/>
          </w:tcPr>
          <w:p w:rsidR="00AF0540" w:rsidRPr="00BF19F8" w:rsidRDefault="00AF0540" w:rsidP="000809A3">
            <w:pPr>
              <w:pStyle w:val="naiskr"/>
              <w:spacing w:before="0" w:after="0"/>
            </w:pPr>
            <w:r w:rsidRPr="00BF19F8">
              <w:t>Tiesiskā regulējuma mērķis un būtība</w:t>
            </w:r>
          </w:p>
        </w:tc>
        <w:tc>
          <w:tcPr>
            <w:tcW w:w="5184" w:type="dxa"/>
          </w:tcPr>
          <w:p w:rsidR="00313AB1" w:rsidRPr="00E63907" w:rsidRDefault="00CB0AA2" w:rsidP="00DB267B">
            <w:pPr>
              <w:pStyle w:val="naiskr"/>
              <w:spacing w:before="0" w:after="0"/>
              <w:ind w:left="147" w:right="75" w:firstLine="289"/>
              <w:jc w:val="both"/>
            </w:pPr>
            <w:r w:rsidRPr="00E63907">
              <w:t>Lai nodrošinātu vienotu klasifikācijas lietotāju izpratni un terminu saskaņošanu ar budžeta un finanšu jomā lietotajiem terminiem, n</w:t>
            </w:r>
            <w:r w:rsidR="00D048B2" w:rsidRPr="00E63907">
              <w:t>oteikumu projekts precizē normas, salīdzinot ar spēkā esošo regulējumu, tai skaitā</w:t>
            </w:r>
            <w:r w:rsidR="00FB5641" w:rsidRPr="00E63907">
              <w:t xml:space="preserve"> precizē normas attiecībā uz </w:t>
            </w:r>
            <w:r w:rsidR="00313AB1" w:rsidRPr="00E63907">
              <w:t>informācijas publicēšanu nosakot, ka:</w:t>
            </w:r>
          </w:p>
          <w:p w:rsidR="00313AB1" w:rsidRPr="00E63907" w:rsidRDefault="00313AB1" w:rsidP="00313AB1">
            <w:pPr>
              <w:pStyle w:val="naiskr"/>
              <w:numPr>
                <w:ilvl w:val="0"/>
                <w:numId w:val="6"/>
              </w:numPr>
              <w:spacing w:before="0" w:after="0"/>
              <w:ind w:left="573" w:right="75" w:hanging="426"/>
              <w:jc w:val="both"/>
            </w:pPr>
            <w:r w:rsidRPr="00E63907">
              <w:t xml:space="preserve">Finanšu ministrija savā tīmekļa vietnē publicē </w:t>
            </w:r>
            <w:r w:rsidR="00CB0AA2" w:rsidRPr="00E63907">
              <w:t xml:space="preserve">un aktualizē </w:t>
            </w:r>
            <w:r w:rsidRPr="00E63907">
              <w:t>klasifikācijas terminu skaidrojumu.</w:t>
            </w:r>
          </w:p>
          <w:p w:rsidR="00313AB1" w:rsidRPr="00E63907" w:rsidRDefault="00313AB1" w:rsidP="002426B3">
            <w:pPr>
              <w:pStyle w:val="naiskr"/>
              <w:numPr>
                <w:ilvl w:val="0"/>
                <w:numId w:val="6"/>
              </w:numPr>
              <w:spacing w:before="0" w:after="0"/>
              <w:ind w:left="573" w:right="75" w:hanging="426"/>
              <w:jc w:val="both"/>
            </w:pPr>
            <w:r w:rsidRPr="00E63907">
              <w:t>Centrālā statistikas pārvalde savā tīmekļa vietnē  sagatavo, uztur un publicē</w:t>
            </w:r>
            <w:r w:rsidR="002426B3">
              <w:t xml:space="preserve">  </w:t>
            </w:r>
            <w:r w:rsidR="002426B3" w:rsidRPr="002426B3">
              <w:t>notei</w:t>
            </w:r>
            <w:r w:rsidR="002426B3">
              <w:t xml:space="preserve">kumu projekta </w:t>
            </w:r>
            <w:r w:rsidR="0035355F">
              <w:t>6</w:t>
            </w:r>
            <w:r w:rsidR="002426B3">
              <w:t>.punktā nosaukto i</w:t>
            </w:r>
            <w:r w:rsidRPr="00E63907">
              <w:t xml:space="preserve">nstitucionālo </w:t>
            </w:r>
            <w:r w:rsidRPr="00E63907">
              <w:lastRenderedPageBreak/>
              <w:t>vienību sarakstus.</w:t>
            </w:r>
          </w:p>
          <w:p w:rsidR="00667720" w:rsidRPr="00E63907" w:rsidRDefault="00667720" w:rsidP="00DB267B">
            <w:pPr>
              <w:pStyle w:val="naiskr"/>
              <w:spacing w:before="0" w:after="0"/>
              <w:ind w:left="147" w:right="75" w:firstLine="289"/>
              <w:jc w:val="both"/>
            </w:pPr>
            <w:r w:rsidRPr="00E63907">
              <w:t xml:space="preserve">Salīdzinot ar spēkā esošo regulējumu </w:t>
            </w:r>
            <w:r w:rsidR="00504524" w:rsidRPr="00E63907">
              <w:t xml:space="preserve"> sektoru un apakšsektoru  skaidrojumi</w:t>
            </w:r>
            <w:r w:rsidRPr="00E63907">
              <w:t xml:space="preserve"> nav iekļauti MK noteikumos</w:t>
            </w:r>
            <w:r w:rsidR="00504524" w:rsidRPr="00E63907">
              <w:t>, lai nedublētu vai nepilnīgi neattēlotu Regulas prasības.</w:t>
            </w:r>
            <w:r w:rsidR="00334E4D" w:rsidRPr="00E63907">
              <w:t xml:space="preserve"> </w:t>
            </w:r>
          </w:p>
          <w:p w:rsidR="00DB267B" w:rsidRDefault="00DB267B" w:rsidP="00DB267B">
            <w:pPr>
              <w:pStyle w:val="naiskr"/>
              <w:spacing w:before="0" w:after="0"/>
              <w:ind w:left="147" w:right="75" w:firstLine="289"/>
              <w:jc w:val="both"/>
            </w:pPr>
            <w:r>
              <w:t>Noteikumu projekta pielikumā labākai uzskatāmībai atsevišķi ir noteikta k</w:t>
            </w:r>
            <w:r w:rsidRPr="0098673D">
              <w:t>odu shēma</w:t>
            </w:r>
            <w:r>
              <w:t xml:space="preserve">, kas attēlo galvenos principus kā veidojas institucionālā klasifikācija. </w:t>
            </w:r>
          </w:p>
          <w:p w:rsidR="00720B41" w:rsidRDefault="00720B41" w:rsidP="00DB267B">
            <w:pPr>
              <w:pStyle w:val="naiskr"/>
              <w:spacing w:before="0" w:after="0"/>
              <w:ind w:left="147" w:right="75" w:firstLine="289"/>
              <w:jc w:val="both"/>
            </w:pPr>
            <w:r>
              <w:t xml:space="preserve">Noteikumu projekta pielikumā </w:t>
            </w:r>
            <w:r w:rsidR="00911079">
              <w:t>attiecībā uz</w:t>
            </w:r>
            <w:r w:rsidR="00911079" w:rsidRPr="00720B41">
              <w:t xml:space="preserve"> </w:t>
            </w:r>
            <w:r w:rsidR="00911079">
              <w:t>rezidentu</w:t>
            </w:r>
            <w:r w:rsidR="00911079" w:rsidRPr="00720B41">
              <w:t xml:space="preserve"> </w:t>
            </w:r>
            <w:r w:rsidR="00911079">
              <w:t>in</w:t>
            </w:r>
            <w:r w:rsidRPr="00720B41">
              <w:t>stitucionālā sektora S130000 "Vispārēj</w:t>
            </w:r>
            <w:r>
              <w:t>ā valdība" apakšsektoru dalījum</w:t>
            </w:r>
            <w:r w:rsidR="00911079">
              <w:t>u</w:t>
            </w:r>
            <w:r>
              <w:t xml:space="preserve"> un tā </w:t>
            </w:r>
            <w:r w:rsidR="00B62A9F">
              <w:t>apakšsektoru</w:t>
            </w:r>
            <w:r w:rsidR="00911079">
              <w:t xml:space="preserve"> S130100 "</w:t>
            </w:r>
            <w:r w:rsidR="00B62A9F">
              <w:t>Valsts struktūras</w:t>
            </w:r>
            <w:r w:rsidRPr="00720B41">
              <w:t>" un apakšsektor</w:t>
            </w:r>
            <w:r w:rsidR="00B62A9F">
              <w:t>u</w:t>
            </w:r>
            <w:r w:rsidRPr="00720B41">
              <w:t xml:space="preserve"> S130300 "Pašvaldību struktūras"</w:t>
            </w:r>
            <w:r w:rsidR="00B62A9F">
              <w:t>, kā arī to</w:t>
            </w:r>
            <w:r w:rsidRPr="00720B41">
              <w:t xml:space="preserve"> papildu dalīju</w:t>
            </w:r>
            <w:r w:rsidR="00911079">
              <w:t>mu</w:t>
            </w:r>
            <w:r>
              <w:t xml:space="preserve"> </w:t>
            </w:r>
            <w:r w:rsidR="00513002">
              <w:t xml:space="preserve">pēc būtības </w:t>
            </w:r>
            <w:r>
              <w:t>ir</w:t>
            </w:r>
            <w:r w:rsidR="00911079">
              <w:t xml:space="preserve"> saglabāti nosaukumi</w:t>
            </w:r>
            <w:r w:rsidR="00513002">
              <w:t xml:space="preserve"> (nepārprotamībai ir pievienots Regulas nosaukums attiecīgajam apakšsektoram)</w:t>
            </w:r>
            <w:r w:rsidR="00911079">
              <w:t xml:space="preserve"> un klasifikācijas kodi kā</w:t>
            </w:r>
            <w:r w:rsidR="00B62A9F">
              <w:t xml:space="preserve"> spēkā</w:t>
            </w:r>
            <w:r w:rsidR="00911079">
              <w:t xml:space="preserve"> esošajā regulējumā, lai</w:t>
            </w:r>
            <w:r w:rsidR="00B62A9F">
              <w:t xml:space="preserve"> nodrošinātu, ka</w:t>
            </w:r>
            <w:r w:rsidR="00911079">
              <w:t xml:space="preserve"> </w:t>
            </w:r>
            <w:r w:rsidR="00B62A9F">
              <w:t xml:space="preserve">nav nepieciešams milzīgs </w:t>
            </w:r>
            <w:r w:rsidR="00B62A9F" w:rsidRPr="00B62A9F">
              <w:t>papildus cilvēku resursu ieguldījum</w:t>
            </w:r>
            <w:r w:rsidR="00B62A9F">
              <w:t>s</w:t>
            </w:r>
            <w:r w:rsidR="00B62A9F" w:rsidRPr="00B62A9F">
              <w:t xml:space="preserve"> </w:t>
            </w:r>
            <w:r w:rsidR="00911079" w:rsidRPr="00911079">
              <w:t>darījuma partneru pārklasifikācij</w:t>
            </w:r>
            <w:r w:rsidR="00B62A9F">
              <w:t>ā</w:t>
            </w:r>
            <w:r w:rsidR="00911079" w:rsidRPr="00911079">
              <w:t xml:space="preserve"> uzskaites sistēmās, kā arī esošo atskaišu pārbūv</w:t>
            </w:r>
            <w:r w:rsidR="006705CC">
              <w:t>e</w:t>
            </w:r>
            <w:r w:rsidR="00911079" w:rsidRPr="00911079">
              <w:t xml:space="preserve"> informācijas sistēmās</w:t>
            </w:r>
            <w:r w:rsidR="00911079">
              <w:t>, kas jau esošajā regulējumā ir</w:t>
            </w:r>
            <w:r w:rsidR="00911079" w:rsidRPr="00911079">
              <w:t xml:space="preserve"> </w:t>
            </w:r>
            <w:r>
              <w:t>veidots saskaņā ar Likum</w:t>
            </w:r>
            <w:r w:rsidR="00911079">
              <w:t>ā par budžetu un finanšu vadību noteiktajiem tiesību subjektiem</w:t>
            </w:r>
            <w:r w:rsidR="00B62A9F">
              <w:t xml:space="preserve"> un </w:t>
            </w:r>
            <w:r w:rsidR="006705CC">
              <w:t xml:space="preserve">nerada situāciju, kad nav iespējams </w:t>
            </w:r>
            <w:r w:rsidR="00B62A9F">
              <w:t>nodrošin</w:t>
            </w:r>
            <w:r w:rsidR="006705CC">
              <w:t>āt</w:t>
            </w:r>
            <w:r w:rsidR="00B62A9F">
              <w:t xml:space="preserve"> Regulas prasības</w:t>
            </w:r>
            <w:r w:rsidR="002E5BF5">
              <w:t xml:space="preserve"> par datu sagatavošanu</w:t>
            </w:r>
            <w:r w:rsidR="006705CC">
              <w:t>, kā tas ir attēlots tabulā:</w:t>
            </w:r>
          </w:p>
          <w:tbl>
            <w:tblPr>
              <w:tblStyle w:val="TableGrid"/>
              <w:tblW w:w="0" w:type="auto"/>
              <w:tblInd w:w="147" w:type="dxa"/>
              <w:tblLook w:val="04A0" w:firstRow="1" w:lastRow="0" w:firstColumn="1" w:lastColumn="0" w:noHBand="0" w:noVBand="1"/>
            </w:tblPr>
            <w:tblGrid>
              <w:gridCol w:w="2509"/>
              <w:gridCol w:w="2508"/>
            </w:tblGrid>
            <w:tr w:rsidR="00B62A9F" w:rsidRPr="002E5BF5" w:rsidTr="002E5BF5">
              <w:tc>
                <w:tcPr>
                  <w:tcW w:w="2509" w:type="dxa"/>
                  <w:shd w:val="clear" w:color="auto" w:fill="C6D9F1" w:themeFill="text2" w:themeFillTint="33"/>
                </w:tcPr>
                <w:p w:rsidR="00B62A9F" w:rsidRPr="002E5BF5" w:rsidRDefault="00B62A9F" w:rsidP="005B16BA">
                  <w:pPr>
                    <w:pStyle w:val="naiskr"/>
                    <w:framePr w:hSpace="180" w:wrap="around" w:vAnchor="text" w:hAnchor="margin" w:xAlign="center" w:y="149"/>
                    <w:spacing w:before="0" w:after="0"/>
                    <w:ind w:right="75"/>
                    <w:jc w:val="both"/>
                    <w:rPr>
                      <w:b/>
                      <w:sz w:val="20"/>
                    </w:rPr>
                  </w:pPr>
                  <w:r w:rsidRPr="002E5BF5">
                    <w:rPr>
                      <w:b/>
                      <w:sz w:val="20"/>
                    </w:rPr>
                    <w:t>Regulas</w:t>
                  </w:r>
                  <w:r w:rsidR="006705CC">
                    <w:rPr>
                      <w:b/>
                      <w:sz w:val="20"/>
                    </w:rPr>
                    <w:t xml:space="preserve"> un nerezidentu</w:t>
                  </w:r>
                  <w:r w:rsidRPr="002E5BF5">
                    <w:rPr>
                      <w:b/>
                      <w:sz w:val="20"/>
                    </w:rPr>
                    <w:t xml:space="preserve">  institucionālā sektora S130000 "Vispārējā valdība" apakšsektoru nosaukumi</w:t>
                  </w:r>
                </w:p>
              </w:tc>
              <w:tc>
                <w:tcPr>
                  <w:tcW w:w="2508" w:type="dxa"/>
                  <w:shd w:val="clear" w:color="auto" w:fill="C6D9F1" w:themeFill="text2" w:themeFillTint="33"/>
                </w:tcPr>
                <w:p w:rsidR="00B62A9F" w:rsidRPr="002E5BF5" w:rsidRDefault="00513002" w:rsidP="005B16BA">
                  <w:pPr>
                    <w:pStyle w:val="naiskr"/>
                    <w:framePr w:hSpace="180" w:wrap="around" w:vAnchor="text" w:hAnchor="margin" w:xAlign="center" w:y="149"/>
                    <w:spacing w:before="0" w:after="0"/>
                    <w:ind w:right="75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Noteikumu projektā </w:t>
                  </w:r>
                  <w:r w:rsidR="00B62A9F" w:rsidRPr="002E5BF5">
                    <w:rPr>
                      <w:b/>
                      <w:sz w:val="20"/>
                    </w:rPr>
                    <w:t>Rezidentu  institucionālā sektora S130000 "Vispārējā valdība" apakšsektoru nosaukumi</w:t>
                  </w:r>
                </w:p>
              </w:tc>
            </w:tr>
            <w:tr w:rsidR="00B62A9F" w:rsidRPr="002E5BF5" w:rsidTr="002E5BF5">
              <w:tc>
                <w:tcPr>
                  <w:tcW w:w="2509" w:type="dxa"/>
                </w:tcPr>
                <w:p w:rsidR="00B62A9F" w:rsidRPr="002E5BF5" w:rsidRDefault="00B62A9F" w:rsidP="005B16BA">
                  <w:pPr>
                    <w:pStyle w:val="naiskr"/>
                    <w:framePr w:hSpace="180" w:wrap="around" w:vAnchor="text" w:hAnchor="margin" w:xAlign="center" w:y="149"/>
                    <w:spacing w:before="0" w:after="0"/>
                    <w:ind w:right="75"/>
                    <w:jc w:val="both"/>
                    <w:rPr>
                      <w:sz w:val="20"/>
                    </w:rPr>
                  </w:pPr>
                  <w:r w:rsidRPr="002E5BF5">
                    <w:rPr>
                      <w:sz w:val="20"/>
                    </w:rPr>
                    <w:t>Centrālās valdība</w:t>
                  </w:r>
                </w:p>
              </w:tc>
              <w:tc>
                <w:tcPr>
                  <w:tcW w:w="2508" w:type="dxa"/>
                </w:tcPr>
                <w:p w:rsidR="00B62A9F" w:rsidRPr="002E5BF5" w:rsidRDefault="00513002" w:rsidP="005B16BA">
                  <w:pPr>
                    <w:pStyle w:val="naiskr"/>
                    <w:framePr w:hSpace="180" w:wrap="around" w:vAnchor="text" w:hAnchor="margin" w:xAlign="center" w:y="149"/>
                    <w:spacing w:before="0" w:after="0"/>
                    <w:ind w:right="7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struktūras (</w:t>
                  </w:r>
                  <w:r w:rsidRPr="002E5BF5">
                    <w:rPr>
                      <w:sz w:val="20"/>
                    </w:rPr>
                    <w:t>Centrālās valdība</w:t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  <w:tr w:rsidR="00B62A9F" w:rsidRPr="002E5BF5" w:rsidTr="002E5BF5">
              <w:tc>
                <w:tcPr>
                  <w:tcW w:w="2509" w:type="dxa"/>
                </w:tcPr>
                <w:p w:rsidR="00B62A9F" w:rsidRPr="002E5BF5" w:rsidRDefault="00B62A9F" w:rsidP="005B16BA">
                  <w:pPr>
                    <w:pStyle w:val="naiskr"/>
                    <w:framePr w:hSpace="180" w:wrap="around" w:vAnchor="text" w:hAnchor="margin" w:xAlign="center" w:y="149"/>
                    <w:spacing w:before="0" w:after="0"/>
                    <w:ind w:right="75"/>
                    <w:jc w:val="both"/>
                    <w:rPr>
                      <w:sz w:val="20"/>
                    </w:rPr>
                  </w:pPr>
                  <w:r w:rsidRPr="002E5BF5">
                    <w:rPr>
                      <w:sz w:val="20"/>
                    </w:rPr>
                    <w:t>Pavalstu valdība</w:t>
                  </w:r>
                </w:p>
              </w:tc>
              <w:tc>
                <w:tcPr>
                  <w:tcW w:w="2508" w:type="dxa"/>
                </w:tcPr>
                <w:p w:rsidR="00B62A9F" w:rsidRPr="002E5BF5" w:rsidRDefault="002E5BF5" w:rsidP="005B16BA">
                  <w:pPr>
                    <w:pStyle w:val="naiskr"/>
                    <w:framePr w:hSpace="180" w:wrap="around" w:vAnchor="text" w:hAnchor="margin" w:xAlign="center" w:y="149"/>
                    <w:spacing w:before="0" w:after="0"/>
                    <w:ind w:right="75"/>
                    <w:jc w:val="both"/>
                    <w:rPr>
                      <w:sz w:val="20"/>
                    </w:rPr>
                  </w:pPr>
                  <w:r w:rsidRPr="002E5BF5">
                    <w:rPr>
                      <w:sz w:val="20"/>
                    </w:rPr>
                    <w:t>Nav attiecināms uz Latvijas gadījumu</w:t>
                  </w:r>
                  <w:r w:rsidR="00513002">
                    <w:rPr>
                      <w:sz w:val="20"/>
                    </w:rPr>
                    <w:t xml:space="preserve"> (</w:t>
                  </w:r>
                  <w:r w:rsidR="00513002" w:rsidRPr="002E5BF5">
                    <w:rPr>
                      <w:sz w:val="20"/>
                    </w:rPr>
                    <w:t>Pavalstu valdība</w:t>
                  </w:r>
                  <w:r w:rsidR="00513002">
                    <w:rPr>
                      <w:sz w:val="20"/>
                    </w:rPr>
                    <w:t>)</w:t>
                  </w:r>
                </w:p>
              </w:tc>
            </w:tr>
            <w:tr w:rsidR="00B62A9F" w:rsidRPr="002E5BF5" w:rsidTr="002E5BF5">
              <w:tc>
                <w:tcPr>
                  <w:tcW w:w="2509" w:type="dxa"/>
                </w:tcPr>
                <w:p w:rsidR="00B62A9F" w:rsidRPr="002E5BF5" w:rsidRDefault="00B62A9F" w:rsidP="005B16BA">
                  <w:pPr>
                    <w:pStyle w:val="naiskr"/>
                    <w:framePr w:hSpace="180" w:wrap="around" w:vAnchor="text" w:hAnchor="margin" w:xAlign="center" w:y="149"/>
                    <w:spacing w:before="0" w:after="0"/>
                    <w:ind w:right="75"/>
                    <w:jc w:val="both"/>
                    <w:rPr>
                      <w:sz w:val="20"/>
                    </w:rPr>
                  </w:pPr>
                  <w:r w:rsidRPr="002E5BF5">
                    <w:rPr>
                      <w:sz w:val="20"/>
                    </w:rPr>
                    <w:t>Vietējās valdības</w:t>
                  </w:r>
                </w:p>
              </w:tc>
              <w:tc>
                <w:tcPr>
                  <w:tcW w:w="2508" w:type="dxa"/>
                </w:tcPr>
                <w:p w:rsidR="00B62A9F" w:rsidRPr="002E5BF5" w:rsidRDefault="002E5BF5" w:rsidP="005B16BA">
                  <w:pPr>
                    <w:pStyle w:val="naiskr"/>
                    <w:framePr w:hSpace="180" w:wrap="around" w:vAnchor="text" w:hAnchor="margin" w:xAlign="center" w:y="149"/>
                    <w:spacing w:before="0" w:after="0"/>
                    <w:ind w:right="75"/>
                    <w:jc w:val="both"/>
                    <w:rPr>
                      <w:sz w:val="20"/>
                    </w:rPr>
                  </w:pPr>
                  <w:r w:rsidRPr="002E5BF5">
                    <w:rPr>
                      <w:sz w:val="20"/>
                    </w:rPr>
                    <w:t>Pašvaldību struktūras</w:t>
                  </w:r>
                  <w:r w:rsidR="00513002">
                    <w:rPr>
                      <w:sz w:val="20"/>
                    </w:rPr>
                    <w:t xml:space="preserve"> (</w:t>
                  </w:r>
                  <w:r w:rsidR="00513002" w:rsidRPr="002E5BF5">
                    <w:rPr>
                      <w:sz w:val="20"/>
                    </w:rPr>
                    <w:t>Vietējās valdības</w:t>
                  </w:r>
                  <w:r w:rsidR="00513002">
                    <w:rPr>
                      <w:sz w:val="20"/>
                    </w:rPr>
                    <w:t>)</w:t>
                  </w:r>
                </w:p>
              </w:tc>
            </w:tr>
            <w:tr w:rsidR="00B62A9F" w:rsidRPr="002E5BF5" w:rsidTr="002E5BF5">
              <w:tc>
                <w:tcPr>
                  <w:tcW w:w="2509" w:type="dxa"/>
                </w:tcPr>
                <w:p w:rsidR="00B62A9F" w:rsidRPr="002E5BF5" w:rsidRDefault="00B62A9F" w:rsidP="005B16BA">
                  <w:pPr>
                    <w:pStyle w:val="naiskr"/>
                    <w:framePr w:hSpace="180" w:wrap="around" w:vAnchor="text" w:hAnchor="margin" w:xAlign="center" w:y="149"/>
                    <w:spacing w:before="0" w:after="0"/>
                    <w:ind w:right="75"/>
                    <w:jc w:val="both"/>
                    <w:rPr>
                      <w:sz w:val="20"/>
                    </w:rPr>
                  </w:pPr>
                  <w:r w:rsidRPr="002E5BF5">
                    <w:rPr>
                      <w:bCs/>
                      <w:sz w:val="20"/>
                    </w:rPr>
                    <w:t>Sociālās nodrošināšanas fondi</w:t>
                  </w:r>
                </w:p>
              </w:tc>
              <w:tc>
                <w:tcPr>
                  <w:tcW w:w="2508" w:type="dxa"/>
                </w:tcPr>
                <w:p w:rsidR="00B62A9F" w:rsidRPr="002E5BF5" w:rsidRDefault="002E5BF5" w:rsidP="005B16BA">
                  <w:pPr>
                    <w:pStyle w:val="naiskr"/>
                    <w:framePr w:hSpace="180" w:wrap="around" w:vAnchor="text" w:hAnchor="margin" w:xAlign="center" w:y="149"/>
                    <w:spacing w:before="0" w:after="0"/>
                    <w:ind w:right="75"/>
                    <w:jc w:val="both"/>
                    <w:rPr>
                      <w:sz w:val="20"/>
                    </w:rPr>
                  </w:pPr>
                  <w:r w:rsidRPr="002E5BF5">
                    <w:rPr>
                      <w:sz w:val="20"/>
                    </w:rPr>
                    <w:t>Valsts sociālās apdrošināšanas struktūras</w:t>
                  </w:r>
                  <w:r w:rsidR="00513002">
                    <w:rPr>
                      <w:sz w:val="20"/>
                    </w:rPr>
                    <w:t xml:space="preserve"> (</w:t>
                  </w:r>
                  <w:r w:rsidR="00513002" w:rsidRPr="002E5BF5">
                    <w:rPr>
                      <w:bCs/>
                      <w:sz w:val="20"/>
                    </w:rPr>
                    <w:t>Sociālās nodrošināšanas fondi</w:t>
                  </w:r>
                  <w:r w:rsidR="00513002">
                    <w:rPr>
                      <w:sz w:val="20"/>
                    </w:rPr>
                    <w:t>)</w:t>
                  </w:r>
                </w:p>
              </w:tc>
            </w:tr>
          </w:tbl>
          <w:p w:rsidR="00B62A9F" w:rsidRDefault="00B62A9F" w:rsidP="00DB267B">
            <w:pPr>
              <w:pStyle w:val="naiskr"/>
              <w:spacing w:before="0" w:after="0"/>
              <w:ind w:left="147" w:right="75" w:firstLine="289"/>
              <w:jc w:val="both"/>
            </w:pPr>
          </w:p>
          <w:p w:rsidR="0019658F" w:rsidRDefault="0019658F" w:rsidP="00DB267B">
            <w:pPr>
              <w:pStyle w:val="naiskr"/>
              <w:spacing w:before="0" w:after="0"/>
              <w:ind w:left="147" w:right="75" w:firstLine="289"/>
              <w:jc w:val="both"/>
            </w:pPr>
            <w:r>
              <w:t xml:space="preserve">Noteikumu projekta pielikumā </w:t>
            </w:r>
            <w:r w:rsidRPr="0019658F">
              <w:t>attiecībā uz rezidentu institucionālā sektora</w:t>
            </w:r>
            <w:r>
              <w:t xml:space="preserve"> S1400</w:t>
            </w:r>
            <w:r w:rsidRPr="0019658F">
              <w:t>00</w:t>
            </w:r>
            <w:r>
              <w:t xml:space="preserve"> „</w:t>
            </w:r>
            <w:r w:rsidRPr="0019658F">
              <w:t>Mājsaimniecības</w:t>
            </w:r>
            <w:r>
              <w:t>” un S15</w:t>
            </w:r>
            <w:r w:rsidRPr="0019658F">
              <w:t>0000</w:t>
            </w:r>
            <w:r>
              <w:t xml:space="preserve"> „</w:t>
            </w:r>
            <w:r w:rsidRPr="0019658F">
              <w:t>Mājsaimniecības apkalpojošās bezpeļņas organizācijas</w:t>
            </w:r>
            <w:r>
              <w:t>”</w:t>
            </w:r>
            <w:r w:rsidRPr="0019658F">
              <w:t xml:space="preserve"> ir saglabāti nosaukumi un klasifikācijas kodi kā esošajā regulējumā</w:t>
            </w:r>
            <w:r w:rsidR="003B0CB6">
              <w:t>, jo Regula neparedz izmaiņas.</w:t>
            </w:r>
          </w:p>
          <w:p w:rsidR="0019658F" w:rsidRDefault="0019658F" w:rsidP="00DB267B">
            <w:pPr>
              <w:pStyle w:val="naiskr"/>
              <w:spacing w:before="0" w:after="0"/>
              <w:ind w:left="147" w:right="75" w:firstLine="289"/>
              <w:jc w:val="both"/>
            </w:pPr>
          </w:p>
          <w:p w:rsidR="00DB267B" w:rsidRDefault="00DB267B" w:rsidP="00DB267B">
            <w:pPr>
              <w:pStyle w:val="naiskr"/>
              <w:spacing w:before="0" w:after="0"/>
              <w:ind w:left="147" w:right="75" w:firstLine="289"/>
              <w:jc w:val="both"/>
            </w:pPr>
            <w:r>
              <w:t>Noteikumu projekta</w:t>
            </w:r>
            <w:r w:rsidR="006705CC">
              <w:t xml:space="preserve"> </w:t>
            </w:r>
            <w:r w:rsidRPr="00DB267B">
              <w:t>pielikumā</w:t>
            </w:r>
            <w:r>
              <w:t xml:space="preserve"> tiek paredzēts jauns apakšsektors  S13</w:t>
            </w:r>
            <w:r w:rsidRPr="00DB267B">
              <w:t>0190</w:t>
            </w:r>
            <w:r>
              <w:t xml:space="preserve"> „</w:t>
            </w:r>
            <w:r w:rsidRPr="00DB267B">
              <w:t>Valsts budžets</w:t>
            </w:r>
            <w:r>
              <w:t>”, lai</w:t>
            </w:r>
            <w:r w:rsidR="0019658F">
              <w:t xml:space="preserve"> </w:t>
            </w:r>
            <w:r w:rsidR="00F832FB">
              <w:t xml:space="preserve">klasifikācijas lietotājs klasificējot </w:t>
            </w:r>
            <w:r w:rsidR="0019658F">
              <w:t>attiecīgo</w:t>
            </w:r>
            <w:r>
              <w:t xml:space="preserve"> </w:t>
            </w:r>
            <w:r w:rsidRPr="00DB267B">
              <w:t xml:space="preserve"> </w:t>
            </w:r>
            <w:r w:rsidRPr="0019658F">
              <w:t>valsts</w:t>
            </w:r>
            <w:r w:rsidRPr="00DB267B">
              <w:t xml:space="preserve"> </w:t>
            </w:r>
            <w:r w:rsidRPr="00DB267B">
              <w:lastRenderedPageBreak/>
              <w:t>budžet</w:t>
            </w:r>
            <w:r w:rsidR="006705CC">
              <w:t>a</w:t>
            </w:r>
            <w:r w:rsidRPr="00DB267B">
              <w:t xml:space="preserve"> maksājumu saņemšan</w:t>
            </w:r>
            <w:r w:rsidR="00F832FB">
              <w:t>u</w:t>
            </w:r>
            <w:r w:rsidRPr="00DB267B">
              <w:t xml:space="preserve"> vai veikšan</w:t>
            </w:r>
            <w:r w:rsidR="00F832FB">
              <w:t>u</w:t>
            </w:r>
            <w:r w:rsidRPr="00DB267B">
              <w:t xml:space="preserve"> </w:t>
            </w:r>
            <w:r w:rsidRPr="0019658F">
              <w:rPr>
                <w:i/>
              </w:rPr>
              <w:t>(nodokļi, nodevas vai citi nenodokļu maksājumi valsts budžetā, ES politiku instrumentu un ārvalstu finanšu palīdzības līdzekļi valsts budžetam, parāda vadības maksājumi, aizdevumi un to atmaksas)</w:t>
            </w:r>
            <w:r w:rsidR="0019658F">
              <w:rPr>
                <w:i/>
              </w:rPr>
              <w:t xml:space="preserve"> </w:t>
            </w:r>
            <w:r w:rsidRPr="00DB267B">
              <w:t>un pašvaldību finanšu izlīdzināšanas fond</w:t>
            </w:r>
            <w:r w:rsidR="00F832FB">
              <w:t>u tiktu precīzi</w:t>
            </w:r>
            <w:r w:rsidR="0019658F">
              <w:t xml:space="preserve"> </w:t>
            </w:r>
            <w:r w:rsidR="00F832FB">
              <w:t>uzrādītu</w:t>
            </w:r>
            <w:r w:rsidR="0019658F">
              <w:t xml:space="preserve">  </w:t>
            </w:r>
            <w:r w:rsidR="0019658F" w:rsidRPr="0019658F">
              <w:t xml:space="preserve">budžetu uzskaitē (atbilstoši naudas plūsmas un uzkrājuma principam), pārskatu </w:t>
            </w:r>
            <w:r w:rsidR="0019658F">
              <w:t>sagatavošanā un parāda uzskaitē</w:t>
            </w:r>
            <w:r w:rsidR="00F832FB">
              <w:t xml:space="preserve"> vienotu apakšsektora klasifikācijas kodu</w:t>
            </w:r>
            <w:r w:rsidRPr="0019658F">
              <w:t xml:space="preserve">, nevis </w:t>
            </w:r>
            <w:r w:rsidR="006705CC">
              <w:t>kā</w:t>
            </w:r>
            <w:r w:rsidRPr="0019658F">
              <w:t xml:space="preserve"> konkrēta vispārējās valdības apakšsektora institūcija</w:t>
            </w:r>
            <w:r w:rsidR="006705CC">
              <w:t>, salīdzinot ar esošo situāciju</w:t>
            </w:r>
            <w:r w:rsidRPr="0019658F">
              <w:t>.</w:t>
            </w:r>
          </w:p>
          <w:p w:rsidR="00AC1B46" w:rsidRPr="00BF19F8" w:rsidRDefault="00A47246" w:rsidP="00DB267B">
            <w:pPr>
              <w:pStyle w:val="naiskr"/>
              <w:spacing w:before="0" w:after="0"/>
              <w:ind w:left="147" w:right="75" w:firstLine="289"/>
              <w:jc w:val="both"/>
            </w:pPr>
            <w:r>
              <w:t>Ņemo</w:t>
            </w:r>
            <w:r w:rsidR="00A41014">
              <w:t>t vērā, ka grozījumu apjoms</w:t>
            </w:r>
            <w:r>
              <w:t xml:space="preserve"> pārsniedz 50</w:t>
            </w:r>
            <w:r w:rsidR="00A41014">
              <w:t> </w:t>
            </w:r>
            <w:r>
              <w:t xml:space="preserve">% no </w:t>
            </w:r>
            <w:r w:rsidR="006E4C6E">
              <w:t xml:space="preserve">spēkā esošā </w:t>
            </w:r>
            <w:r w:rsidR="00A863E7">
              <w:t>Ministru kabineta noteikumiem</w:t>
            </w:r>
            <w:r w:rsidR="00A863E7" w:rsidRPr="00A863E7">
              <w:t xml:space="preserve"> „Noteikumi par instit</w:t>
            </w:r>
            <w:r w:rsidR="00A863E7">
              <w:t>ucionālo sektoru klasifikāciju”</w:t>
            </w:r>
            <w:r w:rsidR="006E4C6E">
              <w:t>, tad</w:t>
            </w:r>
            <w:r w:rsidR="0071239D">
              <w:t xml:space="preserve"> ir </w:t>
            </w:r>
            <w:r w:rsidR="00A863E7">
              <w:t>izstrādāt</w:t>
            </w:r>
            <w:r w:rsidR="00FB5641">
              <w:t>s</w:t>
            </w:r>
            <w:r w:rsidR="0071239D">
              <w:t xml:space="preserve"> jaun</w:t>
            </w:r>
            <w:r w:rsidR="00A863E7">
              <w:t>s</w:t>
            </w:r>
            <w:r w:rsidR="006E4C6E">
              <w:t xml:space="preserve"> </w:t>
            </w:r>
            <w:r w:rsidR="00A863E7">
              <w:t>Ministru kabineta noteikumu projekts</w:t>
            </w:r>
            <w:r w:rsidR="0071239D">
              <w:t>, kas</w:t>
            </w:r>
            <w:r w:rsidR="00A863E7">
              <w:t xml:space="preserve"> paredz, ka ar 2014. gada 1. janvāri </w:t>
            </w:r>
            <w:r w:rsidR="006E4C6E" w:rsidRPr="006E4C6E">
              <w:t xml:space="preserve">spēku zaudē </w:t>
            </w:r>
            <w:r w:rsidR="00A863E7">
              <w:t xml:space="preserve">Ministru kabineta </w:t>
            </w:r>
            <w:r w:rsidR="0030435E">
              <w:t xml:space="preserve">2005. gada 25. oktobra </w:t>
            </w:r>
            <w:r w:rsidR="00A863E7">
              <w:t>noteikumi Nr. 810 „</w:t>
            </w:r>
            <w:r w:rsidR="00A863E7" w:rsidRPr="00A863E7">
              <w:t>Noteikumi par institucionālo sektoru klasifikāciju</w:t>
            </w:r>
            <w:r w:rsidR="00A863E7">
              <w:t>”.</w:t>
            </w:r>
            <w:r w:rsidR="0030435E">
              <w:t xml:space="preserve"> </w:t>
            </w:r>
          </w:p>
        </w:tc>
      </w:tr>
      <w:tr w:rsidR="00AF0540" w:rsidRPr="007C0F2C" w:rsidTr="00A809FF">
        <w:trPr>
          <w:trHeight w:val="476"/>
        </w:trPr>
        <w:tc>
          <w:tcPr>
            <w:tcW w:w="403" w:type="dxa"/>
          </w:tcPr>
          <w:p w:rsidR="00AF0540" w:rsidRPr="007C0F2C" w:rsidRDefault="00AF0540" w:rsidP="000809A3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991" w:type="dxa"/>
          </w:tcPr>
          <w:p w:rsidR="00AF0540" w:rsidRPr="00BF19F8" w:rsidRDefault="00AF0540" w:rsidP="000809A3">
            <w:pPr>
              <w:pStyle w:val="naiskr"/>
              <w:spacing w:before="0" w:after="0"/>
            </w:pPr>
            <w:r w:rsidRPr="00BF19F8">
              <w:t>Projekta izstrādē iesaistītās institūcijas</w:t>
            </w:r>
          </w:p>
        </w:tc>
        <w:tc>
          <w:tcPr>
            <w:tcW w:w="5184" w:type="dxa"/>
          </w:tcPr>
          <w:p w:rsidR="00AF0540" w:rsidRPr="00BF19F8" w:rsidRDefault="00CA0BA3" w:rsidP="00DB267B">
            <w:pPr>
              <w:pStyle w:val="naiskr"/>
              <w:spacing w:before="0" w:after="0"/>
              <w:ind w:left="147" w:right="75" w:firstLine="289"/>
              <w:jc w:val="both"/>
            </w:pPr>
            <w:r w:rsidRPr="00BF19F8">
              <w:rPr>
                <w:iCs/>
              </w:rPr>
              <w:t>Finanšu ministrija</w:t>
            </w:r>
            <w:r w:rsidR="00A863E7">
              <w:rPr>
                <w:iCs/>
              </w:rPr>
              <w:t>, Ekonomikas ministrija (Centrālā statistikas pārvalde)</w:t>
            </w:r>
            <w:r w:rsidR="00A40DE0">
              <w:rPr>
                <w:iCs/>
              </w:rPr>
              <w:t>,</w:t>
            </w:r>
            <w:r w:rsidR="00A863E7">
              <w:rPr>
                <w:iCs/>
              </w:rPr>
              <w:t xml:space="preserve"> Latvijas Banka</w:t>
            </w:r>
            <w:r w:rsidR="00A40DE0">
              <w:rPr>
                <w:iCs/>
              </w:rPr>
              <w:t xml:space="preserve"> un Finanšu un kapitāla tirgus komisija.</w:t>
            </w:r>
          </w:p>
        </w:tc>
      </w:tr>
      <w:tr w:rsidR="00AF0540" w:rsidRPr="007C0F2C" w:rsidTr="00834719">
        <w:trPr>
          <w:trHeight w:val="859"/>
        </w:trPr>
        <w:tc>
          <w:tcPr>
            <w:tcW w:w="403" w:type="dxa"/>
          </w:tcPr>
          <w:p w:rsidR="00AF0540" w:rsidRPr="007C0F2C" w:rsidRDefault="00AF0540" w:rsidP="000809A3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6.</w:t>
            </w:r>
          </w:p>
        </w:tc>
        <w:tc>
          <w:tcPr>
            <w:tcW w:w="3991" w:type="dxa"/>
          </w:tcPr>
          <w:p w:rsidR="00AF0540" w:rsidRPr="00BF19F8" w:rsidRDefault="00AF0540" w:rsidP="000809A3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BF19F8">
              <w:t>Iemesli, kādēļ netika nodrošināta sabiedrības līdzdalība</w:t>
            </w:r>
          </w:p>
        </w:tc>
        <w:tc>
          <w:tcPr>
            <w:tcW w:w="5184" w:type="dxa"/>
          </w:tcPr>
          <w:p w:rsidR="00AF0540" w:rsidRPr="00BF19F8" w:rsidRDefault="00CA0BA3" w:rsidP="00FE178E">
            <w:pPr>
              <w:pStyle w:val="FootnoteText"/>
              <w:ind w:left="147" w:right="75" w:firstLine="289"/>
              <w:jc w:val="both"/>
              <w:rPr>
                <w:sz w:val="24"/>
                <w:szCs w:val="24"/>
              </w:rPr>
            </w:pPr>
            <w:r w:rsidRPr="00BF19F8">
              <w:rPr>
                <w:iCs/>
                <w:sz w:val="24"/>
                <w:szCs w:val="24"/>
              </w:rPr>
              <w:t xml:space="preserve">Sabiedrības līdzdalība netika nodrošināta, jo </w:t>
            </w:r>
            <w:r w:rsidR="00FE178E">
              <w:rPr>
                <w:iCs/>
                <w:sz w:val="24"/>
                <w:szCs w:val="24"/>
              </w:rPr>
              <w:t xml:space="preserve">noteikumu </w:t>
            </w:r>
            <w:r w:rsidRPr="00BF19F8">
              <w:rPr>
                <w:iCs/>
                <w:sz w:val="24"/>
                <w:szCs w:val="24"/>
              </w:rPr>
              <w:t>projektā nav ietvertas normas, kas tieši skartu sabiedrības intereses.</w:t>
            </w:r>
          </w:p>
        </w:tc>
      </w:tr>
      <w:tr w:rsidR="00AF0540" w:rsidRPr="007C0F2C" w:rsidTr="00A809FF">
        <w:tc>
          <w:tcPr>
            <w:tcW w:w="403" w:type="dxa"/>
          </w:tcPr>
          <w:p w:rsidR="00AF0540" w:rsidRPr="007C0F2C" w:rsidRDefault="00AF0540" w:rsidP="000809A3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7.</w:t>
            </w:r>
          </w:p>
        </w:tc>
        <w:tc>
          <w:tcPr>
            <w:tcW w:w="3991" w:type="dxa"/>
          </w:tcPr>
          <w:p w:rsidR="00AF0540" w:rsidRPr="00BF19F8" w:rsidRDefault="00AF0540" w:rsidP="000809A3">
            <w:pPr>
              <w:pStyle w:val="naiskr"/>
              <w:spacing w:before="0" w:after="0"/>
            </w:pPr>
            <w:r w:rsidRPr="00BF19F8">
              <w:t>Cita informācija</w:t>
            </w:r>
          </w:p>
        </w:tc>
        <w:tc>
          <w:tcPr>
            <w:tcW w:w="5184" w:type="dxa"/>
          </w:tcPr>
          <w:p w:rsidR="00AF0540" w:rsidRPr="00BF19F8" w:rsidRDefault="00CA0BA3" w:rsidP="00DB267B">
            <w:pPr>
              <w:pStyle w:val="naiskr"/>
              <w:spacing w:before="0" w:after="0"/>
              <w:ind w:left="147" w:right="75"/>
            </w:pPr>
            <w:r w:rsidRPr="00BF19F8">
              <w:t>Nav</w:t>
            </w:r>
          </w:p>
        </w:tc>
      </w:tr>
    </w:tbl>
    <w:p w:rsidR="00CE4411" w:rsidRDefault="00CE4411" w:rsidP="00CE4411">
      <w:pPr>
        <w:pStyle w:val="naisf"/>
        <w:spacing w:before="0" w:after="0"/>
        <w:ind w:firstLine="0"/>
        <w:rPr>
          <w:b/>
          <w:i/>
        </w:rPr>
      </w:pPr>
    </w:p>
    <w:p w:rsidR="00CE4411" w:rsidRDefault="00CE4411" w:rsidP="00CE4411">
      <w:pPr>
        <w:pStyle w:val="naisf"/>
        <w:spacing w:before="0" w:after="0"/>
        <w:ind w:firstLine="0"/>
        <w:rPr>
          <w:b/>
          <w:i/>
        </w:rPr>
      </w:pPr>
      <w:r w:rsidRPr="00DC11AB">
        <w:rPr>
          <w:b/>
          <w:i/>
        </w:rPr>
        <w:t>Anotācijas II,</w:t>
      </w:r>
      <w:r>
        <w:rPr>
          <w:b/>
          <w:i/>
        </w:rPr>
        <w:t>III,</w:t>
      </w:r>
      <w:r w:rsidRPr="00DC11AB">
        <w:rPr>
          <w:b/>
          <w:i/>
        </w:rPr>
        <w:t xml:space="preserve"> sadaļas – </w:t>
      </w:r>
      <w:r w:rsidR="000C1A9B" w:rsidRPr="000C1A9B">
        <w:rPr>
          <w:b/>
          <w:i/>
        </w:rPr>
        <w:t>projekts šīs jomas neskar</w:t>
      </w:r>
    </w:p>
    <w:p w:rsidR="00A911AA" w:rsidRDefault="00A911AA" w:rsidP="00CE4411">
      <w:pPr>
        <w:pStyle w:val="naisf"/>
        <w:spacing w:before="0" w:after="0"/>
        <w:ind w:firstLine="0"/>
        <w:rPr>
          <w:b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81"/>
        <w:gridCol w:w="5176"/>
      </w:tblGrid>
      <w:tr w:rsidR="00DA2D42" w:rsidRPr="00F62419" w:rsidTr="00C2232A">
        <w:trPr>
          <w:jc w:val="center"/>
        </w:trPr>
        <w:tc>
          <w:tcPr>
            <w:tcW w:w="9553" w:type="dxa"/>
            <w:gridSpan w:val="3"/>
          </w:tcPr>
          <w:p w:rsidR="00DA2D42" w:rsidRPr="00F62419" w:rsidRDefault="00DA2D42" w:rsidP="00BB60C4">
            <w:pPr>
              <w:pStyle w:val="naisnod"/>
              <w:spacing w:before="0" w:after="0"/>
              <w:rPr>
                <w:color w:val="000000"/>
              </w:rPr>
            </w:pPr>
            <w:r w:rsidRPr="00F62419">
              <w:rPr>
                <w:color w:val="000000"/>
              </w:rPr>
              <w:t>IV. Tiesību akta projekta ietekme uz spēkā esošo tiesību normu sistēmu</w:t>
            </w:r>
          </w:p>
        </w:tc>
      </w:tr>
      <w:tr w:rsidR="00DA2D42" w:rsidRPr="00F62419" w:rsidTr="00C2232A">
        <w:trPr>
          <w:jc w:val="center"/>
        </w:trPr>
        <w:tc>
          <w:tcPr>
            <w:tcW w:w="396" w:type="dxa"/>
          </w:tcPr>
          <w:p w:rsidR="00DA2D42" w:rsidRPr="00F62419" w:rsidRDefault="00DA2D42" w:rsidP="00BB60C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F62419">
              <w:rPr>
                <w:iCs/>
                <w:color w:val="000000"/>
              </w:rPr>
              <w:t>1.</w:t>
            </w:r>
          </w:p>
        </w:tc>
        <w:tc>
          <w:tcPr>
            <w:tcW w:w="3981" w:type="dxa"/>
          </w:tcPr>
          <w:p w:rsidR="00DA2D42" w:rsidRPr="00F62419" w:rsidRDefault="00DA2D42" w:rsidP="00BB60C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F62419">
              <w:rPr>
                <w:color w:val="000000"/>
                <w:sz w:val="22"/>
                <w:szCs w:val="22"/>
              </w:rPr>
              <w:t>Nepieciešamie saistītie tiesību aktu projekti</w:t>
            </w:r>
          </w:p>
        </w:tc>
        <w:tc>
          <w:tcPr>
            <w:tcW w:w="5176" w:type="dxa"/>
          </w:tcPr>
          <w:p w:rsidR="00DA2D42" w:rsidRPr="00C2232A" w:rsidRDefault="00C2232A" w:rsidP="00C2232A">
            <w:pPr>
              <w:spacing w:line="15" w:lineRule="atLeast"/>
              <w:jc w:val="both"/>
            </w:pPr>
            <w:r w:rsidRPr="004D7AD3">
              <w:t>Atzīt par</w:t>
            </w:r>
            <w:r w:rsidRPr="006F485A">
              <w:t xml:space="preserve"> spēku zaudē</w:t>
            </w:r>
            <w:r>
              <w:t>jušiem</w:t>
            </w:r>
            <w:r w:rsidRPr="006F485A">
              <w:t xml:space="preserve"> Ministru kabineta 2005. gada 25. </w:t>
            </w:r>
            <w:r>
              <w:t>oktobra noteikumus</w:t>
            </w:r>
            <w:r w:rsidRPr="006F485A">
              <w:t xml:space="preserve"> Nr. 810 „Noteikumi par institucionālo sektoru klasifikāciju” (Latvijas Vēstnesis, 2005, 173.nr.; 2007, 153.nr.; 2010, 144.nr.).</w:t>
            </w:r>
          </w:p>
        </w:tc>
      </w:tr>
      <w:tr w:rsidR="00DA2D42" w:rsidRPr="00F62419" w:rsidTr="00C2232A">
        <w:trPr>
          <w:jc w:val="center"/>
        </w:trPr>
        <w:tc>
          <w:tcPr>
            <w:tcW w:w="396" w:type="dxa"/>
          </w:tcPr>
          <w:p w:rsidR="00DA2D42" w:rsidRPr="00F62419" w:rsidRDefault="00DA2D42" w:rsidP="00BB60C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F62419">
              <w:rPr>
                <w:iCs/>
                <w:color w:val="000000"/>
              </w:rPr>
              <w:t>2.</w:t>
            </w:r>
          </w:p>
        </w:tc>
        <w:tc>
          <w:tcPr>
            <w:tcW w:w="3981" w:type="dxa"/>
          </w:tcPr>
          <w:p w:rsidR="00DA2D42" w:rsidRPr="00F62419" w:rsidRDefault="00DA2D42" w:rsidP="00BB60C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F62419"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5176" w:type="dxa"/>
          </w:tcPr>
          <w:p w:rsidR="00DA2D42" w:rsidRPr="00F62419" w:rsidRDefault="00DA2D42" w:rsidP="00BB60C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F62419">
              <w:rPr>
                <w:color w:val="000000"/>
                <w:sz w:val="22"/>
                <w:szCs w:val="22"/>
              </w:rPr>
              <w:t>Nav attiecināms</w:t>
            </w:r>
          </w:p>
        </w:tc>
      </w:tr>
    </w:tbl>
    <w:p w:rsidR="00DA2D42" w:rsidRPr="00DC11AB" w:rsidRDefault="00DA2D42" w:rsidP="00CE4411">
      <w:pPr>
        <w:pStyle w:val="naisf"/>
        <w:spacing w:before="0" w:after="0"/>
        <w:ind w:firstLine="0"/>
        <w:rPr>
          <w:b/>
        </w:rPr>
      </w:pPr>
    </w:p>
    <w:p w:rsidR="00D03420" w:rsidRPr="00F62419" w:rsidRDefault="00D03420" w:rsidP="00D03420">
      <w:pPr>
        <w:rPr>
          <w:i/>
          <w:color w:val="000000"/>
        </w:rPr>
      </w:pPr>
    </w:p>
    <w:p w:rsidR="00D03420" w:rsidRDefault="00D03420" w:rsidP="00D03420"/>
    <w:tbl>
      <w:tblPr>
        <w:tblW w:w="4964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3589"/>
        <w:gridCol w:w="5486"/>
      </w:tblGrid>
      <w:tr w:rsidR="00D03420" w:rsidRPr="006254B6" w:rsidTr="002A713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420" w:rsidRPr="006254B6" w:rsidRDefault="00D03420" w:rsidP="00745131">
            <w:pPr>
              <w:spacing w:before="100" w:beforeAutospacing="1" w:after="100" w:afterAutospacing="1"/>
              <w:jc w:val="center"/>
            </w:pPr>
            <w:r w:rsidRPr="006254B6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D03420" w:rsidRPr="006254B6" w:rsidTr="003D5F60">
        <w:trPr>
          <w:trHeight w:val="879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420" w:rsidRPr="006254B6" w:rsidRDefault="00D03420" w:rsidP="00745131">
            <w:r w:rsidRPr="006254B6">
              <w:t>1.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420" w:rsidRPr="006254B6" w:rsidRDefault="00D03420" w:rsidP="00745131">
            <w:r w:rsidRPr="006254B6">
              <w:t>Saistības pret Eiropas Savienību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420" w:rsidRDefault="0024724A" w:rsidP="00654836">
            <w:pPr>
              <w:spacing w:line="15" w:lineRule="atLeast"/>
              <w:jc w:val="both"/>
            </w:pPr>
            <w:r>
              <w:t>2013. gada 21. </w:t>
            </w:r>
            <w:r w:rsidRPr="007E27CB">
              <w:t>maija Eiropas P</w:t>
            </w:r>
            <w:r>
              <w:t>arlamenta un Padomes Regulu Nr. </w:t>
            </w:r>
            <w:r w:rsidRPr="007E27CB">
              <w:t>549/2013</w:t>
            </w:r>
            <w:r>
              <w:t xml:space="preserve"> </w:t>
            </w:r>
            <w:r w:rsidRPr="007E27CB">
              <w:t>par Eiropas nacionālo un reģionālo kontu sistēmu Eiropas Savienībā</w:t>
            </w:r>
            <w:r>
              <w:t>.</w:t>
            </w:r>
          </w:p>
          <w:p w:rsidR="007D3DEE" w:rsidRPr="006254B6" w:rsidRDefault="007D3DEE" w:rsidP="00654836">
            <w:pPr>
              <w:spacing w:line="15" w:lineRule="atLeast"/>
              <w:jc w:val="both"/>
            </w:pPr>
            <w:r w:rsidRPr="007E27CB">
              <w:t>Mini</w:t>
            </w:r>
            <w:r>
              <w:t>stru kabineta noteikumiem</w:t>
            </w:r>
            <w:r w:rsidRPr="007E27CB">
              <w:t xml:space="preserve"> „Noteikumi par institucionālo sektoru klasifikāciju”</w:t>
            </w:r>
            <w:r>
              <w:t xml:space="preserve"> jāstājas spēkā 2014. gada 1. janvārī. </w:t>
            </w:r>
          </w:p>
        </w:tc>
      </w:tr>
      <w:tr w:rsidR="00D03420" w:rsidRPr="006254B6" w:rsidTr="007D3DEE">
        <w:trPr>
          <w:trHeight w:val="457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420" w:rsidRPr="006254B6" w:rsidRDefault="00D03420" w:rsidP="00745131">
            <w:r w:rsidRPr="006254B6">
              <w:t>2.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420" w:rsidRPr="006254B6" w:rsidRDefault="00D03420" w:rsidP="00745131">
            <w:r w:rsidRPr="006254B6">
              <w:t>Citas starptautiskās saistības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420" w:rsidRPr="006254B6" w:rsidRDefault="003D5F60" w:rsidP="00745131">
            <w:pPr>
              <w:spacing w:line="15" w:lineRule="atLeast"/>
            </w:pPr>
            <w:r>
              <w:t>Nav.</w:t>
            </w:r>
          </w:p>
        </w:tc>
      </w:tr>
      <w:tr w:rsidR="00D03420" w:rsidRPr="006254B6" w:rsidTr="007D3DEE">
        <w:trPr>
          <w:trHeight w:val="365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420" w:rsidRPr="006254B6" w:rsidRDefault="00D03420" w:rsidP="00745131">
            <w:r w:rsidRPr="006254B6">
              <w:lastRenderedPageBreak/>
              <w:t>3.</w:t>
            </w:r>
          </w:p>
        </w:tc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420" w:rsidRPr="006254B6" w:rsidRDefault="00D03420" w:rsidP="00745131">
            <w:r w:rsidRPr="006254B6"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420" w:rsidRPr="006254B6" w:rsidRDefault="007D3DEE" w:rsidP="0024724A">
            <w:pPr>
              <w:spacing w:line="15" w:lineRule="atLeast"/>
              <w:jc w:val="both"/>
            </w:pPr>
            <w:r>
              <w:t>Nav.</w:t>
            </w:r>
          </w:p>
        </w:tc>
      </w:tr>
    </w:tbl>
    <w:p w:rsidR="00D03420" w:rsidRDefault="00D03420" w:rsidP="00D03420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0"/>
        <w:gridCol w:w="1940"/>
        <w:gridCol w:w="2909"/>
        <w:gridCol w:w="2909"/>
      </w:tblGrid>
      <w:tr w:rsidR="002A7132" w:rsidRPr="002A7132" w:rsidTr="002A7132">
        <w:trPr>
          <w:trHeight w:val="51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132" w:rsidRPr="002A7132" w:rsidRDefault="002A7132" w:rsidP="002A7132">
            <w:pPr>
              <w:spacing w:before="100" w:beforeAutospacing="1" w:after="100" w:afterAutospacing="1"/>
              <w:jc w:val="center"/>
            </w:pPr>
            <w:r w:rsidRPr="002A7132">
              <w:rPr>
                <w:b/>
                <w:bCs/>
              </w:rPr>
              <w:t>1.tabula</w:t>
            </w:r>
            <w:r w:rsidRPr="002A7132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2A7132" w:rsidRPr="002A7132" w:rsidTr="002A713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2A7132" w:rsidP="002A7132">
            <w:r w:rsidRPr="002A7132">
              <w:t>Attiecīgā ES tiesību akta datums, numurs un nosaukums</w:t>
            </w: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7D3DEE" w:rsidP="007D3DEE">
            <w:r>
              <w:t>Tiek ieviesta 2013. gada 21. </w:t>
            </w:r>
            <w:r w:rsidRPr="007E27CB">
              <w:t>maija Eiropas P</w:t>
            </w:r>
            <w:r>
              <w:t>arlamenta un Padomes Regula Nr. </w:t>
            </w:r>
            <w:r w:rsidRPr="007E27CB">
              <w:t>549/2013</w:t>
            </w:r>
            <w:r>
              <w:t xml:space="preserve"> </w:t>
            </w:r>
            <w:r w:rsidRPr="007E27CB">
              <w:t>par Eiropas nacionālo un reģionālo kontu sistēmu Eiropas Savienībā</w:t>
            </w:r>
            <w:r>
              <w:t>, kas atceļ 1996. </w:t>
            </w:r>
            <w:r w:rsidRPr="00104CFB">
              <w:t>gada 25.</w:t>
            </w:r>
            <w:r>
              <w:t> </w:t>
            </w:r>
            <w:r w:rsidRPr="00104CFB">
              <w:t>jūnija Eiro</w:t>
            </w:r>
            <w:r>
              <w:t>pas Parlamenta un Padomes Regulu Nr. </w:t>
            </w:r>
            <w:r w:rsidRPr="00104CFB">
              <w:t>2223/96 par Eiropas nacionālo un reģionālo kontu sistēm</w:t>
            </w:r>
            <w:r>
              <w:t xml:space="preserve">u, lai varētu savstarpēji salīdzināt datus ar </w:t>
            </w:r>
            <w:r w:rsidRPr="000245C3">
              <w:t>Eiropas Savienīb</w:t>
            </w:r>
            <w:r>
              <w:t>as</w:t>
            </w:r>
            <w:r w:rsidRPr="000245C3">
              <w:t xml:space="preserve"> </w:t>
            </w:r>
            <w:r>
              <w:t>dalībvalstīm.</w:t>
            </w:r>
          </w:p>
        </w:tc>
      </w:tr>
      <w:tr w:rsidR="002A7132" w:rsidRPr="002A7132" w:rsidTr="002A713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132" w:rsidRPr="002A7132" w:rsidRDefault="002A7132" w:rsidP="002A7132">
            <w:pPr>
              <w:spacing w:before="100" w:beforeAutospacing="1" w:after="100" w:afterAutospacing="1"/>
            </w:pPr>
            <w:r w:rsidRPr="002A7132">
              <w:t>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132" w:rsidRPr="002A7132" w:rsidRDefault="002A7132" w:rsidP="002A7132">
            <w:pPr>
              <w:spacing w:before="100" w:beforeAutospacing="1" w:after="100" w:afterAutospacing="1"/>
            </w:pPr>
            <w:r w:rsidRPr="002A7132">
              <w:t>B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132" w:rsidRPr="002A7132" w:rsidRDefault="002A7132" w:rsidP="002A7132">
            <w:pPr>
              <w:spacing w:before="100" w:beforeAutospacing="1" w:after="100" w:afterAutospacing="1"/>
            </w:pPr>
            <w:r w:rsidRPr="002A7132">
              <w:t>C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132" w:rsidRPr="002A7132" w:rsidRDefault="002A7132" w:rsidP="002A7132">
            <w:pPr>
              <w:spacing w:before="100" w:beforeAutospacing="1" w:after="100" w:afterAutospacing="1"/>
            </w:pPr>
            <w:r w:rsidRPr="002A7132">
              <w:t>D</w:t>
            </w:r>
          </w:p>
        </w:tc>
      </w:tr>
      <w:tr w:rsidR="002A7132" w:rsidRPr="002A7132" w:rsidTr="002A713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2A7132" w:rsidP="002A7132">
            <w:r w:rsidRPr="002A7132">
              <w:t>Attiecīgā ES tiesību akta panta numurs (uzskaitot katru tiesību akta vienību – pantu, daļu, punktu, apakšpunktu)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2A7132" w:rsidP="002A7132">
            <w:r w:rsidRPr="002A7132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2A7132" w:rsidP="002A7132">
            <w:r w:rsidRPr="002A7132">
              <w:t xml:space="preserve">Informācija par to, vai šīs tabulas A ailē minētās ES tiesību akta vienības tiek pārņemtas vai ieviestas pilnībā vai daļēji. </w:t>
            </w:r>
          </w:p>
          <w:p w:rsidR="002A7132" w:rsidRPr="002A7132" w:rsidRDefault="002A7132" w:rsidP="002A7132">
            <w:pPr>
              <w:spacing w:before="100" w:beforeAutospacing="1" w:after="100" w:afterAutospacing="1"/>
            </w:pPr>
            <w:r w:rsidRPr="002A7132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2A7132" w:rsidRPr="002A7132" w:rsidRDefault="002A7132" w:rsidP="002A7132">
            <w:pPr>
              <w:spacing w:before="100" w:beforeAutospacing="1" w:after="100" w:afterAutospacing="1"/>
            </w:pPr>
            <w:r w:rsidRPr="002A7132">
              <w:t>Norāda institūciju, kas ir atbildīga par šo saistību izpildi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2A7132" w:rsidP="002A7132">
            <w:r w:rsidRPr="002A7132">
              <w:t xml:space="preserve">Informācija par to, vai šīs tabulas B ailē minētās projekta vienības paredz stingrākas prasības nekā šīs tabulas A ailē minētās ES tiesību akta vienības. </w:t>
            </w:r>
          </w:p>
          <w:p w:rsidR="002A7132" w:rsidRPr="002A7132" w:rsidRDefault="002A7132" w:rsidP="002A7132">
            <w:pPr>
              <w:spacing w:before="100" w:beforeAutospacing="1" w:after="100" w:afterAutospacing="1"/>
            </w:pPr>
            <w:r w:rsidRPr="002A7132">
              <w:t>Ja projekts satur stingrākas prasības nekā attiecīgais ES tiesību akts, norāda pamatojumu un samērīgumu.</w:t>
            </w:r>
          </w:p>
          <w:p w:rsidR="002A7132" w:rsidRPr="002A7132" w:rsidRDefault="002A7132" w:rsidP="002A7132">
            <w:pPr>
              <w:spacing w:before="100" w:beforeAutospacing="1" w:after="100" w:afterAutospacing="1"/>
            </w:pPr>
            <w:r w:rsidRPr="002A7132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A7132" w:rsidRPr="002A7132" w:rsidTr="002A7132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2A7132" w:rsidP="002A7132">
            <w:r w:rsidRPr="002A7132">
              <w:t>Iekļauj informāciju atbilstoši instrukcijas 56.1.apakšpunktā noteiktajam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E05051" w:rsidP="002A7132">
            <w:r w:rsidRPr="007E27CB">
              <w:t>Mini</w:t>
            </w:r>
            <w:r>
              <w:t>stru kabineta noteikumiem</w:t>
            </w:r>
            <w:r w:rsidRPr="007E27CB">
              <w:t xml:space="preserve"> „Noteikumi par institucionālo sektoru klasifikāciju”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051" w:rsidRPr="002A7132" w:rsidRDefault="00E05051" w:rsidP="002A7132">
            <w:pPr>
              <w:spacing w:before="100" w:beforeAutospacing="1" w:after="100" w:afterAutospacing="1"/>
            </w:pPr>
            <w:r>
              <w:t xml:space="preserve">Minētās </w:t>
            </w:r>
            <w:r w:rsidRPr="003C237C">
              <w:t xml:space="preserve"> </w:t>
            </w:r>
            <w:r w:rsidRPr="003363AC">
              <w:t>Regulas (ES) Nr.</w:t>
            </w:r>
            <w:r w:rsidRPr="007E27CB">
              <w:t xml:space="preserve"> 549/2013</w:t>
            </w:r>
            <w:r>
              <w:t xml:space="preserve"> vienības </w:t>
            </w:r>
            <w:r w:rsidRPr="003C237C">
              <w:t>tiek pārņemta</w:t>
            </w:r>
            <w:r>
              <w:t>s</w:t>
            </w:r>
            <w:r w:rsidRPr="003C237C">
              <w:t xml:space="preserve"> pilnībā.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E05051" w:rsidP="00E05051">
            <w:pPr>
              <w:spacing w:before="100" w:beforeAutospacing="1" w:after="100" w:afterAutospacing="1"/>
            </w:pPr>
            <w:r>
              <w:rPr>
                <w:iCs/>
              </w:rPr>
              <w:t xml:space="preserve">Noteikumu projekts </w:t>
            </w:r>
            <w:r w:rsidRPr="003C237C">
              <w:rPr>
                <w:iCs/>
              </w:rPr>
              <w:t xml:space="preserve">neparedz stingrākas prasības nekā </w:t>
            </w:r>
            <w:r>
              <w:rPr>
                <w:iCs/>
              </w:rPr>
              <w:t xml:space="preserve">noteikts </w:t>
            </w:r>
            <w:r>
              <w:t>Regulā</w:t>
            </w:r>
            <w:r w:rsidRPr="003363AC">
              <w:t xml:space="preserve"> (ES) Nr.</w:t>
            </w:r>
            <w:r w:rsidRPr="007E27CB">
              <w:t xml:space="preserve"> 549/2013</w:t>
            </w:r>
            <w:r>
              <w:t>.</w:t>
            </w:r>
          </w:p>
        </w:tc>
      </w:tr>
      <w:tr w:rsidR="0036363E" w:rsidRPr="0036363E" w:rsidTr="00222CE7"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36363E" w:rsidRDefault="002A7132" w:rsidP="002A7132">
            <w:r w:rsidRPr="0036363E">
              <w:t xml:space="preserve">Kā ir izmantota ES tiesību aktā paredzētā rīcības brīvība dalībvalstij pārņemt vai ieviest noteiktas ES tiesību akta normas? </w:t>
            </w:r>
          </w:p>
          <w:p w:rsidR="002A7132" w:rsidRPr="0036363E" w:rsidRDefault="002A7132" w:rsidP="002A7132">
            <w:pPr>
              <w:spacing w:before="100" w:beforeAutospacing="1" w:after="100" w:afterAutospacing="1"/>
            </w:pPr>
            <w:r w:rsidRPr="0036363E">
              <w:t>Kādēļ?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36363E" w:rsidRDefault="000545FE" w:rsidP="002A7132">
            <w:r>
              <w:t xml:space="preserve">Nav </w:t>
            </w:r>
            <w:r w:rsidR="00F57316">
              <w:t>attiecināms</w:t>
            </w:r>
            <w:r w:rsidR="00222CE7" w:rsidRPr="0036363E">
              <w:t>.</w:t>
            </w:r>
          </w:p>
        </w:tc>
      </w:tr>
      <w:tr w:rsidR="0036363E" w:rsidRPr="0036363E" w:rsidTr="00222CE7"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36363E" w:rsidRDefault="002A7132" w:rsidP="002A7132">
            <w:r w:rsidRPr="0036363E">
              <w:t>Saistības sniegt paziņojumu ES 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36363E" w:rsidRDefault="000545FE" w:rsidP="002A7132">
            <w:r>
              <w:t xml:space="preserve">Nav </w:t>
            </w:r>
            <w:r w:rsidR="00F57316">
              <w:t>attiecināms</w:t>
            </w:r>
            <w:r w:rsidRPr="0036363E">
              <w:t>.</w:t>
            </w:r>
          </w:p>
        </w:tc>
      </w:tr>
      <w:tr w:rsidR="002A7132" w:rsidRPr="002A7132" w:rsidTr="00222CE7"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2A7132" w:rsidP="002A7132">
            <w:r w:rsidRPr="002A7132">
              <w:t>Cita informācija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132" w:rsidRPr="002A7132" w:rsidRDefault="00222CE7" w:rsidP="002A7132">
            <w:pPr>
              <w:spacing w:before="100" w:beforeAutospacing="1" w:after="100" w:afterAutospacing="1"/>
            </w:pPr>
            <w:r>
              <w:t>Nav</w:t>
            </w:r>
          </w:p>
        </w:tc>
      </w:tr>
    </w:tbl>
    <w:p w:rsidR="00D03420" w:rsidRDefault="00D03420" w:rsidP="00D03420"/>
    <w:p w:rsidR="00950959" w:rsidRPr="006254B6" w:rsidRDefault="00950959" w:rsidP="00D03420">
      <w:pPr>
        <w:rPr>
          <w:vanish/>
        </w:rPr>
      </w:pPr>
    </w:p>
    <w:p w:rsidR="002A7132" w:rsidRDefault="002A7132" w:rsidP="002A7132">
      <w:pPr>
        <w:pStyle w:val="naisf"/>
        <w:spacing w:before="0" w:after="0"/>
        <w:ind w:firstLine="0"/>
        <w:rPr>
          <w:b/>
          <w:i/>
        </w:rPr>
      </w:pPr>
      <w:r w:rsidRPr="00DC11AB">
        <w:rPr>
          <w:b/>
          <w:i/>
        </w:rPr>
        <w:t xml:space="preserve">Anotācijas </w:t>
      </w:r>
      <w:r>
        <w:rPr>
          <w:b/>
          <w:i/>
        </w:rPr>
        <w:t>VI</w:t>
      </w:r>
      <w:r w:rsidR="00DE50BC">
        <w:rPr>
          <w:b/>
          <w:i/>
        </w:rPr>
        <w:t xml:space="preserve"> sadaļa – </w:t>
      </w:r>
      <w:r w:rsidR="00DE50BC" w:rsidRPr="000C1A9B">
        <w:rPr>
          <w:b/>
          <w:i/>
        </w:rPr>
        <w:t>projekts šīs jomas neskar</w:t>
      </w:r>
    </w:p>
    <w:p w:rsidR="00D03420" w:rsidRPr="007C0F2C" w:rsidRDefault="00D03420" w:rsidP="006E4C6E">
      <w:pPr>
        <w:pStyle w:val="naisf"/>
        <w:spacing w:before="0" w:after="0"/>
        <w:ind w:firstLine="374"/>
        <w:rPr>
          <w:sz w:val="28"/>
          <w:szCs w:val="28"/>
        </w:rPr>
      </w:pPr>
    </w:p>
    <w:tbl>
      <w:tblPr>
        <w:tblW w:w="96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3969"/>
        <w:gridCol w:w="5244"/>
      </w:tblGrid>
      <w:tr w:rsidR="00AF0540" w:rsidRPr="007C0F2C" w:rsidTr="00AC1B46">
        <w:trPr>
          <w:trHeight w:val="534"/>
        </w:trPr>
        <w:tc>
          <w:tcPr>
            <w:tcW w:w="9664" w:type="dxa"/>
            <w:gridSpan w:val="3"/>
            <w:tcBorders>
              <w:top w:val="single" w:sz="4" w:space="0" w:color="auto"/>
            </w:tcBorders>
            <w:vAlign w:val="center"/>
          </w:tcPr>
          <w:p w:rsidR="00AF0540" w:rsidRPr="007C0F2C" w:rsidRDefault="00AF0540" w:rsidP="00AC1B46">
            <w:pPr>
              <w:pStyle w:val="naisnod"/>
              <w:spacing w:before="0" w:after="0"/>
              <w:ind w:left="57" w:right="57"/>
            </w:pPr>
            <w:r w:rsidRPr="007C0F2C">
              <w:lastRenderedPageBreak/>
              <w:t>VII. Tiesību akta projekta izpildes nodrošināšana un tās ietekme uz institūcijām</w:t>
            </w:r>
          </w:p>
        </w:tc>
      </w:tr>
      <w:tr w:rsidR="00AF0540" w:rsidRPr="007C0F2C" w:rsidTr="00AC1B46">
        <w:trPr>
          <w:trHeight w:val="427"/>
        </w:trPr>
        <w:tc>
          <w:tcPr>
            <w:tcW w:w="451" w:type="dxa"/>
          </w:tcPr>
          <w:p w:rsidR="00AF0540" w:rsidRPr="007C0F2C" w:rsidRDefault="00AF0540" w:rsidP="000809A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C0F2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AF0540" w:rsidRPr="00BF19F8" w:rsidRDefault="00AF0540" w:rsidP="000809A3">
            <w:pPr>
              <w:pStyle w:val="naisf"/>
              <w:spacing w:before="0" w:after="0"/>
              <w:ind w:left="57" w:right="57" w:firstLine="0"/>
              <w:jc w:val="left"/>
              <w:rPr>
                <w:szCs w:val="22"/>
              </w:rPr>
            </w:pPr>
            <w:r w:rsidRPr="00BF19F8">
              <w:rPr>
                <w:szCs w:val="22"/>
              </w:rPr>
              <w:t xml:space="preserve">Projekta izpildē iesaistītās institūcijas </w:t>
            </w:r>
          </w:p>
        </w:tc>
        <w:tc>
          <w:tcPr>
            <w:tcW w:w="5244" w:type="dxa"/>
          </w:tcPr>
          <w:p w:rsidR="00CD30A8" w:rsidRPr="00E63907" w:rsidRDefault="00DC11AB" w:rsidP="00EF469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E63907">
              <w:rPr>
                <w:b w:val="0"/>
                <w:iCs/>
                <w:szCs w:val="22"/>
              </w:rPr>
              <w:t xml:space="preserve">Par </w:t>
            </w:r>
            <w:r w:rsidR="00D02350" w:rsidRPr="00E63907">
              <w:rPr>
                <w:b w:val="0"/>
                <w:iCs/>
                <w:szCs w:val="22"/>
              </w:rPr>
              <w:t xml:space="preserve">noteikumu </w:t>
            </w:r>
            <w:r w:rsidRPr="00E63907">
              <w:rPr>
                <w:b w:val="0"/>
                <w:iCs/>
                <w:szCs w:val="22"/>
              </w:rPr>
              <w:t>projekta izpildi atbildīga Finanšu ministrija</w:t>
            </w:r>
            <w:r w:rsidR="00AC1B46" w:rsidRPr="00E63907">
              <w:rPr>
                <w:b w:val="0"/>
                <w:iCs/>
                <w:szCs w:val="22"/>
              </w:rPr>
              <w:t xml:space="preserve">, </w:t>
            </w:r>
            <w:r w:rsidR="007E27CB" w:rsidRPr="00E63907">
              <w:rPr>
                <w:b w:val="0"/>
                <w:iCs/>
                <w:szCs w:val="22"/>
              </w:rPr>
              <w:t xml:space="preserve">Ekonomikas ministrija (Centrālā statistikas pārvalde), </w:t>
            </w:r>
            <w:r w:rsidR="00AC1B46" w:rsidRPr="00E63907">
              <w:rPr>
                <w:b w:val="0"/>
                <w:iCs/>
                <w:szCs w:val="22"/>
              </w:rPr>
              <w:t>Valsts kase</w:t>
            </w:r>
            <w:r w:rsidR="00CD30A8" w:rsidRPr="00E63907">
              <w:rPr>
                <w:b w:val="0"/>
                <w:iCs/>
                <w:szCs w:val="22"/>
              </w:rPr>
              <w:t xml:space="preserve">, </w:t>
            </w:r>
            <w:r w:rsidR="00CD30A8" w:rsidRPr="00E63907">
              <w:rPr>
                <w:b w:val="0"/>
              </w:rPr>
              <w:t>rezidenti</w:t>
            </w:r>
            <w:r w:rsidR="00EF4691" w:rsidRPr="00E63907">
              <w:rPr>
                <w:b w:val="0"/>
              </w:rPr>
              <w:t>, kuri</w:t>
            </w:r>
            <w:r w:rsidR="00CD30A8" w:rsidRPr="00E63907">
              <w:rPr>
                <w:b w:val="0"/>
              </w:rPr>
              <w:t xml:space="preserve"> ir iek</w:t>
            </w:r>
            <w:r w:rsidR="00EF4691" w:rsidRPr="00E63907">
              <w:rPr>
                <w:b w:val="0"/>
              </w:rPr>
              <w:t>ļauti</w:t>
            </w:r>
            <w:r w:rsidR="00CD30A8" w:rsidRPr="00E63907">
              <w:rPr>
                <w:b w:val="0"/>
              </w:rPr>
              <w:t xml:space="preserve"> Centrālā statistikas pārvaldes </w:t>
            </w:r>
            <w:r w:rsidR="00EF4691" w:rsidRPr="00E63907">
              <w:rPr>
                <w:b w:val="0"/>
              </w:rPr>
              <w:t>institucionālo vienību sarakstā.</w:t>
            </w:r>
          </w:p>
        </w:tc>
      </w:tr>
      <w:tr w:rsidR="00AF0540" w:rsidRPr="007C0F2C" w:rsidTr="00AC1B46">
        <w:trPr>
          <w:trHeight w:val="463"/>
        </w:trPr>
        <w:tc>
          <w:tcPr>
            <w:tcW w:w="451" w:type="dxa"/>
          </w:tcPr>
          <w:p w:rsidR="00AF0540" w:rsidRPr="007C0F2C" w:rsidRDefault="00AF0540" w:rsidP="000809A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C0F2C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AF0540" w:rsidRPr="00BF19F8" w:rsidRDefault="00AF0540" w:rsidP="000809A3">
            <w:pPr>
              <w:pStyle w:val="naisf"/>
              <w:spacing w:before="0" w:after="0"/>
              <w:ind w:left="57" w:right="57" w:firstLine="0"/>
              <w:jc w:val="left"/>
              <w:rPr>
                <w:szCs w:val="22"/>
              </w:rPr>
            </w:pPr>
            <w:r w:rsidRPr="00BF19F8">
              <w:rPr>
                <w:szCs w:val="22"/>
              </w:rPr>
              <w:t xml:space="preserve">Projekta izpildes ietekme uz pārvaldes funkcijām </w:t>
            </w:r>
          </w:p>
        </w:tc>
        <w:tc>
          <w:tcPr>
            <w:tcW w:w="5244" w:type="dxa"/>
          </w:tcPr>
          <w:p w:rsidR="00AF0540" w:rsidRPr="00E63907" w:rsidRDefault="00354B0D" w:rsidP="000809A3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2"/>
              </w:rPr>
            </w:pPr>
            <w:r w:rsidRPr="00E63907">
              <w:rPr>
                <w:b w:val="0"/>
                <w:iCs/>
                <w:szCs w:val="22"/>
              </w:rPr>
              <w:t xml:space="preserve">Noteikumu </w:t>
            </w:r>
            <w:r w:rsidR="003E59C8" w:rsidRPr="00E63907">
              <w:rPr>
                <w:b w:val="0"/>
                <w:iCs/>
                <w:szCs w:val="22"/>
              </w:rPr>
              <w:t>projektu nodrošina esošo funkciju ietvaros.</w:t>
            </w:r>
          </w:p>
        </w:tc>
      </w:tr>
      <w:tr w:rsidR="00AF0540" w:rsidRPr="007C0F2C" w:rsidTr="00AC1B46">
        <w:trPr>
          <w:trHeight w:val="725"/>
        </w:trPr>
        <w:tc>
          <w:tcPr>
            <w:tcW w:w="451" w:type="dxa"/>
          </w:tcPr>
          <w:p w:rsidR="00AF0540" w:rsidRPr="007C0F2C" w:rsidRDefault="00AF0540" w:rsidP="000809A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C0F2C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AF0540" w:rsidRPr="00BF19F8" w:rsidRDefault="00AF0540" w:rsidP="000809A3">
            <w:pPr>
              <w:pStyle w:val="naisf"/>
              <w:spacing w:before="0" w:after="0"/>
              <w:ind w:left="57" w:right="57" w:firstLine="0"/>
              <w:jc w:val="left"/>
              <w:rPr>
                <w:szCs w:val="22"/>
              </w:rPr>
            </w:pPr>
            <w:r w:rsidRPr="00BF19F8">
              <w:rPr>
                <w:szCs w:val="22"/>
              </w:rPr>
              <w:t>Projekta izpildes ietekme uz pārvaldes institucionālo struktūru.</w:t>
            </w:r>
          </w:p>
          <w:p w:rsidR="00AF0540" w:rsidRPr="00BF19F8" w:rsidRDefault="00AF0540" w:rsidP="000809A3">
            <w:pPr>
              <w:pStyle w:val="naisf"/>
              <w:spacing w:before="0" w:after="0"/>
              <w:ind w:left="57" w:right="57" w:firstLine="0"/>
              <w:jc w:val="left"/>
              <w:rPr>
                <w:szCs w:val="22"/>
              </w:rPr>
            </w:pPr>
            <w:r w:rsidRPr="00BF19F8">
              <w:rPr>
                <w:szCs w:val="22"/>
              </w:rPr>
              <w:t>Jaunu institūciju izveide</w:t>
            </w:r>
          </w:p>
        </w:tc>
        <w:tc>
          <w:tcPr>
            <w:tcW w:w="5244" w:type="dxa"/>
          </w:tcPr>
          <w:p w:rsidR="00AF0540" w:rsidRPr="00BF19F8" w:rsidRDefault="003E59C8" w:rsidP="000809A3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2"/>
              </w:rPr>
            </w:pPr>
            <w:r w:rsidRPr="00BF19F8">
              <w:rPr>
                <w:b w:val="0"/>
                <w:iCs/>
                <w:szCs w:val="22"/>
              </w:rPr>
              <w:t>Nav attiecināms.</w:t>
            </w:r>
          </w:p>
        </w:tc>
      </w:tr>
      <w:tr w:rsidR="00AF0540" w:rsidRPr="007C0F2C" w:rsidTr="00AC1B46">
        <w:trPr>
          <w:trHeight w:val="780"/>
        </w:trPr>
        <w:tc>
          <w:tcPr>
            <w:tcW w:w="451" w:type="dxa"/>
          </w:tcPr>
          <w:p w:rsidR="00AF0540" w:rsidRPr="007C0F2C" w:rsidRDefault="00AF0540" w:rsidP="000809A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C0F2C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AF0540" w:rsidRPr="00BF19F8" w:rsidRDefault="00AF0540" w:rsidP="000809A3">
            <w:pPr>
              <w:pStyle w:val="naisf"/>
              <w:spacing w:before="0" w:after="0"/>
              <w:ind w:left="57" w:right="57" w:firstLine="0"/>
              <w:jc w:val="left"/>
              <w:rPr>
                <w:szCs w:val="22"/>
              </w:rPr>
            </w:pPr>
            <w:r w:rsidRPr="00BF19F8">
              <w:rPr>
                <w:szCs w:val="22"/>
              </w:rPr>
              <w:t>Projekta izpildes ietekme uz pārvaldes institucionālo struktūru.</w:t>
            </w:r>
          </w:p>
          <w:p w:rsidR="00AF0540" w:rsidRPr="00BF19F8" w:rsidRDefault="00AF0540" w:rsidP="000809A3">
            <w:pPr>
              <w:pStyle w:val="naisf"/>
              <w:spacing w:before="0" w:after="0"/>
              <w:ind w:left="57" w:right="57" w:firstLine="0"/>
              <w:jc w:val="left"/>
              <w:rPr>
                <w:szCs w:val="22"/>
              </w:rPr>
            </w:pPr>
            <w:r w:rsidRPr="00BF19F8">
              <w:rPr>
                <w:szCs w:val="22"/>
              </w:rPr>
              <w:t>Esošu institūciju likvidācija</w:t>
            </w:r>
          </w:p>
        </w:tc>
        <w:tc>
          <w:tcPr>
            <w:tcW w:w="5244" w:type="dxa"/>
          </w:tcPr>
          <w:p w:rsidR="00AF0540" w:rsidRPr="00BF19F8" w:rsidRDefault="003E59C8" w:rsidP="000809A3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2"/>
              </w:rPr>
            </w:pPr>
            <w:r w:rsidRPr="00BF19F8">
              <w:rPr>
                <w:b w:val="0"/>
                <w:iCs/>
                <w:szCs w:val="22"/>
              </w:rPr>
              <w:t>Nav attiecināms.</w:t>
            </w:r>
          </w:p>
        </w:tc>
      </w:tr>
      <w:tr w:rsidR="00AF0540" w:rsidRPr="007C0F2C" w:rsidTr="00AC1B46">
        <w:trPr>
          <w:trHeight w:val="703"/>
        </w:trPr>
        <w:tc>
          <w:tcPr>
            <w:tcW w:w="451" w:type="dxa"/>
          </w:tcPr>
          <w:p w:rsidR="00AF0540" w:rsidRPr="007C0F2C" w:rsidRDefault="00AF0540" w:rsidP="000809A3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C0F2C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:rsidR="00AF0540" w:rsidRPr="00BF19F8" w:rsidRDefault="00AF0540" w:rsidP="000809A3">
            <w:pPr>
              <w:pStyle w:val="naisf"/>
              <w:spacing w:before="0" w:after="0"/>
              <w:ind w:left="57" w:right="57" w:firstLine="0"/>
              <w:jc w:val="left"/>
              <w:rPr>
                <w:szCs w:val="22"/>
              </w:rPr>
            </w:pPr>
            <w:r w:rsidRPr="00BF19F8">
              <w:rPr>
                <w:szCs w:val="22"/>
              </w:rPr>
              <w:t>Projekta izpildes ietekme uz pārvaldes institucionālo struktūru.</w:t>
            </w:r>
          </w:p>
          <w:p w:rsidR="00AF0540" w:rsidRPr="00BF19F8" w:rsidRDefault="00AF0540" w:rsidP="000809A3">
            <w:pPr>
              <w:pStyle w:val="naisf"/>
              <w:spacing w:before="0" w:after="0"/>
              <w:ind w:left="57" w:right="57" w:firstLine="0"/>
              <w:jc w:val="left"/>
              <w:rPr>
                <w:szCs w:val="22"/>
              </w:rPr>
            </w:pPr>
            <w:r w:rsidRPr="00BF19F8">
              <w:rPr>
                <w:szCs w:val="22"/>
              </w:rPr>
              <w:t>Esošu institūciju reorganizācija</w:t>
            </w:r>
          </w:p>
        </w:tc>
        <w:tc>
          <w:tcPr>
            <w:tcW w:w="5244" w:type="dxa"/>
          </w:tcPr>
          <w:p w:rsidR="00AF0540" w:rsidRPr="00BF19F8" w:rsidRDefault="003E59C8" w:rsidP="000809A3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2"/>
              </w:rPr>
            </w:pPr>
            <w:r w:rsidRPr="00BF19F8">
              <w:rPr>
                <w:b w:val="0"/>
                <w:iCs/>
                <w:szCs w:val="22"/>
              </w:rPr>
              <w:t>Nav attiecināms.</w:t>
            </w:r>
          </w:p>
        </w:tc>
      </w:tr>
      <w:tr w:rsidR="00AF0540" w:rsidRPr="007C0F2C" w:rsidTr="00AC1B46">
        <w:trPr>
          <w:trHeight w:val="476"/>
        </w:trPr>
        <w:tc>
          <w:tcPr>
            <w:tcW w:w="451" w:type="dxa"/>
          </w:tcPr>
          <w:p w:rsidR="00AF0540" w:rsidRPr="007C0F2C" w:rsidRDefault="00AF0540" w:rsidP="000809A3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C0F2C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AF0540" w:rsidRPr="00BF19F8" w:rsidRDefault="00AF0540" w:rsidP="000809A3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BF19F8">
              <w:rPr>
                <w:szCs w:val="22"/>
              </w:rPr>
              <w:t>Cita informācija</w:t>
            </w:r>
          </w:p>
        </w:tc>
        <w:tc>
          <w:tcPr>
            <w:tcW w:w="5244" w:type="dxa"/>
          </w:tcPr>
          <w:p w:rsidR="00AF0540" w:rsidRPr="00BF19F8" w:rsidRDefault="008D63A9" w:rsidP="000809A3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BF19F8">
              <w:rPr>
                <w:szCs w:val="22"/>
              </w:rPr>
              <w:t>Nav.</w:t>
            </w:r>
          </w:p>
        </w:tc>
      </w:tr>
    </w:tbl>
    <w:p w:rsidR="00C545FA" w:rsidRDefault="00C545FA"/>
    <w:p w:rsidR="000A650A" w:rsidRDefault="000A650A"/>
    <w:p w:rsidR="000A650A" w:rsidRDefault="000A650A"/>
    <w:p w:rsidR="000A650A" w:rsidRPr="0044104D" w:rsidRDefault="000A650A" w:rsidP="000A650A">
      <w:pPr>
        <w:pStyle w:val="Header"/>
        <w:tabs>
          <w:tab w:val="clear" w:pos="4153"/>
          <w:tab w:val="clear" w:pos="830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04D">
        <w:rPr>
          <w:sz w:val="28"/>
          <w:szCs w:val="28"/>
        </w:rPr>
        <w:tab/>
      </w:r>
      <w:r w:rsidR="00AC1B46">
        <w:rPr>
          <w:sz w:val="28"/>
          <w:szCs w:val="28"/>
        </w:rPr>
        <w:tab/>
      </w:r>
      <w:r w:rsidR="00AC1B46">
        <w:rPr>
          <w:sz w:val="28"/>
          <w:szCs w:val="28"/>
        </w:rPr>
        <w:tab/>
      </w:r>
      <w:r w:rsidR="00AC1B46">
        <w:rPr>
          <w:sz w:val="28"/>
          <w:szCs w:val="28"/>
        </w:rPr>
        <w:tab/>
      </w:r>
      <w:r w:rsidR="00AC1B46">
        <w:rPr>
          <w:sz w:val="28"/>
          <w:szCs w:val="28"/>
        </w:rPr>
        <w:tab/>
      </w:r>
      <w:r w:rsidR="00AC1B46">
        <w:rPr>
          <w:sz w:val="28"/>
          <w:szCs w:val="28"/>
        </w:rPr>
        <w:tab/>
      </w:r>
      <w:r>
        <w:rPr>
          <w:sz w:val="28"/>
          <w:szCs w:val="28"/>
        </w:rPr>
        <w:t>A. Vilks</w:t>
      </w:r>
    </w:p>
    <w:p w:rsidR="000A650A" w:rsidRDefault="000A650A" w:rsidP="000A650A">
      <w:pPr>
        <w:spacing w:before="120" w:after="120"/>
        <w:rPr>
          <w:sz w:val="28"/>
          <w:szCs w:val="28"/>
        </w:rPr>
      </w:pPr>
    </w:p>
    <w:p w:rsidR="000A650A" w:rsidRDefault="000A650A" w:rsidP="000A650A">
      <w:pPr>
        <w:spacing w:before="120" w:after="120"/>
        <w:rPr>
          <w:sz w:val="28"/>
          <w:szCs w:val="28"/>
        </w:rPr>
      </w:pPr>
    </w:p>
    <w:p w:rsidR="001D1F01" w:rsidRPr="00E200FE" w:rsidRDefault="00501A3A" w:rsidP="001D1F01">
      <w:pPr>
        <w:rPr>
          <w:sz w:val="20"/>
        </w:rPr>
      </w:pPr>
      <w:r>
        <w:rPr>
          <w:sz w:val="20"/>
        </w:rPr>
        <w:t>02</w:t>
      </w:r>
      <w:r w:rsidR="001D1F01" w:rsidRPr="00E200FE">
        <w:rPr>
          <w:sz w:val="20"/>
        </w:rPr>
        <w:t>.1</w:t>
      </w:r>
      <w:r>
        <w:rPr>
          <w:sz w:val="20"/>
        </w:rPr>
        <w:t>2</w:t>
      </w:r>
      <w:r w:rsidR="001D1F01" w:rsidRPr="00E200FE">
        <w:rPr>
          <w:sz w:val="20"/>
        </w:rPr>
        <w:t xml:space="preserve">.2013 </w:t>
      </w:r>
      <w:r>
        <w:rPr>
          <w:sz w:val="20"/>
        </w:rPr>
        <w:t>10</w:t>
      </w:r>
      <w:r w:rsidR="00FD0432">
        <w:rPr>
          <w:sz w:val="20"/>
        </w:rPr>
        <w:t>:</w:t>
      </w:r>
      <w:r>
        <w:rPr>
          <w:sz w:val="20"/>
        </w:rPr>
        <w:t>2</w:t>
      </w:r>
      <w:r w:rsidR="001D1F01" w:rsidRPr="00E200FE">
        <w:rPr>
          <w:sz w:val="20"/>
        </w:rPr>
        <w:t>0</w:t>
      </w:r>
    </w:p>
    <w:p w:rsidR="000A650A" w:rsidRPr="00E200FE" w:rsidRDefault="00D536AB" w:rsidP="000A650A">
      <w:pPr>
        <w:rPr>
          <w:sz w:val="20"/>
        </w:rPr>
      </w:pPr>
      <w:r>
        <w:rPr>
          <w:sz w:val="20"/>
        </w:rPr>
        <w:t>1245</w:t>
      </w:r>
    </w:p>
    <w:p w:rsidR="000A650A" w:rsidRPr="00E200FE" w:rsidRDefault="0036363E">
      <w:pPr>
        <w:rPr>
          <w:sz w:val="20"/>
        </w:rPr>
      </w:pPr>
      <w:r>
        <w:rPr>
          <w:sz w:val="20"/>
        </w:rPr>
        <w:t>Ozoliņa</w:t>
      </w:r>
    </w:p>
    <w:p w:rsidR="00613C34" w:rsidRPr="00E200FE" w:rsidRDefault="0036363E">
      <w:pPr>
        <w:rPr>
          <w:sz w:val="20"/>
        </w:rPr>
      </w:pPr>
      <w:r>
        <w:rPr>
          <w:sz w:val="20"/>
        </w:rPr>
        <w:t>67</w:t>
      </w:r>
      <w:r w:rsidRPr="0036363E">
        <w:rPr>
          <w:sz w:val="20"/>
        </w:rPr>
        <w:t>083823</w:t>
      </w:r>
      <w:r w:rsidR="00613C34" w:rsidRPr="00E200FE">
        <w:rPr>
          <w:sz w:val="20"/>
        </w:rPr>
        <w:t xml:space="preserve">; </w:t>
      </w:r>
      <w:r>
        <w:rPr>
          <w:sz w:val="20"/>
        </w:rPr>
        <w:t>Liga.Ozolina@fm.gov.lv</w:t>
      </w:r>
    </w:p>
    <w:sectPr w:rsidR="00613C34" w:rsidRPr="00E200FE" w:rsidSect="00834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B2" w:rsidRDefault="00AC7DB2" w:rsidP="000A650A">
      <w:r>
        <w:separator/>
      </w:r>
    </w:p>
  </w:endnote>
  <w:endnote w:type="continuationSeparator" w:id="0">
    <w:p w:rsidR="00AC7DB2" w:rsidRDefault="00AC7DB2" w:rsidP="000A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BA" w:rsidRDefault="005B1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0A" w:rsidRPr="00A41014" w:rsidRDefault="00A41014" w:rsidP="00A41014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B16BA">
      <w:rPr>
        <w:noProof/>
        <w:sz w:val="20"/>
      </w:rPr>
      <w:t>FMAnot_02122013_InstKl</w:t>
    </w:r>
    <w:r>
      <w:rPr>
        <w:sz w:val="20"/>
      </w:rPr>
      <w:fldChar w:fldCharType="end"/>
    </w:r>
    <w:r>
      <w:rPr>
        <w:sz w:val="20"/>
      </w:rPr>
      <w:t xml:space="preserve">; </w:t>
    </w:r>
    <w:r w:rsidR="00CE4411" w:rsidRPr="00CE4411">
      <w:rPr>
        <w:sz w:val="20"/>
      </w:rPr>
      <w:t>Ministru kabineta noteikumu projekt</w:t>
    </w:r>
    <w:r w:rsidR="00CE4411">
      <w:rPr>
        <w:sz w:val="20"/>
      </w:rPr>
      <w:t>a</w:t>
    </w:r>
    <w:r w:rsidR="00CE4411" w:rsidRPr="00CE4411">
      <w:rPr>
        <w:sz w:val="20"/>
      </w:rPr>
      <w:t xml:space="preserve"> „Noteikumi par institucionālo sektoru klasifikāciju”</w:t>
    </w:r>
    <w:r w:rsidR="00CE4411" w:rsidRPr="000A650A">
      <w:rPr>
        <w:sz w:val="20"/>
      </w:rPr>
      <w:t xml:space="preserve">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46" w:rsidRDefault="00AC1B46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B16BA">
      <w:rPr>
        <w:noProof/>
        <w:sz w:val="20"/>
      </w:rPr>
      <w:t>FMAnot_02122013_InstKl</w:t>
    </w:r>
    <w:r>
      <w:rPr>
        <w:sz w:val="20"/>
      </w:rPr>
      <w:fldChar w:fldCharType="end"/>
    </w:r>
    <w:r>
      <w:rPr>
        <w:sz w:val="20"/>
      </w:rPr>
      <w:t xml:space="preserve">; </w:t>
    </w:r>
    <w:r w:rsidR="00CE4411" w:rsidRPr="00CE4411">
      <w:rPr>
        <w:sz w:val="20"/>
      </w:rPr>
      <w:t>Ministru kabineta noteikumu projekt</w:t>
    </w:r>
    <w:r w:rsidR="00CE4411">
      <w:rPr>
        <w:sz w:val="20"/>
      </w:rPr>
      <w:t>a</w:t>
    </w:r>
    <w:r w:rsidR="00CE4411" w:rsidRPr="00CE4411">
      <w:rPr>
        <w:sz w:val="20"/>
      </w:rPr>
      <w:t xml:space="preserve"> „Noteikumi par institucionālo sektoru klasifikāciju”</w:t>
    </w:r>
    <w:r w:rsidR="001A0955" w:rsidRPr="000A650A">
      <w:rPr>
        <w:sz w:val="20"/>
      </w:rPr>
      <w:t xml:space="preserve"> </w:t>
    </w:r>
    <w:r w:rsidRPr="000A650A">
      <w:rPr>
        <w:sz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B2" w:rsidRDefault="00AC7DB2" w:rsidP="000A650A">
      <w:r>
        <w:separator/>
      </w:r>
    </w:p>
  </w:footnote>
  <w:footnote w:type="continuationSeparator" w:id="0">
    <w:p w:rsidR="00AC7DB2" w:rsidRDefault="00AC7DB2" w:rsidP="000A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BA" w:rsidRDefault="005B1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514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09FF" w:rsidRDefault="00A809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9FF" w:rsidRDefault="00A809F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BA" w:rsidRDefault="005B1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6E2"/>
    <w:multiLevelType w:val="hybridMultilevel"/>
    <w:tmpl w:val="14DED43E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28E3DB1"/>
    <w:multiLevelType w:val="hybridMultilevel"/>
    <w:tmpl w:val="F4EE0310"/>
    <w:lvl w:ilvl="0" w:tplc="0426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3C996EE5"/>
    <w:multiLevelType w:val="hybridMultilevel"/>
    <w:tmpl w:val="B53C5D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F7E87"/>
    <w:multiLevelType w:val="hybridMultilevel"/>
    <w:tmpl w:val="C85883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911AC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5425B5"/>
    <w:multiLevelType w:val="hybridMultilevel"/>
    <w:tmpl w:val="A23EA186"/>
    <w:lvl w:ilvl="0" w:tplc="042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616A66DD"/>
    <w:multiLevelType w:val="hybridMultilevel"/>
    <w:tmpl w:val="1024B4F0"/>
    <w:lvl w:ilvl="0" w:tplc="0426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40"/>
    <w:rsid w:val="000245C3"/>
    <w:rsid w:val="000545FE"/>
    <w:rsid w:val="00070478"/>
    <w:rsid w:val="000A650A"/>
    <w:rsid w:val="000A6FAF"/>
    <w:rsid w:val="000C1A9B"/>
    <w:rsid w:val="000F594B"/>
    <w:rsid w:val="00104CFB"/>
    <w:rsid w:val="001054B9"/>
    <w:rsid w:val="001165AA"/>
    <w:rsid w:val="0019658F"/>
    <w:rsid w:val="001A0955"/>
    <w:rsid w:val="001D1F01"/>
    <w:rsid w:val="001F5EFE"/>
    <w:rsid w:val="00222CE7"/>
    <w:rsid w:val="00222DD4"/>
    <w:rsid w:val="00223806"/>
    <w:rsid w:val="00226693"/>
    <w:rsid w:val="002426B3"/>
    <w:rsid w:val="00244D8F"/>
    <w:rsid w:val="0024724A"/>
    <w:rsid w:val="002A7132"/>
    <w:rsid w:val="002C410F"/>
    <w:rsid w:val="002E1151"/>
    <w:rsid w:val="002E5BF5"/>
    <w:rsid w:val="0030435E"/>
    <w:rsid w:val="00313AB1"/>
    <w:rsid w:val="00334E4D"/>
    <w:rsid w:val="0035355F"/>
    <w:rsid w:val="00354B0D"/>
    <w:rsid w:val="0036363E"/>
    <w:rsid w:val="00365252"/>
    <w:rsid w:val="003B0CB6"/>
    <w:rsid w:val="003D5F60"/>
    <w:rsid w:val="003E59C8"/>
    <w:rsid w:val="00486199"/>
    <w:rsid w:val="004D014C"/>
    <w:rsid w:val="004E3D93"/>
    <w:rsid w:val="004F23E8"/>
    <w:rsid w:val="00501A3A"/>
    <w:rsid w:val="00503FB8"/>
    <w:rsid w:val="00504524"/>
    <w:rsid w:val="00513002"/>
    <w:rsid w:val="00533470"/>
    <w:rsid w:val="0059673B"/>
    <w:rsid w:val="005B16BA"/>
    <w:rsid w:val="005B6E7C"/>
    <w:rsid w:val="005F30F4"/>
    <w:rsid w:val="005F3688"/>
    <w:rsid w:val="005F4A28"/>
    <w:rsid w:val="00613C34"/>
    <w:rsid w:val="00632631"/>
    <w:rsid w:val="00642E21"/>
    <w:rsid w:val="0065117B"/>
    <w:rsid w:val="00654836"/>
    <w:rsid w:val="00667720"/>
    <w:rsid w:val="006705CC"/>
    <w:rsid w:val="006C333A"/>
    <w:rsid w:val="006E4C6E"/>
    <w:rsid w:val="0071239D"/>
    <w:rsid w:val="007154C5"/>
    <w:rsid w:val="00720B41"/>
    <w:rsid w:val="00734772"/>
    <w:rsid w:val="007348C1"/>
    <w:rsid w:val="00763567"/>
    <w:rsid w:val="007D3DEE"/>
    <w:rsid w:val="007E27CB"/>
    <w:rsid w:val="00834719"/>
    <w:rsid w:val="00856048"/>
    <w:rsid w:val="00857CA5"/>
    <w:rsid w:val="008A2226"/>
    <w:rsid w:val="008A4AEC"/>
    <w:rsid w:val="008D4E8A"/>
    <w:rsid w:val="008D63A9"/>
    <w:rsid w:val="00911079"/>
    <w:rsid w:val="00945391"/>
    <w:rsid w:val="00950959"/>
    <w:rsid w:val="0096669C"/>
    <w:rsid w:val="0098673D"/>
    <w:rsid w:val="009B47F1"/>
    <w:rsid w:val="00A40DE0"/>
    <w:rsid w:val="00A41014"/>
    <w:rsid w:val="00A41AB5"/>
    <w:rsid w:val="00A425E9"/>
    <w:rsid w:val="00A456E3"/>
    <w:rsid w:val="00A45B77"/>
    <w:rsid w:val="00A47246"/>
    <w:rsid w:val="00A57364"/>
    <w:rsid w:val="00A715CF"/>
    <w:rsid w:val="00A77FB5"/>
    <w:rsid w:val="00A809FF"/>
    <w:rsid w:val="00A863E7"/>
    <w:rsid w:val="00A911AA"/>
    <w:rsid w:val="00AA7C74"/>
    <w:rsid w:val="00AC1B46"/>
    <w:rsid w:val="00AC7DB2"/>
    <w:rsid w:val="00AC7F5E"/>
    <w:rsid w:val="00AE2F83"/>
    <w:rsid w:val="00AF0540"/>
    <w:rsid w:val="00B114D7"/>
    <w:rsid w:val="00B14F25"/>
    <w:rsid w:val="00B62A9F"/>
    <w:rsid w:val="00B71890"/>
    <w:rsid w:val="00B92ED4"/>
    <w:rsid w:val="00BC1300"/>
    <w:rsid w:val="00BF19F8"/>
    <w:rsid w:val="00C01E07"/>
    <w:rsid w:val="00C2232A"/>
    <w:rsid w:val="00C32CA1"/>
    <w:rsid w:val="00C545FA"/>
    <w:rsid w:val="00C64C6A"/>
    <w:rsid w:val="00C96050"/>
    <w:rsid w:val="00CA0BA3"/>
    <w:rsid w:val="00CB0AA2"/>
    <w:rsid w:val="00CD30A8"/>
    <w:rsid w:val="00CE4411"/>
    <w:rsid w:val="00CF7149"/>
    <w:rsid w:val="00D02350"/>
    <w:rsid w:val="00D03420"/>
    <w:rsid w:val="00D048B2"/>
    <w:rsid w:val="00D1368E"/>
    <w:rsid w:val="00D36E6E"/>
    <w:rsid w:val="00D536AB"/>
    <w:rsid w:val="00D87BAB"/>
    <w:rsid w:val="00DA2D42"/>
    <w:rsid w:val="00DB267B"/>
    <w:rsid w:val="00DC11AB"/>
    <w:rsid w:val="00DE50BC"/>
    <w:rsid w:val="00E05051"/>
    <w:rsid w:val="00E200FE"/>
    <w:rsid w:val="00E63907"/>
    <w:rsid w:val="00E82B57"/>
    <w:rsid w:val="00EF4691"/>
    <w:rsid w:val="00F0363F"/>
    <w:rsid w:val="00F416EC"/>
    <w:rsid w:val="00F57316"/>
    <w:rsid w:val="00F65AD5"/>
    <w:rsid w:val="00F832FB"/>
    <w:rsid w:val="00F8687B"/>
    <w:rsid w:val="00F9421C"/>
    <w:rsid w:val="00FB5641"/>
    <w:rsid w:val="00FD0432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B0F0019-D9A2-4EEE-AD66-4E4240FF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40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E3D93"/>
    <w:pPr>
      <w:keepNext/>
      <w:spacing w:before="240" w:after="60"/>
      <w:ind w:firstLine="709"/>
      <w:jc w:val="both"/>
      <w:outlineLvl w:val="0"/>
    </w:pPr>
    <w:rPr>
      <w:rFonts w:eastAsiaTheme="minorHAnsi" w:cstheme="minorBidi"/>
      <w:b/>
      <w:kern w:val="28"/>
      <w:sz w:val="4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E3D9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E3D93"/>
    <w:pPr>
      <w:keepNext/>
      <w:spacing w:before="240" w:after="60"/>
      <w:ind w:firstLine="709"/>
      <w:jc w:val="both"/>
      <w:outlineLvl w:val="2"/>
    </w:pPr>
    <w:rPr>
      <w:rFonts w:ascii="Arial" w:hAnsi="Arial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devumi">
    <w:name w:val="izdevumi"/>
    <w:basedOn w:val="Normal"/>
    <w:qFormat/>
    <w:rsid w:val="004E3D93"/>
    <w:pPr>
      <w:widowControl w:val="0"/>
      <w:spacing w:before="120" w:after="120"/>
      <w:ind w:left="567"/>
      <w:jc w:val="both"/>
    </w:pPr>
    <w:rPr>
      <w:i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4E3D93"/>
    <w:rPr>
      <w:b/>
      <w:kern w:val="28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4E3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E3D93"/>
    <w:rPr>
      <w:rFonts w:ascii="Arial" w:eastAsia="Times New Roman" w:hAnsi="Arial" w:cs="Times New Roman"/>
      <w:sz w:val="24"/>
      <w:szCs w:val="20"/>
      <w:lang w:val="x-none"/>
    </w:rPr>
  </w:style>
  <w:style w:type="paragraph" w:styleId="Title">
    <w:name w:val="Title"/>
    <w:basedOn w:val="Normal"/>
    <w:link w:val="TitleChar"/>
    <w:uiPriority w:val="10"/>
    <w:qFormat/>
    <w:rsid w:val="004E3D93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E3D93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4E3D93"/>
    <w:rPr>
      <w:rFonts w:ascii="Times New Roman" w:hAnsi="Times New Roman"/>
      <w:i w:val="0"/>
      <w:iCs/>
      <w:sz w:val="22"/>
    </w:rPr>
  </w:style>
  <w:style w:type="paragraph" w:styleId="NoSpacing">
    <w:name w:val="No Spacing"/>
    <w:uiPriority w:val="1"/>
    <w:qFormat/>
    <w:rsid w:val="004E3D9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3D93"/>
    <w:pPr>
      <w:spacing w:after="120"/>
      <w:ind w:left="720" w:firstLine="709"/>
      <w:contextualSpacing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naisf">
    <w:name w:val="naisf"/>
    <w:basedOn w:val="Normal"/>
    <w:rsid w:val="00AF054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AF0540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AF0540"/>
    <w:pPr>
      <w:spacing w:before="75" w:after="75"/>
      <w:jc w:val="right"/>
    </w:pPr>
  </w:style>
  <w:style w:type="paragraph" w:customStyle="1" w:styleId="naiskr">
    <w:name w:val="naiskr"/>
    <w:basedOn w:val="Normal"/>
    <w:rsid w:val="00AF0540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AF05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0540"/>
    <w:rPr>
      <w:rFonts w:eastAsia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45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6E3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6E3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E3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0A650A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650A"/>
    <w:rPr>
      <w:rFonts w:eastAsia="Times New Roman" w:cs="Times New Roman"/>
      <w:sz w:val="24"/>
      <w:szCs w:val="20"/>
    </w:rPr>
  </w:style>
  <w:style w:type="character" w:styleId="Hyperlink">
    <w:name w:val="Hyperlink"/>
    <w:rsid w:val="000A650A"/>
    <w:rPr>
      <w:rFonts w:ascii="Garamond" w:hAnsi="Garamond"/>
      <w:noProof w:val="0"/>
      <w:color w:val="0000FF"/>
      <w:u w:val="single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A65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0A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B6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c">
    <w:name w:val="naisc"/>
    <w:basedOn w:val="Normal"/>
    <w:rsid w:val="002A71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EEED-3F0F-44B6-8C8B-1179BB9A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6389</Words>
  <Characters>3643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institucionālo sektoru klasifikāciju” </vt:lpstr>
    </vt:vector>
  </TitlesOfParts>
  <Company>Finanšu ministrija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institucionālo sektoru klasifikāciju” </dc:title>
  <dc:subject>anotācija</dc:subject>
  <dc:creator>Līga Ozoliņa</dc:creator>
  <cp:keywords/>
  <dc:description>tālrunis 67083823
Liga.Ozolina@fm.gov.lv</dc:description>
  <cp:lastModifiedBy>Ilze Bule FPD</cp:lastModifiedBy>
  <cp:revision>31</cp:revision>
  <cp:lastPrinted>2013-10-18T09:48:00Z</cp:lastPrinted>
  <dcterms:created xsi:type="dcterms:W3CDTF">2013-10-22T13:13:00Z</dcterms:created>
  <dcterms:modified xsi:type="dcterms:W3CDTF">2013-12-02T10:29:00Z</dcterms:modified>
</cp:coreProperties>
</file>