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39" w:rsidRPr="00967BD4" w:rsidRDefault="00906967" w:rsidP="00906967">
      <w:pPr>
        <w:pStyle w:val="Heading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OLE_LINK1"/>
      <w:bookmarkStart w:id="1" w:name="OLE_LINK2"/>
      <w:r w:rsidRPr="00967BD4">
        <w:rPr>
          <w:rFonts w:ascii="Times New Roman" w:hAnsi="Times New Roman" w:cs="Times New Roman"/>
          <w:color w:val="auto"/>
          <w:sz w:val="26"/>
          <w:szCs w:val="26"/>
        </w:rPr>
        <w:t xml:space="preserve">           </w:t>
      </w:r>
      <w:r w:rsidR="0009673C" w:rsidRPr="00967BD4">
        <w:rPr>
          <w:rFonts w:ascii="Times New Roman" w:hAnsi="Times New Roman" w:cs="Times New Roman"/>
          <w:color w:val="auto"/>
          <w:sz w:val="26"/>
          <w:szCs w:val="26"/>
        </w:rPr>
        <w:t>Ministru kabineta n</w:t>
      </w:r>
      <w:r w:rsidR="003F4905" w:rsidRPr="00967BD4">
        <w:rPr>
          <w:rFonts w:ascii="Times New Roman" w:hAnsi="Times New Roman" w:cs="Times New Roman"/>
          <w:color w:val="auto"/>
          <w:sz w:val="26"/>
          <w:szCs w:val="26"/>
        </w:rPr>
        <w:t>oteikumu projekta</w:t>
      </w:r>
      <w:bookmarkStart w:id="2" w:name="OLE_LINK5"/>
      <w:bookmarkStart w:id="3" w:name="OLE_LINK6"/>
      <w:r w:rsidR="00041339" w:rsidRPr="00967BD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bookmarkEnd w:id="0"/>
    <w:bookmarkEnd w:id="1"/>
    <w:bookmarkEnd w:id="2"/>
    <w:bookmarkEnd w:id="3"/>
    <w:p w:rsidR="002E2B4C" w:rsidRPr="00626EC8" w:rsidRDefault="007D1793" w:rsidP="002E2B4C">
      <w:p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“</w:t>
      </w:r>
      <w:r w:rsidR="002E2B4C" w:rsidRPr="00626EC8">
        <w:rPr>
          <w:rFonts w:ascii="Times New Roman" w:hAnsi="Times New Roman" w:cs="Times New Roman"/>
          <w:b/>
          <w:sz w:val="26"/>
          <w:szCs w:val="26"/>
        </w:rPr>
        <w:t xml:space="preserve">Grozījumi Ministru kabineta 2011.gada </w:t>
      </w:r>
      <w:r w:rsidR="0009673C" w:rsidRPr="00626EC8">
        <w:rPr>
          <w:rFonts w:ascii="Times New Roman" w:hAnsi="Times New Roman" w:cs="Times New Roman"/>
          <w:b/>
          <w:sz w:val="26"/>
          <w:szCs w:val="26"/>
        </w:rPr>
        <w:t xml:space="preserve">27.septembra noteikumos Nr.731 </w:t>
      </w:r>
      <w:r>
        <w:rPr>
          <w:rFonts w:ascii="Times New Roman" w:hAnsi="Times New Roman" w:cs="Times New Roman"/>
          <w:b/>
          <w:sz w:val="26"/>
          <w:szCs w:val="26"/>
        </w:rPr>
        <w:t>“</w:t>
      </w:r>
      <w:r w:rsidR="002E2B4C" w:rsidRPr="00626EC8">
        <w:rPr>
          <w:rFonts w:ascii="Times New Roman" w:hAnsi="Times New Roman" w:cs="Times New Roman"/>
          <w:b/>
          <w:bCs/>
          <w:sz w:val="26"/>
          <w:szCs w:val="26"/>
        </w:rPr>
        <w:t>Noteikumi par akcīzes preču apvienotā Kopienas tarifa (TARIC) nacionālajiem kodiem un to piemērošanas kārtību</w:t>
      </w:r>
      <w:r w:rsidR="002E2B4C" w:rsidRPr="00626EC8">
        <w:rPr>
          <w:rFonts w:ascii="Times New Roman" w:hAnsi="Times New Roman" w:cs="Times New Roman"/>
          <w:b/>
          <w:sz w:val="26"/>
          <w:szCs w:val="26"/>
        </w:rPr>
        <w:t>”</w:t>
      </w:r>
      <w:r w:rsidR="00E37521" w:rsidRPr="00626EC8">
        <w:rPr>
          <w:rFonts w:ascii="Times New Roman" w:hAnsi="Times New Roman" w:cs="Times New Roman"/>
          <w:b/>
          <w:sz w:val="26"/>
          <w:szCs w:val="26"/>
        </w:rPr>
        <w:t>”</w:t>
      </w:r>
      <w:r w:rsidR="002E2B4C" w:rsidRPr="00626E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6070" w:rsidRPr="00626EC8" w:rsidRDefault="00C26070" w:rsidP="002E2B4C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626EC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sākotnējās ietekmes novērtējuma ziņojums (anotācija)</w:t>
      </w:r>
    </w:p>
    <w:p w:rsidR="00EA67A7" w:rsidRPr="00626EC8" w:rsidRDefault="00EA67A7" w:rsidP="00EA67A7">
      <w:pPr>
        <w:spacing w:after="0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4" w:name="_GoBack"/>
      <w:bookmarkEnd w:id="4"/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5"/>
        <w:gridCol w:w="2552"/>
        <w:gridCol w:w="5812"/>
      </w:tblGrid>
      <w:tr w:rsidR="00C26070" w:rsidRPr="000B4762" w:rsidTr="00C04F50">
        <w:trPr>
          <w:tblCellSpacing w:w="0" w:type="dxa"/>
        </w:trPr>
        <w:tc>
          <w:tcPr>
            <w:tcW w:w="8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070" w:rsidRPr="00626EC8" w:rsidRDefault="00C26070" w:rsidP="004132DF">
            <w:pPr>
              <w:spacing w:before="100" w:beforeAutospacing="1" w:after="100" w:afterAutospacing="1" w:line="40" w:lineRule="atLeast"/>
              <w:ind w:left="0" w:firstLineChars="709" w:firstLine="1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C26070" w:rsidRPr="000B4762" w:rsidTr="009713B6">
        <w:trPr>
          <w:trHeight w:val="286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70" w:rsidRPr="00626EC8" w:rsidRDefault="00C26070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070" w:rsidRPr="00626EC8" w:rsidRDefault="00C26070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A25" w:rsidRPr="00626EC8" w:rsidRDefault="00F04A25" w:rsidP="008D5ADE">
            <w:pPr>
              <w:spacing w:after="0"/>
              <w:ind w:left="0" w:firstLine="72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8D5ADE">
              <w:rPr>
                <w:rFonts w:ascii="Times New Roman" w:hAnsi="Times New Roman" w:cs="Times New Roman"/>
                <w:i/>
                <w:sz w:val="26"/>
                <w:szCs w:val="26"/>
                <w:lang w:eastAsia="en-GB"/>
              </w:rPr>
              <w:t>Euro</w:t>
            </w:r>
            <w:r w:rsidRPr="00626EC8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 ieviešanas kārtības likuma 30.panta pirmā daļa</w:t>
            </w:r>
            <w:r w:rsidR="00C96235" w:rsidRPr="00626EC8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 xml:space="preserve">, </w:t>
            </w:r>
            <w:r w:rsidR="00C96235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Ministru kabineta 2012.gada 27.jūnija rīkojuma Nr.282 </w:t>
            </w:r>
            <w:r w:rsidR="00C037F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C96235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Par </w:t>
            </w:r>
            <w:r w:rsidR="009A0AE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C96235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Koncepciju par normatīvo aktu sakārtošanu saistībā ar eiro ieviešanu Latvijā”” 1.1.2.apakšpunkts</w:t>
            </w:r>
            <w:r w:rsidR="00C037F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</w:t>
            </w:r>
            <w:r w:rsidR="00C96235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7.1.apakšpunkts</w:t>
            </w:r>
            <w:r w:rsidRPr="00626EC8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.</w:t>
            </w:r>
          </w:p>
          <w:p w:rsidR="00F8788B" w:rsidRPr="00626EC8" w:rsidRDefault="0073710A" w:rsidP="00C96235">
            <w:pPr>
              <w:spacing w:after="0"/>
              <w:ind w:left="0" w:right="-1"/>
              <w:rPr>
                <w:sz w:val="26"/>
                <w:szCs w:val="26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2D7DCA" w:rsidRPr="000B4762" w:rsidTr="00C04F50">
        <w:trPr>
          <w:trHeight w:val="472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Pašreizējā situācija un problēmas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872" w:rsidRPr="00626EC8" w:rsidRDefault="00987260" w:rsidP="008D5ADE">
            <w:pPr>
              <w:spacing w:after="0"/>
              <w:ind w:left="0" w:firstLine="720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Šobrīd spēkā esoš</w:t>
            </w:r>
            <w:r w:rsidR="00C96235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o</w:t>
            </w:r>
            <w:r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Ministru kabineta 2011.gada 27.septembra noteikumu Nr.731 </w:t>
            </w:r>
            <w:r w:rsidR="00C037F0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Noteikumi par akcīzes preču apvienotā Kopienas tarifa (TARIC) nacionālajiem kodiem un to piemērošanas kārtību” (turpmāk –</w:t>
            </w:r>
            <w:r w:rsidR="0013333F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C96235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M</w:t>
            </w:r>
            <w:r w:rsidR="001D0F2B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inistru kabineta</w:t>
            </w:r>
            <w:r w:rsidR="00C96235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13333F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2011.gada 27.septembra </w:t>
            </w:r>
            <w:r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noteikumi Nr.731) 1.</w:t>
            </w:r>
            <w:r w:rsidR="00C037F0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–</w:t>
            </w:r>
            <w:r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4.</w:t>
            </w:r>
            <w:r w:rsidR="00C037F0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pielikum</w:t>
            </w:r>
            <w:r w:rsidR="00C037F0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ā</w:t>
            </w:r>
            <w:r w:rsidR="00C037F0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C96235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ir </w:t>
            </w:r>
            <w:r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noteikti akcīzes preču apvienotā Kopienas tarifa (TARIC) nacionālie kodi</w:t>
            </w:r>
            <w:r w:rsidR="009D0714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, kas</w:t>
            </w:r>
            <w:r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ir balstīti uz Padomes </w:t>
            </w:r>
            <w:r w:rsidR="00C037F0" w:rsidRPr="008D5ADE">
              <w:rPr>
                <w:rStyle w:val="st1"/>
                <w:rFonts w:ascii="Times New Roman" w:hAnsi="Times New Roman" w:cs="Times New Roman"/>
                <w:color w:val="222222"/>
                <w:sz w:val="26"/>
                <w:szCs w:val="26"/>
              </w:rPr>
              <w:t>1987.gada 23.jūlija</w:t>
            </w:r>
            <w:r w:rsidR="00C037F0">
              <w:rPr>
                <w:rStyle w:val="st1"/>
                <w:rFonts w:ascii="Arial" w:hAnsi="Arial" w:cs="Arial"/>
                <w:color w:val="222222"/>
              </w:rPr>
              <w:t xml:space="preserve"> </w:t>
            </w:r>
            <w:r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Regulas (EEK) Nr.2658/87 par tarifu un statistikas nomenklatūru un kopējo muitas tarifu I pielikumā noteiktajiem preču Kombinētās nomenklatūras (KN) kodiem</w:t>
            </w:r>
            <w:r w:rsidR="009D0714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r w:rsidR="0073710A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akcīzes nodokļa likmes </w:t>
            </w:r>
            <w:r w:rsidR="00DC5235" w:rsidRPr="00626EC8">
              <w:rPr>
                <w:rFonts w:ascii="Times New Roman" w:hAnsi="Times New Roman" w:cs="Times New Roman"/>
                <w:sz w:val="26"/>
                <w:szCs w:val="26"/>
              </w:rPr>
              <w:t>akcīzes precēm (</w:t>
            </w:r>
            <w:r w:rsidR="0073710A" w:rsidRPr="00626EC8">
              <w:rPr>
                <w:rFonts w:ascii="Times New Roman" w:hAnsi="Times New Roman" w:cs="Times New Roman"/>
                <w:sz w:val="26"/>
                <w:szCs w:val="26"/>
              </w:rPr>
              <w:t>kafijai un bezalkoholiskajiem</w:t>
            </w:r>
            <w:r w:rsidR="007A2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10A" w:rsidRPr="00626EC8">
              <w:rPr>
                <w:rFonts w:ascii="Times New Roman" w:hAnsi="Times New Roman" w:cs="Times New Roman"/>
                <w:sz w:val="26"/>
                <w:szCs w:val="26"/>
              </w:rPr>
              <w:t>dzērieniem,</w:t>
            </w:r>
            <w:r w:rsidR="007A2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3872" w:rsidRPr="00626EC8">
              <w:rPr>
                <w:rFonts w:ascii="Times New Roman" w:hAnsi="Times New Roman" w:cs="Times New Roman"/>
                <w:sz w:val="26"/>
                <w:szCs w:val="26"/>
              </w:rPr>
              <w:t>tabakas izstrādājumiem, alkoholiskajiem dzērieniem, naftas produktiem un dabasgāzei</w:t>
            </w:r>
            <w:r w:rsidR="00DC5235" w:rsidRPr="00626E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33872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 saskaņā ar likuma </w:t>
            </w:r>
            <w:r w:rsidR="00C037F0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E33872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Par akcīzes nodokli” </w:t>
            </w:r>
            <w:r w:rsidR="006A2423" w:rsidRPr="00626EC8">
              <w:rPr>
                <w:rFonts w:ascii="Times New Roman" w:hAnsi="Times New Roman" w:cs="Times New Roman"/>
                <w:sz w:val="26"/>
                <w:szCs w:val="26"/>
              </w:rPr>
              <w:t>12., 13., 14., 15., un 15.</w:t>
            </w:r>
            <w:r w:rsidR="006A2423" w:rsidRPr="00626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432C6D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 pantā un likuma pārejas noteikumos </w:t>
            </w:r>
            <w:r w:rsidR="00E33872" w:rsidRPr="00626EC8">
              <w:rPr>
                <w:rFonts w:ascii="Times New Roman" w:hAnsi="Times New Roman" w:cs="Times New Roman"/>
                <w:sz w:val="26"/>
                <w:szCs w:val="26"/>
              </w:rPr>
              <w:t>noteiktām prasībām</w:t>
            </w:r>
            <w:r w:rsidR="009D0714" w:rsidRPr="00626EC8">
              <w:rPr>
                <w:rFonts w:ascii="Times New Roman" w:hAnsi="Times New Roman" w:cs="Times New Roman"/>
                <w:sz w:val="26"/>
                <w:szCs w:val="26"/>
              </w:rPr>
              <w:t>, kas</w:t>
            </w:r>
            <w:r w:rsidR="00E33872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 ir izteikta</w:t>
            </w:r>
            <w:r w:rsidR="00B476C3" w:rsidRPr="00626EC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33872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 latos.</w:t>
            </w:r>
          </w:p>
          <w:p w:rsidR="009D0714" w:rsidRPr="00626EC8" w:rsidRDefault="009D0714" w:rsidP="008D5ADE">
            <w:pPr>
              <w:spacing w:after="0"/>
              <w:ind w:left="0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626EC8">
              <w:rPr>
                <w:rFonts w:ascii="Times New Roman" w:hAnsi="Times New Roman" w:cs="Times New Roman"/>
                <w:bCs/>
                <w:sz w:val="26"/>
                <w:szCs w:val="26"/>
              </w:rPr>
              <w:t>Deklarācijas par Valda Dombrovska vadītā Ministru kabineta iecerēto darbību II sadaļas 1.punkts paredz, ka Latvija plāno iekļauties e</w:t>
            </w:r>
            <w:r w:rsidR="00C037F0">
              <w:rPr>
                <w:rFonts w:ascii="Times New Roman" w:hAnsi="Times New Roman" w:cs="Times New Roman"/>
                <w:bCs/>
                <w:sz w:val="26"/>
                <w:szCs w:val="26"/>
              </w:rPr>
              <w:t>i</w:t>
            </w:r>
            <w:r w:rsidRPr="00626EC8">
              <w:rPr>
                <w:rFonts w:ascii="Times New Roman" w:hAnsi="Times New Roman" w:cs="Times New Roman"/>
                <w:bCs/>
                <w:sz w:val="26"/>
                <w:szCs w:val="26"/>
              </w:rPr>
              <w:t>ro zonā jau 2014.gadā. Ņemot vērā, ka pēc iestāšanās e</w:t>
            </w:r>
            <w:r w:rsidR="00C037F0">
              <w:rPr>
                <w:rFonts w:ascii="Times New Roman" w:hAnsi="Times New Roman" w:cs="Times New Roman"/>
                <w:bCs/>
                <w:sz w:val="26"/>
                <w:szCs w:val="26"/>
              </w:rPr>
              <w:t>i</w:t>
            </w:r>
            <w:r w:rsidRPr="00626E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ro zonā likumīgais maksāšanas līdzeklis būs nevis lats, bet </w:t>
            </w:r>
            <w:r w:rsidRPr="00626EC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euro</w:t>
            </w:r>
            <w:r w:rsidRPr="00626E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ir nepieciešams nodrošināt tiesību aktu pielāgošanu </w:t>
            </w:r>
            <w:r w:rsidRPr="00626EC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euro</w:t>
            </w:r>
            <w:r w:rsidRPr="00626E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ieviešanai Latvijā</w:t>
            </w:r>
          </w:p>
          <w:p w:rsidR="00C17DED" w:rsidRPr="00626EC8" w:rsidRDefault="00DF7176" w:rsidP="008D5ADE">
            <w:pPr>
              <w:spacing w:after="0"/>
              <w:ind w:left="0"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Ņemot vērā </w:t>
            </w:r>
            <w:r w:rsidR="009D0714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minēto</w:t>
            </w: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nepieciešams</w:t>
            </w:r>
            <w:r w:rsidR="007A214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9D0714" w:rsidRPr="00626EC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1D0F2B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inistru kabineta </w:t>
            </w:r>
            <w:r w:rsidR="0013333F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2011.gada 27.septembra</w:t>
            </w:r>
            <w:r w:rsidR="0013333F" w:rsidRPr="0013333F" w:rsidDel="001D0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noteikumu Nr.731 </w:t>
            </w:r>
            <w:r w:rsidR="00531B5D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037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26EC8">
              <w:rPr>
                <w:rFonts w:ascii="Times New Roman" w:hAnsi="Times New Roman" w:cs="Times New Roman"/>
                <w:sz w:val="26"/>
                <w:szCs w:val="26"/>
              </w:rPr>
              <w:t>4.pielikuma</w:t>
            </w:r>
            <w:r w:rsidR="00B50D45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4.ailē norādītās akcīzes nodokļa likmes latos izteikt </w:t>
            </w:r>
            <w:r w:rsidRPr="00626EC8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="009D0714" w:rsidRPr="00626E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D0714" w:rsidRPr="00626EC8">
              <w:rPr>
                <w:rFonts w:ascii="Times New Roman" w:hAnsi="Times New Roman" w:cs="Times New Roman"/>
                <w:sz w:val="26"/>
                <w:szCs w:val="26"/>
              </w:rPr>
              <w:t>tādējādi</w:t>
            </w:r>
            <w:r w:rsidR="00E33872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0714" w:rsidRPr="00626EC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9D0714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odrošināt minētā tiesību akta pielāgošanu </w:t>
            </w:r>
            <w:r w:rsidR="009D0714" w:rsidRPr="00626EC8">
              <w:rPr>
                <w:rFonts w:ascii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="009D0714" w:rsidRPr="00626EC8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ieviešanai.</w:t>
            </w:r>
          </w:p>
        </w:tc>
      </w:tr>
      <w:tr w:rsidR="002D7DCA" w:rsidRPr="000B4762" w:rsidTr="00C04F50">
        <w:trPr>
          <w:trHeight w:val="651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ED5857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Saistītie politikas ietekmes novērtējumi un pētījumi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352B9" w:rsidP="00626EC8">
            <w:pPr>
              <w:spacing w:before="100" w:beforeAutospacing="1" w:after="100" w:afterAutospacing="1" w:line="40" w:lineRule="atLeast"/>
              <w:ind w:left="137" w:firstLineChars="57" w:firstLine="148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</w:t>
            </w:r>
          </w:p>
        </w:tc>
      </w:tr>
      <w:tr w:rsidR="002D7DCA" w:rsidRPr="000B4762" w:rsidTr="00C04F50">
        <w:trPr>
          <w:trHeight w:val="384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25F" w:rsidRPr="00626EC8" w:rsidRDefault="0009673C" w:rsidP="0009673C">
            <w:pPr>
              <w:spacing w:after="0"/>
              <w:ind w:left="45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Tiesiskā </w:t>
            </w:r>
            <w:r w:rsidR="002D7DCA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regulējuma mērķis un būtība</w:t>
            </w:r>
          </w:p>
          <w:p w:rsidR="002D7DCA" w:rsidRPr="00626EC8" w:rsidRDefault="002D7DCA" w:rsidP="00085163">
            <w:pPr>
              <w:spacing w:after="0"/>
              <w:ind w:left="45" w:firstLine="22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20E" w:rsidRDefault="009D0714" w:rsidP="00A3743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4DEB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1D0F2B" w:rsidRPr="00104DEB">
              <w:rPr>
                <w:rFonts w:ascii="Times New Roman" w:hAnsi="Times New Roman" w:cs="Times New Roman"/>
                <w:sz w:val="26"/>
                <w:szCs w:val="26"/>
              </w:rPr>
              <w:t>inistru kabineta</w:t>
            </w:r>
            <w:r w:rsidR="004B620E" w:rsidRPr="0010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B5D" w:rsidRPr="00104DEB">
              <w:rPr>
                <w:rFonts w:ascii="Times New Roman" w:hAnsi="Times New Roman" w:cs="Times New Roman"/>
                <w:sz w:val="26"/>
                <w:szCs w:val="26"/>
              </w:rPr>
              <w:t xml:space="preserve">noteikumu projekta mērķis ir </w:t>
            </w:r>
            <w:r w:rsidR="004B620E" w:rsidRPr="00104DEB">
              <w:rPr>
                <w:rFonts w:ascii="Times New Roman" w:hAnsi="Times New Roman" w:cs="Times New Roman"/>
                <w:sz w:val="26"/>
                <w:szCs w:val="26"/>
              </w:rPr>
              <w:t>aizstāt</w:t>
            </w:r>
            <w:r w:rsidR="004B620E" w:rsidRPr="00104DEB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Ministru kabineta 2011.gada 27.septembra noteikumu Nr.731</w:t>
            </w:r>
            <w:r w:rsidR="004B620E" w:rsidRPr="00104DEB">
              <w:rPr>
                <w:rFonts w:ascii="Times New Roman" w:hAnsi="Times New Roman" w:cs="Times New Roman"/>
                <w:sz w:val="26"/>
                <w:szCs w:val="26"/>
              </w:rPr>
              <w:t xml:space="preserve"> 1.–4.pielikumā </w:t>
            </w:r>
            <w:r w:rsidR="004619FA" w:rsidRPr="00104DEB">
              <w:rPr>
                <w:rFonts w:ascii="Times New Roman" w:hAnsi="Times New Roman" w:cs="Times New Roman"/>
                <w:sz w:val="26"/>
                <w:szCs w:val="26"/>
              </w:rPr>
              <w:t>noteiktās</w:t>
            </w:r>
            <w:r w:rsidR="00B50D45" w:rsidRPr="00104DEB">
              <w:rPr>
                <w:rFonts w:ascii="Times New Roman" w:hAnsi="Times New Roman" w:cs="Times New Roman"/>
                <w:sz w:val="26"/>
                <w:szCs w:val="26"/>
              </w:rPr>
              <w:t xml:space="preserve"> akcīzes nodokļa likmes</w:t>
            </w:r>
            <w:r w:rsidR="004B620E" w:rsidRPr="00104DEB">
              <w:rPr>
                <w:rFonts w:ascii="Times New Roman" w:hAnsi="Times New Roman" w:cs="Times New Roman"/>
                <w:sz w:val="26"/>
                <w:szCs w:val="26"/>
              </w:rPr>
              <w:t xml:space="preserve"> latos ar akcīzes nodokļa likmēm </w:t>
            </w:r>
            <w:r w:rsidR="004B620E" w:rsidRPr="00A3743E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="004619FA" w:rsidRPr="0010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C3D" w:rsidRPr="00A3743E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="00D61C3D" w:rsidRPr="00A3743E">
              <w:rPr>
                <w:rFonts w:ascii="Times New Roman" w:hAnsi="Times New Roman" w:cs="Times New Roman"/>
                <w:i/>
                <w:sz w:val="26"/>
                <w:szCs w:val="26"/>
                <w:lang w:eastAsia="lv-LV"/>
              </w:rPr>
              <w:t xml:space="preserve"> </w:t>
            </w:r>
            <w:r w:rsidR="00D61C3D" w:rsidRPr="00A3743E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ņemot vērā </w:t>
            </w:r>
            <w:r w:rsidR="00D61C3D" w:rsidRPr="00A3743E">
              <w:rPr>
                <w:rFonts w:ascii="Times New Roman" w:hAnsi="Times New Roman" w:cs="Times New Roman"/>
                <w:i/>
                <w:sz w:val="26"/>
                <w:szCs w:val="26"/>
                <w:lang w:eastAsia="lv-LV"/>
              </w:rPr>
              <w:t xml:space="preserve">Euro </w:t>
            </w:r>
            <w:r w:rsidR="00D61C3D" w:rsidRPr="00A3743E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ieviešanas kārtības likuma 6.panta otrajā daļā noteikto konvertācijas principu un </w:t>
            </w:r>
            <w:r w:rsidR="004B620E" w:rsidRPr="00A3743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izmantojot Padomes noteikto maiņas kursu no latiem uz </w:t>
            </w:r>
            <w:r w:rsidR="004B620E" w:rsidRPr="00A374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="004B620E" w:rsidRPr="00A3743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1569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  </w:t>
            </w:r>
            <w:r w:rsidR="004B620E" w:rsidRPr="00A3743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(1 </w:t>
            </w:r>
            <w:r w:rsidR="004B620E" w:rsidRPr="00A374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="004B620E" w:rsidRPr="00A3743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ir 0,702804 LVL).</w:t>
            </w:r>
            <w:r w:rsidR="004B620E" w:rsidRPr="00A3743E" w:rsidDel="004B620E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4B620E" w:rsidRPr="004B62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97174A" w:rsidRPr="00104DEB" w:rsidRDefault="004B620E" w:rsidP="00A3743E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743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Ministru kabineta noteikumu projektā </w:t>
            </w:r>
            <w:r w:rsidRPr="00104DEB">
              <w:rPr>
                <w:rFonts w:ascii="Times New Roman" w:hAnsi="Times New Roman" w:cs="Times New Roman"/>
                <w:sz w:val="26"/>
                <w:szCs w:val="26"/>
              </w:rPr>
              <w:t>1.–4.pielikumā</w:t>
            </w:r>
            <w:r w:rsidR="00104DEB" w:rsidRPr="00104DEB">
              <w:rPr>
                <w:rFonts w:ascii="Times New Roman" w:hAnsi="Times New Roman" w:cs="Times New Roman"/>
                <w:sz w:val="26"/>
                <w:szCs w:val="26"/>
              </w:rPr>
              <w:t xml:space="preserve"> izteiktās akcīzes nodokļa likmes</w:t>
            </w:r>
            <w:r w:rsidRPr="00A3743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A374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  <w:t>euro</w:t>
            </w:r>
            <w:r w:rsidRPr="00A3743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valūtā nav personām nelabvēlīgākas par s</w:t>
            </w:r>
            <w:r w:rsidR="00104DEB" w:rsidRPr="00A3743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ākotnējām akcīzes nodokļa likmēm</w:t>
            </w:r>
            <w:r w:rsidRPr="00A3743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latos, kā arī nerada vērā ņemamu negatīvu ietekmi uz valsts budžetu.</w:t>
            </w:r>
          </w:p>
        </w:tc>
      </w:tr>
      <w:tr w:rsidR="002D7DCA" w:rsidRPr="000B4762" w:rsidTr="00C04F50">
        <w:trPr>
          <w:trHeight w:val="476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060960" w:rsidP="00670E79">
            <w:pPr>
              <w:spacing w:before="100" w:beforeAutospacing="1" w:after="100" w:afterAutospacing="1" w:line="40" w:lineRule="atLeast"/>
              <w:ind w:left="0" w:firstLine="41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  <w:tr w:rsidR="002D7DCA" w:rsidRPr="000B4762" w:rsidTr="00C04F50">
        <w:trPr>
          <w:trHeight w:val="568"/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Iemesli, kādēļ netika nodrošināta sabiedrības līdzdalība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96C" w:rsidRPr="00626EC8" w:rsidRDefault="0013333F" w:rsidP="0013333F">
            <w:pPr>
              <w:spacing w:after="0"/>
              <w:ind w:left="127" w:right="127"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="00060960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rojekts šo jomu neskar</w:t>
            </w:r>
          </w:p>
        </w:tc>
      </w:tr>
      <w:tr w:rsidR="007E6098" w:rsidTr="00C04F50">
        <w:trPr>
          <w:tblCellSpacing w:w="0" w:type="dxa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DCA" w:rsidRPr="00626EC8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95" w:rsidRDefault="00082B30" w:rsidP="00626EC8">
            <w:pPr>
              <w:spacing w:after="0"/>
              <w:ind w:left="0" w:firstLineChars="164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Saistībā ar </w:t>
            </w:r>
            <w:r w:rsidR="007A214A">
              <w:rPr>
                <w:rFonts w:ascii="Times New Roman" w:hAnsi="Times New Roman" w:cs="Times New Roman"/>
                <w:sz w:val="26"/>
                <w:szCs w:val="26"/>
              </w:rPr>
              <w:t xml:space="preserve">normatīvo aktu pielāgošanu </w:t>
            </w:r>
            <w:r w:rsidR="007A214A" w:rsidRPr="00626EC8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="007A214A">
              <w:rPr>
                <w:rFonts w:ascii="Times New Roman" w:hAnsi="Times New Roman" w:cs="Times New Roman"/>
                <w:sz w:val="26"/>
                <w:szCs w:val="26"/>
              </w:rPr>
              <w:t xml:space="preserve"> ieviešanai 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7A214A">
              <w:rPr>
                <w:rFonts w:ascii="Times New Roman" w:hAnsi="Times New Roman" w:cs="Times New Roman"/>
                <w:sz w:val="26"/>
                <w:szCs w:val="26"/>
              </w:rPr>
              <w:t xml:space="preserve">iks veikti 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 xml:space="preserve">grozījumi likumā </w:t>
            </w:r>
            <w:r w:rsidR="004575F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>Par akcīzes nodokli”</w:t>
            </w:r>
            <w:r w:rsidR="004575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 xml:space="preserve"> pārrēķinot akcīzes nodokļa likmes no latiem uz </w:t>
            </w:r>
            <w:r w:rsidR="00D90495" w:rsidRPr="00626EC8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="004575F1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 xml:space="preserve"> un informācija par minētajiem pārrēķiniem tiks norādīta </w:t>
            </w:r>
            <w:r w:rsidR="000A59DA">
              <w:rPr>
                <w:rFonts w:ascii="Times New Roman" w:hAnsi="Times New Roman" w:cs="Times New Roman"/>
                <w:sz w:val="26"/>
                <w:szCs w:val="26"/>
              </w:rPr>
              <w:t xml:space="preserve">attiecīgā likumprojekta 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>anotācijā</w:t>
            </w:r>
            <w:r w:rsidR="003E213B">
              <w:rPr>
                <w:rFonts w:ascii="Times New Roman" w:hAnsi="Times New Roman" w:cs="Times New Roman"/>
                <w:sz w:val="26"/>
                <w:szCs w:val="26"/>
              </w:rPr>
              <w:t>. T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>ādējādi</w:t>
            </w:r>
            <w:r w:rsidR="000B4762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noteikumu </w:t>
            </w:r>
            <w:r w:rsidR="003E213B">
              <w:rPr>
                <w:rFonts w:ascii="Times New Roman" w:hAnsi="Times New Roman" w:cs="Times New Roman"/>
                <w:sz w:val="26"/>
                <w:szCs w:val="26"/>
              </w:rPr>
              <w:t xml:space="preserve">projektā ir 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 xml:space="preserve">norādītas </w:t>
            </w:r>
            <w:r w:rsidR="005A7CE0">
              <w:rPr>
                <w:rFonts w:ascii="Times New Roman" w:hAnsi="Times New Roman" w:cs="Times New Roman"/>
                <w:sz w:val="26"/>
                <w:szCs w:val="26"/>
              </w:rPr>
              <w:t>pārrēķinātās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 xml:space="preserve"> akcīzes nodokļa likmes </w:t>
            </w:r>
            <w:r w:rsidR="00D90495" w:rsidRPr="00626EC8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="003E213B" w:rsidRPr="00626EC8">
              <w:rPr>
                <w:rFonts w:ascii="Times New Roman" w:hAnsi="Times New Roman" w:cs="Times New Roman"/>
                <w:sz w:val="26"/>
                <w:szCs w:val="26"/>
              </w:rPr>
              <w:t xml:space="preserve">, bet informācija </w:t>
            </w:r>
            <w:r w:rsidR="003E213B">
              <w:rPr>
                <w:rFonts w:ascii="Times New Roman" w:hAnsi="Times New Roman" w:cs="Times New Roman"/>
                <w:sz w:val="26"/>
                <w:szCs w:val="26"/>
              </w:rPr>
              <w:t>par minētajiem pārrēķiniem netiek norādīta un anotācijas III</w:t>
            </w:r>
            <w:r w:rsidR="00457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13B">
              <w:rPr>
                <w:rFonts w:ascii="Times New Roman" w:hAnsi="Times New Roman" w:cs="Times New Roman"/>
                <w:sz w:val="26"/>
                <w:szCs w:val="26"/>
              </w:rPr>
              <w:t xml:space="preserve">sadaļa </w:t>
            </w:r>
            <w:r w:rsidR="004575F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3E213B">
              <w:rPr>
                <w:rFonts w:ascii="Times New Roman" w:hAnsi="Times New Roman" w:cs="Times New Roman"/>
                <w:sz w:val="26"/>
                <w:szCs w:val="26"/>
              </w:rPr>
              <w:t>Tiesību akta projekta ietekme uz valsts budžetu un pašvaldību budžetiem” netiek aizpildīta</w:t>
            </w:r>
            <w:r w:rsidR="00D90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6098" w:rsidRDefault="003E213B" w:rsidP="0015698B">
            <w:pPr>
              <w:spacing w:after="0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0B4762">
              <w:rPr>
                <w:rFonts w:ascii="Times New Roman" w:hAnsi="Times New Roman" w:cs="Times New Roman"/>
                <w:sz w:val="26"/>
                <w:szCs w:val="26"/>
              </w:rPr>
              <w:t xml:space="preserve">aistībā ar grozījumiem Ministru kabineta </w:t>
            </w:r>
            <w:r w:rsidR="000A59DA" w:rsidRPr="000A59DA">
              <w:rPr>
                <w:rFonts w:ascii="Times New Roman" w:hAnsi="Times New Roman" w:cs="Times New Roman"/>
                <w:sz w:val="26"/>
                <w:szCs w:val="26"/>
              </w:rPr>
              <w:t xml:space="preserve">2011.gada 27.septembra </w:t>
            </w:r>
            <w:r w:rsidR="000B4762">
              <w:rPr>
                <w:rFonts w:ascii="Times New Roman" w:hAnsi="Times New Roman" w:cs="Times New Roman"/>
                <w:sz w:val="26"/>
                <w:szCs w:val="26"/>
              </w:rPr>
              <w:t>noteikumu Nr.731</w:t>
            </w:r>
            <w:r w:rsidR="001940C6">
              <w:rPr>
                <w:rFonts w:ascii="Times New Roman" w:hAnsi="Times New Roman" w:cs="Times New Roman"/>
                <w:sz w:val="26"/>
                <w:szCs w:val="26"/>
              </w:rPr>
              <w:t xml:space="preserve"> 1., 2., 3., un 4.pielikumā nepieciešams veikt </w:t>
            </w:r>
            <w:r w:rsidR="0015698B">
              <w:rPr>
                <w:rFonts w:ascii="Times New Roman" w:hAnsi="Times New Roman" w:cs="Times New Roman"/>
                <w:sz w:val="26"/>
                <w:szCs w:val="26"/>
              </w:rPr>
              <w:t xml:space="preserve">attiecīgās </w:t>
            </w:r>
            <w:r w:rsidR="001940C6">
              <w:rPr>
                <w:rFonts w:ascii="Times New Roman" w:hAnsi="Times New Roman" w:cs="Times New Roman"/>
                <w:sz w:val="26"/>
                <w:szCs w:val="26"/>
              </w:rPr>
              <w:t>izmaiņas muitas informācijas sistēmās, lai 2014.gada 1.janvārī</w:t>
            </w:r>
            <w:r w:rsidR="000A59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40C6">
              <w:rPr>
                <w:rFonts w:ascii="Times New Roman" w:hAnsi="Times New Roman" w:cs="Times New Roman"/>
                <w:sz w:val="26"/>
                <w:szCs w:val="26"/>
              </w:rPr>
              <w:t xml:space="preserve"> izlaižot ar akcīzes nodokli apliekamās preces brīvā apgrozībā, nodrošinātu tām atbilstošu akcīzes nodokļa likmes</w:t>
            </w:r>
            <w:r w:rsidR="0015698B">
              <w:rPr>
                <w:rFonts w:ascii="Times New Roman" w:hAnsi="Times New Roman" w:cs="Times New Roman"/>
                <w:sz w:val="26"/>
                <w:szCs w:val="26"/>
              </w:rPr>
              <w:t xml:space="preserve">, kas izteiktas </w:t>
            </w:r>
            <w:r w:rsidR="0015698B" w:rsidRPr="0015698B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r w:rsidR="0015698B">
              <w:rPr>
                <w:rFonts w:ascii="Times New Roman" w:hAnsi="Times New Roman" w:cs="Times New Roman"/>
                <w:sz w:val="26"/>
                <w:szCs w:val="26"/>
              </w:rPr>
              <w:t xml:space="preserve"> valūtā, </w:t>
            </w:r>
            <w:r w:rsidR="001940C6">
              <w:rPr>
                <w:rFonts w:ascii="Times New Roman" w:hAnsi="Times New Roman" w:cs="Times New Roman"/>
                <w:sz w:val="26"/>
                <w:szCs w:val="26"/>
              </w:rPr>
              <w:t xml:space="preserve"> piemērošanu saskaņā ar likuma </w:t>
            </w:r>
            <w:r w:rsidR="004575F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1940C6">
              <w:rPr>
                <w:rFonts w:ascii="Times New Roman" w:hAnsi="Times New Roman" w:cs="Times New Roman"/>
                <w:sz w:val="26"/>
                <w:szCs w:val="26"/>
              </w:rPr>
              <w:t xml:space="preserve">Par akcīzes nodokli” prasībām.  </w:t>
            </w:r>
          </w:p>
        </w:tc>
      </w:tr>
      <w:tr w:rsidR="00490599" w:rsidRPr="000B4762" w:rsidTr="00C04F50">
        <w:trPr>
          <w:tblCellSpacing w:w="0" w:type="dxa"/>
        </w:trPr>
        <w:tc>
          <w:tcPr>
            <w:tcW w:w="8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599" w:rsidRPr="00626EC8" w:rsidRDefault="00490599" w:rsidP="004132DF">
            <w:pPr>
              <w:spacing w:before="100" w:beforeAutospacing="1" w:after="100" w:afterAutospacing="1" w:line="40" w:lineRule="atLeast"/>
              <w:ind w:firstLineChars="709" w:firstLine="185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 II. Tiesību akta projekta ietekme uz sabiedrību</w:t>
            </w:r>
          </w:p>
        </w:tc>
      </w:tr>
      <w:tr w:rsidR="00490599" w:rsidRPr="000B4762" w:rsidTr="000F17FF">
        <w:trPr>
          <w:trHeight w:val="467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0F17FF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490599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mērķgrupa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B56" w:rsidRPr="00626EC8" w:rsidRDefault="00060960" w:rsidP="00060960">
            <w:pPr>
              <w:ind w:left="127" w:right="127"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47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lv-LV"/>
              </w:rPr>
              <w:t>P</w:t>
            </w:r>
            <w:r w:rsidR="0009673C" w:rsidRPr="000B47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lv-LV"/>
              </w:rPr>
              <w:t>erson</w:t>
            </w:r>
            <w:r w:rsidRPr="000B47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lv-LV"/>
              </w:rPr>
              <w:t>as</w:t>
            </w:r>
            <w:r w:rsidR="0009673C" w:rsidRPr="000B47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lv-LV"/>
              </w:rPr>
              <w:t xml:space="preserve">, kas </w:t>
            </w:r>
            <w:r w:rsidR="003E1B62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ieved </w:t>
            </w:r>
            <w:r w:rsidR="00AD6F89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ar akcīzes nodokli apliekamās </w:t>
            </w:r>
            <w:r w:rsidR="003E1B62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preces</w:t>
            </w:r>
            <w:r w:rsidR="00FB4DBC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3E1B62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Eiropas</w:t>
            </w:r>
            <w:r w:rsidR="001940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3E1B62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Savie</w:t>
            </w:r>
            <w:r w:rsidR="00FB4DBC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nīb</w:t>
            </w:r>
            <w:r w:rsidR="006F1EED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ā un </w:t>
            </w:r>
            <w:r w:rsidR="003E1B62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piemēro muitas procedūru </w:t>
            </w:r>
            <w:r w:rsidR="004575F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–</w:t>
            </w: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3E1B62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laišana brīvā apgrozībā</w:t>
            </w:r>
            <w:r w:rsidR="00C4071F"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490599" w:rsidRPr="000B4762" w:rsidTr="000F17FF">
        <w:trPr>
          <w:trHeight w:val="523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626EC8">
            <w:pPr>
              <w:spacing w:before="100" w:beforeAutospacing="1" w:after="100" w:afterAutospacing="1" w:line="40" w:lineRule="atLeast"/>
              <w:ind w:left="127" w:right="84" w:firstLineChars="113" w:firstLine="294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</w:t>
            </w:r>
          </w:p>
        </w:tc>
      </w:tr>
      <w:tr w:rsidR="00490599" w:rsidRPr="000B4762" w:rsidTr="000F17FF">
        <w:trPr>
          <w:trHeight w:val="517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finansiālā ietekme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1D0F2B" w:rsidP="00626EC8">
            <w:pPr>
              <w:spacing w:before="100" w:beforeAutospacing="1" w:after="100" w:afterAutospacing="1" w:line="40" w:lineRule="atLeast"/>
              <w:ind w:left="127" w:right="84" w:firstLineChars="113" w:firstLine="294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490599" w:rsidRPr="000B4762" w:rsidTr="000F17FF">
        <w:trPr>
          <w:trHeight w:val="517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nefinansiālā ietekme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1D0F2B" w:rsidP="00626EC8">
            <w:pPr>
              <w:spacing w:before="100" w:beforeAutospacing="1" w:after="100" w:afterAutospacing="1" w:line="40" w:lineRule="atLeast"/>
              <w:ind w:left="127" w:right="84" w:firstLineChars="113" w:firstLine="294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490599" w:rsidRPr="000B4762" w:rsidTr="000F17FF">
        <w:trPr>
          <w:trHeight w:val="531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Administratīvās procedūras raksturojums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1D0F2B" w:rsidP="00060960">
            <w:pPr>
              <w:spacing w:line="40" w:lineRule="atLeast"/>
              <w:ind w:left="0" w:firstLine="41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490599" w:rsidRPr="000B4762" w:rsidTr="000F17FF">
        <w:trPr>
          <w:trHeight w:val="357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626EC8">
            <w:pPr>
              <w:spacing w:before="100" w:beforeAutospacing="1" w:after="100" w:afterAutospacing="1" w:line="40" w:lineRule="atLeast"/>
              <w:ind w:left="0" w:firstLineChars="709" w:firstLine="1843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1D0F2B" w:rsidP="00626EC8">
            <w:pPr>
              <w:spacing w:before="100" w:beforeAutospacing="1" w:after="100" w:afterAutospacing="1" w:line="40" w:lineRule="atLeast"/>
              <w:ind w:left="127" w:right="84" w:firstLineChars="113" w:firstLine="294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490599" w:rsidRPr="000B4762" w:rsidTr="000F17FF">
        <w:trPr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99" w:rsidRPr="00626EC8" w:rsidRDefault="00490599" w:rsidP="00626EC8">
            <w:pPr>
              <w:spacing w:before="100" w:beforeAutospacing="1" w:after="100" w:afterAutospacing="1" w:line="40" w:lineRule="atLeast"/>
              <w:ind w:left="127" w:right="84" w:firstLineChars="113" w:firstLine="294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26EC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0B4762" w:rsidRDefault="000B4762" w:rsidP="00626EC8">
      <w:pPr>
        <w:spacing w:after="0"/>
        <w:ind w:left="0" w:firstLine="709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A672E0" w:rsidRPr="00626EC8" w:rsidRDefault="00A672E0" w:rsidP="00626EC8">
      <w:pPr>
        <w:spacing w:after="0"/>
        <w:ind w:left="0"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</w:pPr>
      <w:r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Anotācijas </w:t>
      </w:r>
      <w:r w:rsidR="00BF4463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>II</w:t>
      </w:r>
      <w:r w:rsidR="00070992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</w:t>
      </w:r>
      <w:r w:rsidR="00EE2D34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>IV</w:t>
      </w:r>
      <w:r w:rsidR="00060960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>, V, VI</w:t>
      </w:r>
      <w:r w:rsidR="00070992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V</w:t>
      </w:r>
      <w:r w:rsidR="00060960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00070992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00BF4463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sadaļ</w:t>
      </w:r>
      <w:r w:rsidR="001F7201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 </w:t>
      </w:r>
      <w:r w:rsidR="003E213B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- </w:t>
      </w:r>
      <w:r w:rsidR="001F7201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003E213B" w:rsidRPr="00626EC8">
        <w:rPr>
          <w:rFonts w:ascii="Times New Roman" w:eastAsia="Times New Roman" w:hAnsi="Times New Roman" w:cs="Times New Roman"/>
          <w:sz w:val="26"/>
          <w:szCs w:val="26"/>
          <w:lang w:eastAsia="lv-LV"/>
        </w:rPr>
        <w:t>s šīs jomas neskar</w:t>
      </w:r>
      <w:r w:rsidRPr="00626EC8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>.</w:t>
      </w:r>
    </w:p>
    <w:p w:rsidR="000B4762" w:rsidRDefault="000B4762" w:rsidP="00626EC8">
      <w:pPr>
        <w:spacing w:after="0"/>
        <w:ind w:left="0" w:firstLine="709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</w:pPr>
    </w:p>
    <w:p w:rsidR="000B4762" w:rsidRPr="00626EC8" w:rsidRDefault="000B4762" w:rsidP="00626EC8">
      <w:pPr>
        <w:spacing w:after="0"/>
        <w:ind w:left="0" w:firstLine="709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</w:pPr>
    </w:p>
    <w:p w:rsidR="00E04202" w:rsidRPr="0009673C" w:rsidRDefault="00E04202" w:rsidP="00626EC8">
      <w:pPr>
        <w:tabs>
          <w:tab w:val="left" w:pos="6804"/>
          <w:tab w:val="left" w:pos="7088"/>
          <w:tab w:val="left" w:pos="7371"/>
        </w:tabs>
        <w:spacing w:after="0"/>
        <w:ind w:left="0" w:right="-625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="00757DB4"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B476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7DB4"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7DB4"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1074A" w:rsidRPr="0009673C">
        <w:rPr>
          <w:rFonts w:ascii="Times New Roman" w:eastAsia="Times New Roman" w:hAnsi="Times New Roman" w:cs="Times New Roman"/>
          <w:sz w:val="28"/>
          <w:szCs w:val="28"/>
          <w:lang w:eastAsia="lv-LV"/>
        </w:rPr>
        <w:t>A.Vilks</w:t>
      </w:r>
    </w:p>
    <w:p w:rsidR="00B84EA9" w:rsidRDefault="00B84EA9" w:rsidP="00626EC8">
      <w:pPr>
        <w:spacing w:after="0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B84EA9" w:rsidRDefault="00B84EA9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CE7312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</w:p>
    <w:p w:rsidR="00145066" w:rsidRPr="0009673C" w:rsidRDefault="00AF4F1A" w:rsidP="00AF4F1A">
      <w:pPr>
        <w:tabs>
          <w:tab w:val="center" w:pos="4486"/>
        </w:tabs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04.09</w:t>
      </w:r>
      <w:r w:rsidR="0009673C" w:rsidRPr="0009673C">
        <w:rPr>
          <w:rFonts w:ascii="Times New Roman" w:eastAsia="Times New Roman" w:hAnsi="Times New Roman" w:cs="Times New Roman"/>
          <w:lang w:eastAsia="lv-LV"/>
        </w:rPr>
        <w:t>.20</w:t>
      </w:r>
      <w:r w:rsidR="006D655A">
        <w:rPr>
          <w:rFonts w:ascii="Times New Roman" w:eastAsia="Times New Roman" w:hAnsi="Times New Roman" w:cs="Times New Roman"/>
          <w:lang w:eastAsia="lv-LV"/>
        </w:rPr>
        <w:t>13</w:t>
      </w:r>
      <w:r w:rsidR="00145066" w:rsidRPr="0009673C">
        <w:rPr>
          <w:rFonts w:ascii="Times New Roman" w:eastAsia="Times New Roman" w:hAnsi="Times New Roman" w:cs="Times New Roman"/>
          <w:lang w:eastAsia="lv-LV"/>
        </w:rPr>
        <w:t xml:space="preserve">.  </w:t>
      </w:r>
      <w:r w:rsidR="003C3547">
        <w:rPr>
          <w:rFonts w:ascii="Times New Roman" w:eastAsia="Times New Roman" w:hAnsi="Times New Roman" w:cs="Times New Roman"/>
          <w:lang w:eastAsia="lv-LV"/>
        </w:rPr>
        <w:t>13:</w:t>
      </w:r>
      <w:r>
        <w:rPr>
          <w:rFonts w:ascii="Times New Roman" w:eastAsia="Times New Roman" w:hAnsi="Times New Roman" w:cs="Times New Roman"/>
          <w:lang w:eastAsia="lv-LV"/>
        </w:rPr>
        <w:t>25</w:t>
      </w:r>
      <w:r w:rsidR="003C3547">
        <w:rPr>
          <w:rFonts w:ascii="Times New Roman" w:eastAsia="Times New Roman" w:hAnsi="Times New Roman" w:cs="Times New Roman"/>
          <w:lang w:eastAsia="lv-LV"/>
        </w:rPr>
        <w:tab/>
      </w:r>
    </w:p>
    <w:p w:rsidR="00F8765B" w:rsidRPr="0009673C" w:rsidRDefault="003E213B" w:rsidP="00AF4F1A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5</w:t>
      </w:r>
      <w:r w:rsidR="00AF4F1A">
        <w:rPr>
          <w:rFonts w:ascii="Times New Roman" w:eastAsia="Times New Roman" w:hAnsi="Times New Roman" w:cs="Times New Roman"/>
          <w:lang w:eastAsia="lv-LV"/>
        </w:rPr>
        <w:t>91</w:t>
      </w:r>
    </w:p>
    <w:p w:rsidR="00937B7D" w:rsidRDefault="00937B7D" w:rsidP="00AF4F1A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I.Jaunmuktāne</w:t>
      </w:r>
    </w:p>
    <w:p w:rsidR="003F4905" w:rsidRPr="0097174A" w:rsidRDefault="001D0F2B" w:rsidP="00AF4F1A">
      <w:pPr>
        <w:tabs>
          <w:tab w:val="left" w:pos="3306"/>
        </w:tabs>
        <w:spacing w:after="0"/>
        <w:ind w:left="0"/>
        <w:rPr>
          <w:rFonts w:ascii="Times New Roman" w:hAnsi="Times New Roman" w:cs="Times New Roman"/>
          <w:sz w:val="25"/>
          <w:szCs w:val="25"/>
        </w:rPr>
      </w:pPr>
      <w:r w:rsidRPr="0009673C">
        <w:rPr>
          <w:rFonts w:ascii="Times New Roman" w:eastAsia="Times New Roman" w:hAnsi="Times New Roman" w:cs="Times New Roman"/>
          <w:lang w:eastAsia="lv-LV"/>
        </w:rPr>
        <w:t>67</w:t>
      </w:r>
      <w:r>
        <w:rPr>
          <w:rFonts w:ascii="Times New Roman" w:eastAsia="Times New Roman" w:hAnsi="Times New Roman" w:cs="Times New Roman"/>
          <w:lang w:eastAsia="lv-LV"/>
        </w:rPr>
        <w:t>111412</w:t>
      </w:r>
      <w:r w:rsidR="009617C3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746A8D">
        <w:rPr>
          <w:rFonts w:ascii="Times New Roman" w:eastAsia="Times New Roman" w:hAnsi="Times New Roman" w:cs="Times New Roman"/>
          <w:iCs/>
          <w:lang w:eastAsia="lv-LV"/>
        </w:rPr>
        <w:t>I</w:t>
      </w:r>
      <w:r>
        <w:rPr>
          <w:rFonts w:ascii="Times New Roman" w:eastAsia="Times New Roman" w:hAnsi="Times New Roman" w:cs="Times New Roman"/>
          <w:iCs/>
          <w:lang w:eastAsia="lv-LV"/>
        </w:rPr>
        <w:t>nga</w:t>
      </w:r>
      <w:r w:rsidRPr="00746A8D">
        <w:rPr>
          <w:rFonts w:ascii="Times New Roman" w:eastAsia="Times New Roman" w:hAnsi="Times New Roman" w:cs="Times New Roman"/>
          <w:iCs/>
          <w:lang w:eastAsia="lv-LV"/>
        </w:rPr>
        <w:t>.</w:t>
      </w:r>
      <w:r>
        <w:rPr>
          <w:rFonts w:ascii="Times New Roman" w:eastAsia="Times New Roman" w:hAnsi="Times New Roman" w:cs="Times New Roman"/>
          <w:iCs/>
          <w:lang w:eastAsia="lv-LV"/>
        </w:rPr>
        <w:t>Jaunmuktane</w:t>
      </w:r>
      <w:r w:rsidRPr="00746A8D">
        <w:rPr>
          <w:rFonts w:ascii="Times New Roman" w:eastAsia="Times New Roman" w:hAnsi="Times New Roman" w:cs="Times New Roman"/>
          <w:iCs/>
          <w:lang w:eastAsia="lv-LV"/>
        </w:rPr>
        <w:t>@vid.gov.lv</w:t>
      </w:r>
      <w:r w:rsidR="00085163" w:rsidRPr="0097174A">
        <w:rPr>
          <w:rFonts w:ascii="Times New Roman" w:hAnsi="Times New Roman" w:cs="Times New Roman"/>
          <w:sz w:val="25"/>
          <w:szCs w:val="25"/>
        </w:rPr>
        <w:tab/>
      </w:r>
    </w:p>
    <w:p w:rsidR="0097174A" w:rsidRPr="0097174A" w:rsidRDefault="0097174A">
      <w:pPr>
        <w:tabs>
          <w:tab w:val="left" w:pos="3306"/>
        </w:tabs>
        <w:rPr>
          <w:rFonts w:ascii="Times New Roman" w:hAnsi="Times New Roman" w:cs="Times New Roman"/>
          <w:sz w:val="25"/>
          <w:szCs w:val="25"/>
        </w:rPr>
      </w:pPr>
    </w:p>
    <w:sectPr w:rsidR="0097174A" w:rsidRPr="0097174A" w:rsidSect="006D0D3A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60" w:rsidRDefault="00062560" w:rsidP="003B0A1E">
      <w:pPr>
        <w:spacing w:after="0"/>
      </w:pPr>
      <w:r>
        <w:separator/>
      </w:r>
    </w:p>
  </w:endnote>
  <w:endnote w:type="continuationSeparator" w:id="0">
    <w:p w:rsidR="00062560" w:rsidRDefault="00062560" w:rsidP="003B0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E0" w:rsidRPr="002E2B4C" w:rsidRDefault="005A7CE0" w:rsidP="002E2B4C">
    <w:pPr>
      <w:ind w:left="0"/>
      <w:rPr>
        <w:rFonts w:ascii="Times New Roman" w:hAnsi="Times New Roman" w:cs="Times New Roman"/>
        <w:sz w:val="20"/>
        <w:szCs w:val="20"/>
      </w:rPr>
    </w:pPr>
    <w:r w:rsidRPr="002E2B4C">
      <w:rPr>
        <w:rFonts w:ascii="Times New Roman" w:hAnsi="Times New Roman" w:cs="Times New Roman"/>
        <w:sz w:val="20"/>
        <w:szCs w:val="20"/>
      </w:rPr>
      <w:t>FMAnot_</w:t>
    </w:r>
    <w:r w:rsidR="00AF4F1A">
      <w:rPr>
        <w:rFonts w:ascii="Times New Roman" w:hAnsi="Times New Roman" w:cs="Times New Roman"/>
        <w:sz w:val="20"/>
        <w:szCs w:val="20"/>
      </w:rPr>
      <w:t>0409</w:t>
    </w:r>
    <w:r>
      <w:rPr>
        <w:rFonts w:ascii="Times New Roman" w:hAnsi="Times New Roman" w:cs="Times New Roman"/>
        <w:sz w:val="20"/>
        <w:szCs w:val="20"/>
      </w:rPr>
      <w:t xml:space="preserve">13_TARIC_groz; Ministru kabineta noteikumu projekta </w:t>
    </w:r>
    <w:r w:rsidR="007D1793">
      <w:rPr>
        <w:rFonts w:ascii="Times New Roman" w:hAnsi="Times New Roman" w:cs="Times New Roman"/>
        <w:sz w:val="20"/>
        <w:szCs w:val="20"/>
      </w:rPr>
      <w:t>“</w:t>
    </w:r>
    <w:r w:rsidRPr="002E2B4C">
      <w:rPr>
        <w:rFonts w:ascii="Times New Roman" w:hAnsi="Times New Roman" w:cs="Times New Roman"/>
        <w:sz w:val="20"/>
        <w:szCs w:val="20"/>
      </w:rPr>
      <w:t xml:space="preserve">Grozījumi Ministru kabineta 2011.gada </w:t>
    </w:r>
    <w:r>
      <w:rPr>
        <w:rFonts w:ascii="Times New Roman" w:hAnsi="Times New Roman" w:cs="Times New Roman"/>
        <w:sz w:val="20"/>
        <w:szCs w:val="20"/>
      </w:rPr>
      <w:t xml:space="preserve">27.septembra noteikumos Nr.731 </w:t>
    </w:r>
    <w:r w:rsidR="007D1793">
      <w:rPr>
        <w:rFonts w:ascii="Times New Roman" w:hAnsi="Times New Roman" w:cs="Times New Roman"/>
        <w:sz w:val="20"/>
        <w:szCs w:val="20"/>
      </w:rPr>
      <w:t>“</w:t>
    </w:r>
    <w:r w:rsidRPr="002E2B4C">
      <w:rPr>
        <w:rFonts w:ascii="Times New Roman" w:hAnsi="Times New Roman" w:cs="Times New Roman"/>
        <w:bCs/>
        <w:sz w:val="20"/>
        <w:szCs w:val="20"/>
      </w:rPr>
      <w:t>Noteikumi par akcīzes preču apvienotā Kopienas tarifa (TARIC) nacionālajiem kodiem un to piemērošanas kārtību</w:t>
    </w:r>
    <w:r w:rsidRPr="002E2B4C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>”</w:t>
    </w:r>
    <w:r w:rsidRPr="002E2B4C">
      <w:rPr>
        <w:rFonts w:ascii="Times New Roman" w:hAnsi="Times New Roman" w:cs="Times New Roman"/>
        <w:sz w:val="20"/>
        <w:szCs w:val="20"/>
      </w:rPr>
      <w:t xml:space="preserve">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E0" w:rsidRPr="002E2B4C" w:rsidRDefault="005A7CE0" w:rsidP="003677B2">
    <w:pPr>
      <w:ind w:lef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AF4F1A">
      <w:rPr>
        <w:rFonts w:ascii="Times New Roman" w:hAnsi="Times New Roman" w:cs="Times New Roman"/>
        <w:sz w:val="20"/>
        <w:szCs w:val="20"/>
      </w:rPr>
      <w:t>0409</w:t>
    </w:r>
    <w:r>
      <w:rPr>
        <w:rFonts w:ascii="Times New Roman" w:hAnsi="Times New Roman" w:cs="Times New Roman"/>
        <w:sz w:val="20"/>
        <w:szCs w:val="20"/>
      </w:rPr>
      <w:t>13_grozTARIC</w:t>
    </w:r>
    <w:r w:rsidRPr="002E2B4C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Ministru kabineta noteikumu projekta „</w:t>
    </w:r>
    <w:r w:rsidRPr="002E2B4C">
      <w:rPr>
        <w:rFonts w:ascii="Times New Roman" w:hAnsi="Times New Roman" w:cs="Times New Roman"/>
        <w:sz w:val="20"/>
        <w:szCs w:val="20"/>
      </w:rPr>
      <w:t>Grozījumi Ministru kabineta 2011.gada 27.septembra noteikumos Nr.731 “</w:t>
    </w:r>
    <w:r w:rsidRPr="002E2B4C">
      <w:rPr>
        <w:rFonts w:ascii="Times New Roman" w:hAnsi="Times New Roman" w:cs="Times New Roman"/>
        <w:bCs/>
        <w:sz w:val="20"/>
        <w:szCs w:val="20"/>
      </w:rPr>
      <w:t>Noteikumi par akcīzes preču apvienotā Kopienas tarifa (TARIC) nacionālajiem kodiem un to piemērošanas kārtību</w:t>
    </w:r>
    <w:r w:rsidRPr="002E2B4C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>”</w:t>
    </w:r>
    <w:r w:rsidRPr="002E2B4C">
      <w:rPr>
        <w:rFonts w:ascii="Times New Roman" w:hAnsi="Times New Roman" w:cs="Times New Roman"/>
        <w:sz w:val="20"/>
        <w:szCs w:val="20"/>
      </w:rPr>
      <w:t xml:space="preserve">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60" w:rsidRDefault="00062560" w:rsidP="003B0A1E">
      <w:pPr>
        <w:spacing w:after="0"/>
      </w:pPr>
      <w:r>
        <w:separator/>
      </w:r>
    </w:p>
  </w:footnote>
  <w:footnote w:type="continuationSeparator" w:id="0">
    <w:p w:rsidR="00062560" w:rsidRDefault="00062560" w:rsidP="003B0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78954"/>
      <w:docPartObj>
        <w:docPartGallery w:val="Page Numbers (Top of Page)"/>
        <w:docPartUnique/>
      </w:docPartObj>
    </w:sdtPr>
    <w:sdtEndPr/>
    <w:sdtContent>
      <w:p w:rsidR="005A7CE0" w:rsidRDefault="005A7C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B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7CE0" w:rsidRDefault="005A7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41A"/>
    <w:multiLevelType w:val="hybridMultilevel"/>
    <w:tmpl w:val="2B502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3866"/>
    <w:multiLevelType w:val="hybridMultilevel"/>
    <w:tmpl w:val="3FE8134C"/>
    <w:lvl w:ilvl="0" w:tplc="DC0EC6E2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5" w:hanging="360"/>
      </w:pPr>
    </w:lvl>
    <w:lvl w:ilvl="2" w:tplc="0426001B" w:tentative="1">
      <w:start w:val="1"/>
      <w:numFmt w:val="lowerRoman"/>
      <w:lvlText w:val="%3."/>
      <w:lvlJc w:val="right"/>
      <w:pPr>
        <w:ind w:left="2075" w:hanging="180"/>
      </w:pPr>
    </w:lvl>
    <w:lvl w:ilvl="3" w:tplc="0426000F" w:tentative="1">
      <w:start w:val="1"/>
      <w:numFmt w:val="decimal"/>
      <w:lvlText w:val="%4."/>
      <w:lvlJc w:val="left"/>
      <w:pPr>
        <w:ind w:left="2795" w:hanging="360"/>
      </w:pPr>
    </w:lvl>
    <w:lvl w:ilvl="4" w:tplc="04260019" w:tentative="1">
      <w:start w:val="1"/>
      <w:numFmt w:val="lowerLetter"/>
      <w:lvlText w:val="%5."/>
      <w:lvlJc w:val="left"/>
      <w:pPr>
        <w:ind w:left="3515" w:hanging="360"/>
      </w:pPr>
    </w:lvl>
    <w:lvl w:ilvl="5" w:tplc="0426001B" w:tentative="1">
      <w:start w:val="1"/>
      <w:numFmt w:val="lowerRoman"/>
      <w:lvlText w:val="%6."/>
      <w:lvlJc w:val="right"/>
      <w:pPr>
        <w:ind w:left="4235" w:hanging="180"/>
      </w:pPr>
    </w:lvl>
    <w:lvl w:ilvl="6" w:tplc="0426000F" w:tentative="1">
      <w:start w:val="1"/>
      <w:numFmt w:val="decimal"/>
      <w:lvlText w:val="%7."/>
      <w:lvlJc w:val="left"/>
      <w:pPr>
        <w:ind w:left="4955" w:hanging="360"/>
      </w:pPr>
    </w:lvl>
    <w:lvl w:ilvl="7" w:tplc="04260019" w:tentative="1">
      <w:start w:val="1"/>
      <w:numFmt w:val="lowerLetter"/>
      <w:lvlText w:val="%8."/>
      <w:lvlJc w:val="left"/>
      <w:pPr>
        <w:ind w:left="5675" w:hanging="360"/>
      </w:pPr>
    </w:lvl>
    <w:lvl w:ilvl="8" w:tplc="042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28D106AC"/>
    <w:multiLevelType w:val="hybridMultilevel"/>
    <w:tmpl w:val="2B92F0BC"/>
    <w:lvl w:ilvl="0" w:tplc="D5EA12D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62F32"/>
    <w:multiLevelType w:val="hybridMultilevel"/>
    <w:tmpl w:val="FACAB124"/>
    <w:lvl w:ilvl="0" w:tplc="C6B0C2C8"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0"/>
    <w:rsid w:val="000015B0"/>
    <w:rsid w:val="00005D71"/>
    <w:rsid w:val="00006251"/>
    <w:rsid w:val="0001074A"/>
    <w:rsid w:val="0001413F"/>
    <w:rsid w:val="00014352"/>
    <w:rsid w:val="00016716"/>
    <w:rsid w:val="0003110D"/>
    <w:rsid w:val="0004072A"/>
    <w:rsid w:val="00041339"/>
    <w:rsid w:val="000432DC"/>
    <w:rsid w:val="000455CC"/>
    <w:rsid w:val="00054DDF"/>
    <w:rsid w:val="0005520E"/>
    <w:rsid w:val="00060960"/>
    <w:rsid w:val="0006100D"/>
    <w:rsid w:val="00062560"/>
    <w:rsid w:val="00063C76"/>
    <w:rsid w:val="00064612"/>
    <w:rsid w:val="0006671A"/>
    <w:rsid w:val="00066DD7"/>
    <w:rsid w:val="00070186"/>
    <w:rsid w:val="00070992"/>
    <w:rsid w:val="00075AE3"/>
    <w:rsid w:val="00081806"/>
    <w:rsid w:val="00082B1E"/>
    <w:rsid w:val="00082B30"/>
    <w:rsid w:val="00082BE2"/>
    <w:rsid w:val="00085163"/>
    <w:rsid w:val="00086C4E"/>
    <w:rsid w:val="00090A7A"/>
    <w:rsid w:val="00091396"/>
    <w:rsid w:val="0009378E"/>
    <w:rsid w:val="00094113"/>
    <w:rsid w:val="0009673C"/>
    <w:rsid w:val="000A05CC"/>
    <w:rsid w:val="000A4766"/>
    <w:rsid w:val="000A573B"/>
    <w:rsid w:val="000A5765"/>
    <w:rsid w:val="000A59DA"/>
    <w:rsid w:val="000B0BF5"/>
    <w:rsid w:val="000B1464"/>
    <w:rsid w:val="000B29AA"/>
    <w:rsid w:val="000B2BA5"/>
    <w:rsid w:val="000B4762"/>
    <w:rsid w:val="000B624E"/>
    <w:rsid w:val="000B7C36"/>
    <w:rsid w:val="000C2976"/>
    <w:rsid w:val="000C30E6"/>
    <w:rsid w:val="000C32C9"/>
    <w:rsid w:val="000C54B0"/>
    <w:rsid w:val="000D2C98"/>
    <w:rsid w:val="000E208D"/>
    <w:rsid w:val="000E262F"/>
    <w:rsid w:val="000E3353"/>
    <w:rsid w:val="000E6DF8"/>
    <w:rsid w:val="000F0E77"/>
    <w:rsid w:val="000F17FF"/>
    <w:rsid w:val="000F45B1"/>
    <w:rsid w:val="000F7BE7"/>
    <w:rsid w:val="00100644"/>
    <w:rsid w:val="00101542"/>
    <w:rsid w:val="00104DEB"/>
    <w:rsid w:val="001171B7"/>
    <w:rsid w:val="00117E73"/>
    <w:rsid w:val="00124882"/>
    <w:rsid w:val="0013333F"/>
    <w:rsid w:val="00136854"/>
    <w:rsid w:val="00136A66"/>
    <w:rsid w:val="001428D1"/>
    <w:rsid w:val="00142C3D"/>
    <w:rsid w:val="001447CA"/>
    <w:rsid w:val="00145066"/>
    <w:rsid w:val="00145BC2"/>
    <w:rsid w:val="00146D2C"/>
    <w:rsid w:val="0015424F"/>
    <w:rsid w:val="00154D04"/>
    <w:rsid w:val="001566F5"/>
    <w:rsid w:val="0015698B"/>
    <w:rsid w:val="0016210B"/>
    <w:rsid w:val="00164545"/>
    <w:rsid w:val="00167BF2"/>
    <w:rsid w:val="00167D58"/>
    <w:rsid w:val="001724E3"/>
    <w:rsid w:val="00173D17"/>
    <w:rsid w:val="00180440"/>
    <w:rsid w:val="001940C6"/>
    <w:rsid w:val="001B238A"/>
    <w:rsid w:val="001B50C6"/>
    <w:rsid w:val="001B514E"/>
    <w:rsid w:val="001C0AFC"/>
    <w:rsid w:val="001D0F2B"/>
    <w:rsid w:val="001D1731"/>
    <w:rsid w:val="001E0C45"/>
    <w:rsid w:val="001F249E"/>
    <w:rsid w:val="001F3523"/>
    <w:rsid w:val="001F54B3"/>
    <w:rsid w:val="001F6D21"/>
    <w:rsid w:val="001F7201"/>
    <w:rsid w:val="00201A4D"/>
    <w:rsid w:val="002078C5"/>
    <w:rsid w:val="00207D4F"/>
    <w:rsid w:val="00212388"/>
    <w:rsid w:val="00212DF2"/>
    <w:rsid w:val="00213214"/>
    <w:rsid w:val="00215DFB"/>
    <w:rsid w:val="00216F28"/>
    <w:rsid w:val="0021754D"/>
    <w:rsid w:val="00220B8F"/>
    <w:rsid w:val="00221224"/>
    <w:rsid w:val="00223646"/>
    <w:rsid w:val="00227178"/>
    <w:rsid w:val="002308C7"/>
    <w:rsid w:val="002334D5"/>
    <w:rsid w:val="00233E8D"/>
    <w:rsid w:val="002352B9"/>
    <w:rsid w:val="00241038"/>
    <w:rsid w:val="0024256B"/>
    <w:rsid w:val="0024350A"/>
    <w:rsid w:val="00246B36"/>
    <w:rsid w:val="0024715B"/>
    <w:rsid w:val="002522D4"/>
    <w:rsid w:val="00254D23"/>
    <w:rsid w:val="0026022E"/>
    <w:rsid w:val="00261BD4"/>
    <w:rsid w:val="00262D17"/>
    <w:rsid w:val="00266487"/>
    <w:rsid w:val="00276147"/>
    <w:rsid w:val="00284C81"/>
    <w:rsid w:val="00285B54"/>
    <w:rsid w:val="00290545"/>
    <w:rsid w:val="0029116E"/>
    <w:rsid w:val="00292AC0"/>
    <w:rsid w:val="002930E7"/>
    <w:rsid w:val="002932D1"/>
    <w:rsid w:val="0029537B"/>
    <w:rsid w:val="002962CE"/>
    <w:rsid w:val="002A319B"/>
    <w:rsid w:val="002A3474"/>
    <w:rsid w:val="002A55E5"/>
    <w:rsid w:val="002A5DF2"/>
    <w:rsid w:val="002A6780"/>
    <w:rsid w:val="002B3E35"/>
    <w:rsid w:val="002B5591"/>
    <w:rsid w:val="002B55E6"/>
    <w:rsid w:val="002B60F5"/>
    <w:rsid w:val="002C0A46"/>
    <w:rsid w:val="002C0D2E"/>
    <w:rsid w:val="002C2F0E"/>
    <w:rsid w:val="002C3D74"/>
    <w:rsid w:val="002C4963"/>
    <w:rsid w:val="002D10FE"/>
    <w:rsid w:val="002D3734"/>
    <w:rsid w:val="002D712A"/>
    <w:rsid w:val="002D7DCA"/>
    <w:rsid w:val="002E2B4C"/>
    <w:rsid w:val="002E7084"/>
    <w:rsid w:val="002E73A3"/>
    <w:rsid w:val="002F0097"/>
    <w:rsid w:val="002F5294"/>
    <w:rsid w:val="00302B00"/>
    <w:rsid w:val="00304EC6"/>
    <w:rsid w:val="003069BB"/>
    <w:rsid w:val="0031215B"/>
    <w:rsid w:val="003122B9"/>
    <w:rsid w:val="00313DD0"/>
    <w:rsid w:val="003161CB"/>
    <w:rsid w:val="00316D9E"/>
    <w:rsid w:val="0033269B"/>
    <w:rsid w:val="00333667"/>
    <w:rsid w:val="00334621"/>
    <w:rsid w:val="00340A83"/>
    <w:rsid w:val="00341FDE"/>
    <w:rsid w:val="00346AE0"/>
    <w:rsid w:val="003527F8"/>
    <w:rsid w:val="003534EB"/>
    <w:rsid w:val="00353957"/>
    <w:rsid w:val="003562AF"/>
    <w:rsid w:val="00356689"/>
    <w:rsid w:val="00365978"/>
    <w:rsid w:val="00365DF2"/>
    <w:rsid w:val="003677B2"/>
    <w:rsid w:val="00367A5D"/>
    <w:rsid w:val="0037077D"/>
    <w:rsid w:val="00371A60"/>
    <w:rsid w:val="0037378B"/>
    <w:rsid w:val="00374251"/>
    <w:rsid w:val="0037544A"/>
    <w:rsid w:val="003770DD"/>
    <w:rsid w:val="00380F42"/>
    <w:rsid w:val="0038166F"/>
    <w:rsid w:val="0038206D"/>
    <w:rsid w:val="00385C57"/>
    <w:rsid w:val="003862DA"/>
    <w:rsid w:val="003868F2"/>
    <w:rsid w:val="003873CB"/>
    <w:rsid w:val="003911C4"/>
    <w:rsid w:val="00394693"/>
    <w:rsid w:val="00394CFF"/>
    <w:rsid w:val="00395096"/>
    <w:rsid w:val="003A0C55"/>
    <w:rsid w:val="003A2FEC"/>
    <w:rsid w:val="003A45F0"/>
    <w:rsid w:val="003A4836"/>
    <w:rsid w:val="003B0A1E"/>
    <w:rsid w:val="003B196C"/>
    <w:rsid w:val="003B3A42"/>
    <w:rsid w:val="003B3CCA"/>
    <w:rsid w:val="003B720D"/>
    <w:rsid w:val="003C116F"/>
    <w:rsid w:val="003C3547"/>
    <w:rsid w:val="003C62FD"/>
    <w:rsid w:val="003C74FD"/>
    <w:rsid w:val="003D0EE4"/>
    <w:rsid w:val="003D58FE"/>
    <w:rsid w:val="003D7E8C"/>
    <w:rsid w:val="003E1B62"/>
    <w:rsid w:val="003E213B"/>
    <w:rsid w:val="003E21F9"/>
    <w:rsid w:val="003E55A8"/>
    <w:rsid w:val="003F0903"/>
    <w:rsid w:val="003F4905"/>
    <w:rsid w:val="003F5366"/>
    <w:rsid w:val="003F5B02"/>
    <w:rsid w:val="0040143E"/>
    <w:rsid w:val="00401FF6"/>
    <w:rsid w:val="0040354D"/>
    <w:rsid w:val="004061B2"/>
    <w:rsid w:val="00406B05"/>
    <w:rsid w:val="00407E46"/>
    <w:rsid w:val="00407F01"/>
    <w:rsid w:val="0041017F"/>
    <w:rsid w:val="004132DF"/>
    <w:rsid w:val="00413FA9"/>
    <w:rsid w:val="00416ABD"/>
    <w:rsid w:val="0041746F"/>
    <w:rsid w:val="004205AD"/>
    <w:rsid w:val="00420C2A"/>
    <w:rsid w:val="00423709"/>
    <w:rsid w:val="004248AC"/>
    <w:rsid w:val="00424CCB"/>
    <w:rsid w:val="00432C6D"/>
    <w:rsid w:val="00435971"/>
    <w:rsid w:val="004378AA"/>
    <w:rsid w:val="00444DA2"/>
    <w:rsid w:val="004534A5"/>
    <w:rsid w:val="00456C1B"/>
    <w:rsid w:val="004575F1"/>
    <w:rsid w:val="004619FA"/>
    <w:rsid w:val="00461C05"/>
    <w:rsid w:val="0046650E"/>
    <w:rsid w:val="00476455"/>
    <w:rsid w:val="00485FB6"/>
    <w:rsid w:val="00490599"/>
    <w:rsid w:val="00492D0D"/>
    <w:rsid w:val="004954F4"/>
    <w:rsid w:val="00496FA7"/>
    <w:rsid w:val="00497B6E"/>
    <w:rsid w:val="004A0401"/>
    <w:rsid w:val="004A13E6"/>
    <w:rsid w:val="004A6B56"/>
    <w:rsid w:val="004B2DFA"/>
    <w:rsid w:val="004B3BAB"/>
    <w:rsid w:val="004B4AAF"/>
    <w:rsid w:val="004B620E"/>
    <w:rsid w:val="004D079F"/>
    <w:rsid w:val="004D0CD8"/>
    <w:rsid w:val="004D42FE"/>
    <w:rsid w:val="004D49CE"/>
    <w:rsid w:val="004E4ED0"/>
    <w:rsid w:val="004E5205"/>
    <w:rsid w:val="004F2CF1"/>
    <w:rsid w:val="004F5F66"/>
    <w:rsid w:val="00501916"/>
    <w:rsid w:val="00505801"/>
    <w:rsid w:val="00507CBA"/>
    <w:rsid w:val="00512D0C"/>
    <w:rsid w:val="00513CB4"/>
    <w:rsid w:val="0051797B"/>
    <w:rsid w:val="005241D7"/>
    <w:rsid w:val="0052471D"/>
    <w:rsid w:val="005264A9"/>
    <w:rsid w:val="00526592"/>
    <w:rsid w:val="00531B5D"/>
    <w:rsid w:val="005358A6"/>
    <w:rsid w:val="005365CE"/>
    <w:rsid w:val="00541F04"/>
    <w:rsid w:val="005477A6"/>
    <w:rsid w:val="00551798"/>
    <w:rsid w:val="00555BC8"/>
    <w:rsid w:val="00562BD0"/>
    <w:rsid w:val="00563436"/>
    <w:rsid w:val="00564DD3"/>
    <w:rsid w:val="00565BA7"/>
    <w:rsid w:val="005713BB"/>
    <w:rsid w:val="00572784"/>
    <w:rsid w:val="005729E7"/>
    <w:rsid w:val="00572C7A"/>
    <w:rsid w:val="005756F8"/>
    <w:rsid w:val="00575E29"/>
    <w:rsid w:val="00575F4D"/>
    <w:rsid w:val="005808DA"/>
    <w:rsid w:val="005855DA"/>
    <w:rsid w:val="00587441"/>
    <w:rsid w:val="00592C65"/>
    <w:rsid w:val="005938F0"/>
    <w:rsid w:val="005940FD"/>
    <w:rsid w:val="005A0ECD"/>
    <w:rsid w:val="005A2614"/>
    <w:rsid w:val="005A2AC1"/>
    <w:rsid w:val="005A6D2D"/>
    <w:rsid w:val="005A79E1"/>
    <w:rsid w:val="005A7CE0"/>
    <w:rsid w:val="005B0DE6"/>
    <w:rsid w:val="005B3604"/>
    <w:rsid w:val="005B3F4F"/>
    <w:rsid w:val="005B53BF"/>
    <w:rsid w:val="005C4B5B"/>
    <w:rsid w:val="005C5709"/>
    <w:rsid w:val="005D2C81"/>
    <w:rsid w:val="005D4A18"/>
    <w:rsid w:val="005E15DC"/>
    <w:rsid w:val="005E7088"/>
    <w:rsid w:val="005F7CD2"/>
    <w:rsid w:val="00603101"/>
    <w:rsid w:val="00607794"/>
    <w:rsid w:val="0060791D"/>
    <w:rsid w:val="00607E84"/>
    <w:rsid w:val="006156FB"/>
    <w:rsid w:val="006173DB"/>
    <w:rsid w:val="00622CDC"/>
    <w:rsid w:val="00624D1C"/>
    <w:rsid w:val="00626EC8"/>
    <w:rsid w:val="0063594D"/>
    <w:rsid w:val="0063732D"/>
    <w:rsid w:val="00640D66"/>
    <w:rsid w:val="006436AF"/>
    <w:rsid w:val="00643A5A"/>
    <w:rsid w:val="00643BC9"/>
    <w:rsid w:val="006447A0"/>
    <w:rsid w:val="0065597A"/>
    <w:rsid w:val="00656352"/>
    <w:rsid w:val="006630ED"/>
    <w:rsid w:val="00670E79"/>
    <w:rsid w:val="006743CE"/>
    <w:rsid w:val="00682502"/>
    <w:rsid w:val="00683B03"/>
    <w:rsid w:val="00685905"/>
    <w:rsid w:val="00692697"/>
    <w:rsid w:val="00694472"/>
    <w:rsid w:val="006977F2"/>
    <w:rsid w:val="006A2423"/>
    <w:rsid w:val="006A2EF9"/>
    <w:rsid w:val="006A3C8F"/>
    <w:rsid w:val="006A479A"/>
    <w:rsid w:val="006B2047"/>
    <w:rsid w:val="006B40A0"/>
    <w:rsid w:val="006C247B"/>
    <w:rsid w:val="006C2740"/>
    <w:rsid w:val="006D0336"/>
    <w:rsid w:val="006D0D3A"/>
    <w:rsid w:val="006D3957"/>
    <w:rsid w:val="006D4119"/>
    <w:rsid w:val="006D4DA7"/>
    <w:rsid w:val="006D655A"/>
    <w:rsid w:val="006E074E"/>
    <w:rsid w:val="006E239F"/>
    <w:rsid w:val="006E7A84"/>
    <w:rsid w:val="006F0BF7"/>
    <w:rsid w:val="006F1EED"/>
    <w:rsid w:val="006F39A4"/>
    <w:rsid w:val="00701BE8"/>
    <w:rsid w:val="007113F0"/>
    <w:rsid w:val="00711DE2"/>
    <w:rsid w:val="007153F1"/>
    <w:rsid w:val="00716645"/>
    <w:rsid w:val="007168BD"/>
    <w:rsid w:val="00717783"/>
    <w:rsid w:val="00717B54"/>
    <w:rsid w:val="00722B4F"/>
    <w:rsid w:val="00722F9D"/>
    <w:rsid w:val="00730F9A"/>
    <w:rsid w:val="007310A0"/>
    <w:rsid w:val="007323C3"/>
    <w:rsid w:val="00732690"/>
    <w:rsid w:val="0073710A"/>
    <w:rsid w:val="0073754B"/>
    <w:rsid w:val="00740CA7"/>
    <w:rsid w:val="0074329F"/>
    <w:rsid w:val="00746A8D"/>
    <w:rsid w:val="00746B6C"/>
    <w:rsid w:val="00747858"/>
    <w:rsid w:val="0075166E"/>
    <w:rsid w:val="00756A96"/>
    <w:rsid w:val="00757DB4"/>
    <w:rsid w:val="007611D3"/>
    <w:rsid w:val="00766BE3"/>
    <w:rsid w:val="0077354C"/>
    <w:rsid w:val="00776026"/>
    <w:rsid w:val="00776CAE"/>
    <w:rsid w:val="00781413"/>
    <w:rsid w:val="007817B5"/>
    <w:rsid w:val="00781BEF"/>
    <w:rsid w:val="007841CE"/>
    <w:rsid w:val="007852AF"/>
    <w:rsid w:val="00792243"/>
    <w:rsid w:val="00792D51"/>
    <w:rsid w:val="0079609A"/>
    <w:rsid w:val="007964EB"/>
    <w:rsid w:val="007A065A"/>
    <w:rsid w:val="007A214A"/>
    <w:rsid w:val="007A51F1"/>
    <w:rsid w:val="007B04AC"/>
    <w:rsid w:val="007B3914"/>
    <w:rsid w:val="007C31D1"/>
    <w:rsid w:val="007C5A61"/>
    <w:rsid w:val="007C6831"/>
    <w:rsid w:val="007C7503"/>
    <w:rsid w:val="007C7E6C"/>
    <w:rsid w:val="007D1793"/>
    <w:rsid w:val="007D1F94"/>
    <w:rsid w:val="007D2C13"/>
    <w:rsid w:val="007D3BF4"/>
    <w:rsid w:val="007D750C"/>
    <w:rsid w:val="007E531B"/>
    <w:rsid w:val="007E6098"/>
    <w:rsid w:val="007E6EA4"/>
    <w:rsid w:val="007E71F1"/>
    <w:rsid w:val="007F13F6"/>
    <w:rsid w:val="007F1E4E"/>
    <w:rsid w:val="008015AC"/>
    <w:rsid w:val="008015B5"/>
    <w:rsid w:val="008071B1"/>
    <w:rsid w:val="00816DD0"/>
    <w:rsid w:val="00817FAC"/>
    <w:rsid w:val="0082055F"/>
    <w:rsid w:val="00820829"/>
    <w:rsid w:val="00820857"/>
    <w:rsid w:val="0083478F"/>
    <w:rsid w:val="008352F1"/>
    <w:rsid w:val="00836187"/>
    <w:rsid w:val="008376B8"/>
    <w:rsid w:val="008456D3"/>
    <w:rsid w:val="00847995"/>
    <w:rsid w:val="008557BD"/>
    <w:rsid w:val="008575B5"/>
    <w:rsid w:val="0086376E"/>
    <w:rsid w:val="008654C8"/>
    <w:rsid w:val="00882993"/>
    <w:rsid w:val="008861E2"/>
    <w:rsid w:val="00886629"/>
    <w:rsid w:val="00887B99"/>
    <w:rsid w:val="00887DDB"/>
    <w:rsid w:val="008A40BD"/>
    <w:rsid w:val="008A64BD"/>
    <w:rsid w:val="008B2510"/>
    <w:rsid w:val="008C2643"/>
    <w:rsid w:val="008C4AF7"/>
    <w:rsid w:val="008C5285"/>
    <w:rsid w:val="008C54F4"/>
    <w:rsid w:val="008C6393"/>
    <w:rsid w:val="008D539B"/>
    <w:rsid w:val="008D5ADE"/>
    <w:rsid w:val="008E5C04"/>
    <w:rsid w:val="008E7FA7"/>
    <w:rsid w:val="008F1539"/>
    <w:rsid w:val="008F2869"/>
    <w:rsid w:val="00906967"/>
    <w:rsid w:val="00914234"/>
    <w:rsid w:val="009154AA"/>
    <w:rsid w:val="009166C8"/>
    <w:rsid w:val="00920186"/>
    <w:rsid w:val="009210B3"/>
    <w:rsid w:val="00921E94"/>
    <w:rsid w:val="00922661"/>
    <w:rsid w:val="00922766"/>
    <w:rsid w:val="009257ED"/>
    <w:rsid w:val="0092701A"/>
    <w:rsid w:val="00930B0A"/>
    <w:rsid w:val="00937B7D"/>
    <w:rsid w:val="00937F13"/>
    <w:rsid w:val="00940112"/>
    <w:rsid w:val="00942319"/>
    <w:rsid w:val="00943F26"/>
    <w:rsid w:val="0095254C"/>
    <w:rsid w:val="00953D0D"/>
    <w:rsid w:val="00956CAC"/>
    <w:rsid w:val="00960AEB"/>
    <w:rsid w:val="00961381"/>
    <w:rsid w:val="009617C3"/>
    <w:rsid w:val="0096204E"/>
    <w:rsid w:val="00965BA7"/>
    <w:rsid w:val="009672A1"/>
    <w:rsid w:val="00967BD4"/>
    <w:rsid w:val="009713B6"/>
    <w:rsid w:val="0097174A"/>
    <w:rsid w:val="0097287D"/>
    <w:rsid w:val="00972D21"/>
    <w:rsid w:val="00972E6D"/>
    <w:rsid w:val="00984053"/>
    <w:rsid w:val="00987260"/>
    <w:rsid w:val="00990310"/>
    <w:rsid w:val="00993129"/>
    <w:rsid w:val="00993F64"/>
    <w:rsid w:val="009A0AEC"/>
    <w:rsid w:val="009A33AF"/>
    <w:rsid w:val="009B4C3D"/>
    <w:rsid w:val="009C2620"/>
    <w:rsid w:val="009C2FE6"/>
    <w:rsid w:val="009C5880"/>
    <w:rsid w:val="009D0714"/>
    <w:rsid w:val="009D0B7B"/>
    <w:rsid w:val="009D2B01"/>
    <w:rsid w:val="009D4AD8"/>
    <w:rsid w:val="009D50B2"/>
    <w:rsid w:val="009E25FE"/>
    <w:rsid w:val="009F266B"/>
    <w:rsid w:val="009F3890"/>
    <w:rsid w:val="00A13DDC"/>
    <w:rsid w:val="00A15C5E"/>
    <w:rsid w:val="00A22599"/>
    <w:rsid w:val="00A22FE6"/>
    <w:rsid w:val="00A27A38"/>
    <w:rsid w:val="00A3060B"/>
    <w:rsid w:val="00A34550"/>
    <w:rsid w:val="00A3743E"/>
    <w:rsid w:val="00A40211"/>
    <w:rsid w:val="00A43E12"/>
    <w:rsid w:val="00A44D4F"/>
    <w:rsid w:val="00A47166"/>
    <w:rsid w:val="00A47322"/>
    <w:rsid w:val="00A523C6"/>
    <w:rsid w:val="00A5425B"/>
    <w:rsid w:val="00A5596C"/>
    <w:rsid w:val="00A57794"/>
    <w:rsid w:val="00A60D65"/>
    <w:rsid w:val="00A672E0"/>
    <w:rsid w:val="00A77745"/>
    <w:rsid w:val="00A84954"/>
    <w:rsid w:val="00A87103"/>
    <w:rsid w:val="00A91A60"/>
    <w:rsid w:val="00A94D51"/>
    <w:rsid w:val="00AA7E67"/>
    <w:rsid w:val="00AB05BE"/>
    <w:rsid w:val="00AB2F48"/>
    <w:rsid w:val="00AB51B0"/>
    <w:rsid w:val="00AC196C"/>
    <w:rsid w:val="00AC5A84"/>
    <w:rsid w:val="00AD0042"/>
    <w:rsid w:val="00AD16A9"/>
    <w:rsid w:val="00AD38FB"/>
    <w:rsid w:val="00AD43F2"/>
    <w:rsid w:val="00AD637E"/>
    <w:rsid w:val="00AD65A2"/>
    <w:rsid w:val="00AD6F89"/>
    <w:rsid w:val="00AE0F4C"/>
    <w:rsid w:val="00AE29E7"/>
    <w:rsid w:val="00AF119F"/>
    <w:rsid w:val="00AF3991"/>
    <w:rsid w:val="00AF4F1A"/>
    <w:rsid w:val="00B00016"/>
    <w:rsid w:val="00B03F04"/>
    <w:rsid w:val="00B11293"/>
    <w:rsid w:val="00B1276D"/>
    <w:rsid w:val="00B138B1"/>
    <w:rsid w:val="00B14E71"/>
    <w:rsid w:val="00B172EB"/>
    <w:rsid w:val="00B24517"/>
    <w:rsid w:val="00B263BA"/>
    <w:rsid w:val="00B26F78"/>
    <w:rsid w:val="00B32FA1"/>
    <w:rsid w:val="00B41AFE"/>
    <w:rsid w:val="00B42309"/>
    <w:rsid w:val="00B433BC"/>
    <w:rsid w:val="00B446E0"/>
    <w:rsid w:val="00B463BF"/>
    <w:rsid w:val="00B46848"/>
    <w:rsid w:val="00B476C3"/>
    <w:rsid w:val="00B50D45"/>
    <w:rsid w:val="00B54459"/>
    <w:rsid w:val="00B550E7"/>
    <w:rsid w:val="00B55757"/>
    <w:rsid w:val="00B55846"/>
    <w:rsid w:val="00B56E35"/>
    <w:rsid w:val="00B8165F"/>
    <w:rsid w:val="00B820DD"/>
    <w:rsid w:val="00B84EA9"/>
    <w:rsid w:val="00B93478"/>
    <w:rsid w:val="00B93D4E"/>
    <w:rsid w:val="00B94AAB"/>
    <w:rsid w:val="00BA03E9"/>
    <w:rsid w:val="00BB17BD"/>
    <w:rsid w:val="00BB7CD5"/>
    <w:rsid w:val="00BC17AF"/>
    <w:rsid w:val="00BC1D0C"/>
    <w:rsid w:val="00BC25DF"/>
    <w:rsid w:val="00BD36B1"/>
    <w:rsid w:val="00BE0048"/>
    <w:rsid w:val="00BE1A9B"/>
    <w:rsid w:val="00BE445F"/>
    <w:rsid w:val="00BE725F"/>
    <w:rsid w:val="00BE737A"/>
    <w:rsid w:val="00BF045F"/>
    <w:rsid w:val="00BF2ECB"/>
    <w:rsid w:val="00BF4463"/>
    <w:rsid w:val="00BF5773"/>
    <w:rsid w:val="00BF6DA8"/>
    <w:rsid w:val="00C01AFD"/>
    <w:rsid w:val="00C037F0"/>
    <w:rsid w:val="00C04F50"/>
    <w:rsid w:val="00C06FFA"/>
    <w:rsid w:val="00C07036"/>
    <w:rsid w:val="00C17DED"/>
    <w:rsid w:val="00C23AE7"/>
    <w:rsid w:val="00C2445E"/>
    <w:rsid w:val="00C258D8"/>
    <w:rsid w:val="00C26070"/>
    <w:rsid w:val="00C27D63"/>
    <w:rsid w:val="00C32362"/>
    <w:rsid w:val="00C3335E"/>
    <w:rsid w:val="00C336A4"/>
    <w:rsid w:val="00C33917"/>
    <w:rsid w:val="00C3557F"/>
    <w:rsid w:val="00C4071F"/>
    <w:rsid w:val="00C42F1D"/>
    <w:rsid w:val="00C44C5D"/>
    <w:rsid w:val="00C450C4"/>
    <w:rsid w:val="00C457D4"/>
    <w:rsid w:val="00C501B8"/>
    <w:rsid w:val="00C52C82"/>
    <w:rsid w:val="00C56C72"/>
    <w:rsid w:val="00C574BF"/>
    <w:rsid w:val="00C61B2A"/>
    <w:rsid w:val="00C6328B"/>
    <w:rsid w:val="00C6364E"/>
    <w:rsid w:val="00C75B55"/>
    <w:rsid w:val="00C77EB8"/>
    <w:rsid w:val="00C9275F"/>
    <w:rsid w:val="00C96235"/>
    <w:rsid w:val="00C97E24"/>
    <w:rsid w:val="00CA2FD4"/>
    <w:rsid w:val="00CB27A3"/>
    <w:rsid w:val="00CB42A4"/>
    <w:rsid w:val="00CB6EA8"/>
    <w:rsid w:val="00CC007C"/>
    <w:rsid w:val="00CC148C"/>
    <w:rsid w:val="00CC1F33"/>
    <w:rsid w:val="00CC74EF"/>
    <w:rsid w:val="00CD0FDA"/>
    <w:rsid w:val="00CD219E"/>
    <w:rsid w:val="00CD30F3"/>
    <w:rsid w:val="00CD4E4A"/>
    <w:rsid w:val="00CE09F6"/>
    <w:rsid w:val="00CE7312"/>
    <w:rsid w:val="00CE777E"/>
    <w:rsid w:val="00CF3848"/>
    <w:rsid w:val="00CF4705"/>
    <w:rsid w:val="00D01496"/>
    <w:rsid w:val="00D02C55"/>
    <w:rsid w:val="00D04427"/>
    <w:rsid w:val="00D06B75"/>
    <w:rsid w:val="00D115E0"/>
    <w:rsid w:val="00D23F0C"/>
    <w:rsid w:val="00D27A56"/>
    <w:rsid w:val="00D30816"/>
    <w:rsid w:val="00D35106"/>
    <w:rsid w:val="00D361F8"/>
    <w:rsid w:val="00D36684"/>
    <w:rsid w:val="00D43EB7"/>
    <w:rsid w:val="00D503E9"/>
    <w:rsid w:val="00D510AF"/>
    <w:rsid w:val="00D54AB5"/>
    <w:rsid w:val="00D5508A"/>
    <w:rsid w:val="00D56850"/>
    <w:rsid w:val="00D56949"/>
    <w:rsid w:val="00D61C3D"/>
    <w:rsid w:val="00D66441"/>
    <w:rsid w:val="00D671BC"/>
    <w:rsid w:val="00D70D18"/>
    <w:rsid w:val="00D71067"/>
    <w:rsid w:val="00D74FDB"/>
    <w:rsid w:val="00D75D34"/>
    <w:rsid w:val="00D7660E"/>
    <w:rsid w:val="00D85406"/>
    <w:rsid w:val="00D85C90"/>
    <w:rsid w:val="00D87689"/>
    <w:rsid w:val="00D90495"/>
    <w:rsid w:val="00D96A72"/>
    <w:rsid w:val="00D97C40"/>
    <w:rsid w:val="00DA391B"/>
    <w:rsid w:val="00DA4DFD"/>
    <w:rsid w:val="00DB16B4"/>
    <w:rsid w:val="00DB57AB"/>
    <w:rsid w:val="00DC4A69"/>
    <w:rsid w:val="00DC5235"/>
    <w:rsid w:val="00DC6B52"/>
    <w:rsid w:val="00DD4665"/>
    <w:rsid w:val="00DD65CF"/>
    <w:rsid w:val="00DD68AF"/>
    <w:rsid w:val="00DE0407"/>
    <w:rsid w:val="00DE06D2"/>
    <w:rsid w:val="00DE2DED"/>
    <w:rsid w:val="00DE5E20"/>
    <w:rsid w:val="00DE6044"/>
    <w:rsid w:val="00DF2603"/>
    <w:rsid w:val="00DF4DF3"/>
    <w:rsid w:val="00DF7176"/>
    <w:rsid w:val="00E01D8C"/>
    <w:rsid w:val="00E04030"/>
    <w:rsid w:val="00E04202"/>
    <w:rsid w:val="00E0438B"/>
    <w:rsid w:val="00E05EF2"/>
    <w:rsid w:val="00E062D6"/>
    <w:rsid w:val="00E14C0A"/>
    <w:rsid w:val="00E16243"/>
    <w:rsid w:val="00E27964"/>
    <w:rsid w:val="00E32419"/>
    <w:rsid w:val="00E32FA0"/>
    <w:rsid w:val="00E33872"/>
    <w:rsid w:val="00E34C26"/>
    <w:rsid w:val="00E358F9"/>
    <w:rsid w:val="00E35BFB"/>
    <w:rsid w:val="00E37521"/>
    <w:rsid w:val="00E4108D"/>
    <w:rsid w:val="00E4473D"/>
    <w:rsid w:val="00E52DE4"/>
    <w:rsid w:val="00E568AA"/>
    <w:rsid w:val="00E57FAB"/>
    <w:rsid w:val="00E605B7"/>
    <w:rsid w:val="00E706B2"/>
    <w:rsid w:val="00E72C99"/>
    <w:rsid w:val="00E8328F"/>
    <w:rsid w:val="00E9063B"/>
    <w:rsid w:val="00E93646"/>
    <w:rsid w:val="00E95AB4"/>
    <w:rsid w:val="00E970C6"/>
    <w:rsid w:val="00EA67A7"/>
    <w:rsid w:val="00EB334C"/>
    <w:rsid w:val="00EB5F49"/>
    <w:rsid w:val="00EC0AF8"/>
    <w:rsid w:val="00EC1172"/>
    <w:rsid w:val="00EC5DA9"/>
    <w:rsid w:val="00ED0C9E"/>
    <w:rsid w:val="00ED2EB4"/>
    <w:rsid w:val="00ED32F8"/>
    <w:rsid w:val="00ED473C"/>
    <w:rsid w:val="00ED5857"/>
    <w:rsid w:val="00EE0113"/>
    <w:rsid w:val="00EE136D"/>
    <w:rsid w:val="00EE1BC8"/>
    <w:rsid w:val="00EE2D34"/>
    <w:rsid w:val="00EE698D"/>
    <w:rsid w:val="00EE730D"/>
    <w:rsid w:val="00EE73D4"/>
    <w:rsid w:val="00EE7482"/>
    <w:rsid w:val="00EE7566"/>
    <w:rsid w:val="00EF31E5"/>
    <w:rsid w:val="00EF4F42"/>
    <w:rsid w:val="00EF63D5"/>
    <w:rsid w:val="00EF6D45"/>
    <w:rsid w:val="00F03EF2"/>
    <w:rsid w:val="00F04A25"/>
    <w:rsid w:val="00F057FB"/>
    <w:rsid w:val="00F06171"/>
    <w:rsid w:val="00F071DA"/>
    <w:rsid w:val="00F1151B"/>
    <w:rsid w:val="00F16125"/>
    <w:rsid w:val="00F23EA1"/>
    <w:rsid w:val="00F323D1"/>
    <w:rsid w:val="00F34223"/>
    <w:rsid w:val="00F3587F"/>
    <w:rsid w:val="00F36198"/>
    <w:rsid w:val="00F379B6"/>
    <w:rsid w:val="00F42374"/>
    <w:rsid w:val="00F4326B"/>
    <w:rsid w:val="00F451A2"/>
    <w:rsid w:val="00F46BA7"/>
    <w:rsid w:val="00F50334"/>
    <w:rsid w:val="00F5481C"/>
    <w:rsid w:val="00F560A1"/>
    <w:rsid w:val="00F575C7"/>
    <w:rsid w:val="00F647BC"/>
    <w:rsid w:val="00F673C9"/>
    <w:rsid w:val="00F72005"/>
    <w:rsid w:val="00F722F4"/>
    <w:rsid w:val="00F72528"/>
    <w:rsid w:val="00F735DB"/>
    <w:rsid w:val="00F73B38"/>
    <w:rsid w:val="00F74728"/>
    <w:rsid w:val="00F7482C"/>
    <w:rsid w:val="00F75551"/>
    <w:rsid w:val="00F75921"/>
    <w:rsid w:val="00F773D4"/>
    <w:rsid w:val="00F855BE"/>
    <w:rsid w:val="00F8765B"/>
    <w:rsid w:val="00F8788B"/>
    <w:rsid w:val="00F92E91"/>
    <w:rsid w:val="00F932BA"/>
    <w:rsid w:val="00F966B3"/>
    <w:rsid w:val="00FA429B"/>
    <w:rsid w:val="00FA4FF5"/>
    <w:rsid w:val="00FB0320"/>
    <w:rsid w:val="00FB16DD"/>
    <w:rsid w:val="00FB4DBC"/>
    <w:rsid w:val="00FB51CE"/>
    <w:rsid w:val="00FC03B7"/>
    <w:rsid w:val="00FC7181"/>
    <w:rsid w:val="00FD1504"/>
    <w:rsid w:val="00FD42E4"/>
    <w:rsid w:val="00FD5F8C"/>
    <w:rsid w:val="00FE03BC"/>
    <w:rsid w:val="00FE10D8"/>
    <w:rsid w:val="00FE451F"/>
    <w:rsid w:val="00FE5BE7"/>
    <w:rsid w:val="00FF3766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88F43-D40F-4D7B-950D-2BAEE444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21"/>
  </w:style>
  <w:style w:type="paragraph" w:styleId="Heading1">
    <w:name w:val="heading 1"/>
    <w:basedOn w:val="Normal"/>
    <w:next w:val="Normal"/>
    <w:link w:val="Heading1Char"/>
    <w:uiPriority w:val="9"/>
    <w:qFormat/>
    <w:rsid w:val="00906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5424F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sidrant">
    <w:name w:val="considrant"/>
    <w:basedOn w:val="Normal"/>
    <w:uiPriority w:val="99"/>
    <w:rsid w:val="002D7DCA"/>
    <w:pPr>
      <w:spacing w:before="120" w:after="120"/>
      <w:ind w:left="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64EB"/>
    <w:pPr>
      <w:tabs>
        <w:tab w:val="center" w:pos="4153"/>
        <w:tab w:val="right" w:pos="8306"/>
      </w:tabs>
      <w:spacing w:after="0"/>
      <w:ind w:left="0"/>
      <w:jc w:val="left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64E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A1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1E"/>
  </w:style>
  <w:style w:type="paragraph" w:styleId="BalloonText">
    <w:name w:val="Balloon Text"/>
    <w:basedOn w:val="Normal"/>
    <w:link w:val="BalloonTextChar"/>
    <w:uiPriority w:val="99"/>
    <w:semiHidden/>
    <w:unhideWhenUsed/>
    <w:rsid w:val="00DF2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0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5B3F4F"/>
    <w:rPr>
      <w:vertAlign w:val="superscript"/>
    </w:rPr>
  </w:style>
  <w:style w:type="character" w:styleId="Strong">
    <w:name w:val="Strong"/>
    <w:basedOn w:val="DefaultParagraphFont"/>
    <w:uiPriority w:val="22"/>
    <w:qFormat/>
    <w:rsid w:val="008C63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B4C"/>
    <w:pPr>
      <w:spacing w:after="0"/>
      <w:ind w:left="720"/>
      <w:jc w:val="left"/>
    </w:pPr>
    <w:rPr>
      <w:rFonts w:ascii="Calibri" w:hAnsi="Calibri" w:cs="Calibri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5424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Default">
    <w:name w:val="Default"/>
    <w:basedOn w:val="Normal"/>
    <w:uiPriority w:val="99"/>
    <w:rsid w:val="00DC4A69"/>
    <w:pPr>
      <w:autoSpaceDE w:val="0"/>
      <w:autoSpaceDN w:val="0"/>
      <w:spacing w:after="0"/>
      <w:ind w:left="0"/>
      <w:jc w:val="left"/>
    </w:pPr>
    <w:rPr>
      <w:rFonts w:ascii="EUAlbertina" w:eastAsia="Calibri" w:hAnsi="EUAlbertina" w:cs="Times New Roman"/>
      <w:color w:val="000000"/>
      <w:sz w:val="24"/>
      <w:szCs w:val="24"/>
      <w:lang w:eastAsia="lv-LV"/>
    </w:rPr>
  </w:style>
  <w:style w:type="character" w:customStyle="1" w:styleId="st1">
    <w:name w:val="st1"/>
    <w:basedOn w:val="DefaultParagraphFont"/>
    <w:rsid w:val="00C037F0"/>
  </w:style>
  <w:style w:type="character" w:customStyle="1" w:styleId="Heading1Char">
    <w:name w:val="Heading 1 Char"/>
    <w:basedOn w:val="DefaultParagraphFont"/>
    <w:link w:val="Heading1"/>
    <w:uiPriority w:val="9"/>
    <w:rsid w:val="00906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23D5-2A19-48D6-B636-BC0FF325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2989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27.septembra noteikumos Nr.731 “Noteikumi par akcīzes preču apvienotā Kopienas tarifa (TARIC) nacionālajiem kodiem un to piemērošanas kārtību”</vt:lpstr>
      <vt:lpstr>Noteikumi par vienkāršoto deklarēšanu un vietējo muitošanu, atzītā nosūtītāja un atzītā saņēmēja statusu, vienoto atļauju un atzītā komersanta sertifikātu</vt:lpstr>
    </vt:vector>
  </TitlesOfParts>
  <Manager/>
  <Company> Finanšu ministrija/Valsts ieņēmumu dienests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27.septembra noteikumos Nr.731 “Noteikumi par akcīzes preču apvienotā Kopienas tarifa (TARIC) nacionālajiem kodiem un to piemērošanas kārtību”</dc:title>
  <dc:subject>Anotācija</dc:subject>
  <dc:creator>Inga Jaunmuktāne</dc:creator>
  <cp:keywords/>
  <dc:description>67111412_x000d_
Inga.Jaunmuktane@vid.gov.lv</dc:description>
  <cp:lastModifiedBy>Lagzdiņa Lelde</cp:lastModifiedBy>
  <cp:revision>6</cp:revision>
  <cp:lastPrinted>2011-12-29T09:37:00Z</cp:lastPrinted>
  <dcterms:created xsi:type="dcterms:W3CDTF">2013-09-04T10:16:00Z</dcterms:created>
  <dcterms:modified xsi:type="dcterms:W3CDTF">2013-09-12T06:10:00Z</dcterms:modified>
  <cp:category>anotācija</cp:category>
</cp:coreProperties>
</file>