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1" w:rsidRPr="0030193F" w:rsidRDefault="00B03D11" w:rsidP="00B03D11">
      <w:pPr>
        <w:pStyle w:val="naisc"/>
        <w:spacing w:before="0" w:after="0"/>
        <w:rPr>
          <w:b/>
          <w:sz w:val="28"/>
          <w:szCs w:val="28"/>
        </w:rPr>
      </w:pPr>
      <w:bookmarkStart w:id="0" w:name="OLE_LINK1"/>
      <w:r w:rsidRPr="0030193F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30193F">
        <w:rPr>
          <w:b/>
          <w:sz w:val="28"/>
          <w:szCs w:val="28"/>
        </w:rPr>
        <w:t xml:space="preserve"> projekta</w:t>
      </w:r>
    </w:p>
    <w:bookmarkEnd w:id="0"/>
    <w:p w:rsidR="00B03D11" w:rsidRPr="0030193F" w:rsidRDefault="00B03D11" w:rsidP="00B03D11">
      <w:pPr>
        <w:jc w:val="center"/>
        <w:rPr>
          <w:bCs/>
          <w:sz w:val="28"/>
          <w:szCs w:val="28"/>
        </w:rPr>
      </w:pPr>
      <w:r w:rsidRPr="0030193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Par finanšu līdzekļu piešķiršanu </w:t>
      </w:r>
      <w:r w:rsidRPr="000D0ABD">
        <w:rPr>
          <w:b/>
          <w:sz w:val="28"/>
          <w:szCs w:val="28"/>
        </w:rPr>
        <w:t>no valsts budžeta programmas „Līdzekļi neparedzētiem gadījumiem”</w:t>
      </w:r>
      <w:r w:rsidRPr="0030193F">
        <w:rPr>
          <w:b/>
          <w:sz w:val="28"/>
          <w:szCs w:val="28"/>
        </w:rPr>
        <w:t xml:space="preserve">” </w:t>
      </w:r>
      <w:r w:rsidRPr="0030193F">
        <w:rPr>
          <w:b/>
          <w:bCs/>
          <w:sz w:val="28"/>
          <w:szCs w:val="28"/>
        </w:rPr>
        <w:t>sākotnējās ietekmes novērtējuma ziņojums (anotācija</w:t>
      </w:r>
      <w:r w:rsidRPr="0030193F">
        <w:rPr>
          <w:bCs/>
          <w:sz w:val="28"/>
          <w:szCs w:val="28"/>
        </w:rPr>
        <w:t>)</w:t>
      </w:r>
    </w:p>
    <w:p w:rsidR="00B03D11" w:rsidRPr="000A0D36" w:rsidRDefault="00B03D11" w:rsidP="00B03D11">
      <w:pPr>
        <w:pStyle w:val="naisc"/>
        <w:spacing w:before="0" w:after="0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3259"/>
        <w:gridCol w:w="5491"/>
      </w:tblGrid>
      <w:tr w:rsidR="00B03D11" w:rsidRPr="000A0D36" w:rsidTr="00101F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0A0D36" w:rsidRDefault="00B03D11" w:rsidP="00101F2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0A0D36">
              <w:rPr>
                <w:b/>
                <w:bCs/>
                <w:sz w:val="24"/>
                <w:szCs w:val="24"/>
              </w:rPr>
              <w:t xml:space="preserve">I. </w:t>
            </w:r>
            <w:r w:rsidRPr="000A0D36">
              <w:rPr>
                <w:b/>
                <w:color w:val="000000"/>
                <w:sz w:val="24"/>
                <w:szCs w:val="24"/>
              </w:rPr>
              <w:t>Tiesību akta projekta izstrādes nepieciešamība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1.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Pamatojums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DE6F77" w:rsidRDefault="006F21F2" w:rsidP="00101F22">
            <w:pPr>
              <w:jc w:val="both"/>
            </w:pPr>
            <w:r>
              <w:t>Nav attiecināms.</w:t>
            </w:r>
          </w:p>
        </w:tc>
      </w:tr>
      <w:tr w:rsidR="00B03D11" w:rsidRPr="000A0D36" w:rsidTr="00101F22">
        <w:trPr>
          <w:trHeight w:val="3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2.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Pašreizējā situācija un problēmas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BAA" w:rsidRDefault="00670BAA" w:rsidP="00670BAA">
            <w:pPr>
              <w:spacing w:after="120"/>
              <w:ind w:firstLine="605"/>
              <w:jc w:val="both"/>
            </w:pPr>
            <w:r>
              <w:t xml:space="preserve">Saskaņā ar Valsts un pašvaldību institūciju </w:t>
            </w:r>
            <w:r w:rsidRPr="002A083B">
              <w:t>amatpersonu un darbinieku atlīdzības likuma 17.panta vienpadsmit</w:t>
            </w:r>
            <w:r>
              <w:t>o</w:t>
            </w:r>
            <w:r w:rsidRPr="002A083B">
              <w:t xml:space="preserve"> daļ</w:t>
            </w:r>
            <w:r>
              <w:t>u</w:t>
            </w:r>
            <w:r w:rsidRPr="002A083B">
              <w:t xml:space="preserve"> Saeimas deputāts, kura mandāts izbeidzas līdz ar attiecīgās Saeimas pilnvarām, ja viņš nav ievēlēts nākamajā Saeimā, saņem vienreizēju </w:t>
            </w:r>
            <w:r>
              <w:t>pabalstu triju mēnešalgu apmērā.</w:t>
            </w:r>
          </w:p>
          <w:p w:rsidR="00F96DC2" w:rsidRPr="00952429" w:rsidRDefault="002A083B" w:rsidP="00670BAA">
            <w:pPr>
              <w:spacing w:after="120"/>
              <w:ind w:firstLine="605"/>
              <w:jc w:val="both"/>
            </w:pPr>
            <w:proofErr w:type="spellStart"/>
            <w:r w:rsidRPr="002A083B">
              <w:t>Š.g</w:t>
            </w:r>
            <w:proofErr w:type="spellEnd"/>
            <w:r w:rsidRPr="002A083B">
              <w:t>. 17.septembrī notika 11.Saeimas ārkārtas vēlēšanas</w:t>
            </w:r>
            <w:r>
              <w:t>.</w:t>
            </w:r>
            <w:r w:rsidRPr="002A083B">
              <w:t xml:space="preserve"> </w:t>
            </w:r>
            <w:r w:rsidR="00670BAA">
              <w:t>Saskaņā ar Saeimas kancelejas sniegto informāciju</w:t>
            </w:r>
            <w:r w:rsidRPr="002A083B">
              <w:t xml:space="preserve">, lai </w:t>
            </w:r>
            <w:r>
              <w:t xml:space="preserve">tā, atbilstoši minētajā likumā noteiktajam, </w:t>
            </w:r>
            <w:r w:rsidRPr="002A083B">
              <w:t xml:space="preserve">nodrošinātu pabalstu </w:t>
            </w:r>
            <w:r w:rsidRPr="002A083B">
              <w:rPr>
                <w:bCs/>
              </w:rPr>
              <w:t xml:space="preserve">izmaksu </w:t>
            </w:r>
            <w:r w:rsidRPr="002A083B">
              <w:t>11.Saeimā</w:t>
            </w:r>
            <w:r w:rsidRPr="002A083B">
              <w:rPr>
                <w:bCs/>
              </w:rPr>
              <w:t xml:space="preserve"> </w:t>
            </w:r>
            <w:r>
              <w:rPr>
                <w:bCs/>
              </w:rPr>
              <w:t xml:space="preserve">neievēlētajiem </w:t>
            </w:r>
            <w:r w:rsidRPr="002A083B">
              <w:rPr>
                <w:bCs/>
              </w:rPr>
              <w:t>10.Saeimas deputātiem</w:t>
            </w:r>
            <w:r w:rsidR="00670BAA">
              <w:rPr>
                <w:bCs/>
              </w:rPr>
              <w:t xml:space="preserve">, </w:t>
            </w:r>
            <w:r>
              <w:rPr>
                <w:bCs/>
              </w:rPr>
              <w:t>ir nepieciešams papildu finansējums.</w:t>
            </w:r>
            <w:r w:rsidRPr="002A083B">
              <w:rPr>
                <w:bCs/>
              </w:rPr>
              <w:t xml:space="preserve"> 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3.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Saistītie politikas ietekmes novērtējumi un pētījumi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highlight w:val="yellow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4.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Tiesiskā regulējuma mērķis un būtība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37" w:rsidRPr="00567630" w:rsidRDefault="00BC05EE" w:rsidP="00567630">
            <w:pPr>
              <w:spacing w:after="120"/>
              <w:ind w:firstLine="720"/>
              <w:jc w:val="both"/>
              <w:rPr>
                <w:bCs/>
              </w:rPr>
            </w:pPr>
            <w:r w:rsidRPr="002A083B">
              <w:t xml:space="preserve">Finanšu ministrija, atbilstoši </w:t>
            </w:r>
            <w:r w:rsidR="002A083B" w:rsidRPr="002A083B">
              <w:t>Saeimas</w:t>
            </w:r>
            <w:r w:rsidR="00952429" w:rsidRPr="002A083B">
              <w:t xml:space="preserve"> kancelejas</w:t>
            </w:r>
            <w:r w:rsidR="00567630" w:rsidRPr="002A083B">
              <w:t xml:space="preserve"> lūgumam piešķi</w:t>
            </w:r>
            <w:r w:rsidR="00696756" w:rsidRPr="002A083B">
              <w:t xml:space="preserve">rt finansējumu, lai </w:t>
            </w:r>
            <w:r w:rsidR="002A083B" w:rsidRPr="002A083B">
              <w:t xml:space="preserve">nodrošinātu vienreizēju pabalstu </w:t>
            </w:r>
            <w:r w:rsidR="002A083B" w:rsidRPr="002A083B">
              <w:rPr>
                <w:bCs/>
              </w:rPr>
              <w:t xml:space="preserve">(tajā skaitā darba devēja valsts sociālās apdrošināšanas obligātās iemaksas) </w:t>
            </w:r>
            <w:r w:rsidR="002A083B" w:rsidRPr="002A083B">
              <w:t>triju mēnešalgu apmērā</w:t>
            </w:r>
            <w:r w:rsidR="002A083B" w:rsidRPr="002A083B">
              <w:rPr>
                <w:bCs/>
              </w:rPr>
              <w:t xml:space="preserve"> izmaksu 10.Saeimas deputātiem, kuri nav ievēlēti </w:t>
            </w:r>
            <w:r w:rsidR="002A083B" w:rsidRPr="002A083B">
              <w:t>11.Saeimā</w:t>
            </w:r>
            <w:r w:rsidRPr="002A083B">
              <w:t>, ir sagatavojusi Ministru kabineta rīkojuma projektu</w:t>
            </w:r>
            <w:r w:rsidR="00C50023" w:rsidRPr="00053B84">
              <w:t xml:space="preserve"> „Par finanšu līdzekļu piešķiršanu no valsts budžeta programmas „Līdzekļi neparedzētiem gadījumiem””</w:t>
            </w:r>
            <w:r w:rsidR="005B2537" w:rsidRPr="00053B84">
              <w:t>.</w:t>
            </w:r>
            <w:r w:rsidRPr="00053B84">
              <w:t xml:space="preserve"> </w:t>
            </w:r>
          </w:p>
          <w:p w:rsidR="005B2537" w:rsidRPr="005B2537" w:rsidRDefault="00405D70" w:rsidP="005B2537">
            <w:pPr>
              <w:ind w:firstLine="605"/>
              <w:jc w:val="both"/>
            </w:pPr>
            <w:r>
              <w:t xml:space="preserve">Lai nodrošinātu pabalstu izmaksu, </w:t>
            </w:r>
            <w:r w:rsidR="002A083B">
              <w:t>Saeimas</w:t>
            </w:r>
            <w:r w:rsidR="00567630">
              <w:t xml:space="preserve"> kanceleja</w:t>
            </w:r>
            <w:r w:rsidR="00670BAA">
              <w:t>i</w:t>
            </w:r>
            <w:r w:rsidR="00567630">
              <w:t xml:space="preserve"> </w:t>
            </w:r>
            <w:r>
              <w:t>ir nepieciešams papildu finansējums</w:t>
            </w:r>
            <w:r w:rsidR="005B2537" w:rsidRPr="00952429">
              <w:t xml:space="preserve"> </w:t>
            </w:r>
            <w:r>
              <w:t xml:space="preserve">        266 173</w:t>
            </w:r>
            <w:r w:rsidR="005B2537" w:rsidRPr="005B2537">
              <w:t xml:space="preserve"> latu apmērā, tajā skaitā:</w:t>
            </w:r>
          </w:p>
          <w:p w:rsidR="005B2537" w:rsidRPr="005B2537" w:rsidRDefault="00952429" w:rsidP="00F96DC2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after="120"/>
              <w:ind w:hanging="541"/>
              <w:jc w:val="both"/>
            </w:pPr>
            <w:r>
              <w:t>pabalstiem</w:t>
            </w:r>
            <w:r w:rsidR="005B2537" w:rsidRPr="005B2537">
              <w:t xml:space="preserve"> </w:t>
            </w:r>
            <w:r w:rsidR="00405D70">
              <w:t>45</w:t>
            </w:r>
            <w:r>
              <w:t xml:space="preserve"> </w:t>
            </w:r>
            <w:r w:rsidR="00405D70">
              <w:t>deputātiem</w:t>
            </w:r>
            <w:r>
              <w:t xml:space="preserve"> </w:t>
            </w:r>
            <w:r w:rsidR="005B2537" w:rsidRPr="005B2537">
              <w:t xml:space="preserve">Ls </w:t>
            </w:r>
            <w:r w:rsidR="00405D70">
              <w:t>214 500</w:t>
            </w:r>
            <w:r w:rsidR="005B2537" w:rsidRPr="005B2537">
              <w:t>;</w:t>
            </w:r>
          </w:p>
          <w:p w:rsidR="00567630" w:rsidRPr="00E97231" w:rsidRDefault="00952429" w:rsidP="00405D70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after="120"/>
              <w:ind w:left="463" w:hanging="284"/>
              <w:jc w:val="both"/>
            </w:pPr>
            <w:r>
              <w:t xml:space="preserve">valsts sociālās apdrošināšanas </w:t>
            </w:r>
            <w:r w:rsidR="005B2537" w:rsidRPr="005B2537">
              <w:t xml:space="preserve">obligātajām iemaksām Ls </w:t>
            </w:r>
            <w:r w:rsidR="00405D70">
              <w:t>51 673</w:t>
            </w:r>
            <w:r>
              <w:t>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5.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Projekta izstrādē iesaistītās institūcijas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Nav attiecināms </w:t>
            </w:r>
          </w:p>
        </w:tc>
      </w:tr>
      <w:tr w:rsidR="00B03D11" w:rsidRPr="000A0D36" w:rsidTr="00101F22">
        <w:trPr>
          <w:trHeight w:val="83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6.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Nav attiecināms. 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7.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Cita informācija.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r w:rsidRPr="000A0D36">
              <w:t>Nav</w:t>
            </w:r>
            <w:r>
              <w:t xml:space="preserve"> attiecināms. </w:t>
            </w:r>
          </w:p>
        </w:tc>
      </w:tr>
    </w:tbl>
    <w:p w:rsidR="00B03D11" w:rsidRPr="000A0D36" w:rsidRDefault="00B03D11" w:rsidP="00B03D11">
      <w:pPr>
        <w:pStyle w:val="naisc"/>
        <w:spacing w:before="0" w:after="0"/>
        <w:rPr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9"/>
        <w:gridCol w:w="1273"/>
        <w:gridCol w:w="1274"/>
        <w:gridCol w:w="1274"/>
        <w:gridCol w:w="1274"/>
        <w:gridCol w:w="1272"/>
      </w:tblGrid>
      <w:tr w:rsidR="00B03D11" w:rsidRPr="00C16E58" w:rsidTr="00101F2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03D11" w:rsidRPr="00C16E58" w:rsidTr="00101F22">
        <w:tc>
          <w:tcPr>
            <w:tcW w:w="1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Rādītāji</w:t>
            </w:r>
          </w:p>
        </w:tc>
        <w:tc>
          <w:tcPr>
            <w:tcW w:w="136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C05EE" w:rsidP="00BC05EE">
            <w:pPr>
              <w:pStyle w:val="naisf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03D11" w:rsidRPr="00C16E58">
              <w:rPr>
                <w:b/>
                <w:bCs/>
              </w:rPr>
              <w:t>201</w:t>
            </w:r>
            <w:r w:rsidR="00B03D11">
              <w:rPr>
                <w:b/>
                <w:bCs/>
              </w:rPr>
              <w:t>1</w:t>
            </w:r>
            <w:r w:rsidR="00B03D11" w:rsidRPr="00C16E58">
              <w:rPr>
                <w:b/>
                <w:bCs/>
              </w:rPr>
              <w:t>.gads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Turpmākie trīs gadi (</w:t>
            </w:r>
            <w:proofErr w:type="spellStart"/>
            <w:r w:rsidRPr="00C16E58">
              <w:t>tūkst</w:t>
            </w:r>
            <w:proofErr w:type="spellEnd"/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C16E58">
                <w:t>. latu</w:t>
              </w:r>
            </w:smartTag>
            <w:r w:rsidRPr="00C16E58">
              <w:t>)</w:t>
            </w:r>
          </w:p>
        </w:tc>
      </w:tr>
      <w:tr w:rsidR="00B03D11" w:rsidRPr="00C16E58" w:rsidTr="00101F22">
        <w:tc>
          <w:tcPr>
            <w:tcW w:w="1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136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  <w:r w:rsidRPr="00C16E58">
              <w:rPr>
                <w:b/>
                <w:bCs/>
              </w:rPr>
              <w:t>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C16E58">
              <w:rPr>
                <w:b/>
                <w:bCs/>
              </w:rPr>
              <w:t>.g.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C16E58">
              <w:rPr>
                <w:b/>
                <w:bCs/>
              </w:rPr>
              <w:t>.g.</w:t>
            </w:r>
          </w:p>
        </w:tc>
      </w:tr>
      <w:tr w:rsidR="00B03D11" w:rsidRPr="00C16E58" w:rsidTr="00101F22">
        <w:tc>
          <w:tcPr>
            <w:tcW w:w="1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Saskaņā ar valsts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</w:t>
            </w:r>
          </w:p>
        </w:tc>
      </w:tr>
      <w:tr w:rsidR="00B03D11" w:rsidRPr="00C16E58" w:rsidTr="00101F22">
        <w:trPr>
          <w:trHeight w:val="316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 Budžeta ieņēmumi: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1.1. valsts pamatbudžets, tai skaitā ieņēmumi no maksas pakalpojumiem un citi pašu ieņēmumi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1.2. valsts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 Budžeta izdevumi: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405D70" w:rsidP="00405D70">
            <w:pPr>
              <w:pStyle w:val="naisf"/>
            </w:pPr>
            <w:r>
              <w:t>266</w:t>
            </w:r>
            <w:r w:rsidR="00703BE8">
              <w:t>,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rPr>
          <w:trHeight w:val="308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2.1. valsts pamatbudžets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405D70" w:rsidP="00405D70">
            <w:pPr>
              <w:pStyle w:val="naisf"/>
            </w:pPr>
            <w:r>
              <w:t>266</w:t>
            </w:r>
            <w:r w:rsidR="00703BE8">
              <w:t>,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2.2. valsts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 Finansiālā ietekme: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405D70">
            <w:pPr>
              <w:pStyle w:val="naisf"/>
              <w:ind w:firstLine="0"/>
            </w:pPr>
            <w:r>
              <w:t xml:space="preserve">     </w:t>
            </w:r>
            <w:r w:rsidR="00BC05EE">
              <w:t>-</w:t>
            </w:r>
            <w:r w:rsidR="00405D70">
              <w:t>266</w:t>
            </w:r>
            <w:r>
              <w:t>,</w:t>
            </w:r>
            <w:r w:rsidR="00405D70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3.1. valsts pamatbudžets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703BE8" w:rsidP="00405D70">
            <w:pPr>
              <w:pStyle w:val="naisf"/>
              <w:ind w:firstLine="0"/>
            </w:pPr>
            <w:r>
              <w:t xml:space="preserve">     -</w:t>
            </w:r>
            <w:r w:rsidR="00405D70">
              <w:t>266</w:t>
            </w:r>
            <w:r>
              <w:t>,</w:t>
            </w:r>
            <w:r w:rsidR="00405D70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3.2.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rPr>
          <w:trHeight w:val="1367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4. Finanšu līdzekļi papildu izde</w:t>
            </w:r>
            <w:r w:rsidRPr="00C16E58">
              <w:softHyphen/>
              <w:t>vumu finansēšanai (kompensējošu izdevumu samazinājumu norāda ar "+" zīmi)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405D70" w:rsidP="00405D70">
            <w:pPr>
              <w:pStyle w:val="naisf"/>
            </w:pPr>
            <w:r>
              <w:t>266</w:t>
            </w:r>
            <w:r w:rsidR="00567630">
              <w:t>,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 Precizēta finansiālā ietekme:</w:t>
            </w:r>
          </w:p>
        </w:tc>
        <w:tc>
          <w:tcPr>
            <w:tcW w:w="6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5.1. valsts pamatbudžets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5.2. speciālais 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5.3. pašvaldību 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 Detalizēts ieņēmumu un izdevu</w:t>
            </w:r>
            <w:r w:rsidRPr="00C16E58">
              <w:softHyphen/>
              <w:t xml:space="preserve">mu aprēķins (ja nepieciešams, detalizētu </w:t>
            </w:r>
            <w:r w:rsidRPr="00C16E58">
              <w:lastRenderedPageBreak/>
              <w:t>ieņēmumu un izdevumu aprēķinu var pievienot anotācijas pielikumā):</w:t>
            </w:r>
          </w:p>
        </w:tc>
        <w:tc>
          <w:tcPr>
            <w:tcW w:w="340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BC6" w:rsidRPr="00C16E58" w:rsidRDefault="008F7BC6" w:rsidP="00703BE8">
            <w:pPr>
              <w:pStyle w:val="naisf"/>
              <w:ind w:firstLine="0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lastRenderedPageBreak/>
              <w:t>6.1. detalizēts ieņēmumu aprēķins</w:t>
            </w:r>
          </w:p>
        </w:tc>
        <w:tc>
          <w:tcPr>
            <w:tcW w:w="340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6.2. detalizēts izdevumu aprēķins</w:t>
            </w:r>
          </w:p>
        </w:tc>
        <w:tc>
          <w:tcPr>
            <w:tcW w:w="340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7. Cita informācija</w:t>
            </w:r>
          </w:p>
        </w:tc>
        <w:tc>
          <w:tcPr>
            <w:tcW w:w="340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4C3F74" w:rsidRDefault="00B03D11" w:rsidP="00B03D11">
            <w:pPr>
              <w:jc w:val="both"/>
              <w:rPr>
                <w:i/>
              </w:rPr>
            </w:pPr>
            <w:r w:rsidRPr="00C16E58">
              <w:t>Izdevumus sedz no valsts budžeta programmas 02.00.00 „Līdzekļi neparedzētiem gadījumiem”.</w:t>
            </w:r>
            <w:r>
              <w:t xml:space="preserve"> </w:t>
            </w:r>
          </w:p>
        </w:tc>
      </w:tr>
    </w:tbl>
    <w:p w:rsidR="00B03D11" w:rsidRDefault="00B03D11" w:rsidP="00B03D11">
      <w:pPr>
        <w:pStyle w:val="naisf"/>
        <w:spacing w:before="0" w:after="0"/>
      </w:pPr>
    </w:p>
    <w:p w:rsidR="00B03D11" w:rsidRPr="000A0D36" w:rsidRDefault="00B03D11" w:rsidP="00B03D11">
      <w:pPr>
        <w:pStyle w:val="NormalWeb"/>
        <w:spacing w:before="0" w:beforeAutospacing="0" w:after="0" w:afterAutospacing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3542"/>
        <w:gridCol w:w="5207"/>
      </w:tblGrid>
      <w:tr w:rsidR="00B03D11" w:rsidRPr="000A0D36" w:rsidTr="00101F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  <w:r w:rsidRPr="000A0D36">
              <w:rPr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1.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izpildē iesaistītās institūcijas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405D70" w:rsidP="00567630">
            <w:pPr>
              <w:jc w:val="both"/>
              <w:rPr>
                <w:highlight w:val="yellow"/>
              </w:rPr>
            </w:pPr>
            <w:r>
              <w:rPr>
                <w:bCs/>
                <w:color w:val="000000"/>
              </w:rPr>
              <w:t>Saeimas</w:t>
            </w:r>
            <w:r w:rsidR="00567630">
              <w:rPr>
                <w:bCs/>
                <w:color w:val="000000"/>
              </w:rPr>
              <w:t xml:space="preserve"> kanceleja</w:t>
            </w:r>
            <w:r w:rsidR="008F7BC6">
              <w:rPr>
                <w:bCs/>
                <w:color w:val="000000"/>
              </w:rPr>
              <w:t>, Finanšu ministrija</w:t>
            </w:r>
          </w:p>
        </w:tc>
      </w:tr>
      <w:tr w:rsidR="00B03D11" w:rsidRPr="000A0D36" w:rsidTr="00101F22">
        <w:trPr>
          <w:trHeight w:val="79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2.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funkcijām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bCs/>
                <w:color w:val="000000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3.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Jaunu institūciju izveide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highlight w:val="yellow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4.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Esošu institūciju likvidācija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5.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Esošu institūciju reorganizācija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6.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Cita informācija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r w:rsidRPr="000A0D36">
              <w:t>Nav</w:t>
            </w:r>
            <w:r>
              <w:t xml:space="preserve"> attiecināms. </w:t>
            </w:r>
          </w:p>
        </w:tc>
      </w:tr>
    </w:tbl>
    <w:p w:rsidR="00B03D11" w:rsidRDefault="00B03D11" w:rsidP="00B03D11">
      <w:pPr>
        <w:ind w:firstLine="720"/>
        <w:jc w:val="both"/>
        <w:rPr>
          <w:sz w:val="28"/>
          <w:szCs w:val="28"/>
        </w:rPr>
      </w:pPr>
    </w:p>
    <w:p w:rsidR="00C5732A" w:rsidRPr="00C16E58" w:rsidRDefault="00C5732A" w:rsidP="00C5732A">
      <w:pPr>
        <w:jc w:val="both"/>
        <w:rPr>
          <w:rFonts w:eastAsia="Calibri"/>
        </w:rPr>
      </w:pPr>
      <w:r w:rsidRPr="00C16E58">
        <w:rPr>
          <w:rFonts w:eastAsia="Calibri"/>
        </w:rPr>
        <w:t>Anotācijas II, IV, V, VI sadaļa – nav attiecināms.</w:t>
      </w:r>
    </w:p>
    <w:p w:rsidR="00B03D11" w:rsidRDefault="00B03D11" w:rsidP="00B03D11">
      <w:pPr>
        <w:ind w:firstLine="720"/>
        <w:jc w:val="both"/>
        <w:rPr>
          <w:sz w:val="28"/>
          <w:szCs w:val="28"/>
        </w:rPr>
      </w:pPr>
    </w:p>
    <w:p w:rsidR="004447F8" w:rsidRDefault="004447F8" w:rsidP="00BA4340">
      <w:pPr>
        <w:rPr>
          <w:sz w:val="28"/>
          <w:szCs w:val="28"/>
        </w:rPr>
      </w:pPr>
    </w:p>
    <w:p w:rsidR="004447F8" w:rsidRDefault="004447F8" w:rsidP="00BA4340">
      <w:pPr>
        <w:rPr>
          <w:sz w:val="28"/>
          <w:szCs w:val="28"/>
        </w:rPr>
      </w:pPr>
    </w:p>
    <w:p w:rsidR="00BA4340" w:rsidRDefault="006C1190" w:rsidP="00BA4340">
      <w:pPr>
        <w:rPr>
          <w:sz w:val="28"/>
          <w:szCs w:val="28"/>
        </w:rPr>
      </w:pPr>
      <w:r>
        <w:rPr>
          <w:sz w:val="28"/>
          <w:szCs w:val="28"/>
        </w:rPr>
        <w:t>Finanšu  ministrs                                                                        A.Vilks</w:t>
      </w:r>
    </w:p>
    <w:p w:rsidR="00B03D11" w:rsidRDefault="00B03D11" w:rsidP="00B03D11">
      <w:pPr>
        <w:pStyle w:val="Footer"/>
        <w:jc w:val="both"/>
        <w:rPr>
          <w:szCs w:val="28"/>
        </w:rPr>
      </w:pPr>
    </w:p>
    <w:p w:rsidR="004447F8" w:rsidRDefault="004447F8" w:rsidP="00B03D11">
      <w:pPr>
        <w:pStyle w:val="Footer"/>
        <w:jc w:val="both"/>
        <w:rPr>
          <w:szCs w:val="28"/>
        </w:rPr>
      </w:pPr>
    </w:p>
    <w:p w:rsidR="004447F8" w:rsidRDefault="004447F8" w:rsidP="00B03D11">
      <w:pPr>
        <w:pStyle w:val="Footer"/>
        <w:jc w:val="both"/>
        <w:rPr>
          <w:szCs w:val="28"/>
        </w:rPr>
      </w:pPr>
    </w:p>
    <w:p w:rsidR="004447F8" w:rsidRDefault="004447F8" w:rsidP="00B03D11">
      <w:pPr>
        <w:pStyle w:val="Footer"/>
        <w:jc w:val="both"/>
        <w:rPr>
          <w:szCs w:val="28"/>
        </w:rPr>
      </w:pPr>
    </w:p>
    <w:p w:rsidR="0061761D" w:rsidRDefault="0061761D" w:rsidP="00B03D11">
      <w:pPr>
        <w:pStyle w:val="Footer"/>
        <w:rPr>
          <w:szCs w:val="28"/>
        </w:rPr>
      </w:pPr>
    </w:p>
    <w:p w:rsidR="00B03D11" w:rsidRDefault="00D52E67" w:rsidP="00B03D11">
      <w:pPr>
        <w:pStyle w:val="Footer"/>
        <w:rPr>
          <w:sz w:val="18"/>
          <w:szCs w:val="18"/>
        </w:rPr>
      </w:pPr>
      <w:r>
        <w:rPr>
          <w:sz w:val="18"/>
          <w:szCs w:val="18"/>
        </w:rPr>
        <w:t>05.10</w:t>
      </w:r>
      <w:r w:rsidR="00F96DC2">
        <w:rPr>
          <w:sz w:val="18"/>
          <w:szCs w:val="18"/>
        </w:rPr>
        <w:t>.2011. 10</w:t>
      </w:r>
      <w:r w:rsidR="00670BAA">
        <w:rPr>
          <w:sz w:val="18"/>
          <w:szCs w:val="18"/>
        </w:rPr>
        <w:t>:1</w:t>
      </w:r>
      <w:r w:rsidR="00E8575E">
        <w:rPr>
          <w:sz w:val="18"/>
          <w:szCs w:val="18"/>
        </w:rPr>
        <w:t>0</w:t>
      </w:r>
    </w:p>
    <w:p w:rsidR="00C5732A" w:rsidRPr="00C5732A" w:rsidRDefault="00670BAA" w:rsidP="00C5732A">
      <w:pPr>
        <w:pStyle w:val="Footer"/>
        <w:rPr>
          <w:sz w:val="18"/>
          <w:szCs w:val="18"/>
        </w:rPr>
      </w:pPr>
      <w:r>
        <w:rPr>
          <w:rStyle w:val="PageNumber"/>
          <w:sz w:val="18"/>
          <w:szCs w:val="18"/>
        </w:rPr>
        <w:t>559</w:t>
      </w:r>
    </w:p>
    <w:p w:rsidR="00C5732A" w:rsidRPr="00BC3FCD" w:rsidRDefault="00C5732A" w:rsidP="00C5732A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E.</w:t>
      </w:r>
      <w:r w:rsidRPr="00BC3FCD">
        <w:rPr>
          <w:sz w:val="20"/>
          <w:szCs w:val="20"/>
        </w:rPr>
        <w:t xml:space="preserve">Kobzeva </w:t>
      </w:r>
    </w:p>
    <w:p w:rsidR="00C5732A" w:rsidRPr="000B6A7A" w:rsidRDefault="00C5732A" w:rsidP="00C5732A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8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  <w:bookmarkStart w:id="1" w:name="_GoBack"/>
      <w:bookmarkEnd w:id="1"/>
    </w:p>
    <w:sectPr w:rsidR="00C5732A" w:rsidRPr="000B6A7A" w:rsidSect="00101F2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3B" w:rsidRDefault="002A083B" w:rsidP="00C50023">
      <w:r>
        <w:separator/>
      </w:r>
    </w:p>
  </w:endnote>
  <w:endnote w:type="continuationSeparator" w:id="0">
    <w:p w:rsidR="002A083B" w:rsidRDefault="002A083B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3B" w:rsidRPr="00C50023" w:rsidRDefault="00D52E67" w:rsidP="00C50023">
    <w:pPr>
      <w:jc w:val="both"/>
      <w:rPr>
        <w:sz w:val="20"/>
        <w:szCs w:val="20"/>
      </w:rPr>
    </w:pPr>
    <w:r>
      <w:rPr>
        <w:sz w:val="20"/>
        <w:szCs w:val="20"/>
      </w:rPr>
      <w:t>FMAnot_0510</w:t>
    </w:r>
    <w:r w:rsidR="002A083B" w:rsidRPr="00C50023">
      <w:rPr>
        <w:sz w:val="20"/>
        <w:szCs w:val="20"/>
      </w:rPr>
      <w:t>11;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3B" w:rsidRPr="00C50023" w:rsidRDefault="00D52E67" w:rsidP="00101F22">
    <w:pPr>
      <w:jc w:val="both"/>
      <w:rPr>
        <w:sz w:val="20"/>
        <w:szCs w:val="20"/>
      </w:rPr>
    </w:pPr>
    <w:r>
      <w:rPr>
        <w:sz w:val="20"/>
        <w:szCs w:val="20"/>
      </w:rPr>
      <w:t>FMAnot_0510</w:t>
    </w:r>
    <w:r w:rsidR="002A083B" w:rsidRPr="00C50023">
      <w:rPr>
        <w:sz w:val="20"/>
        <w:szCs w:val="20"/>
      </w:rPr>
      <w:t>11;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3B" w:rsidRDefault="002A083B" w:rsidP="00C50023">
      <w:r>
        <w:separator/>
      </w:r>
    </w:p>
  </w:footnote>
  <w:footnote w:type="continuationSeparator" w:id="0">
    <w:p w:rsidR="002A083B" w:rsidRDefault="002A083B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3B" w:rsidRDefault="002A083B" w:rsidP="00101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83B" w:rsidRDefault="002A0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3B" w:rsidRDefault="002A083B" w:rsidP="00101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E67">
      <w:rPr>
        <w:rStyle w:val="PageNumber"/>
        <w:noProof/>
      </w:rPr>
      <w:t>3</w:t>
    </w:r>
    <w:r>
      <w:rPr>
        <w:rStyle w:val="PageNumber"/>
      </w:rPr>
      <w:fldChar w:fldCharType="end"/>
    </w:r>
  </w:p>
  <w:p w:rsidR="002A083B" w:rsidRDefault="002A0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B58"/>
    <w:multiLevelType w:val="hybridMultilevel"/>
    <w:tmpl w:val="562EBCBA"/>
    <w:lvl w:ilvl="0" w:tplc="CA26BDA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5F064A3"/>
    <w:multiLevelType w:val="hybridMultilevel"/>
    <w:tmpl w:val="25B4E5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11"/>
    <w:rsid w:val="00020F72"/>
    <w:rsid w:val="00053B84"/>
    <w:rsid w:val="00101F22"/>
    <w:rsid w:val="001025AE"/>
    <w:rsid w:val="001C4DFF"/>
    <w:rsid w:val="002A083B"/>
    <w:rsid w:val="00405D70"/>
    <w:rsid w:val="004447F8"/>
    <w:rsid w:val="004F39F2"/>
    <w:rsid w:val="005436E5"/>
    <w:rsid w:val="00567630"/>
    <w:rsid w:val="005B2537"/>
    <w:rsid w:val="0061761D"/>
    <w:rsid w:val="00670BAA"/>
    <w:rsid w:val="00696756"/>
    <w:rsid w:val="006C1190"/>
    <w:rsid w:val="006F21F2"/>
    <w:rsid w:val="00703BE8"/>
    <w:rsid w:val="008F3D97"/>
    <w:rsid w:val="008F7BC6"/>
    <w:rsid w:val="00952429"/>
    <w:rsid w:val="00A22147"/>
    <w:rsid w:val="00B03D11"/>
    <w:rsid w:val="00BA4340"/>
    <w:rsid w:val="00BC05EE"/>
    <w:rsid w:val="00C50023"/>
    <w:rsid w:val="00C5732A"/>
    <w:rsid w:val="00CB25C4"/>
    <w:rsid w:val="00D52E67"/>
    <w:rsid w:val="00E02D94"/>
    <w:rsid w:val="00E829C0"/>
    <w:rsid w:val="00E8575E"/>
    <w:rsid w:val="00E97231"/>
    <w:rsid w:val="00F96DC2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D1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03D1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03D11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rsid w:val="00B03D11"/>
    <w:rPr>
      <w:color w:val="0000FF"/>
      <w:u w:val="single"/>
    </w:rPr>
  </w:style>
  <w:style w:type="paragraph" w:styleId="Footer">
    <w:name w:val="footer"/>
    <w:basedOn w:val="Normal"/>
    <w:link w:val="FooterChar"/>
    <w:rsid w:val="00B03D1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03D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B0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D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D11"/>
  </w:style>
  <w:style w:type="paragraph" w:customStyle="1" w:styleId="RakstzRakstzCharCharChar">
    <w:name w:val="Rakstz. Rakstz. Char Char Char"/>
    <w:basedOn w:val="Normal"/>
    <w:next w:val="BlockText"/>
    <w:rsid w:val="00BC05E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C05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2537"/>
    <w:pPr>
      <w:ind w:left="720"/>
      <w:contextualSpacing/>
    </w:pPr>
  </w:style>
  <w:style w:type="paragraph" w:styleId="BodyText">
    <w:name w:val="Body Text"/>
    <w:basedOn w:val="Normal"/>
    <w:link w:val="BodyTextChar"/>
    <w:rsid w:val="00C5732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573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visr">
    <w:name w:val="naisvisr"/>
    <w:basedOn w:val="Normal"/>
    <w:rsid w:val="002A08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D1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03D1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03D11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rsid w:val="00B03D11"/>
    <w:rPr>
      <w:color w:val="0000FF"/>
      <w:u w:val="single"/>
    </w:rPr>
  </w:style>
  <w:style w:type="paragraph" w:styleId="Footer">
    <w:name w:val="footer"/>
    <w:basedOn w:val="Normal"/>
    <w:link w:val="FooterChar"/>
    <w:rsid w:val="00B03D1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03D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B0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D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D11"/>
  </w:style>
  <w:style w:type="paragraph" w:customStyle="1" w:styleId="RakstzRakstzCharCharChar">
    <w:name w:val="Rakstz. Rakstz. Char Char Char"/>
    <w:basedOn w:val="Normal"/>
    <w:next w:val="BlockText"/>
    <w:rsid w:val="00BC05E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C05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2537"/>
    <w:pPr>
      <w:ind w:left="720"/>
      <w:contextualSpacing/>
    </w:pPr>
  </w:style>
  <w:style w:type="paragraph" w:styleId="BodyText">
    <w:name w:val="Body Text"/>
    <w:basedOn w:val="Normal"/>
    <w:link w:val="BodyTextChar"/>
    <w:rsid w:val="00C5732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573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visr">
    <w:name w:val="naisvisr"/>
    <w:basedOn w:val="Normal"/>
    <w:rsid w:val="002A08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obzeva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Finanšu ministrija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/>
  <dc:creator>E.Kobzeva</dc:creator>
  <cp:keywords/>
  <dc:description>Elina.Kobzeva@fm.gov.lv
67083885</dc:description>
  <cp:lastModifiedBy>E.Kobzeva</cp:lastModifiedBy>
  <cp:revision>16</cp:revision>
  <cp:lastPrinted>2011-10-05T08:04:00Z</cp:lastPrinted>
  <dcterms:created xsi:type="dcterms:W3CDTF">2011-04-27T08:12:00Z</dcterms:created>
  <dcterms:modified xsi:type="dcterms:W3CDTF">2011-10-05T08:06:00Z</dcterms:modified>
</cp:coreProperties>
</file>