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A1" w:rsidRPr="00425CA1" w:rsidRDefault="00544B62" w:rsidP="00425CA1">
      <w:pPr>
        <w:rPr>
          <w:b/>
          <w:sz w:val="26"/>
          <w:szCs w:val="26"/>
        </w:rPr>
      </w:pPr>
      <w:bookmarkStart w:id="0" w:name="_GoBack"/>
      <w:bookmarkEnd w:id="0"/>
      <w:r w:rsidRPr="00DC7950">
        <w:rPr>
          <w:b/>
          <w:bCs/>
          <w:sz w:val="26"/>
          <w:szCs w:val="26"/>
          <w:lang w:val="lv-LV"/>
        </w:rPr>
        <w:t xml:space="preserve">Ministru kabineta noteikumu projekta </w:t>
      </w:r>
      <w:r w:rsidRPr="00DC7950">
        <w:rPr>
          <w:b/>
          <w:sz w:val="26"/>
          <w:szCs w:val="26"/>
          <w:lang w:val="lv-LV"/>
        </w:rPr>
        <w:t>„</w:t>
      </w:r>
      <w:r w:rsidR="00425CA1" w:rsidRPr="00425CA1">
        <w:rPr>
          <w:b/>
          <w:sz w:val="26"/>
          <w:szCs w:val="26"/>
        </w:rPr>
        <w:t>Grozījum</w:t>
      </w:r>
      <w:r w:rsidR="00824AF7">
        <w:rPr>
          <w:b/>
          <w:sz w:val="26"/>
          <w:szCs w:val="26"/>
          <w:lang w:val="lv-LV"/>
        </w:rPr>
        <w:t>i</w:t>
      </w:r>
      <w:r w:rsidR="00425CA1" w:rsidRPr="00425CA1">
        <w:rPr>
          <w:b/>
          <w:sz w:val="26"/>
          <w:szCs w:val="26"/>
        </w:rPr>
        <w:t xml:space="preserve"> Ministru kabineta 2012.gada 2.oktobra noteikumos Nr.672 „Prasības maršruta kontroles sistēmām”</w:t>
      </w:r>
    </w:p>
    <w:p w:rsidR="00544B62" w:rsidRPr="00DC7950" w:rsidRDefault="00425CA1" w:rsidP="00425CA1">
      <w:pPr>
        <w:jc w:val="center"/>
        <w:rPr>
          <w:b/>
          <w:bCs/>
          <w:sz w:val="26"/>
          <w:szCs w:val="26"/>
          <w:lang w:val="lv-LV"/>
        </w:rPr>
      </w:pPr>
      <w:r w:rsidRPr="00425CA1">
        <w:rPr>
          <w:b/>
          <w:bCs/>
          <w:sz w:val="26"/>
          <w:szCs w:val="26"/>
          <w:lang w:val="lv-LV"/>
        </w:rPr>
        <w:t xml:space="preserve"> </w:t>
      </w:r>
      <w:r w:rsidR="00544B62" w:rsidRPr="00DC7950">
        <w:rPr>
          <w:b/>
          <w:bCs/>
          <w:sz w:val="26"/>
          <w:szCs w:val="26"/>
          <w:lang w:val="lv-LV"/>
        </w:rPr>
        <w:t>(anotācija)</w:t>
      </w:r>
    </w:p>
    <w:p w:rsidR="009F6A06" w:rsidRPr="00DC7950" w:rsidRDefault="009F6A06" w:rsidP="00544B62">
      <w:pPr>
        <w:jc w:val="center"/>
        <w:rPr>
          <w:b/>
          <w:sz w:val="26"/>
          <w:szCs w:val="26"/>
          <w:lang w:val="lv-LV"/>
        </w:rPr>
      </w:pPr>
    </w:p>
    <w:tbl>
      <w:tblPr>
        <w:tblW w:w="504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"/>
        <w:gridCol w:w="189"/>
        <w:gridCol w:w="1636"/>
        <w:gridCol w:w="2545"/>
        <w:gridCol w:w="4377"/>
      </w:tblGrid>
      <w:tr w:rsidR="00544B62" w:rsidRPr="00DC7950" w:rsidTr="0066004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544B62" w:rsidRPr="00DC7950" w:rsidRDefault="00544B62" w:rsidP="00802AD8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DC7950">
              <w:rPr>
                <w:b/>
                <w:bCs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8B703A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03A" w:rsidRPr="00DC7950" w:rsidRDefault="008B703A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03A" w:rsidRPr="00DC7950" w:rsidRDefault="008B703A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03A" w:rsidRPr="00824AF7" w:rsidRDefault="003E6455" w:rsidP="003E6455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rFonts w:eastAsia="Calibri"/>
                <w:sz w:val="26"/>
                <w:szCs w:val="26"/>
                <w:lang w:val="lv-LV"/>
              </w:rPr>
              <w:t xml:space="preserve">Finanšu ministrija ir izstrādājusi Ministru kabineta noteikumu projektu „Grozījumi Ministru kabineta 2012.gada 2.oktobra noteikumos Nr.672 „Prasības maršruta kontroles sistēmām”” (turpmāk – MK noteikumu projekts), lai nodrošinātu tiesiskā regulējuma atbilstību </w:t>
            </w:r>
            <w:r w:rsidR="00E74B81" w:rsidRPr="00824AF7">
              <w:rPr>
                <w:rFonts w:eastAsia="Calibri"/>
                <w:sz w:val="26"/>
                <w:szCs w:val="26"/>
                <w:lang w:val="lv-LV"/>
              </w:rPr>
              <w:t>Transportlīdzekļa ekspluatācijas nodokļa un uzņēmumu vieglo transportlīdzekļu nodokļa likuma</w:t>
            </w:r>
            <w:r w:rsidR="00E81FB9">
              <w:rPr>
                <w:rFonts w:eastAsia="Calibri"/>
                <w:sz w:val="26"/>
                <w:szCs w:val="26"/>
                <w:lang w:val="lv-LV"/>
              </w:rPr>
              <w:t xml:space="preserve"> (turpmāk – likums)</w:t>
            </w:r>
            <w:r w:rsidR="00E74B81" w:rsidRPr="00824AF7">
              <w:rPr>
                <w:rFonts w:eastAsia="Calibri"/>
                <w:sz w:val="26"/>
                <w:szCs w:val="26"/>
                <w:lang w:val="lv-LV"/>
              </w:rPr>
              <w:t xml:space="preserve"> 14.panta piekt</w:t>
            </w:r>
            <w:r>
              <w:rPr>
                <w:rFonts w:eastAsia="Calibri"/>
                <w:sz w:val="26"/>
                <w:szCs w:val="26"/>
                <w:lang w:val="lv-LV"/>
              </w:rPr>
              <w:t>ajai</w:t>
            </w:r>
            <w:r w:rsidR="00E74B81" w:rsidRPr="00824AF7">
              <w:rPr>
                <w:rFonts w:eastAsia="Calibri"/>
                <w:sz w:val="26"/>
                <w:szCs w:val="26"/>
                <w:lang w:val="lv-LV"/>
              </w:rPr>
              <w:t xml:space="preserve"> daļ</w:t>
            </w:r>
            <w:r w:rsidR="00D71442" w:rsidRPr="00824AF7">
              <w:rPr>
                <w:rFonts w:eastAsia="Calibri"/>
                <w:sz w:val="26"/>
                <w:szCs w:val="26"/>
                <w:lang w:val="lv-LV"/>
              </w:rPr>
              <w:t>a</w:t>
            </w:r>
            <w:r>
              <w:rPr>
                <w:rFonts w:eastAsia="Calibri"/>
                <w:sz w:val="26"/>
                <w:szCs w:val="26"/>
                <w:lang w:val="lv-LV"/>
              </w:rPr>
              <w:t>i</w:t>
            </w:r>
            <w:r w:rsidR="00D71442" w:rsidRPr="00824AF7">
              <w:rPr>
                <w:rFonts w:eastAsia="Calibri"/>
                <w:sz w:val="26"/>
                <w:szCs w:val="26"/>
                <w:lang w:val="lv-LV"/>
              </w:rPr>
              <w:t>.</w:t>
            </w:r>
          </w:p>
        </w:tc>
      </w:tr>
      <w:tr w:rsidR="00544B62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E74B81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Pašreizējā situācija </w:t>
            </w:r>
            <w:r w:rsidR="00544B62"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un problēmas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CFC" w:rsidRDefault="00F23F2A" w:rsidP="00E81FB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sz w:val="26"/>
                <w:szCs w:val="26"/>
                <w:lang w:val="lv-LV"/>
              </w:rPr>
              <w:t xml:space="preserve">Saskaņā ar </w:t>
            </w:r>
            <w:r w:rsidR="00E81FB9">
              <w:rPr>
                <w:rFonts w:eastAsia="Calibri"/>
                <w:sz w:val="26"/>
                <w:szCs w:val="26"/>
                <w:lang w:val="lv-LV"/>
              </w:rPr>
              <w:t xml:space="preserve">likumu „Grozījumi Transportlīdzekļa ekspluatācijas nodokļa un uzņēmumu vieglo transportlīdzekļu nodokļa likumā”, kas stājās spēkā 2013.gada 1.janvārī (turpmāk – grozījumi), </w:t>
            </w:r>
            <w:r w:rsidR="0022322E">
              <w:rPr>
                <w:rFonts w:eastAsia="Calibri"/>
                <w:sz w:val="26"/>
                <w:szCs w:val="26"/>
                <w:lang w:val="lv-LV"/>
              </w:rPr>
              <w:t xml:space="preserve"> uzņēmumu vieglo transportlīdzekļu nodokļa maksātāju </w:t>
            </w:r>
            <w:r w:rsidR="00B979A3">
              <w:rPr>
                <w:rFonts w:eastAsia="Calibri"/>
                <w:sz w:val="26"/>
                <w:szCs w:val="26"/>
                <w:lang w:val="lv-LV"/>
              </w:rPr>
              <w:t>loks</w:t>
            </w:r>
            <w:r w:rsidR="0022322E">
              <w:rPr>
                <w:rFonts w:eastAsia="Calibri"/>
                <w:sz w:val="26"/>
                <w:szCs w:val="26"/>
                <w:lang w:val="lv-LV"/>
              </w:rPr>
              <w:t xml:space="preserve"> tika papildināts ar ārvalsts komersanta filiāli. </w:t>
            </w:r>
          </w:p>
          <w:p w:rsidR="00E81FB9" w:rsidRPr="00DC7950" w:rsidRDefault="00E81FB9" w:rsidP="00E81FB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sz w:val="26"/>
                <w:szCs w:val="26"/>
                <w:lang w:val="lv-LV"/>
              </w:rPr>
              <w:t>Ministru kabineta 2012.gada 2.oktobra noteikumi Nr.672 „Prasības maršruta kontroles sistēmām” (turpmāk – MK noteikumi) izdoti saskaņā ar likuma 14.panta piekto daļu. Pēc grozījumu stāšanās spēkā MK noteikumi neatbilst tam subjektu lokam, kas noteikts likumā.</w:t>
            </w:r>
          </w:p>
        </w:tc>
      </w:tr>
      <w:tr w:rsidR="00544B62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1C6521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 xml:space="preserve">Nav attiecināms. </w:t>
            </w:r>
          </w:p>
        </w:tc>
      </w:tr>
      <w:tr w:rsidR="00667C40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C43" w:rsidRDefault="00E81FB9" w:rsidP="00D71442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MK n</w:t>
            </w:r>
            <w:r w:rsidR="00D71442">
              <w:rPr>
                <w:sz w:val="26"/>
                <w:szCs w:val="26"/>
                <w:lang w:val="lv-LV"/>
              </w:rPr>
              <w:t>oteikum</w:t>
            </w:r>
            <w:r w:rsidR="00F23F2A">
              <w:rPr>
                <w:sz w:val="26"/>
                <w:szCs w:val="26"/>
                <w:lang w:val="lv-LV"/>
              </w:rPr>
              <w:t xml:space="preserve">u projekts, lai novērstu spēkā esošo </w:t>
            </w:r>
            <w:r>
              <w:rPr>
                <w:sz w:val="26"/>
                <w:szCs w:val="26"/>
                <w:lang w:val="lv-LV"/>
              </w:rPr>
              <w:t xml:space="preserve">MK </w:t>
            </w:r>
            <w:r w:rsidR="00F23F2A">
              <w:rPr>
                <w:sz w:val="26"/>
                <w:szCs w:val="26"/>
                <w:lang w:val="lv-LV"/>
              </w:rPr>
              <w:t xml:space="preserve">noteikumu nepilnības, paredz </w:t>
            </w:r>
            <w:r w:rsidR="00D71442">
              <w:rPr>
                <w:sz w:val="26"/>
                <w:szCs w:val="26"/>
                <w:lang w:val="lv-LV"/>
              </w:rPr>
              <w:t xml:space="preserve">saskaņot </w:t>
            </w:r>
            <w:r w:rsidR="0090321E">
              <w:rPr>
                <w:sz w:val="26"/>
                <w:szCs w:val="26"/>
                <w:lang w:val="lv-LV"/>
              </w:rPr>
              <w:t>likumā</w:t>
            </w:r>
            <w:r w:rsidR="00D71442">
              <w:rPr>
                <w:sz w:val="26"/>
                <w:szCs w:val="26"/>
                <w:lang w:val="lv-LV"/>
              </w:rPr>
              <w:t xml:space="preserve"> norādīt</w:t>
            </w:r>
            <w:r>
              <w:rPr>
                <w:sz w:val="26"/>
                <w:szCs w:val="26"/>
                <w:lang w:val="lv-LV"/>
              </w:rPr>
              <w:t>os</w:t>
            </w:r>
            <w:r w:rsidR="00F23F2A">
              <w:rPr>
                <w:sz w:val="26"/>
                <w:szCs w:val="26"/>
                <w:lang w:val="lv-LV"/>
              </w:rPr>
              <w:t xml:space="preserve"> uzņēmumu vieglo transportlīdzekļu nodokļu maksātāj</w:t>
            </w:r>
            <w:r>
              <w:rPr>
                <w:sz w:val="26"/>
                <w:szCs w:val="26"/>
                <w:lang w:val="lv-LV"/>
              </w:rPr>
              <w:t>us ar MK noteikumos norādītajiem nodokļu maksātājiem.</w:t>
            </w:r>
            <w:r w:rsidR="003C71C5">
              <w:rPr>
                <w:sz w:val="26"/>
                <w:szCs w:val="26"/>
                <w:lang w:val="lv-LV"/>
              </w:rPr>
              <w:t xml:space="preserve"> Lai novērstu tiesiskā regulējuma neatbilstību, nepieciešams papildināt MK noteikumus ar jaunu uzņēmumu vieglo transportlīdzekļu</w:t>
            </w:r>
            <w:r w:rsidR="00653650">
              <w:rPr>
                <w:sz w:val="26"/>
                <w:szCs w:val="26"/>
                <w:lang w:val="lv-LV"/>
              </w:rPr>
              <w:t xml:space="preserve"> nodokļa</w:t>
            </w:r>
            <w:r w:rsidR="00D71442">
              <w:rPr>
                <w:sz w:val="26"/>
                <w:szCs w:val="26"/>
                <w:lang w:val="lv-LV"/>
              </w:rPr>
              <w:t xml:space="preserve"> maksātāju - </w:t>
            </w:r>
            <w:r w:rsidR="00406973">
              <w:rPr>
                <w:sz w:val="26"/>
                <w:szCs w:val="26"/>
                <w:lang w:val="lv-LV"/>
              </w:rPr>
              <w:t>ārvalsts komersanta filiāli.</w:t>
            </w:r>
            <w:r w:rsidR="00653650">
              <w:rPr>
                <w:sz w:val="26"/>
                <w:szCs w:val="26"/>
                <w:lang w:val="lv-LV"/>
              </w:rPr>
              <w:t xml:space="preserve"> MK noteikumos nepieciešams ieviest terminu „nodokļu maksātājs”, lai saskaņotu terminoloģiju ar likumu.</w:t>
            </w:r>
          </w:p>
          <w:p w:rsidR="00D71442" w:rsidRPr="00DC7950" w:rsidRDefault="00653650" w:rsidP="00653650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</w:t>
            </w:r>
            <w:r w:rsidR="00D71442">
              <w:rPr>
                <w:sz w:val="26"/>
                <w:szCs w:val="26"/>
                <w:lang w:val="lv-LV"/>
              </w:rPr>
              <w:t>notācijas I sadaļas 2.punktā minētās problēmas</w:t>
            </w:r>
            <w:r>
              <w:rPr>
                <w:sz w:val="26"/>
                <w:szCs w:val="26"/>
                <w:lang w:val="lv-LV"/>
              </w:rPr>
              <w:t xml:space="preserve"> MK</w:t>
            </w:r>
            <w:r w:rsidR="00D71442">
              <w:rPr>
                <w:sz w:val="26"/>
                <w:szCs w:val="26"/>
                <w:lang w:val="lv-LV"/>
              </w:rPr>
              <w:t xml:space="preserve"> noteikumu projekts atrisinās pilnībā.</w:t>
            </w:r>
          </w:p>
        </w:tc>
      </w:tr>
      <w:tr w:rsidR="00667C40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E34C9C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Nav attiecināms</w:t>
            </w:r>
          </w:p>
        </w:tc>
      </w:tr>
      <w:tr w:rsidR="00667C40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6.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115065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Nav attiecināms</w:t>
            </w:r>
          </w:p>
        </w:tc>
      </w:tr>
      <w:tr w:rsidR="00667C40" w:rsidRPr="00DC7950" w:rsidTr="00E332E8"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lastRenderedPageBreak/>
              <w:t>7.</w:t>
            </w:r>
          </w:p>
        </w:tc>
        <w:tc>
          <w:tcPr>
            <w:tcW w:w="1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C40" w:rsidRPr="00DC7950" w:rsidRDefault="00667C40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F4C" w:rsidRPr="00DC7950" w:rsidRDefault="001A5162" w:rsidP="00297C9E">
            <w:pPr>
              <w:ind w:firstLine="266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Nav</w:t>
            </w:r>
          </w:p>
        </w:tc>
      </w:tr>
      <w:tr w:rsidR="00544B62" w:rsidRPr="00DC7950" w:rsidTr="00BA29B9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956F90" w:rsidRDefault="00956F90" w:rsidP="00956F90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lv-LV"/>
              </w:rPr>
            </w:pPr>
          </w:p>
          <w:p w:rsidR="00544B62" w:rsidRPr="00DC7950" w:rsidRDefault="00544B62" w:rsidP="00956F90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DC7950">
              <w:rPr>
                <w:b/>
                <w:bCs/>
                <w:sz w:val="26"/>
                <w:szCs w:val="26"/>
                <w:lang w:val="lv-LV"/>
              </w:rPr>
              <w:t>II. Tiesību akta projekta ietekme uz sabiedrību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C9C" w:rsidRDefault="00544B62" w:rsidP="00FF1BAD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 xml:space="preserve">Sabiedrības </w:t>
            </w:r>
            <w:proofErr w:type="spellStart"/>
            <w:r w:rsidRPr="00DC7950">
              <w:rPr>
                <w:sz w:val="26"/>
                <w:szCs w:val="26"/>
                <w:lang w:val="lv-LV"/>
              </w:rPr>
              <w:t>mērķgrupa</w:t>
            </w:r>
            <w:proofErr w:type="spellEnd"/>
          </w:p>
          <w:p w:rsidR="00E34C9C" w:rsidRPr="00E34C9C" w:rsidRDefault="00E34C9C" w:rsidP="00E34C9C">
            <w:pPr>
              <w:rPr>
                <w:sz w:val="26"/>
                <w:szCs w:val="26"/>
                <w:lang w:val="lv-LV"/>
              </w:rPr>
            </w:pPr>
          </w:p>
          <w:p w:rsidR="00E34C9C" w:rsidRPr="00E34C9C" w:rsidRDefault="00E34C9C" w:rsidP="00E34C9C">
            <w:pPr>
              <w:rPr>
                <w:sz w:val="26"/>
                <w:szCs w:val="26"/>
                <w:lang w:val="lv-LV"/>
              </w:rPr>
            </w:pPr>
          </w:p>
          <w:p w:rsidR="00E34C9C" w:rsidRPr="00E34C9C" w:rsidRDefault="00E34C9C" w:rsidP="00E34C9C">
            <w:pPr>
              <w:rPr>
                <w:sz w:val="26"/>
                <w:szCs w:val="26"/>
                <w:lang w:val="lv-LV"/>
              </w:rPr>
            </w:pPr>
          </w:p>
          <w:p w:rsidR="00544B62" w:rsidRPr="00E34C9C" w:rsidRDefault="00544B62" w:rsidP="00E34C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E8C" w:rsidRPr="00DC7950" w:rsidRDefault="00E34C9C" w:rsidP="00653650">
            <w:pPr>
              <w:tabs>
                <w:tab w:val="left" w:pos="927"/>
                <w:tab w:val="left" w:pos="3222"/>
              </w:tabs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Ārvalsts komersanta filiāles, kuras savā īpašumā vai turējumā esošos vieglos transportlīdzekļus izmanto tikai</w:t>
            </w:r>
            <w:r w:rsidR="00F23F2A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un vienīgi saimnieciskajai darbībai</w:t>
            </w:r>
            <w:r w:rsidR="00653650">
              <w:rPr>
                <w:sz w:val="26"/>
                <w:szCs w:val="26"/>
                <w:lang w:val="lv-LV"/>
              </w:rPr>
              <w:t xml:space="preserve">, ir aprīkojušas tos </w:t>
            </w:r>
            <w:r>
              <w:rPr>
                <w:sz w:val="26"/>
                <w:szCs w:val="26"/>
                <w:lang w:val="lv-LV"/>
              </w:rPr>
              <w:t>ar maršruta kontroles sistēmu un deklarējuš</w:t>
            </w:r>
            <w:r w:rsidR="00653650">
              <w:rPr>
                <w:sz w:val="26"/>
                <w:szCs w:val="26"/>
                <w:lang w:val="lv-LV"/>
              </w:rPr>
              <w:t>as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653650">
              <w:rPr>
                <w:sz w:val="26"/>
                <w:szCs w:val="26"/>
                <w:lang w:val="lv-LV"/>
              </w:rPr>
              <w:t>vieglo transportlīdzekli</w:t>
            </w:r>
            <w:r>
              <w:rPr>
                <w:sz w:val="26"/>
                <w:szCs w:val="26"/>
                <w:lang w:val="lv-LV"/>
              </w:rPr>
              <w:t xml:space="preserve"> Transportlīdzekļu un to vadītāju valsts reģistrā.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8E3544">
            <w:pPr>
              <w:pStyle w:val="NormalWeb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Citas sabiedrības grupas (bez </w:t>
            </w:r>
            <w:proofErr w:type="spellStart"/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DC7950">
              <w:rPr>
                <w:rFonts w:ascii="Times New Roman" w:hAnsi="Times New Roman"/>
                <w:sz w:val="26"/>
                <w:szCs w:val="26"/>
                <w:lang w:val="lv-LV" w:eastAsia="lv-LV"/>
              </w:rPr>
              <w:t>), kuras tiesiskais regulējums arī ietekmē vai varētu ietekmēt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65365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MK noteikumu projekts šo jomu neskar</w:t>
            </w:r>
            <w:r w:rsidR="005C674B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Tiesiskā regulējuma finansiālā ietekme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653650" w:rsidP="006E447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653650">
              <w:rPr>
                <w:sz w:val="26"/>
                <w:szCs w:val="26"/>
                <w:lang w:val="lv-LV"/>
              </w:rPr>
              <w:t>MK noteikumu projekts šo jomu neskar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Tiesiskā regulējuma nefinansiālā ietekme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653650" w:rsidP="00B0764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653650">
              <w:rPr>
                <w:sz w:val="26"/>
                <w:szCs w:val="26"/>
                <w:lang w:val="lv-LV"/>
              </w:rPr>
              <w:t>MK noteikumu projekts šo jomu neskar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Administratīvās procedūras raksturojums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65365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653650">
              <w:rPr>
                <w:sz w:val="26"/>
                <w:szCs w:val="26"/>
                <w:lang w:val="lv-LV"/>
              </w:rPr>
              <w:t>MK noteikumu projekts šo jomu neskar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6.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Administratīvo izmaksu monetārs novērtējums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B62" w:rsidRPr="00DC7950" w:rsidRDefault="00653650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653650">
              <w:rPr>
                <w:sz w:val="26"/>
                <w:szCs w:val="26"/>
                <w:lang w:val="lv-LV"/>
              </w:rPr>
              <w:t>MK noteikumu projekts šo jomu neskar</w:t>
            </w:r>
          </w:p>
        </w:tc>
      </w:tr>
      <w:tr w:rsidR="00544B62" w:rsidRPr="00DC7950" w:rsidTr="00BA29B9">
        <w:tc>
          <w:tcPr>
            <w:tcW w:w="25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7.</w:t>
            </w:r>
          </w:p>
        </w:tc>
        <w:tc>
          <w:tcPr>
            <w:tcW w:w="2318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4B62" w:rsidRPr="00DC7950" w:rsidRDefault="00544B62" w:rsidP="00544B6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4041D" w:rsidRPr="00DC7950" w:rsidRDefault="00A328FA" w:rsidP="0084041D">
            <w:pPr>
              <w:jc w:val="both"/>
              <w:rPr>
                <w:sz w:val="26"/>
                <w:szCs w:val="26"/>
                <w:lang w:val="lv-LV"/>
              </w:rPr>
            </w:pPr>
            <w:r w:rsidRPr="00DC7950">
              <w:rPr>
                <w:sz w:val="26"/>
                <w:szCs w:val="26"/>
                <w:lang w:val="lv-LV"/>
              </w:rPr>
              <w:t>Nav</w:t>
            </w:r>
          </w:p>
        </w:tc>
      </w:tr>
    </w:tbl>
    <w:p w:rsidR="00824AF7" w:rsidRPr="00DC7950" w:rsidRDefault="00E332E8" w:rsidP="00824AF7">
      <w:pPr>
        <w:pStyle w:val="naisf"/>
        <w:rPr>
          <w:vanish/>
          <w:sz w:val="26"/>
          <w:szCs w:val="26"/>
        </w:rPr>
      </w:pPr>
      <w:r>
        <w:t> </w:t>
      </w:r>
    </w:p>
    <w:p w:rsidR="00F37D1B" w:rsidRPr="00DC7950" w:rsidRDefault="00F37D1B" w:rsidP="00F37D1B">
      <w:pPr>
        <w:rPr>
          <w:sz w:val="26"/>
          <w:szCs w:val="26"/>
          <w:lang w:val="lv-LV"/>
        </w:rPr>
      </w:pPr>
      <w:r w:rsidRPr="00DC7950">
        <w:rPr>
          <w:sz w:val="26"/>
          <w:szCs w:val="26"/>
          <w:lang w:val="lv-LV"/>
        </w:rPr>
        <w:t xml:space="preserve">Anotācijas </w:t>
      </w:r>
      <w:r w:rsidR="00423E54" w:rsidRPr="00DC7950">
        <w:rPr>
          <w:sz w:val="26"/>
          <w:szCs w:val="26"/>
          <w:lang w:val="lv-LV"/>
        </w:rPr>
        <w:t>III, IV</w:t>
      </w:r>
      <w:r w:rsidR="00E34C9C">
        <w:rPr>
          <w:sz w:val="26"/>
          <w:szCs w:val="26"/>
          <w:lang w:val="lv-LV"/>
        </w:rPr>
        <w:t xml:space="preserve">, </w:t>
      </w:r>
      <w:r w:rsidR="00423E54" w:rsidRPr="00DC7950">
        <w:rPr>
          <w:sz w:val="26"/>
          <w:szCs w:val="26"/>
          <w:lang w:val="lv-LV"/>
        </w:rPr>
        <w:t>V</w:t>
      </w:r>
      <w:r w:rsidR="00824AF7">
        <w:rPr>
          <w:sz w:val="26"/>
          <w:szCs w:val="26"/>
          <w:lang w:val="lv-LV"/>
        </w:rPr>
        <w:t>, VI</w:t>
      </w:r>
      <w:r w:rsidR="00E34C9C">
        <w:rPr>
          <w:sz w:val="26"/>
          <w:szCs w:val="26"/>
          <w:lang w:val="lv-LV"/>
        </w:rPr>
        <w:t xml:space="preserve"> un VII</w:t>
      </w:r>
      <w:r w:rsidR="00423E54" w:rsidRPr="00DC7950">
        <w:rPr>
          <w:sz w:val="26"/>
          <w:szCs w:val="26"/>
          <w:lang w:val="lv-LV"/>
        </w:rPr>
        <w:t xml:space="preserve"> sadaļa uz noteikumu projektu nav attiecināma.</w:t>
      </w:r>
    </w:p>
    <w:p w:rsidR="00F37D1B" w:rsidRPr="00DC7950" w:rsidRDefault="00F37D1B" w:rsidP="006D1DC6">
      <w:pPr>
        <w:rPr>
          <w:sz w:val="26"/>
          <w:szCs w:val="26"/>
          <w:lang w:val="lv-LV"/>
        </w:rPr>
      </w:pPr>
    </w:p>
    <w:p w:rsidR="002D7FD1" w:rsidRDefault="002D7FD1" w:rsidP="006D1DC6">
      <w:pPr>
        <w:rPr>
          <w:sz w:val="26"/>
          <w:szCs w:val="26"/>
          <w:lang w:val="lv-LV"/>
        </w:rPr>
      </w:pPr>
    </w:p>
    <w:p w:rsidR="00956F90" w:rsidRDefault="00956F90" w:rsidP="006D1DC6">
      <w:pPr>
        <w:rPr>
          <w:sz w:val="26"/>
          <w:szCs w:val="26"/>
          <w:lang w:val="lv-LV"/>
        </w:rPr>
      </w:pPr>
    </w:p>
    <w:p w:rsidR="00956F90" w:rsidRDefault="00956F90" w:rsidP="006D1DC6">
      <w:pPr>
        <w:rPr>
          <w:sz w:val="26"/>
          <w:szCs w:val="26"/>
          <w:lang w:val="lv-LV"/>
        </w:rPr>
      </w:pPr>
    </w:p>
    <w:p w:rsidR="00824AF7" w:rsidRDefault="00824AF7" w:rsidP="006D1DC6">
      <w:pPr>
        <w:rPr>
          <w:sz w:val="26"/>
          <w:szCs w:val="26"/>
          <w:lang w:val="lv-LV"/>
        </w:rPr>
      </w:pPr>
    </w:p>
    <w:p w:rsidR="00824AF7" w:rsidRDefault="00824AF7" w:rsidP="006D1DC6">
      <w:pPr>
        <w:rPr>
          <w:sz w:val="26"/>
          <w:szCs w:val="26"/>
          <w:lang w:val="lv-LV"/>
        </w:rPr>
      </w:pPr>
    </w:p>
    <w:p w:rsidR="00824AF7" w:rsidRDefault="00824AF7" w:rsidP="006D1DC6">
      <w:pPr>
        <w:rPr>
          <w:sz w:val="26"/>
          <w:szCs w:val="26"/>
          <w:lang w:val="lv-LV"/>
        </w:rPr>
      </w:pPr>
    </w:p>
    <w:p w:rsidR="00824AF7" w:rsidRPr="00DC7950" w:rsidRDefault="00824AF7" w:rsidP="006D1DC6">
      <w:pPr>
        <w:rPr>
          <w:vanish/>
          <w:sz w:val="26"/>
          <w:szCs w:val="26"/>
          <w:lang w:val="lv-LV"/>
        </w:rPr>
      </w:pPr>
    </w:p>
    <w:p w:rsidR="00590479" w:rsidRPr="00DC7950" w:rsidRDefault="00590479" w:rsidP="00544B62">
      <w:pPr>
        <w:jc w:val="both"/>
        <w:rPr>
          <w:sz w:val="26"/>
          <w:szCs w:val="26"/>
          <w:lang w:val="lv-LV"/>
        </w:rPr>
      </w:pPr>
    </w:p>
    <w:p w:rsidR="001B7E55" w:rsidRPr="00DC7950" w:rsidRDefault="001B7E55" w:rsidP="00F37D1B">
      <w:pPr>
        <w:tabs>
          <w:tab w:val="left" w:pos="7088"/>
        </w:tabs>
        <w:ind w:firstLine="708"/>
        <w:rPr>
          <w:sz w:val="26"/>
          <w:szCs w:val="26"/>
          <w:lang w:val="lv-LV"/>
        </w:rPr>
      </w:pPr>
      <w:r w:rsidRPr="00DC7950">
        <w:rPr>
          <w:sz w:val="26"/>
          <w:szCs w:val="26"/>
          <w:lang w:val="lv-LV"/>
        </w:rPr>
        <w:t>Finanšu ministrs</w:t>
      </w:r>
      <w:r w:rsidR="00F37D1B" w:rsidRPr="00DC7950">
        <w:rPr>
          <w:sz w:val="26"/>
          <w:szCs w:val="26"/>
          <w:lang w:val="lv-LV"/>
        </w:rPr>
        <w:tab/>
      </w:r>
      <w:r w:rsidR="00484F76" w:rsidRPr="00DC7950">
        <w:rPr>
          <w:sz w:val="26"/>
          <w:szCs w:val="26"/>
          <w:lang w:val="lv-LV"/>
        </w:rPr>
        <w:t>A.Vilks</w:t>
      </w:r>
    </w:p>
    <w:p w:rsidR="001B7E55" w:rsidRPr="00DC7950" w:rsidRDefault="001F0EDD" w:rsidP="001B7E55">
      <w:pPr>
        <w:rPr>
          <w:sz w:val="26"/>
          <w:szCs w:val="26"/>
          <w:lang w:val="lv-LV"/>
        </w:rPr>
      </w:pPr>
      <w:r w:rsidRPr="00DC7950">
        <w:rPr>
          <w:sz w:val="26"/>
          <w:szCs w:val="26"/>
          <w:lang w:val="lv-LV"/>
        </w:rPr>
        <w:t xml:space="preserve">  </w:t>
      </w:r>
    </w:p>
    <w:p w:rsidR="002D7FD1" w:rsidRPr="00DC7950" w:rsidRDefault="002D7FD1" w:rsidP="001B7E55">
      <w:pPr>
        <w:rPr>
          <w:sz w:val="26"/>
          <w:szCs w:val="26"/>
          <w:lang w:val="lv-LV"/>
        </w:rPr>
      </w:pPr>
    </w:p>
    <w:p w:rsidR="002D7FD1" w:rsidRPr="00DC7950" w:rsidRDefault="002D7FD1" w:rsidP="001B7E55">
      <w:pPr>
        <w:rPr>
          <w:sz w:val="26"/>
          <w:szCs w:val="26"/>
          <w:lang w:val="lv-LV"/>
        </w:rPr>
      </w:pPr>
    </w:p>
    <w:p w:rsidR="00E34C9C" w:rsidRDefault="00E34C9C" w:rsidP="001B7E55">
      <w:pPr>
        <w:rPr>
          <w:sz w:val="26"/>
          <w:szCs w:val="26"/>
          <w:lang w:val="lv-LV"/>
        </w:rPr>
      </w:pPr>
    </w:p>
    <w:p w:rsidR="00E34C9C" w:rsidRDefault="00E34C9C" w:rsidP="001B7E55">
      <w:pPr>
        <w:rPr>
          <w:sz w:val="26"/>
          <w:szCs w:val="26"/>
          <w:lang w:val="lv-LV"/>
        </w:rPr>
      </w:pPr>
    </w:p>
    <w:p w:rsidR="00824AF7" w:rsidRDefault="00824AF7" w:rsidP="001B7E55">
      <w:pPr>
        <w:rPr>
          <w:sz w:val="26"/>
          <w:szCs w:val="26"/>
          <w:lang w:val="lv-LV"/>
        </w:rPr>
      </w:pPr>
    </w:p>
    <w:p w:rsidR="002D7FD1" w:rsidRPr="00DC7950" w:rsidRDefault="002D7FD1" w:rsidP="001B7E55">
      <w:pPr>
        <w:rPr>
          <w:sz w:val="26"/>
          <w:szCs w:val="26"/>
          <w:lang w:val="lv-LV"/>
        </w:rPr>
      </w:pPr>
    </w:p>
    <w:p w:rsidR="00222F63" w:rsidRPr="00956F90" w:rsidRDefault="00222F63" w:rsidP="00222F63">
      <w:pPr>
        <w:tabs>
          <w:tab w:val="left" w:pos="7088"/>
        </w:tabs>
        <w:jc w:val="both"/>
        <w:rPr>
          <w:rFonts w:eastAsia="Calibri"/>
          <w:sz w:val="20"/>
          <w:szCs w:val="20"/>
          <w:lang w:val="lv-LV" w:eastAsia="en-US"/>
        </w:rPr>
      </w:pPr>
      <w:r w:rsidRPr="00956F90">
        <w:rPr>
          <w:rFonts w:eastAsia="Calibri"/>
          <w:sz w:val="20"/>
          <w:szCs w:val="20"/>
          <w:lang w:val="lv-LV" w:eastAsia="en-US"/>
        </w:rPr>
        <w:fldChar w:fldCharType="begin"/>
      </w:r>
      <w:r w:rsidRPr="00956F90">
        <w:rPr>
          <w:rFonts w:eastAsia="Calibri"/>
          <w:sz w:val="20"/>
          <w:szCs w:val="20"/>
          <w:lang w:val="lv-LV" w:eastAsia="en-US"/>
        </w:rPr>
        <w:instrText xml:space="preserve"> TIME \@ "yyyy.MM.dd. H:mm" </w:instrText>
      </w:r>
      <w:r w:rsidRPr="00956F90">
        <w:rPr>
          <w:rFonts w:eastAsia="Calibri"/>
          <w:sz w:val="20"/>
          <w:szCs w:val="20"/>
          <w:lang w:val="lv-LV" w:eastAsia="en-US"/>
        </w:rPr>
        <w:fldChar w:fldCharType="separate"/>
      </w:r>
      <w:r w:rsidR="00B0239F">
        <w:rPr>
          <w:rFonts w:eastAsia="Calibri"/>
          <w:noProof/>
          <w:sz w:val="20"/>
          <w:szCs w:val="20"/>
          <w:lang w:val="lv-LV" w:eastAsia="en-US"/>
        </w:rPr>
        <w:t>2013.09.16. 11:01</w:t>
      </w:r>
      <w:r w:rsidRPr="00956F90">
        <w:rPr>
          <w:rFonts w:eastAsia="Calibri"/>
          <w:sz w:val="20"/>
          <w:szCs w:val="20"/>
          <w:lang w:val="lv-LV" w:eastAsia="en-US"/>
        </w:rPr>
        <w:fldChar w:fldCharType="end"/>
      </w:r>
    </w:p>
    <w:p w:rsidR="00222F63" w:rsidRPr="00B630AB" w:rsidRDefault="00222F63" w:rsidP="00222F63">
      <w:pPr>
        <w:tabs>
          <w:tab w:val="center" w:pos="4153"/>
          <w:tab w:val="right" w:pos="8306"/>
        </w:tabs>
        <w:rPr>
          <w:vanish/>
          <w:sz w:val="20"/>
          <w:szCs w:val="20"/>
          <w:lang w:val="lv-LV" w:eastAsia="en-US"/>
          <w:specVanish/>
        </w:rPr>
      </w:pPr>
      <w:r w:rsidRPr="00956F90">
        <w:rPr>
          <w:sz w:val="20"/>
          <w:szCs w:val="20"/>
          <w:lang w:val="lv-LV" w:eastAsia="en-US"/>
        </w:rPr>
        <w:fldChar w:fldCharType="begin"/>
      </w:r>
      <w:r w:rsidRPr="00956F90">
        <w:rPr>
          <w:sz w:val="20"/>
          <w:szCs w:val="20"/>
          <w:lang w:val="lv-LV" w:eastAsia="en-US"/>
        </w:rPr>
        <w:instrText xml:space="preserve"> NUMWORDS  \* MERGEFORMAT </w:instrText>
      </w:r>
      <w:r w:rsidRPr="00956F90">
        <w:rPr>
          <w:sz w:val="20"/>
          <w:szCs w:val="20"/>
          <w:lang w:val="lv-LV" w:eastAsia="en-US"/>
        </w:rPr>
        <w:fldChar w:fldCharType="separate"/>
      </w:r>
      <w:r w:rsidR="00C16DEB">
        <w:rPr>
          <w:noProof/>
          <w:sz w:val="20"/>
          <w:szCs w:val="20"/>
          <w:lang w:val="lv-LV" w:eastAsia="en-US"/>
        </w:rPr>
        <w:t>372</w:t>
      </w:r>
      <w:r w:rsidRPr="00956F90">
        <w:rPr>
          <w:sz w:val="20"/>
          <w:szCs w:val="20"/>
          <w:lang w:val="lv-LV" w:eastAsia="en-US"/>
        </w:rPr>
        <w:fldChar w:fldCharType="end"/>
      </w:r>
    </w:p>
    <w:p w:rsidR="009B7435" w:rsidRDefault="00B630AB" w:rsidP="00222F63">
      <w:pPr>
        <w:tabs>
          <w:tab w:val="center" w:pos="4153"/>
          <w:tab w:val="right" w:pos="8306"/>
        </w:tabs>
        <w:rPr>
          <w:sz w:val="20"/>
          <w:szCs w:val="20"/>
          <w:lang w:val="lv-LV" w:eastAsia="en-US"/>
        </w:rPr>
      </w:pPr>
      <w:r>
        <w:rPr>
          <w:sz w:val="20"/>
          <w:szCs w:val="20"/>
          <w:lang w:val="lv-LV" w:eastAsia="en-US"/>
        </w:rPr>
        <w:t xml:space="preserve"> </w:t>
      </w:r>
    </w:p>
    <w:p w:rsidR="00222F63" w:rsidRPr="00956F90" w:rsidRDefault="00162361" w:rsidP="00222F63">
      <w:pPr>
        <w:tabs>
          <w:tab w:val="center" w:pos="4153"/>
          <w:tab w:val="right" w:pos="8306"/>
        </w:tabs>
        <w:rPr>
          <w:sz w:val="20"/>
          <w:szCs w:val="20"/>
          <w:lang w:val="lv-LV" w:eastAsia="en-US"/>
        </w:rPr>
      </w:pPr>
      <w:proofErr w:type="spellStart"/>
      <w:r>
        <w:rPr>
          <w:sz w:val="20"/>
          <w:szCs w:val="20"/>
          <w:lang w:val="lv-LV" w:eastAsia="en-US"/>
        </w:rPr>
        <w:t>J.Lukss</w:t>
      </w:r>
      <w:proofErr w:type="spellEnd"/>
      <w:r>
        <w:rPr>
          <w:sz w:val="20"/>
          <w:szCs w:val="20"/>
          <w:lang w:val="lv-LV" w:eastAsia="en-US"/>
        </w:rPr>
        <w:t xml:space="preserve"> 67083846</w:t>
      </w:r>
    </w:p>
    <w:p w:rsidR="001B7E55" w:rsidRPr="00DC7950" w:rsidRDefault="00F07DF5" w:rsidP="00DF014A">
      <w:pPr>
        <w:tabs>
          <w:tab w:val="center" w:pos="4153"/>
          <w:tab w:val="right" w:pos="8306"/>
        </w:tabs>
        <w:rPr>
          <w:sz w:val="26"/>
          <w:szCs w:val="26"/>
        </w:rPr>
      </w:pPr>
      <w:hyperlink r:id="rId8" w:history="1">
        <w:r w:rsidR="00162361" w:rsidRPr="00556481">
          <w:rPr>
            <w:rStyle w:val="Hyperlink"/>
            <w:sz w:val="20"/>
            <w:szCs w:val="20"/>
            <w:lang w:val="lv-LV" w:eastAsia="en-US"/>
          </w:rPr>
          <w:t>Juris.Lukss@fm.gov.lv</w:t>
        </w:r>
      </w:hyperlink>
    </w:p>
    <w:sectPr w:rsidR="001B7E55" w:rsidRPr="00DC7950" w:rsidSect="00956F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91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F5" w:rsidRDefault="00F07DF5">
      <w:r>
        <w:separator/>
      </w:r>
    </w:p>
  </w:endnote>
  <w:endnote w:type="continuationSeparator" w:id="0">
    <w:p w:rsidR="00F07DF5" w:rsidRDefault="00F0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5D" w:rsidRPr="00BD3A06" w:rsidRDefault="00222DC0" w:rsidP="0005615D">
    <w:pPr>
      <w:pStyle w:val="Footer"/>
      <w:jc w:val="both"/>
      <w:rPr>
        <w:sz w:val="20"/>
        <w:lang w:val="pt-BR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FMAnot_060913_MKS</w:t>
    </w:r>
    <w:r>
      <w:rPr>
        <w:sz w:val="20"/>
      </w:rPr>
      <w:fldChar w:fldCharType="end"/>
    </w:r>
    <w:r w:rsidR="0005615D">
      <w:rPr>
        <w:sz w:val="18"/>
      </w:rPr>
      <w:t xml:space="preserve">; Ministru kabineta noteikumu projekta </w:t>
    </w:r>
    <w:r w:rsidR="00965681" w:rsidRPr="004D012E">
      <w:rPr>
        <w:sz w:val="18"/>
      </w:rPr>
      <w:t>„</w:t>
    </w:r>
    <w:r w:rsidR="00965681">
      <w:rPr>
        <w:sz w:val="18"/>
      </w:rPr>
      <w:t>Grozījumi Ministru kabineta 2012.gada 2.oktobra noteikumos Nr.672 „</w:t>
    </w:r>
    <w:r w:rsidR="00965681" w:rsidRPr="004D012E">
      <w:rPr>
        <w:sz w:val="18"/>
      </w:rPr>
      <w:t>Prasīb</w:t>
    </w:r>
    <w:r w:rsidR="00965681">
      <w:rPr>
        <w:sz w:val="18"/>
      </w:rPr>
      <w:t xml:space="preserve">as maršruta kontroles sistēmām”” </w:t>
    </w:r>
    <w:r w:rsidR="0005615D">
      <w:rPr>
        <w:sz w:val="18"/>
      </w:rPr>
      <w:t xml:space="preserve"> sākotnējās ietekmes novērtējuma ziņojums (anotācija)</w:t>
    </w:r>
  </w:p>
  <w:p w:rsidR="00210B8B" w:rsidRPr="00D21B9F" w:rsidRDefault="00210B8B" w:rsidP="00D21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8B" w:rsidRPr="00BD3A06" w:rsidRDefault="00210B8B" w:rsidP="00BD3A06">
    <w:pPr>
      <w:pStyle w:val="Footer"/>
      <w:jc w:val="both"/>
      <w:rPr>
        <w:sz w:val="20"/>
        <w:lang w:val="pt-BR"/>
      </w:rPr>
    </w:pPr>
    <w:r w:rsidRPr="00675FE3">
      <w:rPr>
        <w:sz w:val="20"/>
      </w:rPr>
      <w:fldChar w:fldCharType="begin"/>
    </w:r>
    <w:r w:rsidRPr="00B87131">
      <w:rPr>
        <w:sz w:val="20"/>
      </w:rPr>
      <w:instrText xml:space="preserve"> FILENAME   \* MERGEFORMAT </w:instrText>
    </w:r>
    <w:r w:rsidRPr="00675FE3">
      <w:rPr>
        <w:sz w:val="20"/>
      </w:rPr>
      <w:fldChar w:fldCharType="separate"/>
    </w:r>
    <w:r w:rsidR="00222DC0">
      <w:rPr>
        <w:noProof/>
        <w:sz w:val="20"/>
      </w:rPr>
      <w:t>FMAnot_060913_MKS</w:t>
    </w:r>
    <w:r w:rsidRPr="00675FE3">
      <w:rPr>
        <w:sz w:val="20"/>
      </w:rPr>
      <w:fldChar w:fldCharType="end"/>
    </w:r>
    <w:r>
      <w:rPr>
        <w:sz w:val="18"/>
      </w:rPr>
      <w:t xml:space="preserve">; Ministru kabineta noteikumu projekta </w:t>
    </w:r>
    <w:r w:rsidR="00965681" w:rsidRPr="004D012E">
      <w:rPr>
        <w:sz w:val="18"/>
      </w:rPr>
      <w:t>„</w:t>
    </w:r>
    <w:r w:rsidR="00965681">
      <w:rPr>
        <w:sz w:val="18"/>
      </w:rPr>
      <w:t>Grozījumi Ministru kabineta 2012.gada 2.oktobra noteikumos Nr.672 „</w:t>
    </w:r>
    <w:r w:rsidR="00965681" w:rsidRPr="004D012E">
      <w:rPr>
        <w:sz w:val="18"/>
      </w:rPr>
      <w:t>Prasīb</w:t>
    </w:r>
    <w:r w:rsidR="00965681">
      <w:rPr>
        <w:sz w:val="18"/>
      </w:rPr>
      <w:t xml:space="preserve">as maršruta kontroles sistēmām”” </w:t>
    </w:r>
    <w:r>
      <w:rPr>
        <w:sz w:val="18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F5" w:rsidRDefault="00F07DF5">
      <w:r>
        <w:separator/>
      </w:r>
    </w:p>
  </w:footnote>
  <w:footnote w:type="continuationSeparator" w:id="0">
    <w:p w:rsidR="00F07DF5" w:rsidRDefault="00F0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8B" w:rsidRDefault="00210B8B" w:rsidP="000660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B8B" w:rsidRDefault="00210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8B" w:rsidRDefault="00210B8B" w:rsidP="000660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39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0B8B" w:rsidRDefault="00210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B0981"/>
    <w:multiLevelType w:val="hybridMultilevel"/>
    <w:tmpl w:val="61AEE8E0"/>
    <w:lvl w:ilvl="0" w:tplc="A198E4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2"/>
    <w:rsid w:val="00000BA6"/>
    <w:rsid w:val="00000FC5"/>
    <w:rsid w:val="00011A99"/>
    <w:rsid w:val="0001310F"/>
    <w:rsid w:val="00022898"/>
    <w:rsid w:val="00025865"/>
    <w:rsid w:val="00031D60"/>
    <w:rsid w:val="00033AD2"/>
    <w:rsid w:val="00034728"/>
    <w:rsid w:val="0004090B"/>
    <w:rsid w:val="0005615D"/>
    <w:rsid w:val="000569CA"/>
    <w:rsid w:val="00066074"/>
    <w:rsid w:val="000759EA"/>
    <w:rsid w:val="00081F52"/>
    <w:rsid w:val="00092980"/>
    <w:rsid w:val="00095CF1"/>
    <w:rsid w:val="000A3362"/>
    <w:rsid w:val="000A440B"/>
    <w:rsid w:val="000B00A3"/>
    <w:rsid w:val="000B3C0D"/>
    <w:rsid w:val="000B656A"/>
    <w:rsid w:val="000C5C31"/>
    <w:rsid w:val="000E0859"/>
    <w:rsid w:val="000F5208"/>
    <w:rsid w:val="001011FE"/>
    <w:rsid w:val="00104CB4"/>
    <w:rsid w:val="00107BB9"/>
    <w:rsid w:val="00114286"/>
    <w:rsid w:val="00115065"/>
    <w:rsid w:val="00115802"/>
    <w:rsid w:val="001224E4"/>
    <w:rsid w:val="00132C43"/>
    <w:rsid w:val="00136676"/>
    <w:rsid w:val="0014318E"/>
    <w:rsid w:val="001437DD"/>
    <w:rsid w:val="0014542C"/>
    <w:rsid w:val="00145CF3"/>
    <w:rsid w:val="00147BA6"/>
    <w:rsid w:val="00152B7D"/>
    <w:rsid w:val="0015632F"/>
    <w:rsid w:val="00160CC3"/>
    <w:rsid w:val="00162361"/>
    <w:rsid w:val="00165B7F"/>
    <w:rsid w:val="001832BE"/>
    <w:rsid w:val="00183C48"/>
    <w:rsid w:val="00184E51"/>
    <w:rsid w:val="0018579A"/>
    <w:rsid w:val="00190FDE"/>
    <w:rsid w:val="001A5162"/>
    <w:rsid w:val="001B24DE"/>
    <w:rsid w:val="001B2BB3"/>
    <w:rsid w:val="001B7E55"/>
    <w:rsid w:val="001C2C14"/>
    <w:rsid w:val="001C3C26"/>
    <w:rsid w:val="001C6521"/>
    <w:rsid w:val="001C6CEB"/>
    <w:rsid w:val="001D0DA6"/>
    <w:rsid w:val="001D0F78"/>
    <w:rsid w:val="001D5D1A"/>
    <w:rsid w:val="001D7B2D"/>
    <w:rsid w:val="001E01D9"/>
    <w:rsid w:val="001E1F4C"/>
    <w:rsid w:val="001F0616"/>
    <w:rsid w:val="001F092F"/>
    <w:rsid w:val="001F0EDD"/>
    <w:rsid w:val="001F2161"/>
    <w:rsid w:val="00210B8B"/>
    <w:rsid w:val="002128FA"/>
    <w:rsid w:val="00215A78"/>
    <w:rsid w:val="0021718A"/>
    <w:rsid w:val="00221150"/>
    <w:rsid w:val="002217DD"/>
    <w:rsid w:val="00222DC0"/>
    <w:rsid w:val="00222F63"/>
    <w:rsid w:val="0022322E"/>
    <w:rsid w:val="00224A70"/>
    <w:rsid w:val="0022736E"/>
    <w:rsid w:val="00227D27"/>
    <w:rsid w:val="00230381"/>
    <w:rsid w:val="002308F1"/>
    <w:rsid w:val="00231E9E"/>
    <w:rsid w:val="0023504F"/>
    <w:rsid w:val="0026470D"/>
    <w:rsid w:val="002803E7"/>
    <w:rsid w:val="002957C9"/>
    <w:rsid w:val="00297C9E"/>
    <w:rsid w:val="002A59DE"/>
    <w:rsid w:val="002C2D9F"/>
    <w:rsid w:val="002C3DAC"/>
    <w:rsid w:val="002C76A8"/>
    <w:rsid w:val="002D7FD1"/>
    <w:rsid w:val="002E212E"/>
    <w:rsid w:val="002E495A"/>
    <w:rsid w:val="002F03C1"/>
    <w:rsid w:val="002F3B3C"/>
    <w:rsid w:val="00304E6A"/>
    <w:rsid w:val="003130E7"/>
    <w:rsid w:val="00325251"/>
    <w:rsid w:val="00325FFE"/>
    <w:rsid w:val="00332836"/>
    <w:rsid w:val="0034394E"/>
    <w:rsid w:val="00343F6A"/>
    <w:rsid w:val="0035059D"/>
    <w:rsid w:val="00357302"/>
    <w:rsid w:val="003626BD"/>
    <w:rsid w:val="00364EC6"/>
    <w:rsid w:val="0037026C"/>
    <w:rsid w:val="0037643A"/>
    <w:rsid w:val="00377E47"/>
    <w:rsid w:val="0038652D"/>
    <w:rsid w:val="00393542"/>
    <w:rsid w:val="00393B51"/>
    <w:rsid w:val="003A35BC"/>
    <w:rsid w:val="003B053F"/>
    <w:rsid w:val="003B5455"/>
    <w:rsid w:val="003B667D"/>
    <w:rsid w:val="003C20A6"/>
    <w:rsid w:val="003C71C5"/>
    <w:rsid w:val="003E6455"/>
    <w:rsid w:val="003F4675"/>
    <w:rsid w:val="003F716C"/>
    <w:rsid w:val="003F71F5"/>
    <w:rsid w:val="00404891"/>
    <w:rsid w:val="00406973"/>
    <w:rsid w:val="004108D6"/>
    <w:rsid w:val="00410CD0"/>
    <w:rsid w:val="00416021"/>
    <w:rsid w:val="0042154A"/>
    <w:rsid w:val="00423D64"/>
    <w:rsid w:val="00423E54"/>
    <w:rsid w:val="00424753"/>
    <w:rsid w:val="00425CA1"/>
    <w:rsid w:val="00426342"/>
    <w:rsid w:val="00433CB8"/>
    <w:rsid w:val="004420AE"/>
    <w:rsid w:val="00446D9F"/>
    <w:rsid w:val="00447DDE"/>
    <w:rsid w:val="004522F1"/>
    <w:rsid w:val="00452F86"/>
    <w:rsid w:val="00466E82"/>
    <w:rsid w:val="00472C60"/>
    <w:rsid w:val="00472DB3"/>
    <w:rsid w:val="00484F76"/>
    <w:rsid w:val="00487214"/>
    <w:rsid w:val="00487AF7"/>
    <w:rsid w:val="00497945"/>
    <w:rsid w:val="004A25BD"/>
    <w:rsid w:val="004C2586"/>
    <w:rsid w:val="004C47FF"/>
    <w:rsid w:val="004D1F5A"/>
    <w:rsid w:val="004D5CFC"/>
    <w:rsid w:val="004E6CD5"/>
    <w:rsid w:val="004F1D10"/>
    <w:rsid w:val="004F5114"/>
    <w:rsid w:val="0050577C"/>
    <w:rsid w:val="00506701"/>
    <w:rsid w:val="005127B9"/>
    <w:rsid w:val="00515655"/>
    <w:rsid w:val="00535694"/>
    <w:rsid w:val="00536887"/>
    <w:rsid w:val="00542288"/>
    <w:rsid w:val="00543CD4"/>
    <w:rsid w:val="00543D3C"/>
    <w:rsid w:val="00544B62"/>
    <w:rsid w:val="00546B4F"/>
    <w:rsid w:val="00547463"/>
    <w:rsid w:val="00553323"/>
    <w:rsid w:val="005548C9"/>
    <w:rsid w:val="00562DD2"/>
    <w:rsid w:val="0056589B"/>
    <w:rsid w:val="00567C58"/>
    <w:rsid w:val="0057052B"/>
    <w:rsid w:val="0057630B"/>
    <w:rsid w:val="005763F3"/>
    <w:rsid w:val="00583C77"/>
    <w:rsid w:val="0058662C"/>
    <w:rsid w:val="00590479"/>
    <w:rsid w:val="005908FA"/>
    <w:rsid w:val="00591968"/>
    <w:rsid w:val="00591E53"/>
    <w:rsid w:val="00591ED1"/>
    <w:rsid w:val="00593AE2"/>
    <w:rsid w:val="005A1D94"/>
    <w:rsid w:val="005A31CF"/>
    <w:rsid w:val="005A4960"/>
    <w:rsid w:val="005C09B9"/>
    <w:rsid w:val="005C22F0"/>
    <w:rsid w:val="005C3E75"/>
    <w:rsid w:val="005C55C1"/>
    <w:rsid w:val="005C674B"/>
    <w:rsid w:val="005D45C8"/>
    <w:rsid w:val="005D675E"/>
    <w:rsid w:val="005E192E"/>
    <w:rsid w:val="005E75A3"/>
    <w:rsid w:val="005F4DFF"/>
    <w:rsid w:val="006024D7"/>
    <w:rsid w:val="00606B17"/>
    <w:rsid w:val="006120CB"/>
    <w:rsid w:val="00612AE2"/>
    <w:rsid w:val="006261CD"/>
    <w:rsid w:val="006360BF"/>
    <w:rsid w:val="0064169F"/>
    <w:rsid w:val="0064284D"/>
    <w:rsid w:val="00653650"/>
    <w:rsid w:val="00655E87"/>
    <w:rsid w:val="0066004E"/>
    <w:rsid w:val="00660689"/>
    <w:rsid w:val="006644A2"/>
    <w:rsid w:val="00664AC2"/>
    <w:rsid w:val="00665777"/>
    <w:rsid w:val="00665908"/>
    <w:rsid w:val="00667C40"/>
    <w:rsid w:val="00670E04"/>
    <w:rsid w:val="00674113"/>
    <w:rsid w:val="00682E3F"/>
    <w:rsid w:val="00683597"/>
    <w:rsid w:val="00686DB6"/>
    <w:rsid w:val="0069236B"/>
    <w:rsid w:val="00693C16"/>
    <w:rsid w:val="006A295A"/>
    <w:rsid w:val="006B3241"/>
    <w:rsid w:val="006B7341"/>
    <w:rsid w:val="006C4C17"/>
    <w:rsid w:val="006D1DC6"/>
    <w:rsid w:val="006D3BF3"/>
    <w:rsid w:val="006E109A"/>
    <w:rsid w:val="006E42A7"/>
    <w:rsid w:val="006E4470"/>
    <w:rsid w:val="006E7CDE"/>
    <w:rsid w:val="006F25EE"/>
    <w:rsid w:val="006F4524"/>
    <w:rsid w:val="006F7D9A"/>
    <w:rsid w:val="0070384C"/>
    <w:rsid w:val="007059E0"/>
    <w:rsid w:val="0071106B"/>
    <w:rsid w:val="00722ACB"/>
    <w:rsid w:val="0073224E"/>
    <w:rsid w:val="00737F05"/>
    <w:rsid w:val="0075151F"/>
    <w:rsid w:val="00754346"/>
    <w:rsid w:val="00762B13"/>
    <w:rsid w:val="007767A5"/>
    <w:rsid w:val="00780259"/>
    <w:rsid w:val="00780AFC"/>
    <w:rsid w:val="00781684"/>
    <w:rsid w:val="00782D83"/>
    <w:rsid w:val="00783843"/>
    <w:rsid w:val="0079041C"/>
    <w:rsid w:val="007C1E7B"/>
    <w:rsid w:val="007C2E31"/>
    <w:rsid w:val="007C5B16"/>
    <w:rsid w:val="007C5D10"/>
    <w:rsid w:val="007C62F6"/>
    <w:rsid w:val="007D0943"/>
    <w:rsid w:val="007D3B1F"/>
    <w:rsid w:val="007D43FB"/>
    <w:rsid w:val="007D4FFB"/>
    <w:rsid w:val="007E1390"/>
    <w:rsid w:val="007E2F93"/>
    <w:rsid w:val="007E4682"/>
    <w:rsid w:val="007F0299"/>
    <w:rsid w:val="00800070"/>
    <w:rsid w:val="008010D1"/>
    <w:rsid w:val="00802AD8"/>
    <w:rsid w:val="00805FCA"/>
    <w:rsid w:val="00812CE3"/>
    <w:rsid w:val="008160E3"/>
    <w:rsid w:val="00824AF7"/>
    <w:rsid w:val="00824E8C"/>
    <w:rsid w:val="008256E8"/>
    <w:rsid w:val="008331A4"/>
    <w:rsid w:val="00836D68"/>
    <w:rsid w:val="0084041D"/>
    <w:rsid w:val="00851A74"/>
    <w:rsid w:val="008606A6"/>
    <w:rsid w:val="0086318C"/>
    <w:rsid w:val="008870D8"/>
    <w:rsid w:val="00897308"/>
    <w:rsid w:val="008A63D3"/>
    <w:rsid w:val="008B2C98"/>
    <w:rsid w:val="008B3A9F"/>
    <w:rsid w:val="008B5CE4"/>
    <w:rsid w:val="008B6C47"/>
    <w:rsid w:val="008B703A"/>
    <w:rsid w:val="008C2740"/>
    <w:rsid w:val="008C6868"/>
    <w:rsid w:val="008C6A04"/>
    <w:rsid w:val="008D1E73"/>
    <w:rsid w:val="008D32DC"/>
    <w:rsid w:val="008E3544"/>
    <w:rsid w:val="008F0A33"/>
    <w:rsid w:val="008F4613"/>
    <w:rsid w:val="008F73D3"/>
    <w:rsid w:val="0090321E"/>
    <w:rsid w:val="00906018"/>
    <w:rsid w:val="0091450F"/>
    <w:rsid w:val="00917DC3"/>
    <w:rsid w:val="00921AE1"/>
    <w:rsid w:val="00931032"/>
    <w:rsid w:val="00932546"/>
    <w:rsid w:val="00933A48"/>
    <w:rsid w:val="00956F90"/>
    <w:rsid w:val="00961CE0"/>
    <w:rsid w:val="00965681"/>
    <w:rsid w:val="0096682C"/>
    <w:rsid w:val="009817A3"/>
    <w:rsid w:val="009819BB"/>
    <w:rsid w:val="009864C3"/>
    <w:rsid w:val="0098660D"/>
    <w:rsid w:val="00990D2E"/>
    <w:rsid w:val="009928C6"/>
    <w:rsid w:val="00995799"/>
    <w:rsid w:val="009A748A"/>
    <w:rsid w:val="009B3D73"/>
    <w:rsid w:val="009B470B"/>
    <w:rsid w:val="009B53A4"/>
    <w:rsid w:val="009B7435"/>
    <w:rsid w:val="009C6CC3"/>
    <w:rsid w:val="009D2543"/>
    <w:rsid w:val="009D71D6"/>
    <w:rsid w:val="009E1318"/>
    <w:rsid w:val="009E1472"/>
    <w:rsid w:val="009E3861"/>
    <w:rsid w:val="009F237F"/>
    <w:rsid w:val="009F52B3"/>
    <w:rsid w:val="009F6A06"/>
    <w:rsid w:val="00A035CD"/>
    <w:rsid w:val="00A14D15"/>
    <w:rsid w:val="00A21954"/>
    <w:rsid w:val="00A328FA"/>
    <w:rsid w:val="00A3585C"/>
    <w:rsid w:val="00A43143"/>
    <w:rsid w:val="00A506A5"/>
    <w:rsid w:val="00A63833"/>
    <w:rsid w:val="00A6589B"/>
    <w:rsid w:val="00A65FD5"/>
    <w:rsid w:val="00A66109"/>
    <w:rsid w:val="00A7227A"/>
    <w:rsid w:val="00A7771C"/>
    <w:rsid w:val="00A7796F"/>
    <w:rsid w:val="00A77AA1"/>
    <w:rsid w:val="00A77E09"/>
    <w:rsid w:val="00A81B6F"/>
    <w:rsid w:val="00A914DB"/>
    <w:rsid w:val="00A91BFE"/>
    <w:rsid w:val="00A93E12"/>
    <w:rsid w:val="00A97B4E"/>
    <w:rsid w:val="00AA1391"/>
    <w:rsid w:val="00AA3479"/>
    <w:rsid w:val="00AA42B9"/>
    <w:rsid w:val="00AA4D3D"/>
    <w:rsid w:val="00AA7177"/>
    <w:rsid w:val="00AB0EB3"/>
    <w:rsid w:val="00AB4C20"/>
    <w:rsid w:val="00AC2775"/>
    <w:rsid w:val="00AE2004"/>
    <w:rsid w:val="00AE31D4"/>
    <w:rsid w:val="00AE3DB4"/>
    <w:rsid w:val="00AE5B98"/>
    <w:rsid w:val="00B0239F"/>
    <w:rsid w:val="00B043C0"/>
    <w:rsid w:val="00B07640"/>
    <w:rsid w:val="00B203C0"/>
    <w:rsid w:val="00B25399"/>
    <w:rsid w:val="00B272DC"/>
    <w:rsid w:val="00B3054C"/>
    <w:rsid w:val="00B52D4C"/>
    <w:rsid w:val="00B54889"/>
    <w:rsid w:val="00B6199B"/>
    <w:rsid w:val="00B630AB"/>
    <w:rsid w:val="00B65F31"/>
    <w:rsid w:val="00B700FF"/>
    <w:rsid w:val="00B74516"/>
    <w:rsid w:val="00B74B5D"/>
    <w:rsid w:val="00B763B3"/>
    <w:rsid w:val="00B765CE"/>
    <w:rsid w:val="00B76CED"/>
    <w:rsid w:val="00B76EE2"/>
    <w:rsid w:val="00B76FE4"/>
    <w:rsid w:val="00B833E0"/>
    <w:rsid w:val="00B86C17"/>
    <w:rsid w:val="00B91D94"/>
    <w:rsid w:val="00B93954"/>
    <w:rsid w:val="00B953A3"/>
    <w:rsid w:val="00B979A3"/>
    <w:rsid w:val="00BA1AAB"/>
    <w:rsid w:val="00BA29B9"/>
    <w:rsid w:val="00BA4C92"/>
    <w:rsid w:val="00BC19E6"/>
    <w:rsid w:val="00BD061A"/>
    <w:rsid w:val="00BD3A06"/>
    <w:rsid w:val="00BD659A"/>
    <w:rsid w:val="00BE4B8B"/>
    <w:rsid w:val="00BE6ECF"/>
    <w:rsid w:val="00BE72B4"/>
    <w:rsid w:val="00BE7E3A"/>
    <w:rsid w:val="00C057D2"/>
    <w:rsid w:val="00C11F86"/>
    <w:rsid w:val="00C12B75"/>
    <w:rsid w:val="00C133A7"/>
    <w:rsid w:val="00C16DEB"/>
    <w:rsid w:val="00C24857"/>
    <w:rsid w:val="00C4535C"/>
    <w:rsid w:val="00C57B69"/>
    <w:rsid w:val="00C57CD1"/>
    <w:rsid w:val="00C679AC"/>
    <w:rsid w:val="00C724D5"/>
    <w:rsid w:val="00C73DBB"/>
    <w:rsid w:val="00C82CC4"/>
    <w:rsid w:val="00C84868"/>
    <w:rsid w:val="00C85903"/>
    <w:rsid w:val="00C859C8"/>
    <w:rsid w:val="00C9120A"/>
    <w:rsid w:val="00C9494B"/>
    <w:rsid w:val="00C96460"/>
    <w:rsid w:val="00CA0FE7"/>
    <w:rsid w:val="00CA3687"/>
    <w:rsid w:val="00CA4F21"/>
    <w:rsid w:val="00CA76ED"/>
    <w:rsid w:val="00CB0B87"/>
    <w:rsid w:val="00CC2D83"/>
    <w:rsid w:val="00CD00F2"/>
    <w:rsid w:val="00CD753A"/>
    <w:rsid w:val="00CE3E36"/>
    <w:rsid w:val="00CE6760"/>
    <w:rsid w:val="00CF1990"/>
    <w:rsid w:val="00CF2460"/>
    <w:rsid w:val="00CF3A69"/>
    <w:rsid w:val="00D04F12"/>
    <w:rsid w:val="00D10CBF"/>
    <w:rsid w:val="00D11461"/>
    <w:rsid w:val="00D21B9F"/>
    <w:rsid w:val="00D36F08"/>
    <w:rsid w:val="00D42CDF"/>
    <w:rsid w:val="00D436FA"/>
    <w:rsid w:val="00D45A8C"/>
    <w:rsid w:val="00D507D8"/>
    <w:rsid w:val="00D52723"/>
    <w:rsid w:val="00D624D1"/>
    <w:rsid w:val="00D64B83"/>
    <w:rsid w:val="00D67EB2"/>
    <w:rsid w:val="00D71442"/>
    <w:rsid w:val="00D723E4"/>
    <w:rsid w:val="00D72523"/>
    <w:rsid w:val="00D8164D"/>
    <w:rsid w:val="00D9069C"/>
    <w:rsid w:val="00D93CFE"/>
    <w:rsid w:val="00D97D69"/>
    <w:rsid w:val="00DB3A4C"/>
    <w:rsid w:val="00DB67B3"/>
    <w:rsid w:val="00DB7423"/>
    <w:rsid w:val="00DC7950"/>
    <w:rsid w:val="00DE3188"/>
    <w:rsid w:val="00DE41F5"/>
    <w:rsid w:val="00DE746F"/>
    <w:rsid w:val="00DF014A"/>
    <w:rsid w:val="00DF2C2E"/>
    <w:rsid w:val="00E0150B"/>
    <w:rsid w:val="00E03262"/>
    <w:rsid w:val="00E332E8"/>
    <w:rsid w:val="00E34C9C"/>
    <w:rsid w:val="00E50970"/>
    <w:rsid w:val="00E52721"/>
    <w:rsid w:val="00E60863"/>
    <w:rsid w:val="00E62473"/>
    <w:rsid w:val="00E63051"/>
    <w:rsid w:val="00E731C8"/>
    <w:rsid w:val="00E74B81"/>
    <w:rsid w:val="00E81FB9"/>
    <w:rsid w:val="00E921E9"/>
    <w:rsid w:val="00E92FA8"/>
    <w:rsid w:val="00E938B9"/>
    <w:rsid w:val="00E94989"/>
    <w:rsid w:val="00EA2620"/>
    <w:rsid w:val="00EA6356"/>
    <w:rsid w:val="00EB033B"/>
    <w:rsid w:val="00EB58D2"/>
    <w:rsid w:val="00EC1A2F"/>
    <w:rsid w:val="00EC226D"/>
    <w:rsid w:val="00EC38F7"/>
    <w:rsid w:val="00EC46DA"/>
    <w:rsid w:val="00EE0FDE"/>
    <w:rsid w:val="00EE26BB"/>
    <w:rsid w:val="00EE3BFD"/>
    <w:rsid w:val="00EE51B6"/>
    <w:rsid w:val="00EE65EE"/>
    <w:rsid w:val="00EF3B72"/>
    <w:rsid w:val="00F011F8"/>
    <w:rsid w:val="00F07D6A"/>
    <w:rsid w:val="00F07DF5"/>
    <w:rsid w:val="00F10C76"/>
    <w:rsid w:val="00F111C9"/>
    <w:rsid w:val="00F17251"/>
    <w:rsid w:val="00F17CF4"/>
    <w:rsid w:val="00F23F2A"/>
    <w:rsid w:val="00F2648A"/>
    <w:rsid w:val="00F31C19"/>
    <w:rsid w:val="00F35AA5"/>
    <w:rsid w:val="00F37D1B"/>
    <w:rsid w:val="00F41344"/>
    <w:rsid w:val="00F42C90"/>
    <w:rsid w:val="00F43601"/>
    <w:rsid w:val="00F5109D"/>
    <w:rsid w:val="00F55CC5"/>
    <w:rsid w:val="00F621EB"/>
    <w:rsid w:val="00F71D50"/>
    <w:rsid w:val="00F77F50"/>
    <w:rsid w:val="00F82D0B"/>
    <w:rsid w:val="00F87AF6"/>
    <w:rsid w:val="00F900B7"/>
    <w:rsid w:val="00F92E0C"/>
    <w:rsid w:val="00FA0C84"/>
    <w:rsid w:val="00FC1CD4"/>
    <w:rsid w:val="00FC28FB"/>
    <w:rsid w:val="00FD0F8F"/>
    <w:rsid w:val="00FD3ED8"/>
    <w:rsid w:val="00FD41A5"/>
    <w:rsid w:val="00FE1883"/>
    <w:rsid w:val="00FE5470"/>
    <w:rsid w:val="00FF1BAD"/>
    <w:rsid w:val="00FF27FE"/>
    <w:rsid w:val="00FF35A0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C8E93-E6AE-4195-AB97-F5741E2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4">
    <w:name w:val="heading 4"/>
    <w:basedOn w:val="Normal"/>
    <w:qFormat/>
    <w:rsid w:val="00544B6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B6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AA4D3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A4D3D"/>
  </w:style>
  <w:style w:type="character" w:styleId="Hyperlink">
    <w:name w:val="Hyperlink"/>
    <w:rsid w:val="001B7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B7E55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1B7E55"/>
    <w:rPr>
      <w:sz w:val="24"/>
      <w:szCs w:val="24"/>
    </w:rPr>
  </w:style>
  <w:style w:type="paragraph" w:styleId="BalloonText">
    <w:name w:val="Balloon Text"/>
    <w:basedOn w:val="Normal"/>
    <w:link w:val="BalloonTextChar"/>
    <w:rsid w:val="00B83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3E0"/>
    <w:rPr>
      <w:rFonts w:ascii="Tahoma" w:hAnsi="Tahoma" w:cs="Tahoma"/>
      <w:sz w:val="16"/>
      <w:szCs w:val="16"/>
      <w:lang w:val="ru-RU" w:eastAsia="ru-RU"/>
    </w:rPr>
  </w:style>
  <w:style w:type="paragraph" w:customStyle="1" w:styleId="naisf">
    <w:name w:val="naisf"/>
    <w:basedOn w:val="Normal"/>
    <w:rsid w:val="00E332E8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E332E8"/>
    <w:pPr>
      <w:spacing w:before="100" w:beforeAutospacing="1" w:after="100" w:afterAutospacing="1"/>
    </w:pPr>
    <w:rPr>
      <w:lang w:val="lv-LV" w:eastAsia="lv-LV"/>
    </w:rPr>
  </w:style>
  <w:style w:type="paragraph" w:customStyle="1" w:styleId="naiskr">
    <w:name w:val="naiskr"/>
    <w:basedOn w:val="Normal"/>
    <w:rsid w:val="00E332E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25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64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Luks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C6DF-6306-4F1F-ABAA-B0F33C8E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2012.gada 2.oktobra noteikumiem Nr.672 "Prasības maršuta kontroles sistēmām""</vt:lpstr>
    </vt:vector>
  </TitlesOfParts>
  <Company>ms</Company>
  <LinksUpToDate>false</LinksUpToDate>
  <CharactersWithSpaces>3222</CharactersWithSpaces>
  <SharedDoc>false</SharedDoc>
  <HLinks>
    <vt:vector size="6" baseType="variant"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mailto:Sanita.Kranevska@fm.gov.lv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2012.gada 2.oktobra noteikumiem Nr.672 "Prasības maršuta kontroles sistēmām"" anotācija</dc:title>
  <dc:subject>anotācija</dc:subject>
  <dc:creator>juris.lukss@fm.gov.lv</dc:creator>
  <cp:keywords/>
  <dc:description>e-pasts: Juris.Lukss@fm.gov.lv; T. 67083846</dc:description>
  <cp:lastModifiedBy>Lukss Juris</cp:lastModifiedBy>
  <cp:revision>6</cp:revision>
  <cp:lastPrinted>2013-07-29T11:05:00Z</cp:lastPrinted>
  <dcterms:created xsi:type="dcterms:W3CDTF">2013-09-06T06:03:00Z</dcterms:created>
  <dcterms:modified xsi:type="dcterms:W3CDTF">2013-09-16T08:02:00Z</dcterms:modified>
</cp:coreProperties>
</file>