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9C" w:rsidRPr="00237466" w:rsidRDefault="00DC689C" w:rsidP="00237466">
      <w:pPr>
        <w:pStyle w:val="naislab"/>
        <w:jc w:val="center"/>
        <w:outlineLvl w:val="0"/>
        <w:rPr>
          <w:b/>
        </w:rPr>
      </w:pPr>
      <w:r w:rsidRPr="00237466">
        <w:rPr>
          <w:b/>
        </w:rPr>
        <w:t>Ministru kabineta noteikum</w:t>
      </w:r>
      <w:r w:rsidR="007578EB" w:rsidRPr="00237466">
        <w:rPr>
          <w:b/>
        </w:rPr>
        <w:t>u</w:t>
      </w:r>
      <w:r w:rsidRPr="00237466">
        <w:rPr>
          <w:b/>
        </w:rPr>
        <w:t xml:space="preserve"> projekta  „</w:t>
      </w:r>
      <w:r w:rsidR="00237466" w:rsidRPr="00237466">
        <w:rPr>
          <w:b/>
        </w:rPr>
        <w:t xml:space="preserve">Grozījumi Ministru kabineta 2011. </w:t>
      </w:r>
      <w:r w:rsidR="00ED18B6">
        <w:rPr>
          <w:b/>
        </w:rPr>
        <w:t>g</w:t>
      </w:r>
      <w:r w:rsidR="00237466" w:rsidRPr="00237466">
        <w:rPr>
          <w:b/>
        </w:rPr>
        <w:t>ada 3.maija noteikumos Nr.333 „Kārtība, kādā plānojami un uzskaitāmi ieņēmumi no maksas pakalpojumiem un ar šo pakalpojumu sniegšanu saistītie izdevumi, kā arī maksas pakalpojumu izcenojumu noteikšanas metodika un izcenojumu apstiprināšanas kārtība”</w:t>
      </w:r>
      <w:r w:rsidRPr="00237466">
        <w:rPr>
          <w:b/>
        </w:rPr>
        <w:t xml:space="preserve">” sākotnējās ietekmes novērtējuma </w:t>
      </w:r>
      <w:smartTag w:uri="schemas-tilde-lv/tildestengine" w:element="veidnes">
        <w:smartTagPr>
          <w:attr w:name="text" w:val="ziņojums"/>
          <w:attr w:name="baseform" w:val="ziņojums"/>
          <w:attr w:name="id" w:val="-1"/>
        </w:smartTagPr>
        <w:r w:rsidRPr="00237466">
          <w:rPr>
            <w:b/>
          </w:rPr>
          <w:t>ziņojums</w:t>
        </w:r>
      </w:smartTag>
      <w:r w:rsidRPr="00237466">
        <w:rPr>
          <w:b/>
        </w:rPr>
        <w:t xml:space="preserve"> (anotācija)</w:t>
      </w:r>
    </w:p>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3708"/>
        <w:gridCol w:w="5467"/>
      </w:tblGrid>
      <w:tr w:rsidR="00DC689C" w:rsidRPr="007C0F2C" w:rsidTr="00180B70">
        <w:tc>
          <w:tcPr>
            <w:tcW w:w="9862" w:type="dxa"/>
            <w:gridSpan w:val="3"/>
            <w:vAlign w:val="center"/>
          </w:tcPr>
          <w:p w:rsidR="00DC689C" w:rsidRPr="007C0F2C" w:rsidRDefault="00DC689C" w:rsidP="0023237B">
            <w:pPr>
              <w:pStyle w:val="naisnod"/>
              <w:spacing w:before="0" w:after="0"/>
            </w:pPr>
            <w:r w:rsidRPr="007C0F2C">
              <w:t>I. Tiesību akta projekta izstrādes nepieciešamība</w:t>
            </w:r>
          </w:p>
        </w:tc>
      </w:tr>
      <w:tr w:rsidR="00DC689C" w:rsidRPr="007C0F2C" w:rsidTr="00180B70">
        <w:trPr>
          <w:trHeight w:val="630"/>
        </w:trPr>
        <w:tc>
          <w:tcPr>
            <w:tcW w:w="687" w:type="dxa"/>
          </w:tcPr>
          <w:p w:rsidR="00DC689C" w:rsidRPr="007C0F2C" w:rsidRDefault="00DC689C" w:rsidP="0023237B">
            <w:pPr>
              <w:pStyle w:val="naiskr"/>
              <w:spacing w:before="0" w:after="0"/>
              <w:rPr>
                <w:sz w:val="22"/>
                <w:szCs w:val="22"/>
              </w:rPr>
            </w:pPr>
            <w:r w:rsidRPr="007C0F2C">
              <w:rPr>
                <w:sz w:val="22"/>
                <w:szCs w:val="22"/>
              </w:rPr>
              <w:t>1.</w:t>
            </w:r>
          </w:p>
        </w:tc>
        <w:tc>
          <w:tcPr>
            <w:tcW w:w="3708" w:type="dxa"/>
          </w:tcPr>
          <w:p w:rsidR="00DC689C" w:rsidRPr="007C0F2C" w:rsidRDefault="00DC689C" w:rsidP="0023237B">
            <w:pPr>
              <w:pStyle w:val="naiskr"/>
              <w:spacing w:before="0" w:after="0"/>
              <w:ind w:hanging="10"/>
              <w:rPr>
                <w:sz w:val="22"/>
                <w:szCs w:val="22"/>
              </w:rPr>
            </w:pPr>
            <w:r w:rsidRPr="007C0F2C">
              <w:rPr>
                <w:sz w:val="22"/>
                <w:szCs w:val="22"/>
              </w:rPr>
              <w:t>Pamatojums</w:t>
            </w:r>
          </w:p>
        </w:tc>
        <w:tc>
          <w:tcPr>
            <w:tcW w:w="5467" w:type="dxa"/>
          </w:tcPr>
          <w:p w:rsidR="0023237B" w:rsidRPr="00C1051F" w:rsidRDefault="0023237B" w:rsidP="00BD30B4">
            <w:pPr>
              <w:pStyle w:val="naiskr"/>
              <w:spacing w:before="0" w:after="0"/>
              <w:ind w:left="142" w:right="81"/>
              <w:jc w:val="both"/>
            </w:pPr>
            <w:r w:rsidRPr="005B698F">
              <w:rPr>
                <w:i/>
              </w:rPr>
              <w:t>Euro</w:t>
            </w:r>
            <w:r w:rsidRPr="00C1051F">
              <w:t xml:space="preserve"> ieviešanas kārt</w:t>
            </w:r>
            <w:r w:rsidR="00BD30B4">
              <w:t>ības likuma 30.panta pirmā daļa.</w:t>
            </w:r>
          </w:p>
          <w:p w:rsidR="008D3A5D" w:rsidRDefault="008D3A5D" w:rsidP="00C1051F">
            <w:pPr>
              <w:pStyle w:val="naiskr"/>
              <w:spacing w:before="0" w:after="0"/>
              <w:ind w:left="142" w:right="81"/>
              <w:jc w:val="both"/>
            </w:pPr>
          </w:p>
          <w:p w:rsidR="0023237B" w:rsidRDefault="0023237B" w:rsidP="00ED18B6">
            <w:pPr>
              <w:pStyle w:val="naiskr"/>
              <w:spacing w:before="0" w:after="0"/>
              <w:ind w:left="142" w:right="81"/>
              <w:jc w:val="both"/>
            </w:pPr>
            <w:r w:rsidRPr="00C1051F">
              <w:t xml:space="preserve">Ministru kabineta 2012.gada 27.jūnija </w:t>
            </w:r>
            <w:r w:rsidR="00920CE6" w:rsidRPr="00C1051F">
              <w:t>rīkojum</w:t>
            </w:r>
            <w:r w:rsidR="00920CE6">
              <w:t>a</w:t>
            </w:r>
            <w:r w:rsidR="00920CE6" w:rsidRPr="00C1051F">
              <w:t xml:space="preserve"> </w:t>
            </w:r>
            <w:r w:rsidRPr="00C1051F">
              <w:t xml:space="preserve">Nr.282 „Par </w:t>
            </w:r>
            <w:r w:rsidR="00920CE6">
              <w:t>„</w:t>
            </w:r>
            <w:r w:rsidRPr="00C1051F">
              <w:t>Koncepciju par normatīvo aktu sakārtošanu saistībā</w:t>
            </w:r>
            <w:r w:rsidR="00ED18B6">
              <w:t xml:space="preserve"> ar eiro ieviešanu Latvijā”” 7.2</w:t>
            </w:r>
            <w:r w:rsidRPr="00C1051F">
              <w:t>.apakšpunkts</w:t>
            </w:r>
            <w:r w:rsidR="00E046C1">
              <w:t xml:space="preserve"> un </w:t>
            </w:r>
            <w:r w:rsidR="00E046C1" w:rsidRPr="00E046C1">
              <w:t xml:space="preserve">3.pielikuma </w:t>
            </w:r>
            <w:r w:rsidR="00ED18B6">
              <w:t>8</w:t>
            </w:r>
            <w:r w:rsidR="00E046C1" w:rsidRPr="00E046C1">
              <w:t>.punkts</w:t>
            </w:r>
            <w:r w:rsidR="00C1051F">
              <w:t>.</w:t>
            </w:r>
          </w:p>
          <w:p w:rsidR="00180B70" w:rsidRDefault="00180B70" w:rsidP="00ED18B6">
            <w:pPr>
              <w:pStyle w:val="naiskr"/>
              <w:spacing w:before="0" w:after="0"/>
              <w:ind w:left="142" w:right="81"/>
              <w:jc w:val="both"/>
            </w:pPr>
          </w:p>
          <w:p w:rsidR="00180B70" w:rsidRPr="00C1051F" w:rsidRDefault="00180B70" w:rsidP="00180B70">
            <w:pPr>
              <w:pStyle w:val="naiskr"/>
              <w:spacing w:before="0" w:after="0"/>
              <w:ind w:left="142" w:right="81"/>
              <w:jc w:val="both"/>
            </w:pPr>
            <w:r w:rsidRPr="00180B70">
              <w:t xml:space="preserve">Latvijas Nacionālā </w:t>
            </w:r>
            <w:r w:rsidRPr="00180B70">
              <w:rPr>
                <w:i/>
              </w:rPr>
              <w:t>euro</w:t>
            </w:r>
            <w:r w:rsidRPr="00180B70">
              <w:t xml:space="preserve"> ieviešanas plāna (apstiprināts ar Ministru kabineta 2013.gada 4.aprīļa rīkojumu Nr.136) 1.pielikuma J2.</w:t>
            </w:r>
            <w:r>
              <w:t>2</w:t>
            </w:r>
            <w:r w:rsidRPr="00180B70">
              <w:t xml:space="preserve"> pasākums.</w:t>
            </w:r>
          </w:p>
        </w:tc>
      </w:tr>
      <w:tr w:rsidR="00DC689C" w:rsidRPr="007C0F2C" w:rsidTr="00180B70">
        <w:trPr>
          <w:trHeight w:val="472"/>
        </w:trPr>
        <w:tc>
          <w:tcPr>
            <w:tcW w:w="687" w:type="dxa"/>
          </w:tcPr>
          <w:p w:rsidR="00DC689C" w:rsidRPr="007C0F2C" w:rsidRDefault="00DC689C" w:rsidP="0023237B">
            <w:pPr>
              <w:pStyle w:val="naiskr"/>
              <w:spacing w:before="0" w:after="0"/>
              <w:rPr>
                <w:sz w:val="22"/>
                <w:szCs w:val="22"/>
              </w:rPr>
            </w:pPr>
            <w:r w:rsidRPr="007C0F2C">
              <w:rPr>
                <w:sz w:val="22"/>
                <w:szCs w:val="22"/>
              </w:rPr>
              <w:t>2.</w:t>
            </w:r>
          </w:p>
        </w:tc>
        <w:tc>
          <w:tcPr>
            <w:tcW w:w="3708" w:type="dxa"/>
          </w:tcPr>
          <w:p w:rsidR="00DC689C" w:rsidRPr="007C0F2C" w:rsidRDefault="00DC689C" w:rsidP="0023237B">
            <w:pPr>
              <w:pStyle w:val="naiskr"/>
              <w:tabs>
                <w:tab w:val="left" w:pos="170"/>
              </w:tabs>
              <w:spacing w:before="0" w:after="0"/>
              <w:rPr>
                <w:sz w:val="22"/>
                <w:szCs w:val="22"/>
              </w:rPr>
            </w:pPr>
            <w:r w:rsidRPr="007C0F2C">
              <w:rPr>
                <w:sz w:val="22"/>
                <w:szCs w:val="22"/>
              </w:rPr>
              <w:t>Pašreizējā situācija un problēmas</w:t>
            </w:r>
          </w:p>
        </w:tc>
        <w:tc>
          <w:tcPr>
            <w:tcW w:w="5467" w:type="dxa"/>
          </w:tcPr>
          <w:p w:rsidR="00DC689C" w:rsidRDefault="003A5637" w:rsidP="003A5637">
            <w:pPr>
              <w:pStyle w:val="naiskr"/>
              <w:spacing w:before="0" w:after="0"/>
              <w:ind w:left="142" w:right="79"/>
              <w:jc w:val="both"/>
              <w:rPr>
                <w:iCs/>
              </w:rPr>
            </w:pPr>
            <w:r w:rsidRPr="003A5637">
              <w:rPr>
                <w:iCs/>
              </w:rPr>
              <w:t>Šobrīd</w:t>
            </w:r>
            <w:r w:rsidR="00ED18B6">
              <w:t xml:space="preserve"> </w:t>
            </w:r>
            <w:r w:rsidR="00ED18B6" w:rsidRPr="00ED18B6">
              <w:rPr>
                <w:iCs/>
              </w:rPr>
              <w:t>Ministru kabineta 2011.gada 3.maija noteikum</w:t>
            </w:r>
            <w:r w:rsidR="00ED18B6">
              <w:rPr>
                <w:iCs/>
              </w:rPr>
              <w:t>u</w:t>
            </w:r>
            <w:r w:rsidR="00ED18B6" w:rsidRPr="00ED18B6">
              <w:rPr>
                <w:iCs/>
              </w:rPr>
              <w:t xml:space="preserve"> Nr.333 „Kārtība, kādā plānojami un uzskaitāmi ieņēmumi no maksas pakalpojumiem un ar šo pakalpojumu sniegšanu saistītie izdevumi, kā arī maksas pakalpojumu izcenojumu noteikšanas metodika un izcenojumu apstiprināšanas kārtība”</w:t>
            </w:r>
            <w:r w:rsidR="00ED18B6">
              <w:rPr>
                <w:iCs/>
              </w:rPr>
              <w:t xml:space="preserve"> </w:t>
            </w:r>
            <w:r w:rsidR="005A0CC6">
              <w:rPr>
                <w:iCs/>
              </w:rPr>
              <w:t>(turpmāk – MK noteikumi Nr.</w:t>
            </w:r>
            <w:r w:rsidR="00ED18B6">
              <w:rPr>
                <w:iCs/>
              </w:rPr>
              <w:t>333</w:t>
            </w:r>
            <w:r w:rsidR="005A0CC6">
              <w:rPr>
                <w:iCs/>
              </w:rPr>
              <w:t>)</w:t>
            </w:r>
            <w:r>
              <w:rPr>
                <w:iCs/>
              </w:rPr>
              <w:t xml:space="preserve"> 1</w:t>
            </w:r>
            <w:r w:rsidR="00ED18B6">
              <w:rPr>
                <w:iCs/>
              </w:rPr>
              <w:t>5</w:t>
            </w:r>
            <w:r>
              <w:rPr>
                <w:iCs/>
              </w:rPr>
              <w:t xml:space="preserve">.punkts </w:t>
            </w:r>
            <w:r w:rsidR="00ED18B6">
              <w:rPr>
                <w:iCs/>
              </w:rPr>
              <w:t xml:space="preserve">un 1.pielikums </w:t>
            </w:r>
            <w:r w:rsidR="00BD6153">
              <w:rPr>
                <w:iCs/>
              </w:rPr>
              <w:t>paredz maksas pakalpojumu izcenojumu summas norādīt</w:t>
            </w:r>
            <w:r w:rsidR="00523BA2">
              <w:rPr>
                <w:iCs/>
              </w:rPr>
              <w:t xml:space="preserve"> latos</w:t>
            </w:r>
            <w:r>
              <w:rPr>
                <w:iCs/>
              </w:rPr>
              <w:t xml:space="preserve">, savukārt minēto noteikumu 2. pielikums satur </w:t>
            </w:r>
            <w:r w:rsidR="00920CE6">
              <w:rPr>
                <w:iCs/>
              </w:rPr>
              <w:t xml:space="preserve">valūtas simbolu </w:t>
            </w:r>
            <w:r>
              <w:rPr>
                <w:iCs/>
              </w:rPr>
              <w:t>„Ls”.</w:t>
            </w:r>
          </w:p>
          <w:p w:rsidR="003A5637" w:rsidRDefault="003A5637" w:rsidP="00523BA2">
            <w:pPr>
              <w:pStyle w:val="naiskr"/>
              <w:spacing w:before="0" w:after="0"/>
              <w:ind w:left="142" w:right="79"/>
              <w:jc w:val="both"/>
            </w:pPr>
            <w:r>
              <w:t xml:space="preserve">Deklarācijas par Valda Dombrovska vadītā Ministru kabineta iecerēto darbību II sadaļas 1.punkts paredz, ka Latvija plāno iekļauties </w:t>
            </w:r>
            <w:r w:rsidR="00920CE6">
              <w:rPr>
                <w:i/>
              </w:rPr>
              <w:t>euro</w:t>
            </w:r>
            <w:r w:rsidR="00920CE6">
              <w:t xml:space="preserve"> </w:t>
            </w:r>
            <w:r>
              <w:t xml:space="preserve">zonā 2014.gadā. </w:t>
            </w:r>
            <w:r w:rsidR="005A0CC6">
              <w:t xml:space="preserve"> </w:t>
            </w:r>
            <w:r w:rsidR="005A0CC6" w:rsidRPr="005B698F">
              <w:rPr>
                <w:i/>
              </w:rPr>
              <w:t>Euro</w:t>
            </w:r>
            <w:r w:rsidR="005A0CC6" w:rsidRPr="005A0CC6">
              <w:t xml:space="preserve"> ieviešanas kārtības likum</w:t>
            </w:r>
            <w:r w:rsidR="005A0CC6">
              <w:t>a 30.panta pirmā</w:t>
            </w:r>
            <w:r w:rsidR="005B698F">
              <w:t xml:space="preserve"> daļa paredz, ka nepieciešams sagatavot to </w:t>
            </w:r>
            <w:r w:rsidR="005B698F" w:rsidRPr="005B698F">
              <w:t xml:space="preserve">tiesību aktu grozījumu projektus, kurus nepieciešams pielāgot </w:t>
            </w:r>
            <w:r w:rsidR="005B698F" w:rsidRPr="005B698F">
              <w:rPr>
                <w:i/>
              </w:rPr>
              <w:t>euro</w:t>
            </w:r>
            <w:r w:rsidR="005B698F" w:rsidRPr="005B698F">
              <w:t xml:space="preserve"> ieviešanai</w:t>
            </w:r>
            <w:r w:rsidR="005B698F">
              <w:t>.</w:t>
            </w:r>
            <w:r w:rsidR="005A0CC6">
              <w:t xml:space="preserve"> </w:t>
            </w:r>
            <w:r>
              <w:t xml:space="preserve">Ņemot vērā, ka pēc </w:t>
            </w:r>
            <w:r w:rsidR="005B698F">
              <w:t>pievienošanās</w:t>
            </w:r>
            <w:r>
              <w:t xml:space="preserve"> eiro zon</w:t>
            </w:r>
            <w:r w:rsidR="005B698F">
              <w:t>ai</w:t>
            </w:r>
            <w:r>
              <w:t xml:space="preserve">, likumīgais maksāšanas līdzeklis būs </w:t>
            </w:r>
            <w:r w:rsidRPr="005B698F">
              <w:rPr>
                <w:i/>
              </w:rPr>
              <w:t>euro</w:t>
            </w:r>
            <w:r>
              <w:t>,</w:t>
            </w:r>
            <w:r w:rsidR="005B698F">
              <w:t xml:space="preserve"> nevis lats,</w:t>
            </w:r>
            <w:r>
              <w:t xml:space="preserve"> ir nepieciešams </w:t>
            </w:r>
            <w:r w:rsidR="005A0CC6">
              <w:t>izdar</w:t>
            </w:r>
            <w:r w:rsidR="005B698F">
              <w:t>īt</w:t>
            </w:r>
            <w:r w:rsidR="005A0CC6">
              <w:t xml:space="preserve"> grozījumus  </w:t>
            </w:r>
            <w:r w:rsidR="005A0CC6" w:rsidRPr="005A0CC6">
              <w:t>MK noteikum</w:t>
            </w:r>
            <w:r w:rsidR="005A0CC6">
              <w:t>os</w:t>
            </w:r>
            <w:r w:rsidR="005A0CC6" w:rsidRPr="005A0CC6">
              <w:t xml:space="preserve"> Nr.</w:t>
            </w:r>
            <w:r w:rsidR="00523BA2">
              <w:t>333</w:t>
            </w:r>
            <w:r w:rsidR="00920CE6">
              <w:t>.</w:t>
            </w:r>
          </w:p>
          <w:p w:rsidR="00620899" w:rsidRPr="00C1051F" w:rsidRDefault="00920CE6" w:rsidP="00920CE6">
            <w:pPr>
              <w:pStyle w:val="naiskr"/>
              <w:spacing w:before="0" w:after="0"/>
              <w:ind w:left="142" w:right="79"/>
              <w:jc w:val="both"/>
            </w:pPr>
            <w:r>
              <w:t>Kopš</w:t>
            </w:r>
            <w:r w:rsidR="00620899" w:rsidRPr="00620899">
              <w:t xml:space="preserve"> 2013.gada 1.janvāra </w:t>
            </w:r>
            <w:r w:rsidRPr="00620899">
              <w:t xml:space="preserve">spēku </w:t>
            </w:r>
            <w:r w:rsidR="00620899" w:rsidRPr="00620899">
              <w:t>ir zaudējis likums „Par pievienotās vērtības nodokl</w:t>
            </w:r>
            <w:r w:rsidR="00CF1926">
              <w:t>i</w:t>
            </w:r>
            <w:r w:rsidR="00620899" w:rsidRPr="00620899">
              <w:t>” un tā vietā spēkā</w:t>
            </w:r>
            <w:r w:rsidR="00620899">
              <w:t xml:space="preserve"> ir</w:t>
            </w:r>
            <w:r w:rsidR="00620899" w:rsidRPr="00620899">
              <w:t xml:space="preserve"> Pievienotās vērtības nodokļa likums</w:t>
            </w:r>
            <w:r>
              <w:t>.</w:t>
            </w:r>
            <w:r w:rsidR="00141315">
              <w:t xml:space="preserve"> </w:t>
            </w:r>
            <w:r>
              <w:t>T</w:t>
            </w:r>
            <w:r w:rsidR="00141315">
              <w:t xml:space="preserve">ā kā </w:t>
            </w:r>
            <w:r w:rsidR="00141315" w:rsidRPr="00141315">
              <w:t>MK noteikum</w:t>
            </w:r>
            <w:r w:rsidR="00141315">
              <w:t>u</w:t>
            </w:r>
            <w:r w:rsidR="00141315" w:rsidRPr="00141315">
              <w:t xml:space="preserve"> Nr.333</w:t>
            </w:r>
            <w:r w:rsidR="00141315">
              <w:t xml:space="preserve"> 2.pielikums</w:t>
            </w:r>
            <w:r>
              <w:t xml:space="preserve"> satur vārdisku atsauci uz spēkā neesošo likumu, </w:t>
            </w:r>
            <w:r w:rsidR="00141315">
              <w:t>nepieciešams veikt tehnisku precizējumu.</w:t>
            </w:r>
          </w:p>
        </w:tc>
      </w:tr>
      <w:tr w:rsidR="00DC689C" w:rsidRPr="007C0F2C" w:rsidTr="00180B70">
        <w:trPr>
          <w:trHeight w:val="584"/>
        </w:trPr>
        <w:tc>
          <w:tcPr>
            <w:tcW w:w="687" w:type="dxa"/>
          </w:tcPr>
          <w:p w:rsidR="00DC689C" w:rsidRPr="007C0F2C" w:rsidRDefault="00DC689C" w:rsidP="0023237B">
            <w:pPr>
              <w:pStyle w:val="naiskr"/>
              <w:spacing w:before="0" w:after="0"/>
              <w:rPr>
                <w:sz w:val="22"/>
                <w:szCs w:val="22"/>
              </w:rPr>
            </w:pPr>
            <w:r w:rsidRPr="007C0F2C">
              <w:rPr>
                <w:sz w:val="22"/>
                <w:szCs w:val="22"/>
              </w:rPr>
              <w:t>3.</w:t>
            </w:r>
          </w:p>
        </w:tc>
        <w:tc>
          <w:tcPr>
            <w:tcW w:w="3708" w:type="dxa"/>
          </w:tcPr>
          <w:p w:rsidR="00DC689C" w:rsidRPr="007C0F2C" w:rsidRDefault="00DC689C" w:rsidP="0023237B">
            <w:pPr>
              <w:pStyle w:val="naiskr"/>
              <w:spacing w:before="0" w:after="0"/>
              <w:rPr>
                <w:sz w:val="22"/>
                <w:szCs w:val="22"/>
              </w:rPr>
            </w:pPr>
            <w:r w:rsidRPr="007C0F2C">
              <w:rPr>
                <w:sz w:val="22"/>
                <w:szCs w:val="22"/>
              </w:rPr>
              <w:t>Saistītie politikas ietekmes novērtējumi un pētījumi</w:t>
            </w:r>
          </w:p>
        </w:tc>
        <w:tc>
          <w:tcPr>
            <w:tcW w:w="5467" w:type="dxa"/>
          </w:tcPr>
          <w:p w:rsidR="00DC689C" w:rsidRPr="008D3A5D" w:rsidRDefault="008E4D69" w:rsidP="008D3A5D">
            <w:pPr>
              <w:pStyle w:val="FootnoteText"/>
              <w:ind w:left="142" w:right="81"/>
              <w:rPr>
                <w:sz w:val="24"/>
                <w:szCs w:val="24"/>
              </w:rPr>
            </w:pPr>
            <w:r w:rsidRPr="00C1051F">
              <w:rPr>
                <w:sz w:val="24"/>
                <w:szCs w:val="24"/>
              </w:rPr>
              <w:t>Projekts šo jomu neskar.</w:t>
            </w:r>
          </w:p>
        </w:tc>
      </w:tr>
      <w:tr w:rsidR="00DC689C" w:rsidRPr="007C0F2C" w:rsidTr="00180B70">
        <w:trPr>
          <w:trHeight w:val="563"/>
        </w:trPr>
        <w:tc>
          <w:tcPr>
            <w:tcW w:w="687" w:type="dxa"/>
          </w:tcPr>
          <w:p w:rsidR="00DC689C" w:rsidRPr="007C0F2C" w:rsidRDefault="00DC689C" w:rsidP="0023237B">
            <w:pPr>
              <w:pStyle w:val="naiskr"/>
              <w:spacing w:before="0" w:after="0"/>
              <w:rPr>
                <w:sz w:val="22"/>
                <w:szCs w:val="22"/>
              </w:rPr>
            </w:pPr>
            <w:r w:rsidRPr="007C0F2C">
              <w:rPr>
                <w:sz w:val="22"/>
                <w:szCs w:val="22"/>
              </w:rPr>
              <w:t>4.</w:t>
            </w:r>
          </w:p>
        </w:tc>
        <w:tc>
          <w:tcPr>
            <w:tcW w:w="3708" w:type="dxa"/>
          </w:tcPr>
          <w:p w:rsidR="00DC689C" w:rsidRPr="007C0F2C" w:rsidRDefault="00DC689C" w:rsidP="0023237B">
            <w:pPr>
              <w:pStyle w:val="naiskr"/>
              <w:spacing w:before="0" w:after="0"/>
              <w:rPr>
                <w:sz w:val="22"/>
                <w:szCs w:val="22"/>
              </w:rPr>
            </w:pPr>
            <w:r w:rsidRPr="007C0F2C">
              <w:rPr>
                <w:sz w:val="22"/>
                <w:szCs w:val="22"/>
              </w:rPr>
              <w:t>Tiesiskā regulējuma mērķis un būtība</w:t>
            </w:r>
          </w:p>
        </w:tc>
        <w:tc>
          <w:tcPr>
            <w:tcW w:w="5467" w:type="dxa"/>
          </w:tcPr>
          <w:p w:rsidR="00DC689C" w:rsidRDefault="00E53471" w:rsidP="00C1051F">
            <w:pPr>
              <w:pStyle w:val="naiskr"/>
              <w:spacing w:before="0" w:after="0"/>
              <w:ind w:left="142" w:right="81"/>
              <w:jc w:val="both"/>
              <w:rPr>
                <w:iCs/>
              </w:rPr>
            </w:pPr>
            <w:r w:rsidRPr="00C1051F">
              <w:rPr>
                <w:iCs/>
              </w:rPr>
              <w:t>Noteikumu projekts paredz veikt tehniskos precizējumus, lai nodrošinātu, ka n</w:t>
            </w:r>
            <w:r w:rsidR="00523BA2">
              <w:rPr>
                <w:iCs/>
              </w:rPr>
              <w:t>ormas nesatur</w:t>
            </w:r>
            <w:r w:rsidR="002D16F8">
              <w:rPr>
                <w:iCs/>
              </w:rPr>
              <w:t xml:space="preserve"> vārdiskās</w:t>
            </w:r>
            <w:r w:rsidR="00523BA2">
              <w:rPr>
                <w:iCs/>
              </w:rPr>
              <w:t xml:space="preserve"> atsauc</w:t>
            </w:r>
            <w:r w:rsidR="002D16F8">
              <w:rPr>
                <w:iCs/>
              </w:rPr>
              <w:t>es</w:t>
            </w:r>
            <w:r w:rsidR="00523BA2">
              <w:rPr>
                <w:iCs/>
              </w:rPr>
              <w:t xml:space="preserve"> uz latiem.</w:t>
            </w:r>
          </w:p>
          <w:p w:rsidR="008D3A5D" w:rsidRPr="00C1051F" w:rsidRDefault="008D3A5D" w:rsidP="00C1051F">
            <w:pPr>
              <w:pStyle w:val="naiskr"/>
              <w:spacing w:before="0" w:after="0"/>
              <w:ind w:left="142" w:right="81"/>
              <w:jc w:val="both"/>
              <w:rPr>
                <w:iCs/>
              </w:rPr>
            </w:pPr>
          </w:p>
          <w:p w:rsidR="008E4D69" w:rsidRPr="00C1051F" w:rsidRDefault="00C12FF4" w:rsidP="00C1051F">
            <w:pPr>
              <w:pStyle w:val="naiskr"/>
              <w:spacing w:before="0" w:after="0"/>
              <w:ind w:left="142" w:right="81"/>
              <w:jc w:val="both"/>
              <w:rPr>
                <w:iCs/>
              </w:rPr>
            </w:pPr>
            <w:r>
              <w:rPr>
                <w:iCs/>
              </w:rPr>
              <w:t xml:space="preserve">Noteikumu projekts </w:t>
            </w:r>
            <w:r w:rsidR="008E4D69" w:rsidRPr="00C1051F">
              <w:rPr>
                <w:iCs/>
              </w:rPr>
              <w:t>paredz:</w:t>
            </w:r>
          </w:p>
          <w:p w:rsidR="00E53471" w:rsidRPr="00BD6153" w:rsidRDefault="008F26D3" w:rsidP="00920CE6">
            <w:pPr>
              <w:pStyle w:val="naiskr"/>
              <w:tabs>
                <w:tab w:val="left" w:pos="427"/>
              </w:tabs>
              <w:spacing w:before="0" w:after="0"/>
              <w:ind w:left="142" w:right="81"/>
              <w:jc w:val="both"/>
              <w:rPr>
                <w:iCs/>
              </w:rPr>
            </w:pPr>
            <w:r>
              <w:rPr>
                <w:iCs/>
              </w:rPr>
              <w:lastRenderedPageBreak/>
              <w:t>A</w:t>
            </w:r>
            <w:r w:rsidR="008E4D69" w:rsidRPr="00C1051F">
              <w:rPr>
                <w:iCs/>
              </w:rPr>
              <w:t xml:space="preserve">izstāt </w:t>
            </w:r>
            <w:r w:rsidR="00C1051F" w:rsidRPr="00C1051F">
              <w:rPr>
                <w:iCs/>
              </w:rPr>
              <w:t>MK</w:t>
            </w:r>
            <w:r w:rsidR="008E4D69" w:rsidRPr="00C1051F">
              <w:rPr>
                <w:iCs/>
              </w:rPr>
              <w:t xml:space="preserve"> noteikum</w:t>
            </w:r>
            <w:r w:rsidR="00523BA2">
              <w:rPr>
                <w:iCs/>
              </w:rPr>
              <w:t>os</w:t>
            </w:r>
            <w:r w:rsidR="00C12FF4">
              <w:t xml:space="preserve"> </w:t>
            </w:r>
            <w:r w:rsidR="00C12FF4" w:rsidRPr="00C12FF4">
              <w:rPr>
                <w:iCs/>
              </w:rPr>
              <w:t>Nr.</w:t>
            </w:r>
            <w:r w:rsidR="00523BA2">
              <w:rPr>
                <w:iCs/>
              </w:rPr>
              <w:t>333</w:t>
            </w:r>
            <w:r w:rsidR="008E4D69" w:rsidRPr="00C1051F">
              <w:rPr>
                <w:iCs/>
              </w:rPr>
              <w:t xml:space="preserve"> </w:t>
            </w:r>
            <w:r w:rsidR="00920CE6">
              <w:rPr>
                <w:iCs/>
              </w:rPr>
              <w:t>valūtas simbolu „</w:t>
            </w:r>
            <w:r w:rsidR="00523BA2">
              <w:rPr>
                <w:iCs/>
              </w:rPr>
              <w:t>Ls</w:t>
            </w:r>
            <w:r w:rsidR="00920CE6">
              <w:rPr>
                <w:iCs/>
              </w:rPr>
              <w:t>”</w:t>
            </w:r>
            <w:r w:rsidR="00523BA2">
              <w:rPr>
                <w:iCs/>
              </w:rPr>
              <w:t xml:space="preserve"> ar </w:t>
            </w:r>
            <w:r w:rsidR="00920CE6">
              <w:rPr>
                <w:iCs/>
              </w:rPr>
              <w:t>valūtas kodu „</w:t>
            </w:r>
            <w:r w:rsidR="00523BA2">
              <w:rPr>
                <w:iCs/>
              </w:rPr>
              <w:t>EUR</w:t>
            </w:r>
            <w:r w:rsidR="00920CE6">
              <w:rPr>
                <w:iCs/>
              </w:rPr>
              <w:t>”</w:t>
            </w:r>
            <w:r w:rsidR="00523BA2">
              <w:rPr>
                <w:iCs/>
              </w:rPr>
              <w:t>,</w:t>
            </w:r>
            <w:r w:rsidR="00920CE6">
              <w:rPr>
                <w:iCs/>
              </w:rPr>
              <w:t xml:space="preserve"> </w:t>
            </w:r>
            <w:r w:rsidR="00523BA2" w:rsidRPr="00523BA2">
              <w:rPr>
                <w:iCs/>
              </w:rPr>
              <w:t>vārdu „latos” ar vārdu „</w:t>
            </w:r>
            <w:r w:rsidR="00523BA2" w:rsidRPr="00BF31D9">
              <w:rPr>
                <w:i/>
                <w:iCs/>
              </w:rPr>
              <w:t>euro</w:t>
            </w:r>
            <w:r w:rsidR="00523BA2" w:rsidRPr="00523BA2">
              <w:rPr>
                <w:iCs/>
              </w:rPr>
              <w:t>”</w:t>
            </w:r>
            <w:r w:rsidR="00523BA2">
              <w:rPr>
                <w:iCs/>
              </w:rPr>
              <w:t xml:space="preserve"> un </w:t>
            </w:r>
            <w:r w:rsidR="00523BA2">
              <w:t xml:space="preserve"> </w:t>
            </w:r>
            <w:r w:rsidR="00523BA2" w:rsidRPr="00523BA2">
              <w:rPr>
                <w:iCs/>
              </w:rPr>
              <w:t>vārdu „santīmos” ar vārdiem „centos”</w:t>
            </w:r>
            <w:r w:rsidR="00523BA2">
              <w:rPr>
                <w:iCs/>
              </w:rPr>
              <w:t>.</w:t>
            </w:r>
            <w:r w:rsidR="00620899">
              <w:rPr>
                <w:iCs/>
              </w:rPr>
              <w:t xml:space="preserve"> Kā arī noteikumu 2.pielikumā aizstāt </w:t>
            </w:r>
            <w:r w:rsidR="00620899">
              <w:t xml:space="preserve"> </w:t>
            </w:r>
            <w:r w:rsidR="00620899" w:rsidRPr="00620899">
              <w:rPr>
                <w:iCs/>
              </w:rPr>
              <w:t xml:space="preserve">vārdus </w:t>
            </w:r>
            <w:r w:rsidR="00141315">
              <w:rPr>
                <w:iCs/>
              </w:rPr>
              <w:t xml:space="preserve">„likuma </w:t>
            </w:r>
            <w:r w:rsidR="00620899" w:rsidRPr="00620899">
              <w:rPr>
                <w:iCs/>
              </w:rPr>
              <w:t>„Par pievienotās vērtības nodokli”</w:t>
            </w:r>
            <w:r w:rsidR="00141315">
              <w:rPr>
                <w:iCs/>
              </w:rPr>
              <w:t>”</w:t>
            </w:r>
            <w:r w:rsidR="00620899" w:rsidRPr="00620899">
              <w:rPr>
                <w:iCs/>
              </w:rPr>
              <w:t xml:space="preserve"> ar vārdiem „Pievienotās vērtības nodokļa likum</w:t>
            </w:r>
            <w:r w:rsidR="00141315">
              <w:rPr>
                <w:iCs/>
              </w:rPr>
              <w:t>a</w:t>
            </w:r>
            <w:r w:rsidR="00620899" w:rsidRPr="00620899">
              <w:rPr>
                <w:iCs/>
              </w:rPr>
              <w:t>”</w:t>
            </w:r>
            <w:r w:rsidR="00620899">
              <w:rPr>
                <w:iCs/>
              </w:rPr>
              <w:t>.</w:t>
            </w:r>
          </w:p>
        </w:tc>
      </w:tr>
      <w:tr w:rsidR="00DC689C" w:rsidRPr="007C0F2C" w:rsidTr="00180B70">
        <w:trPr>
          <w:trHeight w:val="274"/>
        </w:trPr>
        <w:tc>
          <w:tcPr>
            <w:tcW w:w="687" w:type="dxa"/>
          </w:tcPr>
          <w:p w:rsidR="00DC689C" w:rsidRPr="007C0F2C" w:rsidRDefault="00DC689C" w:rsidP="0023237B">
            <w:pPr>
              <w:pStyle w:val="naiskr"/>
              <w:spacing w:before="0" w:after="0"/>
              <w:rPr>
                <w:sz w:val="22"/>
                <w:szCs w:val="22"/>
              </w:rPr>
            </w:pPr>
            <w:r w:rsidRPr="007C0F2C">
              <w:rPr>
                <w:sz w:val="22"/>
                <w:szCs w:val="22"/>
              </w:rPr>
              <w:lastRenderedPageBreak/>
              <w:t>5.</w:t>
            </w:r>
          </w:p>
        </w:tc>
        <w:tc>
          <w:tcPr>
            <w:tcW w:w="3708" w:type="dxa"/>
          </w:tcPr>
          <w:p w:rsidR="00DC689C" w:rsidRPr="007C0F2C" w:rsidRDefault="00DC689C" w:rsidP="0023237B">
            <w:pPr>
              <w:pStyle w:val="naiskr"/>
              <w:spacing w:before="0" w:after="0"/>
              <w:rPr>
                <w:sz w:val="22"/>
                <w:szCs w:val="22"/>
              </w:rPr>
            </w:pPr>
            <w:r w:rsidRPr="007C0F2C">
              <w:rPr>
                <w:sz w:val="22"/>
                <w:szCs w:val="22"/>
              </w:rPr>
              <w:t>Projekta izstrādē iesaistītās institūcijas</w:t>
            </w:r>
          </w:p>
        </w:tc>
        <w:tc>
          <w:tcPr>
            <w:tcW w:w="5467" w:type="dxa"/>
          </w:tcPr>
          <w:p w:rsidR="00DC689C" w:rsidRPr="00C1051F" w:rsidRDefault="007578EB" w:rsidP="00C1051F">
            <w:pPr>
              <w:pStyle w:val="naiskr"/>
              <w:spacing w:before="0" w:after="0"/>
              <w:ind w:left="142" w:right="81"/>
            </w:pPr>
            <w:r w:rsidRPr="007578EB">
              <w:rPr>
                <w:iCs/>
              </w:rPr>
              <w:t>Projekts šo jomu neskar.</w:t>
            </w:r>
          </w:p>
        </w:tc>
      </w:tr>
      <w:tr w:rsidR="00DC689C" w:rsidRPr="007C0F2C" w:rsidTr="00180B70">
        <w:trPr>
          <w:trHeight w:val="899"/>
        </w:trPr>
        <w:tc>
          <w:tcPr>
            <w:tcW w:w="687" w:type="dxa"/>
          </w:tcPr>
          <w:p w:rsidR="00DC689C" w:rsidRPr="007C0F2C" w:rsidRDefault="00DC689C" w:rsidP="0023237B">
            <w:pPr>
              <w:pStyle w:val="naiskr"/>
              <w:spacing w:before="0" w:after="0"/>
              <w:rPr>
                <w:sz w:val="22"/>
                <w:szCs w:val="22"/>
              </w:rPr>
            </w:pPr>
            <w:r w:rsidRPr="007C0F2C">
              <w:rPr>
                <w:sz w:val="22"/>
                <w:szCs w:val="22"/>
              </w:rPr>
              <w:t>6.</w:t>
            </w:r>
          </w:p>
        </w:tc>
        <w:tc>
          <w:tcPr>
            <w:tcW w:w="3708" w:type="dxa"/>
          </w:tcPr>
          <w:p w:rsidR="00DC689C" w:rsidRPr="007C0F2C" w:rsidRDefault="00DC689C" w:rsidP="0023237B">
            <w:pPr>
              <w:pStyle w:val="naiskr"/>
              <w:spacing w:before="0" w:after="0"/>
              <w:rPr>
                <w:i/>
                <w:sz w:val="22"/>
                <w:szCs w:val="22"/>
                <w:highlight w:val="yellow"/>
              </w:rPr>
            </w:pPr>
            <w:r w:rsidRPr="007C0F2C">
              <w:rPr>
                <w:sz w:val="22"/>
                <w:szCs w:val="22"/>
              </w:rPr>
              <w:t>Iemesli, kādēļ netika nodrošināta sabiedrības līdzdalība</w:t>
            </w:r>
          </w:p>
        </w:tc>
        <w:tc>
          <w:tcPr>
            <w:tcW w:w="5467" w:type="dxa"/>
          </w:tcPr>
          <w:p w:rsidR="00DC689C" w:rsidRPr="00C1051F" w:rsidRDefault="00180B70" w:rsidP="007578EB">
            <w:pPr>
              <w:pStyle w:val="FootnoteText"/>
              <w:ind w:left="142" w:right="81"/>
              <w:jc w:val="both"/>
              <w:rPr>
                <w:sz w:val="24"/>
                <w:szCs w:val="24"/>
              </w:rPr>
            </w:pPr>
            <w:r w:rsidRPr="00180B70">
              <w:rPr>
                <w:sz w:val="24"/>
                <w:szCs w:val="24"/>
              </w:rPr>
              <w:t>Sabiedrības līdzdalība projekta izstrādē netika nodrošināta, jo projekts nemaina pastāvošo tiesisko regulējumu pēc būtības.</w:t>
            </w:r>
          </w:p>
        </w:tc>
      </w:tr>
      <w:tr w:rsidR="00DC689C" w:rsidRPr="007C0F2C" w:rsidTr="00180B70">
        <w:tc>
          <w:tcPr>
            <w:tcW w:w="687" w:type="dxa"/>
          </w:tcPr>
          <w:p w:rsidR="00DC689C" w:rsidRPr="007C0F2C" w:rsidRDefault="00DC689C" w:rsidP="0023237B">
            <w:pPr>
              <w:pStyle w:val="naiskr"/>
              <w:spacing w:before="0" w:after="0"/>
              <w:rPr>
                <w:sz w:val="22"/>
                <w:szCs w:val="22"/>
              </w:rPr>
            </w:pPr>
            <w:r w:rsidRPr="007C0F2C">
              <w:rPr>
                <w:sz w:val="22"/>
                <w:szCs w:val="22"/>
              </w:rPr>
              <w:t>7.</w:t>
            </w:r>
          </w:p>
        </w:tc>
        <w:tc>
          <w:tcPr>
            <w:tcW w:w="3708" w:type="dxa"/>
          </w:tcPr>
          <w:p w:rsidR="00DC689C" w:rsidRPr="007C0F2C" w:rsidRDefault="00DC689C" w:rsidP="0023237B">
            <w:pPr>
              <w:pStyle w:val="naiskr"/>
              <w:spacing w:before="0" w:after="0"/>
              <w:rPr>
                <w:sz w:val="22"/>
                <w:szCs w:val="22"/>
              </w:rPr>
            </w:pPr>
            <w:r w:rsidRPr="007C0F2C">
              <w:rPr>
                <w:sz w:val="22"/>
                <w:szCs w:val="22"/>
              </w:rPr>
              <w:t>Cita informācija</w:t>
            </w:r>
          </w:p>
        </w:tc>
        <w:tc>
          <w:tcPr>
            <w:tcW w:w="5467" w:type="dxa"/>
          </w:tcPr>
          <w:p w:rsidR="00DC689C" w:rsidRPr="00C1051F" w:rsidRDefault="008E4D69" w:rsidP="00C1051F">
            <w:pPr>
              <w:pStyle w:val="naiskr"/>
              <w:spacing w:before="0" w:after="0"/>
              <w:ind w:left="142" w:right="81"/>
            </w:pPr>
            <w:r w:rsidRPr="00C1051F">
              <w:t>Nav.</w:t>
            </w:r>
          </w:p>
        </w:tc>
      </w:tr>
    </w:tbl>
    <w:p w:rsidR="00DC689C" w:rsidRPr="007C0F2C" w:rsidRDefault="00DC689C" w:rsidP="00DC689C">
      <w:pPr>
        <w:pStyle w:val="naisf"/>
        <w:spacing w:before="0" w:after="0"/>
      </w:pPr>
    </w:p>
    <w:tbl>
      <w:tblPr>
        <w:tblpPr w:leftFromText="180" w:rightFromText="180" w:vertAnchor="text" w:horzAnchor="margin" w:tblpXSpec="center" w:tblpY="1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5"/>
      </w:tblGrid>
      <w:tr w:rsidR="00180B70" w:rsidRPr="00180B70" w:rsidTr="00180B70">
        <w:tc>
          <w:tcPr>
            <w:tcW w:w="9895" w:type="dxa"/>
            <w:vAlign w:val="center"/>
          </w:tcPr>
          <w:p w:rsidR="00180B70" w:rsidRPr="00180B70" w:rsidRDefault="00180B70" w:rsidP="00180B70">
            <w:pPr>
              <w:jc w:val="center"/>
              <w:rPr>
                <w:b/>
                <w:bCs/>
              </w:rPr>
            </w:pPr>
            <w:r w:rsidRPr="00180B70">
              <w:rPr>
                <w:b/>
                <w:bCs/>
              </w:rPr>
              <w:t>II. Tiesību akta projekta ietekme uz sabiedrību</w:t>
            </w:r>
          </w:p>
        </w:tc>
      </w:tr>
      <w:tr w:rsidR="00180B70" w:rsidRPr="00180B70" w:rsidTr="00180B70">
        <w:trPr>
          <w:trHeight w:val="467"/>
        </w:trPr>
        <w:tc>
          <w:tcPr>
            <w:tcW w:w="9895" w:type="dxa"/>
          </w:tcPr>
          <w:p w:rsidR="00180B70" w:rsidRPr="00180B70" w:rsidRDefault="00180B70" w:rsidP="00180B70">
            <w:pPr>
              <w:ind w:left="147"/>
              <w:jc w:val="center"/>
              <w:rPr>
                <w:rFonts w:eastAsiaTheme="minorHAnsi" w:cstheme="minorBidi"/>
                <w:iCs/>
                <w:sz w:val="22"/>
                <w:szCs w:val="22"/>
                <w:lang w:eastAsia="en-US"/>
              </w:rPr>
            </w:pPr>
            <w:r w:rsidRPr="00180B70">
              <w:rPr>
                <w:rFonts w:eastAsiaTheme="minorHAnsi" w:cstheme="minorBidi"/>
                <w:iCs/>
                <w:sz w:val="22"/>
                <w:szCs w:val="22"/>
                <w:lang w:eastAsia="en-US"/>
              </w:rPr>
              <w:t>Projekts nerada ietekmi uz sabiedrību, jo nemaina spēkā esošo tiesisko regulējumu pēc būtības.</w:t>
            </w:r>
          </w:p>
          <w:p w:rsidR="00180B70" w:rsidRPr="00180B70" w:rsidRDefault="00180B70" w:rsidP="00180B70">
            <w:pPr>
              <w:ind w:left="141"/>
              <w:rPr>
                <w:iCs/>
                <w:sz w:val="22"/>
                <w:szCs w:val="22"/>
              </w:rPr>
            </w:pPr>
          </w:p>
        </w:tc>
      </w:tr>
    </w:tbl>
    <w:p w:rsidR="008D3A5D" w:rsidRPr="007C0F2C" w:rsidRDefault="008D3A5D" w:rsidP="00014F75">
      <w:pPr>
        <w:pStyle w:val="naisf"/>
        <w:spacing w:before="0" w:after="0"/>
        <w:ind w:firstLine="0"/>
        <w:rPr>
          <w:sz w:val="28"/>
          <w:szCs w:val="28"/>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453"/>
        <w:gridCol w:w="4903"/>
      </w:tblGrid>
      <w:tr w:rsidR="00DC689C" w:rsidRPr="007C0F2C" w:rsidTr="00170B60">
        <w:tc>
          <w:tcPr>
            <w:tcW w:w="9782" w:type="dxa"/>
            <w:gridSpan w:val="3"/>
            <w:tcBorders>
              <w:top w:val="single" w:sz="4" w:space="0" w:color="auto"/>
            </w:tcBorders>
          </w:tcPr>
          <w:p w:rsidR="00DC689C" w:rsidRPr="007C0F2C" w:rsidRDefault="00DC689C" w:rsidP="0023237B">
            <w:pPr>
              <w:pStyle w:val="naisnod"/>
              <w:spacing w:before="0" w:after="0"/>
              <w:ind w:left="57" w:right="57"/>
            </w:pPr>
            <w:r w:rsidRPr="007C0F2C">
              <w:t>VII. Tiesību akta projekta izpildes nodrošināšana un tās ietekme uz institūcijām</w:t>
            </w:r>
          </w:p>
        </w:tc>
      </w:tr>
      <w:tr w:rsidR="00DC689C" w:rsidRPr="007C0F2C" w:rsidTr="00170B60">
        <w:trPr>
          <w:trHeight w:val="427"/>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1.</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4903" w:type="dxa"/>
          </w:tcPr>
          <w:p w:rsidR="00DC689C" w:rsidRPr="007C0F2C" w:rsidRDefault="00BD6153" w:rsidP="00305100">
            <w:pPr>
              <w:pStyle w:val="naisnod"/>
              <w:spacing w:before="0" w:after="0"/>
              <w:ind w:left="57" w:right="57"/>
              <w:jc w:val="left"/>
              <w:rPr>
                <w:b w:val="0"/>
                <w:sz w:val="22"/>
                <w:szCs w:val="22"/>
              </w:rPr>
            </w:pPr>
            <w:r w:rsidRPr="00BD6153">
              <w:rPr>
                <w:b w:val="0"/>
                <w:iCs/>
                <w:sz w:val="22"/>
                <w:szCs w:val="22"/>
              </w:rPr>
              <w:t>Valsts budžeta iestādes un valsts aģentūras.</w:t>
            </w:r>
          </w:p>
        </w:tc>
      </w:tr>
      <w:tr w:rsidR="00DC689C" w:rsidRPr="007C0F2C" w:rsidTr="00170B60">
        <w:trPr>
          <w:trHeight w:val="46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2.</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25"/>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3.</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Jaunu institūciju izveide</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80"/>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4.</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likvidācija</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0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5.</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reorganizācija</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7C6B17">
        <w:trPr>
          <w:trHeight w:val="294"/>
        </w:trPr>
        <w:tc>
          <w:tcPr>
            <w:tcW w:w="426" w:type="dxa"/>
          </w:tcPr>
          <w:p w:rsidR="00DC689C" w:rsidRPr="007C0F2C" w:rsidRDefault="00DC689C" w:rsidP="0023237B">
            <w:pPr>
              <w:pStyle w:val="naiskr"/>
              <w:spacing w:before="0" w:after="0"/>
              <w:ind w:left="57" w:right="57"/>
              <w:rPr>
                <w:sz w:val="22"/>
                <w:szCs w:val="22"/>
              </w:rPr>
            </w:pPr>
            <w:r>
              <w:rPr>
                <w:sz w:val="22"/>
                <w:szCs w:val="22"/>
              </w:rPr>
              <w:t>6</w:t>
            </w:r>
            <w:r w:rsidRPr="007C0F2C">
              <w:rPr>
                <w:sz w:val="22"/>
                <w:szCs w:val="22"/>
              </w:rPr>
              <w:t>.</w:t>
            </w:r>
          </w:p>
        </w:tc>
        <w:tc>
          <w:tcPr>
            <w:tcW w:w="4453" w:type="dxa"/>
          </w:tcPr>
          <w:p w:rsidR="00DC689C" w:rsidRPr="007C0F2C" w:rsidRDefault="00DC689C" w:rsidP="0023237B">
            <w:pPr>
              <w:pStyle w:val="naiskr"/>
              <w:spacing w:before="0" w:after="0"/>
              <w:ind w:left="57" w:right="57"/>
              <w:rPr>
                <w:sz w:val="22"/>
                <w:szCs w:val="22"/>
              </w:rPr>
            </w:pPr>
            <w:r w:rsidRPr="007C0F2C">
              <w:rPr>
                <w:sz w:val="22"/>
                <w:szCs w:val="22"/>
              </w:rPr>
              <w:t>Cita informācija</w:t>
            </w:r>
          </w:p>
        </w:tc>
        <w:tc>
          <w:tcPr>
            <w:tcW w:w="4903" w:type="dxa"/>
          </w:tcPr>
          <w:p w:rsidR="00DC689C" w:rsidRPr="007C0F2C" w:rsidRDefault="00014F75" w:rsidP="0023237B">
            <w:pPr>
              <w:pStyle w:val="naiskr"/>
              <w:spacing w:before="0" w:after="0"/>
              <w:ind w:left="57" w:right="57"/>
              <w:rPr>
                <w:sz w:val="22"/>
                <w:szCs w:val="22"/>
              </w:rPr>
            </w:pPr>
            <w:r>
              <w:rPr>
                <w:sz w:val="22"/>
                <w:szCs w:val="22"/>
              </w:rPr>
              <w:t>Nav.</w:t>
            </w:r>
          </w:p>
        </w:tc>
      </w:tr>
    </w:tbl>
    <w:p w:rsidR="00DC689C" w:rsidRPr="007C0F2C" w:rsidRDefault="00DC689C" w:rsidP="00DC689C">
      <w:pPr>
        <w:pStyle w:val="naisf"/>
        <w:tabs>
          <w:tab w:val="left" w:pos="5760"/>
        </w:tabs>
        <w:spacing w:before="0" w:after="0"/>
        <w:ind w:firstLine="720"/>
        <w:rPr>
          <w:sz w:val="28"/>
          <w:szCs w:val="28"/>
        </w:rPr>
      </w:pPr>
    </w:p>
    <w:p w:rsidR="00DC689C" w:rsidRPr="00E046C1" w:rsidRDefault="00014F75" w:rsidP="00014F75">
      <w:pPr>
        <w:pStyle w:val="naisf"/>
        <w:tabs>
          <w:tab w:val="left" w:pos="5760"/>
        </w:tabs>
        <w:spacing w:before="0" w:after="0"/>
        <w:ind w:firstLine="0"/>
        <w:rPr>
          <w:i/>
        </w:rPr>
      </w:pPr>
      <w:r w:rsidRPr="00E046C1">
        <w:rPr>
          <w:i/>
        </w:rPr>
        <w:t xml:space="preserve">Anotācijas </w:t>
      </w:r>
      <w:r w:rsidR="007578EB" w:rsidRPr="00E046C1">
        <w:rPr>
          <w:i/>
        </w:rPr>
        <w:t xml:space="preserve">III, </w:t>
      </w:r>
      <w:r w:rsidRPr="00E046C1">
        <w:rPr>
          <w:i/>
        </w:rPr>
        <w:t>IV, V un VI  sadaļa –  noteikumu projekts šīs jomas neskar.</w:t>
      </w:r>
    </w:p>
    <w:p w:rsidR="00AE45A1" w:rsidRPr="00AE45A1" w:rsidRDefault="00AE45A1" w:rsidP="00AE45A1"/>
    <w:p w:rsidR="008E4D69" w:rsidRPr="008D3A5D" w:rsidRDefault="008E4D69" w:rsidP="00AE45A1">
      <w:pPr>
        <w:rPr>
          <w:sz w:val="28"/>
          <w:szCs w:val="28"/>
        </w:rPr>
      </w:pPr>
    </w:p>
    <w:p w:rsidR="008E4D69" w:rsidRPr="005A0CC6" w:rsidRDefault="00AE45A1" w:rsidP="00AE45A1">
      <w:pPr>
        <w:rPr>
          <w:sz w:val="28"/>
          <w:szCs w:val="28"/>
        </w:rPr>
      </w:pPr>
      <w:r w:rsidRPr="008D3A5D">
        <w:rPr>
          <w:sz w:val="28"/>
          <w:szCs w:val="28"/>
        </w:rPr>
        <w:t xml:space="preserve">Finanšu ministrs </w:t>
      </w:r>
      <w:r w:rsidRPr="008D3A5D">
        <w:rPr>
          <w:sz w:val="28"/>
          <w:szCs w:val="28"/>
        </w:rPr>
        <w:tab/>
        <w:t xml:space="preserve">  </w:t>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008D3A5D" w:rsidRPr="008D3A5D">
        <w:rPr>
          <w:sz w:val="28"/>
          <w:szCs w:val="28"/>
        </w:rPr>
        <w:tab/>
      </w:r>
      <w:r w:rsidR="008D3A5D" w:rsidRPr="008D3A5D">
        <w:rPr>
          <w:sz w:val="28"/>
          <w:szCs w:val="28"/>
        </w:rPr>
        <w:tab/>
      </w:r>
      <w:r w:rsidR="005A0CC6">
        <w:rPr>
          <w:sz w:val="28"/>
          <w:szCs w:val="28"/>
        </w:rPr>
        <w:t>A.Vilks</w:t>
      </w:r>
    </w:p>
    <w:p w:rsidR="00AE45A1" w:rsidRDefault="00AE45A1" w:rsidP="00AE45A1"/>
    <w:p w:rsidR="007578EB" w:rsidRDefault="007578EB" w:rsidP="00AE45A1">
      <w:bookmarkStart w:id="0" w:name="_GoBack"/>
    </w:p>
    <w:bookmarkEnd w:id="0"/>
    <w:p w:rsidR="00170B60" w:rsidRDefault="00170B60" w:rsidP="00AE45A1"/>
    <w:p w:rsidR="00AE45A1" w:rsidRDefault="00AE45A1" w:rsidP="00AE45A1"/>
    <w:p w:rsidR="007C7302" w:rsidRDefault="007C7302" w:rsidP="00AE45A1"/>
    <w:p w:rsidR="007C7302" w:rsidRPr="007C7302" w:rsidRDefault="007C7302" w:rsidP="00AE45A1">
      <w:pPr>
        <w:rPr>
          <w:sz w:val="20"/>
          <w:szCs w:val="20"/>
        </w:rPr>
      </w:pPr>
      <w:r>
        <w:rPr>
          <w:sz w:val="20"/>
          <w:szCs w:val="20"/>
        </w:rPr>
        <w:t>09.08.2013 9:</w:t>
      </w:r>
      <w:r w:rsidRPr="007C7302">
        <w:rPr>
          <w:sz w:val="20"/>
          <w:szCs w:val="20"/>
        </w:rPr>
        <w:t>40</w:t>
      </w:r>
    </w:p>
    <w:p w:rsidR="00AE45A1" w:rsidRPr="008E4D69" w:rsidRDefault="00AE45A1" w:rsidP="00AE45A1">
      <w:pPr>
        <w:rPr>
          <w:sz w:val="20"/>
          <w:szCs w:val="20"/>
        </w:rPr>
      </w:pPr>
      <w:r w:rsidRPr="008E4D69">
        <w:rPr>
          <w:sz w:val="20"/>
          <w:szCs w:val="20"/>
        </w:rPr>
        <w:fldChar w:fldCharType="begin"/>
      </w:r>
      <w:r w:rsidRPr="008E4D69">
        <w:rPr>
          <w:sz w:val="20"/>
          <w:szCs w:val="20"/>
        </w:rPr>
        <w:instrText xml:space="preserve"> NUMWORDS   \* MERGEFORMAT </w:instrText>
      </w:r>
      <w:r w:rsidRPr="008E4D69">
        <w:rPr>
          <w:sz w:val="20"/>
          <w:szCs w:val="20"/>
        </w:rPr>
        <w:fldChar w:fldCharType="separate"/>
      </w:r>
      <w:r w:rsidR="007C7302">
        <w:rPr>
          <w:noProof/>
          <w:sz w:val="20"/>
          <w:szCs w:val="20"/>
        </w:rPr>
        <w:t>488</w:t>
      </w:r>
      <w:r w:rsidRPr="008E4D69">
        <w:rPr>
          <w:sz w:val="20"/>
          <w:szCs w:val="20"/>
        </w:rPr>
        <w:fldChar w:fldCharType="end"/>
      </w:r>
    </w:p>
    <w:p w:rsidR="00AE45A1" w:rsidRPr="008E4D69" w:rsidRDefault="007234AF" w:rsidP="00AE45A1">
      <w:pPr>
        <w:rPr>
          <w:sz w:val="20"/>
          <w:szCs w:val="20"/>
        </w:rPr>
      </w:pPr>
      <w:r>
        <w:rPr>
          <w:sz w:val="20"/>
          <w:szCs w:val="20"/>
        </w:rPr>
        <w:t>O.Gutmane</w:t>
      </w:r>
    </w:p>
    <w:p w:rsidR="00FE4B33" w:rsidRPr="008E4D69" w:rsidRDefault="007234AF" w:rsidP="00AE45A1">
      <w:pPr>
        <w:rPr>
          <w:sz w:val="20"/>
          <w:szCs w:val="20"/>
        </w:rPr>
      </w:pPr>
      <w:r>
        <w:rPr>
          <w:sz w:val="20"/>
          <w:szCs w:val="20"/>
        </w:rPr>
        <w:t>67095531</w:t>
      </w:r>
      <w:r w:rsidR="00AE45A1" w:rsidRPr="008E4D69">
        <w:rPr>
          <w:sz w:val="20"/>
          <w:szCs w:val="20"/>
        </w:rPr>
        <w:t xml:space="preserve">, </w:t>
      </w:r>
      <w:r>
        <w:rPr>
          <w:sz w:val="20"/>
          <w:szCs w:val="20"/>
        </w:rPr>
        <w:t>olga.gutmane</w:t>
      </w:r>
      <w:r w:rsidR="00AE45A1" w:rsidRPr="008E4D69">
        <w:rPr>
          <w:sz w:val="20"/>
          <w:szCs w:val="20"/>
        </w:rPr>
        <w:t>@fm.gov.lv</w:t>
      </w:r>
    </w:p>
    <w:sectPr w:rsidR="00FE4B33" w:rsidRPr="008E4D69" w:rsidSect="008D3A5D">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3D" w:rsidRDefault="00AC1B3D" w:rsidP="00307F91">
      <w:r>
        <w:separator/>
      </w:r>
    </w:p>
  </w:endnote>
  <w:endnote w:type="continuationSeparator" w:id="0">
    <w:p w:rsidR="00AC1B3D" w:rsidRDefault="00AC1B3D"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A2" w:rsidRPr="008D3A5D" w:rsidRDefault="00523BA2" w:rsidP="008D3A5D">
    <w:pPr>
      <w:pStyle w:val="Footer"/>
      <w:jc w:val="both"/>
      <w:rPr>
        <w:sz w:val="20"/>
        <w:szCs w:val="20"/>
      </w:rPr>
    </w:pPr>
    <w:r w:rsidRPr="008D3A5D">
      <w:rPr>
        <w:sz w:val="20"/>
        <w:szCs w:val="20"/>
      </w:rPr>
      <w:fldChar w:fldCharType="begin"/>
    </w:r>
    <w:r w:rsidRPr="008D3A5D">
      <w:rPr>
        <w:sz w:val="20"/>
        <w:szCs w:val="20"/>
      </w:rPr>
      <w:instrText xml:space="preserve"> FILENAME   \* MERGEFORMAT </w:instrText>
    </w:r>
    <w:r w:rsidRPr="008D3A5D">
      <w:rPr>
        <w:sz w:val="20"/>
        <w:szCs w:val="20"/>
      </w:rPr>
      <w:fldChar w:fldCharType="separate"/>
    </w:r>
    <w:r w:rsidR="0085144B">
      <w:rPr>
        <w:noProof/>
        <w:sz w:val="20"/>
        <w:szCs w:val="20"/>
      </w:rPr>
      <w:t>FMAnot_070513_Nr 333_euro</w:t>
    </w:r>
    <w:r w:rsidRPr="008D3A5D">
      <w:rPr>
        <w:sz w:val="20"/>
        <w:szCs w:val="20"/>
      </w:rPr>
      <w:fldChar w:fldCharType="end"/>
    </w:r>
    <w:r w:rsidRPr="008D3A5D">
      <w:rPr>
        <w:sz w:val="20"/>
        <w:szCs w:val="20"/>
      </w:rPr>
      <w:t xml:space="preserve">; </w:t>
    </w:r>
    <w:r w:rsidR="00BD6153" w:rsidRPr="00BD6153">
      <w:rPr>
        <w:sz w:val="20"/>
        <w:szCs w:val="20"/>
      </w:rPr>
      <w:t>Ministru kabineta noteikumu projekta  „Grozījumi Ministru kabineta 2011. gada 3.maija noteikumos Nr.333 „Kārtība, kādā plānojami un uzskaitāmi ieņēmumi no maksas pakalpojumiem un ar šo pakalpojumu sniegšanu saistītie izdevumi, kā arī maksas pakalpojumu izcenojumu noteikšanas metodika un izcenojumu apstiprināšanas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A2" w:rsidRPr="00307F91" w:rsidRDefault="00523BA2" w:rsidP="00307F91">
    <w:pPr>
      <w:pStyle w:val="Footer"/>
      <w:tabs>
        <w:tab w:val="clear" w:pos="8306"/>
      </w:tabs>
      <w:jc w:val="both"/>
      <w:rPr>
        <w:sz w:val="20"/>
        <w:szCs w:val="20"/>
      </w:rPr>
    </w:pPr>
    <w:r w:rsidRPr="00307F91">
      <w:rPr>
        <w:sz w:val="20"/>
        <w:szCs w:val="20"/>
      </w:rPr>
      <w:fldChar w:fldCharType="begin"/>
    </w:r>
    <w:r w:rsidRPr="00307F91">
      <w:rPr>
        <w:sz w:val="20"/>
        <w:szCs w:val="20"/>
      </w:rPr>
      <w:instrText xml:space="preserve"> FILENAME   \* MERGEFORMAT </w:instrText>
    </w:r>
    <w:r w:rsidRPr="00307F91">
      <w:rPr>
        <w:sz w:val="20"/>
        <w:szCs w:val="20"/>
      </w:rPr>
      <w:fldChar w:fldCharType="separate"/>
    </w:r>
    <w:r w:rsidR="0085144B">
      <w:rPr>
        <w:noProof/>
        <w:sz w:val="20"/>
        <w:szCs w:val="20"/>
      </w:rPr>
      <w:t>FMAnot_070513_Nr 333_euro</w:t>
    </w:r>
    <w:r w:rsidRPr="00307F91">
      <w:rPr>
        <w:sz w:val="20"/>
        <w:szCs w:val="20"/>
      </w:rPr>
      <w:fldChar w:fldCharType="end"/>
    </w:r>
    <w:r w:rsidRPr="00307F91">
      <w:rPr>
        <w:sz w:val="20"/>
        <w:szCs w:val="20"/>
      </w:rPr>
      <w:t xml:space="preserve">; </w:t>
    </w:r>
    <w:r w:rsidR="00BD6153" w:rsidRPr="00BD6153">
      <w:rPr>
        <w:sz w:val="20"/>
        <w:szCs w:val="20"/>
      </w:rPr>
      <w:t>Ministru kabineta noteikumu projekta  „Grozījumi Ministru kabineta 2011. gada 3.maija noteikumos Nr.333 „Kārtība, kādā plānojami un uzskaitāmi ieņēmumi no maksas pakalpojumiem un ar šo pakalpojumu sniegšanu saistītie izdevumi, kā arī maksas pakalpojumu izcenojumu noteikšanas metodika un izcenojumu apstiprināšanas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3D" w:rsidRDefault="00AC1B3D" w:rsidP="00307F91">
      <w:r>
        <w:separator/>
      </w:r>
    </w:p>
  </w:footnote>
  <w:footnote w:type="continuationSeparator" w:id="0">
    <w:p w:rsidR="00AC1B3D" w:rsidRDefault="00AC1B3D"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A2" w:rsidRDefault="00523BA2"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3BA2" w:rsidRDefault="00523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A2" w:rsidRDefault="00523BA2"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84F">
      <w:rPr>
        <w:rStyle w:val="PageNumber"/>
        <w:noProof/>
      </w:rPr>
      <w:t>2</w:t>
    </w:r>
    <w:r>
      <w:rPr>
        <w:rStyle w:val="PageNumber"/>
      </w:rPr>
      <w:fldChar w:fldCharType="end"/>
    </w:r>
  </w:p>
  <w:p w:rsidR="00523BA2" w:rsidRDefault="0052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C"/>
    <w:rsid w:val="00014F75"/>
    <w:rsid w:val="000334A9"/>
    <w:rsid w:val="000664F5"/>
    <w:rsid w:val="00141315"/>
    <w:rsid w:val="00170B60"/>
    <w:rsid w:val="00180B70"/>
    <w:rsid w:val="0023237B"/>
    <w:rsid w:val="00237466"/>
    <w:rsid w:val="0025068D"/>
    <w:rsid w:val="00250E11"/>
    <w:rsid w:val="002D16F8"/>
    <w:rsid w:val="00305100"/>
    <w:rsid w:val="00307F91"/>
    <w:rsid w:val="003A5637"/>
    <w:rsid w:val="003E0DC0"/>
    <w:rsid w:val="004B284F"/>
    <w:rsid w:val="00523BA2"/>
    <w:rsid w:val="005A0CC6"/>
    <w:rsid w:val="005A5EF3"/>
    <w:rsid w:val="005B698F"/>
    <w:rsid w:val="00620899"/>
    <w:rsid w:val="007234AF"/>
    <w:rsid w:val="007578EB"/>
    <w:rsid w:val="007C6B17"/>
    <w:rsid w:val="007C7302"/>
    <w:rsid w:val="007D79A5"/>
    <w:rsid w:val="007F0AF9"/>
    <w:rsid w:val="0085144B"/>
    <w:rsid w:val="008533AC"/>
    <w:rsid w:val="00890976"/>
    <w:rsid w:val="008C5531"/>
    <w:rsid w:val="008D3A5D"/>
    <w:rsid w:val="008E4D69"/>
    <w:rsid w:val="008F26D3"/>
    <w:rsid w:val="00920CE6"/>
    <w:rsid w:val="00AC1B3D"/>
    <w:rsid w:val="00AD314A"/>
    <w:rsid w:val="00AE45A1"/>
    <w:rsid w:val="00B24504"/>
    <w:rsid w:val="00B9570B"/>
    <w:rsid w:val="00BD30B4"/>
    <w:rsid w:val="00BD6153"/>
    <w:rsid w:val="00BF31D9"/>
    <w:rsid w:val="00C1051F"/>
    <w:rsid w:val="00C12FF4"/>
    <w:rsid w:val="00CF1926"/>
    <w:rsid w:val="00DC689C"/>
    <w:rsid w:val="00E046C1"/>
    <w:rsid w:val="00E53471"/>
    <w:rsid w:val="00E57864"/>
    <w:rsid w:val="00ED18B6"/>
    <w:rsid w:val="00FE4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0B73A4A-0457-4CAB-A5C0-B5293BB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23BA2"/>
    <w:rPr>
      <w:sz w:val="16"/>
      <w:szCs w:val="16"/>
    </w:rPr>
  </w:style>
  <w:style w:type="paragraph" w:styleId="CommentText">
    <w:name w:val="annotation text"/>
    <w:basedOn w:val="Normal"/>
    <w:link w:val="CommentTextChar"/>
    <w:uiPriority w:val="99"/>
    <w:semiHidden/>
    <w:unhideWhenUsed/>
    <w:rsid w:val="00523BA2"/>
    <w:rPr>
      <w:sz w:val="20"/>
      <w:szCs w:val="20"/>
    </w:rPr>
  </w:style>
  <w:style w:type="character" w:customStyle="1" w:styleId="CommentTextChar">
    <w:name w:val="Comment Text Char"/>
    <w:basedOn w:val="DefaultParagraphFont"/>
    <w:link w:val="CommentText"/>
    <w:uiPriority w:val="99"/>
    <w:semiHidden/>
    <w:rsid w:val="00523B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3BA2"/>
    <w:rPr>
      <w:b/>
      <w:bCs/>
    </w:rPr>
  </w:style>
  <w:style w:type="character" w:customStyle="1" w:styleId="CommentSubjectChar">
    <w:name w:val="Comment Subject Char"/>
    <w:basedOn w:val="CommentTextChar"/>
    <w:link w:val="CommentSubject"/>
    <w:uiPriority w:val="99"/>
    <w:semiHidden/>
    <w:rsid w:val="00523BA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2495</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„Grozījumi Ministru kabineta 2011. gada 3.maija noteikumos Nr.333 „Kārtība, kādā plānojami un uzskaitāmi ieņēmumi no maksas pakalpojumiem un ar šo pakalpojumu sniegšanu saistītie izdevumi, kā arī maksas pakalpojumu izceno</vt:lpstr>
    </vt:vector>
  </TitlesOfParts>
  <Company>Finanšu ministrija</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2011. gada 3.maija noteikumos Nr.333 „Kārtība, kādā plānojami un uzskaitāmi ieņēmumi no maksas pakalpojumiem un ar šo pakalpojumu sniegšanu saistītie izdevumi, kā arī maksas pakalpojumu izceno</dc:title>
  <dc:subject>Anotācija</dc:subject>
  <dc:creator>Olga Gutmane</dc:creator>
  <cp:keywords/>
  <dc:description>olga.gutmane@fm.gov.lv, 67095531</dc:description>
  <cp:lastModifiedBy>Sprūģe Veronika</cp:lastModifiedBy>
  <cp:revision>8</cp:revision>
  <cp:lastPrinted>2013-08-09T05:59:00Z</cp:lastPrinted>
  <dcterms:created xsi:type="dcterms:W3CDTF">2013-08-08T08:55:00Z</dcterms:created>
  <dcterms:modified xsi:type="dcterms:W3CDTF">2013-08-15T12:43:00Z</dcterms:modified>
</cp:coreProperties>
</file>