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EC6" w:rsidRPr="00B420D2" w:rsidRDefault="00F83BA3" w:rsidP="00B420D2">
      <w:pPr>
        <w:pStyle w:val="naisf"/>
        <w:spacing w:before="0" w:beforeAutospacing="0" w:after="0" w:afterAutospacing="0"/>
        <w:jc w:val="center"/>
        <w:rPr>
          <w:szCs w:val="28"/>
          <w:lang w:val="lv-LV"/>
        </w:rPr>
      </w:pPr>
      <w:bookmarkStart w:id="0" w:name="OLE_LINK3"/>
      <w:bookmarkStart w:id="1" w:name="OLE_LINK4"/>
      <w:bookmarkStart w:id="2" w:name="OLE_LINK1"/>
      <w:bookmarkStart w:id="3" w:name="OLE_LINK2"/>
      <w:r w:rsidRPr="00B420D2">
        <w:rPr>
          <w:b/>
          <w:szCs w:val="28"/>
          <w:lang w:val="lv-LV"/>
        </w:rPr>
        <w:t>Ministru kabineta</w:t>
      </w:r>
      <w:r w:rsidR="00BA6631" w:rsidRPr="00B420D2">
        <w:rPr>
          <w:b/>
          <w:szCs w:val="28"/>
          <w:lang w:val="lv-LV"/>
        </w:rPr>
        <w:t xml:space="preserve"> noteikumu</w:t>
      </w:r>
      <w:r w:rsidRPr="00B420D2">
        <w:rPr>
          <w:b/>
          <w:szCs w:val="28"/>
          <w:lang w:val="lv-LV"/>
        </w:rPr>
        <w:t xml:space="preserve"> projekta</w:t>
      </w:r>
      <w:r w:rsidRPr="00B420D2">
        <w:rPr>
          <w:szCs w:val="28"/>
          <w:lang w:val="lv-LV"/>
        </w:rPr>
        <w:t xml:space="preserve"> </w:t>
      </w:r>
    </w:p>
    <w:p w:rsidR="00332EC6" w:rsidRPr="00B420D2" w:rsidRDefault="00B373CF" w:rsidP="00B420D2">
      <w:pPr>
        <w:pStyle w:val="naisf"/>
        <w:spacing w:before="0" w:beforeAutospacing="0" w:after="0" w:afterAutospacing="0"/>
        <w:jc w:val="center"/>
        <w:rPr>
          <w:b/>
          <w:sz w:val="28"/>
          <w:szCs w:val="28"/>
          <w:lang w:val="lv-LV"/>
        </w:rPr>
      </w:pPr>
      <w:r w:rsidRPr="00B420D2">
        <w:rPr>
          <w:b/>
          <w:szCs w:val="28"/>
          <w:lang w:val="lv-LV"/>
        </w:rPr>
        <w:t xml:space="preserve">„Grozījumi Ministru kabineta 2010.gada 10.augusta noteikumos Nr.740 „Kārtība, kādā ziņo </w:t>
      </w:r>
      <w:r w:rsidR="002735A9">
        <w:rPr>
          <w:b/>
          <w:szCs w:val="28"/>
          <w:lang w:val="lv-LV"/>
        </w:rPr>
        <w:t xml:space="preserve">par </w:t>
      </w:r>
      <w:r w:rsidRPr="00B420D2">
        <w:rPr>
          <w:b/>
          <w:szCs w:val="28"/>
          <w:lang w:val="lv-LV"/>
        </w:rPr>
        <w:t>Eiropas Savienības struktūrfondu un Kohēzijas fonda ieviešanā konstatētajām neatbilstībām, pieņem lēmumu par piešķirtā finansējuma izlietojumu un atgūst neatbilstoši veiktos izdevumus””</w:t>
      </w:r>
      <w:r w:rsidR="00332EC6" w:rsidRPr="00B420D2">
        <w:rPr>
          <w:b/>
          <w:szCs w:val="28"/>
          <w:lang w:val="lv-LV"/>
        </w:rPr>
        <w:t xml:space="preserve"> sākotnējās ietekmes novērtējuma ziņojums</w:t>
      </w:r>
      <w:r w:rsidR="003971A5" w:rsidRPr="00B420D2">
        <w:rPr>
          <w:b/>
          <w:szCs w:val="28"/>
          <w:lang w:val="lv-LV"/>
        </w:rPr>
        <w:t xml:space="preserve"> </w:t>
      </w:r>
      <w:r w:rsidR="00332EC6" w:rsidRPr="00B420D2">
        <w:rPr>
          <w:b/>
          <w:szCs w:val="28"/>
          <w:lang w:val="lv-LV"/>
        </w:rPr>
        <w:t>(anotācija)</w:t>
      </w:r>
      <w:bookmarkEnd w:id="0"/>
      <w:bookmarkEnd w:id="1"/>
    </w:p>
    <w:p w:rsidR="00F83BA3" w:rsidRPr="00B420D2" w:rsidRDefault="00F83BA3" w:rsidP="00B420D2">
      <w:pPr>
        <w:pStyle w:val="naisf"/>
        <w:spacing w:before="0" w:beforeAutospacing="0" w:after="0" w:afterAutospacing="0"/>
        <w:jc w:val="center"/>
        <w:rPr>
          <w:lang w:val="lv-LV"/>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5"/>
        <w:gridCol w:w="6181"/>
      </w:tblGrid>
      <w:tr w:rsidR="004E415F" w:rsidRPr="007F7AC9" w:rsidTr="00E06F12">
        <w:tc>
          <w:tcPr>
            <w:tcW w:w="9356" w:type="dxa"/>
            <w:gridSpan w:val="2"/>
          </w:tcPr>
          <w:bookmarkEnd w:id="2"/>
          <w:bookmarkEnd w:id="3"/>
          <w:p w:rsidR="004E415F" w:rsidRPr="00B420D2" w:rsidRDefault="00844541" w:rsidP="00B420D2">
            <w:pPr>
              <w:pStyle w:val="Heading1"/>
              <w:keepNext w:val="0"/>
              <w:widowControl w:val="0"/>
              <w:ind w:left="360"/>
              <w:rPr>
                <w:sz w:val="24"/>
              </w:rPr>
            </w:pPr>
            <w:r w:rsidRPr="00B420D2">
              <w:rPr>
                <w:sz w:val="24"/>
              </w:rPr>
              <w:t xml:space="preserve">I. </w:t>
            </w:r>
            <w:r w:rsidR="004E415F" w:rsidRPr="00B420D2">
              <w:rPr>
                <w:sz w:val="24"/>
              </w:rPr>
              <w:t>Tiesību akta projekta izstrādes nepieciešamība</w:t>
            </w:r>
          </w:p>
          <w:p w:rsidR="005E440E" w:rsidRPr="00B420D2" w:rsidRDefault="005E440E" w:rsidP="00B420D2">
            <w:pPr>
              <w:rPr>
                <w:lang w:val="lv-LV"/>
              </w:rPr>
            </w:pPr>
          </w:p>
        </w:tc>
      </w:tr>
      <w:tr w:rsidR="004E415F" w:rsidRPr="007F7AC9" w:rsidTr="00E06F12">
        <w:trPr>
          <w:trHeight w:val="3707"/>
        </w:trPr>
        <w:tc>
          <w:tcPr>
            <w:tcW w:w="3175" w:type="dxa"/>
          </w:tcPr>
          <w:p w:rsidR="004E415F" w:rsidRPr="00B420D2" w:rsidRDefault="004E415F" w:rsidP="00B420D2">
            <w:pPr>
              <w:jc w:val="both"/>
              <w:rPr>
                <w:lang w:val="lv-LV"/>
              </w:rPr>
            </w:pPr>
            <w:r w:rsidRPr="00B420D2">
              <w:rPr>
                <w:lang w:val="lv-LV"/>
              </w:rPr>
              <w:t>1. Pamatojums</w:t>
            </w:r>
          </w:p>
        </w:tc>
        <w:tc>
          <w:tcPr>
            <w:tcW w:w="6181" w:type="dxa"/>
          </w:tcPr>
          <w:p w:rsidR="00B373CF" w:rsidRPr="00B420D2" w:rsidRDefault="00AB5F38" w:rsidP="00B420D2">
            <w:pPr>
              <w:jc w:val="both"/>
              <w:rPr>
                <w:szCs w:val="26"/>
                <w:lang w:val="lv-LV"/>
              </w:rPr>
            </w:pPr>
            <w:r w:rsidRPr="00B420D2">
              <w:rPr>
                <w:szCs w:val="26"/>
                <w:lang w:val="lv-LV"/>
              </w:rPr>
              <w:t xml:space="preserve">Ministru kabineta noteikumu projekts </w:t>
            </w:r>
            <w:r w:rsidRPr="00B420D2">
              <w:rPr>
                <w:szCs w:val="28"/>
                <w:lang w:val="lv-LV"/>
              </w:rPr>
              <w:t>„Grozījumi Ministru kabineta 2010.gada 10.augusta noteikumos Nr.740 „Kārtība, kādā ziņo</w:t>
            </w:r>
            <w:r w:rsidR="00EE5AD0" w:rsidRPr="00B420D2">
              <w:rPr>
                <w:szCs w:val="28"/>
                <w:lang w:val="lv-LV"/>
              </w:rPr>
              <w:t xml:space="preserve"> par</w:t>
            </w:r>
            <w:r w:rsidRPr="00B420D2">
              <w:rPr>
                <w:szCs w:val="28"/>
                <w:lang w:val="lv-LV"/>
              </w:rPr>
              <w:t xml:space="preserve"> Eiropas Savienības struktūrfondu un Kohēzijas fonda ieviešanā konstatētajām neatbilstībām, pieņem lēmumu par piešķirtā finansējuma izlietojumu un atgūst neatbilstoši veiktos izdevumus”” (turpmāk – MK noteikumu projekts) ir izstrādāts, lai pārņemtu</w:t>
            </w:r>
            <w:r w:rsidRPr="00B420D2">
              <w:rPr>
                <w:b/>
                <w:szCs w:val="28"/>
                <w:lang w:val="lv-LV"/>
              </w:rPr>
              <w:t xml:space="preserve"> </w:t>
            </w:r>
            <w:r w:rsidR="00C33260" w:rsidRPr="00B420D2">
              <w:rPr>
                <w:szCs w:val="26"/>
                <w:lang w:val="lv-LV"/>
              </w:rPr>
              <w:t xml:space="preserve">Eiropas Parlamenta un Padomes 2009.gada 18.jūnija direktīvas 2009/52/EK, ar ko nosaka minimālos standartus sankcijām un pasākumiem pret darba devēju, kas nodarbina trešo valstu </w:t>
            </w:r>
            <w:proofErr w:type="spellStart"/>
            <w:r w:rsidR="00C33260" w:rsidRPr="00B420D2">
              <w:rPr>
                <w:szCs w:val="26"/>
                <w:lang w:val="lv-LV"/>
              </w:rPr>
              <w:t>valstspiederīgos</w:t>
            </w:r>
            <w:proofErr w:type="spellEnd"/>
            <w:r w:rsidR="00C33260" w:rsidRPr="00B420D2">
              <w:rPr>
                <w:szCs w:val="26"/>
                <w:lang w:val="lv-LV"/>
              </w:rPr>
              <w:t xml:space="preserve">, kuri dalībvalstīs uzturas nelikumīgi (turpmāk – Direktīva), 7.panta 1.punkta </w:t>
            </w:r>
            <w:r w:rsidRPr="00B420D2">
              <w:rPr>
                <w:szCs w:val="26"/>
                <w:lang w:val="lv-LV"/>
              </w:rPr>
              <w:t>c) apakšpunktā noteiktās prasības.</w:t>
            </w:r>
          </w:p>
          <w:p w:rsidR="00C33260" w:rsidRPr="00B420D2" w:rsidRDefault="00C33260" w:rsidP="00B420D2">
            <w:pPr>
              <w:jc w:val="both"/>
              <w:rPr>
                <w:sz w:val="22"/>
                <w:lang w:val="lv-LV"/>
              </w:rPr>
            </w:pPr>
          </w:p>
          <w:p w:rsidR="005E440E" w:rsidRPr="00B420D2" w:rsidRDefault="00AB5F38" w:rsidP="00B420D2">
            <w:pPr>
              <w:jc w:val="both"/>
              <w:rPr>
                <w:lang w:val="lv-LV"/>
              </w:rPr>
            </w:pPr>
            <w:r w:rsidRPr="00B420D2">
              <w:rPr>
                <w:lang w:val="lv-LV"/>
              </w:rPr>
              <w:t>MK noteikumu izdošanas pamats ir</w:t>
            </w:r>
            <w:r w:rsidR="00AF3290" w:rsidRPr="00B420D2">
              <w:rPr>
                <w:lang w:val="lv-LV"/>
              </w:rPr>
              <w:t xml:space="preserve"> </w:t>
            </w:r>
            <w:r w:rsidR="004175A3" w:rsidRPr="00B420D2">
              <w:rPr>
                <w:lang w:val="lv-LV"/>
              </w:rPr>
              <w:t xml:space="preserve">Eiropas Savienības struktūrfondu un Kohēzijas fonda vadības likuma 18.panta </w:t>
            </w:r>
            <w:r w:rsidR="00B373CF" w:rsidRPr="00B420D2">
              <w:rPr>
                <w:lang w:val="lv-LV"/>
              </w:rPr>
              <w:t>3</w:t>
            </w:r>
            <w:r w:rsidR="004175A3" w:rsidRPr="00B420D2">
              <w:rPr>
                <w:lang w:val="lv-LV"/>
              </w:rPr>
              <w:t>.punkt</w:t>
            </w:r>
            <w:r w:rsidR="008379AE" w:rsidRPr="00B420D2">
              <w:rPr>
                <w:lang w:val="lv-LV"/>
              </w:rPr>
              <w:t>s</w:t>
            </w:r>
          </w:p>
        </w:tc>
      </w:tr>
      <w:tr w:rsidR="004E415F" w:rsidRPr="007F7AC9" w:rsidTr="00E06F12">
        <w:tc>
          <w:tcPr>
            <w:tcW w:w="3175" w:type="dxa"/>
          </w:tcPr>
          <w:p w:rsidR="004E415F" w:rsidRPr="00B420D2" w:rsidRDefault="004E415F" w:rsidP="00B420D2">
            <w:pPr>
              <w:jc w:val="both"/>
              <w:rPr>
                <w:lang w:val="lv-LV"/>
              </w:rPr>
            </w:pPr>
            <w:r w:rsidRPr="00B420D2">
              <w:rPr>
                <w:lang w:val="lv-LV"/>
              </w:rPr>
              <w:t>2</w:t>
            </w:r>
            <w:r w:rsidR="00D71414" w:rsidRPr="00B420D2">
              <w:rPr>
                <w:lang w:val="lv-LV"/>
              </w:rPr>
              <w:t xml:space="preserve">. </w:t>
            </w:r>
            <w:r w:rsidRPr="00B420D2">
              <w:rPr>
                <w:lang w:val="lv-LV"/>
              </w:rPr>
              <w:t xml:space="preserve">Pašreizējā situācija un problēmas </w:t>
            </w:r>
          </w:p>
        </w:tc>
        <w:tc>
          <w:tcPr>
            <w:tcW w:w="6181" w:type="dxa"/>
          </w:tcPr>
          <w:p w:rsidR="004A53D2" w:rsidRPr="005860FF" w:rsidRDefault="00AF3290" w:rsidP="00B420D2">
            <w:pPr>
              <w:ind w:firstLine="403"/>
              <w:jc w:val="both"/>
              <w:rPr>
                <w:szCs w:val="26"/>
                <w:lang w:val="lv-LV"/>
              </w:rPr>
            </w:pPr>
            <w:r w:rsidRPr="00B420D2">
              <w:rPr>
                <w:szCs w:val="26"/>
                <w:lang w:val="lv-LV"/>
              </w:rPr>
              <w:t xml:space="preserve">Lai vērstos pret nelikumīgu imigrāciju, Eiropas Parlaments un Padome ir pieņēmuši Direktīvu, kas paredz aizliegt trešo valstu </w:t>
            </w:r>
            <w:proofErr w:type="spellStart"/>
            <w:r w:rsidRPr="00B420D2">
              <w:rPr>
                <w:szCs w:val="26"/>
                <w:lang w:val="lv-LV"/>
              </w:rPr>
              <w:t>valstspiederīgo</w:t>
            </w:r>
            <w:proofErr w:type="spellEnd"/>
            <w:r w:rsidRPr="00B420D2">
              <w:rPr>
                <w:szCs w:val="26"/>
                <w:lang w:val="lv-LV"/>
              </w:rPr>
              <w:t xml:space="preserve"> nodarbinātību, kas dalībvalstīs uzturas nelikumīgi. Direktīvā ir noteikti kopējie minimālie standarti sankcijām un pasākumiem, kas dalībvalstīs ir piemērojami darba devējiem, kuri pārkāpj minēto aizliegumu. </w:t>
            </w:r>
            <w:r w:rsidR="004A53D2" w:rsidRPr="00B420D2">
              <w:rPr>
                <w:szCs w:val="26"/>
                <w:lang w:val="lv-LV"/>
              </w:rPr>
              <w:t xml:space="preserve">Lai izpildītu Direktīvas galvenās prasības, t.i., noteiktu aizliegumu nodarbināt tādas personas, kuras nav tiesīgas uzturēties Latvijas Republikā, kā arī administratīvos sodus un kriminālsodus par minētā aizlieguma pārkāpumu, Labklājības ministrija ir izstrādājusi likumprojektus par attiecīgiem grozījumiem </w:t>
            </w:r>
            <w:r w:rsidR="004A53D2" w:rsidRPr="005860FF">
              <w:rPr>
                <w:szCs w:val="26"/>
                <w:lang w:val="lv-LV"/>
              </w:rPr>
              <w:t>Darba likumā</w:t>
            </w:r>
            <w:r w:rsidR="00E048A7" w:rsidRPr="005860FF">
              <w:rPr>
                <w:szCs w:val="26"/>
                <w:lang w:val="lv-LV"/>
              </w:rPr>
              <w:t xml:space="preserve"> </w:t>
            </w:r>
            <w:r w:rsidR="00E048A7" w:rsidRPr="007F7AC9">
              <w:rPr>
                <w:b/>
                <w:szCs w:val="26"/>
                <w:lang w:val="lv-LV"/>
              </w:rPr>
              <w:t>(</w:t>
            </w:r>
            <w:r w:rsidR="003E6F29" w:rsidRPr="007F7AC9">
              <w:rPr>
                <w:b/>
                <w:szCs w:val="26"/>
                <w:lang w:val="lv-LV"/>
              </w:rPr>
              <w:t>stāsies spēkā š.g. 20.jūlijā</w:t>
            </w:r>
            <w:r w:rsidR="00254851" w:rsidRPr="007F7AC9">
              <w:rPr>
                <w:b/>
                <w:szCs w:val="26"/>
                <w:lang w:val="lv-LV"/>
              </w:rPr>
              <w:t>)</w:t>
            </w:r>
            <w:r w:rsidR="004A53D2" w:rsidRPr="007F7AC9">
              <w:rPr>
                <w:b/>
                <w:szCs w:val="26"/>
                <w:lang w:val="lv-LV"/>
              </w:rPr>
              <w:t xml:space="preserve">, Latvijas Administratīvo pārkāpumu kodeksā </w:t>
            </w:r>
            <w:r w:rsidR="00E048A7" w:rsidRPr="007F7AC9">
              <w:rPr>
                <w:b/>
                <w:szCs w:val="26"/>
                <w:lang w:val="lv-LV"/>
              </w:rPr>
              <w:t>(</w:t>
            </w:r>
            <w:r w:rsidR="003E6F29" w:rsidRPr="007F7AC9">
              <w:rPr>
                <w:b/>
                <w:szCs w:val="26"/>
                <w:lang w:val="lv-LV"/>
              </w:rPr>
              <w:t>stāsies spēkā š.g. 20.jūlijā</w:t>
            </w:r>
            <w:r w:rsidR="00E048A7" w:rsidRPr="007F7AC9">
              <w:rPr>
                <w:b/>
                <w:szCs w:val="26"/>
                <w:lang w:val="lv-LV"/>
              </w:rPr>
              <w:t xml:space="preserve">) </w:t>
            </w:r>
            <w:r w:rsidR="004A53D2" w:rsidRPr="007F7AC9">
              <w:rPr>
                <w:b/>
                <w:szCs w:val="26"/>
                <w:lang w:val="lv-LV"/>
              </w:rPr>
              <w:t>un Krimināllikumā</w:t>
            </w:r>
            <w:r w:rsidR="00E048A7" w:rsidRPr="007F7AC9">
              <w:rPr>
                <w:b/>
                <w:szCs w:val="26"/>
                <w:lang w:val="lv-LV"/>
              </w:rPr>
              <w:t xml:space="preserve"> (</w:t>
            </w:r>
            <w:r w:rsidR="003E6F29" w:rsidRPr="007F7AC9">
              <w:rPr>
                <w:b/>
                <w:szCs w:val="26"/>
                <w:lang w:val="lv-LV"/>
              </w:rPr>
              <w:t>stāsies spēkā š.g. 13.jūlijā</w:t>
            </w:r>
            <w:r w:rsidR="00E048A7" w:rsidRPr="007F7AC9">
              <w:rPr>
                <w:b/>
                <w:szCs w:val="26"/>
                <w:lang w:val="lv-LV"/>
              </w:rPr>
              <w:t>)</w:t>
            </w:r>
            <w:r w:rsidR="00254851" w:rsidRPr="005860FF">
              <w:rPr>
                <w:szCs w:val="26"/>
                <w:lang w:val="lv-LV"/>
              </w:rPr>
              <w:t>.</w:t>
            </w:r>
          </w:p>
          <w:p w:rsidR="00AF3290" w:rsidRPr="00B420D2" w:rsidRDefault="00AF3290" w:rsidP="00B420D2">
            <w:pPr>
              <w:ind w:firstLine="403"/>
              <w:jc w:val="both"/>
              <w:rPr>
                <w:szCs w:val="26"/>
                <w:lang w:val="lv-LV"/>
              </w:rPr>
            </w:pPr>
            <w:r w:rsidRPr="00B420D2">
              <w:rPr>
                <w:szCs w:val="26"/>
                <w:lang w:val="lv-LV"/>
              </w:rPr>
              <w:t xml:space="preserve">Direktīvas 7.panta 1.punkta </w:t>
            </w:r>
            <w:r w:rsidRPr="002457B2">
              <w:rPr>
                <w:szCs w:val="26"/>
                <w:lang w:val="lv-LV"/>
              </w:rPr>
              <w:t>a) apakšpunkts nosaka, ka dalībvalstis veic vajadzīgos pasākumus, lai nodrošinātu, ka attiecīgā gadījumā darba devējiem var uz laiku līdz pieciem gadiem liegt tiesības uz dažām vai visām priekšrocībām, ko saņem ar valsts starpniecību, atbalstu vai subsīdijām, ietverot dalībvalstu pārvaldītos ES līdzekļus.</w:t>
            </w:r>
            <w:r w:rsidRPr="00B420D2">
              <w:rPr>
                <w:szCs w:val="26"/>
                <w:lang w:val="lv-LV"/>
              </w:rPr>
              <w:t xml:space="preserve"> Savukārt c) apakšpunkts nosaka, ka dalībvalstīm ir jāparedz pasākumi, lai attiecīgā gadījumā darba devējiem varētu likt atmaksāt dažus vai visus valsts piešķirtos maksājumus, atbalstu vai subsīdijas, tostarp dalībvalstu pārvaldītos E</w:t>
            </w:r>
            <w:r w:rsidR="009A7453" w:rsidRPr="00B420D2">
              <w:rPr>
                <w:szCs w:val="26"/>
                <w:lang w:val="lv-LV"/>
              </w:rPr>
              <w:t xml:space="preserve">iropas </w:t>
            </w:r>
            <w:r w:rsidRPr="00B420D2">
              <w:rPr>
                <w:szCs w:val="26"/>
                <w:lang w:val="lv-LV"/>
              </w:rPr>
              <w:t>S</w:t>
            </w:r>
            <w:r w:rsidR="009A7453" w:rsidRPr="00B420D2">
              <w:rPr>
                <w:szCs w:val="26"/>
                <w:lang w:val="lv-LV"/>
              </w:rPr>
              <w:t>avienības</w:t>
            </w:r>
            <w:r w:rsidRPr="00B420D2">
              <w:rPr>
                <w:szCs w:val="26"/>
                <w:lang w:val="lv-LV"/>
              </w:rPr>
              <w:t xml:space="preserve"> līdzekļus, kas darba devējam piešķirti laikā līdz 12 mēnešiem pirms </w:t>
            </w:r>
            <w:r w:rsidRPr="00B420D2">
              <w:rPr>
                <w:szCs w:val="26"/>
                <w:lang w:val="lv-LV"/>
              </w:rPr>
              <w:lastRenderedPageBreak/>
              <w:t>nelikumīgās nodarbinātības fakta konstatācijas. Darba likuma, Krimināllikuma un Latvijas Administratīvo pārkāpumu kodeksa grozījumu saskaņošanas laikā tika panākta vienošanās, ka Direktīvas 7.panta 1.punkta a) un c) apakšpunkta prasības tiks attiecinātas tikai uz ES fondu 2007.-2013.gada un turpmākajos plānošanas periodos pieejamo finansējumu, ņemot vērā tā apmēru un nozīmi Latvijas tautsaimniecības attīstībā.</w:t>
            </w:r>
          </w:p>
          <w:p w:rsidR="004A53D2" w:rsidRPr="00B420D2" w:rsidRDefault="00774409" w:rsidP="00B420D2">
            <w:pPr>
              <w:ind w:firstLine="403"/>
              <w:jc w:val="both"/>
              <w:rPr>
                <w:rStyle w:val="apple-style-span"/>
                <w:color w:val="000000"/>
                <w:szCs w:val="16"/>
                <w:lang w:val="lv-LV"/>
              </w:rPr>
            </w:pPr>
            <w:r w:rsidRPr="00B420D2">
              <w:rPr>
                <w:szCs w:val="26"/>
                <w:lang w:val="lv-LV"/>
              </w:rPr>
              <w:t>Pirmkārt, š</w:t>
            </w:r>
            <w:r w:rsidR="009C2C01" w:rsidRPr="00B420D2">
              <w:rPr>
                <w:szCs w:val="26"/>
                <w:lang w:val="lv-LV"/>
              </w:rPr>
              <w:t xml:space="preserve">obrīd Ministru kabineta 2010.gada 10.augusta noteikumos Nr.740 „Kārtība, kādā ziņo par Eiropas Savienības struktūrfondu un Kohēzijas fonda ieviešanā konstatētajām neatbilstībām, pieņem lēmumu par piešķirtā finansējuma izlietojumu un atgūst neatbilstošos izdevumus” (turpmāk – MK noteikumi Nr.740) kā neatbilstību definē </w:t>
            </w:r>
            <w:r w:rsidR="009C2C01" w:rsidRPr="00B420D2">
              <w:rPr>
                <w:rStyle w:val="apple-style-span"/>
                <w:color w:val="000000"/>
                <w:szCs w:val="16"/>
                <w:lang w:val="lv-LV"/>
              </w:rPr>
              <w:t>jebkuru Latvijas Republikas vai Eiropas Savienības tiesību akta pārkāpums, kas atbilst Padomes 2006.gada 11.jūlija Regulas (EK) Nr.</w:t>
            </w:r>
            <w:r w:rsidR="009C2C01" w:rsidRPr="00B420D2">
              <w:rPr>
                <w:rStyle w:val="apple-converted-space"/>
                <w:color w:val="000000"/>
                <w:szCs w:val="16"/>
                <w:lang w:val="lv-LV"/>
              </w:rPr>
              <w:t> </w:t>
            </w:r>
            <w:hyperlink r:id="rId9" w:tgtFrame="_blank" w:tooltip="Atvērt regulas konsolidēto versiju" w:history="1">
              <w:r w:rsidR="009C2C01" w:rsidRPr="00B420D2">
                <w:rPr>
                  <w:rStyle w:val="Hyperlink"/>
                  <w:color w:val="40407C"/>
                  <w:szCs w:val="16"/>
                  <w:lang w:val="lv-LV"/>
                </w:rPr>
                <w:t>1083/2006</w:t>
              </w:r>
            </w:hyperlink>
            <w:r w:rsidR="009C2C01" w:rsidRPr="00B420D2">
              <w:rPr>
                <w:rStyle w:val="apple-style-span"/>
                <w:color w:val="000000"/>
                <w:szCs w:val="16"/>
                <w:lang w:val="lv-LV"/>
              </w:rPr>
              <w:t>, ar ko paredz vispārīgus noteikumus par Eiropas Reģionālās attīstības fondu, Eiropas Sociālo fondu un Kohēzijas fondu un atceļ Regulu (EK) Nr.</w:t>
            </w:r>
            <w:r w:rsidR="009C2C01" w:rsidRPr="00B420D2">
              <w:rPr>
                <w:rStyle w:val="apple-converted-space"/>
                <w:color w:val="000000"/>
                <w:szCs w:val="16"/>
                <w:lang w:val="lv-LV"/>
              </w:rPr>
              <w:t> </w:t>
            </w:r>
            <w:hyperlink r:id="rId10" w:tgtFrame="_blank" w:tooltip="Atvērt regulu latviešu valodā" w:history="1">
              <w:r w:rsidR="009C2C01" w:rsidRPr="00B420D2">
                <w:rPr>
                  <w:rStyle w:val="Hyperlink"/>
                  <w:color w:val="40407C"/>
                  <w:szCs w:val="16"/>
                  <w:lang w:val="lv-LV"/>
                </w:rPr>
                <w:t>1260/1999</w:t>
              </w:r>
            </w:hyperlink>
            <w:r w:rsidR="009C2C01" w:rsidRPr="00B420D2">
              <w:rPr>
                <w:rStyle w:val="apple-style-span"/>
                <w:color w:val="000000"/>
                <w:szCs w:val="16"/>
                <w:lang w:val="lv-LV"/>
              </w:rPr>
              <w:t xml:space="preserve">, 2.panta 7.punktam. Tā kā trešo valstu </w:t>
            </w:r>
            <w:proofErr w:type="spellStart"/>
            <w:r w:rsidR="009C2C01" w:rsidRPr="00B420D2">
              <w:rPr>
                <w:rStyle w:val="apple-style-span"/>
                <w:color w:val="000000"/>
                <w:szCs w:val="16"/>
                <w:lang w:val="lv-LV"/>
              </w:rPr>
              <w:t>valstspiederīgo</w:t>
            </w:r>
            <w:proofErr w:type="spellEnd"/>
            <w:r w:rsidR="009C2C01" w:rsidRPr="00B420D2">
              <w:rPr>
                <w:rStyle w:val="apple-style-span"/>
                <w:color w:val="000000"/>
                <w:szCs w:val="16"/>
                <w:lang w:val="lv-LV"/>
              </w:rPr>
              <w:t>, kuriem nav tiesību uzturēties Latvijas Republikā, nodarbināšana nav tieši saistīta ar projekta īstenošanu</w:t>
            </w:r>
            <w:r w:rsidRPr="00B420D2">
              <w:rPr>
                <w:rStyle w:val="apple-style-span"/>
                <w:color w:val="000000"/>
                <w:szCs w:val="16"/>
                <w:lang w:val="lv-LV"/>
              </w:rPr>
              <w:t xml:space="preserve"> un līdz ar to neatbilst regulā minētajai neatbilstības definīcijai, MK noteikumos Nr.740 ir nepieciešams noteikt, ka arī Latvijas Administratīvo pārkāpumu kodeksa 189.</w:t>
            </w:r>
            <w:r w:rsidRPr="00B420D2">
              <w:rPr>
                <w:rStyle w:val="apple-style-span"/>
                <w:color w:val="000000"/>
                <w:szCs w:val="16"/>
                <w:vertAlign w:val="superscript"/>
                <w:lang w:val="lv-LV"/>
              </w:rPr>
              <w:t xml:space="preserve">2 </w:t>
            </w:r>
            <w:r w:rsidRPr="00B420D2">
              <w:rPr>
                <w:rStyle w:val="apple-style-span"/>
                <w:color w:val="000000"/>
                <w:szCs w:val="16"/>
                <w:lang w:val="lv-LV"/>
              </w:rPr>
              <w:t xml:space="preserve">panta trešajā daļā minētā </w:t>
            </w:r>
            <w:r w:rsidR="00281706">
              <w:rPr>
                <w:rStyle w:val="apple-style-span"/>
                <w:color w:val="000000"/>
                <w:szCs w:val="16"/>
                <w:lang w:val="lv-LV"/>
              </w:rPr>
              <w:t xml:space="preserve">administratīvā </w:t>
            </w:r>
            <w:r w:rsidRPr="00B420D2">
              <w:rPr>
                <w:rStyle w:val="apple-style-span"/>
                <w:color w:val="000000"/>
                <w:szCs w:val="16"/>
                <w:lang w:val="lv-LV"/>
              </w:rPr>
              <w:t>pārkāpuma vai Krimināllikuma 280.panta otrajā daļā minētā noziedzīgā nodarījuma izdarīšana ir atzīstama par neatbilstību un līdz ar to ir piemērojama neatbilstoši veikto izdevumu atgūšanas kārtība.</w:t>
            </w:r>
          </w:p>
          <w:p w:rsidR="005E440E" w:rsidRPr="00B420D2" w:rsidRDefault="00774409" w:rsidP="005D0F48">
            <w:pPr>
              <w:ind w:firstLine="403"/>
              <w:jc w:val="both"/>
              <w:rPr>
                <w:color w:val="000000"/>
                <w:szCs w:val="16"/>
                <w:lang w:val="lv-LV"/>
              </w:rPr>
            </w:pPr>
            <w:r w:rsidRPr="00B420D2">
              <w:rPr>
                <w:rStyle w:val="apple-style-span"/>
                <w:color w:val="000000"/>
                <w:szCs w:val="16"/>
                <w:lang w:val="lv-LV"/>
              </w:rPr>
              <w:t xml:space="preserve">Otrkārt, MK noteikumos Nr.740 nepieciešams noregulēt informācijas </w:t>
            </w:r>
            <w:r w:rsidR="00281706">
              <w:rPr>
                <w:rStyle w:val="apple-style-span"/>
                <w:color w:val="000000"/>
                <w:szCs w:val="16"/>
                <w:lang w:val="lv-LV"/>
              </w:rPr>
              <w:t>saņemšanas</w:t>
            </w:r>
            <w:r w:rsidRPr="00B420D2">
              <w:rPr>
                <w:rStyle w:val="apple-style-span"/>
                <w:color w:val="000000"/>
                <w:szCs w:val="16"/>
                <w:lang w:val="lv-LV"/>
              </w:rPr>
              <w:t xml:space="preserve"> </w:t>
            </w:r>
            <w:r w:rsidR="00281706">
              <w:rPr>
                <w:rStyle w:val="apple-style-span"/>
                <w:color w:val="000000"/>
                <w:szCs w:val="16"/>
                <w:lang w:val="lv-LV"/>
              </w:rPr>
              <w:t>pamatprincipus</w:t>
            </w:r>
            <w:r w:rsidRPr="00B420D2">
              <w:rPr>
                <w:rStyle w:val="apple-style-span"/>
                <w:color w:val="000000"/>
                <w:szCs w:val="16"/>
                <w:lang w:val="lv-LV"/>
              </w:rPr>
              <w:t xml:space="preserve"> par </w:t>
            </w:r>
            <w:r w:rsidR="00254851" w:rsidRPr="00B420D2">
              <w:rPr>
                <w:rStyle w:val="apple-style-span"/>
                <w:color w:val="000000"/>
                <w:szCs w:val="16"/>
                <w:lang w:val="lv-LV"/>
              </w:rPr>
              <w:t xml:space="preserve">ES fonda projektu iesniedzējiem un </w:t>
            </w:r>
            <w:r w:rsidRPr="00B420D2">
              <w:rPr>
                <w:rStyle w:val="apple-style-span"/>
                <w:color w:val="000000"/>
                <w:szCs w:val="16"/>
                <w:lang w:val="lv-LV"/>
              </w:rPr>
              <w:t xml:space="preserve">finansējuma saņēmējiem, kuri ir </w:t>
            </w:r>
            <w:r w:rsidR="00281706" w:rsidRPr="005D0F48">
              <w:rPr>
                <w:rStyle w:val="apple-style-span"/>
                <w:color w:val="000000"/>
                <w:szCs w:val="16"/>
                <w:lang w:val="lv-LV"/>
              </w:rPr>
              <w:t>sodīti par</w:t>
            </w:r>
            <w:r w:rsidRPr="005D0F48">
              <w:rPr>
                <w:rStyle w:val="apple-style-span"/>
                <w:color w:val="000000"/>
                <w:szCs w:val="16"/>
                <w:lang w:val="lv-LV"/>
              </w:rPr>
              <w:t xml:space="preserve"> Latvijas Administratīvo pārkāpumu kodeksa 189.</w:t>
            </w:r>
            <w:r w:rsidRPr="005D0F48">
              <w:rPr>
                <w:rStyle w:val="apple-style-span"/>
                <w:color w:val="000000"/>
                <w:szCs w:val="16"/>
                <w:vertAlign w:val="superscript"/>
                <w:lang w:val="lv-LV"/>
              </w:rPr>
              <w:t xml:space="preserve">2 </w:t>
            </w:r>
            <w:r w:rsidRPr="005D0F48">
              <w:rPr>
                <w:rStyle w:val="apple-style-span"/>
                <w:color w:val="000000"/>
                <w:szCs w:val="16"/>
                <w:lang w:val="lv-LV"/>
              </w:rPr>
              <w:t xml:space="preserve">panta trešajā daļā minētā </w:t>
            </w:r>
            <w:r w:rsidR="00281706" w:rsidRPr="005D0F48">
              <w:rPr>
                <w:rStyle w:val="apple-style-span"/>
                <w:color w:val="000000"/>
                <w:szCs w:val="16"/>
                <w:lang w:val="lv-LV"/>
              </w:rPr>
              <w:t xml:space="preserve">administratīvā </w:t>
            </w:r>
            <w:r w:rsidRPr="005D0F48">
              <w:rPr>
                <w:rStyle w:val="apple-style-span"/>
                <w:color w:val="000000"/>
                <w:szCs w:val="16"/>
                <w:lang w:val="lv-LV"/>
              </w:rPr>
              <w:t>pārkāpuma vai Krimināllikuma 280.panta otrajā daļā minētā noziedzīgā nodarījuma izdarīšan</w:t>
            </w:r>
            <w:r w:rsidR="00281706" w:rsidRPr="005D0F48">
              <w:rPr>
                <w:rStyle w:val="apple-style-span"/>
                <w:color w:val="000000"/>
                <w:szCs w:val="16"/>
                <w:lang w:val="lv-LV"/>
              </w:rPr>
              <w:t>u, vai</w:t>
            </w:r>
            <w:r w:rsidR="00716F2C" w:rsidRPr="005D0F48">
              <w:rPr>
                <w:rStyle w:val="apple-style-span"/>
                <w:color w:val="000000"/>
                <w:szCs w:val="16"/>
                <w:lang w:val="lv-LV"/>
              </w:rPr>
              <w:t xml:space="preserve"> kuriem piemēroti piespiedu ietekmēšanas līdzekļi, ja projekta iesniedzējs vai finansējuma saņēmējs ir </w:t>
            </w:r>
            <w:r w:rsidR="00281706" w:rsidRPr="005D0F48">
              <w:rPr>
                <w:rStyle w:val="apple-style-span"/>
                <w:color w:val="000000"/>
                <w:szCs w:val="16"/>
                <w:lang w:val="lv-LV"/>
              </w:rPr>
              <w:t xml:space="preserve">privāto tiesību </w:t>
            </w:r>
            <w:r w:rsidR="00716F2C" w:rsidRPr="005D0F48">
              <w:rPr>
                <w:rStyle w:val="apple-style-span"/>
                <w:color w:val="000000"/>
                <w:szCs w:val="16"/>
                <w:lang w:val="lv-LV"/>
              </w:rPr>
              <w:t>juridiskā</w:t>
            </w:r>
            <w:r w:rsidR="00716F2C" w:rsidRPr="00B420D2">
              <w:rPr>
                <w:rStyle w:val="apple-style-span"/>
                <w:color w:val="000000"/>
                <w:szCs w:val="16"/>
                <w:lang w:val="lv-LV"/>
              </w:rPr>
              <w:t xml:space="preserve"> persona</w:t>
            </w:r>
            <w:r w:rsidRPr="00B420D2">
              <w:rPr>
                <w:rStyle w:val="apple-style-span"/>
                <w:color w:val="000000"/>
                <w:szCs w:val="16"/>
                <w:lang w:val="lv-LV"/>
              </w:rPr>
              <w:t xml:space="preserve">. Šāda informācija tiek reģistrēta Sodu reģistrā, kas atrodas Iekšlietu ministrijas Informācijas centra pārziņā. Saskaņā ar Sodu reģistra likuma 15.panta </w:t>
            </w:r>
            <w:r w:rsidR="009B6F68" w:rsidRPr="00B420D2">
              <w:rPr>
                <w:rStyle w:val="apple-style-span"/>
                <w:color w:val="000000"/>
                <w:szCs w:val="16"/>
                <w:lang w:val="lv-LV"/>
              </w:rPr>
              <w:t>pirmās daļas 4.punktā noteikto valsts iestādēm, kuras nav minētas šajā pantā, ir tiesības saņemt informāciju no Sodu reģistra normatīvajos aktos noteiktajā apjomā un paredzētajiem mērķiem. Līdz ar to MK noteikumos Nr.740 nepieciešams izdarīt grozījumus, lai vadošajai iestādei</w:t>
            </w:r>
            <w:r w:rsidR="00281706">
              <w:rPr>
                <w:rStyle w:val="apple-style-span"/>
                <w:color w:val="000000"/>
                <w:szCs w:val="16"/>
                <w:lang w:val="lv-LV"/>
              </w:rPr>
              <w:t xml:space="preserve">, </w:t>
            </w:r>
            <w:r w:rsidR="00281706" w:rsidRPr="005D0F48">
              <w:rPr>
                <w:rStyle w:val="apple-style-span"/>
                <w:color w:val="000000"/>
                <w:szCs w:val="16"/>
                <w:lang w:val="lv-LV"/>
              </w:rPr>
              <w:t>atbildīgajām iestādēm un sadarbības iestādēm</w:t>
            </w:r>
            <w:r w:rsidR="009B6F68" w:rsidRPr="005D0F48">
              <w:rPr>
                <w:rStyle w:val="apple-style-span"/>
                <w:color w:val="000000"/>
                <w:szCs w:val="16"/>
                <w:lang w:val="lv-LV"/>
              </w:rPr>
              <w:t xml:space="preserve"> pa</w:t>
            </w:r>
            <w:r w:rsidR="009B6F68" w:rsidRPr="00B420D2">
              <w:rPr>
                <w:rStyle w:val="apple-style-span"/>
                <w:color w:val="000000"/>
                <w:szCs w:val="16"/>
                <w:lang w:val="lv-LV"/>
              </w:rPr>
              <w:t xml:space="preserve">redzētu šādas tiesības Direktīvā minēto funkciju izpildei. Lai gan faktiski lēmumu par finansējuma atgūšanu pieņem atbildīgās iestādes un sadarbības iestādes, ir </w:t>
            </w:r>
            <w:r w:rsidR="009B6F68" w:rsidRPr="00B420D2">
              <w:rPr>
                <w:rStyle w:val="apple-style-span"/>
                <w:color w:val="000000"/>
                <w:szCs w:val="16"/>
                <w:lang w:val="lv-LV"/>
              </w:rPr>
              <w:lastRenderedPageBreak/>
              <w:t xml:space="preserve">nepieciešams atrast efektīvāko risinājumu informācijas saņemšanai un nodošanai, ņemot vērā, ka </w:t>
            </w:r>
            <w:r w:rsidR="00254851" w:rsidRPr="00B420D2">
              <w:rPr>
                <w:rStyle w:val="apple-style-span"/>
                <w:color w:val="000000"/>
                <w:szCs w:val="16"/>
                <w:lang w:val="lv-LV"/>
              </w:rPr>
              <w:t>līdzīgi</w:t>
            </w:r>
            <w:r w:rsidR="009B6F68" w:rsidRPr="00B420D2">
              <w:rPr>
                <w:rStyle w:val="apple-style-span"/>
                <w:color w:val="000000"/>
                <w:szCs w:val="16"/>
                <w:lang w:val="lv-LV"/>
              </w:rPr>
              <w:t xml:space="preserve"> pārkāpumi un noziedzīgie nodarījumi </w:t>
            </w:r>
            <w:r w:rsidR="00254851" w:rsidRPr="00B420D2">
              <w:rPr>
                <w:rStyle w:val="apple-style-span"/>
                <w:color w:val="000000"/>
                <w:szCs w:val="16"/>
                <w:lang w:val="lv-LV"/>
              </w:rPr>
              <w:t xml:space="preserve">līdz šim </w:t>
            </w:r>
            <w:r w:rsidR="009B6F68" w:rsidRPr="00B420D2">
              <w:rPr>
                <w:rStyle w:val="apple-style-span"/>
                <w:color w:val="000000"/>
                <w:szCs w:val="16"/>
                <w:lang w:val="lv-LV"/>
              </w:rPr>
              <w:t>konstatēti samērā reti.</w:t>
            </w:r>
            <w:r w:rsidR="00254851" w:rsidRPr="00B420D2">
              <w:rPr>
                <w:rStyle w:val="apple-style-span"/>
                <w:color w:val="000000"/>
                <w:szCs w:val="16"/>
                <w:lang w:val="lv-LV"/>
              </w:rPr>
              <w:t xml:space="preserve"> Tādējādi</w:t>
            </w:r>
            <w:r w:rsidR="00716F2C" w:rsidRPr="00B420D2">
              <w:rPr>
                <w:rStyle w:val="apple-style-span"/>
                <w:color w:val="000000"/>
                <w:szCs w:val="16"/>
                <w:lang w:val="lv-LV"/>
              </w:rPr>
              <w:t xml:space="preserve"> nebūtu lietderīgi visām atbildīgajām iestādēm un sadarbības iestādēm regulāri pieprasīt nepieciešamās ziņas no Sodu reģistra.</w:t>
            </w:r>
          </w:p>
        </w:tc>
      </w:tr>
      <w:tr w:rsidR="004E415F" w:rsidRPr="007F7AC9" w:rsidTr="00E06F12">
        <w:tc>
          <w:tcPr>
            <w:tcW w:w="3175" w:type="dxa"/>
          </w:tcPr>
          <w:p w:rsidR="004E415F" w:rsidRPr="00B420D2" w:rsidRDefault="004E415F" w:rsidP="00B420D2">
            <w:pPr>
              <w:jc w:val="both"/>
              <w:rPr>
                <w:lang w:val="lv-LV"/>
              </w:rPr>
            </w:pPr>
            <w:r w:rsidRPr="00B420D2">
              <w:rPr>
                <w:lang w:val="lv-LV"/>
              </w:rPr>
              <w:lastRenderedPageBreak/>
              <w:t>3. Saistītie politikas ietekmes novērtējumi un pētījumi</w:t>
            </w:r>
          </w:p>
        </w:tc>
        <w:tc>
          <w:tcPr>
            <w:tcW w:w="6181" w:type="dxa"/>
          </w:tcPr>
          <w:p w:rsidR="004E415F" w:rsidRPr="00B420D2" w:rsidRDefault="0002095E" w:rsidP="00B420D2">
            <w:pPr>
              <w:jc w:val="both"/>
              <w:rPr>
                <w:lang w:val="lv-LV"/>
              </w:rPr>
            </w:pPr>
            <w:r w:rsidRPr="00B420D2">
              <w:rPr>
                <w:color w:val="000000"/>
                <w:lang w:val="lv-LV"/>
              </w:rPr>
              <w:t>Eiropas Komisijas dienestu darba dokuments (pavaddokuments) priekšlikumam Eiropas Parlamenta un Padomes direktīvai, ar ko nosaka sankcijas darba devējiem, kas nodarbina trešo valstu piederīgos, kuri dalībvalstīs uzturas nelegāli / ietekmes novērtējuma kopsavilkums ({COM(2007) 249 galīgā redakcija}{SEC(2007) 596}{SEC(2007) 603}). Ar šo dokumentu ir iespējams iepazīties EUR-</w:t>
            </w:r>
            <w:proofErr w:type="spellStart"/>
            <w:r w:rsidRPr="00B420D2">
              <w:rPr>
                <w:color w:val="000000"/>
                <w:lang w:val="lv-LV"/>
              </w:rPr>
              <w:t>Lex</w:t>
            </w:r>
            <w:proofErr w:type="spellEnd"/>
            <w:r w:rsidRPr="00B420D2">
              <w:rPr>
                <w:color w:val="000000"/>
                <w:lang w:val="lv-LV"/>
              </w:rPr>
              <w:t xml:space="preserve"> (Eiropas Savienības tiesību aktu) </w:t>
            </w:r>
            <w:proofErr w:type="spellStart"/>
            <w:r w:rsidRPr="00B420D2">
              <w:rPr>
                <w:color w:val="000000"/>
                <w:lang w:val="lv-LV"/>
              </w:rPr>
              <w:t>mājaslapā</w:t>
            </w:r>
            <w:proofErr w:type="spellEnd"/>
            <w:r w:rsidRPr="00B420D2">
              <w:rPr>
                <w:color w:val="000000"/>
                <w:lang w:val="lv-LV"/>
              </w:rPr>
              <w:t xml:space="preserve">: </w:t>
            </w:r>
            <w:hyperlink r:id="rId11" w:history="1">
              <w:r w:rsidRPr="00B420D2">
                <w:rPr>
                  <w:rStyle w:val="Hyperlink"/>
                  <w:lang w:val="lv-LV"/>
                </w:rPr>
                <w:t>http://eur-lex.europa.eu/Notice.do?mode=dbl&amp;lang=%20en&amp;ihmlang=en&amp;lng1=en,lv&amp;lng2=%20bg,cs,da,de,el,en,es,et,fi,fr,hu,it,lt,lv,mt,nl,pl,pt,ro,sk,sl,sv,&amp;val=450493:cs&amp;page=</w:t>
              </w:r>
            </w:hyperlink>
          </w:p>
        </w:tc>
      </w:tr>
      <w:tr w:rsidR="004E415F" w:rsidRPr="007F7AC9" w:rsidTr="00E06F12">
        <w:tc>
          <w:tcPr>
            <w:tcW w:w="3175" w:type="dxa"/>
          </w:tcPr>
          <w:p w:rsidR="004E415F" w:rsidRPr="00B420D2" w:rsidRDefault="004E415F" w:rsidP="00B420D2">
            <w:pPr>
              <w:pStyle w:val="NormalWeb"/>
              <w:spacing w:before="0" w:beforeAutospacing="0" w:after="0" w:afterAutospacing="0"/>
              <w:jc w:val="both"/>
              <w:rPr>
                <w:lang w:val="lv-LV"/>
              </w:rPr>
            </w:pPr>
            <w:r w:rsidRPr="00B420D2">
              <w:rPr>
                <w:lang w:val="lv-LV"/>
              </w:rPr>
              <w:t>4. Tiesiskā regulējuma mērķis un būtība</w:t>
            </w:r>
          </w:p>
        </w:tc>
        <w:tc>
          <w:tcPr>
            <w:tcW w:w="6181" w:type="dxa"/>
          </w:tcPr>
          <w:p w:rsidR="00512CFE" w:rsidRPr="00B420D2" w:rsidRDefault="00512CFE" w:rsidP="00B420D2">
            <w:pPr>
              <w:ind w:firstLine="403"/>
              <w:jc w:val="both"/>
              <w:rPr>
                <w:lang w:val="lv-LV" w:eastAsia="lv-LV"/>
              </w:rPr>
            </w:pPr>
            <w:r w:rsidRPr="00B420D2">
              <w:rPr>
                <w:szCs w:val="28"/>
                <w:lang w:val="lv-LV" w:eastAsia="lv-LV"/>
              </w:rPr>
              <w:t xml:space="preserve">1) </w:t>
            </w:r>
            <w:r w:rsidRPr="00B420D2">
              <w:rPr>
                <w:lang w:val="lv-LV" w:eastAsia="lv-LV"/>
              </w:rPr>
              <w:t>Lai nodrošinātu Direktīvas 7.panta 1.punkta c) apakšpunkta prasību izpildi, MK noteikumu projektā noteikts:</w:t>
            </w:r>
          </w:p>
          <w:p w:rsidR="005E440E" w:rsidRPr="00B420D2" w:rsidRDefault="00512CFE" w:rsidP="00B420D2">
            <w:pPr>
              <w:ind w:firstLine="403"/>
              <w:jc w:val="both"/>
              <w:rPr>
                <w:lang w:val="lv-LV"/>
              </w:rPr>
            </w:pPr>
            <w:r w:rsidRPr="00B420D2">
              <w:rPr>
                <w:lang w:val="lv-LV" w:eastAsia="lv-LV"/>
              </w:rPr>
              <w:t xml:space="preserve">a) ka neatbilstība ir </w:t>
            </w:r>
            <w:r w:rsidRPr="005D0F48">
              <w:rPr>
                <w:lang w:val="lv-LV" w:eastAsia="lv-LV"/>
              </w:rPr>
              <w:t>arī</w:t>
            </w:r>
            <w:r w:rsidR="00281706" w:rsidRPr="005D0F48">
              <w:rPr>
                <w:lang w:val="lv-LV"/>
              </w:rPr>
              <w:t xml:space="preserve"> gadījumā, ja tiek konstatēts, ka projekta iesniedzējs vai finansējuma saņēmējs </w:t>
            </w:r>
            <w:r w:rsidR="00281706" w:rsidRPr="005D0F48">
              <w:rPr>
                <w:iCs/>
                <w:color w:val="000000"/>
                <w:lang w:val="lv-LV"/>
              </w:rPr>
              <w:t>ir sodīts par Latvijas Administratīvo pārkāpumu kodeksa 189.</w:t>
            </w:r>
            <w:r w:rsidR="00281706" w:rsidRPr="005D0F48">
              <w:rPr>
                <w:iCs/>
                <w:color w:val="000000"/>
                <w:vertAlign w:val="superscript"/>
                <w:lang w:val="lv-LV"/>
              </w:rPr>
              <w:t>2</w:t>
            </w:r>
            <w:r w:rsidR="00281706" w:rsidRPr="005D0F48">
              <w:rPr>
                <w:iCs/>
                <w:color w:val="000000"/>
                <w:lang w:val="lv-LV"/>
              </w:rPr>
              <w:t xml:space="preserve">panta trešajā daļā minētā administratīvā pārkāpuma vai Krimināllikuma 280.panta otrajā daļā minētā noziedzīgā nodarījuma izdarīšanu vai tam </w:t>
            </w:r>
            <w:r w:rsidR="00EE4585" w:rsidRPr="005D0F48">
              <w:rPr>
                <w:iCs/>
                <w:color w:val="000000"/>
                <w:lang w:val="lv-LV"/>
              </w:rPr>
              <w:t>ir</w:t>
            </w:r>
            <w:r w:rsidR="00281706" w:rsidRPr="005D0F48">
              <w:rPr>
                <w:iCs/>
                <w:color w:val="000000"/>
                <w:lang w:val="lv-LV"/>
              </w:rPr>
              <w:t xml:space="preserve"> piemēroti piespiedu ietekmēšanas līdzekļi (ja projekta iesniedzējs ir </w:t>
            </w:r>
            <w:r w:rsidR="00281706" w:rsidRPr="005D0F48">
              <w:rPr>
                <w:bCs/>
                <w:iCs/>
                <w:color w:val="000000"/>
                <w:lang w:val="lv-LV"/>
              </w:rPr>
              <w:t xml:space="preserve">privāto tiesību </w:t>
            </w:r>
            <w:r w:rsidR="00281706" w:rsidRPr="005D0F48">
              <w:rPr>
                <w:iCs/>
                <w:color w:val="000000"/>
                <w:lang w:val="lv-LV"/>
              </w:rPr>
              <w:t>juridiska persona) par minētā noziedzīgā nodarījuma izdarīšanu</w:t>
            </w:r>
            <w:r w:rsidRPr="005D0F48">
              <w:rPr>
                <w:lang w:val="lv-LV"/>
              </w:rPr>
              <w:t>;</w:t>
            </w:r>
          </w:p>
          <w:p w:rsidR="00512CFE" w:rsidRPr="00B420D2" w:rsidRDefault="00512CFE" w:rsidP="00B420D2">
            <w:pPr>
              <w:ind w:firstLine="403"/>
              <w:jc w:val="both"/>
              <w:rPr>
                <w:lang w:val="lv-LV"/>
              </w:rPr>
            </w:pPr>
            <w:r w:rsidRPr="00B420D2">
              <w:rPr>
                <w:lang w:val="lv-LV"/>
              </w:rPr>
              <w:t xml:space="preserve">b) attiecīgajai atbildīgajai iestādei vai sadarbības iestādei (līgumslēdzējam) ir jānodrošina finansējuma atgūšana, </w:t>
            </w:r>
            <w:r w:rsidRPr="005D0F48">
              <w:rPr>
                <w:lang w:val="lv-LV"/>
              </w:rPr>
              <w:t xml:space="preserve">kas finansējuma saņēmējam </w:t>
            </w:r>
            <w:r w:rsidRPr="005D0F48">
              <w:rPr>
                <w:rStyle w:val="apple-style-span"/>
                <w:color w:val="000000"/>
                <w:szCs w:val="16"/>
                <w:lang w:val="lv-LV"/>
              </w:rPr>
              <w:t xml:space="preserve">izmaksāts </w:t>
            </w:r>
            <w:r w:rsidRPr="005D0F48">
              <w:rPr>
                <w:rStyle w:val="apple-style-span"/>
                <w:color w:val="000000"/>
                <w:lang w:val="lv-LV"/>
              </w:rPr>
              <w:t xml:space="preserve">līdz </w:t>
            </w:r>
            <w:r w:rsidRPr="005D0F48">
              <w:rPr>
                <w:lang w:val="lv-LV"/>
              </w:rPr>
              <w:t xml:space="preserve">12 mēnešiem pirms </w:t>
            </w:r>
            <w:r w:rsidR="00EE4585" w:rsidRPr="005D0F48">
              <w:rPr>
                <w:lang w:val="lv-LV"/>
              </w:rPr>
              <w:t xml:space="preserve">administratīvā protokola sastādīšanas par </w:t>
            </w:r>
            <w:r w:rsidRPr="005D0F48">
              <w:rPr>
                <w:lang w:val="lv-LV"/>
              </w:rPr>
              <w:t>attiecīg</w:t>
            </w:r>
            <w:r w:rsidR="00EE4585" w:rsidRPr="005D0F48">
              <w:rPr>
                <w:lang w:val="lv-LV"/>
              </w:rPr>
              <w:t>o</w:t>
            </w:r>
            <w:r w:rsidRPr="005D0F48">
              <w:rPr>
                <w:lang w:val="lv-LV"/>
              </w:rPr>
              <w:t xml:space="preserve"> </w:t>
            </w:r>
            <w:r w:rsidR="00EE4585" w:rsidRPr="005D0F48">
              <w:rPr>
                <w:lang w:val="lv-LV"/>
              </w:rPr>
              <w:t xml:space="preserve">administratīvo </w:t>
            </w:r>
            <w:r w:rsidRPr="005D0F48">
              <w:rPr>
                <w:lang w:val="lv-LV"/>
              </w:rPr>
              <w:t>pārkāpum</w:t>
            </w:r>
            <w:r w:rsidR="00EE4585" w:rsidRPr="005D0F48">
              <w:rPr>
                <w:lang w:val="lv-LV"/>
              </w:rPr>
              <w:t>u</w:t>
            </w:r>
            <w:r w:rsidRPr="005D0F48">
              <w:rPr>
                <w:lang w:val="lv-LV"/>
              </w:rPr>
              <w:t xml:space="preserve"> vai </w:t>
            </w:r>
            <w:r w:rsidR="00EE4585" w:rsidRPr="005D0F48">
              <w:rPr>
                <w:lang w:val="lv-LV"/>
              </w:rPr>
              <w:t>kriminālprocesa uzsākšanas</w:t>
            </w:r>
            <w:r w:rsidR="002457B2" w:rsidRPr="005D0F48">
              <w:rPr>
                <w:lang w:val="lv-LV"/>
              </w:rPr>
              <w:t xml:space="preserve">. </w:t>
            </w:r>
            <w:r w:rsidR="00371909" w:rsidRPr="005D0F48">
              <w:rPr>
                <w:lang w:val="lv-LV"/>
              </w:rPr>
              <w:t>Faktiski šajā gadījumā paredzēts</w:t>
            </w:r>
            <w:r w:rsidR="00371909" w:rsidRPr="00B420D2">
              <w:rPr>
                <w:lang w:val="lv-LV"/>
              </w:rPr>
              <w:t xml:space="preserve"> piemērot </w:t>
            </w:r>
            <w:r w:rsidR="002457B2">
              <w:rPr>
                <w:lang w:val="lv-LV"/>
              </w:rPr>
              <w:t>līdzīgu</w:t>
            </w:r>
            <w:r w:rsidR="00371909" w:rsidRPr="00B420D2">
              <w:rPr>
                <w:lang w:val="lv-LV"/>
              </w:rPr>
              <w:t xml:space="preserve"> kārtību kā līdz šim, ja neatbilstoši veiktos izdevumus nav iespējams ieturēt no nākamā maksājuma vai norakstīt izdevumos (MK noteikumu Nr.740 19.3. un 25.3.apakšpunkts).</w:t>
            </w:r>
          </w:p>
          <w:p w:rsidR="00046EAE" w:rsidRPr="005D0F48" w:rsidRDefault="00046EAE" w:rsidP="00B420D2">
            <w:pPr>
              <w:ind w:firstLine="403"/>
              <w:jc w:val="both"/>
              <w:rPr>
                <w:lang w:val="lv-LV"/>
              </w:rPr>
            </w:pPr>
            <w:r w:rsidRPr="00B420D2">
              <w:rPr>
                <w:lang w:val="lv-LV"/>
              </w:rPr>
              <w:t>Tādējādi tiks nodrošināts, ka atbildīgajām iestādēm un sadarbības iestādēm ir tiesības atgūt</w:t>
            </w:r>
            <w:r w:rsidR="005E080A" w:rsidRPr="00B420D2">
              <w:rPr>
                <w:lang w:val="lv-LV"/>
              </w:rPr>
              <w:t xml:space="preserve"> </w:t>
            </w:r>
            <w:r w:rsidRPr="00B420D2">
              <w:rPr>
                <w:lang w:val="lv-LV"/>
              </w:rPr>
              <w:t xml:space="preserve">finansējuma saņēmējam </w:t>
            </w:r>
            <w:r w:rsidR="005E080A" w:rsidRPr="00B420D2">
              <w:rPr>
                <w:lang w:val="lv-LV"/>
              </w:rPr>
              <w:t xml:space="preserve">Direktīvā noteiktajā termiņā </w:t>
            </w:r>
            <w:r w:rsidRPr="00B420D2">
              <w:rPr>
                <w:lang w:val="lv-LV"/>
              </w:rPr>
              <w:t xml:space="preserve">izmaksāto finansējumu, ja </w:t>
            </w:r>
            <w:r w:rsidR="005E080A" w:rsidRPr="00B420D2">
              <w:rPr>
                <w:lang w:val="lv-LV"/>
              </w:rPr>
              <w:t xml:space="preserve">tiks konstatēts, ka finansējuma saņēmējs nelikumīgi nodarbinājis trešo valstu </w:t>
            </w:r>
            <w:proofErr w:type="spellStart"/>
            <w:r w:rsidR="005E080A" w:rsidRPr="00B420D2">
              <w:rPr>
                <w:lang w:val="lv-LV"/>
              </w:rPr>
              <w:t>valstspiederīgos</w:t>
            </w:r>
            <w:proofErr w:type="spellEnd"/>
            <w:r w:rsidR="0060260F">
              <w:rPr>
                <w:lang w:val="lv-LV"/>
              </w:rPr>
              <w:t xml:space="preserve">, </w:t>
            </w:r>
            <w:r w:rsidR="0060260F" w:rsidRPr="005D0F48">
              <w:rPr>
                <w:lang w:val="lv-LV"/>
              </w:rPr>
              <w:t>kuriem nav tiesību uzturēties Latvijas Republi</w:t>
            </w:r>
            <w:r w:rsidR="00E63DDC" w:rsidRPr="005D0F48">
              <w:rPr>
                <w:lang w:val="lv-LV"/>
              </w:rPr>
              <w:t>kā</w:t>
            </w:r>
            <w:r w:rsidR="005E080A" w:rsidRPr="005D0F48">
              <w:rPr>
                <w:lang w:val="lv-LV"/>
              </w:rPr>
              <w:t>.</w:t>
            </w:r>
          </w:p>
          <w:p w:rsidR="00371909" w:rsidRPr="00B420D2" w:rsidRDefault="002457B2" w:rsidP="00B420D2">
            <w:pPr>
              <w:ind w:firstLine="403"/>
              <w:jc w:val="both"/>
              <w:rPr>
                <w:lang w:val="lv-LV"/>
              </w:rPr>
            </w:pPr>
            <w:r>
              <w:rPr>
                <w:lang w:val="lv-LV"/>
              </w:rPr>
              <w:t>2</w:t>
            </w:r>
            <w:r w:rsidR="008E5568" w:rsidRPr="00B420D2">
              <w:rPr>
                <w:lang w:val="lv-LV"/>
              </w:rPr>
              <w:t xml:space="preserve">) </w:t>
            </w:r>
            <w:r w:rsidR="005700FE" w:rsidRPr="00B420D2">
              <w:rPr>
                <w:lang w:val="lv-LV"/>
              </w:rPr>
              <w:t xml:space="preserve">MK noteikumu projekts ir papildināts ar jaunu nodaļu par Sodu reģistrā iekļauto ziņu saņemšanas kārtību. MK noteikumu projekts paredz vadošajai iestādei, atbildīgajām iestādēm un sadarbības iestādēm saņemt ziņas no Sodu reģistra par </w:t>
            </w:r>
            <w:r w:rsidR="00622A3F" w:rsidRPr="005D0F48">
              <w:rPr>
                <w:lang w:val="lv-LV"/>
              </w:rPr>
              <w:t xml:space="preserve">projektu iesniedzējiem un finansējuma </w:t>
            </w:r>
            <w:r w:rsidR="00622A3F" w:rsidRPr="005D0F48">
              <w:rPr>
                <w:lang w:val="lv-LV"/>
              </w:rPr>
              <w:lastRenderedPageBreak/>
              <w:t xml:space="preserve">saņēmējiem (gan </w:t>
            </w:r>
            <w:r w:rsidR="00837800" w:rsidRPr="005D0F48">
              <w:rPr>
                <w:rStyle w:val="apple-style-span"/>
                <w:color w:val="000000"/>
                <w:szCs w:val="16"/>
                <w:lang w:val="lv-LV"/>
              </w:rPr>
              <w:t>fiziskajām</w:t>
            </w:r>
            <w:r w:rsidR="00622A3F" w:rsidRPr="005D0F48">
              <w:rPr>
                <w:rStyle w:val="apple-style-span"/>
                <w:color w:val="000000"/>
                <w:szCs w:val="16"/>
                <w:lang w:val="lv-LV"/>
              </w:rPr>
              <w:t>, gan</w:t>
            </w:r>
            <w:r w:rsidR="00837800" w:rsidRPr="005D0F48">
              <w:rPr>
                <w:rStyle w:val="apple-style-span"/>
                <w:color w:val="000000"/>
                <w:szCs w:val="16"/>
                <w:lang w:val="lv-LV"/>
              </w:rPr>
              <w:t xml:space="preserve"> juridiskajām personām</w:t>
            </w:r>
            <w:r w:rsidR="00622A3F" w:rsidRPr="005D0F48">
              <w:rPr>
                <w:rStyle w:val="apple-style-span"/>
                <w:color w:val="000000"/>
                <w:szCs w:val="16"/>
                <w:lang w:val="lv-LV"/>
              </w:rPr>
              <w:t>)</w:t>
            </w:r>
            <w:r w:rsidR="00837800" w:rsidRPr="005D0F48">
              <w:rPr>
                <w:rStyle w:val="apple-style-span"/>
                <w:color w:val="000000"/>
                <w:szCs w:val="16"/>
                <w:lang w:val="lv-LV"/>
              </w:rPr>
              <w:t xml:space="preserve">, kuras ir </w:t>
            </w:r>
            <w:r w:rsidR="00622A3F" w:rsidRPr="005D0F48">
              <w:rPr>
                <w:rStyle w:val="apple-style-span"/>
                <w:color w:val="000000"/>
                <w:szCs w:val="16"/>
                <w:lang w:val="lv-LV"/>
              </w:rPr>
              <w:t>sodītas par</w:t>
            </w:r>
            <w:r w:rsidR="00837800" w:rsidRPr="005D0F48">
              <w:rPr>
                <w:rStyle w:val="apple-style-span"/>
                <w:color w:val="000000"/>
                <w:szCs w:val="16"/>
                <w:lang w:val="lv-LV"/>
              </w:rPr>
              <w:t xml:space="preserve"> Latvijas Administratīvo pārkāpumu kodeksa 189.</w:t>
            </w:r>
            <w:r w:rsidR="00837800" w:rsidRPr="005D0F48">
              <w:rPr>
                <w:rStyle w:val="apple-style-span"/>
                <w:color w:val="000000"/>
                <w:szCs w:val="16"/>
                <w:vertAlign w:val="superscript"/>
                <w:lang w:val="lv-LV"/>
              </w:rPr>
              <w:t xml:space="preserve">2 </w:t>
            </w:r>
            <w:r w:rsidR="00837800" w:rsidRPr="005D0F48">
              <w:rPr>
                <w:rStyle w:val="apple-style-span"/>
                <w:color w:val="000000"/>
                <w:szCs w:val="16"/>
                <w:lang w:val="lv-LV"/>
              </w:rPr>
              <w:t xml:space="preserve">panta trešajā daļā minētā </w:t>
            </w:r>
            <w:r w:rsidR="00622A3F" w:rsidRPr="005D0F48">
              <w:rPr>
                <w:rStyle w:val="apple-style-span"/>
                <w:color w:val="000000"/>
                <w:szCs w:val="16"/>
                <w:lang w:val="lv-LV"/>
              </w:rPr>
              <w:t>administratīvā</w:t>
            </w:r>
            <w:r w:rsidR="00622A3F">
              <w:rPr>
                <w:rStyle w:val="apple-style-span"/>
                <w:color w:val="000000"/>
                <w:szCs w:val="16"/>
                <w:lang w:val="lv-LV"/>
              </w:rPr>
              <w:t xml:space="preserve"> </w:t>
            </w:r>
            <w:r w:rsidR="00837800" w:rsidRPr="00B420D2">
              <w:rPr>
                <w:rStyle w:val="apple-style-span"/>
                <w:color w:val="000000"/>
                <w:szCs w:val="16"/>
                <w:lang w:val="lv-LV"/>
              </w:rPr>
              <w:t>pārkāpuma vai Krimināllikuma 280.panta otrajā daļā minētā noziedzīgā nodarījuma izdarīšan</w:t>
            </w:r>
            <w:r w:rsidR="00622A3F">
              <w:rPr>
                <w:rStyle w:val="apple-style-span"/>
                <w:color w:val="000000"/>
                <w:szCs w:val="16"/>
                <w:lang w:val="lv-LV"/>
              </w:rPr>
              <w:t>u,</w:t>
            </w:r>
            <w:r w:rsidR="00837800" w:rsidRPr="00B420D2">
              <w:rPr>
                <w:rStyle w:val="apple-style-span"/>
                <w:color w:val="000000"/>
                <w:szCs w:val="16"/>
                <w:lang w:val="lv-LV"/>
              </w:rPr>
              <w:t xml:space="preserve"> </w:t>
            </w:r>
            <w:r w:rsidR="00837800" w:rsidRPr="00B420D2">
              <w:rPr>
                <w:szCs w:val="26"/>
                <w:lang w:val="lv-LV"/>
              </w:rPr>
              <w:t xml:space="preserve">vai </w:t>
            </w:r>
            <w:r w:rsidR="00622A3F">
              <w:rPr>
                <w:szCs w:val="26"/>
                <w:lang w:val="lv-LV"/>
              </w:rPr>
              <w:t>kurām ir piemēroti</w:t>
            </w:r>
            <w:r w:rsidR="00837800" w:rsidRPr="00B420D2">
              <w:rPr>
                <w:szCs w:val="26"/>
                <w:lang w:val="lv-LV"/>
              </w:rPr>
              <w:t xml:space="preserve"> piespiedu ietekmēšanas līdzekļ</w:t>
            </w:r>
            <w:r w:rsidR="00622A3F">
              <w:rPr>
                <w:szCs w:val="26"/>
                <w:lang w:val="lv-LV"/>
              </w:rPr>
              <w:t>i par minētā noziedzīgā nodarījuma izdarīšanu</w:t>
            </w:r>
            <w:r w:rsidR="00837800" w:rsidRPr="00B420D2">
              <w:rPr>
                <w:szCs w:val="26"/>
                <w:lang w:val="lv-LV"/>
              </w:rPr>
              <w:t xml:space="preserve">, ja Eiropas Savienības projekta iesniedzējs vai finansējuma saņēmējs ir </w:t>
            </w:r>
            <w:r w:rsidR="00622A3F" w:rsidRPr="005D0F48">
              <w:rPr>
                <w:szCs w:val="26"/>
                <w:lang w:val="lv-LV"/>
              </w:rPr>
              <w:t xml:space="preserve">privāto tiesību </w:t>
            </w:r>
            <w:r w:rsidR="005D0F48" w:rsidRPr="005D0F48">
              <w:rPr>
                <w:szCs w:val="26"/>
                <w:lang w:val="lv-LV"/>
              </w:rPr>
              <w:t>juridiskā persona</w:t>
            </w:r>
            <w:r w:rsidR="00837800" w:rsidRPr="005D0F48">
              <w:rPr>
                <w:szCs w:val="26"/>
                <w:lang w:val="lv-LV"/>
              </w:rPr>
              <w:t xml:space="preserve">, lai varētu novērtēt projekta iesniedzēja atbilstību kritērijiem </w:t>
            </w:r>
            <w:r w:rsidR="000738C5" w:rsidRPr="005D0F48">
              <w:rPr>
                <w:szCs w:val="26"/>
                <w:lang w:val="lv-LV"/>
              </w:rPr>
              <w:t>vai</w:t>
            </w:r>
            <w:r w:rsidR="00837800" w:rsidRPr="005D0F48">
              <w:rPr>
                <w:szCs w:val="26"/>
                <w:lang w:val="lv-LV"/>
              </w:rPr>
              <w:t xml:space="preserve"> uzsākt neatbilstoši</w:t>
            </w:r>
            <w:r w:rsidR="00837800" w:rsidRPr="00B420D2">
              <w:rPr>
                <w:szCs w:val="26"/>
                <w:lang w:val="lv-LV"/>
              </w:rPr>
              <w:t xml:space="preserve"> veikto izdevumu atgūšanas procesu. </w:t>
            </w:r>
            <w:r w:rsidR="00837800" w:rsidRPr="005860FF">
              <w:rPr>
                <w:szCs w:val="26"/>
                <w:lang w:val="lv-LV"/>
              </w:rPr>
              <w:t>Lai saņemtu nepieciešamās ziņas</w:t>
            </w:r>
            <w:r w:rsidR="000738C5" w:rsidRPr="005860FF">
              <w:rPr>
                <w:szCs w:val="26"/>
                <w:lang w:val="lv-LV"/>
              </w:rPr>
              <w:t xml:space="preserve">, Finanšu ministrijas un Iekšlietu ministrijas Informācijas centra </w:t>
            </w:r>
            <w:r w:rsidR="00837800" w:rsidRPr="00B420D2">
              <w:rPr>
                <w:szCs w:val="26"/>
                <w:lang w:val="lv-LV"/>
              </w:rPr>
              <w:t xml:space="preserve">vadošā iestāde iesniegs Iekšlietu ministrijas Informācijas centrā </w:t>
            </w:r>
            <w:r w:rsidR="000738C5">
              <w:rPr>
                <w:szCs w:val="26"/>
                <w:lang w:val="lv-LV"/>
              </w:rPr>
              <w:t>lūgumu</w:t>
            </w:r>
            <w:r w:rsidR="00837800" w:rsidRPr="00B420D2">
              <w:rPr>
                <w:szCs w:val="26"/>
                <w:lang w:val="lv-LV"/>
              </w:rPr>
              <w:t xml:space="preserve"> par informācijas sniegšanu, norādot aktuālo projektu iesniedzēju un finansējuma saņēmēju sarakstu. Iekšlietu ministrijas Informācijas centrs pārbaud</w:t>
            </w:r>
            <w:r w:rsidR="00EE5AD0" w:rsidRPr="00B420D2">
              <w:rPr>
                <w:szCs w:val="26"/>
                <w:lang w:val="lv-LV"/>
              </w:rPr>
              <w:t xml:space="preserve">īs Sodu reģistrā pieejamos datus par projektu iesniedzējiem un finansējuma saņēmējiem un, ja tiks konstatēts, ka kāds no tiem sodīts par minētajiem pārkāpumiem, informēs vadošo iestādi. </w:t>
            </w:r>
          </w:p>
          <w:p w:rsidR="007C4622" w:rsidRPr="00B420D2" w:rsidRDefault="007C4622" w:rsidP="000738C5">
            <w:pPr>
              <w:jc w:val="both"/>
              <w:rPr>
                <w:rStyle w:val="apple-style-span"/>
                <w:lang w:val="lv-LV"/>
              </w:rPr>
            </w:pPr>
            <w:r w:rsidRPr="00B420D2">
              <w:rPr>
                <w:lang w:val="lv-LV"/>
              </w:rPr>
              <w:t>MK noteikumu projektā vadošajai iestādei ir noteikts pienākums</w:t>
            </w:r>
            <w:r w:rsidR="00A76831" w:rsidRPr="00B420D2">
              <w:rPr>
                <w:lang w:val="lv-LV"/>
              </w:rPr>
              <w:t xml:space="preserve"> rakstiski</w:t>
            </w:r>
            <w:r w:rsidRPr="00B420D2">
              <w:rPr>
                <w:lang w:val="lv-LV"/>
              </w:rPr>
              <w:t xml:space="preserve"> informēt </w:t>
            </w:r>
            <w:r w:rsidR="0060300C" w:rsidRPr="00B420D2">
              <w:rPr>
                <w:lang w:val="lv-LV"/>
              </w:rPr>
              <w:t xml:space="preserve">attiecīgās </w:t>
            </w:r>
            <w:r w:rsidRPr="00B420D2">
              <w:rPr>
                <w:lang w:val="lv-LV"/>
              </w:rPr>
              <w:t xml:space="preserve">atbildīgās iestādes un sadarbības iestādes par personām, kuras ir sodītas par </w:t>
            </w:r>
            <w:r w:rsidRPr="00B420D2">
              <w:rPr>
                <w:rStyle w:val="apple-style-span"/>
                <w:color w:val="000000"/>
                <w:lang w:val="lv-LV"/>
              </w:rPr>
              <w:t>Latvijas Administratīvo pārkāpumu kodeksa 189.</w:t>
            </w:r>
            <w:r w:rsidRPr="00B420D2">
              <w:rPr>
                <w:rStyle w:val="apple-style-span"/>
                <w:color w:val="000000"/>
                <w:vertAlign w:val="superscript"/>
                <w:lang w:val="lv-LV"/>
              </w:rPr>
              <w:t xml:space="preserve">2 </w:t>
            </w:r>
            <w:r w:rsidRPr="00B420D2">
              <w:rPr>
                <w:rStyle w:val="apple-style-span"/>
                <w:color w:val="000000"/>
                <w:lang w:val="lv-LV"/>
              </w:rPr>
              <w:t xml:space="preserve">panta trešajā daļā minētā pārkāpuma vai Krimināllikuma 280.panta otrajā daļā minētā noziedzīgā nodarījuma izdarīšanu, lai tās varētu novērtēt ES fonda projekta iesniedzēja atbilstību anotācijas </w:t>
            </w:r>
            <w:proofErr w:type="spellStart"/>
            <w:r w:rsidRPr="00B420D2">
              <w:rPr>
                <w:rStyle w:val="apple-style-span"/>
                <w:color w:val="000000"/>
                <w:lang w:val="lv-LV"/>
              </w:rPr>
              <w:t>IV.sadaļas</w:t>
            </w:r>
            <w:proofErr w:type="spellEnd"/>
            <w:r w:rsidRPr="00B420D2">
              <w:rPr>
                <w:rStyle w:val="apple-style-span"/>
                <w:color w:val="000000"/>
                <w:lang w:val="lv-LV"/>
              </w:rPr>
              <w:t xml:space="preserve"> 1.punktā minētajam kritērijam, </w:t>
            </w:r>
            <w:r w:rsidR="000738C5">
              <w:rPr>
                <w:rStyle w:val="apple-style-span"/>
                <w:color w:val="000000"/>
                <w:lang w:val="lv-LV"/>
              </w:rPr>
              <w:t>vai arī uzsākt</w:t>
            </w:r>
            <w:r w:rsidRPr="00B420D2">
              <w:rPr>
                <w:rStyle w:val="apple-style-span"/>
                <w:color w:val="000000"/>
                <w:lang w:val="lv-LV"/>
              </w:rPr>
              <w:t xml:space="preserve"> atgūšanas proces</w:t>
            </w:r>
            <w:r w:rsidR="000738C5">
              <w:rPr>
                <w:rStyle w:val="apple-style-span"/>
                <w:color w:val="000000"/>
                <w:lang w:val="lv-LV"/>
              </w:rPr>
              <w:t>u</w:t>
            </w:r>
            <w:r w:rsidRPr="00B420D2">
              <w:rPr>
                <w:rStyle w:val="apple-style-span"/>
                <w:color w:val="000000"/>
                <w:lang w:val="lv-LV"/>
              </w:rPr>
              <w:t>, ja tiks konstatēts, ka sodītā persona ir finansējuma saņēmējs. Šāda kārtība atbildīgo iestāžu un sadarbība</w:t>
            </w:r>
            <w:r w:rsidR="0060300C" w:rsidRPr="00B420D2">
              <w:rPr>
                <w:rStyle w:val="apple-style-span"/>
                <w:color w:val="000000"/>
                <w:lang w:val="lv-LV"/>
              </w:rPr>
              <w:t>s iestāžu informēšanai izvēlēta</w:t>
            </w:r>
            <w:r w:rsidR="00E63DDC">
              <w:rPr>
                <w:rStyle w:val="apple-style-span"/>
                <w:color w:val="000000"/>
                <w:lang w:val="lv-LV"/>
              </w:rPr>
              <w:t>,</w:t>
            </w:r>
            <w:r w:rsidR="000738C5">
              <w:rPr>
                <w:rStyle w:val="apple-style-span"/>
                <w:color w:val="000000"/>
                <w:lang w:val="lv-LV"/>
              </w:rPr>
              <w:t xml:space="preserve"> </w:t>
            </w:r>
            <w:r w:rsidR="005D0F48" w:rsidRPr="007F7AC9">
              <w:rPr>
                <w:rStyle w:val="apple-style-span"/>
                <w:b/>
                <w:color w:val="000000"/>
                <w:lang w:val="lv-LV"/>
              </w:rPr>
              <w:t>ņemot vērā to, ka ES fondu 2007.-2013.gada plānošanas periodā lielākā daļa projektu iesniegumu atlašu jau ir izsludinātas</w:t>
            </w:r>
            <w:r w:rsidR="005D0F48">
              <w:rPr>
                <w:rStyle w:val="apple-style-span"/>
                <w:color w:val="000000"/>
                <w:lang w:val="lv-LV"/>
              </w:rPr>
              <w:t xml:space="preserve">, kā arī </w:t>
            </w:r>
            <w:r w:rsidR="00E260B1" w:rsidRPr="00B420D2">
              <w:rPr>
                <w:rStyle w:val="apple-style-span"/>
                <w:color w:val="000000"/>
                <w:lang w:val="lv-LV"/>
              </w:rPr>
              <w:t>lai samazināto administratīvo slogu iestādēm, katrā projektu iesniegumu atlasē pieprasot attiecīgo informāciju par visiem projektu iesniedzējiem, jo atsevišķās atlases var būt vairāk nekā 100 projektu iesniedzēju</w:t>
            </w:r>
            <w:r w:rsidR="001D788D">
              <w:rPr>
                <w:rStyle w:val="apple-style-span"/>
                <w:color w:val="000000"/>
                <w:lang w:val="lv-LV"/>
              </w:rPr>
              <w:t>.</w:t>
            </w:r>
            <w:r w:rsidR="005D0F48">
              <w:rPr>
                <w:rStyle w:val="apple-style-span"/>
                <w:color w:val="000000"/>
                <w:lang w:val="lv-LV"/>
              </w:rPr>
              <w:t xml:space="preserve"> </w:t>
            </w:r>
            <w:r w:rsidR="005D0F48" w:rsidRPr="007F7AC9">
              <w:rPr>
                <w:rStyle w:val="apple-style-span"/>
                <w:b/>
                <w:color w:val="000000"/>
                <w:lang w:val="lv-LV"/>
              </w:rPr>
              <w:t>Lēmumu par projekta iesniegumu apstiprināšanu vai noraidīšanu pieņemšana šādā veidā netiks kavēta, ievērojot Eiropas Savienības struktūrfondu un Kohēzijas fonda vadības likumā noteikto termiņu. Atbildīgajām iestādēm un sadarbības iestādēm, vērtējot projektu iesniegumus jāņem vērā to rīcībā esošā aktuālā informācija.</w:t>
            </w:r>
          </w:p>
          <w:p w:rsidR="00371909" w:rsidRDefault="002457B2" w:rsidP="00B420D2">
            <w:pPr>
              <w:ind w:firstLine="403"/>
              <w:jc w:val="both"/>
              <w:rPr>
                <w:szCs w:val="28"/>
                <w:lang w:val="lv-LV" w:eastAsia="lv-LV"/>
              </w:rPr>
            </w:pPr>
            <w:r>
              <w:rPr>
                <w:szCs w:val="28"/>
                <w:lang w:val="lv-LV" w:eastAsia="lv-LV"/>
              </w:rPr>
              <w:t>3</w:t>
            </w:r>
            <w:r w:rsidR="00B905BD" w:rsidRPr="00B420D2">
              <w:rPr>
                <w:szCs w:val="28"/>
                <w:lang w:val="lv-LV" w:eastAsia="lv-LV"/>
              </w:rPr>
              <w:t>) Ar MK noteikumu projektu MK noteikumi Nr.740 tiek papildināti ar informatīvu atsauci uz Direktīvu.</w:t>
            </w:r>
          </w:p>
          <w:p w:rsidR="001D788D" w:rsidRPr="00EE5DEF" w:rsidRDefault="001D788D" w:rsidP="00B420D2">
            <w:pPr>
              <w:ind w:firstLine="403"/>
              <w:jc w:val="both"/>
              <w:rPr>
                <w:szCs w:val="28"/>
                <w:lang w:val="lv-LV" w:eastAsia="lv-LV"/>
              </w:rPr>
            </w:pPr>
            <w:r w:rsidRPr="00EE5DEF">
              <w:rPr>
                <w:szCs w:val="28"/>
                <w:lang w:val="lv-LV" w:eastAsia="lv-LV"/>
              </w:rPr>
              <w:t xml:space="preserve">4) MK noteikumu projektā noteikts, ka tas stājas spēkā 2011.gada 20.jūlijā, lai nodrošinātu </w:t>
            </w:r>
            <w:r w:rsidRPr="00EE5DEF">
              <w:rPr>
                <w:lang w:val="lv-LV"/>
              </w:rPr>
              <w:t>Direktīvas 2009/52/EK 17.panta 1.punktā noteiktā transponēšanas termiņa ievērošanu.</w:t>
            </w:r>
          </w:p>
        </w:tc>
      </w:tr>
      <w:tr w:rsidR="004E415F" w:rsidRPr="00B420D2" w:rsidTr="00E06F12">
        <w:tc>
          <w:tcPr>
            <w:tcW w:w="3175" w:type="dxa"/>
          </w:tcPr>
          <w:p w:rsidR="004E415F" w:rsidRPr="00B420D2" w:rsidRDefault="004E415F" w:rsidP="00B420D2">
            <w:pPr>
              <w:pStyle w:val="naisc"/>
              <w:spacing w:before="0" w:beforeAutospacing="0" w:after="0" w:afterAutospacing="0"/>
              <w:jc w:val="left"/>
              <w:rPr>
                <w:sz w:val="24"/>
                <w:lang w:val="lv-LV"/>
              </w:rPr>
            </w:pPr>
            <w:r w:rsidRPr="00B420D2">
              <w:rPr>
                <w:sz w:val="24"/>
                <w:lang w:val="lv-LV"/>
              </w:rPr>
              <w:lastRenderedPageBreak/>
              <w:t>5. Projekta izstrādē iesaistītās institūcijas</w:t>
            </w:r>
          </w:p>
        </w:tc>
        <w:tc>
          <w:tcPr>
            <w:tcW w:w="6181" w:type="dxa"/>
          </w:tcPr>
          <w:p w:rsidR="004E415F" w:rsidRPr="00B420D2" w:rsidRDefault="005D2257" w:rsidP="00B420D2">
            <w:pPr>
              <w:pStyle w:val="naisc"/>
              <w:spacing w:before="0" w:beforeAutospacing="0" w:after="0" w:afterAutospacing="0"/>
              <w:jc w:val="both"/>
              <w:rPr>
                <w:sz w:val="24"/>
                <w:szCs w:val="24"/>
                <w:lang w:val="lv-LV"/>
              </w:rPr>
            </w:pPr>
            <w:r w:rsidRPr="00B420D2">
              <w:rPr>
                <w:sz w:val="24"/>
                <w:szCs w:val="24"/>
                <w:lang w:val="lv-LV"/>
              </w:rPr>
              <w:t>Finanšu ministrija</w:t>
            </w:r>
          </w:p>
        </w:tc>
      </w:tr>
      <w:tr w:rsidR="004E415F" w:rsidRPr="007F7AC9" w:rsidTr="00E06F12">
        <w:tc>
          <w:tcPr>
            <w:tcW w:w="3175" w:type="dxa"/>
          </w:tcPr>
          <w:p w:rsidR="004E415F" w:rsidRPr="00B420D2" w:rsidRDefault="004E415F" w:rsidP="00B420D2">
            <w:pPr>
              <w:pStyle w:val="naisc"/>
              <w:spacing w:before="0" w:beforeAutospacing="0" w:after="0" w:afterAutospacing="0"/>
              <w:jc w:val="left"/>
              <w:rPr>
                <w:sz w:val="24"/>
                <w:lang w:val="lv-LV"/>
              </w:rPr>
            </w:pPr>
            <w:r w:rsidRPr="00B420D2">
              <w:rPr>
                <w:sz w:val="24"/>
                <w:lang w:val="lv-LV"/>
              </w:rPr>
              <w:lastRenderedPageBreak/>
              <w:t>6. Iemesli, kādēļ netika nodrošināta sabiedrības līdzdalība</w:t>
            </w:r>
          </w:p>
        </w:tc>
        <w:tc>
          <w:tcPr>
            <w:tcW w:w="6181" w:type="dxa"/>
          </w:tcPr>
          <w:p w:rsidR="005E440E" w:rsidRPr="00B420D2" w:rsidRDefault="00232ECC" w:rsidP="00B420D2">
            <w:pPr>
              <w:pStyle w:val="naisc"/>
              <w:spacing w:before="0" w:beforeAutospacing="0" w:after="0" w:afterAutospacing="0"/>
              <w:jc w:val="both"/>
              <w:rPr>
                <w:sz w:val="24"/>
                <w:szCs w:val="24"/>
                <w:lang w:val="lv-LV"/>
              </w:rPr>
            </w:pPr>
            <w:r w:rsidRPr="00B420D2">
              <w:rPr>
                <w:rStyle w:val="apple-style-span"/>
                <w:color w:val="000000"/>
                <w:sz w:val="24"/>
                <w:szCs w:val="20"/>
                <w:lang w:val="lv-LV"/>
              </w:rPr>
              <w:t>I</w:t>
            </w:r>
            <w:r w:rsidR="00E048A7" w:rsidRPr="00B420D2">
              <w:rPr>
                <w:rStyle w:val="apple-style-span"/>
                <w:color w:val="000000"/>
                <w:sz w:val="24"/>
                <w:szCs w:val="20"/>
                <w:lang w:val="lv-LV"/>
              </w:rPr>
              <w:t>epriekšminētie likumprojekti par grozījumiem Darba likumā, Latvijas Administratīvo pārkāpumu kodeksā un Krimināllikumā pirms t</w:t>
            </w:r>
            <w:r w:rsidRPr="00B420D2">
              <w:rPr>
                <w:rStyle w:val="apple-style-span"/>
                <w:color w:val="000000"/>
                <w:sz w:val="24"/>
                <w:szCs w:val="20"/>
                <w:lang w:val="lv-LV"/>
              </w:rPr>
              <w:t>o</w:t>
            </w:r>
            <w:r w:rsidR="00E048A7" w:rsidRPr="00B420D2">
              <w:rPr>
                <w:rStyle w:val="apple-style-span"/>
                <w:color w:val="000000"/>
                <w:sz w:val="24"/>
                <w:szCs w:val="20"/>
                <w:lang w:val="lv-LV"/>
              </w:rPr>
              <w:t xml:space="preserve"> izsludināšanas Valsts sekretāru sanāksmē </w:t>
            </w:r>
            <w:r w:rsidRPr="00B420D2">
              <w:rPr>
                <w:rStyle w:val="apple-style-span"/>
                <w:color w:val="000000"/>
                <w:sz w:val="24"/>
                <w:szCs w:val="20"/>
                <w:lang w:val="lv-LV"/>
              </w:rPr>
              <w:t xml:space="preserve">tika </w:t>
            </w:r>
            <w:r w:rsidR="00E048A7" w:rsidRPr="00B420D2">
              <w:rPr>
                <w:rStyle w:val="apple-style-span"/>
                <w:color w:val="000000"/>
                <w:sz w:val="24"/>
                <w:szCs w:val="20"/>
                <w:lang w:val="lv-LV"/>
              </w:rPr>
              <w:t>saskaņot</w:t>
            </w:r>
            <w:r w:rsidRPr="00B420D2">
              <w:rPr>
                <w:rStyle w:val="apple-style-span"/>
                <w:color w:val="000000"/>
                <w:sz w:val="24"/>
                <w:szCs w:val="20"/>
                <w:lang w:val="lv-LV"/>
              </w:rPr>
              <w:t>i</w:t>
            </w:r>
            <w:r w:rsidR="00E048A7" w:rsidRPr="00B420D2">
              <w:rPr>
                <w:rStyle w:val="apple-converted-space"/>
                <w:color w:val="000000"/>
                <w:sz w:val="24"/>
                <w:szCs w:val="20"/>
                <w:lang w:val="lv-LV"/>
              </w:rPr>
              <w:t> </w:t>
            </w:r>
            <w:r w:rsidR="00E048A7" w:rsidRPr="00B420D2">
              <w:rPr>
                <w:rStyle w:val="Strong"/>
                <w:b w:val="0"/>
                <w:bCs w:val="0"/>
                <w:color w:val="000000"/>
                <w:sz w:val="24"/>
                <w:szCs w:val="20"/>
                <w:lang w:val="lv-LV"/>
              </w:rPr>
              <w:t>ar valdības sociālajiem partneriem – Latvijas Brīvo arodbiedrību savienību un Latvijas Darba devēju konfederāciju.</w:t>
            </w:r>
            <w:r w:rsidRPr="00B420D2">
              <w:rPr>
                <w:rStyle w:val="Strong"/>
                <w:b w:val="0"/>
                <w:bCs w:val="0"/>
                <w:color w:val="000000"/>
                <w:sz w:val="24"/>
                <w:szCs w:val="20"/>
                <w:lang w:val="lv-LV"/>
              </w:rPr>
              <w:t xml:space="preserve"> Tā kā MK noteikumu projekts papildina neatbilstības skaidrojumu, attiecinot to arī uz noteiktu administratīvo pārkāpumu un noziedzīgu nodarījumu, kas minēti šajos likumprojektos, un šī prasība tieši izriet no Direktīvas, papildus diskusijas ar sabiedrības pārstāvjiem nebija nepieciešamas.  </w:t>
            </w:r>
          </w:p>
        </w:tc>
      </w:tr>
      <w:tr w:rsidR="004E415F" w:rsidRPr="00B420D2" w:rsidTr="00E06F12">
        <w:tc>
          <w:tcPr>
            <w:tcW w:w="3175" w:type="dxa"/>
          </w:tcPr>
          <w:p w:rsidR="004E415F" w:rsidRPr="00B420D2" w:rsidRDefault="004E415F" w:rsidP="00B420D2">
            <w:pPr>
              <w:pStyle w:val="naisc"/>
              <w:spacing w:before="0" w:beforeAutospacing="0" w:after="0" w:afterAutospacing="0"/>
              <w:jc w:val="left"/>
              <w:rPr>
                <w:sz w:val="24"/>
                <w:lang w:val="lv-LV"/>
              </w:rPr>
            </w:pPr>
            <w:r w:rsidRPr="00B420D2">
              <w:rPr>
                <w:sz w:val="24"/>
                <w:lang w:val="lv-LV"/>
              </w:rPr>
              <w:t>7. Cita informācija</w:t>
            </w:r>
          </w:p>
        </w:tc>
        <w:tc>
          <w:tcPr>
            <w:tcW w:w="6181" w:type="dxa"/>
          </w:tcPr>
          <w:p w:rsidR="004D4045" w:rsidRPr="00B420D2" w:rsidRDefault="004E415F" w:rsidP="00B420D2">
            <w:pPr>
              <w:pStyle w:val="naisc"/>
              <w:spacing w:before="0" w:beforeAutospacing="0" w:after="0" w:afterAutospacing="0"/>
              <w:jc w:val="left"/>
              <w:rPr>
                <w:sz w:val="24"/>
                <w:szCs w:val="24"/>
                <w:lang w:val="lv-LV"/>
              </w:rPr>
            </w:pPr>
            <w:r w:rsidRPr="00B420D2">
              <w:rPr>
                <w:sz w:val="24"/>
                <w:szCs w:val="24"/>
                <w:lang w:val="lv-LV"/>
              </w:rPr>
              <w:t>Nav</w:t>
            </w:r>
          </w:p>
        </w:tc>
      </w:tr>
    </w:tbl>
    <w:p w:rsidR="0023550B" w:rsidRPr="00B420D2" w:rsidRDefault="0023550B" w:rsidP="00B420D2">
      <w:pPr>
        <w:rPr>
          <w:lang w:val="lv-LV"/>
        </w:rPr>
      </w:pPr>
    </w:p>
    <w:p w:rsidR="00E06F12" w:rsidRPr="00B420D2" w:rsidRDefault="00E06F12" w:rsidP="00B420D2">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781"/>
        <w:gridCol w:w="7110"/>
      </w:tblGrid>
      <w:tr w:rsidR="00E06F12" w:rsidRPr="007F7AC9" w:rsidTr="00A54512">
        <w:tc>
          <w:tcPr>
            <w:tcW w:w="9287" w:type="dxa"/>
            <w:gridSpan w:val="3"/>
          </w:tcPr>
          <w:p w:rsidR="00E06F12" w:rsidRPr="00B420D2" w:rsidRDefault="00E06F12" w:rsidP="00B420D2">
            <w:pPr>
              <w:jc w:val="center"/>
              <w:rPr>
                <w:b/>
                <w:lang w:val="lv-LV"/>
              </w:rPr>
            </w:pPr>
            <w:r w:rsidRPr="00B420D2">
              <w:rPr>
                <w:b/>
                <w:lang w:val="lv-LV"/>
              </w:rPr>
              <w:t>II</w:t>
            </w:r>
            <w:r w:rsidR="00844541" w:rsidRPr="00B420D2">
              <w:rPr>
                <w:b/>
                <w:lang w:val="lv-LV"/>
              </w:rPr>
              <w:t>.</w:t>
            </w:r>
            <w:r w:rsidRPr="00B420D2">
              <w:rPr>
                <w:b/>
                <w:lang w:val="lv-LV"/>
              </w:rPr>
              <w:t xml:space="preserve"> Tiesību </w:t>
            </w:r>
            <w:smartTag w:uri="schemas-tilde-lv/tildestengine" w:element="veidnes">
              <w:smartTagPr>
                <w:attr w:name="baseform" w:val="akt|s"/>
                <w:attr w:name="id" w:val="-1"/>
                <w:attr w:name="text" w:val="akta"/>
              </w:smartTagPr>
              <w:r w:rsidRPr="00B420D2">
                <w:rPr>
                  <w:b/>
                  <w:lang w:val="lv-LV"/>
                </w:rPr>
                <w:t>akta</w:t>
              </w:r>
            </w:smartTag>
            <w:r w:rsidRPr="00B420D2">
              <w:rPr>
                <w:b/>
                <w:lang w:val="lv-LV"/>
              </w:rPr>
              <w:t xml:space="preserve"> projekta ietekme uz sabiedrību</w:t>
            </w:r>
          </w:p>
          <w:p w:rsidR="00844541" w:rsidRPr="00B420D2" w:rsidRDefault="00844541" w:rsidP="00B420D2">
            <w:pPr>
              <w:jc w:val="center"/>
              <w:rPr>
                <w:b/>
                <w:lang w:val="lv-LV"/>
              </w:rPr>
            </w:pPr>
          </w:p>
        </w:tc>
      </w:tr>
      <w:tr w:rsidR="00E06F12" w:rsidRPr="007F7AC9" w:rsidTr="00A54512">
        <w:tc>
          <w:tcPr>
            <w:tcW w:w="396" w:type="dxa"/>
          </w:tcPr>
          <w:p w:rsidR="00E06F12" w:rsidRPr="00B420D2" w:rsidRDefault="00E06F12" w:rsidP="00B420D2">
            <w:pPr>
              <w:rPr>
                <w:lang w:val="lv-LV"/>
              </w:rPr>
            </w:pPr>
            <w:r w:rsidRPr="00B420D2">
              <w:rPr>
                <w:lang w:val="lv-LV"/>
              </w:rPr>
              <w:t>1.</w:t>
            </w:r>
          </w:p>
        </w:tc>
        <w:tc>
          <w:tcPr>
            <w:tcW w:w="1781" w:type="dxa"/>
          </w:tcPr>
          <w:p w:rsidR="00E06F12" w:rsidRPr="00B420D2" w:rsidRDefault="00E06F12" w:rsidP="00B420D2">
            <w:pPr>
              <w:rPr>
                <w:lang w:val="lv-LV"/>
              </w:rPr>
            </w:pPr>
            <w:r w:rsidRPr="00B420D2">
              <w:rPr>
                <w:lang w:val="lv-LV"/>
              </w:rPr>
              <w:t>Sabiedrības mērķgrupa</w:t>
            </w:r>
          </w:p>
        </w:tc>
        <w:tc>
          <w:tcPr>
            <w:tcW w:w="7110" w:type="dxa"/>
          </w:tcPr>
          <w:p w:rsidR="00E06F12" w:rsidRPr="00B420D2" w:rsidRDefault="00E06F12" w:rsidP="00B420D2">
            <w:pPr>
              <w:autoSpaceDE w:val="0"/>
              <w:autoSpaceDN w:val="0"/>
              <w:adjustRightInd w:val="0"/>
              <w:jc w:val="both"/>
              <w:rPr>
                <w:lang w:val="lv-LV"/>
              </w:rPr>
            </w:pPr>
            <w:r w:rsidRPr="00B420D2">
              <w:rPr>
                <w:lang w:val="lv-LV"/>
              </w:rPr>
              <w:t xml:space="preserve">Darba devēji, kuri nodarbina personas, kuras nav tiesīgas uzturēties Latvijas Republikā, un kuri ir Eiropas Savienības struktūrfondu vai Kohēzijas fonda </w:t>
            </w:r>
            <w:r w:rsidR="009A7453" w:rsidRPr="00B420D2">
              <w:rPr>
                <w:lang w:val="lv-LV"/>
              </w:rPr>
              <w:t xml:space="preserve">(turpmāk – ES fondi) </w:t>
            </w:r>
            <w:r w:rsidRPr="00B420D2">
              <w:rPr>
                <w:lang w:val="lv-LV"/>
              </w:rPr>
              <w:t>saņēmēji 2007.-2013.gada plānošanas periodā.</w:t>
            </w:r>
          </w:p>
        </w:tc>
      </w:tr>
      <w:tr w:rsidR="00E06F12" w:rsidRPr="00B420D2" w:rsidTr="00A54512">
        <w:tc>
          <w:tcPr>
            <w:tcW w:w="396" w:type="dxa"/>
          </w:tcPr>
          <w:p w:rsidR="00E06F12" w:rsidRPr="00B420D2" w:rsidRDefault="00E06F12" w:rsidP="00B420D2">
            <w:pPr>
              <w:rPr>
                <w:lang w:val="lv-LV"/>
              </w:rPr>
            </w:pPr>
            <w:r w:rsidRPr="00B420D2">
              <w:rPr>
                <w:lang w:val="lv-LV"/>
              </w:rPr>
              <w:t xml:space="preserve">2. </w:t>
            </w:r>
          </w:p>
        </w:tc>
        <w:tc>
          <w:tcPr>
            <w:tcW w:w="1781" w:type="dxa"/>
          </w:tcPr>
          <w:p w:rsidR="00E06F12" w:rsidRPr="00B420D2" w:rsidRDefault="00E06F12" w:rsidP="00B420D2">
            <w:pPr>
              <w:rPr>
                <w:lang w:val="lv-LV"/>
              </w:rPr>
            </w:pPr>
            <w:r w:rsidRPr="00B420D2">
              <w:rPr>
                <w:lang w:val="lv-LV"/>
              </w:rPr>
              <w:t>Citas sabiedrības grupas (bez mērķgrupas), kuras tiesiskais regulējuma arī ietekmē vai varētu ietekmēt</w:t>
            </w:r>
          </w:p>
        </w:tc>
        <w:tc>
          <w:tcPr>
            <w:tcW w:w="7110" w:type="dxa"/>
          </w:tcPr>
          <w:p w:rsidR="00E06F12" w:rsidRPr="00B420D2" w:rsidRDefault="009A7453" w:rsidP="00B420D2">
            <w:pPr>
              <w:jc w:val="both"/>
              <w:rPr>
                <w:lang w:val="lv-LV"/>
              </w:rPr>
            </w:pPr>
            <w:r w:rsidRPr="00B420D2">
              <w:rPr>
                <w:lang w:val="lv-LV"/>
              </w:rPr>
              <w:t>Nav attiecināms</w:t>
            </w:r>
          </w:p>
          <w:p w:rsidR="00E06F12" w:rsidRPr="00B420D2" w:rsidRDefault="00E06F12" w:rsidP="00B420D2">
            <w:pPr>
              <w:jc w:val="both"/>
              <w:rPr>
                <w:lang w:val="lv-LV"/>
              </w:rPr>
            </w:pPr>
          </w:p>
        </w:tc>
      </w:tr>
      <w:tr w:rsidR="00E06F12" w:rsidRPr="007F7AC9" w:rsidTr="00A54512">
        <w:tc>
          <w:tcPr>
            <w:tcW w:w="396" w:type="dxa"/>
          </w:tcPr>
          <w:p w:rsidR="00E06F12" w:rsidRPr="00B420D2" w:rsidRDefault="00E06F12" w:rsidP="00B420D2">
            <w:pPr>
              <w:rPr>
                <w:lang w:val="lv-LV"/>
              </w:rPr>
            </w:pPr>
            <w:r w:rsidRPr="00B420D2">
              <w:rPr>
                <w:lang w:val="lv-LV"/>
              </w:rPr>
              <w:t xml:space="preserve">3. </w:t>
            </w:r>
          </w:p>
        </w:tc>
        <w:tc>
          <w:tcPr>
            <w:tcW w:w="1781" w:type="dxa"/>
          </w:tcPr>
          <w:p w:rsidR="00E06F12" w:rsidRPr="00B420D2" w:rsidRDefault="00E06F12" w:rsidP="00B420D2">
            <w:pPr>
              <w:rPr>
                <w:lang w:val="lv-LV"/>
              </w:rPr>
            </w:pPr>
            <w:r w:rsidRPr="00B420D2">
              <w:rPr>
                <w:lang w:val="lv-LV"/>
              </w:rPr>
              <w:t>Tiesiskā regulējuma finansiālā ietekme</w:t>
            </w:r>
          </w:p>
        </w:tc>
        <w:tc>
          <w:tcPr>
            <w:tcW w:w="7110" w:type="dxa"/>
          </w:tcPr>
          <w:p w:rsidR="00E06F12" w:rsidRPr="00B420D2" w:rsidRDefault="00E06F12" w:rsidP="00B420D2">
            <w:pPr>
              <w:jc w:val="both"/>
              <w:rPr>
                <w:lang w:val="lv-LV"/>
              </w:rPr>
            </w:pPr>
            <w:r w:rsidRPr="00B420D2">
              <w:rPr>
                <w:lang w:val="lv-LV"/>
              </w:rPr>
              <w:t xml:space="preserve">Precīzu </w:t>
            </w:r>
            <w:r w:rsidR="009A7453" w:rsidRPr="00B420D2">
              <w:rPr>
                <w:lang w:val="lv-LV"/>
              </w:rPr>
              <w:t>MK noteikumu projekta</w:t>
            </w:r>
            <w:r w:rsidRPr="00B420D2">
              <w:rPr>
                <w:lang w:val="lv-LV"/>
              </w:rPr>
              <w:t xml:space="preserve"> finansiālo ietekmi noteikt nav iespējams, jo šobrīd no to darba devēju vidus, kuri tiek sodīti par personu, kurām nav darba atļaujas, nodarbināšanu, netiek atsevišķi izdalīti un uzskaitīti darba devēji, kuri ir nodarbinājuši personas, kuras nav tiesīga</w:t>
            </w:r>
            <w:r w:rsidR="009A7453" w:rsidRPr="00B420D2">
              <w:rPr>
                <w:lang w:val="lv-LV"/>
              </w:rPr>
              <w:t>s uzturēties Latvijas Republikā</w:t>
            </w:r>
            <w:r w:rsidRPr="00B420D2">
              <w:rPr>
                <w:lang w:val="lv-LV"/>
              </w:rPr>
              <w:t xml:space="preserve">. </w:t>
            </w:r>
          </w:p>
        </w:tc>
      </w:tr>
      <w:tr w:rsidR="00E06F12" w:rsidRPr="007F7AC9" w:rsidTr="00A54512">
        <w:tc>
          <w:tcPr>
            <w:tcW w:w="396" w:type="dxa"/>
          </w:tcPr>
          <w:p w:rsidR="00E06F12" w:rsidRPr="00B420D2" w:rsidRDefault="00E06F12" w:rsidP="00B420D2">
            <w:pPr>
              <w:rPr>
                <w:lang w:val="lv-LV"/>
              </w:rPr>
            </w:pPr>
            <w:r w:rsidRPr="00B420D2">
              <w:rPr>
                <w:lang w:val="lv-LV"/>
              </w:rPr>
              <w:t>4.</w:t>
            </w:r>
          </w:p>
        </w:tc>
        <w:tc>
          <w:tcPr>
            <w:tcW w:w="1781" w:type="dxa"/>
          </w:tcPr>
          <w:p w:rsidR="00E06F12" w:rsidRPr="00B420D2" w:rsidRDefault="00E06F12" w:rsidP="00B420D2">
            <w:pPr>
              <w:rPr>
                <w:lang w:val="lv-LV"/>
              </w:rPr>
            </w:pPr>
            <w:r w:rsidRPr="00B420D2">
              <w:rPr>
                <w:lang w:val="lv-LV"/>
              </w:rPr>
              <w:t>Tiesiskā regulējuma nefinansiālā ietekme</w:t>
            </w:r>
          </w:p>
        </w:tc>
        <w:tc>
          <w:tcPr>
            <w:tcW w:w="7110" w:type="dxa"/>
          </w:tcPr>
          <w:p w:rsidR="00E06F12" w:rsidRPr="00B420D2" w:rsidRDefault="00E06F12" w:rsidP="00B420D2">
            <w:pPr>
              <w:autoSpaceDE w:val="0"/>
              <w:autoSpaceDN w:val="0"/>
              <w:adjustRightInd w:val="0"/>
              <w:jc w:val="both"/>
              <w:rPr>
                <w:lang w:val="lv-LV"/>
              </w:rPr>
            </w:pPr>
            <w:r w:rsidRPr="00B420D2">
              <w:rPr>
                <w:lang w:val="lv-LV"/>
              </w:rPr>
              <w:t xml:space="preserve">Nosakot </w:t>
            </w:r>
            <w:r w:rsidR="009A7453" w:rsidRPr="00B420D2">
              <w:rPr>
                <w:lang w:val="lv-LV"/>
              </w:rPr>
              <w:t xml:space="preserve">atbildīgajām iestādēm un sadarbības iestādēm pienākumu atgūt finansējuma saņēmējam izmaksāto finansējumu ES fonda projekta īstenošanai, ja tas kā darba devējs sodīts </w:t>
            </w:r>
            <w:r w:rsidRPr="00B420D2">
              <w:rPr>
                <w:lang w:val="lv-LV"/>
              </w:rPr>
              <w:t xml:space="preserve">administratīvo sodu </w:t>
            </w:r>
            <w:r w:rsidR="009A7453" w:rsidRPr="00B420D2">
              <w:rPr>
                <w:lang w:val="lv-LV"/>
              </w:rPr>
              <w:t xml:space="preserve">vai kriminālsodu </w:t>
            </w:r>
            <w:r w:rsidRPr="00B420D2">
              <w:rPr>
                <w:lang w:val="lv-LV"/>
              </w:rPr>
              <w:t xml:space="preserve">personu, kuras nav tiesīgas uzturēties Latvijas Republikā, nodarbināšanu, </w:t>
            </w:r>
            <w:r w:rsidR="009A7453" w:rsidRPr="00B420D2">
              <w:rPr>
                <w:lang w:val="lv-LV"/>
              </w:rPr>
              <w:t>finansējuma saņēmēji</w:t>
            </w:r>
            <w:r w:rsidRPr="00B420D2">
              <w:rPr>
                <w:lang w:val="lv-LV"/>
              </w:rPr>
              <w:t xml:space="preserve"> tiks atturēti no šādas prettiesiskas rīcības. Rezultātā tiks mazinātas iespējas trešo valstu pilsoņiem nelegāli strādāt Latvijas Republikā un samazināsies nelegālā imigrācija uz</w:t>
            </w:r>
            <w:r w:rsidR="009A7453" w:rsidRPr="00B420D2">
              <w:rPr>
                <w:lang w:val="lv-LV"/>
              </w:rPr>
              <w:t xml:space="preserve"> Latvijas Republiku</w:t>
            </w:r>
            <w:r w:rsidRPr="00B420D2">
              <w:rPr>
                <w:lang w:val="lv-LV"/>
              </w:rPr>
              <w:t>.</w:t>
            </w:r>
          </w:p>
        </w:tc>
      </w:tr>
      <w:tr w:rsidR="00E06F12" w:rsidRPr="007F7AC9" w:rsidTr="00A54512">
        <w:tc>
          <w:tcPr>
            <w:tcW w:w="396" w:type="dxa"/>
          </w:tcPr>
          <w:p w:rsidR="00E06F12" w:rsidRPr="00B420D2" w:rsidRDefault="00E06F12" w:rsidP="00B420D2">
            <w:pPr>
              <w:rPr>
                <w:lang w:val="lv-LV"/>
              </w:rPr>
            </w:pPr>
            <w:r w:rsidRPr="00B420D2">
              <w:rPr>
                <w:lang w:val="lv-LV"/>
              </w:rPr>
              <w:t>5.</w:t>
            </w:r>
          </w:p>
        </w:tc>
        <w:tc>
          <w:tcPr>
            <w:tcW w:w="1781" w:type="dxa"/>
          </w:tcPr>
          <w:p w:rsidR="00E06F12" w:rsidRPr="00B420D2" w:rsidRDefault="00E06F12" w:rsidP="00B420D2">
            <w:pPr>
              <w:rPr>
                <w:lang w:val="lv-LV"/>
              </w:rPr>
            </w:pPr>
            <w:r w:rsidRPr="00B420D2">
              <w:rPr>
                <w:lang w:val="lv-LV"/>
              </w:rPr>
              <w:t>Administratīvās procedūras raksturojums</w:t>
            </w:r>
          </w:p>
        </w:tc>
        <w:tc>
          <w:tcPr>
            <w:tcW w:w="7110" w:type="dxa"/>
          </w:tcPr>
          <w:p w:rsidR="00E06F12" w:rsidRPr="00B420D2" w:rsidRDefault="009A7453" w:rsidP="00B420D2">
            <w:pPr>
              <w:jc w:val="both"/>
              <w:rPr>
                <w:lang w:val="lv-LV"/>
              </w:rPr>
            </w:pPr>
            <w:r w:rsidRPr="00B420D2">
              <w:rPr>
                <w:lang w:val="lv-LV"/>
              </w:rPr>
              <w:t>ES fonda finansējuma saņēmējam izmaks</w:t>
            </w:r>
            <w:r w:rsidR="00844541" w:rsidRPr="00B420D2">
              <w:rPr>
                <w:lang w:val="lv-LV"/>
              </w:rPr>
              <w:t>ātā</w:t>
            </w:r>
            <w:r w:rsidRPr="00B420D2">
              <w:rPr>
                <w:lang w:val="lv-LV"/>
              </w:rPr>
              <w:t xml:space="preserve"> finans</w:t>
            </w:r>
            <w:r w:rsidR="00844541" w:rsidRPr="00B420D2">
              <w:rPr>
                <w:lang w:val="lv-LV"/>
              </w:rPr>
              <w:t>ējuma</w:t>
            </w:r>
            <w:r w:rsidRPr="00B420D2">
              <w:rPr>
                <w:lang w:val="lv-LV"/>
              </w:rPr>
              <w:t xml:space="preserve"> ES fonda projekta īstenošanai</w:t>
            </w:r>
            <w:r w:rsidR="00844541" w:rsidRPr="00B420D2">
              <w:rPr>
                <w:lang w:val="lv-LV"/>
              </w:rPr>
              <w:t xml:space="preserve"> atgūšana</w:t>
            </w:r>
            <w:r w:rsidRPr="00B420D2">
              <w:rPr>
                <w:lang w:val="lv-LV"/>
              </w:rPr>
              <w:t>, ja tas kā darba devējs sodīts administratīvo sodu vai kriminālsodu personu, kuras nav tiesīgas uzturēties Latvijas Republikā, nodarbināšanu</w:t>
            </w:r>
            <w:r w:rsidR="00844541" w:rsidRPr="00B420D2">
              <w:rPr>
                <w:lang w:val="lv-LV"/>
              </w:rPr>
              <w:t>, atkarībā no finansējuma saņēmēja statusa tiks īstenota MK noteikumu Nr.740 19.3.apakšpunktā vai 25.3.apkakšpunktā noteiktajā kārtībā.</w:t>
            </w:r>
          </w:p>
        </w:tc>
      </w:tr>
      <w:tr w:rsidR="00E06F12" w:rsidRPr="00B420D2" w:rsidTr="00A54512">
        <w:tc>
          <w:tcPr>
            <w:tcW w:w="396" w:type="dxa"/>
          </w:tcPr>
          <w:p w:rsidR="00E06F12" w:rsidRPr="00B420D2" w:rsidRDefault="00E06F12" w:rsidP="00B420D2">
            <w:pPr>
              <w:rPr>
                <w:lang w:val="lv-LV"/>
              </w:rPr>
            </w:pPr>
            <w:r w:rsidRPr="00B420D2">
              <w:rPr>
                <w:lang w:val="lv-LV"/>
              </w:rPr>
              <w:t>6.</w:t>
            </w:r>
          </w:p>
        </w:tc>
        <w:tc>
          <w:tcPr>
            <w:tcW w:w="1781" w:type="dxa"/>
          </w:tcPr>
          <w:p w:rsidR="00E06F12" w:rsidRPr="00B420D2" w:rsidRDefault="00E06F12" w:rsidP="00B420D2">
            <w:pPr>
              <w:rPr>
                <w:lang w:val="lv-LV"/>
              </w:rPr>
            </w:pPr>
            <w:r w:rsidRPr="00B420D2">
              <w:rPr>
                <w:lang w:val="lv-LV"/>
              </w:rPr>
              <w:t xml:space="preserve">Administratīvo izmaksu monetārs </w:t>
            </w:r>
            <w:r w:rsidRPr="00B420D2">
              <w:rPr>
                <w:lang w:val="lv-LV"/>
              </w:rPr>
              <w:lastRenderedPageBreak/>
              <w:t>novērtējums</w:t>
            </w:r>
          </w:p>
        </w:tc>
        <w:tc>
          <w:tcPr>
            <w:tcW w:w="7110" w:type="dxa"/>
          </w:tcPr>
          <w:p w:rsidR="00E06F12" w:rsidRPr="00B420D2" w:rsidRDefault="00844541" w:rsidP="00B420D2">
            <w:pPr>
              <w:jc w:val="both"/>
              <w:rPr>
                <w:lang w:val="lv-LV"/>
              </w:rPr>
            </w:pPr>
            <w:r w:rsidRPr="00B420D2">
              <w:rPr>
                <w:iCs/>
                <w:lang w:val="lv-LV"/>
              </w:rPr>
              <w:lastRenderedPageBreak/>
              <w:t>Nav attiecināms</w:t>
            </w:r>
          </w:p>
        </w:tc>
      </w:tr>
      <w:tr w:rsidR="00E06F12" w:rsidRPr="00B420D2" w:rsidTr="00A54512">
        <w:tc>
          <w:tcPr>
            <w:tcW w:w="396" w:type="dxa"/>
          </w:tcPr>
          <w:p w:rsidR="00E06F12" w:rsidRPr="00B420D2" w:rsidRDefault="00E06F12" w:rsidP="00B420D2">
            <w:pPr>
              <w:rPr>
                <w:lang w:val="lv-LV"/>
              </w:rPr>
            </w:pPr>
            <w:r w:rsidRPr="00B420D2">
              <w:rPr>
                <w:lang w:val="lv-LV"/>
              </w:rPr>
              <w:lastRenderedPageBreak/>
              <w:t xml:space="preserve">7. </w:t>
            </w:r>
          </w:p>
        </w:tc>
        <w:tc>
          <w:tcPr>
            <w:tcW w:w="1781" w:type="dxa"/>
          </w:tcPr>
          <w:p w:rsidR="00E06F12" w:rsidRPr="00B420D2" w:rsidRDefault="00E06F12" w:rsidP="00B420D2">
            <w:pPr>
              <w:rPr>
                <w:lang w:val="lv-LV"/>
              </w:rPr>
            </w:pPr>
            <w:r w:rsidRPr="00B420D2">
              <w:rPr>
                <w:lang w:val="lv-LV"/>
              </w:rPr>
              <w:t>Cita informācija</w:t>
            </w:r>
          </w:p>
        </w:tc>
        <w:tc>
          <w:tcPr>
            <w:tcW w:w="7110" w:type="dxa"/>
          </w:tcPr>
          <w:p w:rsidR="00E06F12" w:rsidRPr="00B420D2" w:rsidRDefault="00E06F12" w:rsidP="00B420D2">
            <w:pPr>
              <w:pStyle w:val="naiskr"/>
              <w:spacing w:before="0" w:after="0"/>
              <w:jc w:val="both"/>
            </w:pPr>
            <w:r w:rsidRPr="00B420D2">
              <w:t>Nav</w:t>
            </w:r>
          </w:p>
        </w:tc>
      </w:tr>
    </w:tbl>
    <w:p w:rsidR="00E06F12" w:rsidRDefault="00E06F12" w:rsidP="00B420D2">
      <w:pPr>
        <w:jc w:val="center"/>
        <w:rPr>
          <w:b/>
          <w:lang w:val="lv-LV"/>
        </w:rPr>
      </w:pPr>
    </w:p>
    <w:p w:rsidR="00715AF5" w:rsidRPr="003E6F29" w:rsidRDefault="00EE5DEF" w:rsidP="00B420D2">
      <w:pPr>
        <w:jc w:val="center"/>
        <w:rPr>
          <w:b/>
          <w:lang w:val="lv-LV"/>
        </w:rPr>
      </w:pPr>
      <w:r>
        <w:rPr>
          <w:b/>
          <w:lang w:val="lv-LV"/>
        </w:rPr>
        <w:t xml:space="preserve">Anotācijas </w:t>
      </w:r>
      <w:proofErr w:type="spellStart"/>
      <w:r>
        <w:rPr>
          <w:b/>
          <w:lang w:val="lv-LV"/>
        </w:rPr>
        <w:t>III.sadaļa</w:t>
      </w:r>
      <w:proofErr w:type="spellEnd"/>
      <w:r>
        <w:rPr>
          <w:b/>
          <w:lang w:val="lv-LV"/>
        </w:rPr>
        <w:t xml:space="preserve"> – nav attiecināms</w:t>
      </w:r>
    </w:p>
    <w:p w:rsidR="00E06F12" w:rsidRPr="00B420D2" w:rsidRDefault="00E06F12" w:rsidP="00B420D2">
      <w:pPr>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589"/>
        <w:gridCol w:w="6302"/>
      </w:tblGrid>
      <w:tr w:rsidR="00E06F12" w:rsidRPr="007F7AC9" w:rsidTr="00A54512">
        <w:tc>
          <w:tcPr>
            <w:tcW w:w="9287" w:type="dxa"/>
            <w:gridSpan w:val="3"/>
          </w:tcPr>
          <w:p w:rsidR="00E06F12" w:rsidRPr="00B420D2" w:rsidRDefault="00E06F12" w:rsidP="00B420D2">
            <w:pPr>
              <w:jc w:val="center"/>
              <w:rPr>
                <w:b/>
                <w:lang w:val="lv-LV"/>
              </w:rPr>
            </w:pPr>
            <w:r w:rsidRPr="00B420D2">
              <w:rPr>
                <w:b/>
                <w:lang w:val="lv-LV"/>
              </w:rPr>
              <w:t>IV</w:t>
            </w:r>
            <w:r w:rsidR="00844541" w:rsidRPr="00B420D2">
              <w:rPr>
                <w:b/>
                <w:lang w:val="lv-LV"/>
              </w:rPr>
              <w:t>.</w:t>
            </w:r>
            <w:r w:rsidRPr="00B420D2">
              <w:rPr>
                <w:b/>
                <w:lang w:val="lv-LV"/>
              </w:rPr>
              <w:t xml:space="preserve">  Tiesību akta projekta ietekme uz spēkā esošo tiesību normu sistēmu</w:t>
            </w:r>
          </w:p>
          <w:p w:rsidR="00844541" w:rsidRPr="00B420D2" w:rsidRDefault="00844541" w:rsidP="00B420D2">
            <w:pPr>
              <w:jc w:val="center"/>
              <w:rPr>
                <w:lang w:val="lv-LV"/>
              </w:rPr>
            </w:pPr>
          </w:p>
        </w:tc>
      </w:tr>
      <w:tr w:rsidR="00E06F12" w:rsidRPr="007F7AC9" w:rsidTr="00A54512">
        <w:tc>
          <w:tcPr>
            <w:tcW w:w="396" w:type="dxa"/>
          </w:tcPr>
          <w:p w:rsidR="00E06F12" w:rsidRPr="00B420D2" w:rsidRDefault="00E06F12" w:rsidP="00B420D2">
            <w:pPr>
              <w:jc w:val="center"/>
              <w:rPr>
                <w:lang w:val="lv-LV"/>
              </w:rPr>
            </w:pPr>
            <w:r w:rsidRPr="00B420D2">
              <w:rPr>
                <w:lang w:val="lv-LV"/>
              </w:rPr>
              <w:t>1.</w:t>
            </w:r>
          </w:p>
        </w:tc>
        <w:tc>
          <w:tcPr>
            <w:tcW w:w="2589" w:type="dxa"/>
          </w:tcPr>
          <w:p w:rsidR="00E06F12" w:rsidRPr="00B420D2" w:rsidRDefault="00E06F12" w:rsidP="00B420D2">
            <w:pPr>
              <w:rPr>
                <w:lang w:val="lv-LV"/>
              </w:rPr>
            </w:pPr>
            <w:r w:rsidRPr="00B420D2">
              <w:rPr>
                <w:lang w:val="lv-LV"/>
              </w:rPr>
              <w:t>Nepieciešamie saistītie tiesību akta projekti</w:t>
            </w:r>
          </w:p>
        </w:tc>
        <w:tc>
          <w:tcPr>
            <w:tcW w:w="6302" w:type="dxa"/>
          </w:tcPr>
          <w:p w:rsidR="00E06F12" w:rsidRPr="00B420D2" w:rsidRDefault="00E06F12" w:rsidP="006C66FF">
            <w:pPr>
              <w:tabs>
                <w:tab w:val="left" w:pos="900"/>
              </w:tabs>
              <w:jc w:val="both"/>
              <w:rPr>
                <w:lang w:val="lv-LV"/>
              </w:rPr>
            </w:pPr>
            <w:r w:rsidRPr="00B420D2">
              <w:rPr>
                <w:lang w:val="lv-LV"/>
              </w:rPr>
              <w:t xml:space="preserve">Lai pārņemtu Direktīvas </w:t>
            </w:r>
            <w:r w:rsidR="00844541" w:rsidRPr="00B420D2">
              <w:rPr>
                <w:lang w:val="lv-LV"/>
              </w:rPr>
              <w:t xml:space="preserve">7.panta 1.punkta a) apakšpunkta </w:t>
            </w:r>
            <w:r w:rsidRPr="00B420D2">
              <w:rPr>
                <w:lang w:val="lv-LV"/>
              </w:rPr>
              <w:t>prasības</w:t>
            </w:r>
            <w:r w:rsidR="00D84EB1">
              <w:rPr>
                <w:lang w:val="lv-LV"/>
              </w:rPr>
              <w:t>,</w:t>
            </w:r>
            <w:r w:rsidRPr="00B420D2">
              <w:rPr>
                <w:lang w:val="lv-LV"/>
              </w:rPr>
              <w:t xml:space="preserve"> tiks veikti grozījumi </w:t>
            </w:r>
            <w:r w:rsidR="00844541" w:rsidRPr="00B420D2">
              <w:rPr>
                <w:lang w:val="lv-LV"/>
              </w:rPr>
              <w:t xml:space="preserve">MK noteikumos par ES fondu aktivitāšu īstenošanu, ja attiecīgajā aktivitātē pēc 2011.gada 20.jūlija plānots izsludināt projektu iesniegumu atlasi. </w:t>
            </w:r>
            <w:r w:rsidR="00CD5C44" w:rsidRPr="00B420D2">
              <w:rPr>
                <w:lang w:val="lv-LV"/>
              </w:rPr>
              <w:t>Minētajos MK noteikumos tiks iekļauts jauns ES fonda projekta iesnieguma vērtēšanas kritērijs, lai novērtētu, vai projekta iesniedzējs</w:t>
            </w:r>
            <w:r w:rsidR="006C66FF" w:rsidRPr="006C66FF">
              <w:rPr>
                <w:iCs/>
                <w:color w:val="000000"/>
                <w:lang w:val="lv-LV"/>
              </w:rPr>
              <w:t xml:space="preserve"> </w:t>
            </w:r>
            <w:r w:rsidR="006C66FF" w:rsidRPr="00EE5DEF">
              <w:rPr>
                <w:iCs/>
                <w:color w:val="000000"/>
                <w:lang w:val="lv-LV"/>
              </w:rPr>
              <w:t>nav sodīts par Latvijas Administratīvo pārkāpumu kodeksa 189.</w:t>
            </w:r>
            <w:r w:rsidR="006C66FF" w:rsidRPr="00EE5DEF">
              <w:rPr>
                <w:iCs/>
                <w:color w:val="000000"/>
                <w:vertAlign w:val="superscript"/>
                <w:lang w:val="lv-LV"/>
              </w:rPr>
              <w:t>2</w:t>
            </w:r>
            <w:r w:rsidR="006C66FF" w:rsidRPr="00EE5DEF">
              <w:rPr>
                <w:iCs/>
                <w:color w:val="000000"/>
                <w:lang w:val="lv-LV"/>
              </w:rPr>
              <w:t xml:space="preserve">panta trešajā daļā minētā administratīvā pārkāpuma vai Krimināllikuma 280.panta otrajā daļā minētā noziedzīgā nodarījuma izdarīšanu vai tam nav piemēroti piespiedu ietekmēšanas līdzekļi (ja projekta iesniedzējs ir </w:t>
            </w:r>
            <w:r w:rsidR="006C66FF" w:rsidRPr="00EE5DEF">
              <w:rPr>
                <w:bCs/>
                <w:iCs/>
                <w:color w:val="000000"/>
                <w:lang w:val="lv-LV"/>
              </w:rPr>
              <w:t xml:space="preserve">privāto tiesību </w:t>
            </w:r>
            <w:r w:rsidR="006C66FF" w:rsidRPr="00EE5DEF">
              <w:rPr>
                <w:iCs/>
                <w:color w:val="000000"/>
                <w:lang w:val="lv-LV"/>
              </w:rPr>
              <w:t>juridiska persona) par minētā noziedzīgā nodarījuma izdarīšanu</w:t>
            </w:r>
            <w:r w:rsidR="00CD5C44" w:rsidRPr="00EE5DEF">
              <w:rPr>
                <w:lang w:val="lv-LV"/>
              </w:rPr>
              <w:t>.</w:t>
            </w:r>
            <w:r w:rsidR="00CD5C44" w:rsidRPr="00B420D2">
              <w:rPr>
                <w:sz w:val="28"/>
                <w:szCs w:val="26"/>
                <w:lang w:val="lv-LV"/>
              </w:rPr>
              <w:t xml:space="preserve"> </w:t>
            </w:r>
            <w:r w:rsidR="00CD5C44" w:rsidRPr="00B420D2">
              <w:rPr>
                <w:szCs w:val="26"/>
                <w:lang w:val="lv-LV"/>
              </w:rPr>
              <w:t>Tādējādi, ja tiks konstatēts, ka projekta iesniedzējs ir bijis sodīts pat minētajiem pārkāpumiem, projekta iesniegums tiks noraidīts.</w:t>
            </w:r>
          </w:p>
        </w:tc>
      </w:tr>
      <w:tr w:rsidR="00E06F12" w:rsidRPr="00B420D2" w:rsidTr="00A54512">
        <w:tc>
          <w:tcPr>
            <w:tcW w:w="396" w:type="dxa"/>
          </w:tcPr>
          <w:p w:rsidR="00E06F12" w:rsidRPr="00B420D2" w:rsidRDefault="00E06F12" w:rsidP="00B420D2">
            <w:pPr>
              <w:jc w:val="center"/>
              <w:rPr>
                <w:lang w:val="lv-LV"/>
              </w:rPr>
            </w:pPr>
            <w:r w:rsidRPr="00B420D2">
              <w:rPr>
                <w:lang w:val="lv-LV"/>
              </w:rPr>
              <w:t>2.</w:t>
            </w:r>
          </w:p>
        </w:tc>
        <w:tc>
          <w:tcPr>
            <w:tcW w:w="2589" w:type="dxa"/>
          </w:tcPr>
          <w:p w:rsidR="00E06F12" w:rsidRPr="00B420D2" w:rsidRDefault="00E06F12" w:rsidP="00B420D2">
            <w:pPr>
              <w:pStyle w:val="naisf"/>
              <w:spacing w:before="0" w:after="0"/>
              <w:rPr>
                <w:lang w:val="lv-LV"/>
              </w:rPr>
            </w:pPr>
            <w:r w:rsidRPr="00B420D2">
              <w:rPr>
                <w:lang w:val="lv-LV"/>
              </w:rPr>
              <w:t>Cita informācija</w:t>
            </w:r>
          </w:p>
        </w:tc>
        <w:tc>
          <w:tcPr>
            <w:tcW w:w="6302" w:type="dxa"/>
          </w:tcPr>
          <w:p w:rsidR="00E06F12" w:rsidRPr="00B420D2" w:rsidRDefault="00E06F12" w:rsidP="00B420D2">
            <w:pPr>
              <w:pStyle w:val="naisf"/>
              <w:spacing w:before="0" w:after="0"/>
              <w:rPr>
                <w:lang w:val="lv-LV"/>
              </w:rPr>
            </w:pPr>
            <w:r w:rsidRPr="00B420D2">
              <w:rPr>
                <w:lang w:val="lv-LV"/>
              </w:rPr>
              <w:t>Nav</w:t>
            </w:r>
          </w:p>
        </w:tc>
      </w:tr>
    </w:tbl>
    <w:p w:rsidR="00E06F12" w:rsidRPr="00B420D2" w:rsidRDefault="00E06F12" w:rsidP="00B420D2">
      <w:pPr>
        <w:jc w:val="center"/>
        <w:rPr>
          <w:lang w:val="lv-LV"/>
        </w:rPr>
      </w:pPr>
    </w:p>
    <w:p w:rsidR="005E440E" w:rsidRPr="00B420D2" w:rsidRDefault="005E440E" w:rsidP="00B420D2">
      <w:pPr>
        <w:rPr>
          <w:lang w:val="lv-LV"/>
        </w:rPr>
      </w:pP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869"/>
        <w:gridCol w:w="526"/>
        <w:gridCol w:w="1564"/>
        <w:gridCol w:w="174"/>
        <w:gridCol w:w="348"/>
        <w:gridCol w:w="1214"/>
        <w:gridCol w:w="1219"/>
        <w:gridCol w:w="1803"/>
      </w:tblGrid>
      <w:tr w:rsidR="00E06F12" w:rsidRPr="007F7AC9" w:rsidTr="00A54512">
        <w:trPr>
          <w:trHeight w:val="266"/>
        </w:trPr>
        <w:tc>
          <w:tcPr>
            <w:tcW w:w="8841" w:type="dxa"/>
            <w:gridSpan w:val="9"/>
          </w:tcPr>
          <w:p w:rsidR="00E06F12" w:rsidRPr="00B420D2" w:rsidRDefault="00E06F12" w:rsidP="00B420D2">
            <w:pPr>
              <w:jc w:val="center"/>
              <w:rPr>
                <w:b/>
                <w:lang w:val="lv-LV"/>
              </w:rPr>
            </w:pPr>
            <w:r w:rsidRPr="00B420D2">
              <w:rPr>
                <w:b/>
                <w:lang w:val="lv-LV"/>
              </w:rPr>
              <w:t>V.  Tiesību akta projekta atbilstība Latvijas Republikas starptautiskajām saistībām</w:t>
            </w:r>
          </w:p>
        </w:tc>
      </w:tr>
      <w:tr w:rsidR="00E06F12" w:rsidRPr="007F7AC9" w:rsidTr="00A54512">
        <w:trPr>
          <w:trHeight w:val="2612"/>
        </w:trPr>
        <w:tc>
          <w:tcPr>
            <w:tcW w:w="1125" w:type="dxa"/>
          </w:tcPr>
          <w:p w:rsidR="00E06F12" w:rsidRPr="00B420D2" w:rsidRDefault="00E06F12" w:rsidP="00B420D2">
            <w:pPr>
              <w:rPr>
                <w:lang w:val="lv-LV"/>
              </w:rPr>
            </w:pPr>
            <w:r w:rsidRPr="00B420D2">
              <w:rPr>
                <w:lang w:val="lv-LV"/>
              </w:rPr>
              <w:t>1.</w:t>
            </w:r>
          </w:p>
        </w:tc>
        <w:tc>
          <w:tcPr>
            <w:tcW w:w="2959" w:type="dxa"/>
            <w:gridSpan w:val="3"/>
          </w:tcPr>
          <w:p w:rsidR="00E06F12" w:rsidRPr="00B420D2" w:rsidRDefault="00E06F12" w:rsidP="00B420D2">
            <w:pPr>
              <w:rPr>
                <w:lang w:val="lv-LV"/>
              </w:rPr>
            </w:pPr>
            <w:r w:rsidRPr="00B420D2">
              <w:rPr>
                <w:lang w:val="lv-LV"/>
              </w:rPr>
              <w:t>Saistības pret Eiropas Savienību</w:t>
            </w:r>
          </w:p>
        </w:tc>
        <w:tc>
          <w:tcPr>
            <w:tcW w:w="4757" w:type="dxa"/>
            <w:gridSpan w:val="5"/>
          </w:tcPr>
          <w:p w:rsidR="00E06F12" w:rsidRPr="00B420D2" w:rsidRDefault="00E06F12" w:rsidP="00B420D2">
            <w:pPr>
              <w:jc w:val="both"/>
              <w:rPr>
                <w:lang w:val="lv-LV"/>
              </w:rPr>
            </w:pPr>
            <w:r w:rsidRPr="00B420D2">
              <w:rPr>
                <w:szCs w:val="26"/>
                <w:lang w:val="lv-LV"/>
              </w:rPr>
              <w:t xml:space="preserve">Eiropas Parlamenta un Padomes 2009.gada 18.jūnija direktīvas 2009/52/EK, ar ko nosaka minimālos standartus sankcijām un pasākumiem pret darba devēju, kas nodarbina trešo valstu </w:t>
            </w:r>
            <w:proofErr w:type="spellStart"/>
            <w:r w:rsidRPr="00B420D2">
              <w:rPr>
                <w:szCs w:val="26"/>
                <w:lang w:val="lv-LV"/>
              </w:rPr>
              <w:t>valstspiederīgos</w:t>
            </w:r>
            <w:proofErr w:type="spellEnd"/>
            <w:r w:rsidRPr="00B420D2">
              <w:rPr>
                <w:szCs w:val="26"/>
                <w:lang w:val="lv-LV"/>
              </w:rPr>
              <w:t>, kuri dalībvalstīs uzturas nelikumīgi, jāpārņem līdz 2011.gada 20.jūlija</w:t>
            </w:r>
            <w:r w:rsidR="00CD5C44" w:rsidRPr="00B420D2">
              <w:rPr>
                <w:szCs w:val="26"/>
                <w:lang w:val="lv-LV"/>
              </w:rPr>
              <w:t>m</w:t>
            </w:r>
            <w:r w:rsidRPr="00B420D2">
              <w:rPr>
                <w:szCs w:val="26"/>
                <w:lang w:val="lv-LV"/>
              </w:rPr>
              <w:t>. Attiecīgi arī MK noteikumu projektam ir jāstājas spēkā līdz 2011.gada 20.jūlijam.</w:t>
            </w:r>
          </w:p>
        </w:tc>
      </w:tr>
      <w:tr w:rsidR="00E06F12" w:rsidRPr="00B420D2" w:rsidTr="00A54512">
        <w:trPr>
          <w:trHeight w:val="266"/>
        </w:trPr>
        <w:tc>
          <w:tcPr>
            <w:tcW w:w="1125" w:type="dxa"/>
          </w:tcPr>
          <w:p w:rsidR="00E06F12" w:rsidRPr="00B420D2" w:rsidRDefault="00E06F12" w:rsidP="00B420D2">
            <w:pPr>
              <w:rPr>
                <w:lang w:val="lv-LV"/>
              </w:rPr>
            </w:pPr>
            <w:r w:rsidRPr="00B420D2">
              <w:rPr>
                <w:lang w:val="lv-LV"/>
              </w:rPr>
              <w:t>2.</w:t>
            </w:r>
          </w:p>
        </w:tc>
        <w:tc>
          <w:tcPr>
            <w:tcW w:w="2959" w:type="dxa"/>
            <w:gridSpan w:val="3"/>
          </w:tcPr>
          <w:p w:rsidR="00E06F12" w:rsidRPr="00B420D2" w:rsidRDefault="00E06F12" w:rsidP="00B420D2">
            <w:pPr>
              <w:rPr>
                <w:lang w:val="lv-LV"/>
              </w:rPr>
            </w:pPr>
            <w:r w:rsidRPr="00B420D2">
              <w:rPr>
                <w:lang w:val="lv-LV"/>
              </w:rPr>
              <w:t>Citas starptautiskās saistības</w:t>
            </w:r>
          </w:p>
        </w:tc>
        <w:tc>
          <w:tcPr>
            <w:tcW w:w="4757" w:type="dxa"/>
            <w:gridSpan w:val="5"/>
          </w:tcPr>
          <w:p w:rsidR="00E06F12" w:rsidRPr="00B420D2" w:rsidRDefault="00E06F12" w:rsidP="00B420D2">
            <w:pPr>
              <w:rPr>
                <w:lang w:val="lv-LV"/>
              </w:rPr>
            </w:pPr>
            <w:r w:rsidRPr="00B420D2">
              <w:rPr>
                <w:lang w:val="lv-LV"/>
              </w:rPr>
              <w:t>Nav attiecināms</w:t>
            </w:r>
          </w:p>
        </w:tc>
      </w:tr>
      <w:tr w:rsidR="00E06F12" w:rsidRPr="00B420D2" w:rsidTr="00A54512">
        <w:trPr>
          <w:trHeight w:val="266"/>
        </w:trPr>
        <w:tc>
          <w:tcPr>
            <w:tcW w:w="1125" w:type="dxa"/>
          </w:tcPr>
          <w:p w:rsidR="00E06F12" w:rsidRPr="00B420D2" w:rsidRDefault="00E06F12" w:rsidP="00B420D2">
            <w:pPr>
              <w:rPr>
                <w:lang w:val="lv-LV"/>
              </w:rPr>
            </w:pPr>
            <w:r w:rsidRPr="00B420D2">
              <w:rPr>
                <w:lang w:val="lv-LV"/>
              </w:rPr>
              <w:t>3.</w:t>
            </w:r>
          </w:p>
        </w:tc>
        <w:tc>
          <w:tcPr>
            <w:tcW w:w="2959" w:type="dxa"/>
            <w:gridSpan w:val="3"/>
          </w:tcPr>
          <w:p w:rsidR="00E06F12" w:rsidRPr="00B420D2" w:rsidRDefault="00E06F12" w:rsidP="00B420D2">
            <w:pPr>
              <w:rPr>
                <w:lang w:val="lv-LV"/>
              </w:rPr>
            </w:pPr>
            <w:r w:rsidRPr="00B420D2">
              <w:rPr>
                <w:lang w:val="lv-LV"/>
              </w:rPr>
              <w:t>Cita informācija.</w:t>
            </w:r>
          </w:p>
        </w:tc>
        <w:tc>
          <w:tcPr>
            <w:tcW w:w="4757" w:type="dxa"/>
            <w:gridSpan w:val="5"/>
          </w:tcPr>
          <w:p w:rsidR="00E06F12" w:rsidRPr="00B420D2" w:rsidRDefault="00E06F12" w:rsidP="00B420D2">
            <w:pPr>
              <w:rPr>
                <w:lang w:val="lv-LV"/>
              </w:rPr>
            </w:pPr>
            <w:r w:rsidRPr="00B420D2">
              <w:rPr>
                <w:lang w:val="lv-LV"/>
              </w:rPr>
              <w:t>Nav</w:t>
            </w:r>
          </w:p>
        </w:tc>
      </w:tr>
      <w:tr w:rsidR="00E06F12" w:rsidRPr="007F7AC9" w:rsidTr="00A54512">
        <w:trPr>
          <w:trHeight w:val="547"/>
        </w:trPr>
        <w:tc>
          <w:tcPr>
            <w:tcW w:w="8841" w:type="dxa"/>
            <w:gridSpan w:val="9"/>
          </w:tcPr>
          <w:p w:rsidR="00E06F12" w:rsidRPr="00B420D2" w:rsidRDefault="00E06F12" w:rsidP="00B420D2">
            <w:pPr>
              <w:jc w:val="center"/>
              <w:rPr>
                <w:b/>
                <w:lang w:val="lv-LV"/>
              </w:rPr>
            </w:pPr>
          </w:p>
          <w:p w:rsidR="00E06F12" w:rsidRPr="00B420D2" w:rsidRDefault="00E06F12" w:rsidP="00B420D2">
            <w:pPr>
              <w:jc w:val="center"/>
              <w:rPr>
                <w:b/>
                <w:lang w:val="lv-LV"/>
              </w:rPr>
            </w:pPr>
            <w:r w:rsidRPr="00B420D2">
              <w:rPr>
                <w:b/>
                <w:lang w:val="lv-LV"/>
              </w:rPr>
              <w:t xml:space="preserve">1. tabula </w:t>
            </w:r>
            <w:r w:rsidRPr="00B420D2">
              <w:rPr>
                <w:b/>
                <w:i/>
                <w:lang w:val="lv-LV"/>
              </w:rPr>
              <w:t>Tiesību akta projekta atbilstība ES tiesību aktiem</w:t>
            </w:r>
          </w:p>
        </w:tc>
      </w:tr>
      <w:tr w:rsidR="00E06F12" w:rsidRPr="007F7AC9" w:rsidTr="00A54512">
        <w:trPr>
          <w:trHeight w:val="1613"/>
        </w:trPr>
        <w:tc>
          <w:tcPr>
            <w:tcW w:w="1994" w:type="dxa"/>
            <w:gridSpan w:val="2"/>
            <w:vAlign w:val="center"/>
          </w:tcPr>
          <w:p w:rsidR="00E06F12" w:rsidRPr="00B420D2" w:rsidRDefault="00E06F12" w:rsidP="00B420D2">
            <w:pPr>
              <w:jc w:val="center"/>
              <w:rPr>
                <w:lang w:val="lv-LV"/>
              </w:rPr>
            </w:pPr>
            <w:r w:rsidRPr="00B420D2">
              <w:rPr>
                <w:lang w:val="lv-LV"/>
              </w:rPr>
              <w:t>Attiecīgā Eiropas Savienības tiesību akta datums, numurs un nosaukums</w:t>
            </w:r>
          </w:p>
        </w:tc>
        <w:tc>
          <w:tcPr>
            <w:tcW w:w="6847" w:type="dxa"/>
            <w:gridSpan w:val="7"/>
            <w:vAlign w:val="center"/>
          </w:tcPr>
          <w:p w:rsidR="00E06F12" w:rsidRPr="00B420D2" w:rsidRDefault="00E06F12" w:rsidP="00B420D2">
            <w:pPr>
              <w:jc w:val="both"/>
              <w:rPr>
                <w:lang w:val="lv-LV"/>
              </w:rPr>
            </w:pPr>
            <w:r w:rsidRPr="00B420D2">
              <w:rPr>
                <w:szCs w:val="26"/>
                <w:lang w:val="lv-LV"/>
              </w:rPr>
              <w:t xml:space="preserve">Eiropas Parlamenta un Padomes 2009.gada 18.jūnija direktīvas 2009/52/EK, ar ko nosaka minimālos standartus sankcijām un pasākumiem pret darba devēju, kas nodarbina trešo valstu </w:t>
            </w:r>
            <w:proofErr w:type="spellStart"/>
            <w:r w:rsidRPr="00B420D2">
              <w:rPr>
                <w:szCs w:val="26"/>
                <w:lang w:val="lv-LV"/>
              </w:rPr>
              <w:t>valstspiederīgos</w:t>
            </w:r>
            <w:proofErr w:type="spellEnd"/>
            <w:r w:rsidRPr="00B420D2">
              <w:rPr>
                <w:szCs w:val="26"/>
                <w:lang w:val="lv-LV"/>
              </w:rPr>
              <w:t>, kuri dalībvalstīs uzturas nelikumīgi</w:t>
            </w:r>
          </w:p>
        </w:tc>
      </w:tr>
      <w:tr w:rsidR="00E06F12" w:rsidRPr="007F7AC9" w:rsidTr="00A54512">
        <w:trPr>
          <w:trHeight w:val="142"/>
        </w:trPr>
        <w:tc>
          <w:tcPr>
            <w:tcW w:w="8841" w:type="dxa"/>
            <w:gridSpan w:val="9"/>
          </w:tcPr>
          <w:p w:rsidR="00E06F12" w:rsidRPr="00B420D2" w:rsidRDefault="00E06F12" w:rsidP="00B420D2">
            <w:pPr>
              <w:rPr>
                <w:lang w:val="lv-LV"/>
              </w:rPr>
            </w:pPr>
          </w:p>
        </w:tc>
      </w:tr>
      <w:tr w:rsidR="00E06F12" w:rsidRPr="00B420D2" w:rsidTr="00A54512">
        <w:trPr>
          <w:trHeight w:val="142"/>
        </w:trPr>
        <w:tc>
          <w:tcPr>
            <w:tcW w:w="2520" w:type="dxa"/>
            <w:gridSpan w:val="3"/>
          </w:tcPr>
          <w:p w:rsidR="00E06F12" w:rsidRPr="00B420D2" w:rsidRDefault="00E06F12" w:rsidP="00B420D2">
            <w:pPr>
              <w:jc w:val="center"/>
              <w:rPr>
                <w:lang w:val="lv-LV"/>
              </w:rPr>
            </w:pPr>
            <w:r w:rsidRPr="00B420D2">
              <w:rPr>
                <w:lang w:val="lv-LV"/>
              </w:rPr>
              <w:t>A</w:t>
            </w:r>
          </w:p>
        </w:tc>
        <w:tc>
          <w:tcPr>
            <w:tcW w:w="2086" w:type="dxa"/>
            <w:gridSpan w:val="3"/>
          </w:tcPr>
          <w:p w:rsidR="00E06F12" w:rsidRPr="00B420D2" w:rsidRDefault="00E06F12" w:rsidP="00B420D2">
            <w:pPr>
              <w:jc w:val="center"/>
              <w:rPr>
                <w:lang w:val="lv-LV"/>
              </w:rPr>
            </w:pPr>
            <w:r w:rsidRPr="00B420D2">
              <w:rPr>
                <w:lang w:val="lv-LV"/>
              </w:rPr>
              <w:t>B</w:t>
            </w:r>
          </w:p>
        </w:tc>
        <w:tc>
          <w:tcPr>
            <w:tcW w:w="2433" w:type="dxa"/>
            <w:gridSpan w:val="2"/>
          </w:tcPr>
          <w:p w:rsidR="00E06F12" w:rsidRPr="00B420D2" w:rsidRDefault="00E06F12" w:rsidP="00B420D2">
            <w:pPr>
              <w:jc w:val="center"/>
              <w:rPr>
                <w:lang w:val="lv-LV"/>
              </w:rPr>
            </w:pPr>
            <w:r w:rsidRPr="00B420D2">
              <w:rPr>
                <w:lang w:val="lv-LV"/>
              </w:rPr>
              <w:t>C</w:t>
            </w:r>
          </w:p>
        </w:tc>
        <w:tc>
          <w:tcPr>
            <w:tcW w:w="1803" w:type="dxa"/>
          </w:tcPr>
          <w:p w:rsidR="00E06F12" w:rsidRPr="00B420D2" w:rsidRDefault="00E06F12" w:rsidP="00B420D2">
            <w:pPr>
              <w:jc w:val="center"/>
              <w:rPr>
                <w:lang w:val="lv-LV"/>
              </w:rPr>
            </w:pPr>
            <w:r w:rsidRPr="00B420D2">
              <w:rPr>
                <w:lang w:val="lv-LV"/>
              </w:rPr>
              <w:t>D</w:t>
            </w:r>
          </w:p>
        </w:tc>
      </w:tr>
      <w:tr w:rsidR="00E06F12" w:rsidRPr="001D788D" w:rsidTr="00A54512">
        <w:trPr>
          <w:trHeight w:val="142"/>
        </w:trPr>
        <w:tc>
          <w:tcPr>
            <w:tcW w:w="2520" w:type="dxa"/>
            <w:gridSpan w:val="3"/>
          </w:tcPr>
          <w:p w:rsidR="00E06F12" w:rsidRPr="00B420D2" w:rsidRDefault="00E06F12" w:rsidP="00B420D2">
            <w:pPr>
              <w:jc w:val="both"/>
              <w:rPr>
                <w:lang w:val="lv-LV"/>
              </w:rPr>
            </w:pPr>
            <w:r w:rsidRPr="00B420D2">
              <w:rPr>
                <w:szCs w:val="26"/>
                <w:lang w:val="lv-LV"/>
              </w:rPr>
              <w:t>7.panta 1.punkta c) apakšpunkts</w:t>
            </w:r>
          </w:p>
        </w:tc>
        <w:tc>
          <w:tcPr>
            <w:tcW w:w="2086" w:type="dxa"/>
            <w:gridSpan w:val="3"/>
          </w:tcPr>
          <w:p w:rsidR="00E06F12" w:rsidRPr="00B420D2" w:rsidRDefault="00E06F12" w:rsidP="001D788D">
            <w:pPr>
              <w:ind w:left="60"/>
              <w:jc w:val="both"/>
              <w:rPr>
                <w:lang w:val="lv-LV"/>
              </w:rPr>
            </w:pPr>
            <w:r w:rsidRPr="00B420D2">
              <w:rPr>
                <w:lang w:val="lv-LV"/>
              </w:rPr>
              <w:t xml:space="preserve">MK noteikumu projekta </w:t>
            </w:r>
            <w:r w:rsidR="001D788D">
              <w:rPr>
                <w:lang w:val="lv-LV"/>
              </w:rPr>
              <w:t xml:space="preserve">1.1., 1.4. </w:t>
            </w:r>
            <w:r w:rsidR="001D788D">
              <w:rPr>
                <w:lang w:val="lv-LV"/>
              </w:rPr>
              <w:lastRenderedPageBreak/>
              <w:t>un 1.7.</w:t>
            </w:r>
            <w:r w:rsidRPr="00B420D2">
              <w:rPr>
                <w:lang w:val="lv-LV"/>
              </w:rPr>
              <w:t xml:space="preserve">apakšpunkts </w:t>
            </w:r>
          </w:p>
        </w:tc>
        <w:tc>
          <w:tcPr>
            <w:tcW w:w="2433" w:type="dxa"/>
            <w:gridSpan w:val="2"/>
          </w:tcPr>
          <w:p w:rsidR="00E06F12" w:rsidRPr="00B420D2" w:rsidRDefault="00E06F12" w:rsidP="00B420D2">
            <w:pPr>
              <w:spacing w:before="100" w:beforeAutospacing="1"/>
              <w:jc w:val="both"/>
              <w:rPr>
                <w:lang w:val="lv-LV" w:eastAsia="lv-LV"/>
              </w:rPr>
            </w:pPr>
            <w:r w:rsidRPr="00B420D2">
              <w:rPr>
                <w:lang w:val="lv-LV" w:eastAsia="lv-LV"/>
              </w:rPr>
              <w:lastRenderedPageBreak/>
              <w:t xml:space="preserve">A sadaļā minētā Eiropas Savienības </w:t>
            </w:r>
            <w:r w:rsidRPr="00B420D2">
              <w:rPr>
                <w:lang w:val="lv-LV" w:eastAsia="lv-LV"/>
              </w:rPr>
              <w:lastRenderedPageBreak/>
              <w:t>tiesību norma ieviesta pilnībā.</w:t>
            </w:r>
          </w:p>
        </w:tc>
        <w:tc>
          <w:tcPr>
            <w:tcW w:w="1803" w:type="dxa"/>
          </w:tcPr>
          <w:p w:rsidR="00E06F12" w:rsidRPr="00B420D2" w:rsidRDefault="00E06F12" w:rsidP="00B420D2">
            <w:pPr>
              <w:spacing w:before="100" w:beforeAutospacing="1"/>
              <w:jc w:val="both"/>
              <w:rPr>
                <w:lang w:val="lv-LV" w:eastAsia="lv-LV"/>
              </w:rPr>
            </w:pPr>
            <w:r w:rsidRPr="00B420D2">
              <w:rPr>
                <w:lang w:val="lv-LV" w:eastAsia="lv-LV"/>
              </w:rPr>
              <w:lastRenderedPageBreak/>
              <w:t xml:space="preserve">Neparedz stingrākas </w:t>
            </w:r>
            <w:r w:rsidRPr="00B420D2">
              <w:rPr>
                <w:lang w:val="lv-LV" w:eastAsia="lv-LV"/>
              </w:rPr>
              <w:lastRenderedPageBreak/>
              <w:t>prasības</w:t>
            </w:r>
          </w:p>
        </w:tc>
      </w:tr>
      <w:tr w:rsidR="00E06F12" w:rsidRPr="001D788D" w:rsidTr="00A54512">
        <w:trPr>
          <w:trHeight w:val="142"/>
        </w:trPr>
        <w:tc>
          <w:tcPr>
            <w:tcW w:w="2520" w:type="dxa"/>
            <w:gridSpan w:val="3"/>
          </w:tcPr>
          <w:p w:rsidR="00E06F12" w:rsidRPr="00B420D2" w:rsidRDefault="00E06F12" w:rsidP="00B420D2">
            <w:pPr>
              <w:jc w:val="both"/>
              <w:rPr>
                <w:szCs w:val="26"/>
                <w:lang w:val="lv-LV"/>
              </w:rPr>
            </w:pPr>
          </w:p>
        </w:tc>
        <w:tc>
          <w:tcPr>
            <w:tcW w:w="2086" w:type="dxa"/>
            <w:gridSpan w:val="3"/>
          </w:tcPr>
          <w:p w:rsidR="00E06F12" w:rsidRPr="00B420D2" w:rsidRDefault="00E06F12" w:rsidP="00B420D2">
            <w:pPr>
              <w:ind w:left="60"/>
              <w:jc w:val="both"/>
              <w:rPr>
                <w:lang w:val="lv-LV"/>
              </w:rPr>
            </w:pPr>
          </w:p>
        </w:tc>
        <w:tc>
          <w:tcPr>
            <w:tcW w:w="2433" w:type="dxa"/>
            <w:gridSpan w:val="2"/>
          </w:tcPr>
          <w:p w:rsidR="00E06F12" w:rsidRPr="00B420D2" w:rsidRDefault="00E06F12" w:rsidP="00B420D2">
            <w:pPr>
              <w:spacing w:before="100" w:beforeAutospacing="1" w:after="100" w:afterAutospacing="1"/>
              <w:jc w:val="both"/>
              <w:rPr>
                <w:lang w:val="lv-LV" w:eastAsia="lv-LV"/>
              </w:rPr>
            </w:pPr>
          </w:p>
        </w:tc>
        <w:tc>
          <w:tcPr>
            <w:tcW w:w="1803" w:type="dxa"/>
          </w:tcPr>
          <w:p w:rsidR="00E06F12" w:rsidRPr="00B420D2" w:rsidRDefault="00E06F12" w:rsidP="00B420D2">
            <w:pPr>
              <w:spacing w:before="100" w:beforeAutospacing="1" w:after="100" w:afterAutospacing="1"/>
              <w:jc w:val="both"/>
              <w:rPr>
                <w:lang w:val="lv-LV" w:eastAsia="lv-LV"/>
              </w:rPr>
            </w:pPr>
          </w:p>
        </w:tc>
      </w:tr>
      <w:tr w:rsidR="00E06F12" w:rsidRPr="007F7AC9" w:rsidTr="00A54512">
        <w:trPr>
          <w:trHeight w:val="142"/>
        </w:trPr>
        <w:tc>
          <w:tcPr>
            <w:tcW w:w="4258" w:type="dxa"/>
            <w:gridSpan w:val="5"/>
          </w:tcPr>
          <w:p w:rsidR="00E06F12" w:rsidRPr="00B420D2" w:rsidRDefault="00E06F12" w:rsidP="00B420D2">
            <w:pPr>
              <w:pStyle w:val="naiskr"/>
            </w:pPr>
            <w:r w:rsidRPr="00B420D2">
              <w:t>Kā ir izmantota ES tiesību aktā paredzētā rīcības brīvība dalībvalstij pārņemt vai ieviest noteiktas ES tiesību akta normas?</w:t>
            </w:r>
          </w:p>
          <w:p w:rsidR="00E06F12" w:rsidRPr="00B420D2" w:rsidRDefault="00E06F12" w:rsidP="00B420D2">
            <w:pPr>
              <w:rPr>
                <w:lang w:val="lv-LV"/>
              </w:rPr>
            </w:pPr>
            <w:r w:rsidRPr="00B420D2">
              <w:rPr>
                <w:lang w:val="lv-LV"/>
              </w:rPr>
              <w:t>Kādēļ?</w:t>
            </w:r>
          </w:p>
        </w:tc>
        <w:tc>
          <w:tcPr>
            <w:tcW w:w="4583" w:type="dxa"/>
            <w:gridSpan w:val="4"/>
          </w:tcPr>
          <w:p w:rsidR="00E06F12" w:rsidRPr="00B420D2" w:rsidRDefault="00E06F12" w:rsidP="00B420D2">
            <w:pPr>
              <w:pStyle w:val="naiskr"/>
              <w:jc w:val="both"/>
            </w:pPr>
            <w:r w:rsidRPr="00B420D2">
              <w:rPr>
                <w:szCs w:val="26"/>
              </w:rPr>
              <w:t xml:space="preserve">Direktīvas 7.panta 1.punkta c) apakšpunktā ietvertā rīcības brīvība izvēlēties dažus vai visus piešķirtos maksājumus atbalstu vai subsīdijas, tostarp dalībvalstu pārvaldītos ES līdzekļus, ir izmantota tādējādi, ka šim mērķim ir izvēlēti tikai ES </w:t>
            </w:r>
            <w:r w:rsidR="00500F18" w:rsidRPr="00B420D2">
              <w:rPr>
                <w:szCs w:val="26"/>
              </w:rPr>
              <w:t>fondu</w:t>
            </w:r>
            <w:r w:rsidRPr="00B420D2">
              <w:rPr>
                <w:szCs w:val="26"/>
              </w:rPr>
              <w:t xml:space="preserve"> 2007.-2013.gada plānošanas periodā paredzētie līdzekļi, ņemot vērā to apmēru un nozīmi Latvijas tautsaimniecības attīstībā. Direktīvas prasības tiks attiecinātas arī uz nākamā plānošanas perioda ES </w:t>
            </w:r>
            <w:r w:rsidR="00500F18" w:rsidRPr="00B420D2">
              <w:rPr>
                <w:szCs w:val="26"/>
              </w:rPr>
              <w:t>fondu</w:t>
            </w:r>
            <w:r w:rsidRPr="00B420D2">
              <w:rPr>
                <w:szCs w:val="26"/>
              </w:rPr>
              <w:t xml:space="preserve"> līdzekļiem, iekļaujot tās normatīvajos aktos, kas regulēs šo fondu ieviešanu nākamajā plānošanas periodā.</w:t>
            </w:r>
          </w:p>
        </w:tc>
      </w:tr>
      <w:tr w:rsidR="00E06F12" w:rsidRPr="00B420D2" w:rsidTr="00A54512">
        <w:trPr>
          <w:trHeight w:val="142"/>
        </w:trPr>
        <w:tc>
          <w:tcPr>
            <w:tcW w:w="4258" w:type="dxa"/>
            <w:gridSpan w:val="5"/>
          </w:tcPr>
          <w:p w:rsidR="00E06F12" w:rsidRPr="00B420D2" w:rsidRDefault="00E06F12" w:rsidP="00B420D2">
            <w:pPr>
              <w:rPr>
                <w:lang w:val="lv-LV"/>
              </w:rPr>
            </w:pPr>
            <w:r w:rsidRPr="00B420D2">
              <w:rPr>
                <w:lang w:val="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4583" w:type="dxa"/>
            <w:gridSpan w:val="4"/>
          </w:tcPr>
          <w:p w:rsidR="00E06F12" w:rsidRPr="00B420D2" w:rsidRDefault="00500F18" w:rsidP="00B420D2">
            <w:pPr>
              <w:pStyle w:val="naiskr"/>
              <w:jc w:val="both"/>
            </w:pPr>
            <w:r w:rsidRPr="00B420D2">
              <w:t>Nav attiecināms</w:t>
            </w:r>
          </w:p>
          <w:p w:rsidR="00E06F12" w:rsidRPr="00B420D2" w:rsidRDefault="00E06F12" w:rsidP="00B420D2">
            <w:pPr>
              <w:jc w:val="both"/>
              <w:rPr>
                <w:lang w:val="lv-LV"/>
              </w:rPr>
            </w:pPr>
          </w:p>
        </w:tc>
      </w:tr>
      <w:tr w:rsidR="00E06F12" w:rsidRPr="00B420D2" w:rsidTr="00A54512">
        <w:trPr>
          <w:trHeight w:val="142"/>
        </w:trPr>
        <w:tc>
          <w:tcPr>
            <w:tcW w:w="4258" w:type="dxa"/>
            <w:gridSpan w:val="5"/>
          </w:tcPr>
          <w:p w:rsidR="00E06F12" w:rsidRPr="00B420D2" w:rsidRDefault="00E06F12" w:rsidP="00B420D2">
            <w:pPr>
              <w:rPr>
                <w:lang w:val="lv-LV"/>
              </w:rPr>
            </w:pPr>
            <w:r w:rsidRPr="00B420D2">
              <w:rPr>
                <w:lang w:val="lv-LV"/>
              </w:rPr>
              <w:t>Cita informācija</w:t>
            </w:r>
          </w:p>
        </w:tc>
        <w:tc>
          <w:tcPr>
            <w:tcW w:w="4583" w:type="dxa"/>
            <w:gridSpan w:val="4"/>
          </w:tcPr>
          <w:p w:rsidR="00E06F12" w:rsidRPr="00B420D2" w:rsidRDefault="00E06F12" w:rsidP="00B420D2">
            <w:pPr>
              <w:rPr>
                <w:lang w:val="lv-LV"/>
              </w:rPr>
            </w:pPr>
            <w:r w:rsidRPr="00B420D2">
              <w:rPr>
                <w:lang w:val="lv-LV"/>
              </w:rPr>
              <w:t>Nav</w:t>
            </w:r>
          </w:p>
        </w:tc>
      </w:tr>
      <w:tr w:rsidR="00E06F12" w:rsidRPr="00B420D2" w:rsidTr="00A54512">
        <w:trPr>
          <w:trHeight w:val="142"/>
        </w:trPr>
        <w:tc>
          <w:tcPr>
            <w:tcW w:w="8841" w:type="dxa"/>
            <w:gridSpan w:val="9"/>
          </w:tcPr>
          <w:p w:rsidR="00E06F12" w:rsidRPr="00B420D2" w:rsidRDefault="00E06F12" w:rsidP="00B420D2">
            <w:pPr>
              <w:pStyle w:val="naisnod"/>
              <w:rPr>
                <w:i/>
              </w:rPr>
            </w:pPr>
            <w:r w:rsidRPr="00B420D2">
              <w:t xml:space="preserve">2. tabula </w:t>
            </w:r>
            <w:r w:rsidRPr="00B420D2">
              <w:rPr>
                <w:i/>
              </w:rPr>
              <w:t xml:space="preserve">Ar tiesību akta projektu uzņemtās saistības, kas izriet no starptautiskajiem tiesību aktiem vai starptautiskas institūcijas vai organizācijas dokumentiem. </w:t>
            </w:r>
          </w:p>
          <w:p w:rsidR="00E06F12" w:rsidRPr="00B420D2" w:rsidRDefault="00E06F12" w:rsidP="00B420D2">
            <w:pPr>
              <w:rPr>
                <w:i/>
                <w:lang w:val="lv-LV"/>
              </w:rPr>
            </w:pPr>
            <w:r w:rsidRPr="00B420D2">
              <w:rPr>
                <w:i/>
                <w:lang w:val="lv-LV"/>
              </w:rPr>
              <w:t>Pasākumi šo saistību izpildei.</w:t>
            </w:r>
          </w:p>
        </w:tc>
      </w:tr>
      <w:tr w:rsidR="00E06F12" w:rsidRPr="00B420D2" w:rsidTr="00A54512">
        <w:trPr>
          <w:trHeight w:val="142"/>
        </w:trPr>
        <w:tc>
          <w:tcPr>
            <w:tcW w:w="4258" w:type="dxa"/>
            <w:gridSpan w:val="5"/>
          </w:tcPr>
          <w:p w:rsidR="00E06F12" w:rsidRPr="00B420D2" w:rsidRDefault="00E06F12" w:rsidP="00B420D2">
            <w:pPr>
              <w:rPr>
                <w:lang w:val="lv-LV"/>
              </w:rPr>
            </w:pPr>
            <w:r w:rsidRPr="00B420D2">
              <w:rPr>
                <w:lang w:val="lv-LV"/>
              </w:rPr>
              <w:t>Attiecīgā starptautiskā tiesību akta vai starptautiskas institūcijas vai organizācijas dokumenta (turpmāk – starptautiskais dokuments) datums, numurs un nosaukums.</w:t>
            </w:r>
          </w:p>
        </w:tc>
        <w:tc>
          <w:tcPr>
            <w:tcW w:w="4583" w:type="dxa"/>
            <w:gridSpan w:val="4"/>
          </w:tcPr>
          <w:p w:rsidR="00E06F12" w:rsidRPr="00B420D2" w:rsidRDefault="00E06F12" w:rsidP="00B420D2">
            <w:pPr>
              <w:rPr>
                <w:lang w:val="lv-LV"/>
              </w:rPr>
            </w:pPr>
            <w:r w:rsidRPr="00B420D2">
              <w:rPr>
                <w:lang w:val="lv-LV"/>
              </w:rPr>
              <w:t>Nav attiecināms</w:t>
            </w:r>
          </w:p>
        </w:tc>
      </w:tr>
      <w:tr w:rsidR="00E06F12" w:rsidRPr="00B420D2" w:rsidTr="00A54512">
        <w:trPr>
          <w:trHeight w:val="142"/>
        </w:trPr>
        <w:tc>
          <w:tcPr>
            <w:tcW w:w="8841" w:type="dxa"/>
            <w:gridSpan w:val="9"/>
          </w:tcPr>
          <w:p w:rsidR="00E06F12" w:rsidRPr="00B420D2" w:rsidRDefault="00E06F12" w:rsidP="00B420D2">
            <w:pPr>
              <w:rPr>
                <w:lang w:val="lv-LV"/>
              </w:rPr>
            </w:pPr>
          </w:p>
        </w:tc>
      </w:tr>
      <w:tr w:rsidR="00E06F12" w:rsidRPr="00B420D2" w:rsidTr="00A54512">
        <w:trPr>
          <w:trHeight w:val="142"/>
        </w:trPr>
        <w:tc>
          <w:tcPr>
            <w:tcW w:w="2520" w:type="dxa"/>
            <w:gridSpan w:val="3"/>
          </w:tcPr>
          <w:p w:rsidR="00E06F12" w:rsidRPr="00B420D2" w:rsidRDefault="00E06F12" w:rsidP="00B420D2">
            <w:pPr>
              <w:jc w:val="center"/>
              <w:rPr>
                <w:lang w:val="lv-LV"/>
              </w:rPr>
            </w:pPr>
            <w:r w:rsidRPr="00B420D2">
              <w:rPr>
                <w:lang w:val="lv-LV"/>
              </w:rPr>
              <w:t>A</w:t>
            </w:r>
          </w:p>
        </w:tc>
        <w:tc>
          <w:tcPr>
            <w:tcW w:w="3300" w:type="dxa"/>
            <w:gridSpan w:val="4"/>
          </w:tcPr>
          <w:p w:rsidR="00E06F12" w:rsidRPr="00B420D2" w:rsidRDefault="00E06F12" w:rsidP="00B420D2">
            <w:pPr>
              <w:jc w:val="center"/>
              <w:rPr>
                <w:lang w:val="lv-LV"/>
              </w:rPr>
            </w:pPr>
            <w:r w:rsidRPr="00B420D2">
              <w:rPr>
                <w:lang w:val="lv-LV"/>
              </w:rPr>
              <w:t>B</w:t>
            </w:r>
          </w:p>
        </w:tc>
        <w:tc>
          <w:tcPr>
            <w:tcW w:w="3021" w:type="dxa"/>
            <w:gridSpan w:val="2"/>
          </w:tcPr>
          <w:p w:rsidR="00E06F12" w:rsidRPr="00B420D2" w:rsidRDefault="00E06F12" w:rsidP="00B420D2">
            <w:pPr>
              <w:jc w:val="center"/>
              <w:rPr>
                <w:lang w:val="lv-LV"/>
              </w:rPr>
            </w:pPr>
            <w:r w:rsidRPr="00B420D2">
              <w:rPr>
                <w:lang w:val="lv-LV"/>
              </w:rPr>
              <w:t>C</w:t>
            </w:r>
          </w:p>
        </w:tc>
      </w:tr>
      <w:tr w:rsidR="00E06F12" w:rsidRPr="00B420D2" w:rsidTr="00A54512">
        <w:trPr>
          <w:trHeight w:val="142"/>
        </w:trPr>
        <w:tc>
          <w:tcPr>
            <w:tcW w:w="2520" w:type="dxa"/>
            <w:gridSpan w:val="3"/>
          </w:tcPr>
          <w:p w:rsidR="00E06F12" w:rsidRPr="00B420D2" w:rsidRDefault="00E06F12" w:rsidP="00B420D2">
            <w:pPr>
              <w:jc w:val="center"/>
              <w:rPr>
                <w:lang w:val="lv-LV"/>
              </w:rPr>
            </w:pPr>
            <w:r w:rsidRPr="00B420D2">
              <w:rPr>
                <w:lang w:val="lv-LV"/>
              </w:rPr>
              <w:t>Nav</w:t>
            </w:r>
          </w:p>
        </w:tc>
        <w:tc>
          <w:tcPr>
            <w:tcW w:w="3300" w:type="dxa"/>
            <w:gridSpan w:val="4"/>
          </w:tcPr>
          <w:p w:rsidR="00E06F12" w:rsidRPr="00B420D2" w:rsidRDefault="00E06F12" w:rsidP="00B420D2">
            <w:pPr>
              <w:jc w:val="center"/>
              <w:rPr>
                <w:lang w:val="lv-LV"/>
              </w:rPr>
            </w:pPr>
            <w:r w:rsidRPr="00B420D2">
              <w:rPr>
                <w:lang w:val="lv-LV"/>
              </w:rPr>
              <w:t>Nav</w:t>
            </w:r>
          </w:p>
        </w:tc>
        <w:tc>
          <w:tcPr>
            <w:tcW w:w="3021" w:type="dxa"/>
            <w:gridSpan w:val="2"/>
          </w:tcPr>
          <w:p w:rsidR="00E06F12" w:rsidRPr="00B420D2" w:rsidRDefault="00E06F12" w:rsidP="00B420D2">
            <w:pPr>
              <w:jc w:val="center"/>
              <w:rPr>
                <w:lang w:val="lv-LV"/>
              </w:rPr>
            </w:pPr>
            <w:r w:rsidRPr="00B420D2">
              <w:rPr>
                <w:lang w:val="lv-LV"/>
              </w:rPr>
              <w:t>Nav</w:t>
            </w:r>
          </w:p>
        </w:tc>
      </w:tr>
      <w:tr w:rsidR="00E06F12" w:rsidRPr="00B420D2" w:rsidTr="00A54512">
        <w:trPr>
          <w:trHeight w:val="142"/>
        </w:trPr>
        <w:tc>
          <w:tcPr>
            <w:tcW w:w="2520" w:type="dxa"/>
            <w:gridSpan w:val="3"/>
          </w:tcPr>
          <w:p w:rsidR="00E06F12" w:rsidRPr="00B420D2" w:rsidRDefault="00E06F12" w:rsidP="00B420D2">
            <w:pPr>
              <w:rPr>
                <w:lang w:val="lv-LV"/>
              </w:rPr>
            </w:pPr>
            <w:r w:rsidRPr="00B420D2">
              <w:rPr>
                <w:lang w:val="lv-LV"/>
              </w:rPr>
              <w:t>Vai starptautiskajā dokumentā paredzētās saistības nav pretrunā ar jau esošajām Latvijas Republikas starptautiskajām saistībām?</w:t>
            </w:r>
          </w:p>
        </w:tc>
        <w:tc>
          <w:tcPr>
            <w:tcW w:w="6321" w:type="dxa"/>
            <w:gridSpan w:val="6"/>
          </w:tcPr>
          <w:p w:rsidR="00E06F12" w:rsidRPr="00B420D2" w:rsidRDefault="00E06F12" w:rsidP="00B420D2">
            <w:pPr>
              <w:rPr>
                <w:lang w:val="lv-LV"/>
              </w:rPr>
            </w:pPr>
            <w:r w:rsidRPr="00B420D2">
              <w:rPr>
                <w:lang w:val="lv-LV"/>
              </w:rPr>
              <w:t>Nav attiecināms</w:t>
            </w:r>
          </w:p>
        </w:tc>
      </w:tr>
      <w:tr w:rsidR="00E06F12" w:rsidRPr="00B420D2" w:rsidTr="00A54512">
        <w:trPr>
          <w:trHeight w:val="142"/>
        </w:trPr>
        <w:tc>
          <w:tcPr>
            <w:tcW w:w="2520" w:type="dxa"/>
            <w:gridSpan w:val="3"/>
          </w:tcPr>
          <w:p w:rsidR="00E06F12" w:rsidRPr="00B420D2" w:rsidRDefault="00E06F12" w:rsidP="00B420D2">
            <w:pPr>
              <w:rPr>
                <w:lang w:val="lv-LV"/>
              </w:rPr>
            </w:pPr>
            <w:r w:rsidRPr="00B420D2">
              <w:rPr>
                <w:lang w:val="lv-LV"/>
              </w:rPr>
              <w:t>Cita informācija.</w:t>
            </w:r>
          </w:p>
        </w:tc>
        <w:tc>
          <w:tcPr>
            <w:tcW w:w="6321" w:type="dxa"/>
            <w:gridSpan w:val="6"/>
          </w:tcPr>
          <w:p w:rsidR="00E06F12" w:rsidRPr="00B420D2" w:rsidRDefault="00E06F12" w:rsidP="00B420D2">
            <w:pPr>
              <w:rPr>
                <w:lang w:val="lv-LV"/>
              </w:rPr>
            </w:pPr>
            <w:r w:rsidRPr="00B420D2">
              <w:rPr>
                <w:lang w:val="lv-LV"/>
              </w:rPr>
              <w:t>Nav</w:t>
            </w:r>
          </w:p>
        </w:tc>
      </w:tr>
    </w:tbl>
    <w:p w:rsidR="00E06F12" w:rsidRPr="00B420D2" w:rsidRDefault="00E06F12" w:rsidP="00B420D2">
      <w:pPr>
        <w:rPr>
          <w:lang w:val="lv-LV"/>
        </w:rPr>
      </w:pPr>
    </w:p>
    <w:p w:rsidR="00E63DDC" w:rsidRDefault="00E63DDC" w:rsidP="00D70DAB">
      <w:pPr>
        <w:jc w:val="center"/>
        <w:rPr>
          <w:b/>
          <w:lang w:val="lv-LV"/>
        </w:rPr>
      </w:pPr>
    </w:p>
    <w:p w:rsidR="00E06F12" w:rsidRDefault="00E06F12" w:rsidP="00D70DAB">
      <w:pPr>
        <w:jc w:val="center"/>
        <w:rPr>
          <w:b/>
          <w:lang w:val="lv-LV"/>
        </w:rPr>
      </w:pPr>
      <w:r w:rsidRPr="00B420D2">
        <w:rPr>
          <w:b/>
          <w:lang w:val="lv-LV"/>
        </w:rPr>
        <w:t xml:space="preserve">Anotācijas </w:t>
      </w:r>
      <w:proofErr w:type="spellStart"/>
      <w:r w:rsidRPr="00B420D2">
        <w:rPr>
          <w:b/>
          <w:bCs/>
          <w:lang w:val="lv-LV"/>
        </w:rPr>
        <w:t>VI.</w:t>
      </w:r>
      <w:r w:rsidRPr="00B420D2">
        <w:rPr>
          <w:b/>
          <w:lang w:val="lv-LV"/>
        </w:rPr>
        <w:t>sadaļa</w:t>
      </w:r>
      <w:proofErr w:type="spellEnd"/>
      <w:r w:rsidRPr="00B420D2">
        <w:rPr>
          <w:b/>
          <w:lang w:val="lv-LV"/>
        </w:rPr>
        <w:t xml:space="preserve"> – nav attiecināms </w:t>
      </w:r>
    </w:p>
    <w:p w:rsidR="00E63DDC" w:rsidRPr="00B420D2" w:rsidRDefault="00E63DDC" w:rsidP="00D70DAB">
      <w:pPr>
        <w:jc w:val="center"/>
        <w:rPr>
          <w:b/>
          <w:lang w:val="lv-LV"/>
        </w:rPr>
      </w:pPr>
    </w:p>
    <w:p w:rsidR="00E06F12" w:rsidRPr="00B420D2" w:rsidRDefault="00E06F12" w:rsidP="00B420D2">
      <w:pPr>
        <w:jc w:val="center"/>
        <w:rPr>
          <w:b/>
          <w:lang w:val="lv-LV"/>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1"/>
        <w:gridCol w:w="3449"/>
      </w:tblGrid>
      <w:tr w:rsidR="00E06F12" w:rsidRPr="007F7AC9" w:rsidTr="00A54512">
        <w:tc>
          <w:tcPr>
            <w:tcW w:w="9000" w:type="dxa"/>
            <w:gridSpan w:val="2"/>
          </w:tcPr>
          <w:p w:rsidR="00E06F12" w:rsidRPr="00B420D2" w:rsidRDefault="00E06F12" w:rsidP="00B420D2">
            <w:pPr>
              <w:pStyle w:val="naisc"/>
              <w:spacing w:before="0" w:beforeAutospacing="0" w:after="0" w:afterAutospacing="0"/>
              <w:rPr>
                <w:b/>
                <w:bCs/>
                <w:sz w:val="24"/>
                <w:lang w:val="lv-LV"/>
              </w:rPr>
            </w:pPr>
            <w:r w:rsidRPr="00B420D2">
              <w:rPr>
                <w:b/>
                <w:bCs/>
                <w:sz w:val="24"/>
                <w:lang w:val="lv-LV"/>
              </w:rPr>
              <w:lastRenderedPageBreak/>
              <w:t>VII. Tiesību akta projekta izpildes nodrošināšana un tās ietekme uz institūcijām</w:t>
            </w:r>
          </w:p>
          <w:p w:rsidR="00500F18" w:rsidRPr="00B420D2" w:rsidRDefault="00500F18" w:rsidP="00B420D2">
            <w:pPr>
              <w:pStyle w:val="naisc"/>
              <w:spacing w:before="0" w:beforeAutospacing="0" w:after="0" w:afterAutospacing="0"/>
              <w:rPr>
                <w:b/>
                <w:bCs/>
                <w:sz w:val="24"/>
                <w:lang w:val="lv-LV"/>
              </w:rPr>
            </w:pPr>
          </w:p>
        </w:tc>
      </w:tr>
      <w:tr w:rsidR="00E06F12" w:rsidRPr="007F7AC9" w:rsidTr="00A54512">
        <w:tc>
          <w:tcPr>
            <w:tcW w:w="5551" w:type="dxa"/>
          </w:tcPr>
          <w:p w:rsidR="00E06F12" w:rsidRPr="00B420D2" w:rsidRDefault="00E06F12" w:rsidP="00B420D2">
            <w:pPr>
              <w:pStyle w:val="NormalWeb"/>
              <w:spacing w:before="0" w:beforeAutospacing="0" w:after="0" w:afterAutospacing="0"/>
              <w:jc w:val="both"/>
              <w:rPr>
                <w:lang w:val="lv-LV"/>
              </w:rPr>
            </w:pPr>
            <w:r w:rsidRPr="00B420D2">
              <w:rPr>
                <w:lang w:val="lv-LV"/>
              </w:rPr>
              <w:t>1. Projekta izpildē iesaistītās institūcijas</w:t>
            </w:r>
          </w:p>
        </w:tc>
        <w:tc>
          <w:tcPr>
            <w:tcW w:w="3449" w:type="dxa"/>
          </w:tcPr>
          <w:p w:rsidR="00E06F12" w:rsidRPr="00B420D2" w:rsidRDefault="00E06F12" w:rsidP="00B420D2">
            <w:pPr>
              <w:pStyle w:val="Footer"/>
              <w:tabs>
                <w:tab w:val="clear" w:pos="4153"/>
                <w:tab w:val="clear" w:pos="8306"/>
              </w:tabs>
              <w:snapToGrid/>
              <w:ind w:right="-108"/>
              <w:jc w:val="both"/>
              <w:rPr>
                <w:rFonts w:ascii="Times New Roman" w:hAnsi="Times New Roman"/>
                <w:sz w:val="24"/>
                <w:szCs w:val="24"/>
              </w:rPr>
            </w:pPr>
            <w:r w:rsidRPr="00B420D2">
              <w:rPr>
                <w:rFonts w:ascii="Times New Roman" w:hAnsi="Times New Roman"/>
                <w:sz w:val="24"/>
                <w:szCs w:val="24"/>
              </w:rPr>
              <w:t xml:space="preserve">Eiropas Savienības fondu vadībā iesaistītās institūcijas </w:t>
            </w:r>
            <w:r w:rsidR="00573F5E" w:rsidRPr="00B420D2">
              <w:rPr>
                <w:rFonts w:ascii="Times New Roman" w:hAnsi="Times New Roman"/>
                <w:sz w:val="24"/>
                <w:szCs w:val="24"/>
              </w:rPr>
              <w:t xml:space="preserve">(vadošā iestāde, atbildīgās iestādes un sadarbības iestādes) </w:t>
            </w:r>
            <w:r w:rsidRPr="00B420D2">
              <w:rPr>
                <w:rFonts w:ascii="Times New Roman" w:hAnsi="Times New Roman"/>
                <w:sz w:val="24"/>
                <w:szCs w:val="24"/>
              </w:rPr>
              <w:t>un Iekšlietu ministrijas Informācijas centrs</w:t>
            </w:r>
          </w:p>
        </w:tc>
      </w:tr>
      <w:tr w:rsidR="00E06F12" w:rsidRPr="007F7AC9" w:rsidTr="00A54512">
        <w:trPr>
          <w:trHeight w:val="918"/>
        </w:trPr>
        <w:tc>
          <w:tcPr>
            <w:tcW w:w="5551" w:type="dxa"/>
          </w:tcPr>
          <w:p w:rsidR="00E06F12" w:rsidRPr="00B420D2" w:rsidRDefault="00E06F12" w:rsidP="00B420D2">
            <w:pPr>
              <w:pStyle w:val="NormalWeb"/>
              <w:spacing w:before="0" w:beforeAutospacing="0" w:after="0" w:afterAutospacing="0"/>
              <w:jc w:val="both"/>
              <w:rPr>
                <w:lang w:val="lv-LV"/>
              </w:rPr>
            </w:pPr>
            <w:r w:rsidRPr="00B420D2">
              <w:rPr>
                <w:lang w:val="lv-LV"/>
              </w:rPr>
              <w:t>2. Projekta izpildes ietekme uz pārvaldes funkcijām</w:t>
            </w:r>
          </w:p>
        </w:tc>
        <w:tc>
          <w:tcPr>
            <w:tcW w:w="3449" w:type="dxa"/>
          </w:tcPr>
          <w:p w:rsidR="00E06F12" w:rsidRPr="00B420D2" w:rsidRDefault="00E06F12" w:rsidP="00B420D2">
            <w:pPr>
              <w:jc w:val="both"/>
              <w:rPr>
                <w:sz w:val="16"/>
                <w:szCs w:val="16"/>
                <w:lang w:val="lv-LV"/>
              </w:rPr>
            </w:pPr>
            <w:r w:rsidRPr="00B420D2">
              <w:rPr>
                <w:lang w:val="lv-LV"/>
              </w:rPr>
              <w:t xml:space="preserve">Noteikumu projekts paredz </w:t>
            </w:r>
            <w:r w:rsidR="00573F5E" w:rsidRPr="00B420D2">
              <w:rPr>
                <w:lang w:val="lv-LV"/>
              </w:rPr>
              <w:t xml:space="preserve">Iekšlietu ministrijas Informācijas centram un Finanšu ministrijai noslēgt starpresoru vienošanos par </w:t>
            </w:r>
            <w:r w:rsidR="00573F5E" w:rsidRPr="00B420D2">
              <w:rPr>
                <w:rStyle w:val="apple-style-span"/>
                <w:color w:val="000000"/>
                <w:szCs w:val="16"/>
                <w:lang w:val="lv-LV"/>
              </w:rPr>
              <w:t>kārtību, kādā Iekšlietu ministrijas Informācijas centrs no Sodu reģistra sniedz ziņas par darba devējiem, kuri atzīti par vainīgiem Latvijas Administratīvo pārkāpumu kodeksa 189.</w:t>
            </w:r>
            <w:r w:rsidR="00573F5E" w:rsidRPr="00B420D2">
              <w:rPr>
                <w:rStyle w:val="apple-style-span"/>
                <w:color w:val="000000"/>
                <w:szCs w:val="16"/>
                <w:vertAlign w:val="superscript"/>
                <w:lang w:val="lv-LV"/>
              </w:rPr>
              <w:t xml:space="preserve">2 </w:t>
            </w:r>
            <w:r w:rsidR="00573F5E" w:rsidRPr="00B420D2">
              <w:rPr>
                <w:rStyle w:val="apple-style-span"/>
                <w:color w:val="000000"/>
                <w:szCs w:val="16"/>
                <w:lang w:val="lv-LV"/>
              </w:rPr>
              <w:t>panta trešajā daļā minētā pārkāpuma vai Krimināllikuma 280.panta otrajā daļā minētā noziedzīgā nodarījuma izdarīšanā un minēto ziņu apjomu</w:t>
            </w:r>
            <w:r w:rsidR="00A76831" w:rsidRPr="00B420D2">
              <w:rPr>
                <w:rStyle w:val="apple-style-span"/>
                <w:color w:val="000000"/>
                <w:szCs w:val="16"/>
                <w:lang w:val="lv-LV"/>
              </w:rPr>
              <w:t>.</w:t>
            </w:r>
          </w:p>
        </w:tc>
      </w:tr>
      <w:tr w:rsidR="00E06F12" w:rsidRPr="007F7AC9" w:rsidTr="00A54512">
        <w:tc>
          <w:tcPr>
            <w:tcW w:w="5551" w:type="dxa"/>
          </w:tcPr>
          <w:p w:rsidR="00E06F12" w:rsidRPr="00B420D2" w:rsidRDefault="00E06F12" w:rsidP="00B420D2">
            <w:pPr>
              <w:pStyle w:val="NormalWeb"/>
              <w:spacing w:before="0" w:beforeAutospacing="0" w:after="0" w:afterAutospacing="0"/>
              <w:jc w:val="both"/>
              <w:rPr>
                <w:lang w:val="lv-LV"/>
              </w:rPr>
            </w:pPr>
            <w:r w:rsidRPr="00B420D2">
              <w:rPr>
                <w:lang w:val="lv-LV"/>
              </w:rPr>
              <w:t>3. Projekta izpildes ietekme uz pārvaldes institucionālo struktūru</w:t>
            </w:r>
          </w:p>
          <w:p w:rsidR="00E06F12" w:rsidRPr="00B420D2" w:rsidRDefault="00E06F12" w:rsidP="00B420D2">
            <w:pPr>
              <w:pStyle w:val="NormalWeb"/>
              <w:spacing w:before="0" w:beforeAutospacing="0" w:after="0" w:afterAutospacing="0"/>
              <w:jc w:val="both"/>
              <w:rPr>
                <w:lang w:val="lv-LV"/>
              </w:rPr>
            </w:pPr>
            <w:r w:rsidRPr="00B420D2">
              <w:rPr>
                <w:lang w:val="lv-LV"/>
              </w:rPr>
              <w:t>Jaunu institūciju izveide</w:t>
            </w:r>
          </w:p>
        </w:tc>
        <w:tc>
          <w:tcPr>
            <w:tcW w:w="3449" w:type="dxa"/>
          </w:tcPr>
          <w:p w:rsidR="00E06F12" w:rsidRPr="00B420D2" w:rsidRDefault="00E06F12" w:rsidP="00B420D2">
            <w:pPr>
              <w:pStyle w:val="Footer"/>
              <w:tabs>
                <w:tab w:val="clear" w:pos="4153"/>
                <w:tab w:val="clear" w:pos="8306"/>
              </w:tabs>
              <w:snapToGrid/>
              <w:ind w:right="-108"/>
              <w:jc w:val="both"/>
              <w:rPr>
                <w:rFonts w:ascii="Times New Roman" w:hAnsi="Times New Roman"/>
                <w:sz w:val="24"/>
                <w:szCs w:val="24"/>
              </w:rPr>
            </w:pPr>
            <w:r w:rsidRPr="00B420D2">
              <w:rPr>
                <w:rFonts w:ascii="Times New Roman" w:hAnsi="Times New Roman"/>
                <w:sz w:val="24"/>
                <w:szCs w:val="24"/>
              </w:rPr>
              <w:t>Noteikumu projekta izpildei nav nepieciešams radīt jaunas institūcijas.</w:t>
            </w:r>
          </w:p>
        </w:tc>
      </w:tr>
      <w:tr w:rsidR="00E06F12" w:rsidRPr="007F7AC9" w:rsidTr="00A54512">
        <w:tc>
          <w:tcPr>
            <w:tcW w:w="5551" w:type="dxa"/>
          </w:tcPr>
          <w:p w:rsidR="00E06F12" w:rsidRPr="00B420D2" w:rsidRDefault="00E06F12" w:rsidP="00B420D2">
            <w:pPr>
              <w:pStyle w:val="NormalWeb"/>
              <w:spacing w:before="0" w:beforeAutospacing="0" w:after="0" w:afterAutospacing="0"/>
              <w:jc w:val="both"/>
              <w:rPr>
                <w:lang w:val="lv-LV"/>
              </w:rPr>
            </w:pPr>
            <w:r w:rsidRPr="00B420D2">
              <w:rPr>
                <w:lang w:val="lv-LV"/>
              </w:rPr>
              <w:t>4. Projekta izpildes ietekme uz pārvaldes institucionālo struktūru</w:t>
            </w:r>
          </w:p>
          <w:p w:rsidR="00E06F12" w:rsidRPr="00B420D2" w:rsidRDefault="00E06F12" w:rsidP="00B420D2">
            <w:pPr>
              <w:pStyle w:val="NormalWeb"/>
              <w:spacing w:before="0" w:beforeAutospacing="0" w:after="0" w:afterAutospacing="0"/>
              <w:jc w:val="both"/>
              <w:rPr>
                <w:lang w:val="lv-LV"/>
              </w:rPr>
            </w:pPr>
            <w:r w:rsidRPr="00B420D2">
              <w:rPr>
                <w:lang w:val="lv-LV"/>
              </w:rPr>
              <w:t>Esošu institūciju likvidācija</w:t>
            </w:r>
          </w:p>
        </w:tc>
        <w:tc>
          <w:tcPr>
            <w:tcW w:w="3449" w:type="dxa"/>
          </w:tcPr>
          <w:p w:rsidR="00E06F12" w:rsidRPr="00B420D2" w:rsidRDefault="00E06F12" w:rsidP="00B420D2">
            <w:pPr>
              <w:pStyle w:val="Footer"/>
              <w:tabs>
                <w:tab w:val="clear" w:pos="4153"/>
                <w:tab w:val="clear" w:pos="8306"/>
              </w:tabs>
              <w:snapToGrid/>
              <w:jc w:val="both"/>
              <w:rPr>
                <w:rFonts w:ascii="Times New Roman" w:eastAsia="Arial Unicode MS" w:hAnsi="Times New Roman"/>
                <w:sz w:val="24"/>
                <w:szCs w:val="24"/>
              </w:rPr>
            </w:pPr>
            <w:r w:rsidRPr="00B420D2">
              <w:rPr>
                <w:rFonts w:ascii="Times New Roman" w:hAnsi="Times New Roman"/>
                <w:sz w:val="24"/>
                <w:szCs w:val="24"/>
              </w:rPr>
              <w:t>Noteikumu projekta izpildei nav nepieciešams likvidēt esošās institūcijas.</w:t>
            </w:r>
          </w:p>
        </w:tc>
      </w:tr>
      <w:tr w:rsidR="00E06F12" w:rsidRPr="007F7AC9" w:rsidTr="00A54512">
        <w:trPr>
          <w:trHeight w:val="554"/>
        </w:trPr>
        <w:tc>
          <w:tcPr>
            <w:tcW w:w="5551" w:type="dxa"/>
          </w:tcPr>
          <w:p w:rsidR="00E06F12" w:rsidRPr="00B420D2" w:rsidRDefault="00E06F12" w:rsidP="00B420D2">
            <w:pPr>
              <w:pStyle w:val="NormalWeb"/>
              <w:spacing w:before="0" w:beforeAutospacing="0" w:after="0" w:afterAutospacing="0"/>
              <w:jc w:val="both"/>
              <w:rPr>
                <w:lang w:val="lv-LV"/>
              </w:rPr>
            </w:pPr>
            <w:r w:rsidRPr="00B420D2">
              <w:rPr>
                <w:lang w:val="lv-LV"/>
              </w:rPr>
              <w:t>5. Projekta izpildes ietekme uz pārvaldes institucionālo struktūru</w:t>
            </w:r>
          </w:p>
          <w:p w:rsidR="00E06F12" w:rsidRPr="00B420D2" w:rsidRDefault="00E06F12" w:rsidP="00B420D2">
            <w:pPr>
              <w:pStyle w:val="NormalWeb"/>
              <w:spacing w:before="0" w:beforeAutospacing="0" w:after="0" w:afterAutospacing="0"/>
              <w:jc w:val="both"/>
              <w:rPr>
                <w:lang w:val="lv-LV"/>
              </w:rPr>
            </w:pPr>
            <w:r w:rsidRPr="00B420D2">
              <w:rPr>
                <w:lang w:val="lv-LV"/>
              </w:rPr>
              <w:t>Esošu institūciju reorganizācija</w:t>
            </w:r>
          </w:p>
        </w:tc>
        <w:tc>
          <w:tcPr>
            <w:tcW w:w="3449" w:type="dxa"/>
          </w:tcPr>
          <w:p w:rsidR="00E06F12" w:rsidRPr="00B420D2" w:rsidRDefault="00E06F12" w:rsidP="00B420D2">
            <w:pPr>
              <w:jc w:val="both"/>
              <w:rPr>
                <w:rFonts w:eastAsia="Arial Unicode MS"/>
                <w:lang w:val="lv-LV"/>
              </w:rPr>
            </w:pPr>
            <w:r w:rsidRPr="00B420D2">
              <w:rPr>
                <w:lang w:val="lv-LV"/>
              </w:rPr>
              <w:t>Noteikumu projekta izpildei nav nepieciešams reorganizēt esošās institūcijas.</w:t>
            </w:r>
          </w:p>
        </w:tc>
      </w:tr>
      <w:tr w:rsidR="00E06F12" w:rsidRPr="00B420D2" w:rsidTr="00A54512">
        <w:trPr>
          <w:trHeight w:val="70"/>
        </w:trPr>
        <w:tc>
          <w:tcPr>
            <w:tcW w:w="5551" w:type="dxa"/>
          </w:tcPr>
          <w:p w:rsidR="00E06F12" w:rsidRPr="00B420D2" w:rsidRDefault="00E06F12" w:rsidP="00B420D2">
            <w:pPr>
              <w:pStyle w:val="NormalWeb"/>
              <w:spacing w:before="0" w:beforeAutospacing="0" w:after="0" w:afterAutospacing="0"/>
              <w:jc w:val="both"/>
              <w:rPr>
                <w:lang w:val="lv-LV"/>
              </w:rPr>
            </w:pPr>
            <w:r w:rsidRPr="00B420D2">
              <w:rPr>
                <w:lang w:val="lv-LV"/>
              </w:rPr>
              <w:t>6. Cita informācija</w:t>
            </w:r>
          </w:p>
        </w:tc>
        <w:tc>
          <w:tcPr>
            <w:tcW w:w="3449" w:type="dxa"/>
          </w:tcPr>
          <w:p w:rsidR="00E06F12" w:rsidRPr="00B420D2" w:rsidRDefault="00E06F12" w:rsidP="00B420D2">
            <w:pPr>
              <w:rPr>
                <w:rFonts w:eastAsia="Arial Unicode MS"/>
                <w:lang w:val="lv-LV"/>
              </w:rPr>
            </w:pPr>
            <w:r w:rsidRPr="00B420D2">
              <w:rPr>
                <w:lang w:val="lv-LV"/>
              </w:rPr>
              <w:t>Nav</w:t>
            </w:r>
          </w:p>
        </w:tc>
      </w:tr>
    </w:tbl>
    <w:p w:rsidR="00E06F12" w:rsidRPr="00B420D2" w:rsidRDefault="00E06F12" w:rsidP="00B420D2">
      <w:pPr>
        <w:jc w:val="center"/>
        <w:rPr>
          <w:lang w:val="lv-LV"/>
        </w:rPr>
      </w:pPr>
    </w:p>
    <w:p w:rsidR="005E440E" w:rsidRPr="00B420D2" w:rsidRDefault="005E440E" w:rsidP="00B420D2">
      <w:pPr>
        <w:rPr>
          <w:lang w:val="lv-LV"/>
        </w:rPr>
      </w:pPr>
    </w:p>
    <w:p w:rsidR="005E440E" w:rsidRPr="00B420D2" w:rsidRDefault="005E440E" w:rsidP="00B420D2">
      <w:pPr>
        <w:rPr>
          <w:lang w:val="lv-LV"/>
        </w:rPr>
      </w:pPr>
    </w:p>
    <w:p w:rsidR="00105AE2" w:rsidRPr="00B420D2" w:rsidRDefault="00DB6E78" w:rsidP="00B420D2">
      <w:pPr>
        <w:pStyle w:val="Heading1"/>
        <w:keepNext w:val="0"/>
        <w:widowControl w:val="0"/>
        <w:ind w:firstLine="720"/>
        <w:jc w:val="left"/>
        <w:rPr>
          <w:b w:val="0"/>
          <w:sz w:val="24"/>
          <w:szCs w:val="28"/>
        </w:rPr>
      </w:pPr>
      <w:r w:rsidRPr="00B420D2">
        <w:rPr>
          <w:b w:val="0"/>
          <w:sz w:val="24"/>
          <w:szCs w:val="28"/>
        </w:rPr>
        <w:t xml:space="preserve">Finanšu </w:t>
      </w:r>
      <w:r w:rsidR="00A22819" w:rsidRPr="00B420D2">
        <w:rPr>
          <w:b w:val="0"/>
          <w:sz w:val="24"/>
          <w:szCs w:val="28"/>
        </w:rPr>
        <w:t>ministrs</w:t>
      </w:r>
      <w:r w:rsidR="00105AE2" w:rsidRPr="00B420D2">
        <w:rPr>
          <w:b w:val="0"/>
          <w:sz w:val="24"/>
          <w:szCs w:val="28"/>
        </w:rPr>
        <w:tab/>
      </w:r>
      <w:r w:rsidR="00A22819" w:rsidRPr="00B420D2">
        <w:rPr>
          <w:b w:val="0"/>
          <w:sz w:val="24"/>
          <w:szCs w:val="28"/>
        </w:rPr>
        <w:tab/>
      </w:r>
      <w:r w:rsidR="00A22819" w:rsidRPr="00B420D2">
        <w:rPr>
          <w:b w:val="0"/>
          <w:sz w:val="24"/>
          <w:szCs w:val="28"/>
        </w:rPr>
        <w:tab/>
      </w:r>
      <w:r w:rsidR="00A22819" w:rsidRPr="00B420D2">
        <w:rPr>
          <w:b w:val="0"/>
          <w:sz w:val="24"/>
          <w:szCs w:val="28"/>
        </w:rPr>
        <w:tab/>
      </w:r>
      <w:r w:rsidR="00A22819" w:rsidRPr="00B420D2">
        <w:rPr>
          <w:b w:val="0"/>
          <w:sz w:val="24"/>
          <w:szCs w:val="28"/>
        </w:rPr>
        <w:tab/>
      </w:r>
      <w:r w:rsidR="00105AE2" w:rsidRPr="00B420D2">
        <w:rPr>
          <w:b w:val="0"/>
          <w:sz w:val="24"/>
          <w:szCs w:val="28"/>
        </w:rPr>
        <w:tab/>
      </w:r>
      <w:r w:rsidR="004E415F" w:rsidRPr="00B420D2">
        <w:rPr>
          <w:b w:val="0"/>
          <w:sz w:val="24"/>
          <w:szCs w:val="28"/>
        </w:rPr>
        <w:t xml:space="preserve">          </w:t>
      </w:r>
      <w:r w:rsidR="00655B38" w:rsidRPr="00B420D2">
        <w:rPr>
          <w:b w:val="0"/>
          <w:sz w:val="24"/>
          <w:szCs w:val="28"/>
        </w:rPr>
        <w:t>A.Vilks</w:t>
      </w:r>
    </w:p>
    <w:p w:rsidR="00CC26BC" w:rsidRPr="00B420D2" w:rsidRDefault="00CC26BC" w:rsidP="00B420D2">
      <w:pPr>
        <w:rPr>
          <w:lang w:val="lv-LV"/>
        </w:rPr>
      </w:pPr>
    </w:p>
    <w:p w:rsidR="007764A1" w:rsidRPr="00B420D2" w:rsidRDefault="007764A1" w:rsidP="00B420D2">
      <w:pPr>
        <w:pStyle w:val="Header"/>
        <w:rPr>
          <w:sz w:val="20"/>
          <w:szCs w:val="20"/>
          <w:lang w:val="lv-LV"/>
        </w:rPr>
      </w:pPr>
    </w:p>
    <w:p w:rsidR="007764A1" w:rsidRPr="00B420D2" w:rsidRDefault="007764A1" w:rsidP="00B420D2">
      <w:pPr>
        <w:pStyle w:val="Header"/>
        <w:rPr>
          <w:sz w:val="20"/>
          <w:szCs w:val="20"/>
          <w:lang w:val="lv-LV"/>
        </w:rPr>
      </w:pPr>
    </w:p>
    <w:p w:rsidR="003971A5" w:rsidRPr="00B420D2" w:rsidRDefault="002735A9" w:rsidP="00B420D2">
      <w:pPr>
        <w:pStyle w:val="Header"/>
        <w:rPr>
          <w:sz w:val="20"/>
          <w:szCs w:val="20"/>
          <w:lang w:val="lv-LV"/>
        </w:rPr>
      </w:pPr>
      <w:r>
        <w:rPr>
          <w:sz w:val="20"/>
          <w:szCs w:val="20"/>
          <w:lang w:val="lv-LV"/>
        </w:rPr>
        <w:t>15</w:t>
      </w:r>
      <w:r w:rsidR="005860FF">
        <w:rPr>
          <w:sz w:val="20"/>
          <w:szCs w:val="20"/>
          <w:lang w:val="lv-LV"/>
        </w:rPr>
        <w:t>.07</w:t>
      </w:r>
      <w:r w:rsidR="003971A5" w:rsidRPr="00B420D2">
        <w:rPr>
          <w:sz w:val="20"/>
          <w:szCs w:val="20"/>
          <w:lang w:val="lv-LV"/>
        </w:rPr>
        <w:t>.201</w:t>
      </w:r>
      <w:r w:rsidR="00A87317" w:rsidRPr="00B420D2">
        <w:rPr>
          <w:sz w:val="20"/>
          <w:szCs w:val="20"/>
          <w:lang w:val="lv-LV"/>
        </w:rPr>
        <w:t>1</w:t>
      </w:r>
      <w:r w:rsidR="003971A5" w:rsidRPr="00B420D2">
        <w:rPr>
          <w:sz w:val="20"/>
          <w:szCs w:val="20"/>
          <w:lang w:val="lv-LV"/>
        </w:rPr>
        <w:t xml:space="preserve">. </w:t>
      </w:r>
      <w:r>
        <w:rPr>
          <w:sz w:val="20"/>
          <w:szCs w:val="20"/>
          <w:lang w:val="lv-LV"/>
        </w:rPr>
        <w:t>9</w:t>
      </w:r>
      <w:r w:rsidR="007F7AC9">
        <w:rPr>
          <w:sz w:val="20"/>
          <w:szCs w:val="20"/>
          <w:lang w:val="lv-LV"/>
        </w:rPr>
        <w:t>:</w:t>
      </w:r>
      <w:r>
        <w:rPr>
          <w:sz w:val="20"/>
          <w:szCs w:val="20"/>
          <w:lang w:val="lv-LV"/>
        </w:rPr>
        <w:t>21</w:t>
      </w:r>
    </w:p>
    <w:p w:rsidR="003971A5" w:rsidRPr="00B420D2" w:rsidRDefault="006C66FF" w:rsidP="00B420D2">
      <w:pPr>
        <w:pStyle w:val="Header"/>
        <w:tabs>
          <w:tab w:val="left" w:pos="5610"/>
        </w:tabs>
        <w:rPr>
          <w:sz w:val="20"/>
          <w:szCs w:val="20"/>
          <w:lang w:val="lv-LV"/>
        </w:rPr>
      </w:pPr>
      <w:r>
        <w:rPr>
          <w:sz w:val="20"/>
          <w:szCs w:val="20"/>
          <w:lang w:val="lv-LV"/>
        </w:rPr>
        <w:t>2</w:t>
      </w:r>
      <w:r w:rsidR="002735A9">
        <w:rPr>
          <w:sz w:val="20"/>
          <w:szCs w:val="20"/>
          <w:lang w:val="lv-LV"/>
        </w:rPr>
        <w:t>24</w:t>
      </w:r>
      <w:r w:rsidR="00CE1483">
        <w:rPr>
          <w:sz w:val="20"/>
          <w:szCs w:val="20"/>
          <w:lang w:val="lv-LV"/>
        </w:rPr>
        <w:t>5</w:t>
      </w:r>
    </w:p>
    <w:p w:rsidR="00424BF8" w:rsidRPr="00B420D2" w:rsidRDefault="006C66FF" w:rsidP="00B420D2">
      <w:pPr>
        <w:pStyle w:val="Header"/>
        <w:rPr>
          <w:sz w:val="20"/>
          <w:szCs w:val="20"/>
          <w:lang w:val="lv-LV"/>
        </w:rPr>
      </w:pPr>
      <w:r>
        <w:rPr>
          <w:sz w:val="20"/>
          <w:szCs w:val="20"/>
          <w:lang w:val="lv-LV"/>
        </w:rPr>
        <w:t>L.</w:t>
      </w:r>
      <w:r w:rsidR="00B373CF" w:rsidRPr="00B420D2">
        <w:rPr>
          <w:sz w:val="20"/>
          <w:szCs w:val="20"/>
          <w:lang w:val="lv-LV"/>
        </w:rPr>
        <w:t>Barbara</w:t>
      </w:r>
    </w:p>
    <w:p w:rsidR="003971A5" w:rsidRDefault="00C52DB5" w:rsidP="00B420D2">
      <w:pPr>
        <w:pStyle w:val="Header"/>
        <w:rPr>
          <w:sz w:val="20"/>
          <w:szCs w:val="20"/>
          <w:lang w:val="lv-LV"/>
        </w:rPr>
      </w:pPr>
      <w:r w:rsidRPr="00B420D2">
        <w:rPr>
          <w:sz w:val="20"/>
          <w:szCs w:val="20"/>
          <w:lang w:val="lv-LV"/>
        </w:rPr>
        <w:t>670838</w:t>
      </w:r>
      <w:r w:rsidR="00B373CF" w:rsidRPr="00B420D2">
        <w:rPr>
          <w:sz w:val="20"/>
          <w:szCs w:val="20"/>
          <w:lang w:val="lv-LV"/>
        </w:rPr>
        <w:t>61</w:t>
      </w:r>
      <w:r w:rsidR="00424BF8" w:rsidRPr="00B420D2">
        <w:rPr>
          <w:sz w:val="20"/>
          <w:szCs w:val="20"/>
          <w:lang w:val="lv-LV"/>
        </w:rPr>
        <w:t xml:space="preserve">, </w:t>
      </w:r>
      <w:hyperlink r:id="rId12" w:history="1">
        <w:r w:rsidR="002735A9" w:rsidRPr="002735A9">
          <w:rPr>
            <w:rStyle w:val="Hyperlink"/>
            <w:color w:val="auto"/>
            <w:sz w:val="20"/>
            <w:szCs w:val="20"/>
            <w:u w:val="none"/>
            <w:lang w:val="lv-LV"/>
          </w:rPr>
          <w:t>Linda.Barbara@fm.gov.lv</w:t>
        </w:r>
      </w:hyperlink>
    </w:p>
    <w:p w:rsidR="002735A9" w:rsidRDefault="002735A9" w:rsidP="00B420D2">
      <w:pPr>
        <w:pStyle w:val="Header"/>
        <w:rPr>
          <w:sz w:val="20"/>
          <w:szCs w:val="20"/>
          <w:lang w:val="lv-LV"/>
        </w:rPr>
      </w:pPr>
    </w:p>
    <w:p w:rsidR="002735A9" w:rsidRDefault="002735A9" w:rsidP="00B420D2">
      <w:pPr>
        <w:pStyle w:val="Header"/>
        <w:rPr>
          <w:sz w:val="20"/>
          <w:szCs w:val="20"/>
          <w:lang w:val="lv-LV"/>
        </w:rPr>
      </w:pPr>
      <w:r>
        <w:rPr>
          <w:sz w:val="20"/>
          <w:szCs w:val="20"/>
          <w:lang w:val="lv-LV"/>
        </w:rPr>
        <w:t>K.Verbilo</w:t>
      </w:r>
      <w:bookmarkStart w:id="4" w:name="_GoBack"/>
      <w:bookmarkEnd w:id="4"/>
    </w:p>
    <w:p w:rsidR="002735A9" w:rsidRDefault="002735A9" w:rsidP="00B420D2">
      <w:pPr>
        <w:pStyle w:val="Header"/>
        <w:rPr>
          <w:sz w:val="20"/>
          <w:szCs w:val="20"/>
          <w:lang w:val="lv-LV"/>
        </w:rPr>
      </w:pPr>
      <w:proofErr w:type="spellStart"/>
      <w:r>
        <w:rPr>
          <w:sz w:val="20"/>
          <w:szCs w:val="20"/>
          <w:lang w:val="lv-LV"/>
        </w:rPr>
        <w:t>tālr</w:t>
      </w:r>
      <w:proofErr w:type="spellEnd"/>
      <w:r>
        <w:rPr>
          <w:sz w:val="20"/>
          <w:szCs w:val="20"/>
          <w:lang w:val="lv-LV"/>
        </w:rPr>
        <w:t>:</w:t>
      </w:r>
      <w:r w:rsidR="00CE1483">
        <w:rPr>
          <w:sz w:val="20"/>
          <w:szCs w:val="20"/>
          <w:lang w:val="lv-LV"/>
        </w:rPr>
        <w:t xml:space="preserve"> </w:t>
      </w:r>
      <w:r>
        <w:rPr>
          <w:sz w:val="20"/>
          <w:szCs w:val="20"/>
          <w:lang w:val="lv-LV"/>
        </w:rPr>
        <w:t>67083941</w:t>
      </w:r>
    </w:p>
    <w:p w:rsidR="002735A9" w:rsidRPr="00E06F12" w:rsidRDefault="002735A9" w:rsidP="00B420D2">
      <w:pPr>
        <w:pStyle w:val="Header"/>
        <w:rPr>
          <w:sz w:val="20"/>
          <w:szCs w:val="20"/>
          <w:lang w:val="lv-LV"/>
        </w:rPr>
      </w:pPr>
      <w:r>
        <w:rPr>
          <w:sz w:val="20"/>
          <w:szCs w:val="20"/>
          <w:lang w:val="lv-LV"/>
        </w:rPr>
        <w:t>Katerina.Verbilo@fm.gov.lv</w:t>
      </w:r>
    </w:p>
    <w:sectPr w:rsidR="002735A9" w:rsidRPr="00E06F12" w:rsidSect="00E63DDC">
      <w:headerReference w:type="even" r:id="rId13"/>
      <w:headerReference w:type="default" r:id="rId14"/>
      <w:footerReference w:type="default" r:id="rId15"/>
      <w:footerReference w:type="first" r:id="rId1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4B8" w:rsidRDefault="007B64B8">
      <w:r>
        <w:separator/>
      </w:r>
    </w:p>
  </w:endnote>
  <w:endnote w:type="continuationSeparator" w:id="0">
    <w:p w:rsidR="007B64B8" w:rsidRDefault="007B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RimTimes">
    <w:altName w:val="Times New Roman"/>
    <w:panose1 w:val="02020603060505020304"/>
    <w:charset w:val="00"/>
    <w:family w:val="auto"/>
    <w:notTrueType/>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B" w:rsidRPr="00B373CF" w:rsidRDefault="00663BCB" w:rsidP="00B373CF">
    <w:pPr>
      <w:pStyle w:val="naisf"/>
      <w:spacing w:after="0" w:afterAutospacing="0"/>
      <w:rPr>
        <w:sz w:val="20"/>
        <w:szCs w:val="22"/>
        <w:lang w:val="lv-LV"/>
      </w:rPr>
    </w:pPr>
    <w:r w:rsidRPr="00113BE7">
      <w:rPr>
        <w:sz w:val="20"/>
        <w:szCs w:val="20"/>
        <w:lang w:val="lv-LV"/>
      </w:rPr>
      <w:t>FM</w:t>
    </w:r>
    <w:r>
      <w:rPr>
        <w:sz w:val="20"/>
        <w:szCs w:val="20"/>
        <w:lang w:val="lv-LV"/>
      </w:rPr>
      <w:t>An</w:t>
    </w:r>
    <w:r w:rsidRPr="00113BE7">
      <w:rPr>
        <w:sz w:val="20"/>
        <w:szCs w:val="20"/>
        <w:lang w:val="lv-LV"/>
      </w:rPr>
      <w:t>ot_</w:t>
    </w:r>
    <w:r>
      <w:rPr>
        <w:sz w:val="20"/>
        <w:szCs w:val="20"/>
        <w:lang w:val="lv-LV"/>
      </w:rPr>
      <w:t>0707</w:t>
    </w:r>
    <w:r w:rsidRPr="00113BE7">
      <w:rPr>
        <w:sz w:val="20"/>
        <w:szCs w:val="20"/>
        <w:lang w:val="lv-LV"/>
      </w:rPr>
      <w:t xml:space="preserve">11_direktiva; </w:t>
    </w:r>
    <w:r>
      <w:rPr>
        <w:sz w:val="20"/>
        <w:szCs w:val="20"/>
        <w:lang w:val="lv-LV"/>
      </w:rPr>
      <w:t>Ministru kabineta noteikumu projekta „</w:t>
    </w:r>
    <w:r w:rsidRPr="00113BE7">
      <w:rPr>
        <w:sz w:val="20"/>
        <w:szCs w:val="28"/>
        <w:lang w:val="lv-LV"/>
      </w:rPr>
      <w:t>Grozījumi Ministru kabineta 2010.gada 10.augusta noteikumos Nr.740 „Kārtība, kādā ziņo</w:t>
    </w:r>
    <w:r>
      <w:rPr>
        <w:sz w:val="20"/>
        <w:szCs w:val="28"/>
        <w:lang w:val="lv-LV"/>
      </w:rPr>
      <w:t xml:space="preserve"> par</w:t>
    </w:r>
    <w:r w:rsidRPr="00113BE7">
      <w:rPr>
        <w:sz w:val="20"/>
        <w:szCs w:val="28"/>
        <w:lang w:val="lv-LV"/>
      </w:rPr>
      <w:t xml:space="preserve"> Eiropas Savienības struktūrfondu un Kohēzijas fonda ieviešanā konstatētajām neatbilstībām, pieņem lēmumu par piešķirtā finansējuma izlietojumu un atgūst neatbilstoši veiktos izdevumus”</w:t>
    </w:r>
    <w:r>
      <w:rPr>
        <w:sz w:val="20"/>
        <w:szCs w:val="28"/>
        <w:lang w:val="lv-LV"/>
      </w:rPr>
      <w:t xml:space="preserve">” </w:t>
    </w:r>
    <w:r w:rsidRPr="00113BE7">
      <w:rPr>
        <w:sz w:val="20"/>
        <w:szCs w:val="22"/>
        <w:lang w:val="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B" w:rsidRPr="00113BE7" w:rsidRDefault="00663BCB" w:rsidP="00B373CF">
    <w:pPr>
      <w:pStyle w:val="naisf"/>
      <w:spacing w:after="0" w:afterAutospacing="0"/>
      <w:rPr>
        <w:sz w:val="20"/>
        <w:szCs w:val="22"/>
        <w:lang w:val="lv-LV"/>
      </w:rPr>
    </w:pPr>
    <w:r w:rsidRPr="00113BE7">
      <w:rPr>
        <w:sz w:val="20"/>
        <w:szCs w:val="20"/>
        <w:lang w:val="lv-LV"/>
      </w:rPr>
      <w:t>FM</w:t>
    </w:r>
    <w:r>
      <w:rPr>
        <w:sz w:val="20"/>
        <w:szCs w:val="20"/>
        <w:lang w:val="lv-LV"/>
      </w:rPr>
      <w:t>An</w:t>
    </w:r>
    <w:r w:rsidRPr="00113BE7">
      <w:rPr>
        <w:sz w:val="20"/>
        <w:szCs w:val="20"/>
        <w:lang w:val="lv-LV"/>
      </w:rPr>
      <w:t>ot_</w:t>
    </w:r>
    <w:r>
      <w:rPr>
        <w:sz w:val="20"/>
        <w:szCs w:val="20"/>
        <w:lang w:val="lv-LV"/>
      </w:rPr>
      <w:t>0707</w:t>
    </w:r>
    <w:r w:rsidRPr="00113BE7">
      <w:rPr>
        <w:sz w:val="20"/>
        <w:szCs w:val="20"/>
        <w:lang w:val="lv-LV"/>
      </w:rPr>
      <w:t xml:space="preserve">11_direktiva; </w:t>
    </w:r>
    <w:r>
      <w:rPr>
        <w:sz w:val="20"/>
        <w:szCs w:val="20"/>
        <w:lang w:val="lv-LV"/>
      </w:rPr>
      <w:t>Ministru kabineta noteikumu projekta „</w:t>
    </w:r>
    <w:r w:rsidRPr="00113BE7">
      <w:rPr>
        <w:sz w:val="20"/>
        <w:szCs w:val="28"/>
        <w:lang w:val="lv-LV"/>
      </w:rPr>
      <w:t xml:space="preserve">Grozījumi Ministru kabineta 2010.gada 10.augusta noteikumos Nr.740 „Kārtība, kādā ziņo </w:t>
    </w:r>
    <w:r>
      <w:rPr>
        <w:sz w:val="20"/>
        <w:szCs w:val="28"/>
        <w:lang w:val="lv-LV"/>
      </w:rPr>
      <w:t xml:space="preserve">par </w:t>
    </w:r>
    <w:r w:rsidRPr="00113BE7">
      <w:rPr>
        <w:sz w:val="20"/>
        <w:szCs w:val="28"/>
        <w:lang w:val="lv-LV"/>
      </w:rPr>
      <w:t>Eiropas Savienības struktūrfondu un Kohēzijas fonda ieviešanā konstatētajām neatbilstībām, pieņem lēmumu par piešķirtā finansējuma izlietojumu un atgūst neatbilstoši veiktos izdevumus”</w:t>
    </w:r>
    <w:r>
      <w:rPr>
        <w:sz w:val="20"/>
        <w:szCs w:val="28"/>
        <w:lang w:val="lv-LV"/>
      </w:rPr>
      <w:t xml:space="preserve">” </w:t>
    </w:r>
    <w:r w:rsidRPr="00113BE7">
      <w:rPr>
        <w:sz w:val="20"/>
        <w:szCs w:val="22"/>
        <w:lang w:val="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4B8" w:rsidRDefault="007B64B8">
      <w:r>
        <w:separator/>
      </w:r>
    </w:p>
  </w:footnote>
  <w:footnote w:type="continuationSeparator" w:id="0">
    <w:p w:rsidR="007B64B8" w:rsidRDefault="007B6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B" w:rsidRDefault="00AB6079">
    <w:pPr>
      <w:pStyle w:val="Header"/>
      <w:framePr w:wrap="around" w:vAnchor="text" w:hAnchor="margin" w:xAlign="center" w:y="1"/>
      <w:rPr>
        <w:rStyle w:val="PageNumber"/>
      </w:rPr>
    </w:pPr>
    <w:r>
      <w:rPr>
        <w:rStyle w:val="PageNumber"/>
      </w:rPr>
      <w:fldChar w:fldCharType="begin"/>
    </w:r>
    <w:r w:rsidR="00663BCB">
      <w:rPr>
        <w:rStyle w:val="PageNumber"/>
      </w:rPr>
      <w:instrText xml:space="preserve">PAGE  </w:instrText>
    </w:r>
    <w:r>
      <w:rPr>
        <w:rStyle w:val="PageNumber"/>
      </w:rPr>
      <w:fldChar w:fldCharType="end"/>
    </w:r>
  </w:p>
  <w:p w:rsidR="00663BCB" w:rsidRDefault="00663B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CB" w:rsidRDefault="00AB6079">
    <w:pPr>
      <w:pStyle w:val="Header"/>
      <w:framePr w:wrap="around" w:vAnchor="text" w:hAnchor="margin" w:xAlign="center" w:y="1"/>
      <w:rPr>
        <w:rStyle w:val="PageNumber"/>
      </w:rPr>
    </w:pPr>
    <w:r>
      <w:rPr>
        <w:rStyle w:val="PageNumber"/>
      </w:rPr>
      <w:fldChar w:fldCharType="begin"/>
    </w:r>
    <w:r w:rsidR="00663BCB">
      <w:rPr>
        <w:rStyle w:val="PageNumber"/>
      </w:rPr>
      <w:instrText xml:space="preserve">PAGE  </w:instrText>
    </w:r>
    <w:r>
      <w:rPr>
        <w:rStyle w:val="PageNumber"/>
      </w:rPr>
      <w:fldChar w:fldCharType="separate"/>
    </w:r>
    <w:r w:rsidR="00CE1483">
      <w:rPr>
        <w:rStyle w:val="PageNumber"/>
        <w:noProof/>
      </w:rPr>
      <w:t>8</w:t>
    </w:r>
    <w:r>
      <w:rPr>
        <w:rStyle w:val="PageNumber"/>
      </w:rPr>
      <w:fldChar w:fldCharType="end"/>
    </w:r>
  </w:p>
  <w:p w:rsidR="00663BCB" w:rsidRDefault="00663B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566E"/>
    <w:multiLevelType w:val="hybridMultilevel"/>
    <w:tmpl w:val="0E1EDEE8"/>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B6D119B"/>
    <w:multiLevelType w:val="hybridMultilevel"/>
    <w:tmpl w:val="D890C192"/>
    <w:lvl w:ilvl="0" w:tplc="8E2A5972">
      <w:start w:val="4"/>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6B7147"/>
    <w:multiLevelType w:val="hybridMultilevel"/>
    <w:tmpl w:val="F512721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52055420"/>
    <w:multiLevelType w:val="hybridMultilevel"/>
    <w:tmpl w:val="18C0F7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64732CE"/>
    <w:multiLevelType w:val="hybridMultilevel"/>
    <w:tmpl w:val="6C0ED526"/>
    <w:lvl w:ilvl="0" w:tplc="0426000F">
      <w:start w:val="1"/>
      <w:numFmt w:val="decimal"/>
      <w:lvlText w:val="%1."/>
      <w:lvlJc w:val="left"/>
      <w:pPr>
        <w:tabs>
          <w:tab w:val="num" w:pos="600"/>
        </w:tabs>
        <w:ind w:left="600" w:hanging="360"/>
      </w:pPr>
      <w:rPr>
        <w:rFonts w:hint="default"/>
      </w:rPr>
    </w:lvl>
    <w:lvl w:ilvl="1" w:tplc="04260019" w:tentative="1">
      <w:start w:val="1"/>
      <w:numFmt w:val="lowerLetter"/>
      <w:lvlText w:val="%2."/>
      <w:lvlJc w:val="left"/>
      <w:pPr>
        <w:tabs>
          <w:tab w:val="num" w:pos="1320"/>
        </w:tabs>
        <w:ind w:left="1320" w:hanging="360"/>
      </w:pPr>
    </w:lvl>
    <w:lvl w:ilvl="2" w:tplc="0426001B" w:tentative="1">
      <w:start w:val="1"/>
      <w:numFmt w:val="lowerRoman"/>
      <w:lvlText w:val="%3."/>
      <w:lvlJc w:val="right"/>
      <w:pPr>
        <w:tabs>
          <w:tab w:val="num" w:pos="2040"/>
        </w:tabs>
        <w:ind w:left="2040" w:hanging="180"/>
      </w:pPr>
    </w:lvl>
    <w:lvl w:ilvl="3" w:tplc="0426000F" w:tentative="1">
      <w:start w:val="1"/>
      <w:numFmt w:val="decimal"/>
      <w:lvlText w:val="%4."/>
      <w:lvlJc w:val="left"/>
      <w:pPr>
        <w:tabs>
          <w:tab w:val="num" w:pos="2760"/>
        </w:tabs>
        <w:ind w:left="2760" w:hanging="360"/>
      </w:pPr>
    </w:lvl>
    <w:lvl w:ilvl="4" w:tplc="04260019" w:tentative="1">
      <w:start w:val="1"/>
      <w:numFmt w:val="lowerLetter"/>
      <w:lvlText w:val="%5."/>
      <w:lvlJc w:val="left"/>
      <w:pPr>
        <w:tabs>
          <w:tab w:val="num" w:pos="3480"/>
        </w:tabs>
        <w:ind w:left="3480" w:hanging="360"/>
      </w:pPr>
    </w:lvl>
    <w:lvl w:ilvl="5" w:tplc="0426001B" w:tentative="1">
      <w:start w:val="1"/>
      <w:numFmt w:val="lowerRoman"/>
      <w:lvlText w:val="%6."/>
      <w:lvlJc w:val="right"/>
      <w:pPr>
        <w:tabs>
          <w:tab w:val="num" w:pos="4200"/>
        </w:tabs>
        <w:ind w:left="4200" w:hanging="180"/>
      </w:pPr>
    </w:lvl>
    <w:lvl w:ilvl="6" w:tplc="0426000F" w:tentative="1">
      <w:start w:val="1"/>
      <w:numFmt w:val="decimal"/>
      <w:lvlText w:val="%7."/>
      <w:lvlJc w:val="left"/>
      <w:pPr>
        <w:tabs>
          <w:tab w:val="num" w:pos="4920"/>
        </w:tabs>
        <w:ind w:left="4920" w:hanging="360"/>
      </w:pPr>
    </w:lvl>
    <w:lvl w:ilvl="7" w:tplc="04260019" w:tentative="1">
      <w:start w:val="1"/>
      <w:numFmt w:val="lowerLetter"/>
      <w:lvlText w:val="%8."/>
      <w:lvlJc w:val="left"/>
      <w:pPr>
        <w:tabs>
          <w:tab w:val="num" w:pos="5640"/>
        </w:tabs>
        <w:ind w:left="5640" w:hanging="360"/>
      </w:pPr>
    </w:lvl>
    <w:lvl w:ilvl="8" w:tplc="0426001B" w:tentative="1">
      <w:start w:val="1"/>
      <w:numFmt w:val="lowerRoman"/>
      <w:lvlText w:val="%9."/>
      <w:lvlJc w:val="right"/>
      <w:pPr>
        <w:tabs>
          <w:tab w:val="num" w:pos="6360"/>
        </w:tabs>
        <w:ind w:left="6360" w:hanging="180"/>
      </w:pPr>
    </w:lvl>
  </w:abstractNum>
  <w:abstractNum w:abstractNumId="5">
    <w:nsid w:val="5B691A42"/>
    <w:multiLevelType w:val="hybridMultilevel"/>
    <w:tmpl w:val="4A66829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43052D"/>
    <w:multiLevelType w:val="hybridMultilevel"/>
    <w:tmpl w:val="B204B030"/>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7">
    <w:nsid w:val="632B3CBB"/>
    <w:multiLevelType w:val="hybridMultilevel"/>
    <w:tmpl w:val="28B65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E80610"/>
    <w:multiLevelType w:val="hybridMultilevel"/>
    <w:tmpl w:val="80E65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9E4B47"/>
    <w:multiLevelType w:val="hybridMultilevel"/>
    <w:tmpl w:val="3A04F91C"/>
    <w:lvl w:ilvl="0" w:tplc="8278D6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E54248D"/>
    <w:multiLevelType w:val="hybridMultilevel"/>
    <w:tmpl w:val="BD2016C0"/>
    <w:lvl w:ilvl="0" w:tplc="04260001">
      <w:start w:val="1"/>
      <w:numFmt w:val="bullet"/>
      <w:lvlText w:val=""/>
      <w:lvlJc w:val="left"/>
      <w:pPr>
        <w:ind w:left="1183" w:hanging="360"/>
      </w:pPr>
      <w:rPr>
        <w:rFonts w:ascii="Symbol" w:hAnsi="Symbol" w:hint="default"/>
      </w:rPr>
    </w:lvl>
    <w:lvl w:ilvl="1" w:tplc="04260003" w:tentative="1">
      <w:start w:val="1"/>
      <w:numFmt w:val="bullet"/>
      <w:lvlText w:val="o"/>
      <w:lvlJc w:val="left"/>
      <w:pPr>
        <w:ind w:left="1903" w:hanging="360"/>
      </w:pPr>
      <w:rPr>
        <w:rFonts w:ascii="Courier New" w:hAnsi="Courier New" w:cs="Courier New" w:hint="default"/>
      </w:rPr>
    </w:lvl>
    <w:lvl w:ilvl="2" w:tplc="04260005" w:tentative="1">
      <w:start w:val="1"/>
      <w:numFmt w:val="bullet"/>
      <w:lvlText w:val=""/>
      <w:lvlJc w:val="left"/>
      <w:pPr>
        <w:ind w:left="2623" w:hanging="360"/>
      </w:pPr>
      <w:rPr>
        <w:rFonts w:ascii="Wingdings" w:hAnsi="Wingdings" w:hint="default"/>
      </w:rPr>
    </w:lvl>
    <w:lvl w:ilvl="3" w:tplc="04260001" w:tentative="1">
      <w:start w:val="1"/>
      <w:numFmt w:val="bullet"/>
      <w:lvlText w:val=""/>
      <w:lvlJc w:val="left"/>
      <w:pPr>
        <w:ind w:left="3343" w:hanging="360"/>
      </w:pPr>
      <w:rPr>
        <w:rFonts w:ascii="Symbol" w:hAnsi="Symbol" w:hint="default"/>
      </w:rPr>
    </w:lvl>
    <w:lvl w:ilvl="4" w:tplc="04260003" w:tentative="1">
      <w:start w:val="1"/>
      <w:numFmt w:val="bullet"/>
      <w:lvlText w:val="o"/>
      <w:lvlJc w:val="left"/>
      <w:pPr>
        <w:ind w:left="4063" w:hanging="360"/>
      </w:pPr>
      <w:rPr>
        <w:rFonts w:ascii="Courier New" w:hAnsi="Courier New" w:cs="Courier New" w:hint="default"/>
      </w:rPr>
    </w:lvl>
    <w:lvl w:ilvl="5" w:tplc="04260005" w:tentative="1">
      <w:start w:val="1"/>
      <w:numFmt w:val="bullet"/>
      <w:lvlText w:val=""/>
      <w:lvlJc w:val="left"/>
      <w:pPr>
        <w:ind w:left="4783" w:hanging="360"/>
      </w:pPr>
      <w:rPr>
        <w:rFonts w:ascii="Wingdings" w:hAnsi="Wingdings" w:hint="default"/>
      </w:rPr>
    </w:lvl>
    <w:lvl w:ilvl="6" w:tplc="04260001" w:tentative="1">
      <w:start w:val="1"/>
      <w:numFmt w:val="bullet"/>
      <w:lvlText w:val=""/>
      <w:lvlJc w:val="left"/>
      <w:pPr>
        <w:ind w:left="5503" w:hanging="360"/>
      </w:pPr>
      <w:rPr>
        <w:rFonts w:ascii="Symbol" w:hAnsi="Symbol" w:hint="default"/>
      </w:rPr>
    </w:lvl>
    <w:lvl w:ilvl="7" w:tplc="04260003" w:tentative="1">
      <w:start w:val="1"/>
      <w:numFmt w:val="bullet"/>
      <w:lvlText w:val="o"/>
      <w:lvlJc w:val="left"/>
      <w:pPr>
        <w:ind w:left="6223" w:hanging="360"/>
      </w:pPr>
      <w:rPr>
        <w:rFonts w:ascii="Courier New" w:hAnsi="Courier New" w:cs="Courier New" w:hint="default"/>
      </w:rPr>
    </w:lvl>
    <w:lvl w:ilvl="8" w:tplc="04260005" w:tentative="1">
      <w:start w:val="1"/>
      <w:numFmt w:val="bullet"/>
      <w:lvlText w:val=""/>
      <w:lvlJc w:val="left"/>
      <w:pPr>
        <w:ind w:left="6943"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2"/>
  </w:num>
  <w:num w:numId="7">
    <w:abstractNumId w:val="4"/>
  </w:num>
  <w:num w:numId="8">
    <w:abstractNumId w:val="6"/>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034F8D"/>
    <w:rsid w:val="000012AA"/>
    <w:rsid w:val="000018E3"/>
    <w:rsid w:val="00001CFA"/>
    <w:rsid w:val="000030F6"/>
    <w:rsid w:val="00003163"/>
    <w:rsid w:val="00003470"/>
    <w:rsid w:val="000100B6"/>
    <w:rsid w:val="0001274B"/>
    <w:rsid w:val="00016631"/>
    <w:rsid w:val="000168B7"/>
    <w:rsid w:val="00017CB2"/>
    <w:rsid w:val="0002095E"/>
    <w:rsid w:val="0002330F"/>
    <w:rsid w:val="0003130D"/>
    <w:rsid w:val="000323C9"/>
    <w:rsid w:val="00034F8D"/>
    <w:rsid w:val="0004661C"/>
    <w:rsid w:val="00046EAE"/>
    <w:rsid w:val="000525C8"/>
    <w:rsid w:val="00056991"/>
    <w:rsid w:val="00057C93"/>
    <w:rsid w:val="00067D7F"/>
    <w:rsid w:val="00070B32"/>
    <w:rsid w:val="000711AA"/>
    <w:rsid w:val="00072154"/>
    <w:rsid w:val="000738C5"/>
    <w:rsid w:val="00073B38"/>
    <w:rsid w:val="00074D2A"/>
    <w:rsid w:val="00074E57"/>
    <w:rsid w:val="00075ABB"/>
    <w:rsid w:val="00075C44"/>
    <w:rsid w:val="00076367"/>
    <w:rsid w:val="00076E10"/>
    <w:rsid w:val="0007746D"/>
    <w:rsid w:val="00081283"/>
    <w:rsid w:val="00083281"/>
    <w:rsid w:val="0008422B"/>
    <w:rsid w:val="00095D8C"/>
    <w:rsid w:val="000A0CC6"/>
    <w:rsid w:val="000A2AA7"/>
    <w:rsid w:val="000A67CD"/>
    <w:rsid w:val="000A71F6"/>
    <w:rsid w:val="000B2342"/>
    <w:rsid w:val="000B32EF"/>
    <w:rsid w:val="000B5DBB"/>
    <w:rsid w:val="000B7AB8"/>
    <w:rsid w:val="000C0FA7"/>
    <w:rsid w:val="000C5D0D"/>
    <w:rsid w:val="000C6290"/>
    <w:rsid w:val="000D0329"/>
    <w:rsid w:val="000D42F3"/>
    <w:rsid w:val="000D761E"/>
    <w:rsid w:val="000E06C5"/>
    <w:rsid w:val="000E1683"/>
    <w:rsid w:val="000E5F80"/>
    <w:rsid w:val="000E63CA"/>
    <w:rsid w:val="000F01FC"/>
    <w:rsid w:val="000F2195"/>
    <w:rsid w:val="000F6DB0"/>
    <w:rsid w:val="00105AE2"/>
    <w:rsid w:val="001061BA"/>
    <w:rsid w:val="00110DF4"/>
    <w:rsid w:val="001124CC"/>
    <w:rsid w:val="00112D44"/>
    <w:rsid w:val="00113BE7"/>
    <w:rsid w:val="00114CC1"/>
    <w:rsid w:val="00114FAC"/>
    <w:rsid w:val="001177FE"/>
    <w:rsid w:val="001178E3"/>
    <w:rsid w:val="00131D05"/>
    <w:rsid w:val="001347E9"/>
    <w:rsid w:val="00136C98"/>
    <w:rsid w:val="00137DB6"/>
    <w:rsid w:val="001466B6"/>
    <w:rsid w:val="0015096D"/>
    <w:rsid w:val="0015254E"/>
    <w:rsid w:val="001531CE"/>
    <w:rsid w:val="00154174"/>
    <w:rsid w:val="0016011A"/>
    <w:rsid w:val="001608F4"/>
    <w:rsid w:val="0016261A"/>
    <w:rsid w:val="001638A9"/>
    <w:rsid w:val="00164C5B"/>
    <w:rsid w:val="001739AD"/>
    <w:rsid w:val="00177B09"/>
    <w:rsid w:val="00182C1E"/>
    <w:rsid w:val="001854F8"/>
    <w:rsid w:val="0019013A"/>
    <w:rsid w:val="001969B1"/>
    <w:rsid w:val="001A3B92"/>
    <w:rsid w:val="001B4882"/>
    <w:rsid w:val="001C7CA2"/>
    <w:rsid w:val="001C7F5E"/>
    <w:rsid w:val="001D788D"/>
    <w:rsid w:val="001E14E1"/>
    <w:rsid w:val="001E264B"/>
    <w:rsid w:val="001F1642"/>
    <w:rsid w:val="00201159"/>
    <w:rsid w:val="00201A7E"/>
    <w:rsid w:val="00201FC8"/>
    <w:rsid w:val="002043DB"/>
    <w:rsid w:val="002063C4"/>
    <w:rsid w:val="00207919"/>
    <w:rsid w:val="00207E7D"/>
    <w:rsid w:val="0021364F"/>
    <w:rsid w:val="00213FAC"/>
    <w:rsid w:val="002165A3"/>
    <w:rsid w:val="00216F5E"/>
    <w:rsid w:val="002234A1"/>
    <w:rsid w:val="00226D56"/>
    <w:rsid w:val="00232ECC"/>
    <w:rsid w:val="0023375E"/>
    <w:rsid w:val="0023550B"/>
    <w:rsid w:val="002457B2"/>
    <w:rsid w:val="00247D93"/>
    <w:rsid w:val="00252CBC"/>
    <w:rsid w:val="00253D3B"/>
    <w:rsid w:val="0025425E"/>
    <w:rsid w:val="00254851"/>
    <w:rsid w:val="002568AC"/>
    <w:rsid w:val="0026657D"/>
    <w:rsid w:val="002709D6"/>
    <w:rsid w:val="00270E29"/>
    <w:rsid w:val="0027115D"/>
    <w:rsid w:val="002735A9"/>
    <w:rsid w:val="002740B7"/>
    <w:rsid w:val="00274350"/>
    <w:rsid w:val="00274BC4"/>
    <w:rsid w:val="00276248"/>
    <w:rsid w:val="00280F47"/>
    <w:rsid w:val="00281706"/>
    <w:rsid w:val="002822C2"/>
    <w:rsid w:val="00284920"/>
    <w:rsid w:val="0029048C"/>
    <w:rsid w:val="00291571"/>
    <w:rsid w:val="002915A2"/>
    <w:rsid w:val="0029700C"/>
    <w:rsid w:val="00297244"/>
    <w:rsid w:val="002A4A10"/>
    <w:rsid w:val="002B19A4"/>
    <w:rsid w:val="002B4F76"/>
    <w:rsid w:val="002C5489"/>
    <w:rsid w:val="002D06D5"/>
    <w:rsid w:val="002D1A3D"/>
    <w:rsid w:val="002D4981"/>
    <w:rsid w:val="002D5471"/>
    <w:rsid w:val="002E0923"/>
    <w:rsid w:val="002E3FFA"/>
    <w:rsid w:val="002F0C7E"/>
    <w:rsid w:val="002F10A4"/>
    <w:rsid w:val="002F36E3"/>
    <w:rsid w:val="002F5119"/>
    <w:rsid w:val="002F780E"/>
    <w:rsid w:val="00300B88"/>
    <w:rsid w:val="003124EE"/>
    <w:rsid w:val="0032141D"/>
    <w:rsid w:val="00327021"/>
    <w:rsid w:val="00332EC6"/>
    <w:rsid w:val="00333179"/>
    <w:rsid w:val="0033350D"/>
    <w:rsid w:val="003341C0"/>
    <w:rsid w:val="003353AA"/>
    <w:rsid w:val="00335891"/>
    <w:rsid w:val="003477AD"/>
    <w:rsid w:val="00347989"/>
    <w:rsid w:val="003544B0"/>
    <w:rsid w:val="00356DA0"/>
    <w:rsid w:val="00365D17"/>
    <w:rsid w:val="00366C0D"/>
    <w:rsid w:val="003671B9"/>
    <w:rsid w:val="00371689"/>
    <w:rsid w:val="00371909"/>
    <w:rsid w:val="003750BF"/>
    <w:rsid w:val="00375EF3"/>
    <w:rsid w:val="0038045D"/>
    <w:rsid w:val="00380C69"/>
    <w:rsid w:val="00381F72"/>
    <w:rsid w:val="0038260B"/>
    <w:rsid w:val="00386F48"/>
    <w:rsid w:val="0039577F"/>
    <w:rsid w:val="00396735"/>
    <w:rsid w:val="003971A5"/>
    <w:rsid w:val="003A3E65"/>
    <w:rsid w:val="003A428B"/>
    <w:rsid w:val="003A4522"/>
    <w:rsid w:val="003A7459"/>
    <w:rsid w:val="003B5041"/>
    <w:rsid w:val="003B6C47"/>
    <w:rsid w:val="003C1264"/>
    <w:rsid w:val="003C2517"/>
    <w:rsid w:val="003C2B26"/>
    <w:rsid w:val="003C2C1B"/>
    <w:rsid w:val="003C30EB"/>
    <w:rsid w:val="003C4AC2"/>
    <w:rsid w:val="003C5328"/>
    <w:rsid w:val="003D0D4F"/>
    <w:rsid w:val="003D62B2"/>
    <w:rsid w:val="003D676D"/>
    <w:rsid w:val="003E1A05"/>
    <w:rsid w:val="003E6F29"/>
    <w:rsid w:val="003F1C13"/>
    <w:rsid w:val="003F29A1"/>
    <w:rsid w:val="003F2F3C"/>
    <w:rsid w:val="003F7035"/>
    <w:rsid w:val="0040462F"/>
    <w:rsid w:val="004050EB"/>
    <w:rsid w:val="0040578E"/>
    <w:rsid w:val="004071C3"/>
    <w:rsid w:val="00411B6D"/>
    <w:rsid w:val="00415584"/>
    <w:rsid w:val="004175A3"/>
    <w:rsid w:val="00421F53"/>
    <w:rsid w:val="004249A6"/>
    <w:rsid w:val="00424AE1"/>
    <w:rsid w:val="00424BF8"/>
    <w:rsid w:val="0042565B"/>
    <w:rsid w:val="0043470A"/>
    <w:rsid w:val="00435EE0"/>
    <w:rsid w:val="00436282"/>
    <w:rsid w:val="00443182"/>
    <w:rsid w:val="0044545F"/>
    <w:rsid w:val="004477F4"/>
    <w:rsid w:val="00456449"/>
    <w:rsid w:val="00462522"/>
    <w:rsid w:val="004645B8"/>
    <w:rsid w:val="00467FF3"/>
    <w:rsid w:val="004709FA"/>
    <w:rsid w:val="004727CF"/>
    <w:rsid w:val="004742DC"/>
    <w:rsid w:val="00474A28"/>
    <w:rsid w:val="0047551B"/>
    <w:rsid w:val="0048030D"/>
    <w:rsid w:val="00484DDF"/>
    <w:rsid w:val="0048641E"/>
    <w:rsid w:val="0048782C"/>
    <w:rsid w:val="004878C7"/>
    <w:rsid w:val="00493C91"/>
    <w:rsid w:val="00496708"/>
    <w:rsid w:val="00496CD5"/>
    <w:rsid w:val="004A53D2"/>
    <w:rsid w:val="004A62E4"/>
    <w:rsid w:val="004B0C51"/>
    <w:rsid w:val="004B0E22"/>
    <w:rsid w:val="004B1C72"/>
    <w:rsid w:val="004B2F05"/>
    <w:rsid w:val="004B3171"/>
    <w:rsid w:val="004B4421"/>
    <w:rsid w:val="004B5C4D"/>
    <w:rsid w:val="004C0EC4"/>
    <w:rsid w:val="004C1820"/>
    <w:rsid w:val="004C577E"/>
    <w:rsid w:val="004C5C71"/>
    <w:rsid w:val="004D0202"/>
    <w:rsid w:val="004D4045"/>
    <w:rsid w:val="004D4078"/>
    <w:rsid w:val="004D414B"/>
    <w:rsid w:val="004D6A9E"/>
    <w:rsid w:val="004E415F"/>
    <w:rsid w:val="004E5D36"/>
    <w:rsid w:val="004E78C9"/>
    <w:rsid w:val="004F407F"/>
    <w:rsid w:val="004F5E07"/>
    <w:rsid w:val="00500F18"/>
    <w:rsid w:val="00505064"/>
    <w:rsid w:val="00507E40"/>
    <w:rsid w:val="00512A7E"/>
    <w:rsid w:val="00512CFE"/>
    <w:rsid w:val="00515C96"/>
    <w:rsid w:val="0051750E"/>
    <w:rsid w:val="00520A28"/>
    <w:rsid w:val="00522A71"/>
    <w:rsid w:val="00530855"/>
    <w:rsid w:val="0053651B"/>
    <w:rsid w:val="00536EAE"/>
    <w:rsid w:val="00541ED4"/>
    <w:rsid w:val="00550CD0"/>
    <w:rsid w:val="00551DD5"/>
    <w:rsid w:val="00554901"/>
    <w:rsid w:val="005601FE"/>
    <w:rsid w:val="00561D1A"/>
    <w:rsid w:val="005700FE"/>
    <w:rsid w:val="00572BC9"/>
    <w:rsid w:val="0057369F"/>
    <w:rsid w:val="00573F5E"/>
    <w:rsid w:val="00574657"/>
    <w:rsid w:val="00581754"/>
    <w:rsid w:val="00581B6D"/>
    <w:rsid w:val="005858F2"/>
    <w:rsid w:val="005860FF"/>
    <w:rsid w:val="005944E1"/>
    <w:rsid w:val="00594CBB"/>
    <w:rsid w:val="00594E1C"/>
    <w:rsid w:val="00597398"/>
    <w:rsid w:val="005A6AF8"/>
    <w:rsid w:val="005A71C2"/>
    <w:rsid w:val="005B4287"/>
    <w:rsid w:val="005C3A6B"/>
    <w:rsid w:val="005D09E6"/>
    <w:rsid w:val="005D0EF7"/>
    <w:rsid w:val="005D0F48"/>
    <w:rsid w:val="005D2108"/>
    <w:rsid w:val="005D2257"/>
    <w:rsid w:val="005D2DB1"/>
    <w:rsid w:val="005D5EA3"/>
    <w:rsid w:val="005D606A"/>
    <w:rsid w:val="005E080A"/>
    <w:rsid w:val="005E2910"/>
    <w:rsid w:val="005E4394"/>
    <w:rsid w:val="005E440E"/>
    <w:rsid w:val="005E7DE4"/>
    <w:rsid w:val="005F70B6"/>
    <w:rsid w:val="0060260F"/>
    <w:rsid w:val="0060300C"/>
    <w:rsid w:val="006051AE"/>
    <w:rsid w:val="00605998"/>
    <w:rsid w:val="00605D01"/>
    <w:rsid w:val="006060A1"/>
    <w:rsid w:val="00611BA3"/>
    <w:rsid w:val="00613168"/>
    <w:rsid w:val="00622A3F"/>
    <w:rsid w:val="00624B68"/>
    <w:rsid w:val="00625AEC"/>
    <w:rsid w:val="00627C67"/>
    <w:rsid w:val="0063413B"/>
    <w:rsid w:val="006409CE"/>
    <w:rsid w:val="0064428E"/>
    <w:rsid w:val="00645761"/>
    <w:rsid w:val="00651252"/>
    <w:rsid w:val="006533F1"/>
    <w:rsid w:val="00655ACE"/>
    <w:rsid w:val="00655B38"/>
    <w:rsid w:val="0066334C"/>
    <w:rsid w:val="00663BCB"/>
    <w:rsid w:val="006713BC"/>
    <w:rsid w:val="00673B8C"/>
    <w:rsid w:val="00674D5D"/>
    <w:rsid w:val="00675331"/>
    <w:rsid w:val="00680B20"/>
    <w:rsid w:val="00680E5A"/>
    <w:rsid w:val="00681AA8"/>
    <w:rsid w:val="00683A17"/>
    <w:rsid w:val="006871E5"/>
    <w:rsid w:val="0069043D"/>
    <w:rsid w:val="00693D7F"/>
    <w:rsid w:val="006A699B"/>
    <w:rsid w:val="006A729F"/>
    <w:rsid w:val="006B0AC4"/>
    <w:rsid w:val="006B1642"/>
    <w:rsid w:val="006B37E0"/>
    <w:rsid w:val="006C172A"/>
    <w:rsid w:val="006C21FF"/>
    <w:rsid w:val="006C586E"/>
    <w:rsid w:val="006C66FF"/>
    <w:rsid w:val="006D42DC"/>
    <w:rsid w:val="006D4AD9"/>
    <w:rsid w:val="006D5199"/>
    <w:rsid w:val="006E0CA7"/>
    <w:rsid w:val="006E3915"/>
    <w:rsid w:val="006E4A20"/>
    <w:rsid w:val="006F4812"/>
    <w:rsid w:val="006F56D1"/>
    <w:rsid w:val="006F630C"/>
    <w:rsid w:val="006F6884"/>
    <w:rsid w:val="00700DA4"/>
    <w:rsid w:val="0070428F"/>
    <w:rsid w:val="00707BD9"/>
    <w:rsid w:val="0071112B"/>
    <w:rsid w:val="00711B06"/>
    <w:rsid w:val="00711B91"/>
    <w:rsid w:val="00712168"/>
    <w:rsid w:val="00715AF5"/>
    <w:rsid w:val="00716F2C"/>
    <w:rsid w:val="00722228"/>
    <w:rsid w:val="007231F3"/>
    <w:rsid w:val="00723EB9"/>
    <w:rsid w:val="007264EF"/>
    <w:rsid w:val="00726C07"/>
    <w:rsid w:val="00736CEE"/>
    <w:rsid w:val="00737F6D"/>
    <w:rsid w:val="007410CE"/>
    <w:rsid w:val="0074168B"/>
    <w:rsid w:val="00744CBE"/>
    <w:rsid w:val="00751C5F"/>
    <w:rsid w:val="00753535"/>
    <w:rsid w:val="007607B5"/>
    <w:rsid w:val="00760943"/>
    <w:rsid w:val="007638EB"/>
    <w:rsid w:val="0076750E"/>
    <w:rsid w:val="007676CC"/>
    <w:rsid w:val="00772964"/>
    <w:rsid w:val="00773767"/>
    <w:rsid w:val="00774409"/>
    <w:rsid w:val="00774566"/>
    <w:rsid w:val="00775801"/>
    <w:rsid w:val="00775F62"/>
    <w:rsid w:val="007764A1"/>
    <w:rsid w:val="00780F76"/>
    <w:rsid w:val="0078183B"/>
    <w:rsid w:val="0079054E"/>
    <w:rsid w:val="00796513"/>
    <w:rsid w:val="00797E82"/>
    <w:rsid w:val="007A1125"/>
    <w:rsid w:val="007A2810"/>
    <w:rsid w:val="007A3B9F"/>
    <w:rsid w:val="007A6FA0"/>
    <w:rsid w:val="007B64B8"/>
    <w:rsid w:val="007C2813"/>
    <w:rsid w:val="007C3E31"/>
    <w:rsid w:val="007C4622"/>
    <w:rsid w:val="007C589D"/>
    <w:rsid w:val="007D4BDE"/>
    <w:rsid w:val="007D6C73"/>
    <w:rsid w:val="007E0739"/>
    <w:rsid w:val="007E3263"/>
    <w:rsid w:val="007E5323"/>
    <w:rsid w:val="007E6FC7"/>
    <w:rsid w:val="007F2EB3"/>
    <w:rsid w:val="007F3C47"/>
    <w:rsid w:val="007F5789"/>
    <w:rsid w:val="007F7AC9"/>
    <w:rsid w:val="00813764"/>
    <w:rsid w:val="00814774"/>
    <w:rsid w:val="00814D9C"/>
    <w:rsid w:val="00814E7E"/>
    <w:rsid w:val="008208D0"/>
    <w:rsid w:val="00822F01"/>
    <w:rsid w:val="008260CC"/>
    <w:rsid w:val="00831554"/>
    <w:rsid w:val="00833431"/>
    <w:rsid w:val="00837800"/>
    <w:rsid w:val="008379AE"/>
    <w:rsid w:val="00844541"/>
    <w:rsid w:val="00852A9A"/>
    <w:rsid w:val="008530BF"/>
    <w:rsid w:val="00853218"/>
    <w:rsid w:val="008534A4"/>
    <w:rsid w:val="00854598"/>
    <w:rsid w:val="00854F6B"/>
    <w:rsid w:val="008554DC"/>
    <w:rsid w:val="008677D5"/>
    <w:rsid w:val="00872599"/>
    <w:rsid w:val="00873C58"/>
    <w:rsid w:val="008762A7"/>
    <w:rsid w:val="00881F41"/>
    <w:rsid w:val="008828B3"/>
    <w:rsid w:val="0088733F"/>
    <w:rsid w:val="0089055D"/>
    <w:rsid w:val="008A3765"/>
    <w:rsid w:val="008A3EC1"/>
    <w:rsid w:val="008A54A5"/>
    <w:rsid w:val="008B7443"/>
    <w:rsid w:val="008C5D1E"/>
    <w:rsid w:val="008D05D4"/>
    <w:rsid w:val="008D5DC0"/>
    <w:rsid w:val="008D6BEA"/>
    <w:rsid w:val="008D7C17"/>
    <w:rsid w:val="008E0C51"/>
    <w:rsid w:val="008E28DC"/>
    <w:rsid w:val="008E3ECC"/>
    <w:rsid w:val="008E5568"/>
    <w:rsid w:val="008F20AC"/>
    <w:rsid w:val="008F239E"/>
    <w:rsid w:val="008F3942"/>
    <w:rsid w:val="008F54FF"/>
    <w:rsid w:val="008F6D1B"/>
    <w:rsid w:val="008F75E1"/>
    <w:rsid w:val="009003B8"/>
    <w:rsid w:val="009004FE"/>
    <w:rsid w:val="00901A4A"/>
    <w:rsid w:val="009025B0"/>
    <w:rsid w:val="0090260F"/>
    <w:rsid w:val="00905ADC"/>
    <w:rsid w:val="00912E68"/>
    <w:rsid w:val="0091545F"/>
    <w:rsid w:val="00915777"/>
    <w:rsid w:val="009227DF"/>
    <w:rsid w:val="009273D1"/>
    <w:rsid w:val="00930777"/>
    <w:rsid w:val="009373D2"/>
    <w:rsid w:val="0094332D"/>
    <w:rsid w:val="00943928"/>
    <w:rsid w:val="009463B7"/>
    <w:rsid w:val="00951A15"/>
    <w:rsid w:val="00952E78"/>
    <w:rsid w:val="00953D50"/>
    <w:rsid w:val="00962D51"/>
    <w:rsid w:val="009637AF"/>
    <w:rsid w:val="009753B2"/>
    <w:rsid w:val="0097589C"/>
    <w:rsid w:val="00975D4C"/>
    <w:rsid w:val="00980955"/>
    <w:rsid w:val="009823E2"/>
    <w:rsid w:val="009850CB"/>
    <w:rsid w:val="00985C71"/>
    <w:rsid w:val="00991DA9"/>
    <w:rsid w:val="0099282A"/>
    <w:rsid w:val="0099390A"/>
    <w:rsid w:val="00993FBB"/>
    <w:rsid w:val="009A20DF"/>
    <w:rsid w:val="009A7453"/>
    <w:rsid w:val="009B4F7D"/>
    <w:rsid w:val="009B59BC"/>
    <w:rsid w:val="009B612E"/>
    <w:rsid w:val="009B6F68"/>
    <w:rsid w:val="009C2A21"/>
    <w:rsid w:val="009C2C01"/>
    <w:rsid w:val="009D2B15"/>
    <w:rsid w:val="009D3A54"/>
    <w:rsid w:val="009D4D98"/>
    <w:rsid w:val="009E11F6"/>
    <w:rsid w:val="009E17B3"/>
    <w:rsid w:val="009F0667"/>
    <w:rsid w:val="009F23D4"/>
    <w:rsid w:val="009F3D1F"/>
    <w:rsid w:val="009F4C7E"/>
    <w:rsid w:val="009F7256"/>
    <w:rsid w:val="00A01405"/>
    <w:rsid w:val="00A02244"/>
    <w:rsid w:val="00A07DDC"/>
    <w:rsid w:val="00A113CA"/>
    <w:rsid w:val="00A11815"/>
    <w:rsid w:val="00A14D85"/>
    <w:rsid w:val="00A154E9"/>
    <w:rsid w:val="00A21347"/>
    <w:rsid w:val="00A220DD"/>
    <w:rsid w:val="00A22819"/>
    <w:rsid w:val="00A26D42"/>
    <w:rsid w:val="00A33968"/>
    <w:rsid w:val="00A40717"/>
    <w:rsid w:val="00A41A3F"/>
    <w:rsid w:val="00A46437"/>
    <w:rsid w:val="00A50C5E"/>
    <w:rsid w:val="00A54512"/>
    <w:rsid w:val="00A6353D"/>
    <w:rsid w:val="00A67D87"/>
    <w:rsid w:val="00A7068A"/>
    <w:rsid w:val="00A74DE3"/>
    <w:rsid w:val="00A76831"/>
    <w:rsid w:val="00A81F05"/>
    <w:rsid w:val="00A822EB"/>
    <w:rsid w:val="00A83040"/>
    <w:rsid w:val="00A8466D"/>
    <w:rsid w:val="00A84A94"/>
    <w:rsid w:val="00A867C0"/>
    <w:rsid w:val="00A87317"/>
    <w:rsid w:val="00A8759F"/>
    <w:rsid w:val="00A902E6"/>
    <w:rsid w:val="00A90F64"/>
    <w:rsid w:val="00A91A59"/>
    <w:rsid w:val="00A92A68"/>
    <w:rsid w:val="00A97C2F"/>
    <w:rsid w:val="00AA4615"/>
    <w:rsid w:val="00AB428C"/>
    <w:rsid w:val="00AB5F38"/>
    <w:rsid w:val="00AB6079"/>
    <w:rsid w:val="00AB7C10"/>
    <w:rsid w:val="00AC169F"/>
    <w:rsid w:val="00AD3AF0"/>
    <w:rsid w:val="00AE02A3"/>
    <w:rsid w:val="00AE3718"/>
    <w:rsid w:val="00AE3ECB"/>
    <w:rsid w:val="00AE6F5E"/>
    <w:rsid w:val="00AF3290"/>
    <w:rsid w:val="00AF3D00"/>
    <w:rsid w:val="00AF66A5"/>
    <w:rsid w:val="00B00ADB"/>
    <w:rsid w:val="00B01566"/>
    <w:rsid w:val="00B02802"/>
    <w:rsid w:val="00B03835"/>
    <w:rsid w:val="00B0490E"/>
    <w:rsid w:val="00B079FD"/>
    <w:rsid w:val="00B1178D"/>
    <w:rsid w:val="00B158D4"/>
    <w:rsid w:val="00B17EB2"/>
    <w:rsid w:val="00B204FC"/>
    <w:rsid w:val="00B2309B"/>
    <w:rsid w:val="00B248E4"/>
    <w:rsid w:val="00B3454E"/>
    <w:rsid w:val="00B35F91"/>
    <w:rsid w:val="00B373CF"/>
    <w:rsid w:val="00B40B98"/>
    <w:rsid w:val="00B41F6A"/>
    <w:rsid w:val="00B420D2"/>
    <w:rsid w:val="00B47DEF"/>
    <w:rsid w:val="00B57D51"/>
    <w:rsid w:val="00B61B33"/>
    <w:rsid w:val="00B6340E"/>
    <w:rsid w:val="00B63B5F"/>
    <w:rsid w:val="00B640A9"/>
    <w:rsid w:val="00B704AB"/>
    <w:rsid w:val="00B71D5E"/>
    <w:rsid w:val="00B71D8C"/>
    <w:rsid w:val="00B7325C"/>
    <w:rsid w:val="00B740F4"/>
    <w:rsid w:val="00B75F5C"/>
    <w:rsid w:val="00B76ACB"/>
    <w:rsid w:val="00B8026E"/>
    <w:rsid w:val="00B82F71"/>
    <w:rsid w:val="00B841CC"/>
    <w:rsid w:val="00B846E9"/>
    <w:rsid w:val="00B84E28"/>
    <w:rsid w:val="00B85613"/>
    <w:rsid w:val="00B85F3C"/>
    <w:rsid w:val="00B905BD"/>
    <w:rsid w:val="00B91003"/>
    <w:rsid w:val="00B936CB"/>
    <w:rsid w:val="00B95A0F"/>
    <w:rsid w:val="00BA2FEA"/>
    <w:rsid w:val="00BA3C5D"/>
    <w:rsid w:val="00BA4FC6"/>
    <w:rsid w:val="00BA65D7"/>
    <w:rsid w:val="00BA6631"/>
    <w:rsid w:val="00BA6D9C"/>
    <w:rsid w:val="00BB6DD0"/>
    <w:rsid w:val="00BC0D6B"/>
    <w:rsid w:val="00BC15F0"/>
    <w:rsid w:val="00BC4850"/>
    <w:rsid w:val="00BC4854"/>
    <w:rsid w:val="00BC4DEB"/>
    <w:rsid w:val="00BD46EC"/>
    <w:rsid w:val="00BD6039"/>
    <w:rsid w:val="00BE2D7E"/>
    <w:rsid w:val="00BE2EDE"/>
    <w:rsid w:val="00BF49C9"/>
    <w:rsid w:val="00C0292C"/>
    <w:rsid w:val="00C10AF4"/>
    <w:rsid w:val="00C11E8B"/>
    <w:rsid w:val="00C12BCA"/>
    <w:rsid w:val="00C135BF"/>
    <w:rsid w:val="00C20792"/>
    <w:rsid w:val="00C20ABC"/>
    <w:rsid w:val="00C25B5A"/>
    <w:rsid w:val="00C32D09"/>
    <w:rsid w:val="00C33260"/>
    <w:rsid w:val="00C341ED"/>
    <w:rsid w:val="00C35946"/>
    <w:rsid w:val="00C44D1B"/>
    <w:rsid w:val="00C47F77"/>
    <w:rsid w:val="00C50C7E"/>
    <w:rsid w:val="00C51741"/>
    <w:rsid w:val="00C52DB5"/>
    <w:rsid w:val="00C5643D"/>
    <w:rsid w:val="00C6135F"/>
    <w:rsid w:val="00C715FC"/>
    <w:rsid w:val="00C72CCE"/>
    <w:rsid w:val="00C732D7"/>
    <w:rsid w:val="00C7455C"/>
    <w:rsid w:val="00C75263"/>
    <w:rsid w:val="00C83495"/>
    <w:rsid w:val="00C84DB4"/>
    <w:rsid w:val="00C9293F"/>
    <w:rsid w:val="00CA14F8"/>
    <w:rsid w:val="00CA7E81"/>
    <w:rsid w:val="00CB1453"/>
    <w:rsid w:val="00CB3495"/>
    <w:rsid w:val="00CB4237"/>
    <w:rsid w:val="00CB4626"/>
    <w:rsid w:val="00CB6F1D"/>
    <w:rsid w:val="00CB7FAC"/>
    <w:rsid w:val="00CC01C1"/>
    <w:rsid w:val="00CC26BC"/>
    <w:rsid w:val="00CC5225"/>
    <w:rsid w:val="00CC55EC"/>
    <w:rsid w:val="00CC6D1C"/>
    <w:rsid w:val="00CC7EBF"/>
    <w:rsid w:val="00CD0D5D"/>
    <w:rsid w:val="00CD4E19"/>
    <w:rsid w:val="00CD5AA6"/>
    <w:rsid w:val="00CD5C44"/>
    <w:rsid w:val="00CE1483"/>
    <w:rsid w:val="00CE1623"/>
    <w:rsid w:val="00CE6072"/>
    <w:rsid w:val="00CF099B"/>
    <w:rsid w:val="00CF2337"/>
    <w:rsid w:val="00CF32C2"/>
    <w:rsid w:val="00CF4D02"/>
    <w:rsid w:val="00CF5ADF"/>
    <w:rsid w:val="00D005C1"/>
    <w:rsid w:val="00D01F9D"/>
    <w:rsid w:val="00D02155"/>
    <w:rsid w:val="00D03D95"/>
    <w:rsid w:val="00D042D0"/>
    <w:rsid w:val="00D04E36"/>
    <w:rsid w:val="00D1163E"/>
    <w:rsid w:val="00D13732"/>
    <w:rsid w:val="00D14C7A"/>
    <w:rsid w:val="00D2222F"/>
    <w:rsid w:val="00D25A3E"/>
    <w:rsid w:val="00D32670"/>
    <w:rsid w:val="00D3507C"/>
    <w:rsid w:val="00D46042"/>
    <w:rsid w:val="00D509B4"/>
    <w:rsid w:val="00D518C6"/>
    <w:rsid w:val="00D53293"/>
    <w:rsid w:val="00D54624"/>
    <w:rsid w:val="00D57613"/>
    <w:rsid w:val="00D60B64"/>
    <w:rsid w:val="00D63AFA"/>
    <w:rsid w:val="00D6499C"/>
    <w:rsid w:val="00D6527B"/>
    <w:rsid w:val="00D67A7D"/>
    <w:rsid w:val="00D70DAB"/>
    <w:rsid w:val="00D71414"/>
    <w:rsid w:val="00D72E92"/>
    <w:rsid w:val="00D730D2"/>
    <w:rsid w:val="00D744A9"/>
    <w:rsid w:val="00D77885"/>
    <w:rsid w:val="00D84EB1"/>
    <w:rsid w:val="00D853F0"/>
    <w:rsid w:val="00D86FF5"/>
    <w:rsid w:val="00D87C45"/>
    <w:rsid w:val="00D9475E"/>
    <w:rsid w:val="00D96580"/>
    <w:rsid w:val="00DB57D4"/>
    <w:rsid w:val="00DB6E78"/>
    <w:rsid w:val="00DC1B01"/>
    <w:rsid w:val="00DC1E01"/>
    <w:rsid w:val="00DC246A"/>
    <w:rsid w:val="00DE4827"/>
    <w:rsid w:val="00DE4880"/>
    <w:rsid w:val="00DE6046"/>
    <w:rsid w:val="00DE74D3"/>
    <w:rsid w:val="00DF011F"/>
    <w:rsid w:val="00DF0226"/>
    <w:rsid w:val="00DF11D0"/>
    <w:rsid w:val="00DF162F"/>
    <w:rsid w:val="00DF330D"/>
    <w:rsid w:val="00DF7713"/>
    <w:rsid w:val="00E045E2"/>
    <w:rsid w:val="00E048A7"/>
    <w:rsid w:val="00E05C68"/>
    <w:rsid w:val="00E06E4F"/>
    <w:rsid w:val="00E06F12"/>
    <w:rsid w:val="00E06F9B"/>
    <w:rsid w:val="00E129A7"/>
    <w:rsid w:val="00E14813"/>
    <w:rsid w:val="00E1646C"/>
    <w:rsid w:val="00E20741"/>
    <w:rsid w:val="00E2125C"/>
    <w:rsid w:val="00E260B1"/>
    <w:rsid w:val="00E27F21"/>
    <w:rsid w:val="00E34D2F"/>
    <w:rsid w:val="00E34F56"/>
    <w:rsid w:val="00E36952"/>
    <w:rsid w:val="00E36F11"/>
    <w:rsid w:val="00E46A87"/>
    <w:rsid w:val="00E5665E"/>
    <w:rsid w:val="00E56906"/>
    <w:rsid w:val="00E5730D"/>
    <w:rsid w:val="00E63114"/>
    <w:rsid w:val="00E63DDC"/>
    <w:rsid w:val="00E64F9C"/>
    <w:rsid w:val="00E73BB9"/>
    <w:rsid w:val="00E80637"/>
    <w:rsid w:val="00E82751"/>
    <w:rsid w:val="00E85136"/>
    <w:rsid w:val="00E92FDA"/>
    <w:rsid w:val="00E93ED9"/>
    <w:rsid w:val="00E95F72"/>
    <w:rsid w:val="00EA4AD5"/>
    <w:rsid w:val="00EB5571"/>
    <w:rsid w:val="00EC60D4"/>
    <w:rsid w:val="00EC7C43"/>
    <w:rsid w:val="00EE0199"/>
    <w:rsid w:val="00EE0E6E"/>
    <w:rsid w:val="00EE2E49"/>
    <w:rsid w:val="00EE418E"/>
    <w:rsid w:val="00EE4585"/>
    <w:rsid w:val="00EE5AD0"/>
    <w:rsid w:val="00EE5DEF"/>
    <w:rsid w:val="00EE6AA3"/>
    <w:rsid w:val="00EF1763"/>
    <w:rsid w:val="00EF22FA"/>
    <w:rsid w:val="00F052DE"/>
    <w:rsid w:val="00F07413"/>
    <w:rsid w:val="00F10338"/>
    <w:rsid w:val="00F13546"/>
    <w:rsid w:val="00F17888"/>
    <w:rsid w:val="00F238D5"/>
    <w:rsid w:val="00F24E6C"/>
    <w:rsid w:val="00F2763C"/>
    <w:rsid w:val="00F32B1E"/>
    <w:rsid w:val="00F40385"/>
    <w:rsid w:val="00F40A3B"/>
    <w:rsid w:val="00F43D33"/>
    <w:rsid w:val="00F476A6"/>
    <w:rsid w:val="00F47E20"/>
    <w:rsid w:val="00F53357"/>
    <w:rsid w:val="00F53ADF"/>
    <w:rsid w:val="00F54162"/>
    <w:rsid w:val="00F57B84"/>
    <w:rsid w:val="00F635E1"/>
    <w:rsid w:val="00F64F2F"/>
    <w:rsid w:val="00F67876"/>
    <w:rsid w:val="00F67FA1"/>
    <w:rsid w:val="00F71570"/>
    <w:rsid w:val="00F813E3"/>
    <w:rsid w:val="00F825D7"/>
    <w:rsid w:val="00F83BA3"/>
    <w:rsid w:val="00F848C5"/>
    <w:rsid w:val="00F9180B"/>
    <w:rsid w:val="00F9387F"/>
    <w:rsid w:val="00F95C7C"/>
    <w:rsid w:val="00FA1594"/>
    <w:rsid w:val="00FA6824"/>
    <w:rsid w:val="00FB0DFB"/>
    <w:rsid w:val="00FB1117"/>
    <w:rsid w:val="00FB66C8"/>
    <w:rsid w:val="00FB6B3F"/>
    <w:rsid w:val="00FC1248"/>
    <w:rsid w:val="00FC25E0"/>
    <w:rsid w:val="00FD1137"/>
    <w:rsid w:val="00FD51CF"/>
    <w:rsid w:val="00FD5CA7"/>
    <w:rsid w:val="00FD61A0"/>
    <w:rsid w:val="00FE4DD8"/>
    <w:rsid w:val="00FE6202"/>
    <w:rsid w:val="00FF3C5F"/>
    <w:rsid w:val="00FF40F3"/>
    <w:rsid w:val="00FF568C"/>
    <w:rsid w:val="00FF75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0A3B"/>
    <w:rPr>
      <w:sz w:val="24"/>
      <w:szCs w:val="24"/>
      <w:lang w:val="en-GB" w:eastAsia="en-US"/>
    </w:rPr>
  </w:style>
  <w:style w:type="paragraph" w:styleId="Heading1">
    <w:name w:val="heading 1"/>
    <w:basedOn w:val="Normal"/>
    <w:next w:val="Normal"/>
    <w:qFormat/>
    <w:rsid w:val="00F40A3B"/>
    <w:pPr>
      <w:keepNext/>
      <w:jc w:val="center"/>
      <w:outlineLvl w:val="0"/>
    </w:pPr>
    <w:rPr>
      <w:b/>
      <w:bCs/>
      <w:sz w:val="28"/>
      <w:lang w:val="lv-LV"/>
    </w:rPr>
  </w:style>
  <w:style w:type="paragraph" w:styleId="Heading2">
    <w:name w:val="heading 2"/>
    <w:basedOn w:val="Normal"/>
    <w:next w:val="Normal"/>
    <w:qFormat/>
    <w:rsid w:val="00F40A3B"/>
    <w:pPr>
      <w:keepNext/>
      <w:outlineLvl w:val="1"/>
    </w:pPr>
    <w:rPr>
      <w:sz w:val="28"/>
      <w:lang w:val="lv-LV"/>
    </w:rPr>
  </w:style>
  <w:style w:type="paragraph" w:styleId="Heading3">
    <w:name w:val="heading 3"/>
    <w:basedOn w:val="Normal"/>
    <w:next w:val="Normal"/>
    <w:qFormat/>
    <w:rsid w:val="00F40A3B"/>
    <w:pPr>
      <w:keepNext/>
      <w:jc w:val="center"/>
      <w:outlineLvl w:val="2"/>
    </w:pPr>
    <w:rPr>
      <w:sz w:val="28"/>
      <w:lang w:val="lv-LV"/>
    </w:rPr>
  </w:style>
  <w:style w:type="paragraph" w:styleId="Heading4">
    <w:name w:val="heading 4"/>
    <w:basedOn w:val="Normal"/>
    <w:next w:val="Normal"/>
    <w:qFormat/>
    <w:rsid w:val="00F40A3B"/>
    <w:pPr>
      <w:keepNext/>
      <w:tabs>
        <w:tab w:val="center" w:pos="586"/>
      </w:tabs>
      <w:ind w:left="-348" w:hanging="600"/>
      <w:outlineLvl w:val="3"/>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40A3B"/>
    <w:pPr>
      <w:ind w:left="7"/>
    </w:pPr>
    <w:rPr>
      <w:sz w:val="28"/>
      <w:lang w:val="lv-LV"/>
    </w:rPr>
  </w:style>
  <w:style w:type="paragraph" w:customStyle="1" w:styleId="naisc">
    <w:name w:val="naisc"/>
    <w:basedOn w:val="Normal"/>
    <w:rsid w:val="00F40A3B"/>
    <w:pPr>
      <w:spacing w:before="100" w:beforeAutospacing="1" w:after="100" w:afterAutospacing="1"/>
      <w:jc w:val="center"/>
    </w:pPr>
    <w:rPr>
      <w:rFonts w:eastAsia="Arial Unicode MS"/>
      <w:sz w:val="26"/>
      <w:szCs w:val="26"/>
    </w:rPr>
  </w:style>
  <w:style w:type="paragraph" w:customStyle="1" w:styleId="naisf">
    <w:name w:val="naisf"/>
    <w:basedOn w:val="Normal"/>
    <w:link w:val="naisfChar"/>
    <w:rsid w:val="00F40A3B"/>
    <w:pPr>
      <w:spacing w:before="100" w:beforeAutospacing="1" w:after="100" w:afterAutospacing="1"/>
      <w:jc w:val="both"/>
    </w:pPr>
    <w:rPr>
      <w:rFonts w:eastAsia="Arial Unicode MS"/>
    </w:rPr>
  </w:style>
  <w:style w:type="paragraph" w:styleId="NormalWeb">
    <w:name w:val="Normal (Web)"/>
    <w:basedOn w:val="Normal"/>
    <w:rsid w:val="00F40A3B"/>
    <w:pPr>
      <w:spacing w:before="100" w:beforeAutospacing="1" w:after="100" w:afterAutospacing="1"/>
    </w:pPr>
    <w:rPr>
      <w:rFonts w:eastAsia="Arial Unicode MS"/>
    </w:rPr>
  </w:style>
  <w:style w:type="paragraph" w:styleId="Footer">
    <w:name w:val="footer"/>
    <w:basedOn w:val="Normal"/>
    <w:link w:val="FooterChar"/>
    <w:rsid w:val="00F40A3B"/>
    <w:pPr>
      <w:tabs>
        <w:tab w:val="center" w:pos="4153"/>
        <w:tab w:val="right" w:pos="8306"/>
      </w:tabs>
      <w:snapToGrid w:val="0"/>
    </w:pPr>
    <w:rPr>
      <w:rFonts w:ascii="RimTimes" w:hAnsi="RimTimes"/>
      <w:sz w:val="28"/>
      <w:szCs w:val="20"/>
      <w:lang w:val="lv-LV"/>
    </w:rPr>
  </w:style>
  <w:style w:type="character" w:styleId="CommentReference">
    <w:name w:val="annotation reference"/>
    <w:semiHidden/>
    <w:rsid w:val="00F40A3B"/>
    <w:rPr>
      <w:sz w:val="16"/>
      <w:szCs w:val="16"/>
    </w:rPr>
  </w:style>
  <w:style w:type="paragraph" w:customStyle="1" w:styleId="naislab">
    <w:name w:val="naislab"/>
    <w:basedOn w:val="Normal"/>
    <w:rsid w:val="00F40A3B"/>
    <w:pPr>
      <w:spacing w:before="100" w:beforeAutospacing="1" w:after="100" w:afterAutospacing="1"/>
      <w:jc w:val="right"/>
    </w:pPr>
    <w:rPr>
      <w:rFonts w:eastAsia="Arial Unicode MS"/>
    </w:rPr>
  </w:style>
  <w:style w:type="paragraph" w:styleId="Header">
    <w:name w:val="header"/>
    <w:basedOn w:val="Normal"/>
    <w:link w:val="HeaderChar"/>
    <w:uiPriority w:val="99"/>
    <w:rsid w:val="00F40A3B"/>
    <w:pPr>
      <w:tabs>
        <w:tab w:val="center" w:pos="4153"/>
        <w:tab w:val="right" w:pos="8306"/>
      </w:tabs>
    </w:pPr>
  </w:style>
  <w:style w:type="character" w:styleId="PageNumber">
    <w:name w:val="page number"/>
    <w:basedOn w:val="DefaultParagraphFont"/>
    <w:rsid w:val="00F40A3B"/>
  </w:style>
  <w:style w:type="paragraph" w:styleId="CommentText">
    <w:name w:val="annotation text"/>
    <w:basedOn w:val="Normal"/>
    <w:semiHidden/>
    <w:rsid w:val="00F40A3B"/>
    <w:rPr>
      <w:sz w:val="20"/>
      <w:szCs w:val="20"/>
    </w:rPr>
  </w:style>
  <w:style w:type="paragraph" w:customStyle="1" w:styleId="naiskr">
    <w:name w:val="naiskr"/>
    <w:basedOn w:val="Normal"/>
    <w:uiPriority w:val="99"/>
    <w:rsid w:val="00B40B98"/>
    <w:pPr>
      <w:spacing w:before="100" w:beforeAutospacing="1" w:after="100" w:afterAutospacing="1"/>
    </w:pPr>
    <w:rPr>
      <w:lang w:val="lv-LV" w:eastAsia="lv-LV"/>
    </w:rPr>
  </w:style>
  <w:style w:type="paragraph" w:styleId="BalloonText">
    <w:name w:val="Balloon Text"/>
    <w:basedOn w:val="Normal"/>
    <w:semiHidden/>
    <w:rsid w:val="003F2F3C"/>
    <w:rPr>
      <w:rFonts w:ascii="Tahoma" w:hAnsi="Tahoma" w:cs="Tahoma"/>
      <w:sz w:val="16"/>
      <w:szCs w:val="16"/>
    </w:rPr>
  </w:style>
  <w:style w:type="paragraph" w:customStyle="1" w:styleId="CharChar">
    <w:name w:val="Char Char"/>
    <w:basedOn w:val="Normal"/>
    <w:rsid w:val="001347E9"/>
    <w:rPr>
      <w:lang w:val="pl-PL" w:eastAsia="pl-PL"/>
    </w:rPr>
  </w:style>
  <w:style w:type="paragraph" w:customStyle="1" w:styleId="RakstzRakstzRakstzCharCharRakstzRakstzCharChar">
    <w:name w:val="Rakstz. Rakstz. Rakstz. Char Char Rakstz. Rakstz. Char Char"/>
    <w:basedOn w:val="Normal"/>
    <w:rsid w:val="004071C3"/>
    <w:pPr>
      <w:spacing w:before="40"/>
    </w:pPr>
    <w:rPr>
      <w:lang w:val="pl-PL" w:eastAsia="pl-PL"/>
    </w:rPr>
  </w:style>
  <w:style w:type="paragraph" w:styleId="BodyText2">
    <w:name w:val="Body Text 2"/>
    <w:basedOn w:val="Normal"/>
    <w:rsid w:val="00D730D2"/>
    <w:pPr>
      <w:spacing w:after="120" w:line="480" w:lineRule="auto"/>
    </w:pPr>
    <w:rPr>
      <w:sz w:val="28"/>
      <w:szCs w:val="20"/>
      <w:lang w:val="lv-LV" w:eastAsia="lv-LV"/>
    </w:rPr>
  </w:style>
  <w:style w:type="paragraph" w:styleId="CommentSubject">
    <w:name w:val="annotation subject"/>
    <w:basedOn w:val="CommentText"/>
    <w:next w:val="CommentText"/>
    <w:semiHidden/>
    <w:rsid w:val="00CC26BC"/>
    <w:rPr>
      <w:b/>
      <w:bCs/>
    </w:rPr>
  </w:style>
  <w:style w:type="character" w:styleId="Hyperlink">
    <w:name w:val="Hyperlink"/>
    <w:rsid w:val="0025425E"/>
    <w:rPr>
      <w:color w:val="0000FF"/>
      <w:u w:val="single"/>
    </w:rPr>
  </w:style>
  <w:style w:type="character" w:customStyle="1" w:styleId="HeaderChar">
    <w:name w:val="Header Char"/>
    <w:link w:val="Header"/>
    <w:uiPriority w:val="99"/>
    <w:rsid w:val="00651252"/>
    <w:rPr>
      <w:sz w:val="24"/>
      <w:szCs w:val="24"/>
      <w:lang w:val="en-GB" w:eastAsia="en-US"/>
    </w:rPr>
  </w:style>
  <w:style w:type="paragraph" w:customStyle="1" w:styleId="naisnod">
    <w:name w:val="naisnod"/>
    <w:basedOn w:val="Normal"/>
    <w:uiPriority w:val="99"/>
    <w:rsid w:val="0023550B"/>
    <w:pPr>
      <w:spacing w:before="150" w:after="150"/>
      <w:jc w:val="center"/>
    </w:pPr>
    <w:rPr>
      <w:b/>
      <w:bCs/>
      <w:lang w:val="lv-LV" w:eastAsia="lv-LV"/>
    </w:rPr>
  </w:style>
  <w:style w:type="paragraph" w:customStyle="1" w:styleId="tvhtml">
    <w:name w:val="tv_html"/>
    <w:basedOn w:val="Normal"/>
    <w:rsid w:val="00207919"/>
    <w:pPr>
      <w:spacing w:before="100" w:beforeAutospacing="1" w:after="100" w:afterAutospacing="1"/>
    </w:pPr>
    <w:rPr>
      <w:rFonts w:ascii="Verdana" w:hAnsi="Verdana"/>
      <w:sz w:val="18"/>
      <w:szCs w:val="18"/>
      <w:lang w:val="lv-LV" w:eastAsia="lv-LV"/>
    </w:rPr>
  </w:style>
  <w:style w:type="paragraph" w:customStyle="1" w:styleId="CharChar0">
    <w:name w:val="Char Char"/>
    <w:basedOn w:val="Normal"/>
    <w:rsid w:val="00113BE7"/>
    <w:pPr>
      <w:spacing w:before="40"/>
    </w:pPr>
    <w:rPr>
      <w:lang w:val="pl-PL" w:eastAsia="pl-PL"/>
    </w:rPr>
  </w:style>
  <w:style w:type="character" w:customStyle="1" w:styleId="apple-style-span">
    <w:name w:val="apple-style-span"/>
    <w:basedOn w:val="DefaultParagraphFont"/>
    <w:rsid w:val="009C2C01"/>
  </w:style>
  <w:style w:type="character" w:customStyle="1" w:styleId="apple-converted-space">
    <w:name w:val="apple-converted-space"/>
    <w:basedOn w:val="DefaultParagraphFont"/>
    <w:rsid w:val="009C2C01"/>
  </w:style>
  <w:style w:type="character" w:styleId="Strong">
    <w:name w:val="Strong"/>
    <w:basedOn w:val="DefaultParagraphFont"/>
    <w:qFormat/>
    <w:rsid w:val="00E048A7"/>
    <w:rPr>
      <w:b/>
      <w:bCs/>
    </w:rPr>
  </w:style>
  <w:style w:type="character" w:customStyle="1" w:styleId="naisfChar">
    <w:name w:val="naisf Char"/>
    <w:basedOn w:val="DefaultParagraphFont"/>
    <w:link w:val="naisf"/>
    <w:rsid w:val="00E06F12"/>
    <w:rPr>
      <w:rFonts w:eastAsia="Arial Unicode MS"/>
      <w:sz w:val="24"/>
      <w:szCs w:val="24"/>
      <w:lang w:val="en-GB" w:eastAsia="en-US"/>
    </w:rPr>
  </w:style>
  <w:style w:type="character" w:customStyle="1" w:styleId="FooterChar">
    <w:name w:val="Footer Char"/>
    <w:basedOn w:val="DefaultParagraphFont"/>
    <w:link w:val="Footer"/>
    <w:rsid w:val="00E06F12"/>
    <w:rPr>
      <w:rFonts w:ascii="RimTimes" w:hAnsi="RimTimes"/>
      <w:sz w:val="28"/>
      <w:lang w:eastAsia="en-US"/>
    </w:rPr>
  </w:style>
  <w:style w:type="paragraph" w:styleId="ListParagraph">
    <w:name w:val="List Paragraph"/>
    <w:basedOn w:val="Normal"/>
    <w:uiPriority w:val="34"/>
    <w:qFormat/>
    <w:rsid w:val="006030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18762">
      <w:bodyDiv w:val="1"/>
      <w:marLeft w:val="0"/>
      <w:marRight w:val="0"/>
      <w:marTop w:val="0"/>
      <w:marBottom w:val="0"/>
      <w:divBdr>
        <w:top w:val="none" w:sz="0" w:space="0" w:color="auto"/>
        <w:left w:val="none" w:sz="0" w:space="0" w:color="auto"/>
        <w:bottom w:val="none" w:sz="0" w:space="0" w:color="auto"/>
        <w:right w:val="none" w:sz="0" w:space="0" w:color="auto"/>
      </w:divBdr>
    </w:div>
    <w:div w:id="804859429">
      <w:bodyDiv w:val="1"/>
      <w:marLeft w:val="45"/>
      <w:marRight w:val="45"/>
      <w:marTop w:val="90"/>
      <w:marBottom w:val="90"/>
      <w:divBdr>
        <w:top w:val="none" w:sz="0" w:space="0" w:color="auto"/>
        <w:left w:val="none" w:sz="0" w:space="0" w:color="auto"/>
        <w:bottom w:val="none" w:sz="0" w:space="0" w:color="auto"/>
        <w:right w:val="none" w:sz="0" w:space="0" w:color="auto"/>
      </w:divBdr>
      <w:divsChild>
        <w:div w:id="1218321416">
          <w:marLeft w:val="0"/>
          <w:marRight w:val="0"/>
          <w:marTop w:val="240"/>
          <w:marBottom w:val="0"/>
          <w:divBdr>
            <w:top w:val="none" w:sz="0" w:space="0" w:color="auto"/>
            <w:left w:val="none" w:sz="0" w:space="0" w:color="auto"/>
            <w:bottom w:val="none" w:sz="0" w:space="0" w:color="auto"/>
            <w:right w:val="none" w:sz="0" w:space="0" w:color="auto"/>
          </w:divBdr>
        </w:div>
      </w:divsChild>
    </w:div>
    <w:div w:id="898177154">
      <w:bodyDiv w:val="1"/>
      <w:marLeft w:val="45"/>
      <w:marRight w:val="45"/>
      <w:marTop w:val="90"/>
      <w:marBottom w:val="90"/>
      <w:divBdr>
        <w:top w:val="none" w:sz="0" w:space="0" w:color="auto"/>
        <w:left w:val="none" w:sz="0" w:space="0" w:color="auto"/>
        <w:bottom w:val="none" w:sz="0" w:space="0" w:color="auto"/>
        <w:right w:val="none" w:sz="0" w:space="0" w:color="auto"/>
      </w:divBdr>
      <w:divsChild>
        <w:div w:id="2103063920">
          <w:marLeft w:val="0"/>
          <w:marRight w:val="0"/>
          <w:marTop w:val="240"/>
          <w:marBottom w:val="0"/>
          <w:divBdr>
            <w:top w:val="none" w:sz="0" w:space="0" w:color="auto"/>
            <w:left w:val="none" w:sz="0" w:space="0" w:color="auto"/>
            <w:bottom w:val="none" w:sz="0" w:space="0" w:color="auto"/>
            <w:right w:val="none" w:sz="0" w:space="0" w:color="auto"/>
          </w:divBdr>
        </w:div>
      </w:divsChild>
    </w:div>
    <w:div w:id="1357805568">
      <w:bodyDiv w:val="1"/>
      <w:marLeft w:val="45"/>
      <w:marRight w:val="45"/>
      <w:marTop w:val="90"/>
      <w:marBottom w:val="90"/>
      <w:divBdr>
        <w:top w:val="none" w:sz="0" w:space="0" w:color="auto"/>
        <w:left w:val="none" w:sz="0" w:space="0" w:color="auto"/>
        <w:bottom w:val="none" w:sz="0" w:space="0" w:color="auto"/>
        <w:right w:val="none" w:sz="0" w:space="0" w:color="auto"/>
      </w:divBdr>
      <w:divsChild>
        <w:div w:id="651175114">
          <w:marLeft w:val="0"/>
          <w:marRight w:val="0"/>
          <w:marTop w:val="240"/>
          <w:marBottom w:val="0"/>
          <w:divBdr>
            <w:top w:val="none" w:sz="0" w:space="0" w:color="auto"/>
            <w:left w:val="none" w:sz="0" w:space="0" w:color="auto"/>
            <w:bottom w:val="none" w:sz="0" w:space="0" w:color="auto"/>
            <w:right w:val="none" w:sz="0" w:space="0" w:color="auto"/>
          </w:divBdr>
        </w:div>
      </w:divsChild>
    </w:div>
    <w:div w:id="1406341661">
      <w:bodyDiv w:val="1"/>
      <w:marLeft w:val="0"/>
      <w:marRight w:val="0"/>
      <w:marTop w:val="0"/>
      <w:marBottom w:val="0"/>
      <w:divBdr>
        <w:top w:val="none" w:sz="0" w:space="0" w:color="auto"/>
        <w:left w:val="none" w:sz="0" w:space="0" w:color="auto"/>
        <w:bottom w:val="none" w:sz="0" w:space="0" w:color="auto"/>
        <w:right w:val="none" w:sz="0" w:space="0" w:color="auto"/>
      </w:divBdr>
    </w:div>
    <w:div w:id="1552495850">
      <w:bodyDiv w:val="1"/>
      <w:marLeft w:val="45"/>
      <w:marRight w:val="45"/>
      <w:marTop w:val="90"/>
      <w:marBottom w:val="90"/>
      <w:divBdr>
        <w:top w:val="none" w:sz="0" w:space="0" w:color="auto"/>
        <w:left w:val="none" w:sz="0" w:space="0" w:color="auto"/>
        <w:bottom w:val="none" w:sz="0" w:space="0" w:color="auto"/>
        <w:right w:val="none" w:sz="0" w:space="0" w:color="auto"/>
      </w:divBdr>
      <w:divsChild>
        <w:div w:id="1432432335">
          <w:marLeft w:val="0"/>
          <w:marRight w:val="0"/>
          <w:marTop w:val="240"/>
          <w:marBottom w:val="0"/>
          <w:divBdr>
            <w:top w:val="none" w:sz="0" w:space="0" w:color="auto"/>
            <w:left w:val="none" w:sz="0" w:space="0" w:color="auto"/>
            <w:bottom w:val="none" w:sz="0" w:space="0" w:color="auto"/>
            <w:right w:val="none" w:sz="0" w:space="0" w:color="auto"/>
          </w:divBdr>
        </w:div>
      </w:divsChild>
    </w:div>
    <w:div w:id="1671563167">
      <w:bodyDiv w:val="1"/>
      <w:marLeft w:val="0"/>
      <w:marRight w:val="0"/>
      <w:marTop w:val="0"/>
      <w:marBottom w:val="0"/>
      <w:divBdr>
        <w:top w:val="none" w:sz="0" w:space="0" w:color="auto"/>
        <w:left w:val="none" w:sz="0" w:space="0" w:color="auto"/>
        <w:bottom w:val="none" w:sz="0" w:space="0" w:color="auto"/>
        <w:right w:val="none" w:sz="0" w:space="0" w:color="auto"/>
      </w:divBdr>
    </w:div>
    <w:div w:id="1756894766">
      <w:bodyDiv w:val="1"/>
      <w:marLeft w:val="0"/>
      <w:marRight w:val="0"/>
      <w:marTop w:val="0"/>
      <w:marBottom w:val="0"/>
      <w:divBdr>
        <w:top w:val="none" w:sz="0" w:space="0" w:color="auto"/>
        <w:left w:val="none" w:sz="0" w:space="0" w:color="auto"/>
        <w:bottom w:val="none" w:sz="0" w:space="0" w:color="auto"/>
        <w:right w:val="none" w:sz="0" w:space="0" w:color="auto"/>
      </w:divBdr>
    </w:div>
    <w:div w:id="197239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nda.Barbara@fm.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Notice.do?mode=dbl&amp;lang=%20en&amp;ihmlang=en&amp;lng1=en,lv&amp;lng2=%20bg,cs,da,de,el,en,es,et,fi,fr,hu,it,lt,lv,mt,nl,pl,pt,ro,sk,sl,sv,&amp;val=450493:cs&amp;pag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ur-lex.europa.eu/LexUriServ/LexUriServ.do?uri=OJ:L:1999:161:0001:001:LV:HTML" TargetMode="External"/><Relationship Id="rId4" Type="http://schemas.microsoft.com/office/2007/relationships/stylesWithEffects" Target="stylesWithEffects.xml"/><Relationship Id="rId9" Type="http://schemas.openxmlformats.org/officeDocument/2006/relationships/hyperlink" Target="http://eur-lex.europa.eu/LexUriServ/LexUriServ.do?uri=CONSLEG:2006R1083:20070101:LV:HTML"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DD78-C5CD-40D1-A962-3689728A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2245</Words>
  <Characters>16965</Characters>
  <Application>Microsoft Office Word</Application>
  <DocSecurity>0</DocSecurity>
  <Lines>141</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2010.gada 10.augusta noteikumos Nr.740 „Kārtība, kādā ziņo par Eiropas Savienības struktūrfondu un Kohēzijas fonda ieviešanā konstatētajām neatbilstībām, pieņem lēmumu par piešķirtā finansējuma izlietojumu un atgūst neatbilstoš</vt:lpstr>
      <vt:lpstr>Grozījumi Ministru kabineta 2010.gada 10.augusta noteikumos Nr.740 „Kārtība, kādā ziņo par Eiropas Savienības struktūrfondu un Kohēzijas fonda ieviešanā konstatētajām neatbilstībām, pieņem lēmumu par piešķirtā finansējuma izlietojumu un atgūst neatbilstoš</vt:lpstr>
    </vt:vector>
  </TitlesOfParts>
  <Company>LR Finanšu ministrija</Company>
  <LinksUpToDate>false</LinksUpToDate>
  <CharactersWithSpaces>19172</CharactersWithSpaces>
  <SharedDoc>false</SharedDoc>
  <HLinks>
    <vt:vector size="18" baseType="variant">
      <vt:variant>
        <vt:i4>7078000</vt:i4>
      </vt:variant>
      <vt:variant>
        <vt:i4>6</vt:i4>
      </vt:variant>
      <vt:variant>
        <vt:i4>0</vt:i4>
      </vt:variant>
      <vt:variant>
        <vt:i4>5</vt:i4>
      </vt:variant>
      <vt:variant>
        <vt:lpwstr>http://www.esfondi.lv/</vt:lpwstr>
      </vt:variant>
      <vt:variant>
        <vt:lpwstr/>
      </vt:variant>
      <vt:variant>
        <vt:i4>7078000</vt:i4>
      </vt:variant>
      <vt:variant>
        <vt:i4>3</vt:i4>
      </vt:variant>
      <vt:variant>
        <vt:i4>0</vt:i4>
      </vt:variant>
      <vt:variant>
        <vt:i4>5</vt:i4>
      </vt:variant>
      <vt:variant>
        <vt:lpwstr>http://www.esfondi.lv/</vt:lpwstr>
      </vt:variant>
      <vt:variant>
        <vt:lpwstr/>
      </vt:variant>
      <vt:variant>
        <vt:i4>7078000</vt:i4>
      </vt:variant>
      <vt:variant>
        <vt:i4>0</vt:i4>
      </vt:variant>
      <vt:variant>
        <vt:i4>0</vt:i4>
      </vt:variant>
      <vt:variant>
        <vt:i4>5</vt:i4>
      </vt:variant>
      <vt:variant>
        <vt:lpwstr>http://www.esfondi.lv/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2010.gada 10.augusta noteikumos Nr.740 „Kārtība, kādā ziņo par Eiropas Savienības struktūrfondu un Kohēzijas fonda ieviešanā konstatētajām neatbilstībām, pieņem lēmumu par piešķirtā finansējuma izlietojumu un atgūst neatbilstoši veiktos izdevumus”</dc:title>
  <dc:subject>Anotācija</dc:subject>
  <dc:creator>L.Barbara</dc:creator>
  <dc:description>linda.barbara@fm.gov.lv
tālr.: 67083861</dc:description>
  <cp:lastModifiedBy>Katerina Verbilo</cp:lastModifiedBy>
  <cp:revision>5</cp:revision>
  <cp:lastPrinted>2011-04-18T11:21:00Z</cp:lastPrinted>
  <dcterms:created xsi:type="dcterms:W3CDTF">2011-07-07T19:19:00Z</dcterms:created>
  <dcterms:modified xsi:type="dcterms:W3CDTF">2011-07-15T06:21:00Z</dcterms:modified>
</cp:coreProperties>
</file>