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4A" w:rsidRDefault="00F83BA3" w:rsidP="00C570AF">
      <w:pPr>
        <w:pStyle w:val="naisf"/>
        <w:spacing w:before="0" w:beforeAutospacing="0" w:after="0" w:afterAutospacing="0"/>
        <w:jc w:val="center"/>
        <w:rPr>
          <w:b/>
          <w:lang w:val="lv-LV"/>
        </w:rPr>
      </w:pPr>
      <w:bookmarkStart w:id="0" w:name="OLE_LINK1"/>
      <w:bookmarkStart w:id="1" w:name="OLE_LINK2"/>
      <w:bookmarkStart w:id="2" w:name="_GoBack"/>
      <w:bookmarkEnd w:id="2"/>
      <w:r w:rsidRPr="00035560">
        <w:rPr>
          <w:b/>
          <w:lang w:val="lv-LV"/>
        </w:rPr>
        <w:t>Ministru kabineta</w:t>
      </w:r>
      <w:r w:rsidR="00BA6631" w:rsidRPr="00035560">
        <w:rPr>
          <w:b/>
          <w:lang w:val="lv-LV"/>
        </w:rPr>
        <w:t xml:space="preserve"> noteikumu</w:t>
      </w:r>
      <w:r w:rsidRPr="00035560">
        <w:rPr>
          <w:b/>
          <w:lang w:val="lv-LV"/>
        </w:rPr>
        <w:t xml:space="preserve"> projekta</w:t>
      </w:r>
      <w:r w:rsidRPr="00035560">
        <w:rPr>
          <w:lang w:val="lv-LV"/>
        </w:rPr>
        <w:t xml:space="preserve"> </w:t>
      </w:r>
      <w:r w:rsidR="00CC082B">
        <w:rPr>
          <w:b/>
          <w:bCs/>
          <w:lang w:val="lv-LV" w:eastAsia="lv-LV"/>
        </w:rPr>
        <w:t>„Grozījums Ministru kabineta 2010.gada 10.augusta noteikumos Nr.740 „Kārtība, kādā ziņo par Eiropas Savienības struktūrfondu un Kohēzijas fonda ieviešanā konstatētajām neatbilstībām, pieņem lēmumu par piešķirtā finansējuma izlietojumu un atgūst neatbilstošos izdevumus””</w:t>
      </w:r>
      <w:r w:rsidR="00C46656" w:rsidRPr="00035560">
        <w:rPr>
          <w:b/>
          <w:bCs/>
          <w:lang w:val="lv-LV" w:eastAsia="lv-LV"/>
        </w:rPr>
        <w:t xml:space="preserve"> </w:t>
      </w:r>
      <w:r w:rsidR="00332EC6" w:rsidRPr="00035560">
        <w:rPr>
          <w:b/>
          <w:lang w:val="lv-LV"/>
        </w:rPr>
        <w:t>sākotnējās ietekmes novērtējuma ziņojums</w:t>
      </w:r>
      <w:r w:rsidR="00C46656" w:rsidRPr="00035560">
        <w:rPr>
          <w:b/>
          <w:lang w:val="lv-LV"/>
        </w:rPr>
        <w:t xml:space="preserve"> </w:t>
      </w:r>
      <w:r w:rsidR="00332EC6" w:rsidRPr="00035560">
        <w:rPr>
          <w:b/>
          <w:lang w:val="lv-LV"/>
        </w:rPr>
        <w:t>(anotācija)</w:t>
      </w:r>
    </w:p>
    <w:p w:rsidR="004B7BCC" w:rsidRPr="005B52C7" w:rsidRDefault="004B7BCC" w:rsidP="00C570AF">
      <w:pPr>
        <w:pStyle w:val="naisf"/>
        <w:spacing w:before="0" w:beforeAutospacing="0" w:after="0" w:afterAutospacing="0"/>
        <w:jc w:val="center"/>
        <w:rPr>
          <w:b/>
          <w:lang w:val="lv-LV"/>
        </w:rPr>
      </w:pPr>
    </w:p>
    <w:tbl>
      <w:tblPr>
        <w:tblW w:w="8946" w:type="dxa"/>
        <w:tblCellSpacing w:w="0"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0" w:type="dxa"/>
          <w:right w:w="0" w:type="dxa"/>
        </w:tblCellMar>
        <w:tblLook w:val="04A0" w:firstRow="1" w:lastRow="0" w:firstColumn="1" w:lastColumn="0" w:noHBand="0" w:noVBand="1"/>
      </w:tblPr>
      <w:tblGrid>
        <w:gridCol w:w="517"/>
        <w:gridCol w:w="2617"/>
        <w:gridCol w:w="5812"/>
      </w:tblGrid>
      <w:tr w:rsidR="00D867A7" w:rsidRPr="004C16C6" w:rsidTr="003B30F8">
        <w:trPr>
          <w:tblCellSpacing w:w="0" w:type="dxa"/>
        </w:trPr>
        <w:tc>
          <w:tcPr>
            <w:tcW w:w="8946" w:type="dxa"/>
            <w:gridSpan w:val="3"/>
            <w:vAlign w:val="center"/>
            <w:hideMark/>
          </w:tcPr>
          <w:p w:rsidR="00917DF3" w:rsidRPr="00917DF3" w:rsidRDefault="00D867A7" w:rsidP="00917DF3">
            <w:pPr>
              <w:pStyle w:val="ListParagraph"/>
              <w:numPr>
                <w:ilvl w:val="0"/>
                <w:numId w:val="21"/>
              </w:numPr>
              <w:spacing w:before="100" w:beforeAutospacing="1"/>
              <w:jc w:val="center"/>
              <w:rPr>
                <w:b/>
                <w:bCs/>
                <w:lang w:val="lv-LV" w:eastAsia="lv-LV"/>
              </w:rPr>
            </w:pPr>
            <w:r w:rsidRPr="00917DF3">
              <w:rPr>
                <w:b/>
                <w:bCs/>
                <w:lang w:val="lv-LV" w:eastAsia="lv-LV"/>
              </w:rPr>
              <w:t>Tiesību akta projekta izstrādes nepieciešamība</w:t>
            </w:r>
          </w:p>
        </w:tc>
      </w:tr>
      <w:tr w:rsidR="00D867A7" w:rsidRPr="00356C9E" w:rsidTr="00925687">
        <w:trPr>
          <w:trHeight w:val="630"/>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1.</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Pamatojums</w:t>
            </w:r>
          </w:p>
        </w:tc>
        <w:tc>
          <w:tcPr>
            <w:tcW w:w="5812" w:type="dxa"/>
            <w:hideMark/>
          </w:tcPr>
          <w:p w:rsidR="00D867A7" w:rsidRDefault="00D94416" w:rsidP="003E394E">
            <w:pPr>
              <w:spacing w:before="100" w:beforeAutospacing="1" w:after="100" w:afterAutospacing="1"/>
              <w:jc w:val="both"/>
              <w:rPr>
                <w:lang w:val="lv-LV" w:eastAsia="lv-LV"/>
              </w:rPr>
            </w:pPr>
            <w:r>
              <w:rPr>
                <w:lang w:val="lv-LV" w:eastAsia="lv-LV"/>
              </w:rPr>
              <w:t>Eiropas Savienības struktūrfondu un Kohēzijas fonda vadības likuma18.panta 3.punkts.</w:t>
            </w:r>
          </w:p>
          <w:p w:rsidR="00284461" w:rsidRPr="00035560" w:rsidRDefault="00D94416" w:rsidP="003E394E">
            <w:pPr>
              <w:spacing w:before="100" w:beforeAutospacing="1" w:after="100" w:afterAutospacing="1"/>
              <w:jc w:val="both"/>
              <w:rPr>
                <w:lang w:val="lv-LV" w:eastAsia="lv-LV"/>
              </w:rPr>
            </w:pPr>
            <w:r w:rsidRPr="00D94416">
              <w:rPr>
                <w:lang w:val="lv-LV" w:eastAsia="lv-LV"/>
              </w:rPr>
              <w:t>Ministru kabineta 2012.gada 12.jūnij</w:t>
            </w:r>
            <w:r>
              <w:rPr>
                <w:lang w:val="lv-LV" w:eastAsia="lv-LV"/>
              </w:rPr>
              <w:t>a p</w:t>
            </w:r>
            <w:r w:rsidR="001D1C0F">
              <w:rPr>
                <w:lang w:val="lv-LV" w:eastAsia="lv-LV"/>
              </w:rPr>
              <w:t>rotokollēmuma Nr.33 51.§</w:t>
            </w:r>
            <w:r w:rsidRPr="00D94416">
              <w:rPr>
                <w:lang w:val="lv-LV" w:eastAsia="lv-LV"/>
              </w:rPr>
              <w:t xml:space="preserve"> 2.punkt</w:t>
            </w:r>
            <w:r>
              <w:rPr>
                <w:lang w:val="lv-LV" w:eastAsia="lv-LV"/>
              </w:rPr>
              <w:t>s.</w:t>
            </w:r>
          </w:p>
        </w:tc>
      </w:tr>
      <w:tr w:rsidR="00D867A7" w:rsidRPr="004C16C6" w:rsidTr="00925687">
        <w:trPr>
          <w:trHeight w:val="472"/>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2.</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Pašreizējā situācija un problēmas</w:t>
            </w:r>
          </w:p>
        </w:tc>
        <w:tc>
          <w:tcPr>
            <w:tcW w:w="5812" w:type="dxa"/>
          </w:tcPr>
          <w:p w:rsidR="00332581" w:rsidRDefault="00917DF3" w:rsidP="00917DF3">
            <w:pPr>
              <w:jc w:val="both"/>
              <w:rPr>
                <w:iCs/>
                <w:lang w:val="lv-LV"/>
              </w:rPr>
            </w:pPr>
            <w:r w:rsidRPr="00917DF3">
              <w:rPr>
                <w:iCs/>
                <w:lang w:val="lv-LV"/>
              </w:rPr>
              <w:t xml:space="preserve">Pamatojoties uz Labklājības ministrijas izteikto priekšlikumu, Ministru kabineta 2012.gada 12.jūnija sēdē (prot. Nr.33 51.§ 2.punkts) Finanšu ministrijai tika uzdots kopīgi ar Labklājības ministriju un, pieaicinot arī citu ieinteresēto ministriju pārstāvjus, sagatavot un noteiktā kārtībā Ministru kabinetā iesniegt priekšlikumus grozījumiem Ministru kabineta 2010.gada 10.augusta noteikumos Nr.740 „Kārtība, kādā ziņo par Eiropas Savienības struktūrfondu un Kohēzijas fonda ieviešanā konstatētajām neatbilstībām, pieņem lēmumu par piešķirtā finansējuma izlietojumu un atgūst neatbilstošos izdevumus” (turpmāk – MK noteikumi), lai minētajā normatīvajā aktā noteiktu kārtību, kādā piemēro proporcionālo finanšu korekciju Eiropas Savienības struktūrfondu un Kohēzijas fonda projektiem. </w:t>
            </w:r>
          </w:p>
          <w:p w:rsidR="00597824" w:rsidRDefault="00597824" w:rsidP="00917DF3">
            <w:pPr>
              <w:jc w:val="both"/>
              <w:rPr>
                <w:iCs/>
                <w:lang w:val="lv-LV"/>
              </w:rPr>
            </w:pPr>
          </w:p>
          <w:p w:rsidR="00284461" w:rsidRDefault="00917DF3" w:rsidP="00917DF3">
            <w:pPr>
              <w:jc w:val="both"/>
              <w:rPr>
                <w:iCs/>
                <w:lang w:val="lv-LV"/>
              </w:rPr>
            </w:pPr>
            <w:r w:rsidRPr="00917DF3">
              <w:rPr>
                <w:iCs/>
                <w:lang w:val="lv-LV"/>
              </w:rPr>
              <w:t xml:space="preserve">Šobrīd proporcionālo finanšu korekciju piemērošanas kārtību </w:t>
            </w:r>
            <w:r w:rsidR="00644AEA">
              <w:rPr>
                <w:iCs/>
                <w:lang w:val="lv-LV"/>
              </w:rPr>
              <w:t xml:space="preserve">un pamatprincipus </w:t>
            </w:r>
            <w:r w:rsidRPr="00917DF3">
              <w:rPr>
                <w:iCs/>
                <w:lang w:val="lv-LV"/>
              </w:rPr>
              <w:t>nosaka Finanšu ministrijas kā Eiropas Savienības struktūrfondu un K</w:t>
            </w:r>
            <w:r w:rsidR="00284461">
              <w:rPr>
                <w:iCs/>
                <w:lang w:val="lv-LV"/>
              </w:rPr>
              <w:t>ohēzijas fonda vadošās iestādes sadarbībā ar pārējām Eiropas Savienības struktūrfondu un Kohēzijas fonda vadībā iesaistītajām institūcijām izstrādāta</w:t>
            </w:r>
            <w:r w:rsidRPr="00917DF3">
              <w:rPr>
                <w:iCs/>
                <w:lang w:val="lv-LV"/>
              </w:rPr>
              <w:t>s vadlī</w:t>
            </w:r>
            <w:r w:rsidR="00154770">
              <w:rPr>
                <w:iCs/>
                <w:lang w:val="lv-LV"/>
              </w:rPr>
              <w:t xml:space="preserve">nijas Nr.10.10 </w:t>
            </w:r>
            <w:r w:rsidR="00154770" w:rsidRPr="005C1B73">
              <w:rPr>
                <w:iCs/>
                <w:lang w:val="lv-LV"/>
              </w:rPr>
              <w:t>„Vadlīnijas par f</w:t>
            </w:r>
            <w:r w:rsidRPr="005C1B73">
              <w:rPr>
                <w:iCs/>
                <w:lang w:val="lv-LV"/>
              </w:rPr>
              <w:t>inanšu korekciju piemērošanu Eiropas Savienības fondu finansētajos projektos”</w:t>
            </w:r>
            <w:r w:rsidR="00284461" w:rsidRPr="005C1B73">
              <w:rPr>
                <w:iCs/>
                <w:lang w:val="lv-LV"/>
              </w:rPr>
              <w:t xml:space="preserve"> (turpmāk – vadlīnijas)</w:t>
            </w:r>
            <w:r w:rsidRPr="005C1B73">
              <w:rPr>
                <w:iCs/>
                <w:lang w:val="lv-LV"/>
              </w:rPr>
              <w:t>.</w:t>
            </w:r>
            <w:r w:rsidRPr="00917DF3">
              <w:rPr>
                <w:iCs/>
                <w:lang w:val="lv-LV"/>
              </w:rPr>
              <w:t xml:space="preserve"> </w:t>
            </w:r>
          </w:p>
          <w:p w:rsidR="00332581" w:rsidRDefault="00332581" w:rsidP="00917DF3">
            <w:pPr>
              <w:jc w:val="both"/>
              <w:rPr>
                <w:iCs/>
                <w:lang w:val="lv-LV"/>
              </w:rPr>
            </w:pPr>
          </w:p>
          <w:p w:rsidR="00284461" w:rsidRDefault="008516F2" w:rsidP="00917DF3">
            <w:pPr>
              <w:jc w:val="both"/>
              <w:rPr>
                <w:iCs/>
                <w:lang w:val="lv-LV"/>
              </w:rPr>
            </w:pPr>
            <w:r w:rsidRPr="008516F2">
              <w:rPr>
                <w:iCs/>
                <w:lang w:val="lv-LV"/>
              </w:rPr>
              <w:t>Tas nozīmē, ka</w:t>
            </w:r>
            <w:r w:rsidRPr="00403700">
              <w:rPr>
                <w:iCs/>
                <w:lang w:val="lv-LV"/>
              </w:rPr>
              <w:t>, ja praksē tiek konstatēta neatbilstība</w:t>
            </w:r>
            <w:r w:rsidR="00284461" w:rsidRPr="00403700">
              <w:rPr>
                <w:iCs/>
                <w:lang w:val="lv-LV"/>
              </w:rPr>
              <w:t>,</w:t>
            </w:r>
            <w:r w:rsidRPr="00403700">
              <w:rPr>
                <w:iCs/>
                <w:lang w:val="lv-LV"/>
              </w:rPr>
              <w:t xml:space="preserve"> attiecīgā </w:t>
            </w:r>
            <w:r w:rsidRPr="005C1B73">
              <w:rPr>
                <w:iCs/>
                <w:lang w:val="lv-LV"/>
              </w:rPr>
              <w:t xml:space="preserve">atbildīgā iestāde vai sadarbības iestāde no finansējuma saņēmēja </w:t>
            </w:r>
            <w:r w:rsidR="001F4F88" w:rsidRPr="005C1B73">
              <w:rPr>
                <w:iCs/>
                <w:lang w:val="lv-LV"/>
              </w:rPr>
              <w:t xml:space="preserve">neatgūst </w:t>
            </w:r>
            <w:r w:rsidRPr="005C1B73">
              <w:rPr>
                <w:iCs/>
                <w:lang w:val="lv-LV"/>
              </w:rPr>
              <w:t>visu</w:t>
            </w:r>
            <w:r w:rsidR="00403700" w:rsidRPr="005C1B73">
              <w:rPr>
                <w:iCs/>
                <w:lang w:val="lv-LV"/>
              </w:rPr>
              <w:t xml:space="preserve"> </w:t>
            </w:r>
            <w:r w:rsidRPr="005C1B73">
              <w:rPr>
                <w:iCs/>
                <w:lang w:val="lv-LV"/>
              </w:rPr>
              <w:t>izdevumu summu</w:t>
            </w:r>
            <w:r w:rsidR="00154770" w:rsidRPr="005C1B73">
              <w:rPr>
                <w:iCs/>
                <w:lang w:val="lv-LV"/>
              </w:rPr>
              <w:t>, kuru</w:t>
            </w:r>
            <w:r w:rsidR="00403700" w:rsidRPr="005C1B73">
              <w:rPr>
                <w:iCs/>
                <w:lang w:val="lv-LV"/>
              </w:rPr>
              <w:t xml:space="preserve"> finansējuma saņēmējs veicis neatbilstoši normatīvo aktu un civiltiesisk</w:t>
            </w:r>
            <w:r w:rsidR="004C16C6">
              <w:rPr>
                <w:iCs/>
                <w:lang w:val="lv-LV"/>
              </w:rPr>
              <w:t>ā</w:t>
            </w:r>
            <w:r w:rsidR="00403700" w:rsidRPr="005C1B73">
              <w:rPr>
                <w:iCs/>
                <w:lang w:val="lv-LV"/>
              </w:rPr>
              <w:t xml:space="preserve"> līguma vai vienošanās par projekta īstenošanu nosacījumiem</w:t>
            </w:r>
            <w:r w:rsidRPr="005C1B73">
              <w:rPr>
                <w:iCs/>
                <w:lang w:val="lv-LV"/>
              </w:rPr>
              <w:t>, bet gan</w:t>
            </w:r>
            <w:r w:rsidR="001F4F88" w:rsidRPr="005C1B73">
              <w:rPr>
                <w:iCs/>
                <w:lang w:val="lv-LV"/>
              </w:rPr>
              <w:t xml:space="preserve"> piemēro</w:t>
            </w:r>
            <w:r w:rsidR="00284461" w:rsidRPr="005C1B73">
              <w:rPr>
                <w:iCs/>
                <w:lang w:val="lv-LV"/>
              </w:rPr>
              <w:t xml:space="preserve"> finansējuma saņēmējam labvēlīgāku risinājumu</w:t>
            </w:r>
            <w:r w:rsidR="0067572E" w:rsidRPr="005C1B73">
              <w:rPr>
                <w:iCs/>
                <w:lang w:val="lv-LV"/>
              </w:rPr>
              <w:t xml:space="preserve"> </w:t>
            </w:r>
            <w:r w:rsidR="00B0420A">
              <w:rPr>
                <w:iCs/>
                <w:lang w:val="lv-LV"/>
              </w:rPr>
              <w:t>–</w:t>
            </w:r>
            <w:r w:rsidR="0067572E" w:rsidRPr="005C1B73">
              <w:rPr>
                <w:iCs/>
                <w:lang w:val="lv-LV"/>
              </w:rPr>
              <w:t xml:space="preserve"> </w:t>
            </w:r>
            <w:r w:rsidR="00284461" w:rsidRPr="005C1B73">
              <w:rPr>
                <w:iCs/>
                <w:lang w:val="lv-LV"/>
              </w:rPr>
              <w:t>Eiropas</w:t>
            </w:r>
            <w:r w:rsidR="00284461">
              <w:rPr>
                <w:iCs/>
                <w:lang w:val="lv-LV"/>
              </w:rPr>
              <w:t xml:space="preserve"> Savienības fonda projekta ietvaros neatbilstoši veiktos izdevumu</w:t>
            </w:r>
            <w:r w:rsidR="001E1D36">
              <w:rPr>
                <w:iCs/>
                <w:lang w:val="lv-LV"/>
              </w:rPr>
              <w:t>s</w:t>
            </w:r>
            <w:r w:rsidR="00284461">
              <w:rPr>
                <w:iCs/>
                <w:lang w:val="lv-LV"/>
              </w:rPr>
              <w:t xml:space="preserve"> atgūt</w:t>
            </w:r>
            <w:r w:rsidRPr="008516F2">
              <w:rPr>
                <w:iCs/>
                <w:lang w:val="lv-LV"/>
              </w:rPr>
              <w:t xml:space="preserve"> proporcionāli konstatētajai neatbilstībai. </w:t>
            </w:r>
            <w:r w:rsidR="00284461">
              <w:rPr>
                <w:iCs/>
                <w:lang w:val="lv-LV"/>
              </w:rPr>
              <w:t xml:space="preserve">Minētā </w:t>
            </w:r>
            <w:r w:rsidRPr="008516F2">
              <w:rPr>
                <w:iCs/>
                <w:lang w:val="lv-LV"/>
              </w:rPr>
              <w:t xml:space="preserve">proporcija ir noteikta </w:t>
            </w:r>
            <w:r w:rsidR="00284461">
              <w:rPr>
                <w:iCs/>
                <w:lang w:val="lv-LV"/>
              </w:rPr>
              <w:t xml:space="preserve">vadlīniju </w:t>
            </w:r>
            <w:r w:rsidRPr="008516F2">
              <w:rPr>
                <w:iCs/>
                <w:lang w:val="lv-LV"/>
              </w:rPr>
              <w:t xml:space="preserve">skalā, kur pretī  katram procentuālajam apjomam tiek likti konkrēti prakses piemēri. </w:t>
            </w:r>
          </w:p>
          <w:p w:rsidR="00332581" w:rsidRDefault="00332581" w:rsidP="00917DF3">
            <w:pPr>
              <w:jc w:val="both"/>
              <w:rPr>
                <w:iCs/>
                <w:lang w:val="lv-LV"/>
              </w:rPr>
            </w:pPr>
          </w:p>
          <w:p w:rsidR="008516F2" w:rsidRDefault="00284461" w:rsidP="00917DF3">
            <w:pPr>
              <w:jc w:val="both"/>
              <w:rPr>
                <w:iCs/>
                <w:lang w:val="lv-LV"/>
              </w:rPr>
            </w:pPr>
            <w:r>
              <w:rPr>
                <w:iCs/>
                <w:lang w:val="lv-LV"/>
              </w:rPr>
              <w:lastRenderedPageBreak/>
              <w:t xml:space="preserve">Vienveidīgas prakses uzturēšanas nolūkā vadlīnijās ietvertā skala tiek regulāri aktualizēta, skaņojot to </w:t>
            </w:r>
            <w:r w:rsidR="008516F2" w:rsidRPr="008516F2">
              <w:rPr>
                <w:iCs/>
                <w:lang w:val="lv-LV"/>
              </w:rPr>
              <w:t xml:space="preserve">visu iepriekš minēto iestāžu līmenī, kā arī katru ceturksni </w:t>
            </w:r>
            <w:r>
              <w:rPr>
                <w:iCs/>
                <w:lang w:val="lv-LV"/>
              </w:rPr>
              <w:t>papildus apspriesta</w:t>
            </w:r>
            <w:r w:rsidR="008516F2" w:rsidRPr="008516F2">
              <w:rPr>
                <w:iCs/>
                <w:lang w:val="lv-LV"/>
              </w:rPr>
              <w:t xml:space="preserve"> MK noteikumu 11.punktā minētajā sanāksmē par attiecīgajā ceturk</w:t>
            </w:r>
            <w:r w:rsidR="00771341">
              <w:rPr>
                <w:iCs/>
                <w:lang w:val="lv-LV"/>
              </w:rPr>
              <w:t>snī konstatētajām neatbilstībām</w:t>
            </w:r>
            <w:r w:rsidR="008516F2" w:rsidRPr="008516F2">
              <w:rPr>
                <w:iCs/>
                <w:lang w:val="lv-LV"/>
              </w:rPr>
              <w:t xml:space="preserve">.  </w:t>
            </w:r>
          </w:p>
          <w:p w:rsidR="00332581" w:rsidRDefault="00332581" w:rsidP="00917DF3">
            <w:pPr>
              <w:jc w:val="both"/>
              <w:rPr>
                <w:iCs/>
                <w:lang w:val="lv-LV"/>
              </w:rPr>
            </w:pPr>
          </w:p>
          <w:p w:rsidR="00284461" w:rsidRPr="00917DF3" w:rsidRDefault="00917DF3" w:rsidP="00917DF3">
            <w:pPr>
              <w:jc w:val="both"/>
              <w:rPr>
                <w:iCs/>
                <w:lang w:val="lv-LV"/>
              </w:rPr>
            </w:pPr>
            <w:r w:rsidRPr="00917DF3">
              <w:rPr>
                <w:iCs/>
                <w:lang w:val="lv-LV"/>
              </w:rPr>
              <w:t xml:space="preserve">Lai pildītu Ministru kabineta 2012.gada 12.jūnija sēdē lemto, nepieciešams pilnveidot MK noteikumos ietverto tiesisko regulējumu. </w:t>
            </w:r>
          </w:p>
          <w:p w:rsidR="00332581" w:rsidRDefault="00332581" w:rsidP="001F4F88">
            <w:pPr>
              <w:jc w:val="both"/>
              <w:rPr>
                <w:iCs/>
                <w:lang w:val="lv-LV"/>
              </w:rPr>
            </w:pPr>
          </w:p>
          <w:p w:rsidR="004F2272" w:rsidRPr="005C1B73" w:rsidRDefault="00917DF3" w:rsidP="001F4F88">
            <w:pPr>
              <w:jc w:val="both"/>
              <w:rPr>
                <w:iCs/>
                <w:lang w:val="lv-LV"/>
              </w:rPr>
            </w:pPr>
            <w:r w:rsidRPr="005C1B73">
              <w:rPr>
                <w:iCs/>
                <w:lang w:val="lv-LV"/>
              </w:rPr>
              <w:t xml:space="preserve">MK noteikumu projekta mērķis ir noteikt proporcionālo finanšu </w:t>
            </w:r>
            <w:r w:rsidR="001F4F88" w:rsidRPr="005C1B73">
              <w:rPr>
                <w:iCs/>
                <w:lang w:val="lv-LV"/>
              </w:rPr>
              <w:t>korekcij</w:t>
            </w:r>
            <w:r w:rsidR="00403700" w:rsidRPr="005C1B73">
              <w:rPr>
                <w:iCs/>
                <w:lang w:val="lv-LV"/>
              </w:rPr>
              <w:t>u</w:t>
            </w:r>
            <w:r w:rsidR="001F4F88" w:rsidRPr="005C1B73">
              <w:rPr>
                <w:iCs/>
                <w:lang w:val="lv-LV"/>
              </w:rPr>
              <w:t xml:space="preserve"> piemērošanas </w:t>
            </w:r>
            <w:r w:rsidR="00741F25" w:rsidRPr="005C1B73">
              <w:rPr>
                <w:iCs/>
                <w:lang w:val="lv-LV"/>
              </w:rPr>
              <w:t>nosacījumus</w:t>
            </w:r>
            <w:r w:rsidRPr="005C1B73">
              <w:rPr>
                <w:iCs/>
                <w:lang w:val="lv-LV"/>
              </w:rPr>
              <w:t>, saglabājot iepriekš minēto vadlīniju regulējumu. Minēto pamato fakts, ka proporcionālās finanšu korekcijas piemērošana un apjoms balstās uz konkrētu piemēru individuālu analīzi, līdz ar to MK noteikumu līmenī ir iespējams noteikt tikai proporcionālo finanšu korekciju piemērošanas</w:t>
            </w:r>
            <w:r w:rsidR="001F4F88" w:rsidRPr="005C1B73">
              <w:rPr>
                <w:iCs/>
                <w:lang w:val="lv-LV"/>
              </w:rPr>
              <w:t xml:space="preserve"> </w:t>
            </w:r>
            <w:r w:rsidR="00154770" w:rsidRPr="005C1B73">
              <w:rPr>
                <w:iCs/>
                <w:lang w:val="lv-LV"/>
              </w:rPr>
              <w:t>nosacījumus</w:t>
            </w:r>
            <w:r w:rsidRPr="005C1B73">
              <w:rPr>
                <w:iCs/>
                <w:lang w:val="lv-LV"/>
              </w:rPr>
              <w:t>. Konkrētu korekciju apmēru un piemērošanas mehānismu nepieciešams saglabāt darba dokumenta, tas ir, vadlīniju, līmenī.</w:t>
            </w:r>
          </w:p>
          <w:p w:rsidR="00332581" w:rsidRPr="005C1B73" w:rsidRDefault="00332581" w:rsidP="001F4F88">
            <w:pPr>
              <w:jc w:val="both"/>
              <w:rPr>
                <w:iCs/>
                <w:lang w:val="lv-LV"/>
              </w:rPr>
            </w:pPr>
          </w:p>
          <w:p w:rsidR="004F2272" w:rsidRPr="004F2272" w:rsidRDefault="004F2272" w:rsidP="001F4F88">
            <w:pPr>
              <w:jc w:val="both"/>
              <w:rPr>
                <w:b/>
                <w:iCs/>
                <w:lang w:val="lv-LV"/>
              </w:rPr>
            </w:pPr>
            <w:r w:rsidRPr="005C1B73">
              <w:rPr>
                <w:iCs/>
                <w:lang w:val="lv-LV"/>
              </w:rPr>
              <w:t>Papildus skaidrojam, ka šāda prakse pastāv arī citās</w:t>
            </w:r>
            <w:r w:rsidR="00CE4124" w:rsidRPr="005C1B73">
              <w:rPr>
                <w:iCs/>
                <w:lang w:val="lv-LV"/>
              </w:rPr>
              <w:t xml:space="preserve"> Eiropas Savienības dalībvalstīs.</w:t>
            </w:r>
          </w:p>
        </w:tc>
      </w:tr>
      <w:tr w:rsidR="00D867A7" w:rsidRPr="00035560" w:rsidTr="00925687">
        <w:trPr>
          <w:trHeight w:val="894"/>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lastRenderedPageBreak/>
              <w:t> 3.</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Saistītie politikas ietekmes novērtējumi un pētījumi</w:t>
            </w:r>
          </w:p>
        </w:tc>
        <w:tc>
          <w:tcPr>
            <w:tcW w:w="5812" w:type="dxa"/>
            <w:hideMark/>
          </w:tcPr>
          <w:p w:rsidR="00D867A7" w:rsidRPr="00035560" w:rsidRDefault="001062E9" w:rsidP="007D0057">
            <w:pPr>
              <w:spacing w:before="100" w:beforeAutospacing="1" w:after="100" w:afterAutospacing="1"/>
              <w:jc w:val="both"/>
              <w:rPr>
                <w:lang w:val="lv-LV" w:eastAsia="lv-LV"/>
              </w:rPr>
            </w:pPr>
            <w:r>
              <w:rPr>
                <w:lang w:val="lv-LV" w:eastAsia="lv-LV"/>
              </w:rPr>
              <w:t>Nav attiecināms</w:t>
            </w:r>
            <w:r w:rsidR="00154770">
              <w:rPr>
                <w:lang w:val="lv-LV" w:eastAsia="lv-LV"/>
              </w:rPr>
              <w:t>.</w:t>
            </w:r>
          </w:p>
        </w:tc>
      </w:tr>
      <w:tr w:rsidR="00D867A7" w:rsidRPr="004C16C6" w:rsidTr="00925687">
        <w:trPr>
          <w:trHeight w:val="384"/>
          <w:tblCellSpacing w:w="0" w:type="dxa"/>
        </w:trPr>
        <w:tc>
          <w:tcPr>
            <w:tcW w:w="517" w:type="dxa"/>
            <w:hideMark/>
          </w:tcPr>
          <w:p w:rsidR="00D867A7" w:rsidRPr="00D528AA" w:rsidRDefault="00D867A7" w:rsidP="00D867A7">
            <w:pPr>
              <w:spacing w:before="100" w:beforeAutospacing="1" w:after="100" w:afterAutospacing="1"/>
              <w:rPr>
                <w:lang w:val="lv-LV" w:eastAsia="lv-LV"/>
              </w:rPr>
            </w:pPr>
            <w:r w:rsidRPr="00D528AA">
              <w:rPr>
                <w:lang w:val="lv-LV" w:eastAsia="lv-LV"/>
              </w:rPr>
              <w:t> 4.</w:t>
            </w:r>
          </w:p>
        </w:tc>
        <w:tc>
          <w:tcPr>
            <w:tcW w:w="2617" w:type="dxa"/>
            <w:hideMark/>
          </w:tcPr>
          <w:p w:rsidR="00D867A7" w:rsidRPr="00D528AA" w:rsidRDefault="00D867A7" w:rsidP="00D867A7">
            <w:pPr>
              <w:spacing w:before="100" w:beforeAutospacing="1" w:after="100" w:afterAutospacing="1"/>
              <w:rPr>
                <w:lang w:val="lv-LV" w:eastAsia="lv-LV"/>
              </w:rPr>
            </w:pPr>
            <w:r w:rsidRPr="00D528AA">
              <w:rPr>
                <w:lang w:val="lv-LV" w:eastAsia="lv-LV"/>
              </w:rPr>
              <w:t>Tiesiskā regulējuma mērķis un būtība</w:t>
            </w:r>
          </w:p>
        </w:tc>
        <w:tc>
          <w:tcPr>
            <w:tcW w:w="5812" w:type="dxa"/>
          </w:tcPr>
          <w:p w:rsidR="00B53531" w:rsidRDefault="00B53531" w:rsidP="00B53531">
            <w:pPr>
              <w:spacing w:before="100" w:beforeAutospacing="1" w:after="100" w:afterAutospacing="1"/>
              <w:jc w:val="both"/>
              <w:rPr>
                <w:rFonts w:eastAsia="Calibri"/>
                <w:bCs/>
                <w:iCs/>
                <w:lang w:val="lv-LV" w:eastAsia="lv-LV"/>
              </w:rPr>
            </w:pPr>
            <w:r>
              <w:rPr>
                <w:rFonts w:eastAsia="Calibri"/>
                <w:bCs/>
                <w:iCs/>
                <w:lang w:val="lv-LV" w:eastAsia="lv-LV"/>
              </w:rPr>
              <w:t>Lai pildītu</w:t>
            </w:r>
            <w:r w:rsidRPr="009D2D88">
              <w:rPr>
                <w:lang w:val="lv-LV"/>
              </w:rPr>
              <w:t xml:space="preserve"> </w:t>
            </w:r>
            <w:r w:rsidRPr="00B53531">
              <w:rPr>
                <w:rFonts w:eastAsia="Calibri"/>
                <w:bCs/>
                <w:iCs/>
                <w:lang w:val="lv-LV" w:eastAsia="lv-LV"/>
              </w:rPr>
              <w:t>Ministru kabineta 2012.gada 12.jūnija pr</w:t>
            </w:r>
            <w:r>
              <w:rPr>
                <w:rFonts w:eastAsia="Calibri"/>
                <w:bCs/>
                <w:iCs/>
                <w:lang w:val="lv-LV" w:eastAsia="lv-LV"/>
              </w:rPr>
              <w:t xml:space="preserve">otokollēmuma Nr.33 51.§ 2.punktā doto uzdevumu, Finanšu ministrija ir sagatavojusi un noteiktā kārtībā izvērtēšanai citām Eiropas Savienības </w:t>
            </w:r>
            <w:r w:rsidR="00771341">
              <w:rPr>
                <w:rFonts w:eastAsia="Calibri"/>
                <w:bCs/>
                <w:iCs/>
                <w:lang w:val="lv-LV" w:eastAsia="lv-LV"/>
              </w:rPr>
              <w:t>struktūr</w:t>
            </w:r>
            <w:r>
              <w:rPr>
                <w:rFonts w:eastAsia="Calibri"/>
                <w:bCs/>
                <w:iCs/>
                <w:lang w:val="lv-LV" w:eastAsia="lv-LV"/>
              </w:rPr>
              <w:t>fondu</w:t>
            </w:r>
            <w:r w:rsidR="00771341">
              <w:rPr>
                <w:rFonts w:eastAsia="Calibri"/>
                <w:bCs/>
                <w:iCs/>
                <w:lang w:val="lv-LV" w:eastAsia="lv-LV"/>
              </w:rPr>
              <w:t xml:space="preserve"> un Kohēzijas fonda</w:t>
            </w:r>
            <w:r>
              <w:rPr>
                <w:rFonts w:eastAsia="Calibri"/>
                <w:bCs/>
                <w:iCs/>
                <w:lang w:val="lv-LV" w:eastAsia="lv-LV"/>
              </w:rPr>
              <w:t xml:space="preserve"> vadībā iesaistītajām institūcijām virza priekšlikumu par finanšu korekcijas tiesiskā regulējuma iekļaušanu MK noteikumos</w:t>
            </w:r>
            <w:r w:rsidRPr="00B53531">
              <w:rPr>
                <w:rFonts w:eastAsia="Calibri"/>
                <w:bCs/>
                <w:iCs/>
                <w:lang w:val="lv-LV" w:eastAsia="lv-LV"/>
              </w:rPr>
              <w:t>.</w:t>
            </w:r>
            <w:r>
              <w:rPr>
                <w:rFonts w:eastAsia="Calibri"/>
                <w:bCs/>
                <w:iCs/>
                <w:lang w:val="lv-LV" w:eastAsia="lv-LV"/>
              </w:rPr>
              <w:t xml:space="preserve"> </w:t>
            </w:r>
          </w:p>
          <w:p w:rsidR="00332581" w:rsidRPr="005C1B73" w:rsidRDefault="00E37D82" w:rsidP="00741F25">
            <w:pPr>
              <w:spacing w:before="100" w:beforeAutospacing="1" w:after="100" w:afterAutospacing="1"/>
              <w:jc w:val="both"/>
              <w:rPr>
                <w:lang w:val="lv-LV"/>
              </w:rPr>
            </w:pPr>
            <w:r>
              <w:rPr>
                <w:rFonts w:eastAsia="Calibri"/>
                <w:bCs/>
                <w:iCs/>
                <w:lang w:val="lv-LV" w:eastAsia="lv-LV"/>
              </w:rPr>
              <w:t xml:space="preserve">MK noteikumu grozījuma mērķis ir </w:t>
            </w:r>
            <w:r w:rsidR="001062E9" w:rsidRPr="005C1B73">
              <w:rPr>
                <w:rFonts w:eastAsia="Calibri"/>
                <w:bCs/>
                <w:iCs/>
                <w:lang w:val="lv-LV" w:eastAsia="lv-LV"/>
              </w:rPr>
              <w:t xml:space="preserve">noteikt </w:t>
            </w:r>
            <w:r w:rsidR="00332581" w:rsidRPr="005C1B73">
              <w:rPr>
                <w:rFonts w:eastAsia="Calibri"/>
                <w:bCs/>
                <w:iCs/>
                <w:lang w:val="lv-LV" w:eastAsia="lv-LV"/>
              </w:rPr>
              <w:t xml:space="preserve">nosacījumus </w:t>
            </w:r>
            <w:r w:rsidR="001062E9" w:rsidRPr="005C1B73">
              <w:rPr>
                <w:rFonts w:eastAsia="Calibri"/>
                <w:bCs/>
                <w:iCs/>
                <w:lang w:val="lv-LV" w:eastAsia="lv-LV"/>
              </w:rPr>
              <w:t>finanšu korekcijas piemērošanai attiecībā uz Eiropas Savienības struktūrfondu un Kohēzijas fonda projektos konstatētajām neatbilstībām.</w:t>
            </w:r>
            <w:r w:rsidR="00917DF3" w:rsidRPr="005C1B73">
              <w:rPr>
                <w:lang w:val="lv-LV"/>
              </w:rPr>
              <w:t xml:space="preserve"> </w:t>
            </w:r>
          </w:p>
          <w:p w:rsidR="00B0420A" w:rsidRDefault="00332581" w:rsidP="00B0420A">
            <w:pPr>
              <w:spacing w:before="100" w:beforeAutospacing="1" w:after="100" w:afterAutospacing="1"/>
              <w:jc w:val="both"/>
              <w:rPr>
                <w:bCs/>
                <w:lang w:val="lv-LV"/>
              </w:rPr>
            </w:pPr>
            <w:r w:rsidRPr="0030717F">
              <w:rPr>
                <w:lang w:val="lv-LV"/>
              </w:rPr>
              <w:t>MK noteikumu projekts paredz noteikt, ka</w:t>
            </w:r>
            <w:r w:rsidR="0030717F" w:rsidRPr="0030717F">
              <w:rPr>
                <w:sz w:val="26"/>
                <w:szCs w:val="26"/>
                <w:lang w:val="lv-LV"/>
              </w:rPr>
              <w:t xml:space="preserve"> </w:t>
            </w:r>
            <w:r w:rsidR="0030717F" w:rsidRPr="0030717F">
              <w:rPr>
                <w:lang w:val="lv-LV"/>
              </w:rPr>
              <w:t xml:space="preserve">līgumslēdzējs, ņemot vērā tā rīcībā esošo informāciju, kā arī vadošās iestādes, revīzijas iestādes, sertifikācijas iestādes, maksājumu iestādes vai atbildīgās iestādes sniegto informāciju par projektā konstatēto iespējamo neatbilstību, pieņem lēmumu par neatbilstības konstatēšanu. Ja līgumslēdzējs, pieņemot šajā punktā minēto lēmumu, konstatē, ka neatbilstoši veikto izdevumu summu nav iespējams konkrēti noteikt vai būtu nesamērīgi samazināt projekta attiecināmo izmaksu summu par visu izdevumu </w:t>
            </w:r>
            <w:r w:rsidR="0030717F" w:rsidRPr="0030717F">
              <w:rPr>
                <w:lang w:val="lv-LV"/>
              </w:rPr>
              <w:lastRenderedPageBreak/>
              <w:t>summu, kurus finansējuma saņēmējs veicis neatbilstoši normatīvo aktu un civiltiesiska līguma vai vienošanās par projekta īstenošanu nosacījumiem, līgumslēdzējs saskaņā ar vadošās iestādes izstrādātajām vadlīnijām par finanšu korekciju piemērošanu piemēro proporcionālo finanšu korekciju.</w:t>
            </w:r>
            <w:r w:rsidRPr="0030717F">
              <w:rPr>
                <w:lang w:val="lv-LV"/>
              </w:rPr>
              <w:t xml:space="preserve"> </w:t>
            </w:r>
          </w:p>
          <w:p w:rsidR="00644AEA" w:rsidRPr="00644AEA" w:rsidRDefault="00644AEA" w:rsidP="00B0420A">
            <w:pPr>
              <w:spacing w:before="100" w:beforeAutospacing="1" w:after="100" w:afterAutospacing="1"/>
              <w:jc w:val="both"/>
              <w:rPr>
                <w:bCs/>
                <w:lang w:val="lv-LV"/>
              </w:rPr>
            </w:pPr>
            <w:r>
              <w:rPr>
                <w:bCs/>
                <w:lang w:val="lv-LV"/>
              </w:rPr>
              <w:t>ES fondu finansējuma saņēmēju tiesiskās noteiktības interesēs MK noteikumu projekt</w:t>
            </w:r>
            <w:r w:rsidR="00B0420A">
              <w:rPr>
                <w:bCs/>
                <w:lang w:val="lv-LV"/>
              </w:rPr>
              <w:t>ā</w:t>
            </w:r>
            <w:r>
              <w:rPr>
                <w:bCs/>
                <w:lang w:val="lv-LV"/>
              </w:rPr>
              <w:t xml:space="preserve"> ir </w:t>
            </w:r>
            <w:r w:rsidR="00B0420A">
              <w:rPr>
                <w:bCs/>
                <w:lang w:val="lv-LV"/>
              </w:rPr>
              <w:t>arī noteikts</w:t>
            </w:r>
            <w:r>
              <w:rPr>
                <w:bCs/>
                <w:lang w:val="lv-LV"/>
              </w:rPr>
              <w:t>, ka attiecināmo izmaksu summas proporcionālās samazināšanas pamatprincipus vadošā iestāde nosaka vadlīnijās par finanšu korekcij</w:t>
            </w:r>
            <w:r w:rsidR="004C16C6">
              <w:rPr>
                <w:bCs/>
                <w:lang w:val="lv-LV"/>
              </w:rPr>
              <w:t>u</w:t>
            </w:r>
            <w:r>
              <w:rPr>
                <w:bCs/>
                <w:lang w:val="lv-LV"/>
              </w:rPr>
              <w:t xml:space="preserve"> piemērošanu. </w:t>
            </w:r>
            <w:r w:rsidR="00376491">
              <w:rPr>
                <w:bCs/>
                <w:lang w:val="lv-LV"/>
              </w:rPr>
              <w:t xml:space="preserve">Lai arī faktiski šādas vadlīnijas jau ir izstrādātas un praksē tiek piemērotas, šis </w:t>
            </w:r>
            <w:r w:rsidR="00EF5CC7">
              <w:rPr>
                <w:bCs/>
                <w:lang w:val="lv-LV"/>
              </w:rPr>
              <w:t xml:space="preserve"> punkt</w:t>
            </w:r>
            <w:r w:rsidR="00376491">
              <w:rPr>
                <w:bCs/>
                <w:lang w:val="lv-LV"/>
              </w:rPr>
              <w:t xml:space="preserve">s pēc būtības nodrošina gan to, </w:t>
            </w:r>
            <w:r w:rsidR="004C16C6">
              <w:rPr>
                <w:bCs/>
                <w:lang w:val="lv-LV"/>
              </w:rPr>
              <w:t>k</w:t>
            </w:r>
            <w:r w:rsidR="00376491">
              <w:rPr>
                <w:bCs/>
                <w:lang w:val="lv-LV"/>
              </w:rPr>
              <w:t>a līgumslēdzējiem (atbildīgajām iestādēm un sadarbības iestādēm) ir jāievēro vadlīnijās minētie principi, gan arī to, ka finansējuma saņēmēji ir informēti par šādām vadlīnijām un var paļauties uz to, ka līgumslēdzējs tās piemēros, ja būs nepieciešams attiecināmo izmaksu summu samazināt proporcionāli</w:t>
            </w:r>
            <w:r w:rsidR="004858EE">
              <w:rPr>
                <w:bCs/>
                <w:lang w:val="lv-LV"/>
              </w:rPr>
              <w:t>, kā arī to, ka visos līdzīgos gadījumos tiek piemērota vienāda finanšu korekcija.</w:t>
            </w:r>
          </w:p>
        </w:tc>
      </w:tr>
      <w:tr w:rsidR="00D867A7" w:rsidRPr="00EF0879" w:rsidTr="00925687">
        <w:trPr>
          <w:trHeight w:val="476"/>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lastRenderedPageBreak/>
              <w:t> 5.</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Projekta izstrādē iesaistītās institūcijas</w:t>
            </w:r>
          </w:p>
        </w:tc>
        <w:tc>
          <w:tcPr>
            <w:tcW w:w="5812" w:type="dxa"/>
          </w:tcPr>
          <w:p w:rsidR="00D867A7" w:rsidRPr="00035560" w:rsidRDefault="00041C24" w:rsidP="00041C24">
            <w:pPr>
              <w:spacing w:before="100" w:beforeAutospacing="1" w:after="100" w:afterAutospacing="1"/>
              <w:jc w:val="both"/>
              <w:rPr>
                <w:lang w:val="lv-LV" w:eastAsia="lv-LV"/>
              </w:rPr>
            </w:pPr>
            <w:r>
              <w:rPr>
                <w:lang w:val="lv-LV" w:eastAsia="lv-LV"/>
              </w:rPr>
              <w:t>Nav</w:t>
            </w:r>
          </w:p>
        </w:tc>
      </w:tr>
      <w:tr w:rsidR="00D867A7" w:rsidRPr="00356C9E" w:rsidTr="00925687">
        <w:trPr>
          <w:trHeight w:val="883"/>
          <w:tblCellSpacing w:w="0" w:type="dxa"/>
        </w:trPr>
        <w:tc>
          <w:tcPr>
            <w:tcW w:w="517" w:type="dxa"/>
            <w:hideMark/>
          </w:tcPr>
          <w:p w:rsidR="00D867A7" w:rsidRPr="00035560" w:rsidRDefault="00D867A7" w:rsidP="00807A10">
            <w:pPr>
              <w:spacing w:before="100" w:beforeAutospacing="1" w:after="100" w:afterAutospacing="1"/>
              <w:rPr>
                <w:lang w:val="lv-LV" w:eastAsia="lv-LV"/>
              </w:rPr>
            </w:pPr>
            <w:r w:rsidRPr="00035560">
              <w:rPr>
                <w:lang w:val="lv-LV" w:eastAsia="lv-LV"/>
              </w:rPr>
              <w:t> </w:t>
            </w:r>
            <w:r w:rsidRPr="00807A10">
              <w:rPr>
                <w:lang w:val="lv-LV" w:eastAsia="lv-LV"/>
              </w:rPr>
              <w:t>6.</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Iemesli, kādēļ netika nodrošināta sabiedrības līdzdalība</w:t>
            </w:r>
          </w:p>
        </w:tc>
        <w:tc>
          <w:tcPr>
            <w:tcW w:w="5812" w:type="dxa"/>
          </w:tcPr>
          <w:p w:rsidR="00182859" w:rsidRPr="003C0D4F" w:rsidRDefault="001062E9" w:rsidP="00412C59">
            <w:pPr>
              <w:spacing w:before="100" w:beforeAutospacing="1" w:after="100" w:afterAutospacing="1"/>
              <w:jc w:val="both"/>
              <w:rPr>
                <w:lang w:val="lv-LV" w:eastAsia="lv-LV"/>
              </w:rPr>
            </w:pPr>
            <w:r>
              <w:rPr>
                <w:lang w:val="lv-LV" w:eastAsia="lv-LV"/>
              </w:rPr>
              <w:t>Nav attiecināms</w:t>
            </w:r>
            <w:r w:rsidR="00154770">
              <w:rPr>
                <w:lang w:val="lv-LV" w:eastAsia="lv-LV"/>
              </w:rPr>
              <w:t>.</w:t>
            </w:r>
          </w:p>
        </w:tc>
      </w:tr>
      <w:tr w:rsidR="00D867A7" w:rsidRPr="004C16C6" w:rsidTr="00925687">
        <w:trPr>
          <w:trHeight w:val="432"/>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7.</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Cita informācija</w:t>
            </w:r>
          </w:p>
        </w:tc>
        <w:tc>
          <w:tcPr>
            <w:tcW w:w="5812" w:type="dxa"/>
          </w:tcPr>
          <w:p w:rsidR="00A8674A" w:rsidRPr="005C1B73" w:rsidRDefault="000F5E5B" w:rsidP="00A8674A">
            <w:pPr>
              <w:jc w:val="both"/>
              <w:rPr>
                <w:lang w:val="lv-LV" w:eastAsia="lv-LV"/>
              </w:rPr>
            </w:pPr>
            <w:r w:rsidRPr="005C1B73">
              <w:rPr>
                <w:lang w:val="lv-LV" w:eastAsia="lv-LV"/>
              </w:rPr>
              <w:t>Papildus skaidrojam, ka gadījumā, ja līgumslēdzējs finansējuma saņēmējam piemēros finanšu korekciju</w:t>
            </w:r>
            <w:r w:rsidR="00A8674A" w:rsidRPr="005C1B73">
              <w:rPr>
                <w:lang w:val="lv-LV" w:eastAsia="lv-LV"/>
              </w:rPr>
              <w:t>, kas būs atšķirīga no revīzijas iestādes ierosinātās</w:t>
            </w:r>
            <w:r w:rsidR="009D2D88" w:rsidRPr="005C1B73">
              <w:rPr>
                <w:lang w:val="lv-LV" w:eastAsia="lv-LV"/>
              </w:rPr>
              <w:t>,</w:t>
            </w:r>
            <w:r w:rsidR="00A8674A" w:rsidRPr="005C1B73">
              <w:rPr>
                <w:lang w:val="lv-LV" w:eastAsia="lv-LV"/>
              </w:rPr>
              <w:t xml:space="preserve">  sertifikācijas iestāde no Eiropas Komisijas deklarējamajiem izdevumiem ieturēs tos izdevums, kurus revīzijas iestāde atzinusi kā neatbilstošus (MK noteikumu 6.</w:t>
            </w:r>
            <w:r w:rsidR="00EF00FE" w:rsidRPr="005C1B73">
              <w:rPr>
                <w:vertAlign w:val="superscript"/>
                <w:lang w:val="lv-LV" w:eastAsia="lv-LV"/>
              </w:rPr>
              <w:t>1</w:t>
            </w:r>
            <w:r w:rsidR="00A8674A" w:rsidRPr="005C1B73">
              <w:rPr>
                <w:lang w:val="lv-LV" w:eastAsia="lv-LV"/>
              </w:rPr>
              <w:t xml:space="preserve">punkts). </w:t>
            </w:r>
          </w:p>
          <w:p w:rsidR="00A8674A" w:rsidRPr="005C1B73" w:rsidRDefault="00A8674A" w:rsidP="00A8674A">
            <w:pPr>
              <w:jc w:val="both"/>
              <w:rPr>
                <w:lang w:val="lv-LV" w:eastAsia="lv-LV"/>
              </w:rPr>
            </w:pPr>
          </w:p>
          <w:p w:rsidR="00D867A7" w:rsidRPr="00A8674A" w:rsidRDefault="00A8674A" w:rsidP="00154770">
            <w:pPr>
              <w:jc w:val="both"/>
              <w:rPr>
                <w:b/>
                <w:lang w:val="lv-LV" w:eastAsia="lv-LV"/>
              </w:rPr>
            </w:pPr>
            <w:r w:rsidRPr="005C1B73">
              <w:rPr>
                <w:lang w:val="lv-LV" w:eastAsia="lv-LV"/>
              </w:rPr>
              <w:t xml:space="preserve">Finanšu ministrija kā Eiropas Savienības fondu vadošā iestāde </w:t>
            </w:r>
            <w:r w:rsidR="009D2D88" w:rsidRPr="005C1B73">
              <w:rPr>
                <w:lang w:val="lv-LV" w:eastAsia="lv-LV"/>
              </w:rPr>
              <w:t xml:space="preserve">informāciju par </w:t>
            </w:r>
            <w:r w:rsidRPr="005C1B73">
              <w:rPr>
                <w:lang w:val="lv-LV" w:eastAsia="lv-LV"/>
              </w:rPr>
              <w:t>minēt</w:t>
            </w:r>
            <w:r w:rsidR="009D2D88" w:rsidRPr="005C1B73">
              <w:rPr>
                <w:lang w:val="lv-LV" w:eastAsia="lv-LV"/>
              </w:rPr>
              <w:t>ajiem</w:t>
            </w:r>
            <w:r w:rsidRPr="005C1B73">
              <w:rPr>
                <w:lang w:val="lv-LV" w:eastAsia="lv-LV"/>
              </w:rPr>
              <w:t xml:space="preserve"> gadījum</w:t>
            </w:r>
            <w:r w:rsidR="009D2D88" w:rsidRPr="005C1B73">
              <w:rPr>
                <w:lang w:val="lv-LV" w:eastAsia="lv-LV"/>
              </w:rPr>
              <w:t>iem</w:t>
            </w:r>
            <w:r w:rsidRPr="005C1B73">
              <w:rPr>
                <w:lang w:val="lv-LV" w:eastAsia="lv-LV"/>
              </w:rPr>
              <w:t xml:space="preserve"> apkopos un ceturkšņa ietvaros sniegs Ministru kabinetam.</w:t>
            </w:r>
            <w:r w:rsidRPr="00A8674A">
              <w:rPr>
                <w:b/>
                <w:lang w:val="lv-LV" w:eastAsia="lv-LV"/>
              </w:rPr>
              <w:t xml:space="preserve"> </w:t>
            </w:r>
          </w:p>
        </w:tc>
      </w:tr>
      <w:bookmarkEnd w:id="0"/>
      <w:bookmarkEnd w:id="1"/>
    </w:tbl>
    <w:p w:rsidR="00034CDC" w:rsidRDefault="00034CDC" w:rsidP="00421C80">
      <w:pPr>
        <w:rPr>
          <w:lang w:val="lv-LV"/>
        </w:rPr>
      </w:pPr>
    </w:p>
    <w:p w:rsidR="00917DF3" w:rsidRPr="00034CDC" w:rsidRDefault="00917DF3" w:rsidP="00421C80">
      <w:pPr>
        <w:rPr>
          <w:vanish/>
          <w:lang w:val="lv-LV"/>
        </w:rPr>
      </w:pPr>
    </w:p>
    <w:p w:rsidR="00412C59" w:rsidRDefault="00412C59" w:rsidP="00613168">
      <w:pPr>
        <w:rPr>
          <w:lang w:val="lv-LV"/>
        </w:rPr>
      </w:pPr>
    </w:p>
    <w:tbl>
      <w:tblPr>
        <w:tblW w:w="5071" w:type="pct"/>
        <w:tblCellSpacing w:w="0" w:type="dxa"/>
        <w:tblInd w:w="1"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0" w:type="dxa"/>
          <w:right w:w="0" w:type="dxa"/>
        </w:tblCellMar>
        <w:tblLook w:val="04A0" w:firstRow="1" w:lastRow="0" w:firstColumn="1" w:lastColumn="0" w:noHBand="0" w:noVBand="1"/>
      </w:tblPr>
      <w:tblGrid>
        <w:gridCol w:w="370"/>
        <w:gridCol w:w="2764"/>
        <w:gridCol w:w="5810"/>
      </w:tblGrid>
      <w:tr w:rsidR="00412C59" w:rsidRPr="004C16C6" w:rsidTr="00412C59">
        <w:trPr>
          <w:tblCellSpacing w:w="0" w:type="dxa"/>
        </w:trPr>
        <w:tc>
          <w:tcPr>
            <w:tcW w:w="5000" w:type="pct"/>
            <w:gridSpan w:val="3"/>
            <w:shd w:val="clear" w:color="auto" w:fill="auto"/>
            <w:hideMark/>
          </w:tcPr>
          <w:p w:rsidR="00034CDC" w:rsidRPr="00035560" w:rsidRDefault="00412C59" w:rsidP="005B52C7">
            <w:pPr>
              <w:spacing w:before="100" w:beforeAutospacing="1"/>
              <w:jc w:val="center"/>
              <w:rPr>
                <w:b/>
                <w:bCs/>
                <w:lang w:val="lv-LV" w:eastAsia="lv-LV"/>
              </w:rPr>
            </w:pPr>
            <w:r w:rsidRPr="00035560">
              <w:rPr>
                <w:b/>
                <w:bCs/>
                <w:lang w:val="lv-LV" w:eastAsia="lv-LV"/>
              </w:rPr>
              <w:t>VII. Tiesību akta projekta izpildes nodrošināšana un tās ietekme uz institūcijām</w:t>
            </w:r>
          </w:p>
        </w:tc>
      </w:tr>
      <w:tr w:rsidR="00412C59" w:rsidRPr="004C16C6" w:rsidTr="002033E1">
        <w:trPr>
          <w:trHeight w:val="427"/>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1.</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izpildē iesaistītās institūcijas</w:t>
            </w:r>
          </w:p>
        </w:tc>
        <w:tc>
          <w:tcPr>
            <w:tcW w:w="3249" w:type="pct"/>
            <w:shd w:val="clear" w:color="auto" w:fill="auto"/>
            <w:hideMark/>
          </w:tcPr>
          <w:p w:rsidR="00412C59" w:rsidRPr="00041C24" w:rsidRDefault="005B52C7" w:rsidP="004D5547">
            <w:pPr>
              <w:spacing w:before="100" w:beforeAutospacing="1" w:after="100" w:afterAutospacing="1"/>
              <w:jc w:val="both"/>
              <w:rPr>
                <w:lang w:val="lv-LV" w:eastAsia="lv-LV"/>
              </w:rPr>
            </w:pPr>
            <w:r w:rsidRPr="00041C24">
              <w:rPr>
                <w:lang w:val="lv-LV" w:eastAsia="lv-LV"/>
              </w:rPr>
              <w:t>Eiropas Savienības struktūrfondu un Kohēzijas fonda vadīb</w:t>
            </w:r>
            <w:r w:rsidR="00917DF3" w:rsidRPr="00041C24">
              <w:rPr>
                <w:lang w:val="lv-LV" w:eastAsia="lv-LV"/>
              </w:rPr>
              <w:t>ā iesais</w:t>
            </w:r>
            <w:r w:rsidRPr="00041C24">
              <w:rPr>
                <w:lang w:val="lv-LV" w:eastAsia="lv-LV"/>
              </w:rPr>
              <w:t>t</w:t>
            </w:r>
            <w:r w:rsidR="00917DF3" w:rsidRPr="00041C24">
              <w:rPr>
                <w:lang w:val="lv-LV" w:eastAsia="lv-LV"/>
              </w:rPr>
              <w:t>īt</w:t>
            </w:r>
            <w:r w:rsidRPr="00041C24">
              <w:rPr>
                <w:lang w:val="lv-LV" w:eastAsia="lv-LV"/>
              </w:rPr>
              <w:t>ās atbildīgās iestādes un sadarbības iestādes.</w:t>
            </w:r>
          </w:p>
        </w:tc>
      </w:tr>
      <w:tr w:rsidR="00412C59" w:rsidRPr="00356C9E" w:rsidTr="002033E1">
        <w:trPr>
          <w:trHeight w:val="463"/>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2.</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funkcijām</w:t>
            </w:r>
          </w:p>
        </w:tc>
        <w:tc>
          <w:tcPr>
            <w:tcW w:w="3249" w:type="pct"/>
            <w:shd w:val="clear" w:color="auto" w:fill="auto"/>
            <w:hideMark/>
          </w:tcPr>
          <w:p w:rsidR="00412C59" w:rsidRPr="00035560" w:rsidRDefault="005B52C7" w:rsidP="00841419">
            <w:pPr>
              <w:spacing w:before="100" w:beforeAutospacing="1" w:after="100" w:afterAutospacing="1"/>
              <w:jc w:val="both"/>
              <w:rPr>
                <w:lang w:val="lv-LV" w:eastAsia="lv-LV"/>
              </w:rPr>
            </w:pPr>
            <w:r>
              <w:rPr>
                <w:lang w:val="lv-LV" w:eastAsia="lv-LV"/>
              </w:rPr>
              <w:t>Nav ietekmes</w:t>
            </w:r>
            <w:r w:rsidR="00154770">
              <w:rPr>
                <w:lang w:val="lv-LV" w:eastAsia="lv-LV"/>
              </w:rPr>
              <w:t>.</w:t>
            </w:r>
          </w:p>
        </w:tc>
      </w:tr>
      <w:tr w:rsidR="00412C59" w:rsidRPr="00356C9E" w:rsidTr="002033E1">
        <w:trPr>
          <w:trHeight w:val="725"/>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3.</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institucionālo struktūru.</w:t>
            </w:r>
          </w:p>
          <w:p w:rsidR="00412C59" w:rsidRPr="00035560" w:rsidRDefault="00412C59" w:rsidP="004D5547">
            <w:pPr>
              <w:spacing w:before="100" w:beforeAutospacing="1" w:after="100" w:afterAutospacing="1"/>
              <w:jc w:val="both"/>
              <w:rPr>
                <w:lang w:val="lv-LV" w:eastAsia="lv-LV"/>
              </w:rPr>
            </w:pPr>
            <w:r w:rsidRPr="00035560">
              <w:rPr>
                <w:lang w:val="lv-LV" w:eastAsia="lv-LV"/>
              </w:rPr>
              <w:t>Jaunu institūciju izveide</w:t>
            </w:r>
          </w:p>
        </w:tc>
        <w:tc>
          <w:tcPr>
            <w:tcW w:w="3249" w:type="pct"/>
            <w:shd w:val="clear" w:color="auto" w:fill="auto"/>
            <w:hideMark/>
          </w:tcPr>
          <w:p w:rsidR="00412C59" w:rsidRPr="00035560" w:rsidRDefault="005B52C7" w:rsidP="00841419">
            <w:pPr>
              <w:spacing w:before="100" w:beforeAutospacing="1" w:after="100" w:afterAutospacing="1"/>
              <w:jc w:val="both"/>
              <w:rPr>
                <w:lang w:val="lv-LV" w:eastAsia="lv-LV"/>
              </w:rPr>
            </w:pPr>
            <w:r>
              <w:rPr>
                <w:lang w:val="lv-LV" w:eastAsia="lv-LV"/>
              </w:rPr>
              <w:t>Nav ietekmes</w:t>
            </w:r>
            <w:r w:rsidR="00154770">
              <w:rPr>
                <w:lang w:val="lv-LV" w:eastAsia="lv-LV"/>
              </w:rPr>
              <w:t>.</w:t>
            </w:r>
          </w:p>
        </w:tc>
      </w:tr>
      <w:tr w:rsidR="00412C59" w:rsidRPr="00356C9E" w:rsidTr="002033E1">
        <w:trPr>
          <w:trHeight w:val="780"/>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lastRenderedPageBreak/>
              <w:t> 4.</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institucionālo struktūru.</w:t>
            </w:r>
          </w:p>
          <w:p w:rsidR="00412C59" w:rsidRPr="00035560" w:rsidRDefault="00412C59" w:rsidP="004D5547">
            <w:pPr>
              <w:spacing w:before="100" w:beforeAutospacing="1" w:after="100" w:afterAutospacing="1"/>
              <w:jc w:val="both"/>
              <w:rPr>
                <w:lang w:val="lv-LV" w:eastAsia="lv-LV"/>
              </w:rPr>
            </w:pPr>
            <w:r w:rsidRPr="00035560">
              <w:rPr>
                <w:lang w:val="lv-LV" w:eastAsia="lv-LV"/>
              </w:rPr>
              <w:t>Esošu institūciju likvidācija</w:t>
            </w:r>
          </w:p>
        </w:tc>
        <w:tc>
          <w:tcPr>
            <w:tcW w:w="3249" w:type="pct"/>
            <w:shd w:val="clear" w:color="auto" w:fill="auto"/>
            <w:hideMark/>
          </w:tcPr>
          <w:p w:rsidR="00412C59" w:rsidRPr="00035560" w:rsidRDefault="00412C59" w:rsidP="00841419">
            <w:pPr>
              <w:spacing w:before="100" w:beforeAutospacing="1" w:after="100" w:afterAutospacing="1"/>
              <w:jc w:val="both"/>
              <w:rPr>
                <w:lang w:val="lv-LV" w:eastAsia="lv-LV"/>
              </w:rPr>
            </w:pPr>
            <w:r w:rsidRPr="00035560">
              <w:rPr>
                <w:lang w:val="lv-LV" w:eastAsia="lv-LV"/>
              </w:rPr>
              <w:t> </w:t>
            </w:r>
            <w:r w:rsidR="005B52C7">
              <w:rPr>
                <w:lang w:val="lv-LV" w:eastAsia="lv-LV"/>
              </w:rPr>
              <w:t xml:space="preserve">Nav </w:t>
            </w:r>
            <w:r w:rsidR="00841419">
              <w:rPr>
                <w:lang w:val="lv-LV" w:eastAsia="lv-LV"/>
              </w:rPr>
              <w:t>ietekmes</w:t>
            </w:r>
            <w:r w:rsidR="00154770">
              <w:rPr>
                <w:lang w:val="lv-LV" w:eastAsia="lv-LV"/>
              </w:rPr>
              <w:t>.</w:t>
            </w:r>
          </w:p>
        </w:tc>
      </w:tr>
      <w:tr w:rsidR="00412C59" w:rsidRPr="00356C9E" w:rsidTr="002033E1">
        <w:trPr>
          <w:trHeight w:val="703"/>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5.</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institucionālo struktūru.</w:t>
            </w:r>
          </w:p>
          <w:p w:rsidR="00412C59" w:rsidRPr="00035560" w:rsidRDefault="00412C59" w:rsidP="004D5547">
            <w:pPr>
              <w:spacing w:before="100" w:beforeAutospacing="1" w:after="100" w:afterAutospacing="1"/>
              <w:jc w:val="both"/>
              <w:rPr>
                <w:lang w:val="lv-LV" w:eastAsia="lv-LV"/>
              </w:rPr>
            </w:pPr>
            <w:r w:rsidRPr="00035560">
              <w:rPr>
                <w:lang w:val="lv-LV" w:eastAsia="lv-LV"/>
              </w:rPr>
              <w:t>Esošu institūciju reorganizācija</w:t>
            </w:r>
          </w:p>
        </w:tc>
        <w:tc>
          <w:tcPr>
            <w:tcW w:w="3249" w:type="pct"/>
            <w:shd w:val="clear" w:color="auto" w:fill="auto"/>
            <w:hideMark/>
          </w:tcPr>
          <w:p w:rsidR="00412C59" w:rsidRPr="00085B1F" w:rsidRDefault="005B52C7" w:rsidP="00841419">
            <w:pPr>
              <w:pStyle w:val="Footer"/>
              <w:tabs>
                <w:tab w:val="clear" w:pos="4153"/>
                <w:tab w:val="clear" w:pos="8306"/>
              </w:tabs>
              <w:snapToGrid/>
              <w:jc w:val="both"/>
              <w:rPr>
                <w:rFonts w:ascii="Times New Roman" w:eastAsia="Arial Unicode MS" w:hAnsi="Times New Roman"/>
                <w:sz w:val="24"/>
                <w:szCs w:val="24"/>
                <w:lang w:val="lv-LV"/>
              </w:rPr>
            </w:pPr>
            <w:r>
              <w:rPr>
                <w:rFonts w:ascii="Times New Roman" w:eastAsia="Arial Unicode MS" w:hAnsi="Times New Roman"/>
                <w:sz w:val="24"/>
                <w:szCs w:val="24"/>
                <w:lang w:val="lv-LV"/>
              </w:rPr>
              <w:t xml:space="preserve">Nav </w:t>
            </w:r>
            <w:r w:rsidR="00841419">
              <w:rPr>
                <w:rFonts w:ascii="Times New Roman" w:eastAsia="Arial Unicode MS" w:hAnsi="Times New Roman"/>
                <w:sz w:val="24"/>
                <w:szCs w:val="24"/>
                <w:lang w:val="lv-LV"/>
              </w:rPr>
              <w:t>ietekmes</w:t>
            </w:r>
            <w:r w:rsidR="00154770">
              <w:rPr>
                <w:rFonts w:ascii="Times New Roman" w:eastAsia="Arial Unicode MS" w:hAnsi="Times New Roman"/>
                <w:sz w:val="24"/>
                <w:szCs w:val="24"/>
                <w:lang w:val="lv-LV"/>
              </w:rPr>
              <w:t>.</w:t>
            </w:r>
          </w:p>
        </w:tc>
      </w:tr>
      <w:tr w:rsidR="00412C59" w:rsidRPr="00035560" w:rsidTr="00490C3F">
        <w:trPr>
          <w:trHeight w:val="414"/>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6.</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Cita informācija</w:t>
            </w:r>
          </w:p>
        </w:tc>
        <w:tc>
          <w:tcPr>
            <w:tcW w:w="3249" w:type="pct"/>
            <w:shd w:val="clear" w:color="auto" w:fill="auto"/>
            <w:hideMark/>
          </w:tcPr>
          <w:p w:rsidR="00412C59" w:rsidRPr="00035560" w:rsidRDefault="00841419" w:rsidP="00841419">
            <w:pPr>
              <w:jc w:val="both"/>
              <w:rPr>
                <w:rFonts w:eastAsia="Arial Unicode MS"/>
                <w:lang w:val="lv-LV"/>
              </w:rPr>
            </w:pPr>
            <w:r>
              <w:rPr>
                <w:rFonts w:eastAsia="Arial Unicode MS"/>
                <w:lang w:val="lv-LV"/>
              </w:rPr>
              <w:t>Nav</w:t>
            </w:r>
          </w:p>
        </w:tc>
      </w:tr>
    </w:tbl>
    <w:p w:rsidR="00775B0E" w:rsidRDefault="00F5103B" w:rsidP="005B52C7">
      <w:pPr>
        <w:pStyle w:val="Heading1"/>
        <w:keepNext w:val="0"/>
        <w:widowControl w:val="0"/>
        <w:jc w:val="both"/>
        <w:rPr>
          <w:b w:val="0"/>
          <w:sz w:val="24"/>
          <w:lang w:eastAsia="lv-LV"/>
        </w:rPr>
      </w:pPr>
      <w:r w:rsidRPr="00B152F1">
        <w:rPr>
          <w:b w:val="0"/>
          <w:sz w:val="24"/>
          <w:lang w:eastAsia="lv-LV"/>
        </w:rPr>
        <w:t>Anotācijas</w:t>
      </w:r>
      <w:r w:rsidR="00C65899" w:rsidRPr="00B152F1">
        <w:rPr>
          <w:b w:val="0"/>
          <w:sz w:val="24"/>
          <w:lang w:eastAsia="lv-LV"/>
        </w:rPr>
        <w:t xml:space="preserve"> </w:t>
      </w:r>
      <w:r w:rsidR="00C21F29" w:rsidRPr="00B152F1">
        <w:rPr>
          <w:b w:val="0"/>
          <w:sz w:val="24"/>
          <w:lang w:eastAsia="lv-LV"/>
        </w:rPr>
        <w:t xml:space="preserve">II, </w:t>
      </w:r>
      <w:r w:rsidR="007946F6" w:rsidRPr="00B152F1">
        <w:rPr>
          <w:b w:val="0"/>
          <w:sz w:val="24"/>
          <w:lang w:eastAsia="lv-LV"/>
        </w:rPr>
        <w:t>III</w:t>
      </w:r>
      <w:r w:rsidR="007946F6" w:rsidRPr="00035560">
        <w:rPr>
          <w:b w:val="0"/>
          <w:sz w:val="24"/>
          <w:lang w:eastAsia="lv-LV"/>
        </w:rPr>
        <w:t xml:space="preserve">, IV, </w:t>
      </w:r>
      <w:r w:rsidR="008028F6" w:rsidRPr="00035560">
        <w:rPr>
          <w:b w:val="0"/>
          <w:sz w:val="24"/>
          <w:lang w:eastAsia="lv-LV"/>
        </w:rPr>
        <w:t xml:space="preserve">V, VI sadaļa – </w:t>
      </w:r>
      <w:r w:rsidR="00830485">
        <w:rPr>
          <w:b w:val="0"/>
          <w:sz w:val="24"/>
          <w:lang w:eastAsia="lv-LV"/>
        </w:rPr>
        <w:t>projekts šo jomu neskar</w:t>
      </w:r>
      <w:r w:rsidR="008028F6" w:rsidRPr="00035560">
        <w:rPr>
          <w:b w:val="0"/>
          <w:sz w:val="24"/>
          <w:lang w:eastAsia="lv-LV"/>
        </w:rPr>
        <w:t>.</w:t>
      </w:r>
    </w:p>
    <w:p w:rsidR="005B52C7" w:rsidRDefault="005B52C7" w:rsidP="001C227F">
      <w:pPr>
        <w:pStyle w:val="Heading1"/>
        <w:keepNext w:val="0"/>
        <w:widowControl w:val="0"/>
        <w:jc w:val="left"/>
        <w:rPr>
          <w:sz w:val="24"/>
        </w:rPr>
      </w:pPr>
    </w:p>
    <w:p w:rsidR="00917DF3" w:rsidRDefault="00917DF3" w:rsidP="001C227F">
      <w:pPr>
        <w:pStyle w:val="Heading1"/>
        <w:keepNext w:val="0"/>
        <w:widowControl w:val="0"/>
        <w:jc w:val="left"/>
        <w:rPr>
          <w:b w:val="0"/>
          <w:sz w:val="24"/>
        </w:rPr>
      </w:pPr>
    </w:p>
    <w:p w:rsidR="00917DF3" w:rsidRDefault="00917DF3" w:rsidP="001C227F">
      <w:pPr>
        <w:pStyle w:val="Heading1"/>
        <w:keepNext w:val="0"/>
        <w:widowControl w:val="0"/>
        <w:jc w:val="left"/>
        <w:rPr>
          <w:b w:val="0"/>
          <w:sz w:val="24"/>
        </w:rPr>
      </w:pPr>
    </w:p>
    <w:p w:rsidR="008F62B8" w:rsidRPr="005B52C7" w:rsidRDefault="00DB6E78" w:rsidP="001C227F">
      <w:pPr>
        <w:pStyle w:val="Heading1"/>
        <w:keepNext w:val="0"/>
        <w:widowControl w:val="0"/>
        <w:jc w:val="left"/>
        <w:rPr>
          <w:rStyle w:val="Hyperlink"/>
          <w:b w:val="0"/>
          <w:color w:val="auto"/>
          <w:sz w:val="24"/>
          <w:u w:val="none"/>
        </w:rPr>
      </w:pPr>
      <w:r w:rsidRPr="005B52C7">
        <w:rPr>
          <w:b w:val="0"/>
          <w:sz w:val="24"/>
        </w:rPr>
        <w:t xml:space="preserve">Finanšu </w:t>
      </w:r>
      <w:r w:rsidR="00C35D18" w:rsidRPr="005B52C7">
        <w:rPr>
          <w:b w:val="0"/>
          <w:sz w:val="24"/>
        </w:rPr>
        <w:t>ministrs</w:t>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t>A.Vilks</w:t>
      </w:r>
    </w:p>
    <w:p w:rsidR="005B52C7" w:rsidRDefault="005B52C7" w:rsidP="00717A3E">
      <w:pPr>
        <w:pStyle w:val="NoSpacing"/>
        <w:jc w:val="both"/>
        <w:rPr>
          <w:rStyle w:val="Hyperlink"/>
          <w:rFonts w:ascii="Times New Roman" w:hAnsi="Times New Roman"/>
          <w:color w:val="auto"/>
          <w:sz w:val="20"/>
          <w:szCs w:val="20"/>
          <w:u w:val="none"/>
        </w:rPr>
      </w:pPr>
    </w:p>
    <w:p w:rsidR="00064425" w:rsidRDefault="00064425" w:rsidP="00717A3E">
      <w:pPr>
        <w:pStyle w:val="NoSpacing"/>
        <w:jc w:val="both"/>
        <w:rPr>
          <w:rStyle w:val="Hyperlink"/>
          <w:rFonts w:ascii="Times New Roman" w:hAnsi="Times New Roman"/>
          <w:color w:val="auto"/>
          <w:sz w:val="20"/>
          <w:szCs w:val="20"/>
          <w:u w:val="none"/>
        </w:rPr>
      </w:pPr>
    </w:p>
    <w:p w:rsidR="00064425" w:rsidRDefault="00064425" w:rsidP="00717A3E">
      <w:pPr>
        <w:pStyle w:val="NoSpacing"/>
        <w:jc w:val="both"/>
        <w:rPr>
          <w:rStyle w:val="Hyperlink"/>
          <w:rFonts w:ascii="Times New Roman" w:hAnsi="Times New Roman"/>
          <w:color w:val="auto"/>
          <w:sz w:val="20"/>
          <w:szCs w:val="20"/>
          <w:u w:val="none"/>
        </w:rPr>
      </w:pPr>
    </w:p>
    <w:p w:rsidR="00064425" w:rsidRDefault="00064425" w:rsidP="00717A3E">
      <w:pPr>
        <w:pStyle w:val="NoSpacing"/>
        <w:jc w:val="both"/>
        <w:rPr>
          <w:rStyle w:val="Hyperlink"/>
          <w:rFonts w:ascii="Times New Roman" w:hAnsi="Times New Roman"/>
          <w:color w:val="auto"/>
          <w:sz w:val="20"/>
          <w:szCs w:val="20"/>
          <w:u w:val="none"/>
        </w:rPr>
      </w:pPr>
    </w:p>
    <w:p w:rsidR="00064425" w:rsidRDefault="00064425" w:rsidP="00717A3E">
      <w:pPr>
        <w:pStyle w:val="NoSpacing"/>
        <w:jc w:val="both"/>
        <w:rPr>
          <w:rStyle w:val="Hyperlink"/>
          <w:rFonts w:ascii="Times New Roman" w:hAnsi="Times New Roman"/>
          <w:color w:val="auto"/>
          <w:sz w:val="20"/>
          <w:szCs w:val="20"/>
          <w:u w:val="none"/>
        </w:rPr>
      </w:pPr>
    </w:p>
    <w:p w:rsidR="008F62B8" w:rsidRPr="005C1B73" w:rsidRDefault="007E251F" w:rsidP="00717A3E">
      <w:pPr>
        <w:pStyle w:val="NoSpacing"/>
        <w:jc w:val="both"/>
        <w:rPr>
          <w:rStyle w:val="Hyperlink"/>
          <w:rFonts w:ascii="Times New Roman" w:hAnsi="Times New Roman"/>
          <w:color w:val="auto"/>
          <w:sz w:val="18"/>
          <w:szCs w:val="18"/>
          <w:u w:val="none"/>
        </w:rPr>
      </w:pPr>
      <w:r>
        <w:rPr>
          <w:rStyle w:val="Hyperlink"/>
          <w:rFonts w:ascii="Times New Roman" w:hAnsi="Times New Roman"/>
          <w:color w:val="auto"/>
          <w:sz w:val="18"/>
          <w:szCs w:val="18"/>
          <w:u w:val="none"/>
        </w:rPr>
        <w:t>08</w:t>
      </w:r>
      <w:r w:rsidR="00925687">
        <w:rPr>
          <w:rStyle w:val="Hyperlink"/>
          <w:rFonts w:ascii="Times New Roman" w:hAnsi="Times New Roman"/>
          <w:color w:val="auto"/>
          <w:sz w:val="18"/>
          <w:szCs w:val="18"/>
          <w:u w:val="none"/>
        </w:rPr>
        <w:t>.11</w:t>
      </w:r>
      <w:r w:rsidR="003025A0" w:rsidRPr="005C1B73">
        <w:rPr>
          <w:rStyle w:val="Hyperlink"/>
          <w:rFonts w:ascii="Times New Roman" w:hAnsi="Times New Roman"/>
          <w:color w:val="auto"/>
          <w:sz w:val="18"/>
          <w:szCs w:val="18"/>
          <w:u w:val="none"/>
        </w:rPr>
        <w:t>.</w:t>
      </w:r>
      <w:r w:rsidR="005C1B73">
        <w:rPr>
          <w:rStyle w:val="Hyperlink"/>
          <w:rFonts w:ascii="Times New Roman" w:hAnsi="Times New Roman"/>
          <w:color w:val="auto"/>
          <w:sz w:val="18"/>
          <w:szCs w:val="18"/>
          <w:u w:val="none"/>
        </w:rPr>
        <w:t xml:space="preserve">2012. </w:t>
      </w:r>
      <w:r>
        <w:rPr>
          <w:rStyle w:val="Hyperlink"/>
          <w:rFonts w:ascii="Times New Roman" w:hAnsi="Times New Roman"/>
          <w:color w:val="auto"/>
          <w:sz w:val="18"/>
          <w:szCs w:val="18"/>
          <w:u w:val="none"/>
        </w:rPr>
        <w:t>11:46</w:t>
      </w:r>
    </w:p>
    <w:p w:rsidR="008F62B8" w:rsidRPr="005C1B73" w:rsidRDefault="0030717F" w:rsidP="00717A3E">
      <w:pPr>
        <w:pStyle w:val="NoSpacing"/>
        <w:jc w:val="both"/>
        <w:rPr>
          <w:rStyle w:val="Hyperlink"/>
          <w:rFonts w:ascii="Times New Roman" w:hAnsi="Times New Roman"/>
          <w:color w:val="auto"/>
          <w:sz w:val="18"/>
          <w:szCs w:val="18"/>
          <w:u w:val="none"/>
        </w:rPr>
      </w:pPr>
      <w:r>
        <w:rPr>
          <w:rStyle w:val="Hyperlink"/>
          <w:rFonts w:ascii="Times New Roman" w:hAnsi="Times New Roman"/>
          <w:color w:val="auto"/>
          <w:sz w:val="18"/>
          <w:szCs w:val="18"/>
          <w:u w:val="none"/>
        </w:rPr>
        <w:t>845</w:t>
      </w:r>
    </w:p>
    <w:p w:rsidR="005B52C7" w:rsidRPr="005C1B73" w:rsidRDefault="00925687" w:rsidP="00717A3E">
      <w:pPr>
        <w:pStyle w:val="NoSpacing"/>
        <w:jc w:val="both"/>
        <w:rPr>
          <w:rStyle w:val="Hyperlink"/>
          <w:rFonts w:ascii="Times New Roman" w:hAnsi="Times New Roman"/>
          <w:color w:val="auto"/>
          <w:sz w:val="18"/>
          <w:szCs w:val="18"/>
          <w:u w:val="none"/>
        </w:rPr>
      </w:pPr>
      <w:r>
        <w:rPr>
          <w:rStyle w:val="Hyperlink"/>
          <w:rFonts w:ascii="Times New Roman" w:hAnsi="Times New Roman"/>
          <w:color w:val="auto"/>
          <w:sz w:val="18"/>
          <w:szCs w:val="18"/>
          <w:u w:val="none"/>
        </w:rPr>
        <w:t>Z.Logina</w:t>
      </w:r>
    </w:p>
    <w:p w:rsidR="00064425" w:rsidRDefault="00925687" w:rsidP="00717A3E">
      <w:pPr>
        <w:pStyle w:val="NoSpacing"/>
        <w:jc w:val="both"/>
        <w:rPr>
          <w:rStyle w:val="Hyperlink"/>
          <w:rFonts w:ascii="Times New Roman" w:hAnsi="Times New Roman"/>
          <w:color w:val="auto"/>
          <w:sz w:val="18"/>
          <w:szCs w:val="18"/>
          <w:u w:val="none"/>
        </w:rPr>
      </w:pPr>
      <w:r>
        <w:rPr>
          <w:rStyle w:val="Hyperlink"/>
          <w:rFonts w:ascii="Times New Roman" w:hAnsi="Times New Roman"/>
          <w:color w:val="auto"/>
          <w:sz w:val="18"/>
          <w:szCs w:val="18"/>
          <w:u w:val="none"/>
        </w:rPr>
        <w:t>67083936</w:t>
      </w:r>
    </w:p>
    <w:p w:rsidR="008F62B8" w:rsidRPr="005B52C7" w:rsidRDefault="00E36376" w:rsidP="00717A3E">
      <w:pPr>
        <w:pStyle w:val="NoSpacing"/>
        <w:jc w:val="both"/>
        <w:rPr>
          <w:rStyle w:val="Hyperlink"/>
          <w:rFonts w:ascii="Times New Roman" w:hAnsi="Times New Roman"/>
          <w:color w:val="auto"/>
          <w:sz w:val="18"/>
          <w:szCs w:val="18"/>
          <w:u w:val="none"/>
        </w:rPr>
      </w:pPr>
      <w:hyperlink r:id="rId9" w:history="1">
        <w:r w:rsidR="00925687" w:rsidRPr="00533AD0">
          <w:rPr>
            <w:rStyle w:val="Hyperlink"/>
            <w:rFonts w:ascii="Times New Roman" w:hAnsi="Times New Roman"/>
            <w:sz w:val="18"/>
            <w:szCs w:val="18"/>
          </w:rPr>
          <w:t>Zane.Logina@fm.gov.lv</w:t>
        </w:r>
      </w:hyperlink>
      <w:r w:rsidR="00925687">
        <w:rPr>
          <w:rStyle w:val="Hyperlink"/>
          <w:rFonts w:ascii="Times New Roman" w:hAnsi="Times New Roman"/>
          <w:color w:val="auto"/>
          <w:sz w:val="18"/>
          <w:szCs w:val="18"/>
          <w:u w:val="none"/>
        </w:rPr>
        <w:t xml:space="preserve"> </w:t>
      </w:r>
    </w:p>
    <w:p w:rsidR="008F62B8" w:rsidRPr="005B52C7" w:rsidRDefault="008F62B8" w:rsidP="00717A3E">
      <w:pPr>
        <w:pStyle w:val="NoSpacing"/>
        <w:jc w:val="both"/>
        <w:rPr>
          <w:rStyle w:val="Hyperlink"/>
          <w:rFonts w:ascii="Times New Roman" w:hAnsi="Times New Roman"/>
          <w:sz w:val="18"/>
          <w:szCs w:val="18"/>
        </w:rPr>
      </w:pPr>
    </w:p>
    <w:p w:rsidR="008F62B8" w:rsidRDefault="008F62B8" w:rsidP="00717A3E">
      <w:pPr>
        <w:pStyle w:val="NoSpacing"/>
        <w:jc w:val="both"/>
        <w:rPr>
          <w:rStyle w:val="Hyperlink"/>
          <w:rFonts w:ascii="Times New Roman" w:hAnsi="Times New Roman"/>
          <w:sz w:val="20"/>
          <w:szCs w:val="20"/>
        </w:rPr>
      </w:pPr>
    </w:p>
    <w:p w:rsidR="008F62B8" w:rsidRDefault="008F62B8" w:rsidP="00717A3E">
      <w:pPr>
        <w:pStyle w:val="NoSpacing"/>
        <w:jc w:val="both"/>
        <w:rPr>
          <w:rStyle w:val="Hyperlink"/>
          <w:rFonts w:ascii="Times New Roman" w:hAnsi="Times New Roman"/>
          <w:sz w:val="20"/>
          <w:szCs w:val="20"/>
        </w:rPr>
      </w:pPr>
    </w:p>
    <w:sectPr w:rsidR="008F62B8" w:rsidSect="00A355C3">
      <w:headerReference w:type="even" r:id="rId10"/>
      <w:headerReference w:type="default" r:id="rId11"/>
      <w:footerReference w:type="default" r:id="rId12"/>
      <w:footerReference w:type="first" r:id="rId13"/>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F6" w:rsidRDefault="00F61CF6">
      <w:r>
        <w:separator/>
      </w:r>
    </w:p>
  </w:endnote>
  <w:endnote w:type="continuationSeparator" w:id="0">
    <w:p w:rsidR="00F61CF6" w:rsidRDefault="00F6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6" w:rsidRPr="00942244" w:rsidRDefault="00F61CF6" w:rsidP="00942244">
    <w:pPr>
      <w:tabs>
        <w:tab w:val="center" w:pos="4153"/>
        <w:tab w:val="right" w:pos="8306"/>
      </w:tabs>
      <w:snapToGrid w:val="0"/>
      <w:jc w:val="both"/>
      <w:rPr>
        <w:sz w:val="20"/>
        <w:szCs w:val="20"/>
        <w:lang w:val="lv-LV"/>
      </w:rPr>
    </w:pPr>
    <w:r w:rsidRPr="00942244">
      <w:rPr>
        <w:sz w:val="20"/>
        <w:lang w:val="lv-LV"/>
      </w:rPr>
      <w:t>FMAnot_</w:t>
    </w:r>
    <w:r w:rsidR="007E251F">
      <w:rPr>
        <w:sz w:val="20"/>
        <w:lang w:val="lv-LV"/>
      </w:rPr>
      <w:t>08</w:t>
    </w:r>
    <w:r>
      <w:rPr>
        <w:sz w:val="20"/>
        <w:lang w:val="lv-LV"/>
      </w:rPr>
      <w:t>11</w:t>
    </w:r>
    <w:r w:rsidRPr="00942244">
      <w:rPr>
        <w:sz w:val="20"/>
        <w:lang w:val="lv-LV"/>
      </w:rPr>
      <w:t xml:space="preserve">12_740_fin_korekcijas; </w:t>
    </w:r>
    <w:r w:rsidRPr="00942244">
      <w:rPr>
        <w:sz w:val="20"/>
        <w:szCs w:val="20"/>
        <w:lang w:val="lv-LV"/>
      </w:rPr>
      <w:t>Ministru kabineta noteikumu projekta „Grozījums Ministru kabineta 2010.gada 10.augusta noteikumos Nr.740 „Kārtība, kādā ziņo par Eiropas Savienības struktūrfondu un Kohēzijas fonda ieviešanā konstatētajām neatbilstībām, pieņem lēmumu par piešķirtā finansējuma izlietojumu un atgūst neatbilstošos izdevumus””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6" w:rsidRPr="00942244" w:rsidRDefault="00F61CF6" w:rsidP="001062E9">
    <w:pPr>
      <w:pStyle w:val="Footer"/>
      <w:jc w:val="both"/>
      <w:rPr>
        <w:rFonts w:ascii="Times New Roman" w:hAnsi="Times New Roman"/>
        <w:sz w:val="20"/>
        <w:lang w:val="lv-LV"/>
      </w:rPr>
    </w:pPr>
    <w:r w:rsidRPr="00942244">
      <w:rPr>
        <w:rFonts w:ascii="Times New Roman" w:hAnsi="Times New Roman"/>
        <w:sz w:val="20"/>
        <w:lang w:val="lv-LV"/>
      </w:rPr>
      <w:t>FMAnot_</w:t>
    </w:r>
    <w:r w:rsidR="007E251F">
      <w:rPr>
        <w:rFonts w:ascii="Times New Roman" w:hAnsi="Times New Roman"/>
        <w:sz w:val="20"/>
        <w:lang w:val="lv-LV"/>
      </w:rPr>
      <w:t>08</w:t>
    </w:r>
    <w:r>
      <w:rPr>
        <w:rFonts w:ascii="Times New Roman" w:hAnsi="Times New Roman"/>
        <w:sz w:val="20"/>
        <w:lang w:val="lv-LV"/>
      </w:rPr>
      <w:t>11</w:t>
    </w:r>
    <w:r w:rsidRPr="00942244">
      <w:rPr>
        <w:rFonts w:ascii="Times New Roman" w:hAnsi="Times New Roman"/>
        <w:sz w:val="20"/>
        <w:lang w:val="lv-LV"/>
      </w:rPr>
      <w:t>12_740_fin_korekcijas; Ministru kabineta noteikumu projekta „Grozījums Ministru kabineta 2010.gada 10.augusta noteikumos Nr.740 „Kārtība, kādā ziņo par Eiropas Savienības struktūrfondu un Kohēzijas fonda ieviešanā konstatētajām neatbilstībām, pieņem lēmumu par piešķirtā finansējuma izlietojumu un atgūst neatbilstošos izdevumus””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F6" w:rsidRDefault="00F61CF6">
      <w:r>
        <w:separator/>
      </w:r>
    </w:p>
  </w:footnote>
  <w:footnote w:type="continuationSeparator" w:id="0">
    <w:p w:rsidR="00F61CF6" w:rsidRDefault="00F6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6" w:rsidRDefault="00F61C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CF6" w:rsidRDefault="00F61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6" w:rsidRDefault="00F61C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376">
      <w:rPr>
        <w:rStyle w:val="PageNumber"/>
        <w:noProof/>
      </w:rPr>
      <w:t>4</w:t>
    </w:r>
    <w:r>
      <w:rPr>
        <w:rStyle w:val="PageNumber"/>
      </w:rPr>
      <w:fldChar w:fldCharType="end"/>
    </w:r>
  </w:p>
  <w:p w:rsidR="00F61CF6" w:rsidRDefault="00F61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5F5"/>
    <w:multiLevelType w:val="hybridMultilevel"/>
    <w:tmpl w:val="F2E2844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B40A31"/>
    <w:multiLevelType w:val="hybridMultilevel"/>
    <w:tmpl w:val="5CF0B9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1423A9"/>
    <w:multiLevelType w:val="hybridMultilevel"/>
    <w:tmpl w:val="9B384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7556C2"/>
    <w:multiLevelType w:val="hybridMultilevel"/>
    <w:tmpl w:val="ABE6367A"/>
    <w:lvl w:ilvl="0" w:tplc="4EB8474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5">
    <w:nsid w:val="17652E78"/>
    <w:multiLevelType w:val="hybridMultilevel"/>
    <w:tmpl w:val="8A2899E6"/>
    <w:lvl w:ilvl="0" w:tplc="FAD6A53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6">
    <w:nsid w:val="2A247289"/>
    <w:multiLevelType w:val="hybridMultilevel"/>
    <w:tmpl w:val="A4D4F6C8"/>
    <w:lvl w:ilvl="0" w:tplc="3FA4CBA8">
      <w:start w:val="1"/>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CBB0164"/>
    <w:multiLevelType w:val="hybridMultilevel"/>
    <w:tmpl w:val="CD6C3BC4"/>
    <w:lvl w:ilvl="0" w:tplc="A1A82DE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591D58"/>
    <w:multiLevelType w:val="hybridMultilevel"/>
    <w:tmpl w:val="55BA1C02"/>
    <w:lvl w:ilvl="0" w:tplc="FCC259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C96FDB"/>
    <w:multiLevelType w:val="hybridMultilevel"/>
    <w:tmpl w:val="CC4C0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6C57D1"/>
    <w:multiLevelType w:val="hybridMultilevel"/>
    <w:tmpl w:val="DA767112"/>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8D1679"/>
    <w:multiLevelType w:val="hybridMultilevel"/>
    <w:tmpl w:val="6A9C6624"/>
    <w:lvl w:ilvl="0" w:tplc="033087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B8666B"/>
    <w:multiLevelType w:val="hybridMultilevel"/>
    <w:tmpl w:val="74B25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855EE9"/>
    <w:multiLevelType w:val="hybridMultilevel"/>
    <w:tmpl w:val="CCC07CEA"/>
    <w:lvl w:ilvl="0" w:tplc="04260001">
      <w:start w:val="1"/>
      <w:numFmt w:val="bullet"/>
      <w:lvlText w:val=""/>
      <w:lvlJc w:val="left"/>
      <w:pPr>
        <w:ind w:left="659"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7B039E"/>
    <w:multiLevelType w:val="hybridMultilevel"/>
    <w:tmpl w:val="B7945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5"/>
  </w:num>
  <w:num w:numId="5">
    <w:abstractNumId w:val="13"/>
  </w:num>
  <w:num w:numId="6">
    <w:abstractNumId w:val="7"/>
  </w:num>
  <w:num w:numId="7">
    <w:abstractNumId w:val="14"/>
  </w:num>
  <w:num w:numId="8">
    <w:abstractNumId w:val="5"/>
  </w:num>
  <w:num w:numId="9">
    <w:abstractNumId w:val="4"/>
  </w:num>
  <w:num w:numId="10">
    <w:abstractNumId w:val="9"/>
  </w:num>
  <w:num w:numId="11">
    <w:abstractNumId w:val="12"/>
  </w:num>
  <w:num w:numId="12">
    <w:abstractNumId w:val="1"/>
  </w:num>
  <w:num w:numId="13">
    <w:abstractNumId w:val="10"/>
  </w:num>
  <w:num w:numId="14">
    <w:abstractNumId w:val="19"/>
  </w:num>
  <w:num w:numId="15">
    <w:abstractNumId w:val="17"/>
  </w:num>
  <w:num w:numId="16">
    <w:abstractNumId w:val="20"/>
  </w:num>
  <w:num w:numId="17">
    <w:abstractNumId w:val="3"/>
  </w:num>
  <w:num w:numId="18">
    <w:abstractNumId w:val="0"/>
  </w:num>
  <w:num w:numId="19">
    <w:abstractNumId w:val="8"/>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D83"/>
    <w:rsid w:val="000012AA"/>
    <w:rsid w:val="00001CFA"/>
    <w:rsid w:val="000030F6"/>
    <w:rsid w:val="00003470"/>
    <w:rsid w:val="000100B6"/>
    <w:rsid w:val="0001274B"/>
    <w:rsid w:val="00013F53"/>
    <w:rsid w:val="00016631"/>
    <w:rsid w:val="000168B7"/>
    <w:rsid w:val="00016CD6"/>
    <w:rsid w:val="00017CB2"/>
    <w:rsid w:val="0002330F"/>
    <w:rsid w:val="0003130D"/>
    <w:rsid w:val="000323C9"/>
    <w:rsid w:val="00034CDC"/>
    <w:rsid w:val="00034F8D"/>
    <w:rsid w:val="00035560"/>
    <w:rsid w:val="00041C24"/>
    <w:rsid w:val="000525C8"/>
    <w:rsid w:val="000528B9"/>
    <w:rsid w:val="00053AD9"/>
    <w:rsid w:val="00056991"/>
    <w:rsid w:val="000576F3"/>
    <w:rsid w:val="00057C93"/>
    <w:rsid w:val="00061117"/>
    <w:rsid w:val="0006334A"/>
    <w:rsid w:val="00064425"/>
    <w:rsid w:val="00070B32"/>
    <w:rsid w:val="00072154"/>
    <w:rsid w:val="00074D2A"/>
    <w:rsid w:val="00074E57"/>
    <w:rsid w:val="00075254"/>
    <w:rsid w:val="00075C44"/>
    <w:rsid w:val="00076367"/>
    <w:rsid w:val="00076E10"/>
    <w:rsid w:val="0007746D"/>
    <w:rsid w:val="00080701"/>
    <w:rsid w:val="00081283"/>
    <w:rsid w:val="000820A4"/>
    <w:rsid w:val="00083281"/>
    <w:rsid w:val="0008422B"/>
    <w:rsid w:val="00085B1F"/>
    <w:rsid w:val="00095D8C"/>
    <w:rsid w:val="000A07BE"/>
    <w:rsid w:val="000A081B"/>
    <w:rsid w:val="000A0CC6"/>
    <w:rsid w:val="000A2AA7"/>
    <w:rsid w:val="000A523A"/>
    <w:rsid w:val="000A67CD"/>
    <w:rsid w:val="000B32EF"/>
    <w:rsid w:val="000B3882"/>
    <w:rsid w:val="000B4AF1"/>
    <w:rsid w:val="000B7AB8"/>
    <w:rsid w:val="000C0FA7"/>
    <w:rsid w:val="000C2167"/>
    <w:rsid w:val="000C5D0D"/>
    <w:rsid w:val="000D0329"/>
    <w:rsid w:val="000D24AF"/>
    <w:rsid w:val="000D35DF"/>
    <w:rsid w:val="000D42F3"/>
    <w:rsid w:val="000E06C5"/>
    <w:rsid w:val="000E11AF"/>
    <w:rsid w:val="000E5F80"/>
    <w:rsid w:val="000E66AF"/>
    <w:rsid w:val="000F0198"/>
    <w:rsid w:val="000F01FC"/>
    <w:rsid w:val="000F2195"/>
    <w:rsid w:val="000F3CA2"/>
    <w:rsid w:val="000F5E5B"/>
    <w:rsid w:val="000F6DB0"/>
    <w:rsid w:val="00105AE2"/>
    <w:rsid w:val="001061BA"/>
    <w:rsid w:val="001062E9"/>
    <w:rsid w:val="00110DF4"/>
    <w:rsid w:val="001124CC"/>
    <w:rsid w:val="00112D44"/>
    <w:rsid w:val="00112E2A"/>
    <w:rsid w:val="00114CC1"/>
    <w:rsid w:val="00114FAC"/>
    <w:rsid w:val="00116E5A"/>
    <w:rsid w:val="001177FE"/>
    <w:rsid w:val="001178E3"/>
    <w:rsid w:val="00131D05"/>
    <w:rsid w:val="00132015"/>
    <w:rsid w:val="00133053"/>
    <w:rsid w:val="001347E9"/>
    <w:rsid w:val="00136C98"/>
    <w:rsid w:val="001466B6"/>
    <w:rsid w:val="00146A8C"/>
    <w:rsid w:val="0015096D"/>
    <w:rsid w:val="0015254E"/>
    <w:rsid w:val="001531CE"/>
    <w:rsid w:val="00154770"/>
    <w:rsid w:val="00156FE7"/>
    <w:rsid w:val="0016011A"/>
    <w:rsid w:val="001608F4"/>
    <w:rsid w:val="0016261A"/>
    <w:rsid w:val="00164C5B"/>
    <w:rsid w:val="00165171"/>
    <w:rsid w:val="00170E08"/>
    <w:rsid w:val="001739AD"/>
    <w:rsid w:val="00177B09"/>
    <w:rsid w:val="00182859"/>
    <w:rsid w:val="00182C1E"/>
    <w:rsid w:val="00182EC1"/>
    <w:rsid w:val="001854F8"/>
    <w:rsid w:val="00187642"/>
    <w:rsid w:val="0019013A"/>
    <w:rsid w:val="00191B89"/>
    <w:rsid w:val="001954F4"/>
    <w:rsid w:val="001969B1"/>
    <w:rsid w:val="001A3B92"/>
    <w:rsid w:val="001B4882"/>
    <w:rsid w:val="001B4EE0"/>
    <w:rsid w:val="001C227F"/>
    <w:rsid w:val="001C2C9F"/>
    <w:rsid w:val="001C736A"/>
    <w:rsid w:val="001C7CA2"/>
    <w:rsid w:val="001D1C0F"/>
    <w:rsid w:val="001D4762"/>
    <w:rsid w:val="001D7D2B"/>
    <w:rsid w:val="001E05D9"/>
    <w:rsid w:val="001E14E1"/>
    <w:rsid w:val="001E1D36"/>
    <w:rsid w:val="001E264B"/>
    <w:rsid w:val="001E647F"/>
    <w:rsid w:val="001F04CA"/>
    <w:rsid w:val="001F1642"/>
    <w:rsid w:val="001F2AC5"/>
    <w:rsid w:val="001F4F88"/>
    <w:rsid w:val="001F585D"/>
    <w:rsid w:val="00201A7E"/>
    <w:rsid w:val="002033E1"/>
    <w:rsid w:val="002043DB"/>
    <w:rsid w:val="00205224"/>
    <w:rsid w:val="002063C4"/>
    <w:rsid w:val="00206C91"/>
    <w:rsid w:val="002133C1"/>
    <w:rsid w:val="0021364F"/>
    <w:rsid w:val="00216F5E"/>
    <w:rsid w:val="00220908"/>
    <w:rsid w:val="002234A1"/>
    <w:rsid w:val="00226D56"/>
    <w:rsid w:val="0023032B"/>
    <w:rsid w:val="0023375E"/>
    <w:rsid w:val="00237A06"/>
    <w:rsid w:val="00245026"/>
    <w:rsid w:val="00246ADE"/>
    <w:rsid w:val="00247079"/>
    <w:rsid w:val="00247D93"/>
    <w:rsid w:val="00247F23"/>
    <w:rsid w:val="00252CBC"/>
    <w:rsid w:val="00253D3B"/>
    <w:rsid w:val="0025425E"/>
    <w:rsid w:val="002568AC"/>
    <w:rsid w:val="002603DA"/>
    <w:rsid w:val="0026657D"/>
    <w:rsid w:val="00266986"/>
    <w:rsid w:val="002709D6"/>
    <w:rsid w:val="00270E29"/>
    <w:rsid w:val="0027115D"/>
    <w:rsid w:val="002740B7"/>
    <w:rsid w:val="00274350"/>
    <w:rsid w:val="00276069"/>
    <w:rsid w:val="002822C2"/>
    <w:rsid w:val="00283FA1"/>
    <w:rsid w:val="00284461"/>
    <w:rsid w:val="00284920"/>
    <w:rsid w:val="00286958"/>
    <w:rsid w:val="0029048C"/>
    <w:rsid w:val="00291571"/>
    <w:rsid w:val="002915A2"/>
    <w:rsid w:val="00295038"/>
    <w:rsid w:val="0029700C"/>
    <w:rsid w:val="00297244"/>
    <w:rsid w:val="002A5A94"/>
    <w:rsid w:val="002B19A4"/>
    <w:rsid w:val="002B4F76"/>
    <w:rsid w:val="002C0056"/>
    <w:rsid w:val="002C3037"/>
    <w:rsid w:val="002C5489"/>
    <w:rsid w:val="002D06D5"/>
    <w:rsid w:val="002D1A3D"/>
    <w:rsid w:val="002D41E4"/>
    <w:rsid w:val="002D4842"/>
    <w:rsid w:val="002D4981"/>
    <w:rsid w:val="002D6217"/>
    <w:rsid w:val="002D6B41"/>
    <w:rsid w:val="002E3219"/>
    <w:rsid w:val="002E3FFA"/>
    <w:rsid w:val="002E79AC"/>
    <w:rsid w:val="002F0C7E"/>
    <w:rsid w:val="002F10A4"/>
    <w:rsid w:val="002F165B"/>
    <w:rsid w:val="002F5119"/>
    <w:rsid w:val="003025A0"/>
    <w:rsid w:val="00306CD0"/>
    <w:rsid w:val="0030717F"/>
    <w:rsid w:val="00311E46"/>
    <w:rsid w:val="00312457"/>
    <w:rsid w:val="003124EE"/>
    <w:rsid w:val="00313068"/>
    <w:rsid w:val="0031699C"/>
    <w:rsid w:val="0032141D"/>
    <w:rsid w:val="00322DEB"/>
    <w:rsid w:val="00332581"/>
    <w:rsid w:val="00332EC6"/>
    <w:rsid w:val="00332F3E"/>
    <w:rsid w:val="00333179"/>
    <w:rsid w:val="0033350D"/>
    <w:rsid w:val="003341C0"/>
    <w:rsid w:val="003353AA"/>
    <w:rsid w:val="00335891"/>
    <w:rsid w:val="00335D1C"/>
    <w:rsid w:val="003408C6"/>
    <w:rsid w:val="0034106C"/>
    <w:rsid w:val="003468BB"/>
    <w:rsid w:val="003477AD"/>
    <w:rsid w:val="00347989"/>
    <w:rsid w:val="00351EB3"/>
    <w:rsid w:val="003544B0"/>
    <w:rsid w:val="00354899"/>
    <w:rsid w:val="003568B4"/>
    <w:rsid w:val="00356C9E"/>
    <w:rsid w:val="00356DA0"/>
    <w:rsid w:val="00360905"/>
    <w:rsid w:val="00361FAB"/>
    <w:rsid w:val="0036569C"/>
    <w:rsid w:val="0036665D"/>
    <w:rsid w:val="00366C0D"/>
    <w:rsid w:val="00366D9F"/>
    <w:rsid w:val="00367F66"/>
    <w:rsid w:val="00370EAF"/>
    <w:rsid w:val="003744D4"/>
    <w:rsid w:val="003750BF"/>
    <w:rsid w:val="00375EF3"/>
    <w:rsid w:val="00376491"/>
    <w:rsid w:val="0038045D"/>
    <w:rsid w:val="00380C69"/>
    <w:rsid w:val="00381F72"/>
    <w:rsid w:val="0038260B"/>
    <w:rsid w:val="00384E5C"/>
    <w:rsid w:val="00386F48"/>
    <w:rsid w:val="00392E01"/>
    <w:rsid w:val="0039464A"/>
    <w:rsid w:val="0039577F"/>
    <w:rsid w:val="00396735"/>
    <w:rsid w:val="003A3B32"/>
    <w:rsid w:val="003A434B"/>
    <w:rsid w:val="003A4522"/>
    <w:rsid w:val="003A5DF4"/>
    <w:rsid w:val="003A7459"/>
    <w:rsid w:val="003B034A"/>
    <w:rsid w:val="003B06DF"/>
    <w:rsid w:val="003B30F8"/>
    <w:rsid w:val="003B3C9E"/>
    <w:rsid w:val="003B5041"/>
    <w:rsid w:val="003B56BA"/>
    <w:rsid w:val="003B6C47"/>
    <w:rsid w:val="003C0D4F"/>
    <w:rsid w:val="003C1264"/>
    <w:rsid w:val="003C2517"/>
    <w:rsid w:val="003C2B26"/>
    <w:rsid w:val="003C2C1B"/>
    <w:rsid w:val="003C30EB"/>
    <w:rsid w:val="003C4AC2"/>
    <w:rsid w:val="003C5328"/>
    <w:rsid w:val="003C62DE"/>
    <w:rsid w:val="003D0D4F"/>
    <w:rsid w:val="003D62B2"/>
    <w:rsid w:val="003D676D"/>
    <w:rsid w:val="003E1A05"/>
    <w:rsid w:val="003E394E"/>
    <w:rsid w:val="003E58DD"/>
    <w:rsid w:val="003E6A15"/>
    <w:rsid w:val="003F10B4"/>
    <w:rsid w:val="003F29A1"/>
    <w:rsid w:val="003F2F3C"/>
    <w:rsid w:val="003F7035"/>
    <w:rsid w:val="00403700"/>
    <w:rsid w:val="0040462F"/>
    <w:rsid w:val="0040578E"/>
    <w:rsid w:val="004071C3"/>
    <w:rsid w:val="004075CF"/>
    <w:rsid w:val="00411CC0"/>
    <w:rsid w:val="00412C59"/>
    <w:rsid w:val="00415584"/>
    <w:rsid w:val="00421C80"/>
    <w:rsid w:val="00421F53"/>
    <w:rsid w:val="004249A6"/>
    <w:rsid w:val="00424AE1"/>
    <w:rsid w:val="0042565B"/>
    <w:rsid w:val="00431C60"/>
    <w:rsid w:val="0043470A"/>
    <w:rsid w:val="00436282"/>
    <w:rsid w:val="00443182"/>
    <w:rsid w:val="0044545F"/>
    <w:rsid w:val="004477F4"/>
    <w:rsid w:val="00456449"/>
    <w:rsid w:val="00460A93"/>
    <w:rsid w:val="00462522"/>
    <w:rsid w:val="0046366B"/>
    <w:rsid w:val="004645B8"/>
    <w:rsid w:val="00465D80"/>
    <w:rsid w:val="00467FF3"/>
    <w:rsid w:val="004709FA"/>
    <w:rsid w:val="004727CF"/>
    <w:rsid w:val="004742DC"/>
    <w:rsid w:val="00474A28"/>
    <w:rsid w:val="004751D4"/>
    <w:rsid w:val="004770CE"/>
    <w:rsid w:val="0048030D"/>
    <w:rsid w:val="00480313"/>
    <w:rsid w:val="00484DDF"/>
    <w:rsid w:val="004858EE"/>
    <w:rsid w:val="00485EF3"/>
    <w:rsid w:val="0048641E"/>
    <w:rsid w:val="004878C7"/>
    <w:rsid w:val="00490C3F"/>
    <w:rsid w:val="00493272"/>
    <w:rsid w:val="00493C91"/>
    <w:rsid w:val="00496DA0"/>
    <w:rsid w:val="004A6071"/>
    <w:rsid w:val="004A62E4"/>
    <w:rsid w:val="004B0C51"/>
    <w:rsid w:val="004B0E22"/>
    <w:rsid w:val="004B1C72"/>
    <w:rsid w:val="004B2F05"/>
    <w:rsid w:val="004B3171"/>
    <w:rsid w:val="004B7BCC"/>
    <w:rsid w:val="004C16C6"/>
    <w:rsid w:val="004C1820"/>
    <w:rsid w:val="004C5576"/>
    <w:rsid w:val="004C5C71"/>
    <w:rsid w:val="004D0202"/>
    <w:rsid w:val="004D38E8"/>
    <w:rsid w:val="004D4045"/>
    <w:rsid w:val="004D4078"/>
    <w:rsid w:val="004D414B"/>
    <w:rsid w:val="004D5547"/>
    <w:rsid w:val="004D6527"/>
    <w:rsid w:val="004D6A9E"/>
    <w:rsid w:val="004E2BB4"/>
    <w:rsid w:val="004E415F"/>
    <w:rsid w:val="004E78C9"/>
    <w:rsid w:val="004F2272"/>
    <w:rsid w:val="004F407F"/>
    <w:rsid w:val="004F6451"/>
    <w:rsid w:val="0050101C"/>
    <w:rsid w:val="00501B5F"/>
    <w:rsid w:val="00505064"/>
    <w:rsid w:val="00507E40"/>
    <w:rsid w:val="00512A7E"/>
    <w:rsid w:val="00515039"/>
    <w:rsid w:val="00515C96"/>
    <w:rsid w:val="00517985"/>
    <w:rsid w:val="00520A28"/>
    <w:rsid w:val="0052595B"/>
    <w:rsid w:val="005310AD"/>
    <w:rsid w:val="0053651B"/>
    <w:rsid w:val="00536EAE"/>
    <w:rsid w:val="00541ED4"/>
    <w:rsid w:val="00550CD0"/>
    <w:rsid w:val="00551DD5"/>
    <w:rsid w:val="005601FE"/>
    <w:rsid w:val="0056020E"/>
    <w:rsid w:val="00561D1A"/>
    <w:rsid w:val="00562DCF"/>
    <w:rsid w:val="0056305B"/>
    <w:rsid w:val="005651EF"/>
    <w:rsid w:val="00565E5F"/>
    <w:rsid w:val="00570CF3"/>
    <w:rsid w:val="00572BC9"/>
    <w:rsid w:val="0057369F"/>
    <w:rsid w:val="00574657"/>
    <w:rsid w:val="00581754"/>
    <w:rsid w:val="00581B6D"/>
    <w:rsid w:val="005858F2"/>
    <w:rsid w:val="005944E1"/>
    <w:rsid w:val="00594E1C"/>
    <w:rsid w:val="00597398"/>
    <w:rsid w:val="00597824"/>
    <w:rsid w:val="005A2500"/>
    <w:rsid w:val="005A5A04"/>
    <w:rsid w:val="005A6AF8"/>
    <w:rsid w:val="005A71C2"/>
    <w:rsid w:val="005B09F1"/>
    <w:rsid w:val="005B0FC0"/>
    <w:rsid w:val="005B4287"/>
    <w:rsid w:val="005B52C7"/>
    <w:rsid w:val="005B6386"/>
    <w:rsid w:val="005C051D"/>
    <w:rsid w:val="005C1B73"/>
    <w:rsid w:val="005C25C8"/>
    <w:rsid w:val="005C3A6B"/>
    <w:rsid w:val="005C5E6D"/>
    <w:rsid w:val="005D09E6"/>
    <w:rsid w:val="005D2108"/>
    <w:rsid w:val="005D2DB1"/>
    <w:rsid w:val="005D7964"/>
    <w:rsid w:val="005E2CD9"/>
    <w:rsid w:val="005E4394"/>
    <w:rsid w:val="005F0FAB"/>
    <w:rsid w:val="005F3909"/>
    <w:rsid w:val="005F4437"/>
    <w:rsid w:val="005F5191"/>
    <w:rsid w:val="005F5558"/>
    <w:rsid w:val="00602B99"/>
    <w:rsid w:val="00603D72"/>
    <w:rsid w:val="00605D01"/>
    <w:rsid w:val="006060A1"/>
    <w:rsid w:val="00613168"/>
    <w:rsid w:val="00616511"/>
    <w:rsid w:val="006240BB"/>
    <w:rsid w:val="00624B68"/>
    <w:rsid w:val="00626774"/>
    <w:rsid w:val="00631362"/>
    <w:rsid w:val="0063141C"/>
    <w:rsid w:val="006338D0"/>
    <w:rsid w:val="0063413B"/>
    <w:rsid w:val="006409CE"/>
    <w:rsid w:val="00642242"/>
    <w:rsid w:val="006438C1"/>
    <w:rsid w:val="00644AEA"/>
    <w:rsid w:val="00645761"/>
    <w:rsid w:val="00651252"/>
    <w:rsid w:val="006529D8"/>
    <w:rsid w:val="006533F1"/>
    <w:rsid w:val="00653F0C"/>
    <w:rsid w:val="00655ACE"/>
    <w:rsid w:val="00656C8D"/>
    <w:rsid w:val="00657074"/>
    <w:rsid w:val="0065796E"/>
    <w:rsid w:val="0066334C"/>
    <w:rsid w:val="006677C3"/>
    <w:rsid w:val="00672F02"/>
    <w:rsid w:val="00674D5D"/>
    <w:rsid w:val="00675331"/>
    <w:rsid w:val="0067572E"/>
    <w:rsid w:val="0067667F"/>
    <w:rsid w:val="00676F2C"/>
    <w:rsid w:val="00680B20"/>
    <w:rsid w:val="00680E5A"/>
    <w:rsid w:val="00681AA8"/>
    <w:rsid w:val="00683A17"/>
    <w:rsid w:val="00686167"/>
    <w:rsid w:val="00686B22"/>
    <w:rsid w:val="0069043D"/>
    <w:rsid w:val="00693D7F"/>
    <w:rsid w:val="006A4578"/>
    <w:rsid w:val="006A699B"/>
    <w:rsid w:val="006A729F"/>
    <w:rsid w:val="006B0AC4"/>
    <w:rsid w:val="006B1642"/>
    <w:rsid w:val="006B3666"/>
    <w:rsid w:val="006B37E0"/>
    <w:rsid w:val="006C172A"/>
    <w:rsid w:val="006C21FF"/>
    <w:rsid w:val="006C586E"/>
    <w:rsid w:val="006D37F6"/>
    <w:rsid w:val="006D42DC"/>
    <w:rsid w:val="006D4AD9"/>
    <w:rsid w:val="006D5199"/>
    <w:rsid w:val="006D76F5"/>
    <w:rsid w:val="006E0CA7"/>
    <w:rsid w:val="006E34E6"/>
    <w:rsid w:val="006E3915"/>
    <w:rsid w:val="006E4A20"/>
    <w:rsid w:val="006F04E7"/>
    <w:rsid w:val="006F06E9"/>
    <w:rsid w:val="006F3A1D"/>
    <w:rsid w:val="006F4812"/>
    <w:rsid w:val="006F56D1"/>
    <w:rsid w:val="006F630C"/>
    <w:rsid w:val="006F6884"/>
    <w:rsid w:val="006F6AEE"/>
    <w:rsid w:val="007005CB"/>
    <w:rsid w:val="00700DA4"/>
    <w:rsid w:val="0070312F"/>
    <w:rsid w:val="0070428F"/>
    <w:rsid w:val="00707BD9"/>
    <w:rsid w:val="0071112B"/>
    <w:rsid w:val="00711B91"/>
    <w:rsid w:val="00712168"/>
    <w:rsid w:val="0071304E"/>
    <w:rsid w:val="00717A3E"/>
    <w:rsid w:val="007231F3"/>
    <w:rsid w:val="00723EB9"/>
    <w:rsid w:val="007264EF"/>
    <w:rsid w:val="00726C07"/>
    <w:rsid w:val="00731A73"/>
    <w:rsid w:val="00736CEE"/>
    <w:rsid w:val="007410CE"/>
    <w:rsid w:val="0074168B"/>
    <w:rsid w:val="00741F25"/>
    <w:rsid w:val="00744CBE"/>
    <w:rsid w:val="00753535"/>
    <w:rsid w:val="007607B5"/>
    <w:rsid w:val="007638EB"/>
    <w:rsid w:val="00767407"/>
    <w:rsid w:val="0076750E"/>
    <w:rsid w:val="00771341"/>
    <w:rsid w:val="00772964"/>
    <w:rsid w:val="00773767"/>
    <w:rsid w:val="00774566"/>
    <w:rsid w:val="00774B90"/>
    <w:rsid w:val="0077560C"/>
    <w:rsid w:val="00775801"/>
    <w:rsid w:val="00775B0E"/>
    <w:rsid w:val="00775F62"/>
    <w:rsid w:val="00776B4F"/>
    <w:rsid w:val="00780F76"/>
    <w:rsid w:val="0078183B"/>
    <w:rsid w:val="00790499"/>
    <w:rsid w:val="0079158C"/>
    <w:rsid w:val="00793031"/>
    <w:rsid w:val="00793F4D"/>
    <w:rsid w:val="007946F6"/>
    <w:rsid w:val="00796E36"/>
    <w:rsid w:val="00797E82"/>
    <w:rsid w:val="007A1125"/>
    <w:rsid w:val="007A2810"/>
    <w:rsid w:val="007A3B9F"/>
    <w:rsid w:val="007A6FA0"/>
    <w:rsid w:val="007B5654"/>
    <w:rsid w:val="007C2813"/>
    <w:rsid w:val="007C3E31"/>
    <w:rsid w:val="007C589D"/>
    <w:rsid w:val="007C73AA"/>
    <w:rsid w:val="007C7597"/>
    <w:rsid w:val="007D0057"/>
    <w:rsid w:val="007D4BDE"/>
    <w:rsid w:val="007D6C73"/>
    <w:rsid w:val="007E0739"/>
    <w:rsid w:val="007E251F"/>
    <w:rsid w:val="007E5323"/>
    <w:rsid w:val="007E6FC7"/>
    <w:rsid w:val="007F5789"/>
    <w:rsid w:val="007F78F9"/>
    <w:rsid w:val="008028F6"/>
    <w:rsid w:val="00802DAF"/>
    <w:rsid w:val="00807A10"/>
    <w:rsid w:val="00812B7C"/>
    <w:rsid w:val="00813764"/>
    <w:rsid w:val="00814774"/>
    <w:rsid w:val="00814E7E"/>
    <w:rsid w:val="008208D0"/>
    <w:rsid w:val="00822F01"/>
    <w:rsid w:val="008260CC"/>
    <w:rsid w:val="00827F86"/>
    <w:rsid w:val="00830485"/>
    <w:rsid w:val="00832BC7"/>
    <w:rsid w:val="00833431"/>
    <w:rsid w:val="00841419"/>
    <w:rsid w:val="008516F2"/>
    <w:rsid w:val="00852A9A"/>
    <w:rsid w:val="008530BF"/>
    <w:rsid w:val="00853218"/>
    <w:rsid w:val="008534A4"/>
    <w:rsid w:val="00854598"/>
    <w:rsid w:val="00854F6B"/>
    <w:rsid w:val="008554DC"/>
    <w:rsid w:val="008677D5"/>
    <w:rsid w:val="00872599"/>
    <w:rsid w:val="008728C0"/>
    <w:rsid w:val="00873C58"/>
    <w:rsid w:val="008762A7"/>
    <w:rsid w:val="00881F41"/>
    <w:rsid w:val="008828B3"/>
    <w:rsid w:val="0088733F"/>
    <w:rsid w:val="0089055D"/>
    <w:rsid w:val="00893D9E"/>
    <w:rsid w:val="008A24D5"/>
    <w:rsid w:val="008A3765"/>
    <w:rsid w:val="008A3EC1"/>
    <w:rsid w:val="008A54A5"/>
    <w:rsid w:val="008A739F"/>
    <w:rsid w:val="008B21DD"/>
    <w:rsid w:val="008B4FA6"/>
    <w:rsid w:val="008B7443"/>
    <w:rsid w:val="008C2623"/>
    <w:rsid w:val="008C5D1E"/>
    <w:rsid w:val="008D05D4"/>
    <w:rsid w:val="008D5DC0"/>
    <w:rsid w:val="008D7C17"/>
    <w:rsid w:val="008E0C51"/>
    <w:rsid w:val="008E1179"/>
    <w:rsid w:val="008E28DC"/>
    <w:rsid w:val="008E3781"/>
    <w:rsid w:val="008E3ECC"/>
    <w:rsid w:val="008F20AC"/>
    <w:rsid w:val="008F239E"/>
    <w:rsid w:val="008F3942"/>
    <w:rsid w:val="008F4AFD"/>
    <w:rsid w:val="008F54FF"/>
    <w:rsid w:val="008F62B8"/>
    <w:rsid w:val="008F75E1"/>
    <w:rsid w:val="008F7F16"/>
    <w:rsid w:val="009003B8"/>
    <w:rsid w:val="00901A4A"/>
    <w:rsid w:val="009025B0"/>
    <w:rsid w:val="0090260F"/>
    <w:rsid w:val="00912E68"/>
    <w:rsid w:val="00913FC9"/>
    <w:rsid w:val="0091545F"/>
    <w:rsid w:val="00915777"/>
    <w:rsid w:val="00917DF3"/>
    <w:rsid w:val="009227DF"/>
    <w:rsid w:val="00922924"/>
    <w:rsid w:val="00925687"/>
    <w:rsid w:val="00930777"/>
    <w:rsid w:val="00935A98"/>
    <w:rsid w:val="009373D2"/>
    <w:rsid w:val="00942244"/>
    <w:rsid w:val="0094332D"/>
    <w:rsid w:val="00943898"/>
    <w:rsid w:val="00943929"/>
    <w:rsid w:val="00943FA5"/>
    <w:rsid w:val="00945687"/>
    <w:rsid w:val="00950E20"/>
    <w:rsid w:val="00951A15"/>
    <w:rsid w:val="00952E78"/>
    <w:rsid w:val="00953D50"/>
    <w:rsid w:val="009620F4"/>
    <w:rsid w:val="00962D51"/>
    <w:rsid w:val="00964AF6"/>
    <w:rsid w:val="0096505D"/>
    <w:rsid w:val="00971F23"/>
    <w:rsid w:val="00972B2C"/>
    <w:rsid w:val="009739B8"/>
    <w:rsid w:val="009753B2"/>
    <w:rsid w:val="00975D4C"/>
    <w:rsid w:val="0097723D"/>
    <w:rsid w:val="00980955"/>
    <w:rsid w:val="009816AF"/>
    <w:rsid w:val="009823E2"/>
    <w:rsid w:val="00985C71"/>
    <w:rsid w:val="00991DA9"/>
    <w:rsid w:val="0099282A"/>
    <w:rsid w:val="0099390A"/>
    <w:rsid w:val="00993FBB"/>
    <w:rsid w:val="009A00A2"/>
    <w:rsid w:val="009A20DF"/>
    <w:rsid w:val="009A64C5"/>
    <w:rsid w:val="009B1C54"/>
    <w:rsid w:val="009B1FC1"/>
    <w:rsid w:val="009B3809"/>
    <w:rsid w:val="009B4F7D"/>
    <w:rsid w:val="009B6AC3"/>
    <w:rsid w:val="009C02FE"/>
    <w:rsid w:val="009C2A21"/>
    <w:rsid w:val="009D2B15"/>
    <w:rsid w:val="009D2D88"/>
    <w:rsid w:val="009D3A54"/>
    <w:rsid w:val="009D7629"/>
    <w:rsid w:val="009D7718"/>
    <w:rsid w:val="009D78DC"/>
    <w:rsid w:val="009E3E38"/>
    <w:rsid w:val="009E55A3"/>
    <w:rsid w:val="009F0667"/>
    <w:rsid w:val="009F3D1F"/>
    <w:rsid w:val="009F4C7E"/>
    <w:rsid w:val="00A01405"/>
    <w:rsid w:val="00A02244"/>
    <w:rsid w:val="00A07DDC"/>
    <w:rsid w:val="00A07E47"/>
    <w:rsid w:val="00A113CA"/>
    <w:rsid w:val="00A11815"/>
    <w:rsid w:val="00A11CE8"/>
    <w:rsid w:val="00A154E9"/>
    <w:rsid w:val="00A2015F"/>
    <w:rsid w:val="00A21347"/>
    <w:rsid w:val="00A220DD"/>
    <w:rsid w:val="00A22819"/>
    <w:rsid w:val="00A22A9A"/>
    <w:rsid w:val="00A24444"/>
    <w:rsid w:val="00A257A9"/>
    <w:rsid w:val="00A26D42"/>
    <w:rsid w:val="00A33968"/>
    <w:rsid w:val="00A355C3"/>
    <w:rsid w:val="00A40717"/>
    <w:rsid w:val="00A4197D"/>
    <w:rsid w:val="00A424C0"/>
    <w:rsid w:val="00A42670"/>
    <w:rsid w:val="00A50C5E"/>
    <w:rsid w:val="00A60261"/>
    <w:rsid w:val="00A61186"/>
    <w:rsid w:val="00A61BAD"/>
    <w:rsid w:val="00A6353D"/>
    <w:rsid w:val="00A64639"/>
    <w:rsid w:val="00A66C23"/>
    <w:rsid w:val="00A7068A"/>
    <w:rsid w:val="00A74DE3"/>
    <w:rsid w:val="00A81F05"/>
    <w:rsid w:val="00A822EB"/>
    <w:rsid w:val="00A83040"/>
    <w:rsid w:val="00A8466D"/>
    <w:rsid w:val="00A84A94"/>
    <w:rsid w:val="00A8674A"/>
    <w:rsid w:val="00A867C0"/>
    <w:rsid w:val="00A902E6"/>
    <w:rsid w:val="00A90F64"/>
    <w:rsid w:val="00A92A68"/>
    <w:rsid w:val="00A95E55"/>
    <w:rsid w:val="00A97C2F"/>
    <w:rsid w:val="00AA4615"/>
    <w:rsid w:val="00AB20FD"/>
    <w:rsid w:val="00AB2571"/>
    <w:rsid w:val="00AB4C02"/>
    <w:rsid w:val="00AB7C10"/>
    <w:rsid w:val="00AC1306"/>
    <w:rsid w:val="00AC169F"/>
    <w:rsid w:val="00AD0A4F"/>
    <w:rsid w:val="00AD3AF0"/>
    <w:rsid w:val="00AE02A3"/>
    <w:rsid w:val="00AE3718"/>
    <w:rsid w:val="00AE3ECB"/>
    <w:rsid w:val="00AE6F5E"/>
    <w:rsid w:val="00AF1FCA"/>
    <w:rsid w:val="00AF3D00"/>
    <w:rsid w:val="00AF66A5"/>
    <w:rsid w:val="00B00ADB"/>
    <w:rsid w:val="00B01566"/>
    <w:rsid w:val="00B02802"/>
    <w:rsid w:val="00B03835"/>
    <w:rsid w:val="00B0420A"/>
    <w:rsid w:val="00B0490E"/>
    <w:rsid w:val="00B079FD"/>
    <w:rsid w:val="00B1178D"/>
    <w:rsid w:val="00B152F1"/>
    <w:rsid w:val="00B158D4"/>
    <w:rsid w:val="00B17BB1"/>
    <w:rsid w:val="00B17EB2"/>
    <w:rsid w:val="00B204FC"/>
    <w:rsid w:val="00B2309B"/>
    <w:rsid w:val="00B23705"/>
    <w:rsid w:val="00B248E4"/>
    <w:rsid w:val="00B3454E"/>
    <w:rsid w:val="00B347BC"/>
    <w:rsid w:val="00B35F91"/>
    <w:rsid w:val="00B36CEB"/>
    <w:rsid w:val="00B40343"/>
    <w:rsid w:val="00B40B98"/>
    <w:rsid w:val="00B41F6A"/>
    <w:rsid w:val="00B461DB"/>
    <w:rsid w:val="00B5244D"/>
    <w:rsid w:val="00B53531"/>
    <w:rsid w:val="00B55F5B"/>
    <w:rsid w:val="00B60E79"/>
    <w:rsid w:val="00B61B33"/>
    <w:rsid w:val="00B63B5F"/>
    <w:rsid w:val="00B640A9"/>
    <w:rsid w:val="00B703B1"/>
    <w:rsid w:val="00B7041C"/>
    <w:rsid w:val="00B704AB"/>
    <w:rsid w:val="00B71D5E"/>
    <w:rsid w:val="00B71D8C"/>
    <w:rsid w:val="00B72884"/>
    <w:rsid w:val="00B740F4"/>
    <w:rsid w:val="00B75F5C"/>
    <w:rsid w:val="00B76ACB"/>
    <w:rsid w:val="00B8026E"/>
    <w:rsid w:val="00B82F71"/>
    <w:rsid w:val="00B83A50"/>
    <w:rsid w:val="00B841CC"/>
    <w:rsid w:val="00B84E28"/>
    <w:rsid w:val="00B85613"/>
    <w:rsid w:val="00B85F3C"/>
    <w:rsid w:val="00B860CD"/>
    <w:rsid w:val="00B868B5"/>
    <w:rsid w:val="00B87446"/>
    <w:rsid w:val="00B87ED0"/>
    <w:rsid w:val="00B936CB"/>
    <w:rsid w:val="00B94F22"/>
    <w:rsid w:val="00B972E5"/>
    <w:rsid w:val="00BA2FEA"/>
    <w:rsid w:val="00BA3C5D"/>
    <w:rsid w:val="00BA4FC6"/>
    <w:rsid w:val="00BA6631"/>
    <w:rsid w:val="00BA6D9C"/>
    <w:rsid w:val="00BA7D2A"/>
    <w:rsid w:val="00BB3559"/>
    <w:rsid w:val="00BB3B11"/>
    <w:rsid w:val="00BB7FEF"/>
    <w:rsid w:val="00BC0D6B"/>
    <w:rsid w:val="00BC15F0"/>
    <w:rsid w:val="00BC1C24"/>
    <w:rsid w:val="00BC4850"/>
    <w:rsid w:val="00BC4854"/>
    <w:rsid w:val="00BC6FF9"/>
    <w:rsid w:val="00BD022C"/>
    <w:rsid w:val="00BD19BA"/>
    <w:rsid w:val="00BD46EC"/>
    <w:rsid w:val="00BD5BD1"/>
    <w:rsid w:val="00BD6039"/>
    <w:rsid w:val="00BE2EDE"/>
    <w:rsid w:val="00BE50C4"/>
    <w:rsid w:val="00BE7D95"/>
    <w:rsid w:val="00BF0D69"/>
    <w:rsid w:val="00BF49C9"/>
    <w:rsid w:val="00C0292C"/>
    <w:rsid w:val="00C05D62"/>
    <w:rsid w:val="00C10AF4"/>
    <w:rsid w:val="00C11E8B"/>
    <w:rsid w:val="00C135BF"/>
    <w:rsid w:val="00C20792"/>
    <w:rsid w:val="00C2098C"/>
    <w:rsid w:val="00C20ABC"/>
    <w:rsid w:val="00C21F29"/>
    <w:rsid w:val="00C2418B"/>
    <w:rsid w:val="00C25B5A"/>
    <w:rsid w:val="00C32D09"/>
    <w:rsid w:val="00C35D18"/>
    <w:rsid w:val="00C41661"/>
    <w:rsid w:val="00C44D1B"/>
    <w:rsid w:val="00C46656"/>
    <w:rsid w:val="00C47F77"/>
    <w:rsid w:val="00C50C7E"/>
    <w:rsid w:val="00C526B9"/>
    <w:rsid w:val="00C52FD3"/>
    <w:rsid w:val="00C54646"/>
    <w:rsid w:val="00C5643D"/>
    <w:rsid w:val="00C570AF"/>
    <w:rsid w:val="00C65899"/>
    <w:rsid w:val="00C715FC"/>
    <w:rsid w:val="00C7455C"/>
    <w:rsid w:val="00C74B5D"/>
    <w:rsid w:val="00C75263"/>
    <w:rsid w:val="00C82747"/>
    <w:rsid w:val="00C83495"/>
    <w:rsid w:val="00C848AA"/>
    <w:rsid w:val="00C84DB4"/>
    <w:rsid w:val="00C858E3"/>
    <w:rsid w:val="00C9293F"/>
    <w:rsid w:val="00C9394F"/>
    <w:rsid w:val="00C96DBA"/>
    <w:rsid w:val="00C9751C"/>
    <w:rsid w:val="00CA14F8"/>
    <w:rsid w:val="00CA4A28"/>
    <w:rsid w:val="00CA4DED"/>
    <w:rsid w:val="00CA5BE1"/>
    <w:rsid w:val="00CB057D"/>
    <w:rsid w:val="00CB1453"/>
    <w:rsid w:val="00CB3495"/>
    <w:rsid w:val="00CB4237"/>
    <w:rsid w:val="00CB4626"/>
    <w:rsid w:val="00CB4BD1"/>
    <w:rsid w:val="00CB6F1D"/>
    <w:rsid w:val="00CB77AE"/>
    <w:rsid w:val="00CB7FAC"/>
    <w:rsid w:val="00CC082B"/>
    <w:rsid w:val="00CC26BC"/>
    <w:rsid w:val="00CC3756"/>
    <w:rsid w:val="00CC5225"/>
    <w:rsid w:val="00CC55EC"/>
    <w:rsid w:val="00CC5F06"/>
    <w:rsid w:val="00CC6D1C"/>
    <w:rsid w:val="00CC7EBF"/>
    <w:rsid w:val="00CD4E19"/>
    <w:rsid w:val="00CD5AA6"/>
    <w:rsid w:val="00CE3F49"/>
    <w:rsid w:val="00CE401B"/>
    <w:rsid w:val="00CE4124"/>
    <w:rsid w:val="00CE6072"/>
    <w:rsid w:val="00CE73F0"/>
    <w:rsid w:val="00CF099B"/>
    <w:rsid w:val="00CF2337"/>
    <w:rsid w:val="00CF32C2"/>
    <w:rsid w:val="00CF4589"/>
    <w:rsid w:val="00CF5ADF"/>
    <w:rsid w:val="00D005C1"/>
    <w:rsid w:val="00D01D6F"/>
    <w:rsid w:val="00D03D95"/>
    <w:rsid w:val="00D042D0"/>
    <w:rsid w:val="00D04E36"/>
    <w:rsid w:val="00D05725"/>
    <w:rsid w:val="00D0715D"/>
    <w:rsid w:val="00D13732"/>
    <w:rsid w:val="00D14C7A"/>
    <w:rsid w:val="00D16474"/>
    <w:rsid w:val="00D2222F"/>
    <w:rsid w:val="00D24FAF"/>
    <w:rsid w:val="00D25A3E"/>
    <w:rsid w:val="00D32670"/>
    <w:rsid w:val="00D3507C"/>
    <w:rsid w:val="00D35215"/>
    <w:rsid w:val="00D36044"/>
    <w:rsid w:val="00D3735F"/>
    <w:rsid w:val="00D378DB"/>
    <w:rsid w:val="00D459F6"/>
    <w:rsid w:val="00D509B4"/>
    <w:rsid w:val="00D528AA"/>
    <w:rsid w:val="00D54624"/>
    <w:rsid w:val="00D57613"/>
    <w:rsid w:val="00D60B64"/>
    <w:rsid w:val="00D612E3"/>
    <w:rsid w:val="00D63AFA"/>
    <w:rsid w:val="00D6499C"/>
    <w:rsid w:val="00D67A7D"/>
    <w:rsid w:val="00D730D2"/>
    <w:rsid w:val="00D7409B"/>
    <w:rsid w:val="00D744A9"/>
    <w:rsid w:val="00D74A5B"/>
    <w:rsid w:val="00D75F9C"/>
    <w:rsid w:val="00D760D3"/>
    <w:rsid w:val="00D853F0"/>
    <w:rsid w:val="00D867A7"/>
    <w:rsid w:val="00D86FF5"/>
    <w:rsid w:val="00D87C45"/>
    <w:rsid w:val="00D94416"/>
    <w:rsid w:val="00D9475E"/>
    <w:rsid w:val="00D953C4"/>
    <w:rsid w:val="00D96580"/>
    <w:rsid w:val="00DB3347"/>
    <w:rsid w:val="00DB57D4"/>
    <w:rsid w:val="00DB6E78"/>
    <w:rsid w:val="00DC1E01"/>
    <w:rsid w:val="00DC7D92"/>
    <w:rsid w:val="00DD4A2B"/>
    <w:rsid w:val="00DE4880"/>
    <w:rsid w:val="00DE5DB1"/>
    <w:rsid w:val="00DE6046"/>
    <w:rsid w:val="00DE729C"/>
    <w:rsid w:val="00DE74D3"/>
    <w:rsid w:val="00DF011F"/>
    <w:rsid w:val="00DF062B"/>
    <w:rsid w:val="00DF162F"/>
    <w:rsid w:val="00DF30B9"/>
    <w:rsid w:val="00DF330D"/>
    <w:rsid w:val="00DF425F"/>
    <w:rsid w:val="00DF7713"/>
    <w:rsid w:val="00E01428"/>
    <w:rsid w:val="00E053A6"/>
    <w:rsid w:val="00E06E4F"/>
    <w:rsid w:val="00E06F9B"/>
    <w:rsid w:val="00E14DA5"/>
    <w:rsid w:val="00E151AF"/>
    <w:rsid w:val="00E15824"/>
    <w:rsid w:val="00E1646C"/>
    <w:rsid w:val="00E20741"/>
    <w:rsid w:val="00E2125C"/>
    <w:rsid w:val="00E21597"/>
    <w:rsid w:val="00E24975"/>
    <w:rsid w:val="00E26C38"/>
    <w:rsid w:val="00E27F21"/>
    <w:rsid w:val="00E337F7"/>
    <w:rsid w:val="00E34D2F"/>
    <w:rsid w:val="00E34F56"/>
    <w:rsid w:val="00E36376"/>
    <w:rsid w:val="00E36952"/>
    <w:rsid w:val="00E36F11"/>
    <w:rsid w:val="00E37D82"/>
    <w:rsid w:val="00E4119E"/>
    <w:rsid w:val="00E42A35"/>
    <w:rsid w:val="00E46A87"/>
    <w:rsid w:val="00E51105"/>
    <w:rsid w:val="00E52B6E"/>
    <w:rsid w:val="00E5665E"/>
    <w:rsid w:val="00E56906"/>
    <w:rsid w:val="00E5730D"/>
    <w:rsid w:val="00E63114"/>
    <w:rsid w:val="00E64DFE"/>
    <w:rsid w:val="00E66FEC"/>
    <w:rsid w:val="00E71BB2"/>
    <w:rsid w:val="00E751F7"/>
    <w:rsid w:val="00E82751"/>
    <w:rsid w:val="00E85136"/>
    <w:rsid w:val="00E9223F"/>
    <w:rsid w:val="00E92FDA"/>
    <w:rsid w:val="00E93DFC"/>
    <w:rsid w:val="00E93ED9"/>
    <w:rsid w:val="00E95F72"/>
    <w:rsid w:val="00EA4AD5"/>
    <w:rsid w:val="00EA73D5"/>
    <w:rsid w:val="00EB10E2"/>
    <w:rsid w:val="00EB201F"/>
    <w:rsid w:val="00EB58B1"/>
    <w:rsid w:val="00EC60D4"/>
    <w:rsid w:val="00EC7C43"/>
    <w:rsid w:val="00ED5E46"/>
    <w:rsid w:val="00EE0199"/>
    <w:rsid w:val="00EE0E6E"/>
    <w:rsid w:val="00EE1A80"/>
    <w:rsid w:val="00EE2E49"/>
    <w:rsid w:val="00EE418E"/>
    <w:rsid w:val="00EE6AA3"/>
    <w:rsid w:val="00EF00FE"/>
    <w:rsid w:val="00EF0879"/>
    <w:rsid w:val="00EF1763"/>
    <w:rsid w:val="00EF17DD"/>
    <w:rsid w:val="00EF22FA"/>
    <w:rsid w:val="00EF5CC7"/>
    <w:rsid w:val="00F00DF1"/>
    <w:rsid w:val="00F052DE"/>
    <w:rsid w:val="00F07413"/>
    <w:rsid w:val="00F10338"/>
    <w:rsid w:val="00F13546"/>
    <w:rsid w:val="00F14E76"/>
    <w:rsid w:val="00F1739C"/>
    <w:rsid w:val="00F17888"/>
    <w:rsid w:val="00F17D20"/>
    <w:rsid w:val="00F238D5"/>
    <w:rsid w:val="00F24E6C"/>
    <w:rsid w:val="00F25EDD"/>
    <w:rsid w:val="00F2763C"/>
    <w:rsid w:val="00F317CE"/>
    <w:rsid w:val="00F32B1E"/>
    <w:rsid w:val="00F378D4"/>
    <w:rsid w:val="00F43D33"/>
    <w:rsid w:val="00F476A6"/>
    <w:rsid w:val="00F47E20"/>
    <w:rsid w:val="00F5103B"/>
    <w:rsid w:val="00F53357"/>
    <w:rsid w:val="00F53ADF"/>
    <w:rsid w:val="00F54162"/>
    <w:rsid w:val="00F54CAD"/>
    <w:rsid w:val="00F558C5"/>
    <w:rsid w:val="00F57B84"/>
    <w:rsid w:val="00F61CF6"/>
    <w:rsid w:val="00F635E1"/>
    <w:rsid w:val="00F64F2F"/>
    <w:rsid w:val="00F65DC7"/>
    <w:rsid w:val="00F67876"/>
    <w:rsid w:val="00F67FA1"/>
    <w:rsid w:val="00F715F7"/>
    <w:rsid w:val="00F73712"/>
    <w:rsid w:val="00F74B20"/>
    <w:rsid w:val="00F813E3"/>
    <w:rsid w:val="00F825D7"/>
    <w:rsid w:val="00F83BA3"/>
    <w:rsid w:val="00F848C5"/>
    <w:rsid w:val="00F850D8"/>
    <w:rsid w:val="00F85F49"/>
    <w:rsid w:val="00F871CD"/>
    <w:rsid w:val="00F9180B"/>
    <w:rsid w:val="00F9197C"/>
    <w:rsid w:val="00F9387F"/>
    <w:rsid w:val="00F95C7C"/>
    <w:rsid w:val="00F95F11"/>
    <w:rsid w:val="00FA1202"/>
    <w:rsid w:val="00FB0DFB"/>
    <w:rsid w:val="00FB1117"/>
    <w:rsid w:val="00FB66C8"/>
    <w:rsid w:val="00FB6B3F"/>
    <w:rsid w:val="00FC1248"/>
    <w:rsid w:val="00FC1FE1"/>
    <w:rsid w:val="00FC22D8"/>
    <w:rsid w:val="00FC25E0"/>
    <w:rsid w:val="00FC30EC"/>
    <w:rsid w:val="00FD0D5C"/>
    <w:rsid w:val="00FD1137"/>
    <w:rsid w:val="00FD51CF"/>
    <w:rsid w:val="00FD61A0"/>
    <w:rsid w:val="00FD72D8"/>
    <w:rsid w:val="00FE062B"/>
    <w:rsid w:val="00FE0B77"/>
    <w:rsid w:val="00FE4DD8"/>
    <w:rsid w:val="00FE6202"/>
    <w:rsid w:val="00FF3C5F"/>
    <w:rsid w:val="00FF40F3"/>
    <w:rsid w:val="00FF4B8D"/>
    <w:rsid w:val="00FF568C"/>
    <w:rsid w:val="00FF6013"/>
    <w:rsid w:val="00FF7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2E9"/>
    <w:rPr>
      <w:sz w:val="24"/>
      <w:szCs w:val="24"/>
      <w:lang w:val="en-GB" w:eastAsia="en-US"/>
    </w:rPr>
  </w:style>
  <w:style w:type="paragraph" w:styleId="Heading1">
    <w:name w:val="heading 1"/>
    <w:basedOn w:val="Normal"/>
    <w:next w:val="Normal"/>
    <w:qFormat/>
    <w:pPr>
      <w:keepNext/>
      <w:jc w:val="center"/>
      <w:outlineLvl w:val="0"/>
    </w:pPr>
    <w:rPr>
      <w:b/>
      <w:bCs/>
      <w:sz w:val="28"/>
      <w:lang w:val="lv-LV"/>
    </w:rPr>
  </w:style>
  <w:style w:type="paragraph" w:styleId="Heading2">
    <w:name w:val="heading 2"/>
    <w:basedOn w:val="Normal"/>
    <w:next w:val="Normal"/>
    <w:qFormat/>
    <w:pPr>
      <w:keepNext/>
      <w:outlineLvl w:val="1"/>
    </w:pPr>
    <w:rPr>
      <w:sz w:val="28"/>
      <w:lang w:val="lv-LV"/>
    </w:rPr>
  </w:style>
  <w:style w:type="paragraph" w:styleId="Heading3">
    <w:name w:val="heading 3"/>
    <w:basedOn w:val="Normal"/>
    <w:next w:val="Normal"/>
    <w:qFormat/>
    <w:pPr>
      <w:keepNext/>
      <w:jc w:val="center"/>
      <w:outlineLvl w:val="2"/>
    </w:pPr>
    <w:rPr>
      <w:sz w:val="28"/>
      <w:lang w:val="lv-LV"/>
    </w:rPr>
  </w:style>
  <w:style w:type="paragraph" w:styleId="Heading4">
    <w:name w:val="heading 4"/>
    <w:basedOn w:val="Normal"/>
    <w:next w:val="Normal"/>
    <w:qFormat/>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
    </w:pPr>
    <w:rPr>
      <w:sz w:val="28"/>
      <w:lang w:val="lv-LV"/>
    </w:rPr>
  </w:style>
  <w:style w:type="paragraph" w:customStyle="1" w:styleId="naisc">
    <w:name w:val="naisc"/>
    <w:basedOn w:val="Normal"/>
    <w:pPr>
      <w:spacing w:before="100" w:beforeAutospacing="1" w:after="100" w:afterAutospacing="1"/>
      <w:jc w:val="center"/>
    </w:pPr>
    <w:rPr>
      <w:rFonts w:eastAsia="Arial Unicode MS"/>
      <w:sz w:val="26"/>
      <w:szCs w:val="26"/>
    </w:rPr>
  </w:style>
  <w:style w:type="paragraph" w:customStyle="1" w:styleId="naisf">
    <w:name w:val="naisf"/>
    <w:basedOn w:val="Normal"/>
    <w:pPr>
      <w:spacing w:before="100" w:beforeAutospacing="1" w:after="100" w:afterAutospacing="1"/>
      <w:jc w:val="both"/>
    </w:pPr>
    <w:rPr>
      <w:rFonts w:eastAsia="Arial Unicode MS"/>
    </w:rPr>
  </w:style>
  <w:style w:type="paragraph" w:styleId="NormalWeb">
    <w:name w:val="Normal (Web)"/>
    <w:basedOn w:val="Normal"/>
    <w:pPr>
      <w:spacing w:before="100" w:beforeAutospacing="1" w:after="100" w:afterAutospacing="1"/>
    </w:pPr>
    <w:rPr>
      <w:rFonts w:eastAsia="Arial Unicode MS"/>
    </w:rPr>
  </w:style>
  <w:style w:type="paragraph" w:styleId="Footer">
    <w:name w:val="footer"/>
    <w:basedOn w:val="Normal"/>
    <w:link w:val="FooterChar"/>
    <w:pPr>
      <w:tabs>
        <w:tab w:val="center" w:pos="4153"/>
        <w:tab w:val="right" w:pos="8306"/>
      </w:tabs>
      <w:snapToGrid w:val="0"/>
    </w:pPr>
    <w:rPr>
      <w:rFonts w:ascii="RimTimes" w:hAnsi="RimTimes"/>
      <w:sz w:val="28"/>
      <w:szCs w:val="20"/>
    </w:rPr>
  </w:style>
  <w:style w:type="character" w:styleId="CommentReference">
    <w:name w:val="annotation reference"/>
    <w:semiHidden/>
    <w:rPr>
      <w:sz w:val="16"/>
      <w:szCs w:val="16"/>
    </w:rPr>
  </w:style>
  <w:style w:type="paragraph" w:customStyle="1" w:styleId="naislab">
    <w:name w:val="naislab"/>
    <w:basedOn w:val="Normal"/>
    <w:pPr>
      <w:spacing w:before="100" w:beforeAutospacing="1" w:after="100" w:afterAutospacing="1"/>
      <w:jc w:val="right"/>
    </w:pPr>
    <w:rPr>
      <w:rFonts w:eastAsia="Arial Unicode M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rsid w:val="00651252"/>
    <w:rPr>
      <w:sz w:val="24"/>
      <w:szCs w:val="24"/>
      <w:lang w:val="en-GB" w:eastAsia="en-US"/>
    </w:rPr>
  </w:style>
  <w:style w:type="paragraph" w:customStyle="1" w:styleId="naisnod">
    <w:name w:val="naisnod"/>
    <w:basedOn w:val="Normal"/>
    <w:rsid w:val="00493272"/>
    <w:pPr>
      <w:spacing w:before="100" w:beforeAutospacing="1" w:after="100" w:afterAutospacing="1"/>
    </w:pPr>
    <w:rPr>
      <w:lang w:val="lv-LV" w:eastAsia="lv-LV"/>
    </w:rPr>
  </w:style>
  <w:style w:type="paragraph" w:styleId="FootnoteText">
    <w:name w:val="footnote text"/>
    <w:basedOn w:val="Normal"/>
    <w:link w:val="FootnoteTextChar"/>
    <w:rsid w:val="00493272"/>
    <w:rPr>
      <w:sz w:val="20"/>
      <w:szCs w:val="20"/>
      <w:lang w:val="lv-LV" w:eastAsia="lv-LV"/>
    </w:rPr>
  </w:style>
  <w:style w:type="character" w:customStyle="1" w:styleId="FootnoteTextChar">
    <w:name w:val="Footnote Text Char"/>
    <w:basedOn w:val="DefaultParagraphFont"/>
    <w:link w:val="FootnoteText"/>
    <w:rsid w:val="00493272"/>
  </w:style>
  <w:style w:type="character" w:customStyle="1" w:styleId="FooterChar">
    <w:name w:val="Footer Char"/>
    <w:link w:val="Footer"/>
    <w:rsid w:val="00493272"/>
    <w:rPr>
      <w:rFonts w:ascii="RimTimes" w:hAnsi="RimTimes"/>
      <w:sz w:val="28"/>
      <w:lang w:eastAsia="en-US"/>
    </w:rPr>
  </w:style>
  <w:style w:type="paragraph" w:styleId="NoSpacing">
    <w:name w:val="No Spacing"/>
    <w:uiPriority w:val="1"/>
    <w:qFormat/>
    <w:rsid w:val="007D0057"/>
    <w:rPr>
      <w:rFonts w:ascii="Calibri" w:eastAsia="Calibri" w:hAnsi="Calibri"/>
      <w:sz w:val="22"/>
      <w:szCs w:val="22"/>
      <w:lang w:eastAsia="en-US"/>
    </w:rPr>
  </w:style>
  <w:style w:type="character" w:styleId="Emphasis">
    <w:name w:val="Emphasis"/>
    <w:qFormat/>
    <w:rsid w:val="005C25C8"/>
    <w:rPr>
      <w:i/>
      <w:iCs/>
    </w:rPr>
  </w:style>
  <w:style w:type="paragraph" w:styleId="ListParagraph">
    <w:name w:val="List Paragraph"/>
    <w:basedOn w:val="Normal"/>
    <w:uiPriority w:val="34"/>
    <w:qFormat/>
    <w:rsid w:val="00034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2E9"/>
    <w:rPr>
      <w:sz w:val="24"/>
      <w:szCs w:val="24"/>
      <w:lang w:val="en-GB" w:eastAsia="en-US"/>
    </w:rPr>
  </w:style>
  <w:style w:type="paragraph" w:styleId="Heading1">
    <w:name w:val="heading 1"/>
    <w:basedOn w:val="Normal"/>
    <w:next w:val="Normal"/>
    <w:qFormat/>
    <w:pPr>
      <w:keepNext/>
      <w:jc w:val="center"/>
      <w:outlineLvl w:val="0"/>
    </w:pPr>
    <w:rPr>
      <w:b/>
      <w:bCs/>
      <w:sz w:val="28"/>
      <w:lang w:val="lv-LV"/>
    </w:rPr>
  </w:style>
  <w:style w:type="paragraph" w:styleId="Heading2">
    <w:name w:val="heading 2"/>
    <w:basedOn w:val="Normal"/>
    <w:next w:val="Normal"/>
    <w:qFormat/>
    <w:pPr>
      <w:keepNext/>
      <w:outlineLvl w:val="1"/>
    </w:pPr>
    <w:rPr>
      <w:sz w:val="28"/>
      <w:lang w:val="lv-LV"/>
    </w:rPr>
  </w:style>
  <w:style w:type="paragraph" w:styleId="Heading3">
    <w:name w:val="heading 3"/>
    <w:basedOn w:val="Normal"/>
    <w:next w:val="Normal"/>
    <w:qFormat/>
    <w:pPr>
      <w:keepNext/>
      <w:jc w:val="center"/>
      <w:outlineLvl w:val="2"/>
    </w:pPr>
    <w:rPr>
      <w:sz w:val="28"/>
      <w:lang w:val="lv-LV"/>
    </w:rPr>
  </w:style>
  <w:style w:type="paragraph" w:styleId="Heading4">
    <w:name w:val="heading 4"/>
    <w:basedOn w:val="Normal"/>
    <w:next w:val="Normal"/>
    <w:qFormat/>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
    </w:pPr>
    <w:rPr>
      <w:sz w:val="28"/>
      <w:lang w:val="lv-LV"/>
    </w:rPr>
  </w:style>
  <w:style w:type="paragraph" w:customStyle="1" w:styleId="naisc">
    <w:name w:val="naisc"/>
    <w:basedOn w:val="Normal"/>
    <w:pPr>
      <w:spacing w:before="100" w:beforeAutospacing="1" w:after="100" w:afterAutospacing="1"/>
      <w:jc w:val="center"/>
    </w:pPr>
    <w:rPr>
      <w:rFonts w:eastAsia="Arial Unicode MS"/>
      <w:sz w:val="26"/>
      <w:szCs w:val="26"/>
    </w:rPr>
  </w:style>
  <w:style w:type="paragraph" w:customStyle="1" w:styleId="naisf">
    <w:name w:val="naisf"/>
    <w:basedOn w:val="Normal"/>
    <w:pPr>
      <w:spacing w:before="100" w:beforeAutospacing="1" w:after="100" w:afterAutospacing="1"/>
      <w:jc w:val="both"/>
    </w:pPr>
    <w:rPr>
      <w:rFonts w:eastAsia="Arial Unicode MS"/>
    </w:rPr>
  </w:style>
  <w:style w:type="paragraph" w:styleId="NormalWeb">
    <w:name w:val="Normal (Web)"/>
    <w:basedOn w:val="Normal"/>
    <w:pPr>
      <w:spacing w:before="100" w:beforeAutospacing="1" w:after="100" w:afterAutospacing="1"/>
    </w:pPr>
    <w:rPr>
      <w:rFonts w:eastAsia="Arial Unicode MS"/>
    </w:rPr>
  </w:style>
  <w:style w:type="paragraph" w:styleId="Footer">
    <w:name w:val="footer"/>
    <w:basedOn w:val="Normal"/>
    <w:link w:val="FooterChar"/>
    <w:pPr>
      <w:tabs>
        <w:tab w:val="center" w:pos="4153"/>
        <w:tab w:val="right" w:pos="8306"/>
      </w:tabs>
      <w:snapToGrid w:val="0"/>
    </w:pPr>
    <w:rPr>
      <w:rFonts w:ascii="RimTimes" w:hAnsi="RimTimes"/>
      <w:sz w:val="28"/>
      <w:szCs w:val="20"/>
    </w:rPr>
  </w:style>
  <w:style w:type="character" w:styleId="CommentReference">
    <w:name w:val="annotation reference"/>
    <w:semiHidden/>
    <w:rPr>
      <w:sz w:val="16"/>
      <w:szCs w:val="16"/>
    </w:rPr>
  </w:style>
  <w:style w:type="paragraph" w:customStyle="1" w:styleId="naislab">
    <w:name w:val="naislab"/>
    <w:basedOn w:val="Normal"/>
    <w:pPr>
      <w:spacing w:before="100" w:beforeAutospacing="1" w:after="100" w:afterAutospacing="1"/>
      <w:jc w:val="right"/>
    </w:pPr>
    <w:rPr>
      <w:rFonts w:eastAsia="Arial Unicode M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rsid w:val="00651252"/>
    <w:rPr>
      <w:sz w:val="24"/>
      <w:szCs w:val="24"/>
      <w:lang w:val="en-GB" w:eastAsia="en-US"/>
    </w:rPr>
  </w:style>
  <w:style w:type="paragraph" w:customStyle="1" w:styleId="naisnod">
    <w:name w:val="naisnod"/>
    <w:basedOn w:val="Normal"/>
    <w:rsid w:val="00493272"/>
    <w:pPr>
      <w:spacing w:before="100" w:beforeAutospacing="1" w:after="100" w:afterAutospacing="1"/>
    </w:pPr>
    <w:rPr>
      <w:lang w:val="lv-LV" w:eastAsia="lv-LV"/>
    </w:rPr>
  </w:style>
  <w:style w:type="paragraph" w:styleId="FootnoteText">
    <w:name w:val="footnote text"/>
    <w:basedOn w:val="Normal"/>
    <w:link w:val="FootnoteTextChar"/>
    <w:rsid w:val="00493272"/>
    <w:rPr>
      <w:sz w:val="20"/>
      <w:szCs w:val="20"/>
      <w:lang w:val="lv-LV" w:eastAsia="lv-LV"/>
    </w:rPr>
  </w:style>
  <w:style w:type="character" w:customStyle="1" w:styleId="FootnoteTextChar">
    <w:name w:val="Footnote Text Char"/>
    <w:basedOn w:val="DefaultParagraphFont"/>
    <w:link w:val="FootnoteText"/>
    <w:rsid w:val="00493272"/>
  </w:style>
  <w:style w:type="character" w:customStyle="1" w:styleId="FooterChar">
    <w:name w:val="Footer Char"/>
    <w:link w:val="Footer"/>
    <w:rsid w:val="00493272"/>
    <w:rPr>
      <w:rFonts w:ascii="RimTimes" w:hAnsi="RimTimes"/>
      <w:sz w:val="28"/>
      <w:lang w:eastAsia="en-US"/>
    </w:rPr>
  </w:style>
  <w:style w:type="paragraph" w:styleId="NoSpacing">
    <w:name w:val="No Spacing"/>
    <w:uiPriority w:val="1"/>
    <w:qFormat/>
    <w:rsid w:val="007D0057"/>
    <w:rPr>
      <w:rFonts w:ascii="Calibri" w:eastAsia="Calibri" w:hAnsi="Calibri"/>
      <w:sz w:val="22"/>
      <w:szCs w:val="22"/>
      <w:lang w:eastAsia="en-US"/>
    </w:rPr>
  </w:style>
  <w:style w:type="character" w:styleId="Emphasis">
    <w:name w:val="Emphasis"/>
    <w:qFormat/>
    <w:rsid w:val="005C25C8"/>
    <w:rPr>
      <w:i/>
      <w:iCs/>
    </w:rPr>
  </w:style>
  <w:style w:type="paragraph" w:styleId="ListParagraph">
    <w:name w:val="List Paragraph"/>
    <w:basedOn w:val="Normal"/>
    <w:uiPriority w:val="34"/>
    <w:qFormat/>
    <w:rsid w:val="0003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762">
      <w:bodyDiv w:val="1"/>
      <w:marLeft w:val="0"/>
      <w:marRight w:val="0"/>
      <w:marTop w:val="0"/>
      <w:marBottom w:val="0"/>
      <w:divBdr>
        <w:top w:val="none" w:sz="0" w:space="0" w:color="auto"/>
        <w:left w:val="none" w:sz="0" w:space="0" w:color="auto"/>
        <w:bottom w:val="none" w:sz="0" w:space="0" w:color="auto"/>
        <w:right w:val="none" w:sz="0" w:space="0" w:color="auto"/>
      </w:divBdr>
    </w:div>
    <w:div w:id="767391288">
      <w:bodyDiv w:val="1"/>
      <w:marLeft w:val="0"/>
      <w:marRight w:val="0"/>
      <w:marTop w:val="0"/>
      <w:marBottom w:val="0"/>
      <w:divBdr>
        <w:top w:val="none" w:sz="0" w:space="0" w:color="auto"/>
        <w:left w:val="none" w:sz="0" w:space="0" w:color="auto"/>
        <w:bottom w:val="none" w:sz="0" w:space="0" w:color="auto"/>
        <w:right w:val="none" w:sz="0" w:space="0" w:color="auto"/>
      </w:divBdr>
    </w:div>
    <w:div w:id="1098791317">
      <w:bodyDiv w:val="1"/>
      <w:marLeft w:val="0"/>
      <w:marRight w:val="0"/>
      <w:marTop w:val="0"/>
      <w:marBottom w:val="0"/>
      <w:divBdr>
        <w:top w:val="none" w:sz="0" w:space="0" w:color="auto"/>
        <w:left w:val="none" w:sz="0" w:space="0" w:color="auto"/>
        <w:bottom w:val="none" w:sz="0" w:space="0" w:color="auto"/>
        <w:right w:val="none" w:sz="0" w:space="0" w:color="auto"/>
      </w:divBdr>
    </w:div>
    <w:div w:id="1126847974">
      <w:bodyDiv w:val="1"/>
      <w:marLeft w:val="0"/>
      <w:marRight w:val="0"/>
      <w:marTop w:val="0"/>
      <w:marBottom w:val="0"/>
      <w:divBdr>
        <w:top w:val="none" w:sz="0" w:space="0" w:color="auto"/>
        <w:left w:val="none" w:sz="0" w:space="0" w:color="auto"/>
        <w:bottom w:val="none" w:sz="0" w:space="0" w:color="auto"/>
        <w:right w:val="none" w:sz="0" w:space="0" w:color="auto"/>
      </w:divBdr>
    </w:div>
    <w:div w:id="1414544387">
      <w:bodyDiv w:val="1"/>
      <w:marLeft w:val="0"/>
      <w:marRight w:val="0"/>
      <w:marTop w:val="0"/>
      <w:marBottom w:val="0"/>
      <w:divBdr>
        <w:top w:val="none" w:sz="0" w:space="0" w:color="auto"/>
        <w:left w:val="none" w:sz="0" w:space="0" w:color="auto"/>
        <w:bottom w:val="none" w:sz="0" w:space="0" w:color="auto"/>
        <w:right w:val="none" w:sz="0" w:space="0" w:color="auto"/>
      </w:divBdr>
    </w:div>
    <w:div w:id="1497527209">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61524422">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Log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FC40-4D96-4842-A126-EE3EB90F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845</Words>
  <Characters>6405</Characters>
  <Application>Microsoft Office Word</Application>
  <DocSecurity>0</DocSecurity>
  <Lines>53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2010.gada 9.novembra noteikumos Nr.1041 „Kārtība, kādā paredzami valsts budžeta līdzekļi Eiropas Savienības struktūrfondu un Kohēzijas fonda līdzfinansēto projektu īstenošanai, kā arī maksā</vt:lpstr>
      <vt:lpstr>Anotācija Ministru kabineta noteikumu projektam „Grozījumi Ministru kabineta 2010.gada 9.novembra noteikumos Nr.1041 „Kārtība, kādā paredzami valsts budžeta līdzekļi Eiropas Savienības struktūrfondu un Kohēzijas fonda līdzfinansēto projektu īstenošanai, k</vt:lpstr>
    </vt:vector>
  </TitlesOfParts>
  <Company>LR Finanšu ministrija</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MK 10.08.2010. noteikumos Nr.740"</dc:title>
  <dc:subject>Anotācija</dc:subject>
  <dc:creator>Zane.Logina@fm.gov.lv;zane.logina@fm.gov.lv</dc:creator>
  <dc:description>Zane.Logina@fm.gov.lv
Tālr. 67083936
Faksa Nr. 67095697</dc:description>
  <cp:lastModifiedBy>Zane Logina</cp:lastModifiedBy>
  <cp:revision>4</cp:revision>
  <cp:lastPrinted>2012-07-12T06:41:00Z</cp:lastPrinted>
  <dcterms:created xsi:type="dcterms:W3CDTF">2012-11-08T09:45:00Z</dcterms:created>
  <dcterms:modified xsi:type="dcterms:W3CDTF">2012-11-15T07:57:00Z</dcterms:modified>
</cp:coreProperties>
</file>