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89C" w:rsidRDefault="00DC689C" w:rsidP="0023237B">
      <w:pPr>
        <w:pStyle w:val="naislab"/>
        <w:spacing w:before="0" w:after="0"/>
        <w:jc w:val="center"/>
        <w:outlineLvl w:val="0"/>
        <w:rPr>
          <w:b/>
        </w:rPr>
      </w:pPr>
      <w:r w:rsidRPr="00DC689C">
        <w:rPr>
          <w:b/>
        </w:rPr>
        <w:t>Ministru kabineta noteikum</w:t>
      </w:r>
      <w:r w:rsidR="007578EB">
        <w:rPr>
          <w:b/>
        </w:rPr>
        <w:t>u</w:t>
      </w:r>
      <w:r w:rsidRPr="00DC689C">
        <w:rPr>
          <w:b/>
        </w:rPr>
        <w:t xml:space="preserve"> projekta </w:t>
      </w:r>
      <w:r w:rsidR="00283D6B">
        <w:rPr>
          <w:b/>
        </w:rPr>
        <w:t>„</w:t>
      </w:r>
      <w:r w:rsidR="00743B6F" w:rsidRPr="00743B6F">
        <w:rPr>
          <w:b/>
        </w:rPr>
        <w:t>Grozījumi Ministru kabineta 2010.gada 18.maija noteikumos Nr.464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r w:rsidR="00283D6B">
        <w:rPr>
          <w:b/>
        </w:rPr>
        <w:t>”</w:t>
      </w:r>
      <w:r w:rsidR="00743B6F">
        <w:rPr>
          <w:b/>
        </w:rPr>
        <w:t xml:space="preserve"> </w:t>
      </w:r>
      <w:r w:rsidRPr="00DC689C">
        <w:rPr>
          <w:b/>
        </w:rPr>
        <w:t xml:space="preserve">sākotnējās ietekmes novērtējuma </w:t>
      </w:r>
      <w:smartTag w:uri="schemas-tilde-lv/tildestengine" w:element="veidnes">
        <w:smartTagPr>
          <w:attr w:name="text" w:val="ziņojums"/>
          <w:attr w:name="baseform" w:val="ziņojums"/>
          <w:attr w:name="id" w:val="-1"/>
        </w:smartTagPr>
        <w:r w:rsidRPr="00DC689C">
          <w:rPr>
            <w:b/>
          </w:rPr>
          <w:t>ziņojums</w:t>
        </w:r>
      </w:smartTag>
      <w:r w:rsidRPr="00DC689C">
        <w:rPr>
          <w:b/>
        </w:rPr>
        <w:t xml:space="preserve"> (anotācija)</w:t>
      </w:r>
    </w:p>
    <w:p w:rsidR="00743B6F" w:rsidRPr="00DC689C" w:rsidRDefault="00743B6F" w:rsidP="0023237B">
      <w:pPr>
        <w:pStyle w:val="naislab"/>
        <w:spacing w:before="0" w:after="0"/>
        <w:jc w:val="center"/>
        <w:outlineLvl w:val="0"/>
        <w:rPr>
          <w:b/>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708"/>
        <w:gridCol w:w="5467"/>
      </w:tblGrid>
      <w:tr w:rsidR="00DC689C" w:rsidRPr="007C0F2C" w:rsidTr="0023237B">
        <w:tc>
          <w:tcPr>
            <w:tcW w:w="9725" w:type="dxa"/>
            <w:gridSpan w:val="3"/>
            <w:vAlign w:val="center"/>
          </w:tcPr>
          <w:p w:rsidR="00DC689C" w:rsidRPr="007C0F2C" w:rsidRDefault="00DC689C" w:rsidP="0023237B">
            <w:pPr>
              <w:pStyle w:val="naisnod"/>
              <w:spacing w:before="0" w:after="0"/>
            </w:pPr>
            <w:r w:rsidRPr="007C0F2C">
              <w:t>I. Tiesību akta projekta izstrādes nepieciešamība</w:t>
            </w:r>
          </w:p>
        </w:tc>
      </w:tr>
      <w:tr w:rsidR="00DC689C" w:rsidRPr="007C0F2C" w:rsidTr="003F4153">
        <w:trPr>
          <w:trHeight w:val="630"/>
        </w:trPr>
        <w:tc>
          <w:tcPr>
            <w:tcW w:w="550" w:type="dxa"/>
          </w:tcPr>
          <w:p w:rsidR="00DC689C" w:rsidRPr="007C0F2C" w:rsidRDefault="00DC689C" w:rsidP="0023237B">
            <w:pPr>
              <w:pStyle w:val="naiskr"/>
              <w:spacing w:before="0" w:after="0"/>
              <w:rPr>
                <w:sz w:val="22"/>
                <w:szCs w:val="22"/>
              </w:rPr>
            </w:pPr>
            <w:r w:rsidRPr="007C0F2C">
              <w:rPr>
                <w:sz w:val="22"/>
                <w:szCs w:val="22"/>
              </w:rPr>
              <w:t>1.</w:t>
            </w:r>
          </w:p>
        </w:tc>
        <w:tc>
          <w:tcPr>
            <w:tcW w:w="3708" w:type="dxa"/>
          </w:tcPr>
          <w:p w:rsidR="00DC689C" w:rsidRPr="007C0F2C" w:rsidRDefault="00DC689C" w:rsidP="0023237B">
            <w:pPr>
              <w:pStyle w:val="naiskr"/>
              <w:spacing w:before="0" w:after="0"/>
              <w:ind w:hanging="10"/>
              <w:rPr>
                <w:sz w:val="22"/>
                <w:szCs w:val="22"/>
              </w:rPr>
            </w:pPr>
            <w:r w:rsidRPr="007C0F2C">
              <w:rPr>
                <w:sz w:val="22"/>
                <w:szCs w:val="22"/>
              </w:rPr>
              <w:t>Pamatojums</w:t>
            </w:r>
          </w:p>
        </w:tc>
        <w:tc>
          <w:tcPr>
            <w:tcW w:w="5467" w:type="dxa"/>
          </w:tcPr>
          <w:p w:rsidR="0023237B" w:rsidRPr="00C1051F" w:rsidRDefault="0023237B" w:rsidP="00D14039">
            <w:pPr>
              <w:pStyle w:val="naiskr"/>
              <w:spacing w:before="0" w:after="120"/>
              <w:ind w:left="142" w:right="222"/>
            </w:pPr>
            <w:proofErr w:type="spellStart"/>
            <w:r w:rsidRPr="000B2959">
              <w:rPr>
                <w:i/>
              </w:rPr>
              <w:t>Euro</w:t>
            </w:r>
            <w:proofErr w:type="spellEnd"/>
            <w:r w:rsidRPr="00C1051F">
              <w:t xml:space="preserve"> ieviešanas kārtības likuma 30.panta pirmā daļa.</w:t>
            </w:r>
          </w:p>
          <w:p w:rsidR="0023237B" w:rsidRDefault="0023237B" w:rsidP="00D14039">
            <w:pPr>
              <w:pStyle w:val="naiskr"/>
              <w:spacing w:before="0" w:after="0"/>
              <w:ind w:left="142" w:right="222"/>
              <w:jc w:val="both"/>
            </w:pPr>
            <w:r w:rsidRPr="00C1051F">
              <w:t>Ministru kabineta 2012.gada 27.jūnija rīkojum</w:t>
            </w:r>
            <w:r w:rsidR="00774A44">
              <w:t>a</w:t>
            </w:r>
            <w:r w:rsidRPr="00C1051F">
              <w:t xml:space="preserve"> Nr.282 „Par </w:t>
            </w:r>
            <w:r w:rsidR="00774A44">
              <w:t>„</w:t>
            </w:r>
            <w:r w:rsidRPr="00C1051F">
              <w:t>Koncepciju par normatīvo aktu sakārtošanu saistībā ar eiro ieviešanu Latvijā”” 7.1.apakšpunkts</w:t>
            </w:r>
            <w:r w:rsidR="00DF7D4A">
              <w:t xml:space="preserve"> </w:t>
            </w:r>
            <w:r w:rsidR="00DF7D4A" w:rsidRPr="00DF7D4A">
              <w:t>un 3.pielikuma 141.punkts</w:t>
            </w:r>
            <w:r w:rsidR="00C1051F">
              <w:t>.</w:t>
            </w:r>
          </w:p>
          <w:p w:rsidR="000B2959" w:rsidRDefault="000B2959" w:rsidP="00D14039">
            <w:pPr>
              <w:pStyle w:val="naiskr"/>
              <w:spacing w:before="0" w:after="0"/>
              <w:ind w:left="142" w:right="222"/>
              <w:jc w:val="both"/>
            </w:pPr>
          </w:p>
          <w:p w:rsidR="000B2959" w:rsidRPr="00C1051F" w:rsidRDefault="000B2959" w:rsidP="000E709E">
            <w:pPr>
              <w:pStyle w:val="naiskr"/>
              <w:spacing w:before="0" w:after="0"/>
              <w:ind w:left="142" w:right="222"/>
              <w:jc w:val="both"/>
            </w:pPr>
            <w:r w:rsidRPr="000B2959">
              <w:t xml:space="preserve">Latvijas Nacionālā </w:t>
            </w:r>
            <w:proofErr w:type="spellStart"/>
            <w:r w:rsidRPr="000B2959">
              <w:rPr>
                <w:i/>
              </w:rPr>
              <w:t>euro</w:t>
            </w:r>
            <w:proofErr w:type="spellEnd"/>
            <w:r w:rsidRPr="000B2959">
              <w:t xml:space="preserve"> ieviešanas plāna (apstiprināts ar Ministru kabineta 2013.gada 4.aprīļa rīkojumu Nr.136) 1. pielikuma J2.2 pasākums.</w:t>
            </w:r>
          </w:p>
        </w:tc>
      </w:tr>
      <w:tr w:rsidR="00DC689C" w:rsidRPr="007C0F2C" w:rsidTr="00A7137A">
        <w:trPr>
          <w:trHeight w:val="2548"/>
        </w:trPr>
        <w:tc>
          <w:tcPr>
            <w:tcW w:w="550" w:type="dxa"/>
          </w:tcPr>
          <w:p w:rsidR="00DC689C" w:rsidRPr="007C0F2C" w:rsidRDefault="00DC689C" w:rsidP="0023237B">
            <w:pPr>
              <w:pStyle w:val="naiskr"/>
              <w:spacing w:before="0" w:after="0"/>
              <w:rPr>
                <w:sz w:val="22"/>
                <w:szCs w:val="22"/>
              </w:rPr>
            </w:pPr>
            <w:r w:rsidRPr="007C0F2C">
              <w:rPr>
                <w:sz w:val="22"/>
                <w:szCs w:val="22"/>
              </w:rPr>
              <w:t>2.</w:t>
            </w:r>
          </w:p>
        </w:tc>
        <w:tc>
          <w:tcPr>
            <w:tcW w:w="3708" w:type="dxa"/>
          </w:tcPr>
          <w:p w:rsidR="00DC689C" w:rsidRPr="007C0F2C" w:rsidRDefault="00DC689C" w:rsidP="0023237B">
            <w:pPr>
              <w:pStyle w:val="naiskr"/>
              <w:tabs>
                <w:tab w:val="left" w:pos="170"/>
              </w:tabs>
              <w:spacing w:before="0" w:after="0"/>
              <w:rPr>
                <w:sz w:val="22"/>
                <w:szCs w:val="22"/>
              </w:rPr>
            </w:pPr>
            <w:r w:rsidRPr="007C0F2C">
              <w:rPr>
                <w:sz w:val="22"/>
                <w:szCs w:val="22"/>
              </w:rPr>
              <w:t>Pašreizējā situācija un problēmas</w:t>
            </w:r>
          </w:p>
        </w:tc>
        <w:tc>
          <w:tcPr>
            <w:tcW w:w="5467" w:type="dxa"/>
          </w:tcPr>
          <w:p w:rsidR="00283D6B" w:rsidRPr="000B2959" w:rsidRDefault="0023237B" w:rsidP="000B2959">
            <w:pPr>
              <w:pStyle w:val="naiskr"/>
              <w:spacing w:before="0" w:after="0"/>
              <w:ind w:left="142" w:right="79"/>
              <w:jc w:val="both"/>
            </w:pPr>
            <w:r w:rsidRPr="000B2959">
              <w:rPr>
                <w:iCs/>
              </w:rPr>
              <w:t>N</w:t>
            </w:r>
            <w:r w:rsidR="008E4D69" w:rsidRPr="000B2959">
              <w:rPr>
                <w:iCs/>
              </w:rPr>
              <w:t>epieciešams n</w:t>
            </w:r>
            <w:r w:rsidRPr="000B2959">
              <w:rPr>
                <w:iCs/>
              </w:rPr>
              <w:t>odr</w:t>
            </w:r>
            <w:r w:rsidR="008E4D69" w:rsidRPr="000B2959">
              <w:rPr>
                <w:iCs/>
              </w:rPr>
              <w:t>ošināt tiesību akta pielāgošanu</w:t>
            </w:r>
            <w:r w:rsidRPr="000B2959">
              <w:rPr>
                <w:iCs/>
              </w:rPr>
              <w:t xml:space="preserve"> </w:t>
            </w:r>
            <w:proofErr w:type="spellStart"/>
            <w:r w:rsidRPr="000B2959">
              <w:rPr>
                <w:i/>
                <w:iCs/>
              </w:rPr>
              <w:t>euro</w:t>
            </w:r>
            <w:proofErr w:type="spellEnd"/>
            <w:r w:rsidRPr="000B2959">
              <w:rPr>
                <w:iCs/>
              </w:rPr>
              <w:t xml:space="preserve"> ieviešanai.</w:t>
            </w:r>
            <w:r w:rsidR="00AD78FC" w:rsidRPr="000B2959">
              <w:rPr>
                <w:iCs/>
              </w:rPr>
              <w:t xml:space="preserve"> </w:t>
            </w:r>
            <w:r w:rsidR="00283D6B" w:rsidRPr="000B2959">
              <w:t>Šobrīd Ministru kabineta 2010.gada 18.maija noteikumu Nr.464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(turpmāk – noteikumi Nr.464) 31.</w:t>
            </w:r>
            <w:r w:rsidR="00283D6B" w:rsidRPr="000B2959">
              <w:rPr>
                <w:vertAlign w:val="superscript"/>
              </w:rPr>
              <w:t>1</w:t>
            </w:r>
            <w:r w:rsidR="00283D6B" w:rsidRPr="000B2959">
              <w:t xml:space="preserve"> punktā ir noteikta summa latos:</w:t>
            </w:r>
          </w:p>
          <w:p w:rsidR="00413666" w:rsidRPr="008C5700" w:rsidRDefault="00283D6B" w:rsidP="000B2959">
            <w:pPr>
              <w:ind w:left="142" w:right="79"/>
              <w:jc w:val="both"/>
              <w:rPr>
                <w:iCs/>
              </w:rPr>
            </w:pPr>
            <w:r w:rsidRPr="000B2959">
              <w:rPr>
                <w:iCs/>
              </w:rPr>
              <w:t>„31.</w:t>
            </w:r>
            <w:r w:rsidRPr="000B2959">
              <w:rPr>
                <w:iCs/>
                <w:vertAlign w:val="superscript"/>
              </w:rPr>
              <w:t>1</w:t>
            </w:r>
            <w:r w:rsidRPr="000B2959">
              <w:rPr>
                <w:iCs/>
              </w:rPr>
              <w:t xml:space="preserve"> Ministrijai ir pienākums līdz nākamā mēneša septītajai darbdienai iesniegt Finanšu ministrijā pieprasījumu par līdzekļu pārdali uz 80.00.00 programmu, ja Eiropas Savienības fondu ietvaros ministrijai katras Eiropas Savienības fonda budžeta programmas izdevumu plāna neizpilde (neieskaitot atmaksas pamatbudžetā) divus mēnešus pēc kārtas ir vismaz 10 % un vienlaikus pārsniedz </w:t>
            </w:r>
            <w:r w:rsidRPr="000B2959">
              <w:rPr>
                <w:b/>
                <w:iCs/>
                <w:u w:val="single"/>
              </w:rPr>
              <w:t>250 000 latu</w:t>
            </w:r>
            <w:r w:rsidRPr="000B2959">
              <w:rPr>
                <w:iCs/>
              </w:rPr>
              <w:t xml:space="preserve"> no attiecīgo divu mēnešu plānoto izdevumu kopsummas. </w:t>
            </w:r>
            <w:r w:rsidR="00413666" w:rsidRPr="000B2959">
              <w:rPr>
                <w:iCs/>
              </w:rPr>
              <w:t>[..]</w:t>
            </w:r>
            <w:r w:rsidRPr="000B2959">
              <w:rPr>
                <w:iCs/>
              </w:rPr>
              <w:t>”.</w:t>
            </w:r>
            <w:r w:rsidR="00AD78FC">
              <w:rPr>
                <w:iCs/>
                <w:sz w:val="22"/>
                <w:szCs w:val="22"/>
              </w:rPr>
              <w:t xml:space="preserve"> </w:t>
            </w:r>
          </w:p>
        </w:tc>
      </w:tr>
      <w:tr w:rsidR="00DC689C" w:rsidRPr="007C0F2C" w:rsidTr="003F4153">
        <w:trPr>
          <w:trHeight w:val="584"/>
        </w:trPr>
        <w:tc>
          <w:tcPr>
            <w:tcW w:w="550" w:type="dxa"/>
          </w:tcPr>
          <w:p w:rsidR="00DC689C" w:rsidRPr="007C0F2C" w:rsidRDefault="00DC689C" w:rsidP="0023237B">
            <w:pPr>
              <w:pStyle w:val="naiskr"/>
              <w:spacing w:before="0" w:after="0"/>
              <w:rPr>
                <w:sz w:val="22"/>
                <w:szCs w:val="22"/>
              </w:rPr>
            </w:pPr>
            <w:r w:rsidRPr="007C0F2C">
              <w:rPr>
                <w:sz w:val="22"/>
                <w:szCs w:val="22"/>
              </w:rPr>
              <w:t>3.</w:t>
            </w:r>
          </w:p>
        </w:tc>
        <w:tc>
          <w:tcPr>
            <w:tcW w:w="3708" w:type="dxa"/>
          </w:tcPr>
          <w:p w:rsidR="00DC689C" w:rsidRPr="007C0F2C" w:rsidRDefault="00DC689C" w:rsidP="0023237B">
            <w:pPr>
              <w:pStyle w:val="naiskr"/>
              <w:spacing w:before="0" w:after="0"/>
              <w:rPr>
                <w:sz w:val="22"/>
                <w:szCs w:val="22"/>
              </w:rPr>
            </w:pPr>
            <w:r w:rsidRPr="007C0F2C">
              <w:rPr>
                <w:sz w:val="22"/>
                <w:szCs w:val="22"/>
              </w:rPr>
              <w:t>Saistītie politikas ietekmes novērtējumi un pētījumi</w:t>
            </w:r>
          </w:p>
        </w:tc>
        <w:tc>
          <w:tcPr>
            <w:tcW w:w="5467" w:type="dxa"/>
          </w:tcPr>
          <w:p w:rsidR="00DC689C" w:rsidRPr="008D3A5D" w:rsidRDefault="008E4D69" w:rsidP="008D3A5D">
            <w:pPr>
              <w:pStyle w:val="FootnoteText"/>
              <w:ind w:left="142" w:right="81"/>
              <w:rPr>
                <w:sz w:val="24"/>
                <w:szCs w:val="24"/>
              </w:rPr>
            </w:pPr>
            <w:r w:rsidRPr="00C1051F">
              <w:rPr>
                <w:sz w:val="24"/>
                <w:szCs w:val="24"/>
              </w:rPr>
              <w:t>Projekts šo jomu neskar.</w:t>
            </w:r>
          </w:p>
        </w:tc>
      </w:tr>
      <w:tr w:rsidR="00DC689C" w:rsidRPr="007C0F2C" w:rsidTr="000B2959">
        <w:trPr>
          <w:trHeight w:val="841"/>
        </w:trPr>
        <w:tc>
          <w:tcPr>
            <w:tcW w:w="550" w:type="dxa"/>
          </w:tcPr>
          <w:p w:rsidR="00DC689C" w:rsidRPr="007C0F2C" w:rsidRDefault="00DC689C" w:rsidP="0023237B">
            <w:pPr>
              <w:pStyle w:val="naiskr"/>
              <w:spacing w:before="0" w:after="0"/>
              <w:rPr>
                <w:sz w:val="22"/>
                <w:szCs w:val="22"/>
              </w:rPr>
            </w:pPr>
            <w:r w:rsidRPr="007C0F2C">
              <w:rPr>
                <w:sz w:val="22"/>
                <w:szCs w:val="22"/>
              </w:rPr>
              <w:t>4.</w:t>
            </w:r>
          </w:p>
        </w:tc>
        <w:tc>
          <w:tcPr>
            <w:tcW w:w="3708" w:type="dxa"/>
          </w:tcPr>
          <w:p w:rsidR="00DC689C" w:rsidRPr="007C0F2C" w:rsidRDefault="00DC689C" w:rsidP="0023237B">
            <w:pPr>
              <w:pStyle w:val="naiskr"/>
              <w:spacing w:before="0" w:after="0"/>
              <w:rPr>
                <w:sz w:val="22"/>
                <w:szCs w:val="22"/>
              </w:rPr>
            </w:pPr>
            <w:r w:rsidRPr="007C0F2C">
              <w:rPr>
                <w:sz w:val="22"/>
                <w:szCs w:val="22"/>
              </w:rPr>
              <w:t>Tiesiskā regulējuma mērķis un būtība</w:t>
            </w:r>
          </w:p>
        </w:tc>
        <w:tc>
          <w:tcPr>
            <w:tcW w:w="5467" w:type="dxa"/>
          </w:tcPr>
          <w:p w:rsidR="00283D6B" w:rsidRPr="00283D6B" w:rsidRDefault="00283D6B" w:rsidP="00D14039">
            <w:pPr>
              <w:ind w:left="142" w:right="81"/>
              <w:jc w:val="both"/>
              <w:rPr>
                <w:iCs/>
              </w:rPr>
            </w:pPr>
            <w:r w:rsidRPr="00283D6B">
              <w:rPr>
                <w:iCs/>
              </w:rPr>
              <w:t>Noteikumu projekts paredz veikt tehniskos precizējumus, lai nodrošinātu, ka noteikumu Nr.</w:t>
            </w:r>
            <w:r w:rsidR="008C5700">
              <w:rPr>
                <w:iCs/>
              </w:rPr>
              <w:t>464</w:t>
            </w:r>
            <w:r w:rsidRPr="00283D6B">
              <w:rPr>
                <w:iCs/>
              </w:rPr>
              <w:t xml:space="preserve"> normas nesatur atsauci uz latiem, </w:t>
            </w:r>
            <w:r w:rsidR="00774A44">
              <w:rPr>
                <w:iCs/>
              </w:rPr>
              <w:t>un</w:t>
            </w:r>
            <w:r w:rsidRPr="00283D6B">
              <w:rPr>
                <w:iCs/>
              </w:rPr>
              <w:t xml:space="preserve">, ņemot vērā </w:t>
            </w:r>
            <w:r w:rsidR="00DF7D4A">
              <w:rPr>
                <w:iCs/>
              </w:rPr>
              <w:t xml:space="preserve">Latvijas </w:t>
            </w:r>
            <w:r w:rsidR="005E4CF6">
              <w:rPr>
                <w:iCs/>
              </w:rPr>
              <w:t>B</w:t>
            </w:r>
            <w:r w:rsidR="00DF7D4A">
              <w:rPr>
                <w:iCs/>
              </w:rPr>
              <w:t xml:space="preserve">ankas noteikto </w:t>
            </w:r>
            <w:r w:rsidRPr="00283D6B">
              <w:rPr>
                <w:iCs/>
              </w:rPr>
              <w:t xml:space="preserve">oficiālo maiņas kursu, izteikt </w:t>
            </w:r>
            <w:proofErr w:type="spellStart"/>
            <w:r w:rsidRPr="000B2959">
              <w:rPr>
                <w:i/>
                <w:iCs/>
              </w:rPr>
              <w:t>euro</w:t>
            </w:r>
            <w:proofErr w:type="spellEnd"/>
            <w:r w:rsidRPr="00283D6B">
              <w:rPr>
                <w:iCs/>
              </w:rPr>
              <w:t xml:space="preserve"> </w:t>
            </w:r>
            <w:r w:rsidR="00774A44">
              <w:rPr>
                <w:iCs/>
              </w:rPr>
              <w:t xml:space="preserve">valūtā </w:t>
            </w:r>
            <w:r w:rsidRPr="00283D6B">
              <w:rPr>
                <w:iCs/>
              </w:rPr>
              <w:t>tās summas, kas šobrīd ir noteiktas latos. Atbilstoši noteikumu Nr.</w:t>
            </w:r>
            <w:r w:rsidR="003F4153">
              <w:rPr>
                <w:iCs/>
              </w:rPr>
              <w:t>464</w:t>
            </w:r>
            <w:r w:rsidR="003F4153">
              <w:t xml:space="preserve"> </w:t>
            </w:r>
            <w:r w:rsidR="003F4153" w:rsidRPr="003F4153">
              <w:rPr>
                <w:iCs/>
              </w:rPr>
              <w:t>31.</w:t>
            </w:r>
            <w:r w:rsidR="003F4153" w:rsidRPr="003F4153">
              <w:rPr>
                <w:iCs/>
                <w:vertAlign w:val="superscript"/>
              </w:rPr>
              <w:t>1</w:t>
            </w:r>
            <w:r w:rsidRPr="00283D6B">
              <w:rPr>
                <w:iCs/>
              </w:rPr>
              <w:t xml:space="preserve"> </w:t>
            </w:r>
            <w:r w:rsidR="003F4153">
              <w:rPr>
                <w:iCs/>
              </w:rPr>
              <w:t xml:space="preserve">punktā noteiktais apjoms 250 000 </w:t>
            </w:r>
            <w:r w:rsidRPr="00283D6B">
              <w:rPr>
                <w:iCs/>
              </w:rPr>
              <w:t xml:space="preserve">Ls tiek izteikts kā </w:t>
            </w:r>
            <w:r w:rsidR="003F4153">
              <w:rPr>
                <w:iCs/>
              </w:rPr>
              <w:t>3</w:t>
            </w:r>
            <w:r w:rsidR="00390B89">
              <w:rPr>
                <w:iCs/>
              </w:rPr>
              <w:t>5</w:t>
            </w:r>
            <w:r w:rsidR="003F4153">
              <w:rPr>
                <w:iCs/>
              </w:rPr>
              <w:t>0 000</w:t>
            </w:r>
            <w:r w:rsidRPr="00283D6B">
              <w:rPr>
                <w:iCs/>
              </w:rPr>
              <w:t xml:space="preserve"> </w:t>
            </w:r>
            <w:proofErr w:type="spellStart"/>
            <w:r w:rsidRPr="00B514E0">
              <w:rPr>
                <w:i/>
                <w:iCs/>
              </w:rPr>
              <w:t>euro</w:t>
            </w:r>
            <w:proofErr w:type="spellEnd"/>
            <w:r w:rsidRPr="00283D6B">
              <w:rPr>
                <w:iCs/>
              </w:rPr>
              <w:t xml:space="preserve"> [</w:t>
            </w:r>
            <w:r w:rsidR="003F4153">
              <w:rPr>
                <w:iCs/>
              </w:rPr>
              <w:t>250 000</w:t>
            </w:r>
            <w:r w:rsidRPr="00283D6B">
              <w:rPr>
                <w:iCs/>
              </w:rPr>
              <w:t xml:space="preserve"> / 0,702804 = </w:t>
            </w:r>
            <w:r w:rsidR="00413666">
              <w:rPr>
                <w:iCs/>
              </w:rPr>
              <w:t>355 717,95</w:t>
            </w:r>
            <w:r w:rsidRPr="00283D6B">
              <w:rPr>
                <w:iCs/>
              </w:rPr>
              <w:t>].</w:t>
            </w:r>
          </w:p>
          <w:p w:rsidR="003F4153" w:rsidRDefault="00283D6B" w:rsidP="000325F2">
            <w:pPr>
              <w:ind w:left="142" w:right="81"/>
              <w:jc w:val="both"/>
            </w:pPr>
            <w:r w:rsidRPr="00283D6B">
              <w:t xml:space="preserve">Šis noapaļošanas princips atbilst </w:t>
            </w:r>
            <w:proofErr w:type="spellStart"/>
            <w:r w:rsidRPr="00B514E0">
              <w:rPr>
                <w:i/>
              </w:rPr>
              <w:t>Euro</w:t>
            </w:r>
            <w:proofErr w:type="spellEnd"/>
            <w:r w:rsidRPr="00283D6B">
              <w:t xml:space="preserve"> ieviešanas kārtības likuma 32.panta otrās daļas 2.punkta nosacījumiem.</w:t>
            </w:r>
            <w:r w:rsidR="003F4153">
              <w:t xml:space="preserve"> </w:t>
            </w:r>
          </w:p>
          <w:p w:rsidR="000B2959" w:rsidRPr="00C1051F" w:rsidRDefault="000B2959" w:rsidP="000325F2">
            <w:pPr>
              <w:ind w:left="142" w:right="81"/>
              <w:jc w:val="both"/>
            </w:pPr>
            <w:r w:rsidRPr="000B2959">
              <w:lastRenderedPageBreak/>
              <w:t xml:space="preserve">Grozītās tiesību normas </w:t>
            </w:r>
            <w:proofErr w:type="spellStart"/>
            <w:r w:rsidRPr="00B514E0">
              <w:rPr>
                <w:i/>
              </w:rPr>
              <w:t>euro</w:t>
            </w:r>
            <w:proofErr w:type="spellEnd"/>
            <w:r w:rsidRPr="000B2959">
              <w:t xml:space="preserve"> valūtā nav personām nelabvēlīgākas par sākotnējo tiesību normu latos un nerada vērā ņemamu negatīvu ietekmi uz valsts budžetu.</w:t>
            </w:r>
          </w:p>
        </w:tc>
      </w:tr>
      <w:tr w:rsidR="00DC689C" w:rsidRPr="007C0F2C" w:rsidTr="003F4153">
        <w:trPr>
          <w:trHeight w:val="476"/>
        </w:trPr>
        <w:tc>
          <w:tcPr>
            <w:tcW w:w="550" w:type="dxa"/>
          </w:tcPr>
          <w:p w:rsidR="00DC689C" w:rsidRPr="007C0F2C" w:rsidRDefault="00DC689C" w:rsidP="0023237B">
            <w:pPr>
              <w:pStyle w:val="naiskr"/>
              <w:spacing w:before="0" w:after="0"/>
              <w:rPr>
                <w:sz w:val="22"/>
                <w:szCs w:val="22"/>
              </w:rPr>
            </w:pPr>
            <w:r w:rsidRPr="007C0F2C">
              <w:rPr>
                <w:sz w:val="22"/>
                <w:szCs w:val="22"/>
              </w:rPr>
              <w:lastRenderedPageBreak/>
              <w:t>5.</w:t>
            </w:r>
          </w:p>
        </w:tc>
        <w:tc>
          <w:tcPr>
            <w:tcW w:w="3708" w:type="dxa"/>
          </w:tcPr>
          <w:p w:rsidR="00DC689C" w:rsidRPr="007C0F2C" w:rsidRDefault="00DC689C" w:rsidP="0023237B">
            <w:pPr>
              <w:pStyle w:val="naiskr"/>
              <w:spacing w:before="0" w:after="0"/>
              <w:rPr>
                <w:sz w:val="22"/>
                <w:szCs w:val="22"/>
              </w:rPr>
            </w:pPr>
            <w:r w:rsidRPr="007C0F2C">
              <w:rPr>
                <w:sz w:val="22"/>
                <w:szCs w:val="22"/>
              </w:rPr>
              <w:t>Projekta izstrādē iesaistītās institūcijas</w:t>
            </w:r>
          </w:p>
        </w:tc>
        <w:tc>
          <w:tcPr>
            <w:tcW w:w="5467" w:type="dxa"/>
          </w:tcPr>
          <w:p w:rsidR="00DC689C" w:rsidRPr="00C1051F" w:rsidRDefault="007578EB" w:rsidP="00C1051F">
            <w:pPr>
              <w:pStyle w:val="naiskr"/>
              <w:spacing w:before="0" w:after="0"/>
              <w:ind w:left="142" w:right="81"/>
            </w:pPr>
            <w:r w:rsidRPr="007578EB">
              <w:rPr>
                <w:iCs/>
              </w:rPr>
              <w:t>Projekts šo jomu neskar.</w:t>
            </w:r>
          </w:p>
        </w:tc>
      </w:tr>
      <w:tr w:rsidR="00DC689C" w:rsidRPr="007C0F2C" w:rsidTr="003F4153">
        <w:trPr>
          <w:trHeight w:val="899"/>
        </w:trPr>
        <w:tc>
          <w:tcPr>
            <w:tcW w:w="550" w:type="dxa"/>
          </w:tcPr>
          <w:p w:rsidR="00DC689C" w:rsidRPr="007C0F2C" w:rsidRDefault="00DC689C" w:rsidP="0023237B">
            <w:pPr>
              <w:pStyle w:val="naiskr"/>
              <w:spacing w:before="0" w:after="0"/>
              <w:rPr>
                <w:sz w:val="22"/>
                <w:szCs w:val="22"/>
              </w:rPr>
            </w:pPr>
            <w:r w:rsidRPr="007C0F2C">
              <w:rPr>
                <w:sz w:val="22"/>
                <w:szCs w:val="22"/>
              </w:rPr>
              <w:t>6.</w:t>
            </w:r>
          </w:p>
        </w:tc>
        <w:tc>
          <w:tcPr>
            <w:tcW w:w="3708" w:type="dxa"/>
          </w:tcPr>
          <w:p w:rsidR="00DC689C" w:rsidRPr="007C0F2C" w:rsidRDefault="00DC689C" w:rsidP="0023237B">
            <w:pPr>
              <w:pStyle w:val="naiskr"/>
              <w:spacing w:before="0" w:after="0"/>
              <w:rPr>
                <w:i/>
                <w:sz w:val="22"/>
                <w:szCs w:val="22"/>
                <w:highlight w:val="yellow"/>
              </w:rPr>
            </w:pPr>
            <w:r w:rsidRPr="007C0F2C">
              <w:rPr>
                <w:sz w:val="22"/>
                <w:szCs w:val="22"/>
              </w:rPr>
              <w:t>Iemesli, kādēļ netika nodrošināta sabiedrības līdzdalība</w:t>
            </w:r>
          </w:p>
        </w:tc>
        <w:tc>
          <w:tcPr>
            <w:tcW w:w="5467" w:type="dxa"/>
          </w:tcPr>
          <w:p w:rsidR="00DC689C" w:rsidRPr="00C1051F" w:rsidRDefault="000B2959" w:rsidP="007578EB">
            <w:pPr>
              <w:pStyle w:val="FootnoteText"/>
              <w:ind w:left="142" w:right="81"/>
              <w:jc w:val="both"/>
              <w:rPr>
                <w:sz w:val="24"/>
                <w:szCs w:val="24"/>
              </w:rPr>
            </w:pPr>
            <w:r w:rsidRPr="000B2959">
              <w:rPr>
                <w:sz w:val="24"/>
                <w:szCs w:val="24"/>
              </w:rPr>
              <w:t>Sabiedrības līdzdalība projekta izstrādē netika nodrošināta, jo projekts nemaina pastāvošo tiesisko regulējumu pēc būtības.</w:t>
            </w:r>
          </w:p>
        </w:tc>
      </w:tr>
      <w:tr w:rsidR="00DC689C" w:rsidRPr="007C0F2C" w:rsidTr="003F4153">
        <w:tc>
          <w:tcPr>
            <w:tcW w:w="550" w:type="dxa"/>
          </w:tcPr>
          <w:p w:rsidR="00DC689C" w:rsidRPr="007C0F2C" w:rsidRDefault="00DC689C" w:rsidP="0023237B">
            <w:pPr>
              <w:pStyle w:val="naiskr"/>
              <w:spacing w:before="0" w:after="0"/>
              <w:rPr>
                <w:sz w:val="22"/>
                <w:szCs w:val="22"/>
              </w:rPr>
            </w:pPr>
            <w:r w:rsidRPr="007C0F2C">
              <w:rPr>
                <w:sz w:val="22"/>
                <w:szCs w:val="22"/>
              </w:rPr>
              <w:t>7.</w:t>
            </w:r>
          </w:p>
        </w:tc>
        <w:tc>
          <w:tcPr>
            <w:tcW w:w="3708" w:type="dxa"/>
          </w:tcPr>
          <w:p w:rsidR="00DC689C" w:rsidRPr="007C0F2C" w:rsidRDefault="00DC689C" w:rsidP="0023237B">
            <w:pPr>
              <w:pStyle w:val="naiskr"/>
              <w:spacing w:before="0" w:after="0"/>
              <w:rPr>
                <w:sz w:val="22"/>
                <w:szCs w:val="22"/>
              </w:rPr>
            </w:pPr>
            <w:r w:rsidRPr="007C0F2C">
              <w:rPr>
                <w:sz w:val="22"/>
                <w:szCs w:val="22"/>
              </w:rPr>
              <w:t>Cita informācija</w:t>
            </w:r>
          </w:p>
        </w:tc>
        <w:tc>
          <w:tcPr>
            <w:tcW w:w="5467" w:type="dxa"/>
          </w:tcPr>
          <w:p w:rsidR="00DC689C" w:rsidRPr="00C1051F" w:rsidRDefault="008E4D69" w:rsidP="00C1051F">
            <w:pPr>
              <w:pStyle w:val="naiskr"/>
              <w:spacing w:before="0" w:after="0"/>
              <w:ind w:left="142" w:right="81"/>
            </w:pPr>
            <w:r w:rsidRPr="00C1051F">
              <w:t>Nav.</w:t>
            </w:r>
          </w:p>
        </w:tc>
      </w:tr>
    </w:tbl>
    <w:p w:rsidR="00DC689C" w:rsidRPr="007C0F2C" w:rsidRDefault="00DC689C" w:rsidP="00DC689C">
      <w:pPr>
        <w:pStyle w:val="naisf"/>
        <w:spacing w:before="0" w:after="0"/>
      </w:pPr>
    </w:p>
    <w:tbl>
      <w:tblPr>
        <w:tblpPr w:leftFromText="180" w:rightFromText="180" w:vertAnchor="text" w:horzAnchor="margin" w:tblpXSpec="center" w:tblpY="149"/>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95"/>
      </w:tblGrid>
      <w:tr w:rsidR="000B2959" w:rsidRPr="00180B70" w:rsidTr="00C26A86">
        <w:tc>
          <w:tcPr>
            <w:tcW w:w="9895" w:type="dxa"/>
            <w:vAlign w:val="center"/>
          </w:tcPr>
          <w:p w:rsidR="000B2959" w:rsidRPr="00180B70" w:rsidRDefault="000B2959" w:rsidP="00C26A86">
            <w:pPr>
              <w:jc w:val="center"/>
              <w:rPr>
                <w:b/>
                <w:bCs/>
              </w:rPr>
            </w:pPr>
            <w:r w:rsidRPr="00180B70">
              <w:rPr>
                <w:b/>
                <w:bCs/>
              </w:rPr>
              <w:t>II. Tiesību akta projekta ietekme uz sabiedrību</w:t>
            </w:r>
          </w:p>
        </w:tc>
      </w:tr>
      <w:tr w:rsidR="000B2959" w:rsidRPr="00180B70" w:rsidTr="00C26A86">
        <w:trPr>
          <w:trHeight w:val="467"/>
        </w:trPr>
        <w:tc>
          <w:tcPr>
            <w:tcW w:w="9895" w:type="dxa"/>
          </w:tcPr>
          <w:p w:rsidR="000B2959" w:rsidRPr="00180B70" w:rsidRDefault="000B2959" w:rsidP="00C26A86">
            <w:pPr>
              <w:ind w:left="147"/>
              <w:jc w:val="center"/>
              <w:rPr>
                <w:rFonts w:eastAsiaTheme="minorHAnsi" w:cstheme="minorBidi"/>
                <w:iCs/>
                <w:sz w:val="22"/>
                <w:szCs w:val="22"/>
                <w:lang w:eastAsia="en-US"/>
              </w:rPr>
            </w:pPr>
            <w:r w:rsidRPr="00180B70">
              <w:rPr>
                <w:rFonts w:eastAsiaTheme="minorHAnsi" w:cstheme="minorBidi"/>
                <w:iCs/>
                <w:sz w:val="22"/>
                <w:szCs w:val="22"/>
                <w:lang w:eastAsia="en-US"/>
              </w:rPr>
              <w:t>Projekts nerada ietekmi uz sabiedrību, jo nemaina spēkā esošo tiesisko regulējumu pēc būtības.</w:t>
            </w:r>
          </w:p>
          <w:p w:rsidR="000B2959" w:rsidRPr="00180B70" w:rsidRDefault="000B2959" w:rsidP="00C26A86">
            <w:pPr>
              <w:ind w:left="141"/>
              <w:rPr>
                <w:iCs/>
                <w:sz w:val="22"/>
                <w:szCs w:val="22"/>
              </w:rPr>
            </w:pPr>
          </w:p>
        </w:tc>
      </w:tr>
    </w:tbl>
    <w:p w:rsidR="00DC689C" w:rsidRPr="000B2959" w:rsidRDefault="00DC689C" w:rsidP="00014F75">
      <w:pPr>
        <w:pStyle w:val="naisf"/>
        <w:spacing w:before="0" w:after="0"/>
        <w:ind w:firstLine="0"/>
      </w:pPr>
    </w:p>
    <w:tbl>
      <w:tblPr>
        <w:tblpPr w:leftFromText="180" w:rightFromText="180" w:vertAnchor="text" w:horzAnchor="margin" w:tblpXSpec="center" w:tblpY="14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23"/>
      </w:tblGrid>
      <w:tr w:rsidR="000B2959" w:rsidRPr="000B2959" w:rsidTr="00C26A86">
        <w:tc>
          <w:tcPr>
            <w:tcW w:w="9923" w:type="dxa"/>
            <w:vAlign w:val="center"/>
          </w:tcPr>
          <w:p w:rsidR="000B2959" w:rsidRPr="000B2959" w:rsidRDefault="000B2959" w:rsidP="000B2959">
            <w:pPr>
              <w:jc w:val="center"/>
              <w:rPr>
                <w:b/>
                <w:bCs/>
              </w:rPr>
            </w:pPr>
            <w:r w:rsidRPr="000B2959">
              <w:rPr>
                <w:b/>
                <w:bCs/>
              </w:rPr>
              <w:t>III. Tiesību akta projekta ietekme uz valsts budžetu un pašvaldību budžetiem</w:t>
            </w:r>
          </w:p>
        </w:tc>
      </w:tr>
      <w:tr w:rsidR="000B2959" w:rsidRPr="000B2959" w:rsidTr="00C26A86">
        <w:trPr>
          <w:trHeight w:val="467"/>
        </w:trPr>
        <w:tc>
          <w:tcPr>
            <w:tcW w:w="9923" w:type="dxa"/>
          </w:tcPr>
          <w:p w:rsidR="000B2959" w:rsidRPr="000B2959" w:rsidRDefault="000B2959" w:rsidP="000B2959">
            <w:pPr>
              <w:ind w:left="141" w:right="142"/>
              <w:jc w:val="both"/>
              <w:rPr>
                <w:iCs/>
                <w:sz w:val="22"/>
                <w:szCs w:val="22"/>
              </w:rPr>
            </w:pPr>
            <w:r w:rsidRPr="000B2959">
              <w:rPr>
                <w:rFonts w:eastAsiaTheme="minorHAnsi" w:cstheme="minorBidi"/>
                <w:iCs/>
                <w:sz w:val="22"/>
                <w:szCs w:val="22"/>
                <w:lang w:eastAsia="en-US"/>
              </w:rPr>
              <w:t>Grozījumu ietekmi (iespējamo ieņēmumu samazinājumu vai izdevumu palielinājumu) iespējams segt, nemainot attiecīgajās budžeta programmās vai apakšprogrammās finansējuma sadalījumu pa ieņēmumu, izdevumu vai finansēšanas klasifikācijas kodiem.</w:t>
            </w:r>
          </w:p>
        </w:tc>
      </w:tr>
    </w:tbl>
    <w:p w:rsidR="008D3A5D" w:rsidRPr="000B2959" w:rsidRDefault="008D3A5D" w:rsidP="00014F75">
      <w:pPr>
        <w:pStyle w:val="naisf"/>
        <w:spacing w:before="0" w:after="0"/>
        <w:ind w:firstLine="0"/>
      </w:pP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453"/>
        <w:gridCol w:w="5045"/>
      </w:tblGrid>
      <w:tr w:rsidR="00DC689C" w:rsidRPr="007C0F2C" w:rsidTr="000334A9">
        <w:tc>
          <w:tcPr>
            <w:tcW w:w="9924" w:type="dxa"/>
            <w:gridSpan w:val="3"/>
            <w:tcBorders>
              <w:top w:val="single" w:sz="4" w:space="0" w:color="auto"/>
            </w:tcBorders>
          </w:tcPr>
          <w:p w:rsidR="00DC689C" w:rsidRPr="007C0F2C" w:rsidRDefault="00DC689C" w:rsidP="0023237B">
            <w:pPr>
              <w:pStyle w:val="naisnod"/>
              <w:spacing w:before="0" w:after="0"/>
              <w:ind w:left="57" w:right="57"/>
            </w:pPr>
            <w:r w:rsidRPr="007C0F2C">
              <w:t>VII. Tiesību akta projekta izpildes nodrošināšana un tās ietekme uz institūcijām</w:t>
            </w:r>
          </w:p>
        </w:tc>
      </w:tr>
      <w:tr w:rsidR="00DC689C" w:rsidRPr="007C0F2C" w:rsidTr="000334A9">
        <w:trPr>
          <w:trHeight w:val="427"/>
        </w:trPr>
        <w:tc>
          <w:tcPr>
            <w:tcW w:w="426" w:type="dxa"/>
          </w:tcPr>
          <w:p w:rsidR="00DC689C" w:rsidRPr="007C0F2C" w:rsidRDefault="00DC689C" w:rsidP="0023237B">
            <w:pPr>
              <w:pStyle w:val="naisnod"/>
              <w:spacing w:before="0" w:after="0"/>
              <w:ind w:left="57" w:right="57"/>
              <w:jc w:val="left"/>
              <w:rPr>
                <w:b w:val="0"/>
                <w:sz w:val="22"/>
                <w:szCs w:val="22"/>
              </w:rPr>
            </w:pPr>
            <w:r w:rsidRPr="007C0F2C">
              <w:rPr>
                <w:b w:val="0"/>
                <w:sz w:val="22"/>
                <w:szCs w:val="22"/>
              </w:rPr>
              <w:t>1.</w:t>
            </w:r>
          </w:p>
        </w:tc>
        <w:tc>
          <w:tcPr>
            <w:tcW w:w="4453" w:type="dxa"/>
          </w:tcPr>
          <w:p w:rsidR="00DC689C" w:rsidRPr="007C0F2C" w:rsidRDefault="00DC689C" w:rsidP="0023237B">
            <w:pPr>
              <w:pStyle w:val="naisf"/>
              <w:spacing w:before="0" w:after="0"/>
              <w:ind w:left="57" w:right="57" w:firstLine="0"/>
              <w:jc w:val="left"/>
              <w:rPr>
                <w:sz w:val="22"/>
                <w:szCs w:val="22"/>
              </w:rPr>
            </w:pPr>
            <w:r w:rsidRPr="007C0F2C">
              <w:rPr>
                <w:sz w:val="22"/>
                <w:szCs w:val="22"/>
              </w:rPr>
              <w:t xml:space="preserve">Projekta izpildē iesaistītās institūcijas </w:t>
            </w:r>
          </w:p>
        </w:tc>
        <w:tc>
          <w:tcPr>
            <w:tcW w:w="5045" w:type="dxa"/>
          </w:tcPr>
          <w:p w:rsidR="00DC689C" w:rsidRPr="007C0F2C" w:rsidRDefault="00390B89" w:rsidP="00283D6B">
            <w:pPr>
              <w:pStyle w:val="naisnod"/>
              <w:spacing w:before="0" w:after="0"/>
              <w:ind w:left="57" w:right="57"/>
              <w:jc w:val="left"/>
              <w:rPr>
                <w:b w:val="0"/>
                <w:sz w:val="22"/>
                <w:szCs w:val="22"/>
              </w:rPr>
            </w:pPr>
            <w:r>
              <w:rPr>
                <w:b w:val="0"/>
                <w:iCs/>
                <w:sz w:val="22"/>
                <w:szCs w:val="22"/>
              </w:rPr>
              <w:t>Ministrijas un citas centrālās valsts iestādes.</w:t>
            </w:r>
          </w:p>
        </w:tc>
      </w:tr>
      <w:tr w:rsidR="00DC689C" w:rsidRPr="007C0F2C" w:rsidTr="000334A9">
        <w:trPr>
          <w:trHeight w:val="463"/>
        </w:trPr>
        <w:tc>
          <w:tcPr>
            <w:tcW w:w="426" w:type="dxa"/>
          </w:tcPr>
          <w:p w:rsidR="00DC689C" w:rsidRPr="007C0F2C" w:rsidRDefault="00DC689C" w:rsidP="0023237B">
            <w:pPr>
              <w:pStyle w:val="naisnod"/>
              <w:spacing w:before="0" w:after="0"/>
              <w:ind w:left="57" w:right="57"/>
              <w:jc w:val="left"/>
              <w:rPr>
                <w:b w:val="0"/>
                <w:sz w:val="22"/>
                <w:szCs w:val="22"/>
              </w:rPr>
            </w:pPr>
            <w:r w:rsidRPr="007C0F2C">
              <w:rPr>
                <w:b w:val="0"/>
                <w:sz w:val="22"/>
                <w:szCs w:val="22"/>
              </w:rPr>
              <w:t>2.</w:t>
            </w:r>
          </w:p>
        </w:tc>
        <w:tc>
          <w:tcPr>
            <w:tcW w:w="4453" w:type="dxa"/>
          </w:tcPr>
          <w:p w:rsidR="00DC689C" w:rsidRPr="007C0F2C" w:rsidRDefault="00DC689C" w:rsidP="0023237B">
            <w:pPr>
              <w:pStyle w:val="naisf"/>
              <w:spacing w:before="0" w:after="0"/>
              <w:ind w:left="57" w:right="57" w:firstLine="0"/>
              <w:jc w:val="left"/>
              <w:rPr>
                <w:sz w:val="22"/>
                <w:szCs w:val="22"/>
              </w:rPr>
            </w:pPr>
            <w:r w:rsidRPr="007C0F2C">
              <w:rPr>
                <w:sz w:val="22"/>
                <w:szCs w:val="22"/>
              </w:rPr>
              <w:t xml:space="preserve">Projekta izpildes ietekme uz pārvaldes funkcijām </w:t>
            </w:r>
          </w:p>
        </w:tc>
        <w:tc>
          <w:tcPr>
            <w:tcW w:w="5045" w:type="dxa"/>
          </w:tcPr>
          <w:p w:rsidR="00DC689C" w:rsidRPr="007C0F2C" w:rsidRDefault="00014F75" w:rsidP="0023237B">
            <w:pPr>
              <w:pStyle w:val="naisnod"/>
              <w:spacing w:before="0" w:after="0"/>
              <w:ind w:left="57" w:right="57"/>
              <w:jc w:val="left"/>
              <w:rPr>
                <w:b w:val="0"/>
                <w:sz w:val="22"/>
                <w:szCs w:val="22"/>
              </w:rPr>
            </w:pPr>
            <w:r w:rsidRPr="00014F75">
              <w:rPr>
                <w:b w:val="0"/>
                <w:iCs/>
                <w:sz w:val="22"/>
                <w:szCs w:val="22"/>
              </w:rPr>
              <w:t>Projekts šo jomu neskar.</w:t>
            </w:r>
          </w:p>
        </w:tc>
      </w:tr>
      <w:tr w:rsidR="00DC689C" w:rsidRPr="007C0F2C" w:rsidTr="000334A9">
        <w:trPr>
          <w:trHeight w:val="725"/>
        </w:trPr>
        <w:tc>
          <w:tcPr>
            <w:tcW w:w="426" w:type="dxa"/>
          </w:tcPr>
          <w:p w:rsidR="00DC689C" w:rsidRPr="007C0F2C" w:rsidRDefault="00DC689C" w:rsidP="0023237B">
            <w:pPr>
              <w:pStyle w:val="naisnod"/>
              <w:spacing w:before="0" w:after="0"/>
              <w:ind w:left="57" w:right="57"/>
              <w:jc w:val="left"/>
              <w:rPr>
                <w:b w:val="0"/>
                <w:sz w:val="22"/>
                <w:szCs w:val="22"/>
              </w:rPr>
            </w:pPr>
            <w:r w:rsidRPr="007C0F2C">
              <w:rPr>
                <w:b w:val="0"/>
                <w:sz w:val="22"/>
                <w:szCs w:val="22"/>
              </w:rPr>
              <w:t>3.</w:t>
            </w:r>
          </w:p>
        </w:tc>
        <w:tc>
          <w:tcPr>
            <w:tcW w:w="4453" w:type="dxa"/>
          </w:tcPr>
          <w:p w:rsidR="00DC689C" w:rsidRPr="007C0F2C" w:rsidRDefault="00DC689C" w:rsidP="0023237B">
            <w:pPr>
              <w:pStyle w:val="naisf"/>
              <w:spacing w:before="0" w:after="0"/>
              <w:ind w:left="57" w:right="57" w:firstLine="0"/>
              <w:jc w:val="left"/>
              <w:rPr>
                <w:sz w:val="22"/>
                <w:szCs w:val="22"/>
              </w:rPr>
            </w:pPr>
            <w:r w:rsidRPr="007C0F2C">
              <w:rPr>
                <w:sz w:val="22"/>
                <w:szCs w:val="22"/>
              </w:rPr>
              <w:t>Projekta izpildes ietekme uz pārvaldes institucionālo struktūru.</w:t>
            </w:r>
          </w:p>
          <w:p w:rsidR="00DC689C" w:rsidRPr="007C0F2C" w:rsidRDefault="00DC689C" w:rsidP="0023237B">
            <w:pPr>
              <w:pStyle w:val="naisf"/>
              <w:spacing w:before="0" w:after="0"/>
              <w:ind w:left="57" w:right="57" w:firstLine="0"/>
              <w:jc w:val="left"/>
              <w:rPr>
                <w:sz w:val="22"/>
                <w:szCs w:val="22"/>
              </w:rPr>
            </w:pPr>
            <w:r w:rsidRPr="007C0F2C">
              <w:rPr>
                <w:sz w:val="22"/>
                <w:szCs w:val="22"/>
              </w:rPr>
              <w:t>Jaunu institūciju izveide</w:t>
            </w:r>
          </w:p>
        </w:tc>
        <w:tc>
          <w:tcPr>
            <w:tcW w:w="5045" w:type="dxa"/>
          </w:tcPr>
          <w:p w:rsidR="00DC689C" w:rsidRPr="007C0F2C" w:rsidRDefault="00014F75" w:rsidP="0023237B">
            <w:pPr>
              <w:pStyle w:val="naisnod"/>
              <w:spacing w:before="0" w:after="0"/>
              <w:ind w:left="57" w:right="57"/>
              <w:jc w:val="left"/>
              <w:rPr>
                <w:b w:val="0"/>
                <w:sz w:val="22"/>
                <w:szCs w:val="22"/>
              </w:rPr>
            </w:pPr>
            <w:r w:rsidRPr="00014F75">
              <w:rPr>
                <w:b w:val="0"/>
                <w:iCs/>
                <w:sz w:val="22"/>
                <w:szCs w:val="22"/>
              </w:rPr>
              <w:t>Projekts šo jomu neskar.</w:t>
            </w:r>
          </w:p>
        </w:tc>
      </w:tr>
      <w:tr w:rsidR="00DC689C" w:rsidRPr="007C0F2C" w:rsidTr="000334A9">
        <w:trPr>
          <w:trHeight w:val="780"/>
        </w:trPr>
        <w:tc>
          <w:tcPr>
            <w:tcW w:w="426" w:type="dxa"/>
          </w:tcPr>
          <w:p w:rsidR="00DC689C" w:rsidRPr="007C0F2C" w:rsidRDefault="00DC689C" w:rsidP="0023237B">
            <w:pPr>
              <w:pStyle w:val="naisnod"/>
              <w:spacing w:before="0" w:after="0"/>
              <w:ind w:left="57" w:right="57"/>
              <w:jc w:val="left"/>
              <w:rPr>
                <w:b w:val="0"/>
                <w:sz w:val="22"/>
                <w:szCs w:val="22"/>
              </w:rPr>
            </w:pPr>
            <w:r w:rsidRPr="007C0F2C">
              <w:rPr>
                <w:b w:val="0"/>
                <w:sz w:val="22"/>
                <w:szCs w:val="22"/>
              </w:rPr>
              <w:t>4.</w:t>
            </w:r>
          </w:p>
        </w:tc>
        <w:tc>
          <w:tcPr>
            <w:tcW w:w="4453" w:type="dxa"/>
          </w:tcPr>
          <w:p w:rsidR="00DC689C" w:rsidRPr="007C0F2C" w:rsidRDefault="00DC689C" w:rsidP="0023237B">
            <w:pPr>
              <w:pStyle w:val="naisf"/>
              <w:spacing w:before="0" w:after="0"/>
              <w:ind w:left="57" w:right="57" w:firstLine="0"/>
              <w:jc w:val="left"/>
              <w:rPr>
                <w:sz w:val="22"/>
                <w:szCs w:val="22"/>
              </w:rPr>
            </w:pPr>
            <w:r w:rsidRPr="007C0F2C">
              <w:rPr>
                <w:sz w:val="22"/>
                <w:szCs w:val="22"/>
              </w:rPr>
              <w:t>Projekta izpildes ietekme uz pārvaldes institucionālo struktūru.</w:t>
            </w:r>
          </w:p>
          <w:p w:rsidR="00DC689C" w:rsidRPr="007C0F2C" w:rsidRDefault="00DC689C" w:rsidP="0023237B">
            <w:pPr>
              <w:pStyle w:val="naisf"/>
              <w:spacing w:before="0" w:after="0"/>
              <w:ind w:left="57" w:right="57" w:firstLine="0"/>
              <w:jc w:val="left"/>
              <w:rPr>
                <w:sz w:val="22"/>
                <w:szCs w:val="22"/>
              </w:rPr>
            </w:pPr>
            <w:r w:rsidRPr="007C0F2C">
              <w:rPr>
                <w:sz w:val="22"/>
                <w:szCs w:val="22"/>
              </w:rPr>
              <w:t>Esošu institūciju likvidācija</w:t>
            </w:r>
          </w:p>
        </w:tc>
        <w:tc>
          <w:tcPr>
            <w:tcW w:w="5045" w:type="dxa"/>
          </w:tcPr>
          <w:p w:rsidR="00DC689C" w:rsidRPr="007C0F2C" w:rsidRDefault="00014F75" w:rsidP="0023237B">
            <w:pPr>
              <w:pStyle w:val="naisnod"/>
              <w:spacing w:before="0" w:after="0"/>
              <w:ind w:left="57" w:right="57"/>
              <w:jc w:val="left"/>
              <w:rPr>
                <w:b w:val="0"/>
                <w:sz w:val="22"/>
                <w:szCs w:val="22"/>
              </w:rPr>
            </w:pPr>
            <w:r w:rsidRPr="00014F75">
              <w:rPr>
                <w:b w:val="0"/>
                <w:iCs/>
                <w:sz w:val="22"/>
                <w:szCs w:val="22"/>
              </w:rPr>
              <w:t>Projekts šo jomu neskar.</w:t>
            </w:r>
          </w:p>
        </w:tc>
      </w:tr>
      <w:tr w:rsidR="00DC689C" w:rsidRPr="007C0F2C" w:rsidTr="000334A9">
        <w:trPr>
          <w:trHeight w:val="703"/>
        </w:trPr>
        <w:tc>
          <w:tcPr>
            <w:tcW w:w="426" w:type="dxa"/>
          </w:tcPr>
          <w:p w:rsidR="00DC689C" w:rsidRPr="007C0F2C" w:rsidRDefault="00DC689C" w:rsidP="0023237B">
            <w:pPr>
              <w:pStyle w:val="naisnod"/>
              <w:spacing w:before="0" w:after="0"/>
              <w:ind w:left="57" w:right="57"/>
              <w:jc w:val="left"/>
              <w:rPr>
                <w:b w:val="0"/>
                <w:sz w:val="22"/>
                <w:szCs w:val="22"/>
              </w:rPr>
            </w:pPr>
            <w:r w:rsidRPr="007C0F2C">
              <w:rPr>
                <w:b w:val="0"/>
                <w:sz w:val="22"/>
                <w:szCs w:val="22"/>
              </w:rPr>
              <w:t>5.</w:t>
            </w:r>
          </w:p>
        </w:tc>
        <w:tc>
          <w:tcPr>
            <w:tcW w:w="4453" w:type="dxa"/>
          </w:tcPr>
          <w:p w:rsidR="00DC689C" w:rsidRPr="007C0F2C" w:rsidRDefault="00DC689C" w:rsidP="0023237B">
            <w:pPr>
              <w:pStyle w:val="naisf"/>
              <w:spacing w:before="0" w:after="0"/>
              <w:ind w:left="57" w:right="57" w:firstLine="0"/>
              <w:jc w:val="left"/>
              <w:rPr>
                <w:sz w:val="22"/>
                <w:szCs w:val="22"/>
              </w:rPr>
            </w:pPr>
            <w:r w:rsidRPr="007C0F2C">
              <w:rPr>
                <w:sz w:val="22"/>
                <w:szCs w:val="22"/>
              </w:rPr>
              <w:t>Projekta izpildes ietekme uz pārvaldes institucionālo struktūru.</w:t>
            </w:r>
          </w:p>
          <w:p w:rsidR="00DC689C" w:rsidRPr="007C0F2C" w:rsidRDefault="00DC689C" w:rsidP="0023237B">
            <w:pPr>
              <w:pStyle w:val="naisf"/>
              <w:spacing w:before="0" w:after="0"/>
              <w:ind w:left="57" w:right="57" w:firstLine="0"/>
              <w:jc w:val="left"/>
              <w:rPr>
                <w:sz w:val="22"/>
                <w:szCs w:val="22"/>
              </w:rPr>
            </w:pPr>
            <w:r w:rsidRPr="007C0F2C">
              <w:rPr>
                <w:sz w:val="22"/>
                <w:szCs w:val="22"/>
              </w:rPr>
              <w:t>Esošu institūciju reorganizācija</w:t>
            </w:r>
          </w:p>
        </w:tc>
        <w:tc>
          <w:tcPr>
            <w:tcW w:w="5045" w:type="dxa"/>
          </w:tcPr>
          <w:p w:rsidR="00DC689C" w:rsidRPr="007C0F2C" w:rsidRDefault="00014F75" w:rsidP="0023237B">
            <w:pPr>
              <w:pStyle w:val="naisnod"/>
              <w:spacing w:before="0" w:after="0"/>
              <w:ind w:left="57" w:right="57"/>
              <w:jc w:val="left"/>
              <w:rPr>
                <w:b w:val="0"/>
                <w:sz w:val="22"/>
                <w:szCs w:val="22"/>
              </w:rPr>
            </w:pPr>
            <w:r w:rsidRPr="00014F75">
              <w:rPr>
                <w:b w:val="0"/>
                <w:iCs/>
                <w:sz w:val="22"/>
                <w:szCs w:val="22"/>
              </w:rPr>
              <w:t>Projekts šo jomu neskar.</w:t>
            </w:r>
          </w:p>
        </w:tc>
      </w:tr>
      <w:tr w:rsidR="00DC689C" w:rsidRPr="007C0F2C" w:rsidTr="000334A9">
        <w:trPr>
          <w:trHeight w:val="476"/>
        </w:trPr>
        <w:tc>
          <w:tcPr>
            <w:tcW w:w="426" w:type="dxa"/>
          </w:tcPr>
          <w:p w:rsidR="00DC689C" w:rsidRPr="007C0F2C" w:rsidRDefault="00DC689C" w:rsidP="0023237B">
            <w:pPr>
              <w:pStyle w:val="naiskr"/>
              <w:spacing w:before="0" w:after="0"/>
              <w:ind w:left="57" w:right="57"/>
              <w:rPr>
                <w:sz w:val="22"/>
                <w:szCs w:val="22"/>
              </w:rPr>
            </w:pPr>
            <w:r>
              <w:rPr>
                <w:sz w:val="22"/>
                <w:szCs w:val="22"/>
              </w:rPr>
              <w:t>6</w:t>
            </w:r>
            <w:r w:rsidRPr="007C0F2C">
              <w:rPr>
                <w:sz w:val="22"/>
                <w:szCs w:val="22"/>
              </w:rPr>
              <w:t>.</w:t>
            </w:r>
          </w:p>
        </w:tc>
        <w:tc>
          <w:tcPr>
            <w:tcW w:w="4453" w:type="dxa"/>
          </w:tcPr>
          <w:p w:rsidR="00DC689C" w:rsidRPr="007C0F2C" w:rsidRDefault="00DC689C" w:rsidP="0023237B">
            <w:pPr>
              <w:pStyle w:val="naiskr"/>
              <w:spacing w:before="0" w:after="0"/>
              <w:ind w:left="57" w:right="57"/>
              <w:rPr>
                <w:sz w:val="22"/>
                <w:szCs w:val="22"/>
              </w:rPr>
            </w:pPr>
            <w:r w:rsidRPr="007C0F2C">
              <w:rPr>
                <w:sz w:val="22"/>
                <w:szCs w:val="22"/>
              </w:rPr>
              <w:t>Cita informācija</w:t>
            </w:r>
          </w:p>
        </w:tc>
        <w:tc>
          <w:tcPr>
            <w:tcW w:w="5045" w:type="dxa"/>
          </w:tcPr>
          <w:p w:rsidR="00DC689C" w:rsidRPr="007C0F2C" w:rsidRDefault="00014F75" w:rsidP="0023237B">
            <w:pPr>
              <w:pStyle w:val="naiskr"/>
              <w:spacing w:before="0" w:after="0"/>
              <w:ind w:left="57" w:right="57"/>
              <w:rPr>
                <w:sz w:val="22"/>
                <w:szCs w:val="22"/>
              </w:rPr>
            </w:pPr>
            <w:r>
              <w:rPr>
                <w:sz w:val="22"/>
                <w:szCs w:val="22"/>
              </w:rPr>
              <w:t>Nav.</w:t>
            </w:r>
          </w:p>
        </w:tc>
      </w:tr>
    </w:tbl>
    <w:p w:rsidR="00DC689C" w:rsidRPr="007C0F2C" w:rsidRDefault="00DC689C" w:rsidP="00DC689C">
      <w:pPr>
        <w:pStyle w:val="naisf"/>
        <w:tabs>
          <w:tab w:val="left" w:pos="5760"/>
        </w:tabs>
        <w:spacing w:before="0" w:after="0"/>
        <w:ind w:firstLine="720"/>
        <w:rPr>
          <w:sz w:val="28"/>
          <w:szCs w:val="28"/>
        </w:rPr>
      </w:pPr>
    </w:p>
    <w:p w:rsidR="00DC689C" w:rsidRPr="00DF7D4A" w:rsidRDefault="00014F75" w:rsidP="00014F75">
      <w:pPr>
        <w:pStyle w:val="naisf"/>
        <w:tabs>
          <w:tab w:val="left" w:pos="5760"/>
        </w:tabs>
        <w:spacing w:before="0" w:after="0"/>
        <w:ind w:firstLine="0"/>
        <w:rPr>
          <w:i/>
        </w:rPr>
      </w:pPr>
      <w:r w:rsidRPr="00DF7D4A">
        <w:rPr>
          <w:i/>
        </w:rPr>
        <w:t>Anotācijas IV, V un VI  sadaļa –  noteikumu projekts šīs jomas neskar.</w:t>
      </w:r>
    </w:p>
    <w:p w:rsidR="00AE45A1" w:rsidRPr="00AE45A1" w:rsidRDefault="00AE45A1" w:rsidP="00AE45A1"/>
    <w:p w:rsidR="008E4D69" w:rsidRPr="008D3A5D" w:rsidRDefault="008E4D69" w:rsidP="00AE45A1">
      <w:pPr>
        <w:rPr>
          <w:sz w:val="28"/>
          <w:szCs w:val="28"/>
        </w:rPr>
      </w:pPr>
    </w:p>
    <w:p w:rsidR="00AE45A1" w:rsidRPr="008D3A5D" w:rsidRDefault="00AE45A1" w:rsidP="00AE45A1">
      <w:pPr>
        <w:rPr>
          <w:sz w:val="28"/>
          <w:szCs w:val="28"/>
        </w:rPr>
      </w:pPr>
      <w:r w:rsidRPr="008D3A5D">
        <w:rPr>
          <w:sz w:val="28"/>
          <w:szCs w:val="28"/>
        </w:rPr>
        <w:t xml:space="preserve">Finanšu ministrs </w:t>
      </w:r>
      <w:r w:rsidRPr="008D3A5D">
        <w:rPr>
          <w:sz w:val="28"/>
          <w:szCs w:val="28"/>
        </w:rPr>
        <w:tab/>
        <w:t xml:space="preserve">  </w:t>
      </w:r>
      <w:r w:rsidRPr="008D3A5D">
        <w:rPr>
          <w:sz w:val="28"/>
          <w:szCs w:val="28"/>
        </w:rPr>
        <w:tab/>
      </w:r>
      <w:r w:rsidRPr="008D3A5D">
        <w:rPr>
          <w:sz w:val="28"/>
          <w:szCs w:val="28"/>
        </w:rPr>
        <w:tab/>
      </w:r>
      <w:r w:rsidRPr="008D3A5D">
        <w:rPr>
          <w:sz w:val="28"/>
          <w:szCs w:val="28"/>
        </w:rPr>
        <w:tab/>
      </w:r>
      <w:r w:rsidRPr="008D3A5D">
        <w:rPr>
          <w:sz w:val="28"/>
          <w:szCs w:val="28"/>
        </w:rPr>
        <w:tab/>
      </w:r>
      <w:r w:rsidRPr="008D3A5D">
        <w:rPr>
          <w:sz w:val="28"/>
          <w:szCs w:val="28"/>
        </w:rPr>
        <w:tab/>
      </w:r>
      <w:r w:rsidRPr="008D3A5D">
        <w:rPr>
          <w:sz w:val="28"/>
          <w:szCs w:val="28"/>
        </w:rPr>
        <w:tab/>
      </w:r>
      <w:r w:rsidR="008D3A5D" w:rsidRPr="008D3A5D">
        <w:rPr>
          <w:sz w:val="28"/>
          <w:szCs w:val="28"/>
        </w:rPr>
        <w:tab/>
      </w:r>
      <w:r w:rsidR="008D3A5D" w:rsidRPr="008D3A5D">
        <w:rPr>
          <w:sz w:val="28"/>
          <w:szCs w:val="28"/>
        </w:rPr>
        <w:tab/>
      </w:r>
      <w:r w:rsidRPr="008D3A5D">
        <w:rPr>
          <w:sz w:val="28"/>
          <w:szCs w:val="28"/>
        </w:rPr>
        <w:t>A.Vilks</w:t>
      </w:r>
    </w:p>
    <w:p w:rsidR="00AE45A1" w:rsidRPr="00AE45A1" w:rsidRDefault="00AE45A1" w:rsidP="00AE45A1"/>
    <w:p w:rsidR="00AE45A1" w:rsidRDefault="00AE45A1" w:rsidP="00AE45A1"/>
    <w:p w:rsidR="000B2959" w:rsidRDefault="000B2959" w:rsidP="00AE45A1"/>
    <w:p w:rsidR="000B2959" w:rsidRPr="00AE45A1" w:rsidRDefault="000B2959" w:rsidP="00AE45A1"/>
    <w:p w:rsidR="008E4D69" w:rsidRPr="00413666" w:rsidRDefault="00490385" w:rsidP="00AE45A1">
      <w:pPr>
        <w:rPr>
          <w:sz w:val="20"/>
          <w:szCs w:val="20"/>
        </w:rPr>
      </w:pPr>
      <w:r>
        <w:rPr>
          <w:sz w:val="20"/>
          <w:szCs w:val="20"/>
        </w:rPr>
        <w:t>12.06.2013. 9:47</w:t>
      </w:r>
    </w:p>
    <w:p w:rsidR="00283D6B" w:rsidRPr="00283D6B" w:rsidRDefault="00283D6B" w:rsidP="00283D6B">
      <w:pPr>
        <w:jc w:val="both"/>
        <w:rPr>
          <w:sz w:val="20"/>
          <w:szCs w:val="20"/>
        </w:rPr>
      </w:pPr>
      <w:r w:rsidRPr="00283D6B">
        <w:rPr>
          <w:sz w:val="20"/>
          <w:szCs w:val="20"/>
        </w:rPr>
        <w:fldChar w:fldCharType="begin"/>
      </w:r>
      <w:r w:rsidRPr="00283D6B">
        <w:rPr>
          <w:sz w:val="20"/>
          <w:szCs w:val="20"/>
        </w:rPr>
        <w:instrText xml:space="preserve"> NUMWORDS   \* MERGEFORMAT </w:instrText>
      </w:r>
      <w:r w:rsidRPr="00283D6B">
        <w:rPr>
          <w:sz w:val="20"/>
          <w:szCs w:val="20"/>
        </w:rPr>
        <w:fldChar w:fldCharType="separate"/>
      </w:r>
      <w:r w:rsidR="000E709E">
        <w:rPr>
          <w:noProof/>
          <w:sz w:val="20"/>
          <w:szCs w:val="20"/>
        </w:rPr>
        <w:t>518</w:t>
      </w:r>
      <w:r w:rsidRPr="00283D6B">
        <w:rPr>
          <w:sz w:val="20"/>
          <w:szCs w:val="20"/>
        </w:rPr>
        <w:fldChar w:fldCharType="end"/>
      </w:r>
      <w:bookmarkStart w:id="0" w:name="_GoBack"/>
      <w:bookmarkEnd w:id="0"/>
    </w:p>
    <w:p w:rsidR="00283D6B" w:rsidRPr="00283D6B" w:rsidRDefault="00283D6B" w:rsidP="00283D6B">
      <w:pPr>
        <w:jc w:val="both"/>
        <w:rPr>
          <w:sz w:val="20"/>
          <w:szCs w:val="20"/>
        </w:rPr>
      </w:pPr>
      <w:r w:rsidRPr="00283D6B">
        <w:rPr>
          <w:sz w:val="20"/>
          <w:szCs w:val="20"/>
        </w:rPr>
        <w:t>R.Čablis</w:t>
      </w:r>
    </w:p>
    <w:p w:rsidR="007578EB" w:rsidRPr="000B2959" w:rsidRDefault="00283D6B" w:rsidP="000B2959">
      <w:pPr>
        <w:jc w:val="both"/>
        <w:rPr>
          <w:sz w:val="20"/>
          <w:szCs w:val="20"/>
        </w:rPr>
      </w:pPr>
      <w:r w:rsidRPr="00283D6B">
        <w:rPr>
          <w:sz w:val="20"/>
          <w:szCs w:val="20"/>
        </w:rPr>
        <w:t xml:space="preserve">67095498, </w:t>
      </w:r>
      <w:proofErr w:type="spellStart"/>
      <w:r w:rsidRPr="00283D6B">
        <w:rPr>
          <w:sz w:val="20"/>
          <w:szCs w:val="20"/>
        </w:rPr>
        <w:t>raivis.cablis@fm.gov.lv</w:t>
      </w:r>
      <w:proofErr w:type="spellEnd"/>
      <w:r w:rsidRPr="00283D6B">
        <w:rPr>
          <w:sz w:val="20"/>
          <w:szCs w:val="20"/>
        </w:rPr>
        <w:t>;</w:t>
      </w:r>
    </w:p>
    <w:sectPr w:rsidR="007578EB" w:rsidRPr="000B2959" w:rsidSect="008D3A5D">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083" w:rsidRDefault="00265083" w:rsidP="00307F91">
      <w:r>
        <w:separator/>
      </w:r>
    </w:p>
  </w:endnote>
  <w:endnote w:type="continuationSeparator" w:id="0">
    <w:p w:rsidR="00265083" w:rsidRDefault="00265083" w:rsidP="0030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mbria Math">
    <w:panose1 w:val="02040503050406030204"/>
    <w:charset w:val="BA"/>
    <w:family w:val="roman"/>
    <w:pitch w:val="variable"/>
    <w:sig w:usb0="E00002FF" w:usb1="42002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B6F" w:rsidRPr="00743B6F" w:rsidRDefault="000E3611" w:rsidP="006A576C">
    <w:pPr>
      <w:pStyle w:val="Footer"/>
      <w:ind w:left="-426" w:right="-427"/>
      <w:jc w:val="both"/>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FMAnot_100613_464euro</w:t>
    </w:r>
    <w:r>
      <w:rPr>
        <w:sz w:val="18"/>
        <w:szCs w:val="18"/>
      </w:rPr>
      <w:fldChar w:fldCharType="end"/>
    </w:r>
    <w:r w:rsidR="00743B6F" w:rsidRPr="00743B6F">
      <w:rPr>
        <w:sz w:val="18"/>
        <w:szCs w:val="18"/>
      </w:rPr>
      <w:t xml:space="preserve">; Ministru kabineta noteikumu projekta </w:t>
    </w:r>
    <w:r w:rsidR="00283D6B">
      <w:rPr>
        <w:sz w:val="18"/>
        <w:szCs w:val="18"/>
      </w:rPr>
      <w:t>„</w:t>
    </w:r>
    <w:r w:rsidR="00743B6F" w:rsidRPr="00743B6F">
      <w:rPr>
        <w:sz w:val="18"/>
        <w:szCs w:val="18"/>
      </w:rPr>
      <w:t>Grozījumi Ministru kabineta 2010.gada 18.maija noteikumos Nr.464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r w:rsidR="00283D6B">
      <w:rPr>
        <w:sz w:val="18"/>
        <w:szCs w:val="18"/>
      </w:rPr>
      <w:t>”</w:t>
    </w:r>
    <w:r w:rsidR="00743B6F" w:rsidRPr="00743B6F">
      <w:rPr>
        <w:sz w:val="18"/>
        <w:szCs w:val="18"/>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B6F" w:rsidRPr="00743B6F" w:rsidRDefault="000E3611" w:rsidP="006A576C">
    <w:pPr>
      <w:pStyle w:val="Footer"/>
      <w:ind w:left="-284" w:right="-285"/>
      <w:jc w:val="both"/>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FMAnot_100613_464euro</w:t>
    </w:r>
    <w:r>
      <w:rPr>
        <w:sz w:val="18"/>
        <w:szCs w:val="18"/>
      </w:rPr>
      <w:fldChar w:fldCharType="end"/>
    </w:r>
    <w:r w:rsidR="00743B6F" w:rsidRPr="00743B6F">
      <w:rPr>
        <w:sz w:val="18"/>
        <w:szCs w:val="18"/>
      </w:rPr>
      <w:t xml:space="preserve">; Ministru kabineta noteikumu projekta </w:t>
    </w:r>
    <w:r w:rsidR="00283D6B">
      <w:rPr>
        <w:sz w:val="18"/>
        <w:szCs w:val="18"/>
      </w:rPr>
      <w:t>„</w:t>
    </w:r>
    <w:r w:rsidR="00743B6F" w:rsidRPr="00743B6F">
      <w:rPr>
        <w:sz w:val="18"/>
        <w:szCs w:val="18"/>
      </w:rPr>
      <w:t>Grozījumi Ministru kabineta 2010.gada 18.maija noteikumos Nr.464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r w:rsidR="00283D6B">
      <w:rPr>
        <w:sz w:val="18"/>
        <w:szCs w:val="18"/>
      </w:rPr>
      <w:t>”</w:t>
    </w:r>
    <w:r w:rsidR="00743B6F" w:rsidRPr="00743B6F">
      <w:rPr>
        <w:sz w:val="18"/>
        <w:szCs w:val="18"/>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083" w:rsidRDefault="00265083" w:rsidP="00307F91">
      <w:r>
        <w:separator/>
      </w:r>
    </w:p>
  </w:footnote>
  <w:footnote w:type="continuationSeparator" w:id="0">
    <w:p w:rsidR="00265083" w:rsidRDefault="00265083" w:rsidP="00307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8EB" w:rsidRDefault="007578EB"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578EB" w:rsidRDefault="007578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8EB" w:rsidRDefault="007578EB"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709E">
      <w:rPr>
        <w:rStyle w:val="PageNumber"/>
        <w:noProof/>
      </w:rPr>
      <w:t>2</w:t>
    </w:r>
    <w:r>
      <w:rPr>
        <w:rStyle w:val="PageNumber"/>
      </w:rPr>
      <w:fldChar w:fldCharType="end"/>
    </w:r>
  </w:p>
  <w:p w:rsidR="007578EB" w:rsidRDefault="007578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85FFD"/>
    <w:multiLevelType w:val="hybridMultilevel"/>
    <w:tmpl w:val="8DA0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9C"/>
    <w:rsid w:val="00006C5A"/>
    <w:rsid w:val="00014F75"/>
    <w:rsid w:val="00025D74"/>
    <w:rsid w:val="000325F2"/>
    <w:rsid w:val="000334A9"/>
    <w:rsid w:val="000B2959"/>
    <w:rsid w:val="000E3611"/>
    <w:rsid w:val="000E709E"/>
    <w:rsid w:val="001A16C5"/>
    <w:rsid w:val="002004B3"/>
    <w:rsid w:val="0023237B"/>
    <w:rsid w:val="0025068D"/>
    <w:rsid w:val="00265083"/>
    <w:rsid w:val="00283D6B"/>
    <w:rsid w:val="002C28A4"/>
    <w:rsid w:val="002D351B"/>
    <w:rsid w:val="00307F91"/>
    <w:rsid w:val="00390B89"/>
    <w:rsid w:val="003F4153"/>
    <w:rsid w:val="00413666"/>
    <w:rsid w:val="004511E2"/>
    <w:rsid w:val="00490385"/>
    <w:rsid w:val="005E4CF6"/>
    <w:rsid w:val="006A576C"/>
    <w:rsid w:val="006D73C8"/>
    <w:rsid w:val="00743B6F"/>
    <w:rsid w:val="007578EB"/>
    <w:rsid w:val="00774A44"/>
    <w:rsid w:val="007F0AF9"/>
    <w:rsid w:val="008C5531"/>
    <w:rsid w:val="008C5700"/>
    <w:rsid w:val="008D3A5D"/>
    <w:rsid w:val="008E4D69"/>
    <w:rsid w:val="008F26D3"/>
    <w:rsid w:val="00A17F43"/>
    <w:rsid w:val="00A7137A"/>
    <w:rsid w:val="00A76F6E"/>
    <w:rsid w:val="00AD78FC"/>
    <w:rsid w:val="00AE45A1"/>
    <w:rsid w:val="00B514E0"/>
    <w:rsid w:val="00B9570B"/>
    <w:rsid w:val="00BB5CE6"/>
    <w:rsid w:val="00C1051F"/>
    <w:rsid w:val="00C45363"/>
    <w:rsid w:val="00D14039"/>
    <w:rsid w:val="00D617AE"/>
    <w:rsid w:val="00DC689C"/>
    <w:rsid w:val="00DF7D4A"/>
    <w:rsid w:val="00E53471"/>
    <w:rsid w:val="00EC7696"/>
    <w:rsid w:val="00F074ED"/>
    <w:rsid w:val="00FE4B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9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8C5531"/>
    <w:pPr>
      <w:keepNext/>
      <w:ind w:firstLine="567"/>
      <w:jc w:val="center"/>
      <w:outlineLvl w:val="0"/>
    </w:pPr>
    <w:rPr>
      <w:szCs w:val="20"/>
      <w:lang w:val="en-US" w:eastAsia="en-US"/>
    </w:rPr>
  </w:style>
  <w:style w:type="paragraph" w:styleId="Heading2">
    <w:name w:val="heading 2"/>
    <w:basedOn w:val="Normal"/>
    <w:next w:val="Normal"/>
    <w:link w:val="Heading2Char"/>
    <w:uiPriority w:val="99"/>
    <w:qFormat/>
    <w:rsid w:val="008C5531"/>
    <w:pPr>
      <w:keepNext/>
      <w:spacing w:before="240" w:after="60"/>
      <w:ind w:firstLine="567"/>
      <w:jc w:val="both"/>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
    <w:semiHidden/>
    <w:unhideWhenUsed/>
    <w:qFormat/>
    <w:rsid w:val="008C5531"/>
    <w:pPr>
      <w:keepNext/>
      <w:keepLines/>
      <w:spacing w:before="200" w:line="360" w:lineRule="auto"/>
      <w:ind w:firstLine="567"/>
      <w:jc w:val="both"/>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
    <w:name w:val="virsraks"/>
    <w:basedOn w:val="Normal"/>
    <w:qFormat/>
    <w:rsid w:val="008C5531"/>
    <w:pPr>
      <w:spacing w:after="240" w:line="360" w:lineRule="auto"/>
      <w:ind w:firstLine="567"/>
    </w:pPr>
    <w:rPr>
      <w:rFonts w:eastAsiaTheme="minorHAnsi"/>
      <w:b/>
      <w:caps/>
      <w:sz w:val="28"/>
      <w:lang w:eastAsia="en-US"/>
    </w:rPr>
  </w:style>
  <w:style w:type="paragraph" w:customStyle="1" w:styleId="apaks">
    <w:name w:val="apaks"/>
    <w:basedOn w:val="Normal"/>
    <w:qFormat/>
    <w:rsid w:val="008C5531"/>
    <w:pPr>
      <w:spacing w:before="240" w:after="240" w:line="360" w:lineRule="auto"/>
      <w:ind w:firstLine="567"/>
    </w:pPr>
    <w:rPr>
      <w:rFonts w:eastAsiaTheme="minorHAnsi"/>
      <w:b/>
      <w:lang w:eastAsia="en-US"/>
    </w:rPr>
  </w:style>
  <w:style w:type="paragraph" w:customStyle="1" w:styleId="attels">
    <w:name w:val="attels"/>
    <w:basedOn w:val="Normal"/>
    <w:qFormat/>
    <w:rsid w:val="008C5531"/>
    <w:pPr>
      <w:spacing w:before="240" w:line="360" w:lineRule="auto"/>
      <w:jc w:val="center"/>
    </w:pPr>
    <w:rPr>
      <w:rFonts w:eastAsiaTheme="minorHAnsi"/>
      <w:lang w:eastAsia="en-US"/>
    </w:rPr>
  </w:style>
  <w:style w:type="paragraph" w:customStyle="1" w:styleId="Tabula">
    <w:name w:val="Tabula"/>
    <w:basedOn w:val="Normal"/>
    <w:qFormat/>
    <w:rsid w:val="008C5531"/>
    <w:pPr>
      <w:tabs>
        <w:tab w:val="right" w:leader="dot" w:pos="9072"/>
      </w:tabs>
      <w:spacing w:line="360" w:lineRule="auto"/>
      <w:jc w:val="center"/>
    </w:pPr>
    <w:rPr>
      <w:rFonts w:eastAsia="Calibri"/>
      <w:lang w:eastAsia="en-US"/>
    </w:rPr>
  </w:style>
  <w:style w:type="paragraph" w:customStyle="1" w:styleId="anotacija">
    <w:name w:val="anotacija"/>
    <w:basedOn w:val="Normal"/>
    <w:qFormat/>
    <w:rsid w:val="008C5531"/>
    <w:pPr>
      <w:spacing w:after="240" w:line="360" w:lineRule="auto"/>
      <w:jc w:val="center"/>
    </w:pPr>
    <w:rPr>
      <w:rFonts w:eastAsiaTheme="minorHAnsi" w:cstheme="minorBidi"/>
      <w:b/>
      <w:caps/>
      <w:sz w:val="28"/>
      <w:szCs w:val="22"/>
      <w:lang w:eastAsia="en-US"/>
    </w:rPr>
  </w:style>
  <w:style w:type="paragraph" w:customStyle="1" w:styleId="formulas">
    <w:name w:val="formulas"/>
    <w:basedOn w:val="Normal"/>
    <w:qFormat/>
    <w:rsid w:val="008C5531"/>
    <w:pPr>
      <w:spacing w:before="120" w:after="120" w:line="360" w:lineRule="auto"/>
      <w:ind w:left="357"/>
      <w:jc w:val="right"/>
    </w:pPr>
    <w:rPr>
      <w:rFonts w:eastAsiaTheme="minorHAnsi"/>
      <w:lang w:eastAsia="en-US"/>
    </w:rPr>
  </w:style>
  <w:style w:type="paragraph" w:customStyle="1" w:styleId="pecatt">
    <w:name w:val="pec att"/>
    <w:basedOn w:val="attels"/>
    <w:qFormat/>
    <w:rsid w:val="008C5531"/>
    <w:pPr>
      <w:spacing w:before="0" w:after="240"/>
    </w:pPr>
  </w:style>
  <w:style w:type="paragraph" w:customStyle="1" w:styleId="pecfor">
    <w:name w:val="pec for"/>
    <w:basedOn w:val="Normal"/>
    <w:qFormat/>
    <w:rsid w:val="008C5531"/>
    <w:pPr>
      <w:spacing w:after="240" w:line="360" w:lineRule="auto"/>
      <w:ind w:firstLine="567"/>
      <w:jc w:val="both"/>
    </w:pPr>
    <w:rPr>
      <w:rFonts w:eastAsiaTheme="minorHAnsi"/>
      <w:lang w:eastAsia="en-US"/>
    </w:rPr>
  </w:style>
  <w:style w:type="paragraph" w:customStyle="1" w:styleId="par">
    <w:name w:val="par"/>
    <w:basedOn w:val="ListParagraph"/>
    <w:qFormat/>
    <w:rsid w:val="008C5531"/>
    <w:rPr>
      <w:rFonts w:ascii="Cambria Math" w:eastAsiaTheme="minorEastAsia" w:hAnsi="Cambria Math" w:cstheme="minorHAnsi"/>
      <w:i/>
      <w:szCs w:val="24"/>
    </w:rPr>
  </w:style>
  <w:style w:type="paragraph" w:styleId="ListParagraph">
    <w:name w:val="List Paragraph"/>
    <w:basedOn w:val="Normal"/>
    <w:uiPriority w:val="34"/>
    <w:qFormat/>
    <w:rsid w:val="008C5531"/>
    <w:pPr>
      <w:spacing w:line="360" w:lineRule="auto"/>
      <w:ind w:left="720" w:firstLine="567"/>
      <w:contextualSpacing/>
      <w:jc w:val="both"/>
    </w:pPr>
    <w:rPr>
      <w:rFonts w:eastAsiaTheme="minorHAnsi" w:cstheme="minorBidi"/>
      <w:szCs w:val="22"/>
      <w:lang w:eastAsia="en-US"/>
    </w:rPr>
  </w:style>
  <w:style w:type="paragraph" w:customStyle="1" w:styleId="apaks2">
    <w:name w:val="apaks2"/>
    <w:basedOn w:val="Normal"/>
    <w:link w:val="apaks2Char"/>
    <w:qFormat/>
    <w:rsid w:val="008C5531"/>
    <w:pPr>
      <w:spacing w:before="240" w:after="240" w:line="360" w:lineRule="auto"/>
      <w:ind w:firstLine="567"/>
    </w:pPr>
    <w:rPr>
      <w:rFonts w:eastAsiaTheme="minorHAnsi" w:cstheme="minorBidi"/>
      <w:b/>
      <w:szCs w:val="22"/>
      <w:lang w:eastAsia="en-US"/>
    </w:rPr>
  </w:style>
  <w:style w:type="character" w:customStyle="1" w:styleId="apaks2Char">
    <w:name w:val="apaks2 Char"/>
    <w:basedOn w:val="DefaultParagraphFont"/>
    <w:link w:val="apaks2"/>
    <w:rsid w:val="008C5531"/>
    <w:rPr>
      <w:rFonts w:ascii="Times New Roman" w:hAnsi="Times New Roman"/>
      <w:b/>
      <w:sz w:val="24"/>
    </w:rPr>
  </w:style>
  <w:style w:type="paragraph" w:customStyle="1" w:styleId="saturs">
    <w:name w:val="saturs"/>
    <w:basedOn w:val="Normal"/>
    <w:link w:val="satursChar"/>
    <w:qFormat/>
    <w:rsid w:val="008C5531"/>
    <w:pPr>
      <w:spacing w:after="240" w:line="360" w:lineRule="auto"/>
      <w:jc w:val="center"/>
    </w:pPr>
    <w:rPr>
      <w:rFonts w:eastAsiaTheme="minorHAnsi" w:cstheme="minorBidi"/>
      <w:b/>
      <w:caps/>
      <w:color w:val="000000"/>
      <w:sz w:val="28"/>
      <w:szCs w:val="22"/>
      <w:lang w:eastAsia="en-US"/>
    </w:rPr>
  </w:style>
  <w:style w:type="character" w:customStyle="1" w:styleId="satursChar">
    <w:name w:val="saturs Char"/>
    <w:basedOn w:val="DefaultParagraphFont"/>
    <w:link w:val="saturs"/>
    <w:rsid w:val="008C5531"/>
    <w:rPr>
      <w:rFonts w:ascii="Times New Roman" w:hAnsi="Times New Roman"/>
      <w:b/>
      <w:caps/>
      <w:color w:val="000000"/>
      <w:sz w:val="28"/>
    </w:rPr>
  </w:style>
  <w:style w:type="character" w:customStyle="1" w:styleId="Heading1Char">
    <w:name w:val="Heading 1 Char"/>
    <w:basedOn w:val="DefaultParagraphFont"/>
    <w:link w:val="Heading1"/>
    <w:uiPriority w:val="99"/>
    <w:rsid w:val="008C5531"/>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9"/>
    <w:rsid w:val="008C5531"/>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C5531"/>
    <w:rPr>
      <w:rFonts w:asciiTheme="majorHAnsi" w:eastAsiaTheme="majorEastAsia" w:hAnsiTheme="majorHAnsi" w:cstheme="majorBidi"/>
      <w:b/>
      <w:bCs/>
      <w:color w:val="4F81BD" w:themeColor="accent1"/>
      <w:sz w:val="24"/>
    </w:rPr>
  </w:style>
  <w:style w:type="paragraph" w:styleId="Title">
    <w:name w:val="Title"/>
    <w:basedOn w:val="Normal"/>
    <w:link w:val="TitleChar"/>
    <w:uiPriority w:val="99"/>
    <w:qFormat/>
    <w:rsid w:val="008C5531"/>
    <w:pPr>
      <w:tabs>
        <w:tab w:val="left" w:pos="1843"/>
      </w:tabs>
      <w:ind w:firstLine="567"/>
      <w:jc w:val="center"/>
    </w:pPr>
    <w:rPr>
      <w:sz w:val="28"/>
      <w:szCs w:val="20"/>
      <w:lang w:val="en-US" w:eastAsia="en-US"/>
    </w:rPr>
  </w:style>
  <w:style w:type="character" w:customStyle="1" w:styleId="TitleChar">
    <w:name w:val="Title Char"/>
    <w:basedOn w:val="DefaultParagraphFont"/>
    <w:link w:val="Title"/>
    <w:uiPriority w:val="99"/>
    <w:rsid w:val="008C5531"/>
    <w:rPr>
      <w:rFonts w:ascii="Times New Roman" w:eastAsia="Times New Roman" w:hAnsi="Times New Roman" w:cs="Times New Roman"/>
      <w:sz w:val="28"/>
      <w:szCs w:val="20"/>
      <w:lang w:val="en-US"/>
    </w:rPr>
  </w:style>
  <w:style w:type="paragraph" w:styleId="Header">
    <w:name w:val="header"/>
    <w:basedOn w:val="Normal"/>
    <w:link w:val="HeaderChar"/>
    <w:rsid w:val="00DC689C"/>
    <w:pPr>
      <w:tabs>
        <w:tab w:val="center" w:pos="4153"/>
        <w:tab w:val="right" w:pos="8306"/>
      </w:tabs>
    </w:pPr>
  </w:style>
  <w:style w:type="character" w:customStyle="1" w:styleId="HeaderChar">
    <w:name w:val="Header Char"/>
    <w:basedOn w:val="DefaultParagraphFont"/>
    <w:link w:val="Header"/>
    <w:rsid w:val="00DC689C"/>
    <w:rPr>
      <w:rFonts w:ascii="Times New Roman" w:eastAsia="Times New Roman" w:hAnsi="Times New Roman" w:cs="Times New Roman"/>
      <w:sz w:val="24"/>
      <w:szCs w:val="24"/>
      <w:lang w:eastAsia="lv-LV"/>
    </w:rPr>
  </w:style>
  <w:style w:type="character" w:styleId="PageNumber">
    <w:name w:val="page number"/>
    <w:basedOn w:val="DefaultParagraphFont"/>
    <w:rsid w:val="00DC689C"/>
  </w:style>
  <w:style w:type="paragraph" w:customStyle="1" w:styleId="naisf">
    <w:name w:val="naisf"/>
    <w:basedOn w:val="Normal"/>
    <w:rsid w:val="00DC689C"/>
    <w:pPr>
      <w:spacing w:before="75" w:after="75"/>
      <w:ind w:firstLine="375"/>
      <w:jc w:val="both"/>
    </w:pPr>
  </w:style>
  <w:style w:type="paragraph" w:customStyle="1" w:styleId="naisnod">
    <w:name w:val="naisnod"/>
    <w:basedOn w:val="Normal"/>
    <w:rsid w:val="00DC689C"/>
    <w:pPr>
      <w:spacing w:before="150" w:after="150"/>
      <w:jc w:val="center"/>
    </w:pPr>
    <w:rPr>
      <w:b/>
      <w:bCs/>
    </w:rPr>
  </w:style>
  <w:style w:type="paragraph" w:customStyle="1" w:styleId="naislab">
    <w:name w:val="naislab"/>
    <w:basedOn w:val="Normal"/>
    <w:rsid w:val="00DC689C"/>
    <w:pPr>
      <w:spacing w:before="75" w:after="75"/>
      <w:jc w:val="right"/>
    </w:pPr>
  </w:style>
  <w:style w:type="paragraph" w:customStyle="1" w:styleId="naiskr">
    <w:name w:val="naiskr"/>
    <w:basedOn w:val="Normal"/>
    <w:rsid w:val="00DC689C"/>
    <w:pPr>
      <w:spacing w:before="75" w:after="75"/>
    </w:pPr>
  </w:style>
  <w:style w:type="paragraph" w:styleId="FootnoteText">
    <w:name w:val="footnote text"/>
    <w:basedOn w:val="Normal"/>
    <w:link w:val="FootnoteTextChar"/>
    <w:semiHidden/>
    <w:rsid w:val="00DC689C"/>
    <w:rPr>
      <w:sz w:val="20"/>
      <w:szCs w:val="20"/>
    </w:rPr>
  </w:style>
  <w:style w:type="character" w:customStyle="1" w:styleId="FootnoteTextChar">
    <w:name w:val="Footnote Text Char"/>
    <w:basedOn w:val="DefaultParagraphFont"/>
    <w:link w:val="FootnoteText"/>
    <w:semiHidden/>
    <w:rsid w:val="00DC689C"/>
    <w:rPr>
      <w:rFonts w:ascii="Times New Roman" w:eastAsia="Times New Roman" w:hAnsi="Times New Roman" w:cs="Times New Roman"/>
      <w:sz w:val="20"/>
      <w:szCs w:val="20"/>
      <w:lang w:eastAsia="lv-LV"/>
    </w:rPr>
  </w:style>
  <w:style w:type="paragraph" w:styleId="Footer">
    <w:name w:val="footer"/>
    <w:basedOn w:val="Normal"/>
    <w:link w:val="FooterChar"/>
    <w:rsid w:val="00DC689C"/>
    <w:pPr>
      <w:tabs>
        <w:tab w:val="center" w:pos="4153"/>
        <w:tab w:val="right" w:pos="8306"/>
      </w:tabs>
    </w:pPr>
  </w:style>
  <w:style w:type="character" w:customStyle="1" w:styleId="FooterChar">
    <w:name w:val="Footer Char"/>
    <w:basedOn w:val="DefaultParagraphFont"/>
    <w:link w:val="Footer"/>
    <w:rsid w:val="00DC689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E45A1"/>
    <w:rPr>
      <w:rFonts w:ascii="Tahoma" w:hAnsi="Tahoma" w:cs="Tahoma"/>
      <w:sz w:val="16"/>
      <w:szCs w:val="16"/>
    </w:rPr>
  </w:style>
  <w:style w:type="character" w:customStyle="1" w:styleId="BalloonTextChar">
    <w:name w:val="Balloon Text Char"/>
    <w:basedOn w:val="DefaultParagraphFont"/>
    <w:link w:val="BalloonText"/>
    <w:uiPriority w:val="99"/>
    <w:semiHidden/>
    <w:rsid w:val="00AE45A1"/>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9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8C5531"/>
    <w:pPr>
      <w:keepNext/>
      <w:ind w:firstLine="567"/>
      <w:jc w:val="center"/>
      <w:outlineLvl w:val="0"/>
    </w:pPr>
    <w:rPr>
      <w:szCs w:val="20"/>
      <w:lang w:val="en-US" w:eastAsia="en-US"/>
    </w:rPr>
  </w:style>
  <w:style w:type="paragraph" w:styleId="Heading2">
    <w:name w:val="heading 2"/>
    <w:basedOn w:val="Normal"/>
    <w:next w:val="Normal"/>
    <w:link w:val="Heading2Char"/>
    <w:uiPriority w:val="99"/>
    <w:qFormat/>
    <w:rsid w:val="008C5531"/>
    <w:pPr>
      <w:keepNext/>
      <w:spacing w:before="240" w:after="60"/>
      <w:ind w:firstLine="567"/>
      <w:jc w:val="both"/>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
    <w:semiHidden/>
    <w:unhideWhenUsed/>
    <w:qFormat/>
    <w:rsid w:val="008C5531"/>
    <w:pPr>
      <w:keepNext/>
      <w:keepLines/>
      <w:spacing w:before="200" w:line="360" w:lineRule="auto"/>
      <w:ind w:firstLine="567"/>
      <w:jc w:val="both"/>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
    <w:name w:val="virsraks"/>
    <w:basedOn w:val="Normal"/>
    <w:qFormat/>
    <w:rsid w:val="008C5531"/>
    <w:pPr>
      <w:spacing w:after="240" w:line="360" w:lineRule="auto"/>
      <w:ind w:firstLine="567"/>
    </w:pPr>
    <w:rPr>
      <w:rFonts w:eastAsiaTheme="minorHAnsi"/>
      <w:b/>
      <w:caps/>
      <w:sz w:val="28"/>
      <w:lang w:eastAsia="en-US"/>
    </w:rPr>
  </w:style>
  <w:style w:type="paragraph" w:customStyle="1" w:styleId="apaks">
    <w:name w:val="apaks"/>
    <w:basedOn w:val="Normal"/>
    <w:qFormat/>
    <w:rsid w:val="008C5531"/>
    <w:pPr>
      <w:spacing w:before="240" w:after="240" w:line="360" w:lineRule="auto"/>
      <w:ind w:firstLine="567"/>
    </w:pPr>
    <w:rPr>
      <w:rFonts w:eastAsiaTheme="minorHAnsi"/>
      <w:b/>
      <w:lang w:eastAsia="en-US"/>
    </w:rPr>
  </w:style>
  <w:style w:type="paragraph" w:customStyle="1" w:styleId="attels">
    <w:name w:val="attels"/>
    <w:basedOn w:val="Normal"/>
    <w:qFormat/>
    <w:rsid w:val="008C5531"/>
    <w:pPr>
      <w:spacing w:before="240" w:line="360" w:lineRule="auto"/>
      <w:jc w:val="center"/>
    </w:pPr>
    <w:rPr>
      <w:rFonts w:eastAsiaTheme="minorHAnsi"/>
      <w:lang w:eastAsia="en-US"/>
    </w:rPr>
  </w:style>
  <w:style w:type="paragraph" w:customStyle="1" w:styleId="Tabula">
    <w:name w:val="Tabula"/>
    <w:basedOn w:val="Normal"/>
    <w:qFormat/>
    <w:rsid w:val="008C5531"/>
    <w:pPr>
      <w:tabs>
        <w:tab w:val="right" w:leader="dot" w:pos="9072"/>
      </w:tabs>
      <w:spacing w:line="360" w:lineRule="auto"/>
      <w:jc w:val="center"/>
    </w:pPr>
    <w:rPr>
      <w:rFonts w:eastAsia="Calibri"/>
      <w:lang w:eastAsia="en-US"/>
    </w:rPr>
  </w:style>
  <w:style w:type="paragraph" w:customStyle="1" w:styleId="anotacija">
    <w:name w:val="anotacija"/>
    <w:basedOn w:val="Normal"/>
    <w:qFormat/>
    <w:rsid w:val="008C5531"/>
    <w:pPr>
      <w:spacing w:after="240" w:line="360" w:lineRule="auto"/>
      <w:jc w:val="center"/>
    </w:pPr>
    <w:rPr>
      <w:rFonts w:eastAsiaTheme="minorHAnsi" w:cstheme="minorBidi"/>
      <w:b/>
      <w:caps/>
      <w:sz w:val="28"/>
      <w:szCs w:val="22"/>
      <w:lang w:eastAsia="en-US"/>
    </w:rPr>
  </w:style>
  <w:style w:type="paragraph" w:customStyle="1" w:styleId="formulas">
    <w:name w:val="formulas"/>
    <w:basedOn w:val="Normal"/>
    <w:qFormat/>
    <w:rsid w:val="008C5531"/>
    <w:pPr>
      <w:spacing w:before="120" w:after="120" w:line="360" w:lineRule="auto"/>
      <w:ind w:left="357"/>
      <w:jc w:val="right"/>
    </w:pPr>
    <w:rPr>
      <w:rFonts w:eastAsiaTheme="minorHAnsi"/>
      <w:lang w:eastAsia="en-US"/>
    </w:rPr>
  </w:style>
  <w:style w:type="paragraph" w:customStyle="1" w:styleId="pecatt">
    <w:name w:val="pec att"/>
    <w:basedOn w:val="attels"/>
    <w:qFormat/>
    <w:rsid w:val="008C5531"/>
    <w:pPr>
      <w:spacing w:before="0" w:after="240"/>
    </w:pPr>
  </w:style>
  <w:style w:type="paragraph" w:customStyle="1" w:styleId="pecfor">
    <w:name w:val="pec for"/>
    <w:basedOn w:val="Normal"/>
    <w:qFormat/>
    <w:rsid w:val="008C5531"/>
    <w:pPr>
      <w:spacing w:after="240" w:line="360" w:lineRule="auto"/>
      <w:ind w:firstLine="567"/>
      <w:jc w:val="both"/>
    </w:pPr>
    <w:rPr>
      <w:rFonts w:eastAsiaTheme="minorHAnsi"/>
      <w:lang w:eastAsia="en-US"/>
    </w:rPr>
  </w:style>
  <w:style w:type="paragraph" w:customStyle="1" w:styleId="par">
    <w:name w:val="par"/>
    <w:basedOn w:val="ListParagraph"/>
    <w:qFormat/>
    <w:rsid w:val="008C5531"/>
    <w:rPr>
      <w:rFonts w:ascii="Cambria Math" w:eastAsiaTheme="minorEastAsia" w:hAnsi="Cambria Math" w:cstheme="minorHAnsi"/>
      <w:i/>
      <w:szCs w:val="24"/>
    </w:rPr>
  </w:style>
  <w:style w:type="paragraph" w:styleId="ListParagraph">
    <w:name w:val="List Paragraph"/>
    <w:basedOn w:val="Normal"/>
    <w:uiPriority w:val="34"/>
    <w:qFormat/>
    <w:rsid w:val="008C5531"/>
    <w:pPr>
      <w:spacing w:line="360" w:lineRule="auto"/>
      <w:ind w:left="720" w:firstLine="567"/>
      <w:contextualSpacing/>
      <w:jc w:val="both"/>
    </w:pPr>
    <w:rPr>
      <w:rFonts w:eastAsiaTheme="minorHAnsi" w:cstheme="minorBidi"/>
      <w:szCs w:val="22"/>
      <w:lang w:eastAsia="en-US"/>
    </w:rPr>
  </w:style>
  <w:style w:type="paragraph" w:customStyle="1" w:styleId="apaks2">
    <w:name w:val="apaks2"/>
    <w:basedOn w:val="Normal"/>
    <w:link w:val="apaks2Char"/>
    <w:qFormat/>
    <w:rsid w:val="008C5531"/>
    <w:pPr>
      <w:spacing w:before="240" w:after="240" w:line="360" w:lineRule="auto"/>
      <w:ind w:firstLine="567"/>
    </w:pPr>
    <w:rPr>
      <w:rFonts w:eastAsiaTheme="minorHAnsi" w:cstheme="minorBidi"/>
      <w:b/>
      <w:szCs w:val="22"/>
      <w:lang w:eastAsia="en-US"/>
    </w:rPr>
  </w:style>
  <w:style w:type="character" w:customStyle="1" w:styleId="apaks2Char">
    <w:name w:val="apaks2 Char"/>
    <w:basedOn w:val="DefaultParagraphFont"/>
    <w:link w:val="apaks2"/>
    <w:rsid w:val="008C5531"/>
    <w:rPr>
      <w:rFonts w:ascii="Times New Roman" w:hAnsi="Times New Roman"/>
      <w:b/>
      <w:sz w:val="24"/>
    </w:rPr>
  </w:style>
  <w:style w:type="paragraph" w:customStyle="1" w:styleId="saturs">
    <w:name w:val="saturs"/>
    <w:basedOn w:val="Normal"/>
    <w:link w:val="satursChar"/>
    <w:qFormat/>
    <w:rsid w:val="008C5531"/>
    <w:pPr>
      <w:spacing w:after="240" w:line="360" w:lineRule="auto"/>
      <w:jc w:val="center"/>
    </w:pPr>
    <w:rPr>
      <w:rFonts w:eastAsiaTheme="minorHAnsi" w:cstheme="minorBidi"/>
      <w:b/>
      <w:caps/>
      <w:color w:val="000000"/>
      <w:sz w:val="28"/>
      <w:szCs w:val="22"/>
      <w:lang w:eastAsia="en-US"/>
    </w:rPr>
  </w:style>
  <w:style w:type="character" w:customStyle="1" w:styleId="satursChar">
    <w:name w:val="saturs Char"/>
    <w:basedOn w:val="DefaultParagraphFont"/>
    <w:link w:val="saturs"/>
    <w:rsid w:val="008C5531"/>
    <w:rPr>
      <w:rFonts w:ascii="Times New Roman" w:hAnsi="Times New Roman"/>
      <w:b/>
      <w:caps/>
      <w:color w:val="000000"/>
      <w:sz w:val="28"/>
    </w:rPr>
  </w:style>
  <w:style w:type="character" w:customStyle="1" w:styleId="Heading1Char">
    <w:name w:val="Heading 1 Char"/>
    <w:basedOn w:val="DefaultParagraphFont"/>
    <w:link w:val="Heading1"/>
    <w:uiPriority w:val="99"/>
    <w:rsid w:val="008C5531"/>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9"/>
    <w:rsid w:val="008C5531"/>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C5531"/>
    <w:rPr>
      <w:rFonts w:asciiTheme="majorHAnsi" w:eastAsiaTheme="majorEastAsia" w:hAnsiTheme="majorHAnsi" w:cstheme="majorBidi"/>
      <w:b/>
      <w:bCs/>
      <w:color w:val="4F81BD" w:themeColor="accent1"/>
      <w:sz w:val="24"/>
    </w:rPr>
  </w:style>
  <w:style w:type="paragraph" w:styleId="Title">
    <w:name w:val="Title"/>
    <w:basedOn w:val="Normal"/>
    <w:link w:val="TitleChar"/>
    <w:uiPriority w:val="99"/>
    <w:qFormat/>
    <w:rsid w:val="008C5531"/>
    <w:pPr>
      <w:tabs>
        <w:tab w:val="left" w:pos="1843"/>
      </w:tabs>
      <w:ind w:firstLine="567"/>
      <w:jc w:val="center"/>
    </w:pPr>
    <w:rPr>
      <w:sz w:val="28"/>
      <w:szCs w:val="20"/>
      <w:lang w:val="en-US" w:eastAsia="en-US"/>
    </w:rPr>
  </w:style>
  <w:style w:type="character" w:customStyle="1" w:styleId="TitleChar">
    <w:name w:val="Title Char"/>
    <w:basedOn w:val="DefaultParagraphFont"/>
    <w:link w:val="Title"/>
    <w:uiPriority w:val="99"/>
    <w:rsid w:val="008C5531"/>
    <w:rPr>
      <w:rFonts w:ascii="Times New Roman" w:eastAsia="Times New Roman" w:hAnsi="Times New Roman" w:cs="Times New Roman"/>
      <w:sz w:val="28"/>
      <w:szCs w:val="20"/>
      <w:lang w:val="en-US"/>
    </w:rPr>
  </w:style>
  <w:style w:type="paragraph" w:styleId="Header">
    <w:name w:val="header"/>
    <w:basedOn w:val="Normal"/>
    <w:link w:val="HeaderChar"/>
    <w:rsid w:val="00DC689C"/>
    <w:pPr>
      <w:tabs>
        <w:tab w:val="center" w:pos="4153"/>
        <w:tab w:val="right" w:pos="8306"/>
      </w:tabs>
    </w:pPr>
  </w:style>
  <w:style w:type="character" w:customStyle="1" w:styleId="HeaderChar">
    <w:name w:val="Header Char"/>
    <w:basedOn w:val="DefaultParagraphFont"/>
    <w:link w:val="Header"/>
    <w:rsid w:val="00DC689C"/>
    <w:rPr>
      <w:rFonts w:ascii="Times New Roman" w:eastAsia="Times New Roman" w:hAnsi="Times New Roman" w:cs="Times New Roman"/>
      <w:sz w:val="24"/>
      <w:szCs w:val="24"/>
      <w:lang w:eastAsia="lv-LV"/>
    </w:rPr>
  </w:style>
  <w:style w:type="character" w:styleId="PageNumber">
    <w:name w:val="page number"/>
    <w:basedOn w:val="DefaultParagraphFont"/>
    <w:rsid w:val="00DC689C"/>
  </w:style>
  <w:style w:type="paragraph" w:customStyle="1" w:styleId="naisf">
    <w:name w:val="naisf"/>
    <w:basedOn w:val="Normal"/>
    <w:rsid w:val="00DC689C"/>
    <w:pPr>
      <w:spacing w:before="75" w:after="75"/>
      <w:ind w:firstLine="375"/>
      <w:jc w:val="both"/>
    </w:pPr>
  </w:style>
  <w:style w:type="paragraph" w:customStyle="1" w:styleId="naisnod">
    <w:name w:val="naisnod"/>
    <w:basedOn w:val="Normal"/>
    <w:rsid w:val="00DC689C"/>
    <w:pPr>
      <w:spacing w:before="150" w:after="150"/>
      <w:jc w:val="center"/>
    </w:pPr>
    <w:rPr>
      <w:b/>
      <w:bCs/>
    </w:rPr>
  </w:style>
  <w:style w:type="paragraph" w:customStyle="1" w:styleId="naislab">
    <w:name w:val="naislab"/>
    <w:basedOn w:val="Normal"/>
    <w:rsid w:val="00DC689C"/>
    <w:pPr>
      <w:spacing w:before="75" w:after="75"/>
      <w:jc w:val="right"/>
    </w:pPr>
  </w:style>
  <w:style w:type="paragraph" w:customStyle="1" w:styleId="naiskr">
    <w:name w:val="naiskr"/>
    <w:basedOn w:val="Normal"/>
    <w:rsid w:val="00DC689C"/>
    <w:pPr>
      <w:spacing w:before="75" w:after="75"/>
    </w:pPr>
  </w:style>
  <w:style w:type="paragraph" w:styleId="FootnoteText">
    <w:name w:val="footnote text"/>
    <w:basedOn w:val="Normal"/>
    <w:link w:val="FootnoteTextChar"/>
    <w:semiHidden/>
    <w:rsid w:val="00DC689C"/>
    <w:rPr>
      <w:sz w:val="20"/>
      <w:szCs w:val="20"/>
    </w:rPr>
  </w:style>
  <w:style w:type="character" w:customStyle="1" w:styleId="FootnoteTextChar">
    <w:name w:val="Footnote Text Char"/>
    <w:basedOn w:val="DefaultParagraphFont"/>
    <w:link w:val="FootnoteText"/>
    <w:semiHidden/>
    <w:rsid w:val="00DC689C"/>
    <w:rPr>
      <w:rFonts w:ascii="Times New Roman" w:eastAsia="Times New Roman" w:hAnsi="Times New Roman" w:cs="Times New Roman"/>
      <w:sz w:val="20"/>
      <w:szCs w:val="20"/>
      <w:lang w:eastAsia="lv-LV"/>
    </w:rPr>
  </w:style>
  <w:style w:type="paragraph" w:styleId="Footer">
    <w:name w:val="footer"/>
    <w:basedOn w:val="Normal"/>
    <w:link w:val="FooterChar"/>
    <w:rsid w:val="00DC689C"/>
    <w:pPr>
      <w:tabs>
        <w:tab w:val="center" w:pos="4153"/>
        <w:tab w:val="right" w:pos="8306"/>
      </w:tabs>
    </w:pPr>
  </w:style>
  <w:style w:type="character" w:customStyle="1" w:styleId="FooterChar">
    <w:name w:val="Footer Char"/>
    <w:basedOn w:val="DefaultParagraphFont"/>
    <w:link w:val="Footer"/>
    <w:rsid w:val="00DC689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E45A1"/>
    <w:rPr>
      <w:rFonts w:ascii="Tahoma" w:hAnsi="Tahoma" w:cs="Tahoma"/>
      <w:sz w:val="16"/>
      <w:szCs w:val="16"/>
    </w:rPr>
  </w:style>
  <w:style w:type="character" w:customStyle="1" w:styleId="BalloonTextChar">
    <w:name w:val="Balloon Text Char"/>
    <w:basedOn w:val="DefaultParagraphFont"/>
    <w:link w:val="BalloonText"/>
    <w:uiPriority w:val="99"/>
    <w:semiHidden/>
    <w:rsid w:val="00AE45A1"/>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528</Words>
  <Characters>3700</Characters>
  <Application>Microsoft Office Word</Application>
  <DocSecurity>0</DocSecurity>
  <Lines>127</Lines>
  <Paragraphs>69</Paragraphs>
  <ScaleCrop>false</ScaleCrop>
  <HeadingPairs>
    <vt:vector size="2" baseType="variant">
      <vt:variant>
        <vt:lpstr>Title</vt:lpstr>
      </vt:variant>
      <vt:variant>
        <vt:i4>1</vt:i4>
      </vt:variant>
    </vt:vector>
  </HeadingPairs>
  <TitlesOfParts>
    <vt:vector size="1" baseType="lpstr">
      <vt:lpstr>anotācija Ministru kabineta noteikumu projektam  "Grozījumi Ministru kabineta 2010.gada 18.maija noteikumos Nr.464 „Noteikumi par 74.resora "Gadskārtējā valsts budžeta izpildes procesā pārdalāmais finansējums" 80.00.00 programmā plānoto līdzekļu pārdales </vt:lpstr>
    </vt:vector>
  </TitlesOfParts>
  <Company>Finanšu ministrija</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noteikumu projektam  "Grozījumi Ministru kabineta 2010.gada 18.maija noteikumos Nr.464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dc:title>
  <dc:subject>anotācija</dc:subject>
  <dc:creator>Raivis Čablis</dc:creator>
  <cp:keywords/>
  <dc:description>67095498, raivis.cablis@fm.gov.lv</dc:description>
  <cp:lastModifiedBy>Windows User</cp:lastModifiedBy>
  <cp:revision>27</cp:revision>
  <cp:lastPrinted>2013-03-20T14:34:00Z</cp:lastPrinted>
  <dcterms:created xsi:type="dcterms:W3CDTF">2013-03-20T12:15:00Z</dcterms:created>
  <dcterms:modified xsi:type="dcterms:W3CDTF">2013-08-21T12:57:00Z</dcterms:modified>
</cp:coreProperties>
</file>