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C0" w:rsidRPr="009B44EB" w:rsidRDefault="00D07FC0" w:rsidP="00D07FC0">
      <w:pPr>
        <w:jc w:val="center"/>
        <w:rPr>
          <w:b/>
          <w:bCs/>
          <w:lang w:val="lv-LV"/>
        </w:rPr>
      </w:pPr>
      <w:bookmarkStart w:id="0" w:name="_GoBack"/>
      <w:r w:rsidRPr="009B44EB">
        <w:rPr>
          <w:b/>
          <w:lang w:val="lv-LV"/>
        </w:rPr>
        <w:t>Likumprojekta „</w:t>
      </w:r>
      <w:r w:rsidRPr="009B44EB">
        <w:rPr>
          <w:b/>
        </w:rPr>
        <w:t xml:space="preserve">Grozījumi likumā </w:t>
      </w:r>
      <w:r w:rsidRPr="009B44EB">
        <w:rPr>
          <w:b/>
          <w:bCs/>
        </w:rPr>
        <w:t>„</w:t>
      </w:r>
      <w:r w:rsidRPr="009B44EB">
        <w:rPr>
          <w:b/>
        </w:rPr>
        <w:t>Par nodokļu piemērošanu brīvostās un speciālajās ekonomiskajās zonās”</w:t>
      </w:r>
      <w:r w:rsidRPr="009B44EB">
        <w:rPr>
          <w:b/>
          <w:lang w:val="lv-LV"/>
        </w:rPr>
        <w:t xml:space="preserve">” </w:t>
      </w:r>
      <w:r w:rsidRPr="009B44EB">
        <w:rPr>
          <w:b/>
          <w:bCs/>
          <w:lang w:val="lv-LV"/>
        </w:rPr>
        <w:t>sākotnējās ietekmes novērtējuma ziņojums (anotācija)</w:t>
      </w:r>
    </w:p>
    <w:bookmarkEnd w:id="0"/>
    <w:p w:rsidR="00D07FC0" w:rsidRPr="00300F62" w:rsidRDefault="00D07FC0" w:rsidP="00D07FC0">
      <w:pPr>
        <w:jc w:val="center"/>
        <w:rPr>
          <w:b/>
          <w:sz w:val="23"/>
          <w:szCs w:val="23"/>
          <w:lang w:val="lv-LV"/>
        </w:rPr>
      </w:pPr>
    </w:p>
    <w:tbl>
      <w:tblPr>
        <w:tblW w:w="5103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"/>
        <w:gridCol w:w="2304"/>
        <w:gridCol w:w="6624"/>
      </w:tblGrid>
      <w:tr w:rsidR="00D07FC0" w:rsidRPr="003653EC" w:rsidTr="002A4A92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b/>
                <w:bCs/>
                <w:lang w:val="lv-LV"/>
              </w:rPr>
            </w:pPr>
            <w:r w:rsidRPr="003653EC">
              <w:rPr>
                <w:b/>
                <w:bCs/>
                <w:lang w:val="lv-LV"/>
              </w:rPr>
              <w:t>I. Tiesību akta projekta izstrādes nepieciešamība</w:t>
            </w:r>
          </w:p>
        </w:tc>
      </w:tr>
      <w:tr w:rsidR="00D07FC0" w:rsidRPr="003653EC" w:rsidTr="002A4A9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1.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Pamatojums</w:t>
            </w:r>
          </w:p>
        </w:tc>
        <w:tc>
          <w:tcPr>
            <w:tcW w:w="3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232593" w:rsidRDefault="00D07FC0" w:rsidP="006775CD">
            <w:pPr>
              <w:tabs>
                <w:tab w:val="left" w:pos="252"/>
              </w:tabs>
              <w:jc w:val="both"/>
              <w:rPr>
                <w:lang w:val="lv-LV"/>
              </w:rPr>
            </w:pPr>
            <w:r w:rsidRPr="00EA49C3">
              <w:rPr>
                <w:lang w:val="lv-LV"/>
              </w:rPr>
              <w:t>Euro ieviešanas kārt</w:t>
            </w:r>
            <w:r w:rsidR="00232593">
              <w:rPr>
                <w:lang w:val="lv-LV"/>
              </w:rPr>
              <w:t>ības likuma 30.panta pirmā daļa.</w:t>
            </w:r>
          </w:p>
        </w:tc>
      </w:tr>
      <w:tr w:rsidR="00D07FC0" w:rsidRPr="003653EC" w:rsidTr="002A4A9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2.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Pašreizējā situācija un problēmas</w:t>
            </w:r>
          </w:p>
        </w:tc>
        <w:tc>
          <w:tcPr>
            <w:tcW w:w="3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Šobrīd likuma „</w:t>
            </w:r>
            <w:r w:rsidRPr="00DB52F4">
              <w:t>Par nodokļu piemērošanu brīvostās un speciālajās ekonomiskajās zonās</w:t>
            </w:r>
            <w:r w:rsidRPr="003653EC">
              <w:rPr>
                <w:lang w:val="lv-LV"/>
              </w:rPr>
              <w:t xml:space="preserve">” (turpmāk – likums) tekstā visas summas ir noteiktas </w:t>
            </w:r>
            <w:r>
              <w:rPr>
                <w:lang w:val="lv-LV"/>
              </w:rPr>
              <w:t>euro, ar norādi uz veicamo konvertāciju latos</w:t>
            </w:r>
            <w:r w:rsidRPr="003653EC">
              <w:rPr>
                <w:lang w:val="lv-LV"/>
              </w:rPr>
              <w:t>.</w:t>
            </w:r>
          </w:p>
          <w:p w:rsidR="00D07FC0" w:rsidRPr="003653EC" w:rsidRDefault="00D07FC0" w:rsidP="002A4A92">
            <w:pPr>
              <w:jc w:val="both"/>
              <w:rPr>
                <w:lang w:val="lv-LV"/>
              </w:rPr>
            </w:pPr>
            <w:r w:rsidRPr="003653EC">
              <w:rPr>
                <w:bCs/>
              </w:rPr>
              <w:t>Deklarācijas par Valda Dombrovska vadītā Ministru kabineta iecerēto darbību II sadaļas 1.punkts paredz, ka Latvija plāno iekļauties e</w:t>
            </w:r>
            <w:r>
              <w:rPr>
                <w:bCs/>
                <w:lang w:val="lv-LV"/>
              </w:rPr>
              <w:t>u</w:t>
            </w:r>
            <w:r w:rsidRPr="003653EC">
              <w:rPr>
                <w:bCs/>
              </w:rPr>
              <w:t xml:space="preserve">ro zonā jau 2014.gadā. </w:t>
            </w:r>
            <w:r w:rsidRPr="003653EC">
              <w:rPr>
                <w:bCs/>
                <w:lang w:val="lv-LV"/>
              </w:rPr>
              <w:t xml:space="preserve">Ņemot vērā, ka pēc iestāšanās euro zonā, likumīgais maksāšanas līdzeklis būs nevis lats, bet </w:t>
            </w:r>
            <w:r w:rsidRPr="0055199B">
              <w:rPr>
                <w:bCs/>
                <w:lang w:val="lv-LV"/>
              </w:rPr>
              <w:t>euro,</w:t>
            </w:r>
            <w:r w:rsidRPr="003653EC">
              <w:rPr>
                <w:bCs/>
                <w:lang w:val="lv-LV"/>
              </w:rPr>
              <w:t xml:space="preserve"> ir nepieciešams nodrošināt tiesību aktu pielāgošanu </w:t>
            </w:r>
            <w:r w:rsidRPr="0055199B">
              <w:rPr>
                <w:bCs/>
                <w:lang w:val="lv-LV"/>
              </w:rPr>
              <w:t>euro</w:t>
            </w:r>
            <w:r w:rsidRPr="003653EC">
              <w:rPr>
                <w:bCs/>
                <w:lang w:val="lv-LV"/>
              </w:rPr>
              <w:t xml:space="preserve"> ieviešanai Latvijā.</w:t>
            </w:r>
          </w:p>
        </w:tc>
      </w:tr>
      <w:tr w:rsidR="00D07FC0" w:rsidRPr="003653EC" w:rsidTr="002A4A9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 xml:space="preserve"> 3.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Saistītie politikas ietekmes novērtējumi un pētījumi</w:t>
            </w:r>
          </w:p>
        </w:tc>
        <w:tc>
          <w:tcPr>
            <w:tcW w:w="3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Projekts šo jomu neskar</w:t>
            </w:r>
          </w:p>
        </w:tc>
      </w:tr>
      <w:tr w:rsidR="00D07FC0" w:rsidRPr="003653EC" w:rsidTr="002A4A9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4.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Tiesiskā regulējuma mērķis un būtība</w:t>
            </w:r>
          </w:p>
        </w:tc>
        <w:tc>
          <w:tcPr>
            <w:tcW w:w="3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950" w:rsidRDefault="00436950" w:rsidP="0043695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Likumprojekta</w:t>
            </w:r>
            <w:r w:rsidRPr="003653EC">
              <w:rPr>
                <w:lang w:val="lv-LV"/>
              </w:rPr>
              <w:t xml:space="preserve"> mērķis ir ar 2014.gada 1.janvāri </w:t>
            </w:r>
            <w:r>
              <w:rPr>
                <w:lang w:val="lv-LV"/>
              </w:rPr>
              <w:t>likum</w:t>
            </w:r>
            <w:r w:rsidR="007323BB">
              <w:rPr>
                <w:lang w:val="lv-LV"/>
              </w:rPr>
              <w:t>ā</w:t>
            </w:r>
            <w:r w:rsidR="007323BB" w:rsidRPr="00DD6003">
              <w:rPr>
                <w:lang w:val="lv-LV"/>
              </w:rPr>
              <w:t xml:space="preserve"> nodrošināt, ka likuma teksts nesatur atsauci uz latiem</w:t>
            </w:r>
            <w:r w:rsidR="007323BB">
              <w:rPr>
                <w:lang w:val="lv-LV"/>
              </w:rPr>
              <w:t>, lai</w:t>
            </w:r>
            <w:r>
              <w:rPr>
                <w:lang w:val="lv-LV"/>
              </w:rPr>
              <w:t xml:space="preserve"> saskaņā ar 2013.gada 4.aprīļa Ministru kabineta rīkojuma Nr.136 „Par Latvijas Nacionālo euro ieviešanas plānu” 6.punktu Latvija iekļautos </w:t>
            </w:r>
            <w:r w:rsidRPr="00FC1715">
              <w:rPr>
                <w:i/>
                <w:lang w:val="lv-LV"/>
              </w:rPr>
              <w:t>euro</w:t>
            </w:r>
            <w:r>
              <w:rPr>
                <w:lang w:val="lv-LV"/>
              </w:rPr>
              <w:t xml:space="preserve"> zonā no 2014.gada.</w:t>
            </w:r>
          </w:p>
          <w:p w:rsidR="00D07FC0" w:rsidRPr="003653EC" w:rsidRDefault="00436950" w:rsidP="00A9563A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Ņemot vērā, ka saskaņā ar esošajiem tiesiskajiem aktiem Latvija plāno ieviest </w:t>
            </w:r>
            <w:r w:rsidRPr="00FC1715">
              <w:rPr>
                <w:i/>
                <w:lang w:val="lv-LV"/>
              </w:rPr>
              <w:t>euro</w:t>
            </w:r>
            <w:r>
              <w:rPr>
                <w:lang w:val="lv-LV"/>
              </w:rPr>
              <w:t xml:space="preserve"> no 2014.gada 1.janvāra, tad ir paredzēts, ka likumprojektā sagatavotie grozījumi stāsies spēkā </w:t>
            </w:r>
            <w:r w:rsidRPr="00FC1715">
              <w:rPr>
                <w:i/>
                <w:lang w:val="lv-LV"/>
              </w:rPr>
              <w:t>euro</w:t>
            </w:r>
            <w:r>
              <w:rPr>
                <w:lang w:val="lv-LV"/>
              </w:rPr>
              <w:t xml:space="preserve"> ieviešanas dienā.</w:t>
            </w:r>
          </w:p>
        </w:tc>
      </w:tr>
      <w:tr w:rsidR="00D07FC0" w:rsidRPr="003653EC" w:rsidTr="002A4A9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5.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Projekta izstrādē iesaistītās institūcijas</w:t>
            </w:r>
          </w:p>
        </w:tc>
        <w:tc>
          <w:tcPr>
            <w:tcW w:w="3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Projekts šo jomu neskar</w:t>
            </w:r>
          </w:p>
        </w:tc>
      </w:tr>
      <w:tr w:rsidR="00D07FC0" w:rsidRPr="003653EC" w:rsidTr="002A4A92">
        <w:trPr>
          <w:trHeight w:val="119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6.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Iemesli, kādēļ netika nodrošināta sabiedrības līdzdalība</w:t>
            </w:r>
          </w:p>
        </w:tc>
        <w:tc>
          <w:tcPr>
            <w:tcW w:w="3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C50F5E">
              <w:rPr>
                <w:lang w:val="lv-LV"/>
              </w:rPr>
              <w:t>Sabiedrība tika informēta pieņemot Euro ieviešanas kārtības likumu.</w:t>
            </w:r>
          </w:p>
        </w:tc>
      </w:tr>
      <w:tr w:rsidR="00D07FC0" w:rsidRPr="003653EC" w:rsidTr="002A4A92">
        <w:trPr>
          <w:trHeight w:val="48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7.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Cita informācija</w:t>
            </w:r>
          </w:p>
        </w:tc>
        <w:tc>
          <w:tcPr>
            <w:tcW w:w="3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line="240" w:lineRule="atLeast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 xml:space="preserve"> Nav</w:t>
            </w:r>
          </w:p>
        </w:tc>
      </w:tr>
    </w:tbl>
    <w:p w:rsidR="00D07FC0" w:rsidRPr="003653EC" w:rsidRDefault="00D07FC0" w:rsidP="00D07FC0">
      <w:pPr>
        <w:jc w:val="both"/>
        <w:rPr>
          <w:lang w:val="lv-LV"/>
        </w:rPr>
      </w:pPr>
      <w:r w:rsidRPr="003653EC">
        <w:rPr>
          <w:lang w:val="lv-LV"/>
        </w:rPr>
        <w:t> </w:t>
      </w:r>
    </w:p>
    <w:tbl>
      <w:tblPr>
        <w:tblW w:w="5105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"/>
        <w:gridCol w:w="4270"/>
        <w:gridCol w:w="4469"/>
      </w:tblGrid>
      <w:tr w:rsidR="00D07FC0" w:rsidRPr="003653EC" w:rsidTr="002A4A92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b/>
                <w:bCs/>
                <w:lang w:val="lv-LV"/>
              </w:rPr>
            </w:pPr>
            <w:r w:rsidRPr="003653EC">
              <w:rPr>
                <w:b/>
                <w:bCs/>
                <w:lang w:val="lv-LV"/>
              </w:rPr>
              <w:t>II. Tiesību akta projekta ietekme uz sabiedrību</w:t>
            </w:r>
          </w:p>
        </w:tc>
      </w:tr>
      <w:tr w:rsidR="00D07FC0" w:rsidRPr="003653EC" w:rsidTr="002A4A92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1.</w:t>
            </w:r>
          </w:p>
        </w:tc>
        <w:tc>
          <w:tcPr>
            <w:tcW w:w="2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Sabiedrības mērķgrupa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0343A2" w:rsidRDefault="00D07FC0" w:rsidP="002A4A92">
            <w:pPr>
              <w:tabs>
                <w:tab w:val="left" w:pos="927"/>
                <w:tab w:val="left" w:pos="3222"/>
              </w:tabs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Uzņēm</w:t>
            </w:r>
            <w:r>
              <w:rPr>
                <w:lang w:val="lv-LV"/>
              </w:rPr>
              <w:t xml:space="preserve">ējsabiedrības, kuras reģistrētas un darbojas </w:t>
            </w:r>
            <w:r w:rsidRPr="000343A2">
              <w:t>brīvostās un speciālajās ekonomiskajās zonās</w:t>
            </w:r>
          </w:p>
        </w:tc>
      </w:tr>
      <w:tr w:rsidR="00D07FC0" w:rsidRPr="003653EC" w:rsidTr="002A4A92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2.</w:t>
            </w:r>
          </w:p>
        </w:tc>
        <w:tc>
          <w:tcPr>
            <w:tcW w:w="2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Citas sabiedrības grupas (bez mērķgrupas), kuras tiesiskais regulējums arī ietekmē vai varētu ietekmēt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Projekts šo jomu neskar</w:t>
            </w:r>
          </w:p>
        </w:tc>
      </w:tr>
      <w:tr w:rsidR="00D07FC0" w:rsidRPr="003653EC" w:rsidTr="002A4A92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3.</w:t>
            </w:r>
          </w:p>
        </w:tc>
        <w:tc>
          <w:tcPr>
            <w:tcW w:w="2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Tiesiskā regulējuma finansiālā ietekme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Projekts šo jomu neskar</w:t>
            </w:r>
          </w:p>
        </w:tc>
      </w:tr>
      <w:tr w:rsidR="00D07FC0" w:rsidRPr="003653EC" w:rsidTr="002A4A92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4.</w:t>
            </w:r>
          </w:p>
        </w:tc>
        <w:tc>
          <w:tcPr>
            <w:tcW w:w="2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Tiesiskā regulējuma nefinansiālā ietekme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Projekts šo jomu neskar</w:t>
            </w:r>
          </w:p>
        </w:tc>
      </w:tr>
      <w:tr w:rsidR="00D07FC0" w:rsidRPr="003653EC" w:rsidTr="002A4A92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5.</w:t>
            </w:r>
          </w:p>
        </w:tc>
        <w:tc>
          <w:tcPr>
            <w:tcW w:w="2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Administratīvās procedūras raksturojums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Projekts šo jomu neskar</w:t>
            </w:r>
          </w:p>
        </w:tc>
      </w:tr>
      <w:tr w:rsidR="00D07FC0" w:rsidRPr="003653EC" w:rsidTr="002A4A92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6.</w:t>
            </w:r>
          </w:p>
        </w:tc>
        <w:tc>
          <w:tcPr>
            <w:tcW w:w="2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Administratīvo izmaksu monetārs novērtējums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Projekts šo jomu neskar</w:t>
            </w:r>
          </w:p>
        </w:tc>
      </w:tr>
      <w:tr w:rsidR="00D07FC0" w:rsidRPr="003653EC" w:rsidTr="002A4A92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lastRenderedPageBreak/>
              <w:t>7.</w:t>
            </w:r>
          </w:p>
        </w:tc>
        <w:tc>
          <w:tcPr>
            <w:tcW w:w="2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Cita informācija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 xml:space="preserve"> Nav</w:t>
            </w:r>
          </w:p>
        </w:tc>
      </w:tr>
    </w:tbl>
    <w:p w:rsidR="00D07FC0" w:rsidRPr="000F7B4A" w:rsidRDefault="00D07FC0" w:rsidP="00D07FC0">
      <w:pPr>
        <w:rPr>
          <w:vanish/>
          <w:color w:val="FF0000"/>
          <w:lang w:val="lv-LV"/>
        </w:rPr>
      </w:pPr>
    </w:p>
    <w:p w:rsidR="00D07FC0" w:rsidRPr="003653EC" w:rsidRDefault="00D07FC0" w:rsidP="00D07FC0">
      <w:pPr>
        <w:rPr>
          <w:vanish/>
          <w:lang w:val="lv-LV"/>
        </w:rPr>
      </w:pPr>
    </w:p>
    <w:tbl>
      <w:tblPr>
        <w:tblpPr w:leftFromText="180" w:rightFromText="180" w:vertAnchor="text" w:horzAnchor="margin" w:tblpX="-112" w:tblpY="212"/>
        <w:tblW w:w="5061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"/>
        <w:gridCol w:w="4466"/>
        <w:gridCol w:w="4423"/>
      </w:tblGrid>
      <w:tr w:rsidR="00D07FC0" w:rsidRPr="003653EC" w:rsidTr="002A4A9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b/>
                <w:bCs/>
                <w:lang w:val="lv-LV"/>
              </w:rPr>
            </w:pPr>
            <w:r w:rsidRPr="00300F62">
              <w:rPr>
                <w:b/>
                <w:bCs/>
                <w:sz w:val="23"/>
                <w:szCs w:val="23"/>
                <w:lang w:val="lv-LV"/>
              </w:rPr>
              <w:t>III. Tiesību akta projekta ietekme uz valsts budžetu un pašvaldību budžetiem</w:t>
            </w:r>
          </w:p>
        </w:tc>
      </w:tr>
      <w:tr w:rsidR="00D07FC0" w:rsidRPr="003653EC" w:rsidTr="002A4A9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center"/>
              <w:rPr>
                <w:b/>
                <w:bCs/>
                <w:lang w:val="lv-LV"/>
              </w:rPr>
            </w:pPr>
            <w:r w:rsidRPr="003653EC">
              <w:rPr>
                <w:lang w:val="lv-LV"/>
              </w:rPr>
              <w:t>Projekts šo jomu neskar</w:t>
            </w:r>
          </w:p>
        </w:tc>
      </w:tr>
      <w:tr w:rsidR="00D07FC0" w:rsidRPr="003653EC" w:rsidTr="002A4A9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586A76" w:rsidRDefault="00D07FC0" w:rsidP="002A4A92">
            <w:pPr>
              <w:spacing w:before="100" w:beforeAutospacing="1" w:after="100" w:afterAutospacing="1"/>
              <w:jc w:val="both"/>
              <w:rPr>
                <w:b/>
                <w:bCs/>
                <w:lang w:val="lv-LV"/>
              </w:rPr>
            </w:pPr>
            <w:r w:rsidRPr="00586A76">
              <w:rPr>
                <w:b/>
              </w:rPr>
              <w:t>IV. Tiesību akta projekta ietekme uz spēkā esošo tiesību normu sistēmu</w:t>
            </w:r>
          </w:p>
        </w:tc>
      </w:tr>
      <w:tr w:rsidR="00D07FC0" w:rsidRPr="003653EC" w:rsidTr="002A4A9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center"/>
              <w:rPr>
                <w:b/>
                <w:bCs/>
                <w:lang w:val="lv-LV"/>
              </w:rPr>
            </w:pPr>
            <w:r w:rsidRPr="003653EC">
              <w:rPr>
                <w:lang w:val="lv-LV"/>
              </w:rPr>
              <w:t>Projekts šo jomu neskar</w:t>
            </w:r>
          </w:p>
        </w:tc>
      </w:tr>
      <w:tr w:rsidR="00D07FC0" w:rsidRPr="003653EC" w:rsidTr="002A4A9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Default="00D07FC0" w:rsidP="002A4A92">
            <w:r w:rsidRPr="0033363C">
              <w:rPr>
                <w:b/>
                <w:lang w:val="en-US"/>
              </w:rPr>
              <w:t>V. Tiesību akta projekta atbilstība Latvijas Republikas starptautiskajām saistībām</w:t>
            </w:r>
          </w:p>
        </w:tc>
      </w:tr>
      <w:tr w:rsidR="00D07FC0" w:rsidRPr="003653EC" w:rsidTr="002A4A9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3363C" w:rsidRDefault="00D07FC0" w:rsidP="002A4A92">
            <w:pPr>
              <w:jc w:val="center"/>
              <w:rPr>
                <w:b/>
                <w:lang w:val="en-US"/>
              </w:rPr>
            </w:pPr>
            <w:r w:rsidRPr="003653EC">
              <w:rPr>
                <w:lang w:val="lv-LV"/>
              </w:rPr>
              <w:t>Projekts šo jomu neskar</w:t>
            </w:r>
          </w:p>
        </w:tc>
      </w:tr>
      <w:tr w:rsidR="00D07FC0" w:rsidRPr="003653EC" w:rsidTr="002A4A9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7C0F2C" w:rsidRDefault="00D07FC0" w:rsidP="002A4A92">
            <w:pPr>
              <w:pStyle w:val="naisnod"/>
              <w:spacing w:before="0" w:after="0"/>
              <w:ind w:right="57"/>
              <w:jc w:val="left"/>
            </w:pPr>
            <w:r w:rsidRPr="007C0F2C">
              <w:t>VI. Sabiedrības līdzdalība un šīs līdzdalības rezultāti</w:t>
            </w:r>
          </w:p>
        </w:tc>
      </w:tr>
      <w:tr w:rsidR="00D07FC0" w:rsidRPr="003653EC" w:rsidTr="002A4A9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7C0F2C" w:rsidRDefault="00D07FC0" w:rsidP="002A4A92">
            <w:pPr>
              <w:pStyle w:val="naiskr"/>
              <w:spacing w:before="0" w:after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Cs w:val="28"/>
              </w:rPr>
              <w:t>Projekts šo jomu neskar</w:t>
            </w:r>
          </w:p>
        </w:tc>
      </w:tr>
      <w:tr w:rsidR="00D07FC0" w:rsidRPr="003653EC" w:rsidTr="002A4A9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b/>
                <w:bCs/>
                <w:lang w:val="lv-LV"/>
              </w:rPr>
            </w:pPr>
            <w:r w:rsidRPr="003653EC">
              <w:rPr>
                <w:b/>
                <w:bCs/>
                <w:lang w:val="lv-LV"/>
              </w:rPr>
              <w:t>VII. Tiesību akta projekta izpildes nodrošināšana un tās ietekme uz institūcijām</w:t>
            </w:r>
          </w:p>
        </w:tc>
      </w:tr>
      <w:tr w:rsidR="00D07FC0" w:rsidRPr="003653EC" w:rsidTr="002A4A92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1.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Projekta izpildē iesaistītās institūcijas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Valsts ieņēmumu dienests</w:t>
            </w:r>
          </w:p>
        </w:tc>
      </w:tr>
      <w:tr w:rsidR="00D07FC0" w:rsidRPr="003653EC" w:rsidTr="002A4A92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2.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Projekta izpildes ietekme uz pārvaldes funkcijām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Projekts šo jomu neskar</w:t>
            </w:r>
          </w:p>
        </w:tc>
      </w:tr>
      <w:tr w:rsidR="00D07FC0" w:rsidRPr="003653EC" w:rsidTr="002A4A92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3.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Projekta izpildes ietekme uz pārvaldes institucionālo struktūru</w:t>
            </w:r>
          </w:p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Jaunu institūciju izveide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Projekts šo jomu neskar</w:t>
            </w:r>
          </w:p>
        </w:tc>
      </w:tr>
      <w:tr w:rsidR="00D07FC0" w:rsidRPr="003653EC" w:rsidTr="002A4A92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4.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Projekta izpildes ietekme uz pārvaldes institucionālo struktūru</w:t>
            </w:r>
          </w:p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Esošu institūciju likvidācija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Projekts šo jomu neskar</w:t>
            </w:r>
          </w:p>
        </w:tc>
      </w:tr>
      <w:tr w:rsidR="00D07FC0" w:rsidRPr="003653EC" w:rsidTr="002A4A92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5.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Projekta izpildes ietekme uz pārvaldes institucionālo struktūru</w:t>
            </w:r>
          </w:p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Esošu institūciju reorganizācija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Projekts šo jomu neskar</w:t>
            </w:r>
          </w:p>
        </w:tc>
      </w:tr>
      <w:tr w:rsidR="00D07FC0" w:rsidRPr="003653EC" w:rsidTr="002A4A92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6.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Cita informācija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FC0" w:rsidRPr="003653EC" w:rsidRDefault="00D07FC0" w:rsidP="002A4A92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Nav</w:t>
            </w:r>
          </w:p>
        </w:tc>
      </w:tr>
    </w:tbl>
    <w:p w:rsidR="00D07FC0" w:rsidRPr="003653EC" w:rsidRDefault="00D07FC0" w:rsidP="00D07FC0">
      <w:pPr>
        <w:jc w:val="both"/>
        <w:rPr>
          <w:lang w:val="lv-LV"/>
        </w:rPr>
      </w:pPr>
    </w:p>
    <w:p w:rsidR="00D07FC0" w:rsidRDefault="00D07FC0" w:rsidP="00D07FC0">
      <w:pPr>
        <w:pStyle w:val="Footer"/>
      </w:pPr>
      <w:r w:rsidRPr="003653EC">
        <w:t xml:space="preserve">      </w:t>
      </w:r>
      <w:r w:rsidRPr="003653EC">
        <w:tab/>
      </w:r>
    </w:p>
    <w:p w:rsidR="00187B59" w:rsidRPr="00BB40D4" w:rsidRDefault="00187B59" w:rsidP="00187B59">
      <w:pPr>
        <w:ind w:firstLine="709"/>
        <w:rPr>
          <w:sz w:val="28"/>
          <w:szCs w:val="28"/>
        </w:rPr>
      </w:pPr>
      <w:r w:rsidRPr="00BB40D4">
        <w:rPr>
          <w:sz w:val="28"/>
          <w:szCs w:val="28"/>
        </w:rPr>
        <w:t>Finanšu ministra vietā –</w:t>
      </w:r>
    </w:p>
    <w:p w:rsidR="00E210C8" w:rsidRDefault="00187B59" w:rsidP="00187B59">
      <w:pPr>
        <w:pStyle w:val="Foo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40D4">
        <w:rPr>
          <w:sz w:val="28"/>
          <w:szCs w:val="28"/>
        </w:rPr>
        <w:t>zemkopības ministre                                                                L.Straujum</w:t>
      </w:r>
      <w:r>
        <w:rPr>
          <w:sz w:val="28"/>
          <w:szCs w:val="28"/>
        </w:rPr>
        <w:t>a</w:t>
      </w:r>
    </w:p>
    <w:p w:rsidR="00E210C8" w:rsidRDefault="00E210C8" w:rsidP="00D07FC0">
      <w:pPr>
        <w:pStyle w:val="Footer"/>
        <w:rPr>
          <w:sz w:val="28"/>
          <w:szCs w:val="28"/>
        </w:rPr>
      </w:pPr>
    </w:p>
    <w:p w:rsidR="00E210C8" w:rsidRDefault="00E210C8" w:rsidP="00D07FC0">
      <w:pPr>
        <w:pStyle w:val="Footer"/>
        <w:rPr>
          <w:sz w:val="28"/>
          <w:szCs w:val="28"/>
        </w:rPr>
      </w:pPr>
    </w:p>
    <w:p w:rsidR="00E210C8" w:rsidRDefault="00E210C8" w:rsidP="00D07FC0">
      <w:pPr>
        <w:pStyle w:val="Footer"/>
        <w:rPr>
          <w:sz w:val="28"/>
          <w:szCs w:val="28"/>
        </w:rPr>
      </w:pPr>
    </w:p>
    <w:p w:rsidR="00D07FC0" w:rsidRDefault="00D07FC0" w:rsidP="00D07FC0">
      <w:pPr>
        <w:pStyle w:val="Footer"/>
        <w:rPr>
          <w:sz w:val="28"/>
          <w:szCs w:val="28"/>
        </w:rPr>
      </w:pPr>
    </w:p>
    <w:p w:rsidR="00187B59" w:rsidRDefault="00187B59" w:rsidP="00D07FC0">
      <w:pPr>
        <w:pStyle w:val="Footer"/>
        <w:rPr>
          <w:sz w:val="28"/>
          <w:szCs w:val="28"/>
        </w:rPr>
      </w:pPr>
    </w:p>
    <w:p w:rsidR="00187B59" w:rsidRDefault="00187B59" w:rsidP="00D07FC0">
      <w:pPr>
        <w:pStyle w:val="Footer"/>
        <w:rPr>
          <w:sz w:val="28"/>
          <w:szCs w:val="28"/>
        </w:rPr>
      </w:pPr>
    </w:p>
    <w:p w:rsidR="00D07FC0" w:rsidRDefault="00D07FC0" w:rsidP="00D07FC0">
      <w:pPr>
        <w:pStyle w:val="Footer"/>
        <w:rPr>
          <w:sz w:val="28"/>
          <w:szCs w:val="28"/>
        </w:rPr>
      </w:pPr>
    </w:p>
    <w:p w:rsidR="00D07FC0" w:rsidRDefault="00D07FC0" w:rsidP="00D07FC0">
      <w:pPr>
        <w:pStyle w:val="Foo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7FC0" w:rsidRDefault="009C796A" w:rsidP="00D07FC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10</w:t>
      </w:r>
      <w:r w:rsidR="00D07FC0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="00D07FC0">
        <w:rPr>
          <w:sz w:val="22"/>
          <w:szCs w:val="22"/>
        </w:rPr>
        <w:t>.2013</w:t>
      </w:r>
    </w:p>
    <w:p w:rsidR="00D07FC0" w:rsidRDefault="00D07FC0" w:rsidP="00D07FC0">
      <w:pPr>
        <w:pStyle w:val="BodyText"/>
        <w:rPr>
          <w:sz w:val="22"/>
          <w:szCs w:val="22"/>
        </w:rPr>
      </w:pPr>
      <w:r w:rsidRPr="009801BC">
        <w:rPr>
          <w:sz w:val="22"/>
          <w:szCs w:val="22"/>
        </w:rPr>
        <w:fldChar w:fldCharType="begin"/>
      </w:r>
      <w:r w:rsidRPr="009801BC">
        <w:rPr>
          <w:sz w:val="22"/>
          <w:szCs w:val="22"/>
        </w:rPr>
        <w:instrText xml:space="preserve"> NUMWORDS   \* MERGEFORMAT </w:instrText>
      </w:r>
      <w:r w:rsidRPr="009801BC">
        <w:rPr>
          <w:sz w:val="22"/>
          <w:szCs w:val="22"/>
        </w:rPr>
        <w:fldChar w:fldCharType="separate"/>
      </w:r>
      <w:r w:rsidR="00187B59">
        <w:rPr>
          <w:noProof/>
          <w:sz w:val="22"/>
          <w:szCs w:val="22"/>
        </w:rPr>
        <w:t>435</w:t>
      </w:r>
      <w:r w:rsidRPr="009801BC">
        <w:rPr>
          <w:sz w:val="22"/>
          <w:szCs w:val="22"/>
        </w:rPr>
        <w:fldChar w:fldCharType="end"/>
      </w:r>
    </w:p>
    <w:p w:rsidR="00D07FC0" w:rsidRPr="00E731CE" w:rsidRDefault="00D07FC0" w:rsidP="00D07FC0">
      <w:pPr>
        <w:tabs>
          <w:tab w:val="left" w:pos="5475"/>
        </w:tabs>
        <w:contextualSpacing/>
      </w:pPr>
      <w:r w:rsidRPr="00E731CE">
        <w:t>S.Mačivka 67095630,</w:t>
      </w:r>
    </w:p>
    <w:p w:rsidR="006E4B4D" w:rsidRDefault="00636477">
      <w:hyperlink r:id="rId7" w:history="1">
        <w:r w:rsidR="00D07FC0" w:rsidRPr="00E731CE">
          <w:rPr>
            <w:rStyle w:val="Hyperlink"/>
          </w:rPr>
          <w:t>sandra.macivka@fm.gov.lv</w:t>
        </w:r>
      </w:hyperlink>
    </w:p>
    <w:sectPr w:rsidR="006E4B4D" w:rsidSect="003865F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6A" w:rsidRDefault="009C796A" w:rsidP="009C796A">
      <w:r>
        <w:separator/>
      </w:r>
    </w:p>
  </w:endnote>
  <w:endnote w:type="continuationSeparator" w:id="0">
    <w:p w:rsidR="009C796A" w:rsidRDefault="009C796A" w:rsidP="009C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F8" w:rsidRPr="009E33DA" w:rsidRDefault="00643DFB" w:rsidP="009E33DA">
    <w:pPr>
      <w:pStyle w:val="Footer"/>
      <w:contextualSpacing/>
      <w:jc w:val="both"/>
    </w:pPr>
    <w:r w:rsidRPr="00694E09">
      <w:rPr>
        <w:sz w:val="16"/>
        <w:szCs w:val="16"/>
      </w:rPr>
      <w:fldChar w:fldCharType="begin"/>
    </w:r>
    <w:r w:rsidRPr="00694E09">
      <w:rPr>
        <w:sz w:val="16"/>
        <w:szCs w:val="16"/>
      </w:rPr>
      <w:instrText xml:space="preserve"> FILENAME   \* MERGEFORMAT </w:instrText>
    </w:r>
    <w:r w:rsidRPr="00694E09">
      <w:rPr>
        <w:sz w:val="16"/>
        <w:szCs w:val="16"/>
      </w:rPr>
      <w:fldChar w:fldCharType="separate"/>
    </w:r>
    <w:r w:rsidR="000159B2">
      <w:rPr>
        <w:noProof/>
        <w:sz w:val="16"/>
        <w:szCs w:val="16"/>
      </w:rPr>
      <w:t>FMAnot_100713_SEZEuro</w:t>
    </w:r>
    <w:r w:rsidRPr="00694E09">
      <w:rPr>
        <w:sz w:val="16"/>
        <w:szCs w:val="16"/>
      </w:rPr>
      <w:fldChar w:fldCharType="end"/>
    </w:r>
    <w:r w:rsidRPr="00694E09">
      <w:rPr>
        <w:sz w:val="16"/>
        <w:szCs w:val="16"/>
      </w:rPr>
      <w:t>; Likumprojekta „Grozījumi likumā „Par nodokļu piemērošanu brīvostās un speciālajās ekonomiskajās zonās””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F8" w:rsidRPr="00694E09" w:rsidRDefault="00643DFB" w:rsidP="00694E09">
    <w:pPr>
      <w:pStyle w:val="Footer"/>
      <w:contextualSpacing/>
      <w:jc w:val="both"/>
      <w:rPr>
        <w:sz w:val="16"/>
        <w:szCs w:val="16"/>
      </w:rPr>
    </w:pPr>
    <w:r w:rsidRPr="00694E09">
      <w:rPr>
        <w:sz w:val="16"/>
        <w:szCs w:val="16"/>
      </w:rPr>
      <w:fldChar w:fldCharType="begin"/>
    </w:r>
    <w:r w:rsidRPr="00694E09">
      <w:rPr>
        <w:sz w:val="16"/>
        <w:szCs w:val="16"/>
      </w:rPr>
      <w:instrText xml:space="preserve"> FILENAME   \* MERGEFORMAT </w:instrText>
    </w:r>
    <w:r w:rsidRPr="00694E09">
      <w:rPr>
        <w:sz w:val="16"/>
        <w:szCs w:val="16"/>
      </w:rPr>
      <w:fldChar w:fldCharType="separate"/>
    </w:r>
    <w:r w:rsidR="000159B2">
      <w:rPr>
        <w:noProof/>
        <w:sz w:val="16"/>
        <w:szCs w:val="16"/>
      </w:rPr>
      <w:t>FMAnot_100713_SEZEuro</w:t>
    </w:r>
    <w:r w:rsidRPr="00694E09">
      <w:rPr>
        <w:sz w:val="16"/>
        <w:szCs w:val="16"/>
      </w:rPr>
      <w:fldChar w:fldCharType="end"/>
    </w:r>
    <w:r w:rsidRPr="00694E09">
      <w:rPr>
        <w:sz w:val="16"/>
        <w:szCs w:val="16"/>
      </w:rPr>
      <w:t>; Likumprojekta „Grozījumi likumā „Par nodokļu piemērošanu brīvostās un speciālajās ekonomiskajās zonās””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6A" w:rsidRDefault="009C796A" w:rsidP="009C796A">
      <w:r>
        <w:separator/>
      </w:r>
    </w:p>
  </w:footnote>
  <w:footnote w:type="continuationSeparator" w:id="0">
    <w:p w:rsidR="009C796A" w:rsidRDefault="009C796A" w:rsidP="009C7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F8" w:rsidRDefault="00643DFB" w:rsidP="003865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5F8" w:rsidRDefault="00636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F8" w:rsidRDefault="00643DFB" w:rsidP="003865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477">
      <w:rPr>
        <w:rStyle w:val="PageNumber"/>
        <w:noProof/>
      </w:rPr>
      <w:t>2</w:t>
    </w:r>
    <w:r>
      <w:rPr>
        <w:rStyle w:val="PageNumber"/>
      </w:rPr>
      <w:fldChar w:fldCharType="end"/>
    </w:r>
  </w:p>
  <w:p w:rsidR="003865F8" w:rsidRDefault="006364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46D3F"/>
    <w:multiLevelType w:val="hybridMultilevel"/>
    <w:tmpl w:val="C86EDE56"/>
    <w:lvl w:ilvl="0" w:tplc="AC2EDB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C0"/>
    <w:rsid w:val="000159B2"/>
    <w:rsid w:val="000449E9"/>
    <w:rsid w:val="000D5B66"/>
    <w:rsid w:val="00187B59"/>
    <w:rsid w:val="00232593"/>
    <w:rsid w:val="0024044E"/>
    <w:rsid w:val="00436950"/>
    <w:rsid w:val="00542A22"/>
    <w:rsid w:val="00636477"/>
    <w:rsid w:val="00643DFB"/>
    <w:rsid w:val="006775CD"/>
    <w:rsid w:val="006E4B4D"/>
    <w:rsid w:val="007323BB"/>
    <w:rsid w:val="009C0162"/>
    <w:rsid w:val="009C796A"/>
    <w:rsid w:val="00A9563A"/>
    <w:rsid w:val="00D07FC0"/>
    <w:rsid w:val="00DA2CB4"/>
    <w:rsid w:val="00E210C8"/>
    <w:rsid w:val="00E5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47D3D-0541-4CE2-86E9-580E7BFC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7F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D07F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D07FC0"/>
  </w:style>
  <w:style w:type="paragraph" w:styleId="Footer">
    <w:name w:val="footer"/>
    <w:basedOn w:val="Normal"/>
    <w:link w:val="FooterChar"/>
    <w:rsid w:val="00D07FC0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rsid w:val="00D07FC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D07FC0"/>
    <w:rPr>
      <w:sz w:val="28"/>
      <w:szCs w:val="20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D07FC0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uiPriority w:val="99"/>
    <w:unhideWhenUsed/>
    <w:rsid w:val="00D07FC0"/>
    <w:rPr>
      <w:color w:val="0000FF"/>
      <w:u w:val="single"/>
    </w:rPr>
  </w:style>
  <w:style w:type="paragraph" w:customStyle="1" w:styleId="naisnod">
    <w:name w:val="naisnod"/>
    <w:basedOn w:val="Normal"/>
    <w:rsid w:val="00D07FC0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kr">
    <w:name w:val="naiskr"/>
    <w:basedOn w:val="Normal"/>
    <w:rsid w:val="00D07FC0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B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dra.macivka@f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2268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„Grozījumi likumā „Par nodokļu piemērošanu brīvostās un speciālajās ekonomiskajās zonās”” sākotnējās ietekmes novērtējuma ziņojums (anotācija)</dc:title>
  <dc:subject>Anotācija</dc:subject>
  <dc:creator>S.Mačivka</dc:creator>
  <cp:keywords/>
  <dc:description>Sandra.Macivka@fm.gov.lv, 67095630</dc:description>
  <cp:lastModifiedBy>Leite Līga</cp:lastModifiedBy>
  <cp:revision>19</cp:revision>
  <cp:lastPrinted>2013-07-17T10:52:00Z</cp:lastPrinted>
  <dcterms:created xsi:type="dcterms:W3CDTF">2013-07-10T12:29:00Z</dcterms:created>
  <dcterms:modified xsi:type="dcterms:W3CDTF">2013-07-22T12:33:00Z</dcterms:modified>
</cp:coreProperties>
</file>