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F2" w:rsidRDefault="00AF5AA2" w:rsidP="008C0DC4">
      <w:pPr>
        <w:pStyle w:val="BodyText"/>
        <w:ind w:left="-567" w:right="-1333"/>
      </w:pPr>
      <w:r>
        <w:t>Ministru kabineta noteikumu projekta „</w:t>
      </w:r>
      <w:r w:rsidR="00D44991" w:rsidRPr="00D44991">
        <w:t>Grozījumi Ministru kabineta 2010.gada 19.janvāra noteikumos Nr.63 “Valsts aizdevumu izsniegšanas un apkalpošanas kārtība””</w:t>
      </w:r>
      <w:r>
        <w:t xml:space="preserve"> sākotnējās ietekmes novērtējuma ziņojums (anotācija)</w:t>
      </w:r>
    </w:p>
    <w:p w:rsidR="008766F2" w:rsidRDefault="008766F2" w:rsidP="008C0DC4">
      <w:pPr>
        <w:ind w:right="-1333"/>
        <w:jc w:val="center"/>
        <w:rPr>
          <w:b/>
          <w:bCs/>
          <w:lang w:val="lv-LV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6979"/>
      </w:tblGrid>
      <w:tr w:rsidR="008766F2" w:rsidRPr="00356FE1" w:rsidTr="008C0DC4">
        <w:trPr>
          <w:cantSplit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8C0DC4">
            <w:pPr>
              <w:pStyle w:val="BodyTextIndent"/>
              <w:tabs>
                <w:tab w:val="left" w:pos="9504"/>
              </w:tabs>
              <w:jc w:val="center"/>
            </w:pPr>
            <w:r>
              <w:t xml:space="preserve">I. </w:t>
            </w:r>
            <w:r w:rsidR="00C34CD5" w:rsidRPr="00C34CD5">
              <w:t>Tiesību akta projekta izstrādes nepieciešamība</w:t>
            </w:r>
          </w:p>
        </w:tc>
      </w:tr>
      <w:tr w:rsidR="008766F2" w:rsidRPr="00DF0C64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Pamatojums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Pr="00DC3C86" w:rsidRDefault="00DC3C86" w:rsidP="00DC3C86">
            <w:pPr>
              <w:pStyle w:val="BodyTextIndent"/>
              <w:rPr>
                <w:b w:val="0"/>
              </w:rPr>
            </w:pPr>
            <w:r w:rsidRPr="00DC3C86">
              <w:rPr>
                <w:b w:val="0"/>
              </w:rPr>
              <w:t>Ministru kabineta 201</w:t>
            </w:r>
            <w:r w:rsidR="00DF0C64">
              <w:rPr>
                <w:b w:val="0"/>
              </w:rPr>
              <w:t>3</w:t>
            </w:r>
            <w:r w:rsidRPr="00DC3C86">
              <w:rPr>
                <w:b w:val="0"/>
              </w:rPr>
              <w:t xml:space="preserve">.gada </w:t>
            </w:r>
            <w:r w:rsidR="00DF0C64">
              <w:rPr>
                <w:b w:val="0"/>
              </w:rPr>
              <w:t>4.aprīļa</w:t>
            </w:r>
            <w:r w:rsidRPr="00DC3C86">
              <w:rPr>
                <w:b w:val="0"/>
              </w:rPr>
              <w:t xml:space="preserve"> rīkojuma Nr.</w:t>
            </w:r>
            <w:r w:rsidR="00DF0C64">
              <w:rPr>
                <w:b w:val="0"/>
              </w:rPr>
              <w:t>136</w:t>
            </w:r>
            <w:r w:rsidRPr="00DC3C86">
              <w:rPr>
                <w:b w:val="0"/>
              </w:rPr>
              <w:t xml:space="preserve"> „Par Latvijas Nacionālo </w:t>
            </w:r>
            <w:r w:rsidRPr="00DF0C64">
              <w:rPr>
                <w:b w:val="0"/>
                <w:i/>
              </w:rPr>
              <w:t>euro</w:t>
            </w:r>
            <w:r w:rsidRPr="00DC3C86">
              <w:rPr>
                <w:b w:val="0"/>
              </w:rPr>
              <w:t xml:space="preserve"> ieviešanas plānu” 1.pielikuma „Pasākumu plāns Eiropas vienotās valūtas ieviešanai Latvijā” Juridisko jautājumu sadaļā uzdotie uzdevumi, kas saistīti ar Ministru kabineta normatīvo aktu pielāgošanu </w:t>
            </w:r>
            <w:r w:rsidRPr="00DF0C64">
              <w:rPr>
                <w:b w:val="0"/>
                <w:i/>
              </w:rPr>
              <w:t>euro</w:t>
            </w:r>
            <w:r w:rsidRPr="00DC3C86">
              <w:rPr>
                <w:b w:val="0"/>
              </w:rPr>
              <w:t>.</w:t>
            </w:r>
          </w:p>
          <w:p w:rsidR="008766F2" w:rsidRPr="00DC3C86" w:rsidRDefault="00D44991" w:rsidP="00DC3C86">
            <w:pPr>
              <w:pStyle w:val="BodyTextIndent"/>
              <w:spacing w:after="0"/>
              <w:rPr>
                <w:b w:val="0"/>
                <w:bCs w:val="0"/>
              </w:rPr>
            </w:pPr>
            <w:r w:rsidRPr="00DE4988">
              <w:rPr>
                <w:b w:val="0"/>
              </w:rPr>
              <w:t>Ministru kabineta 2012.gada 27.jūnija rīkojuma Nr.282 „Par „Koncepciju par normatīvo aktu sakārtošanu saistībā ar eiro ieviešanu Latvijā”” 7.punkts.</w:t>
            </w:r>
          </w:p>
        </w:tc>
      </w:tr>
      <w:tr w:rsidR="008766F2" w:rsidRPr="00DF0C64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Pašreizējā situācija un problēmas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8D" w:rsidRPr="0084198D" w:rsidRDefault="00BE7179" w:rsidP="00BE7179">
            <w:pPr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Ministru kabineta 2010.gada 19.janvāra noteikumos Nr.63 “Valsts aizdevumu izsniegšanas un apkalpošanas kārtība”</w:t>
            </w:r>
            <w:r w:rsidR="00D96820" w:rsidRPr="00D96820">
              <w:rPr>
                <w:lang w:val="lv-LV"/>
              </w:rPr>
              <w:t xml:space="preserve"> </w:t>
            </w:r>
            <w:r w:rsidR="00061387">
              <w:rPr>
                <w:lang w:val="lv-LV"/>
              </w:rPr>
              <w:t>(turpmāk – MK noteikumi Nr.</w:t>
            </w:r>
            <w:r w:rsidR="00D96820">
              <w:rPr>
                <w:lang w:val="lv-LV"/>
              </w:rPr>
              <w:t>63</w:t>
            </w:r>
            <w:r w:rsidR="00061387">
              <w:rPr>
                <w:lang w:val="lv-LV"/>
              </w:rPr>
              <w:t xml:space="preserve">) </w:t>
            </w:r>
            <w:r>
              <w:rPr>
                <w:lang w:val="lv-LV"/>
              </w:rPr>
              <w:t>nosaka kārtību kādā Finanšu ministrs nosaka aizdevuma procentu likmes kādas piemērojamas par valsts aizdevuma izmantošanu</w:t>
            </w:r>
            <w:r w:rsidR="00D96820" w:rsidRPr="00D96820">
              <w:rPr>
                <w:lang w:val="lv-LV"/>
              </w:rPr>
              <w:t>.</w:t>
            </w:r>
            <w:r w:rsidR="00061387">
              <w:rPr>
                <w:lang w:val="lv-LV"/>
              </w:rPr>
              <w:t xml:space="preserve"> Lai nodrošinātu, ka pēc </w:t>
            </w:r>
            <w:r w:rsidR="00061387" w:rsidRPr="00061387">
              <w:rPr>
                <w:i/>
                <w:lang w:val="lv-LV"/>
              </w:rPr>
              <w:t>euro</w:t>
            </w:r>
            <w:r w:rsidR="00061387">
              <w:rPr>
                <w:lang w:val="lv-LV"/>
              </w:rPr>
              <w:t xml:space="preserve"> ieviešanas 2014.gada 1.janvārī </w:t>
            </w:r>
            <w:r>
              <w:rPr>
                <w:lang w:val="lv-LV"/>
              </w:rPr>
              <w:t>aizdevumu procentu likmes tiktu noteiktas atbilstoši faktiskajai situācijai</w:t>
            </w:r>
            <w:r w:rsidR="00061387">
              <w:rPr>
                <w:lang w:val="lv-LV"/>
              </w:rPr>
              <w:t xml:space="preserve">, nepieciešams veikt grozījumus </w:t>
            </w:r>
            <w:r w:rsidR="00061387" w:rsidRPr="00061387">
              <w:rPr>
                <w:lang w:val="lv-LV"/>
              </w:rPr>
              <w:t>MK noteikum</w:t>
            </w:r>
            <w:r w:rsidR="00061387">
              <w:rPr>
                <w:lang w:val="lv-LV"/>
              </w:rPr>
              <w:t>os</w:t>
            </w:r>
            <w:r w:rsidR="00061387" w:rsidRPr="00061387">
              <w:rPr>
                <w:lang w:val="lv-LV"/>
              </w:rPr>
              <w:t xml:space="preserve"> Nr.</w:t>
            </w:r>
            <w:r>
              <w:rPr>
                <w:lang w:val="lv-LV"/>
              </w:rPr>
              <w:t>6</w:t>
            </w:r>
            <w:r w:rsidR="00D96820">
              <w:rPr>
                <w:lang w:val="lv-LV"/>
              </w:rPr>
              <w:t>3</w:t>
            </w:r>
            <w:r w:rsidR="00061387">
              <w:rPr>
                <w:lang w:val="lv-LV"/>
              </w:rPr>
              <w:t>.</w:t>
            </w:r>
          </w:p>
        </w:tc>
      </w:tr>
      <w:tr w:rsidR="008766F2" w:rsidRPr="00DC3C86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Saistītie politikas ietekmes novērtējumi un pētījumi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BE7179">
            <w:pPr>
              <w:pStyle w:val="BodyTextInd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Projekts šo jomu neskar</w:t>
            </w:r>
            <w:r w:rsidR="00AF5AA2">
              <w:rPr>
                <w:b w:val="0"/>
                <w:bCs w:val="0"/>
              </w:rPr>
              <w:t>.</w:t>
            </w:r>
          </w:p>
        </w:tc>
      </w:tr>
      <w:tr w:rsidR="00DC3C86" w:rsidRPr="00DF0C64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Default="00DC3C86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Default="00DC3C86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Tiesiskā regulējuma mērķis un būtība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Pr="00DC3C86" w:rsidRDefault="00061387" w:rsidP="00BE717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Projekts izstrādāts kā </w:t>
            </w:r>
            <w:r w:rsidR="00D96820">
              <w:rPr>
                <w:lang w:val="lv-LV"/>
              </w:rPr>
              <w:t>t</w:t>
            </w:r>
            <w:r w:rsidR="00D96820" w:rsidRPr="00D96820">
              <w:rPr>
                <w:lang w:val="lv-LV"/>
              </w:rPr>
              <w:t xml:space="preserve">ehniskie grozījumi, kuri nosaka </w:t>
            </w:r>
            <w:r w:rsidR="00BE7179">
              <w:rPr>
                <w:lang w:val="lv-LV"/>
              </w:rPr>
              <w:t xml:space="preserve">aizdevuma procentu likmes noteikšanas metodiku pēc </w:t>
            </w:r>
            <w:r w:rsidR="00BE7179" w:rsidRPr="00DF0C64">
              <w:rPr>
                <w:i/>
                <w:lang w:val="lv-LV"/>
              </w:rPr>
              <w:t>euro</w:t>
            </w:r>
            <w:r w:rsidR="00BE7179">
              <w:rPr>
                <w:lang w:val="lv-LV"/>
              </w:rPr>
              <w:t xml:space="preserve"> ieviešanas, apvienojot likmju noteikšanas metodoloģijas, kādas tiek izmantotas, lai noteiktu procentu likmes aizdevumiem nacionālajā valūtā un </w:t>
            </w:r>
            <w:r w:rsidR="00BE7179" w:rsidRPr="00DF0C64">
              <w:rPr>
                <w:i/>
                <w:lang w:val="lv-LV"/>
              </w:rPr>
              <w:t>euro</w:t>
            </w:r>
            <w:r w:rsidR="00BE7179">
              <w:rPr>
                <w:lang w:val="lv-LV"/>
              </w:rPr>
              <w:t>.</w:t>
            </w:r>
          </w:p>
        </w:tc>
      </w:tr>
      <w:tr w:rsidR="00D96820" w:rsidRPr="00A72207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>
            <w:pPr>
              <w:pStyle w:val="BodyTextInd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Projekta izstrādē iesaistītās institūcijas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DC3C86" w:rsidRDefault="00BE7179" w:rsidP="00BC6C23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DF0C64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 w:rsidP="009952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Konsultācijas nav notikušas, jo noteikumu projekts nekādā veidā neierobežo un nesašaurina nevienas personu grupas vai indivīda tiesības.</w:t>
            </w:r>
          </w:p>
        </w:tc>
      </w:tr>
      <w:tr w:rsidR="00D96820" w:rsidRPr="008F7249" w:rsidTr="008C0DC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Default="00D96820" w:rsidP="009952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Cita informācija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20" w:rsidRPr="00AF5AA2" w:rsidRDefault="00D96820" w:rsidP="009952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8766F2" w:rsidRDefault="008766F2">
      <w:pPr>
        <w:rPr>
          <w:b/>
          <w:bCs/>
          <w:i/>
          <w:iCs/>
          <w:lang w:val="lv-LV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69"/>
        <w:gridCol w:w="6979"/>
      </w:tblGrid>
      <w:tr w:rsidR="00063831" w:rsidRPr="00DF0C64" w:rsidTr="008C0DC4">
        <w:tc>
          <w:tcPr>
            <w:tcW w:w="10206" w:type="dxa"/>
            <w:gridSpan w:val="3"/>
            <w:shd w:val="clear" w:color="auto" w:fill="auto"/>
          </w:tcPr>
          <w:p w:rsidR="00063831" w:rsidRPr="00063831" w:rsidRDefault="00063831" w:rsidP="00063831">
            <w:pPr>
              <w:pStyle w:val="NormalWeb"/>
              <w:jc w:val="center"/>
              <w:rPr>
                <w:lang w:val="lv-LV"/>
              </w:rPr>
            </w:pPr>
            <w:r w:rsidRPr="00063831">
              <w:rPr>
                <w:b/>
                <w:bCs/>
                <w:lang w:val="lv-LV"/>
              </w:rPr>
              <w:t>II. Tiesību akta projekta ietekme uz sabiedrību</w:t>
            </w:r>
          </w:p>
        </w:tc>
      </w:tr>
      <w:tr w:rsidR="00CE3F37" w:rsidRPr="00DF0C64" w:rsidTr="008C0DC4">
        <w:tc>
          <w:tcPr>
            <w:tcW w:w="458" w:type="dxa"/>
            <w:shd w:val="clear" w:color="auto" w:fill="auto"/>
          </w:tcPr>
          <w:p w:rsidR="00CE3F37" w:rsidRPr="00063831" w:rsidRDefault="00CE3F37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1.</w:t>
            </w:r>
          </w:p>
        </w:tc>
        <w:tc>
          <w:tcPr>
            <w:tcW w:w="2769" w:type="dxa"/>
            <w:shd w:val="clear" w:color="auto" w:fill="auto"/>
          </w:tcPr>
          <w:p w:rsidR="00CE3F37" w:rsidRPr="00063831" w:rsidRDefault="00CE3F37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Sabiedrības mērķgrupa</w:t>
            </w:r>
          </w:p>
        </w:tc>
        <w:tc>
          <w:tcPr>
            <w:tcW w:w="6979" w:type="dxa"/>
            <w:shd w:val="clear" w:color="auto" w:fill="auto"/>
          </w:tcPr>
          <w:p w:rsidR="00CE3F37" w:rsidRPr="00CE3F37" w:rsidRDefault="00CE3F37" w:rsidP="00064009">
            <w:pPr>
              <w:pStyle w:val="NormalWeb"/>
              <w:jc w:val="both"/>
              <w:rPr>
                <w:lang w:val="lv-LV"/>
              </w:rPr>
            </w:pPr>
            <w:r w:rsidRPr="00CE3F37">
              <w:rPr>
                <w:lang w:val="lv-LV"/>
              </w:rPr>
              <w:t>Noteikumu projekts attiecas uz 11 ministriju, 1 centrālās valsts iestādes un 97 pašvaldību darbiniekiem, kas iesaistīti finanšu pārskatu sagatavošanā, kā arī 464 kapitālsabiedrību, kuru kapitāla daļas pieder valstij vai pašvaldībai, finanšu darbiniekiem.</w:t>
            </w:r>
          </w:p>
        </w:tc>
      </w:tr>
      <w:tr w:rsidR="00D96820" w:rsidRPr="00063831" w:rsidTr="008C0DC4"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6979" w:type="dxa"/>
            <w:shd w:val="clear" w:color="auto" w:fill="auto"/>
          </w:tcPr>
          <w:p w:rsidR="00D96820" w:rsidRPr="00DC3C86" w:rsidRDefault="00BE7179" w:rsidP="00BC6C23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DC3C86" w:rsidTr="008C0DC4"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3.</w:t>
            </w:r>
          </w:p>
        </w:tc>
        <w:tc>
          <w:tcPr>
            <w:tcW w:w="276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Tiesiskā regulējuma finansiālā ietekme</w:t>
            </w:r>
          </w:p>
        </w:tc>
        <w:tc>
          <w:tcPr>
            <w:tcW w:w="6979" w:type="dxa"/>
            <w:shd w:val="clear" w:color="auto" w:fill="auto"/>
          </w:tcPr>
          <w:p w:rsidR="00D96820" w:rsidRPr="00DC3C86" w:rsidRDefault="00BE7179" w:rsidP="00DC3C86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DC3C86" w:rsidTr="008C0DC4">
        <w:trPr>
          <w:trHeight w:val="736"/>
        </w:trPr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lastRenderedPageBreak/>
              <w:t>4.</w:t>
            </w:r>
          </w:p>
        </w:tc>
        <w:tc>
          <w:tcPr>
            <w:tcW w:w="276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Tiesiskā regulējuma nefinansiālā ietekme</w:t>
            </w:r>
          </w:p>
        </w:tc>
        <w:tc>
          <w:tcPr>
            <w:tcW w:w="6979" w:type="dxa"/>
            <w:shd w:val="clear" w:color="auto" w:fill="auto"/>
          </w:tcPr>
          <w:p w:rsidR="00D96820" w:rsidRPr="00DC3C86" w:rsidRDefault="00BE7179" w:rsidP="00063831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063831" w:rsidTr="008C0DC4"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5.</w:t>
            </w:r>
          </w:p>
        </w:tc>
        <w:tc>
          <w:tcPr>
            <w:tcW w:w="2769" w:type="dxa"/>
            <w:shd w:val="clear" w:color="auto" w:fill="auto"/>
          </w:tcPr>
          <w:p w:rsidR="00D96820" w:rsidRPr="008D1D6C" w:rsidRDefault="00D96820" w:rsidP="00063831">
            <w:pPr>
              <w:pStyle w:val="NormalWeb"/>
              <w:rPr>
                <w:lang w:val="lv-LV"/>
              </w:rPr>
            </w:pPr>
            <w:r w:rsidRPr="008D1D6C">
              <w:rPr>
                <w:lang w:val="lv-LV"/>
              </w:rPr>
              <w:t>Administratīvās procedūras raksturojums</w:t>
            </w:r>
          </w:p>
        </w:tc>
        <w:tc>
          <w:tcPr>
            <w:tcW w:w="6979" w:type="dxa"/>
            <w:shd w:val="clear" w:color="auto" w:fill="auto"/>
          </w:tcPr>
          <w:p w:rsidR="00D96820" w:rsidRPr="00DC3C86" w:rsidRDefault="00BE7179" w:rsidP="00DC3C86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063831" w:rsidTr="008C0DC4"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6.</w:t>
            </w:r>
          </w:p>
        </w:tc>
        <w:tc>
          <w:tcPr>
            <w:tcW w:w="276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Administratīvo izmaksu monetārs novērtējums</w:t>
            </w:r>
          </w:p>
        </w:tc>
        <w:tc>
          <w:tcPr>
            <w:tcW w:w="6979" w:type="dxa"/>
            <w:shd w:val="clear" w:color="auto" w:fill="auto"/>
          </w:tcPr>
          <w:p w:rsidR="00D96820" w:rsidRPr="00DC3C86" w:rsidRDefault="00BE7179" w:rsidP="00DC3C86">
            <w:pPr>
              <w:pStyle w:val="NormalWeb"/>
              <w:jc w:val="both"/>
              <w:rPr>
                <w:lang w:val="lv-LV"/>
              </w:rPr>
            </w:pPr>
            <w:r w:rsidRPr="00BE7179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D96820" w:rsidRPr="00063831" w:rsidTr="008C0DC4">
        <w:tc>
          <w:tcPr>
            <w:tcW w:w="458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7.</w:t>
            </w:r>
          </w:p>
        </w:tc>
        <w:tc>
          <w:tcPr>
            <w:tcW w:w="276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Cita informācija</w:t>
            </w:r>
          </w:p>
        </w:tc>
        <w:tc>
          <w:tcPr>
            <w:tcW w:w="6979" w:type="dxa"/>
            <w:shd w:val="clear" w:color="auto" w:fill="auto"/>
          </w:tcPr>
          <w:p w:rsidR="00D96820" w:rsidRPr="00063831" w:rsidRDefault="00D96820" w:rsidP="00063831">
            <w:pPr>
              <w:pStyle w:val="NormalWeb"/>
              <w:rPr>
                <w:lang w:val="lv-LV"/>
              </w:rPr>
            </w:pPr>
            <w:r w:rsidRPr="00063831">
              <w:rPr>
                <w:lang w:val="lv-LV"/>
              </w:rPr>
              <w:t>Nav</w:t>
            </w:r>
          </w:p>
        </w:tc>
      </w:tr>
    </w:tbl>
    <w:p w:rsidR="00063831" w:rsidRPr="00995238" w:rsidRDefault="00063831">
      <w:pPr>
        <w:rPr>
          <w:b/>
          <w:bCs/>
          <w:i/>
          <w:iCs/>
          <w:sz w:val="16"/>
          <w:szCs w:val="16"/>
          <w:lang w:val="lv-LV"/>
        </w:rPr>
      </w:pPr>
    </w:p>
    <w:p w:rsidR="008766F2" w:rsidRDefault="00AF5AA2" w:rsidP="00995238">
      <w:pPr>
        <w:rPr>
          <w:b/>
          <w:bCs/>
          <w:i/>
          <w:iCs/>
          <w:lang w:val="lv-LV"/>
        </w:rPr>
      </w:pPr>
      <w:r>
        <w:rPr>
          <w:b/>
          <w:bCs/>
          <w:i/>
          <w:iCs/>
          <w:lang w:val="lv-LV"/>
        </w:rPr>
        <w:t xml:space="preserve">Anotācijas  III,  </w:t>
      </w:r>
      <w:r w:rsidR="00537286">
        <w:rPr>
          <w:b/>
          <w:bCs/>
          <w:i/>
          <w:iCs/>
          <w:lang w:val="lv-LV"/>
        </w:rPr>
        <w:t xml:space="preserve">IV, </w:t>
      </w:r>
      <w:r w:rsidR="00061387">
        <w:rPr>
          <w:b/>
          <w:bCs/>
          <w:i/>
          <w:iCs/>
          <w:lang w:val="lv-LV"/>
        </w:rPr>
        <w:t>V,</w:t>
      </w:r>
      <w:r>
        <w:rPr>
          <w:b/>
          <w:bCs/>
          <w:i/>
          <w:iCs/>
          <w:lang w:val="lv-LV"/>
        </w:rPr>
        <w:t xml:space="preserve"> VI </w:t>
      </w:r>
      <w:r w:rsidR="00061387">
        <w:rPr>
          <w:b/>
          <w:bCs/>
          <w:i/>
          <w:iCs/>
          <w:lang w:val="lv-LV"/>
        </w:rPr>
        <w:t>un VII</w:t>
      </w:r>
      <w:r>
        <w:rPr>
          <w:b/>
          <w:bCs/>
          <w:i/>
          <w:iCs/>
          <w:lang w:val="lv-LV"/>
        </w:rPr>
        <w:t xml:space="preserve"> sadaļa – </w:t>
      </w:r>
      <w:r w:rsidR="00BE7179" w:rsidRPr="00BE7179">
        <w:rPr>
          <w:b/>
          <w:bCs/>
          <w:i/>
          <w:iCs/>
          <w:lang w:val="lv-LV"/>
        </w:rPr>
        <w:t>Projekts šo jomu neskar</w:t>
      </w:r>
      <w:r>
        <w:rPr>
          <w:b/>
          <w:bCs/>
          <w:i/>
          <w:iCs/>
          <w:lang w:val="lv-LV"/>
        </w:rPr>
        <w:t>.</w:t>
      </w:r>
    </w:p>
    <w:p w:rsidR="008766F2" w:rsidRPr="00995238" w:rsidRDefault="008766F2">
      <w:pPr>
        <w:rPr>
          <w:b/>
          <w:bCs/>
          <w:i/>
          <w:iCs/>
          <w:sz w:val="16"/>
          <w:szCs w:val="16"/>
          <w:lang w:val="lv-LV"/>
        </w:rPr>
      </w:pPr>
    </w:p>
    <w:p w:rsidR="008766F2" w:rsidRDefault="008766F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8C0DC4" w:rsidRPr="0084198D" w:rsidRDefault="008C0DC4">
      <w:pPr>
        <w:pStyle w:val="BodyText2"/>
        <w:rPr>
          <w:lang w:val="fr-FR"/>
        </w:rPr>
      </w:pPr>
    </w:p>
    <w:p w:rsidR="008766F2" w:rsidRPr="00AF5AA2" w:rsidRDefault="00AF5AA2">
      <w:pPr>
        <w:pStyle w:val="BodyText2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927">
        <w:tab/>
      </w:r>
      <w:r w:rsidR="00CD5927">
        <w:tab/>
      </w:r>
      <w:r>
        <w:tab/>
        <w:t>A.Vilks</w:t>
      </w:r>
    </w:p>
    <w:p w:rsidR="00CD5927" w:rsidRDefault="00CD5927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7A5022" w:rsidRDefault="007A5022" w:rsidP="00CD5927">
      <w:pPr>
        <w:jc w:val="both"/>
        <w:rPr>
          <w:sz w:val="22"/>
          <w:szCs w:val="20"/>
          <w:lang w:val="lv-LV"/>
        </w:rPr>
      </w:pPr>
    </w:p>
    <w:p w:rsidR="007A5022" w:rsidRDefault="007A5022" w:rsidP="00CD5927">
      <w:pPr>
        <w:jc w:val="both"/>
        <w:rPr>
          <w:sz w:val="22"/>
          <w:szCs w:val="20"/>
          <w:lang w:val="lv-LV"/>
        </w:rPr>
      </w:pPr>
    </w:p>
    <w:p w:rsidR="007A5022" w:rsidRDefault="007A5022" w:rsidP="00CD5927">
      <w:pPr>
        <w:jc w:val="both"/>
        <w:rPr>
          <w:sz w:val="22"/>
          <w:szCs w:val="20"/>
          <w:lang w:val="lv-LV"/>
        </w:rPr>
      </w:pPr>
    </w:p>
    <w:p w:rsidR="007A5022" w:rsidRDefault="007A5022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BE143A" w:rsidRDefault="00BE2EDE" w:rsidP="00CD5927">
      <w:pPr>
        <w:jc w:val="both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10.06</w:t>
      </w:r>
      <w:r w:rsidR="00DC3C86">
        <w:rPr>
          <w:sz w:val="22"/>
          <w:szCs w:val="20"/>
          <w:lang w:val="lv-LV"/>
        </w:rPr>
        <w:t>.2013</w:t>
      </w:r>
      <w:r w:rsidR="00BE143A">
        <w:rPr>
          <w:sz w:val="22"/>
          <w:szCs w:val="20"/>
          <w:lang w:val="lv-LV"/>
        </w:rPr>
        <w:t xml:space="preserve">  </w:t>
      </w:r>
      <w:r w:rsidR="00AC7B9C">
        <w:rPr>
          <w:sz w:val="22"/>
          <w:szCs w:val="20"/>
          <w:lang w:val="lv-LV"/>
        </w:rPr>
        <w:t>1</w:t>
      </w:r>
      <w:r w:rsidR="00356FE1">
        <w:rPr>
          <w:sz w:val="22"/>
          <w:szCs w:val="20"/>
          <w:lang w:val="lv-LV"/>
        </w:rPr>
        <w:t>2</w:t>
      </w:r>
      <w:r w:rsidR="00D96820">
        <w:rPr>
          <w:sz w:val="22"/>
          <w:szCs w:val="20"/>
          <w:lang w:val="lv-LV"/>
        </w:rPr>
        <w:t>:</w:t>
      </w:r>
      <w:r w:rsidR="00356FE1">
        <w:rPr>
          <w:sz w:val="22"/>
          <w:szCs w:val="20"/>
          <w:lang w:val="lv-LV"/>
        </w:rPr>
        <w:t>5</w:t>
      </w:r>
      <w:r w:rsidR="001B7162">
        <w:rPr>
          <w:sz w:val="22"/>
          <w:szCs w:val="20"/>
          <w:lang w:val="lv-LV"/>
        </w:rPr>
        <w:t>7</w:t>
      </w:r>
    </w:p>
    <w:p w:rsidR="008766F2" w:rsidRDefault="00AF5AA2" w:rsidP="00CD5927">
      <w:pPr>
        <w:jc w:val="both"/>
        <w:rPr>
          <w:sz w:val="22"/>
          <w:szCs w:val="20"/>
          <w:lang w:val="lv-LV"/>
        </w:rPr>
      </w:pPr>
      <w:r>
        <w:rPr>
          <w:sz w:val="22"/>
        </w:rPr>
        <w:fldChar w:fldCharType="begin"/>
      </w:r>
      <w:r w:rsidRPr="00AC7B9C">
        <w:rPr>
          <w:sz w:val="22"/>
          <w:lang w:val="fr-FR"/>
        </w:rPr>
        <w:instrText xml:space="preserve"> NUMWORDS  \* MERGEFORMAT </w:instrText>
      </w:r>
      <w:r>
        <w:rPr>
          <w:sz w:val="22"/>
        </w:rPr>
        <w:fldChar w:fldCharType="separate"/>
      </w:r>
      <w:r w:rsidR="00BE7179" w:rsidRPr="00BE7179">
        <w:rPr>
          <w:noProof/>
          <w:sz w:val="22"/>
          <w:szCs w:val="20"/>
          <w:lang w:val="lv-LV"/>
        </w:rPr>
        <w:t>345</w:t>
      </w:r>
      <w:r>
        <w:rPr>
          <w:sz w:val="22"/>
        </w:rPr>
        <w:fldChar w:fldCharType="end"/>
      </w:r>
    </w:p>
    <w:p w:rsidR="008766F2" w:rsidRDefault="00BE7179" w:rsidP="00CD5927">
      <w:pPr>
        <w:jc w:val="both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A.Gasjūns</w:t>
      </w:r>
    </w:p>
    <w:p w:rsidR="008766F2" w:rsidRDefault="00BE7179" w:rsidP="00CD5927">
      <w:pPr>
        <w:pStyle w:val="BodyText"/>
        <w:jc w:val="left"/>
        <w:rPr>
          <w:b w:val="0"/>
          <w:bCs w:val="0"/>
          <w:sz w:val="22"/>
        </w:rPr>
      </w:pPr>
      <w:bookmarkStart w:id="0" w:name="_GoBack"/>
      <w:r>
        <w:rPr>
          <w:b w:val="0"/>
          <w:bCs w:val="0"/>
          <w:sz w:val="22"/>
        </w:rPr>
        <w:t>67094231</w:t>
      </w:r>
      <w:r w:rsidR="00AF5AA2">
        <w:rPr>
          <w:b w:val="0"/>
          <w:bCs w:val="0"/>
          <w:sz w:val="22"/>
        </w:rPr>
        <w:t xml:space="preserve">; </w:t>
      </w:r>
      <w:r>
        <w:rPr>
          <w:b w:val="0"/>
          <w:bCs w:val="0"/>
          <w:sz w:val="22"/>
        </w:rPr>
        <w:t>armins.gasjuns</w:t>
      </w:r>
      <w:r w:rsidR="00AF5AA2">
        <w:rPr>
          <w:b w:val="0"/>
          <w:bCs w:val="0"/>
          <w:sz w:val="22"/>
        </w:rPr>
        <w:t>@kase.gov.lv</w:t>
      </w:r>
      <w:bookmarkEnd w:id="0"/>
    </w:p>
    <w:sectPr w:rsidR="008766F2">
      <w:headerReference w:type="default" r:id="rId7"/>
      <w:footerReference w:type="default" r:id="rId8"/>
      <w:footerReference w:type="first" r:id="rId9"/>
      <w:pgSz w:w="11906" w:h="16838"/>
      <w:pgMar w:top="1438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7E" w:rsidRDefault="005F167E">
      <w:r>
        <w:separator/>
      </w:r>
    </w:p>
  </w:endnote>
  <w:endnote w:type="continuationSeparator" w:id="0">
    <w:p w:rsidR="005F167E" w:rsidRDefault="005F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49" w:rsidRDefault="00BE2EDE" w:rsidP="00091BAE">
    <w:pPr>
      <w:spacing w:before="60" w:after="60"/>
      <w:ind w:right="-1333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DF0C64">
      <w:rPr>
        <w:noProof/>
        <w:sz w:val="22"/>
        <w:szCs w:val="22"/>
      </w:rPr>
      <w:t>FMAnot_10062013_63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 w:rsidRPr="007A5022">
      <w:rPr>
        <w:sz w:val="22"/>
        <w:szCs w:val="22"/>
        <w:lang w:val="lv-LV"/>
      </w:rPr>
      <w:t>Ministru kabineta noteikumu projekta „Grozījumi Ministru kabineta 2010.gada 19.janvāra noteikumos Nr.63 “Valsts aizdevumu izsniegšanas un apkalpošanas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49" w:rsidRDefault="008F7249" w:rsidP="00091BAE">
    <w:pPr>
      <w:spacing w:before="60" w:after="60"/>
      <w:ind w:right="-1333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DF0C64">
      <w:rPr>
        <w:noProof/>
        <w:sz w:val="22"/>
        <w:szCs w:val="22"/>
      </w:rPr>
      <w:t>FMAnot_10062013_63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 w:rsidR="007A5022" w:rsidRPr="007A5022">
      <w:rPr>
        <w:sz w:val="22"/>
        <w:szCs w:val="22"/>
        <w:lang w:val="lv-LV"/>
      </w:rPr>
      <w:t>Ministru kabineta noteikumu projekta „Grozījumi Ministru kabineta 2010.gada 19.janvāra noteikumos Nr.63 “Valsts aizdevumu izsniegšanas un apkalpošanas kārtība””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7E" w:rsidRDefault="005F167E">
      <w:r>
        <w:separator/>
      </w:r>
    </w:p>
  </w:footnote>
  <w:footnote w:type="continuationSeparator" w:id="0">
    <w:p w:rsidR="005F167E" w:rsidRDefault="005F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49" w:rsidRDefault="008F724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2B4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249" w:rsidRDefault="008F7249">
    <w:pPr>
      <w:pStyle w:val="Header"/>
    </w:pPr>
  </w:p>
  <w:p w:rsidR="008F7249" w:rsidRDefault="008F7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55C"/>
    <w:multiLevelType w:val="hybridMultilevel"/>
    <w:tmpl w:val="573AA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04"/>
    <w:multiLevelType w:val="hybridMultilevel"/>
    <w:tmpl w:val="5BD8C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5D53"/>
    <w:multiLevelType w:val="hybridMultilevel"/>
    <w:tmpl w:val="F6326354"/>
    <w:lvl w:ilvl="0" w:tplc="0426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E"/>
    <w:rsid w:val="00033E33"/>
    <w:rsid w:val="00061387"/>
    <w:rsid w:val="00063831"/>
    <w:rsid w:val="00091BAE"/>
    <w:rsid w:val="000D2B93"/>
    <w:rsid w:val="00170C92"/>
    <w:rsid w:val="001B7162"/>
    <w:rsid w:val="0021346B"/>
    <w:rsid w:val="00237471"/>
    <w:rsid w:val="00271B8A"/>
    <w:rsid w:val="00272183"/>
    <w:rsid w:val="002A39D1"/>
    <w:rsid w:val="002E2C3D"/>
    <w:rsid w:val="002E2ECD"/>
    <w:rsid w:val="0031212A"/>
    <w:rsid w:val="00356FE1"/>
    <w:rsid w:val="003F5459"/>
    <w:rsid w:val="004A23F7"/>
    <w:rsid w:val="004A7D68"/>
    <w:rsid w:val="004D3C6B"/>
    <w:rsid w:val="004D4A04"/>
    <w:rsid w:val="004F3ED1"/>
    <w:rsid w:val="00533F7E"/>
    <w:rsid w:val="00537286"/>
    <w:rsid w:val="005951DC"/>
    <w:rsid w:val="005C5309"/>
    <w:rsid w:val="005F167E"/>
    <w:rsid w:val="006513BD"/>
    <w:rsid w:val="00655870"/>
    <w:rsid w:val="006853DE"/>
    <w:rsid w:val="006E777E"/>
    <w:rsid w:val="007A2705"/>
    <w:rsid w:val="007A4291"/>
    <w:rsid w:val="007A5022"/>
    <w:rsid w:val="007D1685"/>
    <w:rsid w:val="00802BF4"/>
    <w:rsid w:val="0084198D"/>
    <w:rsid w:val="00847452"/>
    <w:rsid w:val="008557A9"/>
    <w:rsid w:val="008766F2"/>
    <w:rsid w:val="008A1D11"/>
    <w:rsid w:val="008C0DC4"/>
    <w:rsid w:val="008D1D6C"/>
    <w:rsid w:val="008E0217"/>
    <w:rsid w:val="008F7249"/>
    <w:rsid w:val="009422B4"/>
    <w:rsid w:val="00966E68"/>
    <w:rsid w:val="00984493"/>
    <w:rsid w:val="00995238"/>
    <w:rsid w:val="00A21F1F"/>
    <w:rsid w:val="00A57658"/>
    <w:rsid w:val="00A72207"/>
    <w:rsid w:val="00A76D60"/>
    <w:rsid w:val="00A84322"/>
    <w:rsid w:val="00AB7890"/>
    <w:rsid w:val="00AC0D1E"/>
    <w:rsid w:val="00AC46E2"/>
    <w:rsid w:val="00AC7B9C"/>
    <w:rsid w:val="00AF13A9"/>
    <w:rsid w:val="00AF5AA2"/>
    <w:rsid w:val="00B407C8"/>
    <w:rsid w:val="00BB70ED"/>
    <w:rsid w:val="00BE143A"/>
    <w:rsid w:val="00BE2EDE"/>
    <w:rsid w:val="00BE7179"/>
    <w:rsid w:val="00C34230"/>
    <w:rsid w:val="00C34CD5"/>
    <w:rsid w:val="00C84625"/>
    <w:rsid w:val="00CD0F64"/>
    <w:rsid w:val="00CD5927"/>
    <w:rsid w:val="00CE3F37"/>
    <w:rsid w:val="00CF5F2D"/>
    <w:rsid w:val="00D44991"/>
    <w:rsid w:val="00D73DD9"/>
    <w:rsid w:val="00D96820"/>
    <w:rsid w:val="00DA1D1D"/>
    <w:rsid w:val="00DC3C86"/>
    <w:rsid w:val="00DD54D9"/>
    <w:rsid w:val="00DE3209"/>
    <w:rsid w:val="00DF0C64"/>
    <w:rsid w:val="00E56758"/>
    <w:rsid w:val="00E66B0F"/>
    <w:rsid w:val="00F50640"/>
    <w:rsid w:val="00F62FCF"/>
    <w:rsid w:val="00F67003"/>
    <w:rsid w:val="00F72056"/>
    <w:rsid w:val="00F73E0E"/>
    <w:rsid w:val="00FC7A54"/>
    <w:rsid w:val="00FD28BF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65E74-AB81-4720-8194-5329F45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4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8"/>
      <w:lang w:val="lv-LV"/>
    </w:rPr>
  </w:style>
  <w:style w:type="paragraph" w:styleId="BodyTextIndent">
    <w:name w:val="Body Text Indent"/>
    <w:basedOn w:val="Normal"/>
    <w:semiHidden/>
    <w:pPr>
      <w:spacing w:after="120"/>
      <w:jc w:val="both"/>
    </w:pPr>
    <w:rPr>
      <w:b/>
      <w:bCs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431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spacing w:after="120"/>
      <w:ind w:firstLine="431"/>
      <w:jc w:val="both"/>
    </w:pPr>
    <w:rPr>
      <w:b/>
      <w:bCs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ind w:right="-857"/>
    </w:pPr>
    <w:rPr>
      <w:sz w:val="2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1346B"/>
    <w:pPr>
      <w:ind w:left="720"/>
      <w:contextualSpacing/>
    </w:pPr>
  </w:style>
  <w:style w:type="paragraph" w:customStyle="1" w:styleId="DefaultParagraphFont1">
    <w:name w:val="Default Paragraph Font1"/>
    <w:basedOn w:val="Normal"/>
    <w:rsid w:val="00D96820"/>
    <w:rPr>
      <w:rFonts w:ascii="CG Times (W1)" w:hAnsi="CG Times (W1)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2012.gada 25.septembra noteikumos Nr. 643 “Kārtība, kādā ministrijas un centrālās valsts iestādes, kā arī pašvaldības apkopo kapitālsabiedrību finanšu pārskatus un finanšu informāciju”” sāk</vt:lpstr>
    </vt:vector>
  </TitlesOfParts>
  <Manager>Valsts kases Pārskatu departamenta direktore Ligita Agleniece</Manager>
  <Company>Valsts kase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19.janvāra noteikumos Nr.63 “Valsts aizdevumu izsniegšanas un apkalpošanas kārtība”” sākotnējās ietekmes novērtējuma ziņojums (anotācija)</dc:title>
  <dc:subject>Anotācija</dc:subject>
  <dc:creator>Valsts kases Pārskatu departamenta vecākā eksperte Inese Sirbu</dc:creator>
  <cp:keywords/>
  <dc:description>67094231; armins.gasjuns@kase.gov.lv</dc:description>
  <cp:lastModifiedBy>Sprūģe Veronika</cp:lastModifiedBy>
  <cp:revision>9</cp:revision>
  <cp:lastPrinted>2013-06-10T13:47:00Z</cp:lastPrinted>
  <dcterms:created xsi:type="dcterms:W3CDTF">2013-03-19T09:53:00Z</dcterms:created>
  <dcterms:modified xsi:type="dcterms:W3CDTF">2013-07-15T14:09:00Z</dcterms:modified>
</cp:coreProperties>
</file>