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E5" w:rsidRPr="00E15128" w:rsidRDefault="00E15128" w:rsidP="00E15128">
      <w:pPr>
        <w:spacing w:after="567"/>
        <w:jc w:val="center"/>
        <w:rPr>
          <w:rStyle w:val="apple-style-span"/>
          <w:b/>
          <w:bCs/>
          <w:color w:val="000000" w:themeColor="text1"/>
        </w:rPr>
      </w:pPr>
      <w:r w:rsidRPr="00E15128">
        <w:rPr>
          <w:b/>
          <w:bCs/>
          <w:color w:val="000000" w:themeColor="text1"/>
        </w:rPr>
        <w:t>Ministru kabineta noteikumu projekta „</w:t>
      </w:r>
      <w:r w:rsidR="00DC7631" w:rsidRPr="00E15128">
        <w:rPr>
          <w:b/>
          <w:bCs/>
          <w:color w:val="000000" w:themeColor="text1"/>
        </w:rPr>
        <w:t>Grozījum</w:t>
      </w:r>
      <w:r w:rsidR="009158EC">
        <w:rPr>
          <w:b/>
          <w:bCs/>
          <w:color w:val="000000" w:themeColor="text1"/>
        </w:rPr>
        <w:t>s</w:t>
      </w:r>
      <w:r w:rsidR="00DC7631" w:rsidRPr="00E15128">
        <w:rPr>
          <w:b/>
          <w:bCs/>
          <w:color w:val="000000" w:themeColor="text1"/>
        </w:rPr>
        <w:t xml:space="preserve"> Ministru kabineta 2006.gada 31.oktobra noteikumos Nr.884 „</w:t>
      </w:r>
      <w:hyperlink r:id="rId9" w:tgtFrame="_blank" w:history="1">
        <w:r w:rsidR="00DC7631" w:rsidRPr="00E15128">
          <w:rPr>
            <w:b/>
            <w:bCs/>
            <w:color w:val="000000" w:themeColor="text1"/>
          </w:rPr>
          <w:t>Kārtība, kādā tiek veikta informācijas apmaiņa tiešo nodokļu jomā ar Eiropas Savienības dalībvalstīm un valstīm, ar kurām ir noslēgti starptautiskie līgumi par nodokļu dubultās uzlikšanas un nodokļu nemaksāšanas novēršanu</w:t>
        </w:r>
      </w:hyperlink>
      <w:r w:rsidR="00DC7631" w:rsidRPr="00E15128">
        <w:rPr>
          <w:b/>
          <w:bCs/>
          <w:color w:val="000000" w:themeColor="text1"/>
        </w:rPr>
        <w:t>”</w:t>
      </w:r>
      <w:r w:rsidRPr="00E15128">
        <w:rPr>
          <w:b/>
          <w:bCs/>
          <w:color w:val="000000" w:themeColor="text1"/>
        </w:rPr>
        <w:t xml:space="preserve"> sākotnējās ietekmes novērtējuma ziņojums (anotācija)</w:t>
      </w: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2268"/>
        <w:gridCol w:w="6667"/>
      </w:tblGrid>
      <w:tr w:rsidR="00195FE9" w:rsidRPr="00AA3DA3" w:rsidTr="00195FE9">
        <w:tc>
          <w:tcPr>
            <w:tcW w:w="9503" w:type="dxa"/>
            <w:gridSpan w:val="3"/>
            <w:vAlign w:val="center"/>
          </w:tcPr>
          <w:p w:rsidR="00195FE9" w:rsidRPr="00AA3DA3" w:rsidRDefault="00195FE9" w:rsidP="00195FE9">
            <w:pPr>
              <w:pStyle w:val="naisnod"/>
              <w:spacing w:before="0" w:after="0"/>
            </w:pPr>
            <w:r w:rsidRPr="00AA3DA3">
              <w:t>I. Tiesību akta projekta izstrādes nepieciešamība</w:t>
            </w:r>
          </w:p>
        </w:tc>
      </w:tr>
      <w:tr w:rsidR="00195FE9" w:rsidRPr="00AA3DA3" w:rsidTr="003C51D0">
        <w:trPr>
          <w:trHeight w:val="837"/>
        </w:trPr>
        <w:tc>
          <w:tcPr>
            <w:tcW w:w="568" w:type="dxa"/>
          </w:tcPr>
          <w:p w:rsidR="00195FE9" w:rsidRPr="00AA3DA3" w:rsidRDefault="00195FE9" w:rsidP="00195FE9">
            <w:pPr>
              <w:pStyle w:val="naiskr"/>
              <w:spacing w:before="0" w:after="0"/>
            </w:pPr>
            <w:r w:rsidRPr="00AA3DA3">
              <w:t>1.</w:t>
            </w:r>
          </w:p>
        </w:tc>
        <w:tc>
          <w:tcPr>
            <w:tcW w:w="2268" w:type="dxa"/>
          </w:tcPr>
          <w:p w:rsidR="00195FE9" w:rsidRPr="00AA3DA3" w:rsidRDefault="00195FE9" w:rsidP="00195FE9">
            <w:pPr>
              <w:pStyle w:val="naiskr"/>
              <w:spacing w:before="0" w:after="0"/>
              <w:ind w:hanging="10"/>
            </w:pPr>
            <w:r w:rsidRPr="00AA3DA3">
              <w:t>Pamatojums</w:t>
            </w:r>
          </w:p>
        </w:tc>
        <w:tc>
          <w:tcPr>
            <w:tcW w:w="6667" w:type="dxa"/>
          </w:tcPr>
          <w:p w:rsidR="003C51D0" w:rsidRDefault="003C51D0" w:rsidP="003C51D0">
            <w:pPr>
              <w:pStyle w:val="naiskr"/>
              <w:spacing w:before="0" w:after="0"/>
              <w:ind w:hanging="5"/>
              <w:jc w:val="both"/>
            </w:pPr>
            <w:proofErr w:type="spellStart"/>
            <w:r w:rsidRPr="00165B11">
              <w:rPr>
                <w:i/>
              </w:rPr>
              <w:t>Euro</w:t>
            </w:r>
            <w:proofErr w:type="spellEnd"/>
            <w:r>
              <w:t xml:space="preserve"> ieviešanas kārtības likuma 30.panta pirmā daļa.</w:t>
            </w:r>
          </w:p>
          <w:p w:rsidR="007470E5" w:rsidRPr="00195FE9" w:rsidRDefault="007470E5" w:rsidP="004D3859">
            <w:pPr>
              <w:jc w:val="both"/>
            </w:pPr>
          </w:p>
        </w:tc>
      </w:tr>
      <w:tr w:rsidR="00195FE9" w:rsidRPr="00AA3DA3" w:rsidTr="00195FE9">
        <w:trPr>
          <w:trHeight w:val="472"/>
        </w:trPr>
        <w:tc>
          <w:tcPr>
            <w:tcW w:w="568" w:type="dxa"/>
          </w:tcPr>
          <w:p w:rsidR="00195FE9" w:rsidRPr="00AA3DA3" w:rsidRDefault="00195FE9" w:rsidP="00195FE9">
            <w:pPr>
              <w:pStyle w:val="naiskr"/>
              <w:spacing w:before="0" w:after="0"/>
            </w:pPr>
            <w:r w:rsidRPr="00AA3DA3">
              <w:t>2.</w:t>
            </w:r>
          </w:p>
        </w:tc>
        <w:tc>
          <w:tcPr>
            <w:tcW w:w="2268" w:type="dxa"/>
          </w:tcPr>
          <w:p w:rsidR="00195FE9" w:rsidRPr="00AA3DA3" w:rsidRDefault="00195FE9" w:rsidP="00195FE9">
            <w:pPr>
              <w:pStyle w:val="naiskr"/>
              <w:tabs>
                <w:tab w:val="left" w:pos="170"/>
              </w:tabs>
              <w:spacing w:before="0" w:after="0"/>
            </w:pPr>
            <w:r w:rsidRPr="00AA3DA3">
              <w:t>Pašreizējā situācija un problēmas</w:t>
            </w:r>
          </w:p>
        </w:tc>
        <w:tc>
          <w:tcPr>
            <w:tcW w:w="6667" w:type="dxa"/>
          </w:tcPr>
          <w:p w:rsidR="00993D86" w:rsidRPr="00DC7631" w:rsidRDefault="003C51D0" w:rsidP="009158EC">
            <w:pPr>
              <w:spacing w:after="567"/>
              <w:jc w:val="both"/>
            </w:pPr>
            <w:r w:rsidRPr="003C51D0">
              <w:t xml:space="preserve">Šobrīd </w:t>
            </w:r>
            <w:r w:rsidR="00DC7631" w:rsidRPr="00DC7631">
              <w:rPr>
                <w:bCs/>
                <w:color w:val="000000" w:themeColor="text1"/>
              </w:rPr>
              <w:t>Ministru kabineta 2006.gada 31.oktobra noteikum</w:t>
            </w:r>
            <w:r w:rsidR="00DC7631">
              <w:rPr>
                <w:bCs/>
                <w:color w:val="000000" w:themeColor="text1"/>
              </w:rPr>
              <w:t>u</w:t>
            </w:r>
            <w:r w:rsidR="00DC7631" w:rsidRPr="00DC7631">
              <w:rPr>
                <w:bCs/>
                <w:color w:val="000000" w:themeColor="text1"/>
              </w:rPr>
              <w:t xml:space="preserve"> Nr.884 „</w:t>
            </w:r>
            <w:hyperlink r:id="rId10" w:tgtFrame="_blank" w:history="1">
              <w:r w:rsidR="00DC7631" w:rsidRPr="00DC7631">
                <w:rPr>
                  <w:bCs/>
                  <w:color w:val="000000" w:themeColor="text1"/>
                </w:rPr>
                <w:t>Kārtība, kādā tiek veikta informācijas apmaiņa tiešo nodokļu jomā ar Eiropas Savienības dalībvalstīm un valstīm, ar kurām ir noslēgti starptautiskie līgumi par nodokļu dubultās uzlikšanas un nodokļu nemaksāšanas novēršanu</w:t>
              </w:r>
            </w:hyperlink>
            <w:r w:rsidR="00DC7631" w:rsidRPr="00DC7631">
              <w:rPr>
                <w:bCs/>
                <w:color w:val="000000" w:themeColor="text1"/>
              </w:rPr>
              <w:t xml:space="preserve">”” </w:t>
            </w:r>
            <w:r>
              <w:rPr>
                <w:bCs/>
              </w:rPr>
              <w:t xml:space="preserve">(turpmāk - </w:t>
            </w:r>
            <w:r w:rsidRPr="003C51D0">
              <w:rPr>
                <w:bCs/>
              </w:rPr>
              <w:t>Ministru kabineta</w:t>
            </w:r>
            <w:r>
              <w:rPr>
                <w:bCs/>
              </w:rPr>
              <w:t xml:space="preserve"> noteikumi Nr.</w:t>
            </w:r>
            <w:r w:rsidR="00DC7631">
              <w:rPr>
                <w:bCs/>
              </w:rPr>
              <w:t>884</w:t>
            </w:r>
            <w:r>
              <w:rPr>
                <w:bCs/>
              </w:rPr>
              <w:t>)</w:t>
            </w:r>
            <w:r w:rsidRPr="003C51D0">
              <w:rPr>
                <w:bCs/>
              </w:rPr>
              <w:t xml:space="preserve"> </w:t>
            </w:r>
            <w:r w:rsidR="00DC7631">
              <w:t xml:space="preserve">3.pielikums </w:t>
            </w:r>
            <w:r w:rsidRPr="003C51D0">
              <w:t xml:space="preserve">satur atsauci uz latiem. </w:t>
            </w:r>
            <w:r w:rsidRPr="003C51D0">
              <w:rPr>
                <w:bCs/>
              </w:rPr>
              <w:t xml:space="preserve">Deklarācijas par Valda </w:t>
            </w:r>
            <w:proofErr w:type="spellStart"/>
            <w:r w:rsidRPr="003C51D0">
              <w:rPr>
                <w:bCs/>
              </w:rPr>
              <w:t>Dombrovska</w:t>
            </w:r>
            <w:proofErr w:type="spellEnd"/>
            <w:r w:rsidRPr="003C51D0">
              <w:rPr>
                <w:bCs/>
              </w:rPr>
              <w:t xml:space="preserve"> vadītā Ministru kabineta iecerēto darbību II sadaļas 1.punkts paredz, ka Latvija plāno iekļauties </w:t>
            </w:r>
            <w:proofErr w:type="spellStart"/>
            <w:r w:rsidRPr="003C51D0">
              <w:rPr>
                <w:bCs/>
                <w:i/>
              </w:rPr>
              <w:t>euro</w:t>
            </w:r>
            <w:proofErr w:type="spellEnd"/>
            <w:r w:rsidRPr="003C51D0">
              <w:rPr>
                <w:bCs/>
              </w:rPr>
              <w:t xml:space="preserve"> zonā jau 2014.gadā. Ņemot vērā, ka pēc iestāšanās </w:t>
            </w:r>
            <w:proofErr w:type="spellStart"/>
            <w:r w:rsidRPr="003C51D0">
              <w:rPr>
                <w:bCs/>
                <w:i/>
              </w:rPr>
              <w:t>euro</w:t>
            </w:r>
            <w:proofErr w:type="spellEnd"/>
            <w:r w:rsidRPr="003C51D0">
              <w:rPr>
                <w:bCs/>
              </w:rPr>
              <w:t xml:space="preserve"> zonā, likumīgais maksāšanas līdzeklis būs nevis lats, bet </w:t>
            </w:r>
            <w:proofErr w:type="spellStart"/>
            <w:r w:rsidRPr="003C51D0">
              <w:rPr>
                <w:bCs/>
                <w:i/>
              </w:rPr>
              <w:t>euro</w:t>
            </w:r>
            <w:proofErr w:type="spellEnd"/>
            <w:r w:rsidRPr="003C51D0">
              <w:rPr>
                <w:bCs/>
              </w:rPr>
              <w:t xml:space="preserve">, ir nepieciešams nodrošināt tiesību aktu pielāgošanu </w:t>
            </w:r>
            <w:proofErr w:type="spellStart"/>
            <w:r w:rsidRPr="003C51D0">
              <w:rPr>
                <w:bCs/>
                <w:i/>
              </w:rPr>
              <w:t>euro</w:t>
            </w:r>
            <w:proofErr w:type="spellEnd"/>
            <w:r w:rsidRPr="003C51D0">
              <w:rPr>
                <w:bCs/>
              </w:rPr>
              <w:t xml:space="preserve"> ieviešanai Latvijā, tai skaitā</w:t>
            </w:r>
            <w:r w:rsidR="00F379A2">
              <w:rPr>
                <w:bCs/>
              </w:rPr>
              <w:t xml:space="preserve">, </w:t>
            </w:r>
            <w:r w:rsidRPr="003C51D0">
              <w:rPr>
                <w:bCs/>
              </w:rPr>
              <w:t>izdarot grozījumu Ministru kabineta noteikum</w:t>
            </w:r>
            <w:r>
              <w:rPr>
                <w:bCs/>
              </w:rPr>
              <w:t>os Nr.</w:t>
            </w:r>
            <w:r w:rsidR="00DC7631">
              <w:rPr>
                <w:bCs/>
              </w:rPr>
              <w:t>884</w:t>
            </w:r>
            <w:r>
              <w:rPr>
                <w:bCs/>
              </w:rPr>
              <w:t>.</w:t>
            </w:r>
          </w:p>
        </w:tc>
      </w:tr>
      <w:tr w:rsidR="00195FE9" w:rsidRPr="00AA3DA3" w:rsidTr="00195FE9">
        <w:trPr>
          <w:trHeight w:val="530"/>
        </w:trPr>
        <w:tc>
          <w:tcPr>
            <w:tcW w:w="568" w:type="dxa"/>
          </w:tcPr>
          <w:p w:rsidR="00195FE9" w:rsidRPr="00AA3DA3" w:rsidRDefault="00195FE9" w:rsidP="00195FE9">
            <w:pPr>
              <w:pStyle w:val="naiskr"/>
              <w:spacing w:before="0" w:after="0"/>
            </w:pPr>
            <w:r w:rsidRPr="00AA3DA3">
              <w:t>3.</w:t>
            </w:r>
          </w:p>
        </w:tc>
        <w:tc>
          <w:tcPr>
            <w:tcW w:w="2268" w:type="dxa"/>
          </w:tcPr>
          <w:p w:rsidR="00195FE9" w:rsidRPr="00AA3DA3" w:rsidRDefault="00195FE9" w:rsidP="00195FE9">
            <w:pPr>
              <w:pStyle w:val="naiskr"/>
              <w:spacing w:before="0" w:after="0"/>
            </w:pPr>
            <w:r w:rsidRPr="00AA3DA3">
              <w:t>Saistītie politikas ietekmes novērtējumi un pētījumi</w:t>
            </w:r>
          </w:p>
        </w:tc>
        <w:tc>
          <w:tcPr>
            <w:tcW w:w="6667" w:type="dxa"/>
          </w:tcPr>
          <w:p w:rsidR="00195FE9" w:rsidRPr="00AA3DA3" w:rsidRDefault="003C51D0" w:rsidP="003C51D0">
            <w:pPr>
              <w:pStyle w:val="FootnoteText"/>
              <w:rPr>
                <w:sz w:val="24"/>
                <w:szCs w:val="24"/>
              </w:rPr>
            </w:pPr>
            <w:r>
              <w:rPr>
                <w:sz w:val="24"/>
                <w:szCs w:val="24"/>
              </w:rPr>
              <w:t>Nav attiecināms</w:t>
            </w:r>
          </w:p>
        </w:tc>
      </w:tr>
      <w:tr w:rsidR="00195FE9" w:rsidRPr="00AA3DA3" w:rsidTr="00195FE9">
        <w:trPr>
          <w:trHeight w:val="384"/>
        </w:trPr>
        <w:tc>
          <w:tcPr>
            <w:tcW w:w="568" w:type="dxa"/>
          </w:tcPr>
          <w:p w:rsidR="00195FE9" w:rsidRPr="00AA3DA3" w:rsidRDefault="00195FE9" w:rsidP="00195FE9">
            <w:pPr>
              <w:pStyle w:val="naiskr"/>
              <w:spacing w:before="0" w:after="0"/>
            </w:pPr>
            <w:r w:rsidRPr="00AA3DA3">
              <w:t>4.</w:t>
            </w:r>
          </w:p>
        </w:tc>
        <w:tc>
          <w:tcPr>
            <w:tcW w:w="2268" w:type="dxa"/>
          </w:tcPr>
          <w:p w:rsidR="00195FE9" w:rsidRPr="00AA3DA3" w:rsidRDefault="00195FE9" w:rsidP="00195FE9">
            <w:pPr>
              <w:pStyle w:val="naiskr"/>
              <w:spacing w:before="0" w:after="0"/>
            </w:pPr>
            <w:r w:rsidRPr="00AA3DA3">
              <w:t>Tiesiskā regulējuma mērķis un būtība</w:t>
            </w:r>
          </w:p>
        </w:tc>
        <w:tc>
          <w:tcPr>
            <w:tcW w:w="6667" w:type="dxa"/>
          </w:tcPr>
          <w:p w:rsidR="003C51D0" w:rsidRPr="00DC7631" w:rsidRDefault="003C51D0" w:rsidP="003C51D0">
            <w:pPr>
              <w:pStyle w:val="Nobeigums"/>
              <w:jc w:val="both"/>
              <w:rPr>
                <w:color w:val="000000"/>
                <w:lang w:val="lv-LV"/>
              </w:rPr>
            </w:pPr>
            <w:r w:rsidRPr="002D36C6">
              <w:rPr>
                <w:color w:val="000000"/>
                <w:lang w:val="lv-LV"/>
              </w:rPr>
              <w:t>Noteikumu projekts</w:t>
            </w:r>
            <w:r w:rsidR="000F1294" w:rsidRPr="002D36C6">
              <w:rPr>
                <w:color w:val="000000"/>
                <w:lang w:val="lv-LV"/>
              </w:rPr>
              <w:t xml:space="preserve"> </w:t>
            </w:r>
            <w:r w:rsidRPr="002D36C6">
              <w:rPr>
                <w:iCs/>
                <w:szCs w:val="24"/>
                <w:lang w:val="lv-LV"/>
              </w:rPr>
              <w:t>paredz veikt tehniskos precizējumus</w:t>
            </w:r>
            <w:r w:rsidRPr="002D36C6">
              <w:rPr>
                <w:color w:val="000000"/>
                <w:lang w:val="lv-LV"/>
              </w:rPr>
              <w:t>, lai nodrošinātu, ka</w:t>
            </w:r>
            <w:r w:rsidRPr="002D36C6">
              <w:rPr>
                <w:bCs/>
                <w:szCs w:val="24"/>
                <w:lang w:val="lv-LV"/>
              </w:rPr>
              <w:t xml:space="preserve"> Ministru kabineta noteikum</w:t>
            </w:r>
            <w:r w:rsidR="002D36C6" w:rsidRPr="002D36C6">
              <w:rPr>
                <w:bCs/>
                <w:lang w:val="lv-LV"/>
              </w:rPr>
              <w:t>i</w:t>
            </w:r>
            <w:r w:rsidR="00DC7631">
              <w:rPr>
                <w:bCs/>
                <w:lang w:val="lv-LV"/>
              </w:rPr>
              <w:t xml:space="preserve"> Nr.884</w:t>
            </w:r>
            <w:r w:rsidR="002D36C6" w:rsidRPr="002D36C6">
              <w:rPr>
                <w:iCs/>
                <w:szCs w:val="24"/>
                <w:lang w:val="lv-LV"/>
              </w:rPr>
              <w:t xml:space="preserve"> nesatur atsauci uz latiem.</w:t>
            </w:r>
            <w:r w:rsidR="00DC7631">
              <w:rPr>
                <w:iCs/>
                <w:szCs w:val="24"/>
                <w:lang w:val="lv-LV"/>
              </w:rPr>
              <w:t xml:space="preserve"> </w:t>
            </w:r>
            <w:r w:rsidR="00DC7631" w:rsidRPr="00DC7631">
              <w:rPr>
                <w:iCs/>
                <w:szCs w:val="24"/>
                <w:lang w:val="lv-LV"/>
              </w:rPr>
              <w:t>Tādējādi</w:t>
            </w:r>
            <w:r w:rsidR="00DC7631" w:rsidRPr="00DC7631">
              <w:rPr>
                <w:bCs/>
                <w:lang w:val="lv-LV"/>
              </w:rPr>
              <w:t xml:space="preserve"> Ministru kabineta noteikum</w:t>
            </w:r>
            <w:r w:rsidR="00DC7631">
              <w:rPr>
                <w:bCs/>
                <w:lang w:val="lv-LV"/>
              </w:rPr>
              <w:t>u</w:t>
            </w:r>
            <w:r w:rsidR="00DC7631" w:rsidRPr="00DC7631">
              <w:rPr>
                <w:bCs/>
                <w:lang w:val="lv-LV"/>
              </w:rPr>
              <w:t xml:space="preserve"> Nr.884</w:t>
            </w:r>
            <w:r w:rsidR="00DC7631">
              <w:rPr>
                <w:bCs/>
                <w:lang w:val="lv-LV"/>
              </w:rPr>
              <w:t xml:space="preserve"> 3.pielikumā tiek aizstāts saīsinājums „LVL” ar </w:t>
            </w:r>
            <w:r w:rsidR="00A10F52">
              <w:rPr>
                <w:bCs/>
                <w:lang w:val="lv-LV"/>
              </w:rPr>
              <w:t>saīsinājumu</w:t>
            </w:r>
            <w:r w:rsidR="00DC7631">
              <w:rPr>
                <w:bCs/>
                <w:lang w:val="lv-LV"/>
              </w:rPr>
              <w:t xml:space="preserve"> „</w:t>
            </w:r>
            <w:r w:rsidR="00A10F52">
              <w:rPr>
                <w:bCs/>
                <w:lang w:val="lv-LV"/>
              </w:rPr>
              <w:t>EUR</w:t>
            </w:r>
            <w:r w:rsidR="00DC7631">
              <w:rPr>
                <w:bCs/>
                <w:lang w:val="lv-LV"/>
              </w:rPr>
              <w:t>”.</w:t>
            </w:r>
          </w:p>
          <w:p w:rsidR="007470E5" w:rsidRPr="00CA63ED" w:rsidRDefault="007470E5" w:rsidP="00DC7631">
            <w:pPr>
              <w:pStyle w:val="Nobeigums"/>
              <w:tabs>
                <w:tab w:val="left" w:pos="459"/>
              </w:tabs>
              <w:jc w:val="both"/>
              <w:rPr>
                <w:iCs/>
                <w:lang w:val="lv-LV"/>
              </w:rPr>
            </w:pPr>
          </w:p>
        </w:tc>
      </w:tr>
      <w:tr w:rsidR="00195FE9" w:rsidRPr="00AA3DA3" w:rsidTr="00195FE9">
        <w:trPr>
          <w:trHeight w:val="476"/>
        </w:trPr>
        <w:tc>
          <w:tcPr>
            <w:tcW w:w="568" w:type="dxa"/>
          </w:tcPr>
          <w:p w:rsidR="00195FE9" w:rsidRPr="00AA3DA3" w:rsidRDefault="00195FE9" w:rsidP="00195FE9">
            <w:pPr>
              <w:pStyle w:val="naiskr"/>
              <w:spacing w:before="0" w:after="0"/>
            </w:pPr>
            <w:r w:rsidRPr="00AA3DA3">
              <w:t>5.</w:t>
            </w:r>
          </w:p>
        </w:tc>
        <w:tc>
          <w:tcPr>
            <w:tcW w:w="2268" w:type="dxa"/>
          </w:tcPr>
          <w:p w:rsidR="00195FE9" w:rsidRPr="00AA3DA3" w:rsidRDefault="00195FE9" w:rsidP="00195FE9">
            <w:pPr>
              <w:pStyle w:val="naiskr"/>
              <w:spacing w:before="0" w:after="0"/>
            </w:pPr>
            <w:r w:rsidRPr="00AA3DA3">
              <w:t>Projekta izstrādē iesaistītās institūcijas</w:t>
            </w:r>
          </w:p>
        </w:tc>
        <w:tc>
          <w:tcPr>
            <w:tcW w:w="6667" w:type="dxa"/>
          </w:tcPr>
          <w:p w:rsidR="00195FE9" w:rsidRPr="00AA3DA3" w:rsidRDefault="005D70CE" w:rsidP="002F4541">
            <w:pPr>
              <w:pStyle w:val="naiskr"/>
              <w:spacing w:before="0" w:after="0"/>
              <w:jc w:val="both"/>
            </w:pPr>
            <w:r>
              <w:t>Finanšu ministrija</w:t>
            </w:r>
          </w:p>
        </w:tc>
      </w:tr>
      <w:tr w:rsidR="00195FE9" w:rsidRPr="00AA3DA3" w:rsidTr="00195FE9">
        <w:trPr>
          <w:trHeight w:val="275"/>
        </w:trPr>
        <w:tc>
          <w:tcPr>
            <w:tcW w:w="568" w:type="dxa"/>
          </w:tcPr>
          <w:p w:rsidR="00195FE9" w:rsidRPr="00AA3DA3" w:rsidRDefault="00195FE9" w:rsidP="00195FE9">
            <w:pPr>
              <w:pStyle w:val="naiskr"/>
              <w:spacing w:before="0" w:after="0"/>
            </w:pPr>
            <w:r w:rsidRPr="00AA3DA3">
              <w:t>6.</w:t>
            </w:r>
          </w:p>
        </w:tc>
        <w:tc>
          <w:tcPr>
            <w:tcW w:w="2268" w:type="dxa"/>
          </w:tcPr>
          <w:p w:rsidR="00195FE9" w:rsidRPr="00AA3DA3" w:rsidRDefault="00195FE9" w:rsidP="00195FE9">
            <w:pPr>
              <w:pStyle w:val="naiskr"/>
              <w:spacing w:before="0" w:after="0"/>
              <w:rPr>
                <w:i/>
                <w:highlight w:val="yellow"/>
              </w:rPr>
            </w:pPr>
            <w:r w:rsidRPr="00AA3DA3">
              <w:t>Iemesli, kādēļ netika nodrošināta sabiedrības līdzdalība</w:t>
            </w:r>
          </w:p>
        </w:tc>
        <w:tc>
          <w:tcPr>
            <w:tcW w:w="6667" w:type="dxa"/>
          </w:tcPr>
          <w:p w:rsidR="00075FE9" w:rsidRPr="00E52808" w:rsidRDefault="005D70CE" w:rsidP="002F4541">
            <w:pPr>
              <w:pStyle w:val="FootnoteText"/>
              <w:jc w:val="both"/>
              <w:rPr>
                <w:sz w:val="24"/>
                <w:szCs w:val="24"/>
              </w:rPr>
            </w:pPr>
            <w:r>
              <w:rPr>
                <w:sz w:val="24"/>
                <w:szCs w:val="24"/>
              </w:rPr>
              <w:t xml:space="preserve">Sabiedrības līdzdalība netika nodrošināta, jo projekts ir tehniska rakstura un ietilpst vienotā </w:t>
            </w:r>
            <w:proofErr w:type="spellStart"/>
            <w:r w:rsidRPr="00B61E4D">
              <w:rPr>
                <w:i/>
                <w:sz w:val="24"/>
                <w:szCs w:val="24"/>
              </w:rPr>
              <w:t>euro</w:t>
            </w:r>
            <w:proofErr w:type="spellEnd"/>
            <w:r>
              <w:rPr>
                <w:sz w:val="24"/>
                <w:szCs w:val="24"/>
              </w:rPr>
              <w:t xml:space="preserve"> ieviešanas likumprojektu paketē.</w:t>
            </w:r>
          </w:p>
        </w:tc>
      </w:tr>
      <w:tr w:rsidR="00195FE9" w:rsidRPr="00AA3DA3" w:rsidTr="00195FE9">
        <w:tc>
          <w:tcPr>
            <w:tcW w:w="568" w:type="dxa"/>
          </w:tcPr>
          <w:p w:rsidR="00195FE9" w:rsidRPr="00AA3DA3" w:rsidRDefault="00195FE9" w:rsidP="00195FE9">
            <w:pPr>
              <w:pStyle w:val="naiskr"/>
              <w:spacing w:before="0" w:after="0"/>
            </w:pPr>
            <w:r w:rsidRPr="00AA3DA3">
              <w:t>7.</w:t>
            </w:r>
          </w:p>
        </w:tc>
        <w:tc>
          <w:tcPr>
            <w:tcW w:w="2268" w:type="dxa"/>
          </w:tcPr>
          <w:p w:rsidR="00195FE9" w:rsidRPr="00AA3DA3" w:rsidRDefault="00195FE9" w:rsidP="00195FE9">
            <w:pPr>
              <w:pStyle w:val="naiskr"/>
              <w:spacing w:before="0" w:after="0"/>
            </w:pPr>
            <w:r w:rsidRPr="00AA3DA3">
              <w:t>Cita informācija</w:t>
            </w:r>
          </w:p>
        </w:tc>
        <w:tc>
          <w:tcPr>
            <w:tcW w:w="6667" w:type="dxa"/>
          </w:tcPr>
          <w:p w:rsidR="00195FE9" w:rsidRDefault="002F4541" w:rsidP="002F4541">
            <w:pPr>
              <w:pStyle w:val="naiskr"/>
              <w:spacing w:before="0" w:after="0"/>
              <w:jc w:val="both"/>
            </w:pPr>
            <w:r>
              <w:t>Nav</w:t>
            </w:r>
            <w:r w:rsidR="00195FE9" w:rsidRPr="00AA3DA3">
              <w:t xml:space="preserve"> </w:t>
            </w:r>
          </w:p>
          <w:p w:rsidR="007470E5" w:rsidRPr="00AA3DA3" w:rsidRDefault="007470E5" w:rsidP="00CA6A6E">
            <w:pPr>
              <w:pStyle w:val="naiskr"/>
              <w:spacing w:before="0" w:after="0"/>
              <w:jc w:val="both"/>
            </w:pPr>
          </w:p>
        </w:tc>
      </w:tr>
    </w:tbl>
    <w:p w:rsidR="00195FE9" w:rsidRPr="00215301" w:rsidRDefault="00195FE9" w:rsidP="00646DDB">
      <w:pPr>
        <w:spacing w:line="270" w:lineRule="atLeast"/>
        <w:rPr>
          <w:rStyle w:val="apple-style-span"/>
          <w:color w:val="000000"/>
          <w:sz w:val="28"/>
          <w:szCs w:val="28"/>
        </w:rPr>
      </w:pPr>
    </w:p>
    <w:tbl>
      <w:tblPr>
        <w:tblW w:w="5201"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2268"/>
        <w:gridCol w:w="6662"/>
      </w:tblGrid>
      <w:tr w:rsidR="00646DDB" w:rsidRPr="000C5706" w:rsidTr="000C5706">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646DDB" w:rsidRPr="000C5706" w:rsidRDefault="00646DDB" w:rsidP="00D639CD">
            <w:pPr>
              <w:pStyle w:val="NormalWeb"/>
              <w:jc w:val="center"/>
              <w:rPr>
                <w:b/>
                <w:bCs/>
              </w:rPr>
            </w:pPr>
            <w:r w:rsidRPr="000C5706">
              <w:rPr>
                <w:b/>
                <w:bCs/>
              </w:rPr>
              <w:t>II. Tiesību akta projekta ietekme uz sabiedrību</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1.</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 xml:space="preserve">Sabiedrības </w:t>
            </w:r>
            <w:proofErr w:type="spellStart"/>
            <w:r w:rsidRPr="000C5706">
              <w:t>mērķgrupa</w:t>
            </w:r>
            <w:proofErr w:type="spellEnd"/>
          </w:p>
        </w:tc>
        <w:tc>
          <w:tcPr>
            <w:tcW w:w="3507" w:type="pct"/>
            <w:tcBorders>
              <w:top w:val="outset" w:sz="6" w:space="0" w:color="000000"/>
              <w:left w:val="outset" w:sz="6" w:space="0" w:color="000000"/>
              <w:bottom w:val="outset" w:sz="6" w:space="0" w:color="000000"/>
              <w:right w:val="outset" w:sz="6" w:space="0" w:color="000000"/>
            </w:tcBorders>
          </w:tcPr>
          <w:p w:rsidR="007470E5" w:rsidRPr="002F4541" w:rsidRDefault="00DC7631" w:rsidP="002F4541">
            <w:pPr>
              <w:pStyle w:val="naiskr"/>
              <w:spacing w:before="0" w:after="0"/>
              <w:ind w:firstLine="4"/>
              <w:jc w:val="both"/>
              <w:rPr>
                <w:rFonts w:eastAsia="EUAlbertina_Bold"/>
              </w:rPr>
            </w:pPr>
            <w:r>
              <w:rPr>
                <w:rFonts w:eastAsia="EUAlbertina_Bold"/>
              </w:rPr>
              <w:t>Eiropas Savienības dalībvalstu kompetentās iestādes</w:t>
            </w:r>
            <w:r w:rsidR="003C5DE1">
              <w:rPr>
                <w:rFonts w:eastAsia="EUAlbertina_Bold"/>
              </w:rPr>
              <w:t>, kuras veic informācijas apmaiņu tiešo nodokļu jomā Eiropas Savienības dalībvalstīm un valstī, ar kurām ir noslēgti starptautiskie līgumi par nodokļu dubultās uzlikšanas un nodokļu nemaksāšanas novēršanu.</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2.</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 xml:space="preserve">Citas sabiedrības grupas (bez </w:t>
            </w:r>
            <w:proofErr w:type="spellStart"/>
            <w:r w:rsidRPr="000C5706">
              <w:t>mērķgrupas</w:t>
            </w:r>
            <w:proofErr w:type="spellEnd"/>
            <w:r w:rsidRPr="000C5706">
              <w:t xml:space="preserve">), kuras </w:t>
            </w:r>
            <w:r w:rsidRPr="000C5706">
              <w:lastRenderedPageBreak/>
              <w:t>tiesiskais regulējums arī ietekmē vai varētu ietekmēt</w:t>
            </w:r>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2F4541" w:rsidP="002F4541">
            <w:pPr>
              <w:pStyle w:val="NormalWeb"/>
              <w:jc w:val="both"/>
            </w:pPr>
            <w:r w:rsidRPr="002F4541">
              <w:lastRenderedPageBreak/>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lastRenderedPageBreak/>
              <w:t>3.</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Tiesiskā regulējuma finansiālā ietekme</w:t>
            </w:r>
          </w:p>
        </w:tc>
        <w:tc>
          <w:tcPr>
            <w:tcW w:w="3507" w:type="pct"/>
            <w:tcBorders>
              <w:top w:val="outset" w:sz="6" w:space="0" w:color="000000"/>
              <w:left w:val="outset" w:sz="6" w:space="0" w:color="000000"/>
              <w:bottom w:val="outset" w:sz="6" w:space="0" w:color="000000"/>
              <w:right w:val="outset" w:sz="6" w:space="0" w:color="000000"/>
            </w:tcBorders>
          </w:tcPr>
          <w:p w:rsidR="00990A43" w:rsidRPr="002F4541" w:rsidRDefault="000A6BD5" w:rsidP="002F4541">
            <w:pPr>
              <w:autoSpaceDE w:val="0"/>
              <w:autoSpaceDN w:val="0"/>
              <w:adjustRightInd w:val="0"/>
              <w:jc w:val="both"/>
              <w:rPr>
                <w:color w:val="000000"/>
                <w:lang w:eastAsia="en-US"/>
              </w:rPr>
            </w:pPr>
            <w:r w:rsidRPr="002F4541">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4.</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Tiesiskā regulējuma nefinansiālā ietekme</w:t>
            </w:r>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195FE9" w:rsidP="002F4541">
            <w:pPr>
              <w:pStyle w:val="NormalWeb"/>
              <w:jc w:val="both"/>
            </w:pPr>
            <w:r>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5.</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Administratīvās procedūras raksturojums</w:t>
            </w:r>
          </w:p>
        </w:tc>
        <w:tc>
          <w:tcPr>
            <w:tcW w:w="3507" w:type="pct"/>
            <w:tcBorders>
              <w:top w:val="outset" w:sz="6" w:space="0" w:color="000000"/>
              <w:left w:val="outset" w:sz="6" w:space="0" w:color="000000"/>
              <w:bottom w:val="outset" w:sz="6" w:space="0" w:color="000000"/>
              <w:right w:val="outset" w:sz="6" w:space="0" w:color="000000"/>
            </w:tcBorders>
          </w:tcPr>
          <w:p w:rsidR="007470E5" w:rsidRPr="008A5C70" w:rsidRDefault="002F4541" w:rsidP="002F4541">
            <w:pPr>
              <w:jc w:val="both"/>
            </w:pPr>
            <w:r>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6.</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Administratīvo izmaksu monetārs novērtējums</w:t>
            </w:r>
          </w:p>
        </w:tc>
        <w:tc>
          <w:tcPr>
            <w:tcW w:w="3507" w:type="pct"/>
            <w:tcBorders>
              <w:top w:val="outset" w:sz="6" w:space="0" w:color="000000"/>
              <w:left w:val="outset" w:sz="6" w:space="0" w:color="000000"/>
              <w:bottom w:val="outset" w:sz="6" w:space="0" w:color="000000"/>
              <w:right w:val="outset" w:sz="6" w:space="0" w:color="000000"/>
            </w:tcBorders>
          </w:tcPr>
          <w:p w:rsidR="00646DDB" w:rsidRPr="008A5C70" w:rsidRDefault="00195FE9" w:rsidP="002F4541">
            <w:pPr>
              <w:pStyle w:val="NormalWeb"/>
              <w:rPr>
                <w:color w:val="000000"/>
              </w:rPr>
            </w:pPr>
            <w:r w:rsidRPr="008A5C70">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7.</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Cita informācija</w:t>
            </w:r>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646DDB" w:rsidP="002F4541">
            <w:pPr>
              <w:pStyle w:val="NormalWeb"/>
            </w:pPr>
            <w:r w:rsidRPr="000C5706">
              <w:t>Nav</w:t>
            </w:r>
          </w:p>
        </w:tc>
      </w:tr>
    </w:tbl>
    <w:p w:rsidR="006D6EF9" w:rsidRDefault="006D6EF9" w:rsidP="000A6BD5">
      <w:pPr>
        <w:pStyle w:val="naisf"/>
        <w:spacing w:before="0" w:after="0"/>
        <w:ind w:firstLine="0"/>
        <w:rPr>
          <w:i/>
          <w:sz w:val="28"/>
          <w:szCs w:val="28"/>
        </w:rPr>
      </w:pPr>
    </w:p>
    <w:p w:rsidR="002F4541" w:rsidRDefault="002F4541" w:rsidP="000A6BD5">
      <w:pPr>
        <w:pStyle w:val="naisf"/>
        <w:spacing w:before="0" w:after="0"/>
        <w:ind w:firstLine="0"/>
        <w:rPr>
          <w:i/>
          <w:sz w:val="28"/>
          <w:szCs w:val="28"/>
        </w:rPr>
      </w:pPr>
    </w:p>
    <w:tbl>
      <w:tblPr>
        <w:tblW w:w="9485"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383"/>
        <w:gridCol w:w="6534"/>
      </w:tblGrid>
      <w:tr w:rsidR="002F4541" w:rsidRPr="00711F59" w:rsidTr="002F4541">
        <w:trPr>
          <w:jc w:val="center"/>
        </w:trPr>
        <w:tc>
          <w:tcPr>
            <w:tcW w:w="9485" w:type="dxa"/>
            <w:gridSpan w:val="3"/>
          </w:tcPr>
          <w:p w:rsidR="002F4541" w:rsidRPr="007C0F2C" w:rsidRDefault="002F4541" w:rsidP="00CD3407">
            <w:pPr>
              <w:pStyle w:val="naisnod"/>
              <w:spacing w:before="0" w:after="0"/>
            </w:pPr>
            <w:r w:rsidRPr="007C0F2C">
              <w:t>IV. Tiesību akta projekta ietekme uz spēkā esošo tiesību normu sistēmu</w:t>
            </w:r>
          </w:p>
        </w:tc>
      </w:tr>
      <w:tr w:rsidR="002F4541" w:rsidRPr="00C46301" w:rsidTr="002F4541">
        <w:trPr>
          <w:jc w:val="center"/>
        </w:trPr>
        <w:tc>
          <w:tcPr>
            <w:tcW w:w="568" w:type="dxa"/>
          </w:tcPr>
          <w:p w:rsidR="002F4541" w:rsidRPr="00994213" w:rsidRDefault="002F4541" w:rsidP="00CD3407">
            <w:pPr>
              <w:pStyle w:val="naiskr"/>
              <w:tabs>
                <w:tab w:val="left" w:pos="2628"/>
              </w:tabs>
              <w:spacing w:before="0" w:after="0"/>
              <w:jc w:val="both"/>
              <w:rPr>
                <w:iCs/>
              </w:rPr>
            </w:pPr>
            <w:r w:rsidRPr="00994213">
              <w:rPr>
                <w:iCs/>
              </w:rPr>
              <w:t>1.</w:t>
            </w:r>
          </w:p>
        </w:tc>
        <w:tc>
          <w:tcPr>
            <w:tcW w:w="2383" w:type="dxa"/>
          </w:tcPr>
          <w:p w:rsidR="002F4541" w:rsidRPr="00994213" w:rsidRDefault="002F4541" w:rsidP="00CD3407">
            <w:pPr>
              <w:pStyle w:val="naiskr"/>
              <w:tabs>
                <w:tab w:val="left" w:pos="2628"/>
              </w:tabs>
              <w:spacing w:before="0" w:after="0"/>
              <w:jc w:val="both"/>
              <w:rPr>
                <w:iCs/>
              </w:rPr>
            </w:pPr>
            <w:r w:rsidRPr="00C46301">
              <w:t>Nepieciešamie saistītie tiesību aktu projekti</w:t>
            </w:r>
          </w:p>
        </w:tc>
        <w:tc>
          <w:tcPr>
            <w:tcW w:w="6534" w:type="dxa"/>
          </w:tcPr>
          <w:p w:rsidR="002F4541" w:rsidRPr="001E3070" w:rsidRDefault="002F4541" w:rsidP="00CD3407">
            <w:pPr>
              <w:pStyle w:val="naiskr"/>
              <w:tabs>
                <w:tab w:val="left" w:pos="2628"/>
              </w:tabs>
              <w:spacing w:before="0" w:after="0"/>
              <w:jc w:val="both"/>
              <w:rPr>
                <w:iCs/>
              </w:rPr>
            </w:pPr>
            <w:r w:rsidRPr="001E3070">
              <w:rPr>
                <w:iCs/>
              </w:rPr>
              <w:t xml:space="preserve">Vienlaikus ar grozījumiem </w:t>
            </w:r>
            <w:r w:rsidRPr="002D36C6">
              <w:rPr>
                <w:bCs/>
              </w:rPr>
              <w:t>Ministru kabineta noteikum</w:t>
            </w:r>
            <w:r>
              <w:rPr>
                <w:bCs/>
              </w:rPr>
              <w:t>os</w:t>
            </w:r>
            <w:r w:rsidRPr="002D36C6">
              <w:rPr>
                <w:bCs/>
              </w:rPr>
              <w:t xml:space="preserve"> Nr.</w:t>
            </w:r>
            <w:r w:rsidR="003C5DE1">
              <w:rPr>
                <w:bCs/>
              </w:rPr>
              <w:t>884</w:t>
            </w:r>
            <w:r>
              <w:t xml:space="preserve"> Finanšu ministrija v</w:t>
            </w:r>
            <w:r w:rsidRPr="001E3070">
              <w:rPr>
                <w:iCs/>
              </w:rPr>
              <w:t>irz</w:t>
            </w:r>
            <w:r>
              <w:rPr>
                <w:iCs/>
              </w:rPr>
              <w:t>a citus saistītus</w:t>
            </w:r>
            <w:r w:rsidRPr="001E3070">
              <w:rPr>
                <w:iCs/>
              </w:rPr>
              <w:t xml:space="preserve"> grozījum</w:t>
            </w:r>
            <w:r>
              <w:rPr>
                <w:iCs/>
              </w:rPr>
              <w:t>us, kuru termiņi ir tādi paši kā šim noteikumu projektam.</w:t>
            </w:r>
          </w:p>
          <w:p w:rsidR="002F4541" w:rsidRPr="00CD7117" w:rsidRDefault="002F4541" w:rsidP="00CD3407">
            <w:pPr>
              <w:pStyle w:val="naiskr"/>
              <w:tabs>
                <w:tab w:val="left" w:pos="2628"/>
              </w:tabs>
              <w:spacing w:before="0" w:after="0"/>
              <w:jc w:val="both"/>
              <w:rPr>
                <w:iCs/>
                <w:highlight w:val="yellow"/>
              </w:rPr>
            </w:pPr>
            <w:r w:rsidRPr="001E3070">
              <w:rPr>
                <w:iCs/>
              </w:rPr>
              <w:t xml:space="preserve">Visi </w:t>
            </w:r>
            <w:r>
              <w:rPr>
                <w:iCs/>
              </w:rPr>
              <w:t>projekti</w:t>
            </w:r>
            <w:r w:rsidRPr="001E3070">
              <w:rPr>
                <w:iCs/>
              </w:rPr>
              <w:t xml:space="preserve"> ir savstarpēji </w:t>
            </w:r>
            <w:r>
              <w:rPr>
                <w:iCs/>
              </w:rPr>
              <w:t xml:space="preserve">cieši </w:t>
            </w:r>
            <w:r w:rsidRPr="001E3070">
              <w:rPr>
                <w:iCs/>
              </w:rPr>
              <w:t xml:space="preserve">saistīti un veido vienotu sistēmu, kas nodrošina </w:t>
            </w:r>
            <w:r w:rsidRPr="0029446D">
              <w:rPr>
                <w:iCs/>
              </w:rPr>
              <w:t xml:space="preserve">tiesību aktu pielāgošanu </w:t>
            </w:r>
            <w:proofErr w:type="spellStart"/>
            <w:r w:rsidRPr="0029446D">
              <w:rPr>
                <w:iCs/>
              </w:rPr>
              <w:t>euro</w:t>
            </w:r>
            <w:proofErr w:type="spellEnd"/>
            <w:r w:rsidRPr="0029446D">
              <w:rPr>
                <w:iCs/>
              </w:rPr>
              <w:t xml:space="preserve"> ieviešanai Latvijā</w:t>
            </w:r>
            <w:r>
              <w:rPr>
                <w:iCs/>
              </w:rPr>
              <w:t>.</w:t>
            </w:r>
          </w:p>
        </w:tc>
      </w:tr>
      <w:tr w:rsidR="002F4541" w:rsidRPr="00994213" w:rsidTr="002F4541">
        <w:trPr>
          <w:jc w:val="center"/>
        </w:trPr>
        <w:tc>
          <w:tcPr>
            <w:tcW w:w="568" w:type="dxa"/>
          </w:tcPr>
          <w:p w:rsidR="002F4541" w:rsidRPr="00994213" w:rsidRDefault="002F4541" w:rsidP="00CD3407">
            <w:pPr>
              <w:pStyle w:val="naiskr"/>
              <w:tabs>
                <w:tab w:val="left" w:pos="2628"/>
              </w:tabs>
              <w:spacing w:before="0" w:after="0"/>
              <w:jc w:val="both"/>
              <w:rPr>
                <w:iCs/>
              </w:rPr>
            </w:pPr>
            <w:r w:rsidRPr="00994213">
              <w:rPr>
                <w:iCs/>
              </w:rPr>
              <w:t>2.</w:t>
            </w:r>
          </w:p>
        </w:tc>
        <w:tc>
          <w:tcPr>
            <w:tcW w:w="2383" w:type="dxa"/>
          </w:tcPr>
          <w:p w:rsidR="002F4541" w:rsidRPr="00994213" w:rsidRDefault="002F4541" w:rsidP="00CD3407">
            <w:pPr>
              <w:pStyle w:val="naiskr"/>
              <w:tabs>
                <w:tab w:val="left" w:pos="2628"/>
              </w:tabs>
              <w:spacing w:before="0" w:after="0"/>
              <w:jc w:val="both"/>
              <w:rPr>
                <w:iCs/>
              </w:rPr>
            </w:pPr>
            <w:r w:rsidRPr="00C46301">
              <w:t>Cita informācija</w:t>
            </w:r>
          </w:p>
        </w:tc>
        <w:tc>
          <w:tcPr>
            <w:tcW w:w="6534" w:type="dxa"/>
          </w:tcPr>
          <w:p w:rsidR="002F4541" w:rsidRPr="00994213" w:rsidRDefault="002F4541" w:rsidP="00CD3407">
            <w:pPr>
              <w:pStyle w:val="naiskr"/>
              <w:tabs>
                <w:tab w:val="left" w:pos="2628"/>
              </w:tabs>
              <w:spacing w:before="0" w:after="0"/>
              <w:jc w:val="both"/>
              <w:rPr>
                <w:iCs/>
              </w:rPr>
            </w:pPr>
            <w:r w:rsidRPr="00C46301">
              <w:t>Nav.</w:t>
            </w:r>
          </w:p>
        </w:tc>
      </w:tr>
    </w:tbl>
    <w:p w:rsidR="002F4541" w:rsidRDefault="002F4541" w:rsidP="00606E06">
      <w:pPr>
        <w:pStyle w:val="naisf"/>
        <w:spacing w:before="0" w:after="0"/>
        <w:ind w:firstLine="0"/>
        <w:jc w:val="center"/>
        <w:rPr>
          <w:i/>
          <w:sz w:val="28"/>
          <w:szCs w:val="28"/>
        </w:rPr>
      </w:pPr>
    </w:p>
    <w:p w:rsidR="002F4541" w:rsidRDefault="002F4541" w:rsidP="00606E06">
      <w:pPr>
        <w:pStyle w:val="naisf"/>
        <w:spacing w:before="0" w:after="0"/>
        <w:ind w:firstLine="0"/>
        <w:jc w:val="center"/>
        <w:rPr>
          <w:i/>
          <w:sz w:val="28"/>
          <w:szCs w:val="28"/>
        </w:rPr>
      </w:pPr>
    </w:p>
    <w:p w:rsidR="00195FE9" w:rsidRPr="005D70CE" w:rsidRDefault="00606E06" w:rsidP="00606E06">
      <w:pPr>
        <w:pStyle w:val="naisf"/>
        <w:spacing w:before="0" w:after="0"/>
        <w:ind w:firstLine="0"/>
        <w:jc w:val="center"/>
        <w:rPr>
          <w:i/>
        </w:rPr>
      </w:pPr>
      <w:r w:rsidRPr="005D70CE">
        <w:rPr>
          <w:i/>
        </w:rPr>
        <w:t xml:space="preserve">Anotācijas </w:t>
      </w:r>
      <w:r w:rsidR="002F4541" w:rsidRPr="005D70CE">
        <w:rPr>
          <w:i/>
        </w:rPr>
        <w:t xml:space="preserve">III, </w:t>
      </w:r>
      <w:r w:rsidR="00676C09" w:rsidRPr="005D70CE">
        <w:rPr>
          <w:i/>
        </w:rPr>
        <w:t>V un</w:t>
      </w:r>
      <w:r w:rsidR="00195FE9" w:rsidRPr="005D70CE">
        <w:rPr>
          <w:i/>
        </w:rPr>
        <w:t xml:space="preserve"> V</w:t>
      </w:r>
      <w:r w:rsidR="00676C09" w:rsidRPr="005D70CE">
        <w:rPr>
          <w:i/>
        </w:rPr>
        <w:t>I</w:t>
      </w:r>
      <w:r w:rsidR="00195FE9" w:rsidRPr="005D70CE">
        <w:rPr>
          <w:i/>
        </w:rPr>
        <w:t xml:space="preserve"> sadaļa – projekts šīs jomas neskar.</w:t>
      </w:r>
    </w:p>
    <w:p w:rsidR="00646DDB" w:rsidRPr="00215301" w:rsidRDefault="00646DDB" w:rsidP="00195FE9">
      <w:pPr>
        <w:pStyle w:val="naisf"/>
        <w:spacing w:before="0" w:after="0"/>
        <w:ind w:firstLine="0"/>
        <w:rPr>
          <w:sz w:val="28"/>
          <w:szCs w:val="28"/>
        </w:rPr>
      </w:pPr>
    </w:p>
    <w:tbl>
      <w:tblPr>
        <w:tblW w:w="9537"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14"/>
        <w:gridCol w:w="1971"/>
        <w:gridCol w:w="6752"/>
      </w:tblGrid>
      <w:tr w:rsidR="00646DDB" w:rsidRPr="00774ECF" w:rsidTr="00195FE9">
        <w:trPr>
          <w:jc w:val="center"/>
        </w:trPr>
        <w:tc>
          <w:tcPr>
            <w:tcW w:w="9537" w:type="dxa"/>
            <w:gridSpan w:val="3"/>
            <w:tcBorders>
              <w:top w:val="single" w:sz="4" w:space="0" w:color="auto"/>
            </w:tcBorders>
          </w:tcPr>
          <w:p w:rsidR="00646DDB" w:rsidRPr="00774ECF" w:rsidRDefault="00646DDB" w:rsidP="00D639CD">
            <w:pPr>
              <w:pStyle w:val="naisnod"/>
              <w:spacing w:before="0" w:after="0"/>
              <w:ind w:left="57" w:right="57"/>
            </w:pPr>
            <w:r w:rsidRPr="00774ECF">
              <w:t>VII. Tiesību akta projekta izpildes nodrošināšana un tās ietekme uz institūcijām</w:t>
            </w:r>
          </w:p>
        </w:tc>
      </w:tr>
      <w:tr w:rsidR="00646DDB" w:rsidRPr="00774ECF" w:rsidTr="002F4541">
        <w:trPr>
          <w:trHeight w:val="427"/>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1.</w:t>
            </w:r>
          </w:p>
        </w:tc>
        <w:tc>
          <w:tcPr>
            <w:tcW w:w="1971" w:type="dxa"/>
          </w:tcPr>
          <w:p w:rsidR="00646DDB" w:rsidRPr="00774ECF" w:rsidRDefault="00646DDB" w:rsidP="00D639CD">
            <w:pPr>
              <w:pStyle w:val="naisf"/>
              <w:spacing w:before="0" w:after="0"/>
              <w:ind w:left="57" w:right="57" w:firstLine="0"/>
              <w:jc w:val="left"/>
            </w:pPr>
            <w:r w:rsidRPr="00774ECF">
              <w:t xml:space="preserve">Projekta izpildē iesaistītās institūcijas </w:t>
            </w:r>
          </w:p>
        </w:tc>
        <w:tc>
          <w:tcPr>
            <w:tcW w:w="6752" w:type="dxa"/>
          </w:tcPr>
          <w:p w:rsidR="00646DDB" w:rsidRPr="00774ECF" w:rsidRDefault="000A6BD5" w:rsidP="00316B66">
            <w:pPr>
              <w:pStyle w:val="naisnod"/>
              <w:spacing w:before="0" w:after="0"/>
              <w:ind w:left="57" w:right="57"/>
              <w:jc w:val="both"/>
              <w:rPr>
                <w:b w:val="0"/>
              </w:rPr>
            </w:pPr>
            <w:r>
              <w:rPr>
                <w:b w:val="0"/>
              </w:rPr>
              <w:t>Valsts ieņēmumu dienests</w:t>
            </w:r>
          </w:p>
        </w:tc>
      </w:tr>
      <w:tr w:rsidR="00646DDB" w:rsidRPr="00774ECF" w:rsidTr="002F4541">
        <w:trPr>
          <w:trHeight w:val="463"/>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2.</w:t>
            </w:r>
          </w:p>
        </w:tc>
        <w:tc>
          <w:tcPr>
            <w:tcW w:w="1971" w:type="dxa"/>
          </w:tcPr>
          <w:p w:rsidR="00646DDB" w:rsidRPr="00774ECF" w:rsidRDefault="00646DDB" w:rsidP="00D639CD">
            <w:pPr>
              <w:pStyle w:val="naisf"/>
              <w:spacing w:before="0" w:after="0"/>
              <w:ind w:left="57" w:right="57" w:firstLine="0"/>
              <w:jc w:val="left"/>
            </w:pPr>
            <w:r w:rsidRPr="00774ECF">
              <w:t xml:space="preserve">Projekta izpildes ietekme uz pārvaldes funkcijām </w:t>
            </w:r>
          </w:p>
        </w:tc>
        <w:tc>
          <w:tcPr>
            <w:tcW w:w="6752" w:type="dxa"/>
          </w:tcPr>
          <w:p w:rsidR="00646DDB" w:rsidRPr="00B13C1A" w:rsidRDefault="00B13C1A" w:rsidP="00B1638B">
            <w:pPr>
              <w:pStyle w:val="naisnod"/>
              <w:spacing w:before="0" w:after="0"/>
              <w:ind w:left="57" w:right="57"/>
              <w:jc w:val="left"/>
              <w:rPr>
                <w:b w:val="0"/>
              </w:rPr>
            </w:pPr>
            <w:r w:rsidRPr="00B13C1A">
              <w:rPr>
                <w:b w:val="0"/>
              </w:rPr>
              <w:t>Projekts šo jomu neskar</w:t>
            </w:r>
          </w:p>
        </w:tc>
      </w:tr>
      <w:tr w:rsidR="00646DDB" w:rsidRPr="00774ECF" w:rsidTr="002F4541">
        <w:trPr>
          <w:trHeight w:val="725"/>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3.</w:t>
            </w:r>
          </w:p>
        </w:tc>
        <w:tc>
          <w:tcPr>
            <w:tcW w:w="1971"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Jaunu institūciju izveide</w:t>
            </w:r>
          </w:p>
        </w:tc>
        <w:tc>
          <w:tcPr>
            <w:tcW w:w="6752" w:type="dxa"/>
          </w:tcPr>
          <w:p w:rsidR="00646DDB" w:rsidRPr="00B13C1A" w:rsidRDefault="00B13C1A" w:rsidP="00D639CD">
            <w:pPr>
              <w:pStyle w:val="naisnod"/>
              <w:spacing w:before="0" w:after="0"/>
              <w:ind w:left="57" w:right="57"/>
              <w:jc w:val="left"/>
              <w:rPr>
                <w:b w:val="0"/>
              </w:rPr>
            </w:pPr>
            <w:r w:rsidRPr="00B13C1A">
              <w:rPr>
                <w:b w:val="0"/>
              </w:rPr>
              <w:t>Projekts šo jomu neskar</w:t>
            </w:r>
          </w:p>
        </w:tc>
      </w:tr>
      <w:tr w:rsidR="00646DDB" w:rsidRPr="00774ECF" w:rsidTr="002F4541">
        <w:trPr>
          <w:trHeight w:val="780"/>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4.</w:t>
            </w:r>
          </w:p>
        </w:tc>
        <w:tc>
          <w:tcPr>
            <w:tcW w:w="1971"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lastRenderedPageBreak/>
              <w:t>Esošu institūciju likvidācija</w:t>
            </w:r>
          </w:p>
        </w:tc>
        <w:tc>
          <w:tcPr>
            <w:tcW w:w="6752" w:type="dxa"/>
          </w:tcPr>
          <w:p w:rsidR="00646DDB" w:rsidRPr="00B13C1A" w:rsidRDefault="00B13C1A" w:rsidP="00D639CD">
            <w:pPr>
              <w:pStyle w:val="naisnod"/>
              <w:spacing w:before="0" w:after="0"/>
              <w:ind w:left="57" w:right="57"/>
              <w:jc w:val="left"/>
              <w:rPr>
                <w:b w:val="0"/>
              </w:rPr>
            </w:pPr>
            <w:r w:rsidRPr="00B13C1A">
              <w:rPr>
                <w:b w:val="0"/>
              </w:rPr>
              <w:lastRenderedPageBreak/>
              <w:t>Projekts šo j</w:t>
            </w:r>
            <w:r>
              <w:rPr>
                <w:b w:val="0"/>
              </w:rPr>
              <w:t>omu neskar</w:t>
            </w:r>
          </w:p>
        </w:tc>
      </w:tr>
      <w:tr w:rsidR="00646DDB" w:rsidRPr="00774ECF" w:rsidTr="002F4541">
        <w:trPr>
          <w:trHeight w:val="703"/>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lastRenderedPageBreak/>
              <w:t>5.</w:t>
            </w:r>
          </w:p>
        </w:tc>
        <w:tc>
          <w:tcPr>
            <w:tcW w:w="1971"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Esošu institūciju reorganizācija</w:t>
            </w:r>
          </w:p>
        </w:tc>
        <w:tc>
          <w:tcPr>
            <w:tcW w:w="6752" w:type="dxa"/>
          </w:tcPr>
          <w:p w:rsidR="00646DDB" w:rsidRPr="00B13C1A" w:rsidRDefault="00B13C1A" w:rsidP="00D639CD">
            <w:pPr>
              <w:pStyle w:val="naisnod"/>
              <w:spacing w:before="0" w:after="0"/>
              <w:ind w:left="57" w:right="57"/>
              <w:jc w:val="both"/>
              <w:rPr>
                <w:b w:val="0"/>
              </w:rPr>
            </w:pPr>
            <w:r w:rsidRPr="00B13C1A">
              <w:rPr>
                <w:b w:val="0"/>
              </w:rPr>
              <w:t>Projekts šo jomu neskar</w:t>
            </w:r>
          </w:p>
        </w:tc>
      </w:tr>
      <w:tr w:rsidR="00646DDB" w:rsidRPr="00774ECF" w:rsidTr="002F4541">
        <w:trPr>
          <w:trHeight w:val="476"/>
          <w:jc w:val="center"/>
        </w:trPr>
        <w:tc>
          <w:tcPr>
            <w:tcW w:w="814" w:type="dxa"/>
          </w:tcPr>
          <w:p w:rsidR="00646DDB" w:rsidRPr="00774ECF" w:rsidRDefault="00646DDB" w:rsidP="00D639CD">
            <w:pPr>
              <w:pStyle w:val="naiskr"/>
              <w:spacing w:before="0" w:after="0"/>
              <w:ind w:left="57" w:right="57"/>
            </w:pPr>
            <w:r w:rsidRPr="00774ECF">
              <w:t>6.</w:t>
            </w:r>
          </w:p>
        </w:tc>
        <w:tc>
          <w:tcPr>
            <w:tcW w:w="1971" w:type="dxa"/>
          </w:tcPr>
          <w:p w:rsidR="00646DDB" w:rsidRPr="00774ECF" w:rsidRDefault="00646DDB" w:rsidP="00D639CD">
            <w:pPr>
              <w:pStyle w:val="naiskr"/>
              <w:spacing w:before="0" w:after="0"/>
              <w:ind w:left="57" w:right="57"/>
            </w:pPr>
            <w:r w:rsidRPr="00774ECF">
              <w:t>Cita informācija</w:t>
            </w:r>
          </w:p>
        </w:tc>
        <w:tc>
          <w:tcPr>
            <w:tcW w:w="6752" w:type="dxa"/>
          </w:tcPr>
          <w:p w:rsidR="00646DDB" w:rsidRPr="00774ECF" w:rsidRDefault="00646DDB" w:rsidP="00D639CD">
            <w:pPr>
              <w:pStyle w:val="naiskr"/>
              <w:spacing w:before="0" w:after="0"/>
              <w:ind w:left="57" w:right="57"/>
            </w:pPr>
            <w:r w:rsidRPr="00774ECF">
              <w:t>Nav</w:t>
            </w:r>
          </w:p>
        </w:tc>
      </w:tr>
    </w:tbl>
    <w:p w:rsidR="005D70CE" w:rsidRDefault="005D70CE" w:rsidP="005D70CE">
      <w:pPr>
        <w:pStyle w:val="naisf"/>
        <w:tabs>
          <w:tab w:val="left" w:pos="6804"/>
        </w:tabs>
        <w:spacing w:before="0" w:after="0"/>
        <w:ind w:firstLine="0"/>
      </w:pPr>
    </w:p>
    <w:p w:rsidR="005D70CE" w:rsidRDefault="005D70CE" w:rsidP="005D70CE">
      <w:pPr>
        <w:pStyle w:val="naisf"/>
        <w:tabs>
          <w:tab w:val="left" w:pos="6804"/>
        </w:tabs>
        <w:spacing w:before="0" w:after="0"/>
        <w:ind w:firstLine="0"/>
        <w:rPr>
          <w:sz w:val="28"/>
          <w:szCs w:val="28"/>
        </w:rPr>
      </w:pPr>
    </w:p>
    <w:p w:rsidR="00195FE9" w:rsidRDefault="00195FE9" w:rsidP="00316B66">
      <w:pPr>
        <w:pStyle w:val="naisf"/>
        <w:tabs>
          <w:tab w:val="left" w:pos="5760"/>
        </w:tabs>
        <w:spacing w:before="0" w:after="0"/>
        <w:ind w:firstLine="0"/>
        <w:rPr>
          <w:sz w:val="28"/>
          <w:szCs w:val="28"/>
        </w:rPr>
      </w:pPr>
    </w:p>
    <w:p w:rsidR="00316B66" w:rsidRPr="00F6439B" w:rsidRDefault="00316B66" w:rsidP="00316B66">
      <w:pPr>
        <w:pStyle w:val="naisf"/>
        <w:tabs>
          <w:tab w:val="left" w:pos="5760"/>
        </w:tabs>
        <w:spacing w:before="0" w:after="0"/>
        <w:ind w:firstLine="0"/>
        <w:rPr>
          <w:sz w:val="28"/>
          <w:szCs w:val="28"/>
        </w:rPr>
      </w:pPr>
    </w:p>
    <w:p w:rsidR="004C0C0C" w:rsidRDefault="00404FF0" w:rsidP="00316B66">
      <w:pPr>
        <w:pStyle w:val="Footer"/>
        <w:jc w:val="center"/>
        <w:rPr>
          <w:sz w:val="28"/>
          <w:szCs w:val="28"/>
        </w:rPr>
      </w:pPr>
      <w:r>
        <w:rPr>
          <w:sz w:val="28"/>
          <w:szCs w:val="28"/>
        </w:rPr>
        <w:t>Finanšu ministrs</w:t>
      </w:r>
      <w:r w:rsidR="004C0C0C">
        <w:rPr>
          <w:sz w:val="28"/>
          <w:szCs w:val="28"/>
        </w:rPr>
        <w:t xml:space="preserve">                          </w:t>
      </w:r>
      <w:r w:rsidR="00B13C1A">
        <w:rPr>
          <w:sz w:val="28"/>
          <w:szCs w:val="28"/>
        </w:rPr>
        <w:t xml:space="preserve">                           </w:t>
      </w:r>
      <w:r w:rsidR="00B13C1A">
        <w:rPr>
          <w:sz w:val="28"/>
          <w:szCs w:val="28"/>
        </w:rPr>
        <w:tab/>
      </w:r>
      <w:r>
        <w:rPr>
          <w:sz w:val="28"/>
          <w:szCs w:val="28"/>
        </w:rPr>
        <w:t>A.Vilks</w:t>
      </w:r>
    </w:p>
    <w:p w:rsidR="00646DDB" w:rsidRPr="00316B66" w:rsidRDefault="005E323B" w:rsidP="004C2555">
      <w:pPr>
        <w:jc w:val="both"/>
        <w:rPr>
          <w:b/>
          <w:sz w:val="28"/>
          <w:szCs w:val="28"/>
        </w:rPr>
      </w:pPr>
      <w:r w:rsidRPr="00316B66">
        <w:rPr>
          <w:b/>
          <w:sz w:val="28"/>
          <w:szCs w:val="28"/>
        </w:rPr>
        <w:tab/>
      </w:r>
    </w:p>
    <w:p w:rsidR="003D4FC7" w:rsidRDefault="003D4FC7"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5D70CE" w:rsidRDefault="005D70CE" w:rsidP="00BE10C1">
      <w:pPr>
        <w:rPr>
          <w:sz w:val="18"/>
          <w:szCs w:val="18"/>
        </w:rPr>
      </w:pPr>
    </w:p>
    <w:p w:rsidR="00CA63ED" w:rsidRDefault="00CA63ED" w:rsidP="00BE10C1">
      <w:pPr>
        <w:rPr>
          <w:sz w:val="18"/>
          <w:szCs w:val="18"/>
        </w:rPr>
      </w:pPr>
      <w:r>
        <w:rPr>
          <w:sz w:val="18"/>
          <w:szCs w:val="18"/>
        </w:rPr>
        <w:t>11.07.2013 15:40</w:t>
      </w:r>
    </w:p>
    <w:p w:rsidR="00BE10C1" w:rsidRPr="00BE10C1" w:rsidRDefault="00CA63ED" w:rsidP="00BE10C1">
      <w:pPr>
        <w:rPr>
          <w:sz w:val="18"/>
          <w:szCs w:val="18"/>
        </w:rPr>
      </w:pPr>
      <w:r>
        <w:rPr>
          <w:sz w:val="18"/>
          <w:szCs w:val="18"/>
        </w:rPr>
        <w:t>517</w:t>
      </w:r>
    </w:p>
    <w:p w:rsidR="00BE10C1" w:rsidRPr="00BE10C1" w:rsidRDefault="00BE10C1" w:rsidP="00BE10C1">
      <w:pPr>
        <w:contextualSpacing/>
        <w:jc w:val="both"/>
        <w:rPr>
          <w:sz w:val="18"/>
          <w:szCs w:val="18"/>
        </w:rPr>
      </w:pPr>
      <w:r w:rsidRPr="00BE10C1">
        <w:rPr>
          <w:sz w:val="18"/>
          <w:szCs w:val="18"/>
        </w:rPr>
        <w:t>I.Vanaga</w:t>
      </w:r>
    </w:p>
    <w:p w:rsidR="00BE10C1" w:rsidRPr="00BE10C1" w:rsidRDefault="00BE10C1" w:rsidP="00BE10C1">
      <w:pPr>
        <w:contextualSpacing/>
        <w:jc w:val="both"/>
        <w:rPr>
          <w:sz w:val="18"/>
          <w:szCs w:val="18"/>
        </w:rPr>
      </w:pPr>
      <w:r w:rsidRPr="00BE10C1">
        <w:rPr>
          <w:sz w:val="18"/>
          <w:szCs w:val="18"/>
        </w:rPr>
        <w:t>Finanšu ministrijas</w:t>
      </w:r>
    </w:p>
    <w:p w:rsidR="00BE10C1" w:rsidRPr="00BE10C1" w:rsidRDefault="00BE10C1" w:rsidP="00BE10C1">
      <w:pPr>
        <w:contextualSpacing/>
        <w:jc w:val="both"/>
        <w:rPr>
          <w:sz w:val="18"/>
          <w:szCs w:val="18"/>
        </w:rPr>
      </w:pPr>
      <w:r w:rsidRPr="00BE10C1">
        <w:rPr>
          <w:sz w:val="18"/>
          <w:szCs w:val="18"/>
        </w:rPr>
        <w:t xml:space="preserve">Nodokļu administrēšanas </w:t>
      </w:r>
      <w:r w:rsidR="000A6BD5">
        <w:rPr>
          <w:sz w:val="18"/>
          <w:szCs w:val="18"/>
        </w:rPr>
        <w:t xml:space="preserve">un grāmatvedības </w:t>
      </w:r>
      <w:r w:rsidRPr="00BE10C1">
        <w:rPr>
          <w:sz w:val="18"/>
          <w:szCs w:val="18"/>
        </w:rPr>
        <w:t>politikas departamenta</w:t>
      </w:r>
    </w:p>
    <w:p w:rsidR="00BE10C1" w:rsidRPr="00BE10C1" w:rsidRDefault="00BE10C1" w:rsidP="00BE10C1">
      <w:pPr>
        <w:contextualSpacing/>
        <w:jc w:val="both"/>
        <w:rPr>
          <w:sz w:val="18"/>
          <w:szCs w:val="18"/>
        </w:rPr>
      </w:pPr>
      <w:r w:rsidRPr="00BE10C1">
        <w:rPr>
          <w:sz w:val="18"/>
          <w:szCs w:val="18"/>
        </w:rPr>
        <w:t>Nodokļu administrēšanas</w:t>
      </w:r>
      <w:r w:rsidR="000A6BD5">
        <w:rPr>
          <w:sz w:val="18"/>
          <w:szCs w:val="18"/>
        </w:rPr>
        <w:t xml:space="preserve"> politikas</w:t>
      </w:r>
      <w:r w:rsidRPr="00BE10C1">
        <w:rPr>
          <w:sz w:val="18"/>
          <w:szCs w:val="18"/>
        </w:rPr>
        <w:t xml:space="preserve"> nodaļas vecākā referente</w:t>
      </w:r>
    </w:p>
    <w:p w:rsidR="00BE10C1" w:rsidRPr="00BE10C1" w:rsidRDefault="00BE10C1" w:rsidP="00BE10C1">
      <w:pPr>
        <w:contextualSpacing/>
        <w:jc w:val="both"/>
        <w:rPr>
          <w:sz w:val="18"/>
          <w:szCs w:val="18"/>
        </w:rPr>
      </w:pPr>
      <w:proofErr w:type="spellStart"/>
      <w:r w:rsidRPr="00BE10C1">
        <w:rPr>
          <w:sz w:val="18"/>
          <w:szCs w:val="18"/>
        </w:rPr>
        <w:t>tālr</w:t>
      </w:r>
      <w:proofErr w:type="spellEnd"/>
      <w:r w:rsidRPr="00BE10C1">
        <w:rPr>
          <w:sz w:val="18"/>
          <w:szCs w:val="18"/>
        </w:rPr>
        <w:t>. 67083901,fakss 67095497</w:t>
      </w:r>
    </w:p>
    <w:p w:rsidR="0095487B" w:rsidRPr="000A6BD5" w:rsidRDefault="009158EC" w:rsidP="000A6BD5">
      <w:pPr>
        <w:contextualSpacing/>
        <w:jc w:val="both"/>
        <w:rPr>
          <w:sz w:val="18"/>
          <w:szCs w:val="18"/>
        </w:rPr>
      </w:pPr>
      <w:hyperlink r:id="rId11" w:history="1">
        <w:r w:rsidR="00BE10C1" w:rsidRPr="00BE10C1">
          <w:rPr>
            <w:color w:val="0000FF"/>
            <w:sz w:val="18"/>
            <w:szCs w:val="18"/>
            <w:u w:val="single"/>
          </w:rPr>
          <w:t>inese.vanaga@fm.gov.lv</w:t>
        </w:r>
      </w:hyperlink>
    </w:p>
    <w:sectPr w:rsidR="0095487B" w:rsidRPr="000A6BD5" w:rsidSect="00E1512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BE" w:rsidRDefault="00044EBE" w:rsidP="000B5C6F">
      <w:r>
        <w:separator/>
      </w:r>
    </w:p>
  </w:endnote>
  <w:endnote w:type="continuationSeparator" w:id="0">
    <w:p w:rsidR="00044EBE" w:rsidRDefault="00044EBE" w:rsidP="000B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EC" w:rsidRDefault="00915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Pr="003C5DE1" w:rsidRDefault="003C5DE1" w:rsidP="003C5DE1">
    <w:pPr>
      <w:spacing w:after="567"/>
      <w:jc w:val="both"/>
      <w:rPr>
        <w:b/>
        <w:bCs/>
        <w:color w:val="000000" w:themeColor="text1"/>
        <w:sz w:val="28"/>
        <w:szCs w:val="28"/>
      </w:rPr>
    </w:pPr>
    <w:r w:rsidRPr="003C5DE1">
      <w:rPr>
        <w:sz w:val="20"/>
        <w:szCs w:val="20"/>
      </w:rPr>
      <w:t>FMAnot_1</w:t>
    </w:r>
    <w:r w:rsidR="00CA63ED">
      <w:rPr>
        <w:sz w:val="20"/>
        <w:szCs w:val="20"/>
      </w:rPr>
      <w:t>107</w:t>
    </w:r>
    <w:r w:rsidRPr="003C5DE1">
      <w:rPr>
        <w:sz w:val="20"/>
        <w:szCs w:val="20"/>
      </w:rPr>
      <w:t>13_MK_</w:t>
    </w:r>
    <w:r>
      <w:rPr>
        <w:sz w:val="20"/>
        <w:szCs w:val="20"/>
      </w:rPr>
      <w:t>884</w:t>
    </w:r>
    <w:r w:rsidRPr="003C5DE1">
      <w:rPr>
        <w:sz w:val="20"/>
        <w:szCs w:val="20"/>
      </w:rPr>
      <w:t xml:space="preserve">_euro; </w:t>
    </w:r>
    <w:r w:rsidRPr="003C5DE1">
      <w:rPr>
        <w:bCs/>
        <w:sz w:val="20"/>
        <w:szCs w:val="20"/>
      </w:rPr>
      <w:t xml:space="preserve">Ministru kabineta noteikumu projekta </w:t>
    </w:r>
    <w:r w:rsidR="00E15128">
      <w:rPr>
        <w:bCs/>
        <w:sz w:val="20"/>
        <w:szCs w:val="20"/>
      </w:rPr>
      <w:t>„</w:t>
    </w:r>
    <w:r w:rsidRPr="00DC7631">
      <w:rPr>
        <w:bCs/>
        <w:color w:val="000000" w:themeColor="text1"/>
        <w:sz w:val="20"/>
        <w:szCs w:val="20"/>
      </w:rPr>
      <w:t>Grozījum</w:t>
    </w:r>
    <w:r w:rsidR="009158EC">
      <w:rPr>
        <w:bCs/>
        <w:color w:val="000000" w:themeColor="text1"/>
        <w:sz w:val="20"/>
        <w:szCs w:val="20"/>
      </w:rPr>
      <w:t>s</w:t>
    </w:r>
    <w:bookmarkStart w:id="0" w:name="_GoBack"/>
    <w:bookmarkEnd w:id="0"/>
    <w:r w:rsidRPr="00DC7631">
      <w:rPr>
        <w:bCs/>
        <w:color w:val="000000" w:themeColor="text1"/>
        <w:sz w:val="20"/>
        <w:szCs w:val="20"/>
      </w:rPr>
      <w:t xml:space="preserve"> Ministru kabineta 2006.gad</w:t>
    </w:r>
    <w:r w:rsidRPr="003C5DE1">
      <w:rPr>
        <w:bCs/>
        <w:color w:val="000000" w:themeColor="text1"/>
        <w:sz w:val="20"/>
        <w:szCs w:val="20"/>
      </w:rPr>
      <w:t>a 31.oktobra noteikumos Nr.884 „</w:t>
    </w:r>
    <w:hyperlink r:id="rId1" w:tgtFrame="_blank" w:history="1">
      <w:r w:rsidRPr="00DC7631">
        <w:rPr>
          <w:bCs/>
          <w:color w:val="000000" w:themeColor="text1"/>
          <w:sz w:val="20"/>
          <w:szCs w:val="20"/>
        </w:rPr>
        <w:t>Kārtība, kādā tiek veikta informācijas apmaiņa tiešo nodokļu jomā ar Eiropas Savienības dalībvalstīm un valstīm, ar kurām ir noslēgti starptautiskie līgumi par nodokļu dubultās uzlikšanas un nodokļu nemaksāšanas novēršanu</w:t>
      </w:r>
    </w:hyperlink>
    <w:r w:rsidRPr="003C5DE1">
      <w:rPr>
        <w:bCs/>
        <w:color w:val="000000" w:themeColor="text1"/>
        <w:sz w:val="20"/>
        <w:szCs w:val="20"/>
      </w:rPr>
      <w:t>”</w:t>
    </w:r>
    <w:r w:rsidR="00E15128">
      <w:rPr>
        <w:bCs/>
        <w:color w:val="000000" w:themeColor="text1"/>
        <w:sz w:val="20"/>
        <w:szCs w:val="20"/>
      </w:rPr>
      <w:t>”</w:t>
    </w:r>
    <w:r w:rsidRPr="003C5DE1">
      <w:rPr>
        <w:bCs/>
        <w:color w:val="000000" w:themeColor="text1"/>
        <w:sz w:val="20"/>
        <w:szCs w:val="20"/>
      </w:rPr>
      <w:t xml:space="preserve"> </w:t>
    </w:r>
    <w:r w:rsidRPr="005D70CE">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Pr="003C5DE1" w:rsidRDefault="00044EBE" w:rsidP="003C5DE1">
    <w:pPr>
      <w:spacing w:after="567"/>
      <w:jc w:val="both"/>
      <w:rPr>
        <w:b/>
        <w:bCs/>
        <w:color w:val="000000" w:themeColor="text1"/>
        <w:sz w:val="28"/>
        <w:szCs w:val="28"/>
      </w:rPr>
    </w:pPr>
    <w:r w:rsidRPr="003C5DE1">
      <w:rPr>
        <w:sz w:val="20"/>
        <w:szCs w:val="20"/>
      </w:rPr>
      <w:t>FMAnot_</w:t>
    </w:r>
    <w:r w:rsidR="005D70CE" w:rsidRPr="003C5DE1">
      <w:rPr>
        <w:sz w:val="20"/>
        <w:szCs w:val="20"/>
      </w:rPr>
      <w:t>1</w:t>
    </w:r>
    <w:r w:rsidR="00CA63ED">
      <w:rPr>
        <w:sz w:val="20"/>
        <w:szCs w:val="20"/>
      </w:rPr>
      <w:t>107</w:t>
    </w:r>
    <w:r w:rsidR="005D70CE" w:rsidRPr="003C5DE1">
      <w:rPr>
        <w:sz w:val="20"/>
        <w:szCs w:val="20"/>
      </w:rPr>
      <w:t>13</w:t>
    </w:r>
    <w:r w:rsidRPr="003C5DE1">
      <w:rPr>
        <w:sz w:val="20"/>
        <w:szCs w:val="20"/>
      </w:rPr>
      <w:t>_MK_</w:t>
    </w:r>
    <w:r w:rsidR="003C5DE1">
      <w:rPr>
        <w:sz w:val="20"/>
        <w:szCs w:val="20"/>
      </w:rPr>
      <w:t>884</w:t>
    </w:r>
    <w:r w:rsidR="005D70CE" w:rsidRPr="003C5DE1">
      <w:rPr>
        <w:sz w:val="20"/>
        <w:szCs w:val="20"/>
      </w:rPr>
      <w:t>_euro</w:t>
    </w:r>
    <w:r w:rsidRPr="003C5DE1">
      <w:rPr>
        <w:sz w:val="20"/>
        <w:szCs w:val="20"/>
      </w:rPr>
      <w:t xml:space="preserve">; </w:t>
    </w:r>
    <w:r w:rsidRPr="003C5DE1">
      <w:rPr>
        <w:bCs/>
        <w:sz w:val="20"/>
        <w:szCs w:val="20"/>
      </w:rPr>
      <w:t xml:space="preserve">Ministru kabineta noteikumu projekta </w:t>
    </w:r>
    <w:r w:rsidR="00E15128">
      <w:rPr>
        <w:bCs/>
        <w:sz w:val="20"/>
        <w:szCs w:val="20"/>
      </w:rPr>
      <w:t>„</w:t>
    </w:r>
    <w:r w:rsidR="003C5DE1" w:rsidRPr="00DC7631">
      <w:rPr>
        <w:bCs/>
        <w:color w:val="000000" w:themeColor="text1"/>
        <w:sz w:val="20"/>
        <w:szCs w:val="20"/>
      </w:rPr>
      <w:t>Grozījum</w:t>
    </w:r>
    <w:r w:rsidR="009158EC">
      <w:rPr>
        <w:bCs/>
        <w:color w:val="000000" w:themeColor="text1"/>
        <w:sz w:val="20"/>
        <w:szCs w:val="20"/>
      </w:rPr>
      <w:t>s</w:t>
    </w:r>
    <w:r w:rsidR="003C5DE1" w:rsidRPr="00DC7631">
      <w:rPr>
        <w:bCs/>
        <w:color w:val="000000" w:themeColor="text1"/>
        <w:sz w:val="20"/>
        <w:szCs w:val="20"/>
      </w:rPr>
      <w:t xml:space="preserve"> Ministru kabineta 2006.gad</w:t>
    </w:r>
    <w:r w:rsidR="003C5DE1" w:rsidRPr="003C5DE1">
      <w:rPr>
        <w:bCs/>
        <w:color w:val="000000" w:themeColor="text1"/>
        <w:sz w:val="20"/>
        <w:szCs w:val="20"/>
      </w:rPr>
      <w:t>a 31.oktobra noteikumos Nr.884 „</w:t>
    </w:r>
    <w:hyperlink r:id="rId1" w:tgtFrame="_blank" w:history="1">
      <w:r w:rsidR="003C5DE1" w:rsidRPr="00DC7631">
        <w:rPr>
          <w:bCs/>
          <w:color w:val="000000" w:themeColor="text1"/>
          <w:sz w:val="20"/>
          <w:szCs w:val="20"/>
        </w:rPr>
        <w:t>Kārtība, kādā tiek veikta informācijas apmaiņa tiešo nodokļu jomā ar Eiropas Savienības dalībvalstīm un valstīm, ar kurām ir noslēgti starptautiskie līgumi par nodokļu dubultās uzlikšanas un nodokļu nemaksāšanas novēršanu</w:t>
      </w:r>
    </w:hyperlink>
    <w:r w:rsidR="003C5DE1" w:rsidRPr="003C5DE1">
      <w:rPr>
        <w:bCs/>
        <w:color w:val="000000" w:themeColor="text1"/>
        <w:sz w:val="20"/>
        <w:szCs w:val="20"/>
      </w:rPr>
      <w:t>”</w:t>
    </w:r>
    <w:r w:rsidR="00E15128">
      <w:rPr>
        <w:bCs/>
        <w:color w:val="000000" w:themeColor="text1"/>
        <w:sz w:val="20"/>
        <w:szCs w:val="20"/>
      </w:rPr>
      <w:t>”</w:t>
    </w:r>
    <w:r w:rsidR="003C5DE1" w:rsidRPr="003C5DE1">
      <w:rPr>
        <w:bCs/>
        <w:color w:val="000000" w:themeColor="text1"/>
        <w:sz w:val="20"/>
        <w:szCs w:val="20"/>
      </w:rPr>
      <w:t xml:space="preserve"> </w:t>
    </w:r>
    <w:r w:rsidRPr="005D70CE">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BE" w:rsidRDefault="00044EBE" w:rsidP="000B5C6F">
      <w:r>
        <w:separator/>
      </w:r>
    </w:p>
  </w:footnote>
  <w:footnote w:type="continuationSeparator" w:id="0">
    <w:p w:rsidR="00044EBE" w:rsidRDefault="00044EBE" w:rsidP="000B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Default="00044EBE" w:rsidP="00D63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EBE" w:rsidRDefault="00044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Pr="00195FE9" w:rsidRDefault="00044EBE" w:rsidP="00D639CD">
    <w:pPr>
      <w:pStyle w:val="Header"/>
      <w:framePr w:wrap="around" w:vAnchor="text" w:hAnchor="margin" w:xAlign="center" w:y="1"/>
      <w:rPr>
        <w:rStyle w:val="PageNumber"/>
        <w:sz w:val="22"/>
        <w:szCs w:val="22"/>
      </w:rPr>
    </w:pPr>
    <w:r w:rsidRPr="00195FE9">
      <w:rPr>
        <w:rStyle w:val="PageNumber"/>
        <w:sz w:val="22"/>
        <w:szCs w:val="22"/>
      </w:rPr>
      <w:fldChar w:fldCharType="begin"/>
    </w:r>
    <w:r w:rsidRPr="00195FE9">
      <w:rPr>
        <w:rStyle w:val="PageNumber"/>
        <w:sz w:val="22"/>
        <w:szCs w:val="22"/>
      </w:rPr>
      <w:instrText xml:space="preserve">PAGE  </w:instrText>
    </w:r>
    <w:r w:rsidRPr="00195FE9">
      <w:rPr>
        <w:rStyle w:val="PageNumber"/>
        <w:sz w:val="22"/>
        <w:szCs w:val="22"/>
      </w:rPr>
      <w:fldChar w:fldCharType="separate"/>
    </w:r>
    <w:r w:rsidR="009158EC">
      <w:rPr>
        <w:rStyle w:val="PageNumber"/>
        <w:noProof/>
        <w:sz w:val="22"/>
        <w:szCs w:val="22"/>
      </w:rPr>
      <w:t>2</w:t>
    </w:r>
    <w:r w:rsidRPr="00195FE9">
      <w:rPr>
        <w:rStyle w:val="PageNumber"/>
        <w:sz w:val="22"/>
        <w:szCs w:val="22"/>
      </w:rPr>
      <w:fldChar w:fldCharType="end"/>
    </w:r>
  </w:p>
  <w:p w:rsidR="00044EBE" w:rsidRDefault="00044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EC" w:rsidRDefault="00915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2B2209"/>
    <w:multiLevelType w:val="hybridMultilevel"/>
    <w:tmpl w:val="FA985300"/>
    <w:lvl w:ilvl="0" w:tplc="046C14E6">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A9F1287"/>
    <w:multiLevelType w:val="hybridMultilevel"/>
    <w:tmpl w:val="24149554"/>
    <w:lvl w:ilvl="0" w:tplc="046C14E6">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D0712"/>
    <w:multiLevelType w:val="hybridMultilevel"/>
    <w:tmpl w:val="945CF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C2155"/>
    <w:multiLevelType w:val="multilevel"/>
    <w:tmpl w:val="52C81B3A"/>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A697518"/>
    <w:multiLevelType w:val="hybridMultilevel"/>
    <w:tmpl w:val="848201E0"/>
    <w:lvl w:ilvl="0" w:tplc="962EF054">
      <w:start w:val="1"/>
      <w:numFmt w:val="decimal"/>
      <w:lvlText w:val="%1)"/>
      <w:lvlJc w:val="left"/>
      <w:pPr>
        <w:ind w:left="1639" w:hanging="9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11">
    <w:nsid w:val="5C7821E4"/>
    <w:multiLevelType w:val="hybridMultilevel"/>
    <w:tmpl w:val="945CF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239EE"/>
    <w:multiLevelType w:val="hybridMultilevel"/>
    <w:tmpl w:val="593EF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A893B28"/>
    <w:multiLevelType w:val="hybridMultilevel"/>
    <w:tmpl w:val="B5BA1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15"/>
  </w:num>
  <w:num w:numId="4">
    <w:abstractNumId w:val="2"/>
  </w:num>
  <w:num w:numId="5">
    <w:abstractNumId w:val="5"/>
  </w:num>
  <w:num w:numId="6">
    <w:abstractNumId w:val="14"/>
  </w:num>
  <w:num w:numId="7">
    <w:abstractNumId w:val="12"/>
  </w:num>
  <w:num w:numId="8">
    <w:abstractNumId w:val="4"/>
  </w:num>
  <w:num w:numId="9">
    <w:abstractNumId w:val="7"/>
  </w:num>
  <w:num w:numId="10">
    <w:abstractNumId w:val="3"/>
  </w:num>
  <w:num w:numId="11">
    <w:abstractNumId w:val="11"/>
  </w:num>
  <w:num w:numId="12">
    <w:abstractNumId w:val="8"/>
  </w:num>
  <w:num w:numId="13">
    <w:abstractNumId w:val="9"/>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DB"/>
    <w:rsid w:val="00004239"/>
    <w:rsid w:val="00010380"/>
    <w:rsid w:val="00027B67"/>
    <w:rsid w:val="000445EB"/>
    <w:rsid w:val="00044EBE"/>
    <w:rsid w:val="00045AF4"/>
    <w:rsid w:val="000643B3"/>
    <w:rsid w:val="00064C30"/>
    <w:rsid w:val="00075FE9"/>
    <w:rsid w:val="000760AC"/>
    <w:rsid w:val="000A6BD5"/>
    <w:rsid w:val="000A7490"/>
    <w:rsid w:val="000B5106"/>
    <w:rsid w:val="000B5C6F"/>
    <w:rsid w:val="000C37EF"/>
    <w:rsid w:val="000C474F"/>
    <w:rsid w:val="000C5706"/>
    <w:rsid w:val="000E3265"/>
    <w:rsid w:val="000F0C1D"/>
    <w:rsid w:val="000F1294"/>
    <w:rsid w:val="000F409C"/>
    <w:rsid w:val="001040FC"/>
    <w:rsid w:val="0010794A"/>
    <w:rsid w:val="00120089"/>
    <w:rsid w:val="001206C4"/>
    <w:rsid w:val="00127A95"/>
    <w:rsid w:val="00135721"/>
    <w:rsid w:val="00141079"/>
    <w:rsid w:val="00181B32"/>
    <w:rsid w:val="001878CA"/>
    <w:rsid w:val="001929B0"/>
    <w:rsid w:val="00195FE9"/>
    <w:rsid w:val="00197905"/>
    <w:rsid w:val="001B45E7"/>
    <w:rsid w:val="001C55A8"/>
    <w:rsid w:val="001D191B"/>
    <w:rsid w:val="001D4D55"/>
    <w:rsid w:val="001D5D31"/>
    <w:rsid w:val="001E58C2"/>
    <w:rsid w:val="001F5D42"/>
    <w:rsid w:val="00213C6D"/>
    <w:rsid w:val="00214BF6"/>
    <w:rsid w:val="00215301"/>
    <w:rsid w:val="002158EC"/>
    <w:rsid w:val="002167CF"/>
    <w:rsid w:val="00216AFF"/>
    <w:rsid w:val="002243D8"/>
    <w:rsid w:val="00226BB5"/>
    <w:rsid w:val="00237C76"/>
    <w:rsid w:val="00240542"/>
    <w:rsid w:val="002413B7"/>
    <w:rsid w:val="00246A79"/>
    <w:rsid w:val="00247EFD"/>
    <w:rsid w:val="00265293"/>
    <w:rsid w:val="00270C36"/>
    <w:rsid w:val="00274565"/>
    <w:rsid w:val="0027657C"/>
    <w:rsid w:val="00280C2F"/>
    <w:rsid w:val="00296798"/>
    <w:rsid w:val="002A37B0"/>
    <w:rsid w:val="002A6264"/>
    <w:rsid w:val="002B2890"/>
    <w:rsid w:val="002C5382"/>
    <w:rsid w:val="002D188C"/>
    <w:rsid w:val="002D36C6"/>
    <w:rsid w:val="002D589E"/>
    <w:rsid w:val="002D7209"/>
    <w:rsid w:val="002E25B0"/>
    <w:rsid w:val="002E6C44"/>
    <w:rsid w:val="002F4541"/>
    <w:rsid w:val="00316B66"/>
    <w:rsid w:val="0034617C"/>
    <w:rsid w:val="00354FC5"/>
    <w:rsid w:val="00360488"/>
    <w:rsid w:val="003741B2"/>
    <w:rsid w:val="0037648E"/>
    <w:rsid w:val="00390044"/>
    <w:rsid w:val="00390B94"/>
    <w:rsid w:val="00395DE8"/>
    <w:rsid w:val="003A7948"/>
    <w:rsid w:val="003B67A8"/>
    <w:rsid w:val="003B7BD2"/>
    <w:rsid w:val="003C0710"/>
    <w:rsid w:val="003C0F95"/>
    <w:rsid w:val="003C51D0"/>
    <w:rsid w:val="003C5DE1"/>
    <w:rsid w:val="003D0570"/>
    <w:rsid w:val="003D4FC7"/>
    <w:rsid w:val="003D7265"/>
    <w:rsid w:val="003E02EA"/>
    <w:rsid w:val="003E3593"/>
    <w:rsid w:val="003F2C2D"/>
    <w:rsid w:val="003F3FBD"/>
    <w:rsid w:val="00404FF0"/>
    <w:rsid w:val="004401D5"/>
    <w:rsid w:val="0045420F"/>
    <w:rsid w:val="00456A26"/>
    <w:rsid w:val="004677AD"/>
    <w:rsid w:val="00473D2D"/>
    <w:rsid w:val="0049634E"/>
    <w:rsid w:val="004B0D7F"/>
    <w:rsid w:val="004B47F8"/>
    <w:rsid w:val="004C0C0C"/>
    <w:rsid w:val="004C2555"/>
    <w:rsid w:val="004D25DE"/>
    <w:rsid w:val="004D3859"/>
    <w:rsid w:val="004D62A0"/>
    <w:rsid w:val="004E5629"/>
    <w:rsid w:val="004F0324"/>
    <w:rsid w:val="00501540"/>
    <w:rsid w:val="00505070"/>
    <w:rsid w:val="00506EAC"/>
    <w:rsid w:val="005117BD"/>
    <w:rsid w:val="00511C15"/>
    <w:rsid w:val="00511C6D"/>
    <w:rsid w:val="0052684B"/>
    <w:rsid w:val="00536A45"/>
    <w:rsid w:val="00541590"/>
    <w:rsid w:val="00542CCE"/>
    <w:rsid w:val="00545D75"/>
    <w:rsid w:val="0055209A"/>
    <w:rsid w:val="00557CBD"/>
    <w:rsid w:val="00560B41"/>
    <w:rsid w:val="00570F85"/>
    <w:rsid w:val="00572B5E"/>
    <w:rsid w:val="00573F3F"/>
    <w:rsid w:val="00574B73"/>
    <w:rsid w:val="00575884"/>
    <w:rsid w:val="005A0638"/>
    <w:rsid w:val="005A7C86"/>
    <w:rsid w:val="005C193F"/>
    <w:rsid w:val="005C7E03"/>
    <w:rsid w:val="005D19C2"/>
    <w:rsid w:val="005D369B"/>
    <w:rsid w:val="005D70CE"/>
    <w:rsid w:val="005E0984"/>
    <w:rsid w:val="005E323B"/>
    <w:rsid w:val="005E5C47"/>
    <w:rsid w:val="00606E06"/>
    <w:rsid w:val="006360A0"/>
    <w:rsid w:val="00646DDB"/>
    <w:rsid w:val="006714E9"/>
    <w:rsid w:val="00673DDB"/>
    <w:rsid w:val="00676C09"/>
    <w:rsid w:val="0068431F"/>
    <w:rsid w:val="00686737"/>
    <w:rsid w:val="00695E3B"/>
    <w:rsid w:val="006A4280"/>
    <w:rsid w:val="006A6BD6"/>
    <w:rsid w:val="006B2F26"/>
    <w:rsid w:val="006B6A75"/>
    <w:rsid w:val="006C3FDE"/>
    <w:rsid w:val="006C7DDD"/>
    <w:rsid w:val="006D2DF6"/>
    <w:rsid w:val="006D6EF9"/>
    <w:rsid w:val="006D744C"/>
    <w:rsid w:val="006E6EDF"/>
    <w:rsid w:val="006F0294"/>
    <w:rsid w:val="00700005"/>
    <w:rsid w:val="00701092"/>
    <w:rsid w:val="00703AEE"/>
    <w:rsid w:val="00705AD8"/>
    <w:rsid w:val="0070700E"/>
    <w:rsid w:val="00743361"/>
    <w:rsid w:val="00744EC6"/>
    <w:rsid w:val="007470E5"/>
    <w:rsid w:val="00752327"/>
    <w:rsid w:val="00754375"/>
    <w:rsid w:val="00755FB1"/>
    <w:rsid w:val="0076233A"/>
    <w:rsid w:val="007626D4"/>
    <w:rsid w:val="00764D20"/>
    <w:rsid w:val="007659AE"/>
    <w:rsid w:val="00774ECF"/>
    <w:rsid w:val="0077671C"/>
    <w:rsid w:val="00777DAF"/>
    <w:rsid w:val="007950DD"/>
    <w:rsid w:val="007A0BFC"/>
    <w:rsid w:val="007A7853"/>
    <w:rsid w:val="007B054B"/>
    <w:rsid w:val="007B3A29"/>
    <w:rsid w:val="007C2679"/>
    <w:rsid w:val="007C30AB"/>
    <w:rsid w:val="007C60EA"/>
    <w:rsid w:val="007E3A8B"/>
    <w:rsid w:val="007E3C5B"/>
    <w:rsid w:val="007F2505"/>
    <w:rsid w:val="007F311E"/>
    <w:rsid w:val="007F4197"/>
    <w:rsid w:val="007F521C"/>
    <w:rsid w:val="00813311"/>
    <w:rsid w:val="0082741F"/>
    <w:rsid w:val="00831B92"/>
    <w:rsid w:val="0083659B"/>
    <w:rsid w:val="00843DE9"/>
    <w:rsid w:val="00855E80"/>
    <w:rsid w:val="00860BE8"/>
    <w:rsid w:val="00860DA3"/>
    <w:rsid w:val="00863822"/>
    <w:rsid w:val="0086640A"/>
    <w:rsid w:val="00866910"/>
    <w:rsid w:val="0087279F"/>
    <w:rsid w:val="0087446B"/>
    <w:rsid w:val="008747A8"/>
    <w:rsid w:val="00886B41"/>
    <w:rsid w:val="00891C80"/>
    <w:rsid w:val="008A5C70"/>
    <w:rsid w:val="008B204D"/>
    <w:rsid w:val="008C6A6C"/>
    <w:rsid w:val="008D08A0"/>
    <w:rsid w:val="008D43E0"/>
    <w:rsid w:val="008D5826"/>
    <w:rsid w:val="008E21B8"/>
    <w:rsid w:val="008E5C08"/>
    <w:rsid w:val="008F01A6"/>
    <w:rsid w:val="0090372C"/>
    <w:rsid w:val="00904EF9"/>
    <w:rsid w:val="00906254"/>
    <w:rsid w:val="0090664B"/>
    <w:rsid w:val="00906847"/>
    <w:rsid w:val="00907840"/>
    <w:rsid w:val="009143B3"/>
    <w:rsid w:val="009158EC"/>
    <w:rsid w:val="00942B07"/>
    <w:rsid w:val="00947007"/>
    <w:rsid w:val="0095487B"/>
    <w:rsid w:val="00967BBC"/>
    <w:rsid w:val="00981DC8"/>
    <w:rsid w:val="00987348"/>
    <w:rsid w:val="00990A43"/>
    <w:rsid w:val="00992A2E"/>
    <w:rsid w:val="00993D86"/>
    <w:rsid w:val="009C704F"/>
    <w:rsid w:val="009F18CA"/>
    <w:rsid w:val="00A108DB"/>
    <w:rsid w:val="00A10F52"/>
    <w:rsid w:val="00A21C06"/>
    <w:rsid w:val="00A25A76"/>
    <w:rsid w:val="00A43A21"/>
    <w:rsid w:val="00A52059"/>
    <w:rsid w:val="00A5360E"/>
    <w:rsid w:val="00A7068C"/>
    <w:rsid w:val="00A747C5"/>
    <w:rsid w:val="00A755B3"/>
    <w:rsid w:val="00A86499"/>
    <w:rsid w:val="00A93914"/>
    <w:rsid w:val="00AA1397"/>
    <w:rsid w:val="00AA2541"/>
    <w:rsid w:val="00AA3D5D"/>
    <w:rsid w:val="00AA3DA3"/>
    <w:rsid w:val="00AB3B20"/>
    <w:rsid w:val="00AB56C7"/>
    <w:rsid w:val="00AB6308"/>
    <w:rsid w:val="00AB7A96"/>
    <w:rsid w:val="00AC0E70"/>
    <w:rsid w:val="00AC1936"/>
    <w:rsid w:val="00AC359E"/>
    <w:rsid w:val="00AC4DFF"/>
    <w:rsid w:val="00AD3346"/>
    <w:rsid w:val="00AE551F"/>
    <w:rsid w:val="00AE6CB6"/>
    <w:rsid w:val="00B00016"/>
    <w:rsid w:val="00B000C0"/>
    <w:rsid w:val="00B13C17"/>
    <w:rsid w:val="00B13C1A"/>
    <w:rsid w:val="00B1638B"/>
    <w:rsid w:val="00B1730A"/>
    <w:rsid w:val="00B32446"/>
    <w:rsid w:val="00B430C3"/>
    <w:rsid w:val="00B61981"/>
    <w:rsid w:val="00B77EED"/>
    <w:rsid w:val="00B83048"/>
    <w:rsid w:val="00B8679A"/>
    <w:rsid w:val="00BB2871"/>
    <w:rsid w:val="00BB2A08"/>
    <w:rsid w:val="00BC00BF"/>
    <w:rsid w:val="00BC2410"/>
    <w:rsid w:val="00BD1CBE"/>
    <w:rsid w:val="00BE10C1"/>
    <w:rsid w:val="00BF2BAD"/>
    <w:rsid w:val="00BF2D5A"/>
    <w:rsid w:val="00C13012"/>
    <w:rsid w:val="00C153F8"/>
    <w:rsid w:val="00C15A92"/>
    <w:rsid w:val="00C214C7"/>
    <w:rsid w:val="00C251DD"/>
    <w:rsid w:val="00C3015D"/>
    <w:rsid w:val="00C308DF"/>
    <w:rsid w:val="00C4069B"/>
    <w:rsid w:val="00C47120"/>
    <w:rsid w:val="00C55C48"/>
    <w:rsid w:val="00C93AD7"/>
    <w:rsid w:val="00C975D8"/>
    <w:rsid w:val="00CA1BF5"/>
    <w:rsid w:val="00CA63ED"/>
    <w:rsid w:val="00CA6A6E"/>
    <w:rsid w:val="00CA7F46"/>
    <w:rsid w:val="00CB07FE"/>
    <w:rsid w:val="00CC1B46"/>
    <w:rsid w:val="00CD0666"/>
    <w:rsid w:val="00CD34C2"/>
    <w:rsid w:val="00CD6515"/>
    <w:rsid w:val="00CE0C65"/>
    <w:rsid w:val="00CE227F"/>
    <w:rsid w:val="00CE2BE8"/>
    <w:rsid w:val="00CF07FA"/>
    <w:rsid w:val="00CF235F"/>
    <w:rsid w:val="00CF259F"/>
    <w:rsid w:val="00CF2DC2"/>
    <w:rsid w:val="00D13D70"/>
    <w:rsid w:val="00D17C95"/>
    <w:rsid w:val="00D22588"/>
    <w:rsid w:val="00D50B23"/>
    <w:rsid w:val="00D639CD"/>
    <w:rsid w:val="00D65D61"/>
    <w:rsid w:val="00D66735"/>
    <w:rsid w:val="00D8092A"/>
    <w:rsid w:val="00DA1AEE"/>
    <w:rsid w:val="00DA415C"/>
    <w:rsid w:val="00DB0BAB"/>
    <w:rsid w:val="00DC7631"/>
    <w:rsid w:val="00DE15A9"/>
    <w:rsid w:val="00DE64B1"/>
    <w:rsid w:val="00E01F6E"/>
    <w:rsid w:val="00E02A9E"/>
    <w:rsid w:val="00E07ED5"/>
    <w:rsid w:val="00E15128"/>
    <w:rsid w:val="00E26689"/>
    <w:rsid w:val="00E3332E"/>
    <w:rsid w:val="00E51BD4"/>
    <w:rsid w:val="00E520DC"/>
    <w:rsid w:val="00E52808"/>
    <w:rsid w:val="00E64F90"/>
    <w:rsid w:val="00E66870"/>
    <w:rsid w:val="00E66F36"/>
    <w:rsid w:val="00E73601"/>
    <w:rsid w:val="00E755D1"/>
    <w:rsid w:val="00E86CC8"/>
    <w:rsid w:val="00E95B6C"/>
    <w:rsid w:val="00EA29AF"/>
    <w:rsid w:val="00EA4C69"/>
    <w:rsid w:val="00EA6444"/>
    <w:rsid w:val="00EB131B"/>
    <w:rsid w:val="00EB5EB0"/>
    <w:rsid w:val="00EC75AE"/>
    <w:rsid w:val="00ED17FC"/>
    <w:rsid w:val="00EE4D1D"/>
    <w:rsid w:val="00EE56BF"/>
    <w:rsid w:val="00EF0853"/>
    <w:rsid w:val="00EF5287"/>
    <w:rsid w:val="00F06A16"/>
    <w:rsid w:val="00F131E7"/>
    <w:rsid w:val="00F1427B"/>
    <w:rsid w:val="00F331DF"/>
    <w:rsid w:val="00F379A2"/>
    <w:rsid w:val="00F5161B"/>
    <w:rsid w:val="00F552A3"/>
    <w:rsid w:val="00F629C4"/>
    <w:rsid w:val="00F6439B"/>
    <w:rsid w:val="00F6627F"/>
    <w:rsid w:val="00F70040"/>
    <w:rsid w:val="00F715FA"/>
    <w:rsid w:val="00F7379F"/>
    <w:rsid w:val="00F801F8"/>
    <w:rsid w:val="00F953EB"/>
    <w:rsid w:val="00FC2965"/>
    <w:rsid w:val="00FE589B"/>
    <w:rsid w:val="00FF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46DDB"/>
    <w:pPr>
      <w:tabs>
        <w:tab w:val="center" w:pos="4153"/>
        <w:tab w:val="right" w:pos="8306"/>
      </w:tabs>
    </w:pPr>
  </w:style>
  <w:style w:type="character" w:customStyle="1" w:styleId="FooterChar">
    <w:name w:val="Footer Char"/>
    <w:basedOn w:val="DefaultParagraphFont"/>
    <w:link w:val="Footer"/>
    <w:uiPriority w:val="99"/>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table" w:styleId="TableGrid">
    <w:name w:val="Table Grid"/>
    <w:basedOn w:val="TableNormal"/>
    <w:uiPriority w:val="59"/>
    <w:rsid w:val="00A25A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1D191B"/>
    <w:pPr>
      <w:spacing w:after="120"/>
      <w:ind w:left="283"/>
    </w:pPr>
  </w:style>
  <w:style w:type="character" w:customStyle="1" w:styleId="BodyTextIndentChar">
    <w:name w:val="Body Text Indent Char"/>
    <w:basedOn w:val="DefaultParagraphFont"/>
    <w:link w:val="BodyTextIndent"/>
    <w:uiPriority w:val="99"/>
    <w:rsid w:val="001D19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E10C1"/>
    <w:rPr>
      <w:rFonts w:ascii="Tahoma" w:hAnsi="Tahoma" w:cs="Tahoma"/>
      <w:sz w:val="16"/>
      <w:szCs w:val="16"/>
    </w:rPr>
  </w:style>
  <w:style w:type="character" w:customStyle="1" w:styleId="BalloonTextChar">
    <w:name w:val="Balloon Text Char"/>
    <w:basedOn w:val="DefaultParagraphFont"/>
    <w:link w:val="BalloonText"/>
    <w:uiPriority w:val="99"/>
    <w:semiHidden/>
    <w:rsid w:val="00BE10C1"/>
    <w:rPr>
      <w:rFonts w:ascii="Tahoma" w:eastAsia="Times New Roman" w:hAnsi="Tahoma" w:cs="Tahoma"/>
      <w:sz w:val="16"/>
      <w:szCs w:val="16"/>
      <w:lang w:val="lv-LV" w:eastAsia="lv-LV"/>
    </w:rPr>
  </w:style>
  <w:style w:type="paragraph" w:customStyle="1" w:styleId="Nobeigums">
    <w:name w:val="Nobeigums"/>
    <w:basedOn w:val="Normal"/>
    <w:rsid w:val="003C51D0"/>
    <w:rPr>
      <w:szCs w:val="20"/>
      <w:lang w:val="en-US" w:eastAsia="en-US"/>
    </w:rPr>
  </w:style>
  <w:style w:type="paragraph" w:customStyle="1" w:styleId="tv2131">
    <w:name w:val="tv2131"/>
    <w:basedOn w:val="Normal"/>
    <w:rsid w:val="003C51D0"/>
    <w:pPr>
      <w:spacing w:before="240" w:line="360" w:lineRule="auto"/>
      <w:ind w:firstLine="300"/>
      <w:jc w:val="both"/>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46DDB"/>
    <w:pPr>
      <w:tabs>
        <w:tab w:val="center" w:pos="4153"/>
        <w:tab w:val="right" w:pos="8306"/>
      </w:tabs>
    </w:pPr>
  </w:style>
  <w:style w:type="character" w:customStyle="1" w:styleId="FooterChar">
    <w:name w:val="Footer Char"/>
    <w:basedOn w:val="DefaultParagraphFont"/>
    <w:link w:val="Footer"/>
    <w:uiPriority w:val="99"/>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table" w:styleId="TableGrid">
    <w:name w:val="Table Grid"/>
    <w:basedOn w:val="TableNormal"/>
    <w:uiPriority w:val="59"/>
    <w:rsid w:val="00A25A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1D191B"/>
    <w:pPr>
      <w:spacing w:after="120"/>
      <w:ind w:left="283"/>
    </w:pPr>
  </w:style>
  <w:style w:type="character" w:customStyle="1" w:styleId="BodyTextIndentChar">
    <w:name w:val="Body Text Indent Char"/>
    <w:basedOn w:val="DefaultParagraphFont"/>
    <w:link w:val="BodyTextIndent"/>
    <w:uiPriority w:val="99"/>
    <w:rsid w:val="001D19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E10C1"/>
    <w:rPr>
      <w:rFonts w:ascii="Tahoma" w:hAnsi="Tahoma" w:cs="Tahoma"/>
      <w:sz w:val="16"/>
      <w:szCs w:val="16"/>
    </w:rPr>
  </w:style>
  <w:style w:type="character" w:customStyle="1" w:styleId="BalloonTextChar">
    <w:name w:val="Balloon Text Char"/>
    <w:basedOn w:val="DefaultParagraphFont"/>
    <w:link w:val="BalloonText"/>
    <w:uiPriority w:val="99"/>
    <w:semiHidden/>
    <w:rsid w:val="00BE10C1"/>
    <w:rPr>
      <w:rFonts w:ascii="Tahoma" w:eastAsia="Times New Roman" w:hAnsi="Tahoma" w:cs="Tahoma"/>
      <w:sz w:val="16"/>
      <w:szCs w:val="16"/>
      <w:lang w:val="lv-LV" w:eastAsia="lv-LV"/>
    </w:rPr>
  </w:style>
  <w:style w:type="paragraph" w:customStyle="1" w:styleId="Nobeigums">
    <w:name w:val="Nobeigums"/>
    <w:basedOn w:val="Normal"/>
    <w:rsid w:val="003C51D0"/>
    <w:rPr>
      <w:szCs w:val="20"/>
      <w:lang w:val="en-US" w:eastAsia="en-US"/>
    </w:rPr>
  </w:style>
  <w:style w:type="paragraph" w:customStyle="1" w:styleId="tv2131">
    <w:name w:val="tv2131"/>
    <w:basedOn w:val="Normal"/>
    <w:rsid w:val="003C51D0"/>
    <w:pPr>
      <w:spacing w:before="240" w:line="360" w:lineRule="auto"/>
      <w:ind w:firstLine="300"/>
      <w:jc w:val="both"/>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9274">
      <w:bodyDiv w:val="1"/>
      <w:marLeft w:val="0"/>
      <w:marRight w:val="0"/>
      <w:marTop w:val="0"/>
      <w:marBottom w:val="0"/>
      <w:divBdr>
        <w:top w:val="none" w:sz="0" w:space="0" w:color="auto"/>
        <w:left w:val="none" w:sz="0" w:space="0" w:color="auto"/>
        <w:bottom w:val="none" w:sz="0" w:space="0" w:color="auto"/>
        <w:right w:val="none" w:sz="0" w:space="0" w:color="auto"/>
      </w:divBdr>
    </w:div>
    <w:div w:id="688066714">
      <w:bodyDiv w:val="1"/>
      <w:marLeft w:val="0"/>
      <w:marRight w:val="0"/>
      <w:marTop w:val="0"/>
      <w:marBottom w:val="0"/>
      <w:divBdr>
        <w:top w:val="none" w:sz="0" w:space="0" w:color="auto"/>
        <w:left w:val="none" w:sz="0" w:space="0" w:color="auto"/>
        <w:bottom w:val="none" w:sz="0" w:space="0" w:color="auto"/>
        <w:right w:val="none" w:sz="0" w:space="0" w:color="auto"/>
      </w:divBdr>
      <w:divsChild>
        <w:div w:id="1462847714">
          <w:marLeft w:val="0"/>
          <w:marRight w:val="0"/>
          <w:marTop w:val="0"/>
          <w:marBottom w:val="0"/>
          <w:divBdr>
            <w:top w:val="none" w:sz="0" w:space="0" w:color="auto"/>
            <w:left w:val="none" w:sz="0" w:space="0" w:color="auto"/>
            <w:bottom w:val="none" w:sz="0" w:space="0" w:color="auto"/>
            <w:right w:val="none" w:sz="0" w:space="0" w:color="auto"/>
          </w:divBdr>
          <w:divsChild>
            <w:div w:id="1824422002">
              <w:marLeft w:val="0"/>
              <w:marRight w:val="0"/>
              <w:marTop w:val="0"/>
              <w:marBottom w:val="0"/>
              <w:divBdr>
                <w:top w:val="none" w:sz="0" w:space="0" w:color="auto"/>
                <w:left w:val="none" w:sz="0" w:space="0" w:color="auto"/>
                <w:bottom w:val="none" w:sz="0" w:space="0" w:color="auto"/>
                <w:right w:val="none" w:sz="0" w:space="0" w:color="auto"/>
              </w:divBdr>
              <w:divsChild>
                <w:div w:id="1349940568">
                  <w:marLeft w:val="0"/>
                  <w:marRight w:val="0"/>
                  <w:marTop w:val="0"/>
                  <w:marBottom w:val="0"/>
                  <w:divBdr>
                    <w:top w:val="none" w:sz="0" w:space="0" w:color="auto"/>
                    <w:left w:val="none" w:sz="0" w:space="0" w:color="auto"/>
                    <w:bottom w:val="none" w:sz="0" w:space="0" w:color="auto"/>
                    <w:right w:val="none" w:sz="0" w:space="0" w:color="auto"/>
                  </w:divBdr>
                  <w:divsChild>
                    <w:div w:id="784812006">
                      <w:marLeft w:val="0"/>
                      <w:marRight w:val="0"/>
                      <w:marTop w:val="0"/>
                      <w:marBottom w:val="225"/>
                      <w:divBdr>
                        <w:top w:val="none" w:sz="0" w:space="0" w:color="auto"/>
                        <w:left w:val="none" w:sz="0" w:space="0" w:color="auto"/>
                        <w:bottom w:val="none" w:sz="0" w:space="0" w:color="auto"/>
                        <w:right w:val="none" w:sz="0" w:space="0" w:color="auto"/>
                      </w:divBdr>
                      <w:divsChild>
                        <w:div w:id="1794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915798">
      <w:bodyDiv w:val="1"/>
      <w:marLeft w:val="45"/>
      <w:marRight w:val="45"/>
      <w:marTop w:val="90"/>
      <w:marBottom w:val="90"/>
      <w:divBdr>
        <w:top w:val="none" w:sz="0" w:space="0" w:color="auto"/>
        <w:left w:val="none" w:sz="0" w:space="0" w:color="auto"/>
        <w:bottom w:val="none" w:sz="0" w:space="0" w:color="auto"/>
        <w:right w:val="none" w:sz="0" w:space="0" w:color="auto"/>
      </w:divBdr>
      <w:divsChild>
        <w:div w:id="42141498">
          <w:marLeft w:val="0"/>
          <w:marRight w:val="0"/>
          <w:marTop w:val="0"/>
          <w:marBottom w:val="567"/>
          <w:divBdr>
            <w:top w:val="none" w:sz="0" w:space="0" w:color="auto"/>
            <w:left w:val="none" w:sz="0" w:space="0" w:color="auto"/>
            <w:bottom w:val="none" w:sz="0" w:space="0" w:color="auto"/>
            <w:right w:val="none" w:sz="0" w:space="0" w:color="auto"/>
          </w:divBdr>
        </w:div>
      </w:divsChild>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910131">
      <w:bodyDiv w:val="1"/>
      <w:marLeft w:val="0"/>
      <w:marRight w:val="0"/>
      <w:marTop w:val="0"/>
      <w:marBottom w:val="0"/>
      <w:divBdr>
        <w:top w:val="none" w:sz="0" w:space="0" w:color="auto"/>
        <w:left w:val="none" w:sz="0" w:space="0" w:color="auto"/>
        <w:bottom w:val="none" w:sz="0" w:space="0" w:color="auto"/>
        <w:right w:val="none" w:sz="0" w:space="0" w:color="auto"/>
      </w:divBdr>
    </w:div>
    <w:div w:id="1369911637">
      <w:bodyDiv w:val="1"/>
      <w:marLeft w:val="0"/>
      <w:marRight w:val="0"/>
      <w:marTop w:val="0"/>
      <w:marBottom w:val="0"/>
      <w:divBdr>
        <w:top w:val="none" w:sz="0" w:space="0" w:color="auto"/>
        <w:left w:val="none" w:sz="0" w:space="0" w:color="auto"/>
        <w:bottom w:val="none" w:sz="0" w:space="0" w:color="auto"/>
        <w:right w:val="none" w:sz="0" w:space="0" w:color="auto"/>
      </w:divBdr>
      <w:divsChild>
        <w:div w:id="586809516">
          <w:marLeft w:val="0"/>
          <w:marRight w:val="0"/>
          <w:marTop w:val="0"/>
          <w:marBottom w:val="0"/>
          <w:divBdr>
            <w:top w:val="none" w:sz="0" w:space="0" w:color="auto"/>
            <w:left w:val="none" w:sz="0" w:space="0" w:color="auto"/>
            <w:bottom w:val="none" w:sz="0" w:space="0" w:color="auto"/>
            <w:right w:val="none" w:sz="0" w:space="0" w:color="auto"/>
          </w:divBdr>
          <w:divsChild>
            <w:div w:id="1229458720">
              <w:marLeft w:val="0"/>
              <w:marRight w:val="0"/>
              <w:marTop w:val="0"/>
              <w:marBottom w:val="0"/>
              <w:divBdr>
                <w:top w:val="none" w:sz="0" w:space="0" w:color="auto"/>
                <w:left w:val="none" w:sz="0" w:space="0" w:color="auto"/>
                <w:bottom w:val="none" w:sz="0" w:space="0" w:color="auto"/>
                <w:right w:val="none" w:sz="0" w:space="0" w:color="auto"/>
              </w:divBdr>
              <w:divsChild>
                <w:div w:id="389308434">
                  <w:marLeft w:val="0"/>
                  <w:marRight w:val="0"/>
                  <w:marTop w:val="0"/>
                  <w:marBottom w:val="0"/>
                  <w:divBdr>
                    <w:top w:val="none" w:sz="0" w:space="0" w:color="auto"/>
                    <w:left w:val="none" w:sz="0" w:space="0" w:color="auto"/>
                    <w:bottom w:val="none" w:sz="0" w:space="0" w:color="auto"/>
                    <w:right w:val="none" w:sz="0" w:space="0" w:color="auto"/>
                  </w:divBdr>
                  <w:divsChild>
                    <w:div w:id="1553887357">
                      <w:marLeft w:val="0"/>
                      <w:marRight w:val="0"/>
                      <w:marTop w:val="0"/>
                      <w:marBottom w:val="0"/>
                      <w:divBdr>
                        <w:top w:val="none" w:sz="0" w:space="0" w:color="auto"/>
                        <w:left w:val="none" w:sz="0" w:space="0" w:color="auto"/>
                        <w:bottom w:val="none" w:sz="0" w:space="0" w:color="auto"/>
                        <w:right w:val="none" w:sz="0" w:space="0" w:color="auto"/>
                      </w:divBdr>
                      <w:divsChild>
                        <w:div w:id="488860972">
                          <w:marLeft w:val="0"/>
                          <w:marRight w:val="0"/>
                          <w:marTop w:val="0"/>
                          <w:marBottom w:val="0"/>
                          <w:divBdr>
                            <w:top w:val="none" w:sz="0" w:space="0" w:color="auto"/>
                            <w:left w:val="none" w:sz="0" w:space="0" w:color="auto"/>
                            <w:bottom w:val="none" w:sz="0" w:space="0" w:color="auto"/>
                            <w:right w:val="none" w:sz="0" w:space="0" w:color="auto"/>
                          </w:divBdr>
                          <w:divsChild>
                            <w:div w:id="474446787">
                              <w:marLeft w:val="0"/>
                              <w:marRight w:val="0"/>
                              <w:marTop w:val="0"/>
                              <w:marBottom w:val="0"/>
                              <w:divBdr>
                                <w:top w:val="none" w:sz="0" w:space="0" w:color="auto"/>
                                <w:left w:val="none" w:sz="0" w:space="0" w:color="auto"/>
                                <w:bottom w:val="none" w:sz="0" w:space="0" w:color="auto"/>
                                <w:right w:val="none" w:sz="0" w:space="0" w:color="auto"/>
                              </w:divBdr>
                              <w:divsChild>
                                <w:div w:id="1960797298">
                                  <w:marLeft w:val="0"/>
                                  <w:marRight w:val="0"/>
                                  <w:marTop w:val="0"/>
                                  <w:marBottom w:val="0"/>
                                  <w:divBdr>
                                    <w:top w:val="none" w:sz="0" w:space="0" w:color="auto"/>
                                    <w:left w:val="none" w:sz="0" w:space="0" w:color="auto"/>
                                    <w:bottom w:val="none" w:sz="0" w:space="0" w:color="auto"/>
                                    <w:right w:val="none" w:sz="0" w:space="0" w:color="auto"/>
                                  </w:divBdr>
                                  <w:divsChild>
                                    <w:div w:id="1793136204">
                                      <w:marLeft w:val="0"/>
                                      <w:marRight w:val="0"/>
                                      <w:marTop w:val="0"/>
                                      <w:marBottom w:val="0"/>
                                      <w:divBdr>
                                        <w:top w:val="none" w:sz="0" w:space="0" w:color="auto"/>
                                        <w:left w:val="none" w:sz="0" w:space="0" w:color="auto"/>
                                        <w:bottom w:val="none" w:sz="0" w:space="0" w:color="auto"/>
                                        <w:right w:val="none" w:sz="0" w:space="0" w:color="auto"/>
                                      </w:divBdr>
                                      <w:divsChild>
                                        <w:div w:id="1256400678">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336485">
      <w:bodyDiv w:val="1"/>
      <w:marLeft w:val="45"/>
      <w:marRight w:val="45"/>
      <w:marTop w:val="90"/>
      <w:marBottom w:val="90"/>
      <w:divBdr>
        <w:top w:val="none" w:sz="0" w:space="0" w:color="auto"/>
        <w:left w:val="none" w:sz="0" w:space="0" w:color="auto"/>
        <w:bottom w:val="none" w:sz="0" w:space="0" w:color="auto"/>
        <w:right w:val="none" w:sz="0" w:space="0" w:color="auto"/>
      </w:divBdr>
      <w:divsChild>
        <w:div w:id="515997273">
          <w:marLeft w:val="0"/>
          <w:marRight w:val="0"/>
          <w:marTop w:val="0"/>
          <w:marBottom w:val="567"/>
          <w:divBdr>
            <w:top w:val="none" w:sz="0" w:space="0" w:color="auto"/>
            <w:left w:val="none" w:sz="0" w:space="0" w:color="auto"/>
            <w:bottom w:val="none" w:sz="0" w:space="0" w:color="auto"/>
            <w:right w:val="none" w:sz="0" w:space="0" w:color="auto"/>
          </w:divBdr>
        </w:div>
      </w:divsChild>
    </w:div>
    <w:div w:id="16288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vanaga@f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kumi.lv/doc.php?id=14710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kumi.lv/doc.php?id=14710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147107"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ikumi.lv/doc.php?id=147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54B6-732C-4F2C-9AFD-1B5FF5C2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2798</Words>
  <Characters>1595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31.oktobra noteikumos Nr.884 „Kārtība, kādā tiek veikta informācijas apmaiņa tiešo nodokļu jomā ar Eiropas Savienības dalībvalstīm un valstīm, ar kurām ir noslēgti starptautiskie </vt:lpstr>
    </vt:vector>
  </TitlesOfParts>
  <Company>Veselības ministrija</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31.oktobra noteikumos Nr.884 „Kārtība, kādā tiek veikta informācijas apmaiņa tiešo nodokļu jomā ar Eiropas Savienības dalībvalstīm un valstīm, ar kurām ir noslēgti starptautiskie līgumi par nodokļu dubultās uzlikšanas un nodokļu nemaksāšanas novēršanu””</dc:title>
  <dc:subject>anotācija</dc:subject>
  <dc:creator>I.Vanaga</dc:creator>
  <dc:description>67083901,
Inese.Vanaga@fm.gov.lv</dc:description>
  <cp:lastModifiedBy>Windows User</cp:lastModifiedBy>
  <cp:revision>3</cp:revision>
  <cp:lastPrinted>2013-03-18T11:57:00Z</cp:lastPrinted>
  <dcterms:created xsi:type="dcterms:W3CDTF">2013-07-11T12:43:00Z</dcterms:created>
  <dcterms:modified xsi:type="dcterms:W3CDTF">2013-07-11T12:43:00Z</dcterms:modified>
</cp:coreProperties>
</file>