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B9" w:rsidRPr="000A1B12" w:rsidRDefault="00D577B9" w:rsidP="00D577B9">
      <w:pPr>
        <w:jc w:val="center"/>
        <w:rPr>
          <w:b/>
          <w:bCs/>
          <w:sz w:val="28"/>
          <w:szCs w:val="28"/>
        </w:rPr>
      </w:pPr>
      <w:bookmarkStart w:id="0" w:name="OLE_LINK5"/>
      <w:bookmarkStart w:id="1" w:name="OLE_LINK6"/>
      <w:r w:rsidRPr="000A1B12">
        <w:rPr>
          <w:b/>
          <w:bCs/>
          <w:sz w:val="28"/>
          <w:szCs w:val="28"/>
        </w:rPr>
        <w:t>Ministru kabineta noteikumu projekta</w:t>
      </w:r>
    </w:p>
    <w:p w:rsidR="009F13C7" w:rsidRDefault="00D577B9" w:rsidP="00D577B9">
      <w:pPr>
        <w:pStyle w:val="Header"/>
        <w:tabs>
          <w:tab w:val="right" w:pos="8460"/>
        </w:tabs>
        <w:ind w:right="-154"/>
        <w:jc w:val="center"/>
        <w:rPr>
          <w:b/>
          <w:bCs/>
          <w:sz w:val="28"/>
          <w:szCs w:val="28"/>
        </w:rPr>
      </w:pPr>
      <w:r w:rsidRPr="000A1B12">
        <w:rPr>
          <w:b/>
          <w:bCs/>
          <w:sz w:val="28"/>
          <w:szCs w:val="28"/>
        </w:rPr>
        <w:t>„</w:t>
      </w:r>
      <w:r w:rsidR="004D6454" w:rsidRPr="004D6454">
        <w:rPr>
          <w:b/>
          <w:bCs/>
          <w:sz w:val="28"/>
          <w:szCs w:val="28"/>
        </w:rPr>
        <w:t xml:space="preserve">Kārtība, kādā </w:t>
      </w:r>
      <w:r w:rsidR="00C54F44">
        <w:rPr>
          <w:b/>
          <w:bCs/>
          <w:sz w:val="28"/>
          <w:szCs w:val="28"/>
        </w:rPr>
        <w:t xml:space="preserve">valsts budžeta iestādes, no valsts budžeta daļēji </w:t>
      </w:r>
      <w:r w:rsidR="006F2A91">
        <w:rPr>
          <w:b/>
          <w:bCs/>
          <w:sz w:val="28"/>
          <w:szCs w:val="28"/>
        </w:rPr>
        <w:t xml:space="preserve">finansētas </w:t>
      </w:r>
      <w:r w:rsidR="00C54F44">
        <w:rPr>
          <w:b/>
          <w:bCs/>
          <w:sz w:val="28"/>
          <w:szCs w:val="28"/>
        </w:rPr>
        <w:t xml:space="preserve">atvasinātas publiskas personas un budžeta nefinansētas iestādes nodrošina saistību reģistrāciju </w:t>
      </w:r>
      <w:r w:rsidR="004D6454">
        <w:rPr>
          <w:b/>
          <w:bCs/>
          <w:sz w:val="28"/>
          <w:szCs w:val="28"/>
        </w:rPr>
        <w:t>”</w:t>
      </w:r>
    </w:p>
    <w:bookmarkEnd w:id="0"/>
    <w:bookmarkEnd w:id="1"/>
    <w:p w:rsidR="00D577B9" w:rsidRDefault="00D577B9" w:rsidP="00556372">
      <w:pPr>
        <w:pStyle w:val="Header"/>
        <w:tabs>
          <w:tab w:val="right" w:pos="8460"/>
        </w:tabs>
        <w:ind w:right="-154"/>
        <w:jc w:val="center"/>
        <w:rPr>
          <w:b/>
          <w:bCs/>
          <w:sz w:val="28"/>
          <w:szCs w:val="28"/>
        </w:rPr>
      </w:pPr>
      <w:r>
        <w:rPr>
          <w:b/>
          <w:sz w:val="28"/>
          <w:szCs w:val="28"/>
        </w:rPr>
        <w:t>sākotnējās ietekmes novērtējuma ziņojums (</w:t>
      </w:r>
      <w:r w:rsidRPr="009172ED">
        <w:rPr>
          <w:b/>
          <w:bCs/>
          <w:sz w:val="28"/>
          <w:szCs w:val="28"/>
        </w:rPr>
        <w:t>anotācija</w:t>
      </w:r>
      <w:r>
        <w:rPr>
          <w:b/>
          <w:bCs/>
          <w:sz w:val="28"/>
          <w:szCs w:val="28"/>
        </w:rPr>
        <w:t>)</w:t>
      </w:r>
    </w:p>
    <w:p w:rsidR="00A55FE7" w:rsidRPr="000A1B12" w:rsidRDefault="00A55FE7" w:rsidP="00556372">
      <w:pPr>
        <w:pStyle w:val="Header"/>
        <w:tabs>
          <w:tab w:val="right" w:pos="8460"/>
        </w:tabs>
        <w:ind w:right="-154"/>
        <w:jc w:val="center"/>
        <w:rPr>
          <w:b/>
          <w:sz w:val="28"/>
          <w:szCs w:val="28"/>
        </w:rPr>
      </w:pPr>
    </w:p>
    <w:p w:rsidR="00D577B9" w:rsidRDefault="00D577B9" w:rsidP="00D577B9">
      <w:pPr>
        <w:pStyle w:val="Header"/>
        <w:tabs>
          <w:tab w:val="clear" w:pos="4153"/>
          <w:tab w:val="clear" w:pos="8306"/>
          <w:tab w:val="center" w:pos="0"/>
          <w:tab w:val="right" w:pos="142"/>
        </w:tabs>
        <w:ind w:right="-153" w:firstLine="851"/>
        <w:rPr>
          <w:sz w:val="28"/>
          <w:szCs w:val="28"/>
        </w:rPr>
      </w:pPr>
    </w:p>
    <w:tbl>
      <w:tblPr>
        <w:tblW w:w="9240" w:type="dxa"/>
        <w:tblCellSpacing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
        <w:gridCol w:w="3138"/>
        <w:gridCol w:w="5576"/>
      </w:tblGrid>
      <w:tr w:rsidR="00D577B9" w:rsidRPr="00556372" w:rsidTr="00804874">
        <w:trPr>
          <w:tblCellSpacing w:w="0" w:type="dxa"/>
        </w:trPr>
        <w:tc>
          <w:tcPr>
            <w:tcW w:w="9240" w:type="dxa"/>
            <w:gridSpan w:val="3"/>
            <w:tcBorders>
              <w:top w:val="outset" w:sz="6" w:space="0" w:color="auto"/>
              <w:left w:val="outset" w:sz="6" w:space="0" w:color="auto"/>
              <w:bottom w:val="outset" w:sz="6" w:space="0" w:color="auto"/>
              <w:right w:val="outset" w:sz="6" w:space="0" w:color="auto"/>
            </w:tcBorders>
            <w:vAlign w:val="center"/>
            <w:hideMark/>
          </w:tcPr>
          <w:p w:rsidR="00D577B9" w:rsidRPr="00556372" w:rsidRDefault="00D577B9" w:rsidP="00804874">
            <w:pPr>
              <w:spacing w:before="75" w:after="75"/>
              <w:jc w:val="center"/>
              <w:rPr>
                <w:sz w:val="26"/>
                <w:szCs w:val="26"/>
              </w:rPr>
            </w:pPr>
            <w:r w:rsidRPr="00556372">
              <w:rPr>
                <w:b/>
                <w:bCs/>
                <w:sz w:val="26"/>
                <w:szCs w:val="26"/>
              </w:rPr>
              <w:t> I. Tiesību akta projekta izstrādes nepieciešamība</w:t>
            </w:r>
          </w:p>
        </w:tc>
      </w:tr>
      <w:tr w:rsidR="00D577B9" w:rsidRPr="00556372" w:rsidTr="006C1955">
        <w:trPr>
          <w:trHeight w:val="978"/>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D577B9" w:rsidRPr="00556372" w:rsidRDefault="00D577B9" w:rsidP="00804874">
            <w:pPr>
              <w:spacing w:before="75" w:after="75"/>
              <w:rPr>
                <w:sz w:val="26"/>
                <w:szCs w:val="26"/>
              </w:rPr>
            </w:pPr>
            <w:r w:rsidRPr="00556372">
              <w:rPr>
                <w:sz w:val="26"/>
                <w:szCs w:val="26"/>
              </w:rPr>
              <w:t> 1.</w:t>
            </w:r>
          </w:p>
        </w:tc>
        <w:tc>
          <w:tcPr>
            <w:tcW w:w="3138" w:type="dxa"/>
            <w:tcBorders>
              <w:top w:val="outset" w:sz="6" w:space="0" w:color="auto"/>
              <w:left w:val="outset" w:sz="6" w:space="0" w:color="auto"/>
              <w:bottom w:val="outset" w:sz="6" w:space="0" w:color="auto"/>
              <w:right w:val="outset" w:sz="6" w:space="0" w:color="auto"/>
            </w:tcBorders>
            <w:hideMark/>
          </w:tcPr>
          <w:p w:rsidR="00D577B9" w:rsidRPr="00556372" w:rsidRDefault="00D577B9" w:rsidP="00804874">
            <w:pPr>
              <w:spacing w:before="75" w:after="75"/>
              <w:rPr>
                <w:sz w:val="26"/>
                <w:szCs w:val="26"/>
              </w:rPr>
            </w:pPr>
            <w:r w:rsidRPr="00556372">
              <w:rPr>
                <w:sz w:val="26"/>
                <w:szCs w:val="26"/>
              </w:rPr>
              <w:t> Pamatojums</w:t>
            </w:r>
          </w:p>
        </w:tc>
        <w:tc>
          <w:tcPr>
            <w:tcW w:w="5576" w:type="dxa"/>
            <w:tcBorders>
              <w:top w:val="outset" w:sz="6" w:space="0" w:color="auto"/>
              <w:left w:val="outset" w:sz="6" w:space="0" w:color="auto"/>
              <w:bottom w:val="outset" w:sz="6" w:space="0" w:color="auto"/>
              <w:right w:val="outset" w:sz="6" w:space="0" w:color="auto"/>
            </w:tcBorders>
            <w:hideMark/>
          </w:tcPr>
          <w:p w:rsidR="009120B6" w:rsidRPr="00556372" w:rsidRDefault="009120B6" w:rsidP="00D11E60">
            <w:pPr>
              <w:spacing w:before="120" w:after="120"/>
              <w:jc w:val="both"/>
              <w:rPr>
                <w:rFonts w:eastAsia="Calibri"/>
                <w:sz w:val="26"/>
                <w:szCs w:val="26"/>
              </w:rPr>
            </w:pPr>
            <w:r>
              <w:rPr>
                <w:sz w:val="26"/>
                <w:szCs w:val="26"/>
              </w:rPr>
              <w:t xml:space="preserve">Noteikumu projekts „Kārtība, kādā </w:t>
            </w:r>
            <w:r w:rsidRPr="009120B6">
              <w:rPr>
                <w:sz w:val="26"/>
                <w:szCs w:val="26"/>
              </w:rPr>
              <w:t>valsts budžeta iestādes, no valsts budžeta daļēji finansētas atvasinātas publiskas personas un budžeta nefinansētas iestādes nodrošina saistību reģistrāciju” (turpmāk – projekts)</w:t>
            </w:r>
            <w:r w:rsidR="001E2A35">
              <w:rPr>
                <w:sz w:val="26"/>
                <w:szCs w:val="26"/>
              </w:rPr>
              <w:t xml:space="preserve"> ir sagatavots, balstoties uz </w:t>
            </w:r>
            <w:r w:rsidR="00B75A21">
              <w:rPr>
                <w:sz w:val="26"/>
                <w:szCs w:val="26"/>
              </w:rPr>
              <w:t>Likuma par budžetu un finanšu vadību (turpmāk – LBFV)</w:t>
            </w:r>
            <w:r w:rsidR="002A0784">
              <w:rPr>
                <w:sz w:val="26"/>
                <w:szCs w:val="26"/>
              </w:rPr>
              <w:t xml:space="preserve"> 29.pant</w:t>
            </w:r>
            <w:r w:rsidR="00D11E60">
              <w:rPr>
                <w:sz w:val="26"/>
                <w:szCs w:val="26"/>
              </w:rPr>
              <w:t>a ceturtajā daļā</w:t>
            </w:r>
            <w:r w:rsidR="002A0784">
              <w:rPr>
                <w:sz w:val="26"/>
                <w:szCs w:val="26"/>
              </w:rPr>
              <w:t xml:space="preserve"> doto deleģējumu</w:t>
            </w:r>
            <w:r w:rsidR="001E2A35">
              <w:rPr>
                <w:sz w:val="26"/>
                <w:szCs w:val="26"/>
              </w:rPr>
              <w:t>.</w:t>
            </w:r>
          </w:p>
        </w:tc>
      </w:tr>
      <w:tr w:rsidR="00D577B9" w:rsidRPr="00556372" w:rsidTr="006C1955">
        <w:trPr>
          <w:trHeight w:val="472"/>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D577B9" w:rsidRPr="00556372" w:rsidRDefault="00D577B9" w:rsidP="00804874">
            <w:pPr>
              <w:spacing w:before="75" w:after="75"/>
              <w:rPr>
                <w:sz w:val="26"/>
                <w:szCs w:val="26"/>
              </w:rPr>
            </w:pPr>
            <w:r w:rsidRPr="00556372">
              <w:rPr>
                <w:sz w:val="26"/>
                <w:szCs w:val="26"/>
              </w:rPr>
              <w:t> 2.</w:t>
            </w:r>
          </w:p>
        </w:tc>
        <w:tc>
          <w:tcPr>
            <w:tcW w:w="3138" w:type="dxa"/>
            <w:tcBorders>
              <w:top w:val="outset" w:sz="6" w:space="0" w:color="auto"/>
              <w:left w:val="outset" w:sz="6" w:space="0" w:color="auto"/>
              <w:bottom w:val="outset" w:sz="6" w:space="0" w:color="auto"/>
              <w:right w:val="outset" w:sz="6" w:space="0" w:color="auto"/>
            </w:tcBorders>
            <w:hideMark/>
          </w:tcPr>
          <w:p w:rsidR="00D577B9" w:rsidRPr="00556372" w:rsidRDefault="00D577B9" w:rsidP="00804874">
            <w:pPr>
              <w:spacing w:before="75" w:after="75"/>
              <w:rPr>
                <w:sz w:val="26"/>
                <w:szCs w:val="26"/>
              </w:rPr>
            </w:pPr>
            <w:r w:rsidRPr="00556372">
              <w:rPr>
                <w:sz w:val="26"/>
                <w:szCs w:val="26"/>
              </w:rPr>
              <w:t> Pašreizējā situācija un problēmas</w:t>
            </w:r>
          </w:p>
        </w:tc>
        <w:tc>
          <w:tcPr>
            <w:tcW w:w="5576" w:type="dxa"/>
            <w:tcBorders>
              <w:top w:val="outset" w:sz="6" w:space="0" w:color="auto"/>
              <w:left w:val="outset" w:sz="6" w:space="0" w:color="auto"/>
              <w:bottom w:val="outset" w:sz="6" w:space="0" w:color="auto"/>
              <w:right w:val="outset" w:sz="6" w:space="0" w:color="auto"/>
            </w:tcBorders>
            <w:hideMark/>
          </w:tcPr>
          <w:p w:rsidR="0084693E" w:rsidRDefault="005B6197" w:rsidP="0084693E">
            <w:pPr>
              <w:jc w:val="both"/>
              <w:rPr>
                <w:sz w:val="26"/>
                <w:szCs w:val="26"/>
              </w:rPr>
            </w:pPr>
            <w:r w:rsidRPr="00556372">
              <w:rPr>
                <w:sz w:val="26"/>
                <w:szCs w:val="26"/>
              </w:rPr>
              <w:t xml:space="preserve">Gadskārtējā </w:t>
            </w:r>
            <w:r w:rsidR="004C3C4A" w:rsidRPr="00556372">
              <w:rPr>
                <w:sz w:val="26"/>
                <w:szCs w:val="26"/>
              </w:rPr>
              <w:t>valsts budžeta likumā</w:t>
            </w:r>
            <w:r w:rsidR="001C2EDE" w:rsidRPr="00556372">
              <w:rPr>
                <w:sz w:val="26"/>
                <w:szCs w:val="26"/>
              </w:rPr>
              <w:t xml:space="preserve"> </w:t>
            </w:r>
            <w:r w:rsidR="007639F9" w:rsidRPr="00556372">
              <w:rPr>
                <w:sz w:val="26"/>
                <w:szCs w:val="26"/>
              </w:rPr>
              <w:t xml:space="preserve">tiek apstiprināts </w:t>
            </w:r>
            <w:r w:rsidR="001C2EDE" w:rsidRPr="00556372">
              <w:rPr>
                <w:sz w:val="26"/>
                <w:szCs w:val="26"/>
              </w:rPr>
              <w:t>v</w:t>
            </w:r>
            <w:r w:rsidR="007639F9" w:rsidRPr="00556372">
              <w:rPr>
                <w:sz w:val="26"/>
                <w:szCs w:val="26"/>
              </w:rPr>
              <w:t>alsts budžeta ilgtermiņa saistību maksimāli pieļaujamais apjoms</w:t>
            </w:r>
            <w:r w:rsidR="00E40D82">
              <w:rPr>
                <w:sz w:val="26"/>
                <w:szCs w:val="26"/>
              </w:rPr>
              <w:t xml:space="preserve"> (kā budžeta likuma pielikums)</w:t>
            </w:r>
            <w:r w:rsidR="007639F9" w:rsidRPr="00556372">
              <w:rPr>
                <w:sz w:val="26"/>
                <w:szCs w:val="26"/>
              </w:rPr>
              <w:t xml:space="preserve">, tomēr šobrīd </w:t>
            </w:r>
            <w:r w:rsidR="003910BF" w:rsidRPr="00556372">
              <w:rPr>
                <w:sz w:val="26"/>
                <w:szCs w:val="26"/>
              </w:rPr>
              <w:t xml:space="preserve">spēkā esošie </w:t>
            </w:r>
            <w:r w:rsidR="00C92621" w:rsidRPr="00556372">
              <w:rPr>
                <w:sz w:val="26"/>
                <w:szCs w:val="26"/>
              </w:rPr>
              <w:t>normatīv</w:t>
            </w:r>
            <w:r w:rsidR="003910BF" w:rsidRPr="00556372">
              <w:rPr>
                <w:sz w:val="26"/>
                <w:szCs w:val="26"/>
              </w:rPr>
              <w:t>ie</w:t>
            </w:r>
            <w:r w:rsidR="00C92621" w:rsidRPr="00556372">
              <w:rPr>
                <w:sz w:val="26"/>
                <w:szCs w:val="26"/>
              </w:rPr>
              <w:t xml:space="preserve"> akt</w:t>
            </w:r>
            <w:r w:rsidR="003910BF" w:rsidRPr="00556372">
              <w:rPr>
                <w:sz w:val="26"/>
                <w:szCs w:val="26"/>
              </w:rPr>
              <w:t xml:space="preserve">i </w:t>
            </w:r>
            <w:r w:rsidR="00C92621" w:rsidRPr="00556372">
              <w:rPr>
                <w:sz w:val="26"/>
                <w:szCs w:val="26"/>
              </w:rPr>
              <w:t>nenosaka vienotu</w:t>
            </w:r>
            <w:r w:rsidR="00FA4155" w:rsidRPr="00556372">
              <w:rPr>
                <w:sz w:val="26"/>
                <w:szCs w:val="26"/>
              </w:rPr>
              <w:t>s principus un</w:t>
            </w:r>
            <w:r w:rsidR="00C92621" w:rsidRPr="00556372">
              <w:rPr>
                <w:sz w:val="26"/>
                <w:szCs w:val="26"/>
              </w:rPr>
              <w:t xml:space="preserve"> </w:t>
            </w:r>
            <w:r w:rsidR="00B60947" w:rsidRPr="00556372">
              <w:rPr>
                <w:sz w:val="26"/>
                <w:szCs w:val="26"/>
              </w:rPr>
              <w:t>kārtību</w:t>
            </w:r>
            <w:r w:rsidR="00C92621" w:rsidRPr="00556372">
              <w:rPr>
                <w:sz w:val="26"/>
                <w:szCs w:val="26"/>
              </w:rPr>
              <w:t xml:space="preserve">, </w:t>
            </w:r>
            <w:r w:rsidR="00B60947" w:rsidRPr="00556372">
              <w:rPr>
                <w:sz w:val="26"/>
                <w:szCs w:val="26"/>
              </w:rPr>
              <w:t xml:space="preserve">kādā </w:t>
            </w:r>
            <w:r w:rsidR="00C92621" w:rsidRPr="00556372">
              <w:rPr>
                <w:sz w:val="26"/>
                <w:szCs w:val="26"/>
              </w:rPr>
              <w:t xml:space="preserve">valsts </w:t>
            </w:r>
            <w:r w:rsidR="001C4E2D" w:rsidRPr="00556372">
              <w:rPr>
                <w:sz w:val="26"/>
                <w:szCs w:val="26"/>
              </w:rPr>
              <w:t>budžeta</w:t>
            </w:r>
            <w:r w:rsidR="00C92621" w:rsidRPr="00556372">
              <w:rPr>
                <w:sz w:val="26"/>
                <w:szCs w:val="26"/>
              </w:rPr>
              <w:t xml:space="preserve"> iestādes</w:t>
            </w:r>
            <w:r w:rsidR="001C4E2D" w:rsidRPr="00556372">
              <w:rPr>
                <w:sz w:val="26"/>
                <w:szCs w:val="26"/>
              </w:rPr>
              <w:t>, no valsts budžeta daļēji finansētas atvasinātas publiskas personas un</w:t>
            </w:r>
            <w:r w:rsidR="0092584A" w:rsidRPr="00556372">
              <w:rPr>
                <w:sz w:val="26"/>
                <w:szCs w:val="26"/>
              </w:rPr>
              <w:t xml:space="preserve"> budžeta nefinansētas iestādes</w:t>
            </w:r>
            <w:r w:rsidR="00F71CF2" w:rsidRPr="00556372">
              <w:rPr>
                <w:sz w:val="26"/>
                <w:szCs w:val="26"/>
              </w:rPr>
              <w:t xml:space="preserve"> (turpmāk – iestādes)</w:t>
            </w:r>
            <w:r w:rsidR="0092584A" w:rsidRPr="00556372">
              <w:rPr>
                <w:sz w:val="26"/>
                <w:szCs w:val="26"/>
              </w:rPr>
              <w:t xml:space="preserve"> </w:t>
            </w:r>
            <w:r w:rsidR="007F6E0F">
              <w:rPr>
                <w:sz w:val="26"/>
                <w:szCs w:val="26"/>
              </w:rPr>
              <w:t xml:space="preserve">ieraksta </w:t>
            </w:r>
            <w:r w:rsidR="00C92621" w:rsidRPr="00556372">
              <w:rPr>
                <w:sz w:val="26"/>
                <w:szCs w:val="26"/>
              </w:rPr>
              <w:t>uzņemt</w:t>
            </w:r>
            <w:r w:rsidR="0084693E">
              <w:rPr>
                <w:sz w:val="26"/>
                <w:szCs w:val="26"/>
              </w:rPr>
              <w:t>o</w:t>
            </w:r>
            <w:r w:rsidR="00C92621" w:rsidRPr="00556372">
              <w:rPr>
                <w:sz w:val="26"/>
                <w:szCs w:val="26"/>
              </w:rPr>
              <w:t xml:space="preserve"> </w:t>
            </w:r>
            <w:r w:rsidR="0084693E">
              <w:rPr>
                <w:sz w:val="26"/>
                <w:szCs w:val="26"/>
              </w:rPr>
              <w:t>saistību reģistrāciju.</w:t>
            </w:r>
          </w:p>
          <w:p w:rsidR="00F71B80" w:rsidRPr="00556372" w:rsidRDefault="007F6E0F" w:rsidP="00E03036">
            <w:pPr>
              <w:jc w:val="both"/>
              <w:rPr>
                <w:sz w:val="26"/>
                <w:szCs w:val="26"/>
              </w:rPr>
            </w:pPr>
            <w:r>
              <w:rPr>
                <w:sz w:val="26"/>
                <w:szCs w:val="26"/>
              </w:rPr>
              <w:t>Šobrīd t</w:t>
            </w:r>
            <w:r w:rsidR="008D2778" w:rsidRPr="00556372">
              <w:rPr>
                <w:sz w:val="26"/>
                <w:szCs w:val="26"/>
              </w:rPr>
              <w:t xml:space="preserve">rūkst </w:t>
            </w:r>
            <w:r w:rsidR="002C5A2D">
              <w:rPr>
                <w:sz w:val="26"/>
                <w:szCs w:val="26"/>
              </w:rPr>
              <w:t>nepieciešamās informācijas  par</w:t>
            </w:r>
            <w:r w:rsidR="008D2778" w:rsidRPr="00556372">
              <w:rPr>
                <w:sz w:val="26"/>
                <w:szCs w:val="26"/>
              </w:rPr>
              <w:t xml:space="preserve"> valsts sektorā uzņemtajām </w:t>
            </w:r>
            <w:r>
              <w:rPr>
                <w:sz w:val="26"/>
                <w:szCs w:val="26"/>
              </w:rPr>
              <w:t xml:space="preserve">valsts budžeta </w:t>
            </w:r>
            <w:r w:rsidR="008D2778" w:rsidRPr="00556372">
              <w:rPr>
                <w:sz w:val="26"/>
                <w:szCs w:val="26"/>
              </w:rPr>
              <w:t>saistībām kopumā</w:t>
            </w:r>
            <w:r>
              <w:rPr>
                <w:sz w:val="26"/>
                <w:szCs w:val="26"/>
              </w:rPr>
              <w:t>, jo</w:t>
            </w:r>
            <w:r w:rsidR="00906E3C" w:rsidRPr="00556372">
              <w:rPr>
                <w:sz w:val="26"/>
                <w:szCs w:val="26"/>
              </w:rPr>
              <w:t xml:space="preserve"> katra </w:t>
            </w:r>
            <w:r w:rsidR="00F71CF2" w:rsidRPr="00556372">
              <w:rPr>
                <w:sz w:val="26"/>
                <w:szCs w:val="26"/>
              </w:rPr>
              <w:t xml:space="preserve">iestāde </w:t>
            </w:r>
            <w:r w:rsidR="00906E3C" w:rsidRPr="00556372">
              <w:rPr>
                <w:sz w:val="26"/>
                <w:szCs w:val="26"/>
              </w:rPr>
              <w:t xml:space="preserve">veic </w:t>
            </w:r>
            <w:r w:rsidR="00DE21A0">
              <w:rPr>
                <w:sz w:val="26"/>
                <w:szCs w:val="26"/>
              </w:rPr>
              <w:t>noslēgto līgumu</w:t>
            </w:r>
            <w:r w:rsidR="00906E3C" w:rsidRPr="00556372">
              <w:rPr>
                <w:sz w:val="26"/>
                <w:szCs w:val="26"/>
              </w:rPr>
              <w:t xml:space="preserve"> reģistrāciju</w:t>
            </w:r>
            <w:r w:rsidR="00913BCB" w:rsidRPr="00556372">
              <w:rPr>
                <w:sz w:val="26"/>
                <w:szCs w:val="26"/>
              </w:rPr>
              <w:t xml:space="preserve"> </w:t>
            </w:r>
            <w:r w:rsidR="00906E3C" w:rsidRPr="00556372">
              <w:rPr>
                <w:sz w:val="26"/>
                <w:szCs w:val="26"/>
              </w:rPr>
              <w:t xml:space="preserve">atbilstoši savām vajadzībām, </w:t>
            </w:r>
            <w:r>
              <w:rPr>
                <w:sz w:val="26"/>
                <w:szCs w:val="26"/>
              </w:rPr>
              <w:t>līdz ar to</w:t>
            </w:r>
            <w:r w:rsidR="00DE21A0">
              <w:rPr>
                <w:sz w:val="26"/>
                <w:szCs w:val="26"/>
              </w:rPr>
              <w:t xml:space="preserve"> šo</w:t>
            </w:r>
            <w:r w:rsidR="00906E3C" w:rsidRPr="00556372">
              <w:rPr>
                <w:sz w:val="26"/>
                <w:szCs w:val="26"/>
              </w:rPr>
              <w:t xml:space="preserve"> informāciju nav iespējams apkopot</w:t>
            </w:r>
            <w:r w:rsidR="00DE21A0">
              <w:rPr>
                <w:sz w:val="26"/>
                <w:szCs w:val="26"/>
              </w:rPr>
              <w:t>.</w:t>
            </w:r>
            <w:r w:rsidR="00913BCB" w:rsidRPr="00556372">
              <w:rPr>
                <w:sz w:val="26"/>
                <w:szCs w:val="26"/>
              </w:rPr>
              <w:t xml:space="preserve"> </w:t>
            </w:r>
            <w:r w:rsidR="00E03036">
              <w:rPr>
                <w:sz w:val="26"/>
                <w:szCs w:val="26"/>
              </w:rPr>
              <w:t>Valsts budžeta saistību reģistra (turpmāk - saistību reģistrs)</w:t>
            </w:r>
            <w:r w:rsidR="008D2778" w:rsidRPr="00556372">
              <w:rPr>
                <w:sz w:val="26"/>
                <w:szCs w:val="26"/>
              </w:rPr>
              <w:t xml:space="preserve"> izveide sekmētu v</w:t>
            </w:r>
            <w:r w:rsidR="00F86CF9" w:rsidRPr="00556372">
              <w:rPr>
                <w:sz w:val="26"/>
                <w:szCs w:val="26"/>
              </w:rPr>
              <w:t>alsts budžeta izdevumu vadības pilnveidošan</w:t>
            </w:r>
            <w:r w:rsidR="008D2778" w:rsidRPr="00556372">
              <w:rPr>
                <w:sz w:val="26"/>
                <w:szCs w:val="26"/>
              </w:rPr>
              <w:t>u</w:t>
            </w:r>
            <w:r w:rsidR="00F86CF9" w:rsidRPr="00556372">
              <w:rPr>
                <w:sz w:val="26"/>
                <w:szCs w:val="26"/>
              </w:rPr>
              <w:t xml:space="preserve"> un maksājumu kavējumu risku mazināšan</w:t>
            </w:r>
            <w:r w:rsidR="008D2778" w:rsidRPr="00556372">
              <w:rPr>
                <w:sz w:val="26"/>
                <w:szCs w:val="26"/>
              </w:rPr>
              <w:t>u</w:t>
            </w:r>
            <w:r w:rsidR="00F86CF9" w:rsidRPr="00556372">
              <w:rPr>
                <w:sz w:val="26"/>
                <w:szCs w:val="26"/>
              </w:rPr>
              <w:t xml:space="preserve">, nodrošinot valsts sektorā uzņemto </w:t>
            </w:r>
            <w:r w:rsidR="00477EFE">
              <w:rPr>
                <w:sz w:val="26"/>
                <w:szCs w:val="26"/>
              </w:rPr>
              <w:t xml:space="preserve">valsts budžeta </w:t>
            </w:r>
            <w:r w:rsidR="00F86CF9" w:rsidRPr="00556372">
              <w:rPr>
                <w:sz w:val="26"/>
                <w:szCs w:val="26"/>
              </w:rPr>
              <w:t>saistību un ar tām saistīto maksājumu pārraudzību.</w:t>
            </w:r>
          </w:p>
        </w:tc>
      </w:tr>
      <w:tr w:rsidR="00D577B9" w:rsidRPr="00556372" w:rsidTr="006C1955">
        <w:trPr>
          <w:trHeight w:val="629"/>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D577B9" w:rsidRPr="00556372" w:rsidRDefault="00D577B9" w:rsidP="00804874">
            <w:pPr>
              <w:spacing w:before="75" w:after="75"/>
              <w:rPr>
                <w:sz w:val="26"/>
                <w:szCs w:val="26"/>
              </w:rPr>
            </w:pPr>
            <w:r w:rsidRPr="00556372">
              <w:rPr>
                <w:sz w:val="26"/>
                <w:szCs w:val="26"/>
              </w:rPr>
              <w:t> 3.</w:t>
            </w:r>
          </w:p>
        </w:tc>
        <w:tc>
          <w:tcPr>
            <w:tcW w:w="3138" w:type="dxa"/>
            <w:tcBorders>
              <w:top w:val="outset" w:sz="6" w:space="0" w:color="auto"/>
              <w:left w:val="outset" w:sz="6" w:space="0" w:color="auto"/>
              <w:bottom w:val="outset" w:sz="6" w:space="0" w:color="auto"/>
              <w:right w:val="outset" w:sz="6" w:space="0" w:color="auto"/>
            </w:tcBorders>
            <w:hideMark/>
          </w:tcPr>
          <w:p w:rsidR="00D577B9" w:rsidRPr="00556372" w:rsidRDefault="00D577B9" w:rsidP="00804874">
            <w:pPr>
              <w:spacing w:before="75" w:after="75"/>
              <w:rPr>
                <w:sz w:val="26"/>
                <w:szCs w:val="26"/>
              </w:rPr>
            </w:pPr>
            <w:r w:rsidRPr="00556372">
              <w:rPr>
                <w:sz w:val="26"/>
                <w:szCs w:val="26"/>
              </w:rPr>
              <w:t> Saistītie politikas ietekmes novērtējumi un pētījumi</w:t>
            </w:r>
          </w:p>
        </w:tc>
        <w:tc>
          <w:tcPr>
            <w:tcW w:w="5576" w:type="dxa"/>
            <w:tcBorders>
              <w:top w:val="outset" w:sz="6" w:space="0" w:color="auto"/>
              <w:left w:val="outset" w:sz="6" w:space="0" w:color="auto"/>
              <w:bottom w:val="outset" w:sz="6" w:space="0" w:color="auto"/>
              <w:right w:val="outset" w:sz="6" w:space="0" w:color="auto"/>
            </w:tcBorders>
            <w:hideMark/>
          </w:tcPr>
          <w:p w:rsidR="00D577B9" w:rsidRPr="00556372" w:rsidRDefault="00B75A21" w:rsidP="00804874">
            <w:pPr>
              <w:spacing w:before="75" w:after="75"/>
              <w:rPr>
                <w:sz w:val="26"/>
                <w:szCs w:val="26"/>
              </w:rPr>
            </w:pPr>
            <w:r>
              <w:rPr>
                <w:sz w:val="26"/>
                <w:szCs w:val="26"/>
              </w:rPr>
              <w:t>Projekts šo jomu neskar</w:t>
            </w:r>
          </w:p>
        </w:tc>
      </w:tr>
      <w:tr w:rsidR="00D577B9" w:rsidRPr="00556372" w:rsidTr="006C1955">
        <w:trPr>
          <w:trHeight w:val="384"/>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D577B9" w:rsidRPr="00556372" w:rsidRDefault="00D577B9" w:rsidP="00804874">
            <w:pPr>
              <w:spacing w:before="75" w:after="75"/>
              <w:rPr>
                <w:sz w:val="26"/>
                <w:szCs w:val="26"/>
              </w:rPr>
            </w:pPr>
            <w:r w:rsidRPr="00556372">
              <w:rPr>
                <w:sz w:val="26"/>
                <w:szCs w:val="26"/>
              </w:rPr>
              <w:t> 4.</w:t>
            </w:r>
          </w:p>
        </w:tc>
        <w:tc>
          <w:tcPr>
            <w:tcW w:w="3138" w:type="dxa"/>
            <w:tcBorders>
              <w:top w:val="outset" w:sz="6" w:space="0" w:color="auto"/>
              <w:left w:val="outset" w:sz="6" w:space="0" w:color="auto"/>
              <w:bottom w:val="outset" w:sz="6" w:space="0" w:color="auto"/>
              <w:right w:val="outset" w:sz="6" w:space="0" w:color="auto"/>
            </w:tcBorders>
            <w:hideMark/>
          </w:tcPr>
          <w:p w:rsidR="00D577B9" w:rsidRPr="00556372" w:rsidRDefault="00D577B9" w:rsidP="00804874">
            <w:pPr>
              <w:spacing w:before="75" w:after="75"/>
              <w:rPr>
                <w:sz w:val="26"/>
                <w:szCs w:val="26"/>
              </w:rPr>
            </w:pPr>
            <w:r w:rsidRPr="00556372">
              <w:rPr>
                <w:sz w:val="26"/>
                <w:szCs w:val="26"/>
              </w:rPr>
              <w:t> Tiesiskā regulējuma mērķis un būtība</w:t>
            </w:r>
          </w:p>
        </w:tc>
        <w:tc>
          <w:tcPr>
            <w:tcW w:w="5576" w:type="dxa"/>
            <w:tcBorders>
              <w:top w:val="outset" w:sz="6" w:space="0" w:color="auto"/>
              <w:left w:val="outset" w:sz="6" w:space="0" w:color="auto"/>
              <w:bottom w:val="outset" w:sz="6" w:space="0" w:color="auto"/>
              <w:right w:val="outset" w:sz="6" w:space="0" w:color="auto"/>
            </w:tcBorders>
            <w:hideMark/>
          </w:tcPr>
          <w:p w:rsidR="009D3C96" w:rsidRDefault="00556372" w:rsidP="000D433F">
            <w:pPr>
              <w:spacing w:before="120" w:after="120"/>
              <w:jc w:val="both"/>
              <w:rPr>
                <w:bCs/>
                <w:sz w:val="26"/>
                <w:szCs w:val="26"/>
              </w:rPr>
            </w:pPr>
            <w:r w:rsidRPr="00556372">
              <w:rPr>
                <w:bCs/>
                <w:sz w:val="26"/>
                <w:szCs w:val="26"/>
              </w:rPr>
              <w:t>P</w:t>
            </w:r>
            <w:r w:rsidR="009D3C96" w:rsidRPr="00556372">
              <w:rPr>
                <w:bCs/>
                <w:sz w:val="26"/>
                <w:szCs w:val="26"/>
              </w:rPr>
              <w:t xml:space="preserve">rojekts </w:t>
            </w:r>
            <w:r w:rsidR="00E45F8D" w:rsidRPr="00556372">
              <w:rPr>
                <w:bCs/>
                <w:sz w:val="26"/>
                <w:szCs w:val="26"/>
              </w:rPr>
              <w:t xml:space="preserve"> ir </w:t>
            </w:r>
            <w:r w:rsidR="009D3C96" w:rsidRPr="00556372">
              <w:rPr>
                <w:bCs/>
                <w:sz w:val="26"/>
                <w:szCs w:val="26"/>
              </w:rPr>
              <w:t>izstrādāts, lai noteiktu</w:t>
            </w:r>
            <w:r w:rsidR="00E65D15">
              <w:rPr>
                <w:bCs/>
                <w:sz w:val="26"/>
                <w:szCs w:val="26"/>
              </w:rPr>
              <w:t xml:space="preserve"> vienotu kārtību, kādā iestādes </w:t>
            </w:r>
            <w:r w:rsidR="000908D4">
              <w:rPr>
                <w:bCs/>
                <w:sz w:val="26"/>
                <w:szCs w:val="26"/>
              </w:rPr>
              <w:t xml:space="preserve">uzņemtās valsts budžeta saistības ieraksta </w:t>
            </w:r>
            <w:r w:rsidR="00E45F8D" w:rsidRPr="00556372">
              <w:rPr>
                <w:bCs/>
                <w:sz w:val="26"/>
                <w:szCs w:val="26"/>
              </w:rPr>
              <w:t>saistīb</w:t>
            </w:r>
            <w:r w:rsidR="000908D4">
              <w:rPr>
                <w:bCs/>
                <w:sz w:val="26"/>
                <w:szCs w:val="26"/>
              </w:rPr>
              <w:t>u reģistrā</w:t>
            </w:r>
            <w:r w:rsidR="00787EEF" w:rsidRPr="00556372">
              <w:rPr>
                <w:bCs/>
                <w:sz w:val="26"/>
                <w:szCs w:val="26"/>
              </w:rPr>
              <w:t xml:space="preserve"> (nosakot termiņus, kādos saistības ir jā</w:t>
            </w:r>
            <w:r w:rsidR="00E65D15">
              <w:rPr>
                <w:bCs/>
                <w:sz w:val="26"/>
                <w:szCs w:val="26"/>
              </w:rPr>
              <w:t>ieraksta saistību reģistrā</w:t>
            </w:r>
            <w:r w:rsidR="00787EEF" w:rsidRPr="00556372">
              <w:rPr>
                <w:bCs/>
                <w:sz w:val="26"/>
                <w:szCs w:val="26"/>
              </w:rPr>
              <w:t>, pieļaujamo saistību periodu – vidēja termiņa vai ilgtermiņa saistības, informāciju par noslēgto līgumu</w:t>
            </w:r>
            <w:r w:rsidR="00B859F7">
              <w:rPr>
                <w:bCs/>
                <w:sz w:val="26"/>
                <w:szCs w:val="26"/>
              </w:rPr>
              <w:t xml:space="preserve"> u.c.)</w:t>
            </w:r>
            <w:r w:rsidR="00617BF9">
              <w:rPr>
                <w:bCs/>
                <w:sz w:val="26"/>
                <w:szCs w:val="26"/>
              </w:rPr>
              <w:t>.</w:t>
            </w:r>
            <w:r w:rsidR="00B046C3" w:rsidRPr="00556372">
              <w:rPr>
                <w:bCs/>
                <w:sz w:val="26"/>
                <w:szCs w:val="26"/>
              </w:rPr>
              <w:t xml:space="preserve"> </w:t>
            </w:r>
          </w:p>
          <w:p w:rsidR="007F5773" w:rsidRPr="007F5773" w:rsidRDefault="00251A33" w:rsidP="007F5773">
            <w:pPr>
              <w:spacing w:before="120" w:after="120"/>
              <w:jc w:val="both"/>
              <w:rPr>
                <w:bCs/>
                <w:sz w:val="26"/>
                <w:szCs w:val="26"/>
              </w:rPr>
            </w:pPr>
            <w:r>
              <w:rPr>
                <w:bCs/>
                <w:sz w:val="26"/>
                <w:szCs w:val="26"/>
              </w:rPr>
              <w:lastRenderedPageBreak/>
              <w:t>Ņemot vērā</w:t>
            </w:r>
            <w:r w:rsidR="007F5773" w:rsidRPr="007F5773">
              <w:rPr>
                <w:bCs/>
                <w:sz w:val="26"/>
                <w:szCs w:val="26"/>
              </w:rPr>
              <w:t xml:space="preserve">, ka vidēja termiņa makroekonomiskās attīstības un fiskālās politikas ietvaru izstrādā trīs saimnieciskajiem gadiem, </w:t>
            </w:r>
            <w:r w:rsidR="009120B6">
              <w:rPr>
                <w:bCs/>
                <w:sz w:val="26"/>
                <w:szCs w:val="26"/>
              </w:rPr>
              <w:t xml:space="preserve">projekts </w:t>
            </w:r>
            <w:r w:rsidR="007F5773" w:rsidRPr="007F5773">
              <w:rPr>
                <w:bCs/>
                <w:sz w:val="26"/>
                <w:szCs w:val="26"/>
              </w:rPr>
              <w:t>paredz iestādēm reģistrēt visas valsts budžeta saistības, kuru darbības termiņš pārsniedz saimniecisk</w:t>
            </w:r>
            <w:r w:rsidR="007F5773">
              <w:rPr>
                <w:bCs/>
                <w:sz w:val="26"/>
                <w:szCs w:val="26"/>
              </w:rPr>
              <w:t>ā</w:t>
            </w:r>
            <w:r w:rsidR="007F5773" w:rsidRPr="007F5773">
              <w:rPr>
                <w:bCs/>
                <w:sz w:val="26"/>
                <w:szCs w:val="26"/>
              </w:rPr>
              <w:t xml:space="preserve"> gad</w:t>
            </w:r>
            <w:r w:rsidR="007F5773">
              <w:rPr>
                <w:bCs/>
                <w:sz w:val="26"/>
                <w:szCs w:val="26"/>
              </w:rPr>
              <w:t>a ietvarus</w:t>
            </w:r>
            <w:r w:rsidR="007F5773" w:rsidRPr="007F5773">
              <w:rPr>
                <w:bCs/>
                <w:sz w:val="26"/>
                <w:szCs w:val="26"/>
              </w:rPr>
              <w:t>, nosakot šo saistību dalījumu šādās grupās: valsts budžeta ilgtermiņa saistības (</w:t>
            </w:r>
            <w:r w:rsidR="00B75A21">
              <w:rPr>
                <w:bCs/>
                <w:sz w:val="26"/>
                <w:szCs w:val="26"/>
              </w:rPr>
              <w:t xml:space="preserve">tās, kuras tiek ietvertas </w:t>
            </w:r>
            <w:r w:rsidR="00B75A21" w:rsidRPr="00B75A21">
              <w:rPr>
                <w:bCs/>
                <w:sz w:val="26"/>
                <w:szCs w:val="26"/>
              </w:rPr>
              <w:t>gadskārtējā valsts budžeta likuma pielikumā „Valsts budžeta ilgtermiņa saistību maksimāli pieļaujamais apjoms”</w:t>
            </w:r>
            <w:r w:rsidR="007F5773" w:rsidRPr="007F5773">
              <w:rPr>
                <w:bCs/>
                <w:sz w:val="26"/>
                <w:szCs w:val="26"/>
              </w:rPr>
              <w:t>) un valsts budžeta vidēja termiņa saistības (</w:t>
            </w:r>
            <w:r w:rsidR="00B75A21">
              <w:rPr>
                <w:bCs/>
                <w:sz w:val="26"/>
                <w:szCs w:val="26"/>
              </w:rPr>
              <w:t xml:space="preserve">tās, kuras nav ietvertas budžeta pielikumā un kuru </w:t>
            </w:r>
            <w:r w:rsidR="007F5773" w:rsidRPr="007F5773">
              <w:rPr>
                <w:bCs/>
                <w:sz w:val="26"/>
                <w:szCs w:val="26"/>
              </w:rPr>
              <w:t xml:space="preserve">noslēgto līgumu darbības termiņš nepārsniedz trīs saimnieciskos gadus).  </w:t>
            </w:r>
          </w:p>
          <w:p w:rsidR="00C10376" w:rsidRDefault="00CC6707" w:rsidP="007F5773">
            <w:pPr>
              <w:spacing w:before="120" w:after="120"/>
              <w:jc w:val="both"/>
              <w:rPr>
                <w:bCs/>
                <w:sz w:val="26"/>
                <w:szCs w:val="26"/>
              </w:rPr>
            </w:pPr>
            <w:r w:rsidRPr="002930B0">
              <w:rPr>
                <w:bCs/>
                <w:sz w:val="26"/>
                <w:szCs w:val="26"/>
              </w:rPr>
              <w:t xml:space="preserve">LBFV šobrīd ir </w:t>
            </w:r>
            <w:r w:rsidR="007F5773" w:rsidRPr="002930B0">
              <w:rPr>
                <w:bCs/>
                <w:sz w:val="26"/>
                <w:szCs w:val="26"/>
              </w:rPr>
              <w:t xml:space="preserve">noteikta norma, kas ļauj iestādei uzņemties ilgtermiņa saistības, nepārsniedzot saimnieciskā gada valsts budžeta likumā noteiktos valsts budžeta ilgtermiņa saistību maksimāli pieļaujamos apjomus, tai pat laikā </w:t>
            </w:r>
            <w:r w:rsidR="002A7436">
              <w:rPr>
                <w:bCs/>
                <w:sz w:val="26"/>
                <w:szCs w:val="26"/>
              </w:rPr>
              <w:t xml:space="preserve">ne reti izveidojas </w:t>
            </w:r>
            <w:r w:rsidR="007F5773" w:rsidRPr="002930B0">
              <w:rPr>
                <w:bCs/>
                <w:sz w:val="26"/>
                <w:szCs w:val="26"/>
              </w:rPr>
              <w:t>reālā situācija, ka</w:t>
            </w:r>
            <w:r w:rsidR="000E738F">
              <w:rPr>
                <w:bCs/>
                <w:sz w:val="26"/>
                <w:szCs w:val="26"/>
              </w:rPr>
              <w:t>d</w:t>
            </w:r>
            <w:r w:rsidR="007F5773" w:rsidRPr="002930B0">
              <w:rPr>
                <w:bCs/>
                <w:sz w:val="26"/>
                <w:szCs w:val="26"/>
              </w:rPr>
              <w:t xml:space="preserve"> iestādēm nākas noslēgt par uzturēšanai nepieciešamajām precēm vai pakalpojumiem līgumus, kuru darbības termiņš pārsniedz  saimnieciskā gada robežas.</w:t>
            </w:r>
            <w:r w:rsidR="007C533B" w:rsidRPr="002930B0">
              <w:rPr>
                <w:bCs/>
                <w:sz w:val="26"/>
                <w:szCs w:val="26"/>
              </w:rPr>
              <w:t xml:space="preserve"> </w:t>
            </w:r>
            <w:r w:rsidR="00B75A21">
              <w:rPr>
                <w:bCs/>
                <w:sz w:val="26"/>
                <w:szCs w:val="26"/>
              </w:rPr>
              <w:t>Projektā tiek risināts arī šis jautājums, nosakot robežas, līdz kurām iestāde drīkst uzņemties minētas saistības.</w:t>
            </w:r>
          </w:p>
          <w:p w:rsidR="0093550E" w:rsidRDefault="00B75A21" w:rsidP="007F5773">
            <w:pPr>
              <w:spacing w:before="120" w:after="120"/>
              <w:jc w:val="both"/>
              <w:rPr>
                <w:bCs/>
                <w:sz w:val="26"/>
                <w:szCs w:val="26"/>
              </w:rPr>
            </w:pPr>
            <w:r>
              <w:rPr>
                <w:bCs/>
                <w:sz w:val="26"/>
                <w:szCs w:val="26"/>
              </w:rPr>
              <w:t>P</w:t>
            </w:r>
            <w:r w:rsidR="00E27296">
              <w:rPr>
                <w:bCs/>
                <w:sz w:val="26"/>
                <w:szCs w:val="26"/>
              </w:rPr>
              <w:t xml:space="preserve">rojekts </w:t>
            </w:r>
            <w:r w:rsidR="00221BBA" w:rsidRPr="002930B0">
              <w:rPr>
                <w:bCs/>
                <w:sz w:val="26"/>
                <w:szCs w:val="26"/>
              </w:rPr>
              <w:t xml:space="preserve">paredz </w:t>
            </w:r>
            <w:r w:rsidR="0037130D">
              <w:rPr>
                <w:bCs/>
                <w:sz w:val="26"/>
                <w:szCs w:val="26"/>
              </w:rPr>
              <w:t xml:space="preserve">ierakstīt saistību reģistrā </w:t>
            </w:r>
            <w:r w:rsidR="00221BBA" w:rsidRPr="002930B0">
              <w:rPr>
                <w:bCs/>
                <w:sz w:val="26"/>
                <w:szCs w:val="26"/>
              </w:rPr>
              <w:t xml:space="preserve">visas iestādes </w:t>
            </w:r>
            <w:r w:rsidR="0037130D">
              <w:rPr>
                <w:bCs/>
                <w:sz w:val="26"/>
                <w:szCs w:val="26"/>
              </w:rPr>
              <w:t xml:space="preserve">valsts budžeta </w:t>
            </w:r>
            <w:r w:rsidR="00221BBA" w:rsidRPr="002930B0">
              <w:rPr>
                <w:bCs/>
                <w:sz w:val="26"/>
                <w:szCs w:val="26"/>
              </w:rPr>
              <w:t>saistības, kas sniedzas pāri saimnieciskā gada robežām, tād</w:t>
            </w:r>
            <w:r w:rsidR="00E3253A">
              <w:rPr>
                <w:bCs/>
                <w:sz w:val="26"/>
                <w:szCs w:val="26"/>
              </w:rPr>
              <w:t>ējādi</w:t>
            </w:r>
            <w:r w:rsidR="00221BBA" w:rsidRPr="002930B0">
              <w:rPr>
                <w:bCs/>
                <w:sz w:val="26"/>
                <w:szCs w:val="26"/>
              </w:rPr>
              <w:t xml:space="preserve"> nodrošinot kontroli un caurskatāmību pār iestādes uzņemtajām </w:t>
            </w:r>
            <w:r w:rsidR="007444C4">
              <w:rPr>
                <w:bCs/>
                <w:sz w:val="26"/>
                <w:szCs w:val="26"/>
              </w:rPr>
              <w:t xml:space="preserve">valsts budžeta </w:t>
            </w:r>
            <w:r w:rsidR="00221BBA" w:rsidRPr="002930B0">
              <w:rPr>
                <w:bCs/>
                <w:sz w:val="26"/>
                <w:szCs w:val="26"/>
              </w:rPr>
              <w:t>saistībām</w:t>
            </w:r>
            <w:r w:rsidR="007444C4">
              <w:rPr>
                <w:bCs/>
                <w:sz w:val="26"/>
                <w:szCs w:val="26"/>
              </w:rPr>
              <w:t>, tai skaitā</w:t>
            </w:r>
            <w:r w:rsidR="00221BBA" w:rsidRPr="002930B0">
              <w:rPr>
                <w:bCs/>
                <w:sz w:val="26"/>
                <w:szCs w:val="26"/>
              </w:rPr>
              <w:t xml:space="preserve"> uzturēšanās vajadzību nodrošināšanai. </w:t>
            </w:r>
          </w:p>
          <w:p w:rsidR="007F5773" w:rsidRPr="00556372" w:rsidRDefault="007F5773" w:rsidP="007F5773">
            <w:pPr>
              <w:spacing w:before="120" w:after="120"/>
              <w:jc w:val="both"/>
              <w:rPr>
                <w:bCs/>
                <w:sz w:val="26"/>
                <w:szCs w:val="26"/>
              </w:rPr>
            </w:pPr>
            <w:r w:rsidRPr="007F5773">
              <w:rPr>
                <w:bCs/>
                <w:sz w:val="26"/>
                <w:szCs w:val="26"/>
              </w:rPr>
              <w:t xml:space="preserve">Projekts paredz, ka </w:t>
            </w:r>
            <w:r w:rsidR="00BB562D">
              <w:rPr>
                <w:bCs/>
                <w:sz w:val="26"/>
                <w:szCs w:val="26"/>
              </w:rPr>
              <w:t xml:space="preserve">pārejas periodā </w:t>
            </w:r>
            <w:r w:rsidRPr="007F5773">
              <w:rPr>
                <w:bCs/>
                <w:sz w:val="26"/>
                <w:szCs w:val="26"/>
              </w:rPr>
              <w:t>līdz 201</w:t>
            </w:r>
            <w:r w:rsidR="0057713E">
              <w:rPr>
                <w:bCs/>
                <w:sz w:val="26"/>
                <w:szCs w:val="26"/>
              </w:rPr>
              <w:t>4</w:t>
            </w:r>
            <w:r w:rsidRPr="007F5773">
              <w:rPr>
                <w:bCs/>
                <w:sz w:val="26"/>
                <w:szCs w:val="26"/>
              </w:rPr>
              <w:t xml:space="preserve">.gada 1.jūlijam iestāde </w:t>
            </w:r>
            <w:r w:rsidR="00BB562D">
              <w:rPr>
                <w:bCs/>
                <w:sz w:val="26"/>
                <w:szCs w:val="26"/>
              </w:rPr>
              <w:t>ie</w:t>
            </w:r>
            <w:r w:rsidRPr="007F5773">
              <w:rPr>
                <w:bCs/>
                <w:sz w:val="26"/>
                <w:szCs w:val="26"/>
              </w:rPr>
              <w:t>vada savas iepriekšējā periodā uzņemtās valsts budžeta saistības</w:t>
            </w:r>
            <w:r w:rsidR="005E5060">
              <w:rPr>
                <w:bCs/>
                <w:sz w:val="26"/>
                <w:szCs w:val="26"/>
              </w:rPr>
              <w:t>, ja to darbības termiņš pārsniedz 201</w:t>
            </w:r>
            <w:r w:rsidR="0057713E">
              <w:rPr>
                <w:bCs/>
                <w:sz w:val="26"/>
                <w:szCs w:val="26"/>
              </w:rPr>
              <w:t>4</w:t>
            </w:r>
            <w:r w:rsidR="00261C09">
              <w:rPr>
                <w:bCs/>
                <w:sz w:val="26"/>
                <w:szCs w:val="26"/>
              </w:rPr>
              <w:t>.</w:t>
            </w:r>
            <w:r w:rsidR="005E5060">
              <w:rPr>
                <w:bCs/>
                <w:sz w:val="26"/>
                <w:szCs w:val="26"/>
              </w:rPr>
              <w:t>gada 31.decembri.</w:t>
            </w:r>
            <w:r w:rsidRPr="007F5773">
              <w:rPr>
                <w:bCs/>
                <w:sz w:val="26"/>
                <w:szCs w:val="26"/>
              </w:rPr>
              <w:t xml:space="preserve"> Ja noslēgtā ilgtermiņa līguma darbības termiņš beidzas 201</w:t>
            </w:r>
            <w:r w:rsidR="00F307EB">
              <w:rPr>
                <w:bCs/>
                <w:sz w:val="26"/>
                <w:szCs w:val="26"/>
              </w:rPr>
              <w:t>4</w:t>
            </w:r>
            <w:r w:rsidRPr="007F5773">
              <w:rPr>
                <w:bCs/>
                <w:sz w:val="26"/>
                <w:szCs w:val="26"/>
              </w:rPr>
              <w:t>.gada 31.decembrī un pēdējais maksājums veikts 201</w:t>
            </w:r>
            <w:r w:rsidR="00F307EB">
              <w:rPr>
                <w:bCs/>
                <w:sz w:val="26"/>
                <w:szCs w:val="26"/>
              </w:rPr>
              <w:t>4</w:t>
            </w:r>
            <w:r w:rsidRPr="007F5773">
              <w:rPr>
                <w:bCs/>
                <w:sz w:val="26"/>
                <w:szCs w:val="26"/>
              </w:rPr>
              <w:t>.gadā, līgumu reģistrā neievada.</w:t>
            </w:r>
          </w:p>
          <w:p w:rsidR="00D577B9" w:rsidRPr="00556372" w:rsidRDefault="00873ACB" w:rsidP="0001454E">
            <w:pPr>
              <w:pStyle w:val="naisc"/>
              <w:spacing w:before="120" w:after="120"/>
              <w:jc w:val="both"/>
              <w:rPr>
                <w:bCs/>
              </w:rPr>
            </w:pPr>
            <w:r w:rsidRPr="00556372">
              <w:rPr>
                <w:rFonts w:eastAsia="Calibri"/>
              </w:rPr>
              <w:t>Šīs anotācijas I sadaļas 2.punktā minētās problēmas noteikumu projekts atrisinās pilnībā.</w:t>
            </w:r>
          </w:p>
        </w:tc>
      </w:tr>
      <w:tr w:rsidR="00D577B9" w:rsidRPr="00556372" w:rsidTr="006C1955">
        <w:trPr>
          <w:trHeight w:val="476"/>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D577B9" w:rsidRPr="00556372" w:rsidRDefault="00D577B9" w:rsidP="00804874">
            <w:pPr>
              <w:spacing w:before="75" w:after="75"/>
              <w:rPr>
                <w:sz w:val="26"/>
                <w:szCs w:val="26"/>
              </w:rPr>
            </w:pPr>
            <w:r w:rsidRPr="00556372">
              <w:rPr>
                <w:sz w:val="26"/>
                <w:szCs w:val="26"/>
              </w:rPr>
              <w:lastRenderedPageBreak/>
              <w:t> 5.</w:t>
            </w:r>
          </w:p>
        </w:tc>
        <w:tc>
          <w:tcPr>
            <w:tcW w:w="3138" w:type="dxa"/>
            <w:tcBorders>
              <w:top w:val="outset" w:sz="6" w:space="0" w:color="auto"/>
              <w:left w:val="outset" w:sz="6" w:space="0" w:color="auto"/>
              <w:bottom w:val="outset" w:sz="6" w:space="0" w:color="auto"/>
              <w:right w:val="outset" w:sz="6" w:space="0" w:color="auto"/>
            </w:tcBorders>
            <w:hideMark/>
          </w:tcPr>
          <w:p w:rsidR="00D577B9" w:rsidRPr="00556372" w:rsidRDefault="00D577B9" w:rsidP="00804874">
            <w:pPr>
              <w:spacing w:before="75" w:after="75"/>
              <w:rPr>
                <w:sz w:val="26"/>
                <w:szCs w:val="26"/>
              </w:rPr>
            </w:pPr>
            <w:r w:rsidRPr="00556372">
              <w:rPr>
                <w:sz w:val="26"/>
                <w:szCs w:val="26"/>
              </w:rPr>
              <w:t> Projekta izstrādē iesaistītās institūcijas</w:t>
            </w:r>
          </w:p>
        </w:tc>
        <w:tc>
          <w:tcPr>
            <w:tcW w:w="5576" w:type="dxa"/>
            <w:tcBorders>
              <w:top w:val="outset" w:sz="6" w:space="0" w:color="auto"/>
              <w:left w:val="outset" w:sz="6" w:space="0" w:color="auto"/>
              <w:bottom w:val="outset" w:sz="6" w:space="0" w:color="auto"/>
              <w:right w:val="outset" w:sz="6" w:space="0" w:color="auto"/>
            </w:tcBorders>
            <w:hideMark/>
          </w:tcPr>
          <w:p w:rsidR="00D577B9" w:rsidRPr="00556372" w:rsidRDefault="00B75A21" w:rsidP="00804874">
            <w:pPr>
              <w:spacing w:before="75" w:after="75"/>
              <w:rPr>
                <w:sz w:val="26"/>
                <w:szCs w:val="26"/>
              </w:rPr>
            </w:pPr>
            <w:r>
              <w:rPr>
                <w:sz w:val="26"/>
                <w:szCs w:val="26"/>
              </w:rPr>
              <w:t>Visas ministrijas un citas centrālās valsts iestādes</w:t>
            </w:r>
          </w:p>
        </w:tc>
      </w:tr>
      <w:tr w:rsidR="00D577B9" w:rsidRPr="00556372" w:rsidTr="006C1955">
        <w:trPr>
          <w:trHeight w:val="773"/>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D577B9" w:rsidRPr="00556372" w:rsidRDefault="00D577B9" w:rsidP="00804874">
            <w:pPr>
              <w:spacing w:before="75" w:after="75"/>
              <w:rPr>
                <w:sz w:val="26"/>
                <w:szCs w:val="26"/>
              </w:rPr>
            </w:pPr>
            <w:r w:rsidRPr="00556372">
              <w:rPr>
                <w:sz w:val="26"/>
                <w:szCs w:val="26"/>
              </w:rPr>
              <w:lastRenderedPageBreak/>
              <w:t> 6.</w:t>
            </w:r>
          </w:p>
        </w:tc>
        <w:tc>
          <w:tcPr>
            <w:tcW w:w="3138" w:type="dxa"/>
            <w:tcBorders>
              <w:top w:val="outset" w:sz="6" w:space="0" w:color="auto"/>
              <w:left w:val="outset" w:sz="6" w:space="0" w:color="auto"/>
              <w:bottom w:val="outset" w:sz="6" w:space="0" w:color="auto"/>
              <w:right w:val="outset" w:sz="6" w:space="0" w:color="auto"/>
            </w:tcBorders>
            <w:hideMark/>
          </w:tcPr>
          <w:p w:rsidR="00D577B9" w:rsidRPr="00556372" w:rsidRDefault="00D577B9" w:rsidP="00804874">
            <w:pPr>
              <w:spacing w:before="75" w:after="75"/>
              <w:rPr>
                <w:sz w:val="26"/>
                <w:szCs w:val="26"/>
              </w:rPr>
            </w:pPr>
            <w:r w:rsidRPr="00556372">
              <w:rPr>
                <w:sz w:val="26"/>
                <w:szCs w:val="26"/>
              </w:rPr>
              <w:t> Iemesli, kādēļ netika nodrošināta sabiedrības līdzdalība</w:t>
            </w:r>
          </w:p>
        </w:tc>
        <w:tc>
          <w:tcPr>
            <w:tcW w:w="5576" w:type="dxa"/>
            <w:tcBorders>
              <w:top w:val="outset" w:sz="6" w:space="0" w:color="auto"/>
              <w:left w:val="outset" w:sz="6" w:space="0" w:color="auto"/>
              <w:bottom w:val="outset" w:sz="6" w:space="0" w:color="auto"/>
              <w:right w:val="outset" w:sz="6" w:space="0" w:color="auto"/>
            </w:tcBorders>
            <w:hideMark/>
          </w:tcPr>
          <w:p w:rsidR="00D577B9" w:rsidRPr="00556372" w:rsidRDefault="00830766" w:rsidP="006F7291">
            <w:pPr>
              <w:spacing w:before="75" w:after="75"/>
              <w:jc w:val="both"/>
              <w:rPr>
                <w:sz w:val="26"/>
                <w:szCs w:val="26"/>
              </w:rPr>
            </w:pPr>
            <w:r w:rsidRPr="00556372">
              <w:rPr>
                <w:sz w:val="26"/>
                <w:szCs w:val="26"/>
              </w:rPr>
              <w:t>Ši</w:t>
            </w:r>
            <w:r w:rsidR="00682336" w:rsidRPr="00556372">
              <w:rPr>
                <w:sz w:val="26"/>
                <w:szCs w:val="26"/>
              </w:rPr>
              <w:t xml:space="preserve">s normatīvais akts ir paredzēts lietošanai valsts </w:t>
            </w:r>
            <w:r w:rsidR="00CF5B35" w:rsidRPr="00556372">
              <w:rPr>
                <w:sz w:val="26"/>
                <w:szCs w:val="26"/>
              </w:rPr>
              <w:t xml:space="preserve">budžeta iestādēm, no valsts budžeta daļēji </w:t>
            </w:r>
            <w:r w:rsidR="0064610D" w:rsidRPr="00556372">
              <w:rPr>
                <w:sz w:val="26"/>
                <w:szCs w:val="26"/>
              </w:rPr>
              <w:t xml:space="preserve">finansētām </w:t>
            </w:r>
            <w:r w:rsidR="00CF5B35" w:rsidRPr="00556372">
              <w:rPr>
                <w:sz w:val="26"/>
                <w:szCs w:val="26"/>
              </w:rPr>
              <w:t>atvasinātām publiskām personām</w:t>
            </w:r>
            <w:r w:rsidR="00227D2A">
              <w:rPr>
                <w:sz w:val="26"/>
                <w:szCs w:val="26"/>
              </w:rPr>
              <w:t xml:space="preserve"> </w:t>
            </w:r>
            <w:r w:rsidR="00CF5B35" w:rsidRPr="00556372">
              <w:rPr>
                <w:sz w:val="26"/>
                <w:szCs w:val="26"/>
              </w:rPr>
              <w:t xml:space="preserve"> u</w:t>
            </w:r>
            <w:r w:rsidR="00B75A21">
              <w:rPr>
                <w:sz w:val="26"/>
                <w:szCs w:val="26"/>
              </w:rPr>
              <w:t>n budžeta nefinansētām iestādēm, tādēļ sabiedrības līdzdalība nav nepieciešama.</w:t>
            </w:r>
            <w:r w:rsidR="00CF5B35" w:rsidRPr="00556372">
              <w:rPr>
                <w:sz w:val="26"/>
                <w:szCs w:val="26"/>
              </w:rPr>
              <w:t xml:space="preserve"> </w:t>
            </w:r>
          </w:p>
        </w:tc>
      </w:tr>
      <w:tr w:rsidR="00D577B9" w:rsidRPr="00556372" w:rsidTr="006C1955">
        <w:trPr>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D577B9" w:rsidRPr="00556372" w:rsidRDefault="00D577B9" w:rsidP="00804874">
            <w:pPr>
              <w:spacing w:before="75" w:after="75"/>
              <w:rPr>
                <w:sz w:val="26"/>
                <w:szCs w:val="26"/>
              </w:rPr>
            </w:pPr>
            <w:r w:rsidRPr="00556372">
              <w:rPr>
                <w:sz w:val="26"/>
                <w:szCs w:val="26"/>
              </w:rPr>
              <w:t> 7.</w:t>
            </w:r>
          </w:p>
        </w:tc>
        <w:tc>
          <w:tcPr>
            <w:tcW w:w="3138" w:type="dxa"/>
            <w:tcBorders>
              <w:top w:val="outset" w:sz="6" w:space="0" w:color="auto"/>
              <w:left w:val="outset" w:sz="6" w:space="0" w:color="auto"/>
              <w:bottom w:val="outset" w:sz="6" w:space="0" w:color="auto"/>
              <w:right w:val="outset" w:sz="6" w:space="0" w:color="auto"/>
            </w:tcBorders>
            <w:hideMark/>
          </w:tcPr>
          <w:p w:rsidR="00D577B9" w:rsidRPr="00556372" w:rsidRDefault="00D577B9" w:rsidP="00804874">
            <w:pPr>
              <w:spacing w:before="75" w:after="75"/>
              <w:rPr>
                <w:sz w:val="26"/>
                <w:szCs w:val="26"/>
              </w:rPr>
            </w:pPr>
            <w:r w:rsidRPr="00556372">
              <w:rPr>
                <w:sz w:val="26"/>
                <w:szCs w:val="26"/>
              </w:rPr>
              <w:t> Cita informācija</w:t>
            </w:r>
          </w:p>
        </w:tc>
        <w:tc>
          <w:tcPr>
            <w:tcW w:w="5576" w:type="dxa"/>
            <w:tcBorders>
              <w:top w:val="outset" w:sz="6" w:space="0" w:color="auto"/>
              <w:left w:val="outset" w:sz="6" w:space="0" w:color="auto"/>
              <w:bottom w:val="outset" w:sz="6" w:space="0" w:color="auto"/>
              <w:right w:val="outset" w:sz="6" w:space="0" w:color="auto"/>
            </w:tcBorders>
            <w:hideMark/>
          </w:tcPr>
          <w:p w:rsidR="00D577B9" w:rsidRPr="00556372" w:rsidRDefault="00D577B9" w:rsidP="00804874">
            <w:pPr>
              <w:spacing w:before="75" w:after="75"/>
              <w:rPr>
                <w:sz w:val="26"/>
                <w:szCs w:val="26"/>
              </w:rPr>
            </w:pPr>
            <w:r w:rsidRPr="00556372">
              <w:rPr>
                <w:sz w:val="26"/>
                <w:szCs w:val="26"/>
              </w:rPr>
              <w:t>Nav</w:t>
            </w:r>
          </w:p>
        </w:tc>
      </w:tr>
      <w:tr w:rsidR="00D577B9" w:rsidRPr="00556372" w:rsidTr="00804874">
        <w:trPr>
          <w:tblCellSpacing w:w="0" w:type="dxa"/>
        </w:trPr>
        <w:tc>
          <w:tcPr>
            <w:tcW w:w="9240" w:type="dxa"/>
            <w:gridSpan w:val="3"/>
            <w:tcBorders>
              <w:top w:val="outset" w:sz="6" w:space="0" w:color="auto"/>
              <w:left w:val="outset" w:sz="6" w:space="0" w:color="auto"/>
              <w:bottom w:val="outset" w:sz="6" w:space="0" w:color="auto"/>
              <w:right w:val="outset" w:sz="6" w:space="0" w:color="auto"/>
            </w:tcBorders>
            <w:hideMark/>
          </w:tcPr>
          <w:p w:rsidR="00D577B9" w:rsidRPr="00556372" w:rsidRDefault="00D577B9" w:rsidP="00804874">
            <w:pPr>
              <w:spacing w:before="150" w:after="150"/>
              <w:jc w:val="center"/>
              <w:rPr>
                <w:b/>
                <w:bCs/>
                <w:sz w:val="26"/>
                <w:szCs w:val="26"/>
              </w:rPr>
            </w:pPr>
            <w:r w:rsidRPr="00556372">
              <w:rPr>
                <w:b/>
                <w:bCs/>
                <w:sz w:val="26"/>
                <w:szCs w:val="26"/>
              </w:rPr>
              <w:t> IV. Tiesību akta projekta ietekme uz spēkā esošo tiesību normu sistēmu</w:t>
            </w:r>
          </w:p>
        </w:tc>
      </w:tr>
      <w:tr w:rsidR="00D93A40" w:rsidRPr="00556372" w:rsidTr="006C1955">
        <w:trPr>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D93A40" w:rsidRPr="00556372" w:rsidRDefault="00D93A40" w:rsidP="00D93A40">
            <w:pPr>
              <w:spacing w:before="75" w:after="75"/>
              <w:rPr>
                <w:sz w:val="26"/>
                <w:szCs w:val="26"/>
              </w:rPr>
            </w:pPr>
            <w:r w:rsidRPr="00556372">
              <w:rPr>
                <w:sz w:val="26"/>
                <w:szCs w:val="26"/>
              </w:rPr>
              <w:t> </w:t>
            </w:r>
            <w:r>
              <w:rPr>
                <w:sz w:val="26"/>
                <w:szCs w:val="26"/>
              </w:rPr>
              <w:t>1.</w:t>
            </w:r>
          </w:p>
        </w:tc>
        <w:tc>
          <w:tcPr>
            <w:tcW w:w="3138" w:type="dxa"/>
            <w:tcBorders>
              <w:top w:val="outset" w:sz="6" w:space="0" w:color="auto"/>
              <w:left w:val="outset" w:sz="6" w:space="0" w:color="auto"/>
              <w:bottom w:val="outset" w:sz="6" w:space="0" w:color="auto"/>
              <w:right w:val="outset" w:sz="6" w:space="0" w:color="auto"/>
            </w:tcBorders>
          </w:tcPr>
          <w:p w:rsidR="00D93A40" w:rsidRPr="00556372" w:rsidRDefault="00D93A40" w:rsidP="00804874">
            <w:pPr>
              <w:spacing w:before="75" w:after="75"/>
              <w:rPr>
                <w:sz w:val="26"/>
                <w:szCs w:val="26"/>
              </w:rPr>
            </w:pPr>
            <w:r w:rsidRPr="00556372">
              <w:rPr>
                <w:sz w:val="26"/>
                <w:szCs w:val="26"/>
              </w:rPr>
              <w:t>Nepieciešamie saistītie tiesību aktu projekti</w:t>
            </w:r>
          </w:p>
        </w:tc>
        <w:tc>
          <w:tcPr>
            <w:tcW w:w="5576" w:type="dxa"/>
            <w:tcBorders>
              <w:top w:val="outset" w:sz="6" w:space="0" w:color="auto"/>
              <w:left w:val="outset" w:sz="6" w:space="0" w:color="auto"/>
              <w:bottom w:val="outset" w:sz="6" w:space="0" w:color="auto"/>
              <w:right w:val="outset" w:sz="6" w:space="0" w:color="auto"/>
            </w:tcBorders>
            <w:hideMark/>
          </w:tcPr>
          <w:p w:rsidR="00D93A40" w:rsidRPr="00556372" w:rsidRDefault="00D93A40" w:rsidP="00B75A21">
            <w:pPr>
              <w:spacing w:before="75" w:after="75"/>
              <w:ind w:hanging="4"/>
              <w:jc w:val="both"/>
              <w:rPr>
                <w:sz w:val="26"/>
                <w:szCs w:val="26"/>
              </w:rPr>
            </w:pPr>
            <w:r>
              <w:rPr>
                <w:sz w:val="26"/>
                <w:szCs w:val="26"/>
              </w:rPr>
              <w:t>Līdz ar šī noteikumu projekta apstiprināšanu un līdz tā spēkā stāšanos brīdim būs nepieciešams kārtējos grozījumos LBFV iekļaut precizējošās normas attiecībā uz valsts ilgtermiņa saistību definējumu, kā arī citas tehniskā rakstura normas.</w:t>
            </w:r>
            <w:r w:rsidRPr="00A47299">
              <w:rPr>
                <w:sz w:val="26"/>
                <w:szCs w:val="26"/>
              </w:rPr>
              <w:t xml:space="preserve">  </w:t>
            </w:r>
          </w:p>
        </w:tc>
      </w:tr>
      <w:tr w:rsidR="00D93A40" w:rsidRPr="00556372" w:rsidTr="006C1955">
        <w:trPr>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D93A40" w:rsidRPr="00556372" w:rsidRDefault="00D93A40" w:rsidP="00D93A40">
            <w:pPr>
              <w:spacing w:before="75" w:after="75"/>
              <w:rPr>
                <w:sz w:val="26"/>
                <w:szCs w:val="26"/>
              </w:rPr>
            </w:pPr>
            <w:r w:rsidRPr="00556372">
              <w:rPr>
                <w:sz w:val="26"/>
                <w:szCs w:val="26"/>
              </w:rPr>
              <w:t> </w:t>
            </w:r>
            <w:r>
              <w:rPr>
                <w:sz w:val="26"/>
                <w:szCs w:val="26"/>
              </w:rPr>
              <w:t>2.</w:t>
            </w:r>
          </w:p>
        </w:tc>
        <w:tc>
          <w:tcPr>
            <w:tcW w:w="3138" w:type="dxa"/>
            <w:tcBorders>
              <w:top w:val="outset" w:sz="6" w:space="0" w:color="auto"/>
              <w:left w:val="outset" w:sz="6" w:space="0" w:color="auto"/>
              <w:bottom w:val="outset" w:sz="6" w:space="0" w:color="auto"/>
              <w:right w:val="outset" w:sz="6" w:space="0" w:color="auto"/>
            </w:tcBorders>
          </w:tcPr>
          <w:p w:rsidR="00D93A40" w:rsidRPr="00556372" w:rsidRDefault="00D93A40" w:rsidP="00804874">
            <w:pPr>
              <w:spacing w:before="75" w:after="75"/>
              <w:rPr>
                <w:sz w:val="26"/>
                <w:szCs w:val="26"/>
              </w:rPr>
            </w:pPr>
            <w:r w:rsidRPr="00556372">
              <w:rPr>
                <w:sz w:val="26"/>
                <w:szCs w:val="26"/>
              </w:rPr>
              <w:t>Cita informācija</w:t>
            </w:r>
          </w:p>
        </w:tc>
        <w:tc>
          <w:tcPr>
            <w:tcW w:w="5576" w:type="dxa"/>
            <w:tcBorders>
              <w:top w:val="outset" w:sz="6" w:space="0" w:color="auto"/>
              <w:left w:val="outset" w:sz="6" w:space="0" w:color="auto"/>
              <w:bottom w:val="outset" w:sz="6" w:space="0" w:color="auto"/>
              <w:right w:val="outset" w:sz="6" w:space="0" w:color="auto"/>
            </w:tcBorders>
            <w:hideMark/>
          </w:tcPr>
          <w:p w:rsidR="00D93A40" w:rsidRPr="00556372" w:rsidRDefault="00D93A40" w:rsidP="00B75A21">
            <w:pPr>
              <w:spacing w:before="75" w:after="75"/>
              <w:rPr>
                <w:sz w:val="26"/>
                <w:szCs w:val="26"/>
              </w:rPr>
            </w:pPr>
            <w:r w:rsidRPr="00556372">
              <w:rPr>
                <w:sz w:val="26"/>
                <w:szCs w:val="26"/>
              </w:rPr>
              <w:t>Nav</w:t>
            </w:r>
            <w:r>
              <w:rPr>
                <w:sz w:val="26"/>
                <w:szCs w:val="26"/>
              </w:rPr>
              <w:t xml:space="preserve"> </w:t>
            </w:r>
          </w:p>
        </w:tc>
      </w:tr>
      <w:tr w:rsidR="00D577B9" w:rsidRPr="00556372" w:rsidTr="00804874">
        <w:trPr>
          <w:tblCellSpacing w:w="0" w:type="dxa"/>
        </w:trPr>
        <w:tc>
          <w:tcPr>
            <w:tcW w:w="9240" w:type="dxa"/>
            <w:gridSpan w:val="3"/>
            <w:tcBorders>
              <w:top w:val="outset" w:sz="6" w:space="0" w:color="auto"/>
              <w:left w:val="outset" w:sz="6" w:space="0" w:color="auto"/>
              <w:bottom w:val="outset" w:sz="6" w:space="0" w:color="auto"/>
              <w:right w:val="outset" w:sz="6" w:space="0" w:color="auto"/>
            </w:tcBorders>
            <w:hideMark/>
          </w:tcPr>
          <w:p w:rsidR="00D577B9" w:rsidRPr="00556372" w:rsidRDefault="00D577B9" w:rsidP="00804874">
            <w:pPr>
              <w:spacing w:before="75" w:after="75"/>
              <w:jc w:val="center"/>
              <w:rPr>
                <w:sz w:val="26"/>
                <w:szCs w:val="26"/>
              </w:rPr>
            </w:pPr>
            <w:r w:rsidRPr="00556372">
              <w:rPr>
                <w:b/>
                <w:bCs/>
                <w:sz w:val="26"/>
                <w:szCs w:val="26"/>
              </w:rPr>
              <w:t> VII. Tiesību akta projekta izpildes nodrošināšana un tās ietekme uz institūcijām</w:t>
            </w:r>
          </w:p>
        </w:tc>
      </w:tr>
      <w:tr w:rsidR="00D93A40" w:rsidRPr="00556372" w:rsidTr="00D93A40">
        <w:trPr>
          <w:trHeight w:val="427"/>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D93A40" w:rsidRPr="00556372" w:rsidRDefault="00D93A40" w:rsidP="00804874">
            <w:pPr>
              <w:spacing w:before="75" w:after="75"/>
              <w:rPr>
                <w:sz w:val="26"/>
                <w:szCs w:val="26"/>
              </w:rPr>
            </w:pPr>
            <w:r>
              <w:rPr>
                <w:sz w:val="26"/>
                <w:szCs w:val="26"/>
              </w:rPr>
              <w:t>1.</w:t>
            </w:r>
          </w:p>
        </w:tc>
        <w:tc>
          <w:tcPr>
            <w:tcW w:w="3138" w:type="dxa"/>
            <w:tcBorders>
              <w:top w:val="outset" w:sz="6" w:space="0" w:color="auto"/>
              <w:left w:val="outset" w:sz="6" w:space="0" w:color="auto"/>
              <w:bottom w:val="outset" w:sz="6" w:space="0" w:color="auto"/>
              <w:right w:val="outset" w:sz="6" w:space="0" w:color="auto"/>
            </w:tcBorders>
          </w:tcPr>
          <w:p w:rsidR="00D93A40" w:rsidRPr="00556372" w:rsidRDefault="00D93A40" w:rsidP="00804874">
            <w:pPr>
              <w:spacing w:before="75" w:after="75"/>
              <w:rPr>
                <w:sz w:val="26"/>
                <w:szCs w:val="26"/>
              </w:rPr>
            </w:pPr>
            <w:r w:rsidRPr="00556372">
              <w:rPr>
                <w:sz w:val="26"/>
                <w:szCs w:val="26"/>
              </w:rPr>
              <w:t>Projekta izpildē iesaistītās institūcijas</w:t>
            </w:r>
          </w:p>
        </w:tc>
        <w:tc>
          <w:tcPr>
            <w:tcW w:w="5576" w:type="dxa"/>
            <w:tcBorders>
              <w:top w:val="outset" w:sz="6" w:space="0" w:color="auto"/>
              <w:left w:val="outset" w:sz="6" w:space="0" w:color="auto"/>
              <w:bottom w:val="outset" w:sz="6" w:space="0" w:color="auto"/>
              <w:right w:val="outset" w:sz="6" w:space="0" w:color="auto"/>
            </w:tcBorders>
            <w:hideMark/>
          </w:tcPr>
          <w:p w:rsidR="00D93A40" w:rsidRPr="00556372" w:rsidRDefault="00D93A40" w:rsidP="0020713E">
            <w:pPr>
              <w:spacing w:before="75" w:after="75"/>
              <w:jc w:val="both"/>
              <w:rPr>
                <w:sz w:val="26"/>
                <w:szCs w:val="26"/>
              </w:rPr>
            </w:pPr>
            <w:r w:rsidRPr="00556372">
              <w:rPr>
                <w:sz w:val="26"/>
                <w:szCs w:val="26"/>
              </w:rPr>
              <w:t>Valsts budžeta iestādes, no valsts budžeta daļēji finansētas atvasinātas publiskas personas</w:t>
            </w:r>
            <w:r>
              <w:rPr>
                <w:sz w:val="26"/>
                <w:szCs w:val="26"/>
              </w:rPr>
              <w:t xml:space="preserve"> </w:t>
            </w:r>
            <w:r w:rsidRPr="00556372">
              <w:rPr>
                <w:sz w:val="26"/>
                <w:szCs w:val="26"/>
              </w:rPr>
              <w:t>un budžeta nefinansētas iestādes.</w:t>
            </w:r>
          </w:p>
        </w:tc>
      </w:tr>
      <w:tr w:rsidR="00D93A40" w:rsidRPr="00556372" w:rsidTr="00D93A40">
        <w:trPr>
          <w:trHeight w:val="463"/>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D93A40" w:rsidRPr="00556372" w:rsidRDefault="00D93A40" w:rsidP="00804874">
            <w:pPr>
              <w:spacing w:before="75" w:after="75"/>
              <w:rPr>
                <w:sz w:val="26"/>
                <w:szCs w:val="26"/>
              </w:rPr>
            </w:pPr>
            <w:r>
              <w:rPr>
                <w:sz w:val="26"/>
                <w:szCs w:val="26"/>
              </w:rPr>
              <w:t>2.</w:t>
            </w:r>
          </w:p>
        </w:tc>
        <w:tc>
          <w:tcPr>
            <w:tcW w:w="3138" w:type="dxa"/>
            <w:tcBorders>
              <w:top w:val="outset" w:sz="6" w:space="0" w:color="auto"/>
              <w:left w:val="outset" w:sz="6" w:space="0" w:color="auto"/>
              <w:bottom w:val="outset" w:sz="6" w:space="0" w:color="auto"/>
              <w:right w:val="outset" w:sz="6" w:space="0" w:color="auto"/>
            </w:tcBorders>
          </w:tcPr>
          <w:p w:rsidR="00D93A40" w:rsidRPr="00556372" w:rsidRDefault="00D93A40" w:rsidP="00804874">
            <w:pPr>
              <w:spacing w:before="75" w:after="75"/>
              <w:rPr>
                <w:sz w:val="26"/>
                <w:szCs w:val="26"/>
              </w:rPr>
            </w:pPr>
            <w:r w:rsidRPr="00556372">
              <w:rPr>
                <w:sz w:val="26"/>
                <w:szCs w:val="26"/>
              </w:rPr>
              <w:t>Projekta izpildes ietekme uz pārvaldes funkcijām</w:t>
            </w:r>
          </w:p>
        </w:tc>
        <w:tc>
          <w:tcPr>
            <w:tcW w:w="5576" w:type="dxa"/>
            <w:tcBorders>
              <w:top w:val="outset" w:sz="6" w:space="0" w:color="auto"/>
              <w:left w:val="outset" w:sz="6" w:space="0" w:color="auto"/>
              <w:bottom w:val="outset" w:sz="6" w:space="0" w:color="auto"/>
              <w:right w:val="outset" w:sz="6" w:space="0" w:color="auto"/>
            </w:tcBorders>
            <w:hideMark/>
          </w:tcPr>
          <w:p w:rsidR="00D93A40" w:rsidRPr="00556372" w:rsidRDefault="00D93A40" w:rsidP="00BB0AC9">
            <w:pPr>
              <w:spacing w:before="75" w:after="75"/>
              <w:rPr>
                <w:sz w:val="26"/>
                <w:szCs w:val="26"/>
              </w:rPr>
            </w:pPr>
            <w:r w:rsidRPr="00556372">
              <w:rPr>
                <w:sz w:val="26"/>
                <w:szCs w:val="26"/>
              </w:rPr>
              <w:t> </w:t>
            </w:r>
            <w:r>
              <w:rPr>
                <w:sz w:val="26"/>
                <w:szCs w:val="26"/>
              </w:rPr>
              <w:t>Projekts šo jomu neskar</w:t>
            </w:r>
            <w:r w:rsidRPr="00556372">
              <w:rPr>
                <w:sz w:val="26"/>
                <w:szCs w:val="26"/>
              </w:rPr>
              <w:t xml:space="preserve"> </w:t>
            </w:r>
          </w:p>
        </w:tc>
      </w:tr>
      <w:tr w:rsidR="00D93A40" w:rsidRPr="00556372" w:rsidTr="00D93A40">
        <w:trPr>
          <w:trHeight w:val="725"/>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D93A40" w:rsidRPr="00556372" w:rsidRDefault="00D93A40" w:rsidP="00804874">
            <w:pPr>
              <w:spacing w:before="75" w:after="75"/>
              <w:rPr>
                <w:sz w:val="26"/>
                <w:szCs w:val="26"/>
              </w:rPr>
            </w:pPr>
            <w:r>
              <w:rPr>
                <w:sz w:val="26"/>
                <w:szCs w:val="26"/>
              </w:rPr>
              <w:t>3.</w:t>
            </w:r>
          </w:p>
        </w:tc>
        <w:tc>
          <w:tcPr>
            <w:tcW w:w="3138" w:type="dxa"/>
            <w:tcBorders>
              <w:top w:val="outset" w:sz="6" w:space="0" w:color="auto"/>
              <w:left w:val="outset" w:sz="6" w:space="0" w:color="auto"/>
              <w:bottom w:val="outset" w:sz="6" w:space="0" w:color="auto"/>
              <w:right w:val="outset" w:sz="6" w:space="0" w:color="auto"/>
            </w:tcBorders>
          </w:tcPr>
          <w:p w:rsidR="00D93A40" w:rsidRDefault="00D93A40" w:rsidP="00804874">
            <w:pPr>
              <w:spacing w:before="75" w:after="75"/>
              <w:rPr>
                <w:sz w:val="26"/>
                <w:szCs w:val="26"/>
              </w:rPr>
            </w:pPr>
            <w:r w:rsidRPr="00556372">
              <w:rPr>
                <w:sz w:val="26"/>
                <w:szCs w:val="26"/>
              </w:rPr>
              <w:t>Projekta izpildes ietekme uz pārvaldes institucionālo struktūru.</w:t>
            </w:r>
            <w:r>
              <w:rPr>
                <w:sz w:val="26"/>
                <w:szCs w:val="26"/>
              </w:rPr>
              <w:t xml:space="preserve"> </w:t>
            </w:r>
          </w:p>
          <w:p w:rsidR="00D93A40" w:rsidRPr="00556372" w:rsidRDefault="00D93A40" w:rsidP="00804874">
            <w:pPr>
              <w:spacing w:before="75" w:after="75"/>
              <w:rPr>
                <w:sz w:val="26"/>
                <w:szCs w:val="26"/>
              </w:rPr>
            </w:pPr>
            <w:r w:rsidRPr="00556372">
              <w:rPr>
                <w:sz w:val="26"/>
                <w:szCs w:val="26"/>
              </w:rPr>
              <w:t>Jaunu institūciju izveide</w:t>
            </w:r>
          </w:p>
        </w:tc>
        <w:tc>
          <w:tcPr>
            <w:tcW w:w="5576" w:type="dxa"/>
            <w:tcBorders>
              <w:top w:val="outset" w:sz="6" w:space="0" w:color="auto"/>
              <w:left w:val="outset" w:sz="6" w:space="0" w:color="auto"/>
              <w:bottom w:val="outset" w:sz="6" w:space="0" w:color="auto"/>
              <w:right w:val="outset" w:sz="6" w:space="0" w:color="auto"/>
            </w:tcBorders>
            <w:hideMark/>
          </w:tcPr>
          <w:p w:rsidR="00D93A40" w:rsidRPr="00556372" w:rsidRDefault="00D93A40" w:rsidP="00DA61DD">
            <w:pPr>
              <w:jc w:val="both"/>
              <w:rPr>
                <w:sz w:val="26"/>
                <w:szCs w:val="26"/>
              </w:rPr>
            </w:pPr>
            <w:r>
              <w:rPr>
                <w:sz w:val="26"/>
                <w:szCs w:val="26"/>
              </w:rPr>
              <w:t xml:space="preserve">Esošā pārvaldes institucionālā struktūra netiek mainīta. </w:t>
            </w:r>
            <w:r w:rsidRPr="00556372">
              <w:rPr>
                <w:sz w:val="26"/>
                <w:szCs w:val="26"/>
              </w:rPr>
              <w:t>Jaunas valsts institūcijas netiek radītas.</w:t>
            </w:r>
          </w:p>
          <w:p w:rsidR="00D93A40" w:rsidRPr="00556372" w:rsidRDefault="00D93A40" w:rsidP="00DA61DD">
            <w:pPr>
              <w:jc w:val="both"/>
              <w:rPr>
                <w:sz w:val="26"/>
                <w:szCs w:val="26"/>
              </w:rPr>
            </w:pPr>
          </w:p>
        </w:tc>
      </w:tr>
      <w:tr w:rsidR="00D93A40" w:rsidRPr="00556372" w:rsidTr="00D93A40">
        <w:trPr>
          <w:trHeight w:val="780"/>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D93A40" w:rsidRPr="00556372" w:rsidRDefault="00D93A40" w:rsidP="00804874">
            <w:pPr>
              <w:spacing w:before="75" w:after="75"/>
              <w:rPr>
                <w:sz w:val="26"/>
                <w:szCs w:val="26"/>
              </w:rPr>
            </w:pPr>
            <w:r>
              <w:rPr>
                <w:sz w:val="26"/>
                <w:szCs w:val="26"/>
              </w:rPr>
              <w:t>4.</w:t>
            </w:r>
          </w:p>
        </w:tc>
        <w:tc>
          <w:tcPr>
            <w:tcW w:w="3138" w:type="dxa"/>
            <w:tcBorders>
              <w:top w:val="outset" w:sz="6" w:space="0" w:color="auto"/>
              <w:left w:val="outset" w:sz="6" w:space="0" w:color="auto"/>
              <w:bottom w:val="outset" w:sz="6" w:space="0" w:color="auto"/>
              <w:right w:val="outset" w:sz="6" w:space="0" w:color="auto"/>
            </w:tcBorders>
          </w:tcPr>
          <w:p w:rsidR="00D93A40" w:rsidRPr="00556372" w:rsidRDefault="00D93A40" w:rsidP="00804874">
            <w:pPr>
              <w:spacing w:before="75" w:after="75"/>
              <w:rPr>
                <w:sz w:val="26"/>
                <w:szCs w:val="26"/>
              </w:rPr>
            </w:pPr>
            <w:r w:rsidRPr="00556372">
              <w:rPr>
                <w:sz w:val="26"/>
                <w:szCs w:val="26"/>
              </w:rPr>
              <w:t>Projekta izpildes ietekme uz pārvaldes institucionālo struktūru.</w:t>
            </w:r>
            <w:r>
              <w:rPr>
                <w:sz w:val="26"/>
                <w:szCs w:val="26"/>
              </w:rPr>
              <w:t xml:space="preserve"> </w:t>
            </w:r>
            <w:r w:rsidRPr="00556372">
              <w:rPr>
                <w:sz w:val="26"/>
                <w:szCs w:val="26"/>
              </w:rPr>
              <w:t>Esošu institūciju likvidācija</w:t>
            </w:r>
          </w:p>
        </w:tc>
        <w:tc>
          <w:tcPr>
            <w:tcW w:w="5576" w:type="dxa"/>
            <w:tcBorders>
              <w:top w:val="outset" w:sz="6" w:space="0" w:color="auto"/>
              <w:left w:val="outset" w:sz="6" w:space="0" w:color="auto"/>
              <w:bottom w:val="outset" w:sz="6" w:space="0" w:color="auto"/>
              <w:right w:val="outset" w:sz="6" w:space="0" w:color="auto"/>
            </w:tcBorders>
            <w:hideMark/>
          </w:tcPr>
          <w:p w:rsidR="00D93A40" w:rsidRPr="00556372" w:rsidRDefault="00D93A40" w:rsidP="00804874">
            <w:pPr>
              <w:spacing w:before="75" w:after="75"/>
              <w:rPr>
                <w:sz w:val="26"/>
                <w:szCs w:val="26"/>
                <w:highlight w:val="green"/>
              </w:rPr>
            </w:pPr>
            <w:r w:rsidRPr="00556372">
              <w:rPr>
                <w:sz w:val="26"/>
                <w:szCs w:val="26"/>
              </w:rPr>
              <w:t> </w:t>
            </w:r>
            <w:r>
              <w:rPr>
                <w:sz w:val="26"/>
                <w:szCs w:val="26"/>
              </w:rPr>
              <w:t>Projekts šo jomu neskar</w:t>
            </w:r>
          </w:p>
        </w:tc>
      </w:tr>
      <w:tr w:rsidR="00D93A40" w:rsidRPr="00556372" w:rsidTr="00D93A40">
        <w:trPr>
          <w:trHeight w:val="703"/>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D93A40" w:rsidRPr="00556372" w:rsidRDefault="00D93A40" w:rsidP="00804874">
            <w:pPr>
              <w:spacing w:before="75" w:after="75"/>
              <w:rPr>
                <w:sz w:val="26"/>
                <w:szCs w:val="26"/>
              </w:rPr>
            </w:pPr>
            <w:r>
              <w:rPr>
                <w:sz w:val="26"/>
                <w:szCs w:val="26"/>
              </w:rPr>
              <w:t>5.</w:t>
            </w:r>
          </w:p>
        </w:tc>
        <w:tc>
          <w:tcPr>
            <w:tcW w:w="3138" w:type="dxa"/>
            <w:tcBorders>
              <w:top w:val="outset" w:sz="6" w:space="0" w:color="auto"/>
              <w:left w:val="outset" w:sz="6" w:space="0" w:color="auto"/>
              <w:bottom w:val="outset" w:sz="6" w:space="0" w:color="auto"/>
              <w:right w:val="outset" w:sz="6" w:space="0" w:color="auto"/>
            </w:tcBorders>
          </w:tcPr>
          <w:p w:rsidR="00D93A40" w:rsidRPr="00556372" w:rsidRDefault="00D93A40" w:rsidP="00804874">
            <w:pPr>
              <w:spacing w:before="75" w:after="75"/>
              <w:rPr>
                <w:sz w:val="26"/>
                <w:szCs w:val="26"/>
              </w:rPr>
            </w:pPr>
            <w:r w:rsidRPr="00556372">
              <w:rPr>
                <w:sz w:val="26"/>
                <w:szCs w:val="26"/>
              </w:rPr>
              <w:t>Projekta izpildes ietekme uz pārvaldes institucionālo struktūru.</w:t>
            </w:r>
            <w:r>
              <w:rPr>
                <w:sz w:val="26"/>
                <w:szCs w:val="26"/>
              </w:rPr>
              <w:t xml:space="preserve"> </w:t>
            </w:r>
            <w:r w:rsidRPr="00556372">
              <w:rPr>
                <w:sz w:val="26"/>
                <w:szCs w:val="26"/>
              </w:rPr>
              <w:t>Esošu institūciju reorganizācija</w:t>
            </w:r>
          </w:p>
        </w:tc>
        <w:tc>
          <w:tcPr>
            <w:tcW w:w="5576" w:type="dxa"/>
            <w:tcBorders>
              <w:top w:val="outset" w:sz="6" w:space="0" w:color="auto"/>
              <w:left w:val="outset" w:sz="6" w:space="0" w:color="auto"/>
              <w:bottom w:val="outset" w:sz="6" w:space="0" w:color="auto"/>
              <w:right w:val="outset" w:sz="6" w:space="0" w:color="auto"/>
            </w:tcBorders>
            <w:hideMark/>
          </w:tcPr>
          <w:p w:rsidR="00D93A40" w:rsidRPr="00556372" w:rsidRDefault="00D93A40" w:rsidP="00804874">
            <w:pPr>
              <w:spacing w:before="75" w:after="75"/>
              <w:rPr>
                <w:sz w:val="26"/>
                <w:szCs w:val="26"/>
              </w:rPr>
            </w:pPr>
            <w:r w:rsidRPr="00556372">
              <w:rPr>
                <w:sz w:val="26"/>
                <w:szCs w:val="26"/>
              </w:rPr>
              <w:t> </w:t>
            </w:r>
            <w:r>
              <w:rPr>
                <w:sz w:val="26"/>
                <w:szCs w:val="26"/>
              </w:rPr>
              <w:t>Projekts šo jomu neskar</w:t>
            </w:r>
          </w:p>
        </w:tc>
      </w:tr>
      <w:tr w:rsidR="00D93A40" w:rsidRPr="00556372" w:rsidTr="00D93A40">
        <w:trPr>
          <w:trHeight w:val="476"/>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D93A40" w:rsidRPr="00556372" w:rsidRDefault="00D93A40" w:rsidP="00D93A40">
            <w:pPr>
              <w:spacing w:before="75" w:after="75"/>
              <w:rPr>
                <w:sz w:val="26"/>
                <w:szCs w:val="26"/>
              </w:rPr>
            </w:pPr>
            <w:r w:rsidRPr="00556372">
              <w:rPr>
                <w:sz w:val="26"/>
                <w:szCs w:val="26"/>
              </w:rPr>
              <w:t> </w:t>
            </w:r>
            <w:r>
              <w:rPr>
                <w:sz w:val="26"/>
                <w:szCs w:val="26"/>
              </w:rPr>
              <w:t>6.</w:t>
            </w:r>
          </w:p>
        </w:tc>
        <w:tc>
          <w:tcPr>
            <w:tcW w:w="3138" w:type="dxa"/>
            <w:tcBorders>
              <w:top w:val="outset" w:sz="6" w:space="0" w:color="auto"/>
              <w:left w:val="outset" w:sz="6" w:space="0" w:color="auto"/>
              <w:bottom w:val="outset" w:sz="6" w:space="0" w:color="auto"/>
              <w:right w:val="outset" w:sz="6" w:space="0" w:color="auto"/>
            </w:tcBorders>
          </w:tcPr>
          <w:p w:rsidR="00D93A40" w:rsidRPr="00556372" w:rsidRDefault="00D93A40" w:rsidP="00804874">
            <w:pPr>
              <w:spacing w:before="75" w:after="75"/>
              <w:rPr>
                <w:sz w:val="26"/>
                <w:szCs w:val="26"/>
              </w:rPr>
            </w:pPr>
            <w:r w:rsidRPr="00556372">
              <w:rPr>
                <w:sz w:val="26"/>
                <w:szCs w:val="26"/>
              </w:rPr>
              <w:t>Cita informācija</w:t>
            </w:r>
          </w:p>
        </w:tc>
        <w:tc>
          <w:tcPr>
            <w:tcW w:w="5576" w:type="dxa"/>
            <w:tcBorders>
              <w:top w:val="outset" w:sz="6" w:space="0" w:color="auto"/>
              <w:left w:val="outset" w:sz="6" w:space="0" w:color="auto"/>
              <w:bottom w:val="outset" w:sz="6" w:space="0" w:color="auto"/>
              <w:right w:val="outset" w:sz="6" w:space="0" w:color="auto"/>
            </w:tcBorders>
            <w:hideMark/>
          </w:tcPr>
          <w:p w:rsidR="00D93A40" w:rsidRDefault="00D93A40" w:rsidP="00E12B4D">
            <w:pPr>
              <w:spacing w:before="75" w:after="75"/>
              <w:jc w:val="both"/>
              <w:rPr>
                <w:sz w:val="26"/>
                <w:szCs w:val="26"/>
              </w:rPr>
            </w:pPr>
            <w:r w:rsidRPr="00556372">
              <w:rPr>
                <w:sz w:val="26"/>
                <w:szCs w:val="26"/>
              </w:rPr>
              <w:t xml:space="preserve"> Šī normatīvā akta ieviešanas nodrošināšanai tiks izmantoti līdzekļi ERAF finansētā projekta „Vienotas valsts iestāžu finanšu un vadības grāmatvedības sistēmas izveide un tās sasaiste ar vienoto valsts cilvēkresursu vadības sistēmu” ietvaros. </w:t>
            </w:r>
            <w:r>
              <w:rPr>
                <w:sz w:val="26"/>
                <w:szCs w:val="26"/>
              </w:rPr>
              <w:t>Sistēmas uzturēšana tiks nodrošināta kārtējo gadu budžetos paredzēto līdzekļu ietvaros.</w:t>
            </w:r>
          </w:p>
          <w:p w:rsidR="00D93A40" w:rsidRPr="00556372" w:rsidRDefault="00D93A40" w:rsidP="004D2706">
            <w:pPr>
              <w:spacing w:before="75" w:after="75"/>
              <w:jc w:val="both"/>
              <w:rPr>
                <w:sz w:val="26"/>
                <w:szCs w:val="26"/>
              </w:rPr>
            </w:pPr>
            <w:r w:rsidRPr="004D2706">
              <w:rPr>
                <w:sz w:val="26"/>
                <w:szCs w:val="26"/>
              </w:rPr>
              <w:lastRenderedPageBreak/>
              <w:t>Tiek paredzēts, ka saistības valsts iestādes reģistrēs savās lokālajās grāmatvedības sistēmās atbilstoši konkrētās iestādes grāmatvedības programmatūras funkcionalitātes iespējām (p</w:t>
            </w:r>
            <w:r w:rsidR="00A51F76">
              <w:rPr>
                <w:sz w:val="26"/>
                <w:szCs w:val="26"/>
              </w:rPr>
              <w:t>iem.,</w:t>
            </w:r>
            <w:bookmarkStart w:id="2" w:name="_GoBack"/>
            <w:bookmarkEnd w:id="2"/>
            <w:r w:rsidRPr="004D2706">
              <w:rPr>
                <w:sz w:val="26"/>
                <w:szCs w:val="26"/>
              </w:rPr>
              <w:t xml:space="preserve"> līguma kartiņas funkcionalitāte, kas parasti nodrošina līguma reģistrēšanu norādot partneri, termiņu un kopējo līguma summu, pret kuru atkarībā no sistēmas iespējam</w:t>
            </w:r>
            <w:r>
              <w:rPr>
                <w:sz w:val="26"/>
                <w:szCs w:val="26"/>
              </w:rPr>
              <w:t xml:space="preserve"> tiek veikta</w:t>
            </w:r>
            <w:r w:rsidRPr="004D2706">
              <w:rPr>
                <w:sz w:val="26"/>
                <w:szCs w:val="26"/>
              </w:rPr>
              <w:t xml:space="preserve"> kontrole (veicot attiecīgu grāmatojumu tiek veikta pārbaude vai netiek pārsniegta līguma kopējā summa)). Saistību reģistrācijas sistēma tiks izstrādāta pilnveidojot esošo Valsts kases informācijas sistēmu VBPBP, gan izmantojot manuālu datu ievadi, gan datu importu X</w:t>
            </w:r>
            <w:r>
              <w:rPr>
                <w:sz w:val="26"/>
                <w:szCs w:val="26"/>
              </w:rPr>
              <w:t>LM</w:t>
            </w:r>
            <w:r w:rsidRPr="004D2706">
              <w:rPr>
                <w:sz w:val="26"/>
                <w:szCs w:val="26"/>
              </w:rPr>
              <w:t xml:space="preserve"> formātā. Saistību reģistrācijas sistēma nodrošinās reģistrēto saistību konsolidācijas funkcionalitāti, lai šīs sistēmas centrālie</w:t>
            </w:r>
            <w:r>
              <w:rPr>
                <w:sz w:val="26"/>
                <w:szCs w:val="26"/>
              </w:rPr>
              <w:t>m</w:t>
            </w:r>
            <w:r w:rsidRPr="004D2706">
              <w:rPr>
                <w:sz w:val="26"/>
                <w:szCs w:val="26"/>
              </w:rPr>
              <w:t xml:space="preserve"> lietotāji</w:t>
            </w:r>
            <w:r>
              <w:rPr>
                <w:sz w:val="26"/>
                <w:szCs w:val="26"/>
              </w:rPr>
              <w:t>em</w:t>
            </w:r>
            <w:r w:rsidRPr="004D2706">
              <w:rPr>
                <w:sz w:val="26"/>
                <w:szCs w:val="26"/>
              </w:rPr>
              <w:t>, kam pieejami dati par konkrēto nozari vai par visu valsts iestāžu saistībām</w:t>
            </w:r>
            <w:r>
              <w:rPr>
                <w:sz w:val="26"/>
                <w:szCs w:val="26"/>
              </w:rPr>
              <w:t>,</w:t>
            </w:r>
            <w:r w:rsidRPr="004D2706">
              <w:rPr>
                <w:sz w:val="26"/>
                <w:szCs w:val="26"/>
              </w:rPr>
              <w:t xml:space="preserve"> būtu pieejam</w:t>
            </w:r>
            <w:r>
              <w:rPr>
                <w:sz w:val="26"/>
                <w:szCs w:val="26"/>
              </w:rPr>
              <w:t>a</w:t>
            </w:r>
            <w:r w:rsidRPr="004D2706">
              <w:rPr>
                <w:sz w:val="26"/>
                <w:szCs w:val="26"/>
              </w:rPr>
              <w:t xml:space="preserve"> informācija par uzņemto saistību kopējo apjomu, bet nepieciešamības gadījumā būtu iespēja veikt sīkāku analīzi, t.i, iegūt detalizētu informāciju par konkrētajām saistībām (tai skaitā kontrolējot, ka piešķirtais budžets ir pietiekams atbilstošā perioda saistību segšanai, kā arī neadekvāti nepārsniedz iestādes uzņemtās saistības).  </w:t>
            </w:r>
          </w:p>
        </w:tc>
      </w:tr>
    </w:tbl>
    <w:p w:rsidR="001E4612" w:rsidRDefault="00D577B9" w:rsidP="00D577B9">
      <w:pPr>
        <w:pStyle w:val="Header"/>
        <w:tabs>
          <w:tab w:val="clear" w:pos="4153"/>
          <w:tab w:val="clear" w:pos="8306"/>
          <w:tab w:val="center" w:pos="0"/>
          <w:tab w:val="right" w:pos="142"/>
        </w:tabs>
        <w:ind w:right="-496"/>
        <w:rPr>
          <w:sz w:val="26"/>
          <w:szCs w:val="26"/>
        </w:rPr>
      </w:pPr>
      <w:r w:rsidRPr="00556372">
        <w:rPr>
          <w:sz w:val="26"/>
          <w:szCs w:val="26"/>
        </w:rPr>
        <w:lastRenderedPageBreak/>
        <w:tab/>
      </w:r>
      <w:r w:rsidRPr="00556372">
        <w:rPr>
          <w:sz w:val="26"/>
          <w:szCs w:val="26"/>
        </w:rPr>
        <w:tab/>
      </w:r>
    </w:p>
    <w:p w:rsidR="00D577B9" w:rsidRDefault="00D577B9" w:rsidP="00D577B9">
      <w:pPr>
        <w:pStyle w:val="Header"/>
        <w:tabs>
          <w:tab w:val="clear" w:pos="4153"/>
          <w:tab w:val="clear" w:pos="8306"/>
          <w:tab w:val="center" w:pos="0"/>
          <w:tab w:val="right" w:pos="142"/>
        </w:tabs>
        <w:ind w:right="-496"/>
        <w:rPr>
          <w:sz w:val="26"/>
          <w:szCs w:val="26"/>
        </w:rPr>
      </w:pPr>
      <w:r w:rsidRPr="00556372">
        <w:rPr>
          <w:sz w:val="26"/>
          <w:szCs w:val="26"/>
        </w:rPr>
        <w:t xml:space="preserve">Anotācijas II, III, V un VI sadaļa – </w:t>
      </w:r>
      <w:r w:rsidR="00A43F09">
        <w:rPr>
          <w:sz w:val="26"/>
          <w:szCs w:val="26"/>
        </w:rPr>
        <w:t>Projekts šo jomu neskar</w:t>
      </w:r>
    </w:p>
    <w:p w:rsidR="001E4612" w:rsidRDefault="001E4612" w:rsidP="00D577B9">
      <w:pPr>
        <w:pStyle w:val="Header"/>
        <w:tabs>
          <w:tab w:val="clear" w:pos="4153"/>
          <w:tab w:val="clear" w:pos="8306"/>
          <w:tab w:val="center" w:pos="0"/>
          <w:tab w:val="right" w:pos="142"/>
        </w:tabs>
        <w:ind w:right="-496"/>
        <w:rPr>
          <w:sz w:val="26"/>
          <w:szCs w:val="26"/>
        </w:rPr>
      </w:pPr>
    </w:p>
    <w:p w:rsidR="00556372" w:rsidRDefault="00556372" w:rsidP="00D577B9">
      <w:pPr>
        <w:pStyle w:val="Header"/>
        <w:tabs>
          <w:tab w:val="clear" w:pos="4153"/>
          <w:tab w:val="clear" w:pos="8306"/>
          <w:tab w:val="center" w:pos="0"/>
          <w:tab w:val="right" w:pos="142"/>
        </w:tabs>
        <w:ind w:right="-153"/>
        <w:rPr>
          <w:sz w:val="26"/>
          <w:szCs w:val="26"/>
        </w:rPr>
      </w:pPr>
    </w:p>
    <w:p w:rsidR="00D93A40" w:rsidRDefault="00D93A40" w:rsidP="00D577B9">
      <w:pPr>
        <w:pStyle w:val="Header"/>
        <w:tabs>
          <w:tab w:val="clear" w:pos="4153"/>
          <w:tab w:val="clear" w:pos="8306"/>
          <w:tab w:val="center" w:pos="0"/>
          <w:tab w:val="right" w:pos="142"/>
        </w:tabs>
        <w:ind w:right="-153"/>
        <w:rPr>
          <w:sz w:val="26"/>
          <w:szCs w:val="26"/>
        </w:rPr>
      </w:pPr>
    </w:p>
    <w:p w:rsidR="00D93A40" w:rsidRDefault="00D93A40" w:rsidP="00D577B9">
      <w:pPr>
        <w:pStyle w:val="Header"/>
        <w:tabs>
          <w:tab w:val="clear" w:pos="4153"/>
          <w:tab w:val="clear" w:pos="8306"/>
          <w:tab w:val="center" w:pos="0"/>
          <w:tab w:val="right" w:pos="142"/>
        </w:tabs>
        <w:ind w:right="-153"/>
        <w:rPr>
          <w:sz w:val="26"/>
          <w:szCs w:val="26"/>
        </w:rPr>
      </w:pPr>
    </w:p>
    <w:p w:rsidR="00D93A40" w:rsidRPr="00556372" w:rsidRDefault="00D93A40" w:rsidP="00D577B9">
      <w:pPr>
        <w:pStyle w:val="Header"/>
        <w:tabs>
          <w:tab w:val="clear" w:pos="4153"/>
          <w:tab w:val="clear" w:pos="8306"/>
          <w:tab w:val="center" w:pos="0"/>
          <w:tab w:val="right" w:pos="142"/>
        </w:tabs>
        <w:ind w:right="-153"/>
        <w:rPr>
          <w:sz w:val="26"/>
          <w:szCs w:val="26"/>
        </w:rPr>
      </w:pPr>
    </w:p>
    <w:p w:rsidR="00D577B9" w:rsidRDefault="00D577B9" w:rsidP="00D577B9">
      <w:pPr>
        <w:pStyle w:val="Header"/>
        <w:tabs>
          <w:tab w:val="clear" w:pos="4153"/>
          <w:tab w:val="clear" w:pos="8306"/>
          <w:tab w:val="center" w:pos="0"/>
          <w:tab w:val="right" w:pos="142"/>
        </w:tabs>
        <w:ind w:right="-153"/>
        <w:rPr>
          <w:sz w:val="26"/>
          <w:szCs w:val="26"/>
        </w:rPr>
      </w:pPr>
      <w:r w:rsidRPr="00556372">
        <w:rPr>
          <w:sz w:val="26"/>
          <w:szCs w:val="26"/>
        </w:rPr>
        <w:t xml:space="preserve">Finanšu ministrs                                                                   </w:t>
      </w:r>
      <w:r w:rsidR="00556372">
        <w:rPr>
          <w:sz w:val="26"/>
          <w:szCs w:val="26"/>
        </w:rPr>
        <w:tab/>
      </w:r>
      <w:r w:rsidR="007347CE" w:rsidRPr="00556372">
        <w:rPr>
          <w:sz w:val="26"/>
          <w:szCs w:val="26"/>
        </w:rPr>
        <w:tab/>
      </w:r>
      <w:r w:rsidRPr="00556372">
        <w:rPr>
          <w:sz w:val="26"/>
          <w:szCs w:val="26"/>
        </w:rPr>
        <w:t xml:space="preserve"> </w:t>
      </w:r>
      <w:r w:rsidR="00522D83">
        <w:rPr>
          <w:sz w:val="26"/>
          <w:szCs w:val="26"/>
        </w:rPr>
        <w:tab/>
      </w:r>
      <w:r w:rsidR="00DA61DD" w:rsidRPr="00556372">
        <w:rPr>
          <w:sz w:val="26"/>
          <w:szCs w:val="26"/>
        </w:rPr>
        <w:t>A.Vilks</w:t>
      </w:r>
    </w:p>
    <w:p w:rsidR="00556372" w:rsidRDefault="00556372" w:rsidP="00D577B9">
      <w:pPr>
        <w:pStyle w:val="Header"/>
        <w:tabs>
          <w:tab w:val="clear" w:pos="4153"/>
          <w:tab w:val="clear" w:pos="8306"/>
          <w:tab w:val="center" w:pos="0"/>
          <w:tab w:val="right" w:pos="142"/>
        </w:tabs>
        <w:ind w:right="-153"/>
        <w:rPr>
          <w:sz w:val="26"/>
          <w:szCs w:val="26"/>
        </w:rPr>
      </w:pPr>
    </w:p>
    <w:p w:rsidR="004D2706" w:rsidRDefault="004D2706" w:rsidP="00F36B47">
      <w:pPr>
        <w:pStyle w:val="Header"/>
        <w:tabs>
          <w:tab w:val="clear" w:pos="4153"/>
          <w:tab w:val="clear" w:pos="8306"/>
          <w:tab w:val="center" w:pos="0"/>
          <w:tab w:val="left" w:pos="1574"/>
        </w:tabs>
        <w:ind w:right="-153"/>
        <w:rPr>
          <w:sz w:val="26"/>
          <w:szCs w:val="26"/>
        </w:rPr>
      </w:pPr>
    </w:p>
    <w:p w:rsidR="00D93A40" w:rsidRDefault="00D93A40" w:rsidP="00F36B47">
      <w:pPr>
        <w:pStyle w:val="Header"/>
        <w:tabs>
          <w:tab w:val="clear" w:pos="4153"/>
          <w:tab w:val="clear" w:pos="8306"/>
          <w:tab w:val="center" w:pos="0"/>
          <w:tab w:val="left" w:pos="1574"/>
        </w:tabs>
        <w:ind w:right="-153"/>
        <w:rPr>
          <w:sz w:val="26"/>
          <w:szCs w:val="26"/>
        </w:rPr>
      </w:pPr>
    </w:p>
    <w:p w:rsidR="00D93A40" w:rsidRDefault="00D93A40" w:rsidP="00F36B47">
      <w:pPr>
        <w:pStyle w:val="Header"/>
        <w:tabs>
          <w:tab w:val="clear" w:pos="4153"/>
          <w:tab w:val="clear" w:pos="8306"/>
          <w:tab w:val="center" w:pos="0"/>
          <w:tab w:val="left" w:pos="1574"/>
        </w:tabs>
        <w:ind w:right="-153"/>
        <w:rPr>
          <w:sz w:val="26"/>
          <w:szCs w:val="26"/>
        </w:rPr>
      </w:pPr>
    </w:p>
    <w:p w:rsidR="00D93A40" w:rsidRDefault="00D93A40" w:rsidP="00F36B47">
      <w:pPr>
        <w:pStyle w:val="Header"/>
        <w:tabs>
          <w:tab w:val="clear" w:pos="4153"/>
          <w:tab w:val="clear" w:pos="8306"/>
          <w:tab w:val="center" w:pos="0"/>
          <w:tab w:val="left" w:pos="1574"/>
        </w:tabs>
        <w:ind w:right="-153"/>
        <w:rPr>
          <w:sz w:val="26"/>
          <w:szCs w:val="26"/>
        </w:rPr>
      </w:pPr>
    </w:p>
    <w:p w:rsidR="00AE4D67" w:rsidRDefault="00F36B47" w:rsidP="00F36B47">
      <w:pPr>
        <w:pStyle w:val="Header"/>
        <w:tabs>
          <w:tab w:val="clear" w:pos="4153"/>
          <w:tab w:val="clear" w:pos="8306"/>
          <w:tab w:val="center" w:pos="0"/>
          <w:tab w:val="left" w:pos="1574"/>
        </w:tabs>
        <w:ind w:right="-153"/>
        <w:rPr>
          <w:sz w:val="26"/>
          <w:szCs w:val="26"/>
        </w:rPr>
      </w:pPr>
      <w:r>
        <w:rPr>
          <w:sz w:val="26"/>
          <w:szCs w:val="26"/>
        </w:rPr>
        <w:tab/>
      </w:r>
    </w:p>
    <w:p w:rsidR="00AE4D67" w:rsidRPr="00556372" w:rsidRDefault="00AE4D67" w:rsidP="00D577B9">
      <w:pPr>
        <w:pStyle w:val="Header"/>
        <w:tabs>
          <w:tab w:val="clear" w:pos="4153"/>
          <w:tab w:val="clear" w:pos="8306"/>
          <w:tab w:val="center" w:pos="0"/>
          <w:tab w:val="right" w:pos="142"/>
        </w:tabs>
        <w:ind w:right="-153"/>
        <w:rPr>
          <w:sz w:val="26"/>
          <w:szCs w:val="26"/>
        </w:rPr>
      </w:pPr>
    </w:p>
    <w:p w:rsidR="00D577B9" w:rsidRPr="00556372" w:rsidRDefault="00D577B9" w:rsidP="00D577B9">
      <w:pPr>
        <w:pStyle w:val="Header"/>
        <w:tabs>
          <w:tab w:val="clear" w:pos="4153"/>
          <w:tab w:val="clear" w:pos="8306"/>
          <w:tab w:val="center" w:pos="0"/>
          <w:tab w:val="right" w:pos="142"/>
        </w:tabs>
        <w:ind w:right="-153"/>
        <w:rPr>
          <w:sz w:val="26"/>
          <w:szCs w:val="26"/>
        </w:rPr>
      </w:pPr>
      <w:r w:rsidRPr="00556372">
        <w:rPr>
          <w:sz w:val="26"/>
          <w:szCs w:val="26"/>
        </w:rPr>
        <w:t xml:space="preserve"> </w:t>
      </w:r>
      <w:r w:rsidRPr="00556372">
        <w:rPr>
          <w:sz w:val="26"/>
          <w:szCs w:val="26"/>
        </w:rPr>
        <w:tab/>
      </w:r>
      <w:r w:rsidRPr="00556372">
        <w:rPr>
          <w:sz w:val="26"/>
          <w:szCs w:val="26"/>
        </w:rPr>
        <w:tab/>
      </w:r>
      <w:r w:rsidRPr="00556372">
        <w:rPr>
          <w:sz w:val="26"/>
          <w:szCs w:val="26"/>
        </w:rPr>
        <w:tab/>
      </w:r>
      <w:r w:rsidRPr="00556372">
        <w:rPr>
          <w:sz w:val="26"/>
          <w:szCs w:val="26"/>
        </w:rPr>
        <w:tab/>
      </w:r>
      <w:r w:rsidRPr="00556372">
        <w:rPr>
          <w:sz w:val="26"/>
          <w:szCs w:val="26"/>
        </w:rPr>
        <w:tab/>
      </w:r>
      <w:r w:rsidRPr="00556372">
        <w:rPr>
          <w:sz w:val="26"/>
          <w:szCs w:val="26"/>
        </w:rPr>
        <w:tab/>
      </w:r>
      <w:r w:rsidRPr="00556372">
        <w:rPr>
          <w:sz w:val="26"/>
          <w:szCs w:val="26"/>
        </w:rPr>
        <w:tab/>
      </w:r>
    </w:p>
    <w:p w:rsidR="00D577B9" w:rsidRPr="00BC7A01" w:rsidRDefault="00F36B47" w:rsidP="00D577B9">
      <w:pPr>
        <w:ind w:right="40"/>
        <w:jc w:val="both"/>
        <w:rPr>
          <w:sz w:val="20"/>
          <w:szCs w:val="20"/>
        </w:rPr>
      </w:pPr>
      <w:r>
        <w:rPr>
          <w:sz w:val="20"/>
          <w:szCs w:val="20"/>
        </w:rPr>
        <w:t>1</w:t>
      </w:r>
      <w:r w:rsidR="009F4286">
        <w:rPr>
          <w:sz w:val="20"/>
          <w:szCs w:val="20"/>
        </w:rPr>
        <w:t>2</w:t>
      </w:r>
      <w:r w:rsidR="001C69EE">
        <w:rPr>
          <w:sz w:val="20"/>
          <w:szCs w:val="20"/>
        </w:rPr>
        <w:t>.</w:t>
      </w:r>
      <w:r>
        <w:rPr>
          <w:sz w:val="20"/>
          <w:szCs w:val="20"/>
        </w:rPr>
        <w:t>0</w:t>
      </w:r>
      <w:r w:rsidR="009F4286">
        <w:rPr>
          <w:sz w:val="20"/>
          <w:szCs w:val="20"/>
        </w:rPr>
        <w:t>4</w:t>
      </w:r>
      <w:r w:rsidR="00D577B9">
        <w:rPr>
          <w:sz w:val="20"/>
          <w:szCs w:val="20"/>
        </w:rPr>
        <w:t>.201</w:t>
      </w:r>
      <w:r>
        <w:rPr>
          <w:sz w:val="20"/>
          <w:szCs w:val="20"/>
        </w:rPr>
        <w:t>1</w:t>
      </w:r>
      <w:r w:rsidR="00D577B9" w:rsidRPr="00BC7A01">
        <w:rPr>
          <w:sz w:val="20"/>
          <w:szCs w:val="20"/>
        </w:rPr>
        <w:t xml:space="preserve"> 9:11</w:t>
      </w:r>
    </w:p>
    <w:p w:rsidR="00D577B9" w:rsidRPr="00BC7A01" w:rsidRDefault="009F4286" w:rsidP="00D577B9">
      <w:pPr>
        <w:ind w:right="40"/>
        <w:jc w:val="both"/>
        <w:rPr>
          <w:sz w:val="20"/>
          <w:szCs w:val="20"/>
        </w:rPr>
      </w:pPr>
      <w:r>
        <w:rPr>
          <w:sz w:val="20"/>
          <w:szCs w:val="20"/>
        </w:rPr>
        <w:t>882</w:t>
      </w:r>
    </w:p>
    <w:p w:rsidR="00D577B9" w:rsidRPr="00BC7A01" w:rsidRDefault="00742083" w:rsidP="00D577B9">
      <w:pPr>
        <w:ind w:right="40"/>
        <w:jc w:val="both"/>
        <w:rPr>
          <w:sz w:val="20"/>
          <w:szCs w:val="20"/>
        </w:rPr>
      </w:pPr>
      <w:r>
        <w:rPr>
          <w:sz w:val="20"/>
          <w:szCs w:val="20"/>
        </w:rPr>
        <w:t>S.Gannosa</w:t>
      </w:r>
    </w:p>
    <w:p w:rsidR="003504B5" w:rsidRDefault="00D577B9" w:rsidP="000815D0">
      <w:pPr>
        <w:ind w:right="40"/>
        <w:jc w:val="both"/>
      </w:pPr>
      <w:r w:rsidRPr="00BC7A01">
        <w:rPr>
          <w:sz w:val="20"/>
          <w:szCs w:val="20"/>
        </w:rPr>
        <w:t>670954</w:t>
      </w:r>
      <w:r w:rsidR="00742083">
        <w:rPr>
          <w:sz w:val="20"/>
          <w:szCs w:val="20"/>
        </w:rPr>
        <w:t>24</w:t>
      </w:r>
      <w:r w:rsidRPr="00BC7A01">
        <w:rPr>
          <w:sz w:val="20"/>
          <w:szCs w:val="20"/>
        </w:rPr>
        <w:t xml:space="preserve">, </w:t>
      </w:r>
      <w:hyperlink r:id="rId8" w:history="1">
        <w:r w:rsidR="00742083" w:rsidRPr="005058EA">
          <w:rPr>
            <w:rStyle w:val="Hyperlink"/>
            <w:sz w:val="20"/>
            <w:szCs w:val="20"/>
          </w:rPr>
          <w:t>Sandra.Gannosa@fm.gov.lv</w:t>
        </w:r>
      </w:hyperlink>
    </w:p>
    <w:sectPr w:rsidR="003504B5" w:rsidSect="00804874">
      <w:headerReference w:type="default" r:id="rId9"/>
      <w:footerReference w:type="default" r:id="rId10"/>
      <w:footerReference w:type="first" r:id="rId11"/>
      <w:pgSz w:w="11906" w:h="16838"/>
      <w:pgMar w:top="1418" w:right="1134" w:bottom="1134" w:left="1701" w:header="53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31" w:rsidRDefault="00591531" w:rsidP="001A10DD">
      <w:r>
        <w:separator/>
      </w:r>
    </w:p>
  </w:endnote>
  <w:endnote w:type="continuationSeparator" w:id="0">
    <w:p w:rsidR="00591531" w:rsidRDefault="00591531" w:rsidP="001A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74" w:rsidRDefault="00804874" w:rsidP="00804874">
    <w:pPr>
      <w:rPr>
        <w:sz w:val="18"/>
        <w:szCs w:val="18"/>
      </w:rPr>
    </w:pPr>
  </w:p>
  <w:p w:rsidR="00804874" w:rsidRPr="00D35CB4" w:rsidRDefault="00CC12E6" w:rsidP="00D35CB4">
    <w:pPr>
      <w:jc w:val="both"/>
      <w:rPr>
        <w:sz w:val="20"/>
        <w:szCs w:val="20"/>
      </w:rPr>
    </w:pPr>
    <w:r w:rsidRPr="00D35CB4">
      <w:rPr>
        <w:sz w:val="20"/>
        <w:szCs w:val="20"/>
      </w:rPr>
      <w:fldChar w:fldCharType="begin"/>
    </w:r>
    <w:r w:rsidRPr="00D35CB4">
      <w:rPr>
        <w:sz w:val="20"/>
        <w:szCs w:val="20"/>
      </w:rPr>
      <w:instrText xml:space="preserve"> FILENAME   \* MERGEFORMAT </w:instrText>
    </w:r>
    <w:r w:rsidRPr="00D35CB4">
      <w:rPr>
        <w:sz w:val="20"/>
        <w:szCs w:val="20"/>
      </w:rPr>
      <w:fldChar w:fldCharType="separate"/>
    </w:r>
    <w:r w:rsidR="00A43F09">
      <w:rPr>
        <w:noProof/>
        <w:sz w:val="20"/>
        <w:szCs w:val="20"/>
      </w:rPr>
      <w:t>FMAnot_1</w:t>
    </w:r>
    <w:r w:rsidR="009F4286">
      <w:rPr>
        <w:noProof/>
        <w:sz w:val="20"/>
        <w:szCs w:val="20"/>
      </w:rPr>
      <w:t>2</w:t>
    </w:r>
    <w:r w:rsidR="00A43F09">
      <w:rPr>
        <w:noProof/>
        <w:sz w:val="20"/>
        <w:szCs w:val="20"/>
      </w:rPr>
      <w:t>0</w:t>
    </w:r>
    <w:r w:rsidR="009F4286">
      <w:rPr>
        <w:noProof/>
        <w:sz w:val="20"/>
        <w:szCs w:val="20"/>
      </w:rPr>
      <w:t>4</w:t>
    </w:r>
    <w:r w:rsidR="00A43F09">
      <w:rPr>
        <w:noProof/>
        <w:sz w:val="20"/>
        <w:szCs w:val="20"/>
      </w:rPr>
      <w:t>11_SaistReg</w:t>
    </w:r>
    <w:r w:rsidRPr="00D35CB4">
      <w:rPr>
        <w:noProof/>
        <w:sz w:val="20"/>
        <w:szCs w:val="20"/>
      </w:rPr>
      <w:fldChar w:fldCharType="end"/>
    </w:r>
    <w:r w:rsidR="002212C0">
      <w:rPr>
        <w:noProof/>
        <w:sz w:val="20"/>
        <w:szCs w:val="20"/>
      </w:rPr>
      <w:t>;</w:t>
    </w:r>
    <w:r w:rsidR="00804874" w:rsidRPr="00D35CB4">
      <w:rPr>
        <w:sz w:val="20"/>
        <w:szCs w:val="20"/>
      </w:rPr>
      <w:t xml:space="preserve"> Ministru kabineta noteikumu projekta  „</w:t>
    </w:r>
    <w:r w:rsidR="00D35CB4" w:rsidRPr="00D35CB4">
      <w:rPr>
        <w:sz w:val="20"/>
        <w:szCs w:val="20"/>
      </w:rPr>
      <w:t>Kārtība, kādā</w:t>
    </w:r>
    <w:r w:rsidR="00F514CC">
      <w:rPr>
        <w:sz w:val="20"/>
        <w:szCs w:val="20"/>
      </w:rPr>
      <w:t xml:space="preserve"> </w:t>
    </w:r>
    <w:r w:rsidR="00F514CC" w:rsidRPr="00F514CC">
      <w:rPr>
        <w:sz w:val="20"/>
        <w:szCs w:val="20"/>
      </w:rPr>
      <w:t>valsts budžeta iestādes, no valsts budžeta atvasinātas publiskas personas un budžeta nefinansētas iestādes nodrošina saistību reģistrāciju</w:t>
    </w:r>
    <w:r w:rsidR="00804874" w:rsidRPr="00D35CB4">
      <w:rPr>
        <w:sz w:val="20"/>
        <w:szCs w:val="20"/>
      </w:rPr>
      <w:t>”</w:t>
    </w:r>
    <w:r w:rsidR="00804874" w:rsidRPr="00D35CB4">
      <w:rPr>
        <w:sz w:val="20"/>
        <w:szCs w:val="20"/>
        <w:shd w:val="clear" w:color="auto" w:fill="FFFFFF"/>
      </w:rPr>
      <w:t xml:space="preserve"> anotācija</w:t>
    </w:r>
  </w:p>
  <w:p w:rsidR="00804874" w:rsidRPr="00506A4F" w:rsidRDefault="00804874" w:rsidP="00804874">
    <w:pPr>
      <w:rPr>
        <w:sz w:val="18"/>
        <w:szCs w:val="18"/>
      </w:rPr>
    </w:pPr>
  </w:p>
  <w:p w:rsidR="00804874" w:rsidRPr="00506A4F" w:rsidRDefault="00804874" w:rsidP="00804874">
    <w:pPr>
      <w:pStyle w:val="Footer"/>
      <w:rPr>
        <w:sz w:val="18"/>
        <w:szCs w:val="18"/>
      </w:rPr>
    </w:pPr>
  </w:p>
  <w:p w:rsidR="00804874" w:rsidRDefault="008048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74" w:rsidRPr="00897645" w:rsidRDefault="00CC12E6" w:rsidP="00804874">
    <w:pPr>
      <w:rPr>
        <w:sz w:val="20"/>
        <w:szCs w:val="20"/>
      </w:rPr>
    </w:pPr>
    <w:r w:rsidRPr="00897645">
      <w:rPr>
        <w:sz w:val="20"/>
        <w:szCs w:val="20"/>
      </w:rPr>
      <w:fldChar w:fldCharType="begin"/>
    </w:r>
    <w:r w:rsidRPr="00897645">
      <w:rPr>
        <w:sz w:val="20"/>
        <w:szCs w:val="20"/>
      </w:rPr>
      <w:instrText xml:space="preserve"> FILENAME   \* MERGEFORMAT </w:instrText>
    </w:r>
    <w:r w:rsidRPr="00897645">
      <w:rPr>
        <w:sz w:val="20"/>
        <w:szCs w:val="20"/>
      </w:rPr>
      <w:fldChar w:fldCharType="separate"/>
    </w:r>
    <w:r w:rsidR="00B75A21">
      <w:rPr>
        <w:noProof/>
        <w:sz w:val="20"/>
        <w:szCs w:val="20"/>
      </w:rPr>
      <w:t>FMAnot_1</w:t>
    </w:r>
    <w:r w:rsidR="009F4286">
      <w:rPr>
        <w:noProof/>
        <w:sz w:val="20"/>
        <w:szCs w:val="20"/>
      </w:rPr>
      <w:t>2</w:t>
    </w:r>
    <w:r w:rsidR="00B75A21">
      <w:rPr>
        <w:noProof/>
        <w:sz w:val="20"/>
        <w:szCs w:val="20"/>
      </w:rPr>
      <w:t>0</w:t>
    </w:r>
    <w:r w:rsidR="009F4286">
      <w:rPr>
        <w:noProof/>
        <w:sz w:val="20"/>
        <w:szCs w:val="20"/>
      </w:rPr>
      <w:t>4</w:t>
    </w:r>
    <w:r w:rsidR="00B75A21">
      <w:rPr>
        <w:noProof/>
        <w:sz w:val="20"/>
        <w:szCs w:val="20"/>
      </w:rPr>
      <w:t>11_SaistReg</w:t>
    </w:r>
    <w:r w:rsidRPr="00897645">
      <w:rPr>
        <w:noProof/>
        <w:sz w:val="20"/>
        <w:szCs w:val="20"/>
      </w:rPr>
      <w:fldChar w:fldCharType="end"/>
    </w:r>
    <w:r w:rsidR="00804874" w:rsidRPr="00897645">
      <w:rPr>
        <w:sz w:val="20"/>
        <w:szCs w:val="20"/>
      </w:rPr>
      <w:t>; Ministru kabineta noteikumu projekta  „</w:t>
    </w:r>
    <w:r w:rsidR="00897645" w:rsidRPr="00897645">
      <w:rPr>
        <w:sz w:val="20"/>
        <w:szCs w:val="20"/>
      </w:rPr>
      <w:t>Kārtība, kādā</w:t>
    </w:r>
    <w:r w:rsidR="00F514CC">
      <w:rPr>
        <w:sz w:val="20"/>
        <w:szCs w:val="20"/>
      </w:rPr>
      <w:t xml:space="preserve"> valsts budžeta iestādes, no valsts budžeta atvasinātas publiskas personas un budžeta nefinansētas iestādes nodrošina saistību reģistrāciju</w:t>
    </w:r>
    <w:r w:rsidR="00804874" w:rsidRPr="00897645">
      <w:rPr>
        <w:sz w:val="20"/>
        <w:szCs w:val="20"/>
      </w:rPr>
      <w:t>”</w:t>
    </w:r>
    <w:r w:rsidR="00804874" w:rsidRPr="00897645">
      <w:rPr>
        <w:sz w:val="20"/>
        <w:szCs w:val="20"/>
        <w:shd w:val="clear" w:color="auto" w:fill="FFFFFF"/>
      </w:rPr>
      <w:t xml:space="preserve"> anotācija</w:t>
    </w:r>
  </w:p>
  <w:p w:rsidR="00804874" w:rsidRPr="00897645" w:rsidRDefault="00804874" w:rsidP="00804874">
    <w:pPr>
      <w:pStyle w:val="Footer"/>
      <w:rPr>
        <w:sz w:val="20"/>
        <w:szCs w:val="20"/>
      </w:rPr>
    </w:pPr>
  </w:p>
  <w:p w:rsidR="00804874" w:rsidRDefault="00804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31" w:rsidRDefault="00591531" w:rsidP="001A10DD">
      <w:r>
        <w:separator/>
      </w:r>
    </w:p>
  </w:footnote>
  <w:footnote w:type="continuationSeparator" w:id="0">
    <w:p w:rsidR="00591531" w:rsidRDefault="00591531" w:rsidP="001A1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5813"/>
      <w:docPartObj>
        <w:docPartGallery w:val="Page Numbers (Top of Page)"/>
        <w:docPartUnique/>
      </w:docPartObj>
    </w:sdtPr>
    <w:sdtEndPr/>
    <w:sdtContent>
      <w:p w:rsidR="00804874" w:rsidRDefault="002B2DC3">
        <w:pPr>
          <w:pStyle w:val="Header"/>
          <w:jc w:val="center"/>
        </w:pPr>
        <w:r>
          <w:fldChar w:fldCharType="begin"/>
        </w:r>
        <w:r>
          <w:instrText xml:space="preserve"> PAGE   \* MERGEFORMAT </w:instrText>
        </w:r>
        <w:r>
          <w:fldChar w:fldCharType="separate"/>
        </w:r>
        <w:r w:rsidR="00A51F76">
          <w:rPr>
            <w:noProof/>
          </w:rPr>
          <w:t>4</w:t>
        </w:r>
        <w:r>
          <w:rPr>
            <w:noProof/>
          </w:rPr>
          <w:fldChar w:fldCharType="end"/>
        </w:r>
      </w:p>
    </w:sdtContent>
  </w:sdt>
  <w:p w:rsidR="00804874" w:rsidRDefault="008048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B9"/>
    <w:rsid w:val="00003B98"/>
    <w:rsid w:val="00006B94"/>
    <w:rsid w:val="0001454E"/>
    <w:rsid w:val="00021062"/>
    <w:rsid w:val="00027A36"/>
    <w:rsid w:val="00031EB1"/>
    <w:rsid w:val="0003317A"/>
    <w:rsid w:val="00041966"/>
    <w:rsid w:val="00050CBE"/>
    <w:rsid w:val="00057403"/>
    <w:rsid w:val="00064964"/>
    <w:rsid w:val="00072DCB"/>
    <w:rsid w:val="000815D0"/>
    <w:rsid w:val="000852DA"/>
    <w:rsid w:val="00090246"/>
    <w:rsid w:val="000908D4"/>
    <w:rsid w:val="00091781"/>
    <w:rsid w:val="000A3650"/>
    <w:rsid w:val="000A6F1F"/>
    <w:rsid w:val="000B2C8F"/>
    <w:rsid w:val="000C5405"/>
    <w:rsid w:val="000D433F"/>
    <w:rsid w:val="000D7D42"/>
    <w:rsid w:val="000E0942"/>
    <w:rsid w:val="000E66FE"/>
    <w:rsid w:val="000E738F"/>
    <w:rsid w:val="000F1D4A"/>
    <w:rsid w:val="000F26F4"/>
    <w:rsid w:val="0013636A"/>
    <w:rsid w:val="00155486"/>
    <w:rsid w:val="00163557"/>
    <w:rsid w:val="0018160B"/>
    <w:rsid w:val="001905EB"/>
    <w:rsid w:val="00191932"/>
    <w:rsid w:val="001A10DD"/>
    <w:rsid w:val="001A6EB0"/>
    <w:rsid w:val="001B007B"/>
    <w:rsid w:val="001B282C"/>
    <w:rsid w:val="001B7FD8"/>
    <w:rsid w:val="001C2014"/>
    <w:rsid w:val="001C2EDE"/>
    <w:rsid w:val="001C4E2D"/>
    <w:rsid w:val="001C69EE"/>
    <w:rsid w:val="001D325E"/>
    <w:rsid w:val="001E0A53"/>
    <w:rsid w:val="001E2A35"/>
    <w:rsid w:val="001E4612"/>
    <w:rsid w:val="002017DB"/>
    <w:rsid w:val="00202C63"/>
    <w:rsid w:val="002033BF"/>
    <w:rsid w:val="0020713E"/>
    <w:rsid w:val="00212274"/>
    <w:rsid w:val="002212C0"/>
    <w:rsid w:val="00221468"/>
    <w:rsid w:val="00221BBA"/>
    <w:rsid w:val="002259EF"/>
    <w:rsid w:val="00227D2A"/>
    <w:rsid w:val="00246988"/>
    <w:rsid w:val="00251A33"/>
    <w:rsid w:val="00252308"/>
    <w:rsid w:val="00253DA1"/>
    <w:rsid w:val="00253EB8"/>
    <w:rsid w:val="00261C09"/>
    <w:rsid w:val="002866CE"/>
    <w:rsid w:val="002930B0"/>
    <w:rsid w:val="002A0784"/>
    <w:rsid w:val="002A7436"/>
    <w:rsid w:val="002B2770"/>
    <w:rsid w:val="002B2DC3"/>
    <w:rsid w:val="002C5A2D"/>
    <w:rsid w:val="002D25E7"/>
    <w:rsid w:val="002E4F6B"/>
    <w:rsid w:val="002F084F"/>
    <w:rsid w:val="002F2965"/>
    <w:rsid w:val="002F5E52"/>
    <w:rsid w:val="00337BE4"/>
    <w:rsid w:val="00337E2E"/>
    <w:rsid w:val="00343397"/>
    <w:rsid w:val="003504B5"/>
    <w:rsid w:val="00352693"/>
    <w:rsid w:val="0037130D"/>
    <w:rsid w:val="0038051D"/>
    <w:rsid w:val="003910BF"/>
    <w:rsid w:val="003A3783"/>
    <w:rsid w:val="003A6789"/>
    <w:rsid w:val="003B101E"/>
    <w:rsid w:val="003C4A52"/>
    <w:rsid w:val="003C6BA6"/>
    <w:rsid w:val="003D77F1"/>
    <w:rsid w:val="003E15D3"/>
    <w:rsid w:val="003F1103"/>
    <w:rsid w:val="003F1A85"/>
    <w:rsid w:val="003F786A"/>
    <w:rsid w:val="00403F7C"/>
    <w:rsid w:val="00404775"/>
    <w:rsid w:val="0043123C"/>
    <w:rsid w:val="0043485C"/>
    <w:rsid w:val="00442FAC"/>
    <w:rsid w:val="004476E3"/>
    <w:rsid w:val="00454EBD"/>
    <w:rsid w:val="00456D0F"/>
    <w:rsid w:val="00460413"/>
    <w:rsid w:val="00477EBF"/>
    <w:rsid w:val="00477EFE"/>
    <w:rsid w:val="00495A8F"/>
    <w:rsid w:val="004B02FD"/>
    <w:rsid w:val="004C3C4A"/>
    <w:rsid w:val="004D0992"/>
    <w:rsid w:val="004D2706"/>
    <w:rsid w:val="004D622E"/>
    <w:rsid w:val="004D6454"/>
    <w:rsid w:val="004E6290"/>
    <w:rsid w:val="004F000E"/>
    <w:rsid w:val="004F0A3C"/>
    <w:rsid w:val="00511240"/>
    <w:rsid w:val="00512ED6"/>
    <w:rsid w:val="00522D83"/>
    <w:rsid w:val="005459D7"/>
    <w:rsid w:val="00553479"/>
    <w:rsid w:val="00556372"/>
    <w:rsid w:val="00574A1B"/>
    <w:rsid w:val="0057713E"/>
    <w:rsid w:val="00585D52"/>
    <w:rsid w:val="00591531"/>
    <w:rsid w:val="005A1926"/>
    <w:rsid w:val="005B6197"/>
    <w:rsid w:val="005D0CA1"/>
    <w:rsid w:val="005D48A0"/>
    <w:rsid w:val="005E5060"/>
    <w:rsid w:val="00601CC9"/>
    <w:rsid w:val="006030C4"/>
    <w:rsid w:val="00604B8F"/>
    <w:rsid w:val="00617BF9"/>
    <w:rsid w:val="006216DB"/>
    <w:rsid w:val="006259C0"/>
    <w:rsid w:val="0064610D"/>
    <w:rsid w:val="00651FB3"/>
    <w:rsid w:val="00667560"/>
    <w:rsid w:val="006756F6"/>
    <w:rsid w:val="00682336"/>
    <w:rsid w:val="00695246"/>
    <w:rsid w:val="006B47D5"/>
    <w:rsid w:val="006C016B"/>
    <w:rsid w:val="006C1955"/>
    <w:rsid w:val="006F1B83"/>
    <w:rsid w:val="006F2A91"/>
    <w:rsid w:val="006F7291"/>
    <w:rsid w:val="00727986"/>
    <w:rsid w:val="007340A6"/>
    <w:rsid w:val="007347CE"/>
    <w:rsid w:val="00742083"/>
    <w:rsid w:val="007444C4"/>
    <w:rsid w:val="007613E2"/>
    <w:rsid w:val="007639F9"/>
    <w:rsid w:val="0077079A"/>
    <w:rsid w:val="00787EEF"/>
    <w:rsid w:val="00796A90"/>
    <w:rsid w:val="0079781B"/>
    <w:rsid w:val="007B1B7F"/>
    <w:rsid w:val="007C2A34"/>
    <w:rsid w:val="007C533B"/>
    <w:rsid w:val="007D2CC8"/>
    <w:rsid w:val="007D3B6B"/>
    <w:rsid w:val="007E7879"/>
    <w:rsid w:val="007F5773"/>
    <w:rsid w:val="007F698F"/>
    <w:rsid w:val="007F6E0F"/>
    <w:rsid w:val="00804874"/>
    <w:rsid w:val="008232BE"/>
    <w:rsid w:val="00824AD0"/>
    <w:rsid w:val="00825C03"/>
    <w:rsid w:val="00830766"/>
    <w:rsid w:val="008333D4"/>
    <w:rsid w:val="0084693E"/>
    <w:rsid w:val="0086782F"/>
    <w:rsid w:val="00867EBC"/>
    <w:rsid w:val="0087132D"/>
    <w:rsid w:val="00871FC1"/>
    <w:rsid w:val="00873ACB"/>
    <w:rsid w:val="00877442"/>
    <w:rsid w:val="00897645"/>
    <w:rsid w:val="008B247C"/>
    <w:rsid w:val="008C3015"/>
    <w:rsid w:val="008D2778"/>
    <w:rsid w:val="008E007F"/>
    <w:rsid w:val="00900271"/>
    <w:rsid w:val="00905AB0"/>
    <w:rsid w:val="00906E3C"/>
    <w:rsid w:val="009120B6"/>
    <w:rsid w:val="00913BCB"/>
    <w:rsid w:val="009232BD"/>
    <w:rsid w:val="009251F0"/>
    <w:rsid w:val="0092584A"/>
    <w:rsid w:val="0093333D"/>
    <w:rsid w:val="0093550E"/>
    <w:rsid w:val="00943E93"/>
    <w:rsid w:val="00947A94"/>
    <w:rsid w:val="009717FB"/>
    <w:rsid w:val="00972A9A"/>
    <w:rsid w:val="0097313F"/>
    <w:rsid w:val="009806E2"/>
    <w:rsid w:val="0098444B"/>
    <w:rsid w:val="009878ED"/>
    <w:rsid w:val="00992907"/>
    <w:rsid w:val="009B0898"/>
    <w:rsid w:val="009B0CF9"/>
    <w:rsid w:val="009B64CB"/>
    <w:rsid w:val="009D3C96"/>
    <w:rsid w:val="009D502E"/>
    <w:rsid w:val="009F13C7"/>
    <w:rsid w:val="009F4286"/>
    <w:rsid w:val="009F73EE"/>
    <w:rsid w:val="00A07EB7"/>
    <w:rsid w:val="00A23B40"/>
    <w:rsid w:val="00A41698"/>
    <w:rsid w:val="00A43F09"/>
    <w:rsid w:val="00A47299"/>
    <w:rsid w:val="00A51F76"/>
    <w:rsid w:val="00A543D6"/>
    <w:rsid w:val="00A55FE7"/>
    <w:rsid w:val="00A844E5"/>
    <w:rsid w:val="00A85E9A"/>
    <w:rsid w:val="00A918DB"/>
    <w:rsid w:val="00AA30FC"/>
    <w:rsid w:val="00AA482E"/>
    <w:rsid w:val="00AC4B5C"/>
    <w:rsid w:val="00AC5248"/>
    <w:rsid w:val="00AC7688"/>
    <w:rsid w:val="00AD6896"/>
    <w:rsid w:val="00AE4D67"/>
    <w:rsid w:val="00AE7A65"/>
    <w:rsid w:val="00B00B61"/>
    <w:rsid w:val="00B046C3"/>
    <w:rsid w:val="00B14A0F"/>
    <w:rsid w:val="00B2696A"/>
    <w:rsid w:val="00B3213B"/>
    <w:rsid w:val="00B436B6"/>
    <w:rsid w:val="00B45DA5"/>
    <w:rsid w:val="00B507CD"/>
    <w:rsid w:val="00B60947"/>
    <w:rsid w:val="00B74659"/>
    <w:rsid w:val="00B75A21"/>
    <w:rsid w:val="00B859F7"/>
    <w:rsid w:val="00BB0570"/>
    <w:rsid w:val="00BB0AC9"/>
    <w:rsid w:val="00BB562D"/>
    <w:rsid w:val="00C01CF0"/>
    <w:rsid w:val="00C02926"/>
    <w:rsid w:val="00C10376"/>
    <w:rsid w:val="00C311E8"/>
    <w:rsid w:val="00C45DFB"/>
    <w:rsid w:val="00C465DE"/>
    <w:rsid w:val="00C53024"/>
    <w:rsid w:val="00C54F44"/>
    <w:rsid w:val="00C6397B"/>
    <w:rsid w:val="00C70D6B"/>
    <w:rsid w:val="00C7290D"/>
    <w:rsid w:val="00C816BA"/>
    <w:rsid w:val="00C92621"/>
    <w:rsid w:val="00C968AD"/>
    <w:rsid w:val="00CA47C5"/>
    <w:rsid w:val="00CA6103"/>
    <w:rsid w:val="00CC12E6"/>
    <w:rsid w:val="00CC4620"/>
    <w:rsid w:val="00CC6707"/>
    <w:rsid w:val="00CF32E4"/>
    <w:rsid w:val="00CF5B35"/>
    <w:rsid w:val="00D03E76"/>
    <w:rsid w:val="00D10C21"/>
    <w:rsid w:val="00D11E60"/>
    <w:rsid w:val="00D21F7D"/>
    <w:rsid w:val="00D23F54"/>
    <w:rsid w:val="00D3258F"/>
    <w:rsid w:val="00D35CB4"/>
    <w:rsid w:val="00D37E03"/>
    <w:rsid w:val="00D46664"/>
    <w:rsid w:val="00D5330E"/>
    <w:rsid w:val="00D53B2B"/>
    <w:rsid w:val="00D5541B"/>
    <w:rsid w:val="00D577B9"/>
    <w:rsid w:val="00D73104"/>
    <w:rsid w:val="00D81CD1"/>
    <w:rsid w:val="00D86BB0"/>
    <w:rsid w:val="00D86F43"/>
    <w:rsid w:val="00D92715"/>
    <w:rsid w:val="00D93A40"/>
    <w:rsid w:val="00D95D03"/>
    <w:rsid w:val="00DA2C1A"/>
    <w:rsid w:val="00DA61DD"/>
    <w:rsid w:val="00DB2FD9"/>
    <w:rsid w:val="00DB7575"/>
    <w:rsid w:val="00DD3A81"/>
    <w:rsid w:val="00DD4695"/>
    <w:rsid w:val="00DE1A41"/>
    <w:rsid w:val="00DE21A0"/>
    <w:rsid w:val="00DF7066"/>
    <w:rsid w:val="00E03036"/>
    <w:rsid w:val="00E0729D"/>
    <w:rsid w:val="00E12B4D"/>
    <w:rsid w:val="00E14CB9"/>
    <w:rsid w:val="00E170E2"/>
    <w:rsid w:val="00E27296"/>
    <w:rsid w:val="00E3253A"/>
    <w:rsid w:val="00E32ADE"/>
    <w:rsid w:val="00E34374"/>
    <w:rsid w:val="00E40D82"/>
    <w:rsid w:val="00E438E4"/>
    <w:rsid w:val="00E45F8D"/>
    <w:rsid w:val="00E546D9"/>
    <w:rsid w:val="00E56243"/>
    <w:rsid w:val="00E65D15"/>
    <w:rsid w:val="00E677B2"/>
    <w:rsid w:val="00EC37DA"/>
    <w:rsid w:val="00EC3C89"/>
    <w:rsid w:val="00EC5FA0"/>
    <w:rsid w:val="00EE4308"/>
    <w:rsid w:val="00EE7842"/>
    <w:rsid w:val="00F00DD3"/>
    <w:rsid w:val="00F00E4D"/>
    <w:rsid w:val="00F10736"/>
    <w:rsid w:val="00F11527"/>
    <w:rsid w:val="00F13797"/>
    <w:rsid w:val="00F15CC4"/>
    <w:rsid w:val="00F2561D"/>
    <w:rsid w:val="00F307EB"/>
    <w:rsid w:val="00F338BD"/>
    <w:rsid w:val="00F36B47"/>
    <w:rsid w:val="00F40CBA"/>
    <w:rsid w:val="00F514CC"/>
    <w:rsid w:val="00F5175F"/>
    <w:rsid w:val="00F5590C"/>
    <w:rsid w:val="00F62CFB"/>
    <w:rsid w:val="00F714D2"/>
    <w:rsid w:val="00F71B80"/>
    <w:rsid w:val="00F71CF2"/>
    <w:rsid w:val="00F75B7F"/>
    <w:rsid w:val="00F86CF9"/>
    <w:rsid w:val="00F90D38"/>
    <w:rsid w:val="00FA4155"/>
    <w:rsid w:val="00FA572A"/>
    <w:rsid w:val="00FB52D6"/>
    <w:rsid w:val="00FB786E"/>
    <w:rsid w:val="00FE2A9D"/>
    <w:rsid w:val="00FE37ED"/>
    <w:rsid w:val="00FE5E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B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77B9"/>
    <w:pPr>
      <w:tabs>
        <w:tab w:val="center" w:pos="4153"/>
        <w:tab w:val="right" w:pos="8306"/>
      </w:tabs>
      <w:jc w:val="both"/>
    </w:pPr>
    <w:rPr>
      <w:szCs w:val="20"/>
      <w:lang w:eastAsia="en-US"/>
    </w:rPr>
  </w:style>
  <w:style w:type="character" w:customStyle="1" w:styleId="HeaderChar">
    <w:name w:val="Header Char"/>
    <w:basedOn w:val="DefaultParagraphFont"/>
    <w:link w:val="Header"/>
    <w:uiPriority w:val="99"/>
    <w:rsid w:val="00D577B9"/>
    <w:rPr>
      <w:rFonts w:ascii="Times New Roman" w:eastAsia="Times New Roman" w:hAnsi="Times New Roman" w:cs="Times New Roman"/>
      <w:sz w:val="24"/>
      <w:szCs w:val="20"/>
    </w:rPr>
  </w:style>
  <w:style w:type="paragraph" w:customStyle="1" w:styleId="naisc">
    <w:name w:val="naisc"/>
    <w:basedOn w:val="Normal"/>
    <w:rsid w:val="00D577B9"/>
    <w:pPr>
      <w:spacing w:before="450" w:after="300"/>
      <w:jc w:val="center"/>
    </w:pPr>
    <w:rPr>
      <w:sz w:val="26"/>
      <w:szCs w:val="26"/>
    </w:rPr>
  </w:style>
  <w:style w:type="character" w:styleId="Hyperlink">
    <w:name w:val="Hyperlink"/>
    <w:basedOn w:val="DefaultParagraphFont"/>
    <w:rsid w:val="00D577B9"/>
    <w:rPr>
      <w:color w:val="0000FF"/>
      <w:u w:val="single"/>
    </w:rPr>
  </w:style>
  <w:style w:type="paragraph" w:styleId="Footer">
    <w:name w:val="footer"/>
    <w:basedOn w:val="Normal"/>
    <w:link w:val="FooterChar"/>
    <w:uiPriority w:val="99"/>
    <w:unhideWhenUsed/>
    <w:rsid w:val="00D577B9"/>
    <w:pPr>
      <w:tabs>
        <w:tab w:val="center" w:pos="4153"/>
        <w:tab w:val="right" w:pos="8306"/>
      </w:tabs>
    </w:pPr>
  </w:style>
  <w:style w:type="character" w:customStyle="1" w:styleId="FooterChar">
    <w:name w:val="Footer Char"/>
    <w:basedOn w:val="DefaultParagraphFont"/>
    <w:link w:val="Footer"/>
    <w:uiPriority w:val="99"/>
    <w:rsid w:val="00D577B9"/>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31EB1"/>
    <w:pPr>
      <w:ind w:left="720"/>
      <w:contextualSpacing/>
    </w:pPr>
    <w:rPr>
      <w:rFonts w:eastAsia="Calibri"/>
      <w:sz w:val="28"/>
      <w:szCs w:val="28"/>
      <w:lang w:val="en-GB" w:eastAsia="en-US"/>
    </w:rPr>
  </w:style>
  <w:style w:type="paragraph" w:styleId="BalloonText">
    <w:name w:val="Balloon Text"/>
    <w:basedOn w:val="Normal"/>
    <w:link w:val="BalloonTextChar"/>
    <w:uiPriority w:val="99"/>
    <w:semiHidden/>
    <w:unhideWhenUsed/>
    <w:rsid w:val="00072DCB"/>
    <w:rPr>
      <w:rFonts w:ascii="Tahoma" w:hAnsi="Tahoma" w:cs="Tahoma"/>
      <w:sz w:val="16"/>
      <w:szCs w:val="16"/>
    </w:rPr>
  </w:style>
  <w:style w:type="character" w:customStyle="1" w:styleId="BalloonTextChar">
    <w:name w:val="Balloon Text Char"/>
    <w:basedOn w:val="DefaultParagraphFont"/>
    <w:link w:val="BalloonText"/>
    <w:uiPriority w:val="99"/>
    <w:semiHidden/>
    <w:rsid w:val="00072DCB"/>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B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77B9"/>
    <w:pPr>
      <w:tabs>
        <w:tab w:val="center" w:pos="4153"/>
        <w:tab w:val="right" w:pos="8306"/>
      </w:tabs>
      <w:jc w:val="both"/>
    </w:pPr>
    <w:rPr>
      <w:szCs w:val="20"/>
      <w:lang w:eastAsia="en-US"/>
    </w:rPr>
  </w:style>
  <w:style w:type="character" w:customStyle="1" w:styleId="HeaderChar">
    <w:name w:val="Header Char"/>
    <w:basedOn w:val="DefaultParagraphFont"/>
    <w:link w:val="Header"/>
    <w:uiPriority w:val="99"/>
    <w:rsid w:val="00D577B9"/>
    <w:rPr>
      <w:rFonts w:ascii="Times New Roman" w:eastAsia="Times New Roman" w:hAnsi="Times New Roman" w:cs="Times New Roman"/>
      <w:sz w:val="24"/>
      <w:szCs w:val="20"/>
    </w:rPr>
  </w:style>
  <w:style w:type="paragraph" w:customStyle="1" w:styleId="naisc">
    <w:name w:val="naisc"/>
    <w:basedOn w:val="Normal"/>
    <w:rsid w:val="00D577B9"/>
    <w:pPr>
      <w:spacing w:before="450" w:after="300"/>
      <w:jc w:val="center"/>
    </w:pPr>
    <w:rPr>
      <w:sz w:val="26"/>
      <w:szCs w:val="26"/>
    </w:rPr>
  </w:style>
  <w:style w:type="character" w:styleId="Hyperlink">
    <w:name w:val="Hyperlink"/>
    <w:basedOn w:val="DefaultParagraphFont"/>
    <w:rsid w:val="00D577B9"/>
    <w:rPr>
      <w:color w:val="0000FF"/>
      <w:u w:val="single"/>
    </w:rPr>
  </w:style>
  <w:style w:type="paragraph" w:styleId="Footer">
    <w:name w:val="footer"/>
    <w:basedOn w:val="Normal"/>
    <w:link w:val="FooterChar"/>
    <w:uiPriority w:val="99"/>
    <w:unhideWhenUsed/>
    <w:rsid w:val="00D577B9"/>
    <w:pPr>
      <w:tabs>
        <w:tab w:val="center" w:pos="4153"/>
        <w:tab w:val="right" w:pos="8306"/>
      </w:tabs>
    </w:pPr>
  </w:style>
  <w:style w:type="character" w:customStyle="1" w:styleId="FooterChar">
    <w:name w:val="Footer Char"/>
    <w:basedOn w:val="DefaultParagraphFont"/>
    <w:link w:val="Footer"/>
    <w:uiPriority w:val="99"/>
    <w:rsid w:val="00D577B9"/>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31EB1"/>
    <w:pPr>
      <w:ind w:left="720"/>
      <w:contextualSpacing/>
    </w:pPr>
    <w:rPr>
      <w:rFonts w:eastAsia="Calibri"/>
      <w:sz w:val="28"/>
      <w:szCs w:val="28"/>
      <w:lang w:val="en-GB" w:eastAsia="en-US"/>
    </w:rPr>
  </w:style>
  <w:style w:type="paragraph" w:styleId="BalloonText">
    <w:name w:val="Balloon Text"/>
    <w:basedOn w:val="Normal"/>
    <w:link w:val="BalloonTextChar"/>
    <w:uiPriority w:val="99"/>
    <w:semiHidden/>
    <w:unhideWhenUsed/>
    <w:rsid w:val="00072DCB"/>
    <w:rPr>
      <w:rFonts w:ascii="Tahoma" w:hAnsi="Tahoma" w:cs="Tahoma"/>
      <w:sz w:val="16"/>
      <w:szCs w:val="16"/>
    </w:rPr>
  </w:style>
  <w:style w:type="character" w:customStyle="1" w:styleId="BalloonTextChar">
    <w:name w:val="Balloon Text Char"/>
    <w:basedOn w:val="DefaultParagraphFont"/>
    <w:link w:val="BalloonText"/>
    <w:uiPriority w:val="99"/>
    <w:semiHidden/>
    <w:rsid w:val="00072DCB"/>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Gannosa@f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DCCDF33E56B45A4A89FE5FF83C9B2D54" ma:contentTypeVersion="5" ma:contentTypeDescription="Izveidot jaunu dokumentu." ma:contentTypeScope="" ma:versionID="c82a29b5c6c7f7869565906079fd2fde">
  <xsd:schema xmlns:xsd="http://www.w3.org/2001/XMLSchema" xmlns:p="http://schemas.microsoft.com/office/2006/metadata/properties" xmlns:ns1="2e5bb04e-596e-45bd-9003-43ca78b1ba16" targetNamespace="http://schemas.microsoft.com/office/2006/metadata/properties" ma:root="true" ma:fieldsID="aa237040c5922575b06c0b812bf3f557"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009AD0DF-8B4C-444A-BFCA-F7AEE21C11C0}"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Daiga Gulbe</Vad_x012b_t_x0101_js>
    <Kategorija xmlns="2e5bb04e-596e-45bd-9003-43ca78b1ba16">Anotācija</Kategorija>
    <DKP xmlns="2e5bb04e-596e-45bd-9003-43ca78b1ba16">70</DKP>
  </documentManagement>
</p:properties>
</file>

<file path=customXml/itemProps1.xml><?xml version="1.0" encoding="utf-8"?>
<ds:datastoreItem xmlns:ds="http://schemas.openxmlformats.org/officeDocument/2006/customXml" ds:itemID="{A6EB1D91-D323-44B3-99E6-36FBB7C6009B}"/>
</file>

<file path=customXml/itemProps2.xml><?xml version="1.0" encoding="utf-8"?>
<ds:datastoreItem xmlns:ds="http://schemas.openxmlformats.org/officeDocument/2006/customXml" ds:itemID="{886C6EB7-CCD4-4053-AEC1-1B346958D242}"/>
</file>

<file path=customXml/itemProps3.xml><?xml version="1.0" encoding="utf-8"?>
<ds:datastoreItem xmlns:ds="http://schemas.openxmlformats.org/officeDocument/2006/customXml" ds:itemID="{163A2A19-ED56-415B-892F-57344D356C4E}"/>
</file>

<file path=customXml/itemProps4.xml><?xml version="1.0" encoding="utf-8"?>
<ds:datastoreItem xmlns:ds="http://schemas.openxmlformats.org/officeDocument/2006/customXml" ds:itemID="{50A2C1E4-DB8C-4F50-97EF-84A3038073B6}"/>
</file>

<file path=docProps/app.xml><?xml version="1.0" encoding="utf-8"?>
<Properties xmlns="http://schemas.openxmlformats.org/officeDocument/2006/extended-properties" xmlns:vt="http://schemas.openxmlformats.org/officeDocument/2006/docPropsVTypes">
  <Template>Normal</Template>
  <TotalTime>4</TotalTime>
  <Pages>4</Pages>
  <Words>4696</Words>
  <Characters>2677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fm</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valsts budžeta iestādes, no valsts budžeta daļēji finansētas atvasinātas publiskas personas un budžeta nefinansētas iestādes nodrošina saistību reģistrāciju ” sākotnējās ietekmes novērtējuma ziņojums </dc:title>
  <dc:subject/>
  <dc:creator>Sandra Gannosa</dc:creator>
  <cp:keywords/>
  <dc:description/>
  <cp:lastModifiedBy>Finanšu Ministrija</cp:lastModifiedBy>
  <cp:revision>5</cp:revision>
  <cp:lastPrinted>2011-04-01T07:34:00Z</cp:lastPrinted>
  <dcterms:created xsi:type="dcterms:W3CDTF">2011-04-13T12:27:00Z</dcterms:created>
  <dcterms:modified xsi:type="dcterms:W3CDTF">2011-04-15T07:28:00Z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0x010100DCCDF33E56B45A4A89FE5FF83C9B2D54</vt:lpwstr>
  </property>
</Properties>
</file>