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p>
    <w:p w:rsidR="00207CA2" w:rsidRPr="000410C7" w:rsidRDefault="00207CA2" w:rsidP="00207CA2">
      <w:pPr>
        <w:pStyle w:val="naislab"/>
        <w:spacing w:before="0" w:after="0"/>
        <w:jc w:val="center"/>
        <w:outlineLvl w:val="0"/>
        <w:rPr>
          <w:b/>
          <w:sz w:val="28"/>
          <w:szCs w:val="28"/>
        </w:rPr>
      </w:pPr>
      <w:r>
        <w:rPr>
          <w:b/>
          <w:sz w:val="28"/>
          <w:szCs w:val="28"/>
        </w:rPr>
        <w:t>„Grozījum</w:t>
      </w:r>
      <w:r w:rsidR="00BC44B7">
        <w:rPr>
          <w:b/>
          <w:sz w:val="28"/>
          <w:szCs w:val="28"/>
        </w:rPr>
        <w:t>i</w:t>
      </w:r>
      <w:r w:rsidR="00F9415F">
        <w:rPr>
          <w:b/>
          <w:sz w:val="28"/>
          <w:szCs w:val="28"/>
        </w:rPr>
        <w:t xml:space="preserve"> Valsts un pašvaldību institūciju amatpersonu un darbinieku atlīdzības likumā</w:t>
      </w:r>
      <w:r>
        <w:rPr>
          <w:b/>
          <w:sz w:val="28"/>
          <w:szCs w:val="28"/>
        </w:rPr>
        <w:t>”</w:t>
      </w:r>
      <w:r w:rsidR="004C0F27">
        <w:rPr>
          <w:b/>
          <w:sz w:val="28"/>
          <w:szCs w:val="28"/>
        </w:rPr>
        <w:t xml:space="preserve"> </w:t>
      </w:r>
      <w:r w:rsidRPr="000410C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918"/>
        <w:gridCol w:w="7239"/>
      </w:tblGrid>
      <w:tr w:rsidR="00207CA2" w:rsidRPr="00C36F1F" w:rsidTr="003121BB">
        <w:tc>
          <w:tcPr>
            <w:tcW w:w="9938" w:type="dxa"/>
            <w:gridSpan w:val="3"/>
            <w:vAlign w:val="center"/>
          </w:tcPr>
          <w:p w:rsidR="00207CA2" w:rsidRPr="00C36F1F" w:rsidRDefault="00207CA2" w:rsidP="009B6E5F">
            <w:pPr>
              <w:pStyle w:val="naisnod"/>
              <w:spacing w:before="0" w:after="0"/>
              <w:rPr>
                <w:sz w:val="26"/>
                <w:szCs w:val="26"/>
              </w:rPr>
            </w:pPr>
            <w:r w:rsidRPr="00C36F1F">
              <w:rPr>
                <w:sz w:val="26"/>
                <w:szCs w:val="26"/>
              </w:rPr>
              <w:t>I. Tiesību akta projekta izstrādes nepieciešamība</w:t>
            </w:r>
          </w:p>
        </w:tc>
      </w:tr>
      <w:tr w:rsidR="00207CA2" w:rsidRPr="00C36F1F" w:rsidTr="00261D16">
        <w:trPr>
          <w:trHeight w:val="630"/>
        </w:trPr>
        <w:tc>
          <w:tcPr>
            <w:tcW w:w="781" w:type="dxa"/>
          </w:tcPr>
          <w:p w:rsidR="00207CA2" w:rsidRPr="00C36F1F" w:rsidRDefault="00207CA2" w:rsidP="00FB2F9B">
            <w:pPr>
              <w:pStyle w:val="naiskr"/>
              <w:spacing w:before="0" w:after="0"/>
              <w:jc w:val="both"/>
              <w:rPr>
                <w:sz w:val="26"/>
                <w:szCs w:val="26"/>
              </w:rPr>
            </w:pPr>
            <w:r w:rsidRPr="00C36F1F">
              <w:rPr>
                <w:sz w:val="26"/>
                <w:szCs w:val="26"/>
              </w:rPr>
              <w:t>1.</w:t>
            </w:r>
          </w:p>
        </w:tc>
        <w:tc>
          <w:tcPr>
            <w:tcW w:w="1918" w:type="dxa"/>
          </w:tcPr>
          <w:p w:rsidR="00207CA2" w:rsidRPr="00C36F1F" w:rsidRDefault="00207CA2" w:rsidP="00FB2F9B">
            <w:pPr>
              <w:pStyle w:val="naiskr"/>
              <w:spacing w:before="0" w:after="0"/>
              <w:ind w:hanging="10"/>
              <w:jc w:val="both"/>
              <w:rPr>
                <w:sz w:val="26"/>
                <w:szCs w:val="26"/>
              </w:rPr>
            </w:pPr>
            <w:r w:rsidRPr="00C36F1F">
              <w:rPr>
                <w:sz w:val="26"/>
                <w:szCs w:val="26"/>
              </w:rPr>
              <w:t>Pamatojums</w:t>
            </w:r>
          </w:p>
        </w:tc>
        <w:tc>
          <w:tcPr>
            <w:tcW w:w="7239" w:type="dxa"/>
          </w:tcPr>
          <w:p w:rsidR="00FD68E0" w:rsidRPr="005A4585" w:rsidRDefault="005354BC" w:rsidP="00FD68E0">
            <w:pPr>
              <w:pStyle w:val="naiskr"/>
              <w:spacing w:before="0" w:after="0"/>
              <w:jc w:val="both"/>
              <w:rPr>
                <w:sz w:val="26"/>
                <w:szCs w:val="26"/>
              </w:rPr>
            </w:pPr>
            <w:r w:rsidRPr="005A4585">
              <w:rPr>
                <w:sz w:val="26"/>
                <w:szCs w:val="26"/>
              </w:rPr>
              <w:t>Likumprojekts izstrādāts atbilstoši</w:t>
            </w:r>
            <w:r w:rsidR="00FD68E0" w:rsidRPr="005A4585">
              <w:rPr>
                <w:sz w:val="26"/>
                <w:szCs w:val="26"/>
              </w:rPr>
              <w:t>:</w:t>
            </w:r>
          </w:p>
          <w:p w:rsidR="005A4585" w:rsidRPr="005A4585" w:rsidRDefault="005A4585" w:rsidP="00FD68E0">
            <w:pPr>
              <w:pStyle w:val="naiskr"/>
              <w:spacing w:before="0" w:after="0"/>
              <w:jc w:val="both"/>
              <w:rPr>
                <w:sz w:val="26"/>
                <w:szCs w:val="26"/>
              </w:rPr>
            </w:pPr>
            <w:r>
              <w:rPr>
                <w:sz w:val="26"/>
                <w:szCs w:val="26"/>
              </w:rPr>
              <w:t xml:space="preserve">   </w:t>
            </w:r>
            <w:r w:rsidR="00FD68E0" w:rsidRPr="005A4585">
              <w:rPr>
                <w:sz w:val="26"/>
                <w:szCs w:val="26"/>
              </w:rPr>
              <w:t>1.</w:t>
            </w:r>
            <w:r w:rsidRPr="005A4585">
              <w:rPr>
                <w:sz w:val="26"/>
                <w:szCs w:val="26"/>
              </w:rPr>
              <w:t xml:space="preserve"> Ministru kabineta 2013.gada 19.marta sēdē nolemtajam (protokols Nr.15 36.§), kas paredz uzdevumu Finanšu ministrijai</w:t>
            </w:r>
            <w:r w:rsidRPr="005A4585">
              <w:rPr>
                <w:color w:val="2A2A2A"/>
                <w:sz w:val="26"/>
                <w:szCs w:val="26"/>
              </w:rPr>
              <w:t xml:space="preserve"> </w:t>
            </w:r>
            <w:r w:rsidRPr="005A4585">
              <w:rPr>
                <w:sz w:val="26"/>
                <w:szCs w:val="26"/>
              </w:rPr>
              <w:t xml:space="preserve"> </w:t>
            </w:r>
            <w:r w:rsidRPr="005A4585">
              <w:rPr>
                <w:color w:val="2A2A2A"/>
                <w:sz w:val="26"/>
                <w:szCs w:val="26"/>
              </w:rPr>
              <w:t>vei</w:t>
            </w:r>
            <w:r>
              <w:rPr>
                <w:color w:val="2A2A2A"/>
                <w:sz w:val="26"/>
                <w:szCs w:val="26"/>
              </w:rPr>
              <w:t>k</w:t>
            </w:r>
            <w:r w:rsidRPr="005A4585">
              <w:rPr>
                <w:color w:val="2A2A2A"/>
                <w:sz w:val="26"/>
                <w:szCs w:val="26"/>
              </w:rPr>
              <w:t xml:space="preserve">t grozījumus </w:t>
            </w:r>
            <w:r>
              <w:t xml:space="preserve"> </w:t>
            </w:r>
            <w:r w:rsidRPr="005A4585">
              <w:rPr>
                <w:color w:val="2A2A2A"/>
                <w:sz w:val="26"/>
                <w:szCs w:val="26"/>
              </w:rPr>
              <w:t>Valsts un pašvaldību institūciju amatpersonu un darbinieku atlīdzības likuma 21.pantā, nosakot, ka, ja karavīrs ir kļuvis par I grupas invalīdu, vienreizēja pabalsta apmērs ir 50 000 latu un, svītrojot pantā atsa</w:t>
            </w:r>
            <w:r>
              <w:rPr>
                <w:color w:val="2A2A2A"/>
                <w:sz w:val="26"/>
                <w:szCs w:val="26"/>
              </w:rPr>
              <w:t>uces uz mēnešalgām, kā arī, veik</w:t>
            </w:r>
            <w:r w:rsidRPr="005A4585">
              <w:rPr>
                <w:color w:val="2A2A2A"/>
                <w:sz w:val="26"/>
                <w:szCs w:val="26"/>
              </w:rPr>
              <w:t>t citas izmaiņas atbilstoši Ministru kabineta sēdē nolemtajam.</w:t>
            </w:r>
          </w:p>
          <w:p w:rsidR="00A74432" w:rsidRDefault="005A4585" w:rsidP="00FD68E0">
            <w:pPr>
              <w:pStyle w:val="naiskr"/>
              <w:spacing w:before="0" w:after="0"/>
              <w:jc w:val="both"/>
              <w:rPr>
                <w:sz w:val="26"/>
                <w:szCs w:val="26"/>
              </w:rPr>
            </w:pPr>
            <w:r>
              <w:rPr>
                <w:sz w:val="26"/>
                <w:szCs w:val="26"/>
              </w:rPr>
              <w:t xml:space="preserve">     2. </w:t>
            </w:r>
            <w:r w:rsidR="00A74432" w:rsidRPr="00C36F1F">
              <w:rPr>
                <w:sz w:val="26"/>
                <w:szCs w:val="26"/>
              </w:rPr>
              <w:t>Ministru kabineta 201</w:t>
            </w:r>
            <w:r w:rsidR="00A74432">
              <w:rPr>
                <w:sz w:val="26"/>
                <w:szCs w:val="26"/>
              </w:rPr>
              <w:t>3</w:t>
            </w:r>
            <w:r w:rsidR="00A74432" w:rsidRPr="00C36F1F">
              <w:rPr>
                <w:sz w:val="26"/>
                <w:szCs w:val="26"/>
              </w:rPr>
              <w:t xml:space="preserve">.gada </w:t>
            </w:r>
            <w:r w:rsidR="00A74432">
              <w:rPr>
                <w:sz w:val="26"/>
                <w:szCs w:val="26"/>
              </w:rPr>
              <w:t>4</w:t>
            </w:r>
            <w:r w:rsidR="00A74432" w:rsidRPr="00C36F1F">
              <w:rPr>
                <w:sz w:val="26"/>
                <w:szCs w:val="26"/>
              </w:rPr>
              <w:t>.</w:t>
            </w:r>
            <w:r w:rsidR="00A74432">
              <w:rPr>
                <w:sz w:val="26"/>
                <w:szCs w:val="26"/>
              </w:rPr>
              <w:t>jūnija</w:t>
            </w:r>
            <w:r w:rsidR="00A74432" w:rsidRPr="00C36F1F">
              <w:rPr>
                <w:sz w:val="26"/>
                <w:szCs w:val="26"/>
              </w:rPr>
              <w:t xml:space="preserve"> sēdē nolemtajam (</w:t>
            </w:r>
            <w:r w:rsidR="00A74432" w:rsidRPr="00FD68E0">
              <w:rPr>
                <w:sz w:val="26"/>
                <w:szCs w:val="26"/>
              </w:rPr>
              <w:t>protokols Nr.</w:t>
            </w:r>
            <w:r w:rsidR="00A74432">
              <w:rPr>
                <w:sz w:val="26"/>
                <w:szCs w:val="26"/>
              </w:rPr>
              <w:t>33</w:t>
            </w:r>
            <w:r w:rsidR="00A74432" w:rsidRPr="00FD68E0">
              <w:rPr>
                <w:sz w:val="26"/>
                <w:szCs w:val="26"/>
              </w:rPr>
              <w:t xml:space="preserve"> </w:t>
            </w:r>
            <w:r w:rsidR="00A74432">
              <w:rPr>
                <w:sz w:val="26"/>
                <w:szCs w:val="26"/>
              </w:rPr>
              <w:t>28</w:t>
            </w:r>
            <w:r w:rsidR="00A74432" w:rsidRPr="00FD68E0">
              <w:rPr>
                <w:sz w:val="26"/>
                <w:szCs w:val="26"/>
              </w:rPr>
              <w:t>.§)</w:t>
            </w:r>
            <w:r w:rsidR="007B6ED1">
              <w:rPr>
                <w:sz w:val="26"/>
                <w:szCs w:val="26"/>
              </w:rPr>
              <w:t>,</w:t>
            </w:r>
            <w:r w:rsidR="00A74432" w:rsidRPr="00C36F1F">
              <w:rPr>
                <w:sz w:val="26"/>
                <w:szCs w:val="26"/>
              </w:rPr>
              <w:t xml:space="preserve"> kas paredz uzdevumu Finanšu ministrijai</w:t>
            </w:r>
            <w:r w:rsidR="00A74432">
              <w:rPr>
                <w:sz w:val="26"/>
                <w:szCs w:val="26"/>
              </w:rPr>
              <w:t xml:space="preserve"> izlīdzināt atlīdzības fondus, prioritāri paaugstinot zemākās mēnešalgas.</w:t>
            </w:r>
          </w:p>
          <w:p w:rsidR="00A74432" w:rsidRDefault="005A4585" w:rsidP="00A74432">
            <w:pPr>
              <w:pStyle w:val="naiskr"/>
              <w:jc w:val="both"/>
              <w:rPr>
                <w:sz w:val="26"/>
                <w:szCs w:val="26"/>
              </w:rPr>
            </w:pPr>
            <w:r>
              <w:rPr>
                <w:sz w:val="26"/>
                <w:szCs w:val="26"/>
              </w:rPr>
              <w:t xml:space="preserve">    3</w:t>
            </w:r>
            <w:r w:rsidR="00A74432">
              <w:rPr>
                <w:sz w:val="26"/>
                <w:szCs w:val="26"/>
              </w:rPr>
              <w:t xml:space="preserve">. </w:t>
            </w:r>
            <w:r w:rsidR="00A74432" w:rsidRPr="00C36F1F">
              <w:rPr>
                <w:sz w:val="26"/>
                <w:szCs w:val="26"/>
              </w:rPr>
              <w:t>Ministru kabineta 201</w:t>
            </w:r>
            <w:r w:rsidR="00A74432">
              <w:rPr>
                <w:sz w:val="26"/>
                <w:szCs w:val="26"/>
              </w:rPr>
              <w:t>3</w:t>
            </w:r>
            <w:r w:rsidR="00A74432" w:rsidRPr="00C36F1F">
              <w:rPr>
                <w:sz w:val="26"/>
                <w:szCs w:val="26"/>
              </w:rPr>
              <w:t xml:space="preserve">.gada </w:t>
            </w:r>
            <w:r w:rsidR="00A74432">
              <w:rPr>
                <w:sz w:val="26"/>
                <w:szCs w:val="26"/>
              </w:rPr>
              <w:t>11</w:t>
            </w:r>
            <w:r w:rsidR="00A74432" w:rsidRPr="00C36F1F">
              <w:rPr>
                <w:sz w:val="26"/>
                <w:szCs w:val="26"/>
              </w:rPr>
              <w:t>.</w:t>
            </w:r>
            <w:r w:rsidR="00A74432">
              <w:rPr>
                <w:sz w:val="26"/>
                <w:szCs w:val="26"/>
              </w:rPr>
              <w:t>jūnija</w:t>
            </w:r>
            <w:r w:rsidR="00A74432" w:rsidRPr="00C36F1F">
              <w:rPr>
                <w:sz w:val="26"/>
                <w:szCs w:val="26"/>
              </w:rPr>
              <w:t xml:space="preserve"> sēdē nolemtajam </w:t>
            </w:r>
            <w:r w:rsidR="00A74432">
              <w:t>(</w:t>
            </w:r>
            <w:r w:rsidR="00A74432" w:rsidRPr="00A74432">
              <w:rPr>
                <w:sz w:val="26"/>
                <w:szCs w:val="26"/>
              </w:rPr>
              <w:t>protokols</w:t>
            </w:r>
            <w:r w:rsidR="00A74432">
              <w:t xml:space="preserve"> Nr.34</w:t>
            </w:r>
            <w:r w:rsidR="00A74432" w:rsidRPr="00A74432">
              <w:t xml:space="preserve"> </w:t>
            </w:r>
            <w:r w:rsidR="00A74432">
              <w:rPr>
                <w:sz w:val="26"/>
                <w:szCs w:val="26"/>
              </w:rPr>
              <w:t xml:space="preserve">32.§), kas paredz </w:t>
            </w:r>
            <w:r w:rsidR="00A74432" w:rsidRPr="00A74432">
              <w:rPr>
                <w:sz w:val="26"/>
                <w:szCs w:val="26"/>
              </w:rPr>
              <w:t xml:space="preserve">minimālās mēneša darba algas </w:t>
            </w:r>
            <w:r w:rsidR="00A74432">
              <w:rPr>
                <w:sz w:val="26"/>
                <w:szCs w:val="26"/>
              </w:rPr>
              <w:t>paaugstināšanu ar</w:t>
            </w:r>
            <w:r w:rsidR="00A74432" w:rsidRPr="00A74432">
              <w:rPr>
                <w:sz w:val="26"/>
                <w:szCs w:val="26"/>
              </w:rPr>
              <w:t xml:space="preserve"> 2014.gad</w:t>
            </w:r>
            <w:r w:rsidR="00A74432">
              <w:rPr>
                <w:sz w:val="26"/>
                <w:szCs w:val="26"/>
              </w:rPr>
              <w:t>a 1.janvāri no Ls 200 uz Ls 225.</w:t>
            </w:r>
          </w:p>
          <w:p w:rsidR="00207CA2" w:rsidRDefault="005A4585" w:rsidP="00FD68E0">
            <w:pPr>
              <w:pStyle w:val="naiskr"/>
              <w:spacing w:before="0" w:after="0"/>
              <w:jc w:val="both"/>
              <w:rPr>
                <w:sz w:val="26"/>
                <w:szCs w:val="26"/>
              </w:rPr>
            </w:pPr>
            <w:r>
              <w:rPr>
                <w:sz w:val="26"/>
                <w:szCs w:val="26"/>
              </w:rPr>
              <w:t xml:space="preserve">   4</w:t>
            </w:r>
            <w:r w:rsidR="00A74432">
              <w:rPr>
                <w:sz w:val="26"/>
                <w:szCs w:val="26"/>
              </w:rPr>
              <w:t xml:space="preserve">. </w:t>
            </w:r>
            <w:r w:rsidR="005D4608" w:rsidRPr="00C36F1F">
              <w:rPr>
                <w:sz w:val="26"/>
                <w:szCs w:val="26"/>
              </w:rPr>
              <w:t>Ministru kabineta 201</w:t>
            </w:r>
            <w:r w:rsidR="00AD3FCE">
              <w:rPr>
                <w:sz w:val="26"/>
                <w:szCs w:val="26"/>
              </w:rPr>
              <w:t>3</w:t>
            </w:r>
            <w:r w:rsidR="005D4608" w:rsidRPr="00C36F1F">
              <w:rPr>
                <w:sz w:val="26"/>
                <w:szCs w:val="26"/>
              </w:rPr>
              <w:t xml:space="preserve">.gada </w:t>
            </w:r>
            <w:r w:rsidR="00AD3FCE">
              <w:rPr>
                <w:sz w:val="26"/>
                <w:szCs w:val="26"/>
              </w:rPr>
              <w:t>6</w:t>
            </w:r>
            <w:r w:rsidR="005D4608" w:rsidRPr="00C36F1F">
              <w:rPr>
                <w:sz w:val="26"/>
                <w:szCs w:val="26"/>
              </w:rPr>
              <w:t>.</w:t>
            </w:r>
            <w:r w:rsidR="00AD3FCE">
              <w:rPr>
                <w:sz w:val="26"/>
                <w:szCs w:val="26"/>
              </w:rPr>
              <w:t>augusta</w:t>
            </w:r>
            <w:r w:rsidR="005D4608" w:rsidRPr="00C36F1F">
              <w:rPr>
                <w:sz w:val="26"/>
                <w:szCs w:val="26"/>
              </w:rPr>
              <w:t xml:space="preserve"> sēdē nolemta</w:t>
            </w:r>
            <w:r w:rsidR="005354BC" w:rsidRPr="00C36F1F">
              <w:rPr>
                <w:sz w:val="26"/>
                <w:szCs w:val="26"/>
              </w:rPr>
              <w:t>jam</w:t>
            </w:r>
            <w:r w:rsidR="005D4608" w:rsidRPr="00C36F1F">
              <w:rPr>
                <w:sz w:val="26"/>
                <w:szCs w:val="26"/>
              </w:rPr>
              <w:t xml:space="preserve"> (</w:t>
            </w:r>
            <w:r w:rsidR="00FD68E0" w:rsidRPr="00FD68E0">
              <w:rPr>
                <w:sz w:val="26"/>
                <w:szCs w:val="26"/>
              </w:rPr>
              <w:t>protokols Nr.4</w:t>
            </w:r>
            <w:r w:rsidR="005D4608" w:rsidRPr="00FD68E0">
              <w:rPr>
                <w:sz w:val="26"/>
                <w:szCs w:val="26"/>
              </w:rPr>
              <w:t xml:space="preserve">2 </w:t>
            </w:r>
            <w:r w:rsidR="00FD68E0" w:rsidRPr="00FD68E0">
              <w:rPr>
                <w:sz w:val="26"/>
                <w:szCs w:val="26"/>
              </w:rPr>
              <w:t>61</w:t>
            </w:r>
            <w:r w:rsidR="007B6ED1">
              <w:rPr>
                <w:sz w:val="26"/>
                <w:szCs w:val="26"/>
              </w:rPr>
              <w:t>.§),</w:t>
            </w:r>
            <w:r w:rsidR="005354BC" w:rsidRPr="00C36F1F">
              <w:rPr>
                <w:sz w:val="26"/>
                <w:szCs w:val="26"/>
              </w:rPr>
              <w:t xml:space="preserve"> kas paredz uzdevumu Finanšu ministrijai izstrādāt un iesniegt grozījumus Valsts un pašvaldību institūciju amatpersonu </w:t>
            </w:r>
            <w:r w:rsidR="00FD68E0">
              <w:rPr>
                <w:sz w:val="26"/>
                <w:szCs w:val="26"/>
              </w:rPr>
              <w:t xml:space="preserve">un darbinieku atlīdzības likumā izslēdzot </w:t>
            </w:r>
            <w:r w:rsidR="00FD68E0">
              <w:rPr>
                <w:rFonts w:eastAsiaTheme="minorHAnsi"/>
                <w:color w:val="000000"/>
                <w:sz w:val="26"/>
                <w:szCs w:val="26"/>
              </w:rPr>
              <w:t>19.panta piekto daļu</w:t>
            </w:r>
            <w:r w:rsidR="00FD68E0">
              <w:rPr>
                <w:sz w:val="26"/>
                <w:szCs w:val="26"/>
              </w:rPr>
              <w:t>;</w:t>
            </w:r>
          </w:p>
          <w:p w:rsidR="00467FCB" w:rsidRDefault="005A4585" w:rsidP="008327A2">
            <w:pPr>
              <w:pStyle w:val="naiskr"/>
              <w:spacing w:before="0" w:after="0"/>
              <w:jc w:val="both"/>
              <w:rPr>
                <w:sz w:val="26"/>
                <w:szCs w:val="26"/>
              </w:rPr>
            </w:pPr>
            <w:r>
              <w:rPr>
                <w:sz w:val="26"/>
                <w:szCs w:val="26"/>
              </w:rPr>
              <w:t xml:space="preserve">    5</w:t>
            </w:r>
            <w:r w:rsidR="00D04A23">
              <w:rPr>
                <w:sz w:val="26"/>
                <w:szCs w:val="26"/>
              </w:rPr>
              <w:t xml:space="preserve">. </w:t>
            </w:r>
            <w:r w:rsidR="00FD68E0" w:rsidRPr="00C36F1F">
              <w:rPr>
                <w:sz w:val="26"/>
                <w:szCs w:val="26"/>
              </w:rPr>
              <w:t>Ministru kabineta 201</w:t>
            </w:r>
            <w:r w:rsidR="00FD68E0">
              <w:rPr>
                <w:sz w:val="26"/>
                <w:szCs w:val="26"/>
              </w:rPr>
              <w:t>3</w:t>
            </w:r>
            <w:r w:rsidR="00FD68E0" w:rsidRPr="00C36F1F">
              <w:rPr>
                <w:sz w:val="26"/>
                <w:szCs w:val="26"/>
              </w:rPr>
              <w:t xml:space="preserve">.gada </w:t>
            </w:r>
            <w:r w:rsidR="00FD68E0">
              <w:rPr>
                <w:sz w:val="26"/>
                <w:szCs w:val="26"/>
              </w:rPr>
              <w:t>13</w:t>
            </w:r>
            <w:r w:rsidR="00FD68E0" w:rsidRPr="00C36F1F">
              <w:rPr>
                <w:sz w:val="26"/>
                <w:szCs w:val="26"/>
              </w:rPr>
              <w:t>.</w:t>
            </w:r>
            <w:r w:rsidR="00FD68E0">
              <w:rPr>
                <w:sz w:val="26"/>
                <w:szCs w:val="26"/>
              </w:rPr>
              <w:t>augusta</w:t>
            </w:r>
            <w:r w:rsidR="00FD68E0" w:rsidRPr="00C36F1F">
              <w:rPr>
                <w:sz w:val="26"/>
                <w:szCs w:val="26"/>
              </w:rPr>
              <w:t xml:space="preserve"> sēdē nolemtajam (</w:t>
            </w:r>
            <w:r w:rsidR="00FD68E0" w:rsidRPr="00FD68E0">
              <w:rPr>
                <w:sz w:val="26"/>
                <w:szCs w:val="26"/>
              </w:rPr>
              <w:t>protokols Nr.</w:t>
            </w:r>
            <w:r w:rsidR="00FD68E0" w:rsidRPr="00A74432">
              <w:rPr>
                <w:sz w:val="26"/>
                <w:szCs w:val="26"/>
              </w:rPr>
              <w:t>4</w:t>
            </w:r>
            <w:r w:rsidR="005064E9" w:rsidRPr="00A74432">
              <w:rPr>
                <w:sz w:val="26"/>
                <w:szCs w:val="26"/>
              </w:rPr>
              <w:t>4</w:t>
            </w:r>
            <w:r w:rsidR="00FD68E0" w:rsidRPr="00A74432">
              <w:rPr>
                <w:sz w:val="26"/>
                <w:szCs w:val="26"/>
              </w:rPr>
              <w:t xml:space="preserve"> 1</w:t>
            </w:r>
            <w:r w:rsidR="005064E9" w:rsidRPr="00A74432">
              <w:rPr>
                <w:sz w:val="26"/>
                <w:szCs w:val="26"/>
              </w:rPr>
              <w:t>73</w:t>
            </w:r>
            <w:r w:rsidR="00FD68E0" w:rsidRPr="00A74432">
              <w:rPr>
                <w:sz w:val="26"/>
                <w:szCs w:val="26"/>
              </w:rPr>
              <w:t>.§)</w:t>
            </w:r>
            <w:r w:rsidR="007B6ED1">
              <w:rPr>
                <w:sz w:val="26"/>
                <w:szCs w:val="26"/>
              </w:rPr>
              <w:t>,</w:t>
            </w:r>
            <w:r w:rsidR="00FD68E0" w:rsidRPr="00C36F1F">
              <w:rPr>
                <w:sz w:val="26"/>
                <w:szCs w:val="26"/>
              </w:rPr>
              <w:t xml:space="preserve"> kas paredz uzdevumu</w:t>
            </w:r>
            <w:r w:rsidR="00416A17">
              <w:rPr>
                <w:sz w:val="26"/>
                <w:szCs w:val="26"/>
              </w:rPr>
              <w:t xml:space="preserve"> </w:t>
            </w:r>
            <w:r w:rsidR="00FD68E0" w:rsidRPr="00C36F1F">
              <w:rPr>
                <w:sz w:val="26"/>
                <w:szCs w:val="26"/>
              </w:rPr>
              <w:t>Finanšu ministrijai</w:t>
            </w:r>
            <w:r w:rsidR="00FD68E0">
              <w:rPr>
                <w:sz w:val="26"/>
                <w:szCs w:val="26"/>
              </w:rPr>
              <w:t xml:space="preserve"> noteikt ierobežojumus piemaksu piešķiršanai</w:t>
            </w:r>
            <w:r w:rsidR="008327A2">
              <w:rPr>
                <w:sz w:val="26"/>
                <w:szCs w:val="26"/>
              </w:rPr>
              <w:t xml:space="preserve"> gadījumos, kad amatpersonai darbiniekam ir noteikta piemaksa par darbu Latvijas prezidentūras ES padomē sagatavošanā un norisē.</w:t>
            </w:r>
          </w:p>
          <w:p w:rsidR="008E53DE" w:rsidRDefault="008E53DE" w:rsidP="008327A2">
            <w:pPr>
              <w:pStyle w:val="naiskr"/>
              <w:spacing w:before="0" w:after="0"/>
              <w:jc w:val="both"/>
              <w:rPr>
                <w:sz w:val="26"/>
                <w:szCs w:val="26"/>
              </w:rPr>
            </w:pPr>
            <w:r>
              <w:rPr>
                <w:sz w:val="26"/>
                <w:szCs w:val="26"/>
              </w:rPr>
              <w:t xml:space="preserve">    6. </w:t>
            </w:r>
            <w:r>
              <w:t xml:space="preserve"> </w:t>
            </w:r>
            <w:r w:rsidRPr="008E53DE">
              <w:rPr>
                <w:sz w:val="26"/>
                <w:szCs w:val="26"/>
              </w:rPr>
              <w:t>Ministru kabineta 2013.gada 27.augusta sēdē nolemtais par papildu finansējuma piešķiršanu jaunajai politikas iniciatīvai par uz vienlīdzīgiem principiem balstītas atlīdzības nodrošināšanu, tajā skaitā virsstundu darba samaksas atjaunošanu Iekšlietu ministrijas sistēmas iestāžu un Ieslodzījuma vietu pārvaldes amatpersonām ar speciālajām dienesta pakāpēm.</w:t>
            </w:r>
          </w:p>
          <w:p w:rsidR="00391141" w:rsidRDefault="00391141" w:rsidP="008327A2">
            <w:pPr>
              <w:pStyle w:val="naiskr"/>
              <w:spacing w:before="0" w:after="0"/>
              <w:jc w:val="both"/>
              <w:rPr>
                <w:sz w:val="26"/>
                <w:szCs w:val="26"/>
              </w:rPr>
            </w:pPr>
          </w:p>
          <w:p w:rsidR="00391141" w:rsidRPr="00C36F1F" w:rsidRDefault="00391141" w:rsidP="00391141">
            <w:pPr>
              <w:pStyle w:val="naiskr"/>
              <w:spacing w:before="0" w:after="0"/>
              <w:jc w:val="both"/>
              <w:rPr>
                <w:sz w:val="26"/>
                <w:szCs w:val="26"/>
              </w:rPr>
            </w:pPr>
            <w:r>
              <w:rPr>
                <w:sz w:val="26"/>
                <w:szCs w:val="26"/>
              </w:rPr>
              <w:t>Tā kā likumprojektā ietvertie jautājumi skar 2014.gada budžetu, likumprojekts virzāms likumprojekta „Par valsts budžetu 2014.gadam” paketē.</w:t>
            </w:r>
          </w:p>
        </w:tc>
      </w:tr>
      <w:tr w:rsidR="00207CA2" w:rsidRPr="00C36F1F" w:rsidTr="00261D16">
        <w:trPr>
          <w:trHeight w:val="472"/>
        </w:trPr>
        <w:tc>
          <w:tcPr>
            <w:tcW w:w="781" w:type="dxa"/>
          </w:tcPr>
          <w:p w:rsidR="00207CA2" w:rsidRPr="00C36F1F" w:rsidRDefault="00207CA2" w:rsidP="00FB2F9B">
            <w:pPr>
              <w:pStyle w:val="naiskr"/>
              <w:spacing w:before="0" w:after="0"/>
              <w:jc w:val="both"/>
              <w:rPr>
                <w:sz w:val="26"/>
                <w:szCs w:val="26"/>
              </w:rPr>
            </w:pPr>
            <w:r w:rsidRPr="00C36F1F">
              <w:rPr>
                <w:sz w:val="26"/>
                <w:szCs w:val="26"/>
              </w:rPr>
              <w:t>2.</w:t>
            </w:r>
          </w:p>
        </w:tc>
        <w:tc>
          <w:tcPr>
            <w:tcW w:w="1918" w:type="dxa"/>
          </w:tcPr>
          <w:p w:rsidR="00CC0BF6" w:rsidRPr="00C36F1F" w:rsidRDefault="00CC0BF6" w:rsidP="00FB2F9B">
            <w:pPr>
              <w:pStyle w:val="naiskr"/>
              <w:tabs>
                <w:tab w:val="left" w:pos="170"/>
              </w:tabs>
              <w:spacing w:before="0" w:after="0"/>
              <w:jc w:val="both"/>
              <w:rPr>
                <w:sz w:val="26"/>
                <w:szCs w:val="26"/>
              </w:rPr>
            </w:pPr>
            <w:r w:rsidRPr="00C36F1F">
              <w:rPr>
                <w:sz w:val="26"/>
                <w:szCs w:val="26"/>
              </w:rPr>
              <w:t>Pašreizējā situācija un</w:t>
            </w:r>
          </w:p>
          <w:p w:rsidR="00207CA2" w:rsidRPr="00C36F1F" w:rsidRDefault="00207CA2" w:rsidP="00FB2F9B">
            <w:pPr>
              <w:pStyle w:val="naiskr"/>
              <w:tabs>
                <w:tab w:val="left" w:pos="170"/>
              </w:tabs>
              <w:spacing w:before="0" w:after="0"/>
              <w:jc w:val="both"/>
              <w:rPr>
                <w:sz w:val="26"/>
                <w:szCs w:val="26"/>
              </w:rPr>
            </w:pPr>
            <w:r w:rsidRPr="00C36F1F">
              <w:rPr>
                <w:sz w:val="26"/>
                <w:szCs w:val="26"/>
              </w:rPr>
              <w:t>problēmas</w:t>
            </w:r>
          </w:p>
        </w:tc>
        <w:tc>
          <w:tcPr>
            <w:tcW w:w="7239" w:type="dxa"/>
          </w:tcPr>
          <w:p w:rsidR="0032599C" w:rsidRPr="0032599C" w:rsidRDefault="0068723A" w:rsidP="0068723A">
            <w:pPr>
              <w:jc w:val="both"/>
              <w:rPr>
                <w:sz w:val="26"/>
                <w:szCs w:val="26"/>
              </w:rPr>
            </w:pPr>
            <w:r w:rsidRPr="0032599C">
              <w:rPr>
                <w:sz w:val="26"/>
                <w:szCs w:val="26"/>
              </w:rPr>
              <w:t>Lai nodrošinātu racionālu, lietderīgu un ekonomisku budžeta līdzekļu izlietošanu Latvijas prezidentūras Eiropas Savienības Padomē laikā, nepieciešams noteikt ierobežojumus piemaks</w:t>
            </w:r>
            <w:r w:rsidR="00FC5BE0" w:rsidRPr="0032599C">
              <w:rPr>
                <w:sz w:val="26"/>
                <w:szCs w:val="26"/>
              </w:rPr>
              <w:t>ām,</w:t>
            </w:r>
            <w:r w:rsidRPr="0032599C">
              <w:rPr>
                <w:sz w:val="26"/>
                <w:szCs w:val="26"/>
              </w:rPr>
              <w:t xml:space="preserve"> ja amatpersonai (darbiniekam) tiek noteikta piemaksa par darbu Latvijas prezidentūras Eiropas Savienības padomē sagatavošanā un norisē</w:t>
            </w:r>
            <w:r w:rsidR="0032599C" w:rsidRPr="0032599C">
              <w:rPr>
                <w:sz w:val="26"/>
                <w:szCs w:val="26"/>
              </w:rPr>
              <w:t>.</w:t>
            </w:r>
          </w:p>
          <w:p w:rsidR="0068723A" w:rsidRPr="0032599C" w:rsidRDefault="0068723A" w:rsidP="0068723A">
            <w:pPr>
              <w:jc w:val="both"/>
              <w:rPr>
                <w:sz w:val="26"/>
                <w:szCs w:val="26"/>
              </w:rPr>
            </w:pPr>
            <w:r w:rsidRPr="0032599C">
              <w:rPr>
                <w:sz w:val="26"/>
                <w:szCs w:val="26"/>
              </w:rPr>
              <w:t xml:space="preserve"> Ministru kabineta 2013.gada 19.marta sēdē (protokols Nr.15 36.§) tika akceptēts informatīvais ziņojums "Priekšlikumi par normatīvajos aktos noteikto sociālo garantiju karavīriem un amatpersonām ar </w:t>
            </w:r>
            <w:r w:rsidRPr="0032599C">
              <w:rPr>
                <w:sz w:val="26"/>
                <w:szCs w:val="26"/>
              </w:rPr>
              <w:lastRenderedPageBreak/>
              <w:t xml:space="preserve">speciālajām dienesta pakāpēm iespējamu pilnveidošanu", kas paredz paplašināt obligāti apdrošināmo amatpersonu loku ar VID amatpersonām  - VID Muitas pārvaldes, Muitas </w:t>
            </w:r>
            <w:proofErr w:type="spellStart"/>
            <w:r w:rsidRPr="0032599C">
              <w:rPr>
                <w:sz w:val="26"/>
                <w:szCs w:val="26"/>
              </w:rPr>
              <w:t>kriminālpārvaldes</w:t>
            </w:r>
            <w:proofErr w:type="spellEnd"/>
            <w:r w:rsidRPr="0032599C">
              <w:rPr>
                <w:sz w:val="26"/>
                <w:szCs w:val="26"/>
              </w:rPr>
              <w:t xml:space="preserve"> un Finanšu policijas specializētā valsts civildienesta ierēdņiem, kuriem arī piešķirtas speciālās dienesta pakāpes, kas, veicot amata (dienesta, darba) pienākumus, ir pakļautas reālam dzīvības vai veselības apdraudējumam (riskam). Līdz ar to nepieciešams atlīdzības likuma 37.pantu papildināt ar iepriekš minēto amatpersonu loku.</w:t>
            </w:r>
          </w:p>
          <w:p w:rsidR="0035469D" w:rsidRPr="0032599C" w:rsidRDefault="0035469D" w:rsidP="0068723A">
            <w:pPr>
              <w:pStyle w:val="naisf"/>
              <w:tabs>
                <w:tab w:val="num" w:pos="360"/>
                <w:tab w:val="left" w:pos="900"/>
              </w:tabs>
              <w:spacing w:before="0" w:after="0"/>
              <w:ind w:firstLine="634"/>
              <w:rPr>
                <w:sz w:val="26"/>
                <w:szCs w:val="26"/>
              </w:rPr>
            </w:pPr>
          </w:p>
          <w:p w:rsidR="0068723A" w:rsidRPr="00C36F1F" w:rsidRDefault="0068723A" w:rsidP="001815BF">
            <w:pPr>
              <w:autoSpaceDE w:val="0"/>
              <w:autoSpaceDN w:val="0"/>
              <w:adjustRightInd w:val="0"/>
              <w:ind w:firstLine="567"/>
              <w:jc w:val="both"/>
              <w:rPr>
                <w:sz w:val="26"/>
                <w:szCs w:val="26"/>
              </w:rPr>
            </w:pPr>
            <w:r w:rsidRPr="0032599C">
              <w:rPr>
                <w:sz w:val="26"/>
                <w:szCs w:val="26"/>
              </w:rPr>
              <w:t>Atlīdzības likums 2013</w:t>
            </w:r>
            <w:r w:rsidRPr="00C36F1F">
              <w:rPr>
                <w:sz w:val="26"/>
                <w:szCs w:val="26"/>
              </w:rPr>
              <w:t>.gadā nosaka iespēju izmaksāt prēmiju atsevišķ</w:t>
            </w:r>
            <w:r>
              <w:rPr>
                <w:sz w:val="26"/>
                <w:szCs w:val="26"/>
              </w:rPr>
              <w:t>u valsts institūciju nodarbinātajiem</w:t>
            </w:r>
            <w:r w:rsidRPr="00C36F1F">
              <w:rPr>
                <w:sz w:val="26"/>
                <w:szCs w:val="26"/>
              </w:rPr>
              <w:t>, k</w:t>
            </w:r>
            <w:r>
              <w:rPr>
                <w:sz w:val="26"/>
                <w:szCs w:val="26"/>
              </w:rPr>
              <w:t>uri</w:t>
            </w:r>
            <w:r w:rsidRPr="00C36F1F">
              <w:rPr>
                <w:sz w:val="26"/>
                <w:szCs w:val="26"/>
              </w:rPr>
              <w:t xml:space="preserve"> ir iesaistīt</w:t>
            </w:r>
            <w:r>
              <w:rPr>
                <w:sz w:val="26"/>
                <w:szCs w:val="26"/>
              </w:rPr>
              <w:t>i</w:t>
            </w:r>
            <w:r w:rsidRPr="00C36F1F">
              <w:rPr>
                <w:sz w:val="26"/>
                <w:szCs w:val="26"/>
              </w:rPr>
              <w:t xml:space="preserve"> ēnu ekonomikas apkarošanas pasākumu īstenošanā</w:t>
            </w:r>
            <w:r>
              <w:rPr>
                <w:sz w:val="26"/>
                <w:szCs w:val="26"/>
              </w:rPr>
              <w:t>,</w:t>
            </w:r>
            <w:r>
              <w:t xml:space="preserve"> </w:t>
            </w:r>
            <w:r w:rsidRPr="008402CA">
              <w:rPr>
                <w:sz w:val="26"/>
                <w:szCs w:val="26"/>
              </w:rPr>
              <w:t>ja viņu darbības rezultātā ir būtiski uzlabota situācija ēnu ekonomikas apkarošanā un g</w:t>
            </w:r>
            <w:r>
              <w:rPr>
                <w:sz w:val="26"/>
                <w:szCs w:val="26"/>
              </w:rPr>
              <w:t>odīgas konkurences veicināšanā</w:t>
            </w:r>
            <w:r w:rsidR="00901B3D">
              <w:rPr>
                <w:sz w:val="26"/>
                <w:szCs w:val="26"/>
              </w:rPr>
              <w:t>, kā arī</w:t>
            </w:r>
            <w:r>
              <w:rPr>
                <w:sz w:val="26"/>
                <w:szCs w:val="26"/>
              </w:rPr>
              <w:t xml:space="preserve">. </w:t>
            </w:r>
            <w:r w:rsidR="00901B3D" w:rsidRPr="0005709F">
              <w:rPr>
                <w:rFonts w:cs="Arial"/>
                <w:color w:val="000000"/>
                <w:sz w:val="26"/>
                <w:szCs w:val="26"/>
              </w:rPr>
              <w:t xml:space="preserve">Valsts kases </w:t>
            </w:r>
            <w:r w:rsidR="00901B3D">
              <w:rPr>
                <w:rFonts w:cs="Arial"/>
                <w:color w:val="000000"/>
                <w:sz w:val="26"/>
                <w:szCs w:val="26"/>
              </w:rPr>
              <w:t>darbiniekiem</w:t>
            </w:r>
            <w:r w:rsidR="00901B3D" w:rsidRPr="0005709F">
              <w:rPr>
                <w:rFonts w:cs="Arial"/>
                <w:color w:val="000000"/>
                <w:sz w:val="26"/>
                <w:szCs w:val="26"/>
              </w:rPr>
              <w:t xml:space="preserve"> par ieguldījumu </w:t>
            </w:r>
            <w:r w:rsidR="00901B3D" w:rsidRPr="0005709F">
              <w:rPr>
                <w:sz w:val="26"/>
                <w:szCs w:val="26"/>
              </w:rPr>
              <w:t xml:space="preserve"> </w:t>
            </w:r>
            <w:r w:rsidR="00901B3D" w:rsidRPr="0005709F">
              <w:rPr>
                <w:rFonts w:cs="Arial"/>
                <w:color w:val="000000"/>
                <w:sz w:val="26"/>
                <w:szCs w:val="26"/>
              </w:rPr>
              <w:t>valsts budžeta izdevumu samazināšanā, nodrošino</w:t>
            </w:r>
            <w:r w:rsidR="00901B3D">
              <w:rPr>
                <w:rFonts w:cs="Arial"/>
                <w:color w:val="000000"/>
                <w:sz w:val="26"/>
                <w:szCs w:val="26"/>
              </w:rPr>
              <w:t>t efektīvu valsts parāda vadību, kā arī valsts un pašvaldību un</w:t>
            </w:r>
            <w:r w:rsidR="00470BCA">
              <w:rPr>
                <w:rFonts w:cs="Arial"/>
                <w:color w:val="000000"/>
                <w:sz w:val="26"/>
                <w:szCs w:val="26"/>
              </w:rPr>
              <w:t xml:space="preserve"> situāciju</w:t>
            </w:r>
            <w:r w:rsidR="00901B3D">
              <w:rPr>
                <w:rFonts w:cs="Arial"/>
                <w:color w:val="000000"/>
                <w:sz w:val="26"/>
                <w:szCs w:val="26"/>
              </w:rPr>
              <w:t xml:space="preserve"> darbiniekiem  gadījumos, </w:t>
            </w:r>
            <w:r w:rsidR="00901B3D">
              <w:rPr>
                <w:sz w:val="26"/>
                <w:szCs w:val="26"/>
              </w:rPr>
              <w:t xml:space="preserve">ja </w:t>
            </w:r>
            <w:r w:rsidR="00901B3D" w:rsidRPr="0005709F">
              <w:rPr>
                <w:sz w:val="26"/>
                <w:szCs w:val="26"/>
              </w:rPr>
              <w:t>ir nodrošināta valsts vai pašvaldību  budžeta izdevumu samazināšana.</w:t>
            </w:r>
            <w:r w:rsidR="00901B3D" w:rsidRPr="0005709F">
              <w:rPr>
                <w:rFonts w:cs="Arial"/>
                <w:color w:val="000000"/>
                <w:sz w:val="26"/>
                <w:szCs w:val="26"/>
              </w:rPr>
              <w:t xml:space="preserve"> </w:t>
            </w:r>
            <w:r w:rsidR="00901B3D">
              <w:rPr>
                <w:sz w:val="26"/>
                <w:szCs w:val="26"/>
              </w:rPr>
              <w:t xml:space="preserve">Ņemot vērā jautājuma aktualitāti, </w:t>
            </w:r>
            <w:r w:rsidR="00901B3D" w:rsidRPr="00C36F1F">
              <w:rPr>
                <w:sz w:val="26"/>
                <w:szCs w:val="26"/>
              </w:rPr>
              <w:t xml:space="preserve">nepieciešams </w:t>
            </w:r>
            <w:r w:rsidR="00901B3D">
              <w:rPr>
                <w:sz w:val="26"/>
                <w:szCs w:val="26"/>
              </w:rPr>
              <w:t xml:space="preserve">paredzēt šādas </w:t>
            </w:r>
            <w:r w:rsidR="00901B3D" w:rsidRPr="00C36F1F">
              <w:rPr>
                <w:sz w:val="26"/>
                <w:szCs w:val="26"/>
              </w:rPr>
              <w:t>norm</w:t>
            </w:r>
            <w:r w:rsidR="00901B3D">
              <w:rPr>
                <w:sz w:val="26"/>
                <w:szCs w:val="26"/>
              </w:rPr>
              <w:t>as</w:t>
            </w:r>
            <w:r w:rsidR="00901B3D" w:rsidRPr="00C36F1F">
              <w:rPr>
                <w:sz w:val="26"/>
                <w:szCs w:val="26"/>
              </w:rPr>
              <w:t xml:space="preserve"> arī 201</w:t>
            </w:r>
            <w:r w:rsidR="00901B3D">
              <w:rPr>
                <w:sz w:val="26"/>
                <w:szCs w:val="26"/>
              </w:rPr>
              <w:t>4</w:t>
            </w:r>
            <w:r w:rsidR="00901B3D" w:rsidRPr="00C36F1F">
              <w:rPr>
                <w:sz w:val="26"/>
                <w:szCs w:val="26"/>
              </w:rPr>
              <w:t>.gad</w:t>
            </w:r>
            <w:r w:rsidR="00901B3D">
              <w:rPr>
                <w:sz w:val="26"/>
                <w:szCs w:val="26"/>
              </w:rPr>
              <w:t>ā</w:t>
            </w:r>
            <w:r w:rsidR="00901B3D" w:rsidRPr="00C36F1F">
              <w:rPr>
                <w:sz w:val="26"/>
                <w:szCs w:val="26"/>
              </w:rPr>
              <w:t>.</w:t>
            </w:r>
          </w:p>
          <w:p w:rsidR="0068723A" w:rsidRDefault="0068723A" w:rsidP="0068723A">
            <w:pPr>
              <w:jc w:val="both"/>
              <w:rPr>
                <w:sz w:val="26"/>
                <w:szCs w:val="26"/>
              </w:rPr>
            </w:pPr>
          </w:p>
          <w:p w:rsidR="0068723A" w:rsidRDefault="0068723A" w:rsidP="0068723A">
            <w:pPr>
              <w:jc w:val="both"/>
              <w:rPr>
                <w:sz w:val="26"/>
                <w:szCs w:val="26"/>
              </w:rPr>
            </w:pPr>
            <w:r>
              <w:rPr>
                <w:sz w:val="26"/>
                <w:szCs w:val="26"/>
              </w:rPr>
              <w:t xml:space="preserve">Ņemot vērā, ka Ministru kabinetā tika pieņemts lēmums paaugstināt minimālo mēneša darba algu ar 2014.gada 1.janvāri, kā arī lēmums par </w:t>
            </w:r>
            <w:r w:rsidRPr="0068723A">
              <w:rPr>
                <w:sz w:val="26"/>
                <w:szCs w:val="26"/>
              </w:rPr>
              <w:t>atlīdzības fondu izlīdzināšanu no valsts budžeta finansētajām institūcijām</w:t>
            </w:r>
            <w:r w:rsidR="0097200A">
              <w:rPr>
                <w:sz w:val="26"/>
                <w:szCs w:val="26"/>
              </w:rPr>
              <w:t>,</w:t>
            </w:r>
            <w:r>
              <w:t xml:space="preserve"> </w:t>
            </w:r>
            <w:r w:rsidRPr="0068723A">
              <w:rPr>
                <w:sz w:val="26"/>
                <w:szCs w:val="26"/>
              </w:rPr>
              <w:t>prioritāri paaugstinot zemākās mēnešalgas</w:t>
            </w:r>
            <w:r>
              <w:rPr>
                <w:sz w:val="26"/>
                <w:szCs w:val="26"/>
              </w:rPr>
              <w:t>, nepieciešams veikt grozījumus atlīdzības likuma 3.pielikumā</w:t>
            </w:r>
            <w:r w:rsidRPr="0068723A">
              <w:rPr>
                <w:sz w:val="26"/>
                <w:szCs w:val="26"/>
              </w:rPr>
              <w:t>.</w:t>
            </w:r>
          </w:p>
          <w:p w:rsidR="0068723A" w:rsidRDefault="0068723A" w:rsidP="0068723A">
            <w:pPr>
              <w:jc w:val="both"/>
              <w:rPr>
                <w:sz w:val="26"/>
                <w:szCs w:val="26"/>
              </w:rPr>
            </w:pPr>
          </w:p>
          <w:p w:rsidR="008D1C60" w:rsidRDefault="002167F5" w:rsidP="00AD3FCE">
            <w:pPr>
              <w:jc w:val="both"/>
              <w:rPr>
                <w:rFonts w:eastAsiaTheme="minorHAnsi"/>
                <w:color w:val="000000"/>
                <w:sz w:val="26"/>
                <w:szCs w:val="26"/>
              </w:rPr>
            </w:pPr>
            <w:r w:rsidRPr="00C36F1F">
              <w:rPr>
                <w:rFonts w:eastAsiaTheme="minorHAnsi"/>
                <w:color w:val="000000"/>
                <w:sz w:val="26"/>
                <w:szCs w:val="26"/>
              </w:rPr>
              <w:t xml:space="preserve">Šobrīd </w:t>
            </w:r>
            <w:r w:rsidR="00AD3FCE" w:rsidRPr="00AD3FCE">
              <w:rPr>
                <w:rFonts w:eastAsiaTheme="minorHAnsi"/>
                <w:color w:val="000000"/>
                <w:sz w:val="26"/>
                <w:szCs w:val="26"/>
              </w:rPr>
              <w:t>atlīdzības likum</w:t>
            </w:r>
            <w:r w:rsidR="00AD3FCE">
              <w:rPr>
                <w:rFonts w:eastAsiaTheme="minorHAnsi"/>
                <w:color w:val="000000"/>
                <w:sz w:val="26"/>
                <w:szCs w:val="26"/>
              </w:rPr>
              <w:t>a 19.panta trešajā daļā</w:t>
            </w:r>
            <w:r w:rsidR="00AD3FCE" w:rsidRPr="00AD3FCE">
              <w:rPr>
                <w:rFonts w:eastAsiaTheme="minorHAnsi"/>
                <w:color w:val="000000"/>
                <w:sz w:val="26"/>
                <w:szCs w:val="26"/>
              </w:rPr>
              <w:t xml:space="preserve"> (turpmāk – atlīdzības likums) </w:t>
            </w:r>
            <w:r w:rsidR="00AD3FCE">
              <w:rPr>
                <w:rFonts w:eastAsiaTheme="minorHAnsi"/>
                <w:color w:val="000000"/>
                <w:sz w:val="26"/>
                <w:szCs w:val="26"/>
              </w:rPr>
              <w:t>ir iekļauts</w:t>
            </w:r>
            <w:r w:rsidR="00AD3FCE" w:rsidRPr="00AD3FCE">
              <w:rPr>
                <w:rFonts w:eastAsiaTheme="minorHAnsi"/>
                <w:color w:val="000000"/>
                <w:sz w:val="26"/>
                <w:szCs w:val="26"/>
              </w:rPr>
              <w:t xml:space="preserve"> uzdevumu Ministru kabinetam noteikt tos gadījumus, kuros amatpersonai (darbiniekam) ir tiesības </w:t>
            </w:r>
            <w:r w:rsidR="00335657">
              <w:rPr>
                <w:rFonts w:eastAsiaTheme="minorHAnsi"/>
                <w:color w:val="000000"/>
                <w:sz w:val="26"/>
                <w:szCs w:val="26"/>
              </w:rPr>
              <w:t>saņemt</w:t>
            </w:r>
            <w:r w:rsidR="00AD3FCE">
              <w:t xml:space="preserve"> </w:t>
            </w:r>
            <w:r w:rsidR="00AD3FCE" w:rsidRPr="00AD3FCE">
              <w:rPr>
                <w:rFonts w:eastAsiaTheme="minorHAnsi"/>
                <w:color w:val="000000"/>
                <w:sz w:val="26"/>
                <w:szCs w:val="26"/>
              </w:rPr>
              <w:t>nelaimes gadījuma pabalstu.</w:t>
            </w:r>
            <w:r w:rsidR="00AD3FCE">
              <w:t xml:space="preserve"> Vienlaikus</w:t>
            </w:r>
            <w:r w:rsidR="00AD3FCE" w:rsidRPr="00AD3FCE">
              <w:rPr>
                <w:rFonts w:eastAsiaTheme="minorHAnsi"/>
                <w:color w:val="000000"/>
                <w:sz w:val="26"/>
                <w:szCs w:val="26"/>
              </w:rPr>
              <w:t xml:space="preserve"> </w:t>
            </w:r>
            <w:r w:rsidR="008D1C60">
              <w:rPr>
                <w:rFonts w:eastAsiaTheme="minorHAnsi"/>
                <w:color w:val="000000"/>
                <w:sz w:val="26"/>
                <w:szCs w:val="26"/>
              </w:rPr>
              <w:t xml:space="preserve">atlīdzības </w:t>
            </w:r>
            <w:r w:rsidR="00AD3FCE" w:rsidRPr="00AD3FCE">
              <w:rPr>
                <w:rFonts w:eastAsiaTheme="minorHAnsi"/>
                <w:color w:val="000000"/>
                <w:sz w:val="26"/>
                <w:szCs w:val="26"/>
              </w:rPr>
              <w:t>likum</w:t>
            </w:r>
            <w:r w:rsidR="00AD3FCE">
              <w:rPr>
                <w:rFonts w:eastAsiaTheme="minorHAnsi"/>
                <w:color w:val="000000"/>
                <w:sz w:val="26"/>
                <w:szCs w:val="26"/>
              </w:rPr>
              <w:t xml:space="preserve">a 19.panta piektajā daļā ir noteikti </w:t>
            </w:r>
            <w:r w:rsidR="008D1C60">
              <w:rPr>
                <w:rFonts w:eastAsiaTheme="minorHAnsi"/>
                <w:color w:val="000000"/>
                <w:sz w:val="26"/>
                <w:szCs w:val="26"/>
              </w:rPr>
              <w:t xml:space="preserve">konkrēti </w:t>
            </w:r>
            <w:r w:rsidR="00AD3FCE">
              <w:rPr>
                <w:rFonts w:eastAsiaTheme="minorHAnsi"/>
                <w:color w:val="000000"/>
                <w:sz w:val="26"/>
                <w:szCs w:val="26"/>
              </w:rPr>
              <w:t xml:space="preserve">gadījumi, kuros </w:t>
            </w:r>
            <w:r w:rsidR="00AD3FCE" w:rsidRPr="008D1C60">
              <w:rPr>
                <w:rFonts w:eastAsiaTheme="minorHAnsi"/>
                <w:color w:val="000000"/>
                <w:sz w:val="26"/>
                <w:szCs w:val="26"/>
              </w:rPr>
              <w:t xml:space="preserve">nelaimes gadījuma pabalstu izmaksā </w:t>
            </w:r>
            <w:r w:rsidR="008D1C60" w:rsidRPr="008D1C60">
              <w:rPr>
                <w:sz w:val="26"/>
                <w:szCs w:val="26"/>
              </w:rPr>
              <w:t xml:space="preserve"> </w:t>
            </w:r>
            <w:r w:rsidR="008D1C60" w:rsidRPr="008D1C60">
              <w:rPr>
                <w:rFonts w:eastAsiaTheme="minorHAnsi"/>
                <w:color w:val="000000"/>
                <w:sz w:val="26"/>
                <w:szCs w:val="26"/>
              </w:rPr>
              <w:t xml:space="preserve">Iekšlietu ministrijas sistēmas iestādes vai Ieslodzījuma vietu pārvaldes amatpersonai ar speciālo dienesta pakāpi. </w:t>
            </w:r>
          </w:p>
          <w:p w:rsidR="00207CA2" w:rsidRDefault="00AD3FCE" w:rsidP="008D1C60">
            <w:pPr>
              <w:jc w:val="both"/>
              <w:rPr>
                <w:rFonts w:eastAsiaTheme="minorHAnsi"/>
                <w:color w:val="000000"/>
                <w:sz w:val="26"/>
                <w:szCs w:val="26"/>
              </w:rPr>
            </w:pPr>
            <w:r w:rsidRPr="008D1C60">
              <w:rPr>
                <w:sz w:val="26"/>
                <w:szCs w:val="26"/>
              </w:rPr>
              <w:t>Izpildot Ministru kabinetam doto uzdevumu ir</w:t>
            </w:r>
            <w:r w:rsidR="00335657">
              <w:rPr>
                <w:sz w:val="26"/>
                <w:szCs w:val="26"/>
              </w:rPr>
              <w:t xml:space="preserve"> izstrādāti un </w:t>
            </w:r>
            <w:r w:rsidRPr="008D1C60">
              <w:rPr>
                <w:sz w:val="26"/>
                <w:szCs w:val="26"/>
              </w:rPr>
              <w:t xml:space="preserve"> </w:t>
            </w:r>
            <w:r w:rsidR="00335657" w:rsidRPr="00FD68E0">
              <w:rPr>
                <w:rFonts w:eastAsiaTheme="minorHAnsi"/>
                <w:color w:val="000000"/>
                <w:sz w:val="26"/>
                <w:szCs w:val="26"/>
              </w:rPr>
              <w:t>2013.gada 6.augustā</w:t>
            </w:r>
            <w:r w:rsidR="00335657">
              <w:rPr>
                <w:rFonts w:eastAsiaTheme="minorHAnsi"/>
                <w:color w:val="000000"/>
                <w:sz w:val="26"/>
                <w:szCs w:val="26"/>
              </w:rPr>
              <w:t xml:space="preserve"> </w:t>
            </w:r>
            <w:r w:rsidRPr="008D1C60">
              <w:rPr>
                <w:sz w:val="26"/>
                <w:szCs w:val="26"/>
              </w:rPr>
              <w:t xml:space="preserve">pieņemti </w:t>
            </w:r>
            <w:r w:rsidR="0024634B" w:rsidRPr="0024634B">
              <w:rPr>
                <w:rFonts w:eastAsiaTheme="minorHAnsi"/>
                <w:color w:val="000000"/>
                <w:sz w:val="26"/>
                <w:szCs w:val="26"/>
              </w:rPr>
              <w:t>Grozījumi Ministru kabineta 2010.gada 21.jūnija noteikumos Nr.565 „Noteikumi par valsts un pašvaldību institūciju amatpersonu un darbinieku sociālajām garantijām”</w:t>
            </w:r>
            <w:r w:rsidR="00691DAC">
              <w:rPr>
                <w:rFonts w:eastAsiaTheme="minorHAnsi"/>
                <w:color w:val="000000"/>
                <w:sz w:val="26"/>
                <w:szCs w:val="26"/>
              </w:rPr>
              <w:t>,</w:t>
            </w:r>
            <w:r w:rsidR="008D1C60" w:rsidRPr="008D1C60">
              <w:rPr>
                <w:rFonts w:eastAsiaTheme="minorHAnsi"/>
                <w:color w:val="000000"/>
                <w:sz w:val="26"/>
                <w:szCs w:val="26"/>
              </w:rPr>
              <w:t xml:space="preserve"> nosak</w:t>
            </w:r>
            <w:r w:rsidR="008327A2">
              <w:rPr>
                <w:rFonts w:eastAsiaTheme="minorHAnsi"/>
                <w:color w:val="000000"/>
                <w:sz w:val="26"/>
                <w:szCs w:val="26"/>
              </w:rPr>
              <w:t>ot</w:t>
            </w:r>
            <w:r w:rsidR="008D1C60">
              <w:rPr>
                <w:rFonts w:eastAsiaTheme="minorHAnsi"/>
                <w:color w:val="000000"/>
                <w:sz w:val="26"/>
                <w:szCs w:val="26"/>
              </w:rPr>
              <w:t xml:space="preserve"> vienotu regulējumu - </w:t>
            </w:r>
            <w:r w:rsidRPr="008D1C60">
              <w:rPr>
                <w:rFonts w:eastAsiaTheme="minorHAnsi"/>
                <w:color w:val="000000"/>
                <w:sz w:val="26"/>
                <w:szCs w:val="26"/>
              </w:rPr>
              <w:t xml:space="preserve"> </w:t>
            </w:r>
            <w:r w:rsidR="008D1C60">
              <w:rPr>
                <w:rFonts w:eastAsiaTheme="minorHAnsi"/>
                <w:color w:val="000000"/>
                <w:sz w:val="26"/>
                <w:szCs w:val="26"/>
              </w:rPr>
              <w:t>konkrētus gadījumu</w:t>
            </w:r>
            <w:r w:rsidR="008D1C60" w:rsidRPr="008D1C60">
              <w:rPr>
                <w:rFonts w:eastAsiaTheme="minorHAnsi"/>
                <w:color w:val="000000"/>
                <w:sz w:val="26"/>
                <w:szCs w:val="26"/>
              </w:rPr>
              <w:t>s</w:t>
            </w:r>
            <w:r w:rsidR="008D1C60">
              <w:rPr>
                <w:rFonts w:eastAsiaTheme="minorHAnsi"/>
                <w:color w:val="000000"/>
                <w:sz w:val="26"/>
                <w:szCs w:val="26"/>
              </w:rPr>
              <w:t>, kuros</w:t>
            </w:r>
            <w:r w:rsidR="008D1C60" w:rsidRPr="008D1C60">
              <w:rPr>
                <w:rFonts w:eastAsiaTheme="minorHAnsi"/>
                <w:color w:val="000000"/>
                <w:sz w:val="26"/>
                <w:szCs w:val="26"/>
              </w:rPr>
              <w:t xml:space="preserve">  amatpersona</w:t>
            </w:r>
            <w:r w:rsidR="008D1C60">
              <w:rPr>
                <w:rFonts w:eastAsiaTheme="minorHAnsi"/>
                <w:color w:val="000000"/>
                <w:sz w:val="26"/>
                <w:szCs w:val="26"/>
              </w:rPr>
              <w:t>i</w:t>
            </w:r>
            <w:r w:rsidR="008D1C60" w:rsidRPr="008D1C60">
              <w:rPr>
                <w:rFonts w:eastAsiaTheme="minorHAnsi"/>
                <w:color w:val="000000"/>
                <w:sz w:val="26"/>
                <w:szCs w:val="26"/>
              </w:rPr>
              <w:t xml:space="preserve"> (darbiniek</w:t>
            </w:r>
            <w:r w:rsidR="008D1C60">
              <w:rPr>
                <w:rFonts w:eastAsiaTheme="minorHAnsi"/>
                <w:color w:val="000000"/>
                <w:sz w:val="26"/>
                <w:szCs w:val="26"/>
              </w:rPr>
              <w:t>am</w:t>
            </w:r>
            <w:r w:rsidR="008D1C60" w:rsidRPr="008D1C60">
              <w:rPr>
                <w:rFonts w:eastAsiaTheme="minorHAnsi"/>
                <w:color w:val="000000"/>
                <w:sz w:val="26"/>
                <w:szCs w:val="26"/>
              </w:rPr>
              <w:t>), kuras amata (dienesta, darba) pienākumu izpilde ir saistīta ar dzīvības vai veselības apdraudējumu (risku</w:t>
            </w:r>
            <w:r w:rsidR="008D1C60">
              <w:rPr>
                <w:rFonts w:eastAsiaTheme="minorHAnsi"/>
                <w:color w:val="000000"/>
                <w:sz w:val="26"/>
                <w:szCs w:val="26"/>
              </w:rPr>
              <w:t xml:space="preserve">) </w:t>
            </w:r>
            <w:r w:rsidR="008D1C60" w:rsidRPr="008D1C60">
              <w:rPr>
                <w:rFonts w:eastAsiaTheme="minorHAnsi"/>
                <w:color w:val="000000"/>
                <w:sz w:val="26"/>
                <w:szCs w:val="26"/>
              </w:rPr>
              <w:t xml:space="preserve">izmaksā </w:t>
            </w:r>
            <w:r w:rsidR="008D1C60">
              <w:rPr>
                <w:rFonts w:eastAsiaTheme="minorHAnsi"/>
                <w:color w:val="000000"/>
                <w:sz w:val="26"/>
                <w:szCs w:val="26"/>
              </w:rPr>
              <w:t xml:space="preserve">nelaimes gadījuma pabalstu. </w:t>
            </w:r>
            <w:r w:rsidR="00335657">
              <w:rPr>
                <w:rFonts w:eastAsiaTheme="minorHAnsi"/>
                <w:color w:val="000000"/>
                <w:sz w:val="26"/>
                <w:szCs w:val="26"/>
              </w:rPr>
              <w:t xml:space="preserve">Šīs normas no 2014.gada 1.janvāra attieksies arī uz </w:t>
            </w:r>
            <w:r w:rsidR="00335657" w:rsidRPr="008D1C60">
              <w:rPr>
                <w:rFonts w:eastAsiaTheme="minorHAnsi"/>
                <w:color w:val="000000"/>
                <w:sz w:val="26"/>
                <w:szCs w:val="26"/>
              </w:rPr>
              <w:t>Iekšlietu ministrijas sistēmas iestādes vai Ieslodzījuma vietu pārvaldes amatperson</w:t>
            </w:r>
            <w:r w:rsidR="00335657">
              <w:rPr>
                <w:rFonts w:eastAsiaTheme="minorHAnsi"/>
                <w:color w:val="000000"/>
                <w:sz w:val="26"/>
                <w:szCs w:val="26"/>
              </w:rPr>
              <w:t xml:space="preserve">ām </w:t>
            </w:r>
            <w:r w:rsidR="00335657" w:rsidRPr="008D1C60">
              <w:rPr>
                <w:rFonts w:eastAsiaTheme="minorHAnsi"/>
                <w:color w:val="000000"/>
                <w:sz w:val="26"/>
                <w:szCs w:val="26"/>
              </w:rPr>
              <w:t>ar speciālo dienesta pakāp</w:t>
            </w:r>
            <w:r w:rsidR="00335657">
              <w:rPr>
                <w:rFonts w:eastAsiaTheme="minorHAnsi"/>
                <w:color w:val="000000"/>
                <w:sz w:val="26"/>
                <w:szCs w:val="26"/>
              </w:rPr>
              <w:t xml:space="preserve">ēm. </w:t>
            </w:r>
          </w:p>
          <w:p w:rsidR="008D1C60" w:rsidRDefault="008D1C60" w:rsidP="008D1C60">
            <w:pPr>
              <w:jc w:val="both"/>
              <w:rPr>
                <w:rFonts w:eastAsiaTheme="minorHAnsi"/>
                <w:color w:val="000000"/>
                <w:sz w:val="26"/>
                <w:szCs w:val="26"/>
              </w:rPr>
            </w:pPr>
            <w:r>
              <w:rPr>
                <w:rFonts w:eastAsiaTheme="minorHAnsi"/>
                <w:color w:val="000000"/>
                <w:sz w:val="26"/>
                <w:szCs w:val="26"/>
              </w:rPr>
              <w:t>Līdz ar to, lai novērstu normu dublēšanos, ir nepieciešams izslēgt</w:t>
            </w:r>
            <w:r w:rsidRPr="00AD3FCE">
              <w:rPr>
                <w:rFonts w:eastAsiaTheme="minorHAnsi"/>
                <w:color w:val="000000"/>
                <w:sz w:val="26"/>
                <w:szCs w:val="26"/>
              </w:rPr>
              <w:t xml:space="preserve"> </w:t>
            </w:r>
            <w:r>
              <w:rPr>
                <w:rFonts w:eastAsiaTheme="minorHAnsi"/>
                <w:color w:val="000000"/>
                <w:sz w:val="26"/>
                <w:szCs w:val="26"/>
              </w:rPr>
              <w:t xml:space="preserve">atlīdzības </w:t>
            </w:r>
            <w:r w:rsidRPr="00AD3FCE">
              <w:rPr>
                <w:rFonts w:eastAsiaTheme="minorHAnsi"/>
                <w:color w:val="000000"/>
                <w:sz w:val="26"/>
                <w:szCs w:val="26"/>
              </w:rPr>
              <w:t>likum</w:t>
            </w:r>
            <w:r>
              <w:rPr>
                <w:rFonts w:eastAsiaTheme="minorHAnsi"/>
                <w:color w:val="000000"/>
                <w:sz w:val="26"/>
                <w:szCs w:val="26"/>
              </w:rPr>
              <w:t>a 19.panta piekto daļu.</w:t>
            </w:r>
          </w:p>
          <w:p w:rsidR="003F2670" w:rsidRDefault="003F2670" w:rsidP="008D1C60">
            <w:pPr>
              <w:jc w:val="both"/>
              <w:rPr>
                <w:sz w:val="26"/>
                <w:szCs w:val="26"/>
              </w:rPr>
            </w:pPr>
          </w:p>
          <w:p w:rsidR="008327A2" w:rsidRPr="00C8311A" w:rsidRDefault="003F2670" w:rsidP="008D1C60">
            <w:pPr>
              <w:jc w:val="both"/>
              <w:rPr>
                <w:sz w:val="26"/>
                <w:szCs w:val="26"/>
              </w:rPr>
            </w:pPr>
            <w:r w:rsidRPr="005A4585">
              <w:rPr>
                <w:sz w:val="26"/>
                <w:szCs w:val="26"/>
              </w:rPr>
              <w:lastRenderedPageBreak/>
              <w:t xml:space="preserve">Ministru kabineta 2013.gada 19.marta sēdē </w:t>
            </w:r>
            <w:r>
              <w:rPr>
                <w:sz w:val="26"/>
                <w:szCs w:val="26"/>
              </w:rPr>
              <w:t>izskatot informatīvo ziņojumu „</w:t>
            </w:r>
            <w:r w:rsidRPr="003F2670">
              <w:rPr>
                <w:sz w:val="26"/>
                <w:szCs w:val="26"/>
              </w:rPr>
              <w:t>Priekšlikumi par normatīvajos aktos noteikto sociālo garantiju karavīriem un amatpersonām ar speciālajām dienesta pakāpēm iespējamu pilnveidošanu”</w:t>
            </w:r>
            <w:r w:rsidRPr="005A4585">
              <w:rPr>
                <w:sz w:val="26"/>
                <w:szCs w:val="26"/>
              </w:rPr>
              <w:t xml:space="preserve">, </w:t>
            </w:r>
            <w:r>
              <w:rPr>
                <w:sz w:val="26"/>
                <w:szCs w:val="26"/>
              </w:rPr>
              <w:t xml:space="preserve">nolemts, </w:t>
            </w:r>
            <w:r w:rsidRPr="00C8311A">
              <w:rPr>
                <w:sz w:val="26"/>
                <w:szCs w:val="26"/>
              </w:rPr>
              <w:t xml:space="preserve">ka turpmāk gadījumos, ja amatpersona ciešot nelaimes gadījumā kļūst par I grupas invalīdu, viņai izmaksājamā vienreizējā pabalsta apmērs tiek paaugstināts no 30 000 latu uz 50 000 latu. Atbilstoši Ministru kabineta sēdē nolemtajam, lai nodrošinātu vienotu pieeju, šī norma tiek attiecināta </w:t>
            </w:r>
            <w:r w:rsidR="00C8311A">
              <w:rPr>
                <w:sz w:val="26"/>
                <w:szCs w:val="26"/>
              </w:rPr>
              <w:t xml:space="preserve">gan uz amatpersonām, </w:t>
            </w:r>
            <w:r w:rsidRPr="00C8311A">
              <w:rPr>
                <w:sz w:val="26"/>
                <w:szCs w:val="26"/>
              </w:rPr>
              <w:t xml:space="preserve"> </w:t>
            </w:r>
            <w:r w:rsidR="00C8311A">
              <w:rPr>
                <w:sz w:val="26"/>
                <w:szCs w:val="26"/>
              </w:rPr>
              <w:t xml:space="preserve">gan uz </w:t>
            </w:r>
            <w:r w:rsidRPr="00C8311A">
              <w:rPr>
                <w:sz w:val="26"/>
                <w:szCs w:val="26"/>
              </w:rPr>
              <w:t>karavīriem.</w:t>
            </w:r>
          </w:p>
          <w:p w:rsidR="003F2670" w:rsidRDefault="003F2670" w:rsidP="008D1C60">
            <w:pPr>
              <w:jc w:val="both"/>
              <w:rPr>
                <w:rFonts w:eastAsiaTheme="minorHAnsi"/>
                <w:sz w:val="26"/>
                <w:szCs w:val="26"/>
              </w:rPr>
            </w:pPr>
          </w:p>
          <w:p w:rsidR="008E53DE" w:rsidRPr="008E53DE" w:rsidRDefault="008E53DE" w:rsidP="008E53DE">
            <w:pPr>
              <w:jc w:val="both"/>
              <w:rPr>
                <w:rFonts w:eastAsiaTheme="minorHAnsi"/>
                <w:sz w:val="26"/>
                <w:szCs w:val="26"/>
              </w:rPr>
            </w:pPr>
            <w:r w:rsidRPr="008E53DE">
              <w:rPr>
                <w:rFonts w:eastAsiaTheme="minorHAnsi"/>
                <w:sz w:val="26"/>
                <w:szCs w:val="26"/>
              </w:rPr>
              <w:t>Pašlaik Valsts un pašvaldību institūciju amatpersonu un darbinieku atlīdzības likuma (turpmāk – Atlīdzības likums) 14.panta septītā daļa paredz amatpersonām ar speciālajām dienesta pakāpēm dienesta pienākumu pildīšanu virs noteiktā dienesta pienākumu izpildes laika kompensēt, piešķirot atpūtas laiku, kura ilgums atbilst dienesta pienākumu pildīšanai virs noteiktā dienesta pienākumu izpildes laika (turpmāk – virsstundu darbs), savukārt 14.panta desmitajā daļā paredzēti īpaši virsstundu darba samaksas nosacījumi attiecībā uz amatpersonām ar speciālajām dienesta pakāpēm, kas paredz virsstundu darba apmaksu tikai šādos gadījumos:</w:t>
            </w:r>
          </w:p>
          <w:p w:rsidR="008E53DE" w:rsidRPr="008E53DE" w:rsidRDefault="008E53DE" w:rsidP="008E53DE">
            <w:pPr>
              <w:jc w:val="both"/>
              <w:rPr>
                <w:rFonts w:eastAsiaTheme="minorHAnsi"/>
                <w:sz w:val="26"/>
                <w:szCs w:val="26"/>
              </w:rPr>
            </w:pPr>
            <w:r w:rsidRPr="008E53DE">
              <w:rPr>
                <w:rFonts w:eastAsiaTheme="minorHAnsi"/>
                <w:sz w:val="26"/>
                <w:szCs w:val="26"/>
              </w:rPr>
              <w:t>- lai nodrošinātu īpaši nozīmīgus valsts pasākumus, novērstu katastrofu un dabas stihiju sekas, nodrošinātu sabiedrisko kārtību un drošību vai veiktu citus ārkārtas uzdevumus, un šim mērķim saskaņā ar īpašu Ministru kabineta lēmumu ir piešķirti vai gadskārtējā valsts budžeta likumā ir paredzēti valsts budžeta līdzekļi;</w:t>
            </w:r>
          </w:p>
          <w:p w:rsidR="008E53DE" w:rsidRPr="008E53DE" w:rsidRDefault="008E53DE" w:rsidP="008E53DE">
            <w:pPr>
              <w:jc w:val="both"/>
              <w:rPr>
                <w:rFonts w:eastAsiaTheme="minorHAnsi"/>
                <w:sz w:val="26"/>
                <w:szCs w:val="26"/>
              </w:rPr>
            </w:pPr>
            <w:r w:rsidRPr="008E53DE">
              <w:rPr>
                <w:rFonts w:eastAsiaTheme="minorHAnsi"/>
                <w:sz w:val="26"/>
                <w:szCs w:val="26"/>
              </w:rPr>
              <w:t>- lai nodrošinātu sabiedrisko kārtību un drošību sabiedriski nozīmīgos publiskos sporta vai kultūras pasākumos, ja samaksu veic no iestādes ieņēmumiem par sniegtajiem maksas pakalpojumiem;</w:t>
            </w:r>
          </w:p>
          <w:p w:rsidR="008E53DE" w:rsidRPr="008E53DE" w:rsidRDefault="008E53DE" w:rsidP="008E53DE">
            <w:pPr>
              <w:jc w:val="both"/>
              <w:rPr>
                <w:rFonts w:eastAsiaTheme="minorHAnsi"/>
                <w:sz w:val="26"/>
                <w:szCs w:val="26"/>
              </w:rPr>
            </w:pPr>
            <w:r w:rsidRPr="008E53DE">
              <w:rPr>
                <w:rFonts w:eastAsiaTheme="minorHAnsi"/>
                <w:sz w:val="26"/>
                <w:szCs w:val="26"/>
              </w:rPr>
              <w:t>- lai nodrošinātu Eiropas Savienības politiku instrumentu vai pārējās ārvalstu finanšu palīdzības finansēto vai līdzfinansēto projektu īstenošanu, ja samaksu veic no šo projektu īstenošanai piešķirtajiem finanšu līdzekļiem.</w:t>
            </w:r>
          </w:p>
          <w:p w:rsidR="008E53DE" w:rsidRPr="008E53DE" w:rsidRDefault="008E53DE" w:rsidP="008E53DE">
            <w:pPr>
              <w:jc w:val="both"/>
              <w:rPr>
                <w:rFonts w:eastAsiaTheme="minorHAnsi"/>
                <w:sz w:val="26"/>
                <w:szCs w:val="26"/>
              </w:rPr>
            </w:pPr>
            <w:r w:rsidRPr="008E53DE">
              <w:rPr>
                <w:rFonts w:eastAsiaTheme="minorHAnsi"/>
                <w:sz w:val="26"/>
                <w:szCs w:val="26"/>
              </w:rPr>
              <w:t xml:space="preserve">Savukārt, pārējo valsts un pašvaldību institūciju amatpersonām un darbiniekiem par virsstundu </w:t>
            </w:r>
            <w:r w:rsidRPr="00086D60">
              <w:rPr>
                <w:rFonts w:eastAsiaTheme="minorHAnsi"/>
                <w:sz w:val="26"/>
                <w:szCs w:val="26"/>
              </w:rPr>
              <w:t xml:space="preserve">darbu </w:t>
            </w:r>
            <w:r w:rsidR="0097200A" w:rsidRPr="00086D60">
              <w:rPr>
                <w:rFonts w:eastAsiaTheme="minorHAnsi"/>
                <w:sz w:val="26"/>
                <w:szCs w:val="26"/>
              </w:rPr>
              <w:t xml:space="preserve">vai nu </w:t>
            </w:r>
            <w:r w:rsidRPr="00086D60">
              <w:rPr>
                <w:rFonts w:eastAsiaTheme="minorHAnsi"/>
                <w:sz w:val="26"/>
                <w:szCs w:val="26"/>
              </w:rPr>
              <w:t xml:space="preserve">tiek veikta samaksa, </w:t>
            </w:r>
            <w:r w:rsidR="0097200A" w:rsidRPr="00086D60">
              <w:rPr>
                <w:rFonts w:eastAsiaTheme="minorHAnsi"/>
                <w:sz w:val="26"/>
                <w:szCs w:val="26"/>
              </w:rPr>
              <w:t xml:space="preserve">vai arī </w:t>
            </w:r>
            <w:r w:rsidRPr="00086D60">
              <w:rPr>
                <w:rFonts w:eastAsiaTheme="minorHAnsi"/>
                <w:sz w:val="26"/>
                <w:szCs w:val="26"/>
              </w:rPr>
              <w:t>piešķirts apmaksāts atpūtas laiks. Tādējādi netiek nodrošināta vienlīdzīgu principu ievērošana. Iekšlietu</w:t>
            </w:r>
            <w:r w:rsidRPr="008E53DE">
              <w:rPr>
                <w:rFonts w:eastAsiaTheme="minorHAnsi"/>
                <w:sz w:val="26"/>
                <w:szCs w:val="26"/>
              </w:rPr>
              <w:t xml:space="preserve"> ministrija uzskata, ka nepieciešams veikt attiecīgus grozījumus Atlīdzības likumā, lai veiktu virsstundu darba apmaksu arī gadījumos, kad ar iestādes vadītāja vai viņa pilnvarotas amatpersonas lēmumu amatpersona ar speciālo dienesta pakāpi tiek iesaistīta virsstundu darbā un to nav iespējams kompensēt ar atpūtas dienām. Vienlaikus amatpersonām ar speciālajām dienesta pakāpēm, kurām noteikts summētais dienesta pienākumu izpildes laiks, darba grafiku sastādāmi tā, lai virsstundas neveidotos. No 2006.gada 1.oktobra stājās spēkā Iekšlietu ministrijas sistēmas iestāžu un Ieslodzījuma vietu pārvaldes amatpersonu ar speciālajām dienesta pakāpēm dienesta gaitas likums (turpmāk – Dienesta gaitas likums). Uz tā pamata tika izdoti Ministru kabineta 2006.gada 26.septembra noteikumi Nr.803 „Noteikumi par </w:t>
            </w:r>
            <w:r w:rsidRPr="008E53DE">
              <w:rPr>
                <w:rFonts w:eastAsiaTheme="minorHAnsi"/>
                <w:sz w:val="26"/>
                <w:szCs w:val="26"/>
              </w:rPr>
              <w:lastRenderedPageBreak/>
              <w:t>virsstundu darba apmaksas kārtību un apmēru Iekšlietu ministrijas sistēmas iestāžu un Ieslodzījuma vietu pārvaldes amatpersonām ar speciālajām dienesta pakāpēm”, kas paredzēja samaksu par virsstundu darbu. Šim mērķiem tika papildu piešķirti 2 038,3 tūkst. latu. Iestājoties ekonomiskajai krīzei valstī, izdevumi atlīdzībai tika būtiski samazināti, attiecīgi mainot arī normatīvo regulējumu par virsstundu darba apmaksu amatpersonām ar speciālajām dienesta pakāpēm, paredzot to apmaksāt tikai atsevišķos gadījumos.</w:t>
            </w:r>
          </w:p>
          <w:p w:rsidR="008E53DE" w:rsidRPr="008E53DE" w:rsidRDefault="008E53DE" w:rsidP="008E53DE">
            <w:pPr>
              <w:jc w:val="both"/>
              <w:rPr>
                <w:rFonts w:eastAsiaTheme="minorHAnsi"/>
                <w:sz w:val="26"/>
                <w:szCs w:val="26"/>
              </w:rPr>
            </w:pPr>
            <w:r w:rsidRPr="008E53DE">
              <w:rPr>
                <w:rFonts w:eastAsiaTheme="minorHAnsi"/>
                <w:sz w:val="26"/>
                <w:szCs w:val="26"/>
              </w:rPr>
              <w:t xml:space="preserve">  Būtiskākais virsstundu veidošanās iemesls Iekšlietu ministrijas sistēmas iestādēs, īpaši Valsts policijā, ir ievērojamais vakanto amata vietu skaits, kam situācijā, kad atalgojums ir kritiski zems, nav vērojama tendence samazināties. Pie tam, šos amatus pilnā apmērā nav iespējams arī nokomplektēt, jo atalgojuma ietaupījums ir pārdalīts amatpersonu ar speciālajām dienesta pakāpēm atlīdzības paaugstināšanai, tajā skaitā sociālajām garantijām. Amatpersonas ar speciālajām dienesta pakāpēm tiek iesaistītas virsstundu darbā, lai nodrošinātu savlaicīgu un kvalitatīvu iestāžu pamatfunkciju izpildi. Sakarā ar papildus darba veikšanu piešķirtās brīvdienas palielina slodzi pārējām amatpersonām ar speciālajām dienesta pakāpēm. Virsstundas veidojas arī iestāžu darba specifikas dēļ: sabiedriskās kārtības nodrošināšana masu pasākumos, operatīvā novērošana, neatliekamas aizturēšanas operācijas, neatliekamas izmeklēšanas darbības, notikumu vietas apskate un pierādījumu savākšana, neatliekama pierādījumu izpēte, darbības ceļu satiksmes negadījumu vietā, darbības ugunsgrēku un sprādzienu vietās, darbības citās ārkārtas situāciju notikumu vietās, speciālas neatliekamas operācijas, atsevišķi neatliekami uzdevumi.</w:t>
            </w:r>
          </w:p>
          <w:p w:rsidR="008E53DE" w:rsidRPr="008E53DE" w:rsidRDefault="008E53DE" w:rsidP="008E53DE">
            <w:pPr>
              <w:jc w:val="both"/>
              <w:rPr>
                <w:rFonts w:eastAsiaTheme="minorHAnsi"/>
                <w:sz w:val="26"/>
                <w:szCs w:val="26"/>
              </w:rPr>
            </w:pPr>
            <w:r w:rsidRPr="008E53DE">
              <w:rPr>
                <w:rFonts w:eastAsiaTheme="minorHAnsi"/>
                <w:sz w:val="26"/>
                <w:szCs w:val="26"/>
              </w:rPr>
              <w:t>Vienlaikus jānorāda, ka virsstundu darba apmaksai no 2014.gada  paredzētais finansējums (1 870, 24 tūkst. latu) var nenodrošināt visu virsstundu darba samaksu, kas veidojas, veicot ārkārtas uzdevumus. Līdz ar to saglabājams regulējums par papildu finansējuma piešķiršanu virsstundu darba samaksai saskaņā ar īpašu Ministru kabineta lēmumu vai mērķfinansējuma paredzēšana gadskārtējā valsts budžeta likumā, ja amatpersonas ar speciālajām dienesta pakāpēm iesaista dienesta pienākumu pildīšanā virs noteiktā dienesta pienākumu izpildes laika, lai nodrošinātu īpaši nozīmīgus valsts pasākumus, novērstu katastrofu un dabas stihiju sekas, nodrošinātu sabiedrisko kārtību un drošību vai veiktu citus ārkārtas uzdevumus.</w:t>
            </w:r>
          </w:p>
          <w:p w:rsidR="008E53DE" w:rsidRPr="008E53DE" w:rsidRDefault="008E53DE" w:rsidP="008E53DE">
            <w:pPr>
              <w:jc w:val="both"/>
              <w:rPr>
                <w:rFonts w:eastAsiaTheme="minorHAnsi"/>
                <w:sz w:val="26"/>
                <w:szCs w:val="26"/>
              </w:rPr>
            </w:pPr>
            <w:r w:rsidRPr="008E53DE">
              <w:rPr>
                <w:rFonts w:eastAsiaTheme="minorHAnsi"/>
                <w:sz w:val="26"/>
                <w:szCs w:val="26"/>
              </w:rPr>
              <w:t xml:space="preserve">Būtiska nozīme pašreizējā situācijā ir arī amatpersonu ar speciālajām dienesta pakāpēm motivēšanas sistēmas pilnveidošanai, kuras viens no pamatelementiem noteikti ir pabalsta pēc katriem pieciem nepārtrauktas izdienas gadiem (turpmāk – izdienas pabalsts) atjaunošana. Ministru kabineta 2013.gada 19.marta sēdē tika izskatīts Informatīvais ziņojums "Priekšlikumi par normatīvajos aktos noteikto sociālo garantiju karavīriem un amatpersonām ar speciālajām dienesta pakāpēm iespējamu pilnveidošanu" (prot.Nr.15, 36.#). </w:t>
            </w:r>
            <w:proofErr w:type="spellStart"/>
            <w:r w:rsidRPr="008E53DE">
              <w:rPr>
                <w:rFonts w:eastAsiaTheme="minorHAnsi"/>
                <w:sz w:val="26"/>
                <w:szCs w:val="26"/>
              </w:rPr>
              <w:t>Protokollēmuma</w:t>
            </w:r>
            <w:proofErr w:type="spellEnd"/>
            <w:r w:rsidRPr="008E53DE">
              <w:rPr>
                <w:rFonts w:eastAsiaTheme="minorHAnsi"/>
                <w:sz w:val="26"/>
                <w:szCs w:val="26"/>
              </w:rPr>
              <w:t xml:space="preserve"> 6. un 7.punktā noteikts, ka </w:t>
            </w:r>
          </w:p>
          <w:p w:rsidR="008E53DE" w:rsidRPr="008E53DE" w:rsidRDefault="008E53DE" w:rsidP="008E53DE">
            <w:pPr>
              <w:jc w:val="both"/>
              <w:rPr>
                <w:rFonts w:eastAsiaTheme="minorHAnsi"/>
                <w:sz w:val="26"/>
                <w:szCs w:val="26"/>
              </w:rPr>
            </w:pPr>
            <w:r w:rsidRPr="008E53DE">
              <w:rPr>
                <w:rFonts w:eastAsiaTheme="minorHAnsi"/>
                <w:sz w:val="26"/>
                <w:szCs w:val="26"/>
              </w:rPr>
              <w:t xml:space="preserve">„6. Iekšlietu ministrijai un Tieslietu ministrijai jautājumu par </w:t>
            </w:r>
            <w:r w:rsidRPr="008E53DE">
              <w:rPr>
                <w:rFonts w:eastAsiaTheme="minorHAnsi"/>
                <w:sz w:val="26"/>
                <w:szCs w:val="26"/>
              </w:rPr>
              <w:lastRenderedPageBreak/>
              <w:t xml:space="preserve">izdienas pabalstu kā jauno politikas iniciatīvu saskaņā ar Ministru kabineta 2013.gada 5.februāra rīkojuma Nr.40 „Par likumprojekta „Par vidēja termiņa budžeta ietvaru 2014., 2015. un 2016.gadam” un likumprojekta „Par valsts budžetu 2014.gadam” sagatavošanas grafiku” pielikuma 4.punktu iesniegt Finanšu ministrijā un </w:t>
            </w:r>
            <w:proofErr w:type="spellStart"/>
            <w:r w:rsidRPr="008E53DE">
              <w:rPr>
                <w:rFonts w:eastAsiaTheme="minorHAnsi"/>
                <w:sz w:val="26"/>
                <w:szCs w:val="26"/>
              </w:rPr>
              <w:t>Pārresoru</w:t>
            </w:r>
            <w:proofErr w:type="spellEnd"/>
            <w:r w:rsidRPr="008E53DE">
              <w:rPr>
                <w:rFonts w:eastAsiaTheme="minorHAnsi"/>
                <w:sz w:val="26"/>
                <w:szCs w:val="26"/>
              </w:rPr>
              <w:t xml:space="preserve"> koordinācijas centrā līdz 2013.gada 3.jūnijam. </w:t>
            </w:r>
          </w:p>
          <w:p w:rsidR="008E53DE" w:rsidRPr="008E53DE" w:rsidRDefault="008E53DE" w:rsidP="008E53DE">
            <w:pPr>
              <w:jc w:val="both"/>
              <w:rPr>
                <w:rFonts w:eastAsiaTheme="minorHAnsi"/>
                <w:sz w:val="26"/>
                <w:szCs w:val="26"/>
              </w:rPr>
            </w:pPr>
            <w:r w:rsidRPr="008E53DE">
              <w:rPr>
                <w:rFonts w:eastAsiaTheme="minorHAnsi"/>
                <w:sz w:val="26"/>
                <w:szCs w:val="26"/>
              </w:rPr>
              <w:t xml:space="preserve">7. Saskaņā ar Ministru kabineta kārtības ruļļa 193.punktu atzīmēt, ka iekšlietu ministram, tieslietu ministra pienākumu izpildītājam </w:t>
            </w:r>
            <w:proofErr w:type="spellStart"/>
            <w:r w:rsidRPr="008E53DE">
              <w:rPr>
                <w:rFonts w:eastAsiaTheme="minorHAnsi"/>
                <w:sz w:val="26"/>
                <w:szCs w:val="26"/>
              </w:rPr>
              <w:t>R.Kozlovskim</w:t>
            </w:r>
            <w:proofErr w:type="spellEnd"/>
            <w:r w:rsidRPr="008E53DE">
              <w:rPr>
                <w:rFonts w:eastAsiaTheme="minorHAnsi"/>
                <w:sz w:val="26"/>
                <w:szCs w:val="26"/>
              </w:rPr>
              <w:t xml:space="preserve"> ir atšķirīgs viedoklis izskatītajā jautājumā un tas ir šāds:</w:t>
            </w:r>
          </w:p>
          <w:p w:rsidR="008E53DE" w:rsidRPr="008E53DE" w:rsidRDefault="008E53DE" w:rsidP="008E53DE">
            <w:pPr>
              <w:jc w:val="both"/>
              <w:rPr>
                <w:rFonts w:eastAsiaTheme="minorHAnsi"/>
                <w:sz w:val="26"/>
                <w:szCs w:val="26"/>
              </w:rPr>
            </w:pPr>
            <w:r w:rsidRPr="008E53DE">
              <w:rPr>
                <w:rFonts w:eastAsiaTheme="minorHAnsi"/>
                <w:sz w:val="26"/>
                <w:szCs w:val="26"/>
              </w:rPr>
              <w:t>"Izdienas pabalsts Iekšlietu ministrijas un Tieslietu ministrijas iestāžu amatpersonām ar speciālajām dienesta pakāpēm ir nozīmīga sociālā garantija, kuras mērķis ir novērst lielo personāla maiņu (kadru mainību). Šāds pabalsts bija pieņemts 2006.gadā, bet krīzes rezultātā tika izslēgts. Uzskatu, ka šāds pabalsts būtu atjaunojams un iekļaujams Iekšlietu ministrijas un Tieslietu ministrijas bāzes izdevumos un nebūtu skatāms kā jauna politiskā iniciatīva.".</w:t>
            </w:r>
          </w:p>
          <w:p w:rsidR="008E53DE" w:rsidRPr="008E53DE" w:rsidRDefault="008E53DE" w:rsidP="008E53DE">
            <w:pPr>
              <w:jc w:val="both"/>
              <w:rPr>
                <w:rFonts w:eastAsiaTheme="minorHAnsi"/>
                <w:sz w:val="26"/>
                <w:szCs w:val="26"/>
              </w:rPr>
            </w:pPr>
            <w:r w:rsidRPr="008E53DE">
              <w:rPr>
                <w:rFonts w:eastAsiaTheme="minorHAnsi"/>
                <w:sz w:val="26"/>
                <w:szCs w:val="26"/>
              </w:rPr>
              <w:t xml:space="preserve">Iekšlietu ministrija, izpildot Ministru kabineta doto uzdevumu, sagatavoja un iesniedza jauno politikas iniciatīvu par izdienas pabalsts atjaunošanu. </w:t>
            </w:r>
          </w:p>
          <w:p w:rsidR="008E53DE" w:rsidRPr="008E53DE" w:rsidRDefault="008E53DE" w:rsidP="008E53DE">
            <w:pPr>
              <w:jc w:val="both"/>
              <w:rPr>
                <w:rFonts w:eastAsiaTheme="minorHAnsi"/>
                <w:sz w:val="26"/>
                <w:szCs w:val="26"/>
              </w:rPr>
            </w:pPr>
            <w:r w:rsidRPr="008E53DE">
              <w:rPr>
                <w:rFonts w:eastAsiaTheme="minorHAnsi"/>
                <w:sz w:val="26"/>
                <w:szCs w:val="26"/>
              </w:rPr>
              <w:t xml:space="preserve">Izdienas pabalsts līdz 2006.gada 1.oktobrim, kad stājās spēkā Dienesta gaitas likums, bija paredzēts tikai Robežsardzes likumā. Pieņemot Dienesta gaitas likumu, šī norma tika attiecināta uz visām amatpersonām ar speciālajām dienesta pakāpēm. Izdienas pabalsta izmaksa amatpersonām, izņemot robežsargus, bija paredzēta 2011.gadā. Sākoties vispārējam valsts budžeta izdevumu samazinājumam, izdienas pabalsts ar 2009.gada 1.jūliju tika izslēgts no Dienesta gaitas likuma. Izdienas pabalstam bija un arī turpmāk būtu ievērojama stimulējoša un motivējoša nozīme sociālo garantiju sistēmā, lai personas uzsāktu vai turpinātu dienestu Iekšlietu ministrijas sistēmas iestādēs un Ieslodzījuma vietu pārvaldē. Ar Iekšlietu ministrijas 2011.gada 29.jūnija rīkojumu Nr. 1010 tika izveidota darba grupa priekšlikumu sagatavošanai sociālo garantiju sistēmas pilnveidošanai amatpersonām ar speciālajām dienesta pakāpēm. Darba grupas darbā tika iesaistīti arī Latvijas Juristu apvienības, Latvijas Apvienotās policistu arodbiedrības un arodbiedrības „LABA” pārstāvji, kas tāpat kā Iekšlietu ministrijas sistēmas iestādes un Iekšlietu ministrija atzina, ka nepieciešama izdienas pabalsta atjaunošana. </w:t>
            </w:r>
          </w:p>
          <w:p w:rsidR="008E53DE" w:rsidRPr="008E53DE" w:rsidRDefault="008E53DE" w:rsidP="008E53DE">
            <w:pPr>
              <w:jc w:val="both"/>
              <w:rPr>
                <w:rFonts w:eastAsiaTheme="minorHAnsi"/>
                <w:sz w:val="26"/>
                <w:szCs w:val="26"/>
              </w:rPr>
            </w:pPr>
            <w:r w:rsidRPr="008E53DE">
              <w:rPr>
                <w:rFonts w:eastAsiaTheme="minorHAnsi"/>
                <w:sz w:val="26"/>
                <w:szCs w:val="26"/>
              </w:rPr>
              <w:t xml:space="preserve">   Ievērojot, ka izdienas pabalsts piešķirams pēc katriem pieciem nepārtrauktas izdienas gadiem, piecu gadu nepārtrauktas izdienas laika uzskaite sākama 2014.gada 1.janvārī. Tādējādi izdienas pabalsta izmaksa amatpersonām varētu tikt izmaksāta no 2019.gada 1.janvāra. </w:t>
            </w:r>
          </w:p>
          <w:p w:rsidR="008E53DE" w:rsidRPr="00C8311A" w:rsidRDefault="008E53DE" w:rsidP="008D1C60">
            <w:pPr>
              <w:jc w:val="both"/>
              <w:rPr>
                <w:rFonts w:eastAsiaTheme="minorHAnsi"/>
                <w:sz w:val="26"/>
                <w:szCs w:val="26"/>
              </w:rPr>
            </w:pPr>
          </w:p>
          <w:p w:rsidR="00794636" w:rsidRPr="000770EA" w:rsidRDefault="00E05A6B" w:rsidP="000770EA">
            <w:pPr>
              <w:jc w:val="both"/>
              <w:rPr>
                <w:sz w:val="26"/>
                <w:szCs w:val="26"/>
              </w:rPr>
            </w:pPr>
            <w:r w:rsidRPr="00C36F1F">
              <w:rPr>
                <w:rFonts w:eastAsiaTheme="minorHAnsi"/>
                <w:color w:val="000000"/>
                <w:sz w:val="26"/>
                <w:szCs w:val="26"/>
              </w:rPr>
              <w:t xml:space="preserve">Ņemot vērā, ka </w:t>
            </w:r>
            <w:r>
              <w:rPr>
                <w:rFonts w:eastAsiaTheme="minorHAnsi"/>
                <w:color w:val="000000"/>
                <w:sz w:val="26"/>
                <w:szCs w:val="26"/>
              </w:rPr>
              <w:t xml:space="preserve">atlīdzības </w:t>
            </w:r>
            <w:r w:rsidRPr="00C36F1F">
              <w:rPr>
                <w:rFonts w:eastAsiaTheme="minorHAnsi"/>
                <w:color w:val="000000"/>
                <w:sz w:val="26"/>
                <w:szCs w:val="26"/>
              </w:rPr>
              <w:t xml:space="preserve">likuma piemērošanas procesā konstatēts, ka atsevišķas institūcijas pieļauj dažādu likuma normu interpretāciju, nepieciešami atsevišķi redakcionāla rakstura  precizējumi, lai </w:t>
            </w:r>
            <w:r w:rsidRPr="00C36F1F">
              <w:rPr>
                <w:rFonts w:eastAsiaTheme="minorHAnsi"/>
                <w:color w:val="000000"/>
                <w:sz w:val="26"/>
                <w:szCs w:val="26"/>
              </w:rPr>
              <w:lastRenderedPageBreak/>
              <w:t>nodrošinātu likuma normu viennozīmīgu piemērošanu.</w:t>
            </w:r>
          </w:p>
        </w:tc>
      </w:tr>
      <w:tr w:rsidR="00207CA2" w:rsidRPr="00C36F1F" w:rsidTr="00261D16">
        <w:trPr>
          <w:trHeight w:val="1071"/>
        </w:trPr>
        <w:tc>
          <w:tcPr>
            <w:tcW w:w="781" w:type="dxa"/>
          </w:tcPr>
          <w:p w:rsidR="00207CA2" w:rsidRPr="00C36F1F" w:rsidRDefault="00207CA2" w:rsidP="00FB2F9B">
            <w:pPr>
              <w:pStyle w:val="naiskr"/>
              <w:spacing w:before="0" w:after="0"/>
              <w:jc w:val="both"/>
              <w:rPr>
                <w:sz w:val="26"/>
                <w:szCs w:val="26"/>
              </w:rPr>
            </w:pPr>
            <w:r w:rsidRPr="00C36F1F">
              <w:rPr>
                <w:sz w:val="26"/>
                <w:szCs w:val="26"/>
              </w:rPr>
              <w:lastRenderedPageBreak/>
              <w:t>3.</w:t>
            </w:r>
          </w:p>
        </w:tc>
        <w:tc>
          <w:tcPr>
            <w:tcW w:w="1918" w:type="dxa"/>
          </w:tcPr>
          <w:p w:rsidR="00207CA2" w:rsidRPr="00C36F1F" w:rsidRDefault="00207CA2" w:rsidP="00FB2F9B">
            <w:pPr>
              <w:pStyle w:val="naiskr"/>
              <w:spacing w:before="0" w:after="0"/>
              <w:jc w:val="both"/>
              <w:rPr>
                <w:sz w:val="26"/>
                <w:szCs w:val="26"/>
              </w:rPr>
            </w:pPr>
            <w:r w:rsidRPr="00C36F1F">
              <w:rPr>
                <w:sz w:val="26"/>
                <w:szCs w:val="26"/>
              </w:rPr>
              <w:t>Saistītie politikas ietekmes novērtējumi un pētījumi</w:t>
            </w:r>
          </w:p>
        </w:tc>
        <w:tc>
          <w:tcPr>
            <w:tcW w:w="7239" w:type="dxa"/>
          </w:tcPr>
          <w:p w:rsidR="008E53DE" w:rsidRPr="008E53DE" w:rsidRDefault="00207CA2" w:rsidP="008E53DE">
            <w:pPr>
              <w:pStyle w:val="FootnoteText"/>
              <w:jc w:val="both"/>
              <w:rPr>
                <w:sz w:val="26"/>
                <w:szCs w:val="26"/>
              </w:rPr>
            </w:pPr>
            <w:r w:rsidRPr="00C36F1F">
              <w:rPr>
                <w:sz w:val="26"/>
                <w:szCs w:val="26"/>
              </w:rPr>
              <w:t xml:space="preserve"> </w:t>
            </w:r>
            <w:r w:rsidR="008E53DE" w:rsidRPr="008E53DE">
              <w:rPr>
                <w:sz w:val="26"/>
                <w:szCs w:val="26"/>
              </w:rPr>
              <w:t xml:space="preserve">1. Ar Iekšlietu ministrijas 2011.gada 4.februāra rīkojumu Nr.219 izveidotās darba grupas sagatavotais ziņojums par priekšlikumiem iekšlietu iestāžu atlīdzības reformai un darba kvalitātes uzlabošanai. </w:t>
            </w:r>
          </w:p>
          <w:p w:rsidR="008E53DE" w:rsidRPr="008E53DE" w:rsidRDefault="008E53DE" w:rsidP="008E53DE">
            <w:pPr>
              <w:pStyle w:val="FootnoteText"/>
              <w:jc w:val="both"/>
              <w:rPr>
                <w:sz w:val="26"/>
                <w:szCs w:val="26"/>
              </w:rPr>
            </w:pPr>
            <w:r w:rsidRPr="008E53DE">
              <w:rPr>
                <w:sz w:val="26"/>
                <w:szCs w:val="26"/>
              </w:rPr>
              <w:t>2. Ar Iekšlietu ministrijas 2011.gada 29.jūnija rīkojumu Nr.1010 izveidotās darba grupas sagatavotais ziņojums par priekšlikumiem sociālo garantiju sistēmas pilnveidošanai Iekšlietu ministrijas sistēmas iestāžu un Ieslodzījuma vietu pārvaldes amatpersonām ar speciālajām dienesta pakāpēm.</w:t>
            </w:r>
          </w:p>
          <w:p w:rsidR="008E53DE" w:rsidRPr="008E53DE" w:rsidRDefault="008E53DE" w:rsidP="008E53DE">
            <w:pPr>
              <w:pStyle w:val="FootnoteText"/>
              <w:jc w:val="both"/>
              <w:rPr>
                <w:sz w:val="26"/>
                <w:szCs w:val="26"/>
              </w:rPr>
            </w:pPr>
            <w:r w:rsidRPr="008E53DE">
              <w:rPr>
                <w:sz w:val="26"/>
                <w:szCs w:val="26"/>
              </w:rPr>
              <w:t xml:space="preserve">3. Ar Iekšlietu ministrijas 2012.gada 30.marta rīkojumu Nr.1-12/621 izveidotās darba grupas jaunas darba samaksas sistēmas izstrādei Iekšlietu ministrijas sistēmas iestāžu un Ieslodzījuma vietu pārvaldes amatpersonām ar speciālajām dienesta pakāpēm pieņemtie lēmumi atlīdzības jomas sakārtošanai un tiesiskā regulējuma pilnveidošanai. </w:t>
            </w:r>
          </w:p>
          <w:p w:rsidR="00207CA2" w:rsidRDefault="008E53DE" w:rsidP="008E53DE">
            <w:pPr>
              <w:pStyle w:val="FootnoteText"/>
              <w:jc w:val="both"/>
              <w:rPr>
                <w:sz w:val="26"/>
                <w:szCs w:val="26"/>
              </w:rPr>
            </w:pPr>
            <w:r w:rsidRPr="008E53DE">
              <w:rPr>
                <w:sz w:val="26"/>
                <w:szCs w:val="26"/>
              </w:rPr>
              <w:t>4. Ar Finanšu ministrijas 2012.gada 22.maija rīkojumu Nr.257 izveidotās starpinstitūciju darba grupas sagatavotais un Finanšu ministrijas virzītais  Informatīvais ziņojums „Priekšlikumi par normatīvajos aktos noteikto sociālo garantiju karavīriem un amatpersonām ar speciālajām dienesta pakāpēm iespējamu pilnveidošanu” (izskatīts Ministru kabineta 2013.gada 19.marta sēdē, prot.Nr.15, 36.#).</w:t>
            </w:r>
          </w:p>
          <w:p w:rsidR="00426B9D" w:rsidRPr="00C36F1F" w:rsidRDefault="00FC5BE0" w:rsidP="002A449C">
            <w:pPr>
              <w:pStyle w:val="FootnoteText"/>
              <w:jc w:val="both"/>
              <w:rPr>
                <w:sz w:val="26"/>
                <w:szCs w:val="26"/>
              </w:rPr>
            </w:pPr>
            <w:r>
              <w:rPr>
                <w:sz w:val="26"/>
                <w:szCs w:val="26"/>
              </w:rPr>
              <w:t>5.</w:t>
            </w:r>
            <w:r w:rsidR="002A449C">
              <w:t xml:space="preserve"> </w:t>
            </w:r>
            <w:r w:rsidR="002A449C" w:rsidRPr="002A449C">
              <w:rPr>
                <w:sz w:val="26"/>
                <w:szCs w:val="26"/>
              </w:rPr>
              <w:t xml:space="preserve">Ministru kabineta 2013.gada 4.jūnija sēdē </w:t>
            </w:r>
            <w:r w:rsidR="002A449C">
              <w:rPr>
                <w:sz w:val="26"/>
                <w:szCs w:val="26"/>
              </w:rPr>
              <w:t>akceptētais</w:t>
            </w:r>
            <w:r w:rsidR="002A449C" w:rsidRPr="002A449C">
              <w:rPr>
                <w:sz w:val="26"/>
                <w:szCs w:val="26"/>
              </w:rPr>
              <w:t xml:space="preserve"> </w:t>
            </w:r>
            <w:r w:rsidR="002A449C">
              <w:rPr>
                <w:sz w:val="26"/>
                <w:szCs w:val="26"/>
              </w:rPr>
              <w:t>i</w:t>
            </w:r>
            <w:r w:rsidR="002A449C" w:rsidRPr="002A449C">
              <w:rPr>
                <w:sz w:val="26"/>
                <w:szCs w:val="26"/>
              </w:rPr>
              <w:t>nformatīvais ziņojums</w:t>
            </w:r>
            <w:r w:rsidR="002A449C">
              <w:rPr>
                <w:sz w:val="26"/>
                <w:szCs w:val="26"/>
              </w:rPr>
              <w:t xml:space="preserve"> </w:t>
            </w:r>
            <w:r w:rsidR="002A449C" w:rsidRPr="002A449C">
              <w:rPr>
                <w:sz w:val="26"/>
                <w:szCs w:val="26"/>
              </w:rPr>
              <w:t>„Par iespējām pakāpeniski izlīdzināt atlīdzības fondus valsts tiešās pārvaldes iestādēm, lai nodrošinātu līdzvērtīgu atlīdzību līdzīgiem amatiem dažādās iestādēs”</w:t>
            </w:r>
            <w:r w:rsidR="002A449C">
              <w:rPr>
                <w:sz w:val="26"/>
                <w:szCs w:val="26"/>
              </w:rPr>
              <w:t xml:space="preserve"> </w:t>
            </w:r>
            <w:r w:rsidR="002A449C" w:rsidRPr="002A449C">
              <w:rPr>
                <w:sz w:val="26"/>
                <w:szCs w:val="26"/>
              </w:rPr>
              <w:t>(protokols Nr.33 28.§)</w:t>
            </w:r>
            <w:r w:rsidR="002A449C">
              <w:rPr>
                <w:sz w:val="26"/>
                <w:szCs w:val="26"/>
              </w:rPr>
              <w:t>.</w:t>
            </w:r>
          </w:p>
        </w:tc>
      </w:tr>
      <w:tr w:rsidR="00207CA2" w:rsidRPr="00C36F1F" w:rsidTr="00261D16">
        <w:trPr>
          <w:trHeight w:val="384"/>
        </w:trPr>
        <w:tc>
          <w:tcPr>
            <w:tcW w:w="781" w:type="dxa"/>
          </w:tcPr>
          <w:p w:rsidR="00207CA2" w:rsidRPr="00C36F1F" w:rsidRDefault="00207CA2" w:rsidP="00FB2F9B">
            <w:pPr>
              <w:pStyle w:val="naiskr"/>
              <w:spacing w:before="0" w:after="0"/>
              <w:jc w:val="both"/>
              <w:rPr>
                <w:sz w:val="26"/>
                <w:szCs w:val="26"/>
              </w:rPr>
            </w:pPr>
            <w:r w:rsidRPr="00C36F1F">
              <w:rPr>
                <w:sz w:val="26"/>
                <w:szCs w:val="26"/>
              </w:rPr>
              <w:t>4.</w:t>
            </w:r>
          </w:p>
        </w:tc>
        <w:tc>
          <w:tcPr>
            <w:tcW w:w="1918" w:type="dxa"/>
          </w:tcPr>
          <w:p w:rsidR="00207CA2" w:rsidRPr="00C36F1F" w:rsidRDefault="00207CA2" w:rsidP="002A02AE">
            <w:pPr>
              <w:pStyle w:val="naiskr"/>
              <w:spacing w:before="0" w:after="0"/>
              <w:rPr>
                <w:sz w:val="26"/>
                <w:szCs w:val="26"/>
              </w:rPr>
            </w:pPr>
            <w:r w:rsidRPr="00C36F1F">
              <w:rPr>
                <w:sz w:val="26"/>
                <w:szCs w:val="26"/>
              </w:rPr>
              <w:t>Tiesiskā regulējuma mērķis un būtība</w:t>
            </w:r>
          </w:p>
        </w:tc>
        <w:tc>
          <w:tcPr>
            <w:tcW w:w="7239" w:type="dxa"/>
          </w:tcPr>
          <w:p w:rsidR="007F0167" w:rsidRDefault="00611AFF" w:rsidP="0036108E">
            <w:pPr>
              <w:autoSpaceDE w:val="0"/>
              <w:autoSpaceDN w:val="0"/>
              <w:adjustRightInd w:val="0"/>
              <w:jc w:val="both"/>
              <w:rPr>
                <w:sz w:val="26"/>
                <w:szCs w:val="26"/>
              </w:rPr>
            </w:pPr>
            <w:r>
              <w:rPr>
                <w:rFonts w:eastAsiaTheme="minorHAnsi"/>
                <w:color w:val="000000"/>
                <w:sz w:val="26"/>
                <w:szCs w:val="26"/>
              </w:rPr>
              <w:t xml:space="preserve">   </w:t>
            </w:r>
            <w:r w:rsidR="0036108E">
              <w:rPr>
                <w:rFonts w:eastAsiaTheme="minorHAnsi"/>
                <w:color w:val="000000"/>
                <w:sz w:val="26"/>
                <w:szCs w:val="26"/>
              </w:rPr>
              <w:t xml:space="preserve">Atlīdzības likums paredz iespēju 2014.gadā </w:t>
            </w:r>
            <w:r w:rsidR="00426B9D">
              <w:rPr>
                <w:rFonts w:eastAsiaTheme="minorHAnsi"/>
                <w:color w:val="000000"/>
                <w:sz w:val="26"/>
                <w:szCs w:val="26"/>
              </w:rPr>
              <w:t xml:space="preserve">un 2015.gadā </w:t>
            </w:r>
            <w:r w:rsidR="0036108E">
              <w:rPr>
                <w:rFonts w:eastAsiaTheme="minorHAnsi"/>
                <w:color w:val="000000"/>
                <w:sz w:val="26"/>
                <w:szCs w:val="26"/>
              </w:rPr>
              <w:t xml:space="preserve">amatpersonai (darbiniekam) noteikt </w:t>
            </w:r>
            <w:r w:rsidR="0036108E" w:rsidRPr="00257749">
              <w:rPr>
                <w:sz w:val="26"/>
                <w:szCs w:val="26"/>
              </w:rPr>
              <w:t>piemaks</w:t>
            </w:r>
            <w:r w:rsidR="0036108E">
              <w:rPr>
                <w:sz w:val="26"/>
                <w:szCs w:val="26"/>
              </w:rPr>
              <w:t>u</w:t>
            </w:r>
            <w:r w:rsidR="0036108E" w:rsidRPr="00257749">
              <w:rPr>
                <w:sz w:val="26"/>
                <w:szCs w:val="26"/>
              </w:rPr>
              <w:t xml:space="preserve"> par darbu Latvijas prezidentūras Eiropas Savienības padomē sagatavošanā un norisē</w:t>
            </w:r>
            <w:r w:rsidR="0036108E">
              <w:rPr>
                <w:sz w:val="26"/>
                <w:szCs w:val="26"/>
              </w:rPr>
              <w:t xml:space="preserve">.  Vienlaikus </w:t>
            </w:r>
            <w:r w:rsidR="007F0167">
              <w:rPr>
                <w:sz w:val="26"/>
                <w:szCs w:val="26"/>
              </w:rPr>
              <w:t xml:space="preserve">atlīdzības likums </w:t>
            </w:r>
            <w:r w:rsidR="007F0167" w:rsidRPr="00470BCA">
              <w:rPr>
                <w:sz w:val="26"/>
                <w:szCs w:val="26"/>
              </w:rPr>
              <w:t xml:space="preserve">paredz, </w:t>
            </w:r>
            <w:r w:rsidR="007F0167" w:rsidRPr="00470BCA">
              <w:rPr>
                <w:sz w:val="26"/>
                <w:szCs w:val="26"/>
                <w:u w:color="FFFFFF" w:themeColor="background1"/>
              </w:rPr>
              <w:t>ka</w:t>
            </w:r>
            <w:r w:rsidR="00470BCA">
              <w:rPr>
                <w:sz w:val="26"/>
                <w:szCs w:val="26"/>
                <w:u w:color="FFFFFF" w:themeColor="background1"/>
              </w:rPr>
              <w:t xml:space="preserve"> par to pašu pienākumu veikšanu nevar noteikt arī šā likuma 14.panta pirmajā un divpadsmitajā daļā minētās piemaksas.</w:t>
            </w:r>
            <w:r w:rsidR="00426B9D" w:rsidRPr="00470BCA">
              <w:rPr>
                <w:sz w:val="26"/>
                <w:szCs w:val="26"/>
                <w:u w:color="FFFFFF" w:themeColor="background1"/>
              </w:rPr>
              <w:t xml:space="preserve"> </w:t>
            </w:r>
            <w:r w:rsidR="00426B9D" w:rsidRPr="00470BCA">
              <w:rPr>
                <w:sz w:val="26"/>
                <w:szCs w:val="26"/>
              </w:rPr>
              <w:t>L</w:t>
            </w:r>
            <w:r w:rsidR="0036108E" w:rsidRPr="00470BCA">
              <w:rPr>
                <w:sz w:val="26"/>
                <w:szCs w:val="26"/>
              </w:rPr>
              <w:t>ai  nodrošinātu racionālu, lietderīgu un ekonomisku</w:t>
            </w:r>
            <w:r w:rsidR="0036108E" w:rsidRPr="003E7202">
              <w:rPr>
                <w:sz w:val="26"/>
                <w:szCs w:val="26"/>
              </w:rPr>
              <w:t xml:space="preserve"> budžeta līdzekļu izlietošanu</w:t>
            </w:r>
            <w:r w:rsidR="0036108E">
              <w:rPr>
                <w:sz w:val="26"/>
                <w:szCs w:val="26"/>
              </w:rPr>
              <w:t xml:space="preserve">, </w:t>
            </w:r>
            <w:r w:rsidR="0036108E" w:rsidRPr="003E7202">
              <w:rPr>
                <w:sz w:val="26"/>
                <w:szCs w:val="26"/>
              </w:rPr>
              <w:t>amatperson</w:t>
            </w:r>
            <w:r w:rsidR="0036108E">
              <w:rPr>
                <w:sz w:val="26"/>
                <w:szCs w:val="26"/>
              </w:rPr>
              <w:t>a</w:t>
            </w:r>
            <w:r w:rsidR="009646B8">
              <w:rPr>
                <w:sz w:val="26"/>
                <w:szCs w:val="26"/>
              </w:rPr>
              <w:t>i</w:t>
            </w:r>
            <w:r w:rsidR="0036108E">
              <w:rPr>
                <w:sz w:val="26"/>
                <w:szCs w:val="26"/>
              </w:rPr>
              <w:t xml:space="preserve"> (darbiniek</w:t>
            </w:r>
            <w:r w:rsidR="009646B8">
              <w:rPr>
                <w:sz w:val="26"/>
                <w:szCs w:val="26"/>
              </w:rPr>
              <w:t>am</w:t>
            </w:r>
            <w:r w:rsidR="0036108E">
              <w:rPr>
                <w:sz w:val="26"/>
                <w:szCs w:val="26"/>
              </w:rPr>
              <w:t>), kura</w:t>
            </w:r>
            <w:r w:rsidR="009646B8">
              <w:rPr>
                <w:sz w:val="26"/>
                <w:szCs w:val="26"/>
              </w:rPr>
              <w:t>i</w:t>
            </w:r>
            <w:r w:rsidR="0036108E">
              <w:rPr>
                <w:sz w:val="26"/>
                <w:szCs w:val="26"/>
              </w:rPr>
              <w:t xml:space="preserve"> </w:t>
            </w:r>
            <w:r w:rsidR="009646B8">
              <w:rPr>
                <w:sz w:val="26"/>
                <w:szCs w:val="26"/>
              </w:rPr>
              <w:t>tiks noteikta</w:t>
            </w:r>
            <w:r w:rsidR="0036108E">
              <w:rPr>
                <w:sz w:val="26"/>
                <w:szCs w:val="26"/>
              </w:rPr>
              <w:t xml:space="preserve"> piemaks</w:t>
            </w:r>
            <w:r w:rsidR="009646B8">
              <w:rPr>
                <w:sz w:val="26"/>
                <w:szCs w:val="26"/>
              </w:rPr>
              <w:t>a</w:t>
            </w:r>
            <w:r w:rsidR="0036108E">
              <w:rPr>
                <w:sz w:val="26"/>
                <w:szCs w:val="26"/>
              </w:rPr>
              <w:t xml:space="preserve"> par darbu prezidentūras sagatavošanā un nodrošināšanā, </w:t>
            </w:r>
            <w:r w:rsidR="007F0167">
              <w:rPr>
                <w:sz w:val="26"/>
                <w:szCs w:val="26"/>
              </w:rPr>
              <w:t xml:space="preserve">likumprojekts paredz </w:t>
            </w:r>
            <w:r w:rsidR="009646B8">
              <w:rPr>
                <w:sz w:val="26"/>
                <w:szCs w:val="26"/>
              </w:rPr>
              <w:t>no</w:t>
            </w:r>
            <w:r w:rsidR="007F0167">
              <w:rPr>
                <w:sz w:val="26"/>
                <w:szCs w:val="26"/>
              </w:rPr>
              <w:t xml:space="preserve">teikt, ka </w:t>
            </w:r>
            <w:r w:rsidR="007F0167" w:rsidRPr="003E7202">
              <w:rPr>
                <w:sz w:val="26"/>
                <w:szCs w:val="26"/>
              </w:rPr>
              <w:t xml:space="preserve"> amatperson</w:t>
            </w:r>
            <w:r w:rsidR="007F0167">
              <w:rPr>
                <w:sz w:val="26"/>
                <w:szCs w:val="26"/>
              </w:rPr>
              <w:t>a (darbinieks)</w:t>
            </w:r>
            <w:r w:rsidR="007F0167">
              <w:t xml:space="preserve"> </w:t>
            </w:r>
            <w:r w:rsidR="007F0167" w:rsidRPr="007F0167">
              <w:rPr>
                <w:sz w:val="26"/>
                <w:szCs w:val="26"/>
              </w:rPr>
              <w:t>nevar saņemt arī šā likuma 14.panta pirmajā un divpadsmitajā daļā minētās piemaksas.</w:t>
            </w:r>
            <w:r w:rsidR="0032599C">
              <w:rPr>
                <w:sz w:val="26"/>
                <w:szCs w:val="26"/>
              </w:rPr>
              <w:t xml:space="preserve"> Šāds ierobežojums pamato</w:t>
            </w:r>
            <w:r w:rsidR="002A778E">
              <w:rPr>
                <w:sz w:val="26"/>
                <w:szCs w:val="26"/>
              </w:rPr>
              <w:t>jams</w:t>
            </w:r>
            <w:r w:rsidR="0032599C">
              <w:rPr>
                <w:sz w:val="26"/>
                <w:szCs w:val="26"/>
              </w:rPr>
              <w:t xml:space="preserve"> ar to, ka</w:t>
            </w:r>
            <w:r w:rsidR="0032599C" w:rsidRPr="0032599C">
              <w:rPr>
                <w:sz w:val="26"/>
                <w:szCs w:val="26"/>
              </w:rPr>
              <w:t xml:space="preserve"> darbs saistībā ar ES prezidentūru </w:t>
            </w:r>
            <w:r w:rsidR="00433312">
              <w:rPr>
                <w:sz w:val="26"/>
                <w:szCs w:val="26"/>
              </w:rPr>
              <w:t xml:space="preserve">vairumā gadījumu </w:t>
            </w:r>
            <w:r w:rsidR="0032599C" w:rsidRPr="0032599C">
              <w:rPr>
                <w:sz w:val="26"/>
                <w:szCs w:val="26"/>
              </w:rPr>
              <w:t xml:space="preserve">būs pilnas slodzes darbs un </w:t>
            </w:r>
            <w:r w:rsidR="0032599C">
              <w:rPr>
                <w:sz w:val="26"/>
                <w:szCs w:val="26"/>
              </w:rPr>
              <w:t xml:space="preserve">amatpersona (darbinieks) </w:t>
            </w:r>
            <w:r w:rsidR="001B0425">
              <w:rPr>
                <w:sz w:val="26"/>
                <w:szCs w:val="26"/>
              </w:rPr>
              <w:t>ievērojami</w:t>
            </w:r>
            <w:r w:rsidR="0032599C">
              <w:rPr>
                <w:sz w:val="26"/>
                <w:szCs w:val="26"/>
              </w:rPr>
              <w:t xml:space="preserve"> </w:t>
            </w:r>
            <w:r w:rsidR="0032599C" w:rsidRPr="0032599C">
              <w:rPr>
                <w:sz w:val="26"/>
                <w:szCs w:val="26"/>
              </w:rPr>
              <w:t xml:space="preserve">mazāk laika </w:t>
            </w:r>
            <w:r w:rsidR="0032599C">
              <w:rPr>
                <w:sz w:val="26"/>
                <w:szCs w:val="26"/>
              </w:rPr>
              <w:t>varēs</w:t>
            </w:r>
            <w:r w:rsidR="0032599C" w:rsidRPr="0032599C">
              <w:rPr>
                <w:sz w:val="26"/>
                <w:szCs w:val="26"/>
              </w:rPr>
              <w:t xml:space="preserve"> veltīt saviem pamat</w:t>
            </w:r>
            <w:r w:rsidR="001B0425">
              <w:rPr>
                <w:sz w:val="26"/>
                <w:szCs w:val="26"/>
              </w:rPr>
              <w:t xml:space="preserve">darba </w:t>
            </w:r>
            <w:r w:rsidR="0032599C" w:rsidRPr="0032599C">
              <w:rPr>
                <w:sz w:val="26"/>
                <w:szCs w:val="26"/>
              </w:rPr>
              <w:t>pienākumiem</w:t>
            </w:r>
            <w:r w:rsidR="001B0425">
              <w:rPr>
                <w:sz w:val="26"/>
                <w:szCs w:val="26"/>
              </w:rPr>
              <w:t xml:space="preserve">, kā arī </w:t>
            </w:r>
            <w:r w:rsidR="002A778E">
              <w:rPr>
                <w:sz w:val="26"/>
                <w:szCs w:val="26"/>
              </w:rPr>
              <w:t xml:space="preserve">viņai </w:t>
            </w:r>
            <w:r w:rsidR="001B0425">
              <w:rPr>
                <w:sz w:val="26"/>
                <w:szCs w:val="26"/>
              </w:rPr>
              <w:t>nebūs iespēja uzņemties citus papildu pienākumus</w:t>
            </w:r>
            <w:r w:rsidR="0032599C" w:rsidRPr="0032599C">
              <w:rPr>
                <w:sz w:val="26"/>
                <w:szCs w:val="26"/>
              </w:rPr>
              <w:t xml:space="preserve">. </w:t>
            </w:r>
            <w:r w:rsidR="0032599C">
              <w:rPr>
                <w:sz w:val="26"/>
                <w:szCs w:val="26"/>
              </w:rPr>
              <w:t>Līdz ar to amatpersonai (</w:t>
            </w:r>
            <w:r w:rsidR="0032599C" w:rsidRPr="0032599C">
              <w:rPr>
                <w:sz w:val="26"/>
                <w:szCs w:val="26"/>
              </w:rPr>
              <w:t>darbiniekam</w:t>
            </w:r>
            <w:r w:rsidR="0032599C">
              <w:rPr>
                <w:sz w:val="26"/>
                <w:szCs w:val="26"/>
              </w:rPr>
              <w:t>)</w:t>
            </w:r>
            <w:r w:rsidR="0032599C" w:rsidRPr="0032599C">
              <w:rPr>
                <w:sz w:val="26"/>
                <w:szCs w:val="26"/>
              </w:rPr>
              <w:t>, k</w:t>
            </w:r>
            <w:r w:rsidR="0032599C">
              <w:rPr>
                <w:sz w:val="26"/>
                <w:szCs w:val="26"/>
              </w:rPr>
              <w:t>ura</w:t>
            </w:r>
            <w:r w:rsidR="0032599C" w:rsidRPr="0032599C">
              <w:rPr>
                <w:sz w:val="26"/>
                <w:szCs w:val="26"/>
              </w:rPr>
              <w:t xml:space="preserve"> būs iesaistīt</w:t>
            </w:r>
            <w:r w:rsidR="0032599C">
              <w:rPr>
                <w:sz w:val="26"/>
                <w:szCs w:val="26"/>
              </w:rPr>
              <w:t>a</w:t>
            </w:r>
            <w:r w:rsidR="0032599C" w:rsidRPr="0032599C">
              <w:rPr>
                <w:sz w:val="26"/>
                <w:szCs w:val="26"/>
              </w:rPr>
              <w:t xml:space="preserve"> </w:t>
            </w:r>
            <w:r w:rsidR="0032599C">
              <w:rPr>
                <w:sz w:val="26"/>
                <w:szCs w:val="26"/>
              </w:rPr>
              <w:t xml:space="preserve">ES </w:t>
            </w:r>
            <w:r w:rsidR="0032599C" w:rsidRPr="0032599C">
              <w:rPr>
                <w:sz w:val="26"/>
                <w:szCs w:val="26"/>
              </w:rPr>
              <w:t>prezidentūr</w:t>
            </w:r>
            <w:r w:rsidR="0032599C">
              <w:rPr>
                <w:sz w:val="26"/>
                <w:szCs w:val="26"/>
              </w:rPr>
              <w:t>as nodrošināšanā</w:t>
            </w:r>
            <w:r w:rsidR="0032599C" w:rsidRPr="0032599C">
              <w:rPr>
                <w:sz w:val="26"/>
                <w:szCs w:val="26"/>
              </w:rPr>
              <w:t xml:space="preserve">, </w:t>
            </w:r>
            <w:r w:rsidR="00635690">
              <w:rPr>
                <w:sz w:val="26"/>
                <w:szCs w:val="26"/>
              </w:rPr>
              <w:t>netiek paredzētas likuma 14.panta pirmajā un divpadsmitajā daļā minētās piemaksas.</w:t>
            </w:r>
            <w:r w:rsidR="0032599C">
              <w:rPr>
                <w:sz w:val="26"/>
                <w:szCs w:val="26"/>
              </w:rPr>
              <w:t xml:space="preserve"> </w:t>
            </w:r>
          </w:p>
          <w:p w:rsidR="0032599C" w:rsidRDefault="0032599C" w:rsidP="0036108E">
            <w:pPr>
              <w:autoSpaceDE w:val="0"/>
              <w:autoSpaceDN w:val="0"/>
              <w:adjustRightInd w:val="0"/>
              <w:jc w:val="both"/>
              <w:rPr>
                <w:sz w:val="26"/>
                <w:szCs w:val="26"/>
              </w:rPr>
            </w:pPr>
          </w:p>
          <w:p w:rsidR="009646B8" w:rsidRDefault="00611AFF" w:rsidP="009646B8">
            <w:pPr>
              <w:autoSpaceDE w:val="0"/>
              <w:autoSpaceDN w:val="0"/>
              <w:adjustRightInd w:val="0"/>
              <w:jc w:val="both"/>
              <w:rPr>
                <w:rFonts w:eastAsia="Calibri"/>
                <w:sz w:val="26"/>
                <w:szCs w:val="26"/>
                <w:lang w:eastAsia="en-US"/>
              </w:rPr>
            </w:pPr>
            <w:r>
              <w:rPr>
                <w:sz w:val="26"/>
                <w:szCs w:val="26"/>
              </w:rPr>
              <w:t xml:space="preserve">   </w:t>
            </w:r>
            <w:r w:rsidR="009646B8" w:rsidRPr="005C778D">
              <w:rPr>
                <w:sz w:val="26"/>
                <w:szCs w:val="26"/>
              </w:rPr>
              <w:t>Likumprojekts paredz papil</w:t>
            </w:r>
            <w:r w:rsidR="009646B8" w:rsidRPr="00DD0FB6">
              <w:rPr>
                <w:rFonts w:eastAsia="Calibri"/>
                <w:sz w:val="26"/>
                <w:szCs w:val="26"/>
                <w:lang w:eastAsia="en-US"/>
              </w:rPr>
              <w:t xml:space="preserve">dināt </w:t>
            </w:r>
            <w:r w:rsidR="009646B8" w:rsidRPr="005C778D">
              <w:rPr>
                <w:rFonts w:eastAsia="Calibri"/>
                <w:sz w:val="26"/>
                <w:szCs w:val="26"/>
                <w:lang w:eastAsia="en-US"/>
              </w:rPr>
              <w:t xml:space="preserve">37.pantā minēto </w:t>
            </w:r>
            <w:r w:rsidR="009646B8" w:rsidRPr="00DD0FB6">
              <w:rPr>
                <w:rFonts w:eastAsia="Calibri"/>
                <w:sz w:val="26"/>
                <w:szCs w:val="26"/>
                <w:lang w:eastAsia="en-US"/>
              </w:rPr>
              <w:t>obligāti apdrošināmo amatpersonu loku ar VID amatpersonām</w:t>
            </w:r>
            <w:r w:rsidR="009646B8" w:rsidRPr="005C778D">
              <w:rPr>
                <w:sz w:val="26"/>
                <w:szCs w:val="26"/>
              </w:rPr>
              <w:t xml:space="preserve">  - </w:t>
            </w:r>
            <w:r w:rsidR="009646B8" w:rsidRPr="005C778D">
              <w:rPr>
                <w:rFonts w:eastAsia="Calibri"/>
                <w:sz w:val="26"/>
                <w:szCs w:val="26"/>
                <w:lang w:eastAsia="en-US"/>
              </w:rPr>
              <w:t xml:space="preserve">VID Muitas </w:t>
            </w:r>
            <w:r w:rsidR="009646B8" w:rsidRPr="005C778D">
              <w:rPr>
                <w:rFonts w:eastAsia="Calibri"/>
                <w:sz w:val="26"/>
                <w:szCs w:val="26"/>
                <w:lang w:eastAsia="en-US"/>
              </w:rPr>
              <w:lastRenderedPageBreak/>
              <w:t xml:space="preserve">pārvaldes, Muitas </w:t>
            </w:r>
            <w:proofErr w:type="spellStart"/>
            <w:r w:rsidR="009646B8" w:rsidRPr="005C778D">
              <w:rPr>
                <w:rFonts w:eastAsia="Calibri"/>
                <w:sz w:val="26"/>
                <w:szCs w:val="26"/>
                <w:lang w:eastAsia="en-US"/>
              </w:rPr>
              <w:t>kriminālpārvaldes</w:t>
            </w:r>
            <w:proofErr w:type="spellEnd"/>
            <w:r w:rsidR="009646B8" w:rsidRPr="005C778D">
              <w:rPr>
                <w:rFonts w:eastAsia="Calibri"/>
                <w:sz w:val="26"/>
                <w:szCs w:val="26"/>
                <w:lang w:eastAsia="en-US"/>
              </w:rPr>
              <w:t xml:space="preserve"> un Finanšu policijas specializētā valsts civildienesta ierēdņiem, kuriem arī piešķirtas speciālās dienesta pakāpes</w:t>
            </w:r>
            <w:r w:rsidR="009646B8" w:rsidRPr="00DD0FB6">
              <w:rPr>
                <w:rFonts w:eastAsia="Calibri"/>
                <w:sz w:val="26"/>
                <w:szCs w:val="26"/>
                <w:lang w:eastAsia="en-US"/>
              </w:rPr>
              <w:t>, kas, veicot amata (dienesta, darba) pienākumus, ir pakļautas reālam dzīvības vai veselības apdraudējumam (riskam)</w:t>
            </w:r>
            <w:r w:rsidR="006506B3">
              <w:rPr>
                <w:rFonts w:eastAsia="Calibri"/>
                <w:sz w:val="26"/>
                <w:szCs w:val="26"/>
                <w:lang w:eastAsia="en-US"/>
              </w:rPr>
              <w:t xml:space="preserve"> - veicot izmeklēšanu, operatīvo darbību un kontroli</w:t>
            </w:r>
            <w:r w:rsidR="009646B8" w:rsidRPr="00DD0FB6">
              <w:rPr>
                <w:rFonts w:eastAsia="Calibri"/>
                <w:sz w:val="26"/>
                <w:szCs w:val="26"/>
                <w:lang w:eastAsia="en-US"/>
              </w:rPr>
              <w:t xml:space="preserve">. </w:t>
            </w:r>
          </w:p>
          <w:p w:rsidR="009646B8" w:rsidRPr="005C778D" w:rsidRDefault="009646B8" w:rsidP="009646B8">
            <w:pPr>
              <w:autoSpaceDE w:val="0"/>
              <w:autoSpaceDN w:val="0"/>
              <w:adjustRightInd w:val="0"/>
              <w:jc w:val="both"/>
              <w:rPr>
                <w:rFonts w:eastAsia="Calibri"/>
                <w:sz w:val="26"/>
                <w:szCs w:val="26"/>
                <w:lang w:eastAsia="en-US"/>
              </w:rPr>
            </w:pPr>
          </w:p>
          <w:p w:rsidR="009646B8" w:rsidRDefault="00611AFF" w:rsidP="009646B8">
            <w:pPr>
              <w:autoSpaceDE w:val="0"/>
              <w:autoSpaceDN w:val="0"/>
              <w:adjustRightInd w:val="0"/>
              <w:jc w:val="both"/>
              <w:rPr>
                <w:rFonts w:eastAsiaTheme="minorHAnsi"/>
                <w:color w:val="000000"/>
                <w:sz w:val="26"/>
                <w:szCs w:val="26"/>
              </w:rPr>
            </w:pPr>
            <w:r>
              <w:rPr>
                <w:sz w:val="26"/>
                <w:szCs w:val="26"/>
              </w:rPr>
              <w:t xml:space="preserve">    </w:t>
            </w:r>
            <w:r w:rsidR="009646B8" w:rsidRPr="00473290">
              <w:rPr>
                <w:sz w:val="26"/>
                <w:szCs w:val="26"/>
              </w:rPr>
              <w:t xml:space="preserve">Likumprojekts paredz precizēt </w:t>
            </w:r>
            <w:r w:rsidR="009646B8">
              <w:rPr>
                <w:sz w:val="26"/>
                <w:szCs w:val="26"/>
              </w:rPr>
              <w:t xml:space="preserve">atlīdzības likuma </w:t>
            </w:r>
            <w:r w:rsidR="009646B8" w:rsidRPr="00473290">
              <w:rPr>
                <w:sz w:val="26"/>
                <w:szCs w:val="26"/>
              </w:rPr>
              <w:t>3.pielikumā noteikt</w:t>
            </w:r>
            <w:r w:rsidR="00FA5D76">
              <w:rPr>
                <w:sz w:val="26"/>
                <w:szCs w:val="26"/>
              </w:rPr>
              <w:t>o</w:t>
            </w:r>
            <w:r w:rsidR="009646B8" w:rsidRPr="00473290">
              <w:rPr>
                <w:sz w:val="26"/>
                <w:szCs w:val="26"/>
              </w:rPr>
              <w:t xml:space="preserve"> mēnešalgu grup</w:t>
            </w:r>
            <w:r w:rsidR="00FA5D76">
              <w:rPr>
                <w:sz w:val="26"/>
                <w:szCs w:val="26"/>
              </w:rPr>
              <w:t>u</w:t>
            </w:r>
            <w:r w:rsidR="009646B8" w:rsidRPr="00473290">
              <w:rPr>
                <w:sz w:val="26"/>
                <w:szCs w:val="26"/>
              </w:rPr>
              <w:t xml:space="preserve"> </w:t>
            </w:r>
            <w:r w:rsidR="00FA5D76">
              <w:rPr>
                <w:sz w:val="26"/>
                <w:szCs w:val="26"/>
              </w:rPr>
              <w:t xml:space="preserve">maksimālās mēnešalgas. </w:t>
            </w:r>
            <w:r w:rsidR="009646B8" w:rsidRPr="00473290">
              <w:rPr>
                <w:sz w:val="26"/>
                <w:szCs w:val="26"/>
              </w:rPr>
              <w:t xml:space="preserve">Maksimālās mēnešalgas </w:t>
            </w:r>
            <w:r w:rsidR="00FA5D76">
              <w:rPr>
                <w:sz w:val="26"/>
                <w:szCs w:val="26"/>
              </w:rPr>
              <w:t xml:space="preserve">tiek </w:t>
            </w:r>
            <w:r w:rsidR="009646B8" w:rsidRPr="00473290">
              <w:rPr>
                <w:sz w:val="26"/>
                <w:szCs w:val="26"/>
              </w:rPr>
              <w:t>pārskatītas 1</w:t>
            </w:r>
            <w:r w:rsidR="001C7CE0">
              <w:rPr>
                <w:sz w:val="26"/>
                <w:szCs w:val="26"/>
              </w:rPr>
              <w:t xml:space="preserve">. līdz </w:t>
            </w:r>
            <w:r w:rsidR="009646B8" w:rsidRPr="00473290">
              <w:rPr>
                <w:sz w:val="26"/>
                <w:szCs w:val="26"/>
              </w:rPr>
              <w:t>7.mēnešalgu grupai</w:t>
            </w:r>
            <w:r w:rsidR="00946964">
              <w:rPr>
                <w:sz w:val="26"/>
                <w:szCs w:val="26"/>
              </w:rPr>
              <w:t>, ņemot vērā</w:t>
            </w:r>
            <w:r w:rsidR="009646B8" w:rsidRPr="00473290">
              <w:rPr>
                <w:sz w:val="26"/>
                <w:szCs w:val="26"/>
              </w:rPr>
              <w:t xml:space="preserve"> Ministru kabinetā pieņemt</w:t>
            </w:r>
            <w:r w:rsidR="00946964">
              <w:rPr>
                <w:sz w:val="26"/>
                <w:szCs w:val="26"/>
              </w:rPr>
              <w:t>os</w:t>
            </w:r>
            <w:r w:rsidR="009646B8" w:rsidRPr="00473290">
              <w:rPr>
                <w:sz w:val="26"/>
                <w:szCs w:val="26"/>
              </w:rPr>
              <w:t xml:space="preserve"> lēmum</w:t>
            </w:r>
            <w:r w:rsidR="00946964">
              <w:rPr>
                <w:sz w:val="26"/>
                <w:szCs w:val="26"/>
              </w:rPr>
              <w:t>us</w:t>
            </w:r>
            <w:r w:rsidR="009646B8" w:rsidRPr="00473290">
              <w:rPr>
                <w:sz w:val="26"/>
                <w:szCs w:val="26"/>
              </w:rPr>
              <w:t xml:space="preserve"> par minimālās mēne</w:t>
            </w:r>
            <w:r w:rsidR="009646B8">
              <w:rPr>
                <w:sz w:val="26"/>
                <w:szCs w:val="26"/>
              </w:rPr>
              <w:t>šalgas paaugstināšanu no 2014.gada 1.janvāra un atlīdzības fondu izlīdzināšan</w:t>
            </w:r>
            <w:r w:rsidR="00946964">
              <w:rPr>
                <w:sz w:val="26"/>
                <w:szCs w:val="26"/>
              </w:rPr>
              <w:t>as uzsākšanu</w:t>
            </w:r>
            <w:r w:rsidR="009646B8">
              <w:rPr>
                <w:sz w:val="26"/>
                <w:szCs w:val="26"/>
              </w:rPr>
              <w:t xml:space="preserve"> no valsts budžeta finansētajām institūcijām. </w:t>
            </w:r>
          </w:p>
          <w:p w:rsidR="00946964" w:rsidRDefault="00946964" w:rsidP="00946964">
            <w:pPr>
              <w:autoSpaceDE w:val="0"/>
              <w:autoSpaceDN w:val="0"/>
              <w:adjustRightInd w:val="0"/>
              <w:jc w:val="both"/>
              <w:rPr>
                <w:rFonts w:cs="Arial"/>
                <w:color w:val="000000"/>
                <w:sz w:val="26"/>
                <w:szCs w:val="26"/>
              </w:rPr>
            </w:pPr>
          </w:p>
          <w:p w:rsidR="00446FAB" w:rsidRDefault="00946964" w:rsidP="00946964">
            <w:pPr>
              <w:autoSpaceDE w:val="0"/>
              <w:autoSpaceDN w:val="0"/>
              <w:adjustRightInd w:val="0"/>
              <w:jc w:val="both"/>
              <w:rPr>
                <w:rFonts w:cs="Arial"/>
                <w:color w:val="000000"/>
                <w:sz w:val="26"/>
                <w:szCs w:val="26"/>
              </w:rPr>
            </w:pPr>
            <w:r>
              <w:rPr>
                <w:rFonts w:cs="Arial"/>
                <w:color w:val="000000"/>
                <w:sz w:val="26"/>
                <w:szCs w:val="26"/>
              </w:rPr>
              <w:t xml:space="preserve">    </w:t>
            </w:r>
            <w:r w:rsidR="00611AFF" w:rsidRPr="0005709F">
              <w:rPr>
                <w:rFonts w:cs="Arial"/>
                <w:color w:val="000000"/>
                <w:sz w:val="26"/>
                <w:szCs w:val="26"/>
              </w:rPr>
              <w:t>201</w:t>
            </w:r>
            <w:r w:rsidR="00611AFF">
              <w:rPr>
                <w:rFonts w:cs="Arial"/>
                <w:color w:val="000000"/>
                <w:sz w:val="26"/>
                <w:szCs w:val="26"/>
              </w:rPr>
              <w:t>4</w:t>
            </w:r>
            <w:r w:rsidR="00AE2910">
              <w:rPr>
                <w:rFonts w:cs="Arial"/>
                <w:color w:val="000000"/>
                <w:sz w:val="26"/>
                <w:szCs w:val="26"/>
              </w:rPr>
              <w:t>.</w:t>
            </w:r>
            <w:r w:rsidR="00446FAB">
              <w:rPr>
                <w:rFonts w:cs="Arial"/>
                <w:color w:val="000000"/>
                <w:sz w:val="26"/>
                <w:szCs w:val="26"/>
              </w:rPr>
              <w:t xml:space="preserve"> un 2015.</w:t>
            </w:r>
            <w:r w:rsidR="00AE2910">
              <w:rPr>
                <w:rFonts w:cs="Arial"/>
                <w:color w:val="000000"/>
                <w:sz w:val="26"/>
                <w:szCs w:val="26"/>
              </w:rPr>
              <w:t>gadā</w:t>
            </w:r>
            <w:r w:rsidR="00611AFF" w:rsidRPr="0005709F">
              <w:rPr>
                <w:rFonts w:cs="Arial"/>
                <w:color w:val="000000"/>
                <w:sz w:val="26"/>
                <w:szCs w:val="26"/>
              </w:rPr>
              <w:t xml:space="preserve"> </w:t>
            </w:r>
            <w:r w:rsidR="00446FAB">
              <w:rPr>
                <w:rFonts w:cs="Arial"/>
                <w:color w:val="000000"/>
                <w:sz w:val="26"/>
                <w:szCs w:val="26"/>
              </w:rPr>
              <w:t>paredzēt</w:t>
            </w:r>
            <w:r w:rsidR="00217D35">
              <w:rPr>
                <w:rFonts w:cs="Arial"/>
                <w:color w:val="000000"/>
                <w:sz w:val="26"/>
                <w:szCs w:val="26"/>
              </w:rPr>
              <w:t>a iespēja</w:t>
            </w:r>
            <w:r w:rsidR="00446FAB">
              <w:rPr>
                <w:rFonts w:cs="Arial"/>
                <w:color w:val="000000"/>
                <w:sz w:val="26"/>
                <w:szCs w:val="26"/>
              </w:rPr>
              <w:t xml:space="preserve"> izmaksāt prēmijas:</w:t>
            </w:r>
          </w:p>
          <w:p w:rsidR="00446FAB" w:rsidRDefault="00446FAB" w:rsidP="00946964">
            <w:pPr>
              <w:autoSpaceDE w:val="0"/>
              <w:autoSpaceDN w:val="0"/>
              <w:adjustRightInd w:val="0"/>
              <w:jc w:val="both"/>
              <w:rPr>
                <w:rFonts w:cs="Arial"/>
                <w:color w:val="000000"/>
                <w:sz w:val="26"/>
                <w:szCs w:val="26"/>
              </w:rPr>
            </w:pPr>
            <w:r>
              <w:rPr>
                <w:rFonts w:cs="Arial"/>
                <w:color w:val="000000"/>
                <w:sz w:val="26"/>
                <w:szCs w:val="26"/>
              </w:rPr>
              <w:t xml:space="preserve">1) </w:t>
            </w:r>
            <w:r w:rsidRPr="00446FAB">
              <w:rPr>
                <w:rFonts w:cs="Arial"/>
                <w:color w:val="000000"/>
                <w:sz w:val="26"/>
                <w:szCs w:val="26"/>
              </w:rPr>
              <w:t>Valsts ieņēmumu dienesta un Noziedzīgi iegūtu līdzekļu legalizācijas novēršanas dienesta amatperson</w:t>
            </w:r>
            <w:r>
              <w:rPr>
                <w:rFonts w:cs="Arial"/>
                <w:color w:val="000000"/>
                <w:sz w:val="26"/>
                <w:szCs w:val="26"/>
              </w:rPr>
              <w:t>ām</w:t>
            </w:r>
            <w:r w:rsidRPr="00446FAB">
              <w:rPr>
                <w:rFonts w:cs="Arial"/>
                <w:color w:val="000000"/>
                <w:sz w:val="26"/>
                <w:szCs w:val="26"/>
              </w:rPr>
              <w:t xml:space="preserve"> (darbiniek</w:t>
            </w:r>
            <w:r>
              <w:rPr>
                <w:rFonts w:cs="Arial"/>
                <w:color w:val="000000"/>
                <w:sz w:val="26"/>
                <w:szCs w:val="26"/>
              </w:rPr>
              <w:t>iem</w:t>
            </w:r>
            <w:r w:rsidRPr="00446FAB">
              <w:rPr>
                <w:rFonts w:cs="Arial"/>
                <w:color w:val="000000"/>
                <w:sz w:val="26"/>
                <w:szCs w:val="26"/>
              </w:rPr>
              <w:t>), kuru tiešas darbības rezultātā atklāti un novērsti noziedzīgi nodarījumi valsts ieņēmumu un nodokļu administrēšanas jomā, aizturētas kontrabandas kravas un konvencionāli aizliegtu priekšmetu ievešana un izvešana, novērsta noziedzīgi iegūtu līdzekļu legalizācija, un tā rezultātā ir palielinājies vai tiek prognozēts būtisks valsts budžeta ieņēmumu palielinājums. Lēmumu par prēmēšanu pieņem</w:t>
            </w:r>
            <w:r>
              <w:rPr>
                <w:rFonts w:cs="Arial"/>
                <w:color w:val="000000"/>
                <w:sz w:val="26"/>
                <w:szCs w:val="26"/>
              </w:rPr>
              <w:t>s</w:t>
            </w:r>
            <w:r w:rsidRPr="00446FAB">
              <w:rPr>
                <w:rFonts w:cs="Arial"/>
                <w:color w:val="000000"/>
                <w:sz w:val="26"/>
                <w:szCs w:val="26"/>
              </w:rPr>
              <w:t xml:space="preserve"> Ministru kabinets, pamatojoties uz Finanšu ministrijas kā arī Ģenerālprokuratūras sniegto informāciju;</w:t>
            </w:r>
          </w:p>
          <w:p w:rsidR="00611AFF" w:rsidRPr="0005709F" w:rsidRDefault="00446FAB" w:rsidP="00946964">
            <w:pPr>
              <w:autoSpaceDE w:val="0"/>
              <w:autoSpaceDN w:val="0"/>
              <w:adjustRightInd w:val="0"/>
              <w:jc w:val="both"/>
              <w:rPr>
                <w:rFonts w:cs="Arial"/>
                <w:color w:val="000000"/>
                <w:sz w:val="26"/>
                <w:szCs w:val="26"/>
              </w:rPr>
            </w:pPr>
            <w:r>
              <w:rPr>
                <w:rFonts w:cs="Arial"/>
                <w:color w:val="000000"/>
                <w:sz w:val="26"/>
                <w:szCs w:val="26"/>
              </w:rPr>
              <w:t xml:space="preserve">2) </w:t>
            </w:r>
            <w:r w:rsidR="00611AFF" w:rsidRPr="0005709F">
              <w:rPr>
                <w:rFonts w:cs="Arial"/>
                <w:color w:val="000000"/>
                <w:sz w:val="26"/>
                <w:szCs w:val="26"/>
              </w:rPr>
              <w:t xml:space="preserve">atsevišķu valsts institūciju amatpersonām (darbiniekiem), ja viņu darbības rezultātā ir būtiski uzlabota situācija ēnu ekonomikas apkarošanā un godīgas konkurences veicināšanā. </w:t>
            </w:r>
            <w:r w:rsidR="007A1BC6" w:rsidRPr="007A1BC6">
              <w:rPr>
                <w:rFonts w:cs="Arial"/>
                <w:color w:val="000000"/>
                <w:sz w:val="26"/>
                <w:szCs w:val="26"/>
              </w:rPr>
              <w:t>Lēmumu par prēmēšanu pieņems Ministru kabinets</w:t>
            </w:r>
            <w:r w:rsidR="007A1BC6">
              <w:rPr>
                <w:rFonts w:cs="Arial"/>
                <w:color w:val="000000"/>
                <w:sz w:val="26"/>
                <w:szCs w:val="26"/>
              </w:rPr>
              <w:t>.</w:t>
            </w:r>
            <w:r w:rsidR="00CE6CF1">
              <w:rPr>
                <w:rFonts w:cs="Arial"/>
                <w:color w:val="000000"/>
                <w:sz w:val="26"/>
                <w:szCs w:val="26"/>
              </w:rPr>
              <w:t xml:space="preserve"> Šāda norma ir noteikta arī 2013.gadā.</w:t>
            </w:r>
          </w:p>
          <w:p w:rsidR="00611AFF" w:rsidRPr="0005709F" w:rsidRDefault="00446FAB" w:rsidP="00446FAB">
            <w:pPr>
              <w:autoSpaceDE w:val="0"/>
              <w:autoSpaceDN w:val="0"/>
              <w:adjustRightInd w:val="0"/>
              <w:jc w:val="both"/>
              <w:rPr>
                <w:rFonts w:cs="Arial"/>
                <w:color w:val="000000"/>
                <w:sz w:val="26"/>
                <w:szCs w:val="26"/>
              </w:rPr>
            </w:pPr>
            <w:r>
              <w:rPr>
                <w:rFonts w:cs="Arial"/>
                <w:color w:val="000000"/>
                <w:sz w:val="26"/>
                <w:szCs w:val="26"/>
              </w:rPr>
              <w:t xml:space="preserve">3) </w:t>
            </w:r>
            <w:r w:rsidR="00611AFF" w:rsidRPr="0005709F">
              <w:rPr>
                <w:rFonts w:cs="Arial"/>
                <w:color w:val="000000"/>
                <w:sz w:val="26"/>
                <w:szCs w:val="26"/>
              </w:rPr>
              <w:t>Valsts kases amatperson</w:t>
            </w:r>
            <w:r>
              <w:rPr>
                <w:rFonts w:cs="Arial"/>
                <w:color w:val="000000"/>
                <w:sz w:val="26"/>
                <w:szCs w:val="26"/>
              </w:rPr>
              <w:t>ām</w:t>
            </w:r>
            <w:r w:rsidR="00611AFF" w:rsidRPr="0005709F">
              <w:rPr>
                <w:rFonts w:cs="Arial"/>
                <w:color w:val="000000"/>
                <w:sz w:val="26"/>
                <w:szCs w:val="26"/>
              </w:rPr>
              <w:t xml:space="preserve"> (darbiniek</w:t>
            </w:r>
            <w:r>
              <w:rPr>
                <w:rFonts w:cs="Arial"/>
                <w:color w:val="000000"/>
                <w:sz w:val="26"/>
                <w:szCs w:val="26"/>
              </w:rPr>
              <w:t>iem</w:t>
            </w:r>
            <w:r w:rsidR="00611AFF" w:rsidRPr="0005709F">
              <w:rPr>
                <w:rFonts w:cs="Arial"/>
                <w:color w:val="000000"/>
                <w:sz w:val="26"/>
                <w:szCs w:val="26"/>
              </w:rPr>
              <w:t xml:space="preserve">) par ieguldījumu </w:t>
            </w:r>
            <w:r w:rsidR="00611AFF" w:rsidRPr="0005709F">
              <w:rPr>
                <w:sz w:val="26"/>
                <w:szCs w:val="26"/>
              </w:rPr>
              <w:t xml:space="preserve"> </w:t>
            </w:r>
            <w:r w:rsidR="00611AFF" w:rsidRPr="0005709F">
              <w:rPr>
                <w:rFonts w:cs="Arial"/>
                <w:color w:val="000000"/>
                <w:sz w:val="26"/>
                <w:szCs w:val="26"/>
              </w:rPr>
              <w:t xml:space="preserve">valsts budžeta izdevumu samazināšanā, nodrošinot efektīvu valsts parāda vadību. Lēmumu par prēmēšanu pieņems Ministru kabinets, pamatojoties uz Finanšu ministrijas sniegto informāciju par veiktajiem pasākumiem valsts parāda vadības </w:t>
            </w:r>
            <w:proofErr w:type="spellStart"/>
            <w:r w:rsidR="00611AFF" w:rsidRPr="0005709F">
              <w:rPr>
                <w:rFonts w:cs="Arial"/>
                <w:color w:val="000000"/>
                <w:sz w:val="26"/>
                <w:szCs w:val="26"/>
              </w:rPr>
              <w:t>efektivizēšanai</w:t>
            </w:r>
            <w:proofErr w:type="spellEnd"/>
            <w:r w:rsidR="00611AFF" w:rsidRPr="0005709F">
              <w:rPr>
                <w:rFonts w:cs="Arial"/>
                <w:color w:val="000000"/>
                <w:sz w:val="26"/>
                <w:szCs w:val="26"/>
              </w:rPr>
              <w:t>.</w:t>
            </w:r>
            <w:r w:rsidR="00CE6CF1">
              <w:rPr>
                <w:rFonts w:cs="Arial"/>
                <w:color w:val="000000"/>
                <w:sz w:val="26"/>
                <w:szCs w:val="26"/>
              </w:rPr>
              <w:t xml:space="preserve"> </w:t>
            </w:r>
            <w:r w:rsidR="00CE6CF1">
              <w:t xml:space="preserve"> </w:t>
            </w:r>
            <w:r w:rsidR="00CE6CF1" w:rsidRPr="00CE6CF1">
              <w:rPr>
                <w:rFonts w:cs="Arial"/>
                <w:color w:val="000000"/>
                <w:sz w:val="26"/>
                <w:szCs w:val="26"/>
              </w:rPr>
              <w:t>Šāda norma ir noteikta arī 2013.gadā.</w:t>
            </w:r>
          </w:p>
          <w:p w:rsidR="00611AFF" w:rsidRPr="0005709F" w:rsidRDefault="00446FAB" w:rsidP="00446FAB">
            <w:pPr>
              <w:autoSpaceDE w:val="0"/>
              <w:autoSpaceDN w:val="0"/>
              <w:adjustRightInd w:val="0"/>
              <w:jc w:val="both"/>
              <w:rPr>
                <w:rFonts w:cs="Arial"/>
                <w:b/>
                <w:color w:val="000000"/>
                <w:sz w:val="26"/>
                <w:szCs w:val="26"/>
              </w:rPr>
            </w:pPr>
            <w:r>
              <w:rPr>
                <w:sz w:val="26"/>
                <w:szCs w:val="26"/>
              </w:rPr>
              <w:t xml:space="preserve">4) </w:t>
            </w:r>
            <w:r w:rsidR="00611AFF" w:rsidRPr="0005709F">
              <w:rPr>
                <w:sz w:val="26"/>
                <w:szCs w:val="26"/>
              </w:rPr>
              <w:t>valsts un pašvaldību institūciju amatpersonas un darbiniekus</w:t>
            </w:r>
            <w:r w:rsidR="00611AFF" w:rsidRPr="0005709F">
              <w:t xml:space="preserve"> </w:t>
            </w:r>
            <w:r w:rsidR="00611AFF" w:rsidRPr="0005709F">
              <w:rPr>
                <w:sz w:val="26"/>
                <w:szCs w:val="26"/>
              </w:rPr>
              <w:t xml:space="preserve">gadījumos, ja ir uzlaboti attiecīgo institūciju darbības izpildes rādītāji vai </w:t>
            </w:r>
            <w:r w:rsidR="00611AFF" w:rsidRPr="0005709F">
              <w:t xml:space="preserve"> </w:t>
            </w:r>
            <w:r w:rsidR="00611AFF" w:rsidRPr="0005709F">
              <w:rPr>
                <w:sz w:val="26"/>
                <w:szCs w:val="26"/>
              </w:rPr>
              <w:t>ir nodrošināta valsts vai pašvaldību  budžeta izdevumu samazināšana.</w:t>
            </w:r>
            <w:r w:rsidR="00611AFF" w:rsidRPr="0005709F">
              <w:rPr>
                <w:rFonts w:cs="Arial"/>
                <w:color w:val="000000"/>
                <w:sz w:val="26"/>
                <w:szCs w:val="26"/>
              </w:rPr>
              <w:t xml:space="preserve"> Paredzēts, ka lēmumu par prēmēšanu pieņems Ministru kabinets vai </w:t>
            </w:r>
            <w:r w:rsidR="00611AFF" w:rsidRPr="0005709F">
              <w:t xml:space="preserve"> </w:t>
            </w:r>
            <w:r w:rsidR="00611AFF" w:rsidRPr="0005709F">
              <w:rPr>
                <w:rFonts w:cs="Arial"/>
                <w:color w:val="000000"/>
                <w:sz w:val="26"/>
                <w:szCs w:val="26"/>
              </w:rPr>
              <w:t>pašvaldības dome, pamatojoties uz rādītājiem par 201</w:t>
            </w:r>
            <w:r>
              <w:rPr>
                <w:rFonts w:cs="Arial"/>
                <w:color w:val="000000"/>
                <w:sz w:val="26"/>
                <w:szCs w:val="26"/>
              </w:rPr>
              <w:t>4</w:t>
            </w:r>
            <w:r w:rsidR="00611AFF" w:rsidRPr="0005709F">
              <w:rPr>
                <w:rFonts w:cs="Arial"/>
                <w:color w:val="000000"/>
                <w:sz w:val="26"/>
                <w:szCs w:val="26"/>
              </w:rPr>
              <w:t xml:space="preserve">.gada pirmo deviņu mēnešu faktisko izpildi. </w:t>
            </w:r>
            <w:r w:rsidR="00CE6CF1">
              <w:t xml:space="preserve"> </w:t>
            </w:r>
            <w:r w:rsidR="00CE6CF1" w:rsidRPr="00CE6CF1">
              <w:rPr>
                <w:rFonts w:cs="Arial"/>
                <w:color w:val="000000"/>
                <w:sz w:val="26"/>
                <w:szCs w:val="26"/>
              </w:rPr>
              <w:t>Šāda norma ir noteikta arī 2013.gadā.</w:t>
            </w:r>
          </w:p>
          <w:p w:rsidR="00611AFF" w:rsidRDefault="00611AFF" w:rsidP="009646B8">
            <w:pPr>
              <w:autoSpaceDE w:val="0"/>
              <w:autoSpaceDN w:val="0"/>
              <w:adjustRightInd w:val="0"/>
              <w:jc w:val="both"/>
              <w:rPr>
                <w:rFonts w:eastAsiaTheme="minorHAnsi"/>
                <w:color w:val="000000"/>
                <w:sz w:val="26"/>
                <w:szCs w:val="26"/>
              </w:rPr>
            </w:pPr>
          </w:p>
          <w:p w:rsidR="009646B8" w:rsidRPr="0005709F" w:rsidRDefault="009646B8" w:rsidP="009646B8">
            <w:pPr>
              <w:autoSpaceDE w:val="0"/>
              <w:autoSpaceDN w:val="0"/>
              <w:adjustRightInd w:val="0"/>
              <w:ind w:firstLine="567"/>
              <w:jc w:val="both"/>
              <w:rPr>
                <w:rFonts w:cs="Arial"/>
                <w:color w:val="000000"/>
                <w:sz w:val="26"/>
                <w:szCs w:val="26"/>
              </w:rPr>
            </w:pPr>
            <w:r w:rsidRPr="0005709F">
              <w:rPr>
                <w:rFonts w:cs="Arial"/>
                <w:color w:val="000000"/>
                <w:sz w:val="26"/>
                <w:szCs w:val="26"/>
              </w:rPr>
              <w:t>Ar 201</w:t>
            </w:r>
            <w:r>
              <w:rPr>
                <w:rFonts w:cs="Arial"/>
                <w:color w:val="000000"/>
                <w:sz w:val="26"/>
                <w:szCs w:val="26"/>
              </w:rPr>
              <w:t>4</w:t>
            </w:r>
            <w:r w:rsidRPr="0005709F">
              <w:rPr>
                <w:rFonts w:cs="Arial"/>
                <w:color w:val="000000"/>
                <w:sz w:val="26"/>
                <w:szCs w:val="26"/>
              </w:rPr>
              <w:t xml:space="preserve">.gadu </w:t>
            </w:r>
            <w:r>
              <w:rPr>
                <w:rFonts w:cs="Arial"/>
                <w:color w:val="000000"/>
                <w:sz w:val="26"/>
                <w:szCs w:val="26"/>
              </w:rPr>
              <w:t xml:space="preserve">tiek </w:t>
            </w:r>
            <w:r w:rsidRPr="0005709F">
              <w:rPr>
                <w:rFonts w:cs="Arial"/>
                <w:color w:val="000000"/>
                <w:sz w:val="26"/>
                <w:szCs w:val="26"/>
              </w:rPr>
              <w:t>atce</w:t>
            </w:r>
            <w:r>
              <w:rPr>
                <w:rFonts w:cs="Arial"/>
                <w:color w:val="000000"/>
                <w:sz w:val="26"/>
                <w:szCs w:val="26"/>
              </w:rPr>
              <w:t>lts</w:t>
            </w:r>
            <w:r w:rsidRPr="0005709F">
              <w:rPr>
                <w:rFonts w:cs="Arial"/>
                <w:color w:val="000000"/>
                <w:sz w:val="26"/>
                <w:szCs w:val="26"/>
              </w:rPr>
              <w:t xml:space="preserve"> ierobežojums </w:t>
            </w:r>
            <w:r>
              <w:rPr>
                <w:rFonts w:cs="Arial"/>
                <w:color w:val="000000"/>
                <w:sz w:val="26"/>
                <w:szCs w:val="26"/>
              </w:rPr>
              <w:t>a</w:t>
            </w:r>
            <w:r w:rsidRPr="00297374">
              <w:rPr>
                <w:rFonts w:cs="Arial"/>
                <w:color w:val="000000"/>
                <w:sz w:val="26"/>
                <w:szCs w:val="26"/>
              </w:rPr>
              <w:t>tlaišanas vai atvaļināšanas pabalst</w:t>
            </w:r>
            <w:r>
              <w:rPr>
                <w:rFonts w:cs="Arial"/>
                <w:color w:val="000000"/>
                <w:sz w:val="26"/>
                <w:szCs w:val="26"/>
              </w:rPr>
              <w:t>a apmēram, līdz ar to</w:t>
            </w:r>
            <w:r w:rsidRPr="00297374">
              <w:rPr>
                <w:rFonts w:cs="Arial"/>
                <w:color w:val="000000"/>
                <w:sz w:val="26"/>
                <w:szCs w:val="26"/>
              </w:rPr>
              <w:t xml:space="preserve"> </w:t>
            </w:r>
            <w:r>
              <w:rPr>
                <w:rFonts w:cs="Arial"/>
                <w:color w:val="000000"/>
                <w:sz w:val="26"/>
                <w:szCs w:val="26"/>
              </w:rPr>
              <w:t xml:space="preserve">pabalstu </w:t>
            </w:r>
            <w:r w:rsidRPr="0005709F">
              <w:rPr>
                <w:rFonts w:cs="Arial"/>
                <w:color w:val="000000"/>
                <w:sz w:val="26"/>
                <w:szCs w:val="26"/>
              </w:rPr>
              <w:t>varēs izmaksāt</w:t>
            </w:r>
            <w:r>
              <w:t xml:space="preserve"> </w:t>
            </w:r>
            <w:r w:rsidRPr="00255EBE">
              <w:rPr>
                <w:rFonts w:cs="Arial"/>
                <w:color w:val="000000"/>
                <w:sz w:val="26"/>
                <w:szCs w:val="26"/>
              </w:rPr>
              <w:t>atbilstoši likumā noteiktajam.</w:t>
            </w:r>
            <w:r>
              <w:rPr>
                <w:rFonts w:cs="Arial"/>
                <w:color w:val="000000"/>
                <w:sz w:val="26"/>
                <w:szCs w:val="26"/>
              </w:rPr>
              <w:t xml:space="preserve"> </w:t>
            </w:r>
            <w:r w:rsidR="00FA5D76">
              <w:rPr>
                <w:rFonts w:cs="Arial"/>
                <w:color w:val="000000"/>
                <w:sz w:val="26"/>
                <w:szCs w:val="26"/>
              </w:rPr>
              <w:t xml:space="preserve">Tādējādi atlīdzības likuma normas tiek līdzsvarotas un harmonizētas ar Darba likuma normām. </w:t>
            </w:r>
            <w:r>
              <w:rPr>
                <w:rFonts w:cs="Arial"/>
                <w:color w:val="000000"/>
                <w:sz w:val="26"/>
                <w:szCs w:val="26"/>
              </w:rPr>
              <w:t>A</w:t>
            </w:r>
            <w:r w:rsidRPr="00297374">
              <w:rPr>
                <w:rFonts w:cs="Arial"/>
                <w:color w:val="000000"/>
                <w:sz w:val="26"/>
                <w:szCs w:val="26"/>
              </w:rPr>
              <w:t>tlaišanas vai atvaļināšanas pabalst</w:t>
            </w:r>
            <w:r>
              <w:rPr>
                <w:rFonts w:cs="Arial"/>
                <w:color w:val="000000"/>
                <w:sz w:val="26"/>
                <w:szCs w:val="26"/>
              </w:rPr>
              <w:t>a</w:t>
            </w:r>
            <w:r w:rsidRPr="0005709F">
              <w:rPr>
                <w:rFonts w:cs="Arial"/>
                <w:color w:val="000000"/>
                <w:sz w:val="26"/>
                <w:szCs w:val="26"/>
              </w:rPr>
              <w:t xml:space="preserve"> </w:t>
            </w:r>
            <w:r>
              <w:rPr>
                <w:rFonts w:cs="Arial"/>
                <w:color w:val="000000"/>
                <w:sz w:val="26"/>
                <w:szCs w:val="26"/>
              </w:rPr>
              <w:t>izmaksas</w:t>
            </w:r>
            <w:r w:rsidRPr="0005709F">
              <w:rPr>
                <w:rFonts w:cs="Arial"/>
                <w:color w:val="000000"/>
                <w:sz w:val="26"/>
                <w:szCs w:val="26"/>
              </w:rPr>
              <w:t xml:space="preserve"> nodrošinām</w:t>
            </w:r>
            <w:r>
              <w:rPr>
                <w:rFonts w:cs="Arial"/>
                <w:color w:val="000000"/>
                <w:sz w:val="26"/>
                <w:szCs w:val="26"/>
              </w:rPr>
              <w:t>as</w:t>
            </w:r>
            <w:r w:rsidRPr="0005709F">
              <w:rPr>
                <w:rFonts w:cs="Arial"/>
                <w:color w:val="000000"/>
                <w:sz w:val="26"/>
                <w:szCs w:val="26"/>
              </w:rPr>
              <w:t xml:space="preserve"> atlīdzības fonda </w:t>
            </w:r>
            <w:r w:rsidRPr="0005709F">
              <w:rPr>
                <w:rFonts w:cs="Arial"/>
                <w:color w:val="000000"/>
                <w:sz w:val="26"/>
                <w:szCs w:val="26"/>
              </w:rPr>
              <w:lastRenderedPageBreak/>
              <w:t xml:space="preserve">ietvaros. </w:t>
            </w:r>
          </w:p>
          <w:p w:rsidR="009646B8" w:rsidRDefault="009646B8" w:rsidP="0036108E">
            <w:pPr>
              <w:autoSpaceDE w:val="0"/>
              <w:autoSpaceDN w:val="0"/>
              <w:adjustRightInd w:val="0"/>
              <w:jc w:val="both"/>
              <w:rPr>
                <w:sz w:val="26"/>
                <w:szCs w:val="26"/>
              </w:rPr>
            </w:pPr>
          </w:p>
          <w:p w:rsidR="00517259" w:rsidRDefault="00611AFF" w:rsidP="00517259">
            <w:pPr>
              <w:autoSpaceDE w:val="0"/>
              <w:autoSpaceDN w:val="0"/>
              <w:adjustRightInd w:val="0"/>
              <w:jc w:val="both"/>
              <w:rPr>
                <w:sz w:val="26"/>
                <w:szCs w:val="26"/>
              </w:rPr>
            </w:pPr>
            <w:r>
              <w:rPr>
                <w:rFonts w:cs="Arial"/>
                <w:color w:val="000000"/>
                <w:sz w:val="26"/>
                <w:szCs w:val="26"/>
              </w:rPr>
              <w:t xml:space="preserve">     </w:t>
            </w:r>
            <w:r w:rsidR="00E50EF0">
              <w:rPr>
                <w:rFonts w:cs="Arial"/>
                <w:color w:val="000000"/>
                <w:sz w:val="26"/>
                <w:szCs w:val="26"/>
              </w:rPr>
              <w:t>Lai līdzsvarotu un harmonizētu atlīdzības likuma normas ar Darba likuma normām, l</w:t>
            </w:r>
            <w:r w:rsidR="00FA5D76" w:rsidRPr="005C778D">
              <w:rPr>
                <w:sz w:val="26"/>
                <w:szCs w:val="26"/>
              </w:rPr>
              <w:t>ikumprojekts paredz precizēt normu par</w:t>
            </w:r>
            <w:r w:rsidR="00FA5D76" w:rsidRPr="00691DAC">
              <w:rPr>
                <w:sz w:val="26"/>
                <w:szCs w:val="26"/>
              </w:rPr>
              <w:t xml:space="preserve">  darba samaksas elementiem, kas tiek iekļauti vidējas izpeļņas aprēķinā. Likumprojekts paredz, ka turpmāk vidējā</w:t>
            </w:r>
            <w:r w:rsidR="00FA5D76">
              <w:rPr>
                <w:sz w:val="26"/>
                <w:szCs w:val="26"/>
              </w:rPr>
              <w:t>s</w:t>
            </w:r>
            <w:r w:rsidR="00FA5D76" w:rsidRPr="00691DAC">
              <w:rPr>
                <w:sz w:val="26"/>
                <w:szCs w:val="26"/>
              </w:rPr>
              <w:t xml:space="preserve"> izpeļņ</w:t>
            </w:r>
            <w:r w:rsidR="00FA5D76">
              <w:rPr>
                <w:sz w:val="26"/>
                <w:szCs w:val="26"/>
              </w:rPr>
              <w:t>as aprēķinā</w:t>
            </w:r>
            <w:r w:rsidR="00FA5D76" w:rsidRPr="00691DAC">
              <w:rPr>
                <w:sz w:val="26"/>
                <w:szCs w:val="26"/>
              </w:rPr>
              <w:t xml:space="preserve"> tiek iekļautas arī naudas balvas (atlīdzības likuma 3.panta ceturtās daļas 5.punkts), kas pēc būtības ir </w:t>
            </w:r>
            <w:r w:rsidR="004458E0">
              <w:rPr>
                <w:sz w:val="26"/>
                <w:szCs w:val="26"/>
              </w:rPr>
              <w:t>darba samaksa</w:t>
            </w:r>
            <w:r w:rsidR="004458E0" w:rsidRPr="00691DAC">
              <w:rPr>
                <w:sz w:val="26"/>
                <w:szCs w:val="26"/>
              </w:rPr>
              <w:t xml:space="preserve"> </w:t>
            </w:r>
            <w:r w:rsidR="00FA5D76" w:rsidRPr="00691DAC">
              <w:rPr>
                <w:sz w:val="26"/>
                <w:szCs w:val="26"/>
              </w:rPr>
              <w:t xml:space="preserve">par labu dabu. </w:t>
            </w:r>
          </w:p>
          <w:p w:rsidR="00FA5D76" w:rsidRDefault="00517259" w:rsidP="00517259">
            <w:pPr>
              <w:autoSpaceDE w:val="0"/>
              <w:autoSpaceDN w:val="0"/>
              <w:adjustRightInd w:val="0"/>
              <w:jc w:val="both"/>
              <w:rPr>
                <w:sz w:val="26"/>
                <w:szCs w:val="26"/>
              </w:rPr>
            </w:pPr>
            <w:r>
              <w:rPr>
                <w:sz w:val="26"/>
                <w:szCs w:val="26"/>
              </w:rPr>
              <w:t xml:space="preserve">     </w:t>
            </w:r>
            <w:r w:rsidR="00FA5D76" w:rsidRPr="00691DAC">
              <w:rPr>
                <w:sz w:val="26"/>
                <w:szCs w:val="26"/>
              </w:rPr>
              <w:t>Analoģiski vidējā</w:t>
            </w:r>
            <w:r w:rsidR="00FA5D76">
              <w:rPr>
                <w:sz w:val="26"/>
                <w:szCs w:val="26"/>
              </w:rPr>
              <w:t>s</w:t>
            </w:r>
            <w:r w:rsidR="00FA5D76" w:rsidRPr="00691DAC">
              <w:rPr>
                <w:sz w:val="26"/>
                <w:szCs w:val="26"/>
              </w:rPr>
              <w:t xml:space="preserve"> izpeļņ</w:t>
            </w:r>
            <w:r w:rsidR="00FA5D76">
              <w:rPr>
                <w:sz w:val="26"/>
                <w:szCs w:val="26"/>
              </w:rPr>
              <w:t>as aprēķinā</w:t>
            </w:r>
            <w:r w:rsidR="00FA5D76" w:rsidRPr="00691DAC">
              <w:rPr>
                <w:sz w:val="26"/>
                <w:szCs w:val="26"/>
              </w:rPr>
              <w:t xml:space="preserve"> </w:t>
            </w:r>
            <w:r w:rsidR="00FA5D76">
              <w:rPr>
                <w:sz w:val="26"/>
                <w:szCs w:val="26"/>
              </w:rPr>
              <w:t xml:space="preserve">tiek </w:t>
            </w:r>
            <w:r w:rsidR="00FA5D76" w:rsidRPr="00691DAC">
              <w:rPr>
                <w:sz w:val="26"/>
                <w:szCs w:val="26"/>
              </w:rPr>
              <w:t>iekļau</w:t>
            </w:r>
            <w:r w:rsidR="00FA5D76">
              <w:rPr>
                <w:sz w:val="26"/>
                <w:szCs w:val="26"/>
              </w:rPr>
              <w:t>ta</w:t>
            </w:r>
            <w:r w:rsidR="00FA5D76" w:rsidRPr="00691DAC">
              <w:rPr>
                <w:sz w:val="26"/>
                <w:szCs w:val="26"/>
              </w:rPr>
              <w:t xml:space="preserve"> arī atlīdzība par laiku, kuru amatpersona (darbinieks) nepavada darba vietā vai citā institūcijas norādītajā vietā un kuru amatpersona (darbinieks) izmanto pēc saviem ieskatiem, bet pēc attiecīga pieprasījuma ierodas norādītajā vietā un nekavējoties uzsāk pienākumu pildīšanu (atlīdzības likuma 3.panta ceturtās daļas 9.punkts). </w:t>
            </w:r>
            <w:r>
              <w:t xml:space="preserve"> </w:t>
            </w:r>
            <w:r w:rsidRPr="00517259">
              <w:rPr>
                <w:sz w:val="26"/>
                <w:szCs w:val="26"/>
              </w:rPr>
              <w:t xml:space="preserve">Šādi grozījumi pamatojami ar to, ka   Neatliekamās medicīniskās palīdzības dienesta (turpmāk – NMP dienests) Specializētās medicīnas centra struktūrvienībā (turpmāk - SMC) vairāk kā 20 dažādu specialitāšu augsti kvalificētu ārstu darbs tiek organizēts dežūru režīmā, piemērojot augstāk minēto normu, kas nosaka, ka dežūras laikā ārsts var atrasties ārpus SMC telpām „ mājas dežūrā”, bet ir gatavi doties izsaukumā, tiklīdz tas kļūst nepieciešams. Atrodoties „mājas dežūrā” ārstam jānodrošina tālruņa pieejamība visā dežūras laikā, jo nepieciešamības gadījumā jāsniedz konsultācijas pa telefonu gan NMP dienesta ārstniecības personām, gan Latvija reģionālo slimnīcu ārstniecības personām, gan atbildīgajām personām medicīnas jautājumos uz kuģiem, </w:t>
            </w:r>
            <w:proofErr w:type="spellStart"/>
            <w:r w:rsidRPr="00517259">
              <w:rPr>
                <w:sz w:val="26"/>
                <w:szCs w:val="26"/>
              </w:rPr>
              <w:t>utml</w:t>
            </w:r>
            <w:proofErr w:type="spellEnd"/>
            <w:r w:rsidRPr="00517259">
              <w:rPr>
                <w:sz w:val="26"/>
                <w:szCs w:val="26"/>
              </w:rPr>
              <w:t xml:space="preserve">. Tāpat ārsti attālināti konsultē, kādi izmeklējumi ieteicami pacientiem, ierosina citu speciālistu piesaistīšanu izmeklēšanā, šajā sakarā piedalās </w:t>
            </w:r>
            <w:proofErr w:type="spellStart"/>
            <w:r w:rsidRPr="00517259">
              <w:rPr>
                <w:sz w:val="26"/>
                <w:szCs w:val="26"/>
              </w:rPr>
              <w:t>telefokonferencēs</w:t>
            </w:r>
            <w:proofErr w:type="spellEnd"/>
            <w:r w:rsidRPr="00517259">
              <w:rPr>
                <w:sz w:val="26"/>
                <w:szCs w:val="26"/>
              </w:rPr>
              <w:t xml:space="preserve">. Turklāt ārsti sniedz konsultācijas interneta vidē, izskata elektroniski saņemtos dokumentus, rentgena uzņēmumus u.c., sniedz atzinumus. Ārstiem visas dežūras laikā ir jābūt gataviem 15 minūšu laikā no izsaukuma saņemšanas, izbraukt pie pacienta. Ņemot vērā augstāk minēto, un ievērojot, ka aprēķinātā darba samaksa par „mājas dežūru” laiku tiek aplikta ar visiem darba samaksas nodokļiem, „mājas dežūras” kā darba samaksas veids pamatoti </w:t>
            </w:r>
            <w:r w:rsidR="00125085">
              <w:rPr>
                <w:sz w:val="26"/>
                <w:szCs w:val="26"/>
              </w:rPr>
              <w:t xml:space="preserve">būtu iekļaujams vidējā izpeļņā. </w:t>
            </w:r>
            <w:r w:rsidR="00FA5D76">
              <w:rPr>
                <w:sz w:val="26"/>
                <w:szCs w:val="26"/>
              </w:rPr>
              <w:t xml:space="preserve">Vidējās izpeļņas </w:t>
            </w:r>
            <w:r w:rsidR="00FA5D76" w:rsidRPr="00FA5D76">
              <w:rPr>
                <w:sz w:val="26"/>
                <w:szCs w:val="26"/>
              </w:rPr>
              <w:t>izmaksa</w:t>
            </w:r>
            <w:r w:rsidR="00FA5D76">
              <w:rPr>
                <w:sz w:val="26"/>
                <w:szCs w:val="26"/>
              </w:rPr>
              <w:t xml:space="preserve"> attiecīgajos atlīdzības likumā noteiktajos gadījumos</w:t>
            </w:r>
            <w:r w:rsidR="00FA5D76" w:rsidRPr="00FA5D76">
              <w:rPr>
                <w:sz w:val="26"/>
                <w:szCs w:val="26"/>
              </w:rPr>
              <w:t xml:space="preserve"> nodrošināma atlīdzības fonda ietvaros.</w:t>
            </w:r>
          </w:p>
          <w:p w:rsidR="009646B8" w:rsidRDefault="009646B8" w:rsidP="0036108E">
            <w:pPr>
              <w:autoSpaceDE w:val="0"/>
              <w:autoSpaceDN w:val="0"/>
              <w:adjustRightInd w:val="0"/>
              <w:jc w:val="both"/>
              <w:rPr>
                <w:sz w:val="26"/>
                <w:szCs w:val="26"/>
              </w:rPr>
            </w:pPr>
          </w:p>
          <w:p w:rsidR="00AD3FCE" w:rsidRDefault="00611AFF" w:rsidP="0003238F">
            <w:pPr>
              <w:autoSpaceDE w:val="0"/>
              <w:autoSpaceDN w:val="0"/>
              <w:adjustRightInd w:val="0"/>
              <w:jc w:val="both"/>
              <w:rPr>
                <w:rFonts w:eastAsiaTheme="minorHAnsi"/>
                <w:color w:val="000000"/>
                <w:sz w:val="26"/>
                <w:szCs w:val="26"/>
              </w:rPr>
            </w:pPr>
            <w:r>
              <w:rPr>
                <w:rFonts w:eastAsiaTheme="minorHAnsi"/>
                <w:color w:val="000000"/>
                <w:sz w:val="26"/>
                <w:szCs w:val="26"/>
              </w:rPr>
              <w:t xml:space="preserve">     </w:t>
            </w:r>
            <w:r w:rsidR="0024634B">
              <w:rPr>
                <w:rFonts w:eastAsiaTheme="minorHAnsi"/>
                <w:color w:val="000000"/>
                <w:sz w:val="26"/>
                <w:szCs w:val="26"/>
              </w:rPr>
              <w:t>Ņemot vērā</w:t>
            </w:r>
            <w:r w:rsidR="0024634B" w:rsidRPr="00470BCA">
              <w:rPr>
                <w:rFonts w:eastAsiaTheme="minorHAnsi"/>
                <w:color w:val="000000"/>
                <w:sz w:val="26"/>
                <w:szCs w:val="26"/>
              </w:rPr>
              <w:t xml:space="preserve">, ka turpmāk Ministru kabineta </w:t>
            </w:r>
            <w:r w:rsidR="00470BCA" w:rsidRPr="00470BCA">
              <w:rPr>
                <w:bCs/>
                <w:sz w:val="26"/>
                <w:szCs w:val="26"/>
              </w:rPr>
              <w:t>2010.gada 21.jūnija</w:t>
            </w:r>
            <w:r w:rsidR="00470BCA" w:rsidRPr="00470BCA">
              <w:rPr>
                <w:sz w:val="26"/>
                <w:szCs w:val="26"/>
              </w:rPr>
              <w:t xml:space="preserve"> </w:t>
            </w:r>
            <w:r w:rsidR="00470BCA" w:rsidRPr="00470BCA">
              <w:rPr>
                <w:bCs/>
                <w:sz w:val="26"/>
                <w:szCs w:val="26"/>
              </w:rPr>
              <w:t>noteikum</w:t>
            </w:r>
            <w:r w:rsidR="002A449C">
              <w:rPr>
                <w:bCs/>
                <w:sz w:val="26"/>
                <w:szCs w:val="26"/>
              </w:rPr>
              <w:t>i</w:t>
            </w:r>
            <w:r w:rsidR="00470BCA" w:rsidRPr="00470BCA">
              <w:rPr>
                <w:bCs/>
                <w:sz w:val="26"/>
                <w:szCs w:val="26"/>
              </w:rPr>
              <w:t xml:space="preserve"> Nr.565 „</w:t>
            </w:r>
            <w:r w:rsidR="00470BCA" w:rsidRPr="00470BCA">
              <w:rPr>
                <w:sz w:val="26"/>
                <w:szCs w:val="26"/>
              </w:rPr>
              <w:t xml:space="preserve">Noteikumi par valsts un pašvaldību institūciju amatpersonu un darbinieku sociālajām garantijām” </w:t>
            </w:r>
            <w:r w:rsidR="0024634B" w:rsidRPr="00470BCA">
              <w:rPr>
                <w:rFonts w:eastAsiaTheme="minorHAnsi"/>
                <w:color w:val="000000"/>
                <w:sz w:val="26"/>
                <w:szCs w:val="26"/>
              </w:rPr>
              <w:t xml:space="preserve">noteiks vienotu regulējumu </w:t>
            </w:r>
            <w:r w:rsidR="004C0F27" w:rsidRPr="00470BCA">
              <w:rPr>
                <w:rFonts w:eastAsiaTheme="minorHAnsi"/>
                <w:color w:val="000000"/>
                <w:sz w:val="26"/>
                <w:szCs w:val="26"/>
              </w:rPr>
              <w:t>visām amatpersonām</w:t>
            </w:r>
            <w:r w:rsidR="002A449C">
              <w:rPr>
                <w:rFonts w:eastAsiaTheme="minorHAnsi"/>
                <w:color w:val="000000"/>
                <w:sz w:val="26"/>
                <w:szCs w:val="26"/>
              </w:rPr>
              <w:t xml:space="preserve"> </w:t>
            </w:r>
            <w:r w:rsidR="004C0F27" w:rsidRPr="00470BCA">
              <w:rPr>
                <w:rFonts w:eastAsiaTheme="minorHAnsi"/>
                <w:color w:val="000000"/>
                <w:sz w:val="26"/>
                <w:szCs w:val="26"/>
              </w:rPr>
              <w:t>un darbiniekiem,</w:t>
            </w:r>
            <w:r w:rsidR="0024634B" w:rsidRPr="00470BCA">
              <w:rPr>
                <w:rFonts w:eastAsiaTheme="minorHAnsi"/>
                <w:color w:val="000000"/>
                <w:sz w:val="26"/>
                <w:szCs w:val="26"/>
              </w:rPr>
              <w:t xml:space="preserve"> </w:t>
            </w:r>
            <w:r w:rsidR="004C0F27" w:rsidRPr="00470BCA">
              <w:rPr>
                <w:rFonts w:eastAsiaTheme="minorHAnsi"/>
                <w:color w:val="000000"/>
                <w:sz w:val="26"/>
                <w:szCs w:val="26"/>
              </w:rPr>
              <w:t>kuru</w:t>
            </w:r>
            <w:r w:rsidR="004C0F27" w:rsidRPr="002A449C">
              <w:rPr>
                <w:rFonts w:eastAsiaTheme="minorHAnsi"/>
                <w:color w:val="000000"/>
                <w:sz w:val="26"/>
                <w:szCs w:val="26"/>
              </w:rPr>
              <w:t xml:space="preserve"> amata (dienesta</w:t>
            </w:r>
            <w:r w:rsidR="004C0F27" w:rsidRPr="0024634B">
              <w:rPr>
                <w:rFonts w:eastAsiaTheme="minorHAnsi"/>
                <w:color w:val="000000"/>
                <w:sz w:val="26"/>
                <w:szCs w:val="26"/>
              </w:rPr>
              <w:t>, darba) pienākumu izpilde ir saistīta ar dzīvības vai veselības apdraudējumu (risku)</w:t>
            </w:r>
            <w:r w:rsidR="004C0F27">
              <w:rPr>
                <w:rFonts w:eastAsiaTheme="minorHAnsi"/>
                <w:color w:val="000000"/>
                <w:sz w:val="26"/>
                <w:szCs w:val="26"/>
              </w:rPr>
              <w:t>, nosakot</w:t>
            </w:r>
            <w:r w:rsidR="0024634B" w:rsidRPr="0024634B">
              <w:rPr>
                <w:rFonts w:eastAsiaTheme="minorHAnsi"/>
                <w:color w:val="000000"/>
                <w:sz w:val="26"/>
                <w:szCs w:val="26"/>
              </w:rPr>
              <w:t xml:space="preserve"> konkrētus gadījumus, kuros  </w:t>
            </w:r>
            <w:r w:rsidR="004C0F27">
              <w:rPr>
                <w:rFonts w:eastAsiaTheme="minorHAnsi"/>
                <w:color w:val="000000"/>
                <w:sz w:val="26"/>
                <w:szCs w:val="26"/>
              </w:rPr>
              <w:t xml:space="preserve">šīm </w:t>
            </w:r>
            <w:r w:rsidR="0024634B" w:rsidRPr="0024634B">
              <w:rPr>
                <w:rFonts w:eastAsiaTheme="minorHAnsi"/>
                <w:color w:val="000000"/>
                <w:sz w:val="26"/>
                <w:szCs w:val="26"/>
              </w:rPr>
              <w:t>amatperson</w:t>
            </w:r>
            <w:r w:rsidR="004C0F27">
              <w:rPr>
                <w:rFonts w:eastAsiaTheme="minorHAnsi"/>
                <w:color w:val="000000"/>
                <w:sz w:val="26"/>
                <w:szCs w:val="26"/>
              </w:rPr>
              <w:t>ām</w:t>
            </w:r>
            <w:r w:rsidR="0024634B" w:rsidRPr="0024634B">
              <w:rPr>
                <w:rFonts w:eastAsiaTheme="minorHAnsi"/>
                <w:color w:val="000000"/>
                <w:sz w:val="26"/>
                <w:szCs w:val="26"/>
              </w:rPr>
              <w:t xml:space="preserve"> (darbiniek</w:t>
            </w:r>
            <w:r w:rsidR="004C0F27">
              <w:rPr>
                <w:rFonts w:eastAsiaTheme="minorHAnsi"/>
                <w:color w:val="000000"/>
                <w:sz w:val="26"/>
                <w:szCs w:val="26"/>
              </w:rPr>
              <w:t>iem</w:t>
            </w:r>
            <w:r w:rsidR="0024634B" w:rsidRPr="0024634B">
              <w:rPr>
                <w:rFonts w:eastAsiaTheme="minorHAnsi"/>
                <w:color w:val="000000"/>
                <w:sz w:val="26"/>
                <w:szCs w:val="26"/>
              </w:rPr>
              <w:t>), izmaksā nelaimes gadījuma pabalstu</w:t>
            </w:r>
            <w:r w:rsidR="0024634B">
              <w:rPr>
                <w:rFonts w:eastAsiaTheme="minorHAnsi"/>
                <w:color w:val="000000"/>
                <w:sz w:val="26"/>
                <w:szCs w:val="26"/>
              </w:rPr>
              <w:t>,</w:t>
            </w:r>
            <w:r w:rsidR="0024634B" w:rsidRPr="0024634B">
              <w:rPr>
                <w:rFonts w:eastAsiaTheme="minorHAnsi"/>
                <w:color w:val="000000"/>
                <w:sz w:val="26"/>
                <w:szCs w:val="26"/>
              </w:rPr>
              <w:t xml:space="preserve"> </w:t>
            </w:r>
            <w:r w:rsidR="004C0F27">
              <w:rPr>
                <w:rFonts w:eastAsiaTheme="minorHAnsi"/>
                <w:color w:val="000000"/>
                <w:sz w:val="26"/>
                <w:szCs w:val="26"/>
              </w:rPr>
              <w:t xml:space="preserve">tad </w:t>
            </w:r>
            <w:r w:rsidR="0024634B">
              <w:rPr>
                <w:rFonts w:eastAsiaTheme="minorHAnsi"/>
                <w:color w:val="000000"/>
                <w:sz w:val="26"/>
                <w:szCs w:val="26"/>
              </w:rPr>
              <w:t>l</w:t>
            </w:r>
            <w:r w:rsidR="00255B42" w:rsidRPr="00C36F1F">
              <w:rPr>
                <w:rFonts w:eastAsiaTheme="minorHAnsi"/>
                <w:color w:val="000000"/>
                <w:sz w:val="26"/>
                <w:szCs w:val="26"/>
              </w:rPr>
              <w:t>ikumprojekts paredz</w:t>
            </w:r>
            <w:r w:rsidR="0024634B">
              <w:rPr>
                <w:rFonts w:eastAsiaTheme="minorHAnsi"/>
                <w:color w:val="000000"/>
                <w:sz w:val="26"/>
                <w:szCs w:val="26"/>
              </w:rPr>
              <w:t xml:space="preserve"> izslēgt</w:t>
            </w:r>
            <w:r w:rsidR="0024634B" w:rsidRPr="00AD3FCE">
              <w:rPr>
                <w:rFonts w:eastAsiaTheme="minorHAnsi"/>
                <w:color w:val="000000"/>
                <w:sz w:val="26"/>
                <w:szCs w:val="26"/>
              </w:rPr>
              <w:t xml:space="preserve"> </w:t>
            </w:r>
            <w:r w:rsidR="004C0F27">
              <w:rPr>
                <w:rFonts w:eastAsiaTheme="minorHAnsi"/>
                <w:color w:val="000000"/>
                <w:sz w:val="26"/>
                <w:szCs w:val="26"/>
              </w:rPr>
              <w:t xml:space="preserve">no </w:t>
            </w:r>
            <w:r w:rsidR="0024634B">
              <w:rPr>
                <w:rFonts w:eastAsiaTheme="minorHAnsi"/>
                <w:color w:val="000000"/>
                <w:sz w:val="26"/>
                <w:szCs w:val="26"/>
              </w:rPr>
              <w:t xml:space="preserve">atlīdzības </w:t>
            </w:r>
            <w:r w:rsidR="0024634B" w:rsidRPr="00AD3FCE">
              <w:rPr>
                <w:rFonts w:eastAsiaTheme="minorHAnsi"/>
                <w:color w:val="000000"/>
                <w:sz w:val="26"/>
                <w:szCs w:val="26"/>
              </w:rPr>
              <w:t>likum</w:t>
            </w:r>
            <w:r w:rsidR="0024634B">
              <w:rPr>
                <w:rFonts w:eastAsiaTheme="minorHAnsi"/>
                <w:color w:val="000000"/>
                <w:sz w:val="26"/>
                <w:szCs w:val="26"/>
              </w:rPr>
              <w:t>a 19.panta piekto daļu</w:t>
            </w:r>
            <w:r w:rsidR="004C0F27">
              <w:rPr>
                <w:rFonts w:eastAsiaTheme="minorHAnsi"/>
                <w:color w:val="000000"/>
                <w:sz w:val="26"/>
                <w:szCs w:val="26"/>
              </w:rPr>
              <w:t>, kas ir saistoša</w:t>
            </w:r>
            <w:r w:rsidR="004C0F27">
              <w:t xml:space="preserve"> </w:t>
            </w:r>
            <w:r w:rsidR="00691DAC">
              <w:t xml:space="preserve">tikai </w:t>
            </w:r>
            <w:r w:rsidR="004C0F27" w:rsidRPr="004C0F27">
              <w:rPr>
                <w:rFonts w:eastAsiaTheme="minorHAnsi"/>
                <w:color w:val="000000"/>
                <w:sz w:val="26"/>
                <w:szCs w:val="26"/>
              </w:rPr>
              <w:t xml:space="preserve">Iekšlietu ministrijas sistēmas iestādes </w:t>
            </w:r>
            <w:r w:rsidR="00691DAC">
              <w:rPr>
                <w:rFonts w:eastAsiaTheme="minorHAnsi"/>
                <w:color w:val="000000"/>
                <w:sz w:val="26"/>
                <w:szCs w:val="26"/>
              </w:rPr>
              <w:t>un</w:t>
            </w:r>
            <w:r w:rsidR="004C0F27" w:rsidRPr="004C0F27">
              <w:rPr>
                <w:rFonts w:eastAsiaTheme="minorHAnsi"/>
                <w:color w:val="000000"/>
                <w:sz w:val="26"/>
                <w:szCs w:val="26"/>
              </w:rPr>
              <w:t xml:space="preserve"> Ieslodzījuma vietu pārvaldes amatpersonām ar </w:t>
            </w:r>
            <w:r w:rsidR="004C0F27" w:rsidRPr="004C0F27">
              <w:rPr>
                <w:rFonts w:eastAsiaTheme="minorHAnsi"/>
                <w:color w:val="000000"/>
                <w:sz w:val="26"/>
                <w:szCs w:val="26"/>
              </w:rPr>
              <w:lastRenderedPageBreak/>
              <w:t xml:space="preserve">speciālo dienesta pakāpēm </w:t>
            </w:r>
            <w:r w:rsidR="004C0F27">
              <w:rPr>
                <w:rFonts w:eastAsiaTheme="minorHAnsi"/>
                <w:color w:val="000000"/>
                <w:sz w:val="26"/>
                <w:szCs w:val="26"/>
              </w:rPr>
              <w:t>nelaimes gadījuma pabalsta izmaksai</w:t>
            </w:r>
            <w:r w:rsidR="0024634B">
              <w:rPr>
                <w:rFonts w:eastAsiaTheme="minorHAnsi"/>
                <w:color w:val="000000"/>
                <w:sz w:val="26"/>
                <w:szCs w:val="26"/>
              </w:rPr>
              <w:t>.</w:t>
            </w:r>
          </w:p>
          <w:p w:rsidR="00691DAC" w:rsidRDefault="00691DAC" w:rsidP="0003238F">
            <w:pPr>
              <w:autoSpaceDE w:val="0"/>
              <w:autoSpaceDN w:val="0"/>
              <w:adjustRightInd w:val="0"/>
              <w:jc w:val="both"/>
              <w:rPr>
                <w:rFonts w:eastAsiaTheme="minorHAnsi"/>
                <w:color w:val="000000"/>
                <w:sz w:val="26"/>
                <w:szCs w:val="26"/>
              </w:rPr>
            </w:pPr>
          </w:p>
          <w:p w:rsidR="003F2670" w:rsidRDefault="00F46DFC" w:rsidP="0003238F">
            <w:pPr>
              <w:autoSpaceDE w:val="0"/>
              <w:autoSpaceDN w:val="0"/>
              <w:adjustRightInd w:val="0"/>
              <w:jc w:val="both"/>
              <w:rPr>
                <w:color w:val="2A2A2A"/>
                <w:sz w:val="26"/>
                <w:szCs w:val="26"/>
              </w:rPr>
            </w:pPr>
            <w:r>
              <w:rPr>
                <w:color w:val="2A2A2A"/>
                <w:sz w:val="26"/>
                <w:szCs w:val="26"/>
              </w:rPr>
              <w:t xml:space="preserve">    </w:t>
            </w:r>
            <w:r w:rsidR="003F2670">
              <w:rPr>
                <w:color w:val="2A2A2A"/>
                <w:sz w:val="26"/>
                <w:szCs w:val="26"/>
              </w:rPr>
              <w:t xml:space="preserve">Likumprojekts paredz, </w:t>
            </w:r>
            <w:r w:rsidR="003F2670">
              <w:rPr>
                <w:sz w:val="26"/>
                <w:szCs w:val="26"/>
              </w:rPr>
              <w:t>ka</w:t>
            </w:r>
            <w:r w:rsidR="003F2670" w:rsidRPr="005A4585">
              <w:rPr>
                <w:sz w:val="26"/>
                <w:szCs w:val="26"/>
              </w:rPr>
              <w:t xml:space="preserve"> </w:t>
            </w:r>
            <w:r w:rsidR="003F2670">
              <w:rPr>
                <w:sz w:val="26"/>
                <w:szCs w:val="26"/>
              </w:rPr>
              <w:t>turpmāk gadījumos, ja amatpersona</w:t>
            </w:r>
            <w:r w:rsidR="00411D8C">
              <w:rPr>
                <w:sz w:val="26"/>
                <w:szCs w:val="26"/>
              </w:rPr>
              <w:t xml:space="preserve"> vai karavīrs</w:t>
            </w:r>
            <w:r w:rsidR="003F2670">
              <w:rPr>
                <w:sz w:val="26"/>
                <w:szCs w:val="26"/>
              </w:rPr>
              <w:t xml:space="preserve"> ciešot nelaimes gadījumā kļūst</w:t>
            </w:r>
            <w:r w:rsidR="003F2670" w:rsidRPr="005A4585">
              <w:rPr>
                <w:color w:val="2A2A2A"/>
                <w:sz w:val="26"/>
                <w:szCs w:val="26"/>
              </w:rPr>
              <w:t xml:space="preserve"> par I grupas invalīdu, </w:t>
            </w:r>
            <w:r w:rsidR="003F2670">
              <w:rPr>
                <w:color w:val="2A2A2A"/>
                <w:sz w:val="26"/>
                <w:szCs w:val="26"/>
              </w:rPr>
              <w:t xml:space="preserve">viņai izmaksājamā </w:t>
            </w:r>
            <w:r w:rsidR="003F2670" w:rsidRPr="005A4585">
              <w:rPr>
                <w:color w:val="2A2A2A"/>
                <w:sz w:val="26"/>
                <w:szCs w:val="26"/>
              </w:rPr>
              <w:t>vienreizēj</w:t>
            </w:r>
            <w:r w:rsidR="003F2670">
              <w:rPr>
                <w:color w:val="2A2A2A"/>
                <w:sz w:val="26"/>
                <w:szCs w:val="26"/>
              </w:rPr>
              <w:t>ā</w:t>
            </w:r>
            <w:r w:rsidR="003F2670" w:rsidRPr="005A4585">
              <w:rPr>
                <w:color w:val="2A2A2A"/>
                <w:sz w:val="26"/>
                <w:szCs w:val="26"/>
              </w:rPr>
              <w:t xml:space="preserve"> pabalsta apmērs </w:t>
            </w:r>
            <w:r w:rsidR="003F2670">
              <w:rPr>
                <w:color w:val="2A2A2A"/>
                <w:sz w:val="26"/>
                <w:szCs w:val="26"/>
              </w:rPr>
              <w:t xml:space="preserve">tiek </w:t>
            </w:r>
            <w:r w:rsidR="001815BF">
              <w:rPr>
                <w:color w:val="2A2A2A"/>
                <w:sz w:val="26"/>
                <w:szCs w:val="26"/>
              </w:rPr>
              <w:t>palielināts no 30 000 latu uz 50 000 latiem (</w:t>
            </w:r>
            <w:r w:rsidR="001815BF" w:rsidRPr="001815BF">
              <w:rPr>
                <w:color w:val="2A2A2A"/>
                <w:sz w:val="26"/>
                <w:szCs w:val="26"/>
              </w:rPr>
              <w:t>71145</w:t>
            </w:r>
            <w:r w:rsidR="001815BF">
              <w:rPr>
                <w:color w:val="2A2A2A"/>
                <w:sz w:val="26"/>
                <w:szCs w:val="26"/>
              </w:rPr>
              <w:t xml:space="preserve"> </w:t>
            </w:r>
            <w:proofErr w:type="spellStart"/>
            <w:r w:rsidR="001815BF" w:rsidRPr="0033167F">
              <w:rPr>
                <w:i/>
                <w:color w:val="2A2A2A"/>
                <w:sz w:val="26"/>
                <w:szCs w:val="26"/>
              </w:rPr>
              <w:t>euro</w:t>
            </w:r>
            <w:proofErr w:type="spellEnd"/>
            <w:r w:rsidR="001815BF">
              <w:rPr>
                <w:color w:val="2A2A2A"/>
                <w:sz w:val="26"/>
                <w:szCs w:val="26"/>
              </w:rPr>
              <w:t>)</w:t>
            </w:r>
            <w:r w:rsidR="003F2670">
              <w:rPr>
                <w:color w:val="2A2A2A"/>
                <w:sz w:val="26"/>
                <w:szCs w:val="26"/>
              </w:rPr>
              <w:t xml:space="preserve">. </w:t>
            </w:r>
            <w:r w:rsidR="001815BF">
              <w:rPr>
                <w:color w:val="2A2A2A"/>
                <w:sz w:val="26"/>
                <w:szCs w:val="26"/>
              </w:rPr>
              <w:t>Vienlaikus arī II un III grupas invalīdiem pabalsts tiek noteikts konkrētā apmērā</w:t>
            </w:r>
            <w:r>
              <w:rPr>
                <w:color w:val="2A2A2A"/>
                <w:sz w:val="26"/>
                <w:szCs w:val="26"/>
              </w:rPr>
              <w:t>,</w:t>
            </w:r>
            <w:r w:rsidR="001815BF">
              <w:rPr>
                <w:color w:val="2A2A2A"/>
                <w:sz w:val="26"/>
                <w:szCs w:val="26"/>
              </w:rPr>
              <w:t xml:space="preserve"> atsaistot to no mēnešalgām.</w:t>
            </w:r>
            <w:r w:rsidR="00411D8C">
              <w:t xml:space="preserve"> Pabalsta </w:t>
            </w:r>
            <w:r w:rsidR="00411D8C" w:rsidRPr="00411D8C">
              <w:rPr>
                <w:color w:val="2A2A2A"/>
                <w:sz w:val="26"/>
                <w:szCs w:val="26"/>
              </w:rPr>
              <w:t>izmaksa nodrošināma atlīdzības fonda ietvaros.</w:t>
            </w:r>
          </w:p>
          <w:p w:rsidR="00411D8C" w:rsidRDefault="00411D8C" w:rsidP="0003238F">
            <w:pPr>
              <w:autoSpaceDE w:val="0"/>
              <w:autoSpaceDN w:val="0"/>
              <w:adjustRightInd w:val="0"/>
              <w:jc w:val="both"/>
              <w:rPr>
                <w:rFonts w:eastAsiaTheme="minorHAnsi"/>
                <w:color w:val="000000"/>
                <w:sz w:val="26"/>
                <w:szCs w:val="26"/>
              </w:rPr>
            </w:pPr>
          </w:p>
          <w:p w:rsidR="008E53DE" w:rsidRPr="008E53DE" w:rsidRDefault="00F46DFC" w:rsidP="008E53DE">
            <w:pPr>
              <w:autoSpaceDE w:val="0"/>
              <w:autoSpaceDN w:val="0"/>
              <w:adjustRightInd w:val="0"/>
              <w:jc w:val="both"/>
              <w:rPr>
                <w:rFonts w:eastAsiaTheme="minorHAnsi"/>
                <w:color w:val="000000"/>
                <w:sz w:val="26"/>
                <w:szCs w:val="26"/>
              </w:rPr>
            </w:pPr>
            <w:r>
              <w:rPr>
                <w:rFonts w:eastAsiaTheme="minorHAnsi"/>
                <w:color w:val="000000"/>
                <w:sz w:val="26"/>
                <w:szCs w:val="26"/>
              </w:rPr>
              <w:t xml:space="preserve">    </w:t>
            </w:r>
            <w:r w:rsidR="008E53DE" w:rsidRPr="008E53DE">
              <w:rPr>
                <w:rFonts w:eastAsiaTheme="minorHAnsi"/>
                <w:color w:val="000000"/>
                <w:sz w:val="26"/>
                <w:szCs w:val="26"/>
              </w:rPr>
              <w:t>Likumprojekta mērķis ir motivēt Iekšlietu ministrijas sistēmas iestāžu (Valsts policijas, Valsts robežsardzes, Valsts ugunsdzēsības un glābšanas dienesta, Valsts policijas koledžas, Valsts robežsardzes koledžas, Ugunsdrošības un civilās aizsardzības koledžas, Drošības policijas) un Ieslodzījuma vietu pārvaldes amatpersonas ar speciālajām dienesta pakāpēm turpināt dienestu, novēršot ievērojamo personāla mainību un nodrošinot kvalitatīvāka pakalpojuma sniegšanu sabiedrībai.</w:t>
            </w:r>
          </w:p>
          <w:p w:rsidR="008E53DE" w:rsidRPr="008E53DE" w:rsidRDefault="00F46DFC" w:rsidP="008E53DE">
            <w:pPr>
              <w:autoSpaceDE w:val="0"/>
              <w:autoSpaceDN w:val="0"/>
              <w:adjustRightInd w:val="0"/>
              <w:jc w:val="both"/>
              <w:rPr>
                <w:rFonts w:eastAsiaTheme="minorHAnsi"/>
                <w:color w:val="000000"/>
                <w:sz w:val="26"/>
                <w:szCs w:val="26"/>
              </w:rPr>
            </w:pPr>
            <w:r>
              <w:rPr>
                <w:rFonts w:eastAsiaTheme="minorHAnsi"/>
                <w:color w:val="000000"/>
                <w:sz w:val="26"/>
                <w:szCs w:val="26"/>
              </w:rPr>
              <w:t xml:space="preserve">    </w:t>
            </w:r>
            <w:r w:rsidR="008E53DE" w:rsidRPr="008E53DE">
              <w:rPr>
                <w:rFonts w:eastAsiaTheme="minorHAnsi"/>
                <w:color w:val="000000"/>
                <w:sz w:val="26"/>
                <w:szCs w:val="26"/>
              </w:rPr>
              <w:t>Likumprojekts paredz ar 2014.gada 1.janvāri:</w:t>
            </w:r>
          </w:p>
          <w:p w:rsidR="008E53DE" w:rsidRPr="008E53DE" w:rsidRDefault="008E53DE" w:rsidP="008E53DE">
            <w:pPr>
              <w:autoSpaceDE w:val="0"/>
              <w:autoSpaceDN w:val="0"/>
              <w:adjustRightInd w:val="0"/>
              <w:jc w:val="both"/>
              <w:rPr>
                <w:rFonts w:eastAsiaTheme="minorHAnsi"/>
                <w:color w:val="000000"/>
                <w:sz w:val="26"/>
                <w:szCs w:val="26"/>
              </w:rPr>
            </w:pPr>
            <w:r w:rsidRPr="008E53DE">
              <w:rPr>
                <w:rFonts w:eastAsiaTheme="minorHAnsi"/>
                <w:color w:val="000000"/>
                <w:sz w:val="26"/>
                <w:szCs w:val="26"/>
              </w:rPr>
              <w:t>- amatpersonai ar speciālo dienesta pakāpi paredzēt iespēju par virsstundu darbu noteikt</w:t>
            </w:r>
            <w:r w:rsidR="00E41BBB">
              <w:rPr>
                <w:rFonts w:eastAsiaTheme="minorHAnsi"/>
                <w:color w:val="000000"/>
                <w:sz w:val="26"/>
                <w:szCs w:val="26"/>
              </w:rPr>
              <w:t xml:space="preserve"> arī</w:t>
            </w:r>
            <w:r w:rsidRPr="008E53DE">
              <w:rPr>
                <w:rFonts w:eastAsiaTheme="minorHAnsi"/>
                <w:color w:val="000000"/>
                <w:sz w:val="26"/>
                <w:szCs w:val="26"/>
              </w:rPr>
              <w:t xml:space="preserve"> samaksu (ņemot vērā virsstundu skaitu) atbilstoši tai noteiktajai stundas algas likmei, kā arī piemaksu 100 procentu apmērā no tai noteiktās stundas algas likmes (vienlaikus tiek saglabāts regulējums par atpūtas laika piešķiršanu), ja amatpersonu saskaņā ar iestādes vadītāja vai viņa pilnvarotas amatpersonas lēmumu iesaista dienesta pienākumu pildīšanā papildus noteiktajam dienesta pienākumu izpildes laikam, lai nodrošinātu nepārtrauktu vai steidzamu, iepriekš neparedzētu uzdevumu veikšanu; </w:t>
            </w:r>
          </w:p>
          <w:p w:rsidR="008E53DE" w:rsidRPr="008E53DE" w:rsidRDefault="008E53DE" w:rsidP="008E53DE">
            <w:pPr>
              <w:autoSpaceDE w:val="0"/>
              <w:autoSpaceDN w:val="0"/>
              <w:adjustRightInd w:val="0"/>
              <w:jc w:val="both"/>
              <w:rPr>
                <w:rFonts w:eastAsiaTheme="minorHAnsi"/>
                <w:color w:val="000000"/>
                <w:sz w:val="26"/>
                <w:szCs w:val="26"/>
              </w:rPr>
            </w:pPr>
            <w:r w:rsidRPr="008E53DE">
              <w:rPr>
                <w:rFonts w:eastAsiaTheme="minorHAnsi"/>
                <w:color w:val="000000"/>
                <w:sz w:val="26"/>
                <w:szCs w:val="26"/>
              </w:rPr>
              <w:t>- saglabāt regulējumu par papildu finansējuma piešķiršanu virsstundu darba samaksai saskaņā ar īpašu Ministru kabineta lēmumu vai finansējuma paredzēšanu gadskārtējā valsts budžeta likumā, ja amatpersonas ar speciālajām dienesta pakāpēm iesaista dienesta pienākumu pildīšanā virs noteiktā dienesta pienākumu izpildes laika, lai nodrošinātu īpaši nozīmīgus valsts pasākumus, novērstu katastrofu un dabas stihiju sekas, nodrošinātu sabiedrisko kārtību un drošību vai veiktu citus ārkārtas uzdevumus, jo piešķirtais finansējums var būt nepietiekams nostrādāto virsstundu darba apmaksai, ievērojot, ka tas plānots tikai to virsstundu apmaksai, kas rodas, ikdienā pildot iestāžu pamatfunkcijas, tajā skaitā arī lai nodrošinātu nepārtrauktu vai steidzamu, iepriekš neparedzētu uzdevumu veikšanu;</w:t>
            </w:r>
          </w:p>
          <w:p w:rsidR="008E53DE" w:rsidRPr="008E53DE" w:rsidRDefault="008E53DE" w:rsidP="008E53DE">
            <w:pPr>
              <w:autoSpaceDE w:val="0"/>
              <w:autoSpaceDN w:val="0"/>
              <w:adjustRightInd w:val="0"/>
              <w:jc w:val="both"/>
              <w:rPr>
                <w:rFonts w:eastAsiaTheme="minorHAnsi"/>
                <w:color w:val="000000"/>
                <w:sz w:val="26"/>
                <w:szCs w:val="26"/>
              </w:rPr>
            </w:pPr>
            <w:r w:rsidRPr="008E53DE">
              <w:rPr>
                <w:rFonts w:eastAsiaTheme="minorHAnsi"/>
                <w:color w:val="000000"/>
                <w:sz w:val="26"/>
                <w:szCs w:val="26"/>
              </w:rPr>
              <w:t>- amatpersonas ar speciālo dienesta pakāpi tiesības saņemt pēc katriem pieciem nepārtrauktas izdienas gadiem Iekšlietu ministrijas sistēmā vai Ieslodzījuma vietu pārvaldē vienreizēju pabalstu triju mēneša amatalgu apmērā atbilstoši pēdējam amatam, izdienu uzskaitot ar 2013.gada 1.janvāri un pabalstu izmaksājo</w:t>
            </w:r>
            <w:r w:rsidR="00756FEB">
              <w:rPr>
                <w:rFonts w:eastAsiaTheme="minorHAnsi"/>
                <w:color w:val="000000"/>
                <w:sz w:val="26"/>
                <w:szCs w:val="26"/>
              </w:rPr>
              <w:t>t, sākot ar 2019.gada 1.janvāri.</w:t>
            </w:r>
          </w:p>
          <w:p w:rsidR="008E53DE" w:rsidRDefault="008E53DE" w:rsidP="008E53DE">
            <w:pPr>
              <w:autoSpaceDE w:val="0"/>
              <w:autoSpaceDN w:val="0"/>
              <w:adjustRightInd w:val="0"/>
              <w:jc w:val="both"/>
              <w:rPr>
                <w:rFonts w:eastAsiaTheme="minorHAnsi"/>
                <w:color w:val="000000"/>
                <w:sz w:val="26"/>
                <w:szCs w:val="26"/>
              </w:rPr>
            </w:pPr>
            <w:r w:rsidRPr="008E53DE">
              <w:rPr>
                <w:rFonts w:eastAsiaTheme="minorHAnsi"/>
                <w:color w:val="000000"/>
                <w:sz w:val="26"/>
                <w:szCs w:val="26"/>
              </w:rPr>
              <w:t xml:space="preserve">Likumprojekts atrisinās anotācijas I sadaļas 2.punktā minētās </w:t>
            </w:r>
            <w:r w:rsidRPr="008E53DE">
              <w:rPr>
                <w:rFonts w:eastAsiaTheme="minorHAnsi"/>
                <w:color w:val="000000"/>
                <w:sz w:val="26"/>
                <w:szCs w:val="26"/>
              </w:rPr>
              <w:lastRenderedPageBreak/>
              <w:t>problēmas.</w:t>
            </w:r>
          </w:p>
          <w:p w:rsidR="008E53DE" w:rsidRPr="00C36F1F" w:rsidRDefault="008E53DE" w:rsidP="0003238F">
            <w:pPr>
              <w:autoSpaceDE w:val="0"/>
              <w:autoSpaceDN w:val="0"/>
              <w:adjustRightInd w:val="0"/>
              <w:jc w:val="both"/>
              <w:rPr>
                <w:rFonts w:eastAsiaTheme="minorHAnsi"/>
                <w:color w:val="000000"/>
                <w:sz w:val="26"/>
                <w:szCs w:val="26"/>
              </w:rPr>
            </w:pPr>
          </w:p>
          <w:p w:rsidR="005C778D" w:rsidRPr="00C36F1F" w:rsidRDefault="005C778D" w:rsidP="00D21A59">
            <w:pPr>
              <w:autoSpaceDE w:val="0"/>
              <w:autoSpaceDN w:val="0"/>
              <w:adjustRightInd w:val="0"/>
              <w:jc w:val="both"/>
              <w:rPr>
                <w:rFonts w:eastAsiaTheme="minorHAnsi"/>
                <w:color w:val="000000"/>
                <w:sz w:val="26"/>
                <w:szCs w:val="26"/>
              </w:rPr>
            </w:pPr>
            <w:r>
              <w:rPr>
                <w:rFonts w:eastAsiaTheme="minorHAnsi"/>
                <w:color w:val="000000"/>
                <w:sz w:val="26"/>
                <w:szCs w:val="26"/>
              </w:rPr>
              <w:t>Likumprojekts paredz arī citus redakcionāla rakstura precizējumus.</w:t>
            </w:r>
          </w:p>
        </w:tc>
      </w:tr>
      <w:tr w:rsidR="00207CA2" w:rsidRPr="00C36F1F" w:rsidTr="00261D16">
        <w:trPr>
          <w:trHeight w:val="476"/>
        </w:trPr>
        <w:tc>
          <w:tcPr>
            <w:tcW w:w="781" w:type="dxa"/>
          </w:tcPr>
          <w:p w:rsidR="00207CA2" w:rsidRPr="00C36F1F" w:rsidRDefault="00207CA2" w:rsidP="00FB2F9B">
            <w:pPr>
              <w:pStyle w:val="naiskr"/>
              <w:spacing w:before="0" w:after="0"/>
              <w:jc w:val="both"/>
              <w:rPr>
                <w:sz w:val="26"/>
                <w:szCs w:val="26"/>
              </w:rPr>
            </w:pPr>
            <w:r w:rsidRPr="00C36F1F">
              <w:rPr>
                <w:sz w:val="26"/>
                <w:szCs w:val="26"/>
              </w:rPr>
              <w:lastRenderedPageBreak/>
              <w:t>5.</w:t>
            </w:r>
          </w:p>
        </w:tc>
        <w:tc>
          <w:tcPr>
            <w:tcW w:w="1918" w:type="dxa"/>
          </w:tcPr>
          <w:p w:rsidR="00207CA2" w:rsidRPr="00C36F1F" w:rsidRDefault="00207CA2" w:rsidP="00FB2F9B">
            <w:pPr>
              <w:pStyle w:val="naiskr"/>
              <w:spacing w:before="0" w:after="0"/>
              <w:jc w:val="both"/>
              <w:rPr>
                <w:sz w:val="26"/>
                <w:szCs w:val="26"/>
              </w:rPr>
            </w:pPr>
            <w:r w:rsidRPr="00C36F1F">
              <w:rPr>
                <w:sz w:val="26"/>
                <w:szCs w:val="26"/>
              </w:rPr>
              <w:t>Projekta izstrādē iesaistītās institūcijas</w:t>
            </w:r>
          </w:p>
        </w:tc>
        <w:tc>
          <w:tcPr>
            <w:tcW w:w="7239" w:type="dxa"/>
          </w:tcPr>
          <w:p w:rsidR="00AD3FCE" w:rsidRPr="00C36F1F" w:rsidRDefault="008715DB" w:rsidP="00AD3FCE">
            <w:pPr>
              <w:pStyle w:val="naiskr"/>
              <w:spacing w:before="0" w:after="0"/>
              <w:jc w:val="both"/>
              <w:rPr>
                <w:sz w:val="26"/>
                <w:szCs w:val="26"/>
              </w:rPr>
            </w:pPr>
            <w:r w:rsidRPr="00C36F1F">
              <w:rPr>
                <w:sz w:val="26"/>
                <w:szCs w:val="26"/>
              </w:rPr>
              <w:t xml:space="preserve"> </w:t>
            </w:r>
            <w:r w:rsidR="008E53DE">
              <w:t xml:space="preserve"> </w:t>
            </w:r>
            <w:r w:rsidR="008E53DE" w:rsidRPr="008E53DE">
              <w:rPr>
                <w:sz w:val="26"/>
                <w:szCs w:val="26"/>
              </w:rPr>
              <w:t>Iekšlietu ministrija.</w:t>
            </w:r>
          </w:p>
          <w:p w:rsidR="005B13CC" w:rsidRPr="00C36F1F" w:rsidRDefault="005B13CC" w:rsidP="00C51848">
            <w:pPr>
              <w:pStyle w:val="naiskr"/>
              <w:spacing w:before="0" w:after="0"/>
              <w:jc w:val="both"/>
              <w:rPr>
                <w:sz w:val="26"/>
                <w:szCs w:val="26"/>
              </w:rPr>
            </w:pPr>
          </w:p>
        </w:tc>
      </w:tr>
      <w:tr w:rsidR="00207CA2" w:rsidRPr="00C36F1F" w:rsidTr="00261D16">
        <w:trPr>
          <w:trHeight w:val="938"/>
        </w:trPr>
        <w:tc>
          <w:tcPr>
            <w:tcW w:w="781" w:type="dxa"/>
          </w:tcPr>
          <w:p w:rsidR="00207CA2" w:rsidRPr="00C36F1F" w:rsidRDefault="00207CA2" w:rsidP="00FB2F9B">
            <w:pPr>
              <w:pStyle w:val="naiskr"/>
              <w:spacing w:before="0" w:after="0"/>
              <w:jc w:val="both"/>
              <w:rPr>
                <w:sz w:val="26"/>
                <w:szCs w:val="26"/>
              </w:rPr>
            </w:pPr>
            <w:r w:rsidRPr="00C36F1F">
              <w:rPr>
                <w:sz w:val="26"/>
                <w:szCs w:val="26"/>
              </w:rPr>
              <w:t>6.</w:t>
            </w:r>
          </w:p>
        </w:tc>
        <w:tc>
          <w:tcPr>
            <w:tcW w:w="1918" w:type="dxa"/>
          </w:tcPr>
          <w:p w:rsidR="00207CA2" w:rsidRPr="00C36F1F" w:rsidRDefault="00207CA2" w:rsidP="00FB2F9B">
            <w:pPr>
              <w:pStyle w:val="naiskr"/>
              <w:spacing w:before="0" w:after="0"/>
              <w:jc w:val="both"/>
              <w:rPr>
                <w:i/>
                <w:sz w:val="26"/>
                <w:szCs w:val="26"/>
                <w:highlight w:val="yellow"/>
              </w:rPr>
            </w:pPr>
            <w:r w:rsidRPr="00C36F1F">
              <w:rPr>
                <w:sz w:val="26"/>
                <w:szCs w:val="26"/>
              </w:rPr>
              <w:t>Iemesli, kādēļ netika nodrošināta sabiedrības līdzdalība</w:t>
            </w:r>
          </w:p>
        </w:tc>
        <w:tc>
          <w:tcPr>
            <w:tcW w:w="7239" w:type="dxa"/>
          </w:tcPr>
          <w:p w:rsidR="00207CA2" w:rsidRPr="00C36F1F" w:rsidRDefault="008715DB" w:rsidP="00BC44B7">
            <w:pPr>
              <w:pStyle w:val="FootnoteText"/>
              <w:jc w:val="both"/>
              <w:rPr>
                <w:sz w:val="26"/>
                <w:szCs w:val="26"/>
              </w:rPr>
            </w:pPr>
            <w:r w:rsidRPr="00C36F1F">
              <w:rPr>
                <w:color w:val="FF0000"/>
                <w:sz w:val="26"/>
                <w:szCs w:val="26"/>
              </w:rPr>
              <w:t xml:space="preserve"> </w:t>
            </w:r>
            <w:r w:rsidR="008E53DE">
              <w:t xml:space="preserve"> </w:t>
            </w:r>
            <w:r w:rsidR="008E53DE" w:rsidRPr="008E53DE">
              <w:rPr>
                <w:sz w:val="26"/>
                <w:szCs w:val="26"/>
              </w:rPr>
              <w:t>Sabiedrības līdzdalība projekta izstrādē nebija nepieciešama, jo likumprojektā ietvertais regulējums tieši neskar sabiedrību.</w:t>
            </w:r>
          </w:p>
        </w:tc>
      </w:tr>
      <w:tr w:rsidR="00207CA2" w:rsidRPr="00C36F1F" w:rsidTr="00261D16">
        <w:tc>
          <w:tcPr>
            <w:tcW w:w="781" w:type="dxa"/>
          </w:tcPr>
          <w:p w:rsidR="00207CA2" w:rsidRPr="00C36F1F" w:rsidRDefault="00207CA2" w:rsidP="00FB2F9B">
            <w:pPr>
              <w:pStyle w:val="naiskr"/>
              <w:spacing w:before="0" w:after="0"/>
              <w:jc w:val="both"/>
              <w:rPr>
                <w:sz w:val="26"/>
                <w:szCs w:val="26"/>
              </w:rPr>
            </w:pPr>
            <w:r w:rsidRPr="00C36F1F">
              <w:rPr>
                <w:sz w:val="26"/>
                <w:szCs w:val="26"/>
              </w:rPr>
              <w:t>7.</w:t>
            </w:r>
          </w:p>
        </w:tc>
        <w:tc>
          <w:tcPr>
            <w:tcW w:w="1918" w:type="dxa"/>
          </w:tcPr>
          <w:p w:rsidR="00207CA2" w:rsidRPr="00C36F1F" w:rsidRDefault="00207CA2" w:rsidP="00FB2F9B">
            <w:pPr>
              <w:pStyle w:val="naiskr"/>
              <w:spacing w:before="0" w:after="0"/>
              <w:jc w:val="both"/>
              <w:rPr>
                <w:sz w:val="26"/>
                <w:szCs w:val="26"/>
              </w:rPr>
            </w:pPr>
            <w:r w:rsidRPr="00C36F1F">
              <w:rPr>
                <w:sz w:val="26"/>
                <w:szCs w:val="26"/>
              </w:rPr>
              <w:t>Cita informācija</w:t>
            </w:r>
          </w:p>
        </w:tc>
        <w:tc>
          <w:tcPr>
            <w:tcW w:w="7239" w:type="dxa"/>
          </w:tcPr>
          <w:p w:rsidR="00207CA2" w:rsidRPr="00C36F1F" w:rsidRDefault="00207CA2" w:rsidP="00FB2F9B">
            <w:pPr>
              <w:pStyle w:val="naiskr"/>
              <w:spacing w:before="0" w:after="0"/>
              <w:jc w:val="both"/>
              <w:rPr>
                <w:sz w:val="26"/>
                <w:szCs w:val="26"/>
              </w:rPr>
            </w:pPr>
            <w:r w:rsidRPr="00C36F1F">
              <w:rPr>
                <w:sz w:val="26"/>
                <w:szCs w:val="26"/>
              </w:rPr>
              <w:t xml:space="preserve">Nav. </w:t>
            </w:r>
          </w:p>
        </w:tc>
      </w:tr>
    </w:tbl>
    <w:p w:rsidR="00391141" w:rsidRDefault="00391141" w:rsidP="00391141">
      <w:pPr>
        <w:pStyle w:val="naisf"/>
        <w:spacing w:before="0" w:after="0"/>
        <w:rPr>
          <w:sz w:val="28"/>
          <w:szCs w:val="28"/>
        </w:rPr>
      </w:pPr>
    </w:p>
    <w:tbl>
      <w:tblPr>
        <w:tblpPr w:leftFromText="180" w:rightFromText="180" w:vertAnchor="text" w:horzAnchor="margin" w:tblpXSpec="center" w:tblpY="149"/>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3300"/>
        <w:gridCol w:w="5796"/>
      </w:tblGrid>
      <w:tr w:rsidR="003F2670" w:rsidRPr="00391141" w:rsidTr="00E41BBB">
        <w:tc>
          <w:tcPr>
            <w:tcW w:w="9629" w:type="dxa"/>
            <w:gridSpan w:val="3"/>
            <w:vAlign w:val="center"/>
          </w:tcPr>
          <w:p w:rsidR="003F2670" w:rsidRPr="00391141" w:rsidRDefault="003F2670" w:rsidP="00281924">
            <w:pPr>
              <w:pStyle w:val="naisnod"/>
              <w:spacing w:before="0" w:after="0"/>
              <w:rPr>
                <w:sz w:val="26"/>
                <w:szCs w:val="26"/>
              </w:rPr>
            </w:pPr>
            <w:r w:rsidRPr="00391141">
              <w:rPr>
                <w:sz w:val="26"/>
                <w:szCs w:val="26"/>
              </w:rPr>
              <w:t>II. Tiesību akta projekta ietekme uz sabiedrību</w:t>
            </w:r>
          </w:p>
        </w:tc>
      </w:tr>
      <w:tr w:rsidR="003F2670" w:rsidRPr="00391141" w:rsidTr="00C76338">
        <w:trPr>
          <w:trHeight w:val="1131"/>
        </w:trPr>
        <w:tc>
          <w:tcPr>
            <w:tcW w:w="533" w:type="dxa"/>
          </w:tcPr>
          <w:p w:rsidR="003F2670" w:rsidRPr="00391141" w:rsidRDefault="003F2670" w:rsidP="00281924">
            <w:pPr>
              <w:pStyle w:val="naiskr"/>
              <w:spacing w:before="0" w:after="0"/>
              <w:rPr>
                <w:sz w:val="26"/>
                <w:szCs w:val="26"/>
              </w:rPr>
            </w:pPr>
            <w:r w:rsidRPr="00391141">
              <w:rPr>
                <w:sz w:val="26"/>
                <w:szCs w:val="26"/>
              </w:rPr>
              <w:t>1.</w:t>
            </w:r>
          </w:p>
        </w:tc>
        <w:tc>
          <w:tcPr>
            <w:tcW w:w="3300" w:type="dxa"/>
          </w:tcPr>
          <w:p w:rsidR="003F2670" w:rsidRPr="00391141" w:rsidRDefault="003F2670" w:rsidP="00281924">
            <w:pPr>
              <w:pStyle w:val="naiskr"/>
              <w:spacing w:before="0" w:after="0"/>
              <w:rPr>
                <w:sz w:val="26"/>
                <w:szCs w:val="26"/>
              </w:rPr>
            </w:pPr>
            <w:r w:rsidRPr="00391141">
              <w:rPr>
                <w:sz w:val="26"/>
                <w:szCs w:val="26"/>
              </w:rPr>
              <w:t>Sabiedrības mērķgrupa</w:t>
            </w:r>
          </w:p>
        </w:tc>
        <w:tc>
          <w:tcPr>
            <w:tcW w:w="5796" w:type="dxa"/>
          </w:tcPr>
          <w:p w:rsidR="002B1867" w:rsidRDefault="003F2670" w:rsidP="00F048B1">
            <w:pPr>
              <w:pStyle w:val="naiskr"/>
              <w:spacing w:before="0" w:after="0"/>
              <w:ind w:left="17" w:firstLine="142"/>
              <w:jc w:val="both"/>
              <w:rPr>
                <w:sz w:val="26"/>
                <w:szCs w:val="26"/>
              </w:rPr>
            </w:pPr>
            <w:r w:rsidRPr="00391141">
              <w:rPr>
                <w:sz w:val="26"/>
                <w:szCs w:val="26"/>
              </w:rPr>
              <w:t>Valsts un pašvaldību institū</w:t>
            </w:r>
            <w:r w:rsidR="002B1867">
              <w:rPr>
                <w:sz w:val="26"/>
                <w:szCs w:val="26"/>
              </w:rPr>
              <w:t xml:space="preserve">ciju amatpersonas un darbinieki, </w:t>
            </w:r>
            <w:r w:rsidR="002B1867" w:rsidRPr="008E53DE">
              <w:rPr>
                <w:sz w:val="26"/>
                <w:szCs w:val="26"/>
              </w:rPr>
              <w:t xml:space="preserve"> tajā skaitā:</w:t>
            </w:r>
          </w:p>
          <w:p w:rsidR="008E53DE" w:rsidRPr="008E53DE" w:rsidRDefault="008E53DE" w:rsidP="00F048B1">
            <w:pPr>
              <w:pStyle w:val="naiskr"/>
              <w:spacing w:before="0" w:after="0"/>
              <w:ind w:left="17" w:firstLine="142"/>
              <w:jc w:val="both"/>
              <w:rPr>
                <w:sz w:val="26"/>
                <w:szCs w:val="26"/>
              </w:rPr>
            </w:pPr>
            <w:r w:rsidRPr="008E53DE">
              <w:rPr>
                <w:sz w:val="26"/>
                <w:szCs w:val="26"/>
              </w:rPr>
              <w:t>- Iekšlietu ministrijas sistēmas iestāžu amatpersonas un ierēdņu amatos pārceltās amatpersonas (uz noteiktu laiku, uz nenoteiktu laiku) – 11 700 (skaits bez operatīvo darbību veicošām amatpersonām);</w:t>
            </w:r>
          </w:p>
          <w:p w:rsidR="008E53DE" w:rsidRPr="00391141" w:rsidRDefault="008E53DE" w:rsidP="00F048B1">
            <w:pPr>
              <w:pStyle w:val="naiskr"/>
              <w:spacing w:before="0" w:after="0"/>
              <w:ind w:left="17" w:firstLine="142"/>
              <w:jc w:val="both"/>
              <w:rPr>
                <w:sz w:val="26"/>
                <w:szCs w:val="26"/>
              </w:rPr>
            </w:pPr>
            <w:r w:rsidRPr="008E53DE">
              <w:rPr>
                <w:sz w:val="26"/>
                <w:szCs w:val="26"/>
              </w:rPr>
              <w:t>- Tieslietu ministrijas padotībā esošās Ieslodzījuma vietu pārvaldes amatpersonas – 2 443.</w:t>
            </w:r>
          </w:p>
        </w:tc>
      </w:tr>
      <w:tr w:rsidR="003F2670" w:rsidRPr="00391141" w:rsidTr="00C76338">
        <w:trPr>
          <w:trHeight w:val="523"/>
        </w:trPr>
        <w:tc>
          <w:tcPr>
            <w:tcW w:w="533" w:type="dxa"/>
          </w:tcPr>
          <w:p w:rsidR="003F2670" w:rsidRPr="00391141" w:rsidRDefault="003F2670" w:rsidP="00281924">
            <w:pPr>
              <w:pStyle w:val="naiskr"/>
              <w:spacing w:before="0" w:after="0"/>
              <w:rPr>
                <w:sz w:val="26"/>
                <w:szCs w:val="26"/>
              </w:rPr>
            </w:pPr>
            <w:r w:rsidRPr="00391141">
              <w:rPr>
                <w:sz w:val="26"/>
                <w:szCs w:val="26"/>
              </w:rPr>
              <w:t>2.</w:t>
            </w:r>
          </w:p>
        </w:tc>
        <w:tc>
          <w:tcPr>
            <w:tcW w:w="3300" w:type="dxa"/>
          </w:tcPr>
          <w:p w:rsidR="003F2670" w:rsidRPr="00391141" w:rsidRDefault="003F2670" w:rsidP="00281924">
            <w:pPr>
              <w:pStyle w:val="naiskr"/>
              <w:spacing w:before="0" w:after="0"/>
              <w:rPr>
                <w:sz w:val="26"/>
                <w:szCs w:val="26"/>
              </w:rPr>
            </w:pPr>
            <w:r w:rsidRPr="00391141">
              <w:rPr>
                <w:sz w:val="26"/>
                <w:szCs w:val="26"/>
              </w:rPr>
              <w:t>Citas sabiedrības grupas (bez mērķgrupas), kuras tiesiskais regulējums arī ietekmē vai varētu ietekmēt</w:t>
            </w:r>
          </w:p>
        </w:tc>
        <w:tc>
          <w:tcPr>
            <w:tcW w:w="5796" w:type="dxa"/>
          </w:tcPr>
          <w:p w:rsidR="003F2670" w:rsidRPr="00391141" w:rsidRDefault="003F2670" w:rsidP="00281924">
            <w:pPr>
              <w:pStyle w:val="naiskr"/>
              <w:jc w:val="both"/>
              <w:rPr>
                <w:sz w:val="26"/>
                <w:szCs w:val="26"/>
              </w:rPr>
            </w:pPr>
            <w:r w:rsidRPr="00391141">
              <w:rPr>
                <w:sz w:val="26"/>
                <w:szCs w:val="26"/>
              </w:rPr>
              <w:t>Projekts šo jomu neskar.</w:t>
            </w:r>
          </w:p>
        </w:tc>
      </w:tr>
      <w:tr w:rsidR="003F2670" w:rsidRPr="00391141" w:rsidTr="00C76338">
        <w:trPr>
          <w:trHeight w:val="517"/>
        </w:trPr>
        <w:tc>
          <w:tcPr>
            <w:tcW w:w="533" w:type="dxa"/>
          </w:tcPr>
          <w:p w:rsidR="003F2670" w:rsidRPr="00391141" w:rsidRDefault="003F2670" w:rsidP="00281924">
            <w:pPr>
              <w:pStyle w:val="naiskr"/>
              <w:spacing w:before="0" w:after="0"/>
              <w:rPr>
                <w:sz w:val="26"/>
                <w:szCs w:val="26"/>
              </w:rPr>
            </w:pPr>
            <w:r w:rsidRPr="00391141">
              <w:rPr>
                <w:sz w:val="26"/>
                <w:szCs w:val="26"/>
              </w:rPr>
              <w:t>3.</w:t>
            </w:r>
          </w:p>
        </w:tc>
        <w:tc>
          <w:tcPr>
            <w:tcW w:w="3300" w:type="dxa"/>
          </w:tcPr>
          <w:p w:rsidR="003F2670" w:rsidRPr="00391141" w:rsidRDefault="003F2670" w:rsidP="00281924">
            <w:pPr>
              <w:pStyle w:val="naiskr"/>
              <w:spacing w:before="0" w:after="0"/>
              <w:rPr>
                <w:sz w:val="26"/>
                <w:szCs w:val="26"/>
              </w:rPr>
            </w:pPr>
            <w:r w:rsidRPr="00391141">
              <w:rPr>
                <w:sz w:val="26"/>
                <w:szCs w:val="26"/>
              </w:rPr>
              <w:t>Tiesiskā regulējuma finansiālā ietekme</w:t>
            </w:r>
          </w:p>
        </w:tc>
        <w:tc>
          <w:tcPr>
            <w:tcW w:w="5796" w:type="dxa"/>
          </w:tcPr>
          <w:p w:rsidR="003F2670" w:rsidRPr="00391141" w:rsidRDefault="00FE14F4" w:rsidP="00281924">
            <w:pPr>
              <w:pStyle w:val="naiskr"/>
              <w:jc w:val="both"/>
              <w:rPr>
                <w:sz w:val="26"/>
                <w:szCs w:val="26"/>
              </w:rPr>
            </w:pPr>
            <w:r w:rsidRPr="00FE14F4">
              <w:rPr>
                <w:sz w:val="26"/>
                <w:szCs w:val="26"/>
              </w:rPr>
              <w:t>Atspoguļota šīs anotācijas III sadaļā.</w:t>
            </w:r>
          </w:p>
        </w:tc>
      </w:tr>
      <w:tr w:rsidR="003F2670" w:rsidRPr="00391141" w:rsidTr="00C76338">
        <w:trPr>
          <w:trHeight w:val="517"/>
        </w:trPr>
        <w:tc>
          <w:tcPr>
            <w:tcW w:w="533" w:type="dxa"/>
          </w:tcPr>
          <w:p w:rsidR="003F2670" w:rsidRPr="00391141" w:rsidRDefault="003F2670" w:rsidP="00281924">
            <w:pPr>
              <w:pStyle w:val="naiskr"/>
              <w:spacing w:before="0" w:after="0"/>
              <w:rPr>
                <w:sz w:val="26"/>
                <w:szCs w:val="26"/>
              </w:rPr>
            </w:pPr>
            <w:r w:rsidRPr="00391141">
              <w:rPr>
                <w:sz w:val="26"/>
                <w:szCs w:val="26"/>
              </w:rPr>
              <w:t>4.</w:t>
            </w:r>
          </w:p>
        </w:tc>
        <w:tc>
          <w:tcPr>
            <w:tcW w:w="3300" w:type="dxa"/>
          </w:tcPr>
          <w:p w:rsidR="003F2670" w:rsidRPr="00391141" w:rsidRDefault="003F2670" w:rsidP="00281924">
            <w:pPr>
              <w:pStyle w:val="naiskr"/>
              <w:spacing w:before="0" w:after="0"/>
              <w:rPr>
                <w:sz w:val="26"/>
                <w:szCs w:val="26"/>
              </w:rPr>
            </w:pPr>
            <w:r w:rsidRPr="00391141">
              <w:rPr>
                <w:sz w:val="26"/>
                <w:szCs w:val="26"/>
              </w:rPr>
              <w:t>Tiesiskā regulējuma nefinansiālā ietekme</w:t>
            </w:r>
          </w:p>
        </w:tc>
        <w:tc>
          <w:tcPr>
            <w:tcW w:w="5796" w:type="dxa"/>
          </w:tcPr>
          <w:p w:rsidR="003F2670" w:rsidRPr="00391141" w:rsidRDefault="00FE14F4" w:rsidP="00823E65">
            <w:pPr>
              <w:pStyle w:val="naiskr"/>
              <w:spacing w:before="0" w:after="0"/>
              <w:jc w:val="both"/>
              <w:rPr>
                <w:sz w:val="26"/>
                <w:szCs w:val="26"/>
              </w:rPr>
            </w:pPr>
            <w:r w:rsidRPr="00FE14F4">
              <w:rPr>
                <w:sz w:val="26"/>
                <w:szCs w:val="26"/>
              </w:rPr>
              <w:t>Palielinot atlīdzību, palielinās iespēja, ka amatpersonas turpinās dienestu un vakanto amata vietu skaita pieaugums tiks apturēts.</w:t>
            </w:r>
          </w:p>
        </w:tc>
      </w:tr>
      <w:tr w:rsidR="003F2670" w:rsidRPr="00391141" w:rsidTr="00C76338">
        <w:trPr>
          <w:trHeight w:val="531"/>
        </w:trPr>
        <w:tc>
          <w:tcPr>
            <w:tcW w:w="533" w:type="dxa"/>
          </w:tcPr>
          <w:p w:rsidR="003F2670" w:rsidRPr="00391141" w:rsidRDefault="003F2670" w:rsidP="00281924">
            <w:pPr>
              <w:pStyle w:val="naiskr"/>
              <w:spacing w:before="0" w:after="0"/>
              <w:rPr>
                <w:sz w:val="26"/>
                <w:szCs w:val="26"/>
              </w:rPr>
            </w:pPr>
            <w:r w:rsidRPr="00391141">
              <w:rPr>
                <w:sz w:val="26"/>
                <w:szCs w:val="26"/>
              </w:rPr>
              <w:t>5.</w:t>
            </w:r>
          </w:p>
        </w:tc>
        <w:tc>
          <w:tcPr>
            <w:tcW w:w="3300" w:type="dxa"/>
          </w:tcPr>
          <w:p w:rsidR="003F2670" w:rsidRPr="00391141" w:rsidRDefault="003F2670" w:rsidP="00281924">
            <w:pPr>
              <w:pStyle w:val="naiskr"/>
              <w:spacing w:before="0" w:after="0"/>
              <w:rPr>
                <w:sz w:val="26"/>
                <w:szCs w:val="26"/>
              </w:rPr>
            </w:pPr>
            <w:r w:rsidRPr="00391141">
              <w:rPr>
                <w:sz w:val="26"/>
                <w:szCs w:val="26"/>
              </w:rPr>
              <w:t>Administratīvās procedūras raksturojums</w:t>
            </w:r>
          </w:p>
        </w:tc>
        <w:tc>
          <w:tcPr>
            <w:tcW w:w="5796" w:type="dxa"/>
          </w:tcPr>
          <w:p w:rsidR="003F2670" w:rsidRPr="00391141" w:rsidRDefault="003F2670" w:rsidP="00281924">
            <w:pPr>
              <w:pStyle w:val="naiskr"/>
              <w:spacing w:before="0" w:after="0"/>
              <w:jc w:val="both"/>
              <w:rPr>
                <w:sz w:val="26"/>
                <w:szCs w:val="26"/>
              </w:rPr>
            </w:pPr>
            <w:r w:rsidRPr="00391141">
              <w:rPr>
                <w:sz w:val="26"/>
                <w:szCs w:val="26"/>
              </w:rPr>
              <w:t>Projekts šo jomu neskar.</w:t>
            </w:r>
          </w:p>
        </w:tc>
      </w:tr>
      <w:tr w:rsidR="003F2670" w:rsidRPr="00391141" w:rsidTr="00C76338">
        <w:trPr>
          <w:trHeight w:val="357"/>
        </w:trPr>
        <w:tc>
          <w:tcPr>
            <w:tcW w:w="533" w:type="dxa"/>
          </w:tcPr>
          <w:p w:rsidR="003F2670" w:rsidRPr="00391141" w:rsidRDefault="003F2670" w:rsidP="00281924">
            <w:pPr>
              <w:pStyle w:val="naiskr"/>
              <w:spacing w:before="0" w:after="0"/>
              <w:rPr>
                <w:sz w:val="26"/>
                <w:szCs w:val="26"/>
              </w:rPr>
            </w:pPr>
            <w:r w:rsidRPr="00391141">
              <w:rPr>
                <w:sz w:val="26"/>
                <w:szCs w:val="26"/>
              </w:rPr>
              <w:t>6.</w:t>
            </w:r>
          </w:p>
        </w:tc>
        <w:tc>
          <w:tcPr>
            <w:tcW w:w="3300" w:type="dxa"/>
          </w:tcPr>
          <w:p w:rsidR="003F2670" w:rsidRPr="00391141" w:rsidRDefault="003F2670" w:rsidP="00281924">
            <w:pPr>
              <w:pStyle w:val="naiskr"/>
              <w:spacing w:before="0" w:after="0"/>
              <w:rPr>
                <w:sz w:val="26"/>
                <w:szCs w:val="26"/>
              </w:rPr>
            </w:pPr>
            <w:r w:rsidRPr="00391141">
              <w:rPr>
                <w:sz w:val="26"/>
                <w:szCs w:val="26"/>
              </w:rPr>
              <w:t>Administratīvo izmaksu monetārs novērtējums</w:t>
            </w:r>
          </w:p>
        </w:tc>
        <w:tc>
          <w:tcPr>
            <w:tcW w:w="5796" w:type="dxa"/>
          </w:tcPr>
          <w:p w:rsidR="003F2670" w:rsidRPr="00391141" w:rsidRDefault="003F2670" w:rsidP="00281924">
            <w:pPr>
              <w:pStyle w:val="naiskr"/>
              <w:spacing w:before="0" w:after="0"/>
              <w:rPr>
                <w:sz w:val="26"/>
                <w:szCs w:val="26"/>
              </w:rPr>
            </w:pPr>
            <w:r w:rsidRPr="00391141">
              <w:rPr>
                <w:sz w:val="26"/>
                <w:szCs w:val="26"/>
              </w:rPr>
              <w:t>Projekts šo jomu neskar.</w:t>
            </w:r>
          </w:p>
        </w:tc>
      </w:tr>
      <w:tr w:rsidR="003F2670" w:rsidRPr="00391141" w:rsidTr="00C76338">
        <w:tc>
          <w:tcPr>
            <w:tcW w:w="533" w:type="dxa"/>
          </w:tcPr>
          <w:p w:rsidR="003F2670" w:rsidRPr="00391141" w:rsidRDefault="003F2670" w:rsidP="00281924">
            <w:pPr>
              <w:pStyle w:val="naiskr"/>
              <w:spacing w:before="0" w:after="0"/>
              <w:rPr>
                <w:sz w:val="26"/>
                <w:szCs w:val="26"/>
              </w:rPr>
            </w:pPr>
            <w:r w:rsidRPr="00391141">
              <w:rPr>
                <w:sz w:val="26"/>
                <w:szCs w:val="26"/>
              </w:rPr>
              <w:t>7.</w:t>
            </w:r>
          </w:p>
        </w:tc>
        <w:tc>
          <w:tcPr>
            <w:tcW w:w="3300" w:type="dxa"/>
          </w:tcPr>
          <w:p w:rsidR="003F2670" w:rsidRPr="00391141" w:rsidRDefault="003F2670" w:rsidP="00281924">
            <w:pPr>
              <w:pStyle w:val="naiskr"/>
              <w:spacing w:before="0" w:after="0"/>
              <w:rPr>
                <w:sz w:val="26"/>
                <w:szCs w:val="26"/>
              </w:rPr>
            </w:pPr>
            <w:r w:rsidRPr="00391141">
              <w:rPr>
                <w:sz w:val="26"/>
                <w:szCs w:val="26"/>
              </w:rPr>
              <w:t>Cita informācija</w:t>
            </w:r>
          </w:p>
        </w:tc>
        <w:tc>
          <w:tcPr>
            <w:tcW w:w="5796" w:type="dxa"/>
          </w:tcPr>
          <w:p w:rsidR="003F2670" w:rsidRPr="00391141" w:rsidRDefault="003F2670" w:rsidP="00281924">
            <w:pPr>
              <w:pStyle w:val="naiskr"/>
              <w:spacing w:before="0" w:after="0"/>
              <w:rPr>
                <w:sz w:val="26"/>
                <w:szCs w:val="26"/>
              </w:rPr>
            </w:pPr>
            <w:r w:rsidRPr="00391141">
              <w:rPr>
                <w:sz w:val="26"/>
                <w:szCs w:val="26"/>
              </w:rPr>
              <w:t>Nav.</w:t>
            </w:r>
          </w:p>
        </w:tc>
      </w:tr>
    </w:tbl>
    <w:p w:rsidR="003F2670" w:rsidRDefault="003F2670" w:rsidP="00391141">
      <w:pPr>
        <w:pStyle w:val="naisf"/>
        <w:spacing w:before="0" w:after="0"/>
        <w:rPr>
          <w:sz w:val="28"/>
          <w:szCs w:val="28"/>
        </w:rPr>
      </w:pPr>
    </w:p>
    <w:tbl>
      <w:tblPr>
        <w:tblW w:w="9819" w:type="dxa"/>
        <w:jc w:val="center"/>
        <w:tblLayout w:type="fixed"/>
        <w:tblLook w:val="01E0" w:firstRow="1" w:lastRow="1" w:firstColumn="1" w:lastColumn="1" w:noHBand="0" w:noVBand="0"/>
      </w:tblPr>
      <w:tblGrid>
        <w:gridCol w:w="261"/>
        <w:gridCol w:w="2027"/>
        <w:gridCol w:w="601"/>
        <w:gridCol w:w="1371"/>
        <w:gridCol w:w="1470"/>
        <w:gridCol w:w="1672"/>
        <w:gridCol w:w="1294"/>
        <w:gridCol w:w="764"/>
        <w:gridCol w:w="359"/>
      </w:tblGrid>
      <w:tr w:rsidR="00391141" w:rsidRPr="003037BE" w:rsidTr="005424AF">
        <w:trPr>
          <w:gridBefore w:val="1"/>
          <w:wBefore w:w="261" w:type="dxa"/>
          <w:trHeight w:val="652"/>
          <w:jc w:val="center"/>
        </w:trPr>
        <w:tc>
          <w:tcPr>
            <w:tcW w:w="9558" w:type="dxa"/>
            <w:gridSpan w:val="8"/>
            <w:tcBorders>
              <w:top w:val="single" w:sz="4" w:space="0" w:color="auto"/>
              <w:left w:val="single" w:sz="4" w:space="0" w:color="auto"/>
              <w:bottom w:val="single" w:sz="4" w:space="0" w:color="auto"/>
              <w:right w:val="single" w:sz="4" w:space="0" w:color="auto"/>
            </w:tcBorders>
          </w:tcPr>
          <w:p w:rsidR="00391141" w:rsidRPr="003037BE" w:rsidRDefault="00391141" w:rsidP="00520A4A">
            <w:pPr>
              <w:pStyle w:val="naisnod"/>
              <w:spacing w:before="0" w:after="0"/>
              <w:rPr>
                <w:i/>
                <w:szCs w:val="26"/>
              </w:rPr>
            </w:pPr>
            <w:r w:rsidRPr="003037BE">
              <w:rPr>
                <w:szCs w:val="26"/>
              </w:rPr>
              <w:br w:type="page"/>
              <w:t>III. Tiesību akta projekta ietekme uz valsts budžetu un pašvaldību budžetiem</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val="restart"/>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b/>
                <w:bCs/>
                <w:sz w:val="24"/>
                <w:szCs w:val="24"/>
              </w:rPr>
            </w:pPr>
            <w:r w:rsidRPr="00756FEB">
              <w:rPr>
                <w:rFonts w:ascii="Times New Roman" w:hAnsi="Times New Roman"/>
                <w:b/>
                <w:bCs/>
                <w:sz w:val="24"/>
                <w:szCs w:val="24"/>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391141" w:rsidRPr="00756FEB" w:rsidRDefault="00391141" w:rsidP="00391141">
            <w:pPr>
              <w:pStyle w:val="NormalWeb"/>
              <w:jc w:val="center"/>
              <w:rPr>
                <w:rFonts w:ascii="Times New Roman" w:hAnsi="Times New Roman"/>
                <w:b/>
                <w:bCs/>
                <w:sz w:val="24"/>
                <w:szCs w:val="24"/>
              </w:rPr>
            </w:pPr>
            <w:r w:rsidRPr="00756FEB">
              <w:rPr>
                <w:rFonts w:ascii="Times New Roman" w:hAnsi="Times New Roman"/>
                <w:b/>
                <w:bCs/>
                <w:sz w:val="24"/>
                <w:szCs w:val="24"/>
              </w:rPr>
              <w:t>2013. gads</w:t>
            </w:r>
          </w:p>
        </w:tc>
        <w:tc>
          <w:tcPr>
            <w:tcW w:w="3730" w:type="dxa"/>
            <w:gridSpan w:val="3"/>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756FEB">
                <w:rPr>
                  <w:rFonts w:ascii="Times New Roman" w:hAnsi="Times New Roman"/>
                  <w:sz w:val="24"/>
                  <w:szCs w:val="24"/>
                </w:rPr>
                <w:t>. latu</w:t>
              </w:r>
            </w:smartTag>
            <w:r w:rsidRPr="00756FEB">
              <w:rPr>
                <w:rFonts w:ascii="Times New Roman" w:hAnsi="Times New Roman"/>
                <w:sz w:val="24"/>
                <w:szCs w:val="24"/>
              </w:rPr>
              <w:t>)</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rPr>
                <w:b/>
                <w:bCs/>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rPr>
                <w:b/>
                <w:bCs/>
              </w:rPr>
            </w:pP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391141">
            <w:pPr>
              <w:pStyle w:val="NormalWeb"/>
              <w:jc w:val="center"/>
              <w:rPr>
                <w:rFonts w:ascii="Times New Roman" w:hAnsi="Times New Roman"/>
                <w:b/>
                <w:bCs/>
                <w:sz w:val="24"/>
                <w:szCs w:val="24"/>
              </w:rPr>
            </w:pPr>
            <w:r w:rsidRPr="00756FEB">
              <w:rPr>
                <w:rFonts w:ascii="Times New Roman" w:hAnsi="Times New Roman"/>
                <w:b/>
                <w:bCs/>
                <w:sz w:val="24"/>
                <w:szCs w:val="24"/>
              </w:rPr>
              <w:t>2014</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391141">
            <w:pPr>
              <w:pStyle w:val="NormalWeb"/>
              <w:jc w:val="center"/>
              <w:rPr>
                <w:rFonts w:ascii="Times New Roman" w:hAnsi="Times New Roman"/>
                <w:b/>
                <w:bCs/>
                <w:sz w:val="24"/>
                <w:szCs w:val="24"/>
              </w:rPr>
            </w:pPr>
            <w:r w:rsidRPr="00756FEB">
              <w:rPr>
                <w:rFonts w:ascii="Times New Roman" w:hAnsi="Times New Roman"/>
                <w:b/>
                <w:bCs/>
                <w:sz w:val="24"/>
                <w:szCs w:val="24"/>
              </w:rPr>
              <w:t>2015</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391141">
            <w:pPr>
              <w:pStyle w:val="NormalWeb"/>
              <w:jc w:val="center"/>
              <w:rPr>
                <w:rFonts w:ascii="Times New Roman" w:hAnsi="Times New Roman"/>
                <w:b/>
                <w:bCs/>
                <w:sz w:val="24"/>
                <w:szCs w:val="24"/>
              </w:rPr>
            </w:pPr>
            <w:r w:rsidRPr="00756FEB">
              <w:rPr>
                <w:rFonts w:ascii="Times New Roman" w:hAnsi="Times New Roman"/>
                <w:b/>
                <w:bCs/>
                <w:sz w:val="24"/>
                <w:szCs w:val="24"/>
              </w:rPr>
              <w:t>2016</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rPr>
                <w:b/>
                <w:bCs/>
              </w:rPr>
            </w:pPr>
          </w:p>
        </w:tc>
        <w:tc>
          <w:tcPr>
            <w:tcW w:w="1371"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 xml:space="preserve">Izmaiņas kārtējā gadā, salīdzinot ar budžetu kārtējam </w:t>
            </w:r>
            <w:r w:rsidRPr="00756FEB">
              <w:rPr>
                <w:rFonts w:ascii="Times New Roman" w:hAnsi="Times New Roman"/>
                <w:sz w:val="24"/>
                <w:szCs w:val="24"/>
              </w:rPr>
              <w:lastRenderedPageBreak/>
              <w:t>gadam</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8C48E3">
            <w:pPr>
              <w:pStyle w:val="NormalWeb"/>
              <w:jc w:val="center"/>
              <w:rPr>
                <w:rFonts w:ascii="Times New Roman" w:hAnsi="Times New Roman"/>
                <w:sz w:val="24"/>
                <w:szCs w:val="24"/>
              </w:rPr>
            </w:pPr>
            <w:r w:rsidRPr="00756FEB">
              <w:rPr>
                <w:rFonts w:ascii="Times New Roman" w:hAnsi="Times New Roman"/>
                <w:sz w:val="24"/>
                <w:szCs w:val="24"/>
              </w:rPr>
              <w:lastRenderedPageBreak/>
              <w:t>Izmaiņas, salīdzinot ar kārtējo (201</w:t>
            </w:r>
            <w:r w:rsidR="008C48E3" w:rsidRPr="00756FEB">
              <w:rPr>
                <w:rFonts w:ascii="Times New Roman" w:hAnsi="Times New Roman"/>
                <w:sz w:val="24"/>
                <w:szCs w:val="24"/>
              </w:rPr>
              <w:t>3</w:t>
            </w:r>
            <w:r w:rsidRPr="00756FEB">
              <w:rPr>
                <w:rFonts w:ascii="Times New Roman" w:hAnsi="Times New Roman"/>
                <w:sz w:val="24"/>
                <w:szCs w:val="24"/>
              </w:rPr>
              <w:t>) gadu</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8C48E3">
            <w:pPr>
              <w:pStyle w:val="NormalWeb"/>
              <w:jc w:val="center"/>
              <w:rPr>
                <w:rFonts w:ascii="Times New Roman" w:hAnsi="Times New Roman"/>
                <w:sz w:val="24"/>
                <w:szCs w:val="24"/>
              </w:rPr>
            </w:pPr>
            <w:r w:rsidRPr="00756FEB">
              <w:rPr>
                <w:rFonts w:ascii="Times New Roman" w:hAnsi="Times New Roman"/>
                <w:sz w:val="24"/>
                <w:szCs w:val="24"/>
              </w:rPr>
              <w:t>Izmaiņas, salīdzinot ar kārtējo (201</w:t>
            </w:r>
            <w:r w:rsidR="008C48E3" w:rsidRPr="00756FEB">
              <w:rPr>
                <w:rFonts w:ascii="Times New Roman" w:hAnsi="Times New Roman"/>
                <w:sz w:val="24"/>
                <w:szCs w:val="24"/>
              </w:rPr>
              <w:t>3</w:t>
            </w:r>
            <w:r w:rsidRPr="00756FEB">
              <w:rPr>
                <w:rFonts w:ascii="Times New Roman" w:hAnsi="Times New Roman"/>
                <w:sz w:val="24"/>
                <w:szCs w:val="24"/>
              </w:rPr>
              <w:t>) gadu</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8C48E3">
            <w:pPr>
              <w:pStyle w:val="NormalWeb"/>
              <w:jc w:val="center"/>
              <w:rPr>
                <w:rFonts w:ascii="Times New Roman" w:hAnsi="Times New Roman"/>
                <w:sz w:val="24"/>
                <w:szCs w:val="24"/>
              </w:rPr>
            </w:pPr>
            <w:r w:rsidRPr="00756FEB">
              <w:rPr>
                <w:rFonts w:ascii="Times New Roman" w:hAnsi="Times New Roman"/>
                <w:sz w:val="24"/>
                <w:szCs w:val="24"/>
              </w:rPr>
              <w:t>Izmaiņas, salīdzinot ar kārtēj</w:t>
            </w:r>
            <w:r w:rsidRPr="00756FEB">
              <w:rPr>
                <w:rFonts w:ascii="Times New Roman" w:hAnsi="Times New Roman"/>
                <w:sz w:val="24"/>
                <w:szCs w:val="24"/>
              </w:rPr>
              <w:lastRenderedPageBreak/>
              <w:t>o (201</w:t>
            </w:r>
            <w:r w:rsidR="008C48E3" w:rsidRPr="00756FEB">
              <w:rPr>
                <w:rFonts w:ascii="Times New Roman" w:hAnsi="Times New Roman"/>
                <w:sz w:val="24"/>
                <w:szCs w:val="24"/>
              </w:rPr>
              <w:t>3</w:t>
            </w:r>
            <w:r w:rsidRPr="00756FEB">
              <w:rPr>
                <w:rFonts w:ascii="Times New Roman" w:hAnsi="Times New Roman"/>
                <w:sz w:val="24"/>
                <w:szCs w:val="24"/>
              </w:rPr>
              <w:t>) gadu</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lastRenderedPageBreak/>
              <w:t>1</w:t>
            </w:r>
          </w:p>
        </w:tc>
        <w:tc>
          <w:tcPr>
            <w:tcW w:w="1371"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3</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4</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5</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6</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1. Budžeta ieņēmumi:</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1.3. pašvaldību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2. Budžeta izdevumi:</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rPr>
                <w:highlight w:val="green"/>
              </w:rPr>
            </w:pPr>
            <w:r w:rsidRPr="00756FEB">
              <w:t>0</w:t>
            </w: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rPr>
                <w:highlight w:val="green"/>
              </w:rPr>
            </w:pPr>
            <w:r w:rsidRPr="00756FEB">
              <w:t>0</w:t>
            </w: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val="restart"/>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X</w:t>
            </w: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371" w:type="dxa"/>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371" w:type="dxa"/>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jc w:val="center"/>
              <w:rPr>
                <w:rFonts w:ascii="Times New Roman" w:hAnsi="Times New Roman"/>
                <w:sz w:val="24"/>
                <w:szCs w:val="24"/>
              </w:rPr>
            </w:pPr>
            <w:r w:rsidRPr="00756FEB">
              <w:rPr>
                <w:rFonts w:ascii="Times New Roman" w:hAnsi="Times New Roman"/>
                <w:sz w:val="24"/>
                <w:szCs w:val="24"/>
              </w:rPr>
              <w:t>X</w:t>
            </w:r>
          </w:p>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672"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129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c>
          <w:tcPr>
            <w:tcW w:w="764" w:type="dxa"/>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jc w:val="center"/>
            </w:pPr>
            <w:r w:rsidRPr="00756FEB">
              <w:t>0</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rPr>
                <w:i/>
              </w:rPr>
            </w:pP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rPr>
                <w:i/>
              </w:rPr>
            </w:pP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rPr>
                <w:i/>
              </w:rPr>
            </w:pP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rPr>
                <w:i/>
              </w:rPr>
            </w:pP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blCellSpacing w:w="15" w:type="dxa"/>
        </w:trPr>
        <w:tc>
          <w:tcPr>
            <w:tcW w:w="2889" w:type="dxa"/>
            <w:gridSpan w:val="3"/>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ind w:right="-109"/>
              <w:rPr>
                <w:rFonts w:ascii="Times New Roman" w:hAnsi="Times New Roman"/>
                <w:sz w:val="24"/>
                <w:szCs w:val="24"/>
              </w:rPr>
            </w:pPr>
            <w:r w:rsidRPr="00756FEB">
              <w:rPr>
                <w:rFonts w:ascii="Times New Roman" w:hAnsi="Times New Roman"/>
                <w:sz w:val="24"/>
                <w:szCs w:val="24"/>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391141" w:rsidRPr="00756FEB" w:rsidRDefault="00391141" w:rsidP="00520A4A">
            <w:pPr>
              <w:ind w:right="-109"/>
            </w:pPr>
          </w:p>
        </w:tc>
        <w:tc>
          <w:tcPr>
            <w:tcW w:w="1470"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ind w:right="-109"/>
            </w:pPr>
          </w:p>
        </w:tc>
        <w:tc>
          <w:tcPr>
            <w:tcW w:w="1672"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ind w:right="-109"/>
            </w:pPr>
          </w:p>
        </w:tc>
        <w:tc>
          <w:tcPr>
            <w:tcW w:w="129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ind w:right="-109"/>
            </w:pPr>
          </w:p>
        </w:tc>
        <w:tc>
          <w:tcPr>
            <w:tcW w:w="764" w:type="dxa"/>
            <w:tcBorders>
              <w:top w:val="single" w:sz="4" w:space="0" w:color="auto"/>
              <w:left w:val="single" w:sz="4" w:space="0" w:color="auto"/>
              <w:bottom w:val="single" w:sz="4" w:space="0" w:color="auto"/>
              <w:right w:val="single" w:sz="4" w:space="0" w:color="auto"/>
            </w:tcBorders>
          </w:tcPr>
          <w:p w:rsidR="00391141" w:rsidRPr="00756FEB" w:rsidRDefault="00391141" w:rsidP="00520A4A">
            <w:pPr>
              <w:ind w:right="-109"/>
            </w:pP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rHeight w:val="142"/>
          <w:tblCellSpacing w:w="15" w:type="dxa"/>
        </w:trPr>
        <w:tc>
          <w:tcPr>
            <w:tcW w:w="9460" w:type="dxa"/>
            <w:gridSpan w:val="8"/>
            <w:tcBorders>
              <w:top w:val="single" w:sz="4" w:space="0" w:color="auto"/>
              <w:left w:val="single" w:sz="4" w:space="0" w:color="auto"/>
              <w:bottom w:val="single" w:sz="4" w:space="0" w:color="auto"/>
              <w:right w:val="single" w:sz="4" w:space="0" w:color="auto"/>
            </w:tcBorders>
          </w:tcPr>
          <w:p w:rsidR="00391141" w:rsidRPr="00756FEB" w:rsidRDefault="00391141" w:rsidP="00520A4A">
            <w:pPr>
              <w:ind w:right="-109"/>
            </w:pPr>
            <w:r w:rsidRPr="00756FEB">
              <w:t>6. Detalizēts ieņēmumu un izdevumu aprēķins (ja nepieciešams, detalizētu ieņēmumu un izdevumu aprēķinu var pievienot anotācijas pielikumā):</w:t>
            </w: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rHeight w:val="142"/>
          <w:tblCellSpacing w:w="15" w:type="dxa"/>
        </w:trPr>
        <w:tc>
          <w:tcPr>
            <w:tcW w:w="2288" w:type="dxa"/>
            <w:gridSpan w:val="2"/>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6.1. detalizēts ieņēmumu aprēķins</w:t>
            </w:r>
          </w:p>
        </w:tc>
        <w:tc>
          <w:tcPr>
            <w:tcW w:w="71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1141" w:rsidRPr="00756FEB" w:rsidRDefault="00391141" w:rsidP="00520A4A"/>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rHeight w:val="1093"/>
          <w:tblCellSpacing w:w="15" w:type="dxa"/>
        </w:trPr>
        <w:tc>
          <w:tcPr>
            <w:tcW w:w="2288" w:type="dxa"/>
            <w:gridSpan w:val="2"/>
            <w:tcBorders>
              <w:top w:val="single" w:sz="4" w:space="0" w:color="auto"/>
              <w:left w:val="single" w:sz="4" w:space="0" w:color="auto"/>
              <w:bottom w:val="single" w:sz="4" w:space="0" w:color="auto"/>
              <w:right w:val="single" w:sz="4" w:space="0" w:color="auto"/>
            </w:tcBorders>
          </w:tcPr>
          <w:p w:rsidR="00391141" w:rsidRPr="00756FEB" w:rsidRDefault="00391141" w:rsidP="00520A4A">
            <w:pPr>
              <w:pStyle w:val="NormalWeb"/>
              <w:rPr>
                <w:rFonts w:ascii="Times New Roman" w:hAnsi="Times New Roman"/>
                <w:sz w:val="24"/>
                <w:szCs w:val="24"/>
              </w:rPr>
            </w:pPr>
            <w:r w:rsidRPr="00756FEB">
              <w:rPr>
                <w:rFonts w:ascii="Times New Roman" w:hAnsi="Times New Roman"/>
                <w:sz w:val="24"/>
                <w:szCs w:val="24"/>
              </w:rPr>
              <w:t>6.2. detalizēts izdevumu aprēķins</w:t>
            </w:r>
          </w:p>
        </w:tc>
        <w:tc>
          <w:tcPr>
            <w:tcW w:w="7172"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391141" w:rsidRPr="00756FEB" w:rsidRDefault="00391141" w:rsidP="00520A4A"/>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rHeight w:val="469"/>
          <w:tblCellSpacing w:w="15" w:type="dxa"/>
        </w:trPr>
        <w:tc>
          <w:tcPr>
            <w:tcW w:w="2288" w:type="dxa"/>
            <w:gridSpan w:val="2"/>
            <w:tcBorders>
              <w:top w:val="single" w:sz="4" w:space="0" w:color="auto"/>
              <w:left w:val="single" w:sz="4" w:space="0" w:color="auto"/>
              <w:bottom w:val="single" w:sz="4" w:space="0" w:color="auto"/>
              <w:right w:val="single" w:sz="4" w:space="0" w:color="auto"/>
            </w:tcBorders>
          </w:tcPr>
          <w:p w:rsidR="00391141" w:rsidRPr="00391141" w:rsidRDefault="00391141" w:rsidP="00520A4A">
            <w:pPr>
              <w:pStyle w:val="NormalWeb"/>
              <w:rPr>
                <w:rFonts w:ascii="Times New Roman" w:hAnsi="Times New Roman"/>
                <w:sz w:val="26"/>
                <w:szCs w:val="26"/>
              </w:rPr>
            </w:pPr>
          </w:p>
        </w:tc>
        <w:tc>
          <w:tcPr>
            <w:tcW w:w="7172" w:type="dxa"/>
            <w:gridSpan w:val="6"/>
            <w:vMerge/>
            <w:tcBorders>
              <w:top w:val="single" w:sz="4" w:space="0" w:color="auto"/>
              <w:left w:val="single" w:sz="4" w:space="0" w:color="auto"/>
              <w:bottom w:val="single" w:sz="4" w:space="0" w:color="auto"/>
              <w:right w:val="single" w:sz="4" w:space="0" w:color="auto"/>
            </w:tcBorders>
          </w:tcPr>
          <w:p w:rsidR="00391141" w:rsidRPr="00391141" w:rsidRDefault="00391141" w:rsidP="00520A4A">
            <w:pPr>
              <w:rPr>
                <w:sz w:val="26"/>
                <w:szCs w:val="26"/>
              </w:rPr>
            </w:pPr>
          </w:p>
        </w:tc>
      </w:tr>
      <w:tr w:rsidR="00391141" w:rsidRPr="00391141" w:rsidTr="005424AF">
        <w:tblPrEx>
          <w:jc w:val="left"/>
          <w:tblCellSpacing w:w="15" w:type="dxa"/>
          <w:tblCellMar>
            <w:top w:w="30" w:type="dxa"/>
            <w:left w:w="30" w:type="dxa"/>
            <w:bottom w:w="30" w:type="dxa"/>
            <w:right w:w="30" w:type="dxa"/>
          </w:tblCellMar>
          <w:tblLook w:val="0000" w:firstRow="0" w:lastRow="0" w:firstColumn="0" w:lastColumn="0" w:noHBand="0" w:noVBand="0"/>
        </w:tblPrEx>
        <w:trPr>
          <w:gridAfter w:val="1"/>
          <w:wAfter w:w="359" w:type="dxa"/>
          <w:trHeight w:val="547"/>
          <w:tblCellSpacing w:w="15" w:type="dxa"/>
        </w:trPr>
        <w:tc>
          <w:tcPr>
            <w:tcW w:w="2288" w:type="dxa"/>
            <w:gridSpan w:val="2"/>
            <w:tcBorders>
              <w:top w:val="single" w:sz="4" w:space="0" w:color="auto"/>
              <w:left w:val="single" w:sz="4" w:space="0" w:color="auto"/>
              <w:bottom w:val="single" w:sz="4" w:space="0" w:color="auto"/>
              <w:right w:val="single" w:sz="4" w:space="0" w:color="auto"/>
            </w:tcBorders>
          </w:tcPr>
          <w:p w:rsidR="00391141" w:rsidRPr="00391141" w:rsidRDefault="00391141" w:rsidP="00520A4A">
            <w:pPr>
              <w:pStyle w:val="NormalWeb"/>
              <w:rPr>
                <w:rFonts w:ascii="Times New Roman" w:hAnsi="Times New Roman"/>
                <w:sz w:val="26"/>
                <w:szCs w:val="26"/>
              </w:rPr>
            </w:pPr>
            <w:r w:rsidRPr="00391141">
              <w:rPr>
                <w:rFonts w:ascii="Times New Roman" w:hAnsi="Times New Roman"/>
                <w:sz w:val="26"/>
                <w:szCs w:val="26"/>
              </w:rPr>
              <w:t>7. Cita informācija</w:t>
            </w:r>
          </w:p>
        </w:tc>
        <w:tc>
          <w:tcPr>
            <w:tcW w:w="7172" w:type="dxa"/>
            <w:gridSpan w:val="6"/>
            <w:tcBorders>
              <w:top w:val="single" w:sz="4" w:space="0" w:color="auto"/>
              <w:left w:val="single" w:sz="4" w:space="0" w:color="auto"/>
              <w:bottom w:val="single" w:sz="4" w:space="0" w:color="auto"/>
              <w:right w:val="single" w:sz="4" w:space="0" w:color="auto"/>
            </w:tcBorders>
          </w:tcPr>
          <w:p w:rsidR="00391141" w:rsidRDefault="00391141" w:rsidP="00520A4A">
            <w:pPr>
              <w:jc w:val="both"/>
            </w:pPr>
            <w:r w:rsidRPr="00391141">
              <w:rPr>
                <w:sz w:val="26"/>
                <w:szCs w:val="26"/>
              </w:rPr>
              <w:t xml:space="preserve">Valsts </w:t>
            </w:r>
            <w:r>
              <w:rPr>
                <w:sz w:val="26"/>
                <w:szCs w:val="26"/>
              </w:rPr>
              <w:t>ieņēmumu</w:t>
            </w:r>
            <w:r w:rsidRPr="00391141">
              <w:rPr>
                <w:sz w:val="26"/>
                <w:szCs w:val="26"/>
              </w:rPr>
              <w:t xml:space="preserve"> dienesta Muitas </w:t>
            </w:r>
            <w:proofErr w:type="spellStart"/>
            <w:r w:rsidRPr="00391141">
              <w:rPr>
                <w:sz w:val="26"/>
                <w:szCs w:val="26"/>
              </w:rPr>
              <w:t>kriminālpārvaldē</w:t>
            </w:r>
            <w:proofErr w:type="spellEnd"/>
            <w:r w:rsidRPr="00391141">
              <w:rPr>
                <w:sz w:val="26"/>
                <w:szCs w:val="26"/>
              </w:rPr>
              <w:t xml:space="preserve">, Muitas pārvaldē un Finanšu policijas pārvaldē amatpersonu </w:t>
            </w:r>
            <w:r>
              <w:rPr>
                <w:sz w:val="26"/>
                <w:szCs w:val="26"/>
              </w:rPr>
              <w:t>(</w:t>
            </w:r>
            <w:r w:rsidRPr="00391141">
              <w:rPr>
                <w:sz w:val="26"/>
                <w:szCs w:val="26"/>
              </w:rPr>
              <w:t>1059 ierēdņi ar speciālo dienesta pakāpi</w:t>
            </w:r>
            <w:r>
              <w:rPr>
                <w:sz w:val="26"/>
                <w:szCs w:val="26"/>
              </w:rPr>
              <w:t>)</w:t>
            </w:r>
            <w:r w:rsidRPr="00391141">
              <w:rPr>
                <w:sz w:val="26"/>
                <w:szCs w:val="26"/>
              </w:rPr>
              <w:t xml:space="preserve">, kuras veicot amata pienākumus ir </w:t>
            </w:r>
            <w:r w:rsidRPr="00391141">
              <w:rPr>
                <w:sz w:val="26"/>
                <w:szCs w:val="26"/>
              </w:rPr>
              <w:lastRenderedPageBreak/>
              <w:t>pakļautas dzīvības un veselības apdraudējumam</w:t>
            </w:r>
            <w:r>
              <w:rPr>
                <w:sz w:val="26"/>
                <w:szCs w:val="26"/>
              </w:rPr>
              <w:t>,</w:t>
            </w:r>
            <w:r w:rsidRPr="00391141">
              <w:rPr>
                <w:sz w:val="26"/>
                <w:szCs w:val="26"/>
              </w:rPr>
              <w:t xml:space="preserve"> obligātās veselības apdrošināšanas polišu iegādei 201</w:t>
            </w:r>
            <w:r>
              <w:rPr>
                <w:sz w:val="26"/>
                <w:szCs w:val="26"/>
              </w:rPr>
              <w:t>4</w:t>
            </w:r>
            <w:r w:rsidRPr="00391141">
              <w:rPr>
                <w:sz w:val="26"/>
                <w:szCs w:val="26"/>
              </w:rPr>
              <w:t xml:space="preserve">.gadā papildu nepieciešams 158 850  </w:t>
            </w:r>
            <w:r w:rsidRPr="005C5609">
              <w:rPr>
                <w:sz w:val="26"/>
                <w:szCs w:val="26"/>
              </w:rPr>
              <w:t>lati</w:t>
            </w:r>
            <w:r w:rsidR="00146B23">
              <w:rPr>
                <w:sz w:val="26"/>
                <w:szCs w:val="26"/>
              </w:rPr>
              <w:t xml:space="preserve"> (</w:t>
            </w:r>
            <w:r w:rsidR="00146B23" w:rsidRPr="00146B23">
              <w:rPr>
                <w:sz w:val="26"/>
                <w:szCs w:val="26"/>
              </w:rPr>
              <w:t>226</w:t>
            </w:r>
            <w:r w:rsidR="00146B23">
              <w:rPr>
                <w:sz w:val="26"/>
                <w:szCs w:val="26"/>
              </w:rPr>
              <w:t> </w:t>
            </w:r>
            <w:r w:rsidR="00146B23" w:rsidRPr="00146B23">
              <w:rPr>
                <w:sz w:val="26"/>
                <w:szCs w:val="26"/>
              </w:rPr>
              <w:t>023</w:t>
            </w:r>
            <w:r w:rsidR="00146B23">
              <w:rPr>
                <w:sz w:val="26"/>
                <w:szCs w:val="26"/>
              </w:rPr>
              <w:t xml:space="preserve"> </w:t>
            </w:r>
            <w:proofErr w:type="spellStart"/>
            <w:r w:rsidR="00146B23" w:rsidRPr="00146B23">
              <w:rPr>
                <w:i/>
                <w:sz w:val="26"/>
                <w:szCs w:val="26"/>
              </w:rPr>
              <w:t>euro</w:t>
            </w:r>
            <w:proofErr w:type="spellEnd"/>
            <w:r w:rsidR="00146B23">
              <w:rPr>
                <w:sz w:val="26"/>
                <w:szCs w:val="26"/>
              </w:rPr>
              <w:t>)</w:t>
            </w:r>
            <w:r w:rsidRPr="00391141">
              <w:rPr>
                <w:sz w:val="26"/>
                <w:szCs w:val="26"/>
              </w:rPr>
              <w:t>. Nepieciešamais finansējums ir atbalstīts Ministru kabineta 201</w:t>
            </w:r>
            <w:r>
              <w:rPr>
                <w:sz w:val="26"/>
                <w:szCs w:val="26"/>
              </w:rPr>
              <w:t>3</w:t>
            </w:r>
            <w:r w:rsidRPr="00391141">
              <w:rPr>
                <w:sz w:val="26"/>
                <w:szCs w:val="26"/>
              </w:rPr>
              <w:t xml:space="preserve">.gada </w:t>
            </w:r>
            <w:r>
              <w:rPr>
                <w:sz w:val="26"/>
                <w:szCs w:val="26"/>
              </w:rPr>
              <w:t>27</w:t>
            </w:r>
            <w:r w:rsidRPr="00391141">
              <w:rPr>
                <w:sz w:val="26"/>
                <w:szCs w:val="26"/>
              </w:rPr>
              <w:t>.augusta sēdē</w:t>
            </w:r>
            <w:r w:rsidRPr="005C5609">
              <w:rPr>
                <w:sz w:val="26"/>
                <w:szCs w:val="26"/>
              </w:rPr>
              <w:t>, izskatot jautājumu „</w:t>
            </w:r>
            <w:r w:rsidR="005C5609" w:rsidRPr="005C5609">
              <w:rPr>
                <w:sz w:val="26"/>
                <w:szCs w:val="26"/>
              </w:rPr>
              <w:t>Par valsts budžeta jaunajām politikas iniciatīvām 2014., 2015. un 2016.gadam</w:t>
            </w:r>
            <w:r w:rsidRPr="005C5609">
              <w:rPr>
                <w:sz w:val="26"/>
                <w:szCs w:val="26"/>
              </w:rPr>
              <w:t>”.</w:t>
            </w:r>
            <w:r>
              <w:t xml:space="preserve"> </w:t>
            </w:r>
          </w:p>
          <w:p w:rsidR="00391141" w:rsidRDefault="00391141" w:rsidP="00520A4A">
            <w:pPr>
              <w:jc w:val="both"/>
              <w:rPr>
                <w:sz w:val="26"/>
                <w:szCs w:val="26"/>
              </w:rPr>
            </w:pPr>
          </w:p>
          <w:p w:rsidR="00B22632" w:rsidRDefault="00B22632" w:rsidP="00520A4A">
            <w:pPr>
              <w:jc w:val="both"/>
              <w:rPr>
                <w:sz w:val="26"/>
                <w:szCs w:val="26"/>
              </w:rPr>
            </w:pPr>
            <w:r w:rsidRPr="008204A0">
              <w:rPr>
                <w:bCs/>
                <w:sz w:val="26"/>
                <w:szCs w:val="26"/>
              </w:rPr>
              <w:t>Papildu nepieciešamai</w:t>
            </w:r>
            <w:r w:rsidR="002414AC">
              <w:rPr>
                <w:bCs/>
                <w:sz w:val="26"/>
                <w:szCs w:val="26"/>
              </w:rPr>
              <w:t>s</w:t>
            </w:r>
            <w:r w:rsidRPr="008204A0">
              <w:rPr>
                <w:bCs/>
                <w:sz w:val="26"/>
                <w:szCs w:val="26"/>
              </w:rPr>
              <w:t xml:space="preserve"> finansējums</w:t>
            </w:r>
            <w:r>
              <w:rPr>
                <w:bCs/>
                <w:sz w:val="26"/>
                <w:szCs w:val="26"/>
              </w:rPr>
              <w:t xml:space="preserve"> atlīdzības fondu izlīdzināšanai </w:t>
            </w:r>
            <w:r w:rsidR="001248C6">
              <w:rPr>
                <w:bCs/>
                <w:sz w:val="26"/>
                <w:szCs w:val="26"/>
              </w:rPr>
              <w:t>no valsts budžeta finansētajām institūcijām</w:t>
            </w:r>
            <w:r w:rsidR="002414AC">
              <w:rPr>
                <w:bCs/>
                <w:sz w:val="26"/>
                <w:szCs w:val="26"/>
              </w:rPr>
              <w:t>, tai skaitā  p</w:t>
            </w:r>
            <w:r w:rsidR="002414AC" w:rsidRPr="008204A0">
              <w:rPr>
                <w:bCs/>
                <w:sz w:val="26"/>
                <w:szCs w:val="26"/>
              </w:rPr>
              <w:t>apildu nepieciešamai</w:t>
            </w:r>
            <w:r w:rsidR="002414AC">
              <w:rPr>
                <w:bCs/>
                <w:sz w:val="26"/>
                <w:szCs w:val="26"/>
              </w:rPr>
              <w:t>s</w:t>
            </w:r>
            <w:r w:rsidR="002414AC" w:rsidRPr="008204A0">
              <w:rPr>
                <w:bCs/>
                <w:sz w:val="26"/>
                <w:szCs w:val="26"/>
              </w:rPr>
              <w:t xml:space="preserve"> finansējums minimālās mēneša darba algas paaugstināšanai no 200 līdz 225 latiem ar 2014,gada 1.janvāri</w:t>
            </w:r>
            <w:r w:rsidR="002414AC">
              <w:rPr>
                <w:bCs/>
                <w:sz w:val="26"/>
                <w:szCs w:val="26"/>
              </w:rPr>
              <w:t>, kopā</w:t>
            </w:r>
            <w:r w:rsidR="009B5D92">
              <w:rPr>
                <w:bCs/>
                <w:sz w:val="26"/>
                <w:szCs w:val="26"/>
              </w:rPr>
              <w:t xml:space="preserve"> </w:t>
            </w:r>
            <w:r>
              <w:rPr>
                <w:bCs/>
                <w:sz w:val="26"/>
                <w:szCs w:val="26"/>
              </w:rPr>
              <w:t xml:space="preserve">13,6 </w:t>
            </w:r>
            <w:proofErr w:type="spellStart"/>
            <w:r>
              <w:rPr>
                <w:bCs/>
                <w:sz w:val="26"/>
                <w:szCs w:val="26"/>
              </w:rPr>
              <w:t>milj</w:t>
            </w:r>
            <w:proofErr w:type="spellEnd"/>
            <w:r>
              <w:rPr>
                <w:bCs/>
                <w:sz w:val="26"/>
                <w:szCs w:val="26"/>
              </w:rPr>
              <w:t xml:space="preserve"> </w:t>
            </w:r>
            <w:r w:rsidR="002414AC">
              <w:rPr>
                <w:bCs/>
                <w:sz w:val="26"/>
                <w:szCs w:val="26"/>
              </w:rPr>
              <w:t>latu</w:t>
            </w:r>
            <w:r w:rsidR="00146B23">
              <w:rPr>
                <w:bCs/>
                <w:sz w:val="26"/>
                <w:szCs w:val="26"/>
              </w:rPr>
              <w:t xml:space="preserve"> (19,35 milj. </w:t>
            </w:r>
            <w:proofErr w:type="spellStart"/>
            <w:r w:rsidR="00146B23" w:rsidRPr="00146B23">
              <w:rPr>
                <w:bCs/>
                <w:i/>
                <w:sz w:val="26"/>
                <w:szCs w:val="26"/>
              </w:rPr>
              <w:t>euro</w:t>
            </w:r>
            <w:proofErr w:type="spellEnd"/>
            <w:r w:rsidR="002414AC">
              <w:rPr>
                <w:bCs/>
                <w:sz w:val="26"/>
                <w:szCs w:val="26"/>
              </w:rPr>
              <w:t xml:space="preserve"> </w:t>
            </w:r>
            <w:r w:rsidR="001248C6">
              <w:rPr>
                <w:bCs/>
                <w:sz w:val="26"/>
                <w:szCs w:val="26"/>
              </w:rPr>
              <w:t>(t</w:t>
            </w:r>
            <w:r w:rsidR="002D73EF">
              <w:rPr>
                <w:bCs/>
                <w:sz w:val="26"/>
                <w:szCs w:val="26"/>
              </w:rPr>
              <w:t>.</w:t>
            </w:r>
            <w:r w:rsidR="001248C6">
              <w:rPr>
                <w:bCs/>
                <w:sz w:val="26"/>
                <w:szCs w:val="26"/>
              </w:rPr>
              <w:t>sk. 8,03 milj. latu</w:t>
            </w:r>
            <w:r w:rsidR="00146B23">
              <w:rPr>
                <w:bCs/>
                <w:sz w:val="26"/>
                <w:szCs w:val="26"/>
              </w:rPr>
              <w:t xml:space="preserve"> vai 11,43 milj. </w:t>
            </w:r>
            <w:proofErr w:type="spellStart"/>
            <w:r w:rsidR="00146B23" w:rsidRPr="00146B23">
              <w:rPr>
                <w:bCs/>
                <w:i/>
                <w:sz w:val="26"/>
                <w:szCs w:val="26"/>
              </w:rPr>
              <w:t>euro</w:t>
            </w:r>
            <w:proofErr w:type="spellEnd"/>
            <w:r w:rsidR="00146B23">
              <w:rPr>
                <w:bCs/>
                <w:sz w:val="26"/>
                <w:szCs w:val="26"/>
              </w:rPr>
              <w:t>)</w:t>
            </w:r>
            <w:r w:rsidR="001248C6">
              <w:rPr>
                <w:bCs/>
                <w:sz w:val="26"/>
                <w:szCs w:val="26"/>
              </w:rPr>
              <w:t xml:space="preserve"> </w:t>
            </w:r>
            <w:r w:rsidR="001248C6" w:rsidRPr="008204A0">
              <w:rPr>
                <w:bCs/>
                <w:sz w:val="26"/>
                <w:szCs w:val="26"/>
              </w:rPr>
              <w:t>minimālās mēneša darba algas paaugstināšanai</w:t>
            </w:r>
            <w:r w:rsidR="001248C6">
              <w:rPr>
                <w:bCs/>
                <w:sz w:val="26"/>
                <w:szCs w:val="26"/>
              </w:rPr>
              <w:t xml:space="preserve">) </w:t>
            </w:r>
            <w:r w:rsidRPr="008204A0">
              <w:rPr>
                <w:bCs/>
                <w:sz w:val="26"/>
                <w:szCs w:val="26"/>
              </w:rPr>
              <w:t xml:space="preserve">atbalstīts </w:t>
            </w:r>
            <w:r w:rsidR="002414AC" w:rsidRPr="00391141">
              <w:rPr>
                <w:sz w:val="26"/>
                <w:szCs w:val="26"/>
              </w:rPr>
              <w:t>Ministru kabineta 201</w:t>
            </w:r>
            <w:r w:rsidR="002414AC">
              <w:rPr>
                <w:sz w:val="26"/>
                <w:szCs w:val="26"/>
              </w:rPr>
              <w:t>3</w:t>
            </w:r>
            <w:r w:rsidR="002414AC" w:rsidRPr="00391141">
              <w:rPr>
                <w:sz w:val="26"/>
                <w:szCs w:val="26"/>
              </w:rPr>
              <w:t xml:space="preserve">.gada </w:t>
            </w:r>
            <w:r w:rsidR="002414AC" w:rsidRPr="001248C6">
              <w:rPr>
                <w:sz w:val="26"/>
                <w:szCs w:val="26"/>
              </w:rPr>
              <w:t>30.jūlija sēdē</w:t>
            </w:r>
            <w:r w:rsidR="002414AC">
              <w:rPr>
                <w:sz w:val="26"/>
                <w:szCs w:val="26"/>
              </w:rPr>
              <w:t xml:space="preserve"> (minimālajai algai)</w:t>
            </w:r>
            <w:r w:rsidR="002414AC" w:rsidRPr="005C5609">
              <w:rPr>
                <w:sz w:val="26"/>
                <w:szCs w:val="26"/>
              </w:rPr>
              <w:t xml:space="preserve"> </w:t>
            </w:r>
            <w:r w:rsidR="002414AC">
              <w:rPr>
                <w:sz w:val="26"/>
                <w:szCs w:val="26"/>
              </w:rPr>
              <w:t xml:space="preserve">un </w:t>
            </w:r>
            <w:r w:rsidR="002414AC" w:rsidRPr="00391141">
              <w:rPr>
                <w:sz w:val="26"/>
                <w:szCs w:val="26"/>
              </w:rPr>
              <w:t>201</w:t>
            </w:r>
            <w:r w:rsidR="002414AC">
              <w:rPr>
                <w:sz w:val="26"/>
                <w:szCs w:val="26"/>
              </w:rPr>
              <w:t>3</w:t>
            </w:r>
            <w:r w:rsidR="002414AC" w:rsidRPr="00391141">
              <w:rPr>
                <w:sz w:val="26"/>
                <w:szCs w:val="26"/>
              </w:rPr>
              <w:t xml:space="preserve">.gada </w:t>
            </w:r>
            <w:r w:rsidR="002414AC" w:rsidRPr="001248C6">
              <w:rPr>
                <w:sz w:val="26"/>
                <w:szCs w:val="26"/>
              </w:rPr>
              <w:t>8.augusta sēdē</w:t>
            </w:r>
            <w:r w:rsidR="002414AC">
              <w:rPr>
                <w:sz w:val="26"/>
                <w:szCs w:val="26"/>
              </w:rPr>
              <w:t xml:space="preserve"> (atlīdzība fondu izlīdzināšanai),</w:t>
            </w:r>
            <w:r w:rsidR="002414AC" w:rsidRPr="005C5609">
              <w:rPr>
                <w:sz w:val="26"/>
                <w:szCs w:val="26"/>
              </w:rPr>
              <w:t xml:space="preserve"> izskatot jautājumu „Par valsts budžeta jaunajām politikas iniciatīvām 2014., 2015. un 2016.gadam</w:t>
            </w:r>
            <w:r w:rsidRPr="005C5609">
              <w:rPr>
                <w:sz w:val="26"/>
                <w:szCs w:val="26"/>
              </w:rPr>
              <w:t>.</w:t>
            </w:r>
            <w:r w:rsidR="00470BCA">
              <w:rPr>
                <w:sz w:val="26"/>
                <w:szCs w:val="26"/>
              </w:rPr>
              <w:t>”.</w:t>
            </w:r>
          </w:p>
          <w:p w:rsidR="00FE14F4" w:rsidRPr="00FE14F4" w:rsidRDefault="00FE14F4" w:rsidP="008204A0">
            <w:pPr>
              <w:jc w:val="both"/>
              <w:rPr>
                <w:bCs/>
                <w:sz w:val="26"/>
                <w:szCs w:val="26"/>
              </w:rPr>
            </w:pPr>
          </w:p>
          <w:p w:rsidR="00FE14F4" w:rsidRPr="00FE14F4" w:rsidRDefault="00FE14F4" w:rsidP="00FE14F4">
            <w:pPr>
              <w:jc w:val="both"/>
              <w:rPr>
                <w:sz w:val="26"/>
                <w:szCs w:val="26"/>
              </w:rPr>
            </w:pPr>
            <w:r w:rsidRPr="00FE14F4">
              <w:rPr>
                <w:sz w:val="26"/>
                <w:szCs w:val="26"/>
              </w:rPr>
              <w:t>Saskaņā ar likumu „Par valsts budžetu 201</w:t>
            </w:r>
            <w:r w:rsidR="006A01B8">
              <w:rPr>
                <w:sz w:val="26"/>
                <w:szCs w:val="26"/>
              </w:rPr>
              <w:t>4</w:t>
            </w:r>
            <w:r w:rsidRPr="00FE14F4">
              <w:rPr>
                <w:sz w:val="26"/>
                <w:szCs w:val="26"/>
              </w:rPr>
              <w:t>.gadam” atlīdzībai plānotie izdevumi</w:t>
            </w:r>
            <w:r w:rsidR="006A01B8">
              <w:rPr>
                <w:sz w:val="26"/>
                <w:szCs w:val="26"/>
              </w:rPr>
              <w:t>:</w:t>
            </w:r>
          </w:p>
          <w:p w:rsidR="006A01B8" w:rsidRDefault="006A01B8" w:rsidP="00FE14F4">
            <w:pPr>
              <w:jc w:val="both"/>
              <w:rPr>
                <w:sz w:val="26"/>
                <w:szCs w:val="26"/>
              </w:rPr>
            </w:pPr>
            <w:r>
              <w:rPr>
                <w:sz w:val="26"/>
                <w:szCs w:val="26"/>
              </w:rPr>
              <w:t>Iekšlietu ministrijai</w:t>
            </w:r>
            <w:r w:rsidRPr="006A01B8">
              <w:rPr>
                <w:sz w:val="26"/>
                <w:szCs w:val="26"/>
              </w:rPr>
              <w:t xml:space="preserve"> samaksai par virsstundu darbu 2014.gadā un turpmāk (ik gadu)– Ls 1 870</w:t>
            </w:r>
            <w:r w:rsidR="00146B23">
              <w:rPr>
                <w:sz w:val="26"/>
                <w:szCs w:val="26"/>
              </w:rPr>
              <w:t> </w:t>
            </w:r>
            <w:r w:rsidRPr="006A01B8">
              <w:rPr>
                <w:sz w:val="26"/>
                <w:szCs w:val="26"/>
              </w:rPr>
              <w:t>235</w:t>
            </w:r>
            <w:r w:rsidR="00146B23">
              <w:rPr>
                <w:sz w:val="26"/>
                <w:szCs w:val="26"/>
              </w:rPr>
              <w:t xml:space="preserve"> (2</w:t>
            </w:r>
            <w:r w:rsidR="004B79F1">
              <w:rPr>
                <w:sz w:val="26"/>
                <w:szCs w:val="26"/>
              </w:rPr>
              <w:t> </w:t>
            </w:r>
            <w:r w:rsidR="00146B23">
              <w:rPr>
                <w:sz w:val="26"/>
                <w:szCs w:val="26"/>
              </w:rPr>
              <w:t>66</w:t>
            </w:r>
            <w:r w:rsidR="004B79F1">
              <w:rPr>
                <w:sz w:val="26"/>
                <w:szCs w:val="26"/>
              </w:rPr>
              <w:t>1 105</w:t>
            </w:r>
            <w:r w:rsidR="00146B23">
              <w:rPr>
                <w:sz w:val="26"/>
                <w:szCs w:val="26"/>
              </w:rPr>
              <w:t xml:space="preserve"> </w:t>
            </w:r>
            <w:proofErr w:type="spellStart"/>
            <w:r w:rsidR="004B79F1">
              <w:rPr>
                <w:sz w:val="26"/>
                <w:szCs w:val="26"/>
              </w:rPr>
              <w:t>e</w:t>
            </w:r>
            <w:r w:rsidR="00146B23" w:rsidRPr="00146B23">
              <w:rPr>
                <w:i/>
                <w:sz w:val="26"/>
                <w:szCs w:val="26"/>
              </w:rPr>
              <w:t>uro</w:t>
            </w:r>
            <w:proofErr w:type="spellEnd"/>
            <w:r w:rsidR="00146B23">
              <w:rPr>
                <w:sz w:val="26"/>
                <w:szCs w:val="26"/>
              </w:rPr>
              <w:t>)</w:t>
            </w:r>
            <w:r>
              <w:rPr>
                <w:sz w:val="26"/>
                <w:szCs w:val="26"/>
              </w:rPr>
              <w:t>;</w:t>
            </w:r>
          </w:p>
          <w:p w:rsidR="006A01B8" w:rsidRDefault="006A01B8" w:rsidP="006A01B8">
            <w:pPr>
              <w:jc w:val="both"/>
              <w:rPr>
                <w:sz w:val="26"/>
                <w:szCs w:val="26"/>
              </w:rPr>
            </w:pPr>
            <w:r w:rsidRPr="006A01B8">
              <w:rPr>
                <w:sz w:val="26"/>
                <w:szCs w:val="26"/>
              </w:rPr>
              <w:t>Tieslietu ministrija</w:t>
            </w:r>
            <w:r>
              <w:rPr>
                <w:sz w:val="26"/>
                <w:szCs w:val="26"/>
              </w:rPr>
              <w:t>i</w:t>
            </w:r>
            <w:r w:rsidRPr="006A01B8">
              <w:rPr>
                <w:sz w:val="26"/>
                <w:szCs w:val="26"/>
              </w:rPr>
              <w:t xml:space="preserve"> (Ieslodzījuma vietu pārvalde</w:t>
            </w:r>
            <w:r>
              <w:rPr>
                <w:sz w:val="26"/>
                <w:szCs w:val="26"/>
              </w:rPr>
              <w:t>i</w:t>
            </w:r>
            <w:r w:rsidRPr="006A01B8">
              <w:rPr>
                <w:sz w:val="26"/>
                <w:szCs w:val="26"/>
              </w:rPr>
              <w:t>), finansējums virsstundu darba samaksai tiks nodrošināts atlīdzībai papildus piešķirto valsts budžeta līdzekļu (Ls 946</w:t>
            </w:r>
            <w:r w:rsidR="00146B23">
              <w:rPr>
                <w:sz w:val="26"/>
                <w:szCs w:val="26"/>
              </w:rPr>
              <w:t> </w:t>
            </w:r>
            <w:r w:rsidRPr="006A01B8">
              <w:rPr>
                <w:sz w:val="26"/>
                <w:szCs w:val="26"/>
              </w:rPr>
              <w:t>449</w:t>
            </w:r>
            <w:r w:rsidR="00146B23">
              <w:rPr>
                <w:sz w:val="26"/>
                <w:szCs w:val="26"/>
              </w:rPr>
              <w:t xml:space="preserve"> (1</w:t>
            </w:r>
            <w:r w:rsidR="004B79F1">
              <w:rPr>
                <w:sz w:val="26"/>
                <w:szCs w:val="26"/>
              </w:rPr>
              <w:t> 346 676</w:t>
            </w:r>
            <w:r w:rsidR="00146B23">
              <w:rPr>
                <w:sz w:val="26"/>
                <w:szCs w:val="26"/>
              </w:rPr>
              <w:t xml:space="preserve"> </w:t>
            </w:r>
            <w:proofErr w:type="spellStart"/>
            <w:r w:rsidR="00146B23" w:rsidRPr="00146B23">
              <w:rPr>
                <w:i/>
                <w:sz w:val="26"/>
                <w:szCs w:val="26"/>
              </w:rPr>
              <w:t>euro</w:t>
            </w:r>
            <w:proofErr w:type="spellEnd"/>
            <w:r w:rsidR="00146B23">
              <w:rPr>
                <w:sz w:val="26"/>
                <w:szCs w:val="26"/>
              </w:rPr>
              <w:t>)</w:t>
            </w:r>
            <w:r w:rsidRPr="006A01B8">
              <w:rPr>
                <w:sz w:val="26"/>
                <w:szCs w:val="26"/>
              </w:rPr>
              <w:t>) ietvaros.</w:t>
            </w:r>
          </w:p>
          <w:p w:rsidR="006A01B8" w:rsidRDefault="006A01B8" w:rsidP="00FE14F4">
            <w:pPr>
              <w:jc w:val="both"/>
              <w:rPr>
                <w:sz w:val="26"/>
                <w:szCs w:val="26"/>
              </w:rPr>
            </w:pPr>
          </w:p>
          <w:p w:rsidR="006A01B8" w:rsidRPr="006A01B8" w:rsidRDefault="006A01B8" w:rsidP="006A01B8">
            <w:pPr>
              <w:jc w:val="both"/>
              <w:rPr>
                <w:sz w:val="26"/>
                <w:szCs w:val="26"/>
              </w:rPr>
            </w:pPr>
            <w:proofErr w:type="spellStart"/>
            <w:r>
              <w:rPr>
                <w:sz w:val="26"/>
                <w:szCs w:val="26"/>
              </w:rPr>
              <w:t>Iekšlietu</w:t>
            </w:r>
            <w:proofErr w:type="spellEnd"/>
            <w:r>
              <w:rPr>
                <w:sz w:val="26"/>
                <w:szCs w:val="26"/>
              </w:rPr>
              <w:t xml:space="preserve"> ministrijai un</w:t>
            </w:r>
            <w:r w:rsidRPr="006A01B8">
              <w:rPr>
                <w:sz w:val="26"/>
                <w:szCs w:val="26"/>
              </w:rPr>
              <w:t xml:space="preserve"> Tieslietu ministrija</w:t>
            </w:r>
            <w:r>
              <w:rPr>
                <w:sz w:val="26"/>
                <w:szCs w:val="26"/>
              </w:rPr>
              <w:t>i</w:t>
            </w:r>
            <w:r w:rsidRPr="006A01B8">
              <w:rPr>
                <w:sz w:val="26"/>
                <w:szCs w:val="26"/>
              </w:rPr>
              <w:t xml:space="preserve"> (Ieslodzījuma vietu pārvalde</w:t>
            </w:r>
            <w:r>
              <w:rPr>
                <w:sz w:val="26"/>
                <w:szCs w:val="26"/>
              </w:rPr>
              <w:t xml:space="preserve">i) </w:t>
            </w:r>
            <w:r w:rsidRPr="006A01B8">
              <w:rPr>
                <w:sz w:val="26"/>
                <w:szCs w:val="26"/>
              </w:rPr>
              <w:t>izdienas pabalsta izmaksai (2013.gadā noteikto mēnešalgu līmenī):</w:t>
            </w:r>
          </w:p>
          <w:p w:rsidR="001F7FF0" w:rsidRDefault="001F7FF0" w:rsidP="006A01B8">
            <w:pPr>
              <w:jc w:val="both"/>
              <w:rPr>
                <w:sz w:val="26"/>
                <w:szCs w:val="26"/>
              </w:rPr>
            </w:pPr>
          </w:p>
          <w:p w:rsidR="006A01B8" w:rsidRPr="006A01B8" w:rsidRDefault="006A01B8" w:rsidP="006A01B8">
            <w:pPr>
              <w:jc w:val="both"/>
              <w:rPr>
                <w:sz w:val="26"/>
                <w:szCs w:val="26"/>
              </w:rPr>
            </w:pPr>
            <w:r w:rsidRPr="006A01B8">
              <w:rPr>
                <w:sz w:val="26"/>
                <w:szCs w:val="26"/>
              </w:rPr>
              <w:t>Atlīdzība</w:t>
            </w:r>
          </w:p>
          <w:p w:rsidR="006A01B8" w:rsidRPr="006A01B8" w:rsidRDefault="006A01B8" w:rsidP="006A01B8">
            <w:pPr>
              <w:jc w:val="both"/>
              <w:rPr>
                <w:sz w:val="26"/>
                <w:szCs w:val="26"/>
              </w:rPr>
            </w:pPr>
            <w:r w:rsidRPr="006A01B8">
              <w:rPr>
                <w:sz w:val="26"/>
                <w:szCs w:val="26"/>
              </w:rPr>
              <w:t>2019.gadā – kopā – Ls 22 441</w:t>
            </w:r>
            <w:r w:rsidR="00146B23">
              <w:rPr>
                <w:sz w:val="26"/>
                <w:szCs w:val="26"/>
              </w:rPr>
              <w:t> </w:t>
            </w:r>
            <w:r w:rsidRPr="006A01B8">
              <w:rPr>
                <w:sz w:val="26"/>
                <w:szCs w:val="26"/>
              </w:rPr>
              <w:t>077</w:t>
            </w:r>
            <w:r w:rsidR="00146B23">
              <w:rPr>
                <w:sz w:val="26"/>
                <w:szCs w:val="26"/>
              </w:rPr>
              <w:t xml:space="preserve"> (31</w:t>
            </w:r>
            <w:r w:rsidR="004B79F1">
              <w:rPr>
                <w:sz w:val="26"/>
                <w:szCs w:val="26"/>
              </w:rPr>
              <w:t> </w:t>
            </w:r>
            <w:r w:rsidR="00146B23">
              <w:rPr>
                <w:sz w:val="26"/>
                <w:szCs w:val="26"/>
              </w:rPr>
              <w:t>93</w:t>
            </w:r>
            <w:r w:rsidR="004B79F1">
              <w:rPr>
                <w:sz w:val="26"/>
                <w:szCs w:val="26"/>
              </w:rPr>
              <w:t xml:space="preserve">0 776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Iekšlietu ministrija: 0,8 x 12 515 </w:t>
            </w:r>
            <w:proofErr w:type="spellStart"/>
            <w:r w:rsidRPr="006A01B8">
              <w:rPr>
                <w:sz w:val="26"/>
                <w:szCs w:val="26"/>
              </w:rPr>
              <w:t>amatp.x</w:t>
            </w:r>
            <w:proofErr w:type="spellEnd"/>
            <w:r w:rsidRPr="006A01B8">
              <w:rPr>
                <w:sz w:val="26"/>
                <w:szCs w:val="26"/>
              </w:rPr>
              <w:t xml:space="preserve"> Ls 542 x 3 = Ls 16 279 512 x1,2359 = Ls 20 119</w:t>
            </w:r>
            <w:r w:rsidR="00146B23">
              <w:rPr>
                <w:sz w:val="26"/>
                <w:szCs w:val="26"/>
              </w:rPr>
              <w:t> </w:t>
            </w:r>
            <w:r w:rsidRPr="006A01B8">
              <w:rPr>
                <w:sz w:val="26"/>
                <w:szCs w:val="26"/>
              </w:rPr>
              <w:t>849</w:t>
            </w:r>
            <w:r w:rsidR="00146B23">
              <w:rPr>
                <w:sz w:val="26"/>
                <w:szCs w:val="26"/>
              </w:rPr>
              <w:t xml:space="preserve"> (28</w:t>
            </w:r>
            <w:r w:rsidR="004B79F1">
              <w:rPr>
                <w:sz w:val="26"/>
                <w:szCs w:val="26"/>
              </w:rPr>
              <w:t xml:space="preserve"> 627 966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Ieslodzījuma vietu pārvalde: 0,62x 2 234 </w:t>
            </w:r>
            <w:proofErr w:type="spellStart"/>
            <w:r w:rsidRPr="006A01B8">
              <w:rPr>
                <w:sz w:val="26"/>
                <w:szCs w:val="26"/>
              </w:rPr>
              <w:t>amatp.x</w:t>
            </w:r>
            <w:proofErr w:type="spellEnd"/>
            <w:r w:rsidRPr="006A01B8">
              <w:rPr>
                <w:sz w:val="26"/>
                <w:szCs w:val="26"/>
              </w:rPr>
              <w:t xml:space="preserve"> Ls 452 x 3 = Ls 1 878 168 x1,2359 = Ls 2 321</w:t>
            </w:r>
            <w:r w:rsidR="00146B23">
              <w:rPr>
                <w:sz w:val="26"/>
                <w:szCs w:val="26"/>
              </w:rPr>
              <w:t> </w:t>
            </w:r>
            <w:r w:rsidRPr="006A01B8">
              <w:rPr>
                <w:sz w:val="26"/>
                <w:szCs w:val="26"/>
              </w:rPr>
              <w:t>228</w:t>
            </w:r>
            <w:r w:rsidR="00146B23">
              <w:rPr>
                <w:sz w:val="26"/>
                <w:szCs w:val="26"/>
              </w:rPr>
              <w:t xml:space="preserve"> (3</w:t>
            </w:r>
            <w:r w:rsidR="004B79F1">
              <w:rPr>
                <w:sz w:val="26"/>
                <w:szCs w:val="26"/>
              </w:rPr>
              <w:t> </w:t>
            </w:r>
            <w:r w:rsidR="00146B23">
              <w:rPr>
                <w:sz w:val="26"/>
                <w:szCs w:val="26"/>
              </w:rPr>
              <w:t>3</w:t>
            </w:r>
            <w:r w:rsidR="004B79F1">
              <w:rPr>
                <w:sz w:val="26"/>
                <w:szCs w:val="26"/>
              </w:rPr>
              <w:t xml:space="preserve">02 810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2020.gadā – kopā – Ls 1 733</w:t>
            </w:r>
            <w:r w:rsidR="00146B23">
              <w:rPr>
                <w:sz w:val="26"/>
                <w:szCs w:val="26"/>
              </w:rPr>
              <w:t> </w:t>
            </w:r>
            <w:r w:rsidRPr="006A01B8">
              <w:rPr>
                <w:sz w:val="26"/>
                <w:szCs w:val="26"/>
              </w:rPr>
              <w:t>624</w:t>
            </w:r>
            <w:r w:rsidR="00146B23">
              <w:rPr>
                <w:sz w:val="26"/>
                <w:szCs w:val="26"/>
              </w:rPr>
              <w:t xml:space="preserve"> (2</w:t>
            </w:r>
            <w:r w:rsidR="004B79F1">
              <w:rPr>
                <w:sz w:val="26"/>
                <w:szCs w:val="26"/>
              </w:rPr>
              <w:t> </w:t>
            </w:r>
            <w:r w:rsidR="00146B23">
              <w:rPr>
                <w:sz w:val="26"/>
                <w:szCs w:val="26"/>
              </w:rPr>
              <w:t>4</w:t>
            </w:r>
            <w:r w:rsidR="004B79F1">
              <w:rPr>
                <w:sz w:val="26"/>
                <w:szCs w:val="26"/>
              </w:rPr>
              <w:t xml:space="preserve">66 </w:t>
            </w:r>
            <w:r w:rsidR="00146B23">
              <w:rPr>
                <w:sz w:val="26"/>
                <w:szCs w:val="26"/>
              </w:rPr>
              <w:t>7</w:t>
            </w:r>
            <w:r w:rsidR="004B79F1">
              <w:rPr>
                <w:sz w:val="26"/>
                <w:szCs w:val="26"/>
              </w:rPr>
              <w:t xml:space="preserve">25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Iekšlietu ministrija: 0,06 x 12 515 </w:t>
            </w:r>
            <w:proofErr w:type="spellStart"/>
            <w:r w:rsidRPr="006A01B8">
              <w:rPr>
                <w:sz w:val="26"/>
                <w:szCs w:val="26"/>
              </w:rPr>
              <w:t>amatp.x</w:t>
            </w:r>
            <w:proofErr w:type="spellEnd"/>
            <w:r w:rsidRPr="006A01B8">
              <w:rPr>
                <w:sz w:val="26"/>
                <w:szCs w:val="26"/>
              </w:rPr>
              <w:t xml:space="preserve"> Ls 542 x 3 = Ls 1 220 963 x1,2359 = Ls 1 508</w:t>
            </w:r>
            <w:r w:rsidR="00146B23">
              <w:rPr>
                <w:sz w:val="26"/>
                <w:szCs w:val="26"/>
              </w:rPr>
              <w:t> </w:t>
            </w:r>
            <w:r w:rsidRPr="006A01B8">
              <w:rPr>
                <w:sz w:val="26"/>
                <w:szCs w:val="26"/>
              </w:rPr>
              <w:t>989</w:t>
            </w:r>
            <w:r w:rsidR="00146B23">
              <w:rPr>
                <w:sz w:val="26"/>
                <w:szCs w:val="26"/>
              </w:rPr>
              <w:t xml:space="preserve"> (2</w:t>
            </w:r>
            <w:r w:rsidR="004B79F1">
              <w:rPr>
                <w:sz w:val="26"/>
                <w:szCs w:val="26"/>
              </w:rPr>
              <w:t> </w:t>
            </w:r>
            <w:r w:rsidR="00146B23">
              <w:rPr>
                <w:sz w:val="26"/>
                <w:szCs w:val="26"/>
              </w:rPr>
              <w:t>1</w:t>
            </w:r>
            <w:r w:rsidR="004B79F1">
              <w:rPr>
                <w:sz w:val="26"/>
                <w:szCs w:val="26"/>
              </w:rPr>
              <w:t xml:space="preserve">47 098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Ieslodzījuma vietu pārvalde: 0,06 x 2 234 </w:t>
            </w:r>
            <w:proofErr w:type="spellStart"/>
            <w:r w:rsidRPr="006A01B8">
              <w:rPr>
                <w:sz w:val="26"/>
                <w:szCs w:val="26"/>
              </w:rPr>
              <w:t>amatp.x</w:t>
            </w:r>
            <w:proofErr w:type="spellEnd"/>
            <w:r w:rsidRPr="006A01B8">
              <w:rPr>
                <w:sz w:val="26"/>
                <w:szCs w:val="26"/>
              </w:rPr>
              <w:t xml:space="preserve"> Ls 452 x 3 = Ls 181 758 x1,2359 = Ls 224</w:t>
            </w:r>
            <w:r w:rsidR="00146B23">
              <w:rPr>
                <w:sz w:val="26"/>
                <w:szCs w:val="26"/>
              </w:rPr>
              <w:t> </w:t>
            </w:r>
            <w:r w:rsidRPr="006A01B8">
              <w:rPr>
                <w:sz w:val="26"/>
                <w:szCs w:val="26"/>
              </w:rPr>
              <w:t>635</w:t>
            </w:r>
            <w:r w:rsidR="004B79F1">
              <w:rPr>
                <w:sz w:val="26"/>
                <w:szCs w:val="26"/>
              </w:rPr>
              <w:t xml:space="preserve"> (</w:t>
            </w:r>
            <w:r w:rsidR="00146B23">
              <w:rPr>
                <w:sz w:val="26"/>
                <w:szCs w:val="26"/>
              </w:rPr>
              <w:t>3</w:t>
            </w:r>
            <w:r w:rsidR="004B79F1">
              <w:rPr>
                <w:sz w:val="26"/>
                <w:szCs w:val="26"/>
              </w:rPr>
              <w:t xml:space="preserve">19 627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2021.gadā – kopā – Ls 979</w:t>
            </w:r>
            <w:r w:rsidR="00146B23">
              <w:rPr>
                <w:sz w:val="26"/>
                <w:szCs w:val="26"/>
              </w:rPr>
              <w:t> </w:t>
            </w:r>
            <w:r w:rsidRPr="006A01B8">
              <w:rPr>
                <w:sz w:val="26"/>
                <w:szCs w:val="26"/>
              </w:rPr>
              <w:t>129</w:t>
            </w:r>
            <w:r w:rsidR="00146B23">
              <w:rPr>
                <w:sz w:val="26"/>
                <w:szCs w:val="26"/>
              </w:rPr>
              <w:t xml:space="preserve"> (1</w:t>
            </w:r>
            <w:r w:rsidR="004B79F1">
              <w:rPr>
                <w:sz w:val="26"/>
                <w:szCs w:val="26"/>
              </w:rPr>
              <w:t> </w:t>
            </w:r>
            <w:r w:rsidR="00146B23">
              <w:rPr>
                <w:sz w:val="26"/>
                <w:szCs w:val="26"/>
              </w:rPr>
              <w:t>39</w:t>
            </w:r>
            <w:r w:rsidR="004B79F1">
              <w:rPr>
                <w:sz w:val="26"/>
                <w:szCs w:val="26"/>
              </w:rPr>
              <w:t xml:space="preserve">3 175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Iekšlietu ministrija: 0,03 x 12 515 </w:t>
            </w:r>
            <w:proofErr w:type="spellStart"/>
            <w:r w:rsidRPr="006A01B8">
              <w:rPr>
                <w:sz w:val="26"/>
                <w:szCs w:val="26"/>
              </w:rPr>
              <w:t>amatp.x</w:t>
            </w:r>
            <w:proofErr w:type="spellEnd"/>
            <w:r w:rsidRPr="006A01B8">
              <w:rPr>
                <w:sz w:val="26"/>
                <w:szCs w:val="26"/>
              </w:rPr>
              <w:t xml:space="preserve"> Ls 542 x 3 = Ls 610 482 x1,2359 = Ls 754</w:t>
            </w:r>
            <w:r w:rsidR="00146B23">
              <w:rPr>
                <w:sz w:val="26"/>
                <w:szCs w:val="26"/>
              </w:rPr>
              <w:t> </w:t>
            </w:r>
            <w:r w:rsidRPr="006A01B8">
              <w:rPr>
                <w:sz w:val="26"/>
                <w:szCs w:val="26"/>
              </w:rPr>
              <w:t>494</w:t>
            </w:r>
            <w:r w:rsidR="004B79F1">
              <w:rPr>
                <w:sz w:val="26"/>
                <w:szCs w:val="26"/>
              </w:rPr>
              <w:t xml:space="preserve"> (1 </w:t>
            </w:r>
            <w:r w:rsidR="00146B23">
              <w:rPr>
                <w:sz w:val="26"/>
                <w:szCs w:val="26"/>
              </w:rPr>
              <w:t>07</w:t>
            </w:r>
            <w:r w:rsidR="004B79F1">
              <w:rPr>
                <w:sz w:val="26"/>
                <w:szCs w:val="26"/>
              </w:rPr>
              <w:t xml:space="preserve">3 548 </w:t>
            </w:r>
            <w:proofErr w:type="spellStart"/>
            <w:r w:rsidR="00146B23" w:rsidRPr="00146B23">
              <w:rPr>
                <w:i/>
                <w:sz w:val="26"/>
                <w:szCs w:val="26"/>
              </w:rPr>
              <w:t>euro</w:t>
            </w:r>
            <w:proofErr w:type="spellEnd"/>
            <w:r w:rsidR="00146B23">
              <w:rPr>
                <w:sz w:val="26"/>
                <w:szCs w:val="26"/>
              </w:rPr>
              <w:t>)</w:t>
            </w:r>
          </w:p>
          <w:p w:rsidR="006A01B8" w:rsidRPr="006A01B8" w:rsidRDefault="006A01B8" w:rsidP="006A01B8">
            <w:pPr>
              <w:jc w:val="both"/>
              <w:rPr>
                <w:sz w:val="26"/>
                <w:szCs w:val="26"/>
              </w:rPr>
            </w:pPr>
            <w:r w:rsidRPr="006A01B8">
              <w:rPr>
                <w:sz w:val="26"/>
                <w:szCs w:val="26"/>
              </w:rPr>
              <w:t xml:space="preserve">Ieslodzījuma vietu pārvalde: 0,06 x 2 234 </w:t>
            </w:r>
            <w:proofErr w:type="spellStart"/>
            <w:r w:rsidRPr="006A01B8">
              <w:rPr>
                <w:sz w:val="26"/>
                <w:szCs w:val="26"/>
              </w:rPr>
              <w:t>amatp.x</w:t>
            </w:r>
            <w:proofErr w:type="spellEnd"/>
            <w:r w:rsidRPr="006A01B8">
              <w:rPr>
                <w:sz w:val="26"/>
                <w:szCs w:val="26"/>
              </w:rPr>
              <w:t xml:space="preserve"> Ls 452 x 3 = Ls 181 758 x1,2359 = Ls 224</w:t>
            </w:r>
            <w:r w:rsidR="00146B23">
              <w:rPr>
                <w:sz w:val="26"/>
                <w:szCs w:val="26"/>
              </w:rPr>
              <w:t> </w:t>
            </w:r>
            <w:r w:rsidRPr="006A01B8">
              <w:rPr>
                <w:sz w:val="26"/>
                <w:szCs w:val="26"/>
              </w:rPr>
              <w:t>632</w:t>
            </w:r>
            <w:r w:rsidR="004B79F1">
              <w:rPr>
                <w:sz w:val="26"/>
                <w:szCs w:val="26"/>
              </w:rPr>
              <w:t xml:space="preserve"> (</w:t>
            </w:r>
            <w:r w:rsidR="00146B23">
              <w:rPr>
                <w:sz w:val="26"/>
                <w:szCs w:val="26"/>
              </w:rPr>
              <w:t>3</w:t>
            </w:r>
            <w:r w:rsidR="004B79F1">
              <w:rPr>
                <w:sz w:val="26"/>
                <w:szCs w:val="26"/>
              </w:rPr>
              <w:t>19 6</w:t>
            </w:r>
            <w:r w:rsidR="00146B23">
              <w:rPr>
                <w:sz w:val="26"/>
                <w:szCs w:val="26"/>
              </w:rPr>
              <w:t>2</w:t>
            </w:r>
            <w:r w:rsidR="004B79F1">
              <w:rPr>
                <w:sz w:val="26"/>
                <w:szCs w:val="26"/>
              </w:rPr>
              <w:t xml:space="preserve">3 </w:t>
            </w:r>
            <w:proofErr w:type="spellStart"/>
            <w:r w:rsidR="00146B23" w:rsidRPr="00146B23">
              <w:rPr>
                <w:i/>
                <w:sz w:val="26"/>
                <w:szCs w:val="26"/>
              </w:rPr>
              <w:t>euro</w:t>
            </w:r>
            <w:proofErr w:type="spellEnd"/>
            <w:r w:rsidR="00146B23">
              <w:rPr>
                <w:sz w:val="26"/>
                <w:szCs w:val="26"/>
              </w:rPr>
              <w:t>)</w:t>
            </w:r>
          </w:p>
          <w:p w:rsidR="001F7FF0" w:rsidRDefault="001F7FF0" w:rsidP="006A01B8">
            <w:pPr>
              <w:jc w:val="both"/>
              <w:rPr>
                <w:sz w:val="26"/>
                <w:szCs w:val="26"/>
              </w:rPr>
            </w:pPr>
          </w:p>
          <w:p w:rsidR="006A01B8" w:rsidRPr="006A01B8" w:rsidRDefault="006A01B8" w:rsidP="006A01B8">
            <w:pPr>
              <w:jc w:val="both"/>
              <w:rPr>
                <w:sz w:val="26"/>
                <w:szCs w:val="26"/>
              </w:rPr>
            </w:pPr>
            <w:r w:rsidRPr="006A01B8">
              <w:rPr>
                <w:sz w:val="26"/>
                <w:szCs w:val="26"/>
              </w:rPr>
              <w:t>Pieņēmumi:</w:t>
            </w:r>
          </w:p>
          <w:p w:rsidR="006A01B8" w:rsidRPr="006A01B8" w:rsidRDefault="006A01B8" w:rsidP="006A01B8">
            <w:pPr>
              <w:jc w:val="both"/>
              <w:rPr>
                <w:sz w:val="26"/>
                <w:szCs w:val="26"/>
              </w:rPr>
            </w:pPr>
            <w:r w:rsidRPr="006A01B8">
              <w:rPr>
                <w:sz w:val="26"/>
                <w:szCs w:val="26"/>
              </w:rPr>
              <w:t xml:space="preserve"> Iekšlietu ministrija:</w:t>
            </w:r>
          </w:p>
          <w:p w:rsidR="006A01B8" w:rsidRPr="006A01B8" w:rsidRDefault="006A01B8" w:rsidP="006A01B8">
            <w:pPr>
              <w:jc w:val="both"/>
              <w:rPr>
                <w:sz w:val="26"/>
                <w:szCs w:val="26"/>
              </w:rPr>
            </w:pPr>
            <w:r w:rsidRPr="006A01B8">
              <w:rPr>
                <w:sz w:val="26"/>
                <w:szCs w:val="26"/>
              </w:rPr>
              <w:t>• 2019.gada laikā 80% no amatpersonām ar speciālajām dienesta pakāpēm būs nepārtraukti nodienējušas vairāk nekā piecus gadus un tām tiks piešķirts pabalsts;</w:t>
            </w:r>
          </w:p>
          <w:p w:rsidR="006A01B8" w:rsidRPr="006A01B8" w:rsidRDefault="006A01B8" w:rsidP="006A01B8">
            <w:pPr>
              <w:jc w:val="both"/>
              <w:rPr>
                <w:sz w:val="26"/>
                <w:szCs w:val="26"/>
              </w:rPr>
            </w:pPr>
            <w:r w:rsidRPr="006A01B8">
              <w:rPr>
                <w:sz w:val="26"/>
                <w:szCs w:val="26"/>
              </w:rPr>
              <w:t>• 2020. gada laikā 6 % no amatpersonām ar speciālajām dienesta pakāpēm būs nepārtraukti nodienējušas vairāk nekā piecus gadus un tām tiks piešķirts pabalsts;</w:t>
            </w:r>
          </w:p>
          <w:p w:rsidR="006A01B8" w:rsidRPr="006A01B8" w:rsidRDefault="006A01B8" w:rsidP="006A01B8">
            <w:pPr>
              <w:jc w:val="both"/>
              <w:rPr>
                <w:sz w:val="26"/>
                <w:szCs w:val="26"/>
              </w:rPr>
            </w:pPr>
            <w:r w:rsidRPr="006A01B8">
              <w:rPr>
                <w:sz w:val="26"/>
                <w:szCs w:val="26"/>
              </w:rPr>
              <w:t>• 2021.gada laikā 3% no amatpersonām ar speciālajām dienesta pakāpēm būs nepārtraukti nodienējušas vairāk nekā piecus gadus un tām tiks piešķirts pabalsts;</w:t>
            </w:r>
          </w:p>
          <w:p w:rsidR="001F7FF0" w:rsidRDefault="001F7FF0" w:rsidP="006A01B8">
            <w:pPr>
              <w:jc w:val="both"/>
              <w:rPr>
                <w:sz w:val="26"/>
                <w:szCs w:val="26"/>
              </w:rPr>
            </w:pPr>
          </w:p>
          <w:p w:rsidR="006A01B8" w:rsidRPr="006A01B8" w:rsidRDefault="006A01B8" w:rsidP="006A01B8">
            <w:pPr>
              <w:jc w:val="both"/>
              <w:rPr>
                <w:sz w:val="26"/>
                <w:szCs w:val="26"/>
              </w:rPr>
            </w:pPr>
            <w:r w:rsidRPr="006A01B8">
              <w:rPr>
                <w:sz w:val="26"/>
                <w:szCs w:val="26"/>
              </w:rPr>
              <w:t>Ieslodzījuma vietu pārvalde:</w:t>
            </w:r>
          </w:p>
          <w:p w:rsidR="006A01B8" w:rsidRPr="006A01B8" w:rsidRDefault="006A01B8" w:rsidP="006A01B8">
            <w:pPr>
              <w:jc w:val="both"/>
              <w:rPr>
                <w:sz w:val="26"/>
                <w:szCs w:val="26"/>
              </w:rPr>
            </w:pPr>
            <w:r w:rsidRPr="006A01B8">
              <w:rPr>
                <w:sz w:val="26"/>
                <w:szCs w:val="26"/>
              </w:rPr>
              <w:t>• 2019.gada laikā 62% no amatpersonām ar speciālajām dienesta pakāpēm būs nepārtraukti nodienējušas vairāk nekā piecus gadus un tām tiks piešķirts pabalsts;</w:t>
            </w:r>
          </w:p>
          <w:p w:rsidR="006A01B8" w:rsidRPr="006A01B8" w:rsidRDefault="006A01B8" w:rsidP="006A01B8">
            <w:pPr>
              <w:jc w:val="both"/>
              <w:rPr>
                <w:sz w:val="26"/>
                <w:szCs w:val="26"/>
              </w:rPr>
            </w:pPr>
            <w:r w:rsidRPr="006A01B8">
              <w:rPr>
                <w:sz w:val="26"/>
                <w:szCs w:val="26"/>
              </w:rPr>
              <w:t>• 2020. gada laikā 6 % no amatpersonām ar speciālajām dienesta pakāpēm būs nepārtraukti nodienējušas vairāk nekā piecus gadus un tām tiks piešķirts pabalsts;</w:t>
            </w:r>
          </w:p>
          <w:p w:rsidR="006A01B8" w:rsidRPr="006A01B8" w:rsidRDefault="006A01B8" w:rsidP="006A01B8">
            <w:pPr>
              <w:jc w:val="both"/>
              <w:rPr>
                <w:sz w:val="26"/>
                <w:szCs w:val="26"/>
              </w:rPr>
            </w:pPr>
            <w:r w:rsidRPr="006A01B8">
              <w:rPr>
                <w:sz w:val="26"/>
                <w:szCs w:val="26"/>
              </w:rPr>
              <w:t>• 2021.gada laikā 6% no amatpersonām ar speciālajām dienesta pakāpēm būs nepārtraukti nodienējušas vairāk nekā piecus gadus un tām tiks piešķirts pabalsts;</w:t>
            </w:r>
          </w:p>
          <w:p w:rsidR="006A01B8" w:rsidRPr="006A01B8" w:rsidRDefault="006A01B8" w:rsidP="006A01B8">
            <w:pPr>
              <w:jc w:val="both"/>
              <w:rPr>
                <w:sz w:val="26"/>
                <w:szCs w:val="26"/>
              </w:rPr>
            </w:pPr>
            <w:r w:rsidRPr="006A01B8">
              <w:rPr>
                <w:sz w:val="26"/>
                <w:szCs w:val="26"/>
              </w:rPr>
              <w:t xml:space="preserve">• vidējā mēnešalga (2013.gada līmenī) ar 20% pieaugumu: </w:t>
            </w:r>
            <w:proofErr w:type="spellStart"/>
            <w:r w:rsidRPr="006A01B8">
              <w:rPr>
                <w:sz w:val="26"/>
                <w:szCs w:val="26"/>
              </w:rPr>
              <w:t>Iekšlietu</w:t>
            </w:r>
            <w:proofErr w:type="spellEnd"/>
            <w:r w:rsidRPr="006A01B8">
              <w:rPr>
                <w:sz w:val="26"/>
                <w:szCs w:val="26"/>
              </w:rPr>
              <w:t xml:space="preserve"> ministrija -542 lati</w:t>
            </w:r>
            <w:r w:rsidR="00146B23">
              <w:rPr>
                <w:sz w:val="26"/>
                <w:szCs w:val="26"/>
              </w:rPr>
              <w:t xml:space="preserve"> (771,2 </w:t>
            </w:r>
            <w:proofErr w:type="spellStart"/>
            <w:r w:rsidR="00146B23" w:rsidRPr="00146B23">
              <w:rPr>
                <w:i/>
                <w:sz w:val="26"/>
                <w:szCs w:val="26"/>
              </w:rPr>
              <w:t>euro</w:t>
            </w:r>
            <w:proofErr w:type="spellEnd"/>
            <w:r w:rsidR="00146B23">
              <w:rPr>
                <w:sz w:val="26"/>
                <w:szCs w:val="26"/>
              </w:rPr>
              <w:t>)</w:t>
            </w:r>
            <w:r w:rsidRPr="006A01B8">
              <w:rPr>
                <w:sz w:val="26"/>
                <w:szCs w:val="26"/>
              </w:rPr>
              <w:t>; Ieslodzījuma vietu pārvalde - 452 lati</w:t>
            </w:r>
            <w:r w:rsidR="00146B23">
              <w:rPr>
                <w:sz w:val="26"/>
                <w:szCs w:val="26"/>
              </w:rPr>
              <w:t xml:space="preserve"> (643,14</w:t>
            </w:r>
            <w:r w:rsidR="004B79F1">
              <w:rPr>
                <w:sz w:val="26"/>
                <w:szCs w:val="26"/>
              </w:rPr>
              <w:t xml:space="preserve"> </w:t>
            </w:r>
            <w:proofErr w:type="spellStart"/>
            <w:r w:rsidR="00146B23" w:rsidRPr="00146B23">
              <w:rPr>
                <w:i/>
                <w:sz w:val="26"/>
                <w:szCs w:val="26"/>
              </w:rPr>
              <w:t>euro</w:t>
            </w:r>
            <w:proofErr w:type="spellEnd"/>
            <w:r w:rsidR="00146B23">
              <w:rPr>
                <w:sz w:val="26"/>
                <w:szCs w:val="26"/>
              </w:rPr>
              <w:t>)</w:t>
            </w:r>
            <w:r w:rsidRPr="006A01B8">
              <w:rPr>
                <w:sz w:val="26"/>
                <w:szCs w:val="26"/>
              </w:rPr>
              <w:t>;</w:t>
            </w:r>
          </w:p>
          <w:p w:rsidR="006A01B8" w:rsidRPr="006A01B8" w:rsidRDefault="006A01B8" w:rsidP="006A01B8">
            <w:pPr>
              <w:jc w:val="both"/>
              <w:rPr>
                <w:sz w:val="26"/>
                <w:szCs w:val="26"/>
              </w:rPr>
            </w:pPr>
            <w:r w:rsidRPr="006A01B8">
              <w:rPr>
                <w:sz w:val="26"/>
                <w:szCs w:val="26"/>
              </w:rPr>
              <w:t xml:space="preserve">• vidējais faktiskais amatpersonu ar speciālajām dienesta pakāpēm amata vietu skaits gadā (2013.gada I ceturkšņa līmenī ar 5% vakanču aizpildījumu): </w:t>
            </w:r>
          </w:p>
          <w:p w:rsidR="00FE14F4" w:rsidRDefault="006A01B8" w:rsidP="006A01B8">
            <w:pPr>
              <w:jc w:val="both"/>
              <w:rPr>
                <w:sz w:val="26"/>
                <w:szCs w:val="26"/>
              </w:rPr>
            </w:pPr>
            <w:r w:rsidRPr="006A01B8">
              <w:rPr>
                <w:sz w:val="26"/>
                <w:szCs w:val="26"/>
              </w:rPr>
              <w:t>Iekšlietu ministrija -11919 x 1,05=12515 un Ieslodzījuma vietu pārvalde - 22128x1,05=2234.</w:t>
            </w:r>
          </w:p>
          <w:p w:rsidR="006A01B8" w:rsidRDefault="006A01B8" w:rsidP="006A01B8">
            <w:pPr>
              <w:jc w:val="both"/>
              <w:rPr>
                <w:sz w:val="26"/>
                <w:szCs w:val="26"/>
              </w:rPr>
            </w:pPr>
          </w:p>
          <w:p w:rsidR="006A01B8" w:rsidRDefault="006A01B8" w:rsidP="006A01B8">
            <w:pPr>
              <w:jc w:val="both"/>
              <w:rPr>
                <w:sz w:val="26"/>
                <w:szCs w:val="26"/>
              </w:rPr>
            </w:pPr>
            <w:r w:rsidRPr="006A01B8">
              <w:rPr>
                <w:sz w:val="26"/>
                <w:szCs w:val="26"/>
              </w:rPr>
              <w:t>Saskaņā ar likumu „Par valsts budžetu 2013.gadam” atlīdzībai plānotie kopējie izdevumi (bez 2271) - Iekšlietu ministrijai – Ls 110 466</w:t>
            </w:r>
            <w:r w:rsidR="006A5596">
              <w:rPr>
                <w:sz w:val="26"/>
                <w:szCs w:val="26"/>
              </w:rPr>
              <w:t> </w:t>
            </w:r>
            <w:r w:rsidRPr="006A01B8">
              <w:rPr>
                <w:sz w:val="26"/>
                <w:szCs w:val="26"/>
              </w:rPr>
              <w:t>323</w:t>
            </w:r>
            <w:r w:rsidR="006A5596">
              <w:rPr>
                <w:sz w:val="26"/>
                <w:szCs w:val="26"/>
              </w:rPr>
              <w:t xml:space="preserve"> (157</w:t>
            </w:r>
            <w:r w:rsidR="004B79F1">
              <w:rPr>
                <w:sz w:val="26"/>
                <w:szCs w:val="26"/>
              </w:rPr>
              <w:t> </w:t>
            </w:r>
            <w:r w:rsidR="006A5596">
              <w:rPr>
                <w:sz w:val="26"/>
                <w:szCs w:val="26"/>
              </w:rPr>
              <w:t>1</w:t>
            </w:r>
            <w:r w:rsidR="004B79F1">
              <w:rPr>
                <w:sz w:val="26"/>
                <w:szCs w:val="26"/>
              </w:rPr>
              <w:t>79 417</w:t>
            </w:r>
            <w:r w:rsidR="006A5596">
              <w:rPr>
                <w:sz w:val="26"/>
                <w:szCs w:val="26"/>
              </w:rPr>
              <w:t xml:space="preserve"> </w:t>
            </w:r>
            <w:proofErr w:type="spellStart"/>
            <w:r w:rsidR="006A5596" w:rsidRPr="006A5596">
              <w:rPr>
                <w:i/>
                <w:sz w:val="26"/>
                <w:szCs w:val="26"/>
              </w:rPr>
              <w:t>euro</w:t>
            </w:r>
            <w:proofErr w:type="spellEnd"/>
            <w:r w:rsidR="006A5596">
              <w:rPr>
                <w:sz w:val="26"/>
                <w:szCs w:val="26"/>
              </w:rPr>
              <w:t>)</w:t>
            </w:r>
            <w:r w:rsidRPr="006A01B8">
              <w:rPr>
                <w:sz w:val="26"/>
                <w:szCs w:val="26"/>
              </w:rPr>
              <w:t>.</w:t>
            </w:r>
          </w:p>
          <w:p w:rsidR="006A01B8" w:rsidRPr="008204A0" w:rsidRDefault="006A01B8" w:rsidP="006A01B8">
            <w:pPr>
              <w:jc w:val="both"/>
              <w:rPr>
                <w:sz w:val="26"/>
                <w:szCs w:val="26"/>
              </w:rPr>
            </w:pPr>
          </w:p>
          <w:p w:rsidR="00391141" w:rsidRPr="00391141" w:rsidRDefault="00391141" w:rsidP="00520A4A">
            <w:pPr>
              <w:jc w:val="both"/>
              <w:rPr>
                <w:sz w:val="26"/>
                <w:szCs w:val="26"/>
              </w:rPr>
            </w:pPr>
            <w:r w:rsidRPr="00391141">
              <w:rPr>
                <w:sz w:val="26"/>
                <w:szCs w:val="26"/>
              </w:rPr>
              <w:t>Likumprojektā ietvertie citi grozījumi nodrošināmi atlīdzības fonda ietvaros.</w:t>
            </w:r>
          </w:p>
        </w:tc>
      </w:tr>
    </w:tbl>
    <w:p w:rsidR="0003238F" w:rsidRDefault="0003238F" w:rsidP="00207CA2">
      <w:pPr>
        <w:pStyle w:val="naisf"/>
        <w:spacing w:before="0" w:after="0"/>
        <w:rPr>
          <w:sz w:val="26"/>
          <w:szCs w:val="26"/>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25"/>
        <w:gridCol w:w="6151"/>
      </w:tblGrid>
      <w:tr w:rsidR="00207CA2" w:rsidRPr="00AD3FCE" w:rsidTr="00EC7531">
        <w:trPr>
          <w:jc w:val="center"/>
        </w:trPr>
        <w:tc>
          <w:tcPr>
            <w:tcW w:w="9587" w:type="dxa"/>
            <w:gridSpan w:val="3"/>
          </w:tcPr>
          <w:p w:rsidR="00207CA2" w:rsidRPr="00AD3FCE" w:rsidRDefault="00207CA2" w:rsidP="00FB2F9B">
            <w:pPr>
              <w:pStyle w:val="naisnod"/>
              <w:spacing w:before="0" w:after="0"/>
              <w:rPr>
                <w:sz w:val="26"/>
                <w:szCs w:val="26"/>
              </w:rPr>
            </w:pPr>
            <w:r w:rsidRPr="00AD3FCE">
              <w:rPr>
                <w:sz w:val="26"/>
                <w:szCs w:val="26"/>
              </w:rPr>
              <w:t>IV. Tiesību akta projekta ietekme uz spēkā esošo tiesību normu sistēmu</w:t>
            </w:r>
          </w:p>
        </w:tc>
      </w:tr>
      <w:tr w:rsidR="00207CA2" w:rsidRPr="00AD3FCE" w:rsidTr="00EC7531">
        <w:trPr>
          <w:jc w:val="center"/>
        </w:trPr>
        <w:tc>
          <w:tcPr>
            <w:tcW w:w="411" w:type="dxa"/>
          </w:tcPr>
          <w:p w:rsidR="00207CA2" w:rsidRPr="00AD3FCE" w:rsidRDefault="00207CA2" w:rsidP="00FB2F9B">
            <w:pPr>
              <w:pStyle w:val="naiskr"/>
              <w:tabs>
                <w:tab w:val="left" w:pos="2628"/>
              </w:tabs>
              <w:spacing w:before="0" w:after="0"/>
              <w:jc w:val="both"/>
              <w:rPr>
                <w:iCs/>
                <w:sz w:val="26"/>
                <w:szCs w:val="26"/>
              </w:rPr>
            </w:pPr>
            <w:r w:rsidRPr="00AD3FCE">
              <w:rPr>
                <w:iCs/>
                <w:sz w:val="26"/>
                <w:szCs w:val="26"/>
              </w:rPr>
              <w:t>1.</w:t>
            </w:r>
          </w:p>
        </w:tc>
        <w:tc>
          <w:tcPr>
            <w:tcW w:w="3025" w:type="dxa"/>
          </w:tcPr>
          <w:p w:rsidR="00207CA2" w:rsidRPr="00AD3FCE" w:rsidRDefault="00207CA2" w:rsidP="00EC7531">
            <w:pPr>
              <w:pStyle w:val="naiskr"/>
              <w:tabs>
                <w:tab w:val="left" w:pos="2628"/>
              </w:tabs>
              <w:spacing w:before="0" w:after="0"/>
              <w:rPr>
                <w:iCs/>
                <w:sz w:val="26"/>
                <w:szCs w:val="26"/>
              </w:rPr>
            </w:pPr>
            <w:r w:rsidRPr="00AD3FCE">
              <w:rPr>
                <w:sz w:val="26"/>
                <w:szCs w:val="26"/>
              </w:rPr>
              <w:t>Nepieciešamie saistītie tiesību aktu projekti</w:t>
            </w:r>
          </w:p>
        </w:tc>
        <w:tc>
          <w:tcPr>
            <w:tcW w:w="6151" w:type="dxa"/>
          </w:tcPr>
          <w:p w:rsidR="00DF0F58" w:rsidRPr="00391141" w:rsidRDefault="00391141" w:rsidP="00391141">
            <w:pPr>
              <w:pStyle w:val="naiskr"/>
              <w:spacing w:before="0" w:after="0"/>
              <w:ind w:left="34"/>
              <w:jc w:val="both"/>
              <w:rPr>
                <w:color w:val="FF0000"/>
                <w:sz w:val="26"/>
                <w:szCs w:val="26"/>
              </w:rPr>
            </w:pPr>
            <w:r w:rsidRPr="00391141">
              <w:rPr>
                <w:color w:val="000000" w:themeColor="text1"/>
                <w:sz w:val="26"/>
                <w:szCs w:val="26"/>
              </w:rPr>
              <w:t>Likumprojekts ir skatāms vienlaikus ar valsts budžeta 201</w:t>
            </w:r>
            <w:r>
              <w:rPr>
                <w:color w:val="000000" w:themeColor="text1"/>
                <w:sz w:val="26"/>
                <w:szCs w:val="26"/>
              </w:rPr>
              <w:t>4</w:t>
            </w:r>
            <w:r w:rsidRPr="00391141">
              <w:rPr>
                <w:color w:val="000000" w:themeColor="text1"/>
                <w:sz w:val="26"/>
                <w:szCs w:val="26"/>
              </w:rPr>
              <w:t>.gadam likumprojekta paketi.</w:t>
            </w:r>
          </w:p>
        </w:tc>
      </w:tr>
      <w:tr w:rsidR="00207CA2" w:rsidRPr="00AD3FCE" w:rsidTr="00EC7531">
        <w:trPr>
          <w:jc w:val="center"/>
        </w:trPr>
        <w:tc>
          <w:tcPr>
            <w:tcW w:w="411" w:type="dxa"/>
          </w:tcPr>
          <w:p w:rsidR="00207CA2" w:rsidRPr="00AD3FCE" w:rsidRDefault="00207CA2" w:rsidP="00FB2F9B">
            <w:pPr>
              <w:pStyle w:val="naiskr"/>
              <w:tabs>
                <w:tab w:val="left" w:pos="2628"/>
              </w:tabs>
              <w:spacing w:before="0" w:after="0"/>
              <w:jc w:val="both"/>
              <w:rPr>
                <w:iCs/>
                <w:sz w:val="26"/>
                <w:szCs w:val="26"/>
              </w:rPr>
            </w:pPr>
            <w:r w:rsidRPr="00AD3FCE">
              <w:rPr>
                <w:iCs/>
                <w:sz w:val="26"/>
                <w:szCs w:val="26"/>
              </w:rPr>
              <w:t>2.</w:t>
            </w:r>
          </w:p>
        </w:tc>
        <w:tc>
          <w:tcPr>
            <w:tcW w:w="3025" w:type="dxa"/>
          </w:tcPr>
          <w:p w:rsidR="00207CA2" w:rsidRPr="00AD3FCE" w:rsidRDefault="00207CA2" w:rsidP="00FB2F9B">
            <w:pPr>
              <w:pStyle w:val="naiskr"/>
              <w:tabs>
                <w:tab w:val="left" w:pos="2628"/>
              </w:tabs>
              <w:spacing w:before="0" w:after="0"/>
              <w:jc w:val="both"/>
              <w:rPr>
                <w:iCs/>
                <w:sz w:val="26"/>
                <w:szCs w:val="26"/>
              </w:rPr>
            </w:pPr>
            <w:r w:rsidRPr="00AD3FCE">
              <w:rPr>
                <w:sz w:val="26"/>
                <w:szCs w:val="26"/>
              </w:rPr>
              <w:t>Cita informācija</w:t>
            </w:r>
          </w:p>
        </w:tc>
        <w:tc>
          <w:tcPr>
            <w:tcW w:w="6151" w:type="dxa"/>
          </w:tcPr>
          <w:p w:rsidR="00207CA2" w:rsidRPr="00AD3FCE" w:rsidRDefault="00207CA2" w:rsidP="00FB2F9B">
            <w:pPr>
              <w:pStyle w:val="naiskr"/>
              <w:tabs>
                <w:tab w:val="left" w:pos="2628"/>
              </w:tabs>
              <w:spacing w:before="0" w:after="0"/>
              <w:jc w:val="both"/>
              <w:rPr>
                <w:iCs/>
                <w:sz w:val="26"/>
                <w:szCs w:val="26"/>
              </w:rPr>
            </w:pPr>
            <w:r w:rsidRPr="00AD3FCE">
              <w:rPr>
                <w:sz w:val="26"/>
                <w:szCs w:val="26"/>
              </w:rPr>
              <w:t>Nav.</w:t>
            </w:r>
          </w:p>
        </w:tc>
      </w:tr>
    </w:tbl>
    <w:p w:rsidR="00207CA2" w:rsidRPr="00AD3FCE" w:rsidRDefault="00207CA2" w:rsidP="00207CA2">
      <w:pPr>
        <w:ind w:firstLine="720"/>
        <w:jc w:val="both"/>
        <w:rPr>
          <w:sz w:val="26"/>
          <w:szCs w:val="26"/>
        </w:rPr>
      </w:pPr>
    </w:p>
    <w:tbl>
      <w:tblPr>
        <w:tblW w:w="960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04"/>
      </w:tblGrid>
      <w:tr w:rsidR="00207CA2" w:rsidRPr="00AD3FCE" w:rsidTr="00EC7531">
        <w:trPr>
          <w:trHeight w:val="406"/>
        </w:trPr>
        <w:tc>
          <w:tcPr>
            <w:tcW w:w="9604" w:type="dxa"/>
            <w:tcBorders>
              <w:top w:val="outset" w:sz="6" w:space="0" w:color="auto"/>
              <w:left w:val="outset" w:sz="6" w:space="0" w:color="auto"/>
              <w:bottom w:val="outset" w:sz="6" w:space="0" w:color="auto"/>
              <w:right w:val="outset" w:sz="6" w:space="0" w:color="auto"/>
            </w:tcBorders>
            <w:vAlign w:val="center"/>
          </w:tcPr>
          <w:p w:rsidR="00207CA2" w:rsidRPr="00AD3FCE" w:rsidRDefault="00207CA2" w:rsidP="00FB2F9B">
            <w:pPr>
              <w:jc w:val="center"/>
              <w:rPr>
                <w:b/>
                <w:sz w:val="26"/>
                <w:szCs w:val="26"/>
              </w:rPr>
            </w:pPr>
            <w:r w:rsidRPr="00AD3FCE">
              <w:rPr>
                <w:b/>
                <w:sz w:val="26"/>
                <w:szCs w:val="26"/>
              </w:rPr>
              <w:t>V. Tiesību akta projekta atbilstība Latvijas Republikas starptautiskajām saistībām</w:t>
            </w:r>
          </w:p>
        </w:tc>
      </w:tr>
      <w:tr w:rsidR="00880EEC" w:rsidRPr="00AD3FCE" w:rsidTr="00EC7531">
        <w:tc>
          <w:tcPr>
            <w:tcW w:w="9604" w:type="dxa"/>
            <w:tcBorders>
              <w:top w:val="outset" w:sz="6" w:space="0" w:color="auto"/>
              <w:left w:val="outset" w:sz="6" w:space="0" w:color="auto"/>
              <w:bottom w:val="outset" w:sz="6" w:space="0" w:color="auto"/>
              <w:right w:val="outset" w:sz="6" w:space="0" w:color="auto"/>
            </w:tcBorders>
          </w:tcPr>
          <w:p w:rsidR="00880EEC" w:rsidRPr="00AD3FCE" w:rsidRDefault="00880EEC" w:rsidP="00880EEC">
            <w:pPr>
              <w:ind w:left="57"/>
              <w:jc w:val="center"/>
              <w:rPr>
                <w:i/>
                <w:sz w:val="26"/>
                <w:szCs w:val="26"/>
              </w:rPr>
            </w:pPr>
            <w:r w:rsidRPr="00AD3FCE">
              <w:rPr>
                <w:i/>
                <w:sz w:val="26"/>
                <w:szCs w:val="26"/>
              </w:rPr>
              <w:t>Projekts šo jomu neskar.</w:t>
            </w:r>
          </w:p>
        </w:tc>
      </w:tr>
    </w:tbl>
    <w:p w:rsidR="00207CA2" w:rsidRDefault="00207CA2" w:rsidP="00207CA2">
      <w:pPr>
        <w:pStyle w:val="naisf"/>
        <w:spacing w:before="0" w:after="0"/>
        <w:jc w:val="center"/>
        <w:rPr>
          <w:b/>
          <w:sz w:val="26"/>
          <w:szCs w:val="26"/>
        </w:rPr>
      </w:pPr>
    </w:p>
    <w:tbl>
      <w:tblPr>
        <w:tblW w:w="960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04"/>
      </w:tblGrid>
      <w:tr w:rsidR="0003238F" w:rsidRPr="00AD3FCE" w:rsidTr="00EC7531">
        <w:trPr>
          <w:trHeight w:val="406"/>
        </w:trPr>
        <w:tc>
          <w:tcPr>
            <w:tcW w:w="9604" w:type="dxa"/>
            <w:tcBorders>
              <w:top w:val="outset" w:sz="6" w:space="0" w:color="auto"/>
              <w:left w:val="outset" w:sz="6" w:space="0" w:color="auto"/>
              <w:bottom w:val="outset" w:sz="6" w:space="0" w:color="auto"/>
              <w:right w:val="outset" w:sz="6" w:space="0" w:color="auto"/>
            </w:tcBorders>
            <w:vAlign w:val="center"/>
          </w:tcPr>
          <w:p w:rsidR="0003238F" w:rsidRPr="0003238F" w:rsidRDefault="0003238F" w:rsidP="005F1548">
            <w:pPr>
              <w:jc w:val="center"/>
              <w:rPr>
                <w:b/>
                <w:sz w:val="26"/>
                <w:szCs w:val="26"/>
              </w:rPr>
            </w:pPr>
            <w:r w:rsidRPr="0003238F">
              <w:rPr>
                <w:b/>
                <w:sz w:val="26"/>
                <w:szCs w:val="26"/>
              </w:rPr>
              <w:t>VI. Sabiedrības līdzdalība un šīs līdzdalības rezultāti</w:t>
            </w:r>
          </w:p>
        </w:tc>
      </w:tr>
      <w:tr w:rsidR="0003238F" w:rsidRPr="00AD3FCE" w:rsidTr="00EC7531">
        <w:tc>
          <w:tcPr>
            <w:tcW w:w="9604" w:type="dxa"/>
            <w:tcBorders>
              <w:top w:val="outset" w:sz="6" w:space="0" w:color="auto"/>
              <w:left w:val="outset" w:sz="6" w:space="0" w:color="auto"/>
              <w:bottom w:val="outset" w:sz="6" w:space="0" w:color="auto"/>
              <w:right w:val="outset" w:sz="6" w:space="0" w:color="auto"/>
            </w:tcBorders>
          </w:tcPr>
          <w:p w:rsidR="0003238F" w:rsidRPr="00AD3FCE" w:rsidRDefault="0003238F" w:rsidP="005F1548">
            <w:pPr>
              <w:ind w:left="57"/>
              <w:jc w:val="center"/>
              <w:rPr>
                <w:i/>
                <w:sz w:val="26"/>
                <w:szCs w:val="26"/>
              </w:rPr>
            </w:pPr>
            <w:r w:rsidRPr="00AD3FCE">
              <w:rPr>
                <w:i/>
                <w:sz w:val="26"/>
                <w:szCs w:val="26"/>
              </w:rPr>
              <w:t>Projekts šo jomu neskar.</w:t>
            </w:r>
          </w:p>
        </w:tc>
      </w:tr>
    </w:tbl>
    <w:p w:rsidR="0003238F" w:rsidRDefault="0003238F" w:rsidP="00207CA2">
      <w:pPr>
        <w:pStyle w:val="naisf"/>
        <w:spacing w:before="0" w:after="0"/>
        <w:jc w:val="center"/>
        <w:rPr>
          <w:b/>
          <w:sz w:val="26"/>
          <w:szCs w:val="26"/>
        </w:rPr>
      </w:pPr>
    </w:p>
    <w:p w:rsidR="0003238F" w:rsidRPr="00AD3FCE" w:rsidRDefault="0003238F" w:rsidP="00207CA2">
      <w:pPr>
        <w:pStyle w:val="naisf"/>
        <w:spacing w:before="0" w:after="0"/>
        <w:jc w:val="center"/>
        <w:rPr>
          <w:b/>
          <w:sz w:val="26"/>
          <w:szCs w:val="26"/>
        </w:rPr>
      </w:pPr>
    </w:p>
    <w:tbl>
      <w:tblPr>
        <w:tblW w:w="96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5212"/>
      </w:tblGrid>
      <w:tr w:rsidR="00207CA2" w:rsidRPr="00AD3FCE" w:rsidTr="00EC7531">
        <w:tc>
          <w:tcPr>
            <w:tcW w:w="9607" w:type="dxa"/>
            <w:gridSpan w:val="3"/>
            <w:tcBorders>
              <w:top w:val="single" w:sz="4" w:space="0" w:color="auto"/>
            </w:tcBorders>
          </w:tcPr>
          <w:p w:rsidR="00207CA2" w:rsidRPr="00AD3FCE" w:rsidRDefault="00207CA2" w:rsidP="00FB2F9B">
            <w:pPr>
              <w:pStyle w:val="naisnod"/>
              <w:spacing w:before="0" w:after="0"/>
              <w:ind w:left="57" w:right="57"/>
              <w:rPr>
                <w:sz w:val="26"/>
                <w:szCs w:val="26"/>
              </w:rPr>
            </w:pPr>
            <w:r w:rsidRPr="00AD3FCE">
              <w:rPr>
                <w:sz w:val="26"/>
                <w:szCs w:val="26"/>
              </w:rPr>
              <w:t>VII. Tiesību akta projekta izpildes nodrošināšana un tās ietekme uz institūcijām</w:t>
            </w:r>
          </w:p>
        </w:tc>
      </w:tr>
      <w:tr w:rsidR="00207CA2" w:rsidRPr="00AD3FCE" w:rsidTr="00756FEB">
        <w:trPr>
          <w:trHeight w:val="427"/>
        </w:trPr>
        <w:tc>
          <w:tcPr>
            <w:tcW w:w="426" w:type="dxa"/>
          </w:tcPr>
          <w:p w:rsidR="00207CA2" w:rsidRPr="00AD3FCE" w:rsidRDefault="00207CA2" w:rsidP="00FB2F9B">
            <w:pPr>
              <w:pStyle w:val="naisnod"/>
              <w:spacing w:before="0" w:after="0"/>
              <w:ind w:left="57" w:right="57"/>
              <w:jc w:val="left"/>
              <w:rPr>
                <w:b w:val="0"/>
                <w:sz w:val="26"/>
                <w:szCs w:val="26"/>
              </w:rPr>
            </w:pPr>
            <w:r w:rsidRPr="00AD3FCE">
              <w:rPr>
                <w:b w:val="0"/>
                <w:sz w:val="26"/>
                <w:szCs w:val="26"/>
              </w:rPr>
              <w:t>1.</w:t>
            </w:r>
          </w:p>
        </w:tc>
        <w:tc>
          <w:tcPr>
            <w:tcW w:w="3969" w:type="dxa"/>
          </w:tcPr>
          <w:p w:rsidR="00207CA2" w:rsidRPr="00AD3FCE" w:rsidRDefault="00207CA2" w:rsidP="00FB2F9B">
            <w:pPr>
              <w:pStyle w:val="naisf"/>
              <w:spacing w:before="0" w:after="0"/>
              <w:ind w:left="57" w:right="57" w:firstLine="0"/>
              <w:jc w:val="left"/>
              <w:rPr>
                <w:sz w:val="26"/>
                <w:szCs w:val="26"/>
              </w:rPr>
            </w:pPr>
            <w:r w:rsidRPr="00AD3FCE">
              <w:rPr>
                <w:sz w:val="26"/>
                <w:szCs w:val="26"/>
              </w:rPr>
              <w:t xml:space="preserve">Projekta izpildē iesaistītās institūcijas </w:t>
            </w:r>
          </w:p>
        </w:tc>
        <w:tc>
          <w:tcPr>
            <w:tcW w:w="5212" w:type="dxa"/>
          </w:tcPr>
          <w:p w:rsidR="00207CA2" w:rsidRPr="00AD3FCE" w:rsidRDefault="00E6245C" w:rsidP="00FE14F4">
            <w:pPr>
              <w:pStyle w:val="naisnod"/>
              <w:spacing w:before="0" w:after="0"/>
              <w:ind w:left="57" w:right="57"/>
              <w:jc w:val="both"/>
              <w:rPr>
                <w:b w:val="0"/>
                <w:sz w:val="26"/>
                <w:szCs w:val="26"/>
              </w:rPr>
            </w:pPr>
            <w:r w:rsidRPr="00AD3FCE">
              <w:rPr>
                <w:b w:val="0"/>
                <w:sz w:val="26"/>
                <w:szCs w:val="26"/>
              </w:rPr>
              <w:t xml:space="preserve">Projekta izpildi nodrošinās </w:t>
            </w:r>
            <w:r w:rsidR="005D4608" w:rsidRPr="00AD3FCE">
              <w:rPr>
                <w:b w:val="0"/>
                <w:sz w:val="26"/>
                <w:szCs w:val="26"/>
              </w:rPr>
              <w:t>valsts un pašvaldību institūcijas</w:t>
            </w:r>
            <w:r w:rsidRPr="00AD3FCE">
              <w:rPr>
                <w:b w:val="0"/>
                <w:sz w:val="26"/>
                <w:szCs w:val="26"/>
              </w:rPr>
              <w:t xml:space="preserve"> normat</w:t>
            </w:r>
            <w:r w:rsidR="00FE14F4">
              <w:rPr>
                <w:b w:val="0"/>
                <w:sz w:val="26"/>
                <w:szCs w:val="26"/>
              </w:rPr>
              <w:t xml:space="preserve">īvajos aktos noteiktajā kārtībā, t.sk. </w:t>
            </w:r>
            <w:r w:rsidR="00FE14F4" w:rsidRPr="00FE14F4">
              <w:rPr>
                <w:b w:val="0"/>
                <w:sz w:val="26"/>
                <w:szCs w:val="26"/>
              </w:rPr>
              <w:t>Valsts policija, Valsts robežsardze, Valsts ugunsdzēsības un glābšanas dienests, Valsts policijas koledža, Valsts robežsardzes koledža, Ugunsdrošības un civilās aizsardzības koledža, Drošības policija, Ieslodzījuma vietu pārvalde.</w:t>
            </w:r>
          </w:p>
        </w:tc>
      </w:tr>
      <w:tr w:rsidR="00207CA2" w:rsidRPr="00AD3FCE" w:rsidTr="00756FEB">
        <w:trPr>
          <w:trHeight w:val="463"/>
        </w:trPr>
        <w:tc>
          <w:tcPr>
            <w:tcW w:w="426" w:type="dxa"/>
          </w:tcPr>
          <w:p w:rsidR="00207CA2" w:rsidRPr="00AD3FCE" w:rsidRDefault="00207CA2" w:rsidP="00FB2F9B">
            <w:pPr>
              <w:pStyle w:val="naisnod"/>
              <w:spacing w:before="0" w:after="0"/>
              <w:ind w:left="57" w:right="57"/>
              <w:jc w:val="left"/>
              <w:rPr>
                <w:b w:val="0"/>
                <w:sz w:val="26"/>
                <w:szCs w:val="26"/>
              </w:rPr>
            </w:pPr>
            <w:r w:rsidRPr="00AD3FCE">
              <w:rPr>
                <w:b w:val="0"/>
                <w:sz w:val="26"/>
                <w:szCs w:val="26"/>
              </w:rPr>
              <w:t>2.</w:t>
            </w:r>
          </w:p>
        </w:tc>
        <w:tc>
          <w:tcPr>
            <w:tcW w:w="3969" w:type="dxa"/>
          </w:tcPr>
          <w:p w:rsidR="00207CA2" w:rsidRPr="00AD3FCE" w:rsidRDefault="00207CA2" w:rsidP="00FB2F9B">
            <w:pPr>
              <w:pStyle w:val="naisf"/>
              <w:spacing w:before="0" w:after="0"/>
              <w:ind w:left="57" w:right="57" w:firstLine="0"/>
              <w:jc w:val="left"/>
              <w:rPr>
                <w:sz w:val="26"/>
                <w:szCs w:val="26"/>
              </w:rPr>
            </w:pPr>
            <w:r w:rsidRPr="00AD3FCE">
              <w:rPr>
                <w:sz w:val="26"/>
                <w:szCs w:val="26"/>
              </w:rPr>
              <w:t xml:space="preserve">Projekta izpildes ietekme uz pārvaldes funkcijām </w:t>
            </w:r>
          </w:p>
        </w:tc>
        <w:tc>
          <w:tcPr>
            <w:tcW w:w="5212" w:type="dxa"/>
          </w:tcPr>
          <w:p w:rsidR="00207CA2" w:rsidRPr="00AD3FCE" w:rsidRDefault="00706669" w:rsidP="00FB2F9B">
            <w:pPr>
              <w:pStyle w:val="naisnod"/>
              <w:spacing w:before="0" w:after="0"/>
              <w:ind w:left="57" w:right="57"/>
              <w:jc w:val="both"/>
              <w:rPr>
                <w:b w:val="0"/>
                <w:i/>
                <w:sz w:val="26"/>
                <w:szCs w:val="26"/>
              </w:rPr>
            </w:pPr>
            <w:r w:rsidRPr="00AD3FCE">
              <w:rPr>
                <w:b w:val="0"/>
                <w:i/>
                <w:sz w:val="26"/>
                <w:szCs w:val="26"/>
              </w:rPr>
              <w:t>Projekts šo jomu neskar.</w:t>
            </w:r>
          </w:p>
        </w:tc>
      </w:tr>
      <w:tr w:rsidR="00207CA2" w:rsidRPr="00AD3FCE" w:rsidTr="00756FEB">
        <w:trPr>
          <w:trHeight w:val="725"/>
        </w:trPr>
        <w:tc>
          <w:tcPr>
            <w:tcW w:w="426" w:type="dxa"/>
          </w:tcPr>
          <w:p w:rsidR="00207CA2" w:rsidRPr="00AD3FCE" w:rsidRDefault="00207CA2" w:rsidP="00FB2F9B">
            <w:pPr>
              <w:pStyle w:val="naisnod"/>
              <w:spacing w:before="0" w:after="0"/>
              <w:ind w:left="57" w:right="57"/>
              <w:jc w:val="left"/>
              <w:rPr>
                <w:b w:val="0"/>
                <w:sz w:val="26"/>
                <w:szCs w:val="26"/>
              </w:rPr>
            </w:pPr>
            <w:r w:rsidRPr="00AD3FCE">
              <w:rPr>
                <w:b w:val="0"/>
                <w:sz w:val="26"/>
                <w:szCs w:val="26"/>
              </w:rPr>
              <w:t>3.</w:t>
            </w:r>
          </w:p>
        </w:tc>
        <w:tc>
          <w:tcPr>
            <w:tcW w:w="3969" w:type="dxa"/>
          </w:tcPr>
          <w:p w:rsidR="00207CA2" w:rsidRPr="00AD3FCE" w:rsidRDefault="00207CA2" w:rsidP="00FB2F9B">
            <w:pPr>
              <w:pStyle w:val="naisf"/>
              <w:spacing w:before="0" w:after="0"/>
              <w:ind w:left="57" w:right="57" w:firstLine="0"/>
              <w:jc w:val="left"/>
              <w:rPr>
                <w:sz w:val="26"/>
                <w:szCs w:val="26"/>
              </w:rPr>
            </w:pPr>
            <w:r w:rsidRPr="00AD3FCE">
              <w:rPr>
                <w:sz w:val="26"/>
                <w:szCs w:val="26"/>
              </w:rPr>
              <w:t>Projekta izpildes ietekme uz pārvaldes institucionālo struktūru.</w:t>
            </w:r>
          </w:p>
          <w:p w:rsidR="00207CA2" w:rsidRPr="00AD3FCE" w:rsidRDefault="00207CA2" w:rsidP="00FB2F9B">
            <w:pPr>
              <w:pStyle w:val="naisf"/>
              <w:spacing w:before="0" w:after="0"/>
              <w:ind w:left="57" w:right="57" w:firstLine="0"/>
              <w:jc w:val="left"/>
              <w:rPr>
                <w:sz w:val="26"/>
                <w:szCs w:val="26"/>
              </w:rPr>
            </w:pPr>
            <w:r w:rsidRPr="00AD3FCE">
              <w:rPr>
                <w:sz w:val="26"/>
                <w:szCs w:val="26"/>
              </w:rPr>
              <w:t>Jaunu institūciju izveide</w:t>
            </w:r>
          </w:p>
        </w:tc>
        <w:tc>
          <w:tcPr>
            <w:tcW w:w="5212" w:type="dxa"/>
          </w:tcPr>
          <w:p w:rsidR="00207CA2" w:rsidRPr="00AD3FCE" w:rsidRDefault="00706669" w:rsidP="00C10C5A">
            <w:pPr>
              <w:pStyle w:val="naisnod"/>
              <w:spacing w:before="0" w:after="0"/>
              <w:ind w:left="57" w:right="57"/>
              <w:jc w:val="both"/>
              <w:rPr>
                <w:b w:val="0"/>
                <w:i/>
                <w:sz w:val="26"/>
                <w:szCs w:val="26"/>
              </w:rPr>
            </w:pPr>
            <w:r w:rsidRPr="00AD3FCE">
              <w:rPr>
                <w:b w:val="0"/>
                <w:i/>
                <w:sz w:val="26"/>
                <w:szCs w:val="26"/>
              </w:rPr>
              <w:t>Projekts šo jomu neskar.</w:t>
            </w:r>
          </w:p>
        </w:tc>
      </w:tr>
      <w:tr w:rsidR="00207CA2" w:rsidRPr="00AD3FCE" w:rsidTr="00756FEB">
        <w:trPr>
          <w:trHeight w:val="780"/>
        </w:trPr>
        <w:tc>
          <w:tcPr>
            <w:tcW w:w="426" w:type="dxa"/>
          </w:tcPr>
          <w:p w:rsidR="00207CA2" w:rsidRPr="00AD3FCE" w:rsidRDefault="00207CA2" w:rsidP="00FB2F9B">
            <w:pPr>
              <w:pStyle w:val="naisnod"/>
              <w:spacing w:before="0" w:after="0"/>
              <w:ind w:left="57" w:right="57"/>
              <w:jc w:val="left"/>
              <w:rPr>
                <w:b w:val="0"/>
                <w:sz w:val="26"/>
                <w:szCs w:val="26"/>
              </w:rPr>
            </w:pPr>
            <w:r w:rsidRPr="00AD3FCE">
              <w:rPr>
                <w:b w:val="0"/>
                <w:sz w:val="26"/>
                <w:szCs w:val="26"/>
              </w:rPr>
              <w:t>4.</w:t>
            </w:r>
          </w:p>
        </w:tc>
        <w:tc>
          <w:tcPr>
            <w:tcW w:w="3969" w:type="dxa"/>
          </w:tcPr>
          <w:p w:rsidR="00207CA2" w:rsidRPr="00AD3FCE" w:rsidRDefault="00207CA2" w:rsidP="00FB2F9B">
            <w:pPr>
              <w:pStyle w:val="naisf"/>
              <w:spacing w:before="0" w:after="0"/>
              <w:ind w:left="57" w:right="57" w:firstLine="0"/>
              <w:jc w:val="left"/>
              <w:rPr>
                <w:sz w:val="26"/>
                <w:szCs w:val="26"/>
              </w:rPr>
            </w:pPr>
            <w:r w:rsidRPr="00AD3FCE">
              <w:rPr>
                <w:sz w:val="26"/>
                <w:szCs w:val="26"/>
              </w:rPr>
              <w:t>Projekta izpildes ietekme uz pārvaldes institucionālo struktūru.</w:t>
            </w:r>
          </w:p>
          <w:p w:rsidR="00207CA2" w:rsidRPr="00AD3FCE" w:rsidRDefault="00207CA2" w:rsidP="00FB2F9B">
            <w:pPr>
              <w:pStyle w:val="naisf"/>
              <w:spacing w:before="0" w:after="0"/>
              <w:ind w:left="57" w:right="57" w:firstLine="0"/>
              <w:jc w:val="left"/>
              <w:rPr>
                <w:sz w:val="26"/>
                <w:szCs w:val="26"/>
              </w:rPr>
            </w:pPr>
            <w:r w:rsidRPr="00AD3FCE">
              <w:rPr>
                <w:sz w:val="26"/>
                <w:szCs w:val="26"/>
              </w:rPr>
              <w:t>Esošu institūciju likvidācija</w:t>
            </w:r>
          </w:p>
        </w:tc>
        <w:tc>
          <w:tcPr>
            <w:tcW w:w="5212" w:type="dxa"/>
          </w:tcPr>
          <w:p w:rsidR="00207CA2" w:rsidRPr="00AD3FCE" w:rsidRDefault="00706669" w:rsidP="00C10C5A">
            <w:pPr>
              <w:pStyle w:val="naisnod"/>
              <w:spacing w:before="0" w:after="0"/>
              <w:ind w:left="57" w:right="57"/>
              <w:jc w:val="both"/>
              <w:rPr>
                <w:b w:val="0"/>
                <w:i/>
                <w:sz w:val="26"/>
                <w:szCs w:val="26"/>
              </w:rPr>
            </w:pPr>
            <w:r w:rsidRPr="00AD3FCE">
              <w:rPr>
                <w:b w:val="0"/>
                <w:i/>
                <w:sz w:val="26"/>
                <w:szCs w:val="26"/>
              </w:rPr>
              <w:t>Projekts šo jomu neskar.</w:t>
            </w:r>
          </w:p>
        </w:tc>
      </w:tr>
      <w:tr w:rsidR="00207CA2" w:rsidRPr="00AD3FCE" w:rsidTr="00756FEB">
        <w:trPr>
          <w:trHeight w:val="703"/>
        </w:trPr>
        <w:tc>
          <w:tcPr>
            <w:tcW w:w="426" w:type="dxa"/>
          </w:tcPr>
          <w:p w:rsidR="00207CA2" w:rsidRPr="00AD3FCE" w:rsidRDefault="00207CA2" w:rsidP="00FB2F9B">
            <w:pPr>
              <w:pStyle w:val="naisnod"/>
              <w:spacing w:before="0" w:after="0"/>
              <w:ind w:left="57" w:right="57"/>
              <w:jc w:val="left"/>
              <w:rPr>
                <w:b w:val="0"/>
                <w:sz w:val="26"/>
                <w:szCs w:val="26"/>
              </w:rPr>
            </w:pPr>
            <w:r w:rsidRPr="00AD3FCE">
              <w:rPr>
                <w:b w:val="0"/>
                <w:sz w:val="26"/>
                <w:szCs w:val="26"/>
              </w:rPr>
              <w:t>5.</w:t>
            </w:r>
          </w:p>
        </w:tc>
        <w:tc>
          <w:tcPr>
            <w:tcW w:w="3969" w:type="dxa"/>
          </w:tcPr>
          <w:p w:rsidR="00207CA2" w:rsidRPr="00AD3FCE" w:rsidRDefault="00207CA2" w:rsidP="00FB2F9B">
            <w:pPr>
              <w:pStyle w:val="naisf"/>
              <w:spacing w:before="0" w:after="0"/>
              <w:ind w:left="57" w:right="57" w:firstLine="0"/>
              <w:jc w:val="left"/>
              <w:rPr>
                <w:sz w:val="26"/>
                <w:szCs w:val="26"/>
              </w:rPr>
            </w:pPr>
            <w:r w:rsidRPr="00AD3FCE">
              <w:rPr>
                <w:sz w:val="26"/>
                <w:szCs w:val="26"/>
              </w:rPr>
              <w:t>Projekta izpildes ietekme uz pārvaldes institucionālo struktūru.</w:t>
            </w:r>
          </w:p>
          <w:p w:rsidR="00207CA2" w:rsidRPr="00AD3FCE" w:rsidRDefault="00207CA2" w:rsidP="00FB2F9B">
            <w:pPr>
              <w:pStyle w:val="naisf"/>
              <w:spacing w:before="0" w:after="0"/>
              <w:ind w:left="57" w:right="57" w:firstLine="0"/>
              <w:jc w:val="left"/>
              <w:rPr>
                <w:sz w:val="26"/>
                <w:szCs w:val="26"/>
              </w:rPr>
            </w:pPr>
            <w:r w:rsidRPr="00AD3FCE">
              <w:rPr>
                <w:sz w:val="26"/>
                <w:szCs w:val="26"/>
              </w:rPr>
              <w:t>Esošu institūciju reorganizācija</w:t>
            </w:r>
          </w:p>
        </w:tc>
        <w:tc>
          <w:tcPr>
            <w:tcW w:w="5212" w:type="dxa"/>
          </w:tcPr>
          <w:p w:rsidR="00207CA2" w:rsidRPr="00AD3FCE" w:rsidRDefault="00706669" w:rsidP="00C10C5A">
            <w:pPr>
              <w:pStyle w:val="naisnod"/>
              <w:spacing w:before="0" w:after="0"/>
              <w:ind w:left="57" w:right="57"/>
              <w:jc w:val="both"/>
              <w:rPr>
                <w:b w:val="0"/>
                <w:i/>
                <w:sz w:val="26"/>
                <w:szCs w:val="26"/>
              </w:rPr>
            </w:pPr>
            <w:r w:rsidRPr="00AD3FCE">
              <w:rPr>
                <w:b w:val="0"/>
                <w:i/>
                <w:sz w:val="26"/>
                <w:szCs w:val="26"/>
              </w:rPr>
              <w:t>Projekts šo jomu neskar.</w:t>
            </w:r>
          </w:p>
        </w:tc>
      </w:tr>
      <w:tr w:rsidR="00207CA2" w:rsidRPr="00AD3FCE" w:rsidTr="00756FEB">
        <w:trPr>
          <w:trHeight w:val="476"/>
        </w:trPr>
        <w:tc>
          <w:tcPr>
            <w:tcW w:w="426" w:type="dxa"/>
          </w:tcPr>
          <w:p w:rsidR="00207CA2" w:rsidRPr="00AD3FCE" w:rsidRDefault="00207CA2" w:rsidP="00FB2F9B">
            <w:pPr>
              <w:pStyle w:val="naiskr"/>
              <w:spacing w:before="0" w:after="0"/>
              <w:ind w:left="57" w:right="57"/>
              <w:rPr>
                <w:sz w:val="26"/>
                <w:szCs w:val="26"/>
              </w:rPr>
            </w:pPr>
            <w:r w:rsidRPr="00AD3FCE">
              <w:rPr>
                <w:sz w:val="26"/>
                <w:szCs w:val="26"/>
              </w:rPr>
              <w:t>6.</w:t>
            </w:r>
          </w:p>
        </w:tc>
        <w:tc>
          <w:tcPr>
            <w:tcW w:w="3969" w:type="dxa"/>
          </w:tcPr>
          <w:p w:rsidR="00207CA2" w:rsidRPr="00AD3FCE" w:rsidRDefault="00207CA2" w:rsidP="00FB2F9B">
            <w:pPr>
              <w:pStyle w:val="naiskr"/>
              <w:spacing w:before="0" w:after="0"/>
              <w:ind w:left="57" w:right="57"/>
              <w:rPr>
                <w:sz w:val="26"/>
                <w:szCs w:val="26"/>
              </w:rPr>
            </w:pPr>
            <w:r w:rsidRPr="00AD3FCE">
              <w:rPr>
                <w:sz w:val="26"/>
                <w:szCs w:val="26"/>
              </w:rPr>
              <w:t>Cita informācija</w:t>
            </w:r>
          </w:p>
        </w:tc>
        <w:tc>
          <w:tcPr>
            <w:tcW w:w="5212" w:type="dxa"/>
          </w:tcPr>
          <w:p w:rsidR="00207CA2" w:rsidRPr="00AD3FCE" w:rsidRDefault="00207CA2" w:rsidP="00FB2F9B">
            <w:pPr>
              <w:pStyle w:val="naiskr"/>
              <w:spacing w:before="0" w:after="0"/>
              <w:ind w:left="57" w:right="57"/>
              <w:rPr>
                <w:sz w:val="26"/>
                <w:szCs w:val="26"/>
              </w:rPr>
            </w:pPr>
            <w:r w:rsidRPr="00AD3FCE">
              <w:rPr>
                <w:sz w:val="26"/>
                <w:szCs w:val="26"/>
              </w:rPr>
              <w:t>Nav</w:t>
            </w:r>
          </w:p>
        </w:tc>
      </w:tr>
    </w:tbl>
    <w:p w:rsidR="002D61ED" w:rsidRDefault="002D61ED" w:rsidP="00207CA2">
      <w:pPr>
        <w:tabs>
          <w:tab w:val="right" w:pos="9074"/>
        </w:tabs>
        <w:rPr>
          <w:sz w:val="28"/>
          <w:szCs w:val="28"/>
        </w:rPr>
      </w:pPr>
    </w:p>
    <w:p w:rsidR="006810F7" w:rsidRDefault="006810F7" w:rsidP="00207CA2">
      <w:pPr>
        <w:tabs>
          <w:tab w:val="right" w:pos="9074"/>
        </w:tabs>
        <w:rPr>
          <w:sz w:val="28"/>
          <w:szCs w:val="28"/>
        </w:rPr>
      </w:pPr>
    </w:p>
    <w:p w:rsidR="00207CA2" w:rsidRPr="00B95B5E" w:rsidRDefault="00F54D04" w:rsidP="00257903">
      <w:pPr>
        <w:tabs>
          <w:tab w:val="right" w:pos="9074"/>
        </w:tabs>
        <w:rPr>
          <w:sz w:val="26"/>
          <w:szCs w:val="26"/>
        </w:rPr>
      </w:pPr>
      <w:r w:rsidRPr="00B95B5E">
        <w:rPr>
          <w:sz w:val="26"/>
          <w:szCs w:val="26"/>
        </w:rPr>
        <w:t>Finanšu</w:t>
      </w:r>
      <w:r w:rsidR="00C10C5A" w:rsidRPr="00B95B5E">
        <w:rPr>
          <w:sz w:val="26"/>
          <w:szCs w:val="26"/>
        </w:rPr>
        <w:t xml:space="preserve"> </w:t>
      </w:r>
      <w:r w:rsidR="00207CA2" w:rsidRPr="00B95B5E">
        <w:rPr>
          <w:sz w:val="26"/>
          <w:szCs w:val="26"/>
        </w:rPr>
        <w:t>ministr</w:t>
      </w:r>
      <w:r w:rsidR="00257903">
        <w:rPr>
          <w:sz w:val="26"/>
          <w:szCs w:val="26"/>
        </w:rPr>
        <w:t>s</w:t>
      </w:r>
      <w:r w:rsidR="00257903">
        <w:rPr>
          <w:sz w:val="26"/>
          <w:szCs w:val="26"/>
        </w:rPr>
        <w:tab/>
      </w:r>
      <w:proofErr w:type="spellStart"/>
      <w:r w:rsidR="00257903">
        <w:rPr>
          <w:sz w:val="26"/>
          <w:szCs w:val="26"/>
        </w:rPr>
        <w:t>A.Vilks</w:t>
      </w:r>
      <w:proofErr w:type="spellEnd"/>
    </w:p>
    <w:p w:rsidR="003400E3" w:rsidRDefault="003400E3" w:rsidP="00207CA2">
      <w:pPr>
        <w:tabs>
          <w:tab w:val="right" w:pos="9000"/>
        </w:tabs>
        <w:jc w:val="both"/>
        <w:rPr>
          <w:sz w:val="28"/>
          <w:szCs w:val="28"/>
        </w:rPr>
      </w:pPr>
    </w:p>
    <w:p w:rsidR="003400E3" w:rsidRDefault="003400E3" w:rsidP="00207CA2">
      <w:pPr>
        <w:tabs>
          <w:tab w:val="right" w:pos="9000"/>
        </w:tabs>
        <w:jc w:val="both"/>
        <w:rPr>
          <w:sz w:val="28"/>
          <w:szCs w:val="28"/>
        </w:rPr>
      </w:pPr>
    </w:p>
    <w:p w:rsidR="009D7160" w:rsidRDefault="009D7160" w:rsidP="00207CA2">
      <w:pPr>
        <w:tabs>
          <w:tab w:val="right" w:pos="9000"/>
        </w:tabs>
        <w:jc w:val="both"/>
        <w:rPr>
          <w:sz w:val="28"/>
          <w:szCs w:val="28"/>
        </w:rPr>
      </w:pPr>
    </w:p>
    <w:p w:rsidR="009D7160" w:rsidRDefault="009D7160" w:rsidP="00207CA2">
      <w:pPr>
        <w:tabs>
          <w:tab w:val="right" w:pos="9000"/>
        </w:tabs>
        <w:jc w:val="both"/>
        <w:rPr>
          <w:sz w:val="28"/>
          <w:szCs w:val="28"/>
        </w:rPr>
      </w:pPr>
    </w:p>
    <w:p w:rsidR="009D7160" w:rsidRDefault="009D7160" w:rsidP="00207CA2">
      <w:pPr>
        <w:tabs>
          <w:tab w:val="right" w:pos="9000"/>
        </w:tabs>
        <w:jc w:val="both"/>
        <w:rPr>
          <w:sz w:val="28"/>
          <w:szCs w:val="28"/>
        </w:rPr>
      </w:pPr>
    </w:p>
    <w:p w:rsidR="00756FEB" w:rsidRDefault="00756FEB" w:rsidP="00207CA2">
      <w:pPr>
        <w:tabs>
          <w:tab w:val="right" w:pos="9000"/>
        </w:tabs>
        <w:jc w:val="both"/>
        <w:rPr>
          <w:sz w:val="28"/>
          <w:szCs w:val="28"/>
        </w:rPr>
      </w:pPr>
    </w:p>
    <w:p w:rsidR="00756FEB" w:rsidRDefault="00756FEB" w:rsidP="00207CA2">
      <w:pPr>
        <w:tabs>
          <w:tab w:val="right" w:pos="9000"/>
        </w:tabs>
        <w:jc w:val="both"/>
        <w:rPr>
          <w:sz w:val="28"/>
          <w:szCs w:val="28"/>
        </w:rPr>
      </w:pPr>
    </w:p>
    <w:p w:rsidR="00756FEB" w:rsidRDefault="00756FEB" w:rsidP="00207CA2">
      <w:pPr>
        <w:tabs>
          <w:tab w:val="right" w:pos="9000"/>
        </w:tabs>
        <w:jc w:val="both"/>
        <w:rPr>
          <w:sz w:val="28"/>
          <w:szCs w:val="28"/>
        </w:rPr>
      </w:pPr>
    </w:p>
    <w:p w:rsidR="00756FEB" w:rsidRDefault="00756FEB" w:rsidP="00207CA2">
      <w:pPr>
        <w:pStyle w:val="Header"/>
        <w:rPr>
          <w:sz w:val="20"/>
          <w:szCs w:val="20"/>
        </w:rPr>
      </w:pPr>
      <w:r>
        <w:rPr>
          <w:sz w:val="20"/>
          <w:szCs w:val="20"/>
        </w:rPr>
        <w:t>16.09.2013 10:03</w:t>
      </w:r>
      <w:bookmarkStart w:id="0" w:name="_GoBack"/>
      <w:bookmarkEnd w:id="0"/>
    </w:p>
    <w:p w:rsidR="001F41D8" w:rsidRDefault="00690428" w:rsidP="00207CA2">
      <w:pPr>
        <w:pStyle w:val="Header"/>
        <w:rPr>
          <w:sz w:val="20"/>
          <w:szCs w:val="20"/>
        </w:rPr>
      </w:pPr>
      <w:r>
        <w:rPr>
          <w:sz w:val="20"/>
          <w:szCs w:val="20"/>
        </w:rPr>
        <w:fldChar w:fldCharType="begin"/>
      </w:r>
      <w:r w:rsidR="001F41D8">
        <w:rPr>
          <w:sz w:val="20"/>
          <w:szCs w:val="20"/>
        </w:rPr>
        <w:instrText xml:space="preserve"> NUMWORDS  \# "# ##0"  \* MERGEFORMAT </w:instrText>
      </w:r>
      <w:r>
        <w:rPr>
          <w:sz w:val="20"/>
          <w:szCs w:val="20"/>
        </w:rPr>
        <w:fldChar w:fldCharType="separate"/>
      </w:r>
      <w:r w:rsidR="009D7160">
        <w:rPr>
          <w:noProof/>
          <w:sz w:val="20"/>
          <w:szCs w:val="20"/>
        </w:rPr>
        <w:t>4 244</w:t>
      </w:r>
      <w:r>
        <w:rPr>
          <w:sz w:val="20"/>
          <w:szCs w:val="20"/>
        </w:rPr>
        <w:fldChar w:fldCharType="end"/>
      </w:r>
    </w:p>
    <w:p w:rsidR="00207CA2" w:rsidRDefault="00F54D04" w:rsidP="00207CA2">
      <w:pPr>
        <w:pStyle w:val="Header"/>
        <w:rPr>
          <w:sz w:val="20"/>
          <w:szCs w:val="20"/>
        </w:rPr>
      </w:pPr>
      <w:proofErr w:type="spellStart"/>
      <w:r>
        <w:rPr>
          <w:sz w:val="20"/>
          <w:szCs w:val="20"/>
        </w:rPr>
        <w:t>I.</w:t>
      </w:r>
      <w:r w:rsidR="0043419D">
        <w:rPr>
          <w:sz w:val="20"/>
          <w:szCs w:val="20"/>
        </w:rPr>
        <w:t>Ošiņ</w:t>
      </w:r>
      <w:r>
        <w:rPr>
          <w:sz w:val="20"/>
          <w:szCs w:val="20"/>
        </w:rPr>
        <w:t>a</w:t>
      </w:r>
      <w:proofErr w:type="spellEnd"/>
    </w:p>
    <w:p w:rsidR="00207CA2" w:rsidRDefault="00690428"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r w:rsidR="00207CA2">
        <w:rPr>
          <w:sz w:val="20"/>
          <w:szCs w:val="20"/>
        </w:rPr>
        <w:t>tālr.: 67</w:t>
      </w:r>
      <w:r w:rsidR="00F54D04">
        <w:rPr>
          <w:sz w:val="20"/>
          <w:szCs w:val="20"/>
        </w:rPr>
        <w:t>095</w:t>
      </w:r>
      <w:r w:rsidR="0043419D">
        <w:rPr>
          <w:sz w:val="20"/>
          <w:szCs w:val="20"/>
        </w:rPr>
        <w:t>662</w:t>
      </w:r>
      <w:r w:rsidR="00207CA2">
        <w:rPr>
          <w:sz w:val="20"/>
          <w:szCs w:val="20"/>
        </w:rPr>
        <w:t>, fakss: 67</w:t>
      </w:r>
      <w:r w:rsidR="00F54D04">
        <w:rPr>
          <w:sz w:val="20"/>
          <w:szCs w:val="20"/>
        </w:rPr>
        <w:t>095541</w:t>
      </w:r>
      <w:r w:rsidR="00207CA2">
        <w:rPr>
          <w:sz w:val="20"/>
          <w:szCs w:val="20"/>
        </w:rPr>
        <w:t>,</w:t>
      </w:r>
    </w:p>
    <w:p w:rsidR="00B22998" w:rsidRDefault="00207CA2" w:rsidP="002A449C">
      <w:pPr>
        <w:pStyle w:val="Header"/>
      </w:pPr>
      <w:r>
        <w:rPr>
          <w:sz w:val="20"/>
          <w:szCs w:val="20"/>
        </w:rPr>
        <w:t xml:space="preserve">e-pasta adrese: </w:t>
      </w:r>
      <w:r w:rsidR="00690428">
        <w:rPr>
          <w:sz w:val="20"/>
          <w:szCs w:val="20"/>
        </w:rPr>
        <w:fldChar w:fldCharType="end"/>
      </w:r>
      <w:r w:rsidR="00F54D04">
        <w:rPr>
          <w:sz w:val="20"/>
          <w:szCs w:val="20"/>
        </w:rPr>
        <w:t>In</w:t>
      </w:r>
      <w:r w:rsidR="0043419D">
        <w:rPr>
          <w:sz w:val="20"/>
          <w:szCs w:val="20"/>
        </w:rPr>
        <w:t>g</w:t>
      </w:r>
      <w:r w:rsidR="00F54D04">
        <w:rPr>
          <w:sz w:val="20"/>
          <w:szCs w:val="20"/>
        </w:rPr>
        <w:t>a</w:t>
      </w:r>
      <w:r w:rsidR="00CB331E">
        <w:rPr>
          <w:sz w:val="20"/>
          <w:szCs w:val="20"/>
        </w:rPr>
        <w:t>.</w:t>
      </w:r>
      <w:r w:rsidR="0043419D">
        <w:rPr>
          <w:sz w:val="20"/>
          <w:szCs w:val="20"/>
        </w:rPr>
        <w:t>Osina</w:t>
      </w:r>
      <w:r w:rsidR="00CB331E">
        <w:rPr>
          <w:sz w:val="20"/>
          <w:szCs w:val="20"/>
        </w:rPr>
        <w:t>@</w:t>
      </w:r>
      <w:r w:rsidR="00F54D04">
        <w:rPr>
          <w:sz w:val="20"/>
          <w:szCs w:val="20"/>
        </w:rPr>
        <w:t>fm</w:t>
      </w:r>
      <w:r w:rsidR="00CB331E">
        <w:rPr>
          <w:sz w:val="20"/>
          <w:szCs w:val="20"/>
        </w:rPr>
        <w:t>.gov.lv</w:t>
      </w:r>
    </w:p>
    <w:sectPr w:rsidR="00B22998" w:rsidSect="00245059">
      <w:headerReference w:type="even" r:id="rId8"/>
      <w:headerReference w:type="default" r:id="rId9"/>
      <w:footerReference w:type="default" r:id="rId10"/>
      <w:footerReference w:type="first" r:id="rId11"/>
      <w:pgSz w:w="11906" w:h="16838" w:code="9"/>
      <w:pgMar w:top="56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74" w:rsidRDefault="00515674" w:rsidP="00207CA2">
      <w:r>
        <w:separator/>
      </w:r>
    </w:p>
  </w:endnote>
  <w:endnote w:type="continuationSeparator" w:id="0">
    <w:p w:rsidR="00515674" w:rsidRDefault="00515674"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Pr="00D06967" w:rsidRDefault="00515674" w:rsidP="00B64B5F">
    <w:pPr>
      <w:pStyle w:val="Footer"/>
      <w:rPr>
        <w:sz w:val="20"/>
        <w:szCs w:val="20"/>
      </w:rPr>
    </w:pPr>
    <w:r>
      <w:rPr>
        <w:sz w:val="20"/>
        <w:szCs w:val="20"/>
      </w:rPr>
      <w:t>FM</w:t>
    </w:r>
    <w:r w:rsidRPr="00D06967">
      <w:rPr>
        <w:sz w:val="20"/>
        <w:szCs w:val="20"/>
      </w:rPr>
      <w:t>Anot_</w:t>
    </w:r>
    <w:r w:rsidR="00E60682">
      <w:rPr>
        <w:sz w:val="20"/>
        <w:szCs w:val="20"/>
      </w:rPr>
      <w:t>12</w:t>
    </w:r>
    <w:r w:rsidR="00D6682C">
      <w:rPr>
        <w:sz w:val="20"/>
        <w:szCs w:val="20"/>
      </w:rPr>
      <w:t>09</w:t>
    </w:r>
    <w:r w:rsidR="003121BB">
      <w:rPr>
        <w:sz w:val="20"/>
        <w:szCs w:val="20"/>
      </w:rPr>
      <w:t>13</w:t>
    </w:r>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515674" w:rsidRDefault="00515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Pr="00D06967" w:rsidRDefault="00515674" w:rsidP="00F54D04">
    <w:pPr>
      <w:pStyle w:val="Footer"/>
      <w:rPr>
        <w:sz w:val="20"/>
        <w:szCs w:val="20"/>
      </w:rPr>
    </w:pPr>
    <w:r>
      <w:rPr>
        <w:sz w:val="20"/>
        <w:szCs w:val="20"/>
      </w:rPr>
      <w:t>FM</w:t>
    </w:r>
    <w:r w:rsidRPr="00D06967">
      <w:rPr>
        <w:sz w:val="20"/>
        <w:szCs w:val="20"/>
      </w:rPr>
      <w:t>Anot_</w:t>
    </w:r>
    <w:r w:rsidR="00E60682">
      <w:rPr>
        <w:sz w:val="20"/>
        <w:szCs w:val="20"/>
      </w:rPr>
      <w:t>12</w:t>
    </w:r>
    <w:r w:rsidR="00D6682C">
      <w:rPr>
        <w:sz w:val="20"/>
        <w:szCs w:val="20"/>
      </w:rPr>
      <w:t>09</w:t>
    </w:r>
    <w:r>
      <w:rPr>
        <w:sz w:val="20"/>
        <w:szCs w:val="20"/>
      </w:rPr>
      <w:t>1</w:t>
    </w:r>
    <w:r w:rsidR="00D6682C">
      <w:rPr>
        <w:sz w:val="20"/>
        <w:szCs w:val="20"/>
      </w:rPr>
      <w:t>3</w:t>
    </w:r>
    <w:r>
      <w:rPr>
        <w:sz w:val="20"/>
        <w:szCs w:val="20"/>
      </w:rPr>
      <w:t>; L</w:t>
    </w:r>
    <w:r w:rsidRPr="00D06967">
      <w:rPr>
        <w:sz w:val="20"/>
        <w:szCs w:val="20"/>
      </w:rPr>
      <w:t>iku</w:t>
    </w:r>
    <w:r>
      <w:rPr>
        <w:sz w:val="20"/>
        <w:szCs w:val="20"/>
      </w:rPr>
      <w:t xml:space="preserve">mprojekta „Grozījumi Valsts un pašvaldību institūciju amatpersonu un darbinieku atlīdzības likumā” </w:t>
    </w:r>
    <w:r w:rsidRPr="00D06967">
      <w:rPr>
        <w:sz w:val="20"/>
        <w:szCs w:val="20"/>
      </w:rPr>
      <w:t>anotācija</w:t>
    </w:r>
  </w:p>
  <w:p w:rsidR="00515674" w:rsidRPr="00F54D04" w:rsidRDefault="00515674" w:rsidP="00F5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74" w:rsidRDefault="00515674" w:rsidP="00207CA2">
      <w:r>
        <w:separator/>
      </w:r>
    </w:p>
  </w:footnote>
  <w:footnote w:type="continuationSeparator" w:id="0">
    <w:p w:rsidR="00515674" w:rsidRDefault="00515674"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Default="00690428" w:rsidP="00FB2F9B">
    <w:pPr>
      <w:pStyle w:val="Header"/>
      <w:framePr w:wrap="around" w:vAnchor="text" w:hAnchor="margin" w:xAlign="center" w:y="1"/>
      <w:rPr>
        <w:rStyle w:val="PageNumber"/>
      </w:rPr>
    </w:pPr>
    <w:r>
      <w:rPr>
        <w:rStyle w:val="PageNumber"/>
      </w:rPr>
      <w:fldChar w:fldCharType="begin"/>
    </w:r>
    <w:r w:rsidR="00515674">
      <w:rPr>
        <w:rStyle w:val="PageNumber"/>
      </w:rPr>
      <w:instrText xml:space="preserve">PAGE  </w:instrText>
    </w:r>
    <w:r>
      <w:rPr>
        <w:rStyle w:val="PageNumber"/>
      </w:rPr>
      <w:fldChar w:fldCharType="end"/>
    </w:r>
  </w:p>
  <w:p w:rsidR="00515674" w:rsidRDefault="00515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74" w:rsidRDefault="00690428" w:rsidP="00FB2F9B">
    <w:pPr>
      <w:pStyle w:val="Header"/>
      <w:framePr w:wrap="around" w:vAnchor="text" w:hAnchor="margin" w:xAlign="center" w:y="1"/>
      <w:rPr>
        <w:rStyle w:val="PageNumber"/>
      </w:rPr>
    </w:pPr>
    <w:r>
      <w:rPr>
        <w:rStyle w:val="PageNumber"/>
      </w:rPr>
      <w:fldChar w:fldCharType="begin"/>
    </w:r>
    <w:r w:rsidR="00515674">
      <w:rPr>
        <w:rStyle w:val="PageNumber"/>
      </w:rPr>
      <w:instrText xml:space="preserve">PAGE  </w:instrText>
    </w:r>
    <w:r>
      <w:rPr>
        <w:rStyle w:val="PageNumber"/>
      </w:rPr>
      <w:fldChar w:fldCharType="separate"/>
    </w:r>
    <w:r w:rsidR="009D7160">
      <w:rPr>
        <w:rStyle w:val="PageNumber"/>
        <w:noProof/>
      </w:rPr>
      <w:t>10</w:t>
    </w:r>
    <w:r>
      <w:rPr>
        <w:rStyle w:val="PageNumber"/>
      </w:rPr>
      <w:fldChar w:fldCharType="end"/>
    </w:r>
  </w:p>
  <w:p w:rsidR="00515674" w:rsidRDefault="0051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
  </w:num>
  <w:num w:numId="5">
    <w:abstractNumId w:val="0"/>
  </w:num>
  <w:num w:numId="6">
    <w:abstractNumId w:val="11"/>
  </w:num>
  <w:num w:numId="7">
    <w:abstractNumId w:val="18"/>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0"/>
  </w:num>
  <w:num w:numId="15">
    <w:abstractNumId w:val="17"/>
  </w:num>
  <w:num w:numId="16">
    <w:abstractNumId w:val="19"/>
  </w:num>
  <w:num w:numId="17">
    <w:abstractNumId w:val="1"/>
  </w:num>
  <w:num w:numId="18">
    <w:abstractNumId w:val="7"/>
  </w:num>
  <w:num w:numId="19">
    <w:abstractNumId w:val="22"/>
  </w:num>
  <w:num w:numId="20">
    <w:abstractNumId w:val="21"/>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2"/>
    <w:rsid w:val="00000DAF"/>
    <w:rsid w:val="00004EB3"/>
    <w:rsid w:val="00006A92"/>
    <w:rsid w:val="00014952"/>
    <w:rsid w:val="000155DD"/>
    <w:rsid w:val="00016113"/>
    <w:rsid w:val="0003238F"/>
    <w:rsid w:val="000410C7"/>
    <w:rsid w:val="00042851"/>
    <w:rsid w:val="000443F0"/>
    <w:rsid w:val="00050C84"/>
    <w:rsid w:val="0005294C"/>
    <w:rsid w:val="00065BBF"/>
    <w:rsid w:val="00071C60"/>
    <w:rsid w:val="00072B07"/>
    <w:rsid w:val="000750DF"/>
    <w:rsid w:val="000770EA"/>
    <w:rsid w:val="00086D60"/>
    <w:rsid w:val="0009230E"/>
    <w:rsid w:val="000B0E3F"/>
    <w:rsid w:val="000B6DAF"/>
    <w:rsid w:val="000B7280"/>
    <w:rsid w:val="000D06CC"/>
    <w:rsid w:val="000D0D5E"/>
    <w:rsid w:val="000E10D9"/>
    <w:rsid w:val="000E2746"/>
    <w:rsid w:val="000E44EE"/>
    <w:rsid w:val="000E59B5"/>
    <w:rsid w:val="000F13DA"/>
    <w:rsid w:val="000F6E45"/>
    <w:rsid w:val="00113E7C"/>
    <w:rsid w:val="00121384"/>
    <w:rsid w:val="001248C6"/>
    <w:rsid w:val="00125085"/>
    <w:rsid w:val="0012555B"/>
    <w:rsid w:val="001301D0"/>
    <w:rsid w:val="00135AE4"/>
    <w:rsid w:val="00141776"/>
    <w:rsid w:val="00145E28"/>
    <w:rsid w:val="00146B23"/>
    <w:rsid w:val="001551F5"/>
    <w:rsid w:val="00161C70"/>
    <w:rsid w:val="00165F47"/>
    <w:rsid w:val="00172540"/>
    <w:rsid w:val="00176BBA"/>
    <w:rsid w:val="001815BF"/>
    <w:rsid w:val="00183351"/>
    <w:rsid w:val="00184577"/>
    <w:rsid w:val="00185E3E"/>
    <w:rsid w:val="00190B42"/>
    <w:rsid w:val="00194887"/>
    <w:rsid w:val="00195D2E"/>
    <w:rsid w:val="00196BF3"/>
    <w:rsid w:val="001A1524"/>
    <w:rsid w:val="001A2B1A"/>
    <w:rsid w:val="001A5B17"/>
    <w:rsid w:val="001B007D"/>
    <w:rsid w:val="001B0425"/>
    <w:rsid w:val="001B0436"/>
    <w:rsid w:val="001B6A3C"/>
    <w:rsid w:val="001B7421"/>
    <w:rsid w:val="001C7CE0"/>
    <w:rsid w:val="001D54AC"/>
    <w:rsid w:val="001E2439"/>
    <w:rsid w:val="001E26A1"/>
    <w:rsid w:val="001E34CD"/>
    <w:rsid w:val="001E7CFA"/>
    <w:rsid w:val="001F1DE2"/>
    <w:rsid w:val="001F41D8"/>
    <w:rsid w:val="001F7FF0"/>
    <w:rsid w:val="00207CA2"/>
    <w:rsid w:val="002167F5"/>
    <w:rsid w:val="00217D35"/>
    <w:rsid w:val="00225F6E"/>
    <w:rsid w:val="002328F9"/>
    <w:rsid w:val="00233C34"/>
    <w:rsid w:val="002401C2"/>
    <w:rsid w:val="002414AC"/>
    <w:rsid w:val="00245059"/>
    <w:rsid w:val="0024634B"/>
    <w:rsid w:val="00250377"/>
    <w:rsid w:val="00250ECD"/>
    <w:rsid w:val="00251773"/>
    <w:rsid w:val="00252798"/>
    <w:rsid w:val="00255B42"/>
    <w:rsid w:val="00255EBE"/>
    <w:rsid w:val="00257903"/>
    <w:rsid w:val="00261D16"/>
    <w:rsid w:val="00261FE9"/>
    <w:rsid w:val="002669A2"/>
    <w:rsid w:val="002758A4"/>
    <w:rsid w:val="00287A93"/>
    <w:rsid w:val="00297267"/>
    <w:rsid w:val="00297374"/>
    <w:rsid w:val="002975C2"/>
    <w:rsid w:val="002A02AE"/>
    <w:rsid w:val="002A449C"/>
    <w:rsid w:val="002A778E"/>
    <w:rsid w:val="002B1867"/>
    <w:rsid w:val="002B55A0"/>
    <w:rsid w:val="002C1E00"/>
    <w:rsid w:val="002C207F"/>
    <w:rsid w:val="002C5EB6"/>
    <w:rsid w:val="002D3AB5"/>
    <w:rsid w:val="002D40DF"/>
    <w:rsid w:val="002D61ED"/>
    <w:rsid w:val="002D73EF"/>
    <w:rsid w:val="002E0B49"/>
    <w:rsid w:val="002E76BA"/>
    <w:rsid w:val="003037BE"/>
    <w:rsid w:val="00307F13"/>
    <w:rsid w:val="00310590"/>
    <w:rsid w:val="003121BB"/>
    <w:rsid w:val="00323FAA"/>
    <w:rsid w:val="0032599C"/>
    <w:rsid w:val="00325A79"/>
    <w:rsid w:val="0033167F"/>
    <w:rsid w:val="00332312"/>
    <w:rsid w:val="00335657"/>
    <w:rsid w:val="003365E9"/>
    <w:rsid w:val="003400E3"/>
    <w:rsid w:val="003411D3"/>
    <w:rsid w:val="00343184"/>
    <w:rsid w:val="00346792"/>
    <w:rsid w:val="0035260A"/>
    <w:rsid w:val="00352D9C"/>
    <w:rsid w:val="0035469D"/>
    <w:rsid w:val="0036108E"/>
    <w:rsid w:val="00382498"/>
    <w:rsid w:val="00391141"/>
    <w:rsid w:val="003A184B"/>
    <w:rsid w:val="003B49B9"/>
    <w:rsid w:val="003B6085"/>
    <w:rsid w:val="003C3BEA"/>
    <w:rsid w:val="003D6516"/>
    <w:rsid w:val="003D76A5"/>
    <w:rsid w:val="003E38BD"/>
    <w:rsid w:val="003E705D"/>
    <w:rsid w:val="003E7202"/>
    <w:rsid w:val="003F2670"/>
    <w:rsid w:val="003F4F0E"/>
    <w:rsid w:val="003F6557"/>
    <w:rsid w:val="0040158F"/>
    <w:rsid w:val="00411D8C"/>
    <w:rsid w:val="00416A17"/>
    <w:rsid w:val="004237F0"/>
    <w:rsid w:val="00426B9D"/>
    <w:rsid w:val="00432363"/>
    <w:rsid w:val="00433312"/>
    <w:rsid w:val="0043419D"/>
    <w:rsid w:val="00440376"/>
    <w:rsid w:val="00443CE4"/>
    <w:rsid w:val="0044439B"/>
    <w:rsid w:val="004458E0"/>
    <w:rsid w:val="00445E3B"/>
    <w:rsid w:val="00446FAB"/>
    <w:rsid w:val="00457ACB"/>
    <w:rsid w:val="004641E7"/>
    <w:rsid w:val="00467FCB"/>
    <w:rsid w:val="00470BCA"/>
    <w:rsid w:val="00473290"/>
    <w:rsid w:val="00491976"/>
    <w:rsid w:val="00497234"/>
    <w:rsid w:val="004B33D0"/>
    <w:rsid w:val="004B79F1"/>
    <w:rsid w:val="004C0F27"/>
    <w:rsid w:val="004D636C"/>
    <w:rsid w:val="004D7920"/>
    <w:rsid w:val="004E3B78"/>
    <w:rsid w:val="005064E9"/>
    <w:rsid w:val="00515674"/>
    <w:rsid w:val="00517259"/>
    <w:rsid w:val="00520CFD"/>
    <w:rsid w:val="0052161A"/>
    <w:rsid w:val="0053119B"/>
    <w:rsid w:val="005354BC"/>
    <w:rsid w:val="00536E2B"/>
    <w:rsid w:val="00540614"/>
    <w:rsid w:val="005407AC"/>
    <w:rsid w:val="005424AF"/>
    <w:rsid w:val="00556EAE"/>
    <w:rsid w:val="00572C6B"/>
    <w:rsid w:val="005740F0"/>
    <w:rsid w:val="005858E5"/>
    <w:rsid w:val="00591961"/>
    <w:rsid w:val="005A0BEA"/>
    <w:rsid w:val="005A1736"/>
    <w:rsid w:val="005A4585"/>
    <w:rsid w:val="005A5AE7"/>
    <w:rsid w:val="005B13CC"/>
    <w:rsid w:val="005C1B5F"/>
    <w:rsid w:val="005C3C76"/>
    <w:rsid w:val="005C5609"/>
    <w:rsid w:val="005C778D"/>
    <w:rsid w:val="005D04F3"/>
    <w:rsid w:val="005D4608"/>
    <w:rsid w:val="005D4D62"/>
    <w:rsid w:val="005E5E34"/>
    <w:rsid w:val="005F0DA1"/>
    <w:rsid w:val="005F1F2C"/>
    <w:rsid w:val="005F5B30"/>
    <w:rsid w:val="005F70F3"/>
    <w:rsid w:val="00610618"/>
    <w:rsid w:val="00611AFF"/>
    <w:rsid w:val="00612F5B"/>
    <w:rsid w:val="00616668"/>
    <w:rsid w:val="00621E2C"/>
    <w:rsid w:val="0062316F"/>
    <w:rsid w:val="006306BF"/>
    <w:rsid w:val="006310A2"/>
    <w:rsid w:val="0063340F"/>
    <w:rsid w:val="00635690"/>
    <w:rsid w:val="0063701D"/>
    <w:rsid w:val="00637224"/>
    <w:rsid w:val="00641D62"/>
    <w:rsid w:val="0064234B"/>
    <w:rsid w:val="006506B3"/>
    <w:rsid w:val="006621C3"/>
    <w:rsid w:val="00663419"/>
    <w:rsid w:val="00665F06"/>
    <w:rsid w:val="00667D17"/>
    <w:rsid w:val="006773B1"/>
    <w:rsid w:val="00680B87"/>
    <w:rsid w:val="006810F7"/>
    <w:rsid w:val="006849DD"/>
    <w:rsid w:val="00686F5A"/>
    <w:rsid w:val="0068723A"/>
    <w:rsid w:val="00687624"/>
    <w:rsid w:val="00690428"/>
    <w:rsid w:val="00691DAC"/>
    <w:rsid w:val="006A01B8"/>
    <w:rsid w:val="006A148E"/>
    <w:rsid w:val="006A5596"/>
    <w:rsid w:val="006B2034"/>
    <w:rsid w:val="006C4CDB"/>
    <w:rsid w:val="006E3BEA"/>
    <w:rsid w:val="006E6B9C"/>
    <w:rsid w:val="006F41E2"/>
    <w:rsid w:val="00706669"/>
    <w:rsid w:val="0070679E"/>
    <w:rsid w:val="00725DD6"/>
    <w:rsid w:val="00741F93"/>
    <w:rsid w:val="0074240B"/>
    <w:rsid w:val="0074330C"/>
    <w:rsid w:val="0074732B"/>
    <w:rsid w:val="00751CAD"/>
    <w:rsid w:val="00756FEB"/>
    <w:rsid w:val="0075777E"/>
    <w:rsid w:val="00760356"/>
    <w:rsid w:val="007777D4"/>
    <w:rsid w:val="00777D71"/>
    <w:rsid w:val="00787793"/>
    <w:rsid w:val="00791E2C"/>
    <w:rsid w:val="00794636"/>
    <w:rsid w:val="00795939"/>
    <w:rsid w:val="007A1BC6"/>
    <w:rsid w:val="007B17AB"/>
    <w:rsid w:val="007B2425"/>
    <w:rsid w:val="007B6737"/>
    <w:rsid w:val="007B6ED1"/>
    <w:rsid w:val="007C448F"/>
    <w:rsid w:val="007D6F13"/>
    <w:rsid w:val="007E12B2"/>
    <w:rsid w:val="007E66E4"/>
    <w:rsid w:val="007F0167"/>
    <w:rsid w:val="007F0ED4"/>
    <w:rsid w:val="007F20A2"/>
    <w:rsid w:val="007F3E8E"/>
    <w:rsid w:val="007F64B9"/>
    <w:rsid w:val="007F7934"/>
    <w:rsid w:val="0080439F"/>
    <w:rsid w:val="00811B10"/>
    <w:rsid w:val="008204A0"/>
    <w:rsid w:val="00822197"/>
    <w:rsid w:val="00823E65"/>
    <w:rsid w:val="0082527D"/>
    <w:rsid w:val="00830FF9"/>
    <w:rsid w:val="008327A2"/>
    <w:rsid w:val="00835FC7"/>
    <w:rsid w:val="0084189E"/>
    <w:rsid w:val="0084382A"/>
    <w:rsid w:val="00846C6D"/>
    <w:rsid w:val="00861097"/>
    <w:rsid w:val="008715DB"/>
    <w:rsid w:val="00876E97"/>
    <w:rsid w:val="00880EEC"/>
    <w:rsid w:val="00883D62"/>
    <w:rsid w:val="00885274"/>
    <w:rsid w:val="0089609F"/>
    <w:rsid w:val="008A249A"/>
    <w:rsid w:val="008C0B3D"/>
    <w:rsid w:val="008C2487"/>
    <w:rsid w:val="008C35AA"/>
    <w:rsid w:val="008C48E3"/>
    <w:rsid w:val="008D07FE"/>
    <w:rsid w:val="008D1092"/>
    <w:rsid w:val="008D1C60"/>
    <w:rsid w:val="008D2AA7"/>
    <w:rsid w:val="008E04DD"/>
    <w:rsid w:val="008E1CD0"/>
    <w:rsid w:val="008E4A7F"/>
    <w:rsid w:val="008E53DE"/>
    <w:rsid w:val="0090171C"/>
    <w:rsid w:val="00901B3D"/>
    <w:rsid w:val="00904777"/>
    <w:rsid w:val="00906ED6"/>
    <w:rsid w:val="00912191"/>
    <w:rsid w:val="00914ACF"/>
    <w:rsid w:val="009222A3"/>
    <w:rsid w:val="00924988"/>
    <w:rsid w:val="0092506E"/>
    <w:rsid w:val="00926B49"/>
    <w:rsid w:val="00930906"/>
    <w:rsid w:val="00933648"/>
    <w:rsid w:val="00943A52"/>
    <w:rsid w:val="00945CC8"/>
    <w:rsid w:val="00946964"/>
    <w:rsid w:val="00954FE5"/>
    <w:rsid w:val="00956BDB"/>
    <w:rsid w:val="00961F06"/>
    <w:rsid w:val="00963F30"/>
    <w:rsid w:val="009646B8"/>
    <w:rsid w:val="0096581B"/>
    <w:rsid w:val="00966A98"/>
    <w:rsid w:val="009714F4"/>
    <w:rsid w:val="0097200A"/>
    <w:rsid w:val="00990702"/>
    <w:rsid w:val="009909DA"/>
    <w:rsid w:val="009A0535"/>
    <w:rsid w:val="009A1AE8"/>
    <w:rsid w:val="009B14F8"/>
    <w:rsid w:val="009B5D92"/>
    <w:rsid w:val="009B6160"/>
    <w:rsid w:val="009B6E5F"/>
    <w:rsid w:val="009C3275"/>
    <w:rsid w:val="009C3580"/>
    <w:rsid w:val="009C56A4"/>
    <w:rsid w:val="009C7CE8"/>
    <w:rsid w:val="009D49DA"/>
    <w:rsid w:val="009D7160"/>
    <w:rsid w:val="009E181A"/>
    <w:rsid w:val="009E3A74"/>
    <w:rsid w:val="009F1F3F"/>
    <w:rsid w:val="00A119B5"/>
    <w:rsid w:val="00A12250"/>
    <w:rsid w:val="00A12E91"/>
    <w:rsid w:val="00A17B60"/>
    <w:rsid w:val="00A2084D"/>
    <w:rsid w:val="00A25324"/>
    <w:rsid w:val="00A35C56"/>
    <w:rsid w:val="00A41591"/>
    <w:rsid w:val="00A44684"/>
    <w:rsid w:val="00A51F85"/>
    <w:rsid w:val="00A74432"/>
    <w:rsid w:val="00A77C45"/>
    <w:rsid w:val="00A8679C"/>
    <w:rsid w:val="00A90D7E"/>
    <w:rsid w:val="00A93CF8"/>
    <w:rsid w:val="00A96E79"/>
    <w:rsid w:val="00AA1683"/>
    <w:rsid w:val="00AB39DE"/>
    <w:rsid w:val="00AB785E"/>
    <w:rsid w:val="00AC347D"/>
    <w:rsid w:val="00AD3FCE"/>
    <w:rsid w:val="00AD77C6"/>
    <w:rsid w:val="00AE2910"/>
    <w:rsid w:val="00AE2BA6"/>
    <w:rsid w:val="00AE3A74"/>
    <w:rsid w:val="00AE4F6E"/>
    <w:rsid w:val="00AE77BE"/>
    <w:rsid w:val="00AF23E2"/>
    <w:rsid w:val="00B01C90"/>
    <w:rsid w:val="00B10763"/>
    <w:rsid w:val="00B13304"/>
    <w:rsid w:val="00B15212"/>
    <w:rsid w:val="00B16AAE"/>
    <w:rsid w:val="00B20A4A"/>
    <w:rsid w:val="00B22632"/>
    <w:rsid w:val="00B22998"/>
    <w:rsid w:val="00B256DC"/>
    <w:rsid w:val="00B31FB3"/>
    <w:rsid w:val="00B34B85"/>
    <w:rsid w:val="00B449A0"/>
    <w:rsid w:val="00B45339"/>
    <w:rsid w:val="00B47015"/>
    <w:rsid w:val="00B51074"/>
    <w:rsid w:val="00B55AC7"/>
    <w:rsid w:val="00B5749C"/>
    <w:rsid w:val="00B63302"/>
    <w:rsid w:val="00B63B52"/>
    <w:rsid w:val="00B64B5F"/>
    <w:rsid w:val="00B66F0C"/>
    <w:rsid w:val="00B710C2"/>
    <w:rsid w:val="00B76108"/>
    <w:rsid w:val="00B84D46"/>
    <w:rsid w:val="00B9030D"/>
    <w:rsid w:val="00B95B5E"/>
    <w:rsid w:val="00B966E6"/>
    <w:rsid w:val="00B97C23"/>
    <w:rsid w:val="00BA2D87"/>
    <w:rsid w:val="00BA3377"/>
    <w:rsid w:val="00BA6BF1"/>
    <w:rsid w:val="00BB285D"/>
    <w:rsid w:val="00BB70CD"/>
    <w:rsid w:val="00BC44B7"/>
    <w:rsid w:val="00BC5470"/>
    <w:rsid w:val="00BD08EF"/>
    <w:rsid w:val="00BE046B"/>
    <w:rsid w:val="00BE2BED"/>
    <w:rsid w:val="00BE515F"/>
    <w:rsid w:val="00C009AE"/>
    <w:rsid w:val="00C04C0D"/>
    <w:rsid w:val="00C10C5A"/>
    <w:rsid w:val="00C11404"/>
    <w:rsid w:val="00C16234"/>
    <w:rsid w:val="00C33E10"/>
    <w:rsid w:val="00C36F1F"/>
    <w:rsid w:val="00C51848"/>
    <w:rsid w:val="00C54333"/>
    <w:rsid w:val="00C63C6F"/>
    <w:rsid w:val="00C66ECD"/>
    <w:rsid w:val="00C7106E"/>
    <w:rsid w:val="00C71705"/>
    <w:rsid w:val="00C76338"/>
    <w:rsid w:val="00C811CC"/>
    <w:rsid w:val="00C8311A"/>
    <w:rsid w:val="00CA2DD7"/>
    <w:rsid w:val="00CA6B69"/>
    <w:rsid w:val="00CB331E"/>
    <w:rsid w:val="00CB6623"/>
    <w:rsid w:val="00CC0BF6"/>
    <w:rsid w:val="00CE34B7"/>
    <w:rsid w:val="00CE6CF1"/>
    <w:rsid w:val="00CE743F"/>
    <w:rsid w:val="00CF38F8"/>
    <w:rsid w:val="00CF4F13"/>
    <w:rsid w:val="00CF6E74"/>
    <w:rsid w:val="00D04A23"/>
    <w:rsid w:val="00D04C75"/>
    <w:rsid w:val="00D12F8E"/>
    <w:rsid w:val="00D1345D"/>
    <w:rsid w:val="00D14C18"/>
    <w:rsid w:val="00D21A59"/>
    <w:rsid w:val="00D230B1"/>
    <w:rsid w:val="00D247A8"/>
    <w:rsid w:val="00D32B34"/>
    <w:rsid w:val="00D56426"/>
    <w:rsid w:val="00D572B7"/>
    <w:rsid w:val="00D62295"/>
    <w:rsid w:val="00D649BE"/>
    <w:rsid w:val="00D6682C"/>
    <w:rsid w:val="00D675B3"/>
    <w:rsid w:val="00D77268"/>
    <w:rsid w:val="00D822D0"/>
    <w:rsid w:val="00D82E58"/>
    <w:rsid w:val="00D903AA"/>
    <w:rsid w:val="00D93EE6"/>
    <w:rsid w:val="00D94A9D"/>
    <w:rsid w:val="00DA4497"/>
    <w:rsid w:val="00DA6FE6"/>
    <w:rsid w:val="00DB25A2"/>
    <w:rsid w:val="00DB3B4A"/>
    <w:rsid w:val="00DB52AA"/>
    <w:rsid w:val="00DC1FEC"/>
    <w:rsid w:val="00DC68DC"/>
    <w:rsid w:val="00DD0419"/>
    <w:rsid w:val="00DD0FB6"/>
    <w:rsid w:val="00DE6296"/>
    <w:rsid w:val="00DF0F58"/>
    <w:rsid w:val="00E05A6B"/>
    <w:rsid w:val="00E10327"/>
    <w:rsid w:val="00E15001"/>
    <w:rsid w:val="00E16999"/>
    <w:rsid w:val="00E36D6C"/>
    <w:rsid w:val="00E37D4E"/>
    <w:rsid w:val="00E41521"/>
    <w:rsid w:val="00E41BBB"/>
    <w:rsid w:val="00E43071"/>
    <w:rsid w:val="00E46427"/>
    <w:rsid w:val="00E50EF0"/>
    <w:rsid w:val="00E565A9"/>
    <w:rsid w:val="00E571F4"/>
    <w:rsid w:val="00E60682"/>
    <w:rsid w:val="00E6245C"/>
    <w:rsid w:val="00E744A5"/>
    <w:rsid w:val="00E75082"/>
    <w:rsid w:val="00E84CA3"/>
    <w:rsid w:val="00E902D1"/>
    <w:rsid w:val="00EA2B42"/>
    <w:rsid w:val="00EA4729"/>
    <w:rsid w:val="00EB5E1A"/>
    <w:rsid w:val="00EC6AEB"/>
    <w:rsid w:val="00EC7531"/>
    <w:rsid w:val="00ED0F24"/>
    <w:rsid w:val="00ED27FB"/>
    <w:rsid w:val="00ED48C3"/>
    <w:rsid w:val="00EE4069"/>
    <w:rsid w:val="00EE4405"/>
    <w:rsid w:val="00EF57C6"/>
    <w:rsid w:val="00EF6BD5"/>
    <w:rsid w:val="00EF70BC"/>
    <w:rsid w:val="00F048B1"/>
    <w:rsid w:val="00F05160"/>
    <w:rsid w:val="00F077C7"/>
    <w:rsid w:val="00F25A2B"/>
    <w:rsid w:val="00F35753"/>
    <w:rsid w:val="00F37256"/>
    <w:rsid w:val="00F37CD2"/>
    <w:rsid w:val="00F4046F"/>
    <w:rsid w:val="00F4070A"/>
    <w:rsid w:val="00F412E5"/>
    <w:rsid w:val="00F46DFC"/>
    <w:rsid w:val="00F54D04"/>
    <w:rsid w:val="00F55CA4"/>
    <w:rsid w:val="00F56E78"/>
    <w:rsid w:val="00F62F19"/>
    <w:rsid w:val="00F664DC"/>
    <w:rsid w:val="00F7332F"/>
    <w:rsid w:val="00F7750F"/>
    <w:rsid w:val="00F850EB"/>
    <w:rsid w:val="00F861B3"/>
    <w:rsid w:val="00F9184A"/>
    <w:rsid w:val="00F9363E"/>
    <w:rsid w:val="00F9415F"/>
    <w:rsid w:val="00F94A09"/>
    <w:rsid w:val="00FA0908"/>
    <w:rsid w:val="00FA1820"/>
    <w:rsid w:val="00FA5D76"/>
    <w:rsid w:val="00FA7BFE"/>
    <w:rsid w:val="00FB2F9B"/>
    <w:rsid w:val="00FC1544"/>
    <w:rsid w:val="00FC2734"/>
    <w:rsid w:val="00FC5BE0"/>
    <w:rsid w:val="00FC76A2"/>
    <w:rsid w:val="00FD68E0"/>
    <w:rsid w:val="00FE0DA0"/>
    <w:rsid w:val="00FE14F4"/>
    <w:rsid w:val="00FE16CD"/>
    <w:rsid w:val="00FE1B86"/>
    <w:rsid w:val="00FE7707"/>
    <w:rsid w:val="00FE7FCA"/>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73729"/>
    <o:shapelayout v:ext="edit">
      <o:idmap v:ext="edit" data="1"/>
    </o:shapelayout>
  </w:shapeDefaults>
  <w:decimalSymbol w:val=","/>
  <w:listSeparator w:val=";"/>
  <w15:docId w15:val="{9D2409EA-090F-4B03-81CE-86D222A5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 w:type="character" w:customStyle="1" w:styleId="apple-converted-space">
    <w:name w:val="apple-converted-space"/>
    <w:basedOn w:val="DefaultParagraphFont"/>
    <w:rsid w:val="0042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 w:id="20031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234B-0530-4DAD-8D90-2A56126D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4292</Words>
  <Characters>29835</Characters>
  <Application>Microsoft Office Word</Application>
  <DocSecurity>0</DocSecurity>
  <Lines>852</Lines>
  <Paragraphs>291</Paragraphs>
  <ScaleCrop>false</ScaleCrop>
  <HeadingPairs>
    <vt:vector size="2" baseType="variant">
      <vt:variant>
        <vt:lpstr>Title</vt:lpstr>
      </vt:variant>
      <vt:variant>
        <vt:i4>1</vt:i4>
      </vt:variant>
    </vt:vector>
  </HeadingPairs>
  <TitlesOfParts>
    <vt:vector size="1" baseType="lpstr">
      <vt:lpstr>Likumprojekts "Grozījums Valsts un pašvaldību instuitūciju amatpersonu un darbinieku atlīdzības likumā"</vt:lpstr>
    </vt:vector>
  </TitlesOfParts>
  <Manager>Juridiskais departaments</Manager>
  <Company>AiM</Company>
  <LinksUpToDate>false</LinksUpToDate>
  <CharactersWithSpaces>33836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Valsts un pašvaldību instuitūciju amatpersonu un darbinieku atlīdzības likumā"</dc:title>
  <dc:subject>anotācija</dc:subject>
  <dc:creator>I.Ošiņa</dc:creator>
  <dc:description>Inga.osina@fm.gov.lv, 
tālr. 67095662</dc:description>
  <cp:lastModifiedBy>Artemjeva Ineta</cp:lastModifiedBy>
  <cp:revision>75</cp:revision>
  <cp:lastPrinted>2013-09-13T14:46:00Z</cp:lastPrinted>
  <dcterms:created xsi:type="dcterms:W3CDTF">2013-09-12T10:44:00Z</dcterms:created>
  <dcterms:modified xsi:type="dcterms:W3CDTF">2013-09-16T07:32:00Z</dcterms:modified>
</cp:coreProperties>
</file>