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31570" w14:textId="7D04721B" w:rsidR="00F06FE2" w:rsidRPr="001B4906" w:rsidRDefault="001B4906" w:rsidP="00F06FE2">
      <w:pPr>
        <w:pStyle w:val="BodyText"/>
        <w:rPr>
          <w:b/>
          <w:sz w:val="26"/>
          <w:szCs w:val="26"/>
        </w:rPr>
      </w:pPr>
      <w:bookmarkStart w:id="0" w:name="OLE_LINK6"/>
      <w:bookmarkStart w:id="1" w:name="OLE_LINK7"/>
      <w:r w:rsidRPr="001B4906">
        <w:rPr>
          <w:b/>
          <w:sz w:val="26"/>
          <w:szCs w:val="26"/>
        </w:rPr>
        <w:t>Rīkojuma projekta „Par ēnu ekonomikas apkarošanas pasākumu īstenošanā iesaistīto institūciju amatpersonu darbinieku motivēšanu un apropriācijas palielinājumam novirzāmo finansējuma apjomu”</w:t>
      </w:r>
      <w:r w:rsidR="00F06FE2" w:rsidRPr="001B4906">
        <w:rPr>
          <w:b/>
          <w:sz w:val="26"/>
          <w:szCs w:val="26"/>
        </w:rPr>
        <w:t xml:space="preserve"> sākotnējās ietekmes novērtējuma ziņojums (anotācija</w:t>
      </w:r>
      <w:bookmarkEnd w:id="0"/>
      <w:bookmarkEnd w:id="1"/>
      <w:r w:rsidR="00F06FE2" w:rsidRPr="001B4906">
        <w:rPr>
          <w:b/>
          <w:sz w:val="26"/>
          <w:szCs w:val="26"/>
        </w:rPr>
        <w:t>)</w:t>
      </w:r>
    </w:p>
    <w:p w14:paraId="558A3FA1" w14:textId="77777777" w:rsidR="00F06FE2" w:rsidRPr="001B4906" w:rsidRDefault="00F06FE2" w:rsidP="00F06FE2">
      <w:pPr>
        <w:pStyle w:val="BodyText"/>
        <w:rPr>
          <w:sz w:val="26"/>
          <w:szCs w:val="26"/>
        </w:rPr>
      </w:pPr>
    </w:p>
    <w:tbl>
      <w:tblPr>
        <w:tblW w:w="878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8"/>
        <w:gridCol w:w="1897"/>
        <w:gridCol w:w="6356"/>
      </w:tblGrid>
      <w:tr w:rsidR="001B4906" w:rsidRPr="001B4906" w14:paraId="31A9BA8E" w14:textId="77777777" w:rsidTr="002A69C0">
        <w:trPr>
          <w:trHeight w:val="564"/>
          <w:tblCellSpacing w:w="0" w:type="dxa"/>
        </w:trPr>
        <w:tc>
          <w:tcPr>
            <w:tcW w:w="8781" w:type="dxa"/>
            <w:gridSpan w:val="3"/>
            <w:tcBorders>
              <w:top w:val="outset" w:sz="6" w:space="0" w:color="auto"/>
              <w:left w:val="outset" w:sz="6" w:space="0" w:color="auto"/>
              <w:bottom w:val="outset" w:sz="6" w:space="0" w:color="auto"/>
              <w:right w:val="outset" w:sz="6" w:space="0" w:color="auto"/>
            </w:tcBorders>
            <w:vAlign w:val="center"/>
          </w:tcPr>
          <w:p w14:paraId="33B7EA71" w14:textId="77777777" w:rsidR="00F06FE2" w:rsidRPr="001B4906" w:rsidRDefault="00F06FE2" w:rsidP="00BD4854">
            <w:pPr>
              <w:pStyle w:val="naisc"/>
              <w:jc w:val="center"/>
              <w:rPr>
                <w:sz w:val="26"/>
                <w:szCs w:val="26"/>
              </w:rPr>
            </w:pPr>
            <w:r w:rsidRPr="001B4906">
              <w:rPr>
                <w:bCs/>
                <w:sz w:val="26"/>
                <w:szCs w:val="26"/>
              </w:rPr>
              <w:t>I. Tiesību akta projekta izstrādes nepieciešamība</w:t>
            </w:r>
          </w:p>
        </w:tc>
      </w:tr>
      <w:tr w:rsidR="001B4906" w:rsidRPr="002615E6" w14:paraId="061D4867" w14:textId="77777777" w:rsidTr="002A69C0">
        <w:trPr>
          <w:trHeight w:val="630"/>
          <w:tblCellSpacing w:w="0" w:type="dxa"/>
        </w:trPr>
        <w:tc>
          <w:tcPr>
            <w:tcW w:w="528" w:type="dxa"/>
            <w:tcBorders>
              <w:top w:val="outset" w:sz="6" w:space="0" w:color="auto"/>
              <w:left w:val="outset" w:sz="6" w:space="0" w:color="auto"/>
              <w:bottom w:val="outset" w:sz="6" w:space="0" w:color="auto"/>
              <w:right w:val="outset" w:sz="6" w:space="0" w:color="auto"/>
            </w:tcBorders>
          </w:tcPr>
          <w:p w14:paraId="5766BAB1" w14:textId="77777777" w:rsidR="00F06FE2" w:rsidRPr="001B4906" w:rsidRDefault="00F06FE2" w:rsidP="00BD4854">
            <w:pPr>
              <w:pStyle w:val="naiskr"/>
              <w:jc w:val="both"/>
              <w:rPr>
                <w:sz w:val="26"/>
                <w:szCs w:val="26"/>
              </w:rPr>
            </w:pPr>
            <w:r w:rsidRPr="001B4906">
              <w:rPr>
                <w:sz w:val="26"/>
                <w:szCs w:val="26"/>
              </w:rPr>
              <w:t> 1.</w:t>
            </w:r>
          </w:p>
        </w:tc>
        <w:tc>
          <w:tcPr>
            <w:tcW w:w="1897" w:type="dxa"/>
            <w:tcBorders>
              <w:top w:val="outset" w:sz="6" w:space="0" w:color="auto"/>
              <w:left w:val="outset" w:sz="6" w:space="0" w:color="auto"/>
              <w:bottom w:val="outset" w:sz="6" w:space="0" w:color="auto"/>
              <w:right w:val="outset" w:sz="6" w:space="0" w:color="auto"/>
            </w:tcBorders>
          </w:tcPr>
          <w:p w14:paraId="1B1501BA" w14:textId="77777777" w:rsidR="00F06FE2" w:rsidRPr="001B4906" w:rsidRDefault="00F06FE2" w:rsidP="00BD4854">
            <w:pPr>
              <w:pStyle w:val="naislab"/>
              <w:jc w:val="both"/>
              <w:rPr>
                <w:sz w:val="26"/>
                <w:szCs w:val="26"/>
              </w:rPr>
            </w:pPr>
            <w:r w:rsidRPr="001B4906">
              <w:rPr>
                <w:sz w:val="26"/>
                <w:szCs w:val="26"/>
              </w:rPr>
              <w:t>Pamatojums</w:t>
            </w:r>
          </w:p>
        </w:tc>
        <w:tc>
          <w:tcPr>
            <w:tcW w:w="6356" w:type="dxa"/>
            <w:tcBorders>
              <w:top w:val="outset" w:sz="6" w:space="0" w:color="auto"/>
              <w:left w:val="outset" w:sz="6" w:space="0" w:color="auto"/>
              <w:bottom w:val="outset" w:sz="6" w:space="0" w:color="auto"/>
              <w:right w:val="outset" w:sz="6" w:space="0" w:color="auto"/>
            </w:tcBorders>
          </w:tcPr>
          <w:p w14:paraId="0FF005DA" w14:textId="6FCBEF41" w:rsidR="00F06FE2" w:rsidRPr="001B4906" w:rsidRDefault="001B4906" w:rsidP="001B4906">
            <w:pPr>
              <w:jc w:val="both"/>
              <w:rPr>
                <w:bCs/>
                <w:sz w:val="26"/>
                <w:szCs w:val="26"/>
                <w:lang w:val="lv-LV"/>
              </w:rPr>
            </w:pPr>
            <w:r w:rsidRPr="001B4906">
              <w:rPr>
                <w:sz w:val="26"/>
                <w:szCs w:val="26"/>
                <w:lang w:val="lv-LV"/>
              </w:rPr>
              <w:t>Rīkojuma projekts</w:t>
            </w:r>
            <w:r w:rsidR="00F06FE2" w:rsidRPr="001B4906">
              <w:rPr>
                <w:sz w:val="26"/>
                <w:szCs w:val="26"/>
                <w:lang w:val="lv-LV"/>
              </w:rPr>
              <w:t xml:space="preserve"> sagatavots, </w:t>
            </w:r>
            <w:r w:rsidRPr="001B4906">
              <w:rPr>
                <w:sz w:val="26"/>
                <w:szCs w:val="26"/>
                <w:lang w:val="lv-LV"/>
              </w:rPr>
              <w:t>ņemot vērā</w:t>
            </w:r>
            <w:r w:rsidR="00F06FE2" w:rsidRPr="001B4906">
              <w:rPr>
                <w:sz w:val="26"/>
                <w:szCs w:val="26"/>
                <w:lang w:val="lv-LV"/>
              </w:rPr>
              <w:t xml:space="preserve"> </w:t>
            </w:r>
            <w:r w:rsidRPr="001B4906">
              <w:rPr>
                <w:sz w:val="26"/>
                <w:szCs w:val="26"/>
                <w:lang w:val="lv-LV"/>
              </w:rPr>
              <w:t>l</w:t>
            </w:r>
            <w:r w:rsidRPr="001B4906">
              <w:rPr>
                <w:rStyle w:val="spelle"/>
                <w:sz w:val="26"/>
                <w:szCs w:val="26"/>
                <w:lang w:val="lv-LV"/>
              </w:rPr>
              <w:t>ikuma „Par valsts budžetu 2013.gadam” 42.punktā minēto, kurš paredz, ka, ja 2013.gada sešu un deviņu mēnešu laikā ēnu ekonomikas apkarošanas pasākumu īstenošanā iesaistīto institūciju darbības rezultātā būtiski tiek uzlabota situācija ēnu ekonomikas apkarošanā un godīgas konkurences veicināšanā un tiek prognozēti ievērojami uzlabojumi arī līdz gada beigām, tad Ministru kabinets pieņem lēmumu par ēnu ekonomikas apkarošanas pasākumu īstenošanā iesaistīto institūciju amatpersonu (darbinieku) motivēšanu un apropriācijas palielinājumam novirzāmo finansējuma apjomu.</w:t>
            </w:r>
          </w:p>
        </w:tc>
      </w:tr>
      <w:tr w:rsidR="00773BF4" w:rsidRPr="002615E6" w14:paraId="00401325" w14:textId="77777777" w:rsidTr="002A69C0">
        <w:trPr>
          <w:trHeight w:val="472"/>
          <w:tblCellSpacing w:w="0" w:type="dxa"/>
        </w:trPr>
        <w:tc>
          <w:tcPr>
            <w:tcW w:w="528" w:type="dxa"/>
            <w:tcBorders>
              <w:top w:val="outset" w:sz="6" w:space="0" w:color="auto"/>
              <w:left w:val="outset" w:sz="6" w:space="0" w:color="auto"/>
              <w:bottom w:val="outset" w:sz="6" w:space="0" w:color="auto"/>
              <w:right w:val="outset" w:sz="6" w:space="0" w:color="auto"/>
            </w:tcBorders>
          </w:tcPr>
          <w:p w14:paraId="2C6F407B" w14:textId="77777777" w:rsidR="00F06FE2" w:rsidRPr="00773BF4" w:rsidRDefault="00F06FE2" w:rsidP="00BD4854">
            <w:pPr>
              <w:pStyle w:val="naiskr"/>
              <w:jc w:val="both"/>
              <w:rPr>
                <w:sz w:val="26"/>
                <w:szCs w:val="26"/>
              </w:rPr>
            </w:pPr>
            <w:r w:rsidRPr="00773BF4">
              <w:rPr>
                <w:sz w:val="26"/>
                <w:szCs w:val="26"/>
              </w:rPr>
              <w:t> 2.</w:t>
            </w:r>
          </w:p>
        </w:tc>
        <w:tc>
          <w:tcPr>
            <w:tcW w:w="1897" w:type="dxa"/>
            <w:tcBorders>
              <w:top w:val="outset" w:sz="6" w:space="0" w:color="auto"/>
              <w:left w:val="outset" w:sz="6" w:space="0" w:color="auto"/>
              <w:bottom w:val="outset" w:sz="6" w:space="0" w:color="auto"/>
              <w:right w:val="outset" w:sz="6" w:space="0" w:color="auto"/>
            </w:tcBorders>
          </w:tcPr>
          <w:p w14:paraId="5D20ECDF" w14:textId="0E84E3D3" w:rsidR="00F06FE2" w:rsidRPr="00773BF4" w:rsidRDefault="00F06FE2" w:rsidP="000522D9">
            <w:pPr>
              <w:pStyle w:val="naiskr"/>
              <w:jc w:val="both"/>
              <w:rPr>
                <w:sz w:val="26"/>
                <w:szCs w:val="26"/>
              </w:rPr>
            </w:pPr>
            <w:r w:rsidRPr="00773BF4">
              <w:rPr>
                <w:sz w:val="26"/>
                <w:szCs w:val="26"/>
              </w:rPr>
              <w:t>Pašreizējā situācija un problēmas</w:t>
            </w:r>
          </w:p>
        </w:tc>
        <w:tc>
          <w:tcPr>
            <w:tcW w:w="6356" w:type="dxa"/>
            <w:tcBorders>
              <w:top w:val="outset" w:sz="6" w:space="0" w:color="auto"/>
              <w:left w:val="outset" w:sz="6" w:space="0" w:color="auto"/>
              <w:bottom w:val="outset" w:sz="6" w:space="0" w:color="auto"/>
              <w:right w:val="outset" w:sz="6" w:space="0" w:color="auto"/>
            </w:tcBorders>
          </w:tcPr>
          <w:p w14:paraId="0A91132E" w14:textId="77777777" w:rsidR="00F06FE2" w:rsidRDefault="00DC38EF" w:rsidP="00773BF4">
            <w:pPr>
              <w:jc w:val="both"/>
              <w:rPr>
                <w:bCs/>
                <w:sz w:val="26"/>
                <w:szCs w:val="26"/>
                <w:lang w:val="lv-LV"/>
              </w:rPr>
            </w:pPr>
            <w:r w:rsidRPr="00DC38EF">
              <w:rPr>
                <w:bCs/>
                <w:sz w:val="26"/>
                <w:szCs w:val="26"/>
                <w:lang w:val="lv-LV"/>
              </w:rPr>
              <w:t>Kā liecina veiktie pētījumi ēnu ekonomikas apkarošanas jomā (t.i., Stokholmas Ekonomikas augstskolas Rīgā izstrādātie ikgadējie ziņojumi par ēnu ekonomikas indeksu Baltijas valstīs), ēnu ekonomikas līmenis jau otro gadu pēc kārtas strauji samazinās. Ēnu ekonomikas indekss Latvijā pagājušajā gadā ir samazinājies līdz 21,1 % no IKP, kas ir diezgan radikāls pavērsiens salīdzinājumā ar iepriekšējiem gadiem (2011.gadā - 30,2 %, 2010.gadā - 38,1 %). Arī pēc Austrijas Johanesa Keplera Universitātes profesora F.Šneidera pētījuma datiem ēnu ekonomikas apjoms Latvijā samazinās, t.i., 2012.gadā - 26,1 %, 2011.gadā - 26,5 %, 2010.gadā - 27,3 %, un tiek izteikta prognoze, ka 2013.gadā ēnu ekonomika samazināsies līdz 25,5 %.</w:t>
            </w:r>
          </w:p>
          <w:p w14:paraId="1332DACC" w14:textId="77777777" w:rsidR="00092F82" w:rsidRDefault="00092F82" w:rsidP="00092F82">
            <w:pPr>
              <w:jc w:val="both"/>
              <w:rPr>
                <w:bCs/>
                <w:sz w:val="26"/>
                <w:szCs w:val="26"/>
                <w:lang w:val="lv-LV"/>
              </w:rPr>
            </w:pPr>
            <w:r w:rsidRPr="00092F82">
              <w:rPr>
                <w:bCs/>
                <w:sz w:val="26"/>
                <w:szCs w:val="26"/>
                <w:lang w:val="lv-LV"/>
              </w:rPr>
              <w:t>Valsts ieņēmumu dienests (turpmāk – VID) 2013.gada pirmajos deviņos mēnešo</w:t>
            </w:r>
            <w:r>
              <w:rPr>
                <w:bCs/>
                <w:sz w:val="26"/>
                <w:szCs w:val="26"/>
                <w:lang w:val="lv-LV"/>
              </w:rPr>
              <w:t>s iekasējis 3 586,67 milj. latu,</w:t>
            </w:r>
            <w:r w:rsidRPr="00092F82">
              <w:rPr>
                <w:bCs/>
                <w:sz w:val="26"/>
                <w:szCs w:val="26"/>
                <w:lang w:val="lv-LV"/>
              </w:rPr>
              <w:t xml:space="preserve"> pārsniedzot plānotos nodokļu ieņēmumus </w:t>
            </w:r>
            <w:r>
              <w:rPr>
                <w:bCs/>
                <w:sz w:val="26"/>
                <w:szCs w:val="26"/>
                <w:lang w:val="lv-LV"/>
              </w:rPr>
              <w:t>par 137,26 milj. latu jeb 4,0 %.</w:t>
            </w:r>
          </w:p>
          <w:p w14:paraId="4F6C589B" w14:textId="77777777" w:rsidR="00092F82" w:rsidRDefault="00092F82" w:rsidP="00092F82">
            <w:pPr>
              <w:jc w:val="both"/>
              <w:rPr>
                <w:bCs/>
                <w:sz w:val="26"/>
                <w:szCs w:val="26"/>
                <w:lang w:val="lv-LV"/>
              </w:rPr>
            </w:pPr>
            <w:r w:rsidRPr="00092F82">
              <w:rPr>
                <w:bCs/>
                <w:sz w:val="26"/>
                <w:szCs w:val="26"/>
                <w:lang w:val="lv-LV"/>
              </w:rPr>
              <w:t xml:space="preserve">VID administrēto budžeta ieņēmumu rādītājus ir ietekmējusi gan VID administrējošo darbību rezultātu uzlabošana, gan ekonomiskās situācijas stabilizēšanās, gan izmaiņas saistošajos normatīvajos aktos. Būtiska nozīme nodokļu iekasēšanas uzlabošanā un rezultatīvo rādītāju paaugstināšanā prioritārajās darbības jomās ir arī VID darbinieku motivācijai – piemaksām un prēmijām par ieguldījumu un sekmīgu darbu ēnu ekonomikas mazināšanā un godīgas konkurences veicināšanā. Tiek prognozēts, ka kopējā VID administrēto valsts budžeta ieņēmumu plāna </w:t>
            </w:r>
            <w:r w:rsidRPr="00092F82">
              <w:rPr>
                <w:bCs/>
                <w:sz w:val="26"/>
                <w:szCs w:val="26"/>
                <w:lang w:val="lv-LV"/>
              </w:rPr>
              <w:lastRenderedPageBreak/>
              <w:t>izpilde 2013.gadā būs 103,0% apmērā, virs plāna iekasējot 138,93 milj. latu.</w:t>
            </w:r>
          </w:p>
          <w:p w14:paraId="5A60F434" w14:textId="77777777" w:rsidR="00276E0F" w:rsidRDefault="00276E0F" w:rsidP="00276E0F">
            <w:pPr>
              <w:jc w:val="both"/>
              <w:rPr>
                <w:bCs/>
                <w:sz w:val="26"/>
                <w:szCs w:val="26"/>
                <w:lang w:val="lv-LV"/>
              </w:rPr>
            </w:pPr>
            <w:r w:rsidRPr="00276E0F">
              <w:rPr>
                <w:bCs/>
                <w:sz w:val="26"/>
                <w:szCs w:val="26"/>
                <w:lang w:val="lv-LV"/>
              </w:rPr>
              <w:t>Valsts policijas Galvenās kriminālpolicijas pārvaldes darbības rezultātā 2013.gada 9 mēnešos pārtraukta 76 organizēto un noziedzīgo grupu darbība, t.sk. saistībā ar narkotisko un psihotropo vielu nelegālo apriti – 20; cilvēku tirdzniecību, personu nosūtīšanu seksuālai izmantošanai, sutenerismu – 7; dažādām zādzībām – 25; akcīzes preču nelegālo apriti – 2; nelikumīgām darbībām ar finanšu instrumentiem un maksāšanas līdzekļiem – 1; laupīšanām – 13; izspiešanu – 1; ES fondu līdzekļu izkrāpšanu – 1 u.c. Jānorāda, ka organizētās noziedzības darbība aizvien vairāk tiek saistīta ar legālo biznesu un finanšu līdzekļu novirzīšanu legālā biznesa attīstībai.</w:t>
            </w:r>
          </w:p>
          <w:p w14:paraId="5F5E2679" w14:textId="77777777" w:rsidR="00276E0F" w:rsidRDefault="00276E0F" w:rsidP="00276E0F">
            <w:pPr>
              <w:jc w:val="both"/>
              <w:rPr>
                <w:bCs/>
                <w:sz w:val="26"/>
                <w:szCs w:val="26"/>
                <w:lang w:val="lv-LV"/>
              </w:rPr>
            </w:pPr>
            <w:r w:rsidRPr="00276E0F">
              <w:rPr>
                <w:bCs/>
                <w:sz w:val="26"/>
                <w:szCs w:val="26"/>
                <w:lang w:val="lv-LV"/>
              </w:rPr>
              <w:t>Pārskata periodā Valsts robežsardzes amatpersonas konstatēja 222 (2012.gada deviņos mēnešos – 153) nelikumīgas preču pārvietošanas gadījumus. Lielākā daļa no atklātajām kontrabandas precēm bija tabakas izstrādājumi.</w:t>
            </w:r>
          </w:p>
          <w:p w14:paraId="7C887D9D" w14:textId="77777777" w:rsidR="00276E0F" w:rsidRDefault="00276E0F" w:rsidP="00276E0F">
            <w:pPr>
              <w:jc w:val="both"/>
              <w:rPr>
                <w:bCs/>
                <w:sz w:val="26"/>
                <w:szCs w:val="26"/>
                <w:lang w:val="lv-LV"/>
              </w:rPr>
            </w:pPr>
            <w:r w:rsidRPr="00276E0F">
              <w:rPr>
                <w:bCs/>
                <w:sz w:val="26"/>
                <w:szCs w:val="26"/>
                <w:lang w:val="lv-LV"/>
              </w:rPr>
              <w:t>2013.gada 9 mēnešos Darba inspekcija kopumā veica 7803 pārbaudes, tai skaitā 2690 uzņēmumu pārbaudes saistībā ar nereģistrētās nodarbinātības pārkāpumu atklāšanu (2012.gadā - 2252 pārbaudes), no tām 23,12% pārbaudes bija rezultatīvas (gadā  plānots  -  25%). Atskaites  periodā tika konstatētas 1261 nereģistrēti nodarbinātas personas. Pēc pārbaudes veikšanas ar 262 personām tika noslēgti rakstveida darba līgumi un minētās personas tika reģistrētas Valsts ieņēmumu dienestā kā darba ņēmēji, savukārt par 999 konstatēto nereģistrēti nodarbināto personu Valsts ieņēmumu dienestā ziņu nav. Jāatzīmē tomēr pozitīva tendence, jo salīdzinot ar iepriekšējo gadu proporcionāli ir pieaudzis to gadījumu skaits, kad pēc Darba inspekcijas pārbaudes tiek noslēgti darba līgumi un darba attiecības tiek reģistrētas (2013.gadā darba līgumi pēc Darba inspekcijas pārbaudes ir noslēgts ar 21% nereģistrēti nodarbināto, 2012.gadā - ar 16%). 2013.gada 9 mēnešos 119 uzņēmumos konstatētas 174 personas, kuras darba attiecības uzsākušas pārbaudes dienā vai dienu pirms tās (uz „pirmās dienas" darba līguma pamata nodarbinātie).</w:t>
            </w:r>
          </w:p>
          <w:p w14:paraId="28EEF6F7" w14:textId="5AA73D6A" w:rsidR="00276E0F" w:rsidRPr="00276E0F" w:rsidRDefault="00276E0F" w:rsidP="00276E0F">
            <w:pPr>
              <w:jc w:val="both"/>
              <w:rPr>
                <w:bCs/>
                <w:sz w:val="26"/>
                <w:szCs w:val="26"/>
                <w:lang w:val="lv-LV"/>
              </w:rPr>
            </w:pPr>
            <w:r w:rsidRPr="00276E0F">
              <w:rPr>
                <w:bCs/>
                <w:sz w:val="26"/>
                <w:szCs w:val="26"/>
                <w:lang w:val="lv-LV"/>
              </w:rPr>
              <w:t>P</w:t>
            </w:r>
            <w:r>
              <w:rPr>
                <w:bCs/>
                <w:sz w:val="26"/>
                <w:szCs w:val="26"/>
                <w:lang w:val="lv-LV"/>
              </w:rPr>
              <w:t xml:space="preserve">ārtikas un veterinārais dienests </w:t>
            </w:r>
            <w:r w:rsidRPr="00276E0F">
              <w:rPr>
                <w:bCs/>
                <w:sz w:val="26"/>
                <w:szCs w:val="26"/>
                <w:lang w:val="lv-LV"/>
              </w:rPr>
              <w:t>2013.gada 9 mēnešos veica 30913 pārbaudes pārtikas uzņēmumos. Pārbaudēs konstatē</w:t>
            </w:r>
            <w:r w:rsidR="00D017EF">
              <w:rPr>
                <w:bCs/>
                <w:sz w:val="26"/>
                <w:szCs w:val="26"/>
                <w:lang w:val="lv-LV"/>
              </w:rPr>
              <w:t>jo</w:t>
            </w:r>
            <w:r w:rsidRPr="00276E0F">
              <w:rPr>
                <w:bCs/>
                <w:sz w:val="26"/>
                <w:szCs w:val="26"/>
                <w:lang w:val="lv-LV"/>
              </w:rPr>
              <w:t xml:space="preserve">t: </w:t>
            </w:r>
          </w:p>
          <w:p w14:paraId="4803D60C" w14:textId="77777777" w:rsidR="00D017EF" w:rsidRDefault="00276E0F" w:rsidP="00276E0F">
            <w:pPr>
              <w:pStyle w:val="ListParagraph"/>
              <w:numPr>
                <w:ilvl w:val="0"/>
                <w:numId w:val="12"/>
              </w:numPr>
              <w:ind w:left="246" w:firstLine="0"/>
              <w:jc w:val="both"/>
              <w:rPr>
                <w:bCs/>
                <w:sz w:val="26"/>
                <w:szCs w:val="26"/>
                <w:lang w:val="lv-LV"/>
              </w:rPr>
            </w:pPr>
            <w:r w:rsidRPr="00D017EF">
              <w:rPr>
                <w:bCs/>
                <w:sz w:val="26"/>
                <w:szCs w:val="26"/>
                <w:lang w:val="lv-LV"/>
              </w:rPr>
              <w:t xml:space="preserve">Pārtikas ražošana bez normatīvajos aktos noteiktās reģistrācijas, atzīšanas PVD (zivju šķirošanas līnijas darbība, cūku novietnes, dzīvnieku kaušana, gaļas realizācija, kūpinātu zivju fasēšana un realizācija ārpus LV teritorijas, augu izcelsmes produktu ražošana - fasēšana, </w:t>
            </w:r>
            <w:r w:rsidRPr="00D017EF">
              <w:rPr>
                <w:bCs/>
                <w:sz w:val="26"/>
                <w:szCs w:val="26"/>
                <w:lang w:val="lv-LV"/>
              </w:rPr>
              <w:lastRenderedPageBreak/>
              <w:t>dārzeņu fasēšana, dzīvnieku izcelsmes produkcijas uzglabāšana) - 9 gadījumi;</w:t>
            </w:r>
          </w:p>
          <w:p w14:paraId="6CDCC69E" w14:textId="77777777" w:rsidR="00D017EF" w:rsidRDefault="00276E0F" w:rsidP="00276E0F">
            <w:pPr>
              <w:pStyle w:val="ListParagraph"/>
              <w:numPr>
                <w:ilvl w:val="0"/>
                <w:numId w:val="12"/>
              </w:numPr>
              <w:ind w:left="246" w:firstLine="0"/>
              <w:jc w:val="both"/>
              <w:rPr>
                <w:bCs/>
                <w:sz w:val="26"/>
                <w:szCs w:val="26"/>
                <w:lang w:val="lv-LV"/>
              </w:rPr>
            </w:pPr>
            <w:r w:rsidRPr="00D017EF">
              <w:rPr>
                <w:bCs/>
                <w:sz w:val="26"/>
                <w:szCs w:val="26"/>
                <w:lang w:val="lv-LV"/>
              </w:rPr>
              <w:t xml:space="preserve">Iesaistīšanās pārtikas apritē bez normatīvajos aktos noteiktās reģistrācijas PVD (starpniecība, vairumtirdzniecība) - 34 gadījumi; </w:t>
            </w:r>
          </w:p>
          <w:p w14:paraId="233373B9" w14:textId="77777777" w:rsidR="00D017EF" w:rsidRDefault="00276E0F" w:rsidP="00276E0F">
            <w:pPr>
              <w:pStyle w:val="ListParagraph"/>
              <w:numPr>
                <w:ilvl w:val="0"/>
                <w:numId w:val="12"/>
              </w:numPr>
              <w:ind w:left="246" w:firstLine="0"/>
              <w:jc w:val="both"/>
              <w:rPr>
                <w:bCs/>
                <w:sz w:val="26"/>
                <w:szCs w:val="26"/>
                <w:lang w:val="lv-LV"/>
              </w:rPr>
            </w:pPr>
            <w:r w:rsidRPr="00D017EF">
              <w:rPr>
                <w:bCs/>
                <w:sz w:val="26"/>
                <w:szCs w:val="26"/>
                <w:lang w:val="lv-LV"/>
              </w:rPr>
              <w:t>Patērētāju maldināšana (piena produktu kontrolē - siera izstrādājums tiek realizēts kā siers, dārzeņu aprites kontrolē - izcelsmes valsts norādes) - 5 gadījumi;</w:t>
            </w:r>
          </w:p>
          <w:p w14:paraId="55ABC914" w14:textId="07EB49A4" w:rsidR="00276E0F" w:rsidRPr="00D017EF" w:rsidRDefault="00276E0F" w:rsidP="00276E0F">
            <w:pPr>
              <w:pStyle w:val="ListParagraph"/>
              <w:numPr>
                <w:ilvl w:val="0"/>
                <w:numId w:val="12"/>
              </w:numPr>
              <w:ind w:left="246" w:firstLine="0"/>
              <w:jc w:val="both"/>
              <w:rPr>
                <w:bCs/>
                <w:sz w:val="26"/>
                <w:szCs w:val="26"/>
                <w:lang w:val="lv-LV"/>
              </w:rPr>
            </w:pPr>
            <w:r w:rsidRPr="00D017EF">
              <w:rPr>
                <w:bCs/>
                <w:sz w:val="26"/>
                <w:szCs w:val="26"/>
                <w:lang w:val="lv-LV"/>
              </w:rPr>
              <w:t>Nelegālas, bez izcelsmi apliecinošiem dokumentiem, ar beigušos realizācijas derīgumu termiņiem, pārtikas produktu realizācija - 14 gadījumi.</w:t>
            </w:r>
          </w:p>
          <w:p w14:paraId="45E7ED0B" w14:textId="77777777" w:rsidR="00276E0F" w:rsidRDefault="00276E0F" w:rsidP="00276E0F">
            <w:pPr>
              <w:jc w:val="both"/>
              <w:rPr>
                <w:bCs/>
                <w:sz w:val="26"/>
                <w:szCs w:val="26"/>
                <w:lang w:val="lv-LV"/>
              </w:rPr>
            </w:pPr>
            <w:r w:rsidRPr="00276E0F">
              <w:rPr>
                <w:bCs/>
                <w:sz w:val="26"/>
                <w:szCs w:val="26"/>
                <w:lang w:val="lv-LV"/>
              </w:rPr>
              <w:t>Valsts meža dienests 2013.gada deviņos mēnešos administrējošo darbību rezultātā īstenojis pasākumus ēnu ekonomikas apkarošanā un godīgas konkurences veicināšanā, kā rezultātā samazinājusies iznīcinātā un bojātā meža platība attiecīgi par 44% un 33%, salīdzinot ar 2012.gada deviņiem mēnešiem. Tāpat par 7% palielinājies to pārkāpumu gadījumu skaits, kad mežam nav tikuši nodarīti zaudējumi, kas liecina par efektīvu iestādes darbu lielu pārkāpumu novēršanā. Lai arī kopējais pārkāpumu skaits, salīdzinot ar 2012.gada deviņiem mēnešiem, palielinājies par 5%, šādas pārkāpumu skaita izmaiņas vērtējamas kā nebūtiskas, uzsverot to, ka kopumā meža apsaimniekošanu un izmantošanu reglamentējošo normatīvo aktu pārkāpumi kļuvuši sabiedriski mazāk bīstami.</w:t>
            </w:r>
          </w:p>
          <w:p w14:paraId="08F428C7" w14:textId="1277CA70" w:rsidR="00276E0F" w:rsidRDefault="00D017EF" w:rsidP="00D017EF">
            <w:pPr>
              <w:jc w:val="both"/>
              <w:rPr>
                <w:bCs/>
                <w:sz w:val="26"/>
                <w:szCs w:val="26"/>
                <w:lang w:val="lv-LV"/>
              </w:rPr>
            </w:pPr>
            <w:r w:rsidRPr="00D017EF">
              <w:rPr>
                <w:bCs/>
                <w:sz w:val="26"/>
                <w:szCs w:val="26"/>
                <w:lang w:val="lv-LV"/>
              </w:rPr>
              <w:t>Valsts augu aizsardzības dienests</w:t>
            </w:r>
            <w:r>
              <w:rPr>
                <w:bCs/>
                <w:sz w:val="26"/>
                <w:szCs w:val="26"/>
                <w:lang w:val="lv-LV"/>
              </w:rPr>
              <w:t xml:space="preserve"> 2013.gada deviņos mēnešos veicis pārbaudes 637 tirdzniecības vietās, 66 gadījumos konstatējot maznozīmīgus pārkāpumus un 16 gadījumos i</w:t>
            </w:r>
            <w:r w:rsidRPr="00D017EF">
              <w:rPr>
                <w:bCs/>
                <w:sz w:val="26"/>
                <w:szCs w:val="26"/>
                <w:lang w:val="lv-LV"/>
              </w:rPr>
              <w:t>erosin</w:t>
            </w:r>
            <w:r>
              <w:rPr>
                <w:bCs/>
                <w:sz w:val="26"/>
                <w:szCs w:val="26"/>
                <w:lang w:val="lv-LV"/>
              </w:rPr>
              <w:t>ot</w:t>
            </w:r>
            <w:r w:rsidRPr="00D017EF">
              <w:rPr>
                <w:bCs/>
                <w:sz w:val="26"/>
                <w:szCs w:val="26"/>
                <w:lang w:val="lv-LV"/>
              </w:rPr>
              <w:t xml:space="preserve"> administratīvo pārkāpumu lietas</w:t>
            </w:r>
            <w:r>
              <w:rPr>
                <w:bCs/>
                <w:sz w:val="26"/>
                <w:szCs w:val="26"/>
                <w:lang w:val="lv-LV"/>
              </w:rPr>
              <w:t>.</w:t>
            </w:r>
          </w:p>
          <w:p w14:paraId="661BF685" w14:textId="7C9BE3CE" w:rsidR="00D017EF" w:rsidRPr="00D017EF" w:rsidRDefault="00D017EF" w:rsidP="00D017EF">
            <w:pPr>
              <w:jc w:val="both"/>
              <w:rPr>
                <w:bCs/>
                <w:sz w:val="26"/>
                <w:szCs w:val="26"/>
                <w:lang w:val="lv-LV"/>
              </w:rPr>
            </w:pPr>
            <w:r w:rsidRPr="00D017EF">
              <w:rPr>
                <w:bCs/>
                <w:sz w:val="26"/>
                <w:szCs w:val="26"/>
                <w:lang w:val="lv-LV"/>
              </w:rPr>
              <w:t>Noziedzīgi iegūtu līdzekļu legalizācijas novēršanas dienests 2013.gada deviņos mēnešos no likuma subjektiem ir saņēmis un apstrādājis 12 455 ziņojumus par neparastiem un aizdomīgiem finanšu darījumiem.</w:t>
            </w:r>
          </w:p>
          <w:p w14:paraId="78842303" w14:textId="11234CC3" w:rsidR="00D017EF" w:rsidRPr="0016229D" w:rsidRDefault="00D017EF" w:rsidP="00D017EF">
            <w:pPr>
              <w:jc w:val="both"/>
              <w:rPr>
                <w:bCs/>
                <w:sz w:val="26"/>
                <w:szCs w:val="26"/>
                <w:lang w:val="lv-LV"/>
              </w:rPr>
            </w:pPr>
            <w:r w:rsidRPr="00D017EF">
              <w:rPr>
                <w:bCs/>
                <w:sz w:val="26"/>
                <w:szCs w:val="26"/>
                <w:lang w:val="lv-LV"/>
              </w:rPr>
              <w:t>Ziņojumu apstrādes procesā, it īpaši lietās par izvairīšanos no PVN nomaksas, liels daudzums nepieciešamās informācijas (tajā skaitā par komersantu kontiem ārvalstu bankās un finanšu līdzekļu plūsmām) tiek iegūts starptautiskās sadarbības rezultātā ar analoģiskiem citu valstu dienestiem. Šis Noziedzīgi iegūtu līdzekļu legalizācijas novēr</w:t>
            </w:r>
            <w:r>
              <w:rPr>
                <w:bCs/>
                <w:sz w:val="26"/>
                <w:szCs w:val="26"/>
                <w:lang w:val="lv-LV"/>
              </w:rPr>
              <w:t>šanas dienesta</w:t>
            </w:r>
            <w:r w:rsidRPr="00D017EF">
              <w:rPr>
                <w:bCs/>
                <w:sz w:val="26"/>
                <w:szCs w:val="26"/>
                <w:lang w:val="lv-LV"/>
              </w:rPr>
              <w:t xml:space="preserve"> darbības virziens iegūst arvien lielāku nozīmību, jo lielās legalizācijas darījumu shēmas vienā to daļā iespiežas arī ārvalstu finanšu sistēmās.</w:t>
            </w:r>
          </w:p>
        </w:tc>
      </w:tr>
      <w:tr w:rsidR="001B4906" w:rsidRPr="001B4906" w14:paraId="2537957C" w14:textId="77777777" w:rsidTr="002A69C0">
        <w:trPr>
          <w:trHeight w:val="616"/>
          <w:tblCellSpacing w:w="0" w:type="dxa"/>
        </w:trPr>
        <w:tc>
          <w:tcPr>
            <w:tcW w:w="528" w:type="dxa"/>
            <w:tcBorders>
              <w:top w:val="outset" w:sz="6" w:space="0" w:color="auto"/>
              <w:left w:val="outset" w:sz="6" w:space="0" w:color="auto"/>
              <w:bottom w:val="outset" w:sz="6" w:space="0" w:color="auto"/>
              <w:right w:val="outset" w:sz="6" w:space="0" w:color="auto"/>
            </w:tcBorders>
          </w:tcPr>
          <w:p w14:paraId="352B1908" w14:textId="19CCFF16" w:rsidR="00F06FE2" w:rsidRPr="001B4906" w:rsidRDefault="00F06FE2" w:rsidP="00BD4854">
            <w:pPr>
              <w:pStyle w:val="naiskr"/>
              <w:jc w:val="both"/>
              <w:rPr>
                <w:sz w:val="26"/>
                <w:szCs w:val="26"/>
              </w:rPr>
            </w:pPr>
            <w:r w:rsidRPr="001B4906">
              <w:rPr>
                <w:sz w:val="26"/>
                <w:szCs w:val="26"/>
              </w:rPr>
              <w:lastRenderedPageBreak/>
              <w:t> 3.</w:t>
            </w:r>
          </w:p>
        </w:tc>
        <w:tc>
          <w:tcPr>
            <w:tcW w:w="1897" w:type="dxa"/>
            <w:tcBorders>
              <w:top w:val="outset" w:sz="6" w:space="0" w:color="auto"/>
              <w:left w:val="outset" w:sz="6" w:space="0" w:color="auto"/>
              <w:bottom w:val="outset" w:sz="6" w:space="0" w:color="auto"/>
              <w:right w:val="outset" w:sz="6" w:space="0" w:color="auto"/>
            </w:tcBorders>
          </w:tcPr>
          <w:p w14:paraId="516C104A" w14:textId="77777777" w:rsidR="00F06FE2" w:rsidRPr="001B4906" w:rsidRDefault="00F06FE2" w:rsidP="00BD4854">
            <w:pPr>
              <w:pStyle w:val="naiskr"/>
              <w:jc w:val="both"/>
              <w:rPr>
                <w:sz w:val="26"/>
                <w:szCs w:val="26"/>
              </w:rPr>
            </w:pPr>
            <w:r w:rsidRPr="001B4906">
              <w:rPr>
                <w:sz w:val="26"/>
                <w:szCs w:val="26"/>
              </w:rPr>
              <w:t>Saistītie politikas ietekmes novērtējumi un pētījumi</w:t>
            </w:r>
          </w:p>
        </w:tc>
        <w:tc>
          <w:tcPr>
            <w:tcW w:w="6356" w:type="dxa"/>
            <w:tcBorders>
              <w:top w:val="outset" w:sz="6" w:space="0" w:color="auto"/>
              <w:left w:val="outset" w:sz="6" w:space="0" w:color="auto"/>
              <w:bottom w:val="outset" w:sz="6" w:space="0" w:color="auto"/>
              <w:right w:val="outset" w:sz="6" w:space="0" w:color="auto"/>
            </w:tcBorders>
          </w:tcPr>
          <w:p w14:paraId="39B9BA94" w14:textId="77777777" w:rsidR="00F06FE2" w:rsidRPr="001B4906" w:rsidRDefault="00F06FE2" w:rsidP="00470E0B">
            <w:pPr>
              <w:pStyle w:val="naiskr"/>
              <w:jc w:val="both"/>
              <w:rPr>
                <w:sz w:val="26"/>
                <w:szCs w:val="26"/>
              </w:rPr>
            </w:pPr>
            <w:r w:rsidRPr="001B4906">
              <w:rPr>
                <w:sz w:val="26"/>
                <w:szCs w:val="26"/>
              </w:rPr>
              <w:t> Nav attiecināms.</w:t>
            </w:r>
          </w:p>
        </w:tc>
      </w:tr>
      <w:tr w:rsidR="00773BF4" w:rsidRPr="002615E6" w14:paraId="4EC85291" w14:textId="77777777" w:rsidTr="002A69C0">
        <w:trPr>
          <w:trHeight w:val="694"/>
          <w:tblCellSpacing w:w="0" w:type="dxa"/>
        </w:trPr>
        <w:tc>
          <w:tcPr>
            <w:tcW w:w="528" w:type="dxa"/>
            <w:tcBorders>
              <w:top w:val="outset" w:sz="6" w:space="0" w:color="auto"/>
              <w:left w:val="outset" w:sz="6" w:space="0" w:color="auto"/>
              <w:bottom w:val="outset" w:sz="6" w:space="0" w:color="auto"/>
              <w:right w:val="outset" w:sz="6" w:space="0" w:color="auto"/>
            </w:tcBorders>
          </w:tcPr>
          <w:p w14:paraId="606E8817" w14:textId="77777777" w:rsidR="00F06FE2" w:rsidRPr="00773BF4" w:rsidRDefault="00F06FE2" w:rsidP="00BD4854">
            <w:pPr>
              <w:pStyle w:val="naiskr"/>
              <w:jc w:val="both"/>
              <w:rPr>
                <w:sz w:val="26"/>
                <w:szCs w:val="26"/>
              </w:rPr>
            </w:pPr>
            <w:r w:rsidRPr="00773BF4">
              <w:rPr>
                <w:sz w:val="26"/>
                <w:szCs w:val="26"/>
              </w:rPr>
              <w:lastRenderedPageBreak/>
              <w:t> 4.</w:t>
            </w:r>
          </w:p>
        </w:tc>
        <w:tc>
          <w:tcPr>
            <w:tcW w:w="1897" w:type="dxa"/>
            <w:tcBorders>
              <w:top w:val="outset" w:sz="6" w:space="0" w:color="auto"/>
              <w:left w:val="outset" w:sz="6" w:space="0" w:color="auto"/>
              <w:bottom w:val="outset" w:sz="6" w:space="0" w:color="auto"/>
              <w:right w:val="outset" w:sz="6" w:space="0" w:color="auto"/>
            </w:tcBorders>
          </w:tcPr>
          <w:p w14:paraId="0B67D697" w14:textId="77777777" w:rsidR="00F06FE2" w:rsidRPr="00773BF4" w:rsidRDefault="00F06FE2" w:rsidP="00BD4854">
            <w:pPr>
              <w:pStyle w:val="naiskr"/>
              <w:jc w:val="both"/>
              <w:rPr>
                <w:sz w:val="26"/>
                <w:szCs w:val="26"/>
              </w:rPr>
            </w:pPr>
            <w:r w:rsidRPr="00773BF4">
              <w:rPr>
                <w:sz w:val="26"/>
                <w:szCs w:val="26"/>
              </w:rPr>
              <w:t>Tiesiskā regulējuma mērķis un būtība</w:t>
            </w:r>
          </w:p>
        </w:tc>
        <w:tc>
          <w:tcPr>
            <w:tcW w:w="6356" w:type="dxa"/>
            <w:tcBorders>
              <w:top w:val="outset" w:sz="6" w:space="0" w:color="auto"/>
              <w:left w:val="outset" w:sz="6" w:space="0" w:color="auto"/>
              <w:bottom w:val="outset" w:sz="6" w:space="0" w:color="auto"/>
              <w:right w:val="outset" w:sz="6" w:space="0" w:color="auto"/>
            </w:tcBorders>
          </w:tcPr>
          <w:p w14:paraId="255F2983" w14:textId="15427D8C" w:rsidR="00F06FE2" w:rsidRPr="00773BF4" w:rsidRDefault="00773BF4" w:rsidP="00D017EF">
            <w:pPr>
              <w:jc w:val="both"/>
              <w:rPr>
                <w:sz w:val="26"/>
                <w:szCs w:val="26"/>
                <w:lang w:val="lv-LV"/>
              </w:rPr>
            </w:pPr>
            <w:r w:rsidRPr="00773BF4">
              <w:rPr>
                <w:sz w:val="26"/>
                <w:szCs w:val="26"/>
                <w:lang w:val="lv-LV"/>
              </w:rPr>
              <w:t>Mērķis ir motivēt iesaistīto institūciju amatperson</w:t>
            </w:r>
            <w:r w:rsidR="00D017EF">
              <w:rPr>
                <w:sz w:val="26"/>
                <w:szCs w:val="26"/>
                <w:lang w:val="lv-LV"/>
              </w:rPr>
              <w:t>as</w:t>
            </w:r>
            <w:r w:rsidRPr="00773BF4">
              <w:rPr>
                <w:sz w:val="26"/>
                <w:szCs w:val="26"/>
                <w:lang w:val="lv-LV"/>
              </w:rPr>
              <w:t xml:space="preserve"> (darbinieku</w:t>
            </w:r>
            <w:r w:rsidR="00D017EF">
              <w:rPr>
                <w:sz w:val="26"/>
                <w:szCs w:val="26"/>
                <w:lang w:val="lv-LV"/>
              </w:rPr>
              <w:t>s</w:t>
            </w:r>
            <w:r w:rsidRPr="00773BF4">
              <w:rPr>
                <w:sz w:val="26"/>
                <w:szCs w:val="26"/>
                <w:lang w:val="lv-LV"/>
              </w:rPr>
              <w:t>) cīņai ar ēnu ekonomiku.</w:t>
            </w:r>
            <w:r w:rsidR="00F56C24" w:rsidRPr="00773BF4">
              <w:rPr>
                <w:sz w:val="26"/>
                <w:szCs w:val="26"/>
                <w:lang w:val="lv-LV"/>
              </w:rPr>
              <w:t xml:space="preserve"> </w:t>
            </w:r>
          </w:p>
        </w:tc>
      </w:tr>
      <w:tr w:rsidR="00773BF4" w:rsidRPr="002615E6" w14:paraId="5B3BA73D" w14:textId="77777777" w:rsidTr="002A69C0">
        <w:trPr>
          <w:trHeight w:val="476"/>
          <w:tblCellSpacing w:w="0" w:type="dxa"/>
        </w:trPr>
        <w:tc>
          <w:tcPr>
            <w:tcW w:w="528" w:type="dxa"/>
            <w:tcBorders>
              <w:top w:val="outset" w:sz="6" w:space="0" w:color="auto"/>
              <w:left w:val="outset" w:sz="6" w:space="0" w:color="auto"/>
              <w:bottom w:val="outset" w:sz="6" w:space="0" w:color="auto"/>
              <w:right w:val="outset" w:sz="6" w:space="0" w:color="auto"/>
            </w:tcBorders>
          </w:tcPr>
          <w:p w14:paraId="7614658E" w14:textId="77777777" w:rsidR="00F06FE2" w:rsidRPr="00773BF4" w:rsidRDefault="00F06FE2" w:rsidP="00BD4854">
            <w:pPr>
              <w:pStyle w:val="naiskr"/>
              <w:jc w:val="both"/>
              <w:rPr>
                <w:sz w:val="26"/>
                <w:szCs w:val="26"/>
              </w:rPr>
            </w:pPr>
            <w:r w:rsidRPr="00773BF4">
              <w:rPr>
                <w:sz w:val="26"/>
                <w:szCs w:val="26"/>
              </w:rPr>
              <w:t> 5.</w:t>
            </w:r>
          </w:p>
        </w:tc>
        <w:tc>
          <w:tcPr>
            <w:tcW w:w="1897" w:type="dxa"/>
            <w:tcBorders>
              <w:top w:val="outset" w:sz="6" w:space="0" w:color="auto"/>
              <w:left w:val="outset" w:sz="6" w:space="0" w:color="auto"/>
              <w:bottom w:val="outset" w:sz="6" w:space="0" w:color="auto"/>
              <w:right w:val="outset" w:sz="6" w:space="0" w:color="auto"/>
            </w:tcBorders>
          </w:tcPr>
          <w:p w14:paraId="0788F379" w14:textId="77777777" w:rsidR="00F06FE2" w:rsidRPr="00773BF4" w:rsidRDefault="00F06FE2" w:rsidP="00BD4854">
            <w:pPr>
              <w:pStyle w:val="naiskr"/>
              <w:jc w:val="both"/>
              <w:rPr>
                <w:sz w:val="26"/>
                <w:szCs w:val="26"/>
              </w:rPr>
            </w:pPr>
            <w:r w:rsidRPr="00773BF4">
              <w:rPr>
                <w:sz w:val="26"/>
                <w:szCs w:val="26"/>
              </w:rPr>
              <w:t>Projekta izstrādē iesaistītās institūcijas</w:t>
            </w:r>
          </w:p>
        </w:tc>
        <w:tc>
          <w:tcPr>
            <w:tcW w:w="6356" w:type="dxa"/>
            <w:tcBorders>
              <w:top w:val="outset" w:sz="6" w:space="0" w:color="auto"/>
              <w:left w:val="outset" w:sz="6" w:space="0" w:color="auto"/>
              <w:bottom w:val="outset" w:sz="6" w:space="0" w:color="auto"/>
              <w:right w:val="outset" w:sz="6" w:space="0" w:color="auto"/>
            </w:tcBorders>
          </w:tcPr>
          <w:p w14:paraId="2BF1183D" w14:textId="41DAA32B" w:rsidR="00F06FE2" w:rsidRPr="00773BF4" w:rsidRDefault="00773BF4" w:rsidP="00F24E3B">
            <w:pPr>
              <w:jc w:val="both"/>
              <w:rPr>
                <w:sz w:val="26"/>
                <w:szCs w:val="26"/>
                <w:lang w:val="lv-LV"/>
              </w:rPr>
            </w:pPr>
            <w:r w:rsidRPr="00773BF4">
              <w:rPr>
                <w:sz w:val="26"/>
                <w:szCs w:val="26"/>
                <w:lang w:val="lv-LV"/>
              </w:rPr>
              <w:t>Finanšu ministrija (Valsts ieņēmumu dienests), Iekšlietu ministrija (Valsts policija, Valsts robežsardze), Labklājības ministrija (Valsts darba inspekcija), Zemkopības ministrija (Pārtikas un veterinārais dienests, Valsts meža dienests, Valsts augu aizsardzības dienests), Prokuratūra (Noziedzīgi iegūtu līdzekļu legalizācijas novēršanas dienests)</w:t>
            </w:r>
          </w:p>
        </w:tc>
      </w:tr>
      <w:tr w:rsidR="00773BF4" w:rsidRPr="00773BF4" w14:paraId="48882915" w14:textId="77777777" w:rsidTr="002A69C0">
        <w:trPr>
          <w:trHeight w:val="996"/>
          <w:tblCellSpacing w:w="0" w:type="dxa"/>
        </w:trPr>
        <w:tc>
          <w:tcPr>
            <w:tcW w:w="528" w:type="dxa"/>
            <w:tcBorders>
              <w:top w:val="outset" w:sz="6" w:space="0" w:color="auto"/>
              <w:left w:val="outset" w:sz="6" w:space="0" w:color="auto"/>
              <w:bottom w:val="outset" w:sz="6" w:space="0" w:color="auto"/>
              <w:right w:val="outset" w:sz="6" w:space="0" w:color="auto"/>
            </w:tcBorders>
          </w:tcPr>
          <w:p w14:paraId="1A8BA927" w14:textId="77777777" w:rsidR="00F06FE2" w:rsidRPr="00773BF4" w:rsidRDefault="00F06FE2" w:rsidP="00BD4854">
            <w:pPr>
              <w:pStyle w:val="naiskr"/>
              <w:jc w:val="both"/>
              <w:rPr>
                <w:sz w:val="26"/>
                <w:szCs w:val="26"/>
              </w:rPr>
            </w:pPr>
            <w:r w:rsidRPr="00773BF4">
              <w:rPr>
                <w:sz w:val="26"/>
                <w:szCs w:val="26"/>
              </w:rPr>
              <w:t> 6.</w:t>
            </w:r>
          </w:p>
        </w:tc>
        <w:tc>
          <w:tcPr>
            <w:tcW w:w="1897" w:type="dxa"/>
            <w:tcBorders>
              <w:top w:val="outset" w:sz="6" w:space="0" w:color="auto"/>
              <w:left w:val="outset" w:sz="6" w:space="0" w:color="auto"/>
              <w:bottom w:val="outset" w:sz="6" w:space="0" w:color="auto"/>
              <w:right w:val="outset" w:sz="6" w:space="0" w:color="auto"/>
            </w:tcBorders>
          </w:tcPr>
          <w:p w14:paraId="7AE4F669" w14:textId="77777777" w:rsidR="00F06FE2" w:rsidRPr="00773BF4" w:rsidRDefault="00F06FE2" w:rsidP="00BD4854">
            <w:pPr>
              <w:pStyle w:val="naiskr"/>
              <w:jc w:val="both"/>
              <w:rPr>
                <w:sz w:val="26"/>
                <w:szCs w:val="26"/>
              </w:rPr>
            </w:pPr>
            <w:r w:rsidRPr="00773BF4">
              <w:rPr>
                <w:sz w:val="26"/>
                <w:szCs w:val="26"/>
              </w:rPr>
              <w:t>Iemesli, kādēļ netika nodrošināta sabiedrības līdzdalība</w:t>
            </w:r>
          </w:p>
        </w:tc>
        <w:tc>
          <w:tcPr>
            <w:tcW w:w="6356" w:type="dxa"/>
            <w:tcBorders>
              <w:top w:val="outset" w:sz="6" w:space="0" w:color="auto"/>
              <w:left w:val="outset" w:sz="6" w:space="0" w:color="auto"/>
              <w:bottom w:val="outset" w:sz="6" w:space="0" w:color="auto"/>
              <w:right w:val="outset" w:sz="6" w:space="0" w:color="auto"/>
            </w:tcBorders>
          </w:tcPr>
          <w:p w14:paraId="3CCE11A8" w14:textId="541F7C57" w:rsidR="00F06FE2" w:rsidRPr="00773BF4" w:rsidRDefault="00773BF4" w:rsidP="008455E6">
            <w:pPr>
              <w:jc w:val="both"/>
              <w:rPr>
                <w:sz w:val="26"/>
                <w:szCs w:val="26"/>
                <w:lang w:val="lv-LV"/>
              </w:rPr>
            </w:pPr>
            <w:r w:rsidRPr="00773BF4">
              <w:rPr>
                <w:sz w:val="26"/>
                <w:szCs w:val="26"/>
                <w:lang w:val="lv-LV"/>
              </w:rPr>
              <w:t>Nav attiecināms.</w:t>
            </w:r>
          </w:p>
        </w:tc>
      </w:tr>
      <w:tr w:rsidR="00773BF4" w:rsidRPr="00773BF4" w14:paraId="30981BEE" w14:textId="77777777" w:rsidTr="002A69C0">
        <w:trPr>
          <w:tblCellSpacing w:w="0" w:type="dxa"/>
        </w:trPr>
        <w:tc>
          <w:tcPr>
            <w:tcW w:w="528" w:type="dxa"/>
            <w:tcBorders>
              <w:top w:val="outset" w:sz="6" w:space="0" w:color="auto"/>
              <w:left w:val="outset" w:sz="6" w:space="0" w:color="auto"/>
              <w:bottom w:val="outset" w:sz="6" w:space="0" w:color="auto"/>
              <w:right w:val="outset" w:sz="6" w:space="0" w:color="auto"/>
            </w:tcBorders>
          </w:tcPr>
          <w:p w14:paraId="2A9CD64F" w14:textId="77777777" w:rsidR="00F06FE2" w:rsidRPr="00773BF4" w:rsidRDefault="00F06FE2" w:rsidP="00BD4854">
            <w:pPr>
              <w:pStyle w:val="naiskr"/>
              <w:jc w:val="both"/>
              <w:rPr>
                <w:sz w:val="26"/>
                <w:szCs w:val="26"/>
              </w:rPr>
            </w:pPr>
            <w:r w:rsidRPr="00773BF4">
              <w:rPr>
                <w:sz w:val="26"/>
                <w:szCs w:val="26"/>
              </w:rPr>
              <w:t> 7.</w:t>
            </w:r>
          </w:p>
        </w:tc>
        <w:tc>
          <w:tcPr>
            <w:tcW w:w="1897" w:type="dxa"/>
            <w:tcBorders>
              <w:top w:val="outset" w:sz="6" w:space="0" w:color="auto"/>
              <w:left w:val="outset" w:sz="6" w:space="0" w:color="auto"/>
              <w:bottom w:val="outset" w:sz="6" w:space="0" w:color="auto"/>
              <w:right w:val="outset" w:sz="6" w:space="0" w:color="auto"/>
            </w:tcBorders>
          </w:tcPr>
          <w:p w14:paraId="5DD659B5" w14:textId="77777777" w:rsidR="00F06FE2" w:rsidRPr="00773BF4" w:rsidRDefault="00F06FE2" w:rsidP="00BD4854">
            <w:pPr>
              <w:pStyle w:val="naiskr"/>
              <w:jc w:val="both"/>
              <w:rPr>
                <w:sz w:val="26"/>
                <w:szCs w:val="26"/>
              </w:rPr>
            </w:pPr>
            <w:r w:rsidRPr="00773BF4">
              <w:rPr>
                <w:sz w:val="26"/>
                <w:szCs w:val="26"/>
              </w:rPr>
              <w:t>Cita informācija</w:t>
            </w:r>
          </w:p>
        </w:tc>
        <w:tc>
          <w:tcPr>
            <w:tcW w:w="6356" w:type="dxa"/>
            <w:tcBorders>
              <w:top w:val="outset" w:sz="6" w:space="0" w:color="auto"/>
              <w:left w:val="outset" w:sz="6" w:space="0" w:color="auto"/>
              <w:bottom w:val="outset" w:sz="6" w:space="0" w:color="auto"/>
              <w:right w:val="outset" w:sz="6" w:space="0" w:color="auto"/>
            </w:tcBorders>
          </w:tcPr>
          <w:p w14:paraId="3D4C3B9F" w14:textId="5D3E7AC9" w:rsidR="00F06FE2" w:rsidRPr="00773BF4" w:rsidRDefault="00F06FE2" w:rsidP="004468E0">
            <w:pPr>
              <w:jc w:val="both"/>
              <w:rPr>
                <w:sz w:val="26"/>
                <w:szCs w:val="26"/>
                <w:lang w:val="lv-LV" w:eastAsia="lv-LV"/>
              </w:rPr>
            </w:pPr>
            <w:r w:rsidRPr="00773BF4">
              <w:rPr>
                <w:sz w:val="26"/>
                <w:szCs w:val="26"/>
                <w:lang w:val="lv-LV"/>
              </w:rPr>
              <w:t>Nav attiecināms.</w:t>
            </w:r>
          </w:p>
        </w:tc>
      </w:tr>
    </w:tbl>
    <w:p w14:paraId="567449C8" w14:textId="77777777" w:rsidR="00F06FE2" w:rsidRPr="007B4B24" w:rsidRDefault="00F06FE2" w:rsidP="00F06FE2">
      <w:pPr>
        <w:jc w:val="both"/>
        <w:rPr>
          <w:sz w:val="26"/>
          <w:szCs w:val="26"/>
          <w:lang w:val="lv-LV"/>
        </w:rPr>
      </w:pPr>
    </w:p>
    <w:tbl>
      <w:tblPr>
        <w:tblW w:w="878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4"/>
        <w:gridCol w:w="2043"/>
        <w:gridCol w:w="6214"/>
      </w:tblGrid>
      <w:tr w:rsidR="007B4B24" w:rsidRPr="002615E6" w14:paraId="0B2E4538" w14:textId="77777777" w:rsidTr="002A69C0">
        <w:trPr>
          <w:tblCellSpacing w:w="0" w:type="dxa"/>
        </w:trPr>
        <w:tc>
          <w:tcPr>
            <w:tcW w:w="8781" w:type="dxa"/>
            <w:gridSpan w:val="3"/>
            <w:tcBorders>
              <w:top w:val="outset" w:sz="6" w:space="0" w:color="auto"/>
              <w:left w:val="outset" w:sz="6" w:space="0" w:color="auto"/>
              <w:bottom w:val="outset" w:sz="6" w:space="0" w:color="auto"/>
              <w:right w:val="outset" w:sz="6" w:space="0" w:color="auto"/>
            </w:tcBorders>
            <w:vAlign w:val="center"/>
          </w:tcPr>
          <w:p w14:paraId="463F7312" w14:textId="77777777" w:rsidR="00F06FE2" w:rsidRPr="007B4B24" w:rsidRDefault="00F06FE2" w:rsidP="00BD4854">
            <w:pPr>
              <w:pStyle w:val="naisnod"/>
              <w:jc w:val="both"/>
              <w:rPr>
                <w:bCs/>
                <w:sz w:val="26"/>
                <w:szCs w:val="26"/>
              </w:rPr>
            </w:pPr>
            <w:r w:rsidRPr="007B4B24">
              <w:rPr>
                <w:bCs/>
                <w:sz w:val="26"/>
                <w:szCs w:val="26"/>
              </w:rPr>
              <w:t>II. Tiesību akta projekta ietekme uz sabiedrību</w:t>
            </w:r>
          </w:p>
        </w:tc>
      </w:tr>
      <w:tr w:rsidR="00C40A03" w:rsidRPr="00C40A03" w14:paraId="15E907FE" w14:textId="77777777" w:rsidTr="002A69C0">
        <w:trPr>
          <w:trHeight w:val="467"/>
          <w:tblCellSpacing w:w="0" w:type="dxa"/>
        </w:trPr>
        <w:tc>
          <w:tcPr>
            <w:tcW w:w="524" w:type="dxa"/>
            <w:tcBorders>
              <w:top w:val="outset" w:sz="6" w:space="0" w:color="auto"/>
              <w:left w:val="outset" w:sz="6" w:space="0" w:color="auto"/>
              <w:bottom w:val="outset" w:sz="6" w:space="0" w:color="auto"/>
              <w:right w:val="outset" w:sz="6" w:space="0" w:color="auto"/>
            </w:tcBorders>
          </w:tcPr>
          <w:p w14:paraId="09223A5B" w14:textId="77777777" w:rsidR="00F06FE2" w:rsidRPr="007B4B24" w:rsidRDefault="00F06FE2" w:rsidP="00BD4854">
            <w:pPr>
              <w:pStyle w:val="naiskr"/>
              <w:jc w:val="both"/>
              <w:rPr>
                <w:sz w:val="26"/>
                <w:szCs w:val="26"/>
              </w:rPr>
            </w:pPr>
            <w:r w:rsidRPr="007B4B24">
              <w:rPr>
                <w:sz w:val="26"/>
                <w:szCs w:val="26"/>
              </w:rPr>
              <w:t> 1.</w:t>
            </w:r>
          </w:p>
        </w:tc>
        <w:tc>
          <w:tcPr>
            <w:tcW w:w="2043" w:type="dxa"/>
            <w:tcBorders>
              <w:top w:val="outset" w:sz="6" w:space="0" w:color="auto"/>
              <w:left w:val="outset" w:sz="6" w:space="0" w:color="auto"/>
              <w:bottom w:val="outset" w:sz="6" w:space="0" w:color="auto"/>
              <w:right w:val="outset" w:sz="6" w:space="0" w:color="auto"/>
            </w:tcBorders>
          </w:tcPr>
          <w:p w14:paraId="012573B4" w14:textId="77777777" w:rsidR="00F06FE2" w:rsidRPr="007B4B24" w:rsidRDefault="00F06FE2" w:rsidP="00BD4854">
            <w:pPr>
              <w:pStyle w:val="naiskr"/>
              <w:jc w:val="both"/>
              <w:rPr>
                <w:sz w:val="26"/>
                <w:szCs w:val="26"/>
              </w:rPr>
            </w:pPr>
            <w:r w:rsidRPr="007B4B24">
              <w:rPr>
                <w:sz w:val="26"/>
                <w:szCs w:val="26"/>
              </w:rPr>
              <w:t>Sabiedrības mērķgrupa</w:t>
            </w:r>
          </w:p>
        </w:tc>
        <w:tc>
          <w:tcPr>
            <w:tcW w:w="6214" w:type="dxa"/>
            <w:tcBorders>
              <w:top w:val="outset" w:sz="6" w:space="0" w:color="auto"/>
              <w:left w:val="outset" w:sz="6" w:space="0" w:color="auto"/>
              <w:bottom w:val="outset" w:sz="6" w:space="0" w:color="auto"/>
              <w:right w:val="outset" w:sz="6" w:space="0" w:color="auto"/>
            </w:tcBorders>
          </w:tcPr>
          <w:p w14:paraId="34936727" w14:textId="322C4E5C" w:rsidR="00F06FE2" w:rsidRPr="00C40A03" w:rsidRDefault="007B4B24" w:rsidP="007807B2">
            <w:pPr>
              <w:pStyle w:val="naiskr"/>
              <w:spacing w:before="0" w:beforeAutospacing="0" w:after="0" w:afterAutospacing="0"/>
              <w:jc w:val="both"/>
              <w:rPr>
                <w:color w:val="FF0000"/>
                <w:sz w:val="26"/>
                <w:szCs w:val="26"/>
              </w:rPr>
            </w:pPr>
            <w:r w:rsidRPr="007B4B24">
              <w:rPr>
                <w:sz w:val="26"/>
                <w:szCs w:val="26"/>
              </w:rPr>
              <w:t>Nav attiecināms.</w:t>
            </w:r>
          </w:p>
        </w:tc>
      </w:tr>
      <w:tr w:rsidR="00773BF4" w:rsidRPr="002615E6" w14:paraId="5C54D05D" w14:textId="77777777" w:rsidTr="002A69C0">
        <w:trPr>
          <w:trHeight w:val="345"/>
          <w:tblCellSpacing w:w="0" w:type="dxa"/>
        </w:trPr>
        <w:tc>
          <w:tcPr>
            <w:tcW w:w="524" w:type="dxa"/>
            <w:tcBorders>
              <w:top w:val="outset" w:sz="6" w:space="0" w:color="auto"/>
              <w:left w:val="outset" w:sz="6" w:space="0" w:color="auto"/>
              <w:bottom w:val="outset" w:sz="6" w:space="0" w:color="auto"/>
              <w:right w:val="outset" w:sz="6" w:space="0" w:color="auto"/>
            </w:tcBorders>
          </w:tcPr>
          <w:p w14:paraId="27E45BAD" w14:textId="77777777" w:rsidR="00F06FE2" w:rsidRPr="00773BF4" w:rsidRDefault="00F06FE2" w:rsidP="00BD4854">
            <w:pPr>
              <w:pStyle w:val="naiskr"/>
              <w:jc w:val="both"/>
              <w:rPr>
                <w:sz w:val="26"/>
                <w:szCs w:val="26"/>
              </w:rPr>
            </w:pPr>
            <w:r w:rsidRPr="00773BF4">
              <w:rPr>
                <w:sz w:val="26"/>
                <w:szCs w:val="26"/>
              </w:rPr>
              <w:t> 2.</w:t>
            </w:r>
          </w:p>
        </w:tc>
        <w:tc>
          <w:tcPr>
            <w:tcW w:w="2043" w:type="dxa"/>
            <w:tcBorders>
              <w:top w:val="outset" w:sz="6" w:space="0" w:color="auto"/>
              <w:left w:val="outset" w:sz="6" w:space="0" w:color="auto"/>
              <w:bottom w:val="outset" w:sz="6" w:space="0" w:color="auto"/>
              <w:right w:val="outset" w:sz="6" w:space="0" w:color="auto"/>
            </w:tcBorders>
          </w:tcPr>
          <w:p w14:paraId="7E9DC71C" w14:textId="77777777" w:rsidR="00F06FE2" w:rsidRPr="00773BF4" w:rsidRDefault="00F06FE2" w:rsidP="00BD4854">
            <w:pPr>
              <w:pStyle w:val="naiskr"/>
              <w:jc w:val="both"/>
              <w:rPr>
                <w:sz w:val="26"/>
                <w:szCs w:val="26"/>
              </w:rPr>
            </w:pPr>
            <w:r w:rsidRPr="00773BF4">
              <w:rPr>
                <w:sz w:val="26"/>
                <w:szCs w:val="26"/>
              </w:rPr>
              <w:t>Citas sabiedrības grupas (bez mērķgrupas), kuras tiesiskais regulējums arī ietekmē vai varētu ietekmēt</w:t>
            </w:r>
          </w:p>
        </w:tc>
        <w:tc>
          <w:tcPr>
            <w:tcW w:w="6214" w:type="dxa"/>
            <w:tcBorders>
              <w:top w:val="outset" w:sz="6" w:space="0" w:color="auto"/>
              <w:left w:val="outset" w:sz="6" w:space="0" w:color="auto"/>
              <w:bottom w:val="outset" w:sz="6" w:space="0" w:color="auto"/>
              <w:right w:val="outset" w:sz="6" w:space="0" w:color="auto"/>
            </w:tcBorders>
          </w:tcPr>
          <w:p w14:paraId="05EC7BC4" w14:textId="3D0F304C" w:rsidR="00F06FE2" w:rsidRPr="00773BF4" w:rsidRDefault="00773BF4" w:rsidP="0016229D">
            <w:pPr>
              <w:pStyle w:val="naiskr"/>
              <w:jc w:val="both"/>
              <w:rPr>
                <w:sz w:val="26"/>
                <w:szCs w:val="26"/>
              </w:rPr>
            </w:pPr>
            <w:r w:rsidRPr="00773BF4">
              <w:rPr>
                <w:sz w:val="26"/>
                <w:szCs w:val="26"/>
              </w:rPr>
              <w:t xml:space="preserve">Attieksies uz visu iesaistīto institūciju amatpersonām (darbiniekiem), kuru darba pienākumos </w:t>
            </w:r>
            <w:r w:rsidR="0016229D">
              <w:rPr>
                <w:sz w:val="26"/>
                <w:szCs w:val="26"/>
              </w:rPr>
              <w:t>ir</w:t>
            </w:r>
            <w:r w:rsidRPr="00773BF4">
              <w:rPr>
                <w:sz w:val="26"/>
                <w:szCs w:val="26"/>
              </w:rPr>
              <w:t xml:space="preserve"> kontroles pasākumu</w:t>
            </w:r>
            <w:r w:rsidR="0016229D">
              <w:rPr>
                <w:sz w:val="26"/>
                <w:szCs w:val="26"/>
              </w:rPr>
              <w:t xml:space="preserve"> īstenošana</w:t>
            </w:r>
            <w:r w:rsidRPr="00773BF4">
              <w:rPr>
                <w:sz w:val="26"/>
                <w:szCs w:val="26"/>
              </w:rPr>
              <w:t xml:space="preserve"> cīņai ar ēnu ekonomiku.</w:t>
            </w:r>
          </w:p>
        </w:tc>
      </w:tr>
      <w:tr w:rsidR="007B4B24" w:rsidRPr="007B4B24" w14:paraId="569E44C0" w14:textId="77777777" w:rsidTr="002A69C0">
        <w:trPr>
          <w:trHeight w:val="517"/>
          <w:tblCellSpacing w:w="0" w:type="dxa"/>
        </w:trPr>
        <w:tc>
          <w:tcPr>
            <w:tcW w:w="524" w:type="dxa"/>
            <w:tcBorders>
              <w:top w:val="outset" w:sz="6" w:space="0" w:color="auto"/>
              <w:left w:val="outset" w:sz="6" w:space="0" w:color="auto"/>
              <w:bottom w:val="outset" w:sz="6" w:space="0" w:color="auto"/>
              <w:right w:val="outset" w:sz="6" w:space="0" w:color="auto"/>
            </w:tcBorders>
          </w:tcPr>
          <w:p w14:paraId="3CCA6889" w14:textId="77777777" w:rsidR="00F06FE2" w:rsidRPr="007B4B24" w:rsidRDefault="00F06FE2" w:rsidP="00BD4854">
            <w:pPr>
              <w:pStyle w:val="naiskr"/>
              <w:jc w:val="both"/>
              <w:rPr>
                <w:sz w:val="26"/>
                <w:szCs w:val="26"/>
              </w:rPr>
            </w:pPr>
            <w:r w:rsidRPr="007B4B24">
              <w:rPr>
                <w:sz w:val="26"/>
                <w:szCs w:val="26"/>
              </w:rPr>
              <w:t> 3.</w:t>
            </w:r>
          </w:p>
        </w:tc>
        <w:tc>
          <w:tcPr>
            <w:tcW w:w="2043" w:type="dxa"/>
            <w:tcBorders>
              <w:top w:val="outset" w:sz="6" w:space="0" w:color="auto"/>
              <w:left w:val="outset" w:sz="6" w:space="0" w:color="auto"/>
              <w:bottom w:val="outset" w:sz="6" w:space="0" w:color="auto"/>
              <w:right w:val="outset" w:sz="6" w:space="0" w:color="auto"/>
            </w:tcBorders>
          </w:tcPr>
          <w:p w14:paraId="3C192710" w14:textId="77777777" w:rsidR="00F06FE2" w:rsidRPr="007B4B24" w:rsidRDefault="00F06FE2" w:rsidP="00BD4854">
            <w:pPr>
              <w:pStyle w:val="naiskr"/>
              <w:jc w:val="both"/>
              <w:rPr>
                <w:sz w:val="26"/>
                <w:szCs w:val="26"/>
              </w:rPr>
            </w:pPr>
            <w:r w:rsidRPr="007B4B24">
              <w:rPr>
                <w:sz w:val="26"/>
                <w:szCs w:val="26"/>
              </w:rPr>
              <w:t>Tiesiskā regulējuma finansiālā ietekme</w:t>
            </w:r>
          </w:p>
        </w:tc>
        <w:tc>
          <w:tcPr>
            <w:tcW w:w="6214" w:type="dxa"/>
            <w:tcBorders>
              <w:top w:val="outset" w:sz="6" w:space="0" w:color="auto"/>
              <w:left w:val="outset" w:sz="6" w:space="0" w:color="auto"/>
              <w:bottom w:val="outset" w:sz="6" w:space="0" w:color="auto"/>
              <w:right w:val="outset" w:sz="6" w:space="0" w:color="auto"/>
            </w:tcBorders>
          </w:tcPr>
          <w:p w14:paraId="2BFC5BBE" w14:textId="77777777" w:rsidR="00F06FE2" w:rsidRPr="007B4B24" w:rsidRDefault="00F06FE2" w:rsidP="00BD4854">
            <w:pPr>
              <w:jc w:val="both"/>
              <w:rPr>
                <w:sz w:val="26"/>
                <w:szCs w:val="26"/>
                <w:lang w:val="lv-LV"/>
              </w:rPr>
            </w:pPr>
            <w:r w:rsidRPr="007B4B24">
              <w:rPr>
                <w:sz w:val="26"/>
                <w:szCs w:val="26"/>
                <w:lang w:val="lv-LV"/>
              </w:rPr>
              <w:t>Nav attiecināms</w:t>
            </w:r>
          </w:p>
          <w:p w14:paraId="0B585414" w14:textId="77777777" w:rsidR="00F06FE2" w:rsidRPr="007B4B24" w:rsidRDefault="00F06FE2" w:rsidP="00BD4854">
            <w:pPr>
              <w:jc w:val="both"/>
              <w:rPr>
                <w:sz w:val="26"/>
                <w:szCs w:val="26"/>
                <w:lang w:val="lv-LV"/>
              </w:rPr>
            </w:pPr>
          </w:p>
        </w:tc>
      </w:tr>
      <w:tr w:rsidR="007B4B24" w:rsidRPr="007B4B24" w14:paraId="13DF0A69" w14:textId="77777777" w:rsidTr="002A69C0">
        <w:trPr>
          <w:trHeight w:val="517"/>
          <w:tblCellSpacing w:w="0" w:type="dxa"/>
        </w:trPr>
        <w:tc>
          <w:tcPr>
            <w:tcW w:w="524" w:type="dxa"/>
            <w:tcBorders>
              <w:top w:val="outset" w:sz="6" w:space="0" w:color="auto"/>
              <w:left w:val="outset" w:sz="6" w:space="0" w:color="auto"/>
              <w:bottom w:val="outset" w:sz="6" w:space="0" w:color="auto"/>
              <w:right w:val="outset" w:sz="6" w:space="0" w:color="auto"/>
            </w:tcBorders>
          </w:tcPr>
          <w:p w14:paraId="10C07084" w14:textId="77777777" w:rsidR="00F06FE2" w:rsidRPr="007B4B24" w:rsidRDefault="00F06FE2" w:rsidP="00BD4854">
            <w:pPr>
              <w:pStyle w:val="naiskr"/>
              <w:jc w:val="both"/>
              <w:rPr>
                <w:sz w:val="26"/>
                <w:szCs w:val="26"/>
              </w:rPr>
            </w:pPr>
            <w:r w:rsidRPr="007B4B24">
              <w:rPr>
                <w:sz w:val="26"/>
                <w:szCs w:val="26"/>
              </w:rPr>
              <w:t> 4.</w:t>
            </w:r>
          </w:p>
        </w:tc>
        <w:tc>
          <w:tcPr>
            <w:tcW w:w="2043" w:type="dxa"/>
            <w:tcBorders>
              <w:top w:val="outset" w:sz="6" w:space="0" w:color="auto"/>
              <w:left w:val="outset" w:sz="6" w:space="0" w:color="auto"/>
              <w:bottom w:val="outset" w:sz="6" w:space="0" w:color="auto"/>
              <w:right w:val="outset" w:sz="6" w:space="0" w:color="auto"/>
            </w:tcBorders>
          </w:tcPr>
          <w:p w14:paraId="41A9279C" w14:textId="77777777" w:rsidR="00F06FE2" w:rsidRPr="007B4B24" w:rsidRDefault="00F06FE2" w:rsidP="00BD4854">
            <w:pPr>
              <w:pStyle w:val="naiskr"/>
              <w:jc w:val="both"/>
              <w:rPr>
                <w:sz w:val="26"/>
                <w:szCs w:val="26"/>
              </w:rPr>
            </w:pPr>
            <w:r w:rsidRPr="007B4B24">
              <w:rPr>
                <w:sz w:val="26"/>
                <w:szCs w:val="26"/>
              </w:rPr>
              <w:t>Tiesiskā regulējuma nefinansiālā ietekme</w:t>
            </w:r>
          </w:p>
        </w:tc>
        <w:tc>
          <w:tcPr>
            <w:tcW w:w="6214" w:type="dxa"/>
            <w:tcBorders>
              <w:top w:val="outset" w:sz="6" w:space="0" w:color="auto"/>
              <w:left w:val="outset" w:sz="6" w:space="0" w:color="auto"/>
              <w:bottom w:val="outset" w:sz="6" w:space="0" w:color="auto"/>
              <w:right w:val="outset" w:sz="6" w:space="0" w:color="auto"/>
            </w:tcBorders>
          </w:tcPr>
          <w:p w14:paraId="5DC2C3D1" w14:textId="0AADB412" w:rsidR="00F06FE2" w:rsidRPr="007B4B24" w:rsidRDefault="007B4B24" w:rsidP="00BD4854">
            <w:pPr>
              <w:jc w:val="both"/>
              <w:rPr>
                <w:sz w:val="26"/>
                <w:szCs w:val="26"/>
                <w:lang w:val="lv-LV"/>
              </w:rPr>
            </w:pPr>
            <w:r w:rsidRPr="007B4B24">
              <w:rPr>
                <w:sz w:val="26"/>
                <w:szCs w:val="26"/>
                <w:lang w:val="lv-LV"/>
              </w:rPr>
              <w:t>Nav attiecināms.</w:t>
            </w:r>
          </w:p>
        </w:tc>
      </w:tr>
      <w:tr w:rsidR="007B4B24" w:rsidRPr="007B4B24" w14:paraId="521B1C39" w14:textId="77777777" w:rsidTr="002A69C0">
        <w:trPr>
          <w:trHeight w:val="65"/>
          <w:tblCellSpacing w:w="0" w:type="dxa"/>
        </w:trPr>
        <w:tc>
          <w:tcPr>
            <w:tcW w:w="524" w:type="dxa"/>
            <w:tcBorders>
              <w:top w:val="outset" w:sz="6" w:space="0" w:color="auto"/>
              <w:left w:val="outset" w:sz="6" w:space="0" w:color="auto"/>
              <w:bottom w:val="outset" w:sz="6" w:space="0" w:color="auto"/>
              <w:right w:val="outset" w:sz="6" w:space="0" w:color="auto"/>
            </w:tcBorders>
          </w:tcPr>
          <w:p w14:paraId="6E9F1DAE" w14:textId="77777777" w:rsidR="00F06FE2" w:rsidRPr="007B4B24" w:rsidRDefault="00F06FE2" w:rsidP="00BD4854">
            <w:pPr>
              <w:pStyle w:val="naiskr"/>
              <w:jc w:val="both"/>
              <w:rPr>
                <w:sz w:val="26"/>
                <w:szCs w:val="26"/>
              </w:rPr>
            </w:pPr>
            <w:r w:rsidRPr="007B4B24">
              <w:rPr>
                <w:sz w:val="26"/>
                <w:szCs w:val="26"/>
              </w:rPr>
              <w:t> 5.</w:t>
            </w:r>
          </w:p>
        </w:tc>
        <w:tc>
          <w:tcPr>
            <w:tcW w:w="2043" w:type="dxa"/>
            <w:tcBorders>
              <w:top w:val="outset" w:sz="6" w:space="0" w:color="auto"/>
              <w:left w:val="outset" w:sz="6" w:space="0" w:color="auto"/>
              <w:bottom w:val="outset" w:sz="6" w:space="0" w:color="auto"/>
              <w:right w:val="outset" w:sz="6" w:space="0" w:color="auto"/>
            </w:tcBorders>
          </w:tcPr>
          <w:p w14:paraId="69429D9C" w14:textId="77777777" w:rsidR="00F06FE2" w:rsidRPr="007B4B24" w:rsidRDefault="00F06FE2" w:rsidP="00BD4854">
            <w:pPr>
              <w:pStyle w:val="naiskr"/>
              <w:jc w:val="both"/>
              <w:rPr>
                <w:sz w:val="26"/>
                <w:szCs w:val="26"/>
              </w:rPr>
            </w:pPr>
            <w:r w:rsidRPr="007B4B24">
              <w:rPr>
                <w:sz w:val="26"/>
                <w:szCs w:val="26"/>
              </w:rPr>
              <w:t>Administratīvās procedūras raksturojums</w:t>
            </w:r>
          </w:p>
        </w:tc>
        <w:tc>
          <w:tcPr>
            <w:tcW w:w="6214" w:type="dxa"/>
            <w:tcBorders>
              <w:top w:val="outset" w:sz="6" w:space="0" w:color="auto"/>
              <w:left w:val="outset" w:sz="6" w:space="0" w:color="auto"/>
              <w:bottom w:val="outset" w:sz="6" w:space="0" w:color="auto"/>
              <w:right w:val="outset" w:sz="6" w:space="0" w:color="auto"/>
            </w:tcBorders>
          </w:tcPr>
          <w:p w14:paraId="3BA55E30" w14:textId="2DCA7B5E" w:rsidR="00F06FE2" w:rsidRPr="007B4B24" w:rsidRDefault="007B4B24" w:rsidP="007807B2">
            <w:pPr>
              <w:jc w:val="both"/>
              <w:rPr>
                <w:sz w:val="26"/>
                <w:szCs w:val="26"/>
                <w:lang w:val="lv-LV" w:eastAsia="lv-LV"/>
              </w:rPr>
            </w:pPr>
            <w:r w:rsidRPr="007B4B24">
              <w:rPr>
                <w:sz w:val="26"/>
                <w:szCs w:val="26"/>
                <w:lang w:val="lv-LV" w:eastAsia="lv-LV"/>
              </w:rPr>
              <w:t>Nav attiecināms.</w:t>
            </w:r>
          </w:p>
        </w:tc>
      </w:tr>
      <w:tr w:rsidR="007B4B24" w:rsidRPr="007B4B24" w14:paraId="472EB40D" w14:textId="77777777" w:rsidTr="002A69C0">
        <w:trPr>
          <w:trHeight w:val="357"/>
          <w:tblCellSpacing w:w="0" w:type="dxa"/>
        </w:trPr>
        <w:tc>
          <w:tcPr>
            <w:tcW w:w="524" w:type="dxa"/>
            <w:tcBorders>
              <w:top w:val="outset" w:sz="6" w:space="0" w:color="auto"/>
              <w:left w:val="outset" w:sz="6" w:space="0" w:color="auto"/>
              <w:bottom w:val="outset" w:sz="6" w:space="0" w:color="auto"/>
              <w:right w:val="outset" w:sz="6" w:space="0" w:color="auto"/>
            </w:tcBorders>
          </w:tcPr>
          <w:p w14:paraId="751686CD" w14:textId="77777777" w:rsidR="00F06FE2" w:rsidRPr="007B4B24" w:rsidRDefault="00F06FE2" w:rsidP="00BD4854">
            <w:pPr>
              <w:pStyle w:val="naiskr"/>
              <w:jc w:val="both"/>
              <w:rPr>
                <w:sz w:val="26"/>
                <w:szCs w:val="26"/>
              </w:rPr>
            </w:pPr>
            <w:r w:rsidRPr="007B4B24">
              <w:rPr>
                <w:sz w:val="26"/>
                <w:szCs w:val="26"/>
              </w:rPr>
              <w:t> 6.</w:t>
            </w:r>
          </w:p>
        </w:tc>
        <w:tc>
          <w:tcPr>
            <w:tcW w:w="2043" w:type="dxa"/>
            <w:tcBorders>
              <w:top w:val="outset" w:sz="6" w:space="0" w:color="auto"/>
              <w:left w:val="outset" w:sz="6" w:space="0" w:color="auto"/>
              <w:bottom w:val="outset" w:sz="6" w:space="0" w:color="auto"/>
              <w:right w:val="outset" w:sz="6" w:space="0" w:color="auto"/>
            </w:tcBorders>
          </w:tcPr>
          <w:p w14:paraId="7C3E6D57" w14:textId="77777777" w:rsidR="00F06FE2" w:rsidRPr="007B4B24" w:rsidRDefault="00F06FE2" w:rsidP="00BD4854">
            <w:pPr>
              <w:pStyle w:val="naiskr"/>
              <w:jc w:val="both"/>
              <w:rPr>
                <w:sz w:val="26"/>
                <w:szCs w:val="26"/>
              </w:rPr>
            </w:pPr>
            <w:r w:rsidRPr="007B4B24">
              <w:rPr>
                <w:sz w:val="26"/>
                <w:szCs w:val="26"/>
              </w:rPr>
              <w:t>Administratīvo izmaksu monetārs novērtējums</w:t>
            </w:r>
          </w:p>
        </w:tc>
        <w:tc>
          <w:tcPr>
            <w:tcW w:w="6214" w:type="dxa"/>
            <w:tcBorders>
              <w:top w:val="outset" w:sz="6" w:space="0" w:color="auto"/>
              <w:left w:val="outset" w:sz="6" w:space="0" w:color="auto"/>
              <w:bottom w:val="outset" w:sz="6" w:space="0" w:color="auto"/>
              <w:right w:val="outset" w:sz="6" w:space="0" w:color="auto"/>
            </w:tcBorders>
          </w:tcPr>
          <w:p w14:paraId="01F5A103" w14:textId="77777777" w:rsidR="00F06FE2" w:rsidRPr="007B4B24" w:rsidRDefault="00F06FE2" w:rsidP="00BD4854">
            <w:pPr>
              <w:pStyle w:val="naiskr"/>
              <w:jc w:val="both"/>
              <w:rPr>
                <w:sz w:val="26"/>
                <w:szCs w:val="26"/>
              </w:rPr>
            </w:pPr>
            <w:r w:rsidRPr="007B4B24">
              <w:rPr>
                <w:sz w:val="26"/>
                <w:szCs w:val="26"/>
              </w:rPr>
              <w:t> Nav attiecināms.</w:t>
            </w:r>
          </w:p>
        </w:tc>
      </w:tr>
      <w:tr w:rsidR="007B4B24" w:rsidRPr="007B4B24" w14:paraId="448140B0" w14:textId="77777777" w:rsidTr="002A69C0">
        <w:trPr>
          <w:tblCellSpacing w:w="0" w:type="dxa"/>
        </w:trPr>
        <w:tc>
          <w:tcPr>
            <w:tcW w:w="524" w:type="dxa"/>
            <w:tcBorders>
              <w:top w:val="outset" w:sz="6" w:space="0" w:color="auto"/>
              <w:left w:val="outset" w:sz="6" w:space="0" w:color="auto"/>
              <w:bottom w:val="outset" w:sz="6" w:space="0" w:color="auto"/>
              <w:right w:val="outset" w:sz="6" w:space="0" w:color="auto"/>
            </w:tcBorders>
          </w:tcPr>
          <w:p w14:paraId="65BE26E5" w14:textId="77777777" w:rsidR="00F06FE2" w:rsidRPr="007B4B24" w:rsidRDefault="00F06FE2" w:rsidP="00BD4854">
            <w:pPr>
              <w:pStyle w:val="naiskr"/>
              <w:jc w:val="both"/>
              <w:rPr>
                <w:sz w:val="26"/>
                <w:szCs w:val="26"/>
              </w:rPr>
            </w:pPr>
            <w:r w:rsidRPr="007B4B24">
              <w:rPr>
                <w:sz w:val="26"/>
                <w:szCs w:val="26"/>
              </w:rPr>
              <w:t> 7.</w:t>
            </w:r>
          </w:p>
        </w:tc>
        <w:tc>
          <w:tcPr>
            <w:tcW w:w="2043" w:type="dxa"/>
            <w:tcBorders>
              <w:top w:val="outset" w:sz="6" w:space="0" w:color="auto"/>
              <w:left w:val="outset" w:sz="6" w:space="0" w:color="auto"/>
              <w:bottom w:val="outset" w:sz="6" w:space="0" w:color="auto"/>
              <w:right w:val="outset" w:sz="6" w:space="0" w:color="auto"/>
            </w:tcBorders>
          </w:tcPr>
          <w:p w14:paraId="4AE71DAC" w14:textId="77777777" w:rsidR="00F06FE2" w:rsidRPr="007B4B24" w:rsidRDefault="00F06FE2" w:rsidP="00BD4854">
            <w:pPr>
              <w:pStyle w:val="naiskr"/>
              <w:jc w:val="both"/>
              <w:rPr>
                <w:sz w:val="26"/>
                <w:szCs w:val="26"/>
              </w:rPr>
            </w:pPr>
            <w:r w:rsidRPr="007B4B24">
              <w:rPr>
                <w:sz w:val="26"/>
                <w:szCs w:val="26"/>
              </w:rPr>
              <w:t>Cita informācija</w:t>
            </w:r>
          </w:p>
        </w:tc>
        <w:tc>
          <w:tcPr>
            <w:tcW w:w="6214" w:type="dxa"/>
            <w:tcBorders>
              <w:top w:val="outset" w:sz="6" w:space="0" w:color="auto"/>
              <w:left w:val="outset" w:sz="6" w:space="0" w:color="auto"/>
              <w:bottom w:val="outset" w:sz="6" w:space="0" w:color="auto"/>
              <w:right w:val="outset" w:sz="6" w:space="0" w:color="auto"/>
            </w:tcBorders>
          </w:tcPr>
          <w:p w14:paraId="1F6A1A57" w14:textId="77777777" w:rsidR="00F06FE2" w:rsidRPr="007B4B24" w:rsidRDefault="00F06FE2" w:rsidP="00BD4854">
            <w:pPr>
              <w:pStyle w:val="naiskr"/>
              <w:jc w:val="both"/>
              <w:rPr>
                <w:sz w:val="26"/>
                <w:szCs w:val="26"/>
              </w:rPr>
            </w:pPr>
            <w:r w:rsidRPr="007B4B24">
              <w:rPr>
                <w:sz w:val="26"/>
                <w:szCs w:val="26"/>
              </w:rPr>
              <w:t> Nav.</w:t>
            </w:r>
          </w:p>
        </w:tc>
      </w:tr>
    </w:tbl>
    <w:p w14:paraId="2D9B8BE9" w14:textId="77777777" w:rsidR="00F06FE2" w:rsidRPr="007B4B24" w:rsidRDefault="00F06FE2" w:rsidP="00F06FE2">
      <w:pPr>
        <w:jc w:val="both"/>
        <w:rPr>
          <w:sz w:val="26"/>
          <w:szCs w:val="26"/>
          <w:lang w:val="lv-LV"/>
        </w:rPr>
      </w:pPr>
    </w:p>
    <w:tbl>
      <w:tblPr>
        <w:tblpPr w:leftFromText="180" w:rightFromText="180" w:vertAnchor="text" w:horzAnchor="margin" w:tblpX="10" w:tblpY="371"/>
        <w:tblW w:w="8930" w:type="dxa"/>
        <w:tblCellSpacing w:w="0" w:type="dxa"/>
        <w:tblBorders>
          <w:top w:val="outset" w:sz="6" w:space="0" w:color="auto"/>
          <w:left w:val="single" w:sz="4"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2227"/>
        <w:gridCol w:w="1908"/>
        <w:gridCol w:w="1174"/>
        <w:gridCol w:w="1158"/>
        <w:gridCol w:w="1158"/>
        <w:gridCol w:w="1305"/>
      </w:tblGrid>
      <w:tr w:rsidR="00D84A5A" w:rsidRPr="002615E6" w14:paraId="0282E58F" w14:textId="77777777" w:rsidTr="007B4B24">
        <w:trPr>
          <w:trHeight w:val="50"/>
          <w:tblCellSpacing w:w="0" w:type="dxa"/>
        </w:trPr>
        <w:tc>
          <w:tcPr>
            <w:tcW w:w="8930" w:type="dxa"/>
            <w:gridSpan w:val="6"/>
          </w:tcPr>
          <w:p w14:paraId="435339AB" w14:textId="77777777" w:rsidR="00F06FE2" w:rsidRPr="00D84A5A" w:rsidRDefault="00F06FE2" w:rsidP="007B4B24">
            <w:pPr>
              <w:jc w:val="both"/>
              <w:rPr>
                <w:sz w:val="26"/>
                <w:szCs w:val="26"/>
                <w:lang w:val="lv-LV" w:eastAsia="lv-LV"/>
              </w:rPr>
            </w:pPr>
            <w:r w:rsidRPr="00D84A5A">
              <w:rPr>
                <w:sz w:val="26"/>
                <w:szCs w:val="26"/>
                <w:lang w:val="lv-LV" w:eastAsia="lv-LV"/>
              </w:rPr>
              <w:t>III. Tiesību akta projekta ietekme uz valsts budžetu un pašvaldību budžetiem</w:t>
            </w:r>
          </w:p>
          <w:p w14:paraId="6AD82EA8" w14:textId="77777777" w:rsidR="00F06FE2" w:rsidRPr="00D84A5A" w:rsidRDefault="00F06FE2" w:rsidP="007B4B24">
            <w:pPr>
              <w:jc w:val="both"/>
              <w:rPr>
                <w:sz w:val="26"/>
                <w:szCs w:val="26"/>
                <w:lang w:val="lv-LV" w:eastAsia="lv-LV"/>
              </w:rPr>
            </w:pPr>
          </w:p>
        </w:tc>
      </w:tr>
      <w:tr w:rsidR="00C40A03" w:rsidRPr="00C40A03" w14:paraId="4F2659D5" w14:textId="77777777" w:rsidTr="00850E87">
        <w:trPr>
          <w:tblCellSpacing w:w="0" w:type="dxa"/>
        </w:trPr>
        <w:tc>
          <w:tcPr>
            <w:tcW w:w="2227" w:type="dxa"/>
            <w:vMerge w:val="restart"/>
            <w:vAlign w:val="center"/>
          </w:tcPr>
          <w:p w14:paraId="72AD629B" w14:textId="77777777" w:rsidR="00F06FE2" w:rsidRPr="00D84A5A" w:rsidRDefault="00F06FE2" w:rsidP="007B4B24">
            <w:pPr>
              <w:jc w:val="both"/>
              <w:rPr>
                <w:bCs/>
                <w:sz w:val="26"/>
                <w:szCs w:val="26"/>
                <w:lang w:val="lv-LV" w:eastAsia="lv-LV"/>
              </w:rPr>
            </w:pPr>
            <w:r w:rsidRPr="00D84A5A">
              <w:rPr>
                <w:bCs/>
                <w:sz w:val="26"/>
                <w:szCs w:val="26"/>
                <w:lang w:val="lv-LV" w:eastAsia="lv-LV"/>
              </w:rPr>
              <w:t>Rādītāji</w:t>
            </w:r>
          </w:p>
          <w:p w14:paraId="00ACD557" w14:textId="77777777" w:rsidR="00F06FE2" w:rsidRPr="00C40A03" w:rsidRDefault="00F06FE2" w:rsidP="007B4B24">
            <w:pPr>
              <w:jc w:val="both"/>
              <w:rPr>
                <w:bCs/>
                <w:color w:val="FF0000"/>
                <w:sz w:val="26"/>
                <w:szCs w:val="26"/>
                <w:lang w:val="lv-LV" w:eastAsia="lv-LV"/>
              </w:rPr>
            </w:pPr>
          </w:p>
          <w:p w14:paraId="01812CEC" w14:textId="77777777" w:rsidR="00F06FE2" w:rsidRPr="00C40A03" w:rsidRDefault="00F06FE2" w:rsidP="007B4B24">
            <w:pPr>
              <w:jc w:val="both"/>
              <w:rPr>
                <w:color w:val="FF0000"/>
                <w:sz w:val="26"/>
                <w:szCs w:val="26"/>
                <w:lang w:val="lv-LV" w:eastAsia="lv-LV"/>
              </w:rPr>
            </w:pPr>
          </w:p>
        </w:tc>
        <w:tc>
          <w:tcPr>
            <w:tcW w:w="3082" w:type="dxa"/>
            <w:gridSpan w:val="2"/>
            <w:vMerge w:val="restart"/>
            <w:vAlign w:val="center"/>
          </w:tcPr>
          <w:p w14:paraId="53A503B2" w14:textId="77777777" w:rsidR="00F06FE2" w:rsidRPr="00D84A5A" w:rsidRDefault="00F06FE2" w:rsidP="007B4B24">
            <w:pPr>
              <w:jc w:val="both"/>
              <w:rPr>
                <w:sz w:val="26"/>
                <w:szCs w:val="26"/>
                <w:lang w:val="lv-LV" w:eastAsia="lv-LV"/>
              </w:rPr>
            </w:pPr>
            <w:r w:rsidRPr="00D84A5A">
              <w:rPr>
                <w:bCs/>
                <w:sz w:val="26"/>
                <w:szCs w:val="26"/>
                <w:lang w:val="lv-LV" w:eastAsia="lv-LV"/>
              </w:rPr>
              <w:lastRenderedPageBreak/>
              <w:t>2013</w:t>
            </w:r>
          </w:p>
        </w:tc>
        <w:tc>
          <w:tcPr>
            <w:tcW w:w="3621" w:type="dxa"/>
            <w:gridSpan w:val="3"/>
            <w:vAlign w:val="center"/>
          </w:tcPr>
          <w:p w14:paraId="7C8B9E36" w14:textId="3AFCAB94" w:rsidR="00F06FE2" w:rsidRPr="00D84A5A" w:rsidRDefault="00F06FE2" w:rsidP="007B4B24">
            <w:pPr>
              <w:jc w:val="both"/>
              <w:rPr>
                <w:sz w:val="26"/>
                <w:szCs w:val="26"/>
                <w:lang w:val="lv-LV" w:eastAsia="lv-LV"/>
              </w:rPr>
            </w:pPr>
            <w:r w:rsidRPr="00D84A5A">
              <w:rPr>
                <w:sz w:val="26"/>
                <w:szCs w:val="26"/>
                <w:lang w:val="lv-LV" w:eastAsia="lv-LV"/>
              </w:rPr>
              <w:t xml:space="preserve">Turpmākie trīs gadi (tūkst. </w:t>
            </w:r>
            <w:r w:rsidR="00860635" w:rsidRPr="00D84A5A">
              <w:rPr>
                <w:sz w:val="26"/>
                <w:szCs w:val="26"/>
                <w:lang w:val="lv-LV" w:eastAsia="lv-LV"/>
              </w:rPr>
              <w:t>euro</w:t>
            </w:r>
            <w:r w:rsidRPr="00D84A5A">
              <w:rPr>
                <w:sz w:val="26"/>
                <w:szCs w:val="26"/>
                <w:lang w:val="lv-LV" w:eastAsia="lv-LV"/>
              </w:rPr>
              <w:t>)</w:t>
            </w:r>
          </w:p>
          <w:p w14:paraId="13416758" w14:textId="77777777" w:rsidR="00F06FE2" w:rsidRPr="00D84A5A" w:rsidRDefault="00F06FE2" w:rsidP="007B4B24">
            <w:pPr>
              <w:jc w:val="both"/>
              <w:rPr>
                <w:sz w:val="26"/>
                <w:szCs w:val="26"/>
                <w:lang w:val="lv-LV" w:eastAsia="lv-LV"/>
              </w:rPr>
            </w:pPr>
          </w:p>
        </w:tc>
      </w:tr>
      <w:tr w:rsidR="00C40A03" w:rsidRPr="00C40A03" w14:paraId="33D968DB" w14:textId="77777777" w:rsidTr="00850E87">
        <w:trPr>
          <w:tblCellSpacing w:w="0" w:type="dxa"/>
        </w:trPr>
        <w:tc>
          <w:tcPr>
            <w:tcW w:w="2227" w:type="dxa"/>
            <w:vMerge/>
            <w:vAlign w:val="center"/>
          </w:tcPr>
          <w:p w14:paraId="0D51296F" w14:textId="77777777" w:rsidR="00F06FE2" w:rsidRPr="00C40A03" w:rsidRDefault="00F06FE2" w:rsidP="007B4B24">
            <w:pPr>
              <w:jc w:val="both"/>
              <w:rPr>
                <w:color w:val="FF0000"/>
                <w:sz w:val="26"/>
                <w:szCs w:val="26"/>
                <w:lang w:val="lv-LV" w:eastAsia="lv-LV"/>
              </w:rPr>
            </w:pPr>
          </w:p>
        </w:tc>
        <w:tc>
          <w:tcPr>
            <w:tcW w:w="3082" w:type="dxa"/>
            <w:gridSpan w:val="2"/>
            <w:vMerge/>
            <w:vAlign w:val="center"/>
          </w:tcPr>
          <w:p w14:paraId="7DAF2DC2" w14:textId="77777777" w:rsidR="00F06FE2" w:rsidRPr="00D84A5A" w:rsidRDefault="00F06FE2" w:rsidP="007B4B24">
            <w:pPr>
              <w:jc w:val="both"/>
              <w:rPr>
                <w:sz w:val="26"/>
                <w:szCs w:val="26"/>
                <w:lang w:val="lv-LV" w:eastAsia="lv-LV"/>
              </w:rPr>
            </w:pPr>
          </w:p>
        </w:tc>
        <w:tc>
          <w:tcPr>
            <w:tcW w:w="1158" w:type="dxa"/>
            <w:vAlign w:val="center"/>
          </w:tcPr>
          <w:p w14:paraId="447B72A6" w14:textId="77777777" w:rsidR="00F06FE2" w:rsidRPr="00D84A5A" w:rsidRDefault="00F06FE2" w:rsidP="007B4B24">
            <w:pPr>
              <w:jc w:val="both"/>
              <w:rPr>
                <w:sz w:val="26"/>
                <w:szCs w:val="26"/>
                <w:lang w:val="lv-LV" w:eastAsia="lv-LV"/>
              </w:rPr>
            </w:pPr>
            <w:r w:rsidRPr="00D84A5A">
              <w:rPr>
                <w:sz w:val="26"/>
                <w:szCs w:val="26"/>
                <w:lang w:val="lv-LV" w:eastAsia="lv-LV"/>
              </w:rPr>
              <w:t>2014</w:t>
            </w:r>
          </w:p>
        </w:tc>
        <w:tc>
          <w:tcPr>
            <w:tcW w:w="1158" w:type="dxa"/>
            <w:vAlign w:val="center"/>
          </w:tcPr>
          <w:p w14:paraId="4EEA17DB" w14:textId="77777777" w:rsidR="00F06FE2" w:rsidRPr="00D84A5A" w:rsidRDefault="00F06FE2" w:rsidP="007B4B24">
            <w:pPr>
              <w:jc w:val="both"/>
              <w:rPr>
                <w:sz w:val="26"/>
                <w:szCs w:val="26"/>
                <w:lang w:val="lv-LV" w:eastAsia="lv-LV"/>
              </w:rPr>
            </w:pPr>
            <w:r w:rsidRPr="00D84A5A">
              <w:rPr>
                <w:sz w:val="26"/>
                <w:szCs w:val="26"/>
                <w:lang w:val="lv-LV" w:eastAsia="lv-LV"/>
              </w:rPr>
              <w:t>2015</w:t>
            </w:r>
          </w:p>
        </w:tc>
        <w:tc>
          <w:tcPr>
            <w:tcW w:w="1305" w:type="dxa"/>
            <w:vAlign w:val="center"/>
          </w:tcPr>
          <w:p w14:paraId="05A20654" w14:textId="77777777" w:rsidR="00F06FE2" w:rsidRPr="00D84A5A" w:rsidRDefault="00F06FE2" w:rsidP="007B4B24">
            <w:pPr>
              <w:jc w:val="both"/>
              <w:rPr>
                <w:sz w:val="26"/>
                <w:szCs w:val="26"/>
                <w:lang w:val="lv-LV" w:eastAsia="lv-LV"/>
              </w:rPr>
            </w:pPr>
            <w:r w:rsidRPr="00D84A5A">
              <w:rPr>
                <w:sz w:val="26"/>
                <w:szCs w:val="26"/>
                <w:lang w:val="lv-LV" w:eastAsia="lv-LV"/>
              </w:rPr>
              <w:t>2016</w:t>
            </w:r>
          </w:p>
        </w:tc>
      </w:tr>
      <w:tr w:rsidR="00C40A03" w:rsidRPr="00C40A03" w14:paraId="17B65EAB" w14:textId="77777777" w:rsidTr="00850E87">
        <w:trPr>
          <w:tblCellSpacing w:w="0" w:type="dxa"/>
        </w:trPr>
        <w:tc>
          <w:tcPr>
            <w:tcW w:w="2227" w:type="dxa"/>
            <w:vMerge/>
            <w:vAlign w:val="center"/>
          </w:tcPr>
          <w:p w14:paraId="36987712" w14:textId="77777777" w:rsidR="00F06FE2" w:rsidRPr="00C40A03" w:rsidRDefault="00F06FE2" w:rsidP="007B4B24">
            <w:pPr>
              <w:jc w:val="both"/>
              <w:rPr>
                <w:color w:val="FF0000"/>
                <w:sz w:val="26"/>
                <w:szCs w:val="26"/>
                <w:lang w:val="lv-LV" w:eastAsia="lv-LV"/>
              </w:rPr>
            </w:pPr>
          </w:p>
        </w:tc>
        <w:tc>
          <w:tcPr>
            <w:tcW w:w="1908" w:type="dxa"/>
            <w:vAlign w:val="center"/>
          </w:tcPr>
          <w:p w14:paraId="121CBB65" w14:textId="77777777" w:rsidR="00F06FE2" w:rsidRPr="00D84A5A" w:rsidRDefault="00F06FE2" w:rsidP="007B4B24">
            <w:pPr>
              <w:jc w:val="both"/>
              <w:rPr>
                <w:sz w:val="26"/>
                <w:szCs w:val="26"/>
                <w:lang w:val="lv-LV" w:eastAsia="lv-LV"/>
              </w:rPr>
            </w:pPr>
            <w:r w:rsidRPr="00D84A5A">
              <w:rPr>
                <w:sz w:val="26"/>
                <w:szCs w:val="26"/>
                <w:lang w:val="lv-LV" w:eastAsia="lv-LV"/>
              </w:rPr>
              <w:t>Saskaņā ar valsts budžetu kārtējam gadam</w:t>
            </w:r>
          </w:p>
        </w:tc>
        <w:tc>
          <w:tcPr>
            <w:tcW w:w="1174" w:type="dxa"/>
            <w:vAlign w:val="center"/>
          </w:tcPr>
          <w:p w14:paraId="734DBA99" w14:textId="77777777" w:rsidR="00F06FE2" w:rsidRPr="00D84A5A" w:rsidRDefault="00F06FE2" w:rsidP="007B4B24">
            <w:pPr>
              <w:jc w:val="both"/>
              <w:rPr>
                <w:sz w:val="26"/>
                <w:szCs w:val="26"/>
                <w:lang w:val="lv-LV" w:eastAsia="lv-LV"/>
              </w:rPr>
            </w:pPr>
            <w:r w:rsidRPr="00D84A5A">
              <w:rPr>
                <w:sz w:val="26"/>
                <w:szCs w:val="26"/>
                <w:lang w:val="lv-LV" w:eastAsia="lv-LV"/>
              </w:rPr>
              <w:t>Izmaiņas kārtējā gadā, salīdzinot ar budžetu kārtējam gadam</w:t>
            </w:r>
          </w:p>
        </w:tc>
        <w:tc>
          <w:tcPr>
            <w:tcW w:w="1158" w:type="dxa"/>
            <w:vAlign w:val="center"/>
          </w:tcPr>
          <w:p w14:paraId="07FC8688" w14:textId="77777777" w:rsidR="00F06FE2" w:rsidRPr="00D84A5A" w:rsidRDefault="00F06FE2" w:rsidP="007B4B24">
            <w:pPr>
              <w:jc w:val="both"/>
              <w:rPr>
                <w:sz w:val="26"/>
                <w:szCs w:val="26"/>
                <w:lang w:val="lv-LV" w:eastAsia="lv-LV"/>
              </w:rPr>
            </w:pPr>
            <w:r w:rsidRPr="00D84A5A">
              <w:rPr>
                <w:sz w:val="26"/>
                <w:szCs w:val="26"/>
                <w:lang w:val="lv-LV"/>
              </w:rPr>
              <w:t>Izmaiņas, salīdzinot ar kārtējo (n) gadu</w:t>
            </w:r>
          </w:p>
        </w:tc>
        <w:tc>
          <w:tcPr>
            <w:tcW w:w="1158" w:type="dxa"/>
            <w:vAlign w:val="center"/>
          </w:tcPr>
          <w:p w14:paraId="7DC1C820" w14:textId="77777777" w:rsidR="00F06FE2" w:rsidRPr="00D84A5A" w:rsidRDefault="00F06FE2" w:rsidP="007B4B24">
            <w:pPr>
              <w:jc w:val="both"/>
              <w:rPr>
                <w:sz w:val="26"/>
                <w:szCs w:val="26"/>
                <w:lang w:val="lv-LV" w:eastAsia="lv-LV"/>
              </w:rPr>
            </w:pPr>
            <w:r w:rsidRPr="00D84A5A">
              <w:rPr>
                <w:sz w:val="26"/>
                <w:szCs w:val="26"/>
                <w:lang w:val="lv-LV" w:eastAsia="lv-LV"/>
              </w:rPr>
              <w:t>Izmaiņas, salīdzinot ar kārtējo (n) gadu</w:t>
            </w:r>
          </w:p>
        </w:tc>
        <w:tc>
          <w:tcPr>
            <w:tcW w:w="1305" w:type="dxa"/>
            <w:vAlign w:val="center"/>
          </w:tcPr>
          <w:p w14:paraId="0E2760B9" w14:textId="77777777" w:rsidR="00F06FE2" w:rsidRPr="00D84A5A" w:rsidRDefault="00F06FE2" w:rsidP="007B4B24">
            <w:pPr>
              <w:jc w:val="both"/>
              <w:rPr>
                <w:sz w:val="26"/>
                <w:szCs w:val="26"/>
                <w:lang w:val="lv-LV" w:eastAsia="lv-LV"/>
              </w:rPr>
            </w:pPr>
            <w:r w:rsidRPr="00D84A5A">
              <w:rPr>
                <w:sz w:val="26"/>
                <w:szCs w:val="26"/>
                <w:lang w:val="lv-LV" w:eastAsia="lv-LV"/>
              </w:rPr>
              <w:t>Izmaiņas, salīdzinot ar kārtējo (n) gadu</w:t>
            </w:r>
          </w:p>
        </w:tc>
      </w:tr>
      <w:tr w:rsidR="00C40A03" w:rsidRPr="00C40A03" w14:paraId="4AC0964E" w14:textId="77777777" w:rsidTr="00850E87">
        <w:trPr>
          <w:tblCellSpacing w:w="0" w:type="dxa"/>
        </w:trPr>
        <w:tc>
          <w:tcPr>
            <w:tcW w:w="2227" w:type="dxa"/>
            <w:vAlign w:val="center"/>
          </w:tcPr>
          <w:p w14:paraId="4A5A8835" w14:textId="77777777" w:rsidR="00F06FE2" w:rsidRPr="00D84A5A" w:rsidRDefault="00F06FE2" w:rsidP="007B4B24">
            <w:pPr>
              <w:jc w:val="both"/>
              <w:rPr>
                <w:sz w:val="26"/>
                <w:szCs w:val="26"/>
                <w:lang w:val="lv-LV" w:eastAsia="lv-LV"/>
              </w:rPr>
            </w:pPr>
            <w:r w:rsidRPr="00D84A5A">
              <w:rPr>
                <w:sz w:val="26"/>
                <w:szCs w:val="26"/>
                <w:lang w:val="lv-LV" w:eastAsia="lv-LV"/>
              </w:rPr>
              <w:t>1</w:t>
            </w:r>
          </w:p>
        </w:tc>
        <w:tc>
          <w:tcPr>
            <w:tcW w:w="1908" w:type="dxa"/>
            <w:vAlign w:val="center"/>
          </w:tcPr>
          <w:p w14:paraId="0E283B0A" w14:textId="77777777" w:rsidR="00F06FE2" w:rsidRPr="00D84A5A" w:rsidRDefault="00F06FE2" w:rsidP="007B4B24">
            <w:pPr>
              <w:jc w:val="both"/>
              <w:rPr>
                <w:sz w:val="26"/>
                <w:szCs w:val="26"/>
                <w:lang w:val="lv-LV" w:eastAsia="lv-LV"/>
              </w:rPr>
            </w:pPr>
            <w:r w:rsidRPr="00D84A5A">
              <w:rPr>
                <w:sz w:val="26"/>
                <w:szCs w:val="26"/>
                <w:lang w:val="lv-LV" w:eastAsia="lv-LV"/>
              </w:rPr>
              <w:t>2</w:t>
            </w:r>
          </w:p>
        </w:tc>
        <w:tc>
          <w:tcPr>
            <w:tcW w:w="1174" w:type="dxa"/>
            <w:vAlign w:val="center"/>
          </w:tcPr>
          <w:p w14:paraId="386DA3AF" w14:textId="77777777" w:rsidR="00F06FE2" w:rsidRPr="00D84A5A" w:rsidRDefault="00F06FE2" w:rsidP="007B4B24">
            <w:pPr>
              <w:jc w:val="both"/>
              <w:rPr>
                <w:sz w:val="26"/>
                <w:szCs w:val="26"/>
                <w:lang w:val="lv-LV" w:eastAsia="lv-LV"/>
              </w:rPr>
            </w:pPr>
            <w:r w:rsidRPr="00D84A5A">
              <w:rPr>
                <w:sz w:val="26"/>
                <w:szCs w:val="26"/>
                <w:lang w:val="lv-LV" w:eastAsia="lv-LV"/>
              </w:rPr>
              <w:t>3</w:t>
            </w:r>
          </w:p>
        </w:tc>
        <w:tc>
          <w:tcPr>
            <w:tcW w:w="1158" w:type="dxa"/>
            <w:vAlign w:val="center"/>
          </w:tcPr>
          <w:p w14:paraId="612D3B20" w14:textId="77777777" w:rsidR="00F06FE2" w:rsidRPr="00D84A5A" w:rsidRDefault="00F06FE2" w:rsidP="007B4B24">
            <w:pPr>
              <w:jc w:val="both"/>
              <w:rPr>
                <w:sz w:val="26"/>
                <w:szCs w:val="26"/>
                <w:lang w:val="lv-LV" w:eastAsia="lv-LV"/>
              </w:rPr>
            </w:pPr>
            <w:r w:rsidRPr="00D84A5A">
              <w:rPr>
                <w:sz w:val="26"/>
                <w:szCs w:val="26"/>
                <w:lang w:val="lv-LV" w:eastAsia="lv-LV"/>
              </w:rPr>
              <w:t>4</w:t>
            </w:r>
          </w:p>
        </w:tc>
        <w:tc>
          <w:tcPr>
            <w:tcW w:w="1158" w:type="dxa"/>
            <w:vAlign w:val="center"/>
          </w:tcPr>
          <w:p w14:paraId="1F423090" w14:textId="77777777" w:rsidR="00F06FE2" w:rsidRPr="00D84A5A" w:rsidRDefault="00F06FE2" w:rsidP="007B4B24">
            <w:pPr>
              <w:jc w:val="both"/>
              <w:rPr>
                <w:sz w:val="26"/>
                <w:szCs w:val="26"/>
                <w:lang w:val="lv-LV" w:eastAsia="lv-LV"/>
              </w:rPr>
            </w:pPr>
            <w:r w:rsidRPr="00D84A5A">
              <w:rPr>
                <w:sz w:val="26"/>
                <w:szCs w:val="26"/>
                <w:lang w:val="lv-LV" w:eastAsia="lv-LV"/>
              </w:rPr>
              <w:t>5</w:t>
            </w:r>
          </w:p>
        </w:tc>
        <w:tc>
          <w:tcPr>
            <w:tcW w:w="1305" w:type="dxa"/>
            <w:vAlign w:val="center"/>
          </w:tcPr>
          <w:p w14:paraId="494DDA68" w14:textId="77777777" w:rsidR="00F06FE2" w:rsidRPr="00D84A5A" w:rsidRDefault="00F06FE2" w:rsidP="007B4B24">
            <w:pPr>
              <w:jc w:val="both"/>
              <w:rPr>
                <w:sz w:val="26"/>
                <w:szCs w:val="26"/>
                <w:lang w:val="lv-LV" w:eastAsia="lv-LV"/>
              </w:rPr>
            </w:pPr>
            <w:r w:rsidRPr="00D84A5A">
              <w:rPr>
                <w:sz w:val="26"/>
                <w:szCs w:val="26"/>
                <w:lang w:val="lv-LV" w:eastAsia="lv-LV"/>
              </w:rPr>
              <w:t>6</w:t>
            </w:r>
          </w:p>
        </w:tc>
      </w:tr>
      <w:tr w:rsidR="00C40A03" w:rsidRPr="00C40A03" w14:paraId="7150F95B" w14:textId="77777777" w:rsidTr="00850E87">
        <w:trPr>
          <w:tblCellSpacing w:w="0" w:type="dxa"/>
        </w:trPr>
        <w:tc>
          <w:tcPr>
            <w:tcW w:w="2227" w:type="dxa"/>
          </w:tcPr>
          <w:p w14:paraId="595315F6" w14:textId="77777777" w:rsidR="00F06FE2" w:rsidRPr="00D84A5A" w:rsidRDefault="00F06FE2" w:rsidP="007B4B24">
            <w:pPr>
              <w:jc w:val="both"/>
              <w:rPr>
                <w:sz w:val="26"/>
                <w:szCs w:val="26"/>
                <w:lang w:val="lv-LV" w:eastAsia="lv-LV"/>
              </w:rPr>
            </w:pPr>
            <w:r w:rsidRPr="00D84A5A">
              <w:rPr>
                <w:sz w:val="26"/>
                <w:szCs w:val="26"/>
                <w:lang w:val="lv-LV" w:eastAsia="lv-LV"/>
              </w:rPr>
              <w:t> 1. Budžeta ieņēmumi:</w:t>
            </w:r>
          </w:p>
        </w:tc>
        <w:tc>
          <w:tcPr>
            <w:tcW w:w="1908" w:type="dxa"/>
          </w:tcPr>
          <w:p w14:paraId="637E6039" w14:textId="0D54C162" w:rsidR="00F06FE2" w:rsidRPr="00D84A5A" w:rsidRDefault="00850E87" w:rsidP="007B4B24">
            <w:pPr>
              <w:jc w:val="both"/>
              <w:rPr>
                <w:sz w:val="26"/>
                <w:szCs w:val="26"/>
                <w:lang w:val="lv-LV" w:eastAsia="lv-LV"/>
              </w:rPr>
            </w:pPr>
            <w:r w:rsidRPr="00850E87">
              <w:rPr>
                <w:sz w:val="26"/>
                <w:szCs w:val="26"/>
                <w:lang w:val="lv-LV" w:eastAsia="lv-LV"/>
              </w:rPr>
              <w:t>682 365,8</w:t>
            </w:r>
          </w:p>
        </w:tc>
        <w:tc>
          <w:tcPr>
            <w:tcW w:w="1174" w:type="dxa"/>
          </w:tcPr>
          <w:p w14:paraId="023E4D18" w14:textId="025C2B60" w:rsidR="00F06FE2" w:rsidRPr="00D84A5A" w:rsidRDefault="000522D9" w:rsidP="007B4B24">
            <w:pPr>
              <w:jc w:val="both"/>
              <w:rPr>
                <w:sz w:val="26"/>
                <w:szCs w:val="26"/>
                <w:lang w:val="lv-LV" w:eastAsia="lv-LV"/>
              </w:rPr>
            </w:pPr>
            <w:r w:rsidRPr="00D84A5A">
              <w:rPr>
                <w:sz w:val="26"/>
                <w:szCs w:val="26"/>
                <w:lang w:val="lv-LV" w:eastAsia="lv-LV"/>
              </w:rPr>
              <w:t>39 700,0</w:t>
            </w:r>
          </w:p>
        </w:tc>
        <w:tc>
          <w:tcPr>
            <w:tcW w:w="1158" w:type="dxa"/>
          </w:tcPr>
          <w:p w14:paraId="2B2031CA" w14:textId="279E5FE7" w:rsidR="00F06FE2" w:rsidRPr="00D84A5A" w:rsidRDefault="000522D9" w:rsidP="007B4B24">
            <w:pPr>
              <w:jc w:val="both"/>
              <w:rPr>
                <w:sz w:val="26"/>
                <w:szCs w:val="26"/>
                <w:lang w:val="lv-LV" w:eastAsia="lv-LV"/>
              </w:rPr>
            </w:pPr>
            <w:r w:rsidRPr="00D84A5A">
              <w:rPr>
                <w:sz w:val="26"/>
                <w:szCs w:val="26"/>
                <w:lang w:val="lv-LV" w:eastAsia="lv-LV"/>
              </w:rPr>
              <w:t>0</w:t>
            </w:r>
          </w:p>
        </w:tc>
        <w:tc>
          <w:tcPr>
            <w:tcW w:w="1158" w:type="dxa"/>
          </w:tcPr>
          <w:p w14:paraId="0D22E256" w14:textId="6D4ED003" w:rsidR="00F06FE2" w:rsidRPr="00D84A5A" w:rsidRDefault="000522D9" w:rsidP="007B4B24">
            <w:pPr>
              <w:jc w:val="both"/>
              <w:rPr>
                <w:sz w:val="26"/>
                <w:szCs w:val="26"/>
                <w:lang w:val="lv-LV" w:eastAsia="lv-LV"/>
              </w:rPr>
            </w:pPr>
            <w:r w:rsidRPr="00D84A5A">
              <w:rPr>
                <w:sz w:val="26"/>
                <w:szCs w:val="26"/>
                <w:lang w:val="lv-LV" w:eastAsia="lv-LV"/>
              </w:rPr>
              <w:t>0</w:t>
            </w:r>
          </w:p>
        </w:tc>
        <w:tc>
          <w:tcPr>
            <w:tcW w:w="1305" w:type="dxa"/>
          </w:tcPr>
          <w:p w14:paraId="0E51C075" w14:textId="1D761FD7" w:rsidR="00F06FE2" w:rsidRPr="00D84A5A" w:rsidRDefault="000522D9" w:rsidP="007B4B24">
            <w:pPr>
              <w:jc w:val="both"/>
              <w:rPr>
                <w:sz w:val="26"/>
                <w:szCs w:val="26"/>
                <w:lang w:val="lv-LV" w:eastAsia="lv-LV"/>
              </w:rPr>
            </w:pPr>
            <w:r w:rsidRPr="00D84A5A">
              <w:rPr>
                <w:sz w:val="26"/>
                <w:szCs w:val="26"/>
                <w:lang w:val="lv-LV" w:eastAsia="lv-LV"/>
              </w:rPr>
              <w:t>0</w:t>
            </w:r>
          </w:p>
        </w:tc>
      </w:tr>
      <w:tr w:rsidR="00C40A03" w:rsidRPr="00C40A03" w14:paraId="5FB18CFF" w14:textId="77777777" w:rsidTr="00850E87">
        <w:trPr>
          <w:tblCellSpacing w:w="0" w:type="dxa"/>
        </w:trPr>
        <w:tc>
          <w:tcPr>
            <w:tcW w:w="2227" w:type="dxa"/>
          </w:tcPr>
          <w:p w14:paraId="4A7B0262" w14:textId="60B32612" w:rsidR="00F06FE2" w:rsidRPr="00D84A5A" w:rsidRDefault="00F06FE2" w:rsidP="007B4B24">
            <w:pPr>
              <w:jc w:val="both"/>
              <w:rPr>
                <w:sz w:val="26"/>
                <w:szCs w:val="26"/>
                <w:lang w:val="lv-LV" w:eastAsia="lv-LV"/>
              </w:rPr>
            </w:pPr>
            <w:r w:rsidRPr="00D84A5A">
              <w:rPr>
                <w:sz w:val="26"/>
                <w:szCs w:val="26"/>
                <w:lang w:val="lv-LV" w:eastAsia="lv-LV"/>
              </w:rPr>
              <w:t> 1.1. valsts pamatbudžets, tai skaitā ieņēmumi no maksas pakalpojumiem un citi pašu ieņēmumi</w:t>
            </w:r>
          </w:p>
        </w:tc>
        <w:tc>
          <w:tcPr>
            <w:tcW w:w="1908" w:type="dxa"/>
          </w:tcPr>
          <w:p w14:paraId="6C1739D9"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74" w:type="dxa"/>
          </w:tcPr>
          <w:p w14:paraId="52132847" w14:textId="422DC0FE" w:rsidR="00F06FE2" w:rsidRPr="00D84A5A" w:rsidRDefault="00076684" w:rsidP="007B4B24">
            <w:pPr>
              <w:jc w:val="both"/>
              <w:rPr>
                <w:sz w:val="26"/>
                <w:szCs w:val="26"/>
                <w:lang w:val="lv-LV" w:eastAsia="lv-LV"/>
              </w:rPr>
            </w:pPr>
            <w:r>
              <w:rPr>
                <w:sz w:val="26"/>
                <w:szCs w:val="26"/>
                <w:lang w:val="lv-LV" w:eastAsia="lv-LV"/>
              </w:rPr>
              <w:t>0</w:t>
            </w:r>
          </w:p>
        </w:tc>
        <w:tc>
          <w:tcPr>
            <w:tcW w:w="1158" w:type="dxa"/>
          </w:tcPr>
          <w:p w14:paraId="43FCFBBE" w14:textId="215049C1" w:rsidR="00F06FE2" w:rsidRPr="00D84A5A" w:rsidRDefault="000522D9" w:rsidP="007B4B24">
            <w:pPr>
              <w:jc w:val="both"/>
              <w:rPr>
                <w:sz w:val="26"/>
                <w:szCs w:val="26"/>
                <w:lang w:val="lv-LV" w:eastAsia="lv-LV"/>
              </w:rPr>
            </w:pPr>
            <w:r w:rsidRPr="00D84A5A">
              <w:rPr>
                <w:sz w:val="26"/>
                <w:szCs w:val="26"/>
                <w:lang w:val="lv-LV"/>
              </w:rPr>
              <w:t>0</w:t>
            </w:r>
          </w:p>
        </w:tc>
        <w:tc>
          <w:tcPr>
            <w:tcW w:w="1158" w:type="dxa"/>
          </w:tcPr>
          <w:p w14:paraId="5B527A98" w14:textId="0E2ECAFC" w:rsidR="00F06FE2" w:rsidRPr="00D84A5A" w:rsidRDefault="000522D9" w:rsidP="007B4B24">
            <w:pPr>
              <w:jc w:val="both"/>
              <w:rPr>
                <w:sz w:val="26"/>
                <w:szCs w:val="26"/>
                <w:lang w:val="lv-LV" w:eastAsia="lv-LV"/>
              </w:rPr>
            </w:pPr>
            <w:r w:rsidRPr="00D84A5A">
              <w:rPr>
                <w:sz w:val="26"/>
                <w:szCs w:val="26"/>
                <w:lang w:val="lv-LV"/>
              </w:rPr>
              <w:t>0</w:t>
            </w:r>
          </w:p>
        </w:tc>
        <w:tc>
          <w:tcPr>
            <w:tcW w:w="1305" w:type="dxa"/>
          </w:tcPr>
          <w:p w14:paraId="0635F981" w14:textId="5E89A5BD" w:rsidR="00F06FE2" w:rsidRPr="00D84A5A" w:rsidRDefault="000522D9" w:rsidP="007B4B24">
            <w:pPr>
              <w:jc w:val="both"/>
              <w:rPr>
                <w:sz w:val="26"/>
                <w:szCs w:val="26"/>
                <w:lang w:val="lv-LV" w:eastAsia="lv-LV"/>
              </w:rPr>
            </w:pPr>
            <w:r w:rsidRPr="00D84A5A">
              <w:rPr>
                <w:sz w:val="26"/>
                <w:szCs w:val="26"/>
                <w:lang w:val="lv-LV"/>
              </w:rPr>
              <w:t>0</w:t>
            </w:r>
          </w:p>
        </w:tc>
      </w:tr>
      <w:tr w:rsidR="00C40A03" w:rsidRPr="00C40A03" w14:paraId="5B797B78" w14:textId="77777777" w:rsidTr="00850E87">
        <w:trPr>
          <w:tblCellSpacing w:w="0" w:type="dxa"/>
        </w:trPr>
        <w:tc>
          <w:tcPr>
            <w:tcW w:w="2227" w:type="dxa"/>
          </w:tcPr>
          <w:p w14:paraId="397B0940" w14:textId="77777777" w:rsidR="00F06FE2" w:rsidRPr="00D84A5A" w:rsidRDefault="00F06FE2" w:rsidP="007B4B24">
            <w:pPr>
              <w:jc w:val="both"/>
              <w:rPr>
                <w:sz w:val="26"/>
                <w:szCs w:val="26"/>
                <w:lang w:val="lv-LV" w:eastAsia="lv-LV"/>
              </w:rPr>
            </w:pPr>
            <w:r w:rsidRPr="00D84A5A">
              <w:rPr>
                <w:sz w:val="26"/>
                <w:szCs w:val="26"/>
                <w:lang w:val="lv-LV" w:eastAsia="lv-LV"/>
              </w:rPr>
              <w:t> 1.2. valsts speciālais budžets</w:t>
            </w:r>
          </w:p>
        </w:tc>
        <w:tc>
          <w:tcPr>
            <w:tcW w:w="1908" w:type="dxa"/>
          </w:tcPr>
          <w:p w14:paraId="401EA455"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74" w:type="dxa"/>
          </w:tcPr>
          <w:p w14:paraId="729320AD"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58" w:type="dxa"/>
          </w:tcPr>
          <w:p w14:paraId="115977D9"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58" w:type="dxa"/>
          </w:tcPr>
          <w:p w14:paraId="305781FF"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305" w:type="dxa"/>
          </w:tcPr>
          <w:p w14:paraId="2822D606" w14:textId="77777777" w:rsidR="00F06FE2" w:rsidRPr="00D84A5A" w:rsidRDefault="00F06FE2" w:rsidP="007B4B24">
            <w:pPr>
              <w:jc w:val="both"/>
              <w:rPr>
                <w:sz w:val="26"/>
                <w:szCs w:val="26"/>
                <w:lang w:val="lv-LV" w:eastAsia="lv-LV"/>
              </w:rPr>
            </w:pPr>
            <w:r w:rsidRPr="00D84A5A">
              <w:rPr>
                <w:sz w:val="26"/>
                <w:szCs w:val="26"/>
                <w:lang w:val="lv-LV" w:eastAsia="lv-LV"/>
              </w:rPr>
              <w:t>0</w:t>
            </w:r>
          </w:p>
        </w:tc>
      </w:tr>
      <w:tr w:rsidR="00C40A03" w:rsidRPr="00C40A03" w14:paraId="3036176F" w14:textId="77777777" w:rsidTr="00850E87">
        <w:trPr>
          <w:trHeight w:val="1104"/>
          <w:tblCellSpacing w:w="0" w:type="dxa"/>
        </w:trPr>
        <w:tc>
          <w:tcPr>
            <w:tcW w:w="2227" w:type="dxa"/>
          </w:tcPr>
          <w:p w14:paraId="5E829BE2" w14:textId="77777777" w:rsidR="00F06FE2" w:rsidRPr="00D84A5A" w:rsidRDefault="00F06FE2" w:rsidP="007B4B24">
            <w:pPr>
              <w:jc w:val="both"/>
              <w:rPr>
                <w:sz w:val="26"/>
                <w:szCs w:val="26"/>
                <w:lang w:val="lv-LV" w:eastAsia="lv-LV"/>
              </w:rPr>
            </w:pPr>
            <w:r w:rsidRPr="00D84A5A">
              <w:rPr>
                <w:sz w:val="26"/>
                <w:szCs w:val="26"/>
                <w:lang w:val="lv-LV" w:eastAsia="lv-LV"/>
              </w:rPr>
              <w:t> 1.3. pašvaldību budžets</w:t>
            </w:r>
          </w:p>
        </w:tc>
        <w:tc>
          <w:tcPr>
            <w:tcW w:w="1908" w:type="dxa"/>
          </w:tcPr>
          <w:p w14:paraId="53A31F84"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74" w:type="dxa"/>
          </w:tcPr>
          <w:p w14:paraId="33FCF2CE"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58" w:type="dxa"/>
          </w:tcPr>
          <w:p w14:paraId="09FB993D"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58" w:type="dxa"/>
          </w:tcPr>
          <w:p w14:paraId="143268D1"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305" w:type="dxa"/>
          </w:tcPr>
          <w:p w14:paraId="6CEBE17B" w14:textId="77777777" w:rsidR="00F06FE2" w:rsidRPr="00D84A5A" w:rsidRDefault="00F06FE2" w:rsidP="007B4B24">
            <w:pPr>
              <w:jc w:val="both"/>
              <w:rPr>
                <w:sz w:val="26"/>
                <w:szCs w:val="26"/>
                <w:lang w:val="lv-LV" w:eastAsia="lv-LV"/>
              </w:rPr>
            </w:pPr>
            <w:r w:rsidRPr="00D84A5A">
              <w:rPr>
                <w:sz w:val="26"/>
                <w:szCs w:val="26"/>
                <w:lang w:val="lv-LV" w:eastAsia="lv-LV"/>
              </w:rPr>
              <w:t>0</w:t>
            </w:r>
          </w:p>
        </w:tc>
      </w:tr>
      <w:tr w:rsidR="00C40A03" w:rsidRPr="00C40A03" w14:paraId="3CE1CC33" w14:textId="77777777" w:rsidTr="00850E87">
        <w:trPr>
          <w:tblCellSpacing w:w="0" w:type="dxa"/>
        </w:trPr>
        <w:tc>
          <w:tcPr>
            <w:tcW w:w="2227" w:type="dxa"/>
          </w:tcPr>
          <w:p w14:paraId="262DB898" w14:textId="77777777" w:rsidR="00F06FE2" w:rsidRPr="00D84A5A" w:rsidRDefault="00F06FE2" w:rsidP="007B4B24">
            <w:pPr>
              <w:jc w:val="both"/>
              <w:rPr>
                <w:sz w:val="26"/>
                <w:szCs w:val="26"/>
                <w:lang w:val="lv-LV" w:eastAsia="lv-LV"/>
              </w:rPr>
            </w:pPr>
            <w:r w:rsidRPr="00D84A5A">
              <w:rPr>
                <w:sz w:val="26"/>
                <w:szCs w:val="26"/>
                <w:lang w:val="lv-LV" w:eastAsia="lv-LV"/>
              </w:rPr>
              <w:t> 2. Budžeta izdevumi:</w:t>
            </w:r>
          </w:p>
        </w:tc>
        <w:tc>
          <w:tcPr>
            <w:tcW w:w="1908" w:type="dxa"/>
          </w:tcPr>
          <w:p w14:paraId="430F6CB2"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74" w:type="dxa"/>
          </w:tcPr>
          <w:p w14:paraId="41C9BB76" w14:textId="4A92342D" w:rsidR="00F06FE2" w:rsidRPr="00D84A5A" w:rsidRDefault="000522D9" w:rsidP="007B4B24">
            <w:pPr>
              <w:jc w:val="both"/>
              <w:rPr>
                <w:sz w:val="26"/>
                <w:szCs w:val="26"/>
                <w:lang w:val="lv-LV" w:eastAsia="lv-LV"/>
              </w:rPr>
            </w:pPr>
            <w:r w:rsidRPr="00D84A5A">
              <w:rPr>
                <w:sz w:val="26"/>
                <w:szCs w:val="26"/>
                <w:lang w:val="lv-LV" w:eastAsia="lv-LV"/>
              </w:rPr>
              <w:t>1 985,0</w:t>
            </w:r>
          </w:p>
        </w:tc>
        <w:tc>
          <w:tcPr>
            <w:tcW w:w="1158" w:type="dxa"/>
          </w:tcPr>
          <w:p w14:paraId="73296CB0" w14:textId="77777777" w:rsidR="00F06FE2" w:rsidRPr="00D84A5A" w:rsidRDefault="00A25C50" w:rsidP="007B4B24">
            <w:pPr>
              <w:jc w:val="both"/>
              <w:rPr>
                <w:sz w:val="26"/>
                <w:szCs w:val="26"/>
                <w:lang w:val="lv-LV" w:eastAsia="lv-LV"/>
              </w:rPr>
            </w:pPr>
            <w:r w:rsidRPr="00D84A5A">
              <w:rPr>
                <w:sz w:val="26"/>
                <w:szCs w:val="26"/>
                <w:lang w:val="lv-LV"/>
              </w:rPr>
              <w:t>0</w:t>
            </w:r>
          </w:p>
        </w:tc>
        <w:tc>
          <w:tcPr>
            <w:tcW w:w="1158" w:type="dxa"/>
          </w:tcPr>
          <w:p w14:paraId="173B9F71" w14:textId="77777777" w:rsidR="00F06FE2" w:rsidRPr="00D84A5A" w:rsidRDefault="00A25C50" w:rsidP="007B4B24">
            <w:pPr>
              <w:jc w:val="both"/>
              <w:rPr>
                <w:sz w:val="26"/>
                <w:szCs w:val="26"/>
                <w:lang w:val="lv-LV" w:eastAsia="lv-LV"/>
              </w:rPr>
            </w:pPr>
            <w:r w:rsidRPr="00D84A5A">
              <w:rPr>
                <w:sz w:val="26"/>
                <w:szCs w:val="26"/>
                <w:lang w:val="lv-LV"/>
              </w:rPr>
              <w:t>0</w:t>
            </w:r>
          </w:p>
        </w:tc>
        <w:tc>
          <w:tcPr>
            <w:tcW w:w="1305" w:type="dxa"/>
          </w:tcPr>
          <w:p w14:paraId="65605D22" w14:textId="77777777" w:rsidR="00F06FE2" w:rsidRPr="00D84A5A" w:rsidRDefault="00A25C50" w:rsidP="007B4B24">
            <w:pPr>
              <w:jc w:val="both"/>
              <w:rPr>
                <w:sz w:val="26"/>
                <w:szCs w:val="26"/>
                <w:lang w:val="lv-LV" w:eastAsia="lv-LV"/>
              </w:rPr>
            </w:pPr>
            <w:r w:rsidRPr="00D84A5A">
              <w:rPr>
                <w:sz w:val="26"/>
                <w:szCs w:val="26"/>
                <w:lang w:val="lv-LV"/>
              </w:rPr>
              <w:t>0</w:t>
            </w:r>
          </w:p>
        </w:tc>
      </w:tr>
      <w:tr w:rsidR="00C40A03" w:rsidRPr="00C40A03" w14:paraId="019EFCF9" w14:textId="77777777" w:rsidTr="00850E87">
        <w:trPr>
          <w:tblCellSpacing w:w="0" w:type="dxa"/>
        </w:trPr>
        <w:tc>
          <w:tcPr>
            <w:tcW w:w="2227" w:type="dxa"/>
          </w:tcPr>
          <w:p w14:paraId="3D639B1E" w14:textId="77777777" w:rsidR="00F06FE2" w:rsidRPr="00D84A5A" w:rsidRDefault="00F06FE2" w:rsidP="007B4B24">
            <w:pPr>
              <w:jc w:val="both"/>
              <w:rPr>
                <w:sz w:val="26"/>
                <w:szCs w:val="26"/>
                <w:lang w:val="lv-LV" w:eastAsia="lv-LV"/>
              </w:rPr>
            </w:pPr>
            <w:r w:rsidRPr="00D84A5A">
              <w:rPr>
                <w:sz w:val="26"/>
                <w:szCs w:val="26"/>
                <w:lang w:val="lv-LV" w:eastAsia="lv-LV"/>
              </w:rPr>
              <w:t> 2.1. valsts pamatbudžets</w:t>
            </w:r>
          </w:p>
        </w:tc>
        <w:tc>
          <w:tcPr>
            <w:tcW w:w="1908" w:type="dxa"/>
          </w:tcPr>
          <w:p w14:paraId="31429887"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74" w:type="dxa"/>
          </w:tcPr>
          <w:p w14:paraId="62E24995" w14:textId="7051A4B7" w:rsidR="00F06FE2" w:rsidRPr="00D84A5A" w:rsidRDefault="00076684" w:rsidP="007B4B24">
            <w:pPr>
              <w:jc w:val="both"/>
              <w:rPr>
                <w:sz w:val="26"/>
                <w:szCs w:val="26"/>
                <w:lang w:val="lv-LV" w:eastAsia="lv-LV"/>
              </w:rPr>
            </w:pPr>
            <w:r>
              <w:rPr>
                <w:sz w:val="26"/>
                <w:szCs w:val="26"/>
                <w:lang w:val="lv-LV" w:eastAsia="lv-LV"/>
              </w:rPr>
              <w:t>0</w:t>
            </w:r>
          </w:p>
        </w:tc>
        <w:tc>
          <w:tcPr>
            <w:tcW w:w="1158" w:type="dxa"/>
          </w:tcPr>
          <w:p w14:paraId="1E2DD177" w14:textId="77777777" w:rsidR="00F06FE2" w:rsidRPr="00D84A5A" w:rsidRDefault="00A25C50" w:rsidP="007B4B24">
            <w:pPr>
              <w:jc w:val="both"/>
              <w:rPr>
                <w:sz w:val="26"/>
                <w:szCs w:val="26"/>
                <w:lang w:val="lv-LV" w:eastAsia="lv-LV"/>
              </w:rPr>
            </w:pPr>
            <w:r w:rsidRPr="00D84A5A">
              <w:rPr>
                <w:sz w:val="26"/>
                <w:szCs w:val="26"/>
                <w:lang w:val="lv-LV"/>
              </w:rPr>
              <w:t>0</w:t>
            </w:r>
          </w:p>
        </w:tc>
        <w:tc>
          <w:tcPr>
            <w:tcW w:w="1158" w:type="dxa"/>
          </w:tcPr>
          <w:p w14:paraId="5EC99121" w14:textId="77777777" w:rsidR="00F06FE2" w:rsidRPr="00D84A5A" w:rsidRDefault="00A25C50" w:rsidP="007B4B24">
            <w:pPr>
              <w:jc w:val="both"/>
              <w:rPr>
                <w:sz w:val="26"/>
                <w:szCs w:val="26"/>
                <w:lang w:val="lv-LV" w:eastAsia="lv-LV"/>
              </w:rPr>
            </w:pPr>
            <w:r w:rsidRPr="00D84A5A">
              <w:rPr>
                <w:sz w:val="26"/>
                <w:szCs w:val="26"/>
                <w:lang w:val="lv-LV"/>
              </w:rPr>
              <w:t>0</w:t>
            </w:r>
          </w:p>
        </w:tc>
        <w:tc>
          <w:tcPr>
            <w:tcW w:w="1305" w:type="dxa"/>
          </w:tcPr>
          <w:p w14:paraId="75D18317" w14:textId="77777777" w:rsidR="00F06FE2" w:rsidRPr="00D84A5A" w:rsidRDefault="00A25C50" w:rsidP="007B4B24">
            <w:pPr>
              <w:jc w:val="both"/>
              <w:rPr>
                <w:sz w:val="26"/>
                <w:szCs w:val="26"/>
                <w:lang w:val="lv-LV" w:eastAsia="lv-LV"/>
              </w:rPr>
            </w:pPr>
            <w:r w:rsidRPr="00D84A5A">
              <w:rPr>
                <w:sz w:val="26"/>
                <w:szCs w:val="26"/>
                <w:lang w:val="lv-LV"/>
              </w:rPr>
              <w:t>0</w:t>
            </w:r>
          </w:p>
        </w:tc>
      </w:tr>
      <w:tr w:rsidR="00C40A03" w:rsidRPr="00C40A03" w14:paraId="5BA45D6D" w14:textId="77777777" w:rsidTr="00850E87">
        <w:trPr>
          <w:tblCellSpacing w:w="0" w:type="dxa"/>
        </w:trPr>
        <w:tc>
          <w:tcPr>
            <w:tcW w:w="2227" w:type="dxa"/>
          </w:tcPr>
          <w:p w14:paraId="4B5B9A6C" w14:textId="77777777" w:rsidR="00F06FE2" w:rsidRPr="00D84A5A" w:rsidRDefault="00F06FE2" w:rsidP="007B4B24">
            <w:pPr>
              <w:jc w:val="both"/>
              <w:rPr>
                <w:sz w:val="26"/>
                <w:szCs w:val="26"/>
                <w:lang w:val="lv-LV" w:eastAsia="lv-LV"/>
              </w:rPr>
            </w:pPr>
            <w:r w:rsidRPr="00D84A5A">
              <w:rPr>
                <w:sz w:val="26"/>
                <w:szCs w:val="26"/>
                <w:lang w:val="lv-LV" w:eastAsia="lv-LV"/>
              </w:rPr>
              <w:t> 2.2. valsts speciālais budžets</w:t>
            </w:r>
          </w:p>
        </w:tc>
        <w:tc>
          <w:tcPr>
            <w:tcW w:w="1908" w:type="dxa"/>
          </w:tcPr>
          <w:p w14:paraId="14400365"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74" w:type="dxa"/>
          </w:tcPr>
          <w:p w14:paraId="76CEF6AE"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58" w:type="dxa"/>
          </w:tcPr>
          <w:p w14:paraId="7CDA6BDD"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58" w:type="dxa"/>
          </w:tcPr>
          <w:p w14:paraId="62690AD3"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305" w:type="dxa"/>
          </w:tcPr>
          <w:p w14:paraId="72D11F22" w14:textId="77777777" w:rsidR="00F06FE2" w:rsidRPr="00D84A5A" w:rsidRDefault="00F06FE2" w:rsidP="007B4B24">
            <w:pPr>
              <w:jc w:val="both"/>
              <w:rPr>
                <w:sz w:val="26"/>
                <w:szCs w:val="26"/>
                <w:lang w:val="lv-LV" w:eastAsia="lv-LV"/>
              </w:rPr>
            </w:pPr>
            <w:r w:rsidRPr="00D84A5A">
              <w:rPr>
                <w:sz w:val="26"/>
                <w:szCs w:val="26"/>
                <w:lang w:val="lv-LV" w:eastAsia="lv-LV"/>
              </w:rPr>
              <w:t>0</w:t>
            </w:r>
          </w:p>
        </w:tc>
      </w:tr>
      <w:tr w:rsidR="00C40A03" w:rsidRPr="00C40A03" w14:paraId="61C71F39" w14:textId="77777777" w:rsidTr="00850E87">
        <w:trPr>
          <w:tblCellSpacing w:w="0" w:type="dxa"/>
        </w:trPr>
        <w:tc>
          <w:tcPr>
            <w:tcW w:w="2227" w:type="dxa"/>
          </w:tcPr>
          <w:p w14:paraId="4BA10506" w14:textId="77777777" w:rsidR="00F06FE2" w:rsidRPr="00D84A5A" w:rsidRDefault="00F06FE2" w:rsidP="007B4B24">
            <w:pPr>
              <w:jc w:val="both"/>
              <w:rPr>
                <w:sz w:val="26"/>
                <w:szCs w:val="26"/>
                <w:lang w:val="lv-LV" w:eastAsia="lv-LV"/>
              </w:rPr>
            </w:pPr>
            <w:r w:rsidRPr="00D84A5A">
              <w:rPr>
                <w:sz w:val="26"/>
                <w:szCs w:val="26"/>
                <w:lang w:val="lv-LV" w:eastAsia="lv-LV"/>
              </w:rPr>
              <w:t> 2.3. pašvaldību budžets</w:t>
            </w:r>
          </w:p>
        </w:tc>
        <w:tc>
          <w:tcPr>
            <w:tcW w:w="1908" w:type="dxa"/>
          </w:tcPr>
          <w:p w14:paraId="7B4A9CA1"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74" w:type="dxa"/>
          </w:tcPr>
          <w:p w14:paraId="7867CA71"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58" w:type="dxa"/>
          </w:tcPr>
          <w:p w14:paraId="40CE37ED"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58" w:type="dxa"/>
          </w:tcPr>
          <w:p w14:paraId="42446813"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305" w:type="dxa"/>
          </w:tcPr>
          <w:p w14:paraId="555966BC" w14:textId="77777777" w:rsidR="00F06FE2" w:rsidRPr="00D84A5A" w:rsidRDefault="00F06FE2" w:rsidP="007B4B24">
            <w:pPr>
              <w:jc w:val="both"/>
              <w:rPr>
                <w:sz w:val="26"/>
                <w:szCs w:val="26"/>
                <w:lang w:val="lv-LV" w:eastAsia="lv-LV"/>
              </w:rPr>
            </w:pPr>
            <w:r w:rsidRPr="00D84A5A">
              <w:rPr>
                <w:sz w:val="26"/>
                <w:szCs w:val="26"/>
                <w:lang w:val="lv-LV" w:eastAsia="lv-LV"/>
              </w:rPr>
              <w:t>0</w:t>
            </w:r>
          </w:p>
        </w:tc>
      </w:tr>
      <w:tr w:rsidR="00C40A03" w:rsidRPr="00C40A03" w14:paraId="4E5203C9" w14:textId="77777777" w:rsidTr="00850E87">
        <w:trPr>
          <w:tblCellSpacing w:w="0" w:type="dxa"/>
        </w:trPr>
        <w:tc>
          <w:tcPr>
            <w:tcW w:w="2227" w:type="dxa"/>
          </w:tcPr>
          <w:p w14:paraId="2F05C13F" w14:textId="77777777" w:rsidR="00F06FE2" w:rsidRPr="00D84A5A" w:rsidRDefault="00F06FE2" w:rsidP="007B4B24">
            <w:pPr>
              <w:jc w:val="both"/>
              <w:rPr>
                <w:sz w:val="26"/>
                <w:szCs w:val="26"/>
                <w:lang w:val="lv-LV" w:eastAsia="lv-LV"/>
              </w:rPr>
            </w:pPr>
            <w:r w:rsidRPr="00D84A5A">
              <w:rPr>
                <w:sz w:val="26"/>
                <w:szCs w:val="26"/>
                <w:lang w:val="lv-LV" w:eastAsia="lv-LV"/>
              </w:rPr>
              <w:t> 3. Finansiālā ietekme:</w:t>
            </w:r>
          </w:p>
        </w:tc>
        <w:tc>
          <w:tcPr>
            <w:tcW w:w="1908" w:type="dxa"/>
            <w:vAlign w:val="center"/>
          </w:tcPr>
          <w:p w14:paraId="0AD36B2D"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74" w:type="dxa"/>
          </w:tcPr>
          <w:p w14:paraId="6BC3564A" w14:textId="74E4A8C5" w:rsidR="00F06FE2" w:rsidRPr="00D84A5A" w:rsidRDefault="000522D9" w:rsidP="007B4B24">
            <w:pPr>
              <w:jc w:val="both"/>
              <w:rPr>
                <w:sz w:val="26"/>
                <w:szCs w:val="26"/>
                <w:lang w:val="lv-LV" w:eastAsia="lv-LV"/>
              </w:rPr>
            </w:pPr>
            <w:r w:rsidRPr="00D84A5A">
              <w:rPr>
                <w:sz w:val="26"/>
                <w:szCs w:val="26"/>
                <w:lang w:val="lv-LV" w:eastAsia="lv-LV"/>
              </w:rPr>
              <w:t>37 715,0</w:t>
            </w:r>
          </w:p>
        </w:tc>
        <w:tc>
          <w:tcPr>
            <w:tcW w:w="1158" w:type="dxa"/>
          </w:tcPr>
          <w:p w14:paraId="3FD256E2" w14:textId="15C0EB18" w:rsidR="00F06FE2" w:rsidRPr="00D84A5A" w:rsidRDefault="000522D9" w:rsidP="007B4B24">
            <w:pPr>
              <w:jc w:val="both"/>
              <w:rPr>
                <w:sz w:val="26"/>
                <w:szCs w:val="26"/>
                <w:lang w:val="lv-LV" w:eastAsia="lv-LV"/>
              </w:rPr>
            </w:pPr>
            <w:r w:rsidRPr="00D84A5A">
              <w:rPr>
                <w:sz w:val="26"/>
                <w:szCs w:val="26"/>
                <w:lang w:val="lv-LV"/>
              </w:rPr>
              <w:t>0</w:t>
            </w:r>
          </w:p>
        </w:tc>
        <w:tc>
          <w:tcPr>
            <w:tcW w:w="1158" w:type="dxa"/>
          </w:tcPr>
          <w:p w14:paraId="035BFBA4" w14:textId="33170523" w:rsidR="00F06FE2" w:rsidRPr="00D84A5A" w:rsidRDefault="000522D9" w:rsidP="007B4B24">
            <w:pPr>
              <w:jc w:val="both"/>
              <w:rPr>
                <w:sz w:val="26"/>
                <w:szCs w:val="26"/>
                <w:lang w:val="lv-LV" w:eastAsia="lv-LV"/>
              </w:rPr>
            </w:pPr>
            <w:r w:rsidRPr="00D84A5A">
              <w:rPr>
                <w:sz w:val="26"/>
                <w:szCs w:val="26"/>
                <w:lang w:val="lv-LV"/>
              </w:rPr>
              <w:t>0</w:t>
            </w:r>
          </w:p>
        </w:tc>
        <w:tc>
          <w:tcPr>
            <w:tcW w:w="1305" w:type="dxa"/>
          </w:tcPr>
          <w:p w14:paraId="7AD16664" w14:textId="76A422C8" w:rsidR="00F06FE2" w:rsidRPr="00D84A5A" w:rsidRDefault="000522D9" w:rsidP="007B4B24">
            <w:pPr>
              <w:jc w:val="both"/>
              <w:rPr>
                <w:sz w:val="26"/>
                <w:szCs w:val="26"/>
                <w:lang w:val="lv-LV" w:eastAsia="lv-LV"/>
              </w:rPr>
            </w:pPr>
            <w:r w:rsidRPr="00D84A5A">
              <w:rPr>
                <w:sz w:val="26"/>
                <w:szCs w:val="26"/>
                <w:lang w:val="lv-LV"/>
              </w:rPr>
              <w:t>0</w:t>
            </w:r>
          </w:p>
        </w:tc>
      </w:tr>
      <w:tr w:rsidR="00C40A03" w:rsidRPr="00C40A03" w14:paraId="3B7CF7A3" w14:textId="77777777" w:rsidTr="00850E87">
        <w:trPr>
          <w:tblCellSpacing w:w="0" w:type="dxa"/>
        </w:trPr>
        <w:tc>
          <w:tcPr>
            <w:tcW w:w="2227" w:type="dxa"/>
          </w:tcPr>
          <w:p w14:paraId="3B6820CB" w14:textId="77777777" w:rsidR="00F06FE2" w:rsidRPr="00D84A5A" w:rsidRDefault="00F06FE2" w:rsidP="007B4B24">
            <w:pPr>
              <w:jc w:val="both"/>
              <w:rPr>
                <w:sz w:val="26"/>
                <w:szCs w:val="26"/>
                <w:lang w:val="lv-LV" w:eastAsia="lv-LV"/>
              </w:rPr>
            </w:pPr>
            <w:r w:rsidRPr="00D84A5A">
              <w:rPr>
                <w:sz w:val="26"/>
                <w:szCs w:val="26"/>
                <w:lang w:val="lv-LV" w:eastAsia="lv-LV"/>
              </w:rPr>
              <w:t> 3.1. valsts pamatbudžets</w:t>
            </w:r>
          </w:p>
        </w:tc>
        <w:tc>
          <w:tcPr>
            <w:tcW w:w="1908" w:type="dxa"/>
          </w:tcPr>
          <w:p w14:paraId="24BEDF5E"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74" w:type="dxa"/>
          </w:tcPr>
          <w:p w14:paraId="498BE7E6" w14:textId="0728F586" w:rsidR="00F06FE2" w:rsidRPr="00D84A5A" w:rsidRDefault="00076684" w:rsidP="007B4B24">
            <w:pPr>
              <w:jc w:val="both"/>
              <w:rPr>
                <w:sz w:val="26"/>
                <w:szCs w:val="26"/>
                <w:lang w:val="lv-LV" w:eastAsia="lv-LV"/>
              </w:rPr>
            </w:pPr>
            <w:r>
              <w:rPr>
                <w:sz w:val="26"/>
                <w:szCs w:val="26"/>
                <w:lang w:val="lv-LV" w:eastAsia="lv-LV"/>
              </w:rPr>
              <w:t>0</w:t>
            </w:r>
          </w:p>
        </w:tc>
        <w:tc>
          <w:tcPr>
            <w:tcW w:w="1158" w:type="dxa"/>
          </w:tcPr>
          <w:p w14:paraId="174C38BA" w14:textId="0B1FC46E" w:rsidR="00F06FE2" w:rsidRPr="00D84A5A" w:rsidRDefault="000522D9" w:rsidP="007B4B24">
            <w:pPr>
              <w:jc w:val="both"/>
              <w:rPr>
                <w:sz w:val="26"/>
                <w:szCs w:val="26"/>
                <w:lang w:val="lv-LV" w:eastAsia="lv-LV"/>
              </w:rPr>
            </w:pPr>
            <w:r w:rsidRPr="00D84A5A">
              <w:rPr>
                <w:sz w:val="26"/>
                <w:szCs w:val="26"/>
                <w:lang w:val="lv-LV"/>
              </w:rPr>
              <w:t>0</w:t>
            </w:r>
          </w:p>
        </w:tc>
        <w:tc>
          <w:tcPr>
            <w:tcW w:w="1158" w:type="dxa"/>
          </w:tcPr>
          <w:p w14:paraId="6228E6B3" w14:textId="368A2386" w:rsidR="00F06FE2" w:rsidRPr="00D84A5A" w:rsidRDefault="000522D9" w:rsidP="007B4B24">
            <w:pPr>
              <w:jc w:val="both"/>
              <w:rPr>
                <w:sz w:val="26"/>
                <w:szCs w:val="26"/>
                <w:lang w:val="lv-LV" w:eastAsia="lv-LV"/>
              </w:rPr>
            </w:pPr>
            <w:r w:rsidRPr="00D84A5A">
              <w:rPr>
                <w:sz w:val="26"/>
                <w:szCs w:val="26"/>
                <w:lang w:val="lv-LV"/>
              </w:rPr>
              <w:t>0</w:t>
            </w:r>
          </w:p>
        </w:tc>
        <w:tc>
          <w:tcPr>
            <w:tcW w:w="1305" w:type="dxa"/>
          </w:tcPr>
          <w:p w14:paraId="56274488" w14:textId="41CF327C" w:rsidR="00F06FE2" w:rsidRPr="00D84A5A" w:rsidRDefault="000522D9" w:rsidP="007B4B24">
            <w:pPr>
              <w:jc w:val="both"/>
              <w:rPr>
                <w:sz w:val="26"/>
                <w:szCs w:val="26"/>
                <w:lang w:val="lv-LV" w:eastAsia="lv-LV"/>
              </w:rPr>
            </w:pPr>
            <w:r w:rsidRPr="00D84A5A">
              <w:rPr>
                <w:sz w:val="26"/>
                <w:szCs w:val="26"/>
                <w:lang w:val="lv-LV"/>
              </w:rPr>
              <w:t>0</w:t>
            </w:r>
          </w:p>
        </w:tc>
      </w:tr>
      <w:tr w:rsidR="00C40A03" w:rsidRPr="00C40A03" w14:paraId="565FE609" w14:textId="77777777" w:rsidTr="00850E87">
        <w:trPr>
          <w:tblCellSpacing w:w="0" w:type="dxa"/>
        </w:trPr>
        <w:tc>
          <w:tcPr>
            <w:tcW w:w="2227" w:type="dxa"/>
          </w:tcPr>
          <w:p w14:paraId="44350713" w14:textId="77777777" w:rsidR="00F06FE2" w:rsidRPr="00D84A5A" w:rsidRDefault="00F06FE2" w:rsidP="007B4B24">
            <w:pPr>
              <w:jc w:val="both"/>
              <w:rPr>
                <w:sz w:val="26"/>
                <w:szCs w:val="26"/>
                <w:lang w:val="lv-LV" w:eastAsia="lv-LV"/>
              </w:rPr>
            </w:pPr>
            <w:r w:rsidRPr="00D84A5A">
              <w:rPr>
                <w:sz w:val="26"/>
                <w:szCs w:val="26"/>
                <w:lang w:val="lv-LV" w:eastAsia="lv-LV"/>
              </w:rPr>
              <w:t> 3.2. speciālais budžets</w:t>
            </w:r>
          </w:p>
        </w:tc>
        <w:tc>
          <w:tcPr>
            <w:tcW w:w="1908" w:type="dxa"/>
          </w:tcPr>
          <w:p w14:paraId="415D3C18"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74" w:type="dxa"/>
          </w:tcPr>
          <w:p w14:paraId="30D7368B"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58" w:type="dxa"/>
          </w:tcPr>
          <w:p w14:paraId="4B543375"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58" w:type="dxa"/>
          </w:tcPr>
          <w:p w14:paraId="7846FBD9"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305" w:type="dxa"/>
          </w:tcPr>
          <w:p w14:paraId="5638A6B2" w14:textId="77777777" w:rsidR="00F06FE2" w:rsidRPr="00D84A5A" w:rsidRDefault="00F06FE2" w:rsidP="007B4B24">
            <w:pPr>
              <w:jc w:val="both"/>
              <w:rPr>
                <w:sz w:val="26"/>
                <w:szCs w:val="26"/>
                <w:lang w:val="lv-LV" w:eastAsia="lv-LV"/>
              </w:rPr>
            </w:pPr>
            <w:r w:rsidRPr="00D84A5A">
              <w:rPr>
                <w:sz w:val="26"/>
                <w:szCs w:val="26"/>
                <w:lang w:val="lv-LV" w:eastAsia="lv-LV"/>
              </w:rPr>
              <w:t>0</w:t>
            </w:r>
          </w:p>
        </w:tc>
      </w:tr>
      <w:tr w:rsidR="00C40A03" w:rsidRPr="00C40A03" w14:paraId="08347AFF" w14:textId="77777777" w:rsidTr="00850E87">
        <w:trPr>
          <w:tblCellSpacing w:w="0" w:type="dxa"/>
        </w:trPr>
        <w:tc>
          <w:tcPr>
            <w:tcW w:w="2227" w:type="dxa"/>
          </w:tcPr>
          <w:p w14:paraId="3808CC46" w14:textId="77777777" w:rsidR="00F06FE2" w:rsidRPr="00D84A5A" w:rsidRDefault="00F06FE2" w:rsidP="007B4B24">
            <w:pPr>
              <w:jc w:val="both"/>
              <w:rPr>
                <w:sz w:val="26"/>
                <w:szCs w:val="26"/>
                <w:lang w:val="lv-LV" w:eastAsia="lv-LV"/>
              </w:rPr>
            </w:pPr>
            <w:r w:rsidRPr="00D84A5A">
              <w:rPr>
                <w:sz w:val="26"/>
                <w:szCs w:val="26"/>
                <w:lang w:val="lv-LV" w:eastAsia="lv-LV"/>
              </w:rPr>
              <w:t> 3.3. pašvaldību budžets</w:t>
            </w:r>
          </w:p>
        </w:tc>
        <w:tc>
          <w:tcPr>
            <w:tcW w:w="1908" w:type="dxa"/>
          </w:tcPr>
          <w:p w14:paraId="44916D93"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74" w:type="dxa"/>
          </w:tcPr>
          <w:p w14:paraId="1A257992"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58" w:type="dxa"/>
          </w:tcPr>
          <w:p w14:paraId="2AB58F5C"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58" w:type="dxa"/>
          </w:tcPr>
          <w:p w14:paraId="1249948A"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305" w:type="dxa"/>
          </w:tcPr>
          <w:p w14:paraId="2BD43CFD" w14:textId="77777777" w:rsidR="00F06FE2" w:rsidRPr="00D84A5A" w:rsidRDefault="00F06FE2" w:rsidP="007B4B24">
            <w:pPr>
              <w:jc w:val="both"/>
              <w:rPr>
                <w:sz w:val="26"/>
                <w:szCs w:val="26"/>
                <w:lang w:val="lv-LV" w:eastAsia="lv-LV"/>
              </w:rPr>
            </w:pPr>
            <w:r w:rsidRPr="00D84A5A">
              <w:rPr>
                <w:sz w:val="26"/>
                <w:szCs w:val="26"/>
                <w:lang w:val="lv-LV" w:eastAsia="lv-LV"/>
              </w:rPr>
              <w:t>0</w:t>
            </w:r>
          </w:p>
        </w:tc>
      </w:tr>
      <w:tr w:rsidR="00C40A03" w:rsidRPr="00C40A03" w14:paraId="0332F03E" w14:textId="77777777" w:rsidTr="00850E87">
        <w:trPr>
          <w:tblCellSpacing w:w="0" w:type="dxa"/>
        </w:trPr>
        <w:tc>
          <w:tcPr>
            <w:tcW w:w="2227" w:type="dxa"/>
            <w:vMerge w:val="restart"/>
          </w:tcPr>
          <w:p w14:paraId="605F4E3E" w14:textId="77777777" w:rsidR="00F06FE2" w:rsidRPr="00D84A5A" w:rsidRDefault="00F06FE2" w:rsidP="007B4B24">
            <w:pPr>
              <w:jc w:val="both"/>
              <w:rPr>
                <w:sz w:val="26"/>
                <w:szCs w:val="26"/>
                <w:lang w:val="lv-LV" w:eastAsia="lv-LV"/>
              </w:rPr>
            </w:pPr>
            <w:r w:rsidRPr="00D84A5A">
              <w:rPr>
                <w:sz w:val="26"/>
                <w:szCs w:val="26"/>
                <w:lang w:val="lv-LV" w:eastAsia="lv-LV"/>
              </w:rPr>
              <w:t> 4. Finanšu līdzekļi papildu izde</w:t>
            </w:r>
            <w:r w:rsidRPr="00D84A5A">
              <w:rPr>
                <w:sz w:val="26"/>
                <w:szCs w:val="26"/>
                <w:lang w:val="lv-LV" w:eastAsia="lv-LV"/>
              </w:rPr>
              <w:softHyphen/>
              <w:t>vumu</w:t>
            </w:r>
            <w:r w:rsidR="006179D1" w:rsidRPr="00D84A5A">
              <w:rPr>
                <w:sz w:val="26"/>
                <w:szCs w:val="26"/>
                <w:lang w:val="lv-LV" w:eastAsia="lv-LV"/>
              </w:rPr>
              <w:t xml:space="preserve"> </w:t>
            </w:r>
            <w:r w:rsidRPr="00D84A5A">
              <w:rPr>
                <w:sz w:val="26"/>
                <w:szCs w:val="26"/>
                <w:lang w:val="lv-LV" w:eastAsia="lv-LV"/>
              </w:rPr>
              <w:lastRenderedPageBreak/>
              <w:t xml:space="preserve">finansēšanai (kompensējošu izdevumu samazinājumu norāda ar "+" zīmi) </w:t>
            </w:r>
          </w:p>
        </w:tc>
        <w:tc>
          <w:tcPr>
            <w:tcW w:w="1908" w:type="dxa"/>
            <w:vMerge w:val="restart"/>
          </w:tcPr>
          <w:p w14:paraId="434996E9" w14:textId="77777777" w:rsidR="00F06FE2" w:rsidRPr="00D84A5A" w:rsidRDefault="00F06FE2" w:rsidP="007B4B24">
            <w:pPr>
              <w:jc w:val="both"/>
              <w:rPr>
                <w:sz w:val="26"/>
                <w:szCs w:val="26"/>
                <w:lang w:val="lv-LV" w:eastAsia="lv-LV"/>
              </w:rPr>
            </w:pPr>
            <w:r w:rsidRPr="00D84A5A">
              <w:rPr>
                <w:sz w:val="26"/>
                <w:szCs w:val="26"/>
                <w:lang w:val="lv-LV" w:eastAsia="lv-LV"/>
              </w:rPr>
              <w:lastRenderedPageBreak/>
              <w:t>X</w:t>
            </w:r>
          </w:p>
        </w:tc>
        <w:tc>
          <w:tcPr>
            <w:tcW w:w="1174" w:type="dxa"/>
          </w:tcPr>
          <w:p w14:paraId="792F422E" w14:textId="1E0DB08F" w:rsidR="00F06FE2" w:rsidRPr="00D84A5A" w:rsidRDefault="000522D9" w:rsidP="007B4B24">
            <w:pPr>
              <w:jc w:val="both"/>
              <w:rPr>
                <w:sz w:val="26"/>
                <w:szCs w:val="26"/>
                <w:lang w:val="lv-LV" w:eastAsia="lv-LV"/>
              </w:rPr>
            </w:pPr>
            <w:r w:rsidRPr="00D84A5A">
              <w:rPr>
                <w:sz w:val="26"/>
                <w:szCs w:val="26"/>
                <w:lang w:val="lv-LV" w:eastAsia="lv-LV"/>
              </w:rPr>
              <w:t>0</w:t>
            </w:r>
          </w:p>
        </w:tc>
        <w:tc>
          <w:tcPr>
            <w:tcW w:w="1158" w:type="dxa"/>
          </w:tcPr>
          <w:p w14:paraId="250AE13D" w14:textId="0E3B2090" w:rsidR="00F06FE2" w:rsidRPr="00D84A5A" w:rsidRDefault="000522D9" w:rsidP="007B4B24">
            <w:pPr>
              <w:jc w:val="both"/>
              <w:rPr>
                <w:sz w:val="26"/>
                <w:szCs w:val="26"/>
                <w:lang w:val="lv-LV" w:eastAsia="lv-LV"/>
              </w:rPr>
            </w:pPr>
            <w:r w:rsidRPr="00D84A5A">
              <w:rPr>
                <w:sz w:val="26"/>
                <w:szCs w:val="26"/>
                <w:lang w:val="lv-LV" w:eastAsia="lv-LV"/>
              </w:rPr>
              <w:t>0</w:t>
            </w:r>
          </w:p>
        </w:tc>
        <w:tc>
          <w:tcPr>
            <w:tcW w:w="1158" w:type="dxa"/>
          </w:tcPr>
          <w:p w14:paraId="2D6FA4D2"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305" w:type="dxa"/>
          </w:tcPr>
          <w:p w14:paraId="2F12E6F4" w14:textId="77777777" w:rsidR="00F06FE2" w:rsidRPr="00D84A5A" w:rsidRDefault="00F06FE2" w:rsidP="007B4B24">
            <w:pPr>
              <w:jc w:val="both"/>
              <w:rPr>
                <w:sz w:val="26"/>
                <w:szCs w:val="26"/>
                <w:lang w:val="lv-LV" w:eastAsia="lv-LV"/>
              </w:rPr>
            </w:pPr>
            <w:r w:rsidRPr="00D84A5A">
              <w:rPr>
                <w:sz w:val="26"/>
                <w:szCs w:val="26"/>
                <w:lang w:val="lv-LV" w:eastAsia="lv-LV"/>
              </w:rPr>
              <w:t>0</w:t>
            </w:r>
          </w:p>
        </w:tc>
      </w:tr>
      <w:tr w:rsidR="00C40A03" w:rsidRPr="00C40A03" w14:paraId="7A727D3C" w14:textId="77777777" w:rsidTr="00850E87">
        <w:trPr>
          <w:tblCellSpacing w:w="0" w:type="dxa"/>
        </w:trPr>
        <w:tc>
          <w:tcPr>
            <w:tcW w:w="2227" w:type="dxa"/>
            <w:vMerge/>
            <w:vAlign w:val="center"/>
          </w:tcPr>
          <w:p w14:paraId="54372695" w14:textId="77777777" w:rsidR="00F06FE2" w:rsidRPr="00D84A5A" w:rsidRDefault="00F06FE2" w:rsidP="007B4B24">
            <w:pPr>
              <w:jc w:val="both"/>
              <w:rPr>
                <w:sz w:val="26"/>
                <w:szCs w:val="26"/>
                <w:lang w:val="lv-LV" w:eastAsia="lv-LV"/>
              </w:rPr>
            </w:pPr>
          </w:p>
        </w:tc>
        <w:tc>
          <w:tcPr>
            <w:tcW w:w="0" w:type="auto"/>
            <w:vMerge/>
            <w:vAlign w:val="center"/>
          </w:tcPr>
          <w:p w14:paraId="62CFF47A" w14:textId="77777777" w:rsidR="00F06FE2" w:rsidRPr="00D84A5A" w:rsidRDefault="00F06FE2" w:rsidP="007B4B24">
            <w:pPr>
              <w:jc w:val="both"/>
              <w:rPr>
                <w:sz w:val="26"/>
                <w:szCs w:val="26"/>
                <w:lang w:val="lv-LV" w:eastAsia="lv-LV"/>
              </w:rPr>
            </w:pPr>
          </w:p>
        </w:tc>
        <w:tc>
          <w:tcPr>
            <w:tcW w:w="1174" w:type="dxa"/>
          </w:tcPr>
          <w:p w14:paraId="5EE2CEB3" w14:textId="0D5CFA26" w:rsidR="00F06FE2" w:rsidRPr="00D84A5A" w:rsidRDefault="000522D9" w:rsidP="007B4B24">
            <w:pPr>
              <w:jc w:val="both"/>
              <w:rPr>
                <w:sz w:val="26"/>
                <w:szCs w:val="26"/>
                <w:lang w:val="lv-LV" w:eastAsia="lv-LV"/>
              </w:rPr>
            </w:pPr>
            <w:r w:rsidRPr="00D84A5A">
              <w:rPr>
                <w:sz w:val="26"/>
                <w:szCs w:val="26"/>
                <w:lang w:val="lv-LV" w:eastAsia="lv-LV"/>
              </w:rPr>
              <w:t>0</w:t>
            </w:r>
          </w:p>
        </w:tc>
        <w:tc>
          <w:tcPr>
            <w:tcW w:w="1158" w:type="dxa"/>
          </w:tcPr>
          <w:p w14:paraId="3E2095D3" w14:textId="42F5425F" w:rsidR="00F06FE2" w:rsidRPr="00D84A5A" w:rsidRDefault="000522D9" w:rsidP="007B4B24">
            <w:pPr>
              <w:jc w:val="both"/>
              <w:rPr>
                <w:sz w:val="26"/>
                <w:szCs w:val="26"/>
                <w:lang w:val="lv-LV" w:eastAsia="lv-LV"/>
              </w:rPr>
            </w:pPr>
            <w:r w:rsidRPr="00D84A5A">
              <w:rPr>
                <w:sz w:val="26"/>
                <w:szCs w:val="26"/>
                <w:lang w:val="lv-LV" w:eastAsia="lv-LV"/>
              </w:rPr>
              <w:t>0</w:t>
            </w:r>
          </w:p>
        </w:tc>
        <w:tc>
          <w:tcPr>
            <w:tcW w:w="1158" w:type="dxa"/>
          </w:tcPr>
          <w:p w14:paraId="03208F9B" w14:textId="560003B0" w:rsidR="00F06FE2" w:rsidRPr="00D84A5A" w:rsidRDefault="000522D9" w:rsidP="007B4B24">
            <w:pPr>
              <w:jc w:val="both"/>
              <w:rPr>
                <w:sz w:val="26"/>
                <w:szCs w:val="26"/>
                <w:lang w:val="lv-LV" w:eastAsia="lv-LV"/>
              </w:rPr>
            </w:pPr>
            <w:r w:rsidRPr="00D84A5A">
              <w:rPr>
                <w:sz w:val="26"/>
                <w:szCs w:val="26"/>
                <w:lang w:val="lv-LV" w:eastAsia="lv-LV"/>
              </w:rPr>
              <w:t>0</w:t>
            </w:r>
          </w:p>
        </w:tc>
        <w:tc>
          <w:tcPr>
            <w:tcW w:w="1305" w:type="dxa"/>
          </w:tcPr>
          <w:p w14:paraId="1331D985" w14:textId="599A5439" w:rsidR="00F06FE2" w:rsidRPr="00D84A5A" w:rsidRDefault="000522D9" w:rsidP="007B4B24">
            <w:pPr>
              <w:jc w:val="both"/>
              <w:rPr>
                <w:sz w:val="26"/>
                <w:szCs w:val="26"/>
                <w:lang w:val="lv-LV" w:eastAsia="lv-LV"/>
              </w:rPr>
            </w:pPr>
            <w:r w:rsidRPr="00D84A5A">
              <w:rPr>
                <w:sz w:val="26"/>
                <w:szCs w:val="26"/>
                <w:lang w:val="lv-LV" w:eastAsia="lv-LV"/>
              </w:rPr>
              <w:t>0</w:t>
            </w:r>
          </w:p>
        </w:tc>
      </w:tr>
      <w:tr w:rsidR="00C40A03" w:rsidRPr="00C40A03" w14:paraId="284FC4AA" w14:textId="77777777" w:rsidTr="00850E87">
        <w:trPr>
          <w:trHeight w:val="2770"/>
          <w:tblCellSpacing w:w="0" w:type="dxa"/>
        </w:trPr>
        <w:tc>
          <w:tcPr>
            <w:tcW w:w="2227" w:type="dxa"/>
            <w:vMerge/>
            <w:vAlign w:val="center"/>
          </w:tcPr>
          <w:p w14:paraId="153B674D" w14:textId="77777777" w:rsidR="00F06FE2" w:rsidRPr="00D84A5A" w:rsidRDefault="00F06FE2" w:rsidP="007B4B24">
            <w:pPr>
              <w:jc w:val="both"/>
              <w:rPr>
                <w:sz w:val="26"/>
                <w:szCs w:val="26"/>
                <w:lang w:val="lv-LV" w:eastAsia="lv-LV"/>
              </w:rPr>
            </w:pPr>
          </w:p>
        </w:tc>
        <w:tc>
          <w:tcPr>
            <w:tcW w:w="0" w:type="auto"/>
            <w:vMerge/>
            <w:vAlign w:val="center"/>
          </w:tcPr>
          <w:p w14:paraId="22F6BC3B" w14:textId="77777777" w:rsidR="00F06FE2" w:rsidRPr="00D84A5A" w:rsidRDefault="00F06FE2" w:rsidP="007B4B24">
            <w:pPr>
              <w:jc w:val="both"/>
              <w:rPr>
                <w:sz w:val="26"/>
                <w:szCs w:val="26"/>
                <w:lang w:val="lv-LV" w:eastAsia="lv-LV"/>
              </w:rPr>
            </w:pPr>
          </w:p>
        </w:tc>
        <w:tc>
          <w:tcPr>
            <w:tcW w:w="1174" w:type="dxa"/>
          </w:tcPr>
          <w:p w14:paraId="6E9FF34E"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58" w:type="dxa"/>
          </w:tcPr>
          <w:p w14:paraId="0945E94E"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58" w:type="dxa"/>
          </w:tcPr>
          <w:p w14:paraId="5A141373"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305" w:type="dxa"/>
          </w:tcPr>
          <w:p w14:paraId="4F3B12DF" w14:textId="77777777" w:rsidR="00F06FE2" w:rsidRPr="00D84A5A" w:rsidRDefault="00F06FE2" w:rsidP="007B4B24">
            <w:pPr>
              <w:jc w:val="both"/>
              <w:rPr>
                <w:sz w:val="26"/>
                <w:szCs w:val="26"/>
                <w:lang w:val="lv-LV" w:eastAsia="lv-LV"/>
              </w:rPr>
            </w:pPr>
            <w:r w:rsidRPr="00D84A5A">
              <w:rPr>
                <w:sz w:val="26"/>
                <w:szCs w:val="26"/>
                <w:lang w:val="lv-LV" w:eastAsia="lv-LV"/>
              </w:rPr>
              <w:t>0</w:t>
            </w:r>
          </w:p>
        </w:tc>
      </w:tr>
      <w:tr w:rsidR="00C40A03" w:rsidRPr="00C40A03" w14:paraId="2E43F7A3" w14:textId="77777777" w:rsidTr="00850E87">
        <w:trPr>
          <w:tblCellSpacing w:w="0" w:type="dxa"/>
        </w:trPr>
        <w:tc>
          <w:tcPr>
            <w:tcW w:w="2227" w:type="dxa"/>
          </w:tcPr>
          <w:p w14:paraId="17386475" w14:textId="77777777" w:rsidR="00F06FE2" w:rsidRPr="00D84A5A" w:rsidRDefault="00F06FE2" w:rsidP="007B4B24">
            <w:pPr>
              <w:jc w:val="both"/>
              <w:rPr>
                <w:sz w:val="26"/>
                <w:szCs w:val="26"/>
                <w:lang w:val="lv-LV" w:eastAsia="lv-LV"/>
              </w:rPr>
            </w:pPr>
            <w:r w:rsidRPr="00D84A5A">
              <w:rPr>
                <w:sz w:val="26"/>
                <w:szCs w:val="26"/>
                <w:lang w:val="lv-LV" w:eastAsia="lv-LV"/>
              </w:rPr>
              <w:lastRenderedPageBreak/>
              <w:t> 5. Precizēta finansiālā ietekme:</w:t>
            </w:r>
          </w:p>
        </w:tc>
        <w:tc>
          <w:tcPr>
            <w:tcW w:w="1908" w:type="dxa"/>
            <w:vMerge w:val="restart"/>
          </w:tcPr>
          <w:p w14:paraId="6972A6E8" w14:textId="77777777" w:rsidR="00F06FE2" w:rsidRPr="00D84A5A" w:rsidRDefault="00F06FE2" w:rsidP="007B4B24">
            <w:pPr>
              <w:jc w:val="both"/>
              <w:rPr>
                <w:sz w:val="26"/>
                <w:szCs w:val="26"/>
                <w:lang w:val="lv-LV" w:eastAsia="lv-LV"/>
              </w:rPr>
            </w:pPr>
            <w:r w:rsidRPr="00D84A5A">
              <w:rPr>
                <w:sz w:val="26"/>
                <w:szCs w:val="26"/>
                <w:lang w:val="lv-LV" w:eastAsia="lv-LV"/>
              </w:rPr>
              <w:t>X</w:t>
            </w:r>
          </w:p>
        </w:tc>
        <w:tc>
          <w:tcPr>
            <w:tcW w:w="1174" w:type="dxa"/>
          </w:tcPr>
          <w:p w14:paraId="6E79FA47" w14:textId="7F2A78DE" w:rsidR="00F06FE2" w:rsidRPr="00D84A5A" w:rsidRDefault="00D84A5A" w:rsidP="007B4B24">
            <w:pPr>
              <w:jc w:val="both"/>
              <w:rPr>
                <w:sz w:val="26"/>
                <w:szCs w:val="26"/>
                <w:lang w:val="lv-LV" w:eastAsia="lv-LV"/>
              </w:rPr>
            </w:pPr>
            <w:r w:rsidRPr="00D84A5A">
              <w:rPr>
                <w:sz w:val="26"/>
                <w:szCs w:val="26"/>
                <w:lang w:val="lv-LV" w:eastAsia="lv-LV"/>
              </w:rPr>
              <w:t xml:space="preserve">37 715,0 </w:t>
            </w:r>
          </w:p>
        </w:tc>
        <w:tc>
          <w:tcPr>
            <w:tcW w:w="1158" w:type="dxa"/>
          </w:tcPr>
          <w:p w14:paraId="58837A7D"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58" w:type="dxa"/>
          </w:tcPr>
          <w:p w14:paraId="46FF01A0"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305" w:type="dxa"/>
          </w:tcPr>
          <w:p w14:paraId="3FEE2666" w14:textId="77777777" w:rsidR="00F06FE2" w:rsidRPr="00D84A5A" w:rsidRDefault="00F06FE2" w:rsidP="007B4B24">
            <w:pPr>
              <w:jc w:val="both"/>
              <w:rPr>
                <w:sz w:val="26"/>
                <w:szCs w:val="26"/>
                <w:lang w:val="lv-LV" w:eastAsia="lv-LV"/>
              </w:rPr>
            </w:pPr>
            <w:r w:rsidRPr="00D84A5A">
              <w:rPr>
                <w:sz w:val="26"/>
                <w:szCs w:val="26"/>
                <w:lang w:val="lv-LV" w:eastAsia="lv-LV"/>
              </w:rPr>
              <w:t>0</w:t>
            </w:r>
          </w:p>
        </w:tc>
      </w:tr>
      <w:tr w:rsidR="00C40A03" w:rsidRPr="00C40A03" w14:paraId="1878554C" w14:textId="77777777" w:rsidTr="00850E87">
        <w:trPr>
          <w:tblCellSpacing w:w="0" w:type="dxa"/>
        </w:trPr>
        <w:tc>
          <w:tcPr>
            <w:tcW w:w="2227" w:type="dxa"/>
          </w:tcPr>
          <w:p w14:paraId="0080073A" w14:textId="77777777" w:rsidR="00F06FE2" w:rsidRPr="00D84A5A" w:rsidRDefault="00F06FE2" w:rsidP="007B4B24">
            <w:pPr>
              <w:jc w:val="both"/>
              <w:rPr>
                <w:sz w:val="26"/>
                <w:szCs w:val="26"/>
                <w:lang w:val="lv-LV" w:eastAsia="lv-LV"/>
              </w:rPr>
            </w:pPr>
            <w:r w:rsidRPr="00D84A5A">
              <w:rPr>
                <w:sz w:val="26"/>
                <w:szCs w:val="26"/>
                <w:lang w:val="lv-LV" w:eastAsia="lv-LV"/>
              </w:rPr>
              <w:t> 5.1. valsts pamatbudžets</w:t>
            </w:r>
          </w:p>
        </w:tc>
        <w:tc>
          <w:tcPr>
            <w:tcW w:w="0" w:type="auto"/>
            <w:vMerge/>
            <w:vAlign w:val="center"/>
          </w:tcPr>
          <w:p w14:paraId="4AA1FBD5" w14:textId="77777777" w:rsidR="00F06FE2" w:rsidRPr="00D84A5A" w:rsidRDefault="00F06FE2" w:rsidP="007B4B24">
            <w:pPr>
              <w:jc w:val="both"/>
              <w:rPr>
                <w:sz w:val="26"/>
                <w:szCs w:val="26"/>
                <w:lang w:val="lv-LV" w:eastAsia="lv-LV"/>
              </w:rPr>
            </w:pPr>
          </w:p>
        </w:tc>
        <w:tc>
          <w:tcPr>
            <w:tcW w:w="1174" w:type="dxa"/>
          </w:tcPr>
          <w:p w14:paraId="43470A53" w14:textId="495FBEAA" w:rsidR="00F06FE2" w:rsidRPr="00D84A5A" w:rsidRDefault="00F06FE2" w:rsidP="003C5112">
            <w:pPr>
              <w:jc w:val="both"/>
              <w:rPr>
                <w:sz w:val="26"/>
                <w:szCs w:val="26"/>
                <w:lang w:val="lv-LV" w:eastAsia="lv-LV"/>
              </w:rPr>
            </w:pPr>
          </w:p>
        </w:tc>
        <w:tc>
          <w:tcPr>
            <w:tcW w:w="1158" w:type="dxa"/>
          </w:tcPr>
          <w:p w14:paraId="1763DF55"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58" w:type="dxa"/>
          </w:tcPr>
          <w:p w14:paraId="6D7B76CD"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305" w:type="dxa"/>
          </w:tcPr>
          <w:p w14:paraId="348975C8" w14:textId="77777777" w:rsidR="00F06FE2" w:rsidRPr="00D84A5A" w:rsidRDefault="00F06FE2" w:rsidP="007B4B24">
            <w:pPr>
              <w:jc w:val="both"/>
              <w:rPr>
                <w:sz w:val="26"/>
                <w:szCs w:val="26"/>
                <w:lang w:val="lv-LV" w:eastAsia="lv-LV"/>
              </w:rPr>
            </w:pPr>
            <w:r w:rsidRPr="00D84A5A">
              <w:rPr>
                <w:sz w:val="26"/>
                <w:szCs w:val="26"/>
                <w:lang w:val="lv-LV" w:eastAsia="lv-LV"/>
              </w:rPr>
              <w:t>0</w:t>
            </w:r>
          </w:p>
        </w:tc>
      </w:tr>
      <w:tr w:rsidR="00C40A03" w:rsidRPr="00C40A03" w14:paraId="1D8B6DFB" w14:textId="77777777" w:rsidTr="00850E87">
        <w:trPr>
          <w:tblCellSpacing w:w="0" w:type="dxa"/>
        </w:trPr>
        <w:tc>
          <w:tcPr>
            <w:tcW w:w="2227" w:type="dxa"/>
          </w:tcPr>
          <w:p w14:paraId="5B6CFDB4" w14:textId="77777777" w:rsidR="00F06FE2" w:rsidRPr="00D84A5A" w:rsidRDefault="00F06FE2" w:rsidP="007B4B24">
            <w:pPr>
              <w:jc w:val="both"/>
              <w:rPr>
                <w:sz w:val="26"/>
                <w:szCs w:val="26"/>
                <w:lang w:val="lv-LV" w:eastAsia="lv-LV"/>
              </w:rPr>
            </w:pPr>
            <w:r w:rsidRPr="00D84A5A">
              <w:rPr>
                <w:sz w:val="26"/>
                <w:szCs w:val="26"/>
                <w:lang w:val="lv-LV" w:eastAsia="lv-LV"/>
              </w:rPr>
              <w:t> 5.2. speciālais budžets</w:t>
            </w:r>
          </w:p>
        </w:tc>
        <w:tc>
          <w:tcPr>
            <w:tcW w:w="0" w:type="auto"/>
            <w:vMerge/>
            <w:vAlign w:val="center"/>
          </w:tcPr>
          <w:p w14:paraId="7F4DCBF6" w14:textId="77777777" w:rsidR="00F06FE2" w:rsidRPr="00D84A5A" w:rsidRDefault="00F06FE2" w:rsidP="007B4B24">
            <w:pPr>
              <w:jc w:val="both"/>
              <w:rPr>
                <w:sz w:val="26"/>
                <w:szCs w:val="26"/>
                <w:lang w:val="lv-LV" w:eastAsia="lv-LV"/>
              </w:rPr>
            </w:pPr>
          </w:p>
        </w:tc>
        <w:tc>
          <w:tcPr>
            <w:tcW w:w="1174" w:type="dxa"/>
          </w:tcPr>
          <w:p w14:paraId="669699F2" w14:textId="77777777" w:rsidR="00F06FE2" w:rsidRPr="00D84A5A" w:rsidRDefault="00F06FE2" w:rsidP="007B4B24">
            <w:pPr>
              <w:jc w:val="both"/>
              <w:rPr>
                <w:sz w:val="26"/>
                <w:szCs w:val="26"/>
                <w:lang w:val="lv-LV" w:eastAsia="lv-LV"/>
              </w:rPr>
            </w:pPr>
          </w:p>
        </w:tc>
        <w:tc>
          <w:tcPr>
            <w:tcW w:w="1158" w:type="dxa"/>
          </w:tcPr>
          <w:p w14:paraId="3A9CC33D"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58" w:type="dxa"/>
          </w:tcPr>
          <w:p w14:paraId="2AFACB56"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305" w:type="dxa"/>
          </w:tcPr>
          <w:p w14:paraId="7257635A" w14:textId="77777777" w:rsidR="00F06FE2" w:rsidRPr="00D84A5A" w:rsidRDefault="00F06FE2" w:rsidP="007B4B24">
            <w:pPr>
              <w:jc w:val="both"/>
              <w:rPr>
                <w:sz w:val="26"/>
                <w:szCs w:val="26"/>
                <w:lang w:val="lv-LV" w:eastAsia="lv-LV"/>
              </w:rPr>
            </w:pPr>
            <w:r w:rsidRPr="00D84A5A">
              <w:rPr>
                <w:sz w:val="26"/>
                <w:szCs w:val="26"/>
                <w:lang w:val="lv-LV" w:eastAsia="lv-LV"/>
              </w:rPr>
              <w:t>0</w:t>
            </w:r>
          </w:p>
        </w:tc>
      </w:tr>
      <w:tr w:rsidR="00C40A03" w:rsidRPr="00C40A03" w14:paraId="719A9C9F" w14:textId="77777777" w:rsidTr="00850E87">
        <w:trPr>
          <w:tblCellSpacing w:w="0" w:type="dxa"/>
        </w:trPr>
        <w:tc>
          <w:tcPr>
            <w:tcW w:w="2227" w:type="dxa"/>
          </w:tcPr>
          <w:p w14:paraId="0906FA72" w14:textId="77777777" w:rsidR="00F06FE2" w:rsidRPr="00D84A5A" w:rsidRDefault="00F06FE2" w:rsidP="007B4B24">
            <w:pPr>
              <w:jc w:val="both"/>
              <w:rPr>
                <w:sz w:val="26"/>
                <w:szCs w:val="26"/>
                <w:lang w:val="lv-LV" w:eastAsia="lv-LV"/>
              </w:rPr>
            </w:pPr>
            <w:r w:rsidRPr="00D84A5A">
              <w:rPr>
                <w:sz w:val="26"/>
                <w:szCs w:val="26"/>
                <w:lang w:val="lv-LV" w:eastAsia="lv-LV"/>
              </w:rPr>
              <w:t> 5.3. pašvaldību budžets</w:t>
            </w:r>
          </w:p>
        </w:tc>
        <w:tc>
          <w:tcPr>
            <w:tcW w:w="0" w:type="auto"/>
            <w:vMerge/>
            <w:vAlign w:val="center"/>
          </w:tcPr>
          <w:p w14:paraId="6BC2AD18" w14:textId="77777777" w:rsidR="00F06FE2" w:rsidRPr="00D84A5A" w:rsidRDefault="00F06FE2" w:rsidP="007B4B24">
            <w:pPr>
              <w:jc w:val="both"/>
              <w:rPr>
                <w:sz w:val="26"/>
                <w:szCs w:val="26"/>
                <w:lang w:val="lv-LV" w:eastAsia="lv-LV"/>
              </w:rPr>
            </w:pPr>
          </w:p>
        </w:tc>
        <w:tc>
          <w:tcPr>
            <w:tcW w:w="1174" w:type="dxa"/>
          </w:tcPr>
          <w:p w14:paraId="26776F13" w14:textId="77777777" w:rsidR="00F06FE2" w:rsidRPr="00D84A5A" w:rsidRDefault="00F06FE2" w:rsidP="007B4B24">
            <w:pPr>
              <w:jc w:val="both"/>
              <w:rPr>
                <w:sz w:val="26"/>
                <w:szCs w:val="26"/>
                <w:lang w:val="lv-LV" w:eastAsia="lv-LV"/>
              </w:rPr>
            </w:pPr>
          </w:p>
        </w:tc>
        <w:tc>
          <w:tcPr>
            <w:tcW w:w="1158" w:type="dxa"/>
          </w:tcPr>
          <w:p w14:paraId="4EED0165"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158" w:type="dxa"/>
          </w:tcPr>
          <w:p w14:paraId="755B6331" w14:textId="77777777" w:rsidR="00F06FE2" w:rsidRPr="00D84A5A" w:rsidRDefault="00F06FE2" w:rsidP="007B4B24">
            <w:pPr>
              <w:jc w:val="both"/>
              <w:rPr>
                <w:sz w:val="26"/>
                <w:szCs w:val="26"/>
                <w:lang w:val="lv-LV" w:eastAsia="lv-LV"/>
              </w:rPr>
            </w:pPr>
            <w:r w:rsidRPr="00D84A5A">
              <w:rPr>
                <w:sz w:val="26"/>
                <w:szCs w:val="26"/>
                <w:lang w:val="lv-LV" w:eastAsia="lv-LV"/>
              </w:rPr>
              <w:t>0</w:t>
            </w:r>
          </w:p>
        </w:tc>
        <w:tc>
          <w:tcPr>
            <w:tcW w:w="1305" w:type="dxa"/>
          </w:tcPr>
          <w:p w14:paraId="4DF95765" w14:textId="77777777" w:rsidR="00F06FE2" w:rsidRPr="00D84A5A" w:rsidRDefault="00F06FE2" w:rsidP="007B4B24">
            <w:pPr>
              <w:jc w:val="both"/>
              <w:rPr>
                <w:sz w:val="26"/>
                <w:szCs w:val="26"/>
                <w:lang w:val="lv-LV" w:eastAsia="lv-LV"/>
              </w:rPr>
            </w:pPr>
            <w:r w:rsidRPr="00D84A5A">
              <w:rPr>
                <w:sz w:val="26"/>
                <w:szCs w:val="26"/>
                <w:lang w:val="lv-LV" w:eastAsia="lv-LV"/>
              </w:rPr>
              <w:t>0</w:t>
            </w:r>
          </w:p>
        </w:tc>
      </w:tr>
      <w:tr w:rsidR="00C40A03" w:rsidRPr="002615E6" w14:paraId="3779EDA4" w14:textId="77777777" w:rsidTr="00850E87">
        <w:trPr>
          <w:trHeight w:val="1319"/>
          <w:tblCellSpacing w:w="0" w:type="dxa"/>
        </w:trPr>
        <w:tc>
          <w:tcPr>
            <w:tcW w:w="2227" w:type="dxa"/>
          </w:tcPr>
          <w:p w14:paraId="53778548" w14:textId="77777777" w:rsidR="00F06FE2" w:rsidRPr="00D84A5A" w:rsidRDefault="00F06FE2" w:rsidP="007B4B24">
            <w:pPr>
              <w:jc w:val="both"/>
              <w:rPr>
                <w:sz w:val="26"/>
                <w:szCs w:val="26"/>
                <w:lang w:val="lv-LV" w:eastAsia="lv-LV"/>
              </w:rPr>
            </w:pPr>
            <w:r w:rsidRPr="00D84A5A">
              <w:rPr>
                <w:sz w:val="26"/>
                <w:szCs w:val="26"/>
                <w:lang w:val="lv-LV" w:eastAsia="lv-LV"/>
              </w:rPr>
              <w:t> 6. Detalizēts ieņēmumu un izdevu</w:t>
            </w:r>
            <w:r w:rsidRPr="00D84A5A">
              <w:rPr>
                <w:sz w:val="26"/>
                <w:szCs w:val="26"/>
                <w:lang w:val="lv-LV" w:eastAsia="lv-LV"/>
              </w:rPr>
              <w:softHyphen/>
              <w:t>mu aprēķins (ja nepieciešams, detalizētu ieņēmumu un izdevumu aprēķinu var pievienot anotācijas pielikumā):</w:t>
            </w:r>
          </w:p>
        </w:tc>
        <w:tc>
          <w:tcPr>
            <w:tcW w:w="6703" w:type="dxa"/>
            <w:gridSpan w:val="5"/>
            <w:vMerge w:val="restart"/>
            <w:vAlign w:val="center"/>
          </w:tcPr>
          <w:p w14:paraId="58F48407" w14:textId="5EC17A15" w:rsidR="00D34E2F" w:rsidRPr="007B4B24" w:rsidRDefault="00D34E2F" w:rsidP="002A018F">
            <w:pPr>
              <w:rPr>
                <w:color w:val="FF0000"/>
                <w:lang w:val="lv-LV" w:eastAsia="lv-LV"/>
              </w:rPr>
            </w:pPr>
          </w:p>
        </w:tc>
      </w:tr>
      <w:tr w:rsidR="00C40A03" w:rsidRPr="002615E6" w14:paraId="048D93A1" w14:textId="77777777" w:rsidTr="00850E87">
        <w:trPr>
          <w:tblCellSpacing w:w="0" w:type="dxa"/>
        </w:trPr>
        <w:tc>
          <w:tcPr>
            <w:tcW w:w="2227" w:type="dxa"/>
          </w:tcPr>
          <w:p w14:paraId="5B9E7209" w14:textId="10566BB0" w:rsidR="00F06FE2" w:rsidRPr="00C40A03" w:rsidRDefault="00F06FE2" w:rsidP="007B4B24">
            <w:pPr>
              <w:jc w:val="both"/>
              <w:rPr>
                <w:color w:val="FF0000"/>
                <w:sz w:val="26"/>
                <w:szCs w:val="26"/>
                <w:lang w:val="lv-LV" w:eastAsia="lv-LV"/>
              </w:rPr>
            </w:pPr>
          </w:p>
        </w:tc>
        <w:tc>
          <w:tcPr>
            <w:tcW w:w="6703" w:type="dxa"/>
            <w:gridSpan w:val="5"/>
            <w:vMerge/>
            <w:vAlign w:val="center"/>
          </w:tcPr>
          <w:p w14:paraId="6889ABB8" w14:textId="77777777" w:rsidR="00F06FE2" w:rsidRPr="00C40A03" w:rsidRDefault="00F06FE2" w:rsidP="007B4B24">
            <w:pPr>
              <w:jc w:val="both"/>
              <w:rPr>
                <w:color w:val="FF0000"/>
                <w:sz w:val="26"/>
                <w:szCs w:val="26"/>
                <w:lang w:val="lv-LV" w:eastAsia="lv-LV"/>
              </w:rPr>
            </w:pPr>
          </w:p>
        </w:tc>
      </w:tr>
      <w:tr w:rsidR="00C40A03" w:rsidRPr="002615E6" w14:paraId="34E7E383" w14:textId="77777777" w:rsidTr="00850E87">
        <w:trPr>
          <w:trHeight w:val="525"/>
          <w:tblCellSpacing w:w="0" w:type="dxa"/>
        </w:trPr>
        <w:tc>
          <w:tcPr>
            <w:tcW w:w="2227" w:type="dxa"/>
          </w:tcPr>
          <w:p w14:paraId="46653C8A" w14:textId="77777777" w:rsidR="00F06FE2" w:rsidRPr="007B4B24" w:rsidRDefault="00F06FE2" w:rsidP="007B4B24">
            <w:pPr>
              <w:jc w:val="both"/>
              <w:rPr>
                <w:sz w:val="26"/>
                <w:szCs w:val="26"/>
                <w:lang w:val="lv-LV" w:eastAsia="lv-LV"/>
              </w:rPr>
            </w:pPr>
            <w:r w:rsidRPr="007B4B24">
              <w:rPr>
                <w:sz w:val="26"/>
                <w:szCs w:val="26"/>
                <w:lang w:val="lv-LV" w:eastAsia="lv-LV"/>
              </w:rPr>
              <w:t>6.2. detalizēts izdevumu aprēķins</w:t>
            </w:r>
          </w:p>
        </w:tc>
        <w:tc>
          <w:tcPr>
            <w:tcW w:w="6703" w:type="dxa"/>
            <w:gridSpan w:val="5"/>
            <w:vAlign w:val="center"/>
          </w:tcPr>
          <w:p w14:paraId="59AA58E0" w14:textId="77777777" w:rsidR="002615E6" w:rsidRDefault="002615E6" w:rsidP="002615E6">
            <w:pPr>
              <w:jc w:val="both"/>
              <w:rPr>
                <w:sz w:val="26"/>
                <w:szCs w:val="26"/>
                <w:lang w:val="lv-LV" w:eastAsia="lv-LV"/>
              </w:rPr>
            </w:pPr>
            <w:r w:rsidRPr="002615E6">
              <w:rPr>
                <w:sz w:val="26"/>
                <w:szCs w:val="26"/>
                <w:lang w:val="lv-LV" w:eastAsia="lv-LV"/>
              </w:rPr>
              <w:t xml:space="preserve">Ēnu ekonomikas apkarošanās iesaistīto institūciju amatpersonu (darbinieku) motivēšanai apropriācijas palielinājumam novirzāmais finansējuma apjoms 1 985 000 latu, kas ir 5 procenti no valsts budžetā plānoto nodokļu ieņēmumu pārpildes 39 700 000 latu, kuri uzskatāmi par ieņēmumiem, realizējot ēnu ekonomikas ierobežošanas pasākumus.  </w:t>
            </w:r>
          </w:p>
          <w:p w14:paraId="1583FD60" w14:textId="0F7E881F" w:rsidR="002615E6" w:rsidRPr="002615E6" w:rsidRDefault="002615E6" w:rsidP="002615E6">
            <w:pPr>
              <w:jc w:val="both"/>
              <w:rPr>
                <w:sz w:val="26"/>
                <w:szCs w:val="26"/>
                <w:lang w:val="lv-LV" w:eastAsia="lv-LV"/>
              </w:rPr>
            </w:pPr>
            <w:r>
              <w:rPr>
                <w:sz w:val="26"/>
                <w:szCs w:val="26"/>
                <w:lang w:val="lv-LV" w:eastAsia="lv-LV"/>
              </w:rPr>
              <w:t>Atbilstoši likuma „Par valsts budžetu 2013.gada”42.pantā noteiktajam, f</w:t>
            </w:r>
            <w:r w:rsidRPr="002615E6">
              <w:rPr>
                <w:sz w:val="26"/>
                <w:szCs w:val="26"/>
                <w:lang w:val="lv-LV" w:eastAsia="lv-LV"/>
              </w:rPr>
              <w:t>inanšu ministram ir tiesības palielināt apropriāciju izdevumiem, tajā skaitā novirzot atlīdzībai attiecīgajā budžeta programmā: Finanšu ministrijai (Valsts ieņēmumu dienestam) ne vairāk kā 79,5 procentus; Iekšlietu ministrijai (Valsts policijai, Valsts robežsardzei) ne vairāk kā 16 procentus; Labklājības ministrijai (Valsts darba inspekcijai) ne vairāk kā 2 procentus; Zemkopības ministrijai (Pārtikas un veterinārajam dienestam, Valsts meža dienestam, Valsts augu aizsardzības dienestam) ne vairāk kā 2 procentus un prokuratūrai (Noziedzīgi iegūtu līdzekļu legalizācijas novēršanas dienestam) ne vairāk kā 0,5 procentus no apropriācijas palielinājuma</w:t>
            </w:r>
            <w:r>
              <w:rPr>
                <w:sz w:val="26"/>
                <w:szCs w:val="26"/>
                <w:lang w:val="lv-LV" w:eastAsia="lv-LV"/>
              </w:rPr>
              <w:t>:</w:t>
            </w:r>
          </w:p>
          <w:p w14:paraId="7720611D" w14:textId="77777777" w:rsidR="002615E6" w:rsidRPr="002615E6" w:rsidRDefault="002615E6" w:rsidP="002615E6">
            <w:pPr>
              <w:jc w:val="both"/>
              <w:rPr>
                <w:sz w:val="26"/>
                <w:szCs w:val="26"/>
                <w:lang w:val="lv-LV" w:eastAsia="lv-LV"/>
              </w:rPr>
            </w:pPr>
            <w:r w:rsidRPr="002615E6">
              <w:rPr>
                <w:sz w:val="26"/>
                <w:szCs w:val="26"/>
                <w:lang w:val="lv-LV" w:eastAsia="lv-LV"/>
              </w:rPr>
              <w:lastRenderedPageBreak/>
              <w:t>1.</w:t>
            </w:r>
            <w:r w:rsidRPr="002615E6">
              <w:rPr>
                <w:sz w:val="26"/>
                <w:szCs w:val="26"/>
                <w:lang w:val="lv-LV" w:eastAsia="lv-LV"/>
              </w:rPr>
              <w:tab/>
              <w:t>Finanšu ministrijas budžeta programmā 33.00.00 „Valsts ieņēmumu un muitas politikas nodrošināšana” Valsts ieņēmumu dienestam 1 578 075 latu apmērā (tai skaitā atalgojumam 1 271 718 latu apmērā);</w:t>
            </w:r>
          </w:p>
          <w:p w14:paraId="303A8A46" w14:textId="77777777" w:rsidR="002615E6" w:rsidRPr="002615E6" w:rsidRDefault="002615E6" w:rsidP="002615E6">
            <w:pPr>
              <w:jc w:val="both"/>
              <w:rPr>
                <w:sz w:val="26"/>
                <w:szCs w:val="26"/>
                <w:lang w:val="lv-LV" w:eastAsia="lv-LV"/>
              </w:rPr>
            </w:pPr>
            <w:r w:rsidRPr="002615E6">
              <w:rPr>
                <w:sz w:val="26"/>
                <w:szCs w:val="26"/>
                <w:lang w:val="lv-LV" w:eastAsia="lv-LV"/>
              </w:rPr>
              <w:t>2.</w:t>
            </w:r>
            <w:r w:rsidRPr="002615E6">
              <w:rPr>
                <w:sz w:val="26"/>
                <w:szCs w:val="26"/>
                <w:lang w:val="lv-LV" w:eastAsia="lv-LV"/>
              </w:rPr>
              <w:tab/>
              <w:t>Iekšlietu ministrijas budžeta apakšprogrammā 06.01.00 „Valsts policija” Valsts policijai 222 320 latu apmērā (tai skaitā atalgojumam 173 785 latu apmērā) un budžeta programmā 10.00.00 „Valsts robežsardzes darbība” Valsts robežsardzei 95 280 latu apmērā (tai skaitā atalgojumam 76 783 latu apmērā);</w:t>
            </w:r>
          </w:p>
          <w:p w14:paraId="50D77945" w14:textId="77777777" w:rsidR="002615E6" w:rsidRPr="002615E6" w:rsidRDefault="002615E6" w:rsidP="002615E6">
            <w:pPr>
              <w:jc w:val="both"/>
              <w:rPr>
                <w:sz w:val="26"/>
                <w:szCs w:val="26"/>
                <w:lang w:val="lv-LV" w:eastAsia="lv-LV"/>
              </w:rPr>
            </w:pPr>
            <w:r w:rsidRPr="002615E6">
              <w:rPr>
                <w:sz w:val="26"/>
                <w:szCs w:val="26"/>
                <w:lang w:val="lv-LV" w:eastAsia="lv-LV"/>
              </w:rPr>
              <w:t>3.</w:t>
            </w:r>
            <w:r w:rsidRPr="002615E6">
              <w:rPr>
                <w:sz w:val="26"/>
                <w:szCs w:val="26"/>
                <w:lang w:val="lv-LV" w:eastAsia="lv-LV"/>
              </w:rPr>
              <w:tab/>
              <w:t>Labklājības ministrijas budžeta apakšprogrammā 21.01.00 „Darba tiesisko attiecību un darba apstākļu kontrole un uzraudzība” Valsts darba inspekcijai 39 700 latu apmērā (tai skaitā atalgojumam 31 993 latu apmērā);</w:t>
            </w:r>
          </w:p>
          <w:p w14:paraId="75541DBC" w14:textId="77777777" w:rsidR="002615E6" w:rsidRPr="002615E6" w:rsidRDefault="002615E6" w:rsidP="002615E6">
            <w:pPr>
              <w:jc w:val="both"/>
              <w:rPr>
                <w:sz w:val="26"/>
                <w:szCs w:val="26"/>
                <w:lang w:val="lv-LV" w:eastAsia="lv-LV"/>
              </w:rPr>
            </w:pPr>
            <w:r w:rsidRPr="002615E6">
              <w:rPr>
                <w:sz w:val="26"/>
                <w:szCs w:val="26"/>
                <w:lang w:val="lv-LV" w:eastAsia="lv-LV"/>
              </w:rPr>
              <w:t>4.</w:t>
            </w:r>
            <w:r w:rsidRPr="002615E6">
              <w:rPr>
                <w:sz w:val="26"/>
                <w:szCs w:val="26"/>
                <w:lang w:val="lv-LV" w:eastAsia="lv-LV"/>
              </w:rPr>
              <w:tab/>
              <w:t>Zemkopības ministrijas budžeta apakšprogrammā 20.01.00 „Pārtikas drošības un veterinārmedicīnas valsts uzraudzība un kontrole” Pārtikas un veterinārais dienestam 15 963 latu apmērā (tai skaitā atalgojumam 12 864 latu apmērā), budžeta apakšprogrammā 24.01.00 „Meža resursu valsts uzraudzība” Valsts meža dienestam 18 399 latu apmērā (tai skaitā atalgojumam 14 827 latu apmērā) un budžeta programmā 27.00.00 „Augu veselības un augu aprites uzraudzība” Valsts augu aizsardzības dienestam 5 338 latu apmērā (tai skaitā atalgojumam 4 302 latu apmērā);</w:t>
            </w:r>
          </w:p>
          <w:p w14:paraId="34D044B0" w14:textId="3705B50D" w:rsidR="00F06FE2" w:rsidRPr="007B4B24" w:rsidRDefault="002615E6" w:rsidP="002615E6">
            <w:pPr>
              <w:jc w:val="both"/>
              <w:rPr>
                <w:sz w:val="26"/>
                <w:szCs w:val="26"/>
                <w:lang w:val="lv-LV" w:eastAsia="lv-LV"/>
              </w:rPr>
            </w:pPr>
            <w:r w:rsidRPr="002615E6">
              <w:rPr>
                <w:sz w:val="26"/>
                <w:szCs w:val="26"/>
                <w:lang w:val="lv-LV" w:eastAsia="lv-LV"/>
              </w:rPr>
              <w:t>Prokuratūras budžeta programmā 02.00.00 „Noziedzīgi iegūtu līdzekļu legalizācijas novēršana” Noziedzīgi iegūtu līdzekļu legalizācijas novēršanas dienestam 9 925 latu apmērā (tai skaitā atalgojumam 7 998 latu apmērā).</w:t>
            </w:r>
          </w:p>
        </w:tc>
      </w:tr>
      <w:tr w:rsidR="00C40A03" w:rsidRPr="00C40A03" w14:paraId="1BA66CB6" w14:textId="77777777" w:rsidTr="00850E87">
        <w:trPr>
          <w:tblCellSpacing w:w="0" w:type="dxa"/>
        </w:trPr>
        <w:tc>
          <w:tcPr>
            <w:tcW w:w="2227" w:type="dxa"/>
          </w:tcPr>
          <w:p w14:paraId="3F0FEEAF" w14:textId="039C002E" w:rsidR="00F06FE2" w:rsidRPr="007B4B24" w:rsidRDefault="00F06FE2" w:rsidP="007B4B24">
            <w:pPr>
              <w:jc w:val="both"/>
              <w:rPr>
                <w:sz w:val="26"/>
                <w:szCs w:val="26"/>
                <w:lang w:val="lv-LV" w:eastAsia="lv-LV"/>
              </w:rPr>
            </w:pPr>
            <w:r w:rsidRPr="007B4B24">
              <w:rPr>
                <w:sz w:val="26"/>
                <w:szCs w:val="26"/>
                <w:lang w:val="lv-LV" w:eastAsia="lv-LV"/>
              </w:rPr>
              <w:lastRenderedPageBreak/>
              <w:t>7. Cita informācija</w:t>
            </w:r>
          </w:p>
        </w:tc>
        <w:tc>
          <w:tcPr>
            <w:tcW w:w="6703" w:type="dxa"/>
            <w:gridSpan w:val="5"/>
          </w:tcPr>
          <w:p w14:paraId="61447E19" w14:textId="77777777" w:rsidR="00F06FE2" w:rsidRPr="007B4B24" w:rsidRDefault="00F06FE2" w:rsidP="007B4B24">
            <w:pPr>
              <w:jc w:val="both"/>
              <w:rPr>
                <w:sz w:val="26"/>
                <w:szCs w:val="26"/>
                <w:lang w:val="lv-LV" w:eastAsia="lv-LV"/>
              </w:rPr>
            </w:pPr>
          </w:p>
        </w:tc>
      </w:tr>
      <w:tr w:rsidR="00C40A03" w:rsidRPr="00C40A03" w14:paraId="12DCB14C" w14:textId="77777777" w:rsidTr="00850E87">
        <w:trPr>
          <w:tblCellSpacing w:w="0" w:type="dxa"/>
        </w:trPr>
        <w:tc>
          <w:tcPr>
            <w:tcW w:w="2227" w:type="dxa"/>
          </w:tcPr>
          <w:p w14:paraId="0A825FD9" w14:textId="77777777" w:rsidR="00D079D8" w:rsidRPr="007B4B24" w:rsidRDefault="00D079D8" w:rsidP="007B4B24">
            <w:pPr>
              <w:jc w:val="both"/>
              <w:rPr>
                <w:sz w:val="26"/>
                <w:szCs w:val="26"/>
                <w:lang w:val="lv-LV" w:eastAsia="lv-LV"/>
              </w:rPr>
            </w:pPr>
          </w:p>
        </w:tc>
        <w:tc>
          <w:tcPr>
            <w:tcW w:w="6703" w:type="dxa"/>
            <w:gridSpan w:val="5"/>
          </w:tcPr>
          <w:p w14:paraId="46A3BED4" w14:textId="77777777" w:rsidR="00D079D8" w:rsidRPr="007B4B24" w:rsidRDefault="00D079D8" w:rsidP="007B4B24">
            <w:pPr>
              <w:jc w:val="both"/>
              <w:rPr>
                <w:sz w:val="26"/>
                <w:szCs w:val="26"/>
                <w:lang w:val="lv-LV" w:eastAsia="lv-LV"/>
              </w:rPr>
            </w:pPr>
          </w:p>
        </w:tc>
      </w:tr>
    </w:tbl>
    <w:p w14:paraId="5AA53D9C" w14:textId="77777777" w:rsidR="00F06FE2" w:rsidRPr="00C40A03" w:rsidRDefault="00F06FE2" w:rsidP="00F06FE2">
      <w:pPr>
        <w:jc w:val="both"/>
        <w:rPr>
          <w:color w:val="FF0000"/>
          <w:sz w:val="26"/>
          <w:szCs w:val="26"/>
          <w:lang w:val="lv-LV"/>
        </w:rPr>
      </w:pPr>
    </w:p>
    <w:p w14:paraId="39CEF2B6" w14:textId="77777777" w:rsidR="004468E0" w:rsidRPr="00C40A03" w:rsidRDefault="004468E0" w:rsidP="00F06FE2">
      <w:pPr>
        <w:jc w:val="both"/>
        <w:rPr>
          <w:color w:val="FF0000"/>
          <w:sz w:val="26"/>
          <w:szCs w:val="26"/>
          <w:lang w:val="lv-LV"/>
        </w:rPr>
      </w:pPr>
    </w:p>
    <w:p w14:paraId="5341F2CD" w14:textId="77777777" w:rsidR="004468E0" w:rsidRPr="00C40A03" w:rsidRDefault="004468E0" w:rsidP="00F06FE2">
      <w:pPr>
        <w:jc w:val="both"/>
        <w:rPr>
          <w:color w:val="FF0000"/>
          <w:sz w:val="26"/>
          <w:szCs w:val="26"/>
          <w:lang w:val="lv-LV"/>
        </w:rPr>
      </w:pPr>
    </w:p>
    <w:p w14:paraId="2D43AD7A" w14:textId="77777777" w:rsidR="00D079D8" w:rsidRPr="00C40A03" w:rsidRDefault="00D079D8" w:rsidP="00F06FE2">
      <w:pPr>
        <w:jc w:val="both"/>
        <w:rPr>
          <w:color w:val="FF0000"/>
          <w:sz w:val="26"/>
          <w:szCs w:val="26"/>
          <w:lang w:val="lv-LV"/>
        </w:rPr>
      </w:pPr>
    </w:p>
    <w:p w14:paraId="3C055FFA" w14:textId="77777777" w:rsidR="004468E0" w:rsidRPr="00C40A03" w:rsidRDefault="004468E0" w:rsidP="00F06FE2">
      <w:pPr>
        <w:jc w:val="both"/>
        <w:rPr>
          <w:color w:val="FF0000"/>
          <w:sz w:val="26"/>
          <w:szCs w:val="26"/>
          <w:lang w:val="lv-LV"/>
        </w:rPr>
      </w:pPr>
    </w:p>
    <w:p w14:paraId="05F31B86" w14:textId="77777777" w:rsidR="006179D1" w:rsidRPr="00C40A03" w:rsidRDefault="006179D1" w:rsidP="00F06FE2">
      <w:pPr>
        <w:jc w:val="both"/>
        <w:rPr>
          <w:color w:val="FF0000"/>
          <w:sz w:val="26"/>
          <w:szCs w:val="26"/>
          <w:lang w:val="lv-LV"/>
        </w:rPr>
      </w:pPr>
    </w:p>
    <w:tbl>
      <w:tblPr>
        <w:tblW w:w="8931"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0"/>
        <w:gridCol w:w="2268"/>
        <w:gridCol w:w="6073"/>
      </w:tblGrid>
      <w:tr w:rsidR="007B4B24" w:rsidRPr="002615E6" w14:paraId="4894C1A5" w14:textId="77777777" w:rsidTr="007B4B24">
        <w:trPr>
          <w:tblCellSpacing w:w="0" w:type="dxa"/>
        </w:trPr>
        <w:tc>
          <w:tcPr>
            <w:tcW w:w="8931" w:type="dxa"/>
            <w:gridSpan w:val="3"/>
            <w:tcBorders>
              <w:top w:val="outset" w:sz="6" w:space="0" w:color="auto"/>
              <w:left w:val="outset" w:sz="6" w:space="0" w:color="auto"/>
              <w:bottom w:val="outset" w:sz="6" w:space="0" w:color="auto"/>
              <w:right w:val="outset" w:sz="6" w:space="0" w:color="auto"/>
            </w:tcBorders>
            <w:hideMark/>
          </w:tcPr>
          <w:p w14:paraId="2B25149E" w14:textId="77777777" w:rsidR="00F06FE2" w:rsidRPr="007B4B24" w:rsidRDefault="00F06FE2" w:rsidP="00BD4854">
            <w:pPr>
              <w:jc w:val="both"/>
              <w:rPr>
                <w:sz w:val="26"/>
                <w:szCs w:val="26"/>
                <w:lang w:val="lv-LV"/>
              </w:rPr>
            </w:pPr>
            <w:r w:rsidRPr="007B4B24">
              <w:rPr>
                <w:i/>
                <w:iCs/>
                <w:sz w:val="26"/>
                <w:szCs w:val="26"/>
                <w:lang w:val="lv-LV"/>
              </w:rPr>
              <w:lastRenderedPageBreak/>
              <w:t> </w:t>
            </w:r>
            <w:r w:rsidRPr="007B4B24">
              <w:rPr>
                <w:sz w:val="26"/>
                <w:szCs w:val="26"/>
                <w:lang w:val="lv-LV"/>
              </w:rPr>
              <w:t>IV. Tiesību akta projekta ietekme uz spēkā esošo tiesību normu sistēmu</w:t>
            </w:r>
          </w:p>
        </w:tc>
      </w:tr>
      <w:tr w:rsidR="007B4B24" w:rsidRPr="007B4B24" w14:paraId="2D481745" w14:textId="77777777" w:rsidTr="007B4B24">
        <w:trPr>
          <w:tblCellSpacing w:w="0" w:type="dxa"/>
        </w:trPr>
        <w:tc>
          <w:tcPr>
            <w:tcW w:w="590" w:type="dxa"/>
            <w:tcBorders>
              <w:top w:val="outset" w:sz="6" w:space="0" w:color="auto"/>
              <w:left w:val="outset" w:sz="6" w:space="0" w:color="auto"/>
              <w:bottom w:val="outset" w:sz="6" w:space="0" w:color="auto"/>
              <w:right w:val="outset" w:sz="6" w:space="0" w:color="auto"/>
            </w:tcBorders>
            <w:hideMark/>
          </w:tcPr>
          <w:p w14:paraId="0DD5C564" w14:textId="77777777" w:rsidR="00F06FE2" w:rsidRPr="007B4B24" w:rsidRDefault="00F06FE2" w:rsidP="00BD4854">
            <w:pPr>
              <w:jc w:val="both"/>
              <w:rPr>
                <w:sz w:val="26"/>
                <w:szCs w:val="26"/>
                <w:lang w:val="lv-LV"/>
              </w:rPr>
            </w:pPr>
            <w:r w:rsidRPr="007B4B24">
              <w:rPr>
                <w:sz w:val="26"/>
                <w:szCs w:val="26"/>
                <w:lang w:val="lv-LV"/>
              </w:rPr>
              <w:t> 1.</w:t>
            </w:r>
          </w:p>
        </w:tc>
        <w:tc>
          <w:tcPr>
            <w:tcW w:w="2268" w:type="dxa"/>
            <w:tcBorders>
              <w:top w:val="outset" w:sz="6" w:space="0" w:color="auto"/>
              <w:left w:val="outset" w:sz="6" w:space="0" w:color="auto"/>
              <w:bottom w:val="outset" w:sz="6" w:space="0" w:color="auto"/>
              <w:right w:val="outset" w:sz="6" w:space="0" w:color="auto"/>
            </w:tcBorders>
            <w:hideMark/>
          </w:tcPr>
          <w:p w14:paraId="5D0236C3" w14:textId="77777777" w:rsidR="00F06FE2" w:rsidRPr="007B4B24" w:rsidRDefault="00F06FE2" w:rsidP="00BD4854">
            <w:pPr>
              <w:jc w:val="both"/>
              <w:rPr>
                <w:sz w:val="26"/>
                <w:szCs w:val="26"/>
                <w:lang w:val="lv-LV"/>
              </w:rPr>
            </w:pPr>
            <w:r w:rsidRPr="007B4B24">
              <w:rPr>
                <w:sz w:val="26"/>
                <w:szCs w:val="26"/>
                <w:lang w:val="lv-LV"/>
              </w:rPr>
              <w:t> Nepieciešamie saistītie tiesību aktu projekti</w:t>
            </w:r>
          </w:p>
        </w:tc>
        <w:tc>
          <w:tcPr>
            <w:tcW w:w="6073" w:type="dxa"/>
            <w:tcBorders>
              <w:top w:val="outset" w:sz="6" w:space="0" w:color="auto"/>
              <w:left w:val="outset" w:sz="6" w:space="0" w:color="auto"/>
              <w:bottom w:val="outset" w:sz="6" w:space="0" w:color="auto"/>
              <w:right w:val="outset" w:sz="6" w:space="0" w:color="auto"/>
            </w:tcBorders>
            <w:hideMark/>
          </w:tcPr>
          <w:p w14:paraId="38FBC1D7" w14:textId="61FEE8D3" w:rsidR="00F06FE2" w:rsidRPr="007B4B24" w:rsidRDefault="007B4B24" w:rsidP="006179D1">
            <w:pPr>
              <w:jc w:val="both"/>
              <w:rPr>
                <w:iCs/>
                <w:sz w:val="26"/>
                <w:szCs w:val="26"/>
                <w:lang w:val="lv-LV" w:eastAsia="lv-LV"/>
              </w:rPr>
            </w:pPr>
            <w:r w:rsidRPr="007B4B24">
              <w:rPr>
                <w:iCs/>
                <w:sz w:val="26"/>
                <w:szCs w:val="26"/>
                <w:lang w:val="lv-LV" w:eastAsia="lv-LV"/>
              </w:rPr>
              <w:t>Nav attiecināms.</w:t>
            </w:r>
          </w:p>
        </w:tc>
      </w:tr>
      <w:tr w:rsidR="007B4B24" w:rsidRPr="007B4B24" w14:paraId="7BDC27AA" w14:textId="77777777" w:rsidTr="007B4B24">
        <w:trPr>
          <w:trHeight w:val="65"/>
          <w:tblCellSpacing w:w="0" w:type="dxa"/>
        </w:trPr>
        <w:tc>
          <w:tcPr>
            <w:tcW w:w="590" w:type="dxa"/>
            <w:tcBorders>
              <w:top w:val="outset" w:sz="6" w:space="0" w:color="auto"/>
              <w:left w:val="outset" w:sz="6" w:space="0" w:color="auto"/>
              <w:bottom w:val="outset" w:sz="6" w:space="0" w:color="auto"/>
              <w:right w:val="outset" w:sz="6" w:space="0" w:color="auto"/>
            </w:tcBorders>
            <w:hideMark/>
          </w:tcPr>
          <w:p w14:paraId="41B17474" w14:textId="77777777" w:rsidR="00F06FE2" w:rsidRPr="007B4B24" w:rsidRDefault="00F06FE2" w:rsidP="00BD4854">
            <w:pPr>
              <w:jc w:val="both"/>
              <w:rPr>
                <w:sz w:val="26"/>
                <w:szCs w:val="26"/>
                <w:lang w:val="lv-LV"/>
              </w:rPr>
            </w:pPr>
            <w:r w:rsidRPr="007B4B24">
              <w:rPr>
                <w:sz w:val="26"/>
                <w:szCs w:val="26"/>
                <w:lang w:val="lv-LV"/>
              </w:rPr>
              <w:t> 2.</w:t>
            </w:r>
          </w:p>
        </w:tc>
        <w:tc>
          <w:tcPr>
            <w:tcW w:w="2268" w:type="dxa"/>
            <w:tcBorders>
              <w:top w:val="outset" w:sz="6" w:space="0" w:color="auto"/>
              <w:left w:val="outset" w:sz="6" w:space="0" w:color="auto"/>
              <w:bottom w:val="outset" w:sz="6" w:space="0" w:color="auto"/>
              <w:right w:val="outset" w:sz="6" w:space="0" w:color="auto"/>
            </w:tcBorders>
            <w:hideMark/>
          </w:tcPr>
          <w:p w14:paraId="4FCD5D6E" w14:textId="77777777" w:rsidR="00F06FE2" w:rsidRPr="007B4B24" w:rsidRDefault="00F06FE2" w:rsidP="00BD4854">
            <w:pPr>
              <w:jc w:val="both"/>
              <w:rPr>
                <w:sz w:val="26"/>
                <w:szCs w:val="26"/>
                <w:lang w:val="lv-LV"/>
              </w:rPr>
            </w:pPr>
            <w:r w:rsidRPr="007B4B24">
              <w:rPr>
                <w:sz w:val="26"/>
                <w:szCs w:val="26"/>
                <w:lang w:val="lv-LV"/>
              </w:rPr>
              <w:t> Cita informācija</w:t>
            </w:r>
          </w:p>
        </w:tc>
        <w:tc>
          <w:tcPr>
            <w:tcW w:w="6073" w:type="dxa"/>
            <w:tcBorders>
              <w:top w:val="outset" w:sz="6" w:space="0" w:color="auto"/>
              <w:left w:val="outset" w:sz="6" w:space="0" w:color="auto"/>
              <w:bottom w:val="outset" w:sz="6" w:space="0" w:color="auto"/>
              <w:right w:val="outset" w:sz="6" w:space="0" w:color="auto"/>
            </w:tcBorders>
          </w:tcPr>
          <w:p w14:paraId="14863641" w14:textId="77777777" w:rsidR="00F06FE2" w:rsidRPr="007B4B24" w:rsidRDefault="00F06FE2" w:rsidP="00BD4854">
            <w:pPr>
              <w:jc w:val="both"/>
              <w:rPr>
                <w:sz w:val="26"/>
                <w:szCs w:val="26"/>
                <w:lang w:val="lv-LV"/>
              </w:rPr>
            </w:pPr>
            <w:r w:rsidRPr="007B4B24">
              <w:rPr>
                <w:sz w:val="26"/>
                <w:szCs w:val="26"/>
                <w:lang w:val="lv-LV"/>
              </w:rPr>
              <w:t xml:space="preserve"> </w:t>
            </w:r>
          </w:p>
        </w:tc>
      </w:tr>
    </w:tbl>
    <w:p w14:paraId="47EA8C9C" w14:textId="77777777" w:rsidR="00F06FE2" w:rsidRPr="007B4B24" w:rsidRDefault="00F06FE2" w:rsidP="00F06FE2">
      <w:pPr>
        <w:pStyle w:val="naiskr"/>
        <w:spacing w:before="0" w:beforeAutospacing="0" w:after="0" w:afterAutospacing="0"/>
        <w:jc w:val="both"/>
        <w:rPr>
          <w:sz w:val="26"/>
          <w:szCs w:val="26"/>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7B4B24" w:rsidRPr="007B4B24" w14:paraId="6B05014C" w14:textId="77777777" w:rsidTr="007B4B24">
        <w:tc>
          <w:tcPr>
            <w:tcW w:w="8931" w:type="dxa"/>
          </w:tcPr>
          <w:p w14:paraId="0C210D39" w14:textId="77777777" w:rsidR="00F06FE2" w:rsidRPr="007B4B24" w:rsidRDefault="00F06FE2" w:rsidP="00BD4854">
            <w:pPr>
              <w:jc w:val="both"/>
              <w:rPr>
                <w:sz w:val="26"/>
                <w:szCs w:val="26"/>
                <w:lang w:val="lv-LV"/>
              </w:rPr>
            </w:pPr>
            <w:r w:rsidRPr="007B4B24">
              <w:rPr>
                <w:sz w:val="26"/>
                <w:szCs w:val="26"/>
                <w:lang w:val="lv-LV"/>
              </w:rPr>
              <w:t>V. Tiesību akta projekta atbilstība Latvijas Republikas starptautiskajām saistībām</w:t>
            </w:r>
          </w:p>
        </w:tc>
      </w:tr>
      <w:tr w:rsidR="007B4B24" w:rsidRPr="007B4B24" w14:paraId="056B2B18" w14:textId="77777777" w:rsidTr="007B4B24">
        <w:trPr>
          <w:trHeight w:val="279"/>
        </w:trPr>
        <w:tc>
          <w:tcPr>
            <w:tcW w:w="8931" w:type="dxa"/>
            <w:vAlign w:val="center"/>
          </w:tcPr>
          <w:p w14:paraId="3A0FA64A" w14:textId="77777777" w:rsidR="00F06FE2" w:rsidRPr="007B4B24" w:rsidRDefault="00F06FE2" w:rsidP="00BD4854">
            <w:pPr>
              <w:jc w:val="both"/>
              <w:rPr>
                <w:sz w:val="26"/>
                <w:szCs w:val="26"/>
                <w:lang w:val="lv-LV"/>
              </w:rPr>
            </w:pPr>
            <w:r w:rsidRPr="007B4B24">
              <w:rPr>
                <w:sz w:val="26"/>
                <w:szCs w:val="26"/>
                <w:lang w:val="lv-LV"/>
              </w:rPr>
              <w:t>Likumprojekts šo jomu neskar.</w:t>
            </w:r>
          </w:p>
        </w:tc>
      </w:tr>
    </w:tbl>
    <w:p w14:paraId="7B60F2C2" w14:textId="77777777" w:rsidR="00F06FE2" w:rsidRPr="007B4B24" w:rsidRDefault="00F06FE2" w:rsidP="00F06FE2">
      <w:pPr>
        <w:pStyle w:val="naiskr"/>
        <w:spacing w:before="0" w:beforeAutospacing="0" w:after="0" w:afterAutospacing="0"/>
        <w:jc w:val="both"/>
        <w:rPr>
          <w:sz w:val="26"/>
          <w:szCs w:val="26"/>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926"/>
      </w:tblGrid>
      <w:tr w:rsidR="007B4B24" w:rsidRPr="002615E6" w14:paraId="19F0D5E1" w14:textId="77777777" w:rsidTr="007B4B24">
        <w:trPr>
          <w:jc w:val="center"/>
        </w:trPr>
        <w:tc>
          <w:tcPr>
            <w:tcW w:w="8926" w:type="dxa"/>
          </w:tcPr>
          <w:p w14:paraId="5C99F8F6" w14:textId="77777777" w:rsidR="00D079D8" w:rsidRPr="007B4B24" w:rsidRDefault="00D079D8" w:rsidP="005D3C24">
            <w:pPr>
              <w:pStyle w:val="naisnod"/>
              <w:spacing w:before="0" w:after="0"/>
              <w:ind w:left="57" w:right="57"/>
              <w:rPr>
                <w:sz w:val="26"/>
                <w:szCs w:val="26"/>
              </w:rPr>
            </w:pPr>
            <w:r w:rsidRPr="007B4B24">
              <w:rPr>
                <w:sz w:val="26"/>
                <w:szCs w:val="26"/>
              </w:rPr>
              <w:t>VI. Sabiedrības līdzdalība un šīs līdzdalības rezultāti</w:t>
            </w:r>
          </w:p>
        </w:tc>
      </w:tr>
      <w:tr w:rsidR="007B4B24" w:rsidRPr="007B4B24" w14:paraId="6553764A" w14:textId="77777777" w:rsidTr="007B4B24">
        <w:trPr>
          <w:jc w:val="center"/>
        </w:trPr>
        <w:tc>
          <w:tcPr>
            <w:tcW w:w="8926" w:type="dxa"/>
          </w:tcPr>
          <w:p w14:paraId="01744A4F" w14:textId="38E697E9" w:rsidR="00D079D8" w:rsidRPr="007B4B24" w:rsidRDefault="00D079D8" w:rsidP="005D3C24">
            <w:pPr>
              <w:pStyle w:val="naisnod"/>
              <w:spacing w:before="0" w:after="0"/>
              <w:ind w:left="57" w:right="57"/>
              <w:rPr>
                <w:sz w:val="26"/>
                <w:szCs w:val="26"/>
              </w:rPr>
            </w:pPr>
            <w:r w:rsidRPr="007B4B24">
              <w:rPr>
                <w:sz w:val="26"/>
                <w:szCs w:val="26"/>
              </w:rPr>
              <w:t>Likumprojekts šo jomu neskar.</w:t>
            </w:r>
          </w:p>
        </w:tc>
      </w:tr>
    </w:tbl>
    <w:p w14:paraId="299BE481" w14:textId="77777777" w:rsidR="00D079D8" w:rsidRPr="007B4B24" w:rsidRDefault="00D079D8" w:rsidP="00F06FE2">
      <w:pPr>
        <w:pStyle w:val="naiskr"/>
        <w:spacing w:before="0" w:beforeAutospacing="0" w:after="0" w:afterAutospacing="0"/>
        <w:jc w:val="both"/>
        <w:rPr>
          <w:sz w:val="26"/>
          <w:szCs w:val="26"/>
        </w:rPr>
      </w:pPr>
    </w:p>
    <w:tbl>
      <w:tblPr>
        <w:tblW w:w="892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08"/>
        <w:gridCol w:w="2342"/>
        <w:gridCol w:w="6073"/>
      </w:tblGrid>
      <w:tr w:rsidR="007B4B24" w:rsidRPr="002615E6" w14:paraId="762567EC" w14:textId="77777777" w:rsidTr="002A69C0">
        <w:trPr>
          <w:tblCellSpacing w:w="0" w:type="dxa"/>
        </w:trPr>
        <w:tc>
          <w:tcPr>
            <w:tcW w:w="8923" w:type="dxa"/>
            <w:gridSpan w:val="3"/>
            <w:tcBorders>
              <w:top w:val="outset" w:sz="6" w:space="0" w:color="auto"/>
              <w:left w:val="outset" w:sz="6" w:space="0" w:color="auto"/>
              <w:bottom w:val="outset" w:sz="6" w:space="0" w:color="auto"/>
              <w:right w:val="outset" w:sz="6" w:space="0" w:color="auto"/>
            </w:tcBorders>
          </w:tcPr>
          <w:p w14:paraId="38A6E82A" w14:textId="77777777" w:rsidR="00F06FE2" w:rsidRPr="007B4B24" w:rsidRDefault="00F06FE2" w:rsidP="00BD4854">
            <w:pPr>
              <w:pStyle w:val="naisc"/>
              <w:jc w:val="both"/>
              <w:rPr>
                <w:sz w:val="26"/>
                <w:szCs w:val="26"/>
              </w:rPr>
            </w:pPr>
            <w:r w:rsidRPr="007B4B24">
              <w:rPr>
                <w:bCs/>
                <w:sz w:val="26"/>
                <w:szCs w:val="26"/>
              </w:rPr>
              <w:t>VII. Tiesību akta projekta izpildes nodrošināšana un tās ietekme uz institūcijām</w:t>
            </w:r>
          </w:p>
        </w:tc>
      </w:tr>
      <w:tr w:rsidR="00BA78B3" w:rsidRPr="002615E6" w14:paraId="5053CC8A" w14:textId="77777777" w:rsidTr="002A69C0">
        <w:trPr>
          <w:trHeight w:val="427"/>
          <w:tblCellSpacing w:w="0" w:type="dxa"/>
        </w:trPr>
        <w:tc>
          <w:tcPr>
            <w:tcW w:w="508" w:type="dxa"/>
            <w:tcBorders>
              <w:top w:val="outset" w:sz="6" w:space="0" w:color="auto"/>
              <w:left w:val="outset" w:sz="6" w:space="0" w:color="auto"/>
              <w:bottom w:val="outset" w:sz="6" w:space="0" w:color="auto"/>
              <w:right w:val="outset" w:sz="6" w:space="0" w:color="auto"/>
            </w:tcBorders>
          </w:tcPr>
          <w:p w14:paraId="1410D2AE" w14:textId="77777777" w:rsidR="00F06FE2" w:rsidRPr="00BA78B3" w:rsidRDefault="00F06FE2" w:rsidP="00BD4854">
            <w:pPr>
              <w:pStyle w:val="naiskr"/>
              <w:jc w:val="both"/>
              <w:rPr>
                <w:sz w:val="26"/>
                <w:szCs w:val="26"/>
              </w:rPr>
            </w:pPr>
            <w:r w:rsidRPr="00BA78B3">
              <w:rPr>
                <w:sz w:val="26"/>
                <w:szCs w:val="26"/>
              </w:rPr>
              <w:t> 1.</w:t>
            </w:r>
          </w:p>
        </w:tc>
        <w:tc>
          <w:tcPr>
            <w:tcW w:w="2342" w:type="dxa"/>
            <w:tcBorders>
              <w:top w:val="outset" w:sz="6" w:space="0" w:color="auto"/>
              <w:left w:val="outset" w:sz="6" w:space="0" w:color="auto"/>
              <w:bottom w:val="outset" w:sz="6" w:space="0" w:color="auto"/>
              <w:right w:val="outset" w:sz="6" w:space="0" w:color="auto"/>
            </w:tcBorders>
          </w:tcPr>
          <w:p w14:paraId="646F201F" w14:textId="77777777" w:rsidR="00F06FE2" w:rsidRPr="00BA78B3" w:rsidRDefault="00F06FE2" w:rsidP="00BD4854">
            <w:pPr>
              <w:pStyle w:val="naiskr"/>
              <w:jc w:val="both"/>
              <w:rPr>
                <w:sz w:val="26"/>
                <w:szCs w:val="26"/>
              </w:rPr>
            </w:pPr>
            <w:r w:rsidRPr="00BA78B3">
              <w:rPr>
                <w:sz w:val="26"/>
                <w:szCs w:val="26"/>
              </w:rPr>
              <w:t> Projekta izpildē iesaistītās institūcijas</w:t>
            </w:r>
          </w:p>
        </w:tc>
        <w:tc>
          <w:tcPr>
            <w:tcW w:w="6073" w:type="dxa"/>
            <w:tcBorders>
              <w:top w:val="outset" w:sz="6" w:space="0" w:color="auto"/>
              <w:left w:val="outset" w:sz="6" w:space="0" w:color="auto"/>
              <w:bottom w:val="outset" w:sz="6" w:space="0" w:color="auto"/>
              <w:right w:val="outset" w:sz="6" w:space="0" w:color="auto"/>
            </w:tcBorders>
          </w:tcPr>
          <w:p w14:paraId="163026F9" w14:textId="3F7FC041" w:rsidR="00F06FE2" w:rsidRPr="00BA78B3" w:rsidRDefault="00EC7649" w:rsidP="00BA78B3">
            <w:pPr>
              <w:pStyle w:val="naiskr"/>
              <w:jc w:val="both"/>
              <w:rPr>
                <w:sz w:val="26"/>
                <w:szCs w:val="26"/>
              </w:rPr>
            </w:pPr>
            <w:r w:rsidRPr="00BA78B3">
              <w:rPr>
                <w:sz w:val="26"/>
                <w:szCs w:val="26"/>
              </w:rPr>
              <w:t> </w:t>
            </w:r>
            <w:r w:rsidR="007B4B24" w:rsidRPr="00BA78B3">
              <w:rPr>
                <w:sz w:val="26"/>
                <w:szCs w:val="26"/>
              </w:rPr>
              <w:t>Finanšu ministrija (Valsts ieņēmumu dienests), Iekšlietu ministrija (Valsts policija, Valsts robežsardze</w:t>
            </w:r>
            <w:r w:rsidR="00BA78B3" w:rsidRPr="00BA78B3">
              <w:rPr>
                <w:sz w:val="26"/>
                <w:szCs w:val="26"/>
              </w:rPr>
              <w:t xml:space="preserve">), Labklājības ministrija (Valsts darba inspekcija), Zemkopības ministrija (Pārtikas un veterinārais dienests, </w:t>
            </w:r>
            <w:r w:rsidR="00BA78B3" w:rsidRPr="00BA78B3">
              <w:rPr>
                <w:sz w:val="26"/>
                <w:szCs w:val="26"/>
              </w:rPr>
              <w:lastRenderedPageBreak/>
              <w:t>Valsts meža dienests, Valsts augu aizsardzības dienests), Prokuratūra (Noziedzīgi iegūtu līdzekļu legalizācijas novēršanas dienests)</w:t>
            </w:r>
            <w:r w:rsidR="00773BF4">
              <w:rPr>
                <w:sz w:val="26"/>
                <w:szCs w:val="26"/>
              </w:rPr>
              <w:t>.</w:t>
            </w:r>
          </w:p>
        </w:tc>
      </w:tr>
      <w:tr w:rsidR="00BA78B3" w:rsidRPr="00BA78B3" w14:paraId="2E5D4941" w14:textId="77777777" w:rsidTr="002A69C0">
        <w:trPr>
          <w:trHeight w:val="463"/>
          <w:tblCellSpacing w:w="0" w:type="dxa"/>
        </w:trPr>
        <w:tc>
          <w:tcPr>
            <w:tcW w:w="508" w:type="dxa"/>
            <w:tcBorders>
              <w:top w:val="outset" w:sz="6" w:space="0" w:color="auto"/>
              <w:left w:val="outset" w:sz="6" w:space="0" w:color="auto"/>
              <w:bottom w:val="outset" w:sz="6" w:space="0" w:color="auto"/>
              <w:right w:val="outset" w:sz="6" w:space="0" w:color="auto"/>
            </w:tcBorders>
          </w:tcPr>
          <w:p w14:paraId="39DA98CF" w14:textId="77777777" w:rsidR="00F06FE2" w:rsidRPr="00BA78B3" w:rsidRDefault="00F06FE2" w:rsidP="00BD4854">
            <w:pPr>
              <w:pStyle w:val="naiskr"/>
              <w:jc w:val="both"/>
              <w:rPr>
                <w:sz w:val="26"/>
                <w:szCs w:val="26"/>
              </w:rPr>
            </w:pPr>
            <w:r w:rsidRPr="00BA78B3">
              <w:rPr>
                <w:sz w:val="26"/>
                <w:szCs w:val="26"/>
              </w:rPr>
              <w:lastRenderedPageBreak/>
              <w:t> 2.</w:t>
            </w:r>
          </w:p>
        </w:tc>
        <w:tc>
          <w:tcPr>
            <w:tcW w:w="2342" w:type="dxa"/>
            <w:tcBorders>
              <w:top w:val="outset" w:sz="6" w:space="0" w:color="auto"/>
              <w:left w:val="outset" w:sz="6" w:space="0" w:color="auto"/>
              <w:bottom w:val="outset" w:sz="6" w:space="0" w:color="auto"/>
              <w:right w:val="outset" w:sz="6" w:space="0" w:color="auto"/>
            </w:tcBorders>
          </w:tcPr>
          <w:p w14:paraId="12250C67" w14:textId="77777777" w:rsidR="00F06FE2" w:rsidRPr="00BA78B3" w:rsidRDefault="00F06FE2" w:rsidP="00BD4854">
            <w:pPr>
              <w:pStyle w:val="naiskr"/>
              <w:jc w:val="both"/>
              <w:rPr>
                <w:sz w:val="26"/>
                <w:szCs w:val="26"/>
              </w:rPr>
            </w:pPr>
            <w:r w:rsidRPr="00BA78B3">
              <w:rPr>
                <w:sz w:val="26"/>
                <w:szCs w:val="26"/>
              </w:rPr>
              <w:t> Projekta izpildes ietekme uz pārvaldes funkcijām</w:t>
            </w:r>
          </w:p>
        </w:tc>
        <w:tc>
          <w:tcPr>
            <w:tcW w:w="6073" w:type="dxa"/>
            <w:tcBorders>
              <w:top w:val="outset" w:sz="6" w:space="0" w:color="auto"/>
              <w:left w:val="outset" w:sz="6" w:space="0" w:color="auto"/>
              <w:bottom w:val="outset" w:sz="6" w:space="0" w:color="auto"/>
              <w:right w:val="outset" w:sz="6" w:space="0" w:color="auto"/>
            </w:tcBorders>
          </w:tcPr>
          <w:p w14:paraId="32597EAC" w14:textId="255883C3" w:rsidR="00F06FE2" w:rsidRPr="00BA78B3" w:rsidRDefault="00F06FE2" w:rsidP="00BD4854">
            <w:pPr>
              <w:pStyle w:val="naiskr"/>
              <w:jc w:val="both"/>
              <w:rPr>
                <w:sz w:val="26"/>
                <w:szCs w:val="26"/>
              </w:rPr>
            </w:pPr>
            <w:r w:rsidRPr="00BA78B3">
              <w:rPr>
                <w:sz w:val="26"/>
                <w:szCs w:val="26"/>
              </w:rPr>
              <w:t> </w:t>
            </w:r>
            <w:r w:rsidR="00BA78B3" w:rsidRPr="00BA78B3">
              <w:rPr>
                <w:sz w:val="26"/>
                <w:szCs w:val="26"/>
              </w:rPr>
              <w:t>Nav attiecināms.</w:t>
            </w:r>
          </w:p>
        </w:tc>
      </w:tr>
      <w:tr w:rsidR="00BA78B3" w:rsidRPr="00BA78B3" w14:paraId="45653C38" w14:textId="77777777" w:rsidTr="002A69C0">
        <w:trPr>
          <w:trHeight w:val="725"/>
          <w:tblCellSpacing w:w="0" w:type="dxa"/>
        </w:trPr>
        <w:tc>
          <w:tcPr>
            <w:tcW w:w="508" w:type="dxa"/>
            <w:tcBorders>
              <w:top w:val="outset" w:sz="6" w:space="0" w:color="auto"/>
              <w:left w:val="outset" w:sz="6" w:space="0" w:color="auto"/>
              <w:bottom w:val="outset" w:sz="6" w:space="0" w:color="auto"/>
              <w:right w:val="outset" w:sz="6" w:space="0" w:color="auto"/>
            </w:tcBorders>
          </w:tcPr>
          <w:p w14:paraId="4BD00201" w14:textId="77777777" w:rsidR="00F06FE2" w:rsidRPr="00BA78B3" w:rsidRDefault="00F06FE2" w:rsidP="00BD4854">
            <w:pPr>
              <w:pStyle w:val="naiskr"/>
              <w:jc w:val="both"/>
              <w:rPr>
                <w:sz w:val="26"/>
                <w:szCs w:val="26"/>
              </w:rPr>
            </w:pPr>
            <w:r w:rsidRPr="00BA78B3">
              <w:rPr>
                <w:sz w:val="26"/>
                <w:szCs w:val="26"/>
              </w:rPr>
              <w:t> 3.</w:t>
            </w:r>
          </w:p>
        </w:tc>
        <w:tc>
          <w:tcPr>
            <w:tcW w:w="2342" w:type="dxa"/>
            <w:tcBorders>
              <w:top w:val="outset" w:sz="6" w:space="0" w:color="auto"/>
              <w:left w:val="outset" w:sz="6" w:space="0" w:color="auto"/>
              <w:bottom w:val="outset" w:sz="6" w:space="0" w:color="auto"/>
              <w:right w:val="outset" w:sz="6" w:space="0" w:color="auto"/>
            </w:tcBorders>
          </w:tcPr>
          <w:p w14:paraId="05E9AD78" w14:textId="77777777" w:rsidR="00F06FE2" w:rsidRPr="00BA78B3" w:rsidRDefault="00F06FE2" w:rsidP="004468E0">
            <w:pPr>
              <w:pStyle w:val="naiskr"/>
              <w:spacing w:before="0" w:beforeAutospacing="0" w:after="0" w:afterAutospacing="0"/>
              <w:jc w:val="both"/>
              <w:rPr>
                <w:sz w:val="26"/>
                <w:szCs w:val="26"/>
              </w:rPr>
            </w:pPr>
            <w:r w:rsidRPr="00BA78B3">
              <w:rPr>
                <w:sz w:val="26"/>
                <w:szCs w:val="26"/>
              </w:rPr>
              <w:t> Projekta izpildes ietekme uz pārvaldes institucionālo struktūru.</w:t>
            </w:r>
          </w:p>
          <w:p w14:paraId="70B0848C" w14:textId="77777777" w:rsidR="00F06FE2" w:rsidRPr="00BA78B3" w:rsidRDefault="00F06FE2" w:rsidP="004468E0">
            <w:pPr>
              <w:pStyle w:val="naiskr"/>
              <w:spacing w:before="0" w:beforeAutospacing="0" w:after="0" w:afterAutospacing="0"/>
              <w:jc w:val="both"/>
              <w:rPr>
                <w:sz w:val="26"/>
                <w:szCs w:val="26"/>
              </w:rPr>
            </w:pPr>
            <w:r w:rsidRPr="00BA78B3">
              <w:rPr>
                <w:sz w:val="26"/>
                <w:szCs w:val="26"/>
              </w:rPr>
              <w:t>Jaunu institūciju izveide</w:t>
            </w:r>
          </w:p>
        </w:tc>
        <w:tc>
          <w:tcPr>
            <w:tcW w:w="6073" w:type="dxa"/>
            <w:tcBorders>
              <w:top w:val="outset" w:sz="6" w:space="0" w:color="auto"/>
              <w:left w:val="outset" w:sz="6" w:space="0" w:color="auto"/>
              <w:bottom w:val="outset" w:sz="6" w:space="0" w:color="auto"/>
              <w:right w:val="outset" w:sz="6" w:space="0" w:color="auto"/>
            </w:tcBorders>
          </w:tcPr>
          <w:p w14:paraId="3ED9D24A" w14:textId="1135068E" w:rsidR="00F06FE2" w:rsidRPr="00BA78B3" w:rsidRDefault="00F06FE2" w:rsidP="00BA78B3">
            <w:pPr>
              <w:pStyle w:val="naiskr"/>
              <w:jc w:val="both"/>
              <w:rPr>
                <w:sz w:val="26"/>
                <w:szCs w:val="26"/>
              </w:rPr>
            </w:pPr>
            <w:r w:rsidRPr="00BA78B3">
              <w:rPr>
                <w:sz w:val="26"/>
                <w:szCs w:val="26"/>
              </w:rPr>
              <w:t> </w:t>
            </w:r>
            <w:r w:rsidR="00BA78B3" w:rsidRPr="00BA78B3">
              <w:rPr>
                <w:sz w:val="26"/>
                <w:szCs w:val="26"/>
              </w:rPr>
              <w:t>Nav attiecināms.</w:t>
            </w:r>
          </w:p>
        </w:tc>
      </w:tr>
      <w:tr w:rsidR="00BA78B3" w:rsidRPr="00BA78B3" w14:paraId="7DEE6866" w14:textId="77777777" w:rsidTr="002A69C0">
        <w:trPr>
          <w:trHeight w:val="780"/>
          <w:tblCellSpacing w:w="0" w:type="dxa"/>
        </w:trPr>
        <w:tc>
          <w:tcPr>
            <w:tcW w:w="508" w:type="dxa"/>
            <w:tcBorders>
              <w:top w:val="outset" w:sz="6" w:space="0" w:color="auto"/>
              <w:left w:val="outset" w:sz="6" w:space="0" w:color="auto"/>
              <w:bottom w:val="outset" w:sz="6" w:space="0" w:color="auto"/>
              <w:right w:val="outset" w:sz="6" w:space="0" w:color="auto"/>
            </w:tcBorders>
          </w:tcPr>
          <w:p w14:paraId="57C41A4B" w14:textId="77777777" w:rsidR="00F06FE2" w:rsidRPr="00BA78B3" w:rsidRDefault="00F06FE2" w:rsidP="00BD4854">
            <w:pPr>
              <w:pStyle w:val="naiskr"/>
              <w:jc w:val="both"/>
              <w:rPr>
                <w:sz w:val="26"/>
                <w:szCs w:val="26"/>
              </w:rPr>
            </w:pPr>
            <w:r w:rsidRPr="00BA78B3">
              <w:rPr>
                <w:sz w:val="26"/>
                <w:szCs w:val="26"/>
              </w:rPr>
              <w:t> 4.</w:t>
            </w:r>
          </w:p>
        </w:tc>
        <w:tc>
          <w:tcPr>
            <w:tcW w:w="2342" w:type="dxa"/>
            <w:tcBorders>
              <w:top w:val="outset" w:sz="6" w:space="0" w:color="auto"/>
              <w:left w:val="outset" w:sz="6" w:space="0" w:color="auto"/>
              <w:bottom w:val="outset" w:sz="6" w:space="0" w:color="auto"/>
              <w:right w:val="outset" w:sz="6" w:space="0" w:color="auto"/>
            </w:tcBorders>
          </w:tcPr>
          <w:p w14:paraId="193182F2" w14:textId="77777777" w:rsidR="00F06FE2" w:rsidRPr="00BA78B3" w:rsidRDefault="00F06FE2" w:rsidP="004468E0">
            <w:pPr>
              <w:pStyle w:val="naiskr"/>
              <w:spacing w:before="0" w:beforeAutospacing="0" w:after="0" w:afterAutospacing="0"/>
              <w:jc w:val="both"/>
              <w:rPr>
                <w:sz w:val="26"/>
                <w:szCs w:val="26"/>
              </w:rPr>
            </w:pPr>
            <w:r w:rsidRPr="00BA78B3">
              <w:rPr>
                <w:sz w:val="26"/>
                <w:szCs w:val="26"/>
              </w:rPr>
              <w:t> Projekta izpildes ietekme uz pārvaldes institucionālo struktūru.</w:t>
            </w:r>
          </w:p>
          <w:p w14:paraId="1B792D45" w14:textId="77777777" w:rsidR="00F06FE2" w:rsidRPr="00BA78B3" w:rsidRDefault="00F06FE2" w:rsidP="004468E0">
            <w:pPr>
              <w:pStyle w:val="naiskr"/>
              <w:spacing w:before="0" w:beforeAutospacing="0" w:after="0" w:afterAutospacing="0"/>
              <w:jc w:val="both"/>
              <w:rPr>
                <w:sz w:val="26"/>
                <w:szCs w:val="26"/>
              </w:rPr>
            </w:pPr>
            <w:r w:rsidRPr="00BA78B3">
              <w:rPr>
                <w:sz w:val="26"/>
                <w:szCs w:val="26"/>
              </w:rPr>
              <w:t>Esošu institūciju likvidācija</w:t>
            </w:r>
          </w:p>
        </w:tc>
        <w:tc>
          <w:tcPr>
            <w:tcW w:w="6073" w:type="dxa"/>
            <w:tcBorders>
              <w:top w:val="outset" w:sz="6" w:space="0" w:color="auto"/>
              <w:left w:val="outset" w:sz="6" w:space="0" w:color="auto"/>
              <w:bottom w:val="outset" w:sz="6" w:space="0" w:color="auto"/>
              <w:right w:val="outset" w:sz="6" w:space="0" w:color="auto"/>
            </w:tcBorders>
          </w:tcPr>
          <w:p w14:paraId="12CA821E" w14:textId="41979F3E" w:rsidR="00F06FE2" w:rsidRPr="00BA78B3" w:rsidRDefault="00F06FE2" w:rsidP="00BD4854">
            <w:pPr>
              <w:pStyle w:val="naiskr"/>
              <w:jc w:val="both"/>
              <w:rPr>
                <w:sz w:val="26"/>
                <w:szCs w:val="26"/>
              </w:rPr>
            </w:pPr>
            <w:r w:rsidRPr="00BA78B3">
              <w:rPr>
                <w:sz w:val="26"/>
                <w:szCs w:val="26"/>
              </w:rPr>
              <w:t> </w:t>
            </w:r>
            <w:r w:rsidR="00BA78B3" w:rsidRPr="00BA78B3">
              <w:rPr>
                <w:sz w:val="26"/>
                <w:szCs w:val="26"/>
              </w:rPr>
              <w:t>Nav attiecināms.</w:t>
            </w:r>
          </w:p>
        </w:tc>
      </w:tr>
      <w:tr w:rsidR="00BA78B3" w:rsidRPr="00BA78B3" w14:paraId="1A0D400B" w14:textId="77777777" w:rsidTr="002A69C0">
        <w:trPr>
          <w:trHeight w:val="703"/>
          <w:tblCellSpacing w:w="0" w:type="dxa"/>
        </w:trPr>
        <w:tc>
          <w:tcPr>
            <w:tcW w:w="508" w:type="dxa"/>
            <w:tcBorders>
              <w:top w:val="outset" w:sz="6" w:space="0" w:color="auto"/>
              <w:left w:val="outset" w:sz="6" w:space="0" w:color="auto"/>
              <w:bottom w:val="outset" w:sz="6" w:space="0" w:color="auto"/>
              <w:right w:val="outset" w:sz="6" w:space="0" w:color="auto"/>
            </w:tcBorders>
          </w:tcPr>
          <w:p w14:paraId="3E281767" w14:textId="77777777" w:rsidR="00F06FE2" w:rsidRPr="00BA78B3" w:rsidRDefault="00F06FE2" w:rsidP="00BD4854">
            <w:pPr>
              <w:pStyle w:val="naiskr"/>
              <w:jc w:val="both"/>
              <w:rPr>
                <w:sz w:val="26"/>
                <w:szCs w:val="26"/>
              </w:rPr>
            </w:pPr>
            <w:r w:rsidRPr="00BA78B3">
              <w:rPr>
                <w:sz w:val="26"/>
                <w:szCs w:val="26"/>
              </w:rPr>
              <w:t> 5.</w:t>
            </w:r>
          </w:p>
        </w:tc>
        <w:tc>
          <w:tcPr>
            <w:tcW w:w="2342" w:type="dxa"/>
            <w:tcBorders>
              <w:top w:val="outset" w:sz="6" w:space="0" w:color="auto"/>
              <w:left w:val="outset" w:sz="6" w:space="0" w:color="auto"/>
              <w:bottom w:val="outset" w:sz="6" w:space="0" w:color="auto"/>
              <w:right w:val="outset" w:sz="6" w:space="0" w:color="auto"/>
            </w:tcBorders>
          </w:tcPr>
          <w:p w14:paraId="2316981F" w14:textId="77777777" w:rsidR="00F06FE2" w:rsidRPr="00BA78B3" w:rsidRDefault="00F06FE2" w:rsidP="004468E0">
            <w:pPr>
              <w:pStyle w:val="naiskr"/>
              <w:spacing w:before="0" w:beforeAutospacing="0" w:after="0" w:afterAutospacing="0"/>
              <w:jc w:val="both"/>
              <w:rPr>
                <w:sz w:val="26"/>
                <w:szCs w:val="26"/>
              </w:rPr>
            </w:pPr>
            <w:r w:rsidRPr="00BA78B3">
              <w:rPr>
                <w:sz w:val="26"/>
                <w:szCs w:val="26"/>
              </w:rPr>
              <w:t> Projekta izpildes ietekme uz pārvaldes institucionālo struktūru.</w:t>
            </w:r>
          </w:p>
          <w:p w14:paraId="34D69E9A" w14:textId="77777777" w:rsidR="00F06FE2" w:rsidRPr="00BA78B3" w:rsidRDefault="00F06FE2" w:rsidP="004468E0">
            <w:pPr>
              <w:pStyle w:val="naiskr"/>
              <w:spacing w:before="0" w:beforeAutospacing="0" w:after="0" w:afterAutospacing="0"/>
              <w:jc w:val="both"/>
              <w:rPr>
                <w:sz w:val="26"/>
                <w:szCs w:val="26"/>
              </w:rPr>
            </w:pPr>
            <w:r w:rsidRPr="00BA78B3">
              <w:rPr>
                <w:sz w:val="26"/>
                <w:szCs w:val="26"/>
              </w:rPr>
              <w:t>Esošu institūciju reorganizācija</w:t>
            </w:r>
          </w:p>
        </w:tc>
        <w:tc>
          <w:tcPr>
            <w:tcW w:w="6073" w:type="dxa"/>
            <w:tcBorders>
              <w:top w:val="outset" w:sz="6" w:space="0" w:color="auto"/>
              <w:left w:val="outset" w:sz="6" w:space="0" w:color="auto"/>
              <w:bottom w:val="outset" w:sz="6" w:space="0" w:color="auto"/>
              <w:right w:val="outset" w:sz="6" w:space="0" w:color="auto"/>
            </w:tcBorders>
          </w:tcPr>
          <w:p w14:paraId="288F3C69" w14:textId="14B14D68" w:rsidR="00F06FE2" w:rsidRPr="00BA78B3" w:rsidRDefault="00F06FE2" w:rsidP="00BD4854">
            <w:pPr>
              <w:pStyle w:val="naiskr"/>
              <w:jc w:val="both"/>
              <w:rPr>
                <w:sz w:val="26"/>
                <w:szCs w:val="26"/>
              </w:rPr>
            </w:pPr>
            <w:r w:rsidRPr="00BA78B3">
              <w:rPr>
                <w:sz w:val="26"/>
                <w:szCs w:val="26"/>
              </w:rPr>
              <w:t> </w:t>
            </w:r>
            <w:r w:rsidR="00BA78B3" w:rsidRPr="00BA78B3">
              <w:rPr>
                <w:sz w:val="26"/>
                <w:szCs w:val="26"/>
              </w:rPr>
              <w:t>Nav attiecināms.</w:t>
            </w:r>
          </w:p>
        </w:tc>
      </w:tr>
      <w:tr w:rsidR="00BA78B3" w:rsidRPr="00BA78B3" w14:paraId="6A909746" w14:textId="77777777" w:rsidTr="002A69C0">
        <w:trPr>
          <w:trHeight w:val="476"/>
          <w:tblCellSpacing w:w="0" w:type="dxa"/>
        </w:trPr>
        <w:tc>
          <w:tcPr>
            <w:tcW w:w="508" w:type="dxa"/>
            <w:tcBorders>
              <w:top w:val="outset" w:sz="6" w:space="0" w:color="auto"/>
              <w:left w:val="outset" w:sz="6" w:space="0" w:color="auto"/>
              <w:bottom w:val="outset" w:sz="6" w:space="0" w:color="auto"/>
              <w:right w:val="outset" w:sz="6" w:space="0" w:color="auto"/>
            </w:tcBorders>
          </w:tcPr>
          <w:p w14:paraId="095EACCF" w14:textId="77777777" w:rsidR="00F06FE2" w:rsidRPr="00BA78B3" w:rsidRDefault="00F06FE2" w:rsidP="004468E0">
            <w:pPr>
              <w:pStyle w:val="naiskr"/>
              <w:spacing w:before="0" w:beforeAutospacing="0" w:after="0" w:afterAutospacing="0"/>
              <w:jc w:val="both"/>
              <w:rPr>
                <w:sz w:val="26"/>
                <w:szCs w:val="26"/>
              </w:rPr>
            </w:pPr>
            <w:r w:rsidRPr="00BA78B3">
              <w:rPr>
                <w:sz w:val="26"/>
                <w:szCs w:val="26"/>
              </w:rPr>
              <w:t> 6.</w:t>
            </w:r>
          </w:p>
        </w:tc>
        <w:tc>
          <w:tcPr>
            <w:tcW w:w="2342" w:type="dxa"/>
            <w:tcBorders>
              <w:top w:val="outset" w:sz="6" w:space="0" w:color="auto"/>
              <w:left w:val="outset" w:sz="6" w:space="0" w:color="auto"/>
              <w:bottom w:val="outset" w:sz="6" w:space="0" w:color="auto"/>
              <w:right w:val="outset" w:sz="6" w:space="0" w:color="auto"/>
            </w:tcBorders>
          </w:tcPr>
          <w:p w14:paraId="10182744" w14:textId="77777777" w:rsidR="00F06FE2" w:rsidRPr="00BA78B3" w:rsidRDefault="00F06FE2" w:rsidP="004468E0">
            <w:pPr>
              <w:pStyle w:val="naiskr"/>
              <w:spacing w:before="0" w:beforeAutospacing="0" w:after="0" w:afterAutospacing="0"/>
              <w:jc w:val="both"/>
              <w:rPr>
                <w:sz w:val="26"/>
                <w:szCs w:val="26"/>
              </w:rPr>
            </w:pPr>
            <w:r w:rsidRPr="00BA78B3">
              <w:rPr>
                <w:sz w:val="26"/>
                <w:szCs w:val="26"/>
              </w:rPr>
              <w:t> Cita informācija</w:t>
            </w:r>
          </w:p>
        </w:tc>
        <w:tc>
          <w:tcPr>
            <w:tcW w:w="6073" w:type="dxa"/>
            <w:tcBorders>
              <w:top w:val="outset" w:sz="6" w:space="0" w:color="auto"/>
              <w:left w:val="outset" w:sz="6" w:space="0" w:color="auto"/>
              <w:bottom w:val="outset" w:sz="6" w:space="0" w:color="auto"/>
              <w:right w:val="outset" w:sz="6" w:space="0" w:color="auto"/>
            </w:tcBorders>
          </w:tcPr>
          <w:p w14:paraId="09A719AC" w14:textId="77777777" w:rsidR="00F06FE2" w:rsidRPr="00BA78B3" w:rsidRDefault="00F06FE2" w:rsidP="004468E0">
            <w:pPr>
              <w:pStyle w:val="naiskr"/>
              <w:spacing w:before="0" w:beforeAutospacing="0" w:after="0" w:afterAutospacing="0"/>
              <w:jc w:val="both"/>
              <w:rPr>
                <w:sz w:val="26"/>
                <w:szCs w:val="26"/>
              </w:rPr>
            </w:pPr>
            <w:r w:rsidRPr="00BA78B3">
              <w:rPr>
                <w:sz w:val="26"/>
                <w:szCs w:val="26"/>
              </w:rPr>
              <w:t> Nav.</w:t>
            </w:r>
          </w:p>
        </w:tc>
      </w:tr>
    </w:tbl>
    <w:p w14:paraId="480856AF" w14:textId="77777777" w:rsidR="00F06FE2" w:rsidRPr="007B4B24" w:rsidRDefault="00F06FE2" w:rsidP="00F06FE2">
      <w:pPr>
        <w:jc w:val="both"/>
        <w:rPr>
          <w:sz w:val="26"/>
          <w:szCs w:val="26"/>
          <w:lang w:val="lv-LV"/>
        </w:rPr>
      </w:pPr>
    </w:p>
    <w:p w14:paraId="02F253E4" w14:textId="77777777" w:rsidR="00F06FE2" w:rsidRDefault="00F06FE2" w:rsidP="00F06FE2">
      <w:pPr>
        <w:jc w:val="both"/>
        <w:rPr>
          <w:sz w:val="26"/>
          <w:szCs w:val="26"/>
          <w:lang w:val="lv-LV"/>
        </w:rPr>
      </w:pPr>
    </w:p>
    <w:p w14:paraId="4FF00C50" w14:textId="77777777" w:rsidR="00AF33FD" w:rsidRPr="007B4B24" w:rsidRDefault="00AF33FD" w:rsidP="00F06FE2">
      <w:pPr>
        <w:jc w:val="both"/>
        <w:rPr>
          <w:sz w:val="26"/>
          <w:szCs w:val="26"/>
          <w:lang w:val="lv-LV"/>
        </w:rPr>
      </w:pPr>
    </w:p>
    <w:p w14:paraId="5D4ADDF9" w14:textId="26DA0384" w:rsidR="001B7E90" w:rsidRPr="001B7E90" w:rsidRDefault="001B7E90" w:rsidP="001B7E90">
      <w:pPr>
        <w:pStyle w:val="naisf"/>
        <w:spacing w:before="0" w:after="0"/>
        <w:rPr>
          <w:sz w:val="26"/>
          <w:szCs w:val="26"/>
        </w:rPr>
      </w:pPr>
      <w:r>
        <w:rPr>
          <w:sz w:val="26"/>
          <w:szCs w:val="26"/>
        </w:rPr>
        <w:tab/>
      </w:r>
      <w:r w:rsidRPr="001B7E90">
        <w:rPr>
          <w:sz w:val="26"/>
          <w:szCs w:val="26"/>
        </w:rPr>
        <w:t xml:space="preserve">Finanšu ministra vietā – </w:t>
      </w:r>
    </w:p>
    <w:p w14:paraId="787B5811" w14:textId="46E2AC3F" w:rsidR="00105A03" w:rsidRPr="007B4B24" w:rsidRDefault="001B7E90" w:rsidP="001B7E90">
      <w:pPr>
        <w:pStyle w:val="naisf"/>
        <w:spacing w:before="0" w:after="0"/>
        <w:ind w:firstLine="0"/>
        <w:rPr>
          <w:sz w:val="26"/>
          <w:szCs w:val="26"/>
        </w:rPr>
      </w:pPr>
      <w:r>
        <w:rPr>
          <w:sz w:val="26"/>
          <w:szCs w:val="26"/>
        </w:rPr>
        <w:tab/>
      </w:r>
      <w:r w:rsidRPr="001B7E90">
        <w:rPr>
          <w:sz w:val="26"/>
          <w:szCs w:val="26"/>
        </w:rPr>
        <w:t>aizsardzības ministrs</w:t>
      </w:r>
      <w:r w:rsidRPr="001B7E90">
        <w:rPr>
          <w:sz w:val="26"/>
          <w:szCs w:val="26"/>
        </w:rPr>
        <w:tab/>
      </w:r>
      <w:r w:rsidRPr="001B7E90">
        <w:rPr>
          <w:sz w:val="26"/>
          <w:szCs w:val="26"/>
        </w:rPr>
        <w:tab/>
      </w:r>
      <w:r w:rsidRPr="001B7E90">
        <w:rPr>
          <w:sz w:val="26"/>
          <w:szCs w:val="26"/>
        </w:rPr>
        <w:tab/>
      </w:r>
      <w:r w:rsidRPr="001B7E90">
        <w:rPr>
          <w:sz w:val="26"/>
          <w:szCs w:val="26"/>
        </w:rPr>
        <w:tab/>
      </w:r>
      <w:r w:rsidRPr="001B7E90">
        <w:rPr>
          <w:sz w:val="26"/>
          <w:szCs w:val="26"/>
        </w:rPr>
        <w:tab/>
      </w:r>
      <w:r w:rsidRPr="001B7E90">
        <w:rPr>
          <w:sz w:val="26"/>
          <w:szCs w:val="26"/>
        </w:rPr>
        <w:tab/>
        <w:t>A.Pabriks</w:t>
      </w:r>
    </w:p>
    <w:p w14:paraId="75BB983B" w14:textId="77777777" w:rsidR="00CF0637" w:rsidRPr="007B4B24" w:rsidRDefault="00CF0637" w:rsidP="00F06FE2">
      <w:pPr>
        <w:jc w:val="both"/>
        <w:rPr>
          <w:sz w:val="26"/>
          <w:szCs w:val="26"/>
          <w:lang w:val="lv-LV"/>
        </w:rPr>
      </w:pPr>
    </w:p>
    <w:p w14:paraId="38CBFFC0" w14:textId="77777777" w:rsidR="00CF0637" w:rsidRDefault="00CF0637" w:rsidP="00F06FE2">
      <w:pPr>
        <w:jc w:val="both"/>
        <w:rPr>
          <w:sz w:val="26"/>
          <w:szCs w:val="26"/>
          <w:lang w:val="lv-LV"/>
        </w:rPr>
      </w:pPr>
    </w:p>
    <w:p w14:paraId="13D1262F" w14:textId="77777777" w:rsidR="001B7E90" w:rsidRDefault="001B7E90" w:rsidP="00F06FE2">
      <w:pPr>
        <w:jc w:val="both"/>
        <w:rPr>
          <w:sz w:val="26"/>
          <w:szCs w:val="26"/>
          <w:lang w:val="lv-LV"/>
        </w:rPr>
      </w:pPr>
    </w:p>
    <w:p w14:paraId="59B2A37A" w14:textId="77777777" w:rsidR="001B7E90" w:rsidRDefault="001B7E90" w:rsidP="00F06FE2">
      <w:pPr>
        <w:jc w:val="both"/>
        <w:rPr>
          <w:sz w:val="26"/>
          <w:szCs w:val="26"/>
          <w:lang w:val="lv-LV"/>
        </w:rPr>
      </w:pPr>
    </w:p>
    <w:p w14:paraId="35366752" w14:textId="77777777" w:rsidR="001B7E90" w:rsidRDefault="001B7E90" w:rsidP="00F06FE2">
      <w:pPr>
        <w:jc w:val="both"/>
        <w:rPr>
          <w:sz w:val="26"/>
          <w:szCs w:val="26"/>
          <w:lang w:val="lv-LV"/>
        </w:rPr>
      </w:pPr>
    </w:p>
    <w:p w14:paraId="03269321" w14:textId="77777777" w:rsidR="001B7E90" w:rsidRDefault="001B7E90" w:rsidP="00F06FE2">
      <w:pPr>
        <w:jc w:val="both"/>
        <w:rPr>
          <w:sz w:val="26"/>
          <w:szCs w:val="26"/>
          <w:lang w:val="lv-LV"/>
        </w:rPr>
      </w:pPr>
      <w:bookmarkStart w:id="2" w:name="_GoBack"/>
      <w:bookmarkEnd w:id="2"/>
    </w:p>
    <w:p w14:paraId="79E70066" w14:textId="77777777" w:rsidR="001B7E90" w:rsidRDefault="001B7E90" w:rsidP="00F06FE2">
      <w:pPr>
        <w:jc w:val="both"/>
        <w:rPr>
          <w:sz w:val="26"/>
          <w:szCs w:val="26"/>
          <w:lang w:val="lv-LV"/>
        </w:rPr>
      </w:pPr>
    </w:p>
    <w:p w14:paraId="2E0737BA" w14:textId="77777777" w:rsidR="001B7E90" w:rsidRPr="007B4B24" w:rsidRDefault="001B7E90" w:rsidP="00F06FE2">
      <w:pPr>
        <w:jc w:val="both"/>
        <w:rPr>
          <w:sz w:val="26"/>
          <w:szCs w:val="26"/>
          <w:lang w:val="lv-LV"/>
        </w:rPr>
      </w:pPr>
    </w:p>
    <w:p w14:paraId="3758A7B6" w14:textId="77777777" w:rsidR="00F06FE2" w:rsidRPr="007B4B24" w:rsidRDefault="00F06FE2" w:rsidP="00F06FE2">
      <w:pPr>
        <w:jc w:val="both"/>
        <w:rPr>
          <w:sz w:val="26"/>
          <w:szCs w:val="26"/>
          <w:lang w:val="lv-LV"/>
        </w:rPr>
      </w:pPr>
    </w:p>
    <w:p w14:paraId="5F26C87B" w14:textId="7D09408A" w:rsidR="00F06FE2" w:rsidRPr="001B7E90" w:rsidRDefault="007B4B24" w:rsidP="00F06FE2">
      <w:pPr>
        <w:jc w:val="both"/>
        <w:rPr>
          <w:sz w:val="20"/>
          <w:szCs w:val="20"/>
          <w:lang w:val="lv-LV"/>
        </w:rPr>
      </w:pPr>
      <w:r w:rsidRPr="001B7E90">
        <w:rPr>
          <w:sz w:val="20"/>
          <w:szCs w:val="20"/>
          <w:lang w:val="lv-LV"/>
        </w:rPr>
        <w:t>1</w:t>
      </w:r>
      <w:r w:rsidR="00D551DC">
        <w:rPr>
          <w:sz w:val="20"/>
          <w:szCs w:val="20"/>
          <w:lang w:val="lv-LV"/>
        </w:rPr>
        <w:t>2</w:t>
      </w:r>
      <w:r w:rsidRPr="001B7E90">
        <w:rPr>
          <w:sz w:val="20"/>
          <w:szCs w:val="20"/>
          <w:lang w:val="lv-LV"/>
        </w:rPr>
        <w:t>.11</w:t>
      </w:r>
      <w:r w:rsidR="00F06FE2" w:rsidRPr="001B7E90">
        <w:rPr>
          <w:sz w:val="20"/>
          <w:szCs w:val="20"/>
          <w:lang w:val="lv-LV"/>
        </w:rPr>
        <w:t xml:space="preserve">.2013. </w:t>
      </w:r>
      <w:r w:rsidRPr="001B7E90">
        <w:rPr>
          <w:sz w:val="20"/>
          <w:szCs w:val="20"/>
          <w:lang w:val="lv-LV"/>
        </w:rPr>
        <w:t>1</w:t>
      </w:r>
      <w:r w:rsidR="001B7E90" w:rsidRPr="001B7E90">
        <w:rPr>
          <w:sz w:val="20"/>
          <w:szCs w:val="20"/>
          <w:lang w:val="lv-LV"/>
        </w:rPr>
        <w:t>1</w:t>
      </w:r>
      <w:r w:rsidRPr="001B7E90">
        <w:rPr>
          <w:sz w:val="20"/>
          <w:szCs w:val="20"/>
          <w:lang w:val="lv-LV"/>
        </w:rPr>
        <w:t>:30</w:t>
      </w:r>
      <w:r w:rsidR="00F06FE2" w:rsidRPr="001B7E90">
        <w:rPr>
          <w:sz w:val="20"/>
          <w:szCs w:val="20"/>
          <w:lang w:val="lv-LV"/>
        </w:rPr>
        <w:t>.</w:t>
      </w:r>
    </w:p>
    <w:p w14:paraId="6DE60EF1" w14:textId="12ED4690" w:rsidR="00F06FE2" w:rsidRPr="001B7E90" w:rsidRDefault="001B7E90" w:rsidP="00F06FE2">
      <w:pPr>
        <w:jc w:val="both"/>
        <w:rPr>
          <w:sz w:val="20"/>
          <w:szCs w:val="20"/>
          <w:lang w:val="lv-LV"/>
        </w:rPr>
      </w:pPr>
      <w:r w:rsidRPr="001B7E90">
        <w:rPr>
          <w:sz w:val="20"/>
          <w:szCs w:val="20"/>
          <w:lang w:val="lv-LV"/>
        </w:rPr>
        <w:t>1776</w:t>
      </w:r>
    </w:p>
    <w:p w14:paraId="2DD821D9" w14:textId="4B0389EB" w:rsidR="00F06FE2" w:rsidRPr="001B7E90" w:rsidRDefault="007B4B24" w:rsidP="00F06FE2">
      <w:pPr>
        <w:pStyle w:val="HTMLPreformatted"/>
        <w:jc w:val="both"/>
        <w:rPr>
          <w:rFonts w:ascii="Times New Roman" w:eastAsia="Times New Roman" w:hAnsi="Times New Roman" w:cs="Times New Roman"/>
        </w:rPr>
      </w:pPr>
      <w:r w:rsidRPr="001B7E90">
        <w:rPr>
          <w:rFonts w:ascii="Times New Roman" w:eastAsia="Times New Roman" w:hAnsi="Times New Roman" w:cs="Times New Roman"/>
        </w:rPr>
        <w:t>Edgars Šidlovskis</w:t>
      </w:r>
      <w:r w:rsidR="00A25C50" w:rsidRPr="001B7E90">
        <w:rPr>
          <w:rFonts w:ascii="Times New Roman" w:eastAsia="Times New Roman" w:hAnsi="Times New Roman" w:cs="Times New Roman"/>
        </w:rPr>
        <w:t>, 67083</w:t>
      </w:r>
      <w:r w:rsidRPr="001B7E90">
        <w:rPr>
          <w:rFonts w:ascii="Times New Roman" w:eastAsia="Times New Roman" w:hAnsi="Times New Roman" w:cs="Times New Roman"/>
        </w:rPr>
        <w:t>894</w:t>
      </w:r>
    </w:p>
    <w:p w14:paraId="579743B1" w14:textId="5A0585F0" w:rsidR="00F06FE2" w:rsidRPr="001B7E90" w:rsidRDefault="00A8254F" w:rsidP="00F06FE2">
      <w:pPr>
        <w:jc w:val="both"/>
        <w:rPr>
          <w:sz w:val="20"/>
          <w:szCs w:val="20"/>
          <w:lang w:val="lv-LV"/>
        </w:rPr>
      </w:pPr>
      <w:hyperlink r:id="rId8" w:history="1">
        <w:r w:rsidR="007B4B24" w:rsidRPr="001B7E90">
          <w:rPr>
            <w:rStyle w:val="Hyperlink"/>
            <w:color w:val="auto"/>
            <w:sz w:val="20"/>
            <w:szCs w:val="20"/>
            <w:lang w:val="lv-LV"/>
          </w:rPr>
          <w:t>Edgars.Sidlovskis@fm.gov.lv</w:t>
        </w:r>
      </w:hyperlink>
    </w:p>
    <w:sectPr w:rsidR="00F06FE2" w:rsidRPr="001B7E90" w:rsidSect="002A69C0">
      <w:headerReference w:type="even" r:id="rId9"/>
      <w:headerReference w:type="default" r:id="rId10"/>
      <w:footerReference w:type="default" r:id="rId11"/>
      <w:footerReference w:type="first" r:id="rId12"/>
      <w:pgSz w:w="11906" w:h="16838" w:code="9"/>
      <w:pgMar w:top="1077" w:right="1133" w:bottom="1134" w:left="1701" w:header="70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9551E" w14:textId="77777777" w:rsidR="00A8254F" w:rsidRDefault="00A8254F" w:rsidP="00316778">
      <w:r>
        <w:separator/>
      </w:r>
    </w:p>
  </w:endnote>
  <w:endnote w:type="continuationSeparator" w:id="0">
    <w:p w14:paraId="15BD5DEF" w14:textId="77777777" w:rsidR="00A8254F" w:rsidRDefault="00A8254F" w:rsidP="0031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31F84" w14:textId="1B7056E5" w:rsidR="00AC700D" w:rsidRPr="007B4B24" w:rsidRDefault="00FE74FB" w:rsidP="00753601">
    <w:pPr>
      <w:rPr>
        <w:sz w:val="22"/>
        <w:szCs w:val="22"/>
      </w:rPr>
    </w:pPr>
    <w:r w:rsidRPr="007B4B24">
      <w:rPr>
        <w:sz w:val="22"/>
        <w:szCs w:val="22"/>
        <w:lang w:val="lv-LV"/>
      </w:rPr>
      <w:t>FMAnot_</w:t>
    </w:r>
    <w:r w:rsidR="007B4B24" w:rsidRPr="007B4B24">
      <w:rPr>
        <w:sz w:val="22"/>
        <w:szCs w:val="22"/>
        <w:lang w:val="lv-LV"/>
      </w:rPr>
      <w:t>12112013</w:t>
    </w:r>
    <w:r w:rsidRPr="007B4B24">
      <w:rPr>
        <w:sz w:val="22"/>
        <w:szCs w:val="22"/>
        <w:lang w:val="lv-LV"/>
      </w:rPr>
      <w:t xml:space="preserve">; </w:t>
    </w:r>
    <w:r w:rsidR="007B4B24" w:rsidRPr="007B4B24">
      <w:rPr>
        <w:sz w:val="22"/>
        <w:szCs w:val="22"/>
        <w:lang w:val="lv-LV"/>
      </w:rPr>
      <w:t>Rīkojuma projekta „Par ēnu ekonomikas apkarošanas pasākumu īstenošanā iesaistīto institūciju amatpersonu darbinieku motivēšanu un apropriācijas palielinājumam novirzāmo finansējuma apjomu”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DC0AB" w14:textId="6F644285" w:rsidR="00AC700D" w:rsidRPr="00D41C45" w:rsidRDefault="00DA1E51" w:rsidP="00014D26">
    <w:pPr>
      <w:pStyle w:val="Footer"/>
      <w:jc w:val="both"/>
      <w:rPr>
        <w:sz w:val="22"/>
        <w:szCs w:val="22"/>
        <w:lang w:val="lv-LV"/>
      </w:rPr>
    </w:pPr>
    <w:r w:rsidRPr="00DA1E51">
      <w:rPr>
        <w:sz w:val="22"/>
        <w:szCs w:val="22"/>
        <w:lang w:val="lv-LV"/>
      </w:rPr>
      <w:t>FMAnot_12112013</w:t>
    </w:r>
    <w:r w:rsidR="00FE74FB">
      <w:rPr>
        <w:sz w:val="22"/>
        <w:szCs w:val="22"/>
        <w:lang w:val="lv-LV"/>
      </w:rPr>
      <w:t xml:space="preserve">; </w:t>
    </w:r>
    <w:r w:rsidR="007B4B24" w:rsidRPr="007B4B24">
      <w:rPr>
        <w:sz w:val="22"/>
        <w:szCs w:val="22"/>
        <w:lang w:val="lv-LV"/>
      </w:rPr>
      <w:t>Rīkojuma projekta „Par ēnu ekonomikas apkarošanas pasākumu īstenošanā iesaistīto institūciju amatpersonu darbinieku motivēšanu un apropriācijas palielinājumam novirzāmo finansējuma apjomu”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D72F0" w14:textId="77777777" w:rsidR="00A8254F" w:rsidRDefault="00A8254F" w:rsidP="00316778">
      <w:r>
        <w:separator/>
      </w:r>
    </w:p>
  </w:footnote>
  <w:footnote w:type="continuationSeparator" w:id="0">
    <w:p w14:paraId="6061122F" w14:textId="77777777" w:rsidR="00A8254F" w:rsidRDefault="00A8254F" w:rsidP="00316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970B0" w14:textId="77777777" w:rsidR="00AC700D" w:rsidRDefault="00FE74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F5032E" w14:textId="77777777" w:rsidR="00AC700D" w:rsidRDefault="00A825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F3E0E" w14:textId="77777777" w:rsidR="00AC700D" w:rsidRPr="00D41C45" w:rsidRDefault="00FE74FB">
    <w:pPr>
      <w:pStyle w:val="Header"/>
      <w:framePr w:wrap="around" w:vAnchor="text" w:hAnchor="margin" w:xAlign="center" w:y="1"/>
      <w:rPr>
        <w:rStyle w:val="PageNumber"/>
        <w:sz w:val="22"/>
        <w:szCs w:val="22"/>
      </w:rPr>
    </w:pPr>
    <w:r w:rsidRPr="00D41C45">
      <w:rPr>
        <w:rStyle w:val="PageNumber"/>
        <w:sz w:val="22"/>
        <w:szCs w:val="22"/>
      </w:rPr>
      <w:fldChar w:fldCharType="begin"/>
    </w:r>
    <w:r w:rsidRPr="00D41C45">
      <w:rPr>
        <w:rStyle w:val="PageNumber"/>
        <w:sz w:val="22"/>
        <w:szCs w:val="22"/>
      </w:rPr>
      <w:instrText xml:space="preserve">PAGE  </w:instrText>
    </w:r>
    <w:r w:rsidRPr="00D41C45">
      <w:rPr>
        <w:rStyle w:val="PageNumber"/>
        <w:sz w:val="22"/>
        <w:szCs w:val="22"/>
      </w:rPr>
      <w:fldChar w:fldCharType="separate"/>
    </w:r>
    <w:r w:rsidR="00DA1E51">
      <w:rPr>
        <w:rStyle w:val="PageNumber"/>
        <w:noProof/>
        <w:sz w:val="22"/>
        <w:szCs w:val="22"/>
      </w:rPr>
      <w:t>7</w:t>
    </w:r>
    <w:r w:rsidRPr="00D41C45">
      <w:rPr>
        <w:rStyle w:val="PageNumber"/>
        <w:sz w:val="22"/>
        <w:szCs w:val="22"/>
      </w:rPr>
      <w:fldChar w:fldCharType="end"/>
    </w:r>
  </w:p>
  <w:p w14:paraId="1BAC793A" w14:textId="77777777" w:rsidR="00AC700D" w:rsidRDefault="00A825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A091B"/>
    <w:multiLevelType w:val="hybridMultilevel"/>
    <w:tmpl w:val="BADC1968"/>
    <w:lvl w:ilvl="0" w:tplc="F8CA25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464736E"/>
    <w:multiLevelType w:val="hybridMultilevel"/>
    <w:tmpl w:val="0ACA34A6"/>
    <w:lvl w:ilvl="0" w:tplc="BC300998">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35D44903"/>
    <w:multiLevelType w:val="hybridMultilevel"/>
    <w:tmpl w:val="C87E0580"/>
    <w:lvl w:ilvl="0" w:tplc="B026534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8EC6F7E"/>
    <w:multiLevelType w:val="hybridMultilevel"/>
    <w:tmpl w:val="1F80C5E0"/>
    <w:lvl w:ilvl="0" w:tplc="925656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4E1A0873"/>
    <w:multiLevelType w:val="hybridMultilevel"/>
    <w:tmpl w:val="5A0870B0"/>
    <w:lvl w:ilvl="0" w:tplc="F21484BA">
      <w:start w:val="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nsid w:val="50546007"/>
    <w:multiLevelType w:val="hybridMultilevel"/>
    <w:tmpl w:val="6DC808BE"/>
    <w:lvl w:ilvl="0" w:tplc="A926A37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7F43BEA"/>
    <w:multiLevelType w:val="hybridMultilevel"/>
    <w:tmpl w:val="014C081A"/>
    <w:lvl w:ilvl="0" w:tplc="4EFC962E">
      <w:start w:val="2"/>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70B773CA"/>
    <w:multiLevelType w:val="hybridMultilevel"/>
    <w:tmpl w:val="4E64E9FA"/>
    <w:lvl w:ilvl="0" w:tplc="15BACDB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74BC27CE"/>
    <w:multiLevelType w:val="hybridMultilevel"/>
    <w:tmpl w:val="77A22380"/>
    <w:lvl w:ilvl="0" w:tplc="8F180A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78EE0C87"/>
    <w:multiLevelType w:val="hybridMultilevel"/>
    <w:tmpl w:val="0ACA34A6"/>
    <w:lvl w:ilvl="0" w:tplc="BC300998">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793E20E7"/>
    <w:multiLevelType w:val="hybridMultilevel"/>
    <w:tmpl w:val="E102A41E"/>
    <w:lvl w:ilvl="0" w:tplc="4230A8F8">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9C96E09"/>
    <w:multiLevelType w:val="hybridMultilevel"/>
    <w:tmpl w:val="5678AA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6"/>
  </w:num>
  <w:num w:numId="5">
    <w:abstractNumId w:val="11"/>
  </w:num>
  <w:num w:numId="6">
    <w:abstractNumId w:val="8"/>
  </w:num>
  <w:num w:numId="7">
    <w:abstractNumId w:val="7"/>
  </w:num>
  <w:num w:numId="8">
    <w:abstractNumId w:val="0"/>
  </w:num>
  <w:num w:numId="9">
    <w:abstractNumId w:val="3"/>
  </w:num>
  <w:num w:numId="10">
    <w:abstractNumId w:val="2"/>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FE2"/>
    <w:rsid w:val="00015333"/>
    <w:rsid w:val="00040611"/>
    <w:rsid w:val="000522D9"/>
    <w:rsid w:val="00075847"/>
    <w:rsid w:val="00076684"/>
    <w:rsid w:val="000802F8"/>
    <w:rsid w:val="00092F82"/>
    <w:rsid w:val="000A5C48"/>
    <w:rsid w:val="000B1E5D"/>
    <w:rsid w:val="000C16F3"/>
    <w:rsid w:val="000C683C"/>
    <w:rsid w:val="000F26EF"/>
    <w:rsid w:val="00105A03"/>
    <w:rsid w:val="0016229D"/>
    <w:rsid w:val="0016582E"/>
    <w:rsid w:val="00176F97"/>
    <w:rsid w:val="001B4906"/>
    <w:rsid w:val="001B7E90"/>
    <w:rsid w:val="001F4A6D"/>
    <w:rsid w:val="00256A9B"/>
    <w:rsid w:val="002615E6"/>
    <w:rsid w:val="002709B7"/>
    <w:rsid w:val="00276E0F"/>
    <w:rsid w:val="00282510"/>
    <w:rsid w:val="00286BAE"/>
    <w:rsid w:val="00291FC8"/>
    <w:rsid w:val="002A018F"/>
    <w:rsid w:val="002A69C0"/>
    <w:rsid w:val="002B48A4"/>
    <w:rsid w:val="002D4DD5"/>
    <w:rsid w:val="00316778"/>
    <w:rsid w:val="00333A7C"/>
    <w:rsid w:val="003C5112"/>
    <w:rsid w:val="003C7861"/>
    <w:rsid w:val="004370AF"/>
    <w:rsid w:val="004468E0"/>
    <w:rsid w:val="0046583B"/>
    <w:rsid w:val="00470E0B"/>
    <w:rsid w:val="004C4843"/>
    <w:rsid w:val="004D56C4"/>
    <w:rsid w:val="00504AE2"/>
    <w:rsid w:val="00551107"/>
    <w:rsid w:val="005820AB"/>
    <w:rsid w:val="005D3C1F"/>
    <w:rsid w:val="005F7F8E"/>
    <w:rsid w:val="00616BD2"/>
    <w:rsid w:val="006179D1"/>
    <w:rsid w:val="00625D3E"/>
    <w:rsid w:val="00657553"/>
    <w:rsid w:val="006D7A8E"/>
    <w:rsid w:val="0075495B"/>
    <w:rsid w:val="00773BF4"/>
    <w:rsid w:val="007807B2"/>
    <w:rsid w:val="007A03A4"/>
    <w:rsid w:val="007B4B24"/>
    <w:rsid w:val="007D2E9A"/>
    <w:rsid w:val="008014B4"/>
    <w:rsid w:val="00817B62"/>
    <w:rsid w:val="008455E6"/>
    <w:rsid w:val="00850E87"/>
    <w:rsid w:val="00860635"/>
    <w:rsid w:val="008907C0"/>
    <w:rsid w:val="008A4117"/>
    <w:rsid w:val="008A79C9"/>
    <w:rsid w:val="008C4F15"/>
    <w:rsid w:val="00915440"/>
    <w:rsid w:val="009155D9"/>
    <w:rsid w:val="0093676A"/>
    <w:rsid w:val="00967957"/>
    <w:rsid w:val="00970A28"/>
    <w:rsid w:val="00975924"/>
    <w:rsid w:val="009A05F3"/>
    <w:rsid w:val="009A5830"/>
    <w:rsid w:val="009C67E2"/>
    <w:rsid w:val="009E4A77"/>
    <w:rsid w:val="00A25C50"/>
    <w:rsid w:val="00A54A04"/>
    <w:rsid w:val="00A8254F"/>
    <w:rsid w:val="00AD275B"/>
    <w:rsid w:val="00AD4DB4"/>
    <w:rsid w:val="00AF33FD"/>
    <w:rsid w:val="00B00C81"/>
    <w:rsid w:val="00B72183"/>
    <w:rsid w:val="00BA78B3"/>
    <w:rsid w:val="00BE14EB"/>
    <w:rsid w:val="00C40A03"/>
    <w:rsid w:val="00C530A2"/>
    <w:rsid w:val="00C60721"/>
    <w:rsid w:val="00CC5574"/>
    <w:rsid w:val="00CF0637"/>
    <w:rsid w:val="00CF180C"/>
    <w:rsid w:val="00D017EF"/>
    <w:rsid w:val="00D065CB"/>
    <w:rsid w:val="00D079D8"/>
    <w:rsid w:val="00D20527"/>
    <w:rsid w:val="00D34E2F"/>
    <w:rsid w:val="00D542E2"/>
    <w:rsid w:val="00D551DC"/>
    <w:rsid w:val="00D55B6B"/>
    <w:rsid w:val="00D84A5A"/>
    <w:rsid w:val="00D976F4"/>
    <w:rsid w:val="00DA1E51"/>
    <w:rsid w:val="00DC38EF"/>
    <w:rsid w:val="00E027EB"/>
    <w:rsid w:val="00E553C9"/>
    <w:rsid w:val="00E65D86"/>
    <w:rsid w:val="00E745D9"/>
    <w:rsid w:val="00EB3173"/>
    <w:rsid w:val="00EC7649"/>
    <w:rsid w:val="00ED41E5"/>
    <w:rsid w:val="00F06FE2"/>
    <w:rsid w:val="00F1749D"/>
    <w:rsid w:val="00F24E3B"/>
    <w:rsid w:val="00F31393"/>
    <w:rsid w:val="00F56C24"/>
    <w:rsid w:val="00F826BD"/>
    <w:rsid w:val="00FA3845"/>
    <w:rsid w:val="00FB201F"/>
    <w:rsid w:val="00FD6DB7"/>
    <w:rsid w:val="00FE7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B0DE"/>
  <w15:docId w15:val="{C94E961B-FA8C-4F0C-BEFD-AA6197AE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FE2"/>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6FE2"/>
    <w:pPr>
      <w:jc w:val="center"/>
    </w:pPr>
    <w:rPr>
      <w:sz w:val="28"/>
      <w:lang w:val="lv-LV"/>
    </w:rPr>
  </w:style>
  <w:style w:type="character" w:customStyle="1" w:styleId="BodyTextChar">
    <w:name w:val="Body Text Char"/>
    <w:basedOn w:val="DefaultParagraphFont"/>
    <w:link w:val="BodyText"/>
    <w:rsid w:val="00F06FE2"/>
    <w:rPr>
      <w:rFonts w:eastAsia="Times New Roman" w:cs="Times New Roman"/>
      <w:sz w:val="28"/>
      <w:szCs w:val="24"/>
    </w:rPr>
  </w:style>
  <w:style w:type="character" w:styleId="Hyperlink">
    <w:name w:val="Hyperlink"/>
    <w:basedOn w:val="DefaultParagraphFont"/>
    <w:rsid w:val="00F06FE2"/>
    <w:rPr>
      <w:color w:val="0000FF"/>
      <w:u w:val="single"/>
    </w:rPr>
  </w:style>
  <w:style w:type="paragraph" w:styleId="Footer">
    <w:name w:val="footer"/>
    <w:basedOn w:val="Normal"/>
    <w:link w:val="FooterChar"/>
    <w:rsid w:val="00F06FE2"/>
    <w:pPr>
      <w:tabs>
        <w:tab w:val="center" w:pos="4153"/>
        <w:tab w:val="right" w:pos="8306"/>
      </w:tabs>
    </w:pPr>
  </w:style>
  <w:style w:type="character" w:customStyle="1" w:styleId="FooterChar">
    <w:name w:val="Footer Char"/>
    <w:basedOn w:val="DefaultParagraphFont"/>
    <w:link w:val="Footer"/>
    <w:rsid w:val="00F06FE2"/>
    <w:rPr>
      <w:rFonts w:eastAsia="Times New Roman" w:cs="Times New Roman"/>
      <w:szCs w:val="24"/>
      <w:lang w:val="en-GB"/>
    </w:rPr>
  </w:style>
  <w:style w:type="paragraph" w:styleId="Header">
    <w:name w:val="header"/>
    <w:basedOn w:val="Normal"/>
    <w:link w:val="HeaderChar"/>
    <w:rsid w:val="00F06FE2"/>
    <w:pPr>
      <w:tabs>
        <w:tab w:val="center" w:pos="4153"/>
        <w:tab w:val="right" w:pos="8306"/>
      </w:tabs>
    </w:pPr>
  </w:style>
  <w:style w:type="character" w:customStyle="1" w:styleId="HeaderChar">
    <w:name w:val="Header Char"/>
    <w:basedOn w:val="DefaultParagraphFont"/>
    <w:link w:val="Header"/>
    <w:rsid w:val="00F06FE2"/>
    <w:rPr>
      <w:rFonts w:eastAsia="Times New Roman" w:cs="Times New Roman"/>
      <w:szCs w:val="24"/>
      <w:lang w:val="en-GB"/>
    </w:rPr>
  </w:style>
  <w:style w:type="paragraph" w:customStyle="1" w:styleId="naislab">
    <w:name w:val="naislab"/>
    <w:basedOn w:val="Normal"/>
    <w:rsid w:val="00F06FE2"/>
    <w:pPr>
      <w:spacing w:before="100" w:beforeAutospacing="1" w:after="100" w:afterAutospacing="1"/>
    </w:pPr>
    <w:rPr>
      <w:lang w:val="lv-LV" w:eastAsia="lv-LV"/>
    </w:rPr>
  </w:style>
  <w:style w:type="paragraph" w:customStyle="1" w:styleId="naisc">
    <w:name w:val="naisc"/>
    <w:basedOn w:val="Normal"/>
    <w:rsid w:val="00F06FE2"/>
    <w:pPr>
      <w:spacing w:before="100" w:beforeAutospacing="1" w:after="100" w:afterAutospacing="1"/>
    </w:pPr>
    <w:rPr>
      <w:lang w:val="lv-LV" w:eastAsia="lv-LV"/>
    </w:rPr>
  </w:style>
  <w:style w:type="paragraph" w:customStyle="1" w:styleId="naisnod">
    <w:name w:val="naisnod"/>
    <w:basedOn w:val="Normal"/>
    <w:rsid w:val="00F06FE2"/>
    <w:pPr>
      <w:spacing w:before="100" w:beforeAutospacing="1" w:after="100" w:afterAutospacing="1"/>
    </w:pPr>
    <w:rPr>
      <w:lang w:val="lv-LV" w:eastAsia="lv-LV"/>
    </w:rPr>
  </w:style>
  <w:style w:type="paragraph" w:customStyle="1" w:styleId="naiskr">
    <w:name w:val="naiskr"/>
    <w:basedOn w:val="Normal"/>
    <w:rsid w:val="00F06FE2"/>
    <w:pPr>
      <w:spacing w:before="100" w:beforeAutospacing="1" w:after="100" w:afterAutospacing="1"/>
    </w:pPr>
    <w:rPr>
      <w:lang w:val="lv-LV" w:eastAsia="lv-LV"/>
    </w:rPr>
  </w:style>
  <w:style w:type="character" w:styleId="PageNumber">
    <w:name w:val="page number"/>
    <w:basedOn w:val="DefaultParagraphFont"/>
    <w:rsid w:val="00F06FE2"/>
  </w:style>
  <w:style w:type="paragraph" w:styleId="ListParagraph">
    <w:name w:val="List Paragraph"/>
    <w:basedOn w:val="Normal"/>
    <w:uiPriority w:val="34"/>
    <w:qFormat/>
    <w:rsid w:val="00F06FE2"/>
    <w:pPr>
      <w:ind w:left="720"/>
      <w:contextualSpacing/>
    </w:pPr>
  </w:style>
  <w:style w:type="paragraph" w:styleId="HTMLPreformatted">
    <w:name w:val="HTML Preformatted"/>
    <w:basedOn w:val="Normal"/>
    <w:link w:val="HTMLPreformattedChar"/>
    <w:rsid w:val="00F06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lv-LV"/>
    </w:rPr>
  </w:style>
  <w:style w:type="character" w:customStyle="1" w:styleId="HTMLPreformattedChar">
    <w:name w:val="HTML Preformatted Char"/>
    <w:basedOn w:val="DefaultParagraphFont"/>
    <w:link w:val="HTMLPreformatted"/>
    <w:rsid w:val="00F06FE2"/>
    <w:rPr>
      <w:rFonts w:ascii="Arial Unicode MS" w:eastAsia="Arial Unicode MS" w:hAnsi="Arial Unicode MS" w:cs="Arial Unicode MS"/>
      <w:sz w:val="20"/>
      <w:szCs w:val="20"/>
    </w:rPr>
  </w:style>
  <w:style w:type="paragraph" w:customStyle="1" w:styleId="tv2131">
    <w:name w:val="tv2131"/>
    <w:basedOn w:val="Normal"/>
    <w:rsid w:val="00F06FE2"/>
    <w:pPr>
      <w:spacing w:before="240" w:line="360" w:lineRule="auto"/>
      <w:ind w:firstLine="300"/>
      <w:jc w:val="both"/>
    </w:pPr>
    <w:rPr>
      <w:rFonts w:ascii="Verdana" w:hAnsi="Verdana"/>
      <w:sz w:val="18"/>
      <w:szCs w:val="18"/>
      <w:lang w:val="lv-LV" w:eastAsia="lv-LV"/>
    </w:rPr>
  </w:style>
  <w:style w:type="paragraph" w:customStyle="1" w:styleId="naisf">
    <w:name w:val="naisf"/>
    <w:basedOn w:val="Normal"/>
    <w:rsid w:val="00F06FE2"/>
    <w:pPr>
      <w:spacing w:before="75" w:after="75"/>
      <w:ind w:firstLine="375"/>
      <w:jc w:val="both"/>
    </w:pPr>
    <w:rPr>
      <w:lang w:val="lv-LV" w:eastAsia="lv-LV"/>
    </w:rPr>
  </w:style>
  <w:style w:type="paragraph" w:styleId="NoSpacing">
    <w:name w:val="No Spacing"/>
    <w:uiPriority w:val="1"/>
    <w:qFormat/>
    <w:rsid w:val="00333A7C"/>
    <w:rPr>
      <w:rFonts w:eastAsia="Times New Roman" w:cs="Times New Roman"/>
      <w:szCs w:val="24"/>
      <w:lang w:val="en-GB"/>
    </w:rPr>
  </w:style>
  <w:style w:type="character" w:styleId="CommentReference">
    <w:name w:val="annotation reference"/>
    <w:basedOn w:val="DefaultParagraphFont"/>
    <w:uiPriority w:val="99"/>
    <w:semiHidden/>
    <w:unhideWhenUsed/>
    <w:rsid w:val="00E65D86"/>
    <w:rPr>
      <w:sz w:val="16"/>
      <w:szCs w:val="16"/>
    </w:rPr>
  </w:style>
  <w:style w:type="paragraph" w:styleId="CommentText">
    <w:name w:val="annotation text"/>
    <w:basedOn w:val="Normal"/>
    <w:link w:val="CommentTextChar"/>
    <w:uiPriority w:val="99"/>
    <w:semiHidden/>
    <w:unhideWhenUsed/>
    <w:rsid w:val="00E65D86"/>
    <w:rPr>
      <w:sz w:val="20"/>
      <w:szCs w:val="20"/>
      <w:lang w:val="lv-LV" w:eastAsia="lv-LV"/>
    </w:rPr>
  </w:style>
  <w:style w:type="character" w:customStyle="1" w:styleId="CommentTextChar">
    <w:name w:val="Comment Text Char"/>
    <w:basedOn w:val="DefaultParagraphFont"/>
    <w:link w:val="CommentText"/>
    <w:uiPriority w:val="99"/>
    <w:semiHidden/>
    <w:rsid w:val="00E65D86"/>
    <w:rPr>
      <w:rFonts w:eastAsia="Times New Roman" w:cs="Times New Roman"/>
      <w:sz w:val="20"/>
      <w:szCs w:val="20"/>
      <w:lang w:eastAsia="lv-LV"/>
    </w:rPr>
  </w:style>
  <w:style w:type="paragraph" w:styleId="BalloonText">
    <w:name w:val="Balloon Text"/>
    <w:basedOn w:val="Normal"/>
    <w:link w:val="BalloonTextChar"/>
    <w:uiPriority w:val="99"/>
    <w:semiHidden/>
    <w:unhideWhenUsed/>
    <w:rsid w:val="00E65D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D86"/>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9E4A77"/>
    <w:rPr>
      <w:b/>
      <w:bCs/>
      <w:lang w:val="en-GB" w:eastAsia="en-US"/>
    </w:rPr>
  </w:style>
  <w:style w:type="character" w:customStyle="1" w:styleId="CommentSubjectChar">
    <w:name w:val="Comment Subject Char"/>
    <w:basedOn w:val="CommentTextChar"/>
    <w:link w:val="CommentSubject"/>
    <w:uiPriority w:val="99"/>
    <w:semiHidden/>
    <w:rsid w:val="009E4A77"/>
    <w:rPr>
      <w:rFonts w:eastAsia="Times New Roman" w:cs="Times New Roman"/>
      <w:b/>
      <w:bCs/>
      <w:sz w:val="20"/>
      <w:szCs w:val="20"/>
      <w:lang w:val="en-GB" w:eastAsia="lv-LV"/>
    </w:rPr>
  </w:style>
  <w:style w:type="character" w:customStyle="1" w:styleId="spelle">
    <w:name w:val="spelle"/>
    <w:basedOn w:val="DefaultParagraphFont"/>
    <w:rsid w:val="002D4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Sidlovskis@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E672A-562F-4044-8326-57ABF4E72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8842</Words>
  <Characters>5041</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Rīkojuma projekta „Par ēnu ekonomikas apkarošanas pasākumu īstenošanā iesaistīto institūciju amatpersonu darbinieku motivēšanu un apropriācijas palielinājumam novirzāmo finansējuma apjomu” sākotnējās ietekmes novērtējuma ziņojums (anotācija)</vt:lpstr>
    </vt:vector>
  </TitlesOfParts>
  <Company/>
  <LinksUpToDate>false</LinksUpToDate>
  <CharactersWithSpaces>13856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projekta „Par ēnu ekonomikas apkarošanas pasākumu īstenošanā iesaistīto institūciju amatpersonu darbinieku motivēšanu un apropriācijas palielinājumam novirzāmo finansējuma apjomu” sākotnējās ietekmes novērtējuma ziņojums (anotācija)</dc:title>
  <dc:subject>Anotācija</dc:subject>
  <dc:creator>Edgars Šidlovskis</dc:creator>
  <cp:keywords/>
  <dc:description>Edgars Šidlovskis
Edgars.Sidlovskis@fm.gov.lv
67083894</dc:description>
  <cp:lastModifiedBy>Šidlovskis Edgars</cp:lastModifiedBy>
  <cp:revision>7</cp:revision>
  <cp:lastPrinted>2013-11-13T11:27:00Z</cp:lastPrinted>
  <dcterms:created xsi:type="dcterms:W3CDTF">2013-11-13T08:22:00Z</dcterms:created>
  <dcterms:modified xsi:type="dcterms:W3CDTF">2013-11-15T12:31:00Z</dcterms:modified>
</cp:coreProperties>
</file>