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40" w:rsidRPr="007C0F2C" w:rsidRDefault="00AF0540" w:rsidP="00AF0540">
      <w:pPr>
        <w:pStyle w:val="naislab"/>
        <w:spacing w:before="0" w:after="0"/>
        <w:jc w:val="center"/>
        <w:outlineLvl w:val="0"/>
        <w:rPr>
          <w:b/>
          <w:sz w:val="28"/>
          <w:szCs w:val="28"/>
        </w:rPr>
      </w:pPr>
      <w:r>
        <w:rPr>
          <w:b/>
          <w:sz w:val="28"/>
          <w:szCs w:val="28"/>
        </w:rPr>
        <w:t>Ilgtermiņa</w:t>
      </w:r>
      <w:r w:rsidR="00A41014">
        <w:rPr>
          <w:b/>
          <w:sz w:val="28"/>
          <w:szCs w:val="28"/>
        </w:rPr>
        <w:t xml:space="preserve"> stabilizācijas rezerves likumprojekta</w:t>
      </w:r>
      <w:r w:rsidRPr="007C0F2C">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3991"/>
        <w:gridCol w:w="5184"/>
      </w:tblGrid>
      <w:tr w:rsidR="00AF0540" w:rsidRPr="007C0F2C" w:rsidTr="00A809FF">
        <w:trPr>
          <w:trHeight w:val="702"/>
        </w:trPr>
        <w:tc>
          <w:tcPr>
            <w:tcW w:w="9578" w:type="dxa"/>
            <w:gridSpan w:val="3"/>
            <w:vAlign w:val="center"/>
          </w:tcPr>
          <w:p w:rsidR="00AF0540" w:rsidRPr="007C0F2C" w:rsidRDefault="00AF0540" w:rsidP="00FE60B7">
            <w:pPr>
              <w:pStyle w:val="naisnod"/>
              <w:spacing w:before="0" w:after="0"/>
            </w:pPr>
            <w:r w:rsidRPr="007C0F2C">
              <w:t>I. Tiesību akta projekta izstrādes nepieciešamība</w:t>
            </w:r>
          </w:p>
        </w:tc>
      </w:tr>
      <w:tr w:rsidR="00AF0540" w:rsidRPr="007C0F2C" w:rsidTr="00A809FF">
        <w:trPr>
          <w:trHeight w:val="630"/>
        </w:trPr>
        <w:tc>
          <w:tcPr>
            <w:tcW w:w="403" w:type="dxa"/>
          </w:tcPr>
          <w:p w:rsidR="00AF0540" w:rsidRPr="007C0F2C" w:rsidRDefault="00AF0540" w:rsidP="00FE60B7">
            <w:pPr>
              <w:pStyle w:val="naiskr"/>
              <w:spacing w:before="0" w:after="0"/>
              <w:rPr>
                <w:sz w:val="22"/>
                <w:szCs w:val="22"/>
              </w:rPr>
            </w:pPr>
            <w:r w:rsidRPr="007C0F2C">
              <w:rPr>
                <w:sz w:val="22"/>
                <w:szCs w:val="22"/>
              </w:rPr>
              <w:t>1.</w:t>
            </w:r>
          </w:p>
        </w:tc>
        <w:tc>
          <w:tcPr>
            <w:tcW w:w="3991" w:type="dxa"/>
          </w:tcPr>
          <w:p w:rsidR="00AF0540" w:rsidRPr="00BF19F8" w:rsidRDefault="00AF0540" w:rsidP="00FE60B7">
            <w:pPr>
              <w:pStyle w:val="naiskr"/>
              <w:spacing w:before="0" w:after="0"/>
              <w:ind w:hanging="10"/>
            </w:pPr>
            <w:r w:rsidRPr="00BF19F8">
              <w:t>Pamatojums</w:t>
            </w:r>
          </w:p>
        </w:tc>
        <w:tc>
          <w:tcPr>
            <w:tcW w:w="5184" w:type="dxa"/>
          </w:tcPr>
          <w:p w:rsidR="00AF0540" w:rsidRDefault="00A456E3" w:rsidP="00EB7D43">
            <w:pPr>
              <w:pStyle w:val="naiskr"/>
              <w:spacing w:before="0" w:after="0"/>
              <w:ind w:left="147" w:right="75" w:firstLine="289"/>
              <w:jc w:val="both"/>
            </w:pPr>
            <w:r w:rsidRPr="00BF19F8">
              <w:t>Ilgtermiņ</w:t>
            </w:r>
            <w:r w:rsidR="00A47246">
              <w:t xml:space="preserve">a stabilizācijas rezerves </w:t>
            </w:r>
            <w:r w:rsidR="00F51070">
              <w:t xml:space="preserve">(turpmāk - ISR) </w:t>
            </w:r>
            <w:r w:rsidR="00A47246">
              <w:t>likumprojekts</w:t>
            </w:r>
            <w:r w:rsidR="00C649F4">
              <w:t xml:space="preserve"> (turpmāk – likumprojekts)</w:t>
            </w:r>
            <w:r w:rsidRPr="00BF19F8">
              <w:t xml:space="preserve"> izstrādāts, pamatojotie</w:t>
            </w:r>
            <w:r w:rsidR="00A809FF">
              <w:t>s uz Fiskā</w:t>
            </w:r>
            <w:r w:rsidR="00A425E9">
              <w:t>lās disciplīnas likuma 19. pantu</w:t>
            </w:r>
            <w:r w:rsidR="00A809FF">
              <w:t xml:space="preserve"> </w:t>
            </w:r>
            <w:r w:rsidRPr="00BF19F8">
              <w:t>(turpmāk – FDL).</w:t>
            </w:r>
          </w:p>
          <w:p w:rsidR="00A809FF" w:rsidRPr="00BF19F8" w:rsidRDefault="00A809FF" w:rsidP="00FF35E1">
            <w:pPr>
              <w:pStyle w:val="naiskr"/>
              <w:spacing w:before="0" w:after="0"/>
              <w:ind w:left="147" w:right="75" w:firstLine="289"/>
              <w:jc w:val="both"/>
            </w:pPr>
            <w:r w:rsidRPr="00617AA3">
              <w:t>Ministru kabineta 2011.</w:t>
            </w:r>
            <w:r>
              <w:t> gada 29.</w:t>
            </w:r>
            <w:r w:rsidR="00C94CDF">
              <w:t> </w:t>
            </w:r>
            <w:r>
              <w:t xml:space="preserve">novembra </w:t>
            </w:r>
            <w:r w:rsidRPr="00617AA3">
              <w:t>sēdes protokola Nr.</w:t>
            </w:r>
            <w:r w:rsidR="00C94CDF">
              <w:t> </w:t>
            </w:r>
            <w:r w:rsidRPr="00617AA3">
              <w:t>70 57.</w:t>
            </w:r>
            <w:r w:rsidR="00C94CDF">
              <w:t> </w:t>
            </w:r>
            <w:r w:rsidRPr="00617AA3">
              <w:t>§ 5.</w:t>
            </w:r>
            <w:r w:rsidR="00C94CDF">
              <w:t> </w:t>
            </w:r>
            <w:r w:rsidRPr="00617AA3">
              <w:t>punktā dotais uzdevums - 5. Finanšu ministrijai divu mēnešu laikā pēc Fiskālās disciplīnas likumprojekta izskatīšanas Saeimā otrajā lasījumā izstrādāt un iesniegt Ministru kabinetā atbilstošus grozījumus Ilgtermiņa stabilizācijas r</w:t>
            </w:r>
            <w:r>
              <w:t>ezerves likumā (turpmāk- ISR</w:t>
            </w:r>
            <w:r w:rsidR="00D7509C">
              <w:t>L</w:t>
            </w:r>
            <w:r>
              <w:t>).</w:t>
            </w:r>
          </w:p>
        </w:tc>
      </w:tr>
      <w:tr w:rsidR="00AF0540" w:rsidRPr="007C0F2C" w:rsidTr="00A809FF">
        <w:trPr>
          <w:trHeight w:val="472"/>
        </w:trPr>
        <w:tc>
          <w:tcPr>
            <w:tcW w:w="403" w:type="dxa"/>
          </w:tcPr>
          <w:p w:rsidR="00036100" w:rsidRDefault="00AF0540" w:rsidP="00FE60B7">
            <w:pPr>
              <w:pStyle w:val="naiskr"/>
              <w:spacing w:before="0" w:after="0"/>
              <w:rPr>
                <w:sz w:val="22"/>
                <w:szCs w:val="22"/>
              </w:rPr>
            </w:pPr>
            <w:r w:rsidRPr="007C0F2C">
              <w:rPr>
                <w:sz w:val="22"/>
                <w:szCs w:val="22"/>
              </w:rPr>
              <w:t>2.</w:t>
            </w:r>
          </w:p>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Default="00036100" w:rsidP="00036100"/>
          <w:p w:rsidR="00036100" w:rsidRDefault="00036100" w:rsidP="00036100"/>
          <w:p w:rsidR="00AF0540" w:rsidRPr="00036100" w:rsidRDefault="00AF0540" w:rsidP="00036100"/>
        </w:tc>
        <w:tc>
          <w:tcPr>
            <w:tcW w:w="3991" w:type="dxa"/>
          </w:tcPr>
          <w:p w:rsidR="00036100" w:rsidRDefault="00AF0540" w:rsidP="00FE60B7">
            <w:pPr>
              <w:pStyle w:val="naiskr"/>
              <w:tabs>
                <w:tab w:val="left" w:pos="170"/>
              </w:tabs>
              <w:spacing w:before="0" w:after="0"/>
            </w:pPr>
            <w:r w:rsidRPr="00BF19F8">
              <w:t>Pašreizējā situācija un problēmas</w:t>
            </w:r>
          </w:p>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Pr="00036100" w:rsidRDefault="00036100" w:rsidP="00036100"/>
          <w:p w:rsidR="00036100" w:rsidRDefault="00036100" w:rsidP="00036100"/>
          <w:p w:rsidR="00036100" w:rsidRDefault="00036100" w:rsidP="00036100"/>
          <w:p w:rsidR="00AF0540" w:rsidRPr="00036100" w:rsidRDefault="00036100" w:rsidP="00036100">
            <w:pPr>
              <w:tabs>
                <w:tab w:val="left" w:pos="1035"/>
              </w:tabs>
            </w:pPr>
            <w:r>
              <w:tab/>
            </w:r>
          </w:p>
        </w:tc>
        <w:tc>
          <w:tcPr>
            <w:tcW w:w="5184" w:type="dxa"/>
          </w:tcPr>
          <w:p w:rsidR="00A809FF" w:rsidRDefault="004F23E8" w:rsidP="00EB7D43">
            <w:pPr>
              <w:pStyle w:val="naiskr"/>
              <w:spacing w:before="0" w:after="0"/>
              <w:ind w:left="147" w:right="75" w:firstLine="289"/>
              <w:jc w:val="both"/>
            </w:pPr>
            <w:r>
              <w:t xml:space="preserve">ISR 3. panta otrā daļa </w:t>
            </w:r>
            <w:r w:rsidR="00A809FF">
              <w:t>paredz, ka il</w:t>
            </w:r>
            <w:r>
              <w:t>gtermiņa stabilizācijas rezervi</w:t>
            </w:r>
            <w:r w:rsidR="00B55993">
              <w:t xml:space="preserve"> </w:t>
            </w:r>
            <w:r w:rsidR="00B55993" w:rsidRPr="00B55993">
              <w:t>(turpmāk- ISR)</w:t>
            </w:r>
            <w:r>
              <w:t xml:space="preserve"> veido </w:t>
            </w:r>
            <w:r w:rsidRPr="004F23E8">
              <w:t>valsts budžeta līdzekļi, ko veido valsts pamatbudžeta nodokļu un nenodokļu ieņēmumu pārsniegums par saimnieciskā gada valsts budžeta likumā noteikto ieņēmumu apjomu, ja atbilstoši valsts budžeta izpildes rezultātiem valsts pama</w:t>
            </w:r>
            <w:r>
              <w:t>tbudžetā ir finanšu pārpalikums.</w:t>
            </w:r>
          </w:p>
          <w:p w:rsidR="00A425E9" w:rsidRDefault="004F23E8" w:rsidP="00EB7D43">
            <w:pPr>
              <w:pStyle w:val="naiskr"/>
              <w:spacing w:before="0" w:after="0"/>
              <w:ind w:left="147" w:right="75" w:firstLine="289"/>
              <w:jc w:val="both"/>
            </w:pPr>
            <w:r>
              <w:t>Savukārt FDL 19.</w:t>
            </w:r>
            <w:r w:rsidR="001A515D">
              <w:t> </w:t>
            </w:r>
            <w:r>
              <w:t>panta pirmā un otrā daļa paredz, ka v</w:t>
            </w:r>
            <w:r w:rsidRPr="00BF19F8">
              <w:t xml:space="preserve">alsts pamatbudžeta faktisko ieņēmumu pārsniegums pār valsts pamatbudžeta faktiskajiem izdevumiem tiek ieskaitīts </w:t>
            </w:r>
            <w:r w:rsidR="00B55993">
              <w:t>ISR</w:t>
            </w:r>
            <w:r w:rsidRPr="00BF19F8">
              <w:t xml:space="preserve"> vai novirzīts valdības parāda</w:t>
            </w:r>
            <w:r w:rsidR="002802EC">
              <w:t xml:space="preserve"> saistību izpildei</w:t>
            </w:r>
            <w:r w:rsidRPr="00BF19F8">
              <w:t xml:space="preserve">, </w:t>
            </w:r>
            <w:r>
              <w:t>un</w:t>
            </w:r>
            <w:r w:rsidRPr="00BF19F8">
              <w:t xml:space="preserve"> Ministru kabinets lemj par pārsnieguma novirzīšanu </w:t>
            </w:r>
            <w:r w:rsidR="00B55993">
              <w:t>ISR</w:t>
            </w:r>
            <w:r w:rsidRPr="00BF19F8">
              <w:t xml:space="preserve"> vai valsts parāda </w:t>
            </w:r>
            <w:r w:rsidR="002802EC">
              <w:t>saistību izpildei</w:t>
            </w:r>
            <w:r>
              <w:t>.</w:t>
            </w:r>
          </w:p>
          <w:p w:rsidR="00161249" w:rsidRDefault="00161249" w:rsidP="00EB7D43">
            <w:pPr>
              <w:pStyle w:val="naiskr"/>
              <w:spacing w:before="0" w:after="0"/>
              <w:ind w:left="147" w:right="75" w:firstLine="289"/>
              <w:jc w:val="both"/>
            </w:pPr>
            <w:r>
              <w:t xml:space="preserve">Saskaņā ar FDL, </w:t>
            </w:r>
            <w:r w:rsidR="00B55993">
              <w:t>ISR</w:t>
            </w:r>
            <w:r>
              <w:t xml:space="preserve"> ir tas fiskālās politikas instruments</w:t>
            </w:r>
            <w:r w:rsidR="00FF35E1">
              <w:t>,</w:t>
            </w:r>
            <w:r>
              <w:t xml:space="preserve"> ar kuru tiek īstenots </w:t>
            </w:r>
            <w:r w:rsidRPr="00161249">
              <w:t>FDL mērķis nodrošināt ekonomikas ciklā sabalansētu budžetu.</w:t>
            </w:r>
            <w:r>
              <w:t xml:space="preserve"> Ekonomiski labajos gados līdzekļi tiek uzkrāti veidojot valsts budžetu ar pārpalikumu, lai ekonomiski sliktajos laikos šos līdzekļus varētu tērēt deficīta finansēšanai. Līdz ar to saskaņā ar FDL ir būtiski, lai </w:t>
            </w:r>
            <w:r w:rsidR="00B55993">
              <w:t>ISR</w:t>
            </w:r>
            <w:r>
              <w:t xml:space="preserve"> līdzekļi netiek izmantoti citu iemeslu dēļ.</w:t>
            </w:r>
          </w:p>
          <w:p w:rsidR="004F23E8" w:rsidRPr="00BF19F8" w:rsidRDefault="004F23E8" w:rsidP="00EB7D43">
            <w:pPr>
              <w:pStyle w:val="naiskr"/>
              <w:spacing w:before="0" w:after="0"/>
              <w:ind w:left="147" w:right="75" w:firstLine="289"/>
              <w:jc w:val="both"/>
              <w:rPr>
                <w:bCs/>
                <w:color w:val="000000"/>
              </w:rPr>
            </w:pPr>
          </w:p>
          <w:p w:rsidR="00161249" w:rsidRDefault="00A41014" w:rsidP="00EB7D43">
            <w:pPr>
              <w:pStyle w:val="naiskr"/>
              <w:spacing w:before="0" w:after="0"/>
              <w:ind w:left="147" w:right="75" w:firstLine="289"/>
              <w:jc w:val="both"/>
            </w:pPr>
            <w:r>
              <w:t>ISR</w:t>
            </w:r>
            <w:r w:rsidR="00161249">
              <w:t>L</w:t>
            </w:r>
            <w:r>
              <w:t xml:space="preserve"> </w:t>
            </w:r>
            <w:r w:rsidRPr="00A41014">
              <w:t>III nodaļa</w:t>
            </w:r>
            <w:r>
              <w:t xml:space="preserve"> (</w:t>
            </w:r>
            <w:r w:rsidRPr="00A41014">
              <w:t>Ilgtermiņa stabilizācijas rezerves līdzekļu izlietošanas kārtība</w:t>
            </w:r>
            <w:r>
              <w:t>)</w:t>
            </w:r>
            <w:r w:rsidR="00161249">
              <w:t>, savukārt,</w:t>
            </w:r>
            <w:r>
              <w:t xml:space="preserve"> paredz </w:t>
            </w:r>
            <w:r w:rsidR="00B55993">
              <w:t>ISR</w:t>
            </w:r>
            <w:r>
              <w:t xml:space="preserve"> līdzekļus izmantot, </w:t>
            </w:r>
            <w:r w:rsidRPr="00A41014">
              <w:t>lai uzsāktu fiskālo, ekonomisko un sociālo risku ietekmes mazināšanas pasākumu īstenošanu</w:t>
            </w:r>
            <w:r>
              <w:t>, kas</w:t>
            </w:r>
            <w:r w:rsidR="006D3FF6">
              <w:t xml:space="preserve"> vispārīgā gadījumā</w:t>
            </w:r>
            <w:r>
              <w:t xml:space="preserve"> ir pretrunā </w:t>
            </w:r>
            <w:r w:rsidR="006D3FF6">
              <w:t xml:space="preserve">mērķim šo rezervi izmantot ekonomiskajā ciklā sabalansēta budžeta nodrošināšanai. </w:t>
            </w:r>
          </w:p>
          <w:p w:rsidR="00A41014" w:rsidRDefault="00A41014" w:rsidP="00EB7D43">
            <w:pPr>
              <w:pStyle w:val="naiskr"/>
              <w:spacing w:before="0" w:after="0"/>
              <w:ind w:left="147" w:right="75" w:firstLine="289"/>
              <w:jc w:val="both"/>
            </w:pPr>
            <w:r>
              <w:t xml:space="preserve"> </w:t>
            </w:r>
          </w:p>
          <w:p w:rsidR="00A41014" w:rsidRPr="00BF19F8" w:rsidRDefault="00A41014" w:rsidP="00EB7D43">
            <w:pPr>
              <w:pStyle w:val="naiskr"/>
              <w:spacing w:before="0" w:after="0"/>
              <w:ind w:left="147" w:right="75" w:firstLine="289"/>
              <w:jc w:val="both"/>
            </w:pPr>
            <w:r>
              <w:t>Līdz ar to pastāv FDL un ISR</w:t>
            </w:r>
            <w:r w:rsidR="00D7509C">
              <w:t>L</w:t>
            </w:r>
            <w:r>
              <w:t xml:space="preserve"> normu kolīzija un ir nepieciešams to novērst un vienlaicīgi </w:t>
            </w:r>
            <w:r>
              <w:lastRenderedPageBreak/>
              <w:t>nepieciešams precizēt arī citas normas spēkā esošajā ISR</w:t>
            </w:r>
            <w:r w:rsidR="00D7509C">
              <w:t>L</w:t>
            </w:r>
            <w:r>
              <w:t>.</w:t>
            </w:r>
          </w:p>
        </w:tc>
      </w:tr>
      <w:tr w:rsidR="00AF0540" w:rsidRPr="007C0F2C" w:rsidTr="00FF35E1">
        <w:trPr>
          <w:trHeight w:val="567"/>
        </w:trPr>
        <w:tc>
          <w:tcPr>
            <w:tcW w:w="403" w:type="dxa"/>
          </w:tcPr>
          <w:p w:rsidR="00AF0540" w:rsidRPr="007C0F2C" w:rsidRDefault="00AF0540" w:rsidP="00FE60B7">
            <w:pPr>
              <w:pStyle w:val="naiskr"/>
              <w:spacing w:before="0" w:after="0"/>
              <w:rPr>
                <w:sz w:val="22"/>
                <w:szCs w:val="22"/>
              </w:rPr>
            </w:pPr>
            <w:r w:rsidRPr="007C0F2C">
              <w:rPr>
                <w:sz w:val="22"/>
                <w:szCs w:val="22"/>
              </w:rPr>
              <w:lastRenderedPageBreak/>
              <w:t>3.</w:t>
            </w:r>
          </w:p>
        </w:tc>
        <w:tc>
          <w:tcPr>
            <w:tcW w:w="3991" w:type="dxa"/>
          </w:tcPr>
          <w:p w:rsidR="00AF0540" w:rsidRPr="00BF19F8" w:rsidRDefault="00AF0540" w:rsidP="00FE60B7">
            <w:pPr>
              <w:pStyle w:val="naiskr"/>
              <w:spacing w:before="0" w:after="0"/>
            </w:pPr>
            <w:r w:rsidRPr="00BF19F8">
              <w:t>Saistītie politikas ietekmes novērtējumi un pētījumi</w:t>
            </w:r>
          </w:p>
        </w:tc>
        <w:tc>
          <w:tcPr>
            <w:tcW w:w="5184" w:type="dxa"/>
          </w:tcPr>
          <w:p w:rsidR="00AF0540" w:rsidRPr="00BF19F8" w:rsidRDefault="00365252" w:rsidP="00EB7D43">
            <w:pPr>
              <w:pStyle w:val="FootnoteText"/>
              <w:ind w:left="147" w:right="75" w:firstLine="289"/>
              <w:rPr>
                <w:sz w:val="24"/>
                <w:szCs w:val="24"/>
              </w:rPr>
            </w:pPr>
            <w:r w:rsidRPr="00BF19F8">
              <w:rPr>
                <w:sz w:val="24"/>
                <w:szCs w:val="24"/>
              </w:rPr>
              <w:t>Projekts šo jomu neskar.</w:t>
            </w:r>
          </w:p>
        </w:tc>
      </w:tr>
      <w:tr w:rsidR="00AF0540" w:rsidRPr="007C0F2C" w:rsidTr="00A809FF">
        <w:trPr>
          <w:trHeight w:val="384"/>
        </w:trPr>
        <w:tc>
          <w:tcPr>
            <w:tcW w:w="403" w:type="dxa"/>
          </w:tcPr>
          <w:p w:rsidR="00AF0540" w:rsidRPr="007C0F2C" w:rsidRDefault="00AF0540" w:rsidP="00FE60B7">
            <w:pPr>
              <w:pStyle w:val="naiskr"/>
              <w:spacing w:before="0" w:after="0"/>
              <w:rPr>
                <w:sz w:val="22"/>
                <w:szCs w:val="22"/>
              </w:rPr>
            </w:pPr>
            <w:r w:rsidRPr="007C0F2C">
              <w:rPr>
                <w:sz w:val="22"/>
                <w:szCs w:val="22"/>
              </w:rPr>
              <w:t>4.</w:t>
            </w:r>
          </w:p>
        </w:tc>
        <w:tc>
          <w:tcPr>
            <w:tcW w:w="3991" w:type="dxa"/>
          </w:tcPr>
          <w:p w:rsidR="00AF0540" w:rsidRPr="00BF19F8" w:rsidRDefault="00AF0540" w:rsidP="00FE60B7">
            <w:pPr>
              <w:pStyle w:val="naiskr"/>
              <w:spacing w:before="0" w:after="0"/>
            </w:pPr>
            <w:r w:rsidRPr="00BF19F8">
              <w:t>Tiesiskā regulējuma mērķis un būtība</w:t>
            </w:r>
          </w:p>
        </w:tc>
        <w:tc>
          <w:tcPr>
            <w:tcW w:w="5184" w:type="dxa"/>
          </w:tcPr>
          <w:p w:rsidR="00222DD4" w:rsidRDefault="00C649F4" w:rsidP="00EB7D43">
            <w:pPr>
              <w:pStyle w:val="naiskr"/>
              <w:spacing w:before="0" w:after="0"/>
              <w:ind w:left="147" w:right="75" w:firstLine="289"/>
              <w:jc w:val="both"/>
            </w:pPr>
            <w:r>
              <w:t>Likumprojekta</w:t>
            </w:r>
            <w:r w:rsidRPr="00BF19F8">
              <w:t xml:space="preserve"> </w:t>
            </w:r>
            <w:r w:rsidR="00642E21" w:rsidRPr="00BF19F8">
              <w:t xml:space="preserve">mērķis ir </w:t>
            </w:r>
            <w:r w:rsidR="004F23E8">
              <w:t xml:space="preserve">novērst </w:t>
            </w:r>
            <w:r w:rsidR="00A47246">
              <w:t xml:space="preserve">spēkā esošā </w:t>
            </w:r>
            <w:r w:rsidR="004F23E8">
              <w:t>ISR</w:t>
            </w:r>
            <w:r>
              <w:t>L</w:t>
            </w:r>
            <w:r w:rsidR="004F23E8">
              <w:t xml:space="preserve"> un</w:t>
            </w:r>
            <w:r w:rsidR="00642E21" w:rsidRPr="00BF19F8">
              <w:t xml:space="preserve"> FDL</w:t>
            </w:r>
            <w:r w:rsidR="004F23E8" w:rsidRPr="00BF19F8">
              <w:t xml:space="preserve"> </w:t>
            </w:r>
            <w:r w:rsidR="004F23E8">
              <w:t>normu kolīziju</w:t>
            </w:r>
            <w:r w:rsidR="00FF35E1">
              <w:t>.</w:t>
            </w:r>
          </w:p>
          <w:p w:rsidR="00F76083" w:rsidRDefault="00832AF4" w:rsidP="00B46D4B">
            <w:pPr>
              <w:pStyle w:val="naiskr"/>
              <w:ind w:left="147" w:right="75" w:firstLine="289"/>
              <w:jc w:val="both"/>
            </w:pPr>
            <w:r>
              <w:t>Likuma</w:t>
            </w:r>
            <w:r w:rsidR="00F76083" w:rsidRPr="00F76083">
              <w:t xml:space="preserve"> par budžetu un finanšu vadības 8</w:t>
            </w:r>
            <w:r w:rsidR="00F76083" w:rsidRPr="00B46D4B">
              <w:rPr>
                <w:vertAlign w:val="superscript"/>
              </w:rPr>
              <w:t>1</w:t>
            </w:r>
            <w:r w:rsidR="00F76083" w:rsidRPr="00F76083">
              <w:t>.pant</w:t>
            </w:r>
            <w:r>
              <w:t>s paredz, ka „</w:t>
            </w:r>
            <w:r w:rsidRPr="00832AF4">
              <w:rPr>
                <w:i/>
              </w:rPr>
              <w:t>ISR ir fiskālās politikas instruments, kura mērķis ir</w:t>
            </w:r>
            <w:r w:rsidR="00F76083" w:rsidRPr="00832AF4">
              <w:rPr>
                <w:i/>
              </w:rPr>
              <w:t xml:space="preserve"> samazināt vispārējos ekonomiskos riskus,  izvairīties no sociālekonomiskas krīzes vai mazināt tās ietekmi un nodrošināt finanšu līdzekļu pieejamību ārkārtas situācijas gadījumā</w:t>
            </w:r>
            <w:r>
              <w:t>”</w:t>
            </w:r>
            <w:r w:rsidR="00F76083">
              <w:t xml:space="preserve">, </w:t>
            </w:r>
            <w:r>
              <w:t>savukārt FDL paredz, ka ISR ir izveidots, lai nodrošinātu</w:t>
            </w:r>
            <w:r w:rsidR="00F76083">
              <w:t xml:space="preserve"> ekonomiskajā ciklā sabalans</w:t>
            </w:r>
            <w:r w:rsidR="008E1BB7">
              <w:t>ētu budžetu</w:t>
            </w:r>
            <w:r w:rsidR="00F76083">
              <w:t>.</w:t>
            </w:r>
            <w:r w:rsidR="00F76083" w:rsidRPr="00F76083">
              <w:t xml:space="preserve"> </w:t>
            </w:r>
          </w:p>
          <w:p w:rsidR="00DF5C06" w:rsidRDefault="00B07C63" w:rsidP="00B46D4B">
            <w:pPr>
              <w:pStyle w:val="naiskr"/>
              <w:ind w:left="147" w:right="75" w:firstLine="289"/>
              <w:jc w:val="both"/>
            </w:pPr>
            <w:r>
              <w:t>Likumprojekta 2</w:t>
            </w:r>
            <w:r w:rsidR="00C649F4">
              <w:t xml:space="preserve">.pantā </w:t>
            </w:r>
            <w:r w:rsidR="00FE60B7">
              <w:t xml:space="preserve">tiek </w:t>
            </w:r>
            <w:r w:rsidR="00EB7D43">
              <w:t>precizē</w:t>
            </w:r>
            <w:r w:rsidR="00FE60B7">
              <w:t>t</w:t>
            </w:r>
            <w:r w:rsidR="00C649F4">
              <w:t>s, no kā tiek veidota</w:t>
            </w:r>
            <w:r w:rsidR="00A425E9">
              <w:t xml:space="preserve"> </w:t>
            </w:r>
            <w:r w:rsidR="003540C1">
              <w:t>ISR</w:t>
            </w:r>
            <w:r w:rsidR="00FE60B7">
              <w:t>, veicot atsauci uz</w:t>
            </w:r>
            <w:r w:rsidR="00A425E9">
              <w:t xml:space="preserve"> FDL 19.panta pirmo un otro daļu</w:t>
            </w:r>
            <w:r w:rsidR="00DF5C06">
              <w:t xml:space="preserve">, saskaņā ar </w:t>
            </w:r>
            <w:r w:rsidR="00FF35E1">
              <w:t>kuru</w:t>
            </w:r>
            <w:r w:rsidR="00DF5C06">
              <w:t xml:space="preserve"> valsts pamatbudžeta faktisko ieņēmumu pārsniegums pār faktiskajiem izdevumiem tiek ieskaitīts </w:t>
            </w:r>
            <w:r w:rsidR="003540C1">
              <w:t>ISR</w:t>
            </w:r>
            <w:r w:rsidR="00DF5C06">
              <w:t xml:space="preserve"> vai novirzīts valsts parāda dzēšanai.</w:t>
            </w:r>
          </w:p>
          <w:p w:rsidR="00DF5C06" w:rsidRDefault="00B07C63" w:rsidP="00EB7D43">
            <w:pPr>
              <w:pStyle w:val="naiskr"/>
              <w:spacing w:before="0" w:after="0"/>
              <w:ind w:left="147" w:right="75" w:firstLine="289"/>
              <w:jc w:val="both"/>
            </w:pPr>
            <w:r>
              <w:t>Likumprojekta 3</w:t>
            </w:r>
            <w:r w:rsidR="004D1264">
              <w:t xml:space="preserve">.pantā atbilstoši </w:t>
            </w:r>
            <w:r w:rsidR="004D1264" w:rsidRPr="004D1264">
              <w:t>Ministru kabineta 2009.gada 3.februāra noteikumu Nr.108 „Normatīvo aktu pro</w:t>
            </w:r>
            <w:r w:rsidR="004D1264">
              <w:t>jektu sagatavošanas noteikumi” 3.3</w:t>
            </w:r>
            <w:r w:rsidR="004D1264" w:rsidRPr="004D1264">
              <w:t>.</w:t>
            </w:r>
            <w:r w:rsidR="004D1264">
              <w:t> </w:t>
            </w:r>
            <w:r w:rsidR="004D1264" w:rsidRPr="004D1264">
              <w:t>apakšpunkt</w:t>
            </w:r>
            <w:r w:rsidR="004D1264">
              <w:t>ā noteiktajiem principiem tiek veikta atsauce uz likumprojekta</w:t>
            </w:r>
            <w:r w:rsidR="004D1264" w:rsidRPr="004D1264">
              <w:t xml:space="preserve"> </w:t>
            </w:r>
            <w:r>
              <w:t>2</w:t>
            </w:r>
            <w:r w:rsidR="004D1264">
              <w:t>. panta 1.punktu, kā arī papildināts ar normu atbilstoši Fiskālās disciplīnas likumam, ka lēmumu pieņem arī par n</w:t>
            </w:r>
            <w:r w:rsidR="004D1264" w:rsidRPr="004D1264">
              <w:t>ovirzīšanu valdības parāda saistību izpildei</w:t>
            </w:r>
            <w:r w:rsidR="004D1264">
              <w:t>. Vienlaicīgi li</w:t>
            </w:r>
            <w:r>
              <w:t>kumprojekta 3</w:t>
            </w:r>
            <w:r w:rsidR="004D1264">
              <w:t>. pantā tiek noteikt termiņš, kad lēmumu pieņem Ministru kabinets, lai nodrošinātu, ka lēmums tiek pieņemts pirms pārskatu sagatavošanas noteiktajiem termiņiem.</w:t>
            </w:r>
          </w:p>
          <w:p w:rsidR="006D3FF6" w:rsidRDefault="00E03616" w:rsidP="00EB7D43">
            <w:pPr>
              <w:pStyle w:val="naiskr"/>
              <w:spacing w:before="0" w:after="0"/>
              <w:ind w:left="147" w:right="75" w:firstLine="289"/>
              <w:jc w:val="both"/>
            </w:pPr>
            <w:r>
              <w:t>Likumprojekta III nodaļa „Ilgtermiņa stabilizācijas rezerves līdzekļu izlietošanas kārtība”</w:t>
            </w:r>
            <w:r w:rsidR="00C649F4">
              <w:t xml:space="preserve"> </w:t>
            </w:r>
            <w:r w:rsidR="00A41014">
              <w:t xml:space="preserve">paredz </w:t>
            </w:r>
            <w:r w:rsidR="003540C1">
              <w:t>ISR</w:t>
            </w:r>
            <w:r w:rsidR="00A41014" w:rsidRPr="00A41014">
              <w:t xml:space="preserve"> līdzekļu </w:t>
            </w:r>
            <w:r w:rsidR="00D1368E">
              <w:t xml:space="preserve">jaunu </w:t>
            </w:r>
            <w:r w:rsidR="00A41014" w:rsidRPr="00A41014">
              <w:t>izlietošanas kārtīb</w:t>
            </w:r>
            <w:r w:rsidR="00A41014">
              <w:t>u</w:t>
            </w:r>
            <w:r>
              <w:t xml:space="preserve"> atbilstoši FDL</w:t>
            </w:r>
            <w:r w:rsidR="00A41014">
              <w:t>,</w:t>
            </w:r>
            <w:r w:rsidR="00741553">
              <w:t xml:space="preserve"> kas balstās koncepcijā, ka valsts ekonomiski labajos gados veido budžetu ar pārpalikumu un šos līdzekļus uzkrāj, lai tos tērētu ekonomiski sliktajos gados. Līdz ar to ir būtiski nodrošināt, lai šie līdzekļu netiek izlietoti citiem mērķiem</w:t>
            </w:r>
            <w:r w:rsidR="00712797">
              <w:t xml:space="preserve">, kas rada negatīvu ietekmi uz vispārējās valdības budžeta bilanci, tādējādi  netiek </w:t>
            </w:r>
            <w:r w:rsidR="00712797" w:rsidRPr="00712797">
              <w:t xml:space="preserve"> ievērots ilgtspējīgas fiskālās politikas princips</w:t>
            </w:r>
            <w:r w:rsidR="00741553">
              <w:t>.</w:t>
            </w:r>
          </w:p>
          <w:p w:rsidR="006D3FF6" w:rsidRDefault="006D3FF6" w:rsidP="00EB7D43">
            <w:pPr>
              <w:pStyle w:val="naiskr"/>
              <w:spacing w:before="0" w:after="0"/>
              <w:ind w:left="147" w:right="75" w:firstLine="289"/>
              <w:jc w:val="both"/>
            </w:pPr>
          </w:p>
          <w:p w:rsidR="00601664" w:rsidRDefault="00741553" w:rsidP="00EB7D43">
            <w:pPr>
              <w:pStyle w:val="naiskr"/>
              <w:spacing w:before="0" w:after="0"/>
              <w:ind w:left="147" w:right="75" w:firstLine="289"/>
              <w:jc w:val="both"/>
            </w:pPr>
            <w:r>
              <w:t xml:space="preserve">Vienlaicīgi </w:t>
            </w:r>
            <w:r w:rsidR="00E03616">
              <w:t xml:space="preserve">likumprojektā </w:t>
            </w:r>
            <w:r w:rsidR="00601664">
              <w:t xml:space="preserve">ir paredzēts mehānisms, kas novērš risku, ka Valsts </w:t>
            </w:r>
            <w:r w:rsidR="007E6C35">
              <w:t>k</w:t>
            </w:r>
            <w:r w:rsidR="00601664">
              <w:t xml:space="preserve">asei ir jāaizņemas līdzekļi finanšu tirgos, ja </w:t>
            </w:r>
            <w:r w:rsidR="007E6C35">
              <w:t xml:space="preserve">finansiāli </w:t>
            </w:r>
            <w:r w:rsidR="00B16833">
              <w:t>izdevīgāk</w:t>
            </w:r>
            <w:r w:rsidR="00601664">
              <w:t xml:space="preserve"> būtu izmantot   </w:t>
            </w:r>
            <w:r w:rsidR="003540C1">
              <w:t>ISR</w:t>
            </w:r>
            <w:r w:rsidR="00601664" w:rsidRPr="00601664">
              <w:t xml:space="preserve"> līdzekļu</w:t>
            </w:r>
            <w:r w:rsidR="00601664">
              <w:t xml:space="preserve">s. </w:t>
            </w:r>
            <w:r w:rsidR="00E03616">
              <w:t xml:space="preserve">Likumprojekts </w:t>
            </w:r>
            <w:r w:rsidR="00601664">
              <w:t xml:space="preserve">šajā gadījumā atļauj izmantot </w:t>
            </w:r>
            <w:r w:rsidR="003540C1">
              <w:t>ISR</w:t>
            </w:r>
            <w:r w:rsidR="00601664" w:rsidRPr="00601664">
              <w:t xml:space="preserve"> līdzekļu</w:t>
            </w:r>
            <w:r w:rsidR="00601664">
              <w:t xml:space="preserve">s. </w:t>
            </w:r>
            <w:r w:rsidR="00DF5C06">
              <w:t xml:space="preserve">Līdz ar to </w:t>
            </w:r>
            <w:r w:rsidR="00E03616">
              <w:t xml:space="preserve">likumprojekts </w:t>
            </w:r>
            <w:r w:rsidR="0045367F">
              <w:t>paredz, ka</w:t>
            </w:r>
            <w:r w:rsidR="00DF5C06">
              <w:t xml:space="preserve"> </w:t>
            </w:r>
            <w:r w:rsidR="003540C1">
              <w:t>ISR</w:t>
            </w:r>
            <w:r w:rsidR="00DF5C06" w:rsidRPr="00DF5C06">
              <w:t xml:space="preserve"> </w:t>
            </w:r>
            <w:r w:rsidR="00DF5C06" w:rsidRPr="00DF5C06">
              <w:lastRenderedPageBreak/>
              <w:t>līdzekļus</w:t>
            </w:r>
            <w:r w:rsidR="00DF5C06">
              <w:t xml:space="preserve"> var izmantot </w:t>
            </w:r>
            <w:r w:rsidR="00B46D4B">
              <w:t>trīs</w:t>
            </w:r>
            <w:r w:rsidR="00DF5C06">
              <w:t xml:space="preserve"> gadījumos</w:t>
            </w:r>
            <w:r w:rsidR="00B46D4B">
              <w:t>, kas</w:t>
            </w:r>
            <w:r w:rsidR="00B07C63">
              <w:t xml:space="preserve"> attiecīgi ir noteikti 5</w:t>
            </w:r>
            <w:r w:rsidR="00B46D4B">
              <w:t>.</w:t>
            </w:r>
            <w:r w:rsidR="00FF35E1">
              <w:t> </w:t>
            </w:r>
            <w:r w:rsidR="00B46D4B">
              <w:t>panta pirmajā, otrajā un trešajā daļā</w:t>
            </w:r>
            <w:r w:rsidR="00DF5C06">
              <w:t>:</w:t>
            </w:r>
          </w:p>
          <w:p w:rsidR="00741553" w:rsidRDefault="00DF5C06" w:rsidP="00B46D4B">
            <w:pPr>
              <w:pStyle w:val="naiskr"/>
              <w:numPr>
                <w:ilvl w:val="0"/>
                <w:numId w:val="2"/>
              </w:numPr>
              <w:spacing w:before="0" w:after="0"/>
              <w:ind w:right="75"/>
              <w:jc w:val="both"/>
            </w:pPr>
            <w:r>
              <w:t xml:space="preserve">Līdzekļi tiek tērēti valsts pamatbudžeta finansiālā deficīta segšanai </w:t>
            </w:r>
            <w:r w:rsidRPr="00DF5C06">
              <w:t>gados, kad valsts  budžetā saskaņā ar vidējā termiņa budžeta ietvara likumā attiecīgajā gadā valsts pamatbudžet</w:t>
            </w:r>
            <w:r>
              <w:t>ā</w:t>
            </w:r>
            <w:r w:rsidRPr="00DF5C06">
              <w:t xml:space="preserve"> ir plānots finansiālais deficīts</w:t>
            </w:r>
            <w:r>
              <w:t xml:space="preserve">. </w:t>
            </w:r>
            <w:r w:rsidR="00FF35E1">
              <w:t>Ņemot vērā, ka</w:t>
            </w:r>
            <w:r>
              <w:t xml:space="preserve"> </w:t>
            </w:r>
            <w:r w:rsidR="003540C1">
              <w:t>ISR</w:t>
            </w:r>
            <w:r>
              <w:t xml:space="preserve"> veido tieši pārpalikums valsts pamatbudžetā, šis gadījums pilnā mērā atbilst koncepcijai par līdzekļu uzkrāšanu labajos gad</w:t>
            </w:r>
            <w:r w:rsidR="005440AE">
              <w:t>o</w:t>
            </w:r>
            <w:r>
              <w:t>s, lai tos tērētu ekonomiski sliktajos gados.</w:t>
            </w:r>
          </w:p>
          <w:p w:rsidR="00D7509C" w:rsidRDefault="00FF35E1" w:rsidP="00B46D4B">
            <w:pPr>
              <w:pStyle w:val="naiskr"/>
              <w:numPr>
                <w:ilvl w:val="0"/>
                <w:numId w:val="2"/>
              </w:numPr>
              <w:ind w:right="75"/>
              <w:jc w:val="both"/>
            </w:pPr>
            <w:r>
              <w:t>Līdzekļi tiek tērēti</w:t>
            </w:r>
            <w:r w:rsidR="00763ABD">
              <w:t xml:space="preserve"> </w:t>
            </w:r>
            <w:r w:rsidR="00763ABD" w:rsidRPr="00763ABD">
              <w:t>fiskālo risku mazināšanas vai novēršanas pasākumu</w:t>
            </w:r>
            <w:r w:rsidR="00763ABD">
              <w:t xml:space="preserve"> finansēšanai</w:t>
            </w:r>
            <w:r w:rsidR="00825743">
              <w:t xml:space="preserve">, ja spēkā esošās tiesību normas uzliek Valsts </w:t>
            </w:r>
            <w:r w:rsidR="007E6C35">
              <w:t>k</w:t>
            </w:r>
            <w:r w:rsidR="00825743">
              <w:t>asei pienākumu nodrošināt šo pasākumu finansēšanu un finansiāli izdev</w:t>
            </w:r>
            <w:r>
              <w:t xml:space="preserve">īgāk to veikt ar </w:t>
            </w:r>
            <w:r w:rsidR="003540C1">
              <w:t>ISR</w:t>
            </w:r>
            <w:r w:rsidR="00825743" w:rsidRPr="00825743">
              <w:t xml:space="preserve"> līdzekļ</w:t>
            </w:r>
            <w:r w:rsidR="00825743">
              <w:t xml:space="preserve">iem. Būtiski ir nodrošināt skaidrību, ka šī norma </w:t>
            </w:r>
            <w:r w:rsidR="00DA6C95">
              <w:t xml:space="preserve">likumprojektā </w:t>
            </w:r>
            <w:r w:rsidR="00825743">
              <w:t xml:space="preserve">nekādā gadījumā neatceļ FDL </w:t>
            </w:r>
            <w:r w:rsidR="00825743" w:rsidRPr="00825743">
              <w:t>17.panta sestās daļas nosacījumu</w:t>
            </w:r>
            <w:r w:rsidR="00825743">
              <w:t xml:space="preserve">, kas paredz, ka Ministru kabinets izstrādā priekšlikumus izdevumu samazināšanai citās izdevumu pozīcijās vai ieņēmumu palielināšanai, lai kompensētu fiskālo risku deklarācijā iekļauto nekvantificējamo fiskālo risku un neiekļauto fiskālo risku izraisītos izdevumus, ja tie neatbilst </w:t>
            </w:r>
            <w:r w:rsidR="008E6D2D">
              <w:t>FDL</w:t>
            </w:r>
            <w:r w:rsidR="00825743">
              <w:t xml:space="preserve"> 12.</w:t>
            </w:r>
            <w:r>
              <w:t> </w:t>
            </w:r>
            <w:r w:rsidR="00825743">
              <w:t>panta pirmās daļas 1. un 2.</w:t>
            </w:r>
            <w:r>
              <w:t> </w:t>
            </w:r>
            <w:r w:rsidR="00825743">
              <w:t>punkta nosacījumiem un ja to visu kopapjoms pārsniedz 0,1 procentu no iekšzemes kopprodukta.</w:t>
            </w:r>
            <w:r w:rsidR="00677712">
              <w:t xml:space="preserve"> </w:t>
            </w:r>
            <w:r w:rsidR="00B46D4B" w:rsidRPr="00B46D4B">
              <w:t>Šajā daļā uzsvērts, ka tā attiecas arī uz tiem fiskālo risku mazināšanas vai novēršanas pasākumiem, kas atbilst Likuma par budžetu un finanšu vadību 8</w:t>
            </w:r>
            <w:r w:rsidRPr="00FF35E1">
              <w:rPr>
                <w:vertAlign w:val="superscript"/>
              </w:rPr>
              <w:t>1</w:t>
            </w:r>
            <w:r w:rsidR="00B46D4B" w:rsidRPr="00B46D4B">
              <w:t xml:space="preserve">. pantā noteikto mērķu realizācijai, jo tieši ar šajā daļā noteikto regulējumu tiek īstenoti Likuma par budžetu un finanšu vadību </w:t>
            </w:r>
            <w:r w:rsidRPr="00B46D4B">
              <w:t>8</w:t>
            </w:r>
            <w:r w:rsidRPr="00FF35E1">
              <w:rPr>
                <w:vertAlign w:val="superscript"/>
              </w:rPr>
              <w:t>1</w:t>
            </w:r>
            <w:r w:rsidRPr="00B46D4B">
              <w:t xml:space="preserve">. </w:t>
            </w:r>
            <w:r w:rsidR="00B46D4B" w:rsidRPr="00B46D4B">
              <w:t>pantā noteikt</w:t>
            </w:r>
            <w:r w:rsidR="00B16833">
              <w:t>ais</w:t>
            </w:r>
            <w:r w:rsidR="00B46D4B" w:rsidRPr="00B46D4B">
              <w:t xml:space="preserve"> ISR mērķis „nodrošināt finanšu līdzekļu pieejamību ārkārtas situācijas gadījumā”. Pārējie divi </w:t>
            </w:r>
            <w:r w:rsidRPr="00B46D4B">
              <w:t>8</w:t>
            </w:r>
            <w:r w:rsidRPr="00FF35E1">
              <w:rPr>
                <w:vertAlign w:val="superscript"/>
              </w:rPr>
              <w:t>1</w:t>
            </w:r>
            <w:r w:rsidRPr="00B46D4B">
              <w:t xml:space="preserve">. </w:t>
            </w:r>
            <w:r>
              <w:t>pantā noteiktie ISR mērķi „</w:t>
            </w:r>
            <w:r w:rsidR="00B46D4B" w:rsidRPr="00B46D4B">
              <w:t>samazināt vispārējos ekonomiskos riskus” un „izvairīties no sociālekonomiskas krīzes vai mazināt tās ietekmi” tiek īstenoti gan finansējot attiecīgos fiskālo risku mazināšanas vai novēršanas pasākumu</w:t>
            </w:r>
            <w:r w:rsidR="00B16833">
              <w:t>s</w:t>
            </w:r>
            <w:r w:rsidR="00B46D4B" w:rsidRPr="00B46D4B">
              <w:t>, gan  nodrošinot to, ka valsts ekonomiski labajos gados izveido uzkrājumus, ko var tērēt ekonomiski sliktajos gados.</w:t>
            </w:r>
          </w:p>
          <w:p w:rsidR="00DF5C06" w:rsidRDefault="00B46D4B" w:rsidP="00B46D4B">
            <w:pPr>
              <w:pStyle w:val="naiskr"/>
              <w:numPr>
                <w:ilvl w:val="0"/>
                <w:numId w:val="2"/>
              </w:numPr>
              <w:ind w:right="75"/>
              <w:jc w:val="both"/>
            </w:pPr>
            <w:r>
              <w:t>Ī</w:t>
            </w:r>
            <w:r w:rsidRPr="00B46D4B">
              <w:t>stermiņa</w:t>
            </w:r>
            <w:r>
              <w:t xml:space="preserve"> (līdz 12 kalendārajiem mēnešiem)</w:t>
            </w:r>
            <w:r w:rsidRPr="00B46D4B">
              <w:t xml:space="preserve"> finansējuma nodrošināšanai Valsts kases </w:t>
            </w:r>
            <w:r w:rsidRPr="00B46D4B">
              <w:lastRenderedPageBreak/>
              <w:t>kontos situācijās, kad līdzekļus nav iespējams nodrošināt no citiem finansējuma avotiem vai līdzekļu nodrošināšana ir saistīta ar lieliem valsts budžeta izdevumiem, tādējādi tiek nodrošināta efektīvāka līdzekļu pārvaldīšana un ievērots ilgtspējīgas fiskālās politikas princips.</w:t>
            </w:r>
          </w:p>
          <w:p w:rsidR="00741553" w:rsidRDefault="00741553" w:rsidP="00B46D4B">
            <w:pPr>
              <w:pStyle w:val="naiskr"/>
              <w:spacing w:before="0" w:after="0"/>
              <w:ind w:right="75" w:firstLine="289"/>
              <w:jc w:val="both"/>
            </w:pPr>
          </w:p>
          <w:p w:rsidR="0071239D" w:rsidRDefault="00DA6C95" w:rsidP="00EB7D43">
            <w:pPr>
              <w:pStyle w:val="naiskr"/>
              <w:spacing w:before="0" w:after="0"/>
              <w:ind w:left="147" w:right="75" w:firstLine="289"/>
              <w:jc w:val="both"/>
            </w:pPr>
            <w:r>
              <w:t xml:space="preserve">Likumprojekts </w:t>
            </w:r>
            <w:r w:rsidR="0071239D">
              <w:t>pēc būtības nemaina spēkā esošā ISR</w:t>
            </w:r>
            <w:r>
              <w:t>L</w:t>
            </w:r>
            <w:r w:rsidR="0071239D">
              <w:t xml:space="preserve"> IV un V nodaļu par līdzekļu pārvaldīšanu, to uzskaiti un pārskati</w:t>
            </w:r>
            <w:r w:rsidR="002802EC">
              <w:t>em</w:t>
            </w:r>
            <w:r w:rsidR="0071239D">
              <w:t>.</w:t>
            </w:r>
            <w:r w:rsidR="004873C2">
              <w:t xml:space="preserve"> Likumprojekta 1</w:t>
            </w:r>
            <w:r w:rsidR="00B07C63">
              <w:t>0</w:t>
            </w:r>
            <w:r w:rsidR="004873C2">
              <w:t>.pantā tiek precizētas normas attiecībā uz f</w:t>
            </w:r>
            <w:r w:rsidR="004873C2" w:rsidRPr="004873C2">
              <w:t>inanšu risku pārvaldīšanai ilgtermiņa stabilizācijas rezerves līdzekļu ieguldījumu stratēģij</w:t>
            </w:r>
            <w:r w:rsidR="004873C2">
              <w:t>ā iekļauja</w:t>
            </w:r>
            <w:r w:rsidR="00B07C63">
              <w:t>mo informāciju. Likumprojekta 11</w:t>
            </w:r>
            <w:r w:rsidR="004873C2">
              <w:t xml:space="preserve">. pantā tiek precizēts nosacījums, ka ir </w:t>
            </w:r>
            <w:r w:rsidR="004873C2" w:rsidRPr="004873C2">
              <w:t>atļauts izmantot atvasinātos finanšu instrumentus</w:t>
            </w:r>
            <w:r w:rsidR="004873C2">
              <w:t xml:space="preserve"> nevis izmanto, lai neierobežotu  iespējas atteikties no </w:t>
            </w:r>
            <w:r w:rsidR="004873C2" w:rsidRPr="004873C2">
              <w:t>atvasinātos finanšu i</w:t>
            </w:r>
            <w:r w:rsidR="004873C2">
              <w:t>nstrumentu izmantošanas i</w:t>
            </w:r>
            <w:r w:rsidR="004873C2" w:rsidRPr="004873C2">
              <w:t>lgtermiņa stabilizācijas rezerves pārvaldīšanā</w:t>
            </w:r>
            <w:r w:rsidR="004873C2">
              <w:t>.</w:t>
            </w:r>
          </w:p>
          <w:p w:rsidR="00E21832" w:rsidRDefault="00B07C63" w:rsidP="00EB7D43">
            <w:pPr>
              <w:pStyle w:val="naiskr"/>
              <w:spacing w:before="0" w:after="0"/>
              <w:ind w:left="147" w:right="75" w:firstLine="289"/>
              <w:jc w:val="both"/>
            </w:pPr>
            <w:r>
              <w:t>Likumprojekta 15</w:t>
            </w:r>
            <w:r w:rsidR="00E21832">
              <w:t xml:space="preserve">.pantā ir  redakcionāli precizētas termins attiecībā uz  saimnieciskā gada pārskatu. </w:t>
            </w:r>
          </w:p>
          <w:p w:rsidR="00D1368E" w:rsidRDefault="00DA6C95" w:rsidP="00EB7D43">
            <w:pPr>
              <w:pStyle w:val="naiskr"/>
              <w:spacing w:before="0" w:after="0"/>
              <w:ind w:left="147" w:right="75" w:firstLine="289"/>
              <w:jc w:val="both"/>
            </w:pPr>
            <w:r>
              <w:t xml:space="preserve">Likumprojekta </w:t>
            </w:r>
            <w:r w:rsidR="0059673B">
              <w:t xml:space="preserve">pārejas noteikumu pirmais punkts paredz, ka </w:t>
            </w:r>
            <w:r w:rsidR="008D21FB" w:rsidRPr="008D21FB">
              <w:t xml:space="preserve">finanšu ministrs </w:t>
            </w:r>
            <w:r w:rsidR="0059673B">
              <w:t xml:space="preserve">iesniedz </w:t>
            </w:r>
            <w:r w:rsidR="00FF35E1">
              <w:t>Ministru kabinetam</w:t>
            </w:r>
            <w:r w:rsidR="008D21FB">
              <w:t xml:space="preserve"> </w:t>
            </w:r>
            <w:r w:rsidR="00B07C63">
              <w:t>likuma 16</w:t>
            </w:r>
            <w:r w:rsidR="008D21FB" w:rsidRPr="008D21FB">
              <w:t>.</w:t>
            </w:r>
            <w:r w:rsidR="00FF35E1">
              <w:t> </w:t>
            </w:r>
            <w:r w:rsidR="008D21FB" w:rsidRPr="008D21FB">
              <w:t>pantā minēto</w:t>
            </w:r>
            <w:r w:rsidR="008D21FB" w:rsidRPr="008D21FB" w:rsidDel="002802EC">
              <w:t xml:space="preserve"> </w:t>
            </w:r>
            <w:r w:rsidR="008D21FB">
              <w:t xml:space="preserve"> ziņojumu</w:t>
            </w:r>
            <w:r w:rsidR="008D21FB" w:rsidDel="002802EC">
              <w:t xml:space="preserve"> </w:t>
            </w:r>
            <w:r w:rsidR="005F30F4" w:rsidRPr="005F30F4">
              <w:t>sākot ar 2014.</w:t>
            </w:r>
            <w:r w:rsidR="005F30F4">
              <w:t> </w:t>
            </w:r>
            <w:r w:rsidR="00FF35E1">
              <w:t>gada 1. </w:t>
            </w:r>
            <w:r w:rsidR="005F30F4" w:rsidRPr="005F30F4">
              <w:t>janvāri</w:t>
            </w:r>
            <w:r w:rsidR="0059673B">
              <w:t>, ņemot vērā, ka pirmais vidēja termiņa budžeta likums, kas sagatavots saskaņā ar FDL</w:t>
            </w:r>
            <w:r w:rsidR="00D1368E">
              <w:t>,</w:t>
            </w:r>
            <w:r w:rsidR="0059673B">
              <w:t xml:space="preserve"> ir </w:t>
            </w:r>
            <w:r w:rsidR="00D1368E">
              <w:t>pašreiz</w:t>
            </w:r>
            <w:r w:rsidR="0059673B">
              <w:t xml:space="preserve"> izstrādātais likumprojekts </w:t>
            </w:r>
            <w:r w:rsidR="00D1368E" w:rsidRPr="00D1368E">
              <w:t>„Par vidēja termiņa budžeta ietvaru 2014., 2015. un 2016.</w:t>
            </w:r>
            <w:r w:rsidR="00FF35E1">
              <w:t> </w:t>
            </w:r>
            <w:r w:rsidR="00D1368E" w:rsidRPr="00D1368E">
              <w:t>gadam”</w:t>
            </w:r>
            <w:r w:rsidR="002802EC">
              <w:t>, kas</w:t>
            </w:r>
            <w:r w:rsidR="00D1368E">
              <w:t xml:space="preserve"> stāsies spēkā sākot ar 2014. gada 1. </w:t>
            </w:r>
            <w:r w:rsidR="008D21FB">
              <w:t>j</w:t>
            </w:r>
            <w:r w:rsidR="00D1368E">
              <w:t>anvāri</w:t>
            </w:r>
            <w:r w:rsidR="008D21FB">
              <w:t>.</w:t>
            </w:r>
            <w:r w:rsidR="00D1368E">
              <w:t xml:space="preserve"> </w:t>
            </w:r>
            <w:r w:rsidR="008D21FB">
              <w:t>L</w:t>
            </w:r>
            <w:r w:rsidR="00D1368E">
              <w:t>īdz ar to ilgtermiņa stabilizācijas rezerves veidošan</w:t>
            </w:r>
            <w:r w:rsidR="008D21FB">
              <w:t>u</w:t>
            </w:r>
            <w:r w:rsidR="00D1368E">
              <w:t xml:space="preserve"> atbilstoši FDL būtu ieteicams uzsākt </w:t>
            </w:r>
            <w:r w:rsidR="008D21FB">
              <w:t xml:space="preserve">vienlaikus </w:t>
            </w:r>
            <w:r w:rsidR="00D1368E">
              <w:t xml:space="preserve">ar </w:t>
            </w:r>
            <w:r w:rsidR="00D1368E" w:rsidRPr="00D1368E">
              <w:t>likumprojekt</w:t>
            </w:r>
            <w:r w:rsidR="008D21FB">
              <w:t>a</w:t>
            </w:r>
            <w:r w:rsidR="00D1368E" w:rsidRPr="00D1368E">
              <w:t xml:space="preserve"> „Par vidēja termiņa budžeta ietvaru 2014., 2015. un 2016.</w:t>
            </w:r>
            <w:r w:rsidR="00FF35E1">
              <w:t> </w:t>
            </w:r>
            <w:r w:rsidR="00D1368E" w:rsidRPr="00D1368E">
              <w:t>gadam”</w:t>
            </w:r>
            <w:r w:rsidR="008D21FB">
              <w:t xml:space="preserve"> spēkā stāšanos</w:t>
            </w:r>
            <w:r w:rsidR="00D1368E">
              <w:t xml:space="preserve">. </w:t>
            </w:r>
          </w:p>
          <w:p w:rsidR="00EB7D43" w:rsidRDefault="00CB2711" w:rsidP="00EB7D43">
            <w:pPr>
              <w:pStyle w:val="naiskr"/>
              <w:spacing w:before="0" w:after="0"/>
              <w:ind w:left="147" w:right="75" w:firstLine="289"/>
              <w:jc w:val="both"/>
            </w:pPr>
            <w:r>
              <w:t xml:space="preserve">Lai </w:t>
            </w:r>
            <w:r w:rsidR="00FB5930">
              <w:t>ne</w:t>
            </w:r>
            <w:r w:rsidR="00426B4A">
              <w:t xml:space="preserve">būtu </w:t>
            </w:r>
            <w:r w:rsidR="00FB5930">
              <w:t>nelietderīgi</w:t>
            </w:r>
            <w:r w:rsidR="00426B4A">
              <w:t xml:space="preserve"> </w:t>
            </w:r>
            <w:r w:rsidR="00DA6C95">
              <w:t xml:space="preserve">likumprojekta </w:t>
            </w:r>
            <w:r w:rsidR="00B07C63">
              <w:t>13</w:t>
            </w:r>
            <w:r w:rsidR="00426B4A">
              <w:t>.</w:t>
            </w:r>
            <w:r w:rsidR="00DA6C95">
              <w:t xml:space="preserve"> </w:t>
            </w:r>
            <w:r w:rsidR="00B07C63">
              <w:t>un 14</w:t>
            </w:r>
            <w:r w:rsidR="00426B4A">
              <w:t>.</w:t>
            </w:r>
            <w:r w:rsidR="00FF35E1">
              <w:t> </w:t>
            </w:r>
            <w:r w:rsidR="00426B4A">
              <w:t>pantā minēto pārskatu gatavošanas un iesniegšanas procesi</w:t>
            </w:r>
            <w:r>
              <w:t xml:space="preserve">, likumprojekta </w:t>
            </w:r>
            <w:r w:rsidR="00EB7D43">
              <w:t>pārejas noteikumu otrais un trešais punkts</w:t>
            </w:r>
            <w:r>
              <w:t xml:space="preserve"> </w:t>
            </w:r>
            <w:r w:rsidR="00426B4A">
              <w:t>paredz iespēju konkrētajo</w:t>
            </w:r>
            <w:r>
              <w:t xml:space="preserve">s </w:t>
            </w:r>
            <w:r w:rsidR="00426B4A">
              <w:t>gadījumos</w:t>
            </w:r>
            <w:r>
              <w:t xml:space="preserve"> Valsts kasei </w:t>
            </w:r>
            <w:r w:rsidR="00426B4A">
              <w:t xml:space="preserve">negatavot un </w:t>
            </w:r>
            <w:r>
              <w:t>neiesniegt attiecīgos pārskatus.</w:t>
            </w:r>
          </w:p>
          <w:p w:rsidR="00AC1B46" w:rsidRPr="00BF19F8" w:rsidRDefault="00A47246" w:rsidP="0047215D">
            <w:pPr>
              <w:pStyle w:val="naiskr"/>
              <w:spacing w:before="0" w:after="0"/>
              <w:ind w:left="147" w:right="75" w:firstLine="289"/>
              <w:jc w:val="both"/>
            </w:pPr>
            <w:r>
              <w:t>Ņemo</w:t>
            </w:r>
            <w:r w:rsidR="00A41014">
              <w:t>t vērā, ka tehniski grozījumu apjoms</w:t>
            </w:r>
            <w:r>
              <w:t xml:space="preserve"> pārsniedz 50</w:t>
            </w:r>
            <w:r w:rsidR="00A41014">
              <w:t> </w:t>
            </w:r>
            <w:r>
              <w:t xml:space="preserve">% no </w:t>
            </w:r>
            <w:r w:rsidR="006E4C6E">
              <w:t xml:space="preserve">spēkā esošā ISR, </w:t>
            </w:r>
            <w:r w:rsidR="0071239D">
              <w:t xml:space="preserve">ir </w:t>
            </w:r>
            <w:r w:rsidR="00E82B57">
              <w:t>izstrādāts</w:t>
            </w:r>
            <w:r w:rsidR="0071239D">
              <w:t xml:space="preserve"> jauns</w:t>
            </w:r>
            <w:r w:rsidR="006E4C6E">
              <w:t xml:space="preserve"> likumprojekts</w:t>
            </w:r>
            <w:r w:rsidR="0071239D">
              <w:t>, kas</w:t>
            </w:r>
            <w:r w:rsidR="006E4C6E">
              <w:t xml:space="preserve"> paredz, ka ar </w:t>
            </w:r>
            <w:r w:rsidR="0047215D">
              <w:t xml:space="preserve">likumprojekta </w:t>
            </w:r>
            <w:r w:rsidR="006E4C6E" w:rsidRPr="006E4C6E">
              <w:t xml:space="preserve">spēkā stāšanos spēku zaudē Ilgtermiņa stabilizācijas rezerves likums (Latvijas Republikas Saeimas un Ministru Kabineta Ziņotājs, 2008, 24. </w:t>
            </w:r>
            <w:proofErr w:type="spellStart"/>
            <w:r w:rsidR="006E4C6E" w:rsidRPr="006E4C6E">
              <w:t>nr</w:t>
            </w:r>
            <w:proofErr w:type="spellEnd"/>
            <w:r w:rsidR="006E4C6E" w:rsidRPr="006E4C6E">
              <w:t xml:space="preserve">.; 2009, 14. </w:t>
            </w:r>
            <w:proofErr w:type="spellStart"/>
            <w:r w:rsidR="006E4C6E" w:rsidRPr="006E4C6E">
              <w:t>nr</w:t>
            </w:r>
            <w:proofErr w:type="spellEnd"/>
            <w:r w:rsidR="006E4C6E" w:rsidRPr="006E4C6E">
              <w:t xml:space="preserve">.; Latvijas Vēstnesis, 2008, 186. </w:t>
            </w:r>
            <w:proofErr w:type="spellStart"/>
            <w:r w:rsidR="006E4C6E" w:rsidRPr="006E4C6E">
              <w:t>nr</w:t>
            </w:r>
            <w:proofErr w:type="spellEnd"/>
            <w:r w:rsidR="006E4C6E" w:rsidRPr="006E4C6E">
              <w:t xml:space="preserve">.; 2009, 100. </w:t>
            </w:r>
            <w:proofErr w:type="spellStart"/>
            <w:r w:rsidR="006E4C6E" w:rsidRPr="006E4C6E">
              <w:t>nr</w:t>
            </w:r>
            <w:proofErr w:type="spellEnd"/>
            <w:r w:rsidR="006E4C6E" w:rsidRPr="006E4C6E">
              <w:t>.)</w:t>
            </w:r>
            <w:r w:rsidR="006E4C6E">
              <w:t>.</w:t>
            </w:r>
          </w:p>
        </w:tc>
      </w:tr>
      <w:tr w:rsidR="00AF0540" w:rsidRPr="007C0F2C" w:rsidTr="00A809FF">
        <w:trPr>
          <w:trHeight w:val="476"/>
        </w:trPr>
        <w:tc>
          <w:tcPr>
            <w:tcW w:w="403" w:type="dxa"/>
          </w:tcPr>
          <w:p w:rsidR="00AF0540" w:rsidRPr="007C0F2C" w:rsidRDefault="00AF0540" w:rsidP="00FE60B7">
            <w:pPr>
              <w:pStyle w:val="naiskr"/>
              <w:spacing w:before="0" w:after="0"/>
              <w:rPr>
                <w:sz w:val="22"/>
                <w:szCs w:val="22"/>
              </w:rPr>
            </w:pPr>
            <w:r w:rsidRPr="007C0F2C">
              <w:rPr>
                <w:sz w:val="22"/>
                <w:szCs w:val="22"/>
              </w:rPr>
              <w:lastRenderedPageBreak/>
              <w:t>5.</w:t>
            </w:r>
          </w:p>
        </w:tc>
        <w:tc>
          <w:tcPr>
            <w:tcW w:w="3991" w:type="dxa"/>
          </w:tcPr>
          <w:p w:rsidR="00AF0540" w:rsidRPr="00BF19F8" w:rsidRDefault="00AF0540" w:rsidP="00FE60B7">
            <w:pPr>
              <w:pStyle w:val="naiskr"/>
              <w:spacing w:before="0" w:after="0"/>
            </w:pPr>
            <w:r w:rsidRPr="00BF19F8">
              <w:t>Projekta izstrādē iesaistītās institūcijas</w:t>
            </w:r>
          </w:p>
        </w:tc>
        <w:tc>
          <w:tcPr>
            <w:tcW w:w="5184" w:type="dxa"/>
          </w:tcPr>
          <w:p w:rsidR="00AF0540" w:rsidRPr="00BF19F8" w:rsidRDefault="00CA0BA3" w:rsidP="00EB7D43">
            <w:pPr>
              <w:pStyle w:val="naiskr"/>
              <w:spacing w:before="0" w:after="0"/>
              <w:ind w:left="147" w:right="75" w:firstLine="289"/>
            </w:pPr>
            <w:r w:rsidRPr="00BF19F8">
              <w:rPr>
                <w:iCs/>
              </w:rPr>
              <w:t>Finanšu ministrija</w:t>
            </w:r>
          </w:p>
        </w:tc>
      </w:tr>
      <w:tr w:rsidR="00AF0540" w:rsidRPr="007C0F2C" w:rsidTr="00FF35E1">
        <w:trPr>
          <w:trHeight w:val="825"/>
        </w:trPr>
        <w:tc>
          <w:tcPr>
            <w:tcW w:w="403" w:type="dxa"/>
          </w:tcPr>
          <w:p w:rsidR="00AF0540" w:rsidRPr="007C0F2C" w:rsidRDefault="00AF0540" w:rsidP="00FE60B7">
            <w:pPr>
              <w:pStyle w:val="naiskr"/>
              <w:spacing w:before="0" w:after="0"/>
              <w:rPr>
                <w:sz w:val="22"/>
                <w:szCs w:val="22"/>
              </w:rPr>
            </w:pPr>
            <w:r w:rsidRPr="007C0F2C">
              <w:rPr>
                <w:sz w:val="22"/>
                <w:szCs w:val="22"/>
              </w:rPr>
              <w:lastRenderedPageBreak/>
              <w:t>6.</w:t>
            </w:r>
          </w:p>
        </w:tc>
        <w:tc>
          <w:tcPr>
            <w:tcW w:w="3991" w:type="dxa"/>
          </w:tcPr>
          <w:p w:rsidR="00AF0540" w:rsidRPr="00BF19F8" w:rsidRDefault="00AF0540" w:rsidP="00FE60B7">
            <w:pPr>
              <w:pStyle w:val="naiskr"/>
              <w:spacing w:before="0" w:after="0"/>
              <w:rPr>
                <w:i/>
                <w:highlight w:val="yellow"/>
              </w:rPr>
            </w:pPr>
            <w:r w:rsidRPr="00BF19F8">
              <w:t>Iemesli, kādēļ netika nodrošināta sabiedrības līdzdalība</w:t>
            </w:r>
          </w:p>
        </w:tc>
        <w:tc>
          <w:tcPr>
            <w:tcW w:w="5184" w:type="dxa"/>
          </w:tcPr>
          <w:p w:rsidR="00AF0540" w:rsidRPr="00BF19F8" w:rsidRDefault="00CA0BA3" w:rsidP="00EB7D43">
            <w:pPr>
              <w:pStyle w:val="FootnoteText"/>
              <w:ind w:left="147" w:right="75" w:firstLine="289"/>
              <w:jc w:val="both"/>
              <w:rPr>
                <w:sz w:val="24"/>
                <w:szCs w:val="24"/>
              </w:rPr>
            </w:pPr>
            <w:r w:rsidRPr="00BF19F8">
              <w:rPr>
                <w:iCs/>
                <w:sz w:val="24"/>
                <w:szCs w:val="24"/>
              </w:rPr>
              <w:t>Sabiedrības līdzdalība netika nodrošināta, jo likumprojektā nav ietvertas normas, kas tieši skartu sabiedrības intereses.</w:t>
            </w:r>
          </w:p>
        </w:tc>
      </w:tr>
      <w:tr w:rsidR="00AF0540" w:rsidRPr="007C0F2C" w:rsidTr="00A809FF">
        <w:tc>
          <w:tcPr>
            <w:tcW w:w="403" w:type="dxa"/>
          </w:tcPr>
          <w:p w:rsidR="00AF0540" w:rsidRPr="007C0F2C" w:rsidRDefault="00AF0540" w:rsidP="00FE60B7">
            <w:pPr>
              <w:pStyle w:val="naiskr"/>
              <w:spacing w:before="0" w:after="0"/>
              <w:rPr>
                <w:sz w:val="22"/>
                <w:szCs w:val="22"/>
              </w:rPr>
            </w:pPr>
            <w:r w:rsidRPr="007C0F2C">
              <w:rPr>
                <w:sz w:val="22"/>
                <w:szCs w:val="22"/>
              </w:rPr>
              <w:t>7.</w:t>
            </w:r>
          </w:p>
        </w:tc>
        <w:tc>
          <w:tcPr>
            <w:tcW w:w="3991" w:type="dxa"/>
          </w:tcPr>
          <w:p w:rsidR="00AF0540" w:rsidRPr="00BF19F8" w:rsidRDefault="00AF0540" w:rsidP="00FE60B7">
            <w:pPr>
              <w:pStyle w:val="naiskr"/>
              <w:spacing w:before="0" w:after="0"/>
            </w:pPr>
            <w:r w:rsidRPr="00BF19F8">
              <w:t>Cita informācija</w:t>
            </w:r>
          </w:p>
        </w:tc>
        <w:tc>
          <w:tcPr>
            <w:tcW w:w="5184" w:type="dxa"/>
          </w:tcPr>
          <w:p w:rsidR="00AF0540" w:rsidRPr="00BF19F8" w:rsidRDefault="00CA0BA3" w:rsidP="00EB7D43">
            <w:pPr>
              <w:pStyle w:val="naiskr"/>
              <w:spacing w:before="0" w:after="0"/>
              <w:ind w:left="147" w:right="75" w:firstLine="289"/>
            </w:pPr>
            <w:r w:rsidRPr="00BF19F8">
              <w:t>Nav</w:t>
            </w:r>
          </w:p>
        </w:tc>
      </w:tr>
    </w:tbl>
    <w:p w:rsidR="00AF0540" w:rsidRDefault="00AF0540" w:rsidP="008A4AEC">
      <w:pPr>
        <w:pStyle w:val="naisf"/>
        <w:spacing w:before="0" w:after="0"/>
        <w:ind w:firstLine="0"/>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9"/>
      </w:tblGrid>
      <w:tr w:rsidR="006E4C6E" w:rsidRPr="00F62419" w:rsidTr="006E4C6E">
        <w:trPr>
          <w:trHeight w:val="652"/>
          <w:jc w:val="center"/>
        </w:trPr>
        <w:tc>
          <w:tcPr>
            <w:tcW w:w="9699" w:type="dxa"/>
            <w:vAlign w:val="center"/>
          </w:tcPr>
          <w:p w:rsidR="006E4C6E" w:rsidRPr="00F62419" w:rsidRDefault="006E4C6E" w:rsidP="006E4C6E">
            <w:pPr>
              <w:pStyle w:val="naisnod"/>
              <w:spacing w:beforeLines="60" w:before="144" w:afterLines="60" w:after="144"/>
              <w:rPr>
                <w:i/>
                <w:color w:val="000000"/>
                <w:sz w:val="22"/>
                <w:szCs w:val="22"/>
              </w:rPr>
            </w:pPr>
            <w:r w:rsidRPr="00F62419">
              <w:rPr>
                <w:color w:val="000000"/>
                <w:sz w:val="22"/>
                <w:szCs w:val="22"/>
              </w:rPr>
              <w:br w:type="page"/>
            </w:r>
            <w:r w:rsidRPr="00935C43">
              <w:rPr>
                <w:color w:val="000000"/>
              </w:rPr>
              <w:t>II. Tiesību akta projekta ietekme uz sabiedrību</w:t>
            </w:r>
          </w:p>
        </w:tc>
      </w:tr>
      <w:tr w:rsidR="006E4C6E" w:rsidRPr="00F62419" w:rsidTr="006E4C6E">
        <w:trPr>
          <w:trHeight w:val="228"/>
          <w:jc w:val="center"/>
        </w:trPr>
        <w:tc>
          <w:tcPr>
            <w:tcW w:w="9699" w:type="dxa"/>
          </w:tcPr>
          <w:p w:rsidR="006E4C6E" w:rsidRPr="00F62419" w:rsidRDefault="006E4C6E" w:rsidP="006E4C6E">
            <w:pPr>
              <w:spacing w:beforeLines="60" w:before="144" w:afterLines="60" w:after="144"/>
              <w:jc w:val="center"/>
              <w:rPr>
                <w:color w:val="000000"/>
                <w:sz w:val="22"/>
                <w:szCs w:val="22"/>
              </w:rPr>
            </w:pPr>
            <w:r w:rsidRPr="00935C43">
              <w:rPr>
                <w:rFonts w:eastAsia="Calibri"/>
                <w:sz w:val="26"/>
                <w:szCs w:val="26"/>
                <w:lang w:eastAsia="en-US"/>
              </w:rPr>
              <w:t>Projekts šo jomu neskar.</w:t>
            </w:r>
          </w:p>
        </w:tc>
      </w:tr>
    </w:tbl>
    <w:p w:rsidR="00AF0540" w:rsidRPr="007C0F2C" w:rsidRDefault="00AF0540" w:rsidP="006E4C6E">
      <w:pPr>
        <w:pStyle w:val="naisf"/>
        <w:spacing w:before="0" w:after="0"/>
        <w:ind w:firstLine="374"/>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6E4C6E" w:rsidRPr="00F62419" w:rsidTr="006E4C6E">
        <w:trPr>
          <w:trHeight w:val="652"/>
          <w:jc w:val="center"/>
        </w:trPr>
        <w:tc>
          <w:tcPr>
            <w:tcW w:w="9700" w:type="dxa"/>
          </w:tcPr>
          <w:p w:rsidR="006E4C6E" w:rsidRPr="00F62419" w:rsidRDefault="006E4C6E" w:rsidP="006E4C6E">
            <w:pPr>
              <w:pStyle w:val="naisnod"/>
              <w:spacing w:beforeLines="60" w:before="144" w:afterLines="60" w:after="144"/>
              <w:rPr>
                <w:i/>
                <w:color w:val="000000"/>
                <w:sz w:val="22"/>
                <w:szCs w:val="22"/>
              </w:rPr>
            </w:pPr>
            <w:r w:rsidRPr="00F62419">
              <w:rPr>
                <w:color w:val="000000"/>
                <w:sz w:val="22"/>
                <w:szCs w:val="22"/>
              </w:rPr>
              <w:br w:type="page"/>
            </w:r>
            <w:r w:rsidRPr="00F62419">
              <w:rPr>
                <w:color w:val="000000"/>
              </w:rPr>
              <w:t>III. Tiesību akta projekta ietekme uz valsts budžetu un pašvaldību budžetiem</w:t>
            </w:r>
          </w:p>
        </w:tc>
      </w:tr>
      <w:tr w:rsidR="006E4C6E" w:rsidRPr="006E4C6E" w:rsidTr="006E4C6E">
        <w:trPr>
          <w:trHeight w:val="236"/>
          <w:jc w:val="center"/>
        </w:trPr>
        <w:tc>
          <w:tcPr>
            <w:tcW w:w="9700" w:type="dxa"/>
          </w:tcPr>
          <w:p w:rsidR="006E4C6E" w:rsidRPr="006E4C6E" w:rsidRDefault="006E4C6E" w:rsidP="006E4C6E">
            <w:pPr>
              <w:pStyle w:val="naisnod"/>
              <w:spacing w:beforeLines="60" w:before="144" w:afterLines="60" w:after="144"/>
              <w:rPr>
                <w:b w:val="0"/>
                <w:color w:val="000000"/>
                <w:sz w:val="22"/>
                <w:szCs w:val="22"/>
              </w:rPr>
            </w:pPr>
            <w:r w:rsidRPr="006E4C6E">
              <w:rPr>
                <w:rFonts w:eastAsia="Calibri"/>
                <w:b w:val="0"/>
                <w:sz w:val="26"/>
                <w:szCs w:val="26"/>
                <w:lang w:eastAsia="en-US"/>
              </w:rPr>
              <w:t>Projekts šo jomu neskar.</w:t>
            </w:r>
          </w:p>
        </w:tc>
      </w:tr>
    </w:tbl>
    <w:p w:rsidR="00AF0540" w:rsidRDefault="00AF0540" w:rsidP="006E4C6E">
      <w:pPr>
        <w:pStyle w:val="naisf"/>
        <w:spacing w:before="0" w:after="0"/>
        <w:ind w:firstLine="374"/>
        <w:rPr>
          <w:sz w:val="28"/>
          <w:szCs w:val="28"/>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3"/>
      </w:tblGrid>
      <w:tr w:rsidR="006E4C6E" w:rsidRPr="00F62419" w:rsidTr="006E4C6E">
        <w:trPr>
          <w:jc w:val="center"/>
        </w:trPr>
        <w:tc>
          <w:tcPr>
            <w:tcW w:w="9753" w:type="dxa"/>
          </w:tcPr>
          <w:p w:rsidR="006E4C6E" w:rsidRPr="00F62419" w:rsidRDefault="006E4C6E" w:rsidP="006E4C6E">
            <w:pPr>
              <w:pStyle w:val="naisnod"/>
              <w:spacing w:beforeLines="60" w:before="144" w:afterLines="60" w:after="144"/>
              <w:rPr>
                <w:color w:val="000000"/>
              </w:rPr>
            </w:pPr>
            <w:r w:rsidRPr="00F62419">
              <w:rPr>
                <w:color w:val="000000"/>
              </w:rPr>
              <w:t>IV. Tiesību akta projekta ietekme uz spēkā esošo tiesību normu sistēmu</w:t>
            </w:r>
          </w:p>
        </w:tc>
      </w:tr>
      <w:tr w:rsidR="006E4C6E" w:rsidRPr="00F62419" w:rsidTr="006E4C6E">
        <w:trPr>
          <w:trHeight w:val="225"/>
          <w:jc w:val="center"/>
        </w:trPr>
        <w:tc>
          <w:tcPr>
            <w:tcW w:w="9753" w:type="dxa"/>
          </w:tcPr>
          <w:p w:rsidR="006E4C6E" w:rsidRPr="00F62419" w:rsidRDefault="006E4C6E" w:rsidP="006E4C6E">
            <w:pPr>
              <w:pStyle w:val="naisnod"/>
              <w:spacing w:beforeLines="60" w:before="144" w:afterLines="60" w:after="144"/>
              <w:rPr>
                <w:color w:val="000000"/>
              </w:rPr>
            </w:pPr>
            <w:r w:rsidRPr="006E4C6E">
              <w:rPr>
                <w:rFonts w:eastAsia="Calibri"/>
                <w:b w:val="0"/>
                <w:sz w:val="26"/>
                <w:szCs w:val="26"/>
                <w:lang w:eastAsia="en-US"/>
              </w:rPr>
              <w:t>Projekts šo jomu neskar.</w:t>
            </w:r>
          </w:p>
        </w:tc>
      </w:tr>
    </w:tbl>
    <w:p w:rsidR="006E4C6E" w:rsidRDefault="006E4C6E" w:rsidP="006E4C6E">
      <w:pPr>
        <w:pStyle w:val="naisf"/>
        <w:spacing w:before="0" w:after="0"/>
        <w:ind w:firstLine="374"/>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98"/>
      </w:tblGrid>
      <w:tr w:rsidR="006E4C6E" w:rsidRPr="00A92F11" w:rsidTr="00FE60B7">
        <w:tc>
          <w:tcPr>
            <w:tcW w:w="0" w:type="auto"/>
            <w:tcBorders>
              <w:top w:val="outset" w:sz="6" w:space="0" w:color="auto"/>
              <w:left w:val="outset" w:sz="6" w:space="0" w:color="auto"/>
              <w:bottom w:val="outset" w:sz="6" w:space="0" w:color="auto"/>
              <w:right w:val="outset" w:sz="6" w:space="0" w:color="auto"/>
            </w:tcBorders>
            <w:vAlign w:val="center"/>
            <w:hideMark/>
          </w:tcPr>
          <w:p w:rsidR="006E4C6E" w:rsidRPr="00166C88" w:rsidRDefault="006E4C6E" w:rsidP="006E4C6E">
            <w:pPr>
              <w:spacing w:beforeLines="60" w:before="144" w:afterLines="60" w:after="144"/>
              <w:jc w:val="center"/>
            </w:pPr>
            <w:r w:rsidRPr="00166C88">
              <w:rPr>
                <w:b/>
                <w:bCs/>
              </w:rPr>
              <w:t>V. Tiesību akta projekta atbilstība Latvijas Republikas starptautiskajām saistībām</w:t>
            </w:r>
          </w:p>
        </w:tc>
      </w:tr>
      <w:tr w:rsidR="006E4C6E" w:rsidRPr="008E3CF6" w:rsidTr="00FE60B7">
        <w:tc>
          <w:tcPr>
            <w:tcW w:w="0" w:type="auto"/>
            <w:tcBorders>
              <w:top w:val="outset" w:sz="6" w:space="0" w:color="auto"/>
              <w:left w:val="outset" w:sz="6" w:space="0" w:color="auto"/>
              <w:bottom w:val="outset" w:sz="6" w:space="0" w:color="auto"/>
              <w:right w:val="outset" w:sz="6" w:space="0" w:color="auto"/>
            </w:tcBorders>
            <w:vAlign w:val="center"/>
          </w:tcPr>
          <w:p w:rsidR="006E4C6E" w:rsidRPr="00166C88" w:rsidRDefault="006E4C6E" w:rsidP="006E4C6E">
            <w:pPr>
              <w:spacing w:beforeLines="60" w:before="144" w:afterLines="60" w:after="144"/>
              <w:jc w:val="center"/>
              <w:rPr>
                <w:b/>
                <w:bCs/>
              </w:rPr>
            </w:pPr>
            <w:r w:rsidRPr="00A92F11">
              <w:rPr>
                <w:iCs/>
                <w:color w:val="000000"/>
              </w:rPr>
              <w:t>Projekts šo jomu neskar</w:t>
            </w:r>
          </w:p>
        </w:tc>
      </w:tr>
    </w:tbl>
    <w:p w:rsidR="006E4C6E" w:rsidRDefault="006E4C6E" w:rsidP="006E4C6E">
      <w:pPr>
        <w:pStyle w:val="naisf"/>
        <w:spacing w:before="0" w:after="0"/>
        <w:ind w:firstLine="374"/>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98"/>
      </w:tblGrid>
      <w:tr w:rsidR="006E4C6E" w:rsidRPr="00A92F11" w:rsidTr="00FE60B7">
        <w:tc>
          <w:tcPr>
            <w:tcW w:w="0" w:type="auto"/>
            <w:tcBorders>
              <w:top w:val="outset" w:sz="6" w:space="0" w:color="auto"/>
              <w:left w:val="outset" w:sz="6" w:space="0" w:color="auto"/>
              <w:bottom w:val="outset" w:sz="6" w:space="0" w:color="auto"/>
              <w:right w:val="outset" w:sz="6" w:space="0" w:color="auto"/>
            </w:tcBorders>
            <w:vAlign w:val="center"/>
            <w:hideMark/>
          </w:tcPr>
          <w:p w:rsidR="006E4C6E" w:rsidRPr="00166C88" w:rsidRDefault="006E4C6E" w:rsidP="006E4C6E">
            <w:pPr>
              <w:spacing w:beforeLines="60" w:before="144" w:afterLines="60" w:after="144"/>
              <w:jc w:val="center"/>
            </w:pPr>
            <w:r w:rsidRPr="006E4C6E">
              <w:rPr>
                <w:b/>
                <w:bCs/>
              </w:rPr>
              <w:t>VI. Sabiedrības līdzdalība un šīs līdzdalības rezultāti</w:t>
            </w:r>
          </w:p>
        </w:tc>
      </w:tr>
      <w:tr w:rsidR="006E4C6E" w:rsidRPr="008E3CF6" w:rsidTr="00FE60B7">
        <w:tc>
          <w:tcPr>
            <w:tcW w:w="0" w:type="auto"/>
            <w:tcBorders>
              <w:top w:val="outset" w:sz="6" w:space="0" w:color="auto"/>
              <w:left w:val="outset" w:sz="6" w:space="0" w:color="auto"/>
              <w:bottom w:val="outset" w:sz="6" w:space="0" w:color="auto"/>
              <w:right w:val="outset" w:sz="6" w:space="0" w:color="auto"/>
            </w:tcBorders>
            <w:vAlign w:val="center"/>
          </w:tcPr>
          <w:p w:rsidR="006E4C6E" w:rsidRPr="00166C88" w:rsidRDefault="006E4C6E" w:rsidP="006E4C6E">
            <w:pPr>
              <w:spacing w:beforeLines="60" w:before="144" w:afterLines="60" w:after="144"/>
              <w:jc w:val="center"/>
              <w:rPr>
                <w:b/>
                <w:bCs/>
              </w:rPr>
            </w:pPr>
            <w:r w:rsidRPr="00A92F11">
              <w:rPr>
                <w:iCs/>
                <w:color w:val="000000"/>
              </w:rPr>
              <w:t>Projekts šo jomu neskar</w:t>
            </w:r>
          </w:p>
        </w:tc>
      </w:tr>
    </w:tbl>
    <w:p w:rsidR="006E4C6E" w:rsidRDefault="006E4C6E" w:rsidP="006E4C6E">
      <w:pPr>
        <w:pStyle w:val="naisf"/>
        <w:spacing w:before="0" w:after="0"/>
        <w:ind w:firstLine="374"/>
        <w:rPr>
          <w:sz w:val="28"/>
          <w:szCs w:val="28"/>
        </w:rPr>
      </w:pPr>
    </w:p>
    <w:p w:rsidR="006E4C6E" w:rsidRPr="007C0F2C" w:rsidRDefault="006E4C6E" w:rsidP="006E4C6E">
      <w:pPr>
        <w:pStyle w:val="naisf"/>
        <w:spacing w:before="0" w:after="0"/>
        <w:ind w:firstLine="374"/>
        <w:rPr>
          <w:sz w:val="28"/>
          <w:szCs w:val="28"/>
        </w:rPr>
      </w:pPr>
    </w:p>
    <w:tbl>
      <w:tblPr>
        <w:tblW w:w="96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1"/>
        <w:gridCol w:w="3969"/>
        <w:gridCol w:w="5244"/>
      </w:tblGrid>
      <w:tr w:rsidR="00AF0540" w:rsidRPr="007C0F2C" w:rsidTr="00AC1B46">
        <w:trPr>
          <w:trHeight w:val="534"/>
        </w:trPr>
        <w:tc>
          <w:tcPr>
            <w:tcW w:w="9664" w:type="dxa"/>
            <w:gridSpan w:val="3"/>
            <w:tcBorders>
              <w:top w:val="single" w:sz="4" w:space="0" w:color="auto"/>
            </w:tcBorders>
            <w:vAlign w:val="center"/>
          </w:tcPr>
          <w:p w:rsidR="00AF0540" w:rsidRPr="007C0F2C" w:rsidRDefault="00AF0540" w:rsidP="00AC1B46">
            <w:pPr>
              <w:pStyle w:val="naisnod"/>
              <w:spacing w:before="0" w:after="0"/>
              <w:ind w:left="57" w:right="57"/>
            </w:pPr>
            <w:r w:rsidRPr="007C0F2C">
              <w:t>VII. Tiesību akta projekta izpildes nodrošināšana un tās ietekme uz institūcijām</w:t>
            </w:r>
          </w:p>
        </w:tc>
      </w:tr>
      <w:tr w:rsidR="00AF0540" w:rsidRPr="007C0F2C" w:rsidTr="00AC1B46">
        <w:trPr>
          <w:trHeight w:val="427"/>
        </w:trPr>
        <w:tc>
          <w:tcPr>
            <w:tcW w:w="451" w:type="dxa"/>
          </w:tcPr>
          <w:p w:rsidR="00AF0540" w:rsidRPr="007C0F2C" w:rsidRDefault="00AF0540" w:rsidP="00FE60B7">
            <w:pPr>
              <w:pStyle w:val="naisnod"/>
              <w:spacing w:before="0" w:after="0"/>
              <w:ind w:left="57" w:right="57"/>
              <w:jc w:val="left"/>
              <w:rPr>
                <w:b w:val="0"/>
                <w:sz w:val="22"/>
                <w:szCs w:val="22"/>
              </w:rPr>
            </w:pPr>
            <w:r w:rsidRPr="007C0F2C">
              <w:rPr>
                <w:b w:val="0"/>
                <w:sz w:val="22"/>
                <w:szCs w:val="22"/>
              </w:rPr>
              <w:t>1.</w:t>
            </w:r>
          </w:p>
        </w:tc>
        <w:tc>
          <w:tcPr>
            <w:tcW w:w="3969" w:type="dxa"/>
          </w:tcPr>
          <w:p w:rsidR="00AF0540" w:rsidRPr="00BF19F8" w:rsidRDefault="00AF0540" w:rsidP="00FE60B7">
            <w:pPr>
              <w:pStyle w:val="naisf"/>
              <w:spacing w:before="0" w:after="0"/>
              <w:ind w:left="57" w:right="57" w:firstLine="0"/>
              <w:jc w:val="left"/>
              <w:rPr>
                <w:szCs w:val="22"/>
              </w:rPr>
            </w:pPr>
            <w:r w:rsidRPr="00BF19F8">
              <w:rPr>
                <w:szCs w:val="22"/>
              </w:rPr>
              <w:t xml:space="preserve">Projekta izpildē iesaistītās institūcijas </w:t>
            </w:r>
          </w:p>
        </w:tc>
        <w:tc>
          <w:tcPr>
            <w:tcW w:w="5244" w:type="dxa"/>
          </w:tcPr>
          <w:p w:rsidR="00AF0540" w:rsidRPr="00BF19F8" w:rsidRDefault="00DC11AB" w:rsidP="00FE60B7">
            <w:pPr>
              <w:pStyle w:val="naisnod"/>
              <w:spacing w:before="0" w:after="0"/>
              <w:ind w:left="57" w:right="57"/>
              <w:jc w:val="left"/>
              <w:rPr>
                <w:b w:val="0"/>
                <w:szCs w:val="22"/>
              </w:rPr>
            </w:pPr>
            <w:r w:rsidRPr="00BF19F8">
              <w:rPr>
                <w:b w:val="0"/>
                <w:iCs/>
                <w:szCs w:val="22"/>
              </w:rPr>
              <w:t>Finanšu ministrija</w:t>
            </w:r>
            <w:r w:rsidR="00AC1B46">
              <w:rPr>
                <w:b w:val="0"/>
                <w:iCs/>
                <w:szCs w:val="22"/>
              </w:rPr>
              <w:t>, Valsts kase</w:t>
            </w:r>
            <w:r w:rsidRPr="00BF19F8">
              <w:rPr>
                <w:b w:val="0"/>
                <w:iCs/>
                <w:szCs w:val="22"/>
              </w:rPr>
              <w:t>.</w:t>
            </w:r>
          </w:p>
        </w:tc>
      </w:tr>
      <w:tr w:rsidR="00AF0540" w:rsidRPr="007C0F2C" w:rsidTr="00AC1B46">
        <w:trPr>
          <w:trHeight w:val="463"/>
        </w:trPr>
        <w:tc>
          <w:tcPr>
            <w:tcW w:w="451" w:type="dxa"/>
          </w:tcPr>
          <w:p w:rsidR="00AF0540" w:rsidRPr="007C0F2C" w:rsidRDefault="00AF0540" w:rsidP="00FE60B7">
            <w:pPr>
              <w:pStyle w:val="naisnod"/>
              <w:spacing w:before="0" w:after="0"/>
              <w:ind w:left="57" w:right="57"/>
              <w:jc w:val="left"/>
              <w:rPr>
                <w:b w:val="0"/>
                <w:sz w:val="22"/>
                <w:szCs w:val="22"/>
              </w:rPr>
            </w:pPr>
            <w:r w:rsidRPr="007C0F2C">
              <w:rPr>
                <w:b w:val="0"/>
                <w:sz w:val="22"/>
                <w:szCs w:val="22"/>
              </w:rPr>
              <w:t>2.</w:t>
            </w:r>
          </w:p>
        </w:tc>
        <w:tc>
          <w:tcPr>
            <w:tcW w:w="3969" w:type="dxa"/>
          </w:tcPr>
          <w:p w:rsidR="00AF0540" w:rsidRPr="00BF19F8" w:rsidRDefault="00AF0540" w:rsidP="00FE60B7">
            <w:pPr>
              <w:pStyle w:val="naisf"/>
              <w:spacing w:before="0" w:after="0"/>
              <w:ind w:left="57" w:right="57" w:firstLine="0"/>
              <w:jc w:val="left"/>
              <w:rPr>
                <w:szCs w:val="22"/>
              </w:rPr>
            </w:pPr>
            <w:r w:rsidRPr="00BF19F8">
              <w:rPr>
                <w:szCs w:val="22"/>
              </w:rPr>
              <w:t xml:space="preserve">Projekta izpildes ietekme uz pārvaldes funkcijām </w:t>
            </w:r>
          </w:p>
        </w:tc>
        <w:tc>
          <w:tcPr>
            <w:tcW w:w="5244" w:type="dxa"/>
          </w:tcPr>
          <w:p w:rsidR="00AF0540" w:rsidRPr="00BF19F8" w:rsidRDefault="003E59C8" w:rsidP="008D21FB">
            <w:pPr>
              <w:pStyle w:val="naisnod"/>
              <w:spacing w:before="0" w:after="0"/>
              <w:ind w:left="57" w:right="57"/>
              <w:jc w:val="left"/>
              <w:rPr>
                <w:b w:val="0"/>
                <w:szCs w:val="22"/>
              </w:rPr>
            </w:pPr>
            <w:r w:rsidRPr="00BF19F8">
              <w:rPr>
                <w:b w:val="0"/>
                <w:iCs/>
                <w:szCs w:val="22"/>
              </w:rPr>
              <w:t>Likumprojekt</w:t>
            </w:r>
            <w:r w:rsidR="008D21FB">
              <w:rPr>
                <w:b w:val="0"/>
                <w:iCs/>
                <w:szCs w:val="22"/>
              </w:rPr>
              <w:t>a izpilde tiks</w:t>
            </w:r>
            <w:r w:rsidRPr="00BF19F8">
              <w:rPr>
                <w:b w:val="0"/>
                <w:iCs/>
                <w:szCs w:val="22"/>
              </w:rPr>
              <w:t xml:space="preserve"> nodrošin</w:t>
            </w:r>
            <w:r w:rsidR="008D21FB">
              <w:rPr>
                <w:b w:val="0"/>
                <w:iCs/>
                <w:szCs w:val="22"/>
              </w:rPr>
              <w:t>āta</w:t>
            </w:r>
            <w:r w:rsidRPr="00BF19F8">
              <w:rPr>
                <w:b w:val="0"/>
                <w:iCs/>
                <w:szCs w:val="22"/>
              </w:rPr>
              <w:t xml:space="preserve"> esošo funkciju ietvaros.</w:t>
            </w:r>
          </w:p>
        </w:tc>
      </w:tr>
      <w:tr w:rsidR="00AF0540" w:rsidRPr="007C0F2C" w:rsidTr="00AC1B46">
        <w:trPr>
          <w:trHeight w:val="725"/>
        </w:trPr>
        <w:tc>
          <w:tcPr>
            <w:tcW w:w="451" w:type="dxa"/>
          </w:tcPr>
          <w:p w:rsidR="00AF0540" w:rsidRPr="007C0F2C" w:rsidRDefault="00AF0540" w:rsidP="00FE60B7">
            <w:pPr>
              <w:pStyle w:val="naisnod"/>
              <w:spacing w:before="0" w:after="0"/>
              <w:ind w:left="57" w:right="57"/>
              <w:jc w:val="left"/>
              <w:rPr>
                <w:b w:val="0"/>
                <w:sz w:val="22"/>
                <w:szCs w:val="22"/>
              </w:rPr>
            </w:pPr>
            <w:r w:rsidRPr="007C0F2C">
              <w:rPr>
                <w:b w:val="0"/>
                <w:sz w:val="22"/>
                <w:szCs w:val="22"/>
              </w:rPr>
              <w:t>3.</w:t>
            </w:r>
          </w:p>
        </w:tc>
        <w:tc>
          <w:tcPr>
            <w:tcW w:w="3969" w:type="dxa"/>
          </w:tcPr>
          <w:p w:rsidR="00AF0540" w:rsidRPr="00BF19F8" w:rsidRDefault="00AF0540" w:rsidP="00FE60B7">
            <w:pPr>
              <w:pStyle w:val="naisf"/>
              <w:spacing w:before="0" w:after="0"/>
              <w:ind w:left="57" w:right="57" w:firstLine="0"/>
              <w:jc w:val="left"/>
              <w:rPr>
                <w:szCs w:val="22"/>
              </w:rPr>
            </w:pPr>
            <w:r w:rsidRPr="00BF19F8">
              <w:rPr>
                <w:szCs w:val="22"/>
              </w:rPr>
              <w:t>Projekta izpildes ietekme uz pārvaldes institucionālo struktūru.</w:t>
            </w:r>
          </w:p>
          <w:p w:rsidR="00AF0540" w:rsidRPr="00BF19F8" w:rsidRDefault="00AF0540" w:rsidP="00FE60B7">
            <w:pPr>
              <w:pStyle w:val="naisf"/>
              <w:spacing w:before="0" w:after="0"/>
              <w:ind w:left="57" w:right="57" w:firstLine="0"/>
              <w:jc w:val="left"/>
              <w:rPr>
                <w:szCs w:val="22"/>
              </w:rPr>
            </w:pPr>
            <w:r w:rsidRPr="00BF19F8">
              <w:rPr>
                <w:szCs w:val="22"/>
              </w:rPr>
              <w:t>Jaunu institūciju izveide</w:t>
            </w:r>
          </w:p>
        </w:tc>
        <w:tc>
          <w:tcPr>
            <w:tcW w:w="5244" w:type="dxa"/>
          </w:tcPr>
          <w:p w:rsidR="00AF0540" w:rsidRPr="00BF19F8" w:rsidRDefault="003E59C8" w:rsidP="00FE60B7">
            <w:pPr>
              <w:pStyle w:val="naisnod"/>
              <w:spacing w:before="0" w:after="0"/>
              <w:ind w:left="57" w:right="57"/>
              <w:jc w:val="left"/>
              <w:rPr>
                <w:b w:val="0"/>
                <w:szCs w:val="22"/>
              </w:rPr>
            </w:pPr>
            <w:r w:rsidRPr="00BF19F8">
              <w:rPr>
                <w:b w:val="0"/>
                <w:iCs/>
                <w:szCs w:val="22"/>
              </w:rPr>
              <w:t>Nav attiecināms.</w:t>
            </w:r>
          </w:p>
        </w:tc>
      </w:tr>
      <w:tr w:rsidR="00AF0540" w:rsidRPr="007C0F2C" w:rsidTr="00AC1B46">
        <w:trPr>
          <w:trHeight w:val="780"/>
        </w:trPr>
        <w:tc>
          <w:tcPr>
            <w:tcW w:w="451" w:type="dxa"/>
          </w:tcPr>
          <w:p w:rsidR="00AF0540" w:rsidRPr="007C0F2C" w:rsidRDefault="00AF0540" w:rsidP="00FE60B7">
            <w:pPr>
              <w:pStyle w:val="naisnod"/>
              <w:spacing w:before="0" w:after="0"/>
              <w:ind w:left="57" w:right="57"/>
              <w:jc w:val="left"/>
              <w:rPr>
                <w:b w:val="0"/>
                <w:sz w:val="22"/>
                <w:szCs w:val="22"/>
              </w:rPr>
            </w:pPr>
            <w:r w:rsidRPr="007C0F2C">
              <w:rPr>
                <w:b w:val="0"/>
                <w:sz w:val="22"/>
                <w:szCs w:val="22"/>
              </w:rPr>
              <w:t>4.</w:t>
            </w:r>
          </w:p>
        </w:tc>
        <w:tc>
          <w:tcPr>
            <w:tcW w:w="3969" w:type="dxa"/>
          </w:tcPr>
          <w:p w:rsidR="00AF0540" w:rsidRPr="00BF19F8" w:rsidRDefault="00AF0540" w:rsidP="00FE60B7">
            <w:pPr>
              <w:pStyle w:val="naisf"/>
              <w:spacing w:before="0" w:after="0"/>
              <w:ind w:left="57" w:right="57" w:firstLine="0"/>
              <w:jc w:val="left"/>
              <w:rPr>
                <w:szCs w:val="22"/>
              </w:rPr>
            </w:pPr>
            <w:r w:rsidRPr="00BF19F8">
              <w:rPr>
                <w:szCs w:val="22"/>
              </w:rPr>
              <w:t>Projekta izpildes ietekme uz pārvaldes institucionālo struktūru.</w:t>
            </w:r>
          </w:p>
          <w:p w:rsidR="00AF0540" w:rsidRPr="00BF19F8" w:rsidRDefault="00AF0540" w:rsidP="00FE60B7">
            <w:pPr>
              <w:pStyle w:val="naisf"/>
              <w:spacing w:before="0" w:after="0"/>
              <w:ind w:left="57" w:right="57" w:firstLine="0"/>
              <w:jc w:val="left"/>
              <w:rPr>
                <w:szCs w:val="22"/>
              </w:rPr>
            </w:pPr>
            <w:r w:rsidRPr="00BF19F8">
              <w:rPr>
                <w:szCs w:val="22"/>
              </w:rPr>
              <w:t>Esošu institūciju likvidācija</w:t>
            </w:r>
          </w:p>
        </w:tc>
        <w:tc>
          <w:tcPr>
            <w:tcW w:w="5244" w:type="dxa"/>
          </w:tcPr>
          <w:p w:rsidR="00AF0540" w:rsidRPr="00BF19F8" w:rsidRDefault="003E59C8" w:rsidP="00FE60B7">
            <w:pPr>
              <w:pStyle w:val="naisnod"/>
              <w:spacing w:before="0" w:after="0"/>
              <w:ind w:left="57" w:right="57"/>
              <w:jc w:val="left"/>
              <w:rPr>
                <w:b w:val="0"/>
                <w:szCs w:val="22"/>
              </w:rPr>
            </w:pPr>
            <w:r w:rsidRPr="00BF19F8">
              <w:rPr>
                <w:b w:val="0"/>
                <w:iCs/>
                <w:szCs w:val="22"/>
              </w:rPr>
              <w:t>Nav attiecināms.</w:t>
            </w:r>
          </w:p>
        </w:tc>
      </w:tr>
      <w:tr w:rsidR="00AF0540" w:rsidRPr="007C0F2C" w:rsidTr="00AC1B46">
        <w:trPr>
          <w:trHeight w:val="703"/>
        </w:trPr>
        <w:tc>
          <w:tcPr>
            <w:tcW w:w="451" w:type="dxa"/>
          </w:tcPr>
          <w:p w:rsidR="00AF0540" w:rsidRPr="007C0F2C" w:rsidRDefault="00AF0540" w:rsidP="00FE60B7">
            <w:pPr>
              <w:pStyle w:val="naisnod"/>
              <w:spacing w:before="0" w:after="0"/>
              <w:ind w:left="57" w:right="57"/>
              <w:jc w:val="left"/>
              <w:rPr>
                <w:b w:val="0"/>
                <w:sz w:val="22"/>
                <w:szCs w:val="22"/>
              </w:rPr>
            </w:pPr>
            <w:r w:rsidRPr="007C0F2C">
              <w:rPr>
                <w:b w:val="0"/>
                <w:sz w:val="22"/>
                <w:szCs w:val="22"/>
              </w:rPr>
              <w:t>5.</w:t>
            </w:r>
          </w:p>
        </w:tc>
        <w:tc>
          <w:tcPr>
            <w:tcW w:w="3969" w:type="dxa"/>
          </w:tcPr>
          <w:p w:rsidR="00AF0540" w:rsidRPr="00BF19F8" w:rsidRDefault="00AF0540" w:rsidP="00FE60B7">
            <w:pPr>
              <w:pStyle w:val="naisf"/>
              <w:spacing w:before="0" w:after="0"/>
              <w:ind w:left="57" w:right="57" w:firstLine="0"/>
              <w:jc w:val="left"/>
              <w:rPr>
                <w:szCs w:val="22"/>
              </w:rPr>
            </w:pPr>
            <w:r w:rsidRPr="00BF19F8">
              <w:rPr>
                <w:szCs w:val="22"/>
              </w:rPr>
              <w:t>Projekta izpildes ietekme uz pārvaldes institucionālo struktūru.</w:t>
            </w:r>
          </w:p>
          <w:p w:rsidR="00AF0540" w:rsidRPr="00BF19F8" w:rsidRDefault="00AF0540" w:rsidP="00FE60B7">
            <w:pPr>
              <w:pStyle w:val="naisf"/>
              <w:spacing w:before="0" w:after="0"/>
              <w:ind w:left="57" w:right="57" w:firstLine="0"/>
              <w:jc w:val="left"/>
              <w:rPr>
                <w:szCs w:val="22"/>
              </w:rPr>
            </w:pPr>
            <w:r w:rsidRPr="00BF19F8">
              <w:rPr>
                <w:szCs w:val="22"/>
              </w:rPr>
              <w:t>Esošu institūciju reorganizācija</w:t>
            </w:r>
          </w:p>
        </w:tc>
        <w:tc>
          <w:tcPr>
            <w:tcW w:w="5244" w:type="dxa"/>
          </w:tcPr>
          <w:p w:rsidR="00AF0540" w:rsidRPr="00BF19F8" w:rsidRDefault="003E59C8" w:rsidP="00FE60B7">
            <w:pPr>
              <w:pStyle w:val="naisnod"/>
              <w:spacing w:before="0" w:after="0"/>
              <w:ind w:left="57" w:right="57"/>
              <w:jc w:val="left"/>
              <w:rPr>
                <w:b w:val="0"/>
                <w:szCs w:val="22"/>
              </w:rPr>
            </w:pPr>
            <w:r w:rsidRPr="00BF19F8">
              <w:rPr>
                <w:b w:val="0"/>
                <w:iCs/>
                <w:szCs w:val="22"/>
              </w:rPr>
              <w:t>Nav attiecināms.</w:t>
            </w:r>
          </w:p>
        </w:tc>
      </w:tr>
      <w:tr w:rsidR="00AF0540" w:rsidRPr="007C0F2C" w:rsidTr="00AC1B46">
        <w:trPr>
          <w:trHeight w:val="476"/>
        </w:trPr>
        <w:tc>
          <w:tcPr>
            <w:tcW w:w="451" w:type="dxa"/>
          </w:tcPr>
          <w:p w:rsidR="00AF0540" w:rsidRPr="007C0F2C" w:rsidRDefault="00AF0540" w:rsidP="00FE60B7">
            <w:pPr>
              <w:pStyle w:val="naiskr"/>
              <w:spacing w:before="0" w:after="0"/>
              <w:ind w:left="57" w:right="57"/>
              <w:rPr>
                <w:sz w:val="22"/>
                <w:szCs w:val="22"/>
              </w:rPr>
            </w:pPr>
            <w:r>
              <w:rPr>
                <w:sz w:val="22"/>
                <w:szCs w:val="22"/>
              </w:rPr>
              <w:lastRenderedPageBreak/>
              <w:t>6</w:t>
            </w:r>
            <w:r w:rsidRPr="007C0F2C">
              <w:rPr>
                <w:sz w:val="22"/>
                <w:szCs w:val="22"/>
              </w:rPr>
              <w:t>.</w:t>
            </w:r>
          </w:p>
        </w:tc>
        <w:tc>
          <w:tcPr>
            <w:tcW w:w="3969" w:type="dxa"/>
          </w:tcPr>
          <w:p w:rsidR="00AF0540" w:rsidRPr="00BF19F8" w:rsidRDefault="00AF0540" w:rsidP="00FE60B7">
            <w:pPr>
              <w:pStyle w:val="naiskr"/>
              <w:spacing w:before="0" w:after="0"/>
              <w:ind w:left="57" w:right="57"/>
              <w:rPr>
                <w:szCs w:val="22"/>
              </w:rPr>
            </w:pPr>
            <w:r w:rsidRPr="00BF19F8">
              <w:rPr>
                <w:szCs w:val="22"/>
              </w:rPr>
              <w:t>Cita informācija</w:t>
            </w:r>
          </w:p>
        </w:tc>
        <w:tc>
          <w:tcPr>
            <w:tcW w:w="5244" w:type="dxa"/>
          </w:tcPr>
          <w:p w:rsidR="00AF0540" w:rsidRPr="00BF19F8" w:rsidRDefault="008D63A9" w:rsidP="00FE60B7">
            <w:pPr>
              <w:pStyle w:val="naiskr"/>
              <w:spacing w:before="0" w:after="0"/>
              <w:ind w:left="57" w:right="57"/>
              <w:rPr>
                <w:szCs w:val="22"/>
              </w:rPr>
            </w:pPr>
            <w:r w:rsidRPr="00BF19F8">
              <w:rPr>
                <w:szCs w:val="22"/>
              </w:rPr>
              <w:t>Nav.</w:t>
            </w:r>
          </w:p>
        </w:tc>
      </w:tr>
    </w:tbl>
    <w:p w:rsidR="00C545FA" w:rsidRDefault="00C545FA"/>
    <w:p w:rsidR="000A650A" w:rsidRDefault="000A650A"/>
    <w:p w:rsidR="000A650A" w:rsidRDefault="000A650A"/>
    <w:p w:rsidR="000A650A" w:rsidRPr="0044104D" w:rsidRDefault="000A650A" w:rsidP="000A650A">
      <w:pPr>
        <w:pStyle w:val="Header"/>
        <w:tabs>
          <w:tab w:val="clear" w:pos="4153"/>
          <w:tab w:val="clear" w:pos="8306"/>
        </w:tabs>
        <w:spacing w:after="120"/>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sidRPr="0044104D">
        <w:rPr>
          <w:sz w:val="28"/>
          <w:szCs w:val="28"/>
        </w:rPr>
        <w:tab/>
      </w:r>
      <w:r w:rsidR="00AC1B46">
        <w:rPr>
          <w:sz w:val="28"/>
          <w:szCs w:val="28"/>
        </w:rPr>
        <w:tab/>
      </w:r>
      <w:r w:rsidR="00AC1B46">
        <w:rPr>
          <w:sz w:val="28"/>
          <w:szCs w:val="28"/>
        </w:rPr>
        <w:tab/>
      </w:r>
      <w:r w:rsidR="00AC1B46">
        <w:rPr>
          <w:sz w:val="28"/>
          <w:szCs w:val="28"/>
        </w:rPr>
        <w:tab/>
      </w:r>
      <w:r w:rsidR="00AC1B46">
        <w:rPr>
          <w:sz w:val="28"/>
          <w:szCs w:val="28"/>
        </w:rPr>
        <w:tab/>
      </w:r>
      <w:r w:rsidR="00AC1B46">
        <w:rPr>
          <w:sz w:val="28"/>
          <w:szCs w:val="28"/>
        </w:rPr>
        <w:tab/>
      </w:r>
      <w:r>
        <w:rPr>
          <w:sz w:val="28"/>
          <w:szCs w:val="28"/>
        </w:rPr>
        <w:t>A. Vilks</w:t>
      </w:r>
    </w:p>
    <w:p w:rsidR="000A650A" w:rsidRDefault="000A650A" w:rsidP="000A650A">
      <w:pPr>
        <w:spacing w:before="120" w:after="120"/>
        <w:rPr>
          <w:sz w:val="28"/>
          <w:szCs w:val="28"/>
        </w:rPr>
      </w:pPr>
    </w:p>
    <w:p w:rsidR="000A650A" w:rsidRDefault="000A650A" w:rsidP="000A650A">
      <w:pPr>
        <w:spacing w:before="120" w:after="120"/>
        <w:rPr>
          <w:sz w:val="28"/>
          <w:szCs w:val="28"/>
        </w:rPr>
      </w:pPr>
    </w:p>
    <w:p w:rsidR="00466CCB" w:rsidRDefault="00466CCB" w:rsidP="000A650A">
      <w:pPr>
        <w:rPr>
          <w:sz w:val="20"/>
        </w:rPr>
      </w:pPr>
      <w:r>
        <w:rPr>
          <w:sz w:val="20"/>
        </w:rPr>
        <w:t>12.12.2013 11:44</w:t>
      </w:r>
    </w:p>
    <w:p w:rsidR="001A515D" w:rsidRDefault="00FF35E1" w:rsidP="000A650A">
      <w:pPr>
        <w:rPr>
          <w:sz w:val="20"/>
        </w:rPr>
      </w:pPr>
      <w:bookmarkStart w:id="0" w:name="_GoBack"/>
      <w:bookmarkEnd w:id="0"/>
      <w:r>
        <w:rPr>
          <w:sz w:val="20"/>
        </w:rPr>
        <w:t>1</w:t>
      </w:r>
      <w:r w:rsidR="00036100">
        <w:rPr>
          <w:sz w:val="20"/>
        </w:rPr>
        <w:t>3</w:t>
      </w:r>
      <w:r w:rsidR="005C43C4">
        <w:rPr>
          <w:sz w:val="20"/>
        </w:rPr>
        <w:t>35</w:t>
      </w:r>
    </w:p>
    <w:p w:rsidR="000A650A" w:rsidRPr="007A1819" w:rsidRDefault="000A650A" w:rsidP="000A650A">
      <w:pPr>
        <w:rPr>
          <w:sz w:val="20"/>
        </w:rPr>
      </w:pPr>
      <w:r>
        <w:rPr>
          <w:sz w:val="20"/>
        </w:rPr>
        <w:t>Līga Ozoliņa</w:t>
      </w:r>
    </w:p>
    <w:p w:rsidR="000A650A" w:rsidRPr="007A1819" w:rsidRDefault="000A650A" w:rsidP="000A650A">
      <w:pPr>
        <w:rPr>
          <w:sz w:val="20"/>
        </w:rPr>
      </w:pPr>
      <w:r>
        <w:rPr>
          <w:sz w:val="20"/>
        </w:rPr>
        <w:t>Fiskālās politikas</w:t>
      </w:r>
      <w:r w:rsidRPr="007A1819">
        <w:rPr>
          <w:sz w:val="20"/>
        </w:rPr>
        <w:t xml:space="preserve"> departamenta </w:t>
      </w:r>
    </w:p>
    <w:p w:rsidR="000A650A" w:rsidRDefault="000A650A" w:rsidP="000A650A">
      <w:pPr>
        <w:rPr>
          <w:sz w:val="20"/>
        </w:rPr>
      </w:pPr>
      <w:r>
        <w:rPr>
          <w:sz w:val="20"/>
        </w:rPr>
        <w:t>Fiskālās pārvaldības</w:t>
      </w:r>
      <w:r w:rsidRPr="007A1819">
        <w:rPr>
          <w:sz w:val="20"/>
        </w:rPr>
        <w:t xml:space="preserve"> nodaļas </w:t>
      </w:r>
    </w:p>
    <w:p w:rsidR="000A650A" w:rsidRPr="006433BE" w:rsidRDefault="000A650A" w:rsidP="000A650A">
      <w:pPr>
        <w:rPr>
          <w:sz w:val="20"/>
        </w:rPr>
      </w:pPr>
      <w:r>
        <w:rPr>
          <w:sz w:val="20"/>
        </w:rPr>
        <w:t>V</w:t>
      </w:r>
      <w:r w:rsidRPr="006433BE">
        <w:rPr>
          <w:sz w:val="20"/>
        </w:rPr>
        <w:t>adītāja vietniece</w:t>
      </w:r>
    </w:p>
    <w:p w:rsidR="000A650A" w:rsidRPr="006433BE" w:rsidRDefault="000A650A" w:rsidP="000A650A">
      <w:pPr>
        <w:rPr>
          <w:sz w:val="20"/>
        </w:rPr>
      </w:pPr>
      <w:r w:rsidRPr="006433BE">
        <w:rPr>
          <w:sz w:val="20"/>
        </w:rPr>
        <w:t>tālrunis 67083823</w:t>
      </w:r>
    </w:p>
    <w:p w:rsidR="000A650A" w:rsidRPr="006433BE" w:rsidRDefault="002E75CE" w:rsidP="000A650A">
      <w:pPr>
        <w:rPr>
          <w:sz w:val="28"/>
          <w:szCs w:val="28"/>
        </w:rPr>
      </w:pPr>
      <w:hyperlink r:id="rId12" w:history="1">
        <w:r w:rsidR="000A650A" w:rsidRPr="006433BE">
          <w:rPr>
            <w:rStyle w:val="Hyperlink"/>
            <w:rFonts w:ascii="Times New Roman" w:hAnsi="Times New Roman"/>
            <w:sz w:val="20"/>
          </w:rPr>
          <w:t>Liga.Ozolina@fm.gov.lv</w:t>
        </w:r>
      </w:hyperlink>
    </w:p>
    <w:p w:rsidR="000A650A" w:rsidRDefault="000A650A"/>
    <w:sectPr w:rsidR="000A650A" w:rsidSect="00A809FF">
      <w:headerReference w:type="default" r:id="rId13"/>
      <w:footerReference w:type="defaul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CE" w:rsidRDefault="002E75CE" w:rsidP="000A650A">
      <w:r>
        <w:separator/>
      </w:r>
    </w:p>
  </w:endnote>
  <w:endnote w:type="continuationSeparator" w:id="0">
    <w:p w:rsidR="002E75CE" w:rsidRDefault="002E75CE" w:rsidP="000A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93" w:rsidRPr="00A41014" w:rsidRDefault="00B55993" w:rsidP="00A41014">
    <w:pPr>
      <w:pStyle w:val="Footer"/>
    </w:pPr>
    <w:r>
      <w:rPr>
        <w:sz w:val="20"/>
      </w:rPr>
      <w:fldChar w:fldCharType="begin"/>
    </w:r>
    <w:r>
      <w:rPr>
        <w:sz w:val="20"/>
      </w:rPr>
      <w:instrText xml:space="preserve"> FILENAME   \* MERGEFORMAT </w:instrText>
    </w:r>
    <w:r>
      <w:rPr>
        <w:sz w:val="20"/>
      </w:rPr>
      <w:fldChar w:fldCharType="separate"/>
    </w:r>
    <w:r w:rsidR="00466CCB">
      <w:rPr>
        <w:noProof/>
        <w:sz w:val="20"/>
      </w:rPr>
      <w:t>FMAnot_121213_ISR</w:t>
    </w:r>
    <w:r>
      <w:rPr>
        <w:sz w:val="20"/>
      </w:rPr>
      <w:fldChar w:fldCharType="end"/>
    </w:r>
    <w:r>
      <w:rPr>
        <w:sz w:val="20"/>
      </w:rPr>
      <w:t xml:space="preserve">; </w:t>
    </w:r>
    <w:r w:rsidRPr="000A650A">
      <w:rPr>
        <w:sz w:val="20"/>
      </w:rPr>
      <w:t>I</w:t>
    </w:r>
    <w:r>
      <w:rPr>
        <w:sz w:val="20"/>
      </w:rPr>
      <w:t>lgtermiņa stabilizācijas rezerves likum</w:t>
    </w:r>
    <w:r w:rsidRPr="000A650A">
      <w:rPr>
        <w:sz w:val="20"/>
      </w:rPr>
      <w:t>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93" w:rsidRDefault="00B55993">
    <w:pPr>
      <w:pStyle w:val="Footer"/>
    </w:pPr>
    <w:r>
      <w:rPr>
        <w:sz w:val="20"/>
      </w:rPr>
      <w:fldChar w:fldCharType="begin"/>
    </w:r>
    <w:r>
      <w:rPr>
        <w:sz w:val="20"/>
      </w:rPr>
      <w:instrText xml:space="preserve"> FILENAME   \* MERGEFORMAT </w:instrText>
    </w:r>
    <w:r>
      <w:rPr>
        <w:sz w:val="20"/>
      </w:rPr>
      <w:fldChar w:fldCharType="separate"/>
    </w:r>
    <w:r w:rsidR="00466CCB">
      <w:rPr>
        <w:noProof/>
        <w:sz w:val="20"/>
      </w:rPr>
      <w:t>FMAnot_121213_ISR</w:t>
    </w:r>
    <w:r>
      <w:rPr>
        <w:sz w:val="20"/>
      </w:rPr>
      <w:fldChar w:fldCharType="end"/>
    </w:r>
    <w:r>
      <w:rPr>
        <w:sz w:val="20"/>
      </w:rPr>
      <w:t xml:space="preserve">; </w:t>
    </w:r>
    <w:r w:rsidRPr="000A650A">
      <w:rPr>
        <w:sz w:val="20"/>
      </w:rPr>
      <w:t>I</w:t>
    </w:r>
    <w:r>
      <w:rPr>
        <w:sz w:val="20"/>
      </w:rPr>
      <w:t>lgtermiņa stabilizācijas rezerves likum</w:t>
    </w:r>
    <w:r w:rsidRPr="000A650A">
      <w:rPr>
        <w:sz w:val="20"/>
      </w:rPr>
      <w:t>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CE" w:rsidRDefault="002E75CE" w:rsidP="000A650A">
      <w:r>
        <w:separator/>
      </w:r>
    </w:p>
  </w:footnote>
  <w:footnote w:type="continuationSeparator" w:id="0">
    <w:p w:rsidR="002E75CE" w:rsidRDefault="002E75CE" w:rsidP="000A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514187"/>
      <w:docPartObj>
        <w:docPartGallery w:val="Page Numbers (Top of Page)"/>
        <w:docPartUnique/>
      </w:docPartObj>
    </w:sdtPr>
    <w:sdtEndPr>
      <w:rPr>
        <w:noProof/>
      </w:rPr>
    </w:sdtEndPr>
    <w:sdtContent>
      <w:p w:rsidR="00B55993" w:rsidRDefault="00B55993">
        <w:pPr>
          <w:pStyle w:val="Header"/>
          <w:jc w:val="center"/>
        </w:pPr>
        <w:r>
          <w:fldChar w:fldCharType="begin"/>
        </w:r>
        <w:r>
          <w:instrText xml:space="preserve"> PAGE   \* MERGEFORMAT </w:instrText>
        </w:r>
        <w:r>
          <w:fldChar w:fldCharType="separate"/>
        </w:r>
        <w:r w:rsidR="00466CCB">
          <w:rPr>
            <w:noProof/>
          </w:rPr>
          <w:t>6</w:t>
        </w:r>
        <w:r>
          <w:rPr>
            <w:noProof/>
          </w:rPr>
          <w:fldChar w:fldCharType="end"/>
        </w:r>
      </w:p>
    </w:sdtContent>
  </w:sdt>
  <w:p w:rsidR="00B55993" w:rsidRDefault="00B55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9E2"/>
    <w:multiLevelType w:val="hybridMultilevel"/>
    <w:tmpl w:val="6136C134"/>
    <w:lvl w:ilvl="0" w:tplc="0C86ACD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78E675B"/>
    <w:multiLevelType w:val="hybridMultilevel"/>
    <w:tmpl w:val="A42808E8"/>
    <w:lvl w:ilvl="0" w:tplc="0426000F">
      <w:start w:val="1"/>
      <w:numFmt w:val="decimal"/>
      <w:lvlText w:val="%1."/>
      <w:lvlJc w:val="left"/>
      <w:pPr>
        <w:ind w:left="796" w:hanging="360"/>
      </w:p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40"/>
    <w:rsid w:val="00036100"/>
    <w:rsid w:val="00045B8B"/>
    <w:rsid w:val="00070478"/>
    <w:rsid w:val="000A650A"/>
    <w:rsid w:val="000A6FAF"/>
    <w:rsid w:val="001165AA"/>
    <w:rsid w:val="00120ECA"/>
    <w:rsid w:val="00121619"/>
    <w:rsid w:val="00161249"/>
    <w:rsid w:val="001A0955"/>
    <w:rsid w:val="001A515D"/>
    <w:rsid w:val="001F5EFE"/>
    <w:rsid w:val="00222DD4"/>
    <w:rsid w:val="00223806"/>
    <w:rsid w:val="00226693"/>
    <w:rsid w:val="002802EC"/>
    <w:rsid w:val="002C410F"/>
    <w:rsid w:val="002C784E"/>
    <w:rsid w:val="002E1151"/>
    <w:rsid w:val="002E75CE"/>
    <w:rsid w:val="003540C1"/>
    <w:rsid w:val="00365252"/>
    <w:rsid w:val="003B65AA"/>
    <w:rsid w:val="003D5E7B"/>
    <w:rsid w:val="003E59C8"/>
    <w:rsid w:val="00402A91"/>
    <w:rsid w:val="00426B4A"/>
    <w:rsid w:val="0045367F"/>
    <w:rsid w:val="00466CCB"/>
    <w:rsid w:val="0047215D"/>
    <w:rsid w:val="004873C2"/>
    <w:rsid w:val="004D1264"/>
    <w:rsid w:val="004E3D93"/>
    <w:rsid w:val="004F23E8"/>
    <w:rsid w:val="004F4B01"/>
    <w:rsid w:val="00503FB8"/>
    <w:rsid w:val="005440AE"/>
    <w:rsid w:val="0059673B"/>
    <w:rsid w:val="005B6E7C"/>
    <w:rsid w:val="005C43C4"/>
    <w:rsid w:val="005D135D"/>
    <w:rsid w:val="005F30F4"/>
    <w:rsid w:val="005F4A28"/>
    <w:rsid w:val="00601664"/>
    <w:rsid w:val="0061140E"/>
    <w:rsid w:val="00642E21"/>
    <w:rsid w:val="0065117B"/>
    <w:rsid w:val="00677712"/>
    <w:rsid w:val="00694143"/>
    <w:rsid w:val="006C333A"/>
    <w:rsid w:val="006D3FF6"/>
    <w:rsid w:val="006E4C6E"/>
    <w:rsid w:val="006E539F"/>
    <w:rsid w:val="006F1BC1"/>
    <w:rsid w:val="00704C68"/>
    <w:rsid w:val="0071239D"/>
    <w:rsid w:val="00712797"/>
    <w:rsid w:val="007348C1"/>
    <w:rsid w:val="00741553"/>
    <w:rsid w:val="00763ABD"/>
    <w:rsid w:val="007E6C35"/>
    <w:rsid w:val="00825743"/>
    <w:rsid w:val="00832AF4"/>
    <w:rsid w:val="00856048"/>
    <w:rsid w:val="0089591F"/>
    <w:rsid w:val="008A4AEC"/>
    <w:rsid w:val="008D21FB"/>
    <w:rsid w:val="008D4E8A"/>
    <w:rsid w:val="008D63A9"/>
    <w:rsid w:val="008E1BB7"/>
    <w:rsid w:val="008E6D2D"/>
    <w:rsid w:val="009257A8"/>
    <w:rsid w:val="00945871"/>
    <w:rsid w:val="009A4637"/>
    <w:rsid w:val="009D041E"/>
    <w:rsid w:val="009F46B6"/>
    <w:rsid w:val="00A41014"/>
    <w:rsid w:val="00A425E9"/>
    <w:rsid w:val="00A456E3"/>
    <w:rsid w:val="00A47246"/>
    <w:rsid w:val="00A6164F"/>
    <w:rsid w:val="00A715CF"/>
    <w:rsid w:val="00A809FF"/>
    <w:rsid w:val="00AC1B46"/>
    <w:rsid w:val="00AC7DB2"/>
    <w:rsid w:val="00AF0540"/>
    <w:rsid w:val="00B07C63"/>
    <w:rsid w:val="00B14F25"/>
    <w:rsid w:val="00B16833"/>
    <w:rsid w:val="00B41867"/>
    <w:rsid w:val="00B46D4B"/>
    <w:rsid w:val="00B55993"/>
    <w:rsid w:val="00B61E70"/>
    <w:rsid w:val="00B71890"/>
    <w:rsid w:val="00BB7A22"/>
    <w:rsid w:val="00BC1300"/>
    <w:rsid w:val="00BF19F8"/>
    <w:rsid w:val="00C545FA"/>
    <w:rsid w:val="00C649F4"/>
    <w:rsid w:val="00C94CDF"/>
    <w:rsid w:val="00C96050"/>
    <w:rsid w:val="00CA0BA3"/>
    <w:rsid w:val="00CB2711"/>
    <w:rsid w:val="00CC613D"/>
    <w:rsid w:val="00CD3C83"/>
    <w:rsid w:val="00CF7149"/>
    <w:rsid w:val="00D1368E"/>
    <w:rsid w:val="00D36E6E"/>
    <w:rsid w:val="00D7509C"/>
    <w:rsid w:val="00D77E99"/>
    <w:rsid w:val="00DA6C95"/>
    <w:rsid w:val="00DC11AB"/>
    <w:rsid w:val="00DF5C06"/>
    <w:rsid w:val="00E03616"/>
    <w:rsid w:val="00E21832"/>
    <w:rsid w:val="00E82B57"/>
    <w:rsid w:val="00EB7D43"/>
    <w:rsid w:val="00F202AC"/>
    <w:rsid w:val="00F51070"/>
    <w:rsid w:val="00F76083"/>
    <w:rsid w:val="00F8687B"/>
    <w:rsid w:val="00F9421C"/>
    <w:rsid w:val="00FB3CD4"/>
    <w:rsid w:val="00FB5930"/>
    <w:rsid w:val="00FE60B7"/>
    <w:rsid w:val="00FF35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40"/>
    <w:rPr>
      <w:rFonts w:eastAsia="Times New Roman" w:cs="Times New Roman"/>
      <w:sz w:val="24"/>
      <w:szCs w:val="24"/>
      <w:lang w:eastAsia="lv-LV"/>
    </w:rPr>
  </w:style>
  <w:style w:type="paragraph" w:styleId="Heading1">
    <w:name w:val="heading 1"/>
    <w:basedOn w:val="Normal"/>
    <w:next w:val="Normal"/>
    <w:link w:val="Heading1Char"/>
    <w:qFormat/>
    <w:rsid w:val="004E3D93"/>
    <w:pPr>
      <w:keepNext/>
      <w:spacing w:before="240" w:after="60"/>
      <w:ind w:firstLine="709"/>
      <w:jc w:val="both"/>
      <w:outlineLvl w:val="0"/>
    </w:pPr>
    <w:rPr>
      <w:rFonts w:eastAsiaTheme="minorHAnsi" w:cstheme="minorBidi"/>
      <w:b/>
      <w:kern w:val="28"/>
      <w:sz w:val="44"/>
      <w:szCs w:val="28"/>
      <w:lang w:eastAsia="en-US"/>
    </w:rPr>
  </w:style>
  <w:style w:type="paragraph" w:styleId="Heading2">
    <w:name w:val="heading 2"/>
    <w:basedOn w:val="Normal"/>
    <w:next w:val="Normal"/>
    <w:link w:val="Heading2Char"/>
    <w:unhideWhenUsed/>
    <w:qFormat/>
    <w:rsid w:val="004E3D93"/>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4E3D93"/>
    <w:pPr>
      <w:keepNext/>
      <w:spacing w:before="240" w:after="60"/>
      <w:ind w:firstLine="709"/>
      <w:jc w:val="both"/>
      <w:outlineLvl w:val="2"/>
    </w:pPr>
    <w:rPr>
      <w:rFonts w:ascii="Arial" w:hAnsi="Arial"/>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zdevumi">
    <w:name w:val="izdevumi"/>
    <w:basedOn w:val="Normal"/>
    <w:qFormat/>
    <w:rsid w:val="004E3D93"/>
    <w:pPr>
      <w:widowControl w:val="0"/>
      <w:spacing w:before="120" w:after="120"/>
      <w:ind w:left="567"/>
      <w:jc w:val="both"/>
    </w:pPr>
    <w:rPr>
      <w:i/>
      <w:szCs w:val="20"/>
      <w:lang w:eastAsia="en-US"/>
    </w:rPr>
  </w:style>
  <w:style w:type="character" w:customStyle="1" w:styleId="Heading1Char">
    <w:name w:val="Heading 1 Char"/>
    <w:basedOn w:val="DefaultParagraphFont"/>
    <w:link w:val="Heading1"/>
    <w:rsid w:val="004E3D93"/>
    <w:rPr>
      <w:b/>
      <w:kern w:val="28"/>
      <w:sz w:val="44"/>
      <w:szCs w:val="28"/>
    </w:rPr>
  </w:style>
  <w:style w:type="character" w:customStyle="1" w:styleId="Heading2Char">
    <w:name w:val="Heading 2 Char"/>
    <w:basedOn w:val="DefaultParagraphFont"/>
    <w:link w:val="Heading2"/>
    <w:rsid w:val="004E3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E3D93"/>
    <w:rPr>
      <w:rFonts w:ascii="Arial" w:eastAsia="Times New Roman" w:hAnsi="Arial" w:cs="Times New Roman"/>
      <w:sz w:val="24"/>
      <w:szCs w:val="20"/>
      <w:lang w:val="x-none"/>
    </w:rPr>
  </w:style>
  <w:style w:type="paragraph" w:styleId="Title">
    <w:name w:val="Title"/>
    <w:basedOn w:val="Normal"/>
    <w:link w:val="TitleChar"/>
    <w:uiPriority w:val="10"/>
    <w:qFormat/>
    <w:rsid w:val="004E3D93"/>
    <w:pPr>
      <w:jc w:val="center"/>
    </w:pPr>
    <w:rPr>
      <w:b/>
      <w:bCs/>
      <w:lang w:eastAsia="en-US"/>
    </w:rPr>
  </w:style>
  <w:style w:type="character" w:customStyle="1" w:styleId="TitleChar">
    <w:name w:val="Title Char"/>
    <w:basedOn w:val="DefaultParagraphFont"/>
    <w:link w:val="Title"/>
    <w:uiPriority w:val="10"/>
    <w:rsid w:val="004E3D93"/>
    <w:rPr>
      <w:rFonts w:eastAsia="Times New Roman" w:cs="Times New Roman"/>
      <w:b/>
      <w:bCs/>
      <w:sz w:val="24"/>
      <w:szCs w:val="24"/>
    </w:rPr>
  </w:style>
  <w:style w:type="character" w:styleId="Emphasis">
    <w:name w:val="Emphasis"/>
    <w:basedOn w:val="DefaultParagraphFont"/>
    <w:qFormat/>
    <w:rsid w:val="004E3D93"/>
    <w:rPr>
      <w:rFonts w:ascii="Times New Roman" w:hAnsi="Times New Roman"/>
      <w:i w:val="0"/>
      <w:iCs/>
      <w:sz w:val="22"/>
    </w:rPr>
  </w:style>
  <w:style w:type="paragraph" w:styleId="NoSpacing">
    <w:name w:val="No Spacing"/>
    <w:uiPriority w:val="1"/>
    <w:qFormat/>
    <w:rsid w:val="004E3D93"/>
    <w:rPr>
      <w:rFonts w:eastAsia="Times New Roman" w:cs="Times New Roman"/>
      <w:sz w:val="20"/>
      <w:szCs w:val="20"/>
    </w:rPr>
  </w:style>
  <w:style w:type="paragraph" w:styleId="ListParagraph">
    <w:name w:val="List Paragraph"/>
    <w:basedOn w:val="Normal"/>
    <w:uiPriority w:val="34"/>
    <w:qFormat/>
    <w:rsid w:val="004E3D93"/>
    <w:pPr>
      <w:spacing w:after="120"/>
      <w:ind w:left="720" w:firstLine="709"/>
      <w:contextualSpacing/>
      <w:jc w:val="both"/>
    </w:pPr>
    <w:rPr>
      <w:rFonts w:eastAsiaTheme="minorHAnsi" w:cstheme="minorBidi"/>
      <w:sz w:val="28"/>
      <w:szCs w:val="28"/>
      <w:lang w:eastAsia="en-US"/>
    </w:rPr>
  </w:style>
  <w:style w:type="paragraph" w:customStyle="1" w:styleId="naisf">
    <w:name w:val="naisf"/>
    <w:basedOn w:val="Normal"/>
    <w:rsid w:val="00AF0540"/>
    <w:pPr>
      <w:spacing w:before="75" w:after="75"/>
      <w:ind w:firstLine="375"/>
      <w:jc w:val="both"/>
    </w:pPr>
  </w:style>
  <w:style w:type="paragraph" w:customStyle="1" w:styleId="naisnod">
    <w:name w:val="naisnod"/>
    <w:basedOn w:val="Normal"/>
    <w:rsid w:val="00AF0540"/>
    <w:pPr>
      <w:spacing w:before="150" w:after="150"/>
      <w:jc w:val="center"/>
    </w:pPr>
    <w:rPr>
      <w:b/>
      <w:bCs/>
    </w:rPr>
  </w:style>
  <w:style w:type="paragraph" w:customStyle="1" w:styleId="naislab">
    <w:name w:val="naislab"/>
    <w:basedOn w:val="Normal"/>
    <w:rsid w:val="00AF0540"/>
    <w:pPr>
      <w:spacing w:before="75" w:after="75"/>
      <w:jc w:val="right"/>
    </w:pPr>
  </w:style>
  <w:style w:type="paragraph" w:customStyle="1" w:styleId="naiskr">
    <w:name w:val="naiskr"/>
    <w:basedOn w:val="Normal"/>
    <w:rsid w:val="00AF0540"/>
    <w:pPr>
      <w:spacing w:before="75" w:after="75"/>
    </w:pPr>
  </w:style>
  <w:style w:type="paragraph" w:styleId="FootnoteText">
    <w:name w:val="footnote text"/>
    <w:basedOn w:val="Normal"/>
    <w:link w:val="FootnoteTextChar"/>
    <w:semiHidden/>
    <w:rsid w:val="00AF0540"/>
    <w:rPr>
      <w:sz w:val="20"/>
      <w:szCs w:val="20"/>
    </w:rPr>
  </w:style>
  <w:style w:type="character" w:customStyle="1" w:styleId="FootnoteTextChar">
    <w:name w:val="Footnote Text Char"/>
    <w:basedOn w:val="DefaultParagraphFont"/>
    <w:link w:val="FootnoteText"/>
    <w:semiHidden/>
    <w:rsid w:val="00AF0540"/>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A456E3"/>
    <w:rPr>
      <w:sz w:val="16"/>
      <w:szCs w:val="16"/>
    </w:rPr>
  </w:style>
  <w:style w:type="paragraph" w:styleId="CommentText">
    <w:name w:val="annotation text"/>
    <w:basedOn w:val="Normal"/>
    <w:link w:val="CommentTextChar"/>
    <w:uiPriority w:val="99"/>
    <w:semiHidden/>
    <w:unhideWhenUsed/>
    <w:rsid w:val="00A456E3"/>
    <w:rPr>
      <w:sz w:val="20"/>
      <w:szCs w:val="20"/>
    </w:rPr>
  </w:style>
  <w:style w:type="character" w:customStyle="1" w:styleId="CommentTextChar">
    <w:name w:val="Comment Text Char"/>
    <w:basedOn w:val="DefaultParagraphFont"/>
    <w:link w:val="CommentText"/>
    <w:uiPriority w:val="99"/>
    <w:semiHidden/>
    <w:rsid w:val="00A456E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56E3"/>
    <w:rPr>
      <w:b/>
      <w:bCs/>
    </w:rPr>
  </w:style>
  <w:style w:type="character" w:customStyle="1" w:styleId="CommentSubjectChar">
    <w:name w:val="Comment Subject Char"/>
    <w:basedOn w:val="CommentTextChar"/>
    <w:link w:val="CommentSubject"/>
    <w:uiPriority w:val="99"/>
    <w:semiHidden/>
    <w:rsid w:val="00A456E3"/>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456E3"/>
    <w:rPr>
      <w:rFonts w:ascii="Tahoma" w:hAnsi="Tahoma" w:cs="Tahoma"/>
      <w:sz w:val="16"/>
      <w:szCs w:val="16"/>
    </w:rPr>
  </w:style>
  <w:style w:type="character" w:customStyle="1" w:styleId="BalloonTextChar">
    <w:name w:val="Balloon Text Char"/>
    <w:basedOn w:val="DefaultParagraphFont"/>
    <w:link w:val="BalloonText"/>
    <w:uiPriority w:val="99"/>
    <w:semiHidden/>
    <w:rsid w:val="00A456E3"/>
    <w:rPr>
      <w:rFonts w:ascii="Tahoma" w:eastAsia="Times New Roman" w:hAnsi="Tahoma" w:cs="Tahoma"/>
      <w:sz w:val="16"/>
      <w:szCs w:val="16"/>
      <w:lang w:eastAsia="lv-LV"/>
    </w:rPr>
  </w:style>
  <w:style w:type="paragraph" w:styleId="Header">
    <w:name w:val="header"/>
    <w:basedOn w:val="Normal"/>
    <w:link w:val="HeaderChar"/>
    <w:uiPriority w:val="99"/>
    <w:rsid w:val="000A650A"/>
    <w:pPr>
      <w:tabs>
        <w:tab w:val="center" w:pos="4153"/>
        <w:tab w:val="right" w:pos="8306"/>
      </w:tabs>
      <w:jc w:val="both"/>
    </w:pPr>
    <w:rPr>
      <w:szCs w:val="20"/>
      <w:lang w:eastAsia="en-US"/>
    </w:rPr>
  </w:style>
  <w:style w:type="character" w:customStyle="1" w:styleId="HeaderChar">
    <w:name w:val="Header Char"/>
    <w:basedOn w:val="DefaultParagraphFont"/>
    <w:link w:val="Header"/>
    <w:uiPriority w:val="99"/>
    <w:rsid w:val="000A650A"/>
    <w:rPr>
      <w:rFonts w:eastAsia="Times New Roman" w:cs="Times New Roman"/>
      <w:sz w:val="24"/>
      <w:szCs w:val="20"/>
    </w:rPr>
  </w:style>
  <w:style w:type="character" w:styleId="Hyperlink">
    <w:name w:val="Hyperlink"/>
    <w:rsid w:val="000A650A"/>
    <w:rPr>
      <w:rFonts w:ascii="Garamond" w:hAnsi="Garamond"/>
      <w:noProof w:val="0"/>
      <w:color w:val="0000FF"/>
      <w:u w:val="single"/>
      <w:lang w:val="lv-LV"/>
    </w:rPr>
  </w:style>
  <w:style w:type="paragraph" w:styleId="Footer">
    <w:name w:val="footer"/>
    <w:basedOn w:val="Normal"/>
    <w:link w:val="FooterChar"/>
    <w:uiPriority w:val="99"/>
    <w:unhideWhenUsed/>
    <w:rsid w:val="000A650A"/>
    <w:pPr>
      <w:tabs>
        <w:tab w:val="center" w:pos="4153"/>
        <w:tab w:val="right" w:pos="8306"/>
      </w:tabs>
    </w:pPr>
  </w:style>
  <w:style w:type="character" w:customStyle="1" w:styleId="FooterChar">
    <w:name w:val="Footer Char"/>
    <w:basedOn w:val="DefaultParagraphFont"/>
    <w:link w:val="Footer"/>
    <w:uiPriority w:val="99"/>
    <w:rsid w:val="000A650A"/>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40"/>
    <w:rPr>
      <w:rFonts w:eastAsia="Times New Roman" w:cs="Times New Roman"/>
      <w:sz w:val="24"/>
      <w:szCs w:val="24"/>
      <w:lang w:eastAsia="lv-LV"/>
    </w:rPr>
  </w:style>
  <w:style w:type="paragraph" w:styleId="Heading1">
    <w:name w:val="heading 1"/>
    <w:basedOn w:val="Normal"/>
    <w:next w:val="Normal"/>
    <w:link w:val="Heading1Char"/>
    <w:qFormat/>
    <w:rsid w:val="004E3D93"/>
    <w:pPr>
      <w:keepNext/>
      <w:spacing w:before="240" w:after="60"/>
      <w:ind w:firstLine="709"/>
      <w:jc w:val="both"/>
      <w:outlineLvl w:val="0"/>
    </w:pPr>
    <w:rPr>
      <w:rFonts w:eastAsiaTheme="minorHAnsi" w:cstheme="minorBidi"/>
      <w:b/>
      <w:kern w:val="28"/>
      <w:sz w:val="44"/>
      <w:szCs w:val="28"/>
      <w:lang w:eastAsia="en-US"/>
    </w:rPr>
  </w:style>
  <w:style w:type="paragraph" w:styleId="Heading2">
    <w:name w:val="heading 2"/>
    <w:basedOn w:val="Normal"/>
    <w:next w:val="Normal"/>
    <w:link w:val="Heading2Char"/>
    <w:unhideWhenUsed/>
    <w:qFormat/>
    <w:rsid w:val="004E3D93"/>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4E3D93"/>
    <w:pPr>
      <w:keepNext/>
      <w:spacing w:before="240" w:after="60"/>
      <w:ind w:firstLine="709"/>
      <w:jc w:val="both"/>
      <w:outlineLvl w:val="2"/>
    </w:pPr>
    <w:rPr>
      <w:rFonts w:ascii="Arial" w:hAnsi="Arial"/>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zdevumi">
    <w:name w:val="izdevumi"/>
    <w:basedOn w:val="Normal"/>
    <w:qFormat/>
    <w:rsid w:val="004E3D93"/>
    <w:pPr>
      <w:widowControl w:val="0"/>
      <w:spacing w:before="120" w:after="120"/>
      <w:ind w:left="567"/>
      <w:jc w:val="both"/>
    </w:pPr>
    <w:rPr>
      <w:i/>
      <w:szCs w:val="20"/>
      <w:lang w:eastAsia="en-US"/>
    </w:rPr>
  </w:style>
  <w:style w:type="character" w:customStyle="1" w:styleId="Heading1Char">
    <w:name w:val="Heading 1 Char"/>
    <w:basedOn w:val="DefaultParagraphFont"/>
    <w:link w:val="Heading1"/>
    <w:rsid w:val="004E3D93"/>
    <w:rPr>
      <w:b/>
      <w:kern w:val="28"/>
      <w:sz w:val="44"/>
      <w:szCs w:val="28"/>
    </w:rPr>
  </w:style>
  <w:style w:type="character" w:customStyle="1" w:styleId="Heading2Char">
    <w:name w:val="Heading 2 Char"/>
    <w:basedOn w:val="DefaultParagraphFont"/>
    <w:link w:val="Heading2"/>
    <w:rsid w:val="004E3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E3D93"/>
    <w:rPr>
      <w:rFonts w:ascii="Arial" w:eastAsia="Times New Roman" w:hAnsi="Arial" w:cs="Times New Roman"/>
      <w:sz w:val="24"/>
      <w:szCs w:val="20"/>
      <w:lang w:val="x-none"/>
    </w:rPr>
  </w:style>
  <w:style w:type="paragraph" w:styleId="Title">
    <w:name w:val="Title"/>
    <w:basedOn w:val="Normal"/>
    <w:link w:val="TitleChar"/>
    <w:uiPriority w:val="10"/>
    <w:qFormat/>
    <w:rsid w:val="004E3D93"/>
    <w:pPr>
      <w:jc w:val="center"/>
    </w:pPr>
    <w:rPr>
      <w:b/>
      <w:bCs/>
      <w:lang w:eastAsia="en-US"/>
    </w:rPr>
  </w:style>
  <w:style w:type="character" w:customStyle="1" w:styleId="TitleChar">
    <w:name w:val="Title Char"/>
    <w:basedOn w:val="DefaultParagraphFont"/>
    <w:link w:val="Title"/>
    <w:uiPriority w:val="10"/>
    <w:rsid w:val="004E3D93"/>
    <w:rPr>
      <w:rFonts w:eastAsia="Times New Roman" w:cs="Times New Roman"/>
      <w:b/>
      <w:bCs/>
      <w:sz w:val="24"/>
      <w:szCs w:val="24"/>
    </w:rPr>
  </w:style>
  <w:style w:type="character" w:styleId="Emphasis">
    <w:name w:val="Emphasis"/>
    <w:basedOn w:val="DefaultParagraphFont"/>
    <w:qFormat/>
    <w:rsid w:val="004E3D93"/>
    <w:rPr>
      <w:rFonts w:ascii="Times New Roman" w:hAnsi="Times New Roman"/>
      <w:i w:val="0"/>
      <w:iCs/>
      <w:sz w:val="22"/>
    </w:rPr>
  </w:style>
  <w:style w:type="paragraph" w:styleId="NoSpacing">
    <w:name w:val="No Spacing"/>
    <w:uiPriority w:val="1"/>
    <w:qFormat/>
    <w:rsid w:val="004E3D93"/>
    <w:rPr>
      <w:rFonts w:eastAsia="Times New Roman" w:cs="Times New Roman"/>
      <w:sz w:val="20"/>
      <w:szCs w:val="20"/>
    </w:rPr>
  </w:style>
  <w:style w:type="paragraph" w:styleId="ListParagraph">
    <w:name w:val="List Paragraph"/>
    <w:basedOn w:val="Normal"/>
    <w:uiPriority w:val="34"/>
    <w:qFormat/>
    <w:rsid w:val="004E3D93"/>
    <w:pPr>
      <w:spacing w:after="120"/>
      <w:ind w:left="720" w:firstLine="709"/>
      <w:contextualSpacing/>
      <w:jc w:val="both"/>
    </w:pPr>
    <w:rPr>
      <w:rFonts w:eastAsiaTheme="minorHAnsi" w:cstheme="minorBidi"/>
      <w:sz w:val="28"/>
      <w:szCs w:val="28"/>
      <w:lang w:eastAsia="en-US"/>
    </w:rPr>
  </w:style>
  <w:style w:type="paragraph" w:customStyle="1" w:styleId="naisf">
    <w:name w:val="naisf"/>
    <w:basedOn w:val="Normal"/>
    <w:rsid w:val="00AF0540"/>
    <w:pPr>
      <w:spacing w:before="75" w:after="75"/>
      <w:ind w:firstLine="375"/>
      <w:jc w:val="both"/>
    </w:pPr>
  </w:style>
  <w:style w:type="paragraph" w:customStyle="1" w:styleId="naisnod">
    <w:name w:val="naisnod"/>
    <w:basedOn w:val="Normal"/>
    <w:rsid w:val="00AF0540"/>
    <w:pPr>
      <w:spacing w:before="150" w:after="150"/>
      <w:jc w:val="center"/>
    </w:pPr>
    <w:rPr>
      <w:b/>
      <w:bCs/>
    </w:rPr>
  </w:style>
  <w:style w:type="paragraph" w:customStyle="1" w:styleId="naislab">
    <w:name w:val="naislab"/>
    <w:basedOn w:val="Normal"/>
    <w:rsid w:val="00AF0540"/>
    <w:pPr>
      <w:spacing w:before="75" w:after="75"/>
      <w:jc w:val="right"/>
    </w:pPr>
  </w:style>
  <w:style w:type="paragraph" w:customStyle="1" w:styleId="naiskr">
    <w:name w:val="naiskr"/>
    <w:basedOn w:val="Normal"/>
    <w:rsid w:val="00AF0540"/>
    <w:pPr>
      <w:spacing w:before="75" w:after="75"/>
    </w:pPr>
  </w:style>
  <w:style w:type="paragraph" w:styleId="FootnoteText">
    <w:name w:val="footnote text"/>
    <w:basedOn w:val="Normal"/>
    <w:link w:val="FootnoteTextChar"/>
    <w:semiHidden/>
    <w:rsid w:val="00AF0540"/>
    <w:rPr>
      <w:sz w:val="20"/>
      <w:szCs w:val="20"/>
    </w:rPr>
  </w:style>
  <w:style w:type="character" w:customStyle="1" w:styleId="FootnoteTextChar">
    <w:name w:val="Footnote Text Char"/>
    <w:basedOn w:val="DefaultParagraphFont"/>
    <w:link w:val="FootnoteText"/>
    <w:semiHidden/>
    <w:rsid w:val="00AF0540"/>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A456E3"/>
    <w:rPr>
      <w:sz w:val="16"/>
      <w:szCs w:val="16"/>
    </w:rPr>
  </w:style>
  <w:style w:type="paragraph" w:styleId="CommentText">
    <w:name w:val="annotation text"/>
    <w:basedOn w:val="Normal"/>
    <w:link w:val="CommentTextChar"/>
    <w:uiPriority w:val="99"/>
    <w:semiHidden/>
    <w:unhideWhenUsed/>
    <w:rsid w:val="00A456E3"/>
    <w:rPr>
      <w:sz w:val="20"/>
      <w:szCs w:val="20"/>
    </w:rPr>
  </w:style>
  <w:style w:type="character" w:customStyle="1" w:styleId="CommentTextChar">
    <w:name w:val="Comment Text Char"/>
    <w:basedOn w:val="DefaultParagraphFont"/>
    <w:link w:val="CommentText"/>
    <w:uiPriority w:val="99"/>
    <w:semiHidden/>
    <w:rsid w:val="00A456E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56E3"/>
    <w:rPr>
      <w:b/>
      <w:bCs/>
    </w:rPr>
  </w:style>
  <w:style w:type="character" w:customStyle="1" w:styleId="CommentSubjectChar">
    <w:name w:val="Comment Subject Char"/>
    <w:basedOn w:val="CommentTextChar"/>
    <w:link w:val="CommentSubject"/>
    <w:uiPriority w:val="99"/>
    <w:semiHidden/>
    <w:rsid w:val="00A456E3"/>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456E3"/>
    <w:rPr>
      <w:rFonts w:ascii="Tahoma" w:hAnsi="Tahoma" w:cs="Tahoma"/>
      <w:sz w:val="16"/>
      <w:szCs w:val="16"/>
    </w:rPr>
  </w:style>
  <w:style w:type="character" w:customStyle="1" w:styleId="BalloonTextChar">
    <w:name w:val="Balloon Text Char"/>
    <w:basedOn w:val="DefaultParagraphFont"/>
    <w:link w:val="BalloonText"/>
    <w:uiPriority w:val="99"/>
    <w:semiHidden/>
    <w:rsid w:val="00A456E3"/>
    <w:rPr>
      <w:rFonts w:ascii="Tahoma" w:eastAsia="Times New Roman" w:hAnsi="Tahoma" w:cs="Tahoma"/>
      <w:sz w:val="16"/>
      <w:szCs w:val="16"/>
      <w:lang w:eastAsia="lv-LV"/>
    </w:rPr>
  </w:style>
  <w:style w:type="paragraph" w:styleId="Header">
    <w:name w:val="header"/>
    <w:basedOn w:val="Normal"/>
    <w:link w:val="HeaderChar"/>
    <w:uiPriority w:val="99"/>
    <w:rsid w:val="000A650A"/>
    <w:pPr>
      <w:tabs>
        <w:tab w:val="center" w:pos="4153"/>
        <w:tab w:val="right" w:pos="8306"/>
      </w:tabs>
      <w:jc w:val="both"/>
    </w:pPr>
    <w:rPr>
      <w:szCs w:val="20"/>
      <w:lang w:eastAsia="en-US"/>
    </w:rPr>
  </w:style>
  <w:style w:type="character" w:customStyle="1" w:styleId="HeaderChar">
    <w:name w:val="Header Char"/>
    <w:basedOn w:val="DefaultParagraphFont"/>
    <w:link w:val="Header"/>
    <w:uiPriority w:val="99"/>
    <w:rsid w:val="000A650A"/>
    <w:rPr>
      <w:rFonts w:eastAsia="Times New Roman" w:cs="Times New Roman"/>
      <w:sz w:val="24"/>
      <w:szCs w:val="20"/>
    </w:rPr>
  </w:style>
  <w:style w:type="character" w:styleId="Hyperlink">
    <w:name w:val="Hyperlink"/>
    <w:rsid w:val="000A650A"/>
    <w:rPr>
      <w:rFonts w:ascii="Garamond" w:hAnsi="Garamond"/>
      <w:noProof w:val="0"/>
      <w:color w:val="0000FF"/>
      <w:u w:val="single"/>
      <w:lang w:val="lv-LV"/>
    </w:rPr>
  </w:style>
  <w:style w:type="paragraph" w:styleId="Footer">
    <w:name w:val="footer"/>
    <w:basedOn w:val="Normal"/>
    <w:link w:val="FooterChar"/>
    <w:uiPriority w:val="99"/>
    <w:unhideWhenUsed/>
    <w:rsid w:val="000A650A"/>
    <w:pPr>
      <w:tabs>
        <w:tab w:val="center" w:pos="4153"/>
        <w:tab w:val="right" w:pos="8306"/>
      </w:tabs>
    </w:pPr>
  </w:style>
  <w:style w:type="character" w:customStyle="1" w:styleId="FooterChar">
    <w:name w:val="Footer Char"/>
    <w:basedOn w:val="DefaultParagraphFont"/>
    <w:link w:val="Footer"/>
    <w:uiPriority w:val="99"/>
    <w:rsid w:val="000A650A"/>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iga.Ozolina@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N.Sakss</Vad_x012b_t_x0101_js>
    <Kategorija xmlns="2e5bb04e-596e-45bd-9003-43ca78b1ba16">Anotācija</Kategorija>
    <DKP xmlns="2e5bb04e-596e-45bd-9003-43ca78b1ba16">441</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E70A-2D6C-4EAD-8843-D303B5492C25}">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B6FBF5A7-EBA0-4B45-BC76-DC23DB96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482033-B687-402A-804D-BD3222B994F7}">
  <ds:schemaRefs>
    <ds:schemaRef ds:uri="http://schemas.microsoft.com/sharepoint/v3/contenttype/forms"/>
  </ds:schemaRefs>
</ds:datastoreItem>
</file>

<file path=customXml/itemProps4.xml><?xml version="1.0" encoding="utf-8"?>
<ds:datastoreItem xmlns:ds="http://schemas.openxmlformats.org/officeDocument/2006/customXml" ds:itemID="{D1CFA0CC-17B3-435F-8EE7-B2F44E3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6643</Words>
  <Characters>3788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Ilgtermiņa stabilizācijas rezerves likumprojekts</vt:lpstr>
    </vt:vector>
  </TitlesOfParts>
  <Company>Finanšu ministrija</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Ilgtermiņa stabilizācijas rezerves likumprojekts</dc:title>
  <dc:subject>anotācija</dc:subject>
  <dc:creator>L.Ozoliņa</dc:creator>
  <dc:description>tālrunis 67083823
Liga.Ozolina@fm.gov.lv</dc:description>
  <cp:lastModifiedBy>Gerda Rubīna</cp:lastModifiedBy>
  <cp:revision>19</cp:revision>
  <cp:lastPrinted>2013-12-03T12:38:00Z</cp:lastPrinted>
  <dcterms:created xsi:type="dcterms:W3CDTF">2013-10-11T09:31:00Z</dcterms:created>
  <dcterms:modified xsi:type="dcterms:W3CDTF">2013-12-12T09:44:00Z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