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2D" w:rsidRDefault="0099549F" w:rsidP="00844E2D">
      <w:pPr>
        <w:pStyle w:val="Parasts1"/>
        <w:jc w:val="center"/>
        <w:rPr>
          <w:b/>
          <w:sz w:val="28"/>
          <w:szCs w:val="28"/>
        </w:rPr>
      </w:pPr>
      <w:bookmarkStart w:id="0" w:name="OLE_LINK3"/>
      <w:bookmarkStart w:id="1" w:name="OLE_LINK4"/>
      <w:bookmarkStart w:id="2" w:name="OLE_LINK7"/>
      <w:bookmarkStart w:id="3" w:name="OLE_LINK1"/>
      <w:bookmarkStart w:id="4" w:name="OLE_LINK2"/>
      <w:bookmarkStart w:id="5" w:name="OLE_LINK5"/>
      <w:bookmarkStart w:id="6" w:name="OLE_LINK6"/>
      <w:r>
        <w:rPr>
          <w:b/>
          <w:sz w:val="28"/>
          <w:szCs w:val="28"/>
        </w:rPr>
        <w:t>Ministru kabineta noteikumu</w:t>
      </w:r>
      <w:bookmarkEnd w:id="0"/>
      <w:bookmarkEnd w:id="1"/>
      <w:bookmarkEnd w:id="2"/>
      <w:r w:rsidR="00EA61A1">
        <w:rPr>
          <w:b/>
          <w:sz w:val="28"/>
          <w:szCs w:val="28"/>
        </w:rPr>
        <w:t xml:space="preserve"> </w:t>
      </w:r>
      <w:r w:rsidR="00293039">
        <w:rPr>
          <w:b/>
          <w:sz w:val="28"/>
          <w:szCs w:val="28"/>
        </w:rPr>
        <w:t xml:space="preserve">projekta </w:t>
      </w:r>
      <w:r w:rsidR="00844E2D" w:rsidRPr="00844E2D">
        <w:rPr>
          <w:b/>
          <w:sz w:val="28"/>
          <w:szCs w:val="28"/>
        </w:rPr>
        <w:t>„Grozījumi Ministru kabineta 2010.gada 21.septembra noteikumos Nr.899 „Likuma „Par iedzīvotāju ienākuma nodokli”</w:t>
      </w:r>
      <w:r w:rsidR="00844E2D">
        <w:rPr>
          <w:b/>
          <w:sz w:val="28"/>
          <w:szCs w:val="28"/>
        </w:rPr>
        <w:t xml:space="preserve"> </w:t>
      </w:r>
      <w:r w:rsidR="00844E2D" w:rsidRPr="00844E2D">
        <w:rPr>
          <w:b/>
          <w:sz w:val="28"/>
          <w:szCs w:val="28"/>
        </w:rPr>
        <w:t>normu piemērošanas kārtība””</w:t>
      </w:r>
      <w:r w:rsidR="00844E2D">
        <w:rPr>
          <w:b/>
          <w:sz w:val="28"/>
          <w:szCs w:val="28"/>
        </w:rPr>
        <w:t xml:space="preserve"> </w:t>
      </w:r>
    </w:p>
    <w:p w:rsidR="00F807BB" w:rsidRPr="00F807BB" w:rsidRDefault="005A299A" w:rsidP="00F807BB">
      <w:pPr>
        <w:pStyle w:val="Parasts1"/>
        <w:jc w:val="center"/>
        <w:rPr>
          <w:b/>
          <w:sz w:val="28"/>
          <w:szCs w:val="28"/>
        </w:rPr>
      </w:pPr>
      <w:r w:rsidRPr="008C18B1">
        <w:rPr>
          <w:b/>
          <w:sz w:val="28"/>
          <w:szCs w:val="28"/>
        </w:rPr>
        <w:t xml:space="preserve">sākotnējās ietekmes novērtējuma </w:t>
      </w:r>
      <w:smartTag w:uri="schemas-tilde-lv/tildestengine" w:element="veidnes">
        <w:smartTagPr>
          <w:attr w:name="id" w:val="-1"/>
          <w:attr w:name="baseform" w:val="ziņojums"/>
          <w:attr w:name="text" w:val="ziņojums"/>
        </w:smartTagPr>
        <w:r w:rsidRPr="008C18B1">
          <w:rPr>
            <w:b/>
            <w:sz w:val="28"/>
            <w:szCs w:val="28"/>
          </w:rPr>
          <w:t>ziņojums</w:t>
        </w:r>
      </w:smartTag>
      <w:bookmarkEnd w:id="3"/>
      <w:bookmarkEnd w:id="4"/>
      <w:r w:rsidRPr="008C18B1">
        <w:rPr>
          <w:b/>
          <w:sz w:val="28"/>
          <w:szCs w:val="28"/>
        </w:rPr>
        <w:t xml:space="preserve"> (anotācija)</w:t>
      </w:r>
      <w:bookmarkEnd w:id="5"/>
      <w:bookmarkEnd w:id="6"/>
    </w:p>
    <w:p w:rsidR="005A299A" w:rsidRPr="00F807BB" w:rsidRDefault="005A299A" w:rsidP="00F807BB"/>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42"/>
        <w:gridCol w:w="7207"/>
      </w:tblGrid>
      <w:tr w:rsidR="005A299A" w:rsidRPr="008C18B1" w:rsidTr="007974B4">
        <w:tc>
          <w:tcPr>
            <w:tcW w:w="9480" w:type="dxa"/>
            <w:gridSpan w:val="3"/>
            <w:vAlign w:val="center"/>
          </w:tcPr>
          <w:p w:rsidR="005A299A" w:rsidRPr="008C18B1" w:rsidRDefault="005A299A" w:rsidP="009D6184">
            <w:pPr>
              <w:pStyle w:val="Parasts1"/>
              <w:jc w:val="center"/>
              <w:rPr>
                <w:b/>
              </w:rPr>
            </w:pPr>
            <w:r w:rsidRPr="008C18B1">
              <w:rPr>
                <w:b/>
              </w:rPr>
              <w:t>I. Tiesību akta projekta izstrādes nepieciešamība</w:t>
            </w:r>
          </w:p>
        </w:tc>
      </w:tr>
      <w:tr w:rsidR="00EA2F33" w:rsidRPr="008C18B1" w:rsidTr="00191855">
        <w:trPr>
          <w:trHeight w:val="1408"/>
        </w:trPr>
        <w:tc>
          <w:tcPr>
            <w:tcW w:w="431" w:type="dxa"/>
          </w:tcPr>
          <w:p w:rsidR="00EA2F33" w:rsidRPr="008C18B1" w:rsidRDefault="00EA2F33" w:rsidP="009D6184">
            <w:pPr>
              <w:pStyle w:val="Parasts1"/>
            </w:pPr>
            <w:r w:rsidRPr="008C18B1">
              <w:t>1.</w:t>
            </w:r>
          </w:p>
        </w:tc>
        <w:tc>
          <w:tcPr>
            <w:tcW w:w="1842" w:type="dxa"/>
          </w:tcPr>
          <w:p w:rsidR="00EA2F33" w:rsidRPr="008C18B1" w:rsidRDefault="00EA2F33" w:rsidP="009D6184">
            <w:pPr>
              <w:pStyle w:val="Parasts1"/>
            </w:pPr>
            <w:r w:rsidRPr="008C18B1">
              <w:t>Pamatojums</w:t>
            </w:r>
          </w:p>
        </w:tc>
        <w:tc>
          <w:tcPr>
            <w:tcW w:w="7207" w:type="dxa"/>
          </w:tcPr>
          <w:p w:rsidR="008711FC" w:rsidRDefault="00EA2F33" w:rsidP="00191855">
            <w:pPr>
              <w:jc w:val="both"/>
              <w:rPr>
                <w:szCs w:val="28"/>
              </w:rPr>
            </w:pPr>
            <w:r w:rsidRPr="00D15E0B">
              <w:rPr>
                <w:szCs w:val="28"/>
              </w:rPr>
              <w:t>Ministru kabineta noteikumu projekta</w:t>
            </w:r>
            <w:r>
              <w:rPr>
                <w:szCs w:val="28"/>
              </w:rPr>
              <w:t xml:space="preserve"> </w:t>
            </w:r>
            <w:r w:rsidR="00FB3876" w:rsidRPr="00FB3876">
              <w:rPr>
                <w:bCs/>
                <w:szCs w:val="28"/>
              </w:rPr>
              <w:t xml:space="preserve">„Grozījumi Ministru kabineta 2010.gada 21.septembra noteikumos Nr.899 „Likuma „Par iedzīvotāju ienākuma nodokli” normu piemērošanas kārtība”” </w:t>
            </w:r>
            <w:r>
              <w:rPr>
                <w:szCs w:val="28"/>
              </w:rPr>
              <w:t xml:space="preserve"> (turpmāk – noteikumu projekts)</w:t>
            </w:r>
            <w:r w:rsidRPr="00D15E0B">
              <w:rPr>
                <w:szCs w:val="28"/>
              </w:rPr>
              <w:t xml:space="preserve"> izstr</w:t>
            </w:r>
            <w:r w:rsidR="000C5177">
              <w:rPr>
                <w:szCs w:val="28"/>
              </w:rPr>
              <w:t>ādes nepieciešamību noteica</w:t>
            </w:r>
            <w:r w:rsidR="008711FC">
              <w:rPr>
                <w:szCs w:val="28"/>
              </w:rPr>
              <w:t>:</w:t>
            </w:r>
          </w:p>
          <w:p w:rsidR="008711FC" w:rsidRPr="008711FC" w:rsidRDefault="008711FC" w:rsidP="00191855">
            <w:pPr>
              <w:jc w:val="both"/>
              <w:rPr>
                <w:szCs w:val="24"/>
              </w:rPr>
            </w:pPr>
            <w:r>
              <w:rPr>
                <w:szCs w:val="28"/>
              </w:rPr>
              <w:t xml:space="preserve">1) </w:t>
            </w:r>
            <w:r>
              <w:rPr>
                <w:sz w:val="28"/>
                <w:szCs w:val="28"/>
              </w:rPr>
              <w:t xml:space="preserve"> </w:t>
            </w:r>
            <w:r w:rsidRPr="008711FC">
              <w:rPr>
                <w:szCs w:val="24"/>
              </w:rPr>
              <w:t>Ministru prezidenta 2013.gada 9.decembra rezolūcijas Nr.12/2013-JUR-384 1.punkts;</w:t>
            </w:r>
          </w:p>
          <w:p w:rsidR="00EA2F33" w:rsidRPr="00E30F5F" w:rsidRDefault="008711FC" w:rsidP="00191855">
            <w:pPr>
              <w:jc w:val="both"/>
              <w:rPr>
                <w:szCs w:val="28"/>
              </w:rPr>
            </w:pPr>
            <w:r>
              <w:rPr>
                <w:szCs w:val="28"/>
              </w:rPr>
              <w:t xml:space="preserve">2) </w:t>
            </w:r>
            <w:r w:rsidR="00E31B0C">
              <w:t>2013.gada 6.novembra likums „Grozījumi likumā „Par iedzīvotāju ienākuma nodokli””.</w:t>
            </w:r>
          </w:p>
        </w:tc>
      </w:tr>
      <w:tr w:rsidR="00EA2F33" w:rsidRPr="00191855" w:rsidTr="00EB7442">
        <w:trPr>
          <w:trHeight w:val="558"/>
        </w:trPr>
        <w:tc>
          <w:tcPr>
            <w:tcW w:w="431" w:type="dxa"/>
          </w:tcPr>
          <w:p w:rsidR="00EA2F33" w:rsidRPr="00191855" w:rsidRDefault="00EA2F33" w:rsidP="009D6184">
            <w:pPr>
              <w:pStyle w:val="Parasts1"/>
            </w:pPr>
            <w:r w:rsidRPr="00191855">
              <w:t>2.</w:t>
            </w:r>
          </w:p>
        </w:tc>
        <w:tc>
          <w:tcPr>
            <w:tcW w:w="1842" w:type="dxa"/>
          </w:tcPr>
          <w:p w:rsidR="00EA2F33" w:rsidRPr="00191855" w:rsidRDefault="00EA2F33" w:rsidP="009D6184">
            <w:pPr>
              <w:pStyle w:val="Parasts1"/>
            </w:pPr>
            <w:r w:rsidRPr="00191855">
              <w:t>Pašreizējā situācija un problēmas</w:t>
            </w:r>
          </w:p>
        </w:tc>
        <w:tc>
          <w:tcPr>
            <w:tcW w:w="7207" w:type="dxa"/>
          </w:tcPr>
          <w:p w:rsidR="00A56794" w:rsidRDefault="00A56794" w:rsidP="00BC713C">
            <w:pPr>
              <w:pStyle w:val="Parasts1"/>
              <w:jc w:val="both"/>
            </w:pPr>
            <w:r w:rsidRPr="00191855">
              <w:t>Ar 2013.gada 6.novembrī Saeimā pieņemto likumu „Grozījumi likumā „Par iedzīvotāju ienākuma nodokli”” (stājās spēkā 2014.gada 1.janvārī), likuma „Par iedzīvotāju ienākuma nodokli” 9.pants tika papildināts ar 8.</w:t>
            </w:r>
            <w:r w:rsidRPr="00191855">
              <w:rPr>
                <w:vertAlign w:val="superscript"/>
              </w:rPr>
              <w:t xml:space="preserve">2 </w:t>
            </w:r>
            <w:r w:rsidRPr="00191855">
              <w:t xml:space="preserve">daļu. Šobrīd noteikumos nav skaidrojuma, kā Valsts ieņēmumu dienestam rīkoties gadījumā, ja </w:t>
            </w:r>
            <w:r w:rsidRPr="00191855">
              <w:rPr>
                <w:iCs/>
                <w:color w:val="000000"/>
              </w:rPr>
              <w:t xml:space="preserve">maksātājam zemesgrāmatā ir reģistrēti vairāki nekustamā īpašuma objekti un minēto objektu kopums veido vienu nekustamo īpašumu Dzīvokļa īpašuma likuma izpratnē, lai varētu piemērotu likuma </w:t>
            </w:r>
            <w:r w:rsidRPr="00191855">
              <w:t>„Par iedzīvotāju ienākuma nodokli” 9.panta pirmās daļas 34.</w:t>
            </w:r>
            <w:r w:rsidRPr="00191855">
              <w:rPr>
                <w:vertAlign w:val="superscript"/>
              </w:rPr>
              <w:t>2</w:t>
            </w:r>
            <w:r w:rsidRPr="00191855">
              <w:t xml:space="preserve"> punktu.</w:t>
            </w:r>
          </w:p>
          <w:p w:rsidR="00F9193E" w:rsidRPr="0002352F" w:rsidRDefault="00F9193E" w:rsidP="00F9193E">
            <w:pPr>
              <w:pStyle w:val="Parasts1"/>
              <w:jc w:val="both"/>
            </w:pPr>
            <w:r w:rsidRPr="00191855">
              <w:t>Šobrīd noteikumos nav skaidrojuma,</w:t>
            </w:r>
            <w:r w:rsidRPr="0002352F">
              <w:t xml:space="preserve"> kādā</w:t>
            </w:r>
            <w:r>
              <w:t xml:space="preserve"> kārtībā</w:t>
            </w:r>
            <w:r w:rsidRPr="0002352F">
              <w:t xml:space="preserve">  kapitālsabiedrība iemaksā budžetā iedzīvotāju ienākuma nodokli, ja atbilstoši likuma</w:t>
            </w:r>
            <w:r>
              <w:t xml:space="preserve"> </w:t>
            </w:r>
            <w:r w:rsidRPr="0002352F">
              <w:t>„Par iedzīvotāju ienākuma nodokli” 8.panta 2.</w:t>
            </w:r>
            <w:r w:rsidRPr="0002352F">
              <w:rPr>
                <w:vertAlign w:val="superscript"/>
              </w:rPr>
              <w:t xml:space="preserve">9 </w:t>
            </w:r>
            <w:r w:rsidRPr="0002352F">
              <w:t>daļai kapitālsabiedrības valdes loceklis guvis ar algas nodokli apliekamu ienākumu un kapitālsabiedrībā nav noteikta diena, kurā tā kā darba devējs iemaksā budžetā pastāvīgo darbinieku algas nodokli.</w:t>
            </w:r>
          </w:p>
          <w:p w:rsidR="00A56794" w:rsidRPr="00191855" w:rsidRDefault="00A56794" w:rsidP="00BC713C">
            <w:pPr>
              <w:pStyle w:val="Parasts1"/>
              <w:jc w:val="both"/>
              <w:rPr>
                <w:bCs/>
              </w:rPr>
            </w:pPr>
            <w:r w:rsidRPr="00191855">
              <w:rPr>
                <w:bCs/>
              </w:rPr>
              <w:t>Pašreiz  Ministru kabineta 2010.gada 21.septembra noteikumi Nr.899 „Likuma „Par iedzīvotāju ienākuma nodokli” normu piemērošanas kārtība” skaidri nenosaka, ka apdrošināšanas sabiedrībām informāciju par izmaksātājām kompensācijām nav jāsniedz, lai gan šajā gadījumā tā ir izmaksātā kompensācija un pēc ekonomiskās būtības ienākums netiek gūts.</w:t>
            </w:r>
          </w:p>
          <w:p w:rsidR="00A571BB" w:rsidRPr="00191855" w:rsidRDefault="00A56794" w:rsidP="00BC713C">
            <w:pPr>
              <w:pStyle w:val="Parasts1"/>
              <w:jc w:val="both"/>
            </w:pPr>
            <w:r w:rsidRPr="00191855">
              <w:rPr>
                <w:bCs/>
              </w:rPr>
              <w:t>Pašreiz</w:t>
            </w:r>
            <w:r w:rsidR="004429A6" w:rsidRPr="00191855">
              <w:t>,  nodokļa maksātājam</w:t>
            </w:r>
            <w:r w:rsidRPr="00191855">
              <w:t>, lai noteiktu apliekamo ienākumu no kapitāla aktīvu atsavināšanas, ir jāvadā</w:t>
            </w:r>
            <w:r w:rsidR="004429A6" w:rsidRPr="00191855">
              <w:t>s</w:t>
            </w:r>
            <w:r w:rsidRPr="00191855">
              <w:t xml:space="preserve"> no </w:t>
            </w:r>
            <w:r w:rsidRPr="00191855">
              <w:rPr>
                <w:bCs/>
              </w:rPr>
              <w:t xml:space="preserve">likuma „Par iedzīvotāju ienākuma nodokli”,  Ministru kabineta </w:t>
            </w:r>
            <w:r w:rsidRPr="00191855">
              <w:t xml:space="preserve">2009.gada 22.decembra noteikumiem Nr.1638 „Kārtība, kādā iedzīvotāju ienākuma nodokļa aprēķināšanas vajadzībām nosakāma ienākuma gūšanas diena” un </w:t>
            </w:r>
            <w:r w:rsidRPr="00191855">
              <w:rPr>
                <w:bCs/>
              </w:rPr>
              <w:t xml:space="preserve"> Ministru kabineta 2010.gada 21.septembra noteikumiem Nr.899 „Likuma „Par iedzīvotāju ienākuma nodokli” normu piemērošanas kārtība”.</w:t>
            </w:r>
          </w:p>
          <w:p w:rsidR="009044D3" w:rsidRPr="00191855" w:rsidRDefault="004429A6" w:rsidP="00A619C3">
            <w:pPr>
              <w:pStyle w:val="Parasts1"/>
              <w:jc w:val="both"/>
            </w:pPr>
            <w:r w:rsidRPr="00191855">
              <w:t>Tādējādi, nepieciešams padarīt normatīvo regulējumu vieglāk uztveramu maksātājam.</w:t>
            </w:r>
          </w:p>
        </w:tc>
      </w:tr>
      <w:tr w:rsidR="00EA2F33" w:rsidRPr="00191855" w:rsidTr="00EB7442">
        <w:trPr>
          <w:trHeight w:val="530"/>
        </w:trPr>
        <w:tc>
          <w:tcPr>
            <w:tcW w:w="431" w:type="dxa"/>
          </w:tcPr>
          <w:p w:rsidR="00EA2F33" w:rsidRPr="00191855" w:rsidRDefault="00EA2F33" w:rsidP="009D6184">
            <w:pPr>
              <w:pStyle w:val="Parasts1"/>
            </w:pPr>
            <w:r w:rsidRPr="00191855">
              <w:t>3.</w:t>
            </w:r>
          </w:p>
        </w:tc>
        <w:tc>
          <w:tcPr>
            <w:tcW w:w="1842" w:type="dxa"/>
          </w:tcPr>
          <w:p w:rsidR="00EA2F33" w:rsidRPr="00191855" w:rsidRDefault="00EA2F33" w:rsidP="009D6184">
            <w:pPr>
              <w:pStyle w:val="Parasts1"/>
            </w:pPr>
            <w:r w:rsidRPr="00191855">
              <w:t>Saistītie politikas ietekmes novērtējumi un pētījumi</w:t>
            </w:r>
          </w:p>
        </w:tc>
        <w:tc>
          <w:tcPr>
            <w:tcW w:w="7207" w:type="dxa"/>
          </w:tcPr>
          <w:p w:rsidR="00EA2F33" w:rsidRPr="00191855" w:rsidRDefault="00EA2F33" w:rsidP="009D6184">
            <w:pPr>
              <w:pStyle w:val="Parasts1"/>
            </w:pPr>
            <w:r w:rsidRPr="00191855">
              <w:t>Projekts šo jomu neskar.</w:t>
            </w:r>
          </w:p>
        </w:tc>
      </w:tr>
      <w:tr w:rsidR="00EA2F33" w:rsidRPr="00191855" w:rsidTr="00004707">
        <w:trPr>
          <w:trHeight w:val="3534"/>
        </w:trPr>
        <w:tc>
          <w:tcPr>
            <w:tcW w:w="431" w:type="dxa"/>
          </w:tcPr>
          <w:p w:rsidR="00EA2F33" w:rsidRPr="00191855" w:rsidRDefault="00EA2F33" w:rsidP="009D6184">
            <w:pPr>
              <w:pStyle w:val="Parasts1"/>
            </w:pPr>
            <w:r w:rsidRPr="00191855">
              <w:lastRenderedPageBreak/>
              <w:t>4.</w:t>
            </w:r>
          </w:p>
        </w:tc>
        <w:tc>
          <w:tcPr>
            <w:tcW w:w="1842" w:type="dxa"/>
          </w:tcPr>
          <w:p w:rsidR="00EA2F33" w:rsidRPr="00191855" w:rsidRDefault="00EA2F33" w:rsidP="009D6184">
            <w:pPr>
              <w:pStyle w:val="Parasts1"/>
            </w:pPr>
            <w:r w:rsidRPr="00191855">
              <w:t>Tiesiskā regulējuma mērķis un būtība</w:t>
            </w:r>
          </w:p>
        </w:tc>
        <w:tc>
          <w:tcPr>
            <w:tcW w:w="7207" w:type="dxa"/>
          </w:tcPr>
          <w:p w:rsidR="00986F07" w:rsidRDefault="00986F07" w:rsidP="00A74E78">
            <w:pPr>
              <w:pStyle w:val="Parasts1"/>
              <w:jc w:val="both"/>
            </w:pPr>
            <w:r w:rsidRPr="00191855">
              <w:t xml:space="preserve">Noteikumu projekts paredz, ka, piemērojot likuma </w:t>
            </w:r>
            <w:r w:rsidR="006031A2" w:rsidRPr="00191855">
              <w:rPr>
                <w:bCs/>
              </w:rPr>
              <w:t xml:space="preserve">„Par iedzīvotāju ienākuma nodokli” </w:t>
            </w:r>
            <w:r w:rsidRPr="00191855">
              <w:t>9.panta 8.</w:t>
            </w:r>
            <w:r w:rsidRPr="00191855">
              <w:rPr>
                <w:vertAlign w:val="superscript"/>
              </w:rPr>
              <w:t>2</w:t>
            </w:r>
            <w:r w:rsidRPr="00191855">
              <w:t xml:space="preserve"> daļu, </w:t>
            </w:r>
            <w:r w:rsidR="005C0EA5" w:rsidRPr="00191855">
              <w:t>Valsts ieņēmumu dienests izvērtē, vai maksātāja iesniegumā minēto nekustamā īpašuma objektu kopums pēc ekonomiskās būtības veido dzīvokļa īpašumu, ja dzīvokļa īpašuma sastāvā ietilpstošais atsevišķais īpašums (arī atsevišķā īpašuma sastāvā papildus ārpus telpas vai telpu grupas esošas un ar to funkcionāli saistītas palīgtelpas vai palīgēkas vai to daļas, kas nav funkcionāli saistītas ar kopīpašumā esošo dzīvojamās mājas daļu vai citu atsevišķo īpašumu) un kopīpašuma domājamā daļa ir nostiprināti atsevišķās zemesgrāmatās</w:t>
            </w:r>
            <w:r w:rsidRPr="00191855">
              <w:t>.</w:t>
            </w:r>
            <w:r w:rsidR="005C0EA5" w:rsidRPr="00191855">
              <w:t xml:space="preserve"> Noteikumu projekts papildināts ar pielikumu, kurā ir piemērs  likuma </w:t>
            </w:r>
            <w:r w:rsidR="005C0EA5" w:rsidRPr="00191855">
              <w:rPr>
                <w:bCs/>
              </w:rPr>
              <w:t xml:space="preserve">„Par iedzīvotāju ienākuma nodokli” </w:t>
            </w:r>
            <w:r w:rsidR="005C0EA5" w:rsidRPr="00191855">
              <w:t>9.panta 8.</w:t>
            </w:r>
            <w:r w:rsidR="005C0EA5" w:rsidRPr="00191855">
              <w:rPr>
                <w:vertAlign w:val="superscript"/>
              </w:rPr>
              <w:t>2</w:t>
            </w:r>
            <w:r w:rsidR="005C0EA5" w:rsidRPr="00191855">
              <w:t xml:space="preserve"> daļas piemērošanai.</w:t>
            </w:r>
          </w:p>
          <w:p w:rsidR="0002352F" w:rsidRPr="0002352F" w:rsidRDefault="0002352F" w:rsidP="00A74E78">
            <w:pPr>
              <w:pStyle w:val="Parasts1"/>
              <w:jc w:val="both"/>
            </w:pPr>
            <w:r w:rsidRPr="0002352F">
              <w:t>Noteikumu projekts papildināts ar kārtību, kādā  kapitālsabiedrība iemaksā budžetā iedzīvotāju ienākuma nodokli, ja atbilstoši likuma</w:t>
            </w:r>
            <w:r>
              <w:t xml:space="preserve"> </w:t>
            </w:r>
            <w:r w:rsidRPr="0002352F">
              <w:t>„Par iedzīvotāju ienākuma nodokli” 8.panta 2.</w:t>
            </w:r>
            <w:r w:rsidRPr="0002352F">
              <w:rPr>
                <w:vertAlign w:val="superscript"/>
              </w:rPr>
              <w:t xml:space="preserve">9 </w:t>
            </w:r>
            <w:r w:rsidRPr="0002352F">
              <w:t>daļai kapitālsabiedrības valdes loceklis guvis ar algas nodokli apliekamu ienākumu un kapitālsabiedrībā nav noteikta diena, kurā tā kā darba devējs iemaksā budžetā pastāvīgo darbinieku algas nodokli.</w:t>
            </w:r>
          </w:p>
          <w:p w:rsidR="00004707" w:rsidRPr="00191855" w:rsidRDefault="00004707" w:rsidP="00A74E78">
            <w:pPr>
              <w:pStyle w:val="Parasts1"/>
              <w:jc w:val="both"/>
            </w:pPr>
            <w:r w:rsidRPr="00191855">
              <w:t xml:space="preserve">Noteikumu projekts paredz, ka turpmāk apdrošināšanas sabiedrībām, izmaksājot  apdrošināšanas atlīdzības saskaņā ar likumu „Par apdrošināšanas līgumu” un „Sauszemes transportlīdzekļu īpašnieku civiltiesiskās atbildības </w:t>
            </w:r>
            <w:r w:rsidR="00A20178">
              <w:t>obligātās apdrošināšanas likumu</w:t>
            </w:r>
            <w:r w:rsidRPr="00191855">
              <w:t>”,  paziņojumu par fiziskajai personai izmaksātajām summām Valsts ieņēmumu dienestā nebūs jāiesniedz.</w:t>
            </w:r>
          </w:p>
          <w:p w:rsidR="00004707" w:rsidRDefault="00004707" w:rsidP="00004707">
            <w:pPr>
              <w:pStyle w:val="Parasts1"/>
              <w:jc w:val="both"/>
            </w:pPr>
            <w:r w:rsidRPr="00191855">
              <w:t>Noteikumu projektā ir integrēti Ministru kabineta 2009.gada 22.decembra noteikumi Nr.1638 „Kārtība, kādā iedzīvotāju ienākuma nodokļa aprēķināšanas vajadzībām nosakāma ienākuma gūšanas diena”.</w:t>
            </w:r>
          </w:p>
          <w:p w:rsidR="00910AD9" w:rsidRPr="00191855" w:rsidRDefault="00910AD9" w:rsidP="00004707">
            <w:pPr>
              <w:pStyle w:val="Parasts1"/>
              <w:jc w:val="both"/>
            </w:pPr>
            <w:r>
              <w:t>Noteikumu projekts papildināts ar pielikumu „Informācija par aizdevumu fiziskajai personai”</w:t>
            </w:r>
            <w:r w:rsidR="00403288">
              <w:t>, kas aizdevējam vai aizdevuma ņēmējam būs jāiesniedz Valsts ieņēmumu dienestā</w:t>
            </w:r>
            <w:r>
              <w:t xml:space="preserve"> saskaņā ar </w:t>
            </w:r>
            <w:r w:rsidRPr="00191855">
              <w:t>2013.gada 6.novembrī Saeimā pieņemto likumu „Grozījumi likumā „Par iedzīvotāju ienākuma nodokli””</w:t>
            </w:r>
            <w:r>
              <w:t xml:space="preserve"> .</w:t>
            </w:r>
          </w:p>
        </w:tc>
      </w:tr>
      <w:tr w:rsidR="00EA2F33" w:rsidRPr="00191855" w:rsidTr="00EB7442">
        <w:trPr>
          <w:trHeight w:val="476"/>
        </w:trPr>
        <w:tc>
          <w:tcPr>
            <w:tcW w:w="431" w:type="dxa"/>
          </w:tcPr>
          <w:p w:rsidR="00EA2F33" w:rsidRPr="00191855" w:rsidRDefault="00EA2F33" w:rsidP="009D6184">
            <w:pPr>
              <w:pStyle w:val="Parasts1"/>
            </w:pPr>
            <w:r w:rsidRPr="00191855">
              <w:t>5.</w:t>
            </w:r>
          </w:p>
        </w:tc>
        <w:tc>
          <w:tcPr>
            <w:tcW w:w="1842" w:type="dxa"/>
          </w:tcPr>
          <w:p w:rsidR="00EA2F33" w:rsidRPr="00191855" w:rsidRDefault="00EA2F33" w:rsidP="009D6184">
            <w:pPr>
              <w:pStyle w:val="Parasts1"/>
            </w:pPr>
            <w:r w:rsidRPr="00191855">
              <w:t>Projekta izstrādē iesaistītās institūcijas</w:t>
            </w:r>
          </w:p>
        </w:tc>
        <w:tc>
          <w:tcPr>
            <w:tcW w:w="7207" w:type="dxa"/>
          </w:tcPr>
          <w:p w:rsidR="0036752C" w:rsidRPr="00191855" w:rsidRDefault="00D5221A" w:rsidP="0036752C">
            <w:pPr>
              <w:pStyle w:val="Parasts1"/>
              <w:jc w:val="both"/>
            </w:pPr>
            <w:r w:rsidRPr="00191855">
              <w:t>Valsts ieņēmumu dienests</w:t>
            </w:r>
            <w:r w:rsidR="0036752C" w:rsidRPr="00191855">
              <w:t>.</w:t>
            </w:r>
          </w:p>
          <w:p w:rsidR="00EA2F33" w:rsidRPr="00191855" w:rsidRDefault="00EA2F33" w:rsidP="00AD077A">
            <w:pPr>
              <w:pStyle w:val="Parasts1"/>
              <w:jc w:val="both"/>
            </w:pPr>
          </w:p>
        </w:tc>
      </w:tr>
      <w:tr w:rsidR="00EA2F33" w:rsidRPr="00191855" w:rsidTr="00EB7442">
        <w:trPr>
          <w:trHeight w:val="1340"/>
        </w:trPr>
        <w:tc>
          <w:tcPr>
            <w:tcW w:w="431" w:type="dxa"/>
          </w:tcPr>
          <w:p w:rsidR="00EA2F33" w:rsidRPr="00191855" w:rsidRDefault="00EA2F33" w:rsidP="009D6184">
            <w:pPr>
              <w:pStyle w:val="Parasts1"/>
            </w:pPr>
            <w:r w:rsidRPr="00191855">
              <w:t>6.</w:t>
            </w:r>
          </w:p>
        </w:tc>
        <w:tc>
          <w:tcPr>
            <w:tcW w:w="1842" w:type="dxa"/>
          </w:tcPr>
          <w:p w:rsidR="00EA2F33" w:rsidRPr="00191855" w:rsidRDefault="00EA2F33" w:rsidP="009D6184">
            <w:pPr>
              <w:pStyle w:val="Parasts1"/>
            </w:pPr>
            <w:r w:rsidRPr="00191855">
              <w:t>Iemesli, kādēļ netika nodrošināta sabiedrības līdzdalība</w:t>
            </w:r>
          </w:p>
        </w:tc>
        <w:tc>
          <w:tcPr>
            <w:tcW w:w="7207" w:type="dxa"/>
          </w:tcPr>
          <w:p w:rsidR="00EA2F33" w:rsidRPr="00191855" w:rsidRDefault="00EA2F33" w:rsidP="009D6184">
            <w:pPr>
              <w:pStyle w:val="Parasts1"/>
            </w:pPr>
            <w:r w:rsidRPr="00191855">
              <w:t>Projekts šo jomu neskar.</w:t>
            </w:r>
          </w:p>
        </w:tc>
      </w:tr>
      <w:tr w:rsidR="00EA2F33" w:rsidRPr="00191855" w:rsidTr="00EB7442">
        <w:tc>
          <w:tcPr>
            <w:tcW w:w="431" w:type="dxa"/>
          </w:tcPr>
          <w:p w:rsidR="00EA2F33" w:rsidRPr="00191855" w:rsidRDefault="00EA2F33" w:rsidP="009D6184">
            <w:pPr>
              <w:pStyle w:val="Parasts1"/>
            </w:pPr>
            <w:r w:rsidRPr="00191855">
              <w:t>7.</w:t>
            </w:r>
          </w:p>
        </w:tc>
        <w:tc>
          <w:tcPr>
            <w:tcW w:w="1842" w:type="dxa"/>
          </w:tcPr>
          <w:p w:rsidR="00EA2F33" w:rsidRPr="00191855" w:rsidRDefault="00EA2F33" w:rsidP="009D6184">
            <w:pPr>
              <w:pStyle w:val="Parasts1"/>
            </w:pPr>
            <w:r w:rsidRPr="00191855">
              <w:t>Cita informācija</w:t>
            </w:r>
          </w:p>
        </w:tc>
        <w:tc>
          <w:tcPr>
            <w:tcW w:w="7207" w:type="dxa"/>
          </w:tcPr>
          <w:p w:rsidR="00EA2F33" w:rsidRPr="00191855" w:rsidRDefault="00EA2F33" w:rsidP="009D6184">
            <w:pPr>
              <w:pStyle w:val="Parasts1"/>
            </w:pPr>
            <w:r w:rsidRPr="00191855">
              <w:t xml:space="preserve">Nav. </w:t>
            </w:r>
          </w:p>
        </w:tc>
      </w:tr>
    </w:tbl>
    <w:p w:rsidR="005A299A" w:rsidRPr="00191855" w:rsidRDefault="005A299A" w:rsidP="009D6184">
      <w:pPr>
        <w:pStyle w:val="Parasts1"/>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3"/>
        <w:gridCol w:w="3512"/>
        <w:gridCol w:w="5625"/>
      </w:tblGrid>
      <w:tr w:rsidR="005A299A" w:rsidRPr="00191855" w:rsidTr="00E87F0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5A299A" w:rsidRPr="00191855" w:rsidRDefault="005A299A" w:rsidP="009D6184">
            <w:pPr>
              <w:pStyle w:val="Parasts1"/>
              <w:jc w:val="center"/>
              <w:rPr>
                <w:b/>
              </w:rPr>
            </w:pPr>
            <w:r w:rsidRPr="00191855">
              <w:rPr>
                <w:b/>
              </w:rPr>
              <w:lastRenderedPageBreak/>
              <w:t>II. Tiesību akta projekta ietekme uz sabiedrību</w:t>
            </w:r>
          </w:p>
        </w:tc>
      </w:tr>
      <w:tr w:rsidR="005A299A" w:rsidRPr="00191855" w:rsidTr="00891C38">
        <w:tc>
          <w:tcPr>
            <w:tcW w:w="221" w:type="pct"/>
            <w:tcBorders>
              <w:top w:val="outset" w:sz="6" w:space="0" w:color="000000"/>
              <w:bottom w:val="outset" w:sz="6" w:space="0" w:color="000000"/>
              <w:right w:val="outset" w:sz="6" w:space="0" w:color="000000"/>
            </w:tcBorders>
          </w:tcPr>
          <w:p w:rsidR="005A299A" w:rsidRPr="00191855" w:rsidRDefault="005A299A" w:rsidP="009D6184">
            <w:pPr>
              <w:pStyle w:val="Parasts1"/>
            </w:pPr>
            <w:r w:rsidRPr="00191855">
              <w:t>1.</w:t>
            </w:r>
          </w:p>
        </w:tc>
        <w:tc>
          <w:tcPr>
            <w:tcW w:w="1837" w:type="pct"/>
            <w:tcBorders>
              <w:top w:val="outset" w:sz="6" w:space="0" w:color="000000"/>
              <w:left w:val="outset" w:sz="6" w:space="0" w:color="000000"/>
              <w:bottom w:val="outset" w:sz="6" w:space="0" w:color="000000"/>
              <w:right w:val="outset" w:sz="6" w:space="0" w:color="000000"/>
            </w:tcBorders>
          </w:tcPr>
          <w:p w:rsidR="005A299A" w:rsidRPr="00191855" w:rsidRDefault="005A299A" w:rsidP="009D6184">
            <w:pPr>
              <w:pStyle w:val="Parasts1"/>
            </w:pPr>
            <w:r w:rsidRPr="00191855">
              <w:t xml:space="preserve">Sabiedrības </w:t>
            </w:r>
            <w:proofErr w:type="spellStart"/>
            <w:r w:rsidRPr="00191855">
              <w:t>mērķgrupa</w:t>
            </w:r>
            <w:proofErr w:type="spellEnd"/>
          </w:p>
        </w:tc>
        <w:tc>
          <w:tcPr>
            <w:tcW w:w="2941" w:type="pct"/>
            <w:tcBorders>
              <w:top w:val="outset" w:sz="6" w:space="0" w:color="000000"/>
              <w:left w:val="outset" w:sz="6" w:space="0" w:color="000000"/>
              <w:bottom w:val="outset" w:sz="6" w:space="0" w:color="000000"/>
            </w:tcBorders>
          </w:tcPr>
          <w:p w:rsidR="00ED20A6" w:rsidRPr="00A03D36" w:rsidRDefault="00C478D5" w:rsidP="00403288">
            <w:pPr>
              <w:pStyle w:val="Parasts1"/>
              <w:jc w:val="both"/>
            </w:pPr>
            <w:r w:rsidRPr="00191855">
              <w:t>Iedzīvotāju ienākuma nodokļa maksātāji</w:t>
            </w:r>
            <w:r w:rsidR="001D0B90" w:rsidRPr="00191855">
              <w:t>, kas gūst ienākumu</w:t>
            </w:r>
            <w:r w:rsidR="00EB308A" w:rsidRPr="00191855">
              <w:t xml:space="preserve"> </w:t>
            </w:r>
            <w:r w:rsidR="00A03D36">
              <w:t xml:space="preserve">no </w:t>
            </w:r>
            <w:r w:rsidR="00EB308A" w:rsidRPr="00191855">
              <w:t>nekustamā īpašuma atsavināšanas</w:t>
            </w:r>
            <w:r w:rsidR="00403288">
              <w:t>,</w:t>
            </w:r>
            <w:r w:rsidR="00EB308A" w:rsidRPr="00191855">
              <w:t xml:space="preserve"> </w:t>
            </w:r>
            <w:r w:rsidR="006F37BA" w:rsidRPr="00191855">
              <w:t>personas, kas saņem apdrošināšanas atlīdzības</w:t>
            </w:r>
            <w:r w:rsidR="00403288" w:rsidRPr="00191855">
              <w:t xml:space="preserve"> un</w:t>
            </w:r>
            <w:r w:rsidR="00403288">
              <w:t xml:space="preserve"> personas, kas saņem vai izsniedz aizdevumu</w:t>
            </w:r>
            <w:r w:rsidR="00A03D36">
              <w:t xml:space="preserve">, kā arī kapitālsabiedrības, ja atbilstoši likuma </w:t>
            </w:r>
            <w:r w:rsidR="00A03D36" w:rsidRPr="00191855">
              <w:rPr>
                <w:bCs/>
              </w:rPr>
              <w:t>„Par iedzīvotāju ienākuma nodokli”</w:t>
            </w:r>
            <w:r w:rsidR="00A03D36">
              <w:rPr>
                <w:bCs/>
              </w:rPr>
              <w:t xml:space="preserve"> 8.panta 2.</w:t>
            </w:r>
            <w:r w:rsidR="00A03D36">
              <w:rPr>
                <w:bCs/>
                <w:vertAlign w:val="superscript"/>
              </w:rPr>
              <w:t>9</w:t>
            </w:r>
            <w:r w:rsidR="00A03D36">
              <w:rPr>
                <w:bCs/>
              </w:rPr>
              <w:t xml:space="preserve"> daļai ir gūts ar algas nodokli apliekams ienākums.</w:t>
            </w:r>
          </w:p>
        </w:tc>
      </w:tr>
      <w:tr w:rsidR="005A299A" w:rsidRPr="00191855" w:rsidTr="00891C38">
        <w:tc>
          <w:tcPr>
            <w:tcW w:w="221" w:type="pct"/>
            <w:tcBorders>
              <w:top w:val="outset" w:sz="6" w:space="0" w:color="000000"/>
              <w:bottom w:val="outset" w:sz="6" w:space="0" w:color="000000"/>
              <w:right w:val="outset" w:sz="6" w:space="0" w:color="000000"/>
            </w:tcBorders>
          </w:tcPr>
          <w:p w:rsidR="005A299A" w:rsidRPr="00191855" w:rsidRDefault="005A299A" w:rsidP="009D6184">
            <w:pPr>
              <w:pStyle w:val="Parasts1"/>
              <w:jc w:val="both"/>
            </w:pPr>
            <w:r w:rsidRPr="00191855">
              <w:lastRenderedPageBreak/>
              <w:t>2.</w:t>
            </w:r>
          </w:p>
        </w:tc>
        <w:tc>
          <w:tcPr>
            <w:tcW w:w="1837" w:type="pct"/>
            <w:tcBorders>
              <w:top w:val="outset" w:sz="6" w:space="0" w:color="000000"/>
              <w:left w:val="outset" w:sz="6" w:space="0" w:color="000000"/>
              <w:bottom w:val="outset" w:sz="6" w:space="0" w:color="000000"/>
              <w:right w:val="outset" w:sz="6" w:space="0" w:color="000000"/>
            </w:tcBorders>
          </w:tcPr>
          <w:p w:rsidR="005A299A" w:rsidRPr="00191855" w:rsidRDefault="005A299A" w:rsidP="009D6184">
            <w:pPr>
              <w:pStyle w:val="Parasts1"/>
              <w:jc w:val="both"/>
            </w:pPr>
            <w:r w:rsidRPr="00191855">
              <w:t xml:space="preserve">Citas sabiedrības grupas (bez </w:t>
            </w:r>
            <w:proofErr w:type="spellStart"/>
            <w:r w:rsidRPr="00191855">
              <w:t>mērķgrupas</w:t>
            </w:r>
            <w:proofErr w:type="spellEnd"/>
            <w:r w:rsidRPr="00191855">
              <w:t>), kuras tiesiskais regulējums arī ietekmē vai varētu ietekmēt</w:t>
            </w:r>
          </w:p>
        </w:tc>
        <w:tc>
          <w:tcPr>
            <w:tcW w:w="2941" w:type="pct"/>
            <w:tcBorders>
              <w:top w:val="outset" w:sz="6" w:space="0" w:color="000000"/>
              <w:left w:val="outset" w:sz="6" w:space="0" w:color="000000"/>
              <w:bottom w:val="outset" w:sz="6" w:space="0" w:color="000000"/>
            </w:tcBorders>
          </w:tcPr>
          <w:p w:rsidR="005A299A" w:rsidRPr="00191855" w:rsidRDefault="000E17D3" w:rsidP="009D6184">
            <w:pPr>
              <w:pStyle w:val="Parasts1"/>
            </w:pPr>
            <w:r w:rsidRPr="00191855">
              <w:t>P</w:t>
            </w:r>
            <w:r w:rsidR="005A299A" w:rsidRPr="00191855">
              <w:t>rojekts šo jomu neskar.</w:t>
            </w:r>
          </w:p>
        </w:tc>
      </w:tr>
      <w:tr w:rsidR="005A299A" w:rsidRPr="00191855" w:rsidTr="00891C38">
        <w:tc>
          <w:tcPr>
            <w:tcW w:w="221" w:type="pct"/>
            <w:tcBorders>
              <w:top w:val="outset" w:sz="6" w:space="0" w:color="000000"/>
              <w:bottom w:val="outset" w:sz="6" w:space="0" w:color="000000"/>
              <w:right w:val="outset" w:sz="6" w:space="0" w:color="000000"/>
            </w:tcBorders>
          </w:tcPr>
          <w:p w:rsidR="005A299A" w:rsidRPr="00191855" w:rsidRDefault="005A299A" w:rsidP="009D6184">
            <w:pPr>
              <w:pStyle w:val="Parasts1"/>
            </w:pPr>
            <w:r w:rsidRPr="00191855">
              <w:t>3.</w:t>
            </w:r>
          </w:p>
        </w:tc>
        <w:tc>
          <w:tcPr>
            <w:tcW w:w="1837" w:type="pct"/>
            <w:tcBorders>
              <w:top w:val="outset" w:sz="6" w:space="0" w:color="000000"/>
              <w:left w:val="outset" w:sz="6" w:space="0" w:color="000000"/>
              <w:bottom w:val="outset" w:sz="6" w:space="0" w:color="000000"/>
              <w:right w:val="outset" w:sz="6" w:space="0" w:color="000000"/>
            </w:tcBorders>
          </w:tcPr>
          <w:p w:rsidR="005A299A" w:rsidRPr="00191855" w:rsidRDefault="005A299A" w:rsidP="009D6184">
            <w:pPr>
              <w:pStyle w:val="Parasts1"/>
            </w:pPr>
            <w:r w:rsidRPr="00191855">
              <w:t>Tiesiskā regulējuma finansiālā ietekme</w:t>
            </w:r>
          </w:p>
        </w:tc>
        <w:tc>
          <w:tcPr>
            <w:tcW w:w="2941" w:type="pct"/>
            <w:tcBorders>
              <w:top w:val="outset" w:sz="6" w:space="0" w:color="000000"/>
              <w:left w:val="outset" w:sz="6" w:space="0" w:color="000000"/>
              <w:bottom w:val="outset" w:sz="6" w:space="0" w:color="000000"/>
            </w:tcBorders>
          </w:tcPr>
          <w:p w:rsidR="005A299A" w:rsidRPr="00191855" w:rsidRDefault="00193A10" w:rsidP="0028150A">
            <w:pPr>
              <w:pStyle w:val="Parasts1"/>
              <w:jc w:val="both"/>
            </w:pPr>
            <w:r w:rsidRPr="00191855">
              <w:t>Projekts šo jomu neskar.</w:t>
            </w:r>
          </w:p>
        </w:tc>
      </w:tr>
      <w:tr w:rsidR="005A299A" w:rsidRPr="00191855" w:rsidTr="00891C38">
        <w:tc>
          <w:tcPr>
            <w:tcW w:w="221" w:type="pct"/>
            <w:tcBorders>
              <w:top w:val="outset" w:sz="6" w:space="0" w:color="000000"/>
              <w:bottom w:val="outset" w:sz="6" w:space="0" w:color="000000"/>
              <w:right w:val="outset" w:sz="6" w:space="0" w:color="000000"/>
            </w:tcBorders>
          </w:tcPr>
          <w:p w:rsidR="005A299A" w:rsidRPr="00191855" w:rsidRDefault="005A299A" w:rsidP="009D6184">
            <w:pPr>
              <w:pStyle w:val="Parasts1"/>
            </w:pPr>
            <w:r w:rsidRPr="00191855">
              <w:t>4.</w:t>
            </w:r>
          </w:p>
        </w:tc>
        <w:tc>
          <w:tcPr>
            <w:tcW w:w="1837" w:type="pct"/>
            <w:tcBorders>
              <w:top w:val="outset" w:sz="6" w:space="0" w:color="000000"/>
              <w:left w:val="outset" w:sz="6" w:space="0" w:color="000000"/>
              <w:bottom w:val="outset" w:sz="6" w:space="0" w:color="000000"/>
              <w:right w:val="outset" w:sz="6" w:space="0" w:color="000000"/>
            </w:tcBorders>
          </w:tcPr>
          <w:p w:rsidR="005A299A" w:rsidRPr="00191855" w:rsidRDefault="005A299A" w:rsidP="009D6184">
            <w:pPr>
              <w:pStyle w:val="Parasts1"/>
            </w:pPr>
            <w:r w:rsidRPr="00191855">
              <w:t>Tiesiskā regulējuma nefinansiālā ietekme</w:t>
            </w:r>
          </w:p>
        </w:tc>
        <w:tc>
          <w:tcPr>
            <w:tcW w:w="2941" w:type="pct"/>
            <w:tcBorders>
              <w:top w:val="outset" w:sz="6" w:space="0" w:color="000000"/>
              <w:left w:val="outset" w:sz="6" w:space="0" w:color="000000"/>
              <w:bottom w:val="outset" w:sz="6" w:space="0" w:color="000000"/>
            </w:tcBorders>
          </w:tcPr>
          <w:p w:rsidR="005A299A" w:rsidRPr="00191855" w:rsidRDefault="00193A10" w:rsidP="0028150A">
            <w:pPr>
              <w:pStyle w:val="Parasts1"/>
              <w:jc w:val="both"/>
            </w:pPr>
            <w:r w:rsidRPr="00191855">
              <w:t>Projekts šo jomu neskar.</w:t>
            </w:r>
          </w:p>
        </w:tc>
      </w:tr>
      <w:tr w:rsidR="005A299A" w:rsidRPr="00191855" w:rsidTr="00891C38">
        <w:tc>
          <w:tcPr>
            <w:tcW w:w="221" w:type="pct"/>
            <w:tcBorders>
              <w:top w:val="outset" w:sz="6" w:space="0" w:color="000000"/>
              <w:bottom w:val="outset" w:sz="6" w:space="0" w:color="000000"/>
              <w:right w:val="outset" w:sz="6" w:space="0" w:color="000000"/>
            </w:tcBorders>
          </w:tcPr>
          <w:p w:rsidR="005A299A" w:rsidRPr="00191855" w:rsidRDefault="005A299A" w:rsidP="009D6184">
            <w:pPr>
              <w:pStyle w:val="Parasts1"/>
            </w:pPr>
            <w:r w:rsidRPr="00191855">
              <w:t>5.</w:t>
            </w:r>
          </w:p>
        </w:tc>
        <w:tc>
          <w:tcPr>
            <w:tcW w:w="1837" w:type="pct"/>
            <w:tcBorders>
              <w:top w:val="outset" w:sz="6" w:space="0" w:color="000000"/>
              <w:left w:val="outset" w:sz="6" w:space="0" w:color="000000"/>
              <w:bottom w:val="outset" w:sz="6" w:space="0" w:color="000000"/>
              <w:right w:val="outset" w:sz="6" w:space="0" w:color="000000"/>
            </w:tcBorders>
          </w:tcPr>
          <w:p w:rsidR="005A299A" w:rsidRPr="00191855" w:rsidRDefault="005A299A" w:rsidP="009D6184">
            <w:pPr>
              <w:pStyle w:val="Parasts1"/>
            </w:pPr>
            <w:r w:rsidRPr="00191855">
              <w:t>Administratīvās procedūras raksturojums</w:t>
            </w:r>
          </w:p>
        </w:tc>
        <w:tc>
          <w:tcPr>
            <w:tcW w:w="2941" w:type="pct"/>
            <w:tcBorders>
              <w:top w:val="outset" w:sz="6" w:space="0" w:color="000000"/>
              <w:left w:val="outset" w:sz="6" w:space="0" w:color="000000"/>
              <w:bottom w:val="outset" w:sz="6" w:space="0" w:color="000000"/>
            </w:tcBorders>
          </w:tcPr>
          <w:p w:rsidR="0028150A" w:rsidRPr="00191855" w:rsidRDefault="00193A10" w:rsidP="009D6184">
            <w:pPr>
              <w:pStyle w:val="Parasts1"/>
              <w:jc w:val="both"/>
            </w:pPr>
            <w:r w:rsidRPr="00191855">
              <w:t>Projekts šo jomu neskar.</w:t>
            </w:r>
          </w:p>
        </w:tc>
      </w:tr>
      <w:tr w:rsidR="005A299A" w:rsidRPr="00191855" w:rsidTr="00891C38">
        <w:tc>
          <w:tcPr>
            <w:tcW w:w="221" w:type="pct"/>
            <w:tcBorders>
              <w:top w:val="outset" w:sz="6" w:space="0" w:color="000000"/>
              <w:bottom w:val="outset" w:sz="6" w:space="0" w:color="000000"/>
              <w:right w:val="outset" w:sz="6" w:space="0" w:color="000000"/>
            </w:tcBorders>
          </w:tcPr>
          <w:p w:rsidR="005A299A" w:rsidRPr="00191855" w:rsidRDefault="005A299A" w:rsidP="009D6184">
            <w:pPr>
              <w:pStyle w:val="Parasts1"/>
            </w:pPr>
            <w:r w:rsidRPr="00191855">
              <w:t>6.</w:t>
            </w:r>
          </w:p>
        </w:tc>
        <w:tc>
          <w:tcPr>
            <w:tcW w:w="1837" w:type="pct"/>
            <w:tcBorders>
              <w:top w:val="outset" w:sz="6" w:space="0" w:color="000000"/>
              <w:left w:val="outset" w:sz="6" w:space="0" w:color="000000"/>
              <w:bottom w:val="outset" w:sz="6" w:space="0" w:color="000000"/>
              <w:right w:val="outset" w:sz="6" w:space="0" w:color="000000"/>
            </w:tcBorders>
          </w:tcPr>
          <w:p w:rsidR="005A299A" w:rsidRPr="00191855" w:rsidRDefault="005A299A" w:rsidP="009D6184">
            <w:pPr>
              <w:pStyle w:val="Parasts1"/>
            </w:pPr>
            <w:r w:rsidRPr="00191855">
              <w:t>Administratīvo izmaksu monetārs novērtējums</w:t>
            </w:r>
          </w:p>
        </w:tc>
        <w:tc>
          <w:tcPr>
            <w:tcW w:w="2941" w:type="pct"/>
            <w:tcBorders>
              <w:top w:val="outset" w:sz="6" w:space="0" w:color="000000"/>
              <w:left w:val="outset" w:sz="6" w:space="0" w:color="000000"/>
              <w:bottom w:val="outset" w:sz="6" w:space="0" w:color="000000"/>
            </w:tcBorders>
          </w:tcPr>
          <w:p w:rsidR="005A299A" w:rsidRPr="00191855" w:rsidRDefault="000E17D3" w:rsidP="009D6184">
            <w:pPr>
              <w:pStyle w:val="Parasts1"/>
            </w:pPr>
            <w:r w:rsidRPr="00191855">
              <w:t>P</w:t>
            </w:r>
            <w:r w:rsidR="005A299A" w:rsidRPr="00191855">
              <w:t>rojekts šo jomu neskar.</w:t>
            </w:r>
          </w:p>
        </w:tc>
      </w:tr>
      <w:tr w:rsidR="005A299A" w:rsidRPr="00191855" w:rsidTr="00891C38">
        <w:tc>
          <w:tcPr>
            <w:tcW w:w="221" w:type="pct"/>
            <w:tcBorders>
              <w:top w:val="outset" w:sz="6" w:space="0" w:color="000000"/>
              <w:bottom w:val="outset" w:sz="6" w:space="0" w:color="000000"/>
              <w:right w:val="outset" w:sz="6" w:space="0" w:color="000000"/>
            </w:tcBorders>
          </w:tcPr>
          <w:p w:rsidR="005A299A" w:rsidRPr="00191855" w:rsidRDefault="005A299A" w:rsidP="009D6184">
            <w:pPr>
              <w:pStyle w:val="Parasts1"/>
            </w:pPr>
            <w:r w:rsidRPr="00191855">
              <w:t>7.</w:t>
            </w:r>
          </w:p>
        </w:tc>
        <w:tc>
          <w:tcPr>
            <w:tcW w:w="1837" w:type="pct"/>
            <w:tcBorders>
              <w:top w:val="outset" w:sz="6" w:space="0" w:color="000000"/>
              <w:left w:val="outset" w:sz="6" w:space="0" w:color="000000"/>
              <w:bottom w:val="outset" w:sz="6" w:space="0" w:color="000000"/>
              <w:right w:val="outset" w:sz="6" w:space="0" w:color="000000"/>
            </w:tcBorders>
          </w:tcPr>
          <w:p w:rsidR="005A299A" w:rsidRPr="00191855" w:rsidRDefault="005A299A" w:rsidP="009D6184">
            <w:pPr>
              <w:pStyle w:val="Parasts1"/>
            </w:pPr>
            <w:r w:rsidRPr="00191855">
              <w:t>Cita informācija</w:t>
            </w:r>
          </w:p>
        </w:tc>
        <w:tc>
          <w:tcPr>
            <w:tcW w:w="2941" w:type="pct"/>
            <w:tcBorders>
              <w:top w:val="outset" w:sz="6" w:space="0" w:color="000000"/>
              <w:left w:val="outset" w:sz="6" w:space="0" w:color="000000"/>
              <w:bottom w:val="outset" w:sz="6" w:space="0" w:color="000000"/>
            </w:tcBorders>
          </w:tcPr>
          <w:p w:rsidR="005A299A" w:rsidRPr="00191855" w:rsidRDefault="005A299A" w:rsidP="009D6184">
            <w:pPr>
              <w:pStyle w:val="Parasts1"/>
            </w:pPr>
            <w:r w:rsidRPr="00191855">
              <w:t>Nav.</w:t>
            </w:r>
          </w:p>
        </w:tc>
      </w:tr>
    </w:tbl>
    <w:p w:rsidR="005A299A" w:rsidRPr="00191855" w:rsidRDefault="005A299A" w:rsidP="009D6184">
      <w:pPr>
        <w:pStyle w:val="Parasts1"/>
      </w:pPr>
      <w:r w:rsidRPr="00191855">
        <w:t> </w:t>
      </w:r>
    </w:p>
    <w:p w:rsidR="0028150A" w:rsidRPr="00191855" w:rsidRDefault="0028150A" w:rsidP="009D6184">
      <w:pPr>
        <w:pStyle w:val="Parasts1"/>
        <w:rPr>
          <w:i/>
        </w:rPr>
      </w:pPr>
      <w:r w:rsidRPr="00191855">
        <w:rPr>
          <w:i/>
        </w:rPr>
        <w:t>Anotācijas III</w:t>
      </w:r>
      <w:r w:rsidR="009528FF" w:rsidRPr="00191855">
        <w:rPr>
          <w:i/>
        </w:rPr>
        <w:t xml:space="preserve"> s</w:t>
      </w:r>
      <w:r w:rsidR="00EA61A1" w:rsidRPr="00191855">
        <w:rPr>
          <w:i/>
        </w:rPr>
        <w:t>a</w:t>
      </w:r>
      <w:r w:rsidRPr="00191855">
        <w:rPr>
          <w:i/>
        </w:rPr>
        <w:t>daļa – projekts š</w:t>
      </w:r>
      <w:r w:rsidR="009528FF" w:rsidRPr="00191855">
        <w:rPr>
          <w:i/>
        </w:rPr>
        <w:t>o</w:t>
      </w:r>
      <w:r w:rsidRPr="00191855">
        <w:rPr>
          <w:i/>
        </w:rPr>
        <w:t xml:space="preserve"> jom</w:t>
      </w:r>
      <w:r w:rsidR="009528FF" w:rsidRPr="00191855">
        <w:rPr>
          <w:i/>
        </w:rPr>
        <w:t>u</w:t>
      </w:r>
      <w:r w:rsidRPr="00191855">
        <w:rPr>
          <w:i/>
        </w:rPr>
        <w:t xml:space="preserve"> neskar.</w:t>
      </w:r>
    </w:p>
    <w:p w:rsidR="009528FF" w:rsidRPr="00191855" w:rsidRDefault="009528FF" w:rsidP="009D6184">
      <w:pPr>
        <w:pStyle w:val="Parasts1"/>
        <w:rPr>
          <w:i/>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
        <w:gridCol w:w="3720"/>
        <w:gridCol w:w="5462"/>
      </w:tblGrid>
      <w:tr w:rsidR="009528FF" w:rsidRPr="00191855" w:rsidTr="00834195">
        <w:trPr>
          <w:jc w:val="center"/>
        </w:trPr>
        <w:tc>
          <w:tcPr>
            <w:tcW w:w="9578" w:type="dxa"/>
            <w:gridSpan w:val="3"/>
          </w:tcPr>
          <w:p w:rsidR="009528FF" w:rsidRPr="00191855" w:rsidRDefault="009528FF" w:rsidP="009528FF">
            <w:pPr>
              <w:pStyle w:val="naisnod"/>
              <w:spacing w:before="0" w:after="0"/>
              <w:ind w:left="57" w:right="57"/>
            </w:pPr>
            <w:r w:rsidRPr="00191855">
              <w:rPr>
                <w:bCs w:val="0"/>
              </w:rPr>
              <w:t>IV. Tiesību akta projekta ietekme uz spēkā esošo tiesību normu sistēmu</w:t>
            </w:r>
          </w:p>
        </w:tc>
      </w:tr>
      <w:tr w:rsidR="009528FF" w:rsidRPr="00191855" w:rsidTr="00834195">
        <w:trPr>
          <w:trHeight w:val="553"/>
          <w:jc w:val="center"/>
        </w:trPr>
        <w:tc>
          <w:tcPr>
            <w:tcW w:w="396" w:type="dxa"/>
          </w:tcPr>
          <w:p w:rsidR="009528FF" w:rsidRPr="00191855" w:rsidRDefault="009528FF" w:rsidP="00834195">
            <w:pPr>
              <w:pStyle w:val="naiskr"/>
              <w:spacing w:before="0" w:after="0"/>
              <w:ind w:left="57" w:right="57"/>
            </w:pPr>
            <w:r w:rsidRPr="00191855">
              <w:t>1.</w:t>
            </w:r>
          </w:p>
        </w:tc>
        <w:tc>
          <w:tcPr>
            <w:tcW w:w="3720" w:type="dxa"/>
          </w:tcPr>
          <w:p w:rsidR="009528FF" w:rsidRPr="00191855" w:rsidRDefault="00E71CFE" w:rsidP="00834195">
            <w:pPr>
              <w:pStyle w:val="naiskr"/>
              <w:spacing w:before="0" w:after="0"/>
              <w:ind w:left="57" w:right="57"/>
            </w:pPr>
            <w:r w:rsidRPr="00191855">
              <w:t>Nepieciešamie saistītie tiesību aktu projekti</w:t>
            </w:r>
          </w:p>
        </w:tc>
        <w:tc>
          <w:tcPr>
            <w:tcW w:w="5462" w:type="dxa"/>
          </w:tcPr>
          <w:p w:rsidR="009528FF" w:rsidRPr="00191855" w:rsidRDefault="007B2B53" w:rsidP="007B2B53">
            <w:pPr>
              <w:pStyle w:val="Parasts1"/>
              <w:jc w:val="both"/>
            </w:pPr>
            <w:r w:rsidRPr="00191855">
              <w:t>Pēc noteikumu spēkā stāšanās nav nepieciešams veikt grozījumus citos normatīvajos aktos.</w:t>
            </w:r>
          </w:p>
          <w:p w:rsidR="007B2B53" w:rsidRPr="00191855" w:rsidRDefault="00040122" w:rsidP="00834195">
            <w:pPr>
              <w:pStyle w:val="Parasts1"/>
              <w:jc w:val="both"/>
            </w:pPr>
            <w:r w:rsidRPr="00191855">
              <w:t xml:space="preserve">Saistībā </w:t>
            </w:r>
            <w:r w:rsidR="00090FA6" w:rsidRPr="00191855">
              <w:t xml:space="preserve">ar grozījumiem noteikumos </w:t>
            </w:r>
            <w:r w:rsidRPr="00191855">
              <w:t>par spēku zaudējušiem tiek atzīt</w:t>
            </w:r>
            <w:r w:rsidR="00090FA6" w:rsidRPr="00191855">
              <w:t>i</w:t>
            </w:r>
            <w:r w:rsidRPr="00191855">
              <w:t xml:space="preserve"> </w:t>
            </w:r>
            <w:r w:rsidR="00834195" w:rsidRPr="00191855">
              <w:t>Ministru kabineta 2009.gada 22.decembra noteikumi Nr.1638 „Kārtība, kādā iedzīvotāju ienākuma nodokļa aprēķināšanas vajadzībām nosakāma ienākuma gūšanas diena” (Latvijas Vēstnesis, 2009, 206.nr.)</w:t>
            </w:r>
            <w:r w:rsidRPr="00191855">
              <w:t>.</w:t>
            </w:r>
            <w:r w:rsidR="007D38D9" w:rsidRPr="00191855">
              <w:t xml:space="preserve"> </w:t>
            </w:r>
          </w:p>
        </w:tc>
      </w:tr>
      <w:tr w:rsidR="009528FF" w:rsidRPr="00191855" w:rsidTr="00834195">
        <w:trPr>
          <w:trHeight w:val="387"/>
          <w:jc w:val="center"/>
        </w:trPr>
        <w:tc>
          <w:tcPr>
            <w:tcW w:w="396" w:type="dxa"/>
          </w:tcPr>
          <w:p w:rsidR="009528FF" w:rsidRPr="00191855" w:rsidRDefault="00E71CFE" w:rsidP="00834195">
            <w:pPr>
              <w:pStyle w:val="naiskr"/>
              <w:spacing w:before="0" w:after="0"/>
              <w:ind w:left="57" w:right="57"/>
            </w:pPr>
            <w:r w:rsidRPr="00191855">
              <w:t>2</w:t>
            </w:r>
            <w:r w:rsidR="009528FF" w:rsidRPr="00191855">
              <w:t>.</w:t>
            </w:r>
          </w:p>
        </w:tc>
        <w:tc>
          <w:tcPr>
            <w:tcW w:w="3720" w:type="dxa"/>
          </w:tcPr>
          <w:p w:rsidR="009528FF" w:rsidRPr="00191855" w:rsidRDefault="009528FF" w:rsidP="00834195">
            <w:pPr>
              <w:pStyle w:val="naiskr"/>
              <w:spacing w:before="0" w:after="0"/>
              <w:ind w:left="57" w:right="57"/>
            </w:pPr>
            <w:r w:rsidRPr="00191855">
              <w:t>Cita informācija</w:t>
            </w:r>
          </w:p>
        </w:tc>
        <w:tc>
          <w:tcPr>
            <w:tcW w:w="5462" w:type="dxa"/>
          </w:tcPr>
          <w:p w:rsidR="009528FF" w:rsidRPr="00191855" w:rsidRDefault="009528FF" w:rsidP="00834195">
            <w:pPr>
              <w:pStyle w:val="Parasts1"/>
              <w:jc w:val="both"/>
            </w:pPr>
            <w:r w:rsidRPr="00191855">
              <w:t>Nav</w:t>
            </w:r>
          </w:p>
        </w:tc>
      </w:tr>
    </w:tbl>
    <w:p w:rsidR="009528FF" w:rsidRPr="00191855" w:rsidRDefault="009528FF" w:rsidP="009D6184">
      <w:pPr>
        <w:pStyle w:val="Parasts1"/>
        <w:rPr>
          <w:i/>
        </w:rPr>
      </w:pPr>
    </w:p>
    <w:p w:rsidR="009528FF" w:rsidRPr="00191855" w:rsidRDefault="009528FF" w:rsidP="009D6184">
      <w:pPr>
        <w:pStyle w:val="Parasts1"/>
        <w:rPr>
          <w:i/>
        </w:rPr>
      </w:pPr>
      <w:r w:rsidRPr="00191855">
        <w:rPr>
          <w:i/>
        </w:rPr>
        <w:t>Anotācijas V sadaļa – projekts šo jomu neskar.</w:t>
      </w:r>
    </w:p>
    <w:p w:rsidR="002C327E" w:rsidRPr="00191855" w:rsidRDefault="002C327E" w:rsidP="009D6184">
      <w:pPr>
        <w:pStyle w:val="Parasts1"/>
        <w:rPr>
          <w:i/>
        </w:rPr>
      </w:pPr>
    </w:p>
    <w:tbl>
      <w:tblPr>
        <w:tblW w:w="9640" w:type="dxa"/>
        <w:tblCellSpacing w:w="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7"/>
        <w:gridCol w:w="3686"/>
        <w:gridCol w:w="5397"/>
      </w:tblGrid>
      <w:tr w:rsidR="00A9097E" w:rsidRPr="00191855" w:rsidTr="00423BA0">
        <w:trPr>
          <w:tblCellSpacing w:w="0" w:type="dxa"/>
        </w:trPr>
        <w:tc>
          <w:tcPr>
            <w:tcW w:w="9640" w:type="dxa"/>
            <w:gridSpan w:val="3"/>
          </w:tcPr>
          <w:p w:rsidR="00A9097E" w:rsidRPr="00191855" w:rsidRDefault="00A9097E" w:rsidP="00A9097E">
            <w:pPr>
              <w:spacing w:before="100" w:beforeAutospacing="1" w:after="100" w:afterAutospacing="1"/>
              <w:jc w:val="center"/>
              <w:rPr>
                <w:b/>
                <w:bCs/>
                <w:szCs w:val="24"/>
              </w:rPr>
            </w:pPr>
            <w:r w:rsidRPr="00191855">
              <w:rPr>
                <w:rFonts w:eastAsia="Calibri"/>
                <w:b/>
                <w:szCs w:val="24"/>
                <w:lang w:eastAsia="en-US"/>
              </w:rPr>
              <w:t>VI. Sabiedrības līdzdalība un šīs līdzdalības rezultāti</w:t>
            </w:r>
          </w:p>
        </w:tc>
      </w:tr>
      <w:tr w:rsidR="00A9097E" w:rsidRPr="00191855" w:rsidTr="00423BA0">
        <w:trPr>
          <w:tblCellSpacing w:w="0" w:type="dxa"/>
        </w:trPr>
        <w:tc>
          <w:tcPr>
            <w:tcW w:w="557" w:type="dxa"/>
          </w:tcPr>
          <w:p w:rsidR="00A9097E" w:rsidRPr="00191855" w:rsidRDefault="00A9097E" w:rsidP="00B16F0D">
            <w:pPr>
              <w:spacing w:before="100" w:beforeAutospacing="1" w:after="100" w:afterAutospacing="1"/>
              <w:rPr>
                <w:bCs/>
                <w:szCs w:val="24"/>
              </w:rPr>
            </w:pPr>
            <w:r w:rsidRPr="00191855">
              <w:rPr>
                <w:bCs/>
                <w:szCs w:val="24"/>
              </w:rPr>
              <w:t>1.</w:t>
            </w:r>
          </w:p>
        </w:tc>
        <w:tc>
          <w:tcPr>
            <w:tcW w:w="3686" w:type="dxa"/>
          </w:tcPr>
          <w:p w:rsidR="00A9097E" w:rsidRPr="00191855" w:rsidRDefault="00A9097E" w:rsidP="00B16F0D">
            <w:pPr>
              <w:spacing w:before="100" w:beforeAutospacing="1" w:after="100" w:afterAutospacing="1"/>
              <w:rPr>
                <w:bCs/>
                <w:szCs w:val="24"/>
              </w:rPr>
            </w:pPr>
            <w:r w:rsidRPr="00191855">
              <w:rPr>
                <w:bCs/>
                <w:szCs w:val="24"/>
              </w:rPr>
              <w:t>Sabiedrības informēšana par projekta izstrādes uzsākšanu</w:t>
            </w:r>
          </w:p>
        </w:tc>
        <w:tc>
          <w:tcPr>
            <w:tcW w:w="5397" w:type="dxa"/>
          </w:tcPr>
          <w:p w:rsidR="00A9097E" w:rsidRPr="00191855" w:rsidRDefault="00A9097E" w:rsidP="002C327E">
            <w:pPr>
              <w:spacing w:before="100" w:beforeAutospacing="1" w:after="100" w:afterAutospacing="1"/>
              <w:jc w:val="both"/>
              <w:rPr>
                <w:szCs w:val="24"/>
              </w:rPr>
            </w:pPr>
            <w:r w:rsidRPr="00191855">
              <w:rPr>
                <w:szCs w:val="24"/>
              </w:rPr>
              <w:t>Noteikumu projekta izstrādes laikā notika konsultācijas ar Latvijas Apdrošinātāju asociāciju.</w:t>
            </w:r>
          </w:p>
        </w:tc>
      </w:tr>
      <w:tr w:rsidR="002C327E" w:rsidRPr="00191855" w:rsidTr="00423BA0">
        <w:trPr>
          <w:tblCellSpacing w:w="0" w:type="dxa"/>
        </w:trPr>
        <w:tc>
          <w:tcPr>
            <w:tcW w:w="557" w:type="dxa"/>
          </w:tcPr>
          <w:p w:rsidR="002C327E" w:rsidRPr="00191855" w:rsidRDefault="002C327E" w:rsidP="00B16F0D">
            <w:pPr>
              <w:spacing w:before="100" w:beforeAutospacing="1" w:after="100" w:afterAutospacing="1"/>
              <w:rPr>
                <w:bCs/>
                <w:szCs w:val="24"/>
              </w:rPr>
            </w:pPr>
            <w:r w:rsidRPr="00191855">
              <w:rPr>
                <w:bCs/>
                <w:szCs w:val="24"/>
              </w:rPr>
              <w:t>2.</w:t>
            </w:r>
          </w:p>
        </w:tc>
        <w:tc>
          <w:tcPr>
            <w:tcW w:w="3686" w:type="dxa"/>
          </w:tcPr>
          <w:p w:rsidR="002C327E" w:rsidRPr="00191855" w:rsidRDefault="002C327E" w:rsidP="00B16F0D">
            <w:pPr>
              <w:spacing w:before="100" w:beforeAutospacing="1" w:after="100" w:afterAutospacing="1"/>
              <w:ind w:left="-15"/>
              <w:rPr>
                <w:bCs/>
                <w:szCs w:val="24"/>
              </w:rPr>
            </w:pPr>
            <w:r w:rsidRPr="00191855">
              <w:rPr>
                <w:bCs/>
                <w:szCs w:val="24"/>
              </w:rPr>
              <w:t>Sabiedrības līdzdalība projekta izstrādē</w:t>
            </w:r>
          </w:p>
        </w:tc>
        <w:tc>
          <w:tcPr>
            <w:tcW w:w="5397" w:type="dxa"/>
          </w:tcPr>
          <w:p w:rsidR="002C327E" w:rsidRPr="00191855" w:rsidRDefault="002C327E" w:rsidP="002C327E">
            <w:pPr>
              <w:jc w:val="both"/>
              <w:rPr>
                <w:bCs/>
                <w:szCs w:val="24"/>
              </w:rPr>
            </w:pPr>
            <w:r w:rsidRPr="00191855">
              <w:rPr>
                <w:szCs w:val="24"/>
              </w:rPr>
              <w:t xml:space="preserve">Noteikumu projekta izstrādē piedalījās Latvijas Apdrošinātāju asociācijas pārstāvji. </w:t>
            </w:r>
          </w:p>
        </w:tc>
      </w:tr>
      <w:tr w:rsidR="002C327E" w:rsidRPr="00191855" w:rsidTr="00423BA0">
        <w:trPr>
          <w:tblCellSpacing w:w="0" w:type="dxa"/>
        </w:trPr>
        <w:tc>
          <w:tcPr>
            <w:tcW w:w="557" w:type="dxa"/>
          </w:tcPr>
          <w:p w:rsidR="002C327E" w:rsidRPr="00191855" w:rsidRDefault="002C327E" w:rsidP="00B16F0D">
            <w:pPr>
              <w:spacing w:before="100" w:beforeAutospacing="1" w:after="100" w:afterAutospacing="1"/>
              <w:rPr>
                <w:bCs/>
                <w:szCs w:val="24"/>
              </w:rPr>
            </w:pPr>
            <w:r w:rsidRPr="00191855">
              <w:rPr>
                <w:bCs/>
                <w:szCs w:val="24"/>
              </w:rPr>
              <w:t>3.</w:t>
            </w:r>
          </w:p>
        </w:tc>
        <w:tc>
          <w:tcPr>
            <w:tcW w:w="3686" w:type="dxa"/>
          </w:tcPr>
          <w:p w:rsidR="002C327E" w:rsidRPr="00191855" w:rsidRDefault="002C327E" w:rsidP="00B16F0D">
            <w:pPr>
              <w:spacing w:before="100" w:beforeAutospacing="1" w:after="100" w:afterAutospacing="1"/>
              <w:rPr>
                <w:bCs/>
                <w:szCs w:val="24"/>
              </w:rPr>
            </w:pPr>
            <w:r w:rsidRPr="00191855">
              <w:rPr>
                <w:bCs/>
                <w:szCs w:val="24"/>
              </w:rPr>
              <w:t>Sabiedrības līdzdalības rezultāti</w:t>
            </w:r>
          </w:p>
        </w:tc>
        <w:tc>
          <w:tcPr>
            <w:tcW w:w="5397" w:type="dxa"/>
          </w:tcPr>
          <w:p w:rsidR="002C327E" w:rsidRPr="00191855" w:rsidRDefault="000960BD" w:rsidP="00574450">
            <w:pPr>
              <w:jc w:val="both"/>
              <w:rPr>
                <w:bCs/>
                <w:szCs w:val="24"/>
              </w:rPr>
            </w:pPr>
            <w:r w:rsidRPr="00191855">
              <w:rPr>
                <w:szCs w:val="24"/>
              </w:rPr>
              <w:t>Noteikumu projekta</w:t>
            </w:r>
            <w:r w:rsidR="002C327E" w:rsidRPr="00191855">
              <w:rPr>
                <w:szCs w:val="24"/>
              </w:rPr>
              <w:t xml:space="preserve"> apspriešanas procesā tika analizēti un izvērtēti </w:t>
            </w:r>
            <w:r w:rsidRPr="00191855">
              <w:rPr>
                <w:szCs w:val="24"/>
              </w:rPr>
              <w:t>Latvijas Apdrošinātāju asociācijas izteiktie priekšlikumi</w:t>
            </w:r>
            <w:r w:rsidR="002C327E" w:rsidRPr="00191855">
              <w:rPr>
                <w:szCs w:val="24"/>
              </w:rPr>
              <w:t xml:space="preserve">. </w:t>
            </w:r>
          </w:p>
        </w:tc>
      </w:tr>
      <w:tr w:rsidR="002C327E" w:rsidRPr="00191855" w:rsidTr="00423BA0">
        <w:trPr>
          <w:tblCellSpacing w:w="0" w:type="dxa"/>
        </w:trPr>
        <w:tc>
          <w:tcPr>
            <w:tcW w:w="557" w:type="dxa"/>
          </w:tcPr>
          <w:p w:rsidR="002C327E" w:rsidRPr="00191855" w:rsidRDefault="002C327E" w:rsidP="00B16F0D">
            <w:pPr>
              <w:spacing w:before="100" w:beforeAutospacing="1" w:after="100" w:afterAutospacing="1"/>
              <w:rPr>
                <w:bCs/>
                <w:szCs w:val="24"/>
              </w:rPr>
            </w:pPr>
            <w:r w:rsidRPr="00191855">
              <w:rPr>
                <w:bCs/>
                <w:szCs w:val="24"/>
              </w:rPr>
              <w:t>4.</w:t>
            </w:r>
          </w:p>
        </w:tc>
        <w:tc>
          <w:tcPr>
            <w:tcW w:w="3686" w:type="dxa"/>
          </w:tcPr>
          <w:p w:rsidR="002C327E" w:rsidRPr="00191855" w:rsidRDefault="002C327E" w:rsidP="00B16F0D">
            <w:pPr>
              <w:spacing w:before="100" w:beforeAutospacing="1" w:after="100" w:afterAutospacing="1"/>
              <w:rPr>
                <w:bCs/>
                <w:szCs w:val="24"/>
              </w:rPr>
            </w:pPr>
            <w:r w:rsidRPr="00191855">
              <w:rPr>
                <w:bCs/>
                <w:szCs w:val="24"/>
              </w:rPr>
              <w:t>Saeimas un ekspertu līdzdalība</w:t>
            </w:r>
          </w:p>
        </w:tc>
        <w:tc>
          <w:tcPr>
            <w:tcW w:w="5397" w:type="dxa"/>
          </w:tcPr>
          <w:p w:rsidR="002C327E" w:rsidRPr="00191855" w:rsidRDefault="002C327E" w:rsidP="00B16F0D">
            <w:pPr>
              <w:spacing w:before="100" w:beforeAutospacing="1" w:after="100" w:afterAutospacing="1"/>
              <w:rPr>
                <w:bCs/>
                <w:szCs w:val="24"/>
              </w:rPr>
            </w:pPr>
            <w:r w:rsidRPr="00191855">
              <w:rPr>
                <w:bCs/>
                <w:szCs w:val="24"/>
              </w:rPr>
              <w:t>Nav attiecināms.</w:t>
            </w:r>
          </w:p>
        </w:tc>
      </w:tr>
      <w:tr w:rsidR="002C327E" w:rsidRPr="00191855" w:rsidTr="00423BA0">
        <w:trPr>
          <w:tblCellSpacing w:w="0" w:type="dxa"/>
        </w:trPr>
        <w:tc>
          <w:tcPr>
            <w:tcW w:w="557" w:type="dxa"/>
          </w:tcPr>
          <w:p w:rsidR="002C327E" w:rsidRPr="00191855" w:rsidRDefault="002C327E" w:rsidP="00B16F0D">
            <w:pPr>
              <w:spacing w:before="100" w:beforeAutospacing="1" w:after="100" w:afterAutospacing="1"/>
              <w:rPr>
                <w:bCs/>
                <w:szCs w:val="24"/>
              </w:rPr>
            </w:pPr>
            <w:r w:rsidRPr="00191855">
              <w:rPr>
                <w:bCs/>
                <w:szCs w:val="24"/>
              </w:rPr>
              <w:t>5.</w:t>
            </w:r>
          </w:p>
        </w:tc>
        <w:tc>
          <w:tcPr>
            <w:tcW w:w="3686" w:type="dxa"/>
          </w:tcPr>
          <w:p w:rsidR="002C327E" w:rsidRPr="00191855" w:rsidRDefault="002C327E" w:rsidP="00B16F0D">
            <w:pPr>
              <w:spacing w:before="100" w:beforeAutospacing="1" w:after="100" w:afterAutospacing="1"/>
              <w:rPr>
                <w:bCs/>
                <w:szCs w:val="24"/>
              </w:rPr>
            </w:pPr>
            <w:r w:rsidRPr="00191855">
              <w:rPr>
                <w:bCs/>
                <w:szCs w:val="24"/>
              </w:rPr>
              <w:t>Cita informācija</w:t>
            </w:r>
          </w:p>
        </w:tc>
        <w:tc>
          <w:tcPr>
            <w:tcW w:w="5397" w:type="dxa"/>
          </w:tcPr>
          <w:p w:rsidR="002C327E" w:rsidRPr="00191855" w:rsidRDefault="002C327E" w:rsidP="00B16F0D">
            <w:pPr>
              <w:spacing w:before="100" w:beforeAutospacing="1" w:after="100" w:afterAutospacing="1"/>
              <w:rPr>
                <w:bCs/>
                <w:szCs w:val="24"/>
              </w:rPr>
            </w:pPr>
            <w:r w:rsidRPr="00191855">
              <w:rPr>
                <w:bCs/>
                <w:szCs w:val="24"/>
              </w:rPr>
              <w:t>Nav.</w:t>
            </w:r>
          </w:p>
        </w:tc>
      </w:tr>
    </w:tbl>
    <w:p w:rsidR="005A299A" w:rsidRPr="00191855" w:rsidRDefault="005A299A" w:rsidP="009D6184">
      <w:pPr>
        <w:pStyle w:val="Parasts1"/>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9"/>
        <w:gridCol w:w="3696"/>
        <w:gridCol w:w="5490"/>
      </w:tblGrid>
      <w:tr w:rsidR="005A299A" w:rsidRPr="00191855">
        <w:trPr>
          <w:jc w:val="center"/>
        </w:trPr>
        <w:tc>
          <w:tcPr>
            <w:tcW w:w="9565" w:type="dxa"/>
            <w:gridSpan w:val="3"/>
          </w:tcPr>
          <w:p w:rsidR="005A299A" w:rsidRPr="00191855" w:rsidRDefault="005A299A" w:rsidP="009D6184">
            <w:pPr>
              <w:pStyle w:val="Parasts1"/>
              <w:jc w:val="center"/>
              <w:rPr>
                <w:b/>
              </w:rPr>
            </w:pPr>
            <w:r w:rsidRPr="00191855">
              <w:rPr>
                <w:b/>
              </w:rPr>
              <w:t>VII. Tiesību akta projekta izpildes nodrošināšana un tās ietekme uz institūcijām</w:t>
            </w:r>
          </w:p>
        </w:tc>
      </w:tr>
      <w:tr w:rsidR="005A299A" w:rsidRPr="00191855" w:rsidTr="00891C38">
        <w:trPr>
          <w:trHeight w:val="427"/>
          <w:jc w:val="center"/>
        </w:trPr>
        <w:tc>
          <w:tcPr>
            <w:tcW w:w="379" w:type="dxa"/>
          </w:tcPr>
          <w:p w:rsidR="005A299A" w:rsidRPr="00191855" w:rsidRDefault="005A299A" w:rsidP="009D6184">
            <w:pPr>
              <w:pStyle w:val="Parasts1"/>
            </w:pPr>
            <w:r w:rsidRPr="00191855">
              <w:t>1.</w:t>
            </w:r>
          </w:p>
        </w:tc>
        <w:tc>
          <w:tcPr>
            <w:tcW w:w="3696" w:type="dxa"/>
          </w:tcPr>
          <w:p w:rsidR="005A299A" w:rsidRPr="00191855" w:rsidRDefault="005A299A" w:rsidP="009D6184">
            <w:pPr>
              <w:pStyle w:val="Parasts1"/>
              <w:jc w:val="both"/>
            </w:pPr>
            <w:r w:rsidRPr="00191855">
              <w:t xml:space="preserve">Projekta izpildē iesaistītās institūcijas </w:t>
            </w:r>
          </w:p>
        </w:tc>
        <w:tc>
          <w:tcPr>
            <w:tcW w:w="5490" w:type="dxa"/>
          </w:tcPr>
          <w:p w:rsidR="005A299A" w:rsidRPr="00191855" w:rsidRDefault="00C71466" w:rsidP="00667200">
            <w:pPr>
              <w:pStyle w:val="Parasts1"/>
              <w:jc w:val="both"/>
            </w:pPr>
            <w:r w:rsidRPr="00191855">
              <w:t>Valsts ieņēmumu dienests.</w:t>
            </w:r>
          </w:p>
        </w:tc>
      </w:tr>
      <w:tr w:rsidR="005A299A" w:rsidRPr="00191855" w:rsidTr="00891C38">
        <w:trPr>
          <w:trHeight w:val="463"/>
          <w:jc w:val="center"/>
        </w:trPr>
        <w:tc>
          <w:tcPr>
            <w:tcW w:w="379" w:type="dxa"/>
          </w:tcPr>
          <w:p w:rsidR="005A299A" w:rsidRPr="00191855" w:rsidRDefault="005A299A" w:rsidP="009D6184">
            <w:pPr>
              <w:pStyle w:val="Parasts1"/>
            </w:pPr>
            <w:r w:rsidRPr="00191855">
              <w:t>2.</w:t>
            </w:r>
          </w:p>
        </w:tc>
        <w:tc>
          <w:tcPr>
            <w:tcW w:w="3696" w:type="dxa"/>
          </w:tcPr>
          <w:p w:rsidR="005A299A" w:rsidRPr="00191855" w:rsidRDefault="005A299A" w:rsidP="009D6184">
            <w:pPr>
              <w:pStyle w:val="Parasts1"/>
              <w:jc w:val="both"/>
            </w:pPr>
            <w:r w:rsidRPr="00191855">
              <w:t xml:space="preserve">Projekta izpildes ietekme uz pārvaldes funkcijām </w:t>
            </w:r>
          </w:p>
        </w:tc>
        <w:tc>
          <w:tcPr>
            <w:tcW w:w="5490" w:type="dxa"/>
          </w:tcPr>
          <w:p w:rsidR="005A299A" w:rsidRPr="00191855" w:rsidRDefault="00C71466" w:rsidP="009D6184">
            <w:pPr>
              <w:pStyle w:val="Parasts1"/>
            </w:pPr>
            <w:r w:rsidRPr="00191855">
              <w:t>Projekts šo jomu neskar.</w:t>
            </w:r>
          </w:p>
        </w:tc>
      </w:tr>
      <w:tr w:rsidR="005A299A" w:rsidRPr="00191855" w:rsidTr="00891C38">
        <w:trPr>
          <w:trHeight w:val="725"/>
          <w:jc w:val="center"/>
        </w:trPr>
        <w:tc>
          <w:tcPr>
            <w:tcW w:w="379" w:type="dxa"/>
          </w:tcPr>
          <w:p w:rsidR="005A299A" w:rsidRPr="00191855" w:rsidRDefault="005A299A" w:rsidP="009D6184">
            <w:pPr>
              <w:pStyle w:val="Parasts1"/>
            </w:pPr>
            <w:r w:rsidRPr="00191855">
              <w:lastRenderedPageBreak/>
              <w:t>3.</w:t>
            </w:r>
          </w:p>
        </w:tc>
        <w:tc>
          <w:tcPr>
            <w:tcW w:w="3696" w:type="dxa"/>
          </w:tcPr>
          <w:p w:rsidR="005A299A" w:rsidRPr="00191855" w:rsidRDefault="005A299A" w:rsidP="009D6184">
            <w:pPr>
              <w:pStyle w:val="Parasts1"/>
              <w:jc w:val="both"/>
            </w:pPr>
            <w:r w:rsidRPr="00191855">
              <w:t>Projekta izpildes ietekme uz pārvaldes institucionālo struktūru.</w:t>
            </w:r>
          </w:p>
          <w:p w:rsidR="005A299A" w:rsidRPr="00191855" w:rsidRDefault="005A299A" w:rsidP="009D6184">
            <w:pPr>
              <w:pStyle w:val="Parasts1"/>
              <w:jc w:val="both"/>
            </w:pPr>
            <w:r w:rsidRPr="00191855">
              <w:t>Jaunu institūciju izveide</w:t>
            </w:r>
          </w:p>
        </w:tc>
        <w:tc>
          <w:tcPr>
            <w:tcW w:w="5490" w:type="dxa"/>
          </w:tcPr>
          <w:p w:rsidR="005A299A" w:rsidRPr="00191855" w:rsidRDefault="00834195" w:rsidP="009D6184">
            <w:pPr>
              <w:pStyle w:val="Parasts1"/>
            </w:pPr>
            <w:r w:rsidRPr="00191855">
              <w:rPr>
                <w:rFonts w:eastAsia="Calibri"/>
                <w:lang w:eastAsia="en-US"/>
              </w:rPr>
              <w:t>Jaunas institūcijas nav nepieciešams izveidot.</w:t>
            </w:r>
          </w:p>
        </w:tc>
      </w:tr>
      <w:tr w:rsidR="005A299A" w:rsidRPr="00191855" w:rsidTr="00891C38">
        <w:trPr>
          <w:trHeight w:val="780"/>
          <w:jc w:val="center"/>
        </w:trPr>
        <w:tc>
          <w:tcPr>
            <w:tcW w:w="379" w:type="dxa"/>
          </w:tcPr>
          <w:p w:rsidR="005A299A" w:rsidRPr="00191855" w:rsidRDefault="005A299A" w:rsidP="009D6184">
            <w:pPr>
              <w:pStyle w:val="Parasts1"/>
            </w:pPr>
            <w:r w:rsidRPr="00191855">
              <w:t>4.</w:t>
            </w:r>
          </w:p>
        </w:tc>
        <w:tc>
          <w:tcPr>
            <w:tcW w:w="3696" w:type="dxa"/>
          </w:tcPr>
          <w:p w:rsidR="005A299A" w:rsidRPr="00191855" w:rsidRDefault="005A299A" w:rsidP="009D6184">
            <w:pPr>
              <w:pStyle w:val="Parasts1"/>
              <w:jc w:val="both"/>
            </w:pPr>
            <w:r w:rsidRPr="00191855">
              <w:t>Projekta izpildes ietekme uz pārvaldes institucionālo struktūru.</w:t>
            </w:r>
          </w:p>
          <w:p w:rsidR="005A299A" w:rsidRPr="00191855" w:rsidRDefault="005A299A" w:rsidP="009D6184">
            <w:pPr>
              <w:pStyle w:val="Parasts1"/>
              <w:jc w:val="both"/>
            </w:pPr>
            <w:r w:rsidRPr="00191855">
              <w:t>Esošu institūciju likvidācija</w:t>
            </w:r>
          </w:p>
        </w:tc>
        <w:tc>
          <w:tcPr>
            <w:tcW w:w="5490" w:type="dxa"/>
          </w:tcPr>
          <w:p w:rsidR="005A299A" w:rsidRPr="00191855" w:rsidRDefault="00834195" w:rsidP="009D6184">
            <w:pPr>
              <w:pStyle w:val="Parasts1"/>
            </w:pPr>
            <w:r w:rsidRPr="00191855">
              <w:rPr>
                <w:rFonts w:eastAsia="Calibri"/>
                <w:lang w:eastAsia="en-US"/>
              </w:rPr>
              <w:t>Nav plānota esošu institūciju likvidācija.</w:t>
            </w:r>
          </w:p>
        </w:tc>
      </w:tr>
      <w:tr w:rsidR="005A299A" w:rsidRPr="00191855" w:rsidTr="00891C38">
        <w:trPr>
          <w:trHeight w:val="703"/>
          <w:jc w:val="center"/>
        </w:trPr>
        <w:tc>
          <w:tcPr>
            <w:tcW w:w="379" w:type="dxa"/>
          </w:tcPr>
          <w:p w:rsidR="005A299A" w:rsidRPr="00191855" w:rsidRDefault="005A299A" w:rsidP="009D6184">
            <w:pPr>
              <w:pStyle w:val="Parasts1"/>
            </w:pPr>
            <w:r w:rsidRPr="00191855">
              <w:t>5.</w:t>
            </w:r>
          </w:p>
        </w:tc>
        <w:tc>
          <w:tcPr>
            <w:tcW w:w="3696" w:type="dxa"/>
          </w:tcPr>
          <w:p w:rsidR="005A299A" w:rsidRPr="00191855" w:rsidRDefault="005A299A" w:rsidP="009D6184">
            <w:pPr>
              <w:pStyle w:val="Parasts1"/>
              <w:jc w:val="both"/>
            </w:pPr>
            <w:r w:rsidRPr="00191855">
              <w:t>Projekta izpildes ietekme uz pārvaldes institucionālo struktūru.</w:t>
            </w:r>
          </w:p>
          <w:p w:rsidR="005A299A" w:rsidRPr="00191855" w:rsidRDefault="005A299A" w:rsidP="009D6184">
            <w:pPr>
              <w:pStyle w:val="Parasts1"/>
              <w:jc w:val="both"/>
            </w:pPr>
            <w:r w:rsidRPr="00191855">
              <w:t>Esošu institūciju reorganizācija</w:t>
            </w:r>
          </w:p>
        </w:tc>
        <w:tc>
          <w:tcPr>
            <w:tcW w:w="5490" w:type="dxa"/>
          </w:tcPr>
          <w:p w:rsidR="005A299A" w:rsidRPr="00191855" w:rsidRDefault="00834195" w:rsidP="009D6184">
            <w:pPr>
              <w:pStyle w:val="Parasts1"/>
            </w:pPr>
            <w:r w:rsidRPr="00191855">
              <w:rPr>
                <w:rFonts w:eastAsia="Calibri"/>
                <w:lang w:eastAsia="en-US"/>
              </w:rPr>
              <w:t>Nav plānota esošu institūciju reorganizācija.</w:t>
            </w:r>
          </w:p>
        </w:tc>
      </w:tr>
      <w:tr w:rsidR="005A299A" w:rsidRPr="00191855" w:rsidTr="00891C38">
        <w:trPr>
          <w:trHeight w:val="476"/>
          <w:jc w:val="center"/>
        </w:trPr>
        <w:tc>
          <w:tcPr>
            <w:tcW w:w="379" w:type="dxa"/>
          </w:tcPr>
          <w:p w:rsidR="005A299A" w:rsidRPr="00191855" w:rsidRDefault="005A299A" w:rsidP="009D6184">
            <w:pPr>
              <w:pStyle w:val="Parasts1"/>
            </w:pPr>
            <w:r w:rsidRPr="00191855">
              <w:t>6.</w:t>
            </w:r>
          </w:p>
        </w:tc>
        <w:tc>
          <w:tcPr>
            <w:tcW w:w="3696" w:type="dxa"/>
          </w:tcPr>
          <w:p w:rsidR="005A299A" w:rsidRPr="00191855" w:rsidRDefault="005A299A" w:rsidP="009D6184">
            <w:pPr>
              <w:pStyle w:val="Parasts1"/>
            </w:pPr>
            <w:r w:rsidRPr="00191855">
              <w:t>Cita informācija</w:t>
            </w:r>
          </w:p>
        </w:tc>
        <w:tc>
          <w:tcPr>
            <w:tcW w:w="5490" w:type="dxa"/>
          </w:tcPr>
          <w:p w:rsidR="005A299A" w:rsidRPr="00191855" w:rsidRDefault="005A299A" w:rsidP="009D6184">
            <w:pPr>
              <w:pStyle w:val="Parasts1"/>
            </w:pPr>
            <w:r w:rsidRPr="00191855">
              <w:t>Nav.</w:t>
            </w:r>
          </w:p>
        </w:tc>
      </w:tr>
    </w:tbl>
    <w:p w:rsidR="009D6184" w:rsidRDefault="009D6184" w:rsidP="009D6184">
      <w:pPr>
        <w:pStyle w:val="Parasts1"/>
        <w:ind w:firstLine="720"/>
        <w:rPr>
          <w:sz w:val="28"/>
          <w:szCs w:val="28"/>
        </w:rPr>
      </w:pPr>
    </w:p>
    <w:p w:rsidR="00F807BB" w:rsidRDefault="00F807BB" w:rsidP="009D6184">
      <w:pPr>
        <w:pStyle w:val="Parasts1"/>
        <w:ind w:firstLine="720"/>
        <w:rPr>
          <w:sz w:val="28"/>
          <w:szCs w:val="28"/>
        </w:rPr>
      </w:pPr>
    </w:p>
    <w:p w:rsidR="00F807BB" w:rsidRDefault="00F807BB" w:rsidP="009D6184">
      <w:pPr>
        <w:pStyle w:val="Parasts1"/>
        <w:ind w:firstLine="720"/>
        <w:rPr>
          <w:sz w:val="28"/>
          <w:szCs w:val="28"/>
        </w:rPr>
      </w:pPr>
    </w:p>
    <w:p w:rsidR="00FF52B2" w:rsidRDefault="00FF52B2" w:rsidP="009D6184">
      <w:pPr>
        <w:pStyle w:val="Parasts1"/>
        <w:rPr>
          <w:sz w:val="16"/>
          <w:szCs w:val="18"/>
        </w:rPr>
      </w:pPr>
    </w:p>
    <w:p w:rsidR="00215170" w:rsidRDefault="00215170" w:rsidP="009D6184">
      <w:pPr>
        <w:pStyle w:val="Parasts1"/>
        <w:rPr>
          <w:sz w:val="16"/>
          <w:szCs w:val="18"/>
        </w:rPr>
      </w:pPr>
    </w:p>
    <w:p w:rsidR="00215170" w:rsidRDefault="00215170" w:rsidP="009D6184">
      <w:pPr>
        <w:pStyle w:val="Parasts1"/>
        <w:rPr>
          <w:sz w:val="16"/>
          <w:szCs w:val="18"/>
        </w:rPr>
      </w:pPr>
    </w:p>
    <w:p w:rsidR="00FF52B2" w:rsidRDefault="00FF52B2" w:rsidP="009D6184">
      <w:pPr>
        <w:pStyle w:val="Parasts1"/>
        <w:rPr>
          <w:sz w:val="16"/>
          <w:szCs w:val="18"/>
        </w:rPr>
      </w:pPr>
    </w:p>
    <w:p w:rsidR="00497194" w:rsidRPr="00497194" w:rsidRDefault="00497194" w:rsidP="00497194">
      <w:pPr>
        <w:widowControl w:val="0"/>
        <w:suppressAutoHyphens/>
        <w:autoSpaceDN w:val="0"/>
        <w:spacing w:line="360" w:lineRule="atLeast"/>
        <w:ind w:left="714"/>
        <w:jc w:val="both"/>
        <w:textAlignment w:val="baseline"/>
        <w:rPr>
          <w:iCs/>
          <w:sz w:val="28"/>
          <w:szCs w:val="24"/>
          <w:lang w:eastAsia="en-US"/>
        </w:rPr>
      </w:pPr>
      <w:r w:rsidRPr="00497194">
        <w:rPr>
          <w:iCs/>
          <w:sz w:val="28"/>
          <w:szCs w:val="24"/>
          <w:lang w:eastAsia="en-US"/>
        </w:rPr>
        <w:t>Ministru prezidents</w:t>
      </w:r>
      <w:r w:rsidRPr="00497194">
        <w:rPr>
          <w:iCs/>
          <w:sz w:val="28"/>
          <w:szCs w:val="24"/>
          <w:lang w:eastAsia="en-US"/>
        </w:rPr>
        <w:tab/>
      </w:r>
      <w:r w:rsidRPr="00497194">
        <w:rPr>
          <w:iCs/>
          <w:sz w:val="28"/>
          <w:szCs w:val="24"/>
          <w:lang w:eastAsia="en-US"/>
        </w:rPr>
        <w:tab/>
      </w:r>
      <w:r w:rsidRPr="00497194">
        <w:rPr>
          <w:iCs/>
          <w:sz w:val="28"/>
          <w:szCs w:val="24"/>
          <w:lang w:eastAsia="en-US"/>
        </w:rPr>
        <w:tab/>
      </w:r>
      <w:r w:rsidRPr="00497194">
        <w:rPr>
          <w:iCs/>
          <w:sz w:val="28"/>
          <w:szCs w:val="24"/>
          <w:lang w:eastAsia="en-US"/>
        </w:rPr>
        <w:tab/>
        <w:t xml:space="preserve">                </w:t>
      </w:r>
      <w:proofErr w:type="spellStart"/>
      <w:r w:rsidRPr="00497194">
        <w:rPr>
          <w:iCs/>
          <w:sz w:val="28"/>
          <w:szCs w:val="24"/>
          <w:lang w:eastAsia="en-US"/>
        </w:rPr>
        <w:t>V.Dombrovskis</w:t>
      </w:r>
      <w:proofErr w:type="spellEnd"/>
    </w:p>
    <w:p w:rsidR="00497194" w:rsidRPr="00497194" w:rsidRDefault="00497194" w:rsidP="00497194">
      <w:pPr>
        <w:widowControl w:val="0"/>
        <w:suppressAutoHyphens/>
        <w:autoSpaceDN w:val="0"/>
        <w:spacing w:line="360" w:lineRule="atLeast"/>
        <w:jc w:val="both"/>
        <w:textAlignment w:val="baseline"/>
        <w:rPr>
          <w:iCs/>
          <w:sz w:val="16"/>
          <w:szCs w:val="16"/>
          <w:lang w:eastAsia="en-US"/>
        </w:rPr>
      </w:pPr>
    </w:p>
    <w:p w:rsidR="009040CF" w:rsidRDefault="009040CF" w:rsidP="00497194">
      <w:pPr>
        <w:widowControl w:val="0"/>
        <w:suppressAutoHyphens/>
        <w:autoSpaceDN w:val="0"/>
        <w:spacing w:line="360" w:lineRule="atLeast"/>
        <w:ind w:firstLine="714"/>
        <w:jc w:val="both"/>
        <w:textAlignment w:val="baseline"/>
        <w:rPr>
          <w:iCs/>
          <w:sz w:val="28"/>
          <w:szCs w:val="24"/>
          <w:lang w:eastAsia="en-US"/>
        </w:rPr>
      </w:pPr>
    </w:p>
    <w:p w:rsidR="00497194" w:rsidRPr="00497194" w:rsidRDefault="00497194" w:rsidP="00497194">
      <w:pPr>
        <w:widowControl w:val="0"/>
        <w:suppressAutoHyphens/>
        <w:autoSpaceDN w:val="0"/>
        <w:spacing w:line="360" w:lineRule="atLeast"/>
        <w:ind w:firstLine="714"/>
        <w:jc w:val="both"/>
        <w:textAlignment w:val="baseline"/>
        <w:rPr>
          <w:iCs/>
          <w:sz w:val="28"/>
          <w:szCs w:val="24"/>
          <w:lang w:eastAsia="en-US"/>
        </w:rPr>
      </w:pPr>
      <w:r w:rsidRPr="00497194">
        <w:rPr>
          <w:iCs/>
          <w:sz w:val="28"/>
          <w:szCs w:val="24"/>
          <w:lang w:eastAsia="en-US"/>
        </w:rPr>
        <w:t>Finanšu ministrs                                                              A.Vilks</w:t>
      </w:r>
    </w:p>
    <w:p w:rsidR="00497194" w:rsidRPr="00497194" w:rsidRDefault="00497194" w:rsidP="00497194">
      <w:pPr>
        <w:widowControl w:val="0"/>
        <w:suppressAutoHyphens/>
        <w:autoSpaceDN w:val="0"/>
        <w:spacing w:line="360" w:lineRule="atLeast"/>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502A7A" w:rsidRDefault="00502A7A" w:rsidP="00497194">
      <w:pPr>
        <w:widowControl w:val="0"/>
        <w:suppressAutoHyphens/>
        <w:autoSpaceDN w:val="0"/>
        <w:jc w:val="both"/>
        <w:textAlignment w:val="baseline"/>
        <w:rPr>
          <w:iCs/>
          <w:sz w:val="20"/>
          <w:szCs w:val="24"/>
          <w:lang w:eastAsia="en-US"/>
        </w:rPr>
      </w:pPr>
    </w:p>
    <w:p w:rsidR="00F807BB" w:rsidRDefault="00F807BB" w:rsidP="00834195">
      <w:pPr>
        <w:tabs>
          <w:tab w:val="left" w:pos="7088"/>
        </w:tabs>
        <w:rPr>
          <w:iCs/>
          <w:sz w:val="20"/>
          <w:szCs w:val="24"/>
          <w:lang w:eastAsia="en-US"/>
        </w:rPr>
      </w:pPr>
    </w:p>
    <w:p w:rsidR="00F807BB" w:rsidRDefault="00F807BB" w:rsidP="00834195">
      <w:pPr>
        <w:tabs>
          <w:tab w:val="left" w:pos="7088"/>
        </w:tabs>
        <w:rPr>
          <w:iCs/>
          <w:sz w:val="20"/>
          <w:szCs w:val="24"/>
          <w:lang w:eastAsia="en-US"/>
        </w:rPr>
      </w:pPr>
    </w:p>
    <w:p w:rsidR="00F807BB" w:rsidRDefault="00F807BB" w:rsidP="00834195">
      <w:pPr>
        <w:tabs>
          <w:tab w:val="left" w:pos="7088"/>
        </w:tabs>
        <w:rPr>
          <w:iCs/>
          <w:sz w:val="20"/>
          <w:szCs w:val="24"/>
          <w:lang w:eastAsia="en-US"/>
        </w:rPr>
      </w:pPr>
    </w:p>
    <w:p w:rsidR="00F807BB" w:rsidRDefault="00F807BB" w:rsidP="00834195">
      <w:pPr>
        <w:tabs>
          <w:tab w:val="left" w:pos="7088"/>
        </w:tabs>
        <w:rPr>
          <w:iCs/>
          <w:sz w:val="20"/>
          <w:szCs w:val="24"/>
          <w:lang w:eastAsia="en-US"/>
        </w:rPr>
      </w:pPr>
    </w:p>
    <w:p w:rsidR="00F807BB" w:rsidRDefault="00F807BB" w:rsidP="00834195">
      <w:pPr>
        <w:tabs>
          <w:tab w:val="left" w:pos="7088"/>
        </w:tabs>
        <w:rPr>
          <w:iCs/>
          <w:sz w:val="20"/>
          <w:szCs w:val="24"/>
          <w:lang w:eastAsia="en-US"/>
        </w:rPr>
      </w:pPr>
    </w:p>
    <w:p w:rsidR="00F807BB" w:rsidRDefault="00F807BB" w:rsidP="00834195">
      <w:pPr>
        <w:tabs>
          <w:tab w:val="left" w:pos="7088"/>
        </w:tabs>
        <w:rPr>
          <w:iCs/>
          <w:sz w:val="20"/>
          <w:szCs w:val="24"/>
          <w:lang w:eastAsia="en-US"/>
        </w:rPr>
      </w:pPr>
    </w:p>
    <w:p w:rsidR="008E6199" w:rsidRDefault="008E6199" w:rsidP="00834195">
      <w:pPr>
        <w:tabs>
          <w:tab w:val="left" w:pos="7088"/>
        </w:tabs>
        <w:rPr>
          <w:iCs/>
          <w:sz w:val="20"/>
          <w:szCs w:val="24"/>
          <w:lang w:eastAsia="en-US"/>
        </w:rPr>
      </w:pPr>
      <w:r>
        <w:rPr>
          <w:iCs/>
          <w:sz w:val="20"/>
          <w:szCs w:val="24"/>
          <w:lang w:eastAsia="en-US"/>
        </w:rPr>
        <w:t>14.12.2013</w:t>
      </w:r>
    </w:p>
    <w:bookmarkStart w:id="7" w:name="_GoBack"/>
    <w:p w:rsidR="00834195" w:rsidRPr="00FB3ED9" w:rsidRDefault="00834195" w:rsidP="00834195">
      <w:pPr>
        <w:tabs>
          <w:tab w:val="left" w:pos="7088"/>
        </w:tabs>
        <w:rPr>
          <w:iCs/>
          <w:sz w:val="20"/>
          <w:szCs w:val="20"/>
        </w:rPr>
      </w:pPr>
      <w:r w:rsidRPr="00FB3ED9">
        <w:rPr>
          <w:iCs/>
          <w:sz w:val="20"/>
          <w:szCs w:val="20"/>
        </w:rPr>
        <w:fldChar w:fldCharType="begin"/>
      </w:r>
      <w:r w:rsidRPr="00FB3ED9">
        <w:rPr>
          <w:sz w:val="20"/>
          <w:szCs w:val="20"/>
        </w:rPr>
        <w:instrText xml:space="preserve"> NUMWORDS  \* MERGEFORMAT </w:instrText>
      </w:r>
      <w:r w:rsidRPr="00FB3ED9">
        <w:rPr>
          <w:iCs/>
          <w:sz w:val="20"/>
          <w:szCs w:val="20"/>
        </w:rPr>
        <w:fldChar w:fldCharType="separate"/>
      </w:r>
      <w:r w:rsidR="00C95B88">
        <w:rPr>
          <w:noProof/>
          <w:sz w:val="20"/>
          <w:szCs w:val="20"/>
        </w:rPr>
        <w:t>934</w:t>
      </w:r>
      <w:r w:rsidRPr="00FB3ED9">
        <w:rPr>
          <w:iCs/>
          <w:sz w:val="20"/>
          <w:szCs w:val="20"/>
        </w:rPr>
        <w:fldChar w:fldCharType="end"/>
      </w:r>
    </w:p>
    <w:bookmarkEnd w:id="7"/>
    <w:p w:rsidR="00834195" w:rsidRPr="00FB3ED9" w:rsidRDefault="00834195" w:rsidP="00834195">
      <w:pPr>
        <w:rPr>
          <w:iCs/>
          <w:sz w:val="20"/>
          <w:szCs w:val="20"/>
        </w:rPr>
      </w:pPr>
      <w:r w:rsidRPr="00FB3ED9">
        <w:rPr>
          <w:sz w:val="20"/>
          <w:szCs w:val="20"/>
        </w:rPr>
        <w:t>Finanšu ministrijas Tiešo nodokļu departamenta</w:t>
      </w:r>
    </w:p>
    <w:p w:rsidR="00834195" w:rsidRPr="00FB3ED9" w:rsidRDefault="00834195" w:rsidP="00834195">
      <w:pPr>
        <w:rPr>
          <w:iCs/>
          <w:sz w:val="20"/>
          <w:szCs w:val="20"/>
        </w:rPr>
      </w:pPr>
      <w:r w:rsidRPr="00FB3ED9">
        <w:rPr>
          <w:sz w:val="20"/>
          <w:szCs w:val="20"/>
        </w:rPr>
        <w:t xml:space="preserve">Īpašuma un iedzīvotāju ienākuma </w:t>
      </w:r>
    </w:p>
    <w:p w:rsidR="00834195" w:rsidRPr="00FB3ED9" w:rsidRDefault="00834195" w:rsidP="00834195">
      <w:pPr>
        <w:rPr>
          <w:iCs/>
          <w:sz w:val="20"/>
          <w:szCs w:val="20"/>
        </w:rPr>
      </w:pPr>
      <w:r w:rsidRPr="00FB3ED9">
        <w:rPr>
          <w:sz w:val="20"/>
          <w:szCs w:val="20"/>
        </w:rPr>
        <w:t>nodokļu nodaļas vadītājas vietniece</w:t>
      </w:r>
    </w:p>
    <w:p w:rsidR="00834195" w:rsidRPr="00502A7A" w:rsidRDefault="00834195" w:rsidP="00834195">
      <w:pPr>
        <w:rPr>
          <w:iCs/>
          <w:sz w:val="20"/>
          <w:szCs w:val="16"/>
        </w:rPr>
      </w:pPr>
      <w:r w:rsidRPr="00FB3ED9">
        <w:rPr>
          <w:sz w:val="20"/>
        </w:rPr>
        <w:t>Veinberga 67083848,</w:t>
      </w:r>
      <w:r w:rsidRPr="00502A7A">
        <w:rPr>
          <w:sz w:val="20"/>
          <w:szCs w:val="16"/>
        </w:rPr>
        <w:t xml:space="preserve"> faksa Nr.67095421</w:t>
      </w:r>
    </w:p>
    <w:p w:rsidR="00834195" w:rsidRDefault="00C95B88" w:rsidP="00834195">
      <w:hyperlink r:id="rId8" w:history="1">
        <w:r w:rsidR="00834195" w:rsidRPr="00FB3ED9">
          <w:rPr>
            <w:color w:val="0000FF"/>
            <w:sz w:val="20"/>
            <w:u w:val="single"/>
          </w:rPr>
          <w:t>Inese.Veinberga@fm.gov.lv</w:t>
        </w:r>
      </w:hyperlink>
    </w:p>
    <w:p w:rsidR="00497194" w:rsidRPr="00497194" w:rsidRDefault="00497194" w:rsidP="00834195">
      <w:pPr>
        <w:widowControl w:val="0"/>
        <w:suppressAutoHyphens/>
        <w:autoSpaceDN w:val="0"/>
        <w:jc w:val="both"/>
        <w:textAlignment w:val="baseline"/>
        <w:rPr>
          <w:iCs/>
          <w:sz w:val="28"/>
          <w:szCs w:val="24"/>
          <w:lang w:eastAsia="en-US"/>
        </w:rPr>
      </w:pPr>
    </w:p>
    <w:sectPr w:rsidR="00497194" w:rsidRPr="00497194" w:rsidSect="00B16F0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0D" w:rsidRDefault="00B16F0D">
      <w:pPr>
        <w:pStyle w:val="Parasts1"/>
      </w:pPr>
      <w:r>
        <w:separator/>
      </w:r>
    </w:p>
  </w:endnote>
  <w:endnote w:type="continuationSeparator" w:id="0">
    <w:p w:rsidR="00B16F0D" w:rsidRDefault="00B16F0D">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0D" w:rsidRPr="00927FF9" w:rsidRDefault="00B16F0D" w:rsidP="00927FF9">
    <w:pPr>
      <w:pStyle w:val="Parasts1"/>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95B88">
      <w:rPr>
        <w:noProof/>
        <w:sz w:val="20"/>
        <w:szCs w:val="20"/>
      </w:rPr>
      <w:t>FMAnot_121213_MK899</w:t>
    </w:r>
    <w:r>
      <w:rPr>
        <w:sz w:val="20"/>
        <w:szCs w:val="20"/>
      </w:rPr>
      <w:fldChar w:fldCharType="end"/>
    </w:r>
    <w:r w:rsidRPr="0062716C">
      <w:rPr>
        <w:sz w:val="20"/>
        <w:szCs w:val="20"/>
      </w:rPr>
      <w:t xml:space="preserve">; </w:t>
    </w:r>
    <w:r w:rsidRPr="00927FF9">
      <w:rPr>
        <w:sz w:val="20"/>
        <w:szCs w:val="20"/>
      </w:rPr>
      <w:t xml:space="preserve">Ministru kabineta noteikumu projekta „Grozījumi Ministru kabineta 2010.gada 21.septembra noteikumos Nr.899 „Likuma „Par iedzīvotāju ienākuma nodokli” normu piemērošanas kārtība”” sākotnējās ietekmes novērtējuma </w:t>
    </w:r>
    <w:smartTag w:uri="schemas-tilde-lv/tildestengine" w:element="veidnes">
      <w:smartTagPr>
        <w:attr w:name="id" w:val="-1"/>
        <w:attr w:name="baseform" w:val="ziņojums"/>
        <w:attr w:name="text" w:val="ziņojums"/>
      </w:smartTagPr>
      <w:r w:rsidRPr="00927FF9">
        <w:rPr>
          <w:sz w:val="20"/>
          <w:szCs w:val="20"/>
        </w:rPr>
        <w:t>ziņojums</w:t>
      </w:r>
    </w:smartTag>
    <w:r w:rsidRPr="00927FF9">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0D" w:rsidRPr="00927FF9" w:rsidRDefault="00B16F0D" w:rsidP="00927FF9">
    <w:pPr>
      <w:pStyle w:val="Parasts1"/>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95B88">
      <w:rPr>
        <w:noProof/>
        <w:sz w:val="20"/>
        <w:szCs w:val="20"/>
      </w:rPr>
      <w:t>FMAnot_121213_MK899</w:t>
    </w:r>
    <w:r>
      <w:rPr>
        <w:sz w:val="20"/>
        <w:szCs w:val="20"/>
      </w:rPr>
      <w:fldChar w:fldCharType="end"/>
    </w:r>
    <w:r w:rsidRPr="0062716C">
      <w:rPr>
        <w:sz w:val="20"/>
        <w:szCs w:val="20"/>
      </w:rPr>
      <w:t xml:space="preserve">; </w:t>
    </w:r>
    <w:r w:rsidRPr="00927FF9">
      <w:rPr>
        <w:sz w:val="20"/>
        <w:szCs w:val="20"/>
      </w:rPr>
      <w:t xml:space="preserve">Ministru kabineta noteikumu projekta „Grozījumi Ministru kabineta 2010.gada 21.septembra noteikumos Nr.899 „Likuma „Par iedzīvotāju ienākuma nodokli” normu piemērošanas kārtība”” sākotnējās ietekmes novērtējuma </w:t>
    </w:r>
    <w:smartTag w:uri="schemas-tilde-lv/tildestengine" w:element="veidnes">
      <w:smartTagPr>
        <w:attr w:name="id" w:val="-1"/>
        <w:attr w:name="baseform" w:val="ziņojums"/>
        <w:attr w:name="text" w:val="ziņojums"/>
      </w:smartTagPr>
      <w:r w:rsidRPr="00927FF9">
        <w:rPr>
          <w:sz w:val="20"/>
          <w:szCs w:val="20"/>
        </w:rPr>
        <w:t>ziņojums</w:t>
      </w:r>
    </w:smartTag>
    <w:r w:rsidRPr="00927FF9">
      <w:rPr>
        <w:sz w:val="20"/>
        <w:szCs w:val="20"/>
      </w:rPr>
      <w:t xml:space="preserve"> (anotācija)</w:t>
    </w:r>
  </w:p>
  <w:p w:rsidR="00B16F0D" w:rsidRPr="0062716C" w:rsidRDefault="00B16F0D" w:rsidP="00BB3795">
    <w:pPr>
      <w:pStyle w:val="Parasts1"/>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0D" w:rsidRDefault="00B16F0D">
      <w:pPr>
        <w:pStyle w:val="Parasts1"/>
      </w:pPr>
      <w:r>
        <w:separator/>
      </w:r>
    </w:p>
  </w:footnote>
  <w:footnote w:type="continuationSeparator" w:id="0">
    <w:p w:rsidR="00B16F0D" w:rsidRDefault="00B16F0D">
      <w:pPr>
        <w:pStyle w:val="Parast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0D" w:rsidRDefault="00B16F0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F0D" w:rsidRDefault="00B16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0D" w:rsidRDefault="00B16F0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B88">
      <w:rPr>
        <w:rStyle w:val="PageNumber"/>
        <w:noProof/>
      </w:rPr>
      <w:t>3</w:t>
    </w:r>
    <w:r>
      <w:rPr>
        <w:rStyle w:val="PageNumber"/>
      </w:rPr>
      <w:fldChar w:fldCharType="end"/>
    </w:r>
  </w:p>
  <w:p w:rsidR="00B16F0D" w:rsidRDefault="00B16F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8359DC"/>
    <w:multiLevelType w:val="hybridMultilevel"/>
    <w:tmpl w:val="2F60C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5F5170"/>
    <w:multiLevelType w:val="hybridMultilevel"/>
    <w:tmpl w:val="BF64E86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FF7699"/>
    <w:multiLevelType w:val="hybridMultilevel"/>
    <w:tmpl w:val="9B324D14"/>
    <w:lvl w:ilvl="0" w:tplc="180CF550">
      <w:start w:val="6"/>
      <w:numFmt w:val="bullet"/>
      <w:lvlText w:val="-"/>
      <w:lvlJc w:val="left"/>
      <w:pPr>
        <w:ind w:left="1353" w:hanging="360"/>
      </w:pPr>
      <w:rPr>
        <w:rFonts w:ascii="Calibri" w:eastAsia="Times New Roman" w:hAnsi="Calibri" w:hint="default"/>
      </w:rPr>
    </w:lvl>
    <w:lvl w:ilvl="1" w:tplc="04260003" w:tentative="1">
      <w:start w:val="1"/>
      <w:numFmt w:val="bullet"/>
      <w:lvlText w:val="o"/>
      <w:lvlJc w:val="left"/>
      <w:pPr>
        <w:ind w:left="2073" w:hanging="360"/>
      </w:pPr>
      <w:rPr>
        <w:rFonts w:ascii="Courier New" w:hAnsi="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nsid w:val="15370ABA"/>
    <w:multiLevelType w:val="multilevel"/>
    <w:tmpl w:val="F2BE1E40"/>
    <w:lvl w:ilvl="0">
      <w:start w:val="1"/>
      <w:numFmt w:val="upperRoman"/>
      <w:lvlText w:val="%1."/>
      <w:lvlJc w:val="righ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8CF68B4"/>
    <w:multiLevelType w:val="hybridMultilevel"/>
    <w:tmpl w:val="1BB2C8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8B365CF"/>
    <w:multiLevelType w:val="hybridMultilevel"/>
    <w:tmpl w:val="CF3EFE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E10AEA"/>
    <w:multiLevelType w:val="hybridMultilevel"/>
    <w:tmpl w:val="50009D64"/>
    <w:lvl w:ilvl="0" w:tplc="E61436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6255182D"/>
    <w:multiLevelType w:val="hybridMultilevel"/>
    <w:tmpl w:val="7988E3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9"/>
  </w:num>
  <w:num w:numId="2">
    <w:abstractNumId w:val="18"/>
  </w:num>
  <w:num w:numId="3">
    <w:abstractNumId w:val="8"/>
  </w:num>
  <w:num w:numId="4">
    <w:abstractNumId w:val="6"/>
  </w:num>
  <w:num w:numId="5">
    <w:abstractNumId w:val="2"/>
  </w:num>
  <w:num w:numId="6">
    <w:abstractNumId w:val="15"/>
  </w:num>
  <w:num w:numId="7">
    <w:abstractNumId w:val="20"/>
  </w:num>
  <w:num w:numId="8">
    <w:abstractNumId w:val="12"/>
  </w:num>
  <w:num w:numId="9">
    <w:abstractNumId w:val="7"/>
  </w:num>
  <w:num w:numId="10">
    <w:abstractNumId w:val="13"/>
  </w:num>
  <w:num w:numId="11">
    <w:abstractNumId w:val="14"/>
  </w:num>
  <w:num w:numId="12">
    <w:abstractNumId w:val="16"/>
  </w:num>
  <w:num w:numId="13">
    <w:abstractNumId w:val="17"/>
  </w:num>
  <w:num w:numId="14">
    <w:abstractNumId w:val="19"/>
  </w:num>
  <w:num w:numId="15">
    <w:abstractNumId w:val="4"/>
  </w:num>
  <w:num w:numId="16">
    <w:abstractNumId w:val="3"/>
  </w:num>
  <w:num w:numId="17">
    <w:abstractNumId w:val="21"/>
  </w:num>
  <w:num w:numId="18">
    <w:abstractNumId w:val="1"/>
  </w:num>
  <w:num w:numId="19">
    <w:abstractNumId w:val="0"/>
  </w:num>
  <w:num w:numId="20">
    <w:abstractNumId w:val="1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571"/>
    <w:rsid w:val="00004707"/>
    <w:rsid w:val="00004E97"/>
    <w:rsid w:val="000078A5"/>
    <w:rsid w:val="00010184"/>
    <w:rsid w:val="00011D24"/>
    <w:rsid w:val="00012244"/>
    <w:rsid w:val="00013FF4"/>
    <w:rsid w:val="00015192"/>
    <w:rsid w:val="000153FC"/>
    <w:rsid w:val="00020FE1"/>
    <w:rsid w:val="00022E13"/>
    <w:rsid w:val="0002352F"/>
    <w:rsid w:val="00024113"/>
    <w:rsid w:val="00032388"/>
    <w:rsid w:val="00032FEB"/>
    <w:rsid w:val="000334E6"/>
    <w:rsid w:val="0003352A"/>
    <w:rsid w:val="000350A4"/>
    <w:rsid w:val="00035CE2"/>
    <w:rsid w:val="0003796A"/>
    <w:rsid w:val="00040122"/>
    <w:rsid w:val="00041CFB"/>
    <w:rsid w:val="00043EBE"/>
    <w:rsid w:val="0005016C"/>
    <w:rsid w:val="00050352"/>
    <w:rsid w:val="0005388C"/>
    <w:rsid w:val="00055275"/>
    <w:rsid w:val="0005553B"/>
    <w:rsid w:val="00056E55"/>
    <w:rsid w:val="000604D2"/>
    <w:rsid w:val="00060B88"/>
    <w:rsid w:val="000618F0"/>
    <w:rsid w:val="0006271A"/>
    <w:rsid w:val="000646B7"/>
    <w:rsid w:val="000654F8"/>
    <w:rsid w:val="00066115"/>
    <w:rsid w:val="00067860"/>
    <w:rsid w:val="000716BB"/>
    <w:rsid w:val="00071AD3"/>
    <w:rsid w:val="00071CFB"/>
    <w:rsid w:val="0007567B"/>
    <w:rsid w:val="0007668D"/>
    <w:rsid w:val="0007757E"/>
    <w:rsid w:val="000824A0"/>
    <w:rsid w:val="0008669A"/>
    <w:rsid w:val="000875F0"/>
    <w:rsid w:val="00087D09"/>
    <w:rsid w:val="0009005E"/>
    <w:rsid w:val="00090FA6"/>
    <w:rsid w:val="00090FAA"/>
    <w:rsid w:val="000925BE"/>
    <w:rsid w:val="00092E19"/>
    <w:rsid w:val="00094024"/>
    <w:rsid w:val="000941C5"/>
    <w:rsid w:val="000960BD"/>
    <w:rsid w:val="00097705"/>
    <w:rsid w:val="000A1ACA"/>
    <w:rsid w:val="000A28D7"/>
    <w:rsid w:val="000A6451"/>
    <w:rsid w:val="000A7D33"/>
    <w:rsid w:val="000B0123"/>
    <w:rsid w:val="000B0162"/>
    <w:rsid w:val="000B064E"/>
    <w:rsid w:val="000B13A0"/>
    <w:rsid w:val="000B43F5"/>
    <w:rsid w:val="000B493F"/>
    <w:rsid w:val="000B69CF"/>
    <w:rsid w:val="000B716E"/>
    <w:rsid w:val="000C09D8"/>
    <w:rsid w:val="000C1465"/>
    <w:rsid w:val="000C2C5E"/>
    <w:rsid w:val="000C2DBA"/>
    <w:rsid w:val="000C4342"/>
    <w:rsid w:val="000C5177"/>
    <w:rsid w:val="000C5F3B"/>
    <w:rsid w:val="000C68B7"/>
    <w:rsid w:val="000C790C"/>
    <w:rsid w:val="000D7F3A"/>
    <w:rsid w:val="000E0B43"/>
    <w:rsid w:val="000E17D3"/>
    <w:rsid w:val="000E25C6"/>
    <w:rsid w:val="000E348C"/>
    <w:rsid w:val="000E774F"/>
    <w:rsid w:val="000E7ECF"/>
    <w:rsid w:val="000F061D"/>
    <w:rsid w:val="000F0CA3"/>
    <w:rsid w:val="000F4794"/>
    <w:rsid w:val="000F7EB5"/>
    <w:rsid w:val="00102D0B"/>
    <w:rsid w:val="00103517"/>
    <w:rsid w:val="00104950"/>
    <w:rsid w:val="00104977"/>
    <w:rsid w:val="00105DD9"/>
    <w:rsid w:val="0010679C"/>
    <w:rsid w:val="00107D26"/>
    <w:rsid w:val="00110B4C"/>
    <w:rsid w:val="0011129C"/>
    <w:rsid w:val="00113A09"/>
    <w:rsid w:val="00113A84"/>
    <w:rsid w:val="00122C93"/>
    <w:rsid w:val="00124F12"/>
    <w:rsid w:val="0012689A"/>
    <w:rsid w:val="00131A61"/>
    <w:rsid w:val="00135465"/>
    <w:rsid w:val="0014001D"/>
    <w:rsid w:val="00142EF0"/>
    <w:rsid w:val="00144E3A"/>
    <w:rsid w:val="0015060C"/>
    <w:rsid w:val="001509CD"/>
    <w:rsid w:val="00153769"/>
    <w:rsid w:val="0015418A"/>
    <w:rsid w:val="0016018A"/>
    <w:rsid w:val="00160DDB"/>
    <w:rsid w:val="00161121"/>
    <w:rsid w:val="00161134"/>
    <w:rsid w:val="00161F0E"/>
    <w:rsid w:val="00161FB6"/>
    <w:rsid w:val="0016550D"/>
    <w:rsid w:val="00170E2A"/>
    <w:rsid w:val="00174BAF"/>
    <w:rsid w:val="001750AC"/>
    <w:rsid w:val="00175C78"/>
    <w:rsid w:val="00177394"/>
    <w:rsid w:val="00182C18"/>
    <w:rsid w:val="00183913"/>
    <w:rsid w:val="00183CC2"/>
    <w:rsid w:val="00187D23"/>
    <w:rsid w:val="001900E4"/>
    <w:rsid w:val="00190C87"/>
    <w:rsid w:val="00190F88"/>
    <w:rsid w:val="00191370"/>
    <w:rsid w:val="00191444"/>
    <w:rsid w:val="00191855"/>
    <w:rsid w:val="00193070"/>
    <w:rsid w:val="00193931"/>
    <w:rsid w:val="00193A10"/>
    <w:rsid w:val="001A26DF"/>
    <w:rsid w:val="001A4066"/>
    <w:rsid w:val="001A408E"/>
    <w:rsid w:val="001A5CFB"/>
    <w:rsid w:val="001A6AE4"/>
    <w:rsid w:val="001A77D3"/>
    <w:rsid w:val="001B01FD"/>
    <w:rsid w:val="001B1284"/>
    <w:rsid w:val="001B4A71"/>
    <w:rsid w:val="001B4E01"/>
    <w:rsid w:val="001B5486"/>
    <w:rsid w:val="001B6B71"/>
    <w:rsid w:val="001C1150"/>
    <w:rsid w:val="001C3BE8"/>
    <w:rsid w:val="001C57F4"/>
    <w:rsid w:val="001C7A22"/>
    <w:rsid w:val="001D0B90"/>
    <w:rsid w:val="001D3476"/>
    <w:rsid w:val="001D5B54"/>
    <w:rsid w:val="001E1DBF"/>
    <w:rsid w:val="001E4639"/>
    <w:rsid w:val="001E4A7D"/>
    <w:rsid w:val="001E5D78"/>
    <w:rsid w:val="001E6D13"/>
    <w:rsid w:val="001E707F"/>
    <w:rsid w:val="001E7374"/>
    <w:rsid w:val="001F014E"/>
    <w:rsid w:val="001F242B"/>
    <w:rsid w:val="001F2AEA"/>
    <w:rsid w:val="001F43A8"/>
    <w:rsid w:val="001F5CD6"/>
    <w:rsid w:val="001F720C"/>
    <w:rsid w:val="001F763B"/>
    <w:rsid w:val="001F7E7E"/>
    <w:rsid w:val="0020181C"/>
    <w:rsid w:val="002032AF"/>
    <w:rsid w:val="00203E82"/>
    <w:rsid w:val="00211F8E"/>
    <w:rsid w:val="0021263D"/>
    <w:rsid w:val="002136A9"/>
    <w:rsid w:val="002136B0"/>
    <w:rsid w:val="00213F0C"/>
    <w:rsid w:val="00214094"/>
    <w:rsid w:val="00215170"/>
    <w:rsid w:val="0021592D"/>
    <w:rsid w:val="00215B52"/>
    <w:rsid w:val="00220393"/>
    <w:rsid w:val="00221132"/>
    <w:rsid w:val="0022195B"/>
    <w:rsid w:val="00221B28"/>
    <w:rsid w:val="00222D76"/>
    <w:rsid w:val="00223EB1"/>
    <w:rsid w:val="00230A43"/>
    <w:rsid w:val="00231344"/>
    <w:rsid w:val="00232391"/>
    <w:rsid w:val="002325AA"/>
    <w:rsid w:val="0023436E"/>
    <w:rsid w:val="002347C0"/>
    <w:rsid w:val="0023688B"/>
    <w:rsid w:val="00237370"/>
    <w:rsid w:val="00237478"/>
    <w:rsid w:val="00237CDF"/>
    <w:rsid w:val="00241A6C"/>
    <w:rsid w:val="00242D2B"/>
    <w:rsid w:val="0024314D"/>
    <w:rsid w:val="002443A9"/>
    <w:rsid w:val="00245DC4"/>
    <w:rsid w:val="0024755C"/>
    <w:rsid w:val="002478B4"/>
    <w:rsid w:val="0025470A"/>
    <w:rsid w:val="00260050"/>
    <w:rsid w:val="00262E2B"/>
    <w:rsid w:val="00264382"/>
    <w:rsid w:val="00267074"/>
    <w:rsid w:val="002702EC"/>
    <w:rsid w:val="00270429"/>
    <w:rsid w:val="00271369"/>
    <w:rsid w:val="002723E9"/>
    <w:rsid w:val="0027294F"/>
    <w:rsid w:val="00272F9D"/>
    <w:rsid w:val="002746DC"/>
    <w:rsid w:val="00276DC1"/>
    <w:rsid w:val="00277929"/>
    <w:rsid w:val="00280ABB"/>
    <w:rsid w:val="0028150A"/>
    <w:rsid w:val="00281B79"/>
    <w:rsid w:val="00283B82"/>
    <w:rsid w:val="002846E9"/>
    <w:rsid w:val="00284C34"/>
    <w:rsid w:val="00287C8D"/>
    <w:rsid w:val="0029066C"/>
    <w:rsid w:val="00293039"/>
    <w:rsid w:val="00295407"/>
    <w:rsid w:val="002967FF"/>
    <w:rsid w:val="002A0A16"/>
    <w:rsid w:val="002A2B14"/>
    <w:rsid w:val="002A5CCF"/>
    <w:rsid w:val="002B1169"/>
    <w:rsid w:val="002B50DB"/>
    <w:rsid w:val="002B5717"/>
    <w:rsid w:val="002B6A5A"/>
    <w:rsid w:val="002C0671"/>
    <w:rsid w:val="002C0AED"/>
    <w:rsid w:val="002C12AB"/>
    <w:rsid w:val="002C327E"/>
    <w:rsid w:val="002C4245"/>
    <w:rsid w:val="002C4F2C"/>
    <w:rsid w:val="002C5443"/>
    <w:rsid w:val="002C608F"/>
    <w:rsid w:val="002C724A"/>
    <w:rsid w:val="002C7CAC"/>
    <w:rsid w:val="002D0D98"/>
    <w:rsid w:val="002D3306"/>
    <w:rsid w:val="002D48AA"/>
    <w:rsid w:val="002D61B9"/>
    <w:rsid w:val="002D7BAA"/>
    <w:rsid w:val="002D7F54"/>
    <w:rsid w:val="002E23E5"/>
    <w:rsid w:val="002E3FF4"/>
    <w:rsid w:val="002E7B46"/>
    <w:rsid w:val="002F05BC"/>
    <w:rsid w:val="002F0C08"/>
    <w:rsid w:val="002F4C3E"/>
    <w:rsid w:val="002F66CF"/>
    <w:rsid w:val="002F7390"/>
    <w:rsid w:val="002F78C8"/>
    <w:rsid w:val="00301CF3"/>
    <w:rsid w:val="0030373D"/>
    <w:rsid w:val="00304D7A"/>
    <w:rsid w:val="00321654"/>
    <w:rsid w:val="00322DC2"/>
    <w:rsid w:val="0032715C"/>
    <w:rsid w:val="00330520"/>
    <w:rsid w:val="00332A99"/>
    <w:rsid w:val="00334280"/>
    <w:rsid w:val="00337CA5"/>
    <w:rsid w:val="00342A9A"/>
    <w:rsid w:val="00344EFB"/>
    <w:rsid w:val="003460FC"/>
    <w:rsid w:val="003470EC"/>
    <w:rsid w:val="00353A8E"/>
    <w:rsid w:val="0035440E"/>
    <w:rsid w:val="00356F68"/>
    <w:rsid w:val="00362478"/>
    <w:rsid w:val="003670A1"/>
    <w:rsid w:val="0036752C"/>
    <w:rsid w:val="003676CB"/>
    <w:rsid w:val="00375B25"/>
    <w:rsid w:val="003771FC"/>
    <w:rsid w:val="00380C9E"/>
    <w:rsid w:val="003855E3"/>
    <w:rsid w:val="00385890"/>
    <w:rsid w:val="00386AC9"/>
    <w:rsid w:val="00387090"/>
    <w:rsid w:val="0039021B"/>
    <w:rsid w:val="0039035A"/>
    <w:rsid w:val="00391BAE"/>
    <w:rsid w:val="00392FEA"/>
    <w:rsid w:val="00394F0F"/>
    <w:rsid w:val="00395041"/>
    <w:rsid w:val="00396542"/>
    <w:rsid w:val="0039685B"/>
    <w:rsid w:val="003A0759"/>
    <w:rsid w:val="003A0E22"/>
    <w:rsid w:val="003A1A4B"/>
    <w:rsid w:val="003A31A6"/>
    <w:rsid w:val="003A350E"/>
    <w:rsid w:val="003A7940"/>
    <w:rsid w:val="003A7C3F"/>
    <w:rsid w:val="003A7F0C"/>
    <w:rsid w:val="003A7F79"/>
    <w:rsid w:val="003B046B"/>
    <w:rsid w:val="003B0A96"/>
    <w:rsid w:val="003B1FF9"/>
    <w:rsid w:val="003B6404"/>
    <w:rsid w:val="003C42C1"/>
    <w:rsid w:val="003C449B"/>
    <w:rsid w:val="003C4A5E"/>
    <w:rsid w:val="003C691D"/>
    <w:rsid w:val="003D02AA"/>
    <w:rsid w:val="003D0994"/>
    <w:rsid w:val="003D21FF"/>
    <w:rsid w:val="003D2FE8"/>
    <w:rsid w:val="003D7A2B"/>
    <w:rsid w:val="003E0128"/>
    <w:rsid w:val="003E0D31"/>
    <w:rsid w:val="003E3410"/>
    <w:rsid w:val="003E4442"/>
    <w:rsid w:val="003F0112"/>
    <w:rsid w:val="003F0559"/>
    <w:rsid w:val="003F071A"/>
    <w:rsid w:val="003F160B"/>
    <w:rsid w:val="003F208E"/>
    <w:rsid w:val="003F466A"/>
    <w:rsid w:val="003F5F89"/>
    <w:rsid w:val="003F60ED"/>
    <w:rsid w:val="003F6818"/>
    <w:rsid w:val="003F6D66"/>
    <w:rsid w:val="003F6E26"/>
    <w:rsid w:val="00400032"/>
    <w:rsid w:val="00400B5B"/>
    <w:rsid w:val="00400C2F"/>
    <w:rsid w:val="00403036"/>
    <w:rsid w:val="00403288"/>
    <w:rsid w:val="00404B28"/>
    <w:rsid w:val="00405A00"/>
    <w:rsid w:val="004155E5"/>
    <w:rsid w:val="00415C68"/>
    <w:rsid w:val="004160DA"/>
    <w:rsid w:val="00420870"/>
    <w:rsid w:val="004223A5"/>
    <w:rsid w:val="00423BA0"/>
    <w:rsid w:val="00426812"/>
    <w:rsid w:val="004322C0"/>
    <w:rsid w:val="00433962"/>
    <w:rsid w:val="00436732"/>
    <w:rsid w:val="00436994"/>
    <w:rsid w:val="0043791B"/>
    <w:rsid w:val="004402FB"/>
    <w:rsid w:val="0044038B"/>
    <w:rsid w:val="00441483"/>
    <w:rsid w:val="00441BCB"/>
    <w:rsid w:val="00442337"/>
    <w:rsid w:val="004429A6"/>
    <w:rsid w:val="0045032E"/>
    <w:rsid w:val="0045176A"/>
    <w:rsid w:val="004538CA"/>
    <w:rsid w:val="00456332"/>
    <w:rsid w:val="00456647"/>
    <w:rsid w:val="00461826"/>
    <w:rsid w:val="0046329E"/>
    <w:rsid w:val="00467B1B"/>
    <w:rsid w:val="0047110F"/>
    <w:rsid w:val="00477CF3"/>
    <w:rsid w:val="004800F9"/>
    <w:rsid w:val="00480E2A"/>
    <w:rsid w:val="004847C8"/>
    <w:rsid w:val="004848A2"/>
    <w:rsid w:val="0049134A"/>
    <w:rsid w:val="0049218A"/>
    <w:rsid w:val="00492479"/>
    <w:rsid w:val="00497194"/>
    <w:rsid w:val="004A358D"/>
    <w:rsid w:val="004A377E"/>
    <w:rsid w:val="004A407D"/>
    <w:rsid w:val="004A58CB"/>
    <w:rsid w:val="004A7861"/>
    <w:rsid w:val="004B0436"/>
    <w:rsid w:val="004B165B"/>
    <w:rsid w:val="004B1795"/>
    <w:rsid w:val="004B4987"/>
    <w:rsid w:val="004B529C"/>
    <w:rsid w:val="004B56DD"/>
    <w:rsid w:val="004B6EBB"/>
    <w:rsid w:val="004B7FB4"/>
    <w:rsid w:val="004C020F"/>
    <w:rsid w:val="004C1838"/>
    <w:rsid w:val="004C1AFD"/>
    <w:rsid w:val="004C558B"/>
    <w:rsid w:val="004C67EA"/>
    <w:rsid w:val="004D009B"/>
    <w:rsid w:val="004D0BCC"/>
    <w:rsid w:val="004D1E4B"/>
    <w:rsid w:val="004D6F60"/>
    <w:rsid w:val="004E05A2"/>
    <w:rsid w:val="004E1DE2"/>
    <w:rsid w:val="004E40A7"/>
    <w:rsid w:val="004F10E0"/>
    <w:rsid w:val="004F1D56"/>
    <w:rsid w:val="004F1F88"/>
    <w:rsid w:val="004F2E1F"/>
    <w:rsid w:val="004F5DCA"/>
    <w:rsid w:val="004F5F1B"/>
    <w:rsid w:val="004F7725"/>
    <w:rsid w:val="00502374"/>
    <w:rsid w:val="00502A7A"/>
    <w:rsid w:val="00504921"/>
    <w:rsid w:val="005060A1"/>
    <w:rsid w:val="00516072"/>
    <w:rsid w:val="0051699D"/>
    <w:rsid w:val="00517814"/>
    <w:rsid w:val="00531465"/>
    <w:rsid w:val="005332EC"/>
    <w:rsid w:val="00534418"/>
    <w:rsid w:val="005346A9"/>
    <w:rsid w:val="005347E8"/>
    <w:rsid w:val="005353AB"/>
    <w:rsid w:val="00537DD9"/>
    <w:rsid w:val="005517DE"/>
    <w:rsid w:val="00553A16"/>
    <w:rsid w:val="005560BC"/>
    <w:rsid w:val="005573BE"/>
    <w:rsid w:val="00563875"/>
    <w:rsid w:val="00566380"/>
    <w:rsid w:val="00571624"/>
    <w:rsid w:val="00572700"/>
    <w:rsid w:val="00574450"/>
    <w:rsid w:val="005749B0"/>
    <w:rsid w:val="005768C5"/>
    <w:rsid w:val="00576C59"/>
    <w:rsid w:val="00576DFB"/>
    <w:rsid w:val="00580468"/>
    <w:rsid w:val="00581BBB"/>
    <w:rsid w:val="005824D6"/>
    <w:rsid w:val="005831D3"/>
    <w:rsid w:val="00584BA8"/>
    <w:rsid w:val="0058603B"/>
    <w:rsid w:val="0058707D"/>
    <w:rsid w:val="0059204C"/>
    <w:rsid w:val="00592B33"/>
    <w:rsid w:val="0059431B"/>
    <w:rsid w:val="0059524B"/>
    <w:rsid w:val="00595315"/>
    <w:rsid w:val="005953FA"/>
    <w:rsid w:val="00597550"/>
    <w:rsid w:val="0059767E"/>
    <w:rsid w:val="005A0160"/>
    <w:rsid w:val="005A2965"/>
    <w:rsid w:val="005A299A"/>
    <w:rsid w:val="005A30F2"/>
    <w:rsid w:val="005A39CC"/>
    <w:rsid w:val="005B2B13"/>
    <w:rsid w:val="005B3F76"/>
    <w:rsid w:val="005B4730"/>
    <w:rsid w:val="005B653D"/>
    <w:rsid w:val="005C0EA5"/>
    <w:rsid w:val="005C15AF"/>
    <w:rsid w:val="005C2D2B"/>
    <w:rsid w:val="005C393B"/>
    <w:rsid w:val="005C6DCF"/>
    <w:rsid w:val="005D0636"/>
    <w:rsid w:val="005D258A"/>
    <w:rsid w:val="005D4291"/>
    <w:rsid w:val="005D54F3"/>
    <w:rsid w:val="005E026F"/>
    <w:rsid w:val="005E05D7"/>
    <w:rsid w:val="005E37DB"/>
    <w:rsid w:val="005E41E7"/>
    <w:rsid w:val="005E450F"/>
    <w:rsid w:val="005F2E6B"/>
    <w:rsid w:val="005F5AFC"/>
    <w:rsid w:val="00601DD8"/>
    <w:rsid w:val="006031A2"/>
    <w:rsid w:val="00604824"/>
    <w:rsid w:val="00611C33"/>
    <w:rsid w:val="00612BD6"/>
    <w:rsid w:val="00616AE6"/>
    <w:rsid w:val="00620151"/>
    <w:rsid w:val="0062298A"/>
    <w:rsid w:val="006249DF"/>
    <w:rsid w:val="00624A76"/>
    <w:rsid w:val="0062504B"/>
    <w:rsid w:val="0062573F"/>
    <w:rsid w:val="00626514"/>
    <w:rsid w:val="00626589"/>
    <w:rsid w:val="0062716C"/>
    <w:rsid w:val="006309E3"/>
    <w:rsid w:val="006339A0"/>
    <w:rsid w:val="0063733B"/>
    <w:rsid w:val="006413A8"/>
    <w:rsid w:val="00642E56"/>
    <w:rsid w:val="006464C9"/>
    <w:rsid w:val="0064680E"/>
    <w:rsid w:val="00651E00"/>
    <w:rsid w:val="00657E7B"/>
    <w:rsid w:val="0066315B"/>
    <w:rsid w:val="00665231"/>
    <w:rsid w:val="00666299"/>
    <w:rsid w:val="00667200"/>
    <w:rsid w:val="006716A5"/>
    <w:rsid w:val="00671B7F"/>
    <w:rsid w:val="00671C31"/>
    <w:rsid w:val="00674572"/>
    <w:rsid w:val="00675323"/>
    <w:rsid w:val="006763EF"/>
    <w:rsid w:val="006764DE"/>
    <w:rsid w:val="006808B3"/>
    <w:rsid w:val="006856DF"/>
    <w:rsid w:val="00687763"/>
    <w:rsid w:val="00690934"/>
    <w:rsid w:val="00692B0D"/>
    <w:rsid w:val="00692BCA"/>
    <w:rsid w:val="00693E0E"/>
    <w:rsid w:val="00695B92"/>
    <w:rsid w:val="006A1124"/>
    <w:rsid w:val="006A1AE3"/>
    <w:rsid w:val="006A23E7"/>
    <w:rsid w:val="006A6BC8"/>
    <w:rsid w:val="006B4DEC"/>
    <w:rsid w:val="006B66C7"/>
    <w:rsid w:val="006B7947"/>
    <w:rsid w:val="006B7BD8"/>
    <w:rsid w:val="006C0764"/>
    <w:rsid w:val="006C1855"/>
    <w:rsid w:val="006C30E1"/>
    <w:rsid w:val="006C4607"/>
    <w:rsid w:val="006C61F1"/>
    <w:rsid w:val="006C78E5"/>
    <w:rsid w:val="006C7CD2"/>
    <w:rsid w:val="006D2C5B"/>
    <w:rsid w:val="006D48F1"/>
    <w:rsid w:val="006D4B8B"/>
    <w:rsid w:val="006E22E3"/>
    <w:rsid w:val="006E3454"/>
    <w:rsid w:val="006F068F"/>
    <w:rsid w:val="006F17CA"/>
    <w:rsid w:val="006F24BC"/>
    <w:rsid w:val="006F37BA"/>
    <w:rsid w:val="006F43DC"/>
    <w:rsid w:val="006F45BE"/>
    <w:rsid w:val="006F4FF5"/>
    <w:rsid w:val="006F6B22"/>
    <w:rsid w:val="007004FC"/>
    <w:rsid w:val="00703506"/>
    <w:rsid w:val="007059D9"/>
    <w:rsid w:val="00706670"/>
    <w:rsid w:val="007123EC"/>
    <w:rsid w:val="00715073"/>
    <w:rsid w:val="00715516"/>
    <w:rsid w:val="007201CB"/>
    <w:rsid w:val="0072245A"/>
    <w:rsid w:val="007233FA"/>
    <w:rsid w:val="0072417C"/>
    <w:rsid w:val="007242BF"/>
    <w:rsid w:val="00725FBC"/>
    <w:rsid w:val="00726949"/>
    <w:rsid w:val="00727689"/>
    <w:rsid w:val="00730739"/>
    <w:rsid w:val="0073111C"/>
    <w:rsid w:val="007334DA"/>
    <w:rsid w:val="00733A85"/>
    <w:rsid w:val="00734245"/>
    <w:rsid w:val="00734450"/>
    <w:rsid w:val="00741C14"/>
    <w:rsid w:val="00745F67"/>
    <w:rsid w:val="00746DB4"/>
    <w:rsid w:val="00746E60"/>
    <w:rsid w:val="0075039E"/>
    <w:rsid w:val="00751FDD"/>
    <w:rsid w:val="00752D9D"/>
    <w:rsid w:val="00754784"/>
    <w:rsid w:val="00757C6E"/>
    <w:rsid w:val="0076140D"/>
    <w:rsid w:val="00762BDA"/>
    <w:rsid w:val="00763166"/>
    <w:rsid w:val="00764667"/>
    <w:rsid w:val="00767B4C"/>
    <w:rsid w:val="007708D9"/>
    <w:rsid w:val="00771613"/>
    <w:rsid w:val="00774E76"/>
    <w:rsid w:val="00776C1A"/>
    <w:rsid w:val="007805FD"/>
    <w:rsid w:val="0078070F"/>
    <w:rsid w:val="0078087E"/>
    <w:rsid w:val="00782C1D"/>
    <w:rsid w:val="00782FBF"/>
    <w:rsid w:val="00784422"/>
    <w:rsid w:val="00785CB0"/>
    <w:rsid w:val="00785CC4"/>
    <w:rsid w:val="007862E6"/>
    <w:rsid w:val="007918A2"/>
    <w:rsid w:val="007974B4"/>
    <w:rsid w:val="007A07B4"/>
    <w:rsid w:val="007A2142"/>
    <w:rsid w:val="007A25A2"/>
    <w:rsid w:val="007A2A18"/>
    <w:rsid w:val="007A3ECD"/>
    <w:rsid w:val="007A740D"/>
    <w:rsid w:val="007B05C4"/>
    <w:rsid w:val="007B08FD"/>
    <w:rsid w:val="007B1CE4"/>
    <w:rsid w:val="007B2B53"/>
    <w:rsid w:val="007B3B54"/>
    <w:rsid w:val="007B3FA0"/>
    <w:rsid w:val="007B5C98"/>
    <w:rsid w:val="007B7BDB"/>
    <w:rsid w:val="007C0F2C"/>
    <w:rsid w:val="007C2BCC"/>
    <w:rsid w:val="007C4EF0"/>
    <w:rsid w:val="007C649D"/>
    <w:rsid w:val="007D099D"/>
    <w:rsid w:val="007D0A95"/>
    <w:rsid w:val="007D0EC9"/>
    <w:rsid w:val="007D26CA"/>
    <w:rsid w:val="007D38D9"/>
    <w:rsid w:val="007D48FE"/>
    <w:rsid w:val="007D7107"/>
    <w:rsid w:val="007E2664"/>
    <w:rsid w:val="007E3ABF"/>
    <w:rsid w:val="007E4702"/>
    <w:rsid w:val="007E56E9"/>
    <w:rsid w:val="007E5BFA"/>
    <w:rsid w:val="007E61BB"/>
    <w:rsid w:val="007E6689"/>
    <w:rsid w:val="007E731C"/>
    <w:rsid w:val="007F0A03"/>
    <w:rsid w:val="007F2251"/>
    <w:rsid w:val="007F49A0"/>
    <w:rsid w:val="007F6012"/>
    <w:rsid w:val="007F7B9B"/>
    <w:rsid w:val="008017D3"/>
    <w:rsid w:val="00802C80"/>
    <w:rsid w:val="008036AA"/>
    <w:rsid w:val="00805D4E"/>
    <w:rsid w:val="00806CB7"/>
    <w:rsid w:val="00810040"/>
    <w:rsid w:val="00812150"/>
    <w:rsid w:val="00812E22"/>
    <w:rsid w:val="00813026"/>
    <w:rsid w:val="0081558B"/>
    <w:rsid w:val="008163CD"/>
    <w:rsid w:val="00816478"/>
    <w:rsid w:val="00817707"/>
    <w:rsid w:val="0082023A"/>
    <w:rsid w:val="00821A7A"/>
    <w:rsid w:val="0082237F"/>
    <w:rsid w:val="00822FE3"/>
    <w:rsid w:val="00824B55"/>
    <w:rsid w:val="008253F8"/>
    <w:rsid w:val="00827060"/>
    <w:rsid w:val="008301C3"/>
    <w:rsid w:val="008325E4"/>
    <w:rsid w:val="00832A2B"/>
    <w:rsid w:val="00833F4F"/>
    <w:rsid w:val="00834195"/>
    <w:rsid w:val="00834529"/>
    <w:rsid w:val="0083523B"/>
    <w:rsid w:val="008375CC"/>
    <w:rsid w:val="008421B8"/>
    <w:rsid w:val="00844A77"/>
    <w:rsid w:val="00844E2D"/>
    <w:rsid w:val="00845811"/>
    <w:rsid w:val="008464B2"/>
    <w:rsid w:val="00846994"/>
    <w:rsid w:val="00847F33"/>
    <w:rsid w:val="00850451"/>
    <w:rsid w:val="00852042"/>
    <w:rsid w:val="00852ECC"/>
    <w:rsid w:val="008534C9"/>
    <w:rsid w:val="00853911"/>
    <w:rsid w:val="008541EC"/>
    <w:rsid w:val="0085599D"/>
    <w:rsid w:val="00860EA3"/>
    <w:rsid w:val="00861933"/>
    <w:rsid w:val="008711FC"/>
    <w:rsid w:val="008731B4"/>
    <w:rsid w:val="0087395C"/>
    <w:rsid w:val="0087510C"/>
    <w:rsid w:val="00876682"/>
    <w:rsid w:val="0088104A"/>
    <w:rsid w:val="008824E2"/>
    <w:rsid w:val="008839DF"/>
    <w:rsid w:val="00885478"/>
    <w:rsid w:val="0088659D"/>
    <w:rsid w:val="00887C04"/>
    <w:rsid w:val="00890A30"/>
    <w:rsid w:val="00891C38"/>
    <w:rsid w:val="00892048"/>
    <w:rsid w:val="00893D4A"/>
    <w:rsid w:val="008964D5"/>
    <w:rsid w:val="00896B92"/>
    <w:rsid w:val="0089738E"/>
    <w:rsid w:val="008A05A7"/>
    <w:rsid w:val="008A1998"/>
    <w:rsid w:val="008A23A7"/>
    <w:rsid w:val="008A2425"/>
    <w:rsid w:val="008A2721"/>
    <w:rsid w:val="008A4ED9"/>
    <w:rsid w:val="008B0143"/>
    <w:rsid w:val="008B1D40"/>
    <w:rsid w:val="008B33D2"/>
    <w:rsid w:val="008B3804"/>
    <w:rsid w:val="008B57FB"/>
    <w:rsid w:val="008B5FDB"/>
    <w:rsid w:val="008B6ED3"/>
    <w:rsid w:val="008C1789"/>
    <w:rsid w:val="008C18B1"/>
    <w:rsid w:val="008C3B47"/>
    <w:rsid w:val="008C50F4"/>
    <w:rsid w:val="008C5649"/>
    <w:rsid w:val="008D2D46"/>
    <w:rsid w:val="008D3DE0"/>
    <w:rsid w:val="008D7C94"/>
    <w:rsid w:val="008D7D08"/>
    <w:rsid w:val="008E201A"/>
    <w:rsid w:val="008E2116"/>
    <w:rsid w:val="008E2286"/>
    <w:rsid w:val="008E3175"/>
    <w:rsid w:val="008E3F5B"/>
    <w:rsid w:val="008E44A2"/>
    <w:rsid w:val="008E6199"/>
    <w:rsid w:val="008E697D"/>
    <w:rsid w:val="008E6B60"/>
    <w:rsid w:val="008F14B7"/>
    <w:rsid w:val="008F70DE"/>
    <w:rsid w:val="00903263"/>
    <w:rsid w:val="009040CF"/>
    <w:rsid w:val="009044D3"/>
    <w:rsid w:val="00905EC1"/>
    <w:rsid w:val="00905F5E"/>
    <w:rsid w:val="00906A21"/>
    <w:rsid w:val="0090722D"/>
    <w:rsid w:val="009079C3"/>
    <w:rsid w:val="00910462"/>
    <w:rsid w:val="00910897"/>
    <w:rsid w:val="00910AD9"/>
    <w:rsid w:val="00912049"/>
    <w:rsid w:val="00913AD6"/>
    <w:rsid w:val="00913D3A"/>
    <w:rsid w:val="00915030"/>
    <w:rsid w:val="00915AB1"/>
    <w:rsid w:val="00917144"/>
    <w:rsid w:val="00917532"/>
    <w:rsid w:val="00920901"/>
    <w:rsid w:val="009235BA"/>
    <w:rsid w:val="00923C95"/>
    <w:rsid w:val="00924023"/>
    <w:rsid w:val="00924CE2"/>
    <w:rsid w:val="00925B9F"/>
    <w:rsid w:val="009268CE"/>
    <w:rsid w:val="00927FF9"/>
    <w:rsid w:val="00931AED"/>
    <w:rsid w:val="009322CE"/>
    <w:rsid w:val="009324D0"/>
    <w:rsid w:val="00933210"/>
    <w:rsid w:val="00934350"/>
    <w:rsid w:val="00934B2E"/>
    <w:rsid w:val="00935302"/>
    <w:rsid w:val="009412D0"/>
    <w:rsid w:val="009420CA"/>
    <w:rsid w:val="009445BE"/>
    <w:rsid w:val="009448CF"/>
    <w:rsid w:val="00945D97"/>
    <w:rsid w:val="009476A3"/>
    <w:rsid w:val="009505F8"/>
    <w:rsid w:val="009509C8"/>
    <w:rsid w:val="009514AF"/>
    <w:rsid w:val="009528FF"/>
    <w:rsid w:val="0095334F"/>
    <w:rsid w:val="00955456"/>
    <w:rsid w:val="00956EB5"/>
    <w:rsid w:val="00957157"/>
    <w:rsid w:val="00957EC8"/>
    <w:rsid w:val="00964577"/>
    <w:rsid w:val="00965897"/>
    <w:rsid w:val="00965A87"/>
    <w:rsid w:val="009666D6"/>
    <w:rsid w:val="00967567"/>
    <w:rsid w:val="0096765C"/>
    <w:rsid w:val="00971DD4"/>
    <w:rsid w:val="0097244D"/>
    <w:rsid w:val="009727E4"/>
    <w:rsid w:val="00977E2E"/>
    <w:rsid w:val="009823B8"/>
    <w:rsid w:val="00984765"/>
    <w:rsid w:val="00984CDE"/>
    <w:rsid w:val="00986F07"/>
    <w:rsid w:val="009875EB"/>
    <w:rsid w:val="009934C5"/>
    <w:rsid w:val="00994C0F"/>
    <w:rsid w:val="00994E88"/>
    <w:rsid w:val="0099549F"/>
    <w:rsid w:val="009A0D8F"/>
    <w:rsid w:val="009A2CAC"/>
    <w:rsid w:val="009A362F"/>
    <w:rsid w:val="009A6034"/>
    <w:rsid w:val="009A66F5"/>
    <w:rsid w:val="009B10EF"/>
    <w:rsid w:val="009B151B"/>
    <w:rsid w:val="009B22D7"/>
    <w:rsid w:val="009B52D6"/>
    <w:rsid w:val="009B7104"/>
    <w:rsid w:val="009B72ED"/>
    <w:rsid w:val="009B7A8B"/>
    <w:rsid w:val="009C156B"/>
    <w:rsid w:val="009C23DB"/>
    <w:rsid w:val="009C6DEB"/>
    <w:rsid w:val="009D6184"/>
    <w:rsid w:val="009D6504"/>
    <w:rsid w:val="009D780E"/>
    <w:rsid w:val="009E0A5E"/>
    <w:rsid w:val="009E12D7"/>
    <w:rsid w:val="009E2A21"/>
    <w:rsid w:val="009E4F33"/>
    <w:rsid w:val="009E527A"/>
    <w:rsid w:val="009E661A"/>
    <w:rsid w:val="009E66F0"/>
    <w:rsid w:val="009F3A55"/>
    <w:rsid w:val="009F4FB9"/>
    <w:rsid w:val="00A03753"/>
    <w:rsid w:val="00A03D36"/>
    <w:rsid w:val="00A055BE"/>
    <w:rsid w:val="00A05D13"/>
    <w:rsid w:val="00A06781"/>
    <w:rsid w:val="00A074C3"/>
    <w:rsid w:val="00A12F9A"/>
    <w:rsid w:val="00A148BE"/>
    <w:rsid w:val="00A1509C"/>
    <w:rsid w:val="00A15D85"/>
    <w:rsid w:val="00A20178"/>
    <w:rsid w:val="00A20901"/>
    <w:rsid w:val="00A211E7"/>
    <w:rsid w:val="00A228CF"/>
    <w:rsid w:val="00A23DAE"/>
    <w:rsid w:val="00A339B2"/>
    <w:rsid w:val="00A34260"/>
    <w:rsid w:val="00A34BD8"/>
    <w:rsid w:val="00A4630D"/>
    <w:rsid w:val="00A515C3"/>
    <w:rsid w:val="00A52019"/>
    <w:rsid w:val="00A5252F"/>
    <w:rsid w:val="00A537FD"/>
    <w:rsid w:val="00A54AA8"/>
    <w:rsid w:val="00A56794"/>
    <w:rsid w:val="00A5689B"/>
    <w:rsid w:val="00A571BB"/>
    <w:rsid w:val="00A619C3"/>
    <w:rsid w:val="00A64E59"/>
    <w:rsid w:val="00A674ED"/>
    <w:rsid w:val="00A70CFD"/>
    <w:rsid w:val="00A7160B"/>
    <w:rsid w:val="00A72338"/>
    <w:rsid w:val="00A72A0B"/>
    <w:rsid w:val="00A74E78"/>
    <w:rsid w:val="00A77799"/>
    <w:rsid w:val="00A81115"/>
    <w:rsid w:val="00A81E42"/>
    <w:rsid w:val="00A82EDD"/>
    <w:rsid w:val="00A83DA2"/>
    <w:rsid w:val="00A864FE"/>
    <w:rsid w:val="00A86F41"/>
    <w:rsid w:val="00A8742A"/>
    <w:rsid w:val="00A87D04"/>
    <w:rsid w:val="00A906A0"/>
    <w:rsid w:val="00A9097E"/>
    <w:rsid w:val="00A91351"/>
    <w:rsid w:val="00A91780"/>
    <w:rsid w:val="00A924B0"/>
    <w:rsid w:val="00A94645"/>
    <w:rsid w:val="00A950C5"/>
    <w:rsid w:val="00A9712E"/>
    <w:rsid w:val="00AA1D25"/>
    <w:rsid w:val="00AA59E3"/>
    <w:rsid w:val="00AA7D7D"/>
    <w:rsid w:val="00AB2B1A"/>
    <w:rsid w:val="00AB397F"/>
    <w:rsid w:val="00AB3C62"/>
    <w:rsid w:val="00AB5832"/>
    <w:rsid w:val="00AC459D"/>
    <w:rsid w:val="00AC51F2"/>
    <w:rsid w:val="00AD023B"/>
    <w:rsid w:val="00AD0660"/>
    <w:rsid w:val="00AD077A"/>
    <w:rsid w:val="00AD5893"/>
    <w:rsid w:val="00AE35BD"/>
    <w:rsid w:val="00AE43FE"/>
    <w:rsid w:val="00AE44EE"/>
    <w:rsid w:val="00AE5066"/>
    <w:rsid w:val="00AE5E24"/>
    <w:rsid w:val="00AE61B7"/>
    <w:rsid w:val="00AE6CBA"/>
    <w:rsid w:val="00AE79AD"/>
    <w:rsid w:val="00AE7EE7"/>
    <w:rsid w:val="00AF0CC2"/>
    <w:rsid w:val="00AF2263"/>
    <w:rsid w:val="00AF32AA"/>
    <w:rsid w:val="00AF35E4"/>
    <w:rsid w:val="00AF3FA2"/>
    <w:rsid w:val="00AF50E5"/>
    <w:rsid w:val="00AF5CDE"/>
    <w:rsid w:val="00AF5FFB"/>
    <w:rsid w:val="00AF7611"/>
    <w:rsid w:val="00AF7EF6"/>
    <w:rsid w:val="00B0032F"/>
    <w:rsid w:val="00B03505"/>
    <w:rsid w:val="00B04DBD"/>
    <w:rsid w:val="00B05820"/>
    <w:rsid w:val="00B11A57"/>
    <w:rsid w:val="00B13102"/>
    <w:rsid w:val="00B13F7C"/>
    <w:rsid w:val="00B14504"/>
    <w:rsid w:val="00B164CD"/>
    <w:rsid w:val="00B16F0D"/>
    <w:rsid w:val="00B211C3"/>
    <w:rsid w:val="00B21557"/>
    <w:rsid w:val="00B25597"/>
    <w:rsid w:val="00B267B9"/>
    <w:rsid w:val="00B33E09"/>
    <w:rsid w:val="00B3454B"/>
    <w:rsid w:val="00B365FA"/>
    <w:rsid w:val="00B409C9"/>
    <w:rsid w:val="00B426F2"/>
    <w:rsid w:val="00B435D8"/>
    <w:rsid w:val="00B45EE9"/>
    <w:rsid w:val="00B501C7"/>
    <w:rsid w:val="00B50708"/>
    <w:rsid w:val="00B50C68"/>
    <w:rsid w:val="00B51293"/>
    <w:rsid w:val="00B52B1E"/>
    <w:rsid w:val="00B55481"/>
    <w:rsid w:val="00B56C32"/>
    <w:rsid w:val="00B57ACF"/>
    <w:rsid w:val="00B6291A"/>
    <w:rsid w:val="00B62C3D"/>
    <w:rsid w:val="00B64BB1"/>
    <w:rsid w:val="00B65E47"/>
    <w:rsid w:val="00B705E5"/>
    <w:rsid w:val="00B717EA"/>
    <w:rsid w:val="00B73166"/>
    <w:rsid w:val="00B7568C"/>
    <w:rsid w:val="00B83082"/>
    <w:rsid w:val="00B8324B"/>
    <w:rsid w:val="00B83CEF"/>
    <w:rsid w:val="00B83F83"/>
    <w:rsid w:val="00B8426C"/>
    <w:rsid w:val="00B910EB"/>
    <w:rsid w:val="00B91B8D"/>
    <w:rsid w:val="00B94E90"/>
    <w:rsid w:val="00BA0C04"/>
    <w:rsid w:val="00BA7C52"/>
    <w:rsid w:val="00BB02E9"/>
    <w:rsid w:val="00BB0A82"/>
    <w:rsid w:val="00BB1B8C"/>
    <w:rsid w:val="00BB3795"/>
    <w:rsid w:val="00BB4C4B"/>
    <w:rsid w:val="00BB573A"/>
    <w:rsid w:val="00BB7152"/>
    <w:rsid w:val="00BB7C94"/>
    <w:rsid w:val="00BC059A"/>
    <w:rsid w:val="00BC0A9D"/>
    <w:rsid w:val="00BC1187"/>
    <w:rsid w:val="00BC1EDB"/>
    <w:rsid w:val="00BC685F"/>
    <w:rsid w:val="00BC713C"/>
    <w:rsid w:val="00BC7A51"/>
    <w:rsid w:val="00BC7A8F"/>
    <w:rsid w:val="00BD3A97"/>
    <w:rsid w:val="00BD3E7F"/>
    <w:rsid w:val="00BD49CF"/>
    <w:rsid w:val="00BD7F31"/>
    <w:rsid w:val="00BE07F9"/>
    <w:rsid w:val="00BE608E"/>
    <w:rsid w:val="00BE634E"/>
    <w:rsid w:val="00BE6950"/>
    <w:rsid w:val="00BF0524"/>
    <w:rsid w:val="00BF0C59"/>
    <w:rsid w:val="00BF1699"/>
    <w:rsid w:val="00BF1A25"/>
    <w:rsid w:val="00BF3F4F"/>
    <w:rsid w:val="00BF40ED"/>
    <w:rsid w:val="00BF5237"/>
    <w:rsid w:val="00BF5453"/>
    <w:rsid w:val="00BF5BC2"/>
    <w:rsid w:val="00BF75BC"/>
    <w:rsid w:val="00BF791D"/>
    <w:rsid w:val="00BF7D00"/>
    <w:rsid w:val="00C06818"/>
    <w:rsid w:val="00C10531"/>
    <w:rsid w:val="00C1133D"/>
    <w:rsid w:val="00C14E15"/>
    <w:rsid w:val="00C1677A"/>
    <w:rsid w:val="00C17A7F"/>
    <w:rsid w:val="00C17DF8"/>
    <w:rsid w:val="00C2179D"/>
    <w:rsid w:val="00C220EB"/>
    <w:rsid w:val="00C239DF"/>
    <w:rsid w:val="00C23FE3"/>
    <w:rsid w:val="00C2542E"/>
    <w:rsid w:val="00C26D31"/>
    <w:rsid w:val="00C27A08"/>
    <w:rsid w:val="00C30988"/>
    <w:rsid w:val="00C31312"/>
    <w:rsid w:val="00C326C6"/>
    <w:rsid w:val="00C3373B"/>
    <w:rsid w:val="00C33A2D"/>
    <w:rsid w:val="00C35295"/>
    <w:rsid w:val="00C36ADD"/>
    <w:rsid w:val="00C36E74"/>
    <w:rsid w:val="00C40595"/>
    <w:rsid w:val="00C41621"/>
    <w:rsid w:val="00C42F11"/>
    <w:rsid w:val="00C4491E"/>
    <w:rsid w:val="00C449FA"/>
    <w:rsid w:val="00C46E18"/>
    <w:rsid w:val="00C478D5"/>
    <w:rsid w:val="00C5012D"/>
    <w:rsid w:val="00C5384F"/>
    <w:rsid w:val="00C54A69"/>
    <w:rsid w:val="00C55826"/>
    <w:rsid w:val="00C56443"/>
    <w:rsid w:val="00C565D0"/>
    <w:rsid w:val="00C56964"/>
    <w:rsid w:val="00C6009B"/>
    <w:rsid w:val="00C62C5D"/>
    <w:rsid w:val="00C637B9"/>
    <w:rsid w:val="00C654A0"/>
    <w:rsid w:val="00C656D5"/>
    <w:rsid w:val="00C67103"/>
    <w:rsid w:val="00C7016C"/>
    <w:rsid w:val="00C70825"/>
    <w:rsid w:val="00C71466"/>
    <w:rsid w:val="00C71BB9"/>
    <w:rsid w:val="00C74373"/>
    <w:rsid w:val="00C75C2F"/>
    <w:rsid w:val="00C802D3"/>
    <w:rsid w:val="00C84377"/>
    <w:rsid w:val="00C90FAF"/>
    <w:rsid w:val="00C90FFB"/>
    <w:rsid w:val="00C94C28"/>
    <w:rsid w:val="00C95B88"/>
    <w:rsid w:val="00C95D23"/>
    <w:rsid w:val="00C9691B"/>
    <w:rsid w:val="00C97A84"/>
    <w:rsid w:val="00CA65B3"/>
    <w:rsid w:val="00CB0247"/>
    <w:rsid w:val="00CB2773"/>
    <w:rsid w:val="00CB3440"/>
    <w:rsid w:val="00CB3A19"/>
    <w:rsid w:val="00CC1692"/>
    <w:rsid w:val="00CC3246"/>
    <w:rsid w:val="00CC47EB"/>
    <w:rsid w:val="00CC5A3D"/>
    <w:rsid w:val="00CD138B"/>
    <w:rsid w:val="00CD2BB5"/>
    <w:rsid w:val="00CD3E31"/>
    <w:rsid w:val="00CD5B87"/>
    <w:rsid w:val="00CD74A3"/>
    <w:rsid w:val="00CE0527"/>
    <w:rsid w:val="00CE20A5"/>
    <w:rsid w:val="00CE5B23"/>
    <w:rsid w:val="00CE5C4B"/>
    <w:rsid w:val="00CE61F0"/>
    <w:rsid w:val="00CE74C2"/>
    <w:rsid w:val="00CF0B03"/>
    <w:rsid w:val="00CF271E"/>
    <w:rsid w:val="00CF41C0"/>
    <w:rsid w:val="00CF6E9C"/>
    <w:rsid w:val="00CF70AD"/>
    <w:rsid w:val="00CF7161"/>
    <w:rsid w:val="00CF7729"/>
    <w:rsid w:val="00D00059"/>
    <w:rsid w:val="00D01A5A"/>
    <w:rsid w:val="00D107FA"/>
    <w:rsid w:val="00D10DFD"/>
    <w:rsid w:val="00D12275"/>
    <w:rsid w:val="00D12766"/>
    <w:rsid w:val="00D17B5E"/>
    <w:rsid w:val="00D20FF4"/>
    <w:rsid w:val="00D22BCC"/>
    <w:rsid w:val="00D2398C"/>
    <w:rsid w:val="00D24D2C"/>
    <w:rsid w:val="00D3154F"/>
    <w:rsid w:val="00D31FBE"/>
    <w:rsid w:val="00D35881"/>
    <w:rsid w:val="00D37588"/>
    <w:rsid w:val="00D37F19"/>
    <w:rsid w:val="00D40C5B"/>
    <w:rsid w:val="00D45701"/>
    <w:rsid w:val="00D477C6"/>
    <w:rsid w:val="00D5221A"/>
    <w:rsid w:val="00D60240"/>
    <w:rsid w:val="00D60566"/>
    <w:rsid w:val="00D60A54"/>
    <w:rsid w:val="00D63F6C"/>
    <w:rsid w:val="00D6401C"/>
    <w:rsid w:val="00D73277"/>
    <w:rsid w:val="00D74FEA"/>
    <w:rsid w:val="00D75B22"/>
    <w:rsid w:val="00D75B61"/>
    <w:rsid w:val="00D83613"/>
    <w:rsid w:val="00D8441F"/>
    <w:rsid w:val="00D9287A"/>
    <w:rsid w:val="00DA533A"/>
    <w:rsid w:val="00DA7930"/>
    <w:rsid w:val="00DA7DA5"/>
    <w:rsid w:val="00DB073B"/>
    <w:rsid w:val="00DB12E2"/>
    <w:rsid w:val="00DB78F0"/>
    <w:rsid w:val="00DC21EA"/>
    <w:rsid w:val="00DC2E43"/>
    <w:rsid w:val="00DC4E65"/>
    <w:rsid w:val="00DC5A14"/>
    <w:rsid w:val="00DD0896"/>
    <w:rsid w:val="00DD095C"/>
    <w:rsid w:val="00DD1020"/>
    <w:rsid w:val="00DD1330"/>
    <w:rsid w:val="00DD2E42"/>
    <w:rsid w:val="00DE0B83"/>
    <w:rsid w:val="00DE1A81"/>
    <w:rsid w:val="00DE1C13"/>
    <w:rsid w:val="00DE271D"/>
    <w:rsid w:val="00DE4E10"/>
    <w:rsid w:val="00DF0563"/>
    <w:rsid w:val="00DF09E4"/>
    <w:rsid w:val="00DF2568"/>
    <w:rsid w:val="00DF3222"/>
    <w:rsid w:val="00DF341D"/>
    <w:rsid w:val="00DF5936"/>
    <w:rsid w:val="00E017A9"/>
    <w:rsid w:val="00E01D3A"/>
    <w:rsid w:val="00E02ABF"/>
    <w:rsid w:val="00E03EB3"/>
    <w:rsid w:val="00E051F0"/>
    <w:rsid w:val="00E06C24"/>
    <w:rsid w:val="00E10844"/>
    <w:rsid w:val="00E13BE0"/>
    <w:rsid w:val="00E14995"/>
    <w:rsid w:val="00E168F0"/>
    <w:rsid w:val="00E174EA"/>
    <w:rsid w:val="00E179CD"/>
    <w:rsid w:val="00E208DC"/>
    <w:rsid w:val="00E20AE9"/>
    <w:rsid w:val="00E23E8D"/>
    <w:rsid w:val="00E27C93"/>
    <w:rsid w:val="00E30F5F"/>
    <w:rsid w:val="00E31652"/>
    <w:rsid w:val="00E31B0C"/>
    <w:rsid w:val="00E33EE9"/>
    <w:rsid w:val="00E34D58"/>
    <w:rsid w:val="00E3549C"/>
    <w:rsid w:val="00E36318"/>
    <w:rsid w:val="00E3639F"/>
    <w:rsid w:val="00E37F98"/>
    <w:rsid w:val="00E40D22"/>
    <w:rsid w:val="00E41BD8"/>
    <w:rsid w:val="00E4210C"/>
    <w:rsid w:val="00E439F1"/>
    <w:rsid w:val="00E446DF"/>
    <w:rsid w:val="00E45C64"/>
    <w:rsid w:val="00E46559"/>
    <w:rsid w:val="00E469BC"/>
    <w:rsid w:val="00E4747B"/>
    <w:rsid w:val="00E545A3"/>
    <w:rsid w:val="00E60B09"/>
    <w:rsid w:val="00E62EBA"/>
    <w:rsid w:val="00E64A21"/>
    <w:rsid w:val="00E6670C"/>
    <w:rsid w:val="00E670DE"/>
    <w:rsid w:val="00E715E0"/>
    <w:rsid w:val="00E71CFE"/>
    <w:rsid w:val="00E74CB1"/>
    <w:rsid w:val="00E776E8"/>
    <w:rsid w:val="00E80DD1"/>
    <w:rsid w:val="00E81075"/>
    <w:rsid w:val="00E81BD2"/>
    <w:rsid w:val="00E82314"/>
    <w:rsid w:val="00E83677"/>
    <w:rsid w:val="00E8704F"/>
    <w:rsid w:val="00E87221"/>
    <w:rsid w:val="00E87F08"/>
    <w:rsid w:val="00E92C1F"/>
    <w:rsid w:val="00E9351C"/>
    <w:rsid w:val="00E95B03"/>
    <w:rsid w:val="00E95D4B"/>
    <w:rsid w:val="00EA07CD"/>
    <w:rsid w:val="00EA0ED9"/>
    <w:rsid w:val="00EA1292"/>
    <w:rsid w:val="00EA2F33"/>
    <w:rsid w:val="00EA5386"/>
    <w:rsid w:val="00EA5F15"/>
    <w:rsid w:val="00EA61A1"/>
    <w:rsid w:val="00EA6821"/>
    <w:rsid w:val="00EA7178"/>
    <w:rsid w:val="00EA7C6B"/>
    <w:rsid w:val="00EB199F"/>
    <w:rsid w:val="00EB2C37"/>
    <w:rsid w:val="00EB308A"/>
    <w:rsid w:val="00EB3A63"/>
    <w:rsid w:val="00EB7442"/>
    <w:rsid w:val="00EC0ED0"/>
    <w:rsid w:val="00EC1E51"/>
    <w:rsid w:val="00EC23F7"/>
    <w:rsid w:val="00EC2F6A"/>
    <w:rsid w:val="00EC3099"/>
    <w:rsid w:val="00EC4BD8"/>
    <w:rsid w:val="00EC51B9"/>
    <w:rsid w:val="00EC63EB"/>
    <w:rsid w:val="00EC64B5"/>
    <w:rsid w:val="00EC7BAA"/>
    <w:rsid w:val="00ED1641"/>
    <w:rsid w:val="00ED17C9"/>
    <w:rsid w:val="00ED1F0F"/>
    <w:rsid w:val="00ED20A6"/>
    <w:rsid w:val="00ED412F"/>
    <w:rsid w:val="00ED630A"/>
    <w:rsid w:val="00ED67A3"/>
    <w:rsid w:val="00ED7E24"/>
    <w:rsid w:val="00EE66D9"/>
    <w:rsid w:val="00EE6F92"/>
    <w:rsid w:val="00EF1484"/>
    <w:rsid w:val="00EF31AD"/>
    <w:rsid w:val="00EF36B2"/>
    <w:rsid w:val="00EF5178"/>
    <w:rsid w:val="00F00C2F"/>
    <w:rsid w:val="00F066CE"/>
    <w:rsid w:val="00F1251B"/>
    <w:rsid w:val="00F13E12"/>
    <w:rsid w:val="00F201EC"/>
    <w:rsid w:val="00F2070D"/>
    <w:rsid w:val="00F208A9"/>
    <w:rsid w:val="00F20F1A"/>
    <w:rsid w:val="00F24F5A"/>
    <w:rsid w:val="00F2643F"/>
    <w:rsid w:val="00F33BC9"/>
    <w:rsid w:val="00F35DD2"/>
    <w:rsid w:val="00F40341"/>
    <w:rsid w:val="00F40DB5"/>
    <w:rsid w:val="00F41D75"/>
    <w:rsid w:val="00F43246"/>
    <w:rsid w:val="00F45B7F"/>
    <w:rsid w:val="00F46820"/>
    <w:rsid w:val="00F47935"/>
    <w:rsid w:val="00F5139D"/>
    <w:rsid w:val="00F51E45"/>
    <w:rsid w:val="00F52FB2"/>
    <w:rsid w:val="00F6152E"/>
    <w:rsid w:val="00F61F9D"/>
    <w:rsid w:val="00F61FD6"/>
    <w:rsid w:val="00F6294E"/>
    <w:rsid w:val="00F62F89"/>
    <w:rsid w:val="00F63DAC"/>
    <w:rsid w:val="00F66985"/>
    <w:rsid w:val="00F70716"/>
    <w:rsid w:val="00F7454F"/>
    <w:rsid w:val="00F77988"/>
    <w:rsid w:val="00F77F48"/>
    <w:rsid w:val="00F807BB"/>
    <w:rsid w:val="00F809F0"/>
    <w:rsid w:val="00F81AF4"/>
    <w:rsid w:val="00F8200D"/>
    <w:rsid w:val="00F830D8"/>
    <w:rsid w:val="00F84763"/>
    <w:rsid w:val="00F86C7C"/>
    <w:rsid w:val="00F9193E"/>
    <w:rsid w:val="00F94101"/>
    <w:rsid w:val="00F957D9"/>
    <w:rsid w:val="00F965BD"/>
    <w:rsid w:val="00FA1536"/>
    <w:rsid w:val="00FB0F3B"/>
    <w:rsid w:val="00FB30F1"/>
    <w:rsid w:val="00FB3876"/>
    <w:rsid w:val="00FB53E7"/>
    <w:rsid w:val="00FC0FA1"/>
    <w:rsid w:val="00FC38E9"/>
    <w:rsid w:val="00FC5A63"/>
    <w:rsid w:val="00FD00BA"/>
    <w:rsid w:val="00FD655C"/>
    <w:rsid w:val="00FE24C1"/>
    <w:rsid w:val="00FE2B9C"/>
    <w:rsid w:val="00FE747A"/>
    <w:rsid w:val="00FF19CC"/>
    <w:rsid w:val="00FF52B2"/>
    <w:rsid w:val="00FF5DB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15:docId w15:val="{553E169C-BF24-4048-A4C3-19FCD32D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uiPriority w:val="99"/>
    <w:rsid w:val="008C5649"/>
    <w:rPr>
      <w:szCs w:val="24"/>
    </w:rPr>
  </w:style>
  <w:style w:type="paragraph" w:styleId="Header">
    <w:name w:val="header"/>
    <w:basedOn w:val="Parasts1"/>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locked/>
    <w:rsid w:val="00B7568C"/>
    <w:rPr>
      <w:sz w:val="24"/>
    </w:rPr>
  </w:style>
  <w:style w:type="character" w:styleId="PageNumber">
    <w:name w:val="page number"/>
    <w:basedOn w:val="DefaultParagraphFont"/>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Parasts1"/>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lang w:val="lv-LV" w:eastAsia="lv-LV"/>
    </w:rPr>
  </w:style>
  <w:style w:type="paragraph" w:styleId="BalloonText">
    <w:name w:val="Balloon Text"/>
    <w:basedOn w:val="Parasts1"/>
    <w:link w:val="BalloonTextChar"/>
    <w:uiPriority w:val="99"/>
    <w:semiHidden/>
    <w:rsid w:val="008C5649"/>
    <w:rPr>
      <w:sz w:val="2"/>
      <w:szCs w:val="20"/>
    </w:rPr>
  </w:style>
  <w:style w:type="character" w:customStyle="1" w:styleId="BalloonTextChar">
    <w:name w:val="Balloon Text Char"/>
    <w:basedOn w:val="DefaultParagraphFont"/>
    <w:link w:val="BalloonText"/>
    <w:uiPriority w:val="99"/>
    <w:semiHidden/>
    <w:locked/>
    <w:rsid w:val="00B7568C"/>
    <w:rPr>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Parasts1"/>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7568C"/>
    <w:rPr>
      <w:sz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7568C"/>
    <w:rPr>
      <w:b/>
      <w:sz w:val="20"/>
      <w:lang w:val="lv-LV" w:eastAsia="lv-LV"/>
    </w:rPr>
  </w:style>
  <w:style w:type="paragraph" w:styleId="Footer">
    <w:name w:val="footer"/>
    <w:basedOn w:val="Parasts1"/>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Parasts1"/>
    <w:link w:val="DocumentMapChar"/>
    <w:uiPriority w:val="99"/>
    <w:semiHidden/>
    <w:rsid w:val="00846994"/>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B7568C"/>
    <w:rPr>
      <w:sz w:val="2"/>
    </w:rPr>
  </w:style>
  <w:style w:type="paragraph" w:styleId="BodyText">
    <w:name w:val="Body Text"/>
    <w:basedOn w:val="Parasts1"/>
    <w:link w:val="BodyTextChar"/>
    <w:rsid w:val="0088104A"/>
    <w:pPr>
      <w:widowControl w:val="0"/>
      <w:overflowPunct w:val="0"/>
      <w:autoSpaceDE w:val="0"/>
      <w:autoSpaceDN w:val="0"/>
      <w:adjustRightInd w:val="0"/>
      <w:textAlignment w:val="baseline"/>
    </w:pPr>
  </w:style>
  <w:style w:type="character" w:customStyle="1" w:styleId="BodyTextChar">
    <w:name w:val="Body Text Char"/>
    <w:basedOn w:val="DefaultParagraphFont"/>
    <w:link w:val="BodyText"/>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Strong">
    <w:name w:val="Strong"/>
    <w:basedOn w:val="DefaultParagraphFont"/>
    <w:uiPriority w:val="99"/>
    <w:qFormat/>
    <w:rsid w:val="0024755C"/>
    <w:rPr>
      <w:rFonts w:cs="Times New Roman"/>
      <w:b/>
    </w:rPr>
  </w:style>
  <w:style w:type="paragraph" w:styleId="PlainText">
    <w:name w:val="Plain Text"/>
    <w:basedOn w:val="Parasts1"/>
    <w:link w:val="PlainTextChar"/>
    <w:uiPriority w:val="99"/>
    <w:rsid w:val="00715516"/>
    <w:rPr>
      <w:rFonts w:ascii="Courier New" w:hAnsi="Courier New"/>
      <w:sz w:val="20"/>
      <w:szCs w:val="20"/>
    </w:rPr>
  </w:style>
  <w:style w:type="character" w:customStyle="1" w:styleId="PlainTextChar">
    <w:name w:val="Plain Text Char"/>
    <w:basedOn w:val="DefaultParagraphFont"/>
    <w:link w:val="PlainText"/>
    <w:uiPriority w:val="99"/>
    <w:semiHidden/>
    <w:locked/>
    <w:rsid w:val="00B7568C"/>
    <w:rPr>
      <w:rFonts w:ascii="Courier New" w:hAnsi="Courier New"/>
      <w:sz w:val="20"/>
    </w:rPr>
  </w:style>
  <w:style w:type="paragraph" w:styleId="BodyTextIndent2">
    <w:name w:val="Body Text Indent 2"/>
    <w:basedOn w:val="Parasts1"/>
    <w:link w:val="BodyTextIndent2Char"/>
    <w:uiPriority w:val="99"/>
    <w:rsid w:val="00191370"/>
    <w:pPr>
      <w:ind w:firstLine="435"/>
      <w:jc w:val="both"/>
    </w:pPr>
    <w:rPr>
      <w:szCs w:val="20"/>
      <w:lang w:eastAsia="en-US"/>
    </w:rPr>
  </w:style>
  <w:style w:type="character" w:customStyle="1" w:styleId="BodyTextIndent2Char">
    <w:name w:val="Body Text Indent 2 Char"/>
    <w:basedOn w:val="DefaultParagraphFont"/>
    <w:link w:val="BodyTextIndent2"/>
    <w:uiPriority w:val="99"/>
    <w:locked/>
    <w:rsid w:val="00191370"/>
    <w:rPr>
      <w:sz w:val="24"/>
      <w:lang w:eastAsia="en-US"/>
    </w:rPr>
  </w:style>
  <w:style w:type="paragraph" w:styleId="NoSpacing">
    <w:name w:val="No Spacing"/>
    <w:uiPriority w:val="99"/>
    <w:qFormat/>
    <w:rsid w:val="000A7D33"/>
    <w:rPr>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 w:type="paragraph" w:styleId="ListParagraph">
    <w:name w:val="List Paragraph"/>
    <w:basedOn w:val="Normal"/>
    <w:uiPriority w:val="34"/>
    <w:qFormat/>
    <w:rsid w:val="00E3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3536">
      <w:bodyDiv w:val="1"/>
      <w:marLeft w:val="0"/>
      <w:marRight w:val="0"/>
      <w:marTop w:val="0"/>
      <w:marBottom w:val="0"/>
      <w:divBdr>
        <w:top w:val="none" w:sz="0" w:space="0" w:color="auto"/>
        <w:left w:val="none" w:sz="0" w:space="0" w:color="auto"/>
        <w:bottom w:val="none" w:sz="0" w:space="0" w:color="auto"/>
        <w:right w:val="none" w:sz="0" w:space="0" w:color="auto"/>
      </w:divBdr>
    </w:div>
    <w:div w:id="1640722959">
      <w:bodyDiv w:val="1"/>
      <w:marLeft w:val="0"/>
      <w:marRight w:val="0"/>
      <w:marTop w:val="0"/>
      <w:marBottom w:val="0"/>
      <w:divBdr>
        <w:top w:val="none" w:sz="0" w:space="0" w:color="auto"/>
        <w:left w:val="none" w:sz="0" w:space="0" w:color="auto"/>
        <w:bottom w:val="none" w:sz="0" w:space="0" w:color="auto"/>
        <w:right w:val="none" w:sz="0" w:space="0" w:color="auto"/>
      </w:divBdr>
    </w:div>
    <w:div w:id="1747461536">
      <w:marLeft w:val="0"/>
      <w:marRight w:val="0"/>
      <w:marTop w:val="0"/>
      <w:marBottom w:val="0"/>
      <w:divBdr>
        <w:top w:val="none" w:sz="0" w:space="0" w:color="auto"/>
        <w:left w:val="none" w:sz="0" w:space="0" w:color="auto"/>
        <w:bottom w:val="none" w:sz="0" w:space="0" w:color="auto"/>
        <w:right w:val="none" w:sz="0" w:space="0" w:color="auto"/>
      </w:divBdr>
      <w:divsChild>
        <w:div w:id="1747461535">
          <w:marLeft w:val="161"/>
          <w:marRight w:val="161"/>
          <w:marTop w:val="0"/>
          <w:marBottom w:val="54"/>
          <w:divBdr>
            <w:top w:val="single" w:sz="2" w:space="3" w:color="112449"/>
            <w:left w:val="single" w:sz="2" w:space="3" w:color="112449"/>
            <w:bottom w:val="single" w:sz="2" w:space="3" w:color="112449"/>
            <w:right w:val="single" w:sz="2" w:space="3" w:color="112449"/>
          </w:divBdr>
        </w:div>
      </w:divsChild>
    </w:div>
    <w:div w:id="1747461538">
      <w:marLeft w:val="0"/>
      <w:marRight w:val="0"/>
      <w:marTop w:val="0"/>
      <w:marBottom w:val="0"/>
      <w:divBdr>
        <w:top w:val="none" w:sz="0" w:space="0" w:color="auto"/>
        <w:left w:val="none" w:sz="0" w:space="0" w:color="auto"/>
        <w:bottom w:val="none" w:sz="0" w:space="0" w:color="auto"/>
        <w:right w:val="none" w:sz="0" w:space="0" w:color="auto"/>
      </w:divBdr>
    </w:div>
    <w:div w:id="1747461539">
      <w:marLeft w:val="45"/>
      <w:marRight w:val="45"/>
      <w:marTop w:val="90"/>
      <w:marBottom w:val="90"/>
      <w:divBdr>
        <w:top w:val="none" w:sz="0" w:space="0" w:color="auto"/>
        <w:left w:val="none" w:sz="0" w:space="0" w:color="auto"/>
        <w:bottom w:val="none" w:sz="0" w:space="0" w:color="auto"/>
        <w:right w:val="none" w:sz="0" w:space="0" w:color="auto"/>
      </w:divBdr>
      <w:divsChild>
        <w:div w:id="1747461537">
          <w:marLeft w:val="0"/>
          <w:marRight w:val="0"/>
          <w:marTop w:val="0"/>
          <w:marBottom w:val="567"/>
          <w:divBdr>
            <w:top w:val="none" w:sz="0" w:space="0" w:color="auto"/>
            <w:left w:val="none" w:sz="0" w:space="0" w:color="auto"/>
            <w:bottom w:val="none" w:sz="0" w:space="0" w:color="auto"/>
            <w:right w:val="none" w:sz="0" w:space="0" w:color="auto"/>
          </w:divBdr>
        </w:div>
      </w:divsChild>
    </w:div>
    <w:div w:id="1747461540">
      <w:marLeft w:val="0"/>
      <w:marRight w:val="0"/>
      <w:marTop w:val="0"/>
      <w:marBottom w:val="0"/>
      <w:divBdr>
        <w:top w:val="none" w:sz="0" w:space="0" w:color="auto"/>
        <w:left w:val="none" w:sz="0" w:space="0" w:color="auto"/>
        <w:bottom w:val="none" w:sz="0" w:space="0" w:color="auto"/>
        <w:right w:val="none" w:sz="0" w:space="0" w:color="auto"/>
      </w:divBdr>
    </w:div>
    <w:div w:id="17834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6CD2-D9E2-4CDE-8E12-46766C47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7098</Characters>
  <Application>Microsoft Office Word</Application>
  <DocSecurity>0</DocSecurity>
  <Lines>273</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21.septembra noteikumos Nr.899 "Likuma "par iedzīvotāju ienākuma nodokli" normu piemērošanas kārtība""sākotnējās ietekmes novērtējuma ziņojums (anotācija)</vt:lpstr>
      <vt:lpstr>Ministru kabineta noteikumu projekts "Grozījumi Ministru kabineta 2008.gada 22.septembra noteikumos Nr.784 "Ģenētiski modificēto organismus ierobežotās izmantošanas un atļaujas izsniegšanas kārtība"</vt:lpstr>
    </vt:vector>
  </TitlesOfParts>
  <Company>FM</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Nr.899 "Likuma "par iedzīvotāju ienākuma nodokli" normu piemērošanas kārtība""sākotnējās ietekmes novērtējuma ziņojums (anotācija)</dc:title>
  <dc:subject>Anotācija</dc:subject>
  <dc:creator>Inese Veinberga</dc:creator>
  <dc:description>Inese.Veinberga@fm.gov.lv_x000d_
67083848</dc:description>
  <cp:lastModifiedBy>Inese Veinberga</cp:lastModifiedBy>
  <cp:revision>7</cp:revision>
  <cp:lastPrinted>2013-12-14T06:55:00Z</cp:lastPrinted>
  <dcterms:created xsi:type="dcterms:W3CDTF">2013-12-12T11:43:00Z</dcterms:created>
  <dcterms:modified xsi:type="dcterms:W3CDTF">2013-12-14T13:45:00Z</dcterms:modified>
</cp:coreProperties>
</file>