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31570" w14:textId="305F5174" w:rsidR="00F06FE2" w:rsidRPr="001B4906" w:rsidRDefault="001B4906" w:rsidP="00F06FE2">
      <w:pPr>
        <w:pStyle w:val="BodyText"/>
        <w:rPr>
          <w:b/>
          <w:sz w:val="26"/>
          <w:szCs w:val="26"/>
        </w:rPr>
      </w:pPr>
      <w:bookmarkStart w:id="0" w:name="OLE_LINK6"/>
      <w:bookmarkStart w:id="1" w:name="OLE_LINK7"/>
      <w:bookmarkStart w:id="2" w:name="_GoBack"/>
      <w:bookmarkEnd w:id="2"/>
      <w:r w:rsidRPr="001B4906">
        <w:rPr>
          <w:b/>
          <w:sz w:val="26"/>
          <w:szCs w:val="26"/>
        </w:rPr>
        <w:t xml:space="preserve">Rīkojuma projekta </w:t>
      </w:r>
      <w:r w:rsidR="00744E45">
        <w:rPr>
          <w:b/>
          <w:sz w:val="26"/>
          <w:szCs w:val="26"/>
        </w:rPr>
        <w:t>„</w:t>
      </w:r>
      <w:r w:rsidR="00744E45" w:rsidRPr="00744E45">
        <w:rPr>
          <w:b/>
          <w:sz w:val="26"/>
          <w:szCs w:val="26"/>
        </w:rPr>
        <w:t>Par Valsts kases amatpersonu (darbinieku) motivēšanu un apropriācijas pārdalei novirzāmo finansējuma apjomu</w:t>
      </w:r>
      <w:r w:rsidR="00744E45">
        <w:rPr>
          <w:b/>
          <w:sz w:val="26"/>
          <w:szCs w:val="26"/>
        </w:rPr>
        <w:t>”</w:t>
      </w:r>
      <w:r w:rsidR="00744E45" w:rsidRPr="00744E45">
        <w:rPr>
          <w:b/>
          <w:sz w:val="26"/>
          <w:szCs w:val="26"/>
        </w:rPr>
        <w:t xml:space="preserve"> </w:t>
      </w:r>
      <w:r w:rsidR="00F06FE2" w:rsidRPr="001B4906">
        <w:rPr>
          <w:b/>
          <w:sz w:val="26"/>
          <w:szCs w:val="26"/>
        </w:rPr>
        <w:t>sākotnējās ietekmes novērtējuma ziņojums (anotācija</w:t>
      </w:r>
      <w:bookmarkEnd w:id="0"/>
      <w:bookmarkEnd w:id="1"/>
      <w:r w:rsidR="00F06FE2" w:rsidRPr="001B4906">
        <w:rPr>
          <w:b/>
          <w:sz w:val="26"/>
          <w:szCs w:val="26"/>
        </w:rPr>
        <w:t>)</w:t>
      </w:r>
    </w:p>
    <w:p w14:paraId="558A3FA1" w14:textId="77777777" w:rsidR="00F06FE2" w:rsidRPr="001B4906" w:rsidRDefault="00F06FE2" w:rsidP="00F06FE2">
      <w:pPr>
        <w:pStyle w:val="BodyText"/>
        <w:rPr>
          <w:sz w:val="26"/>
          <w:szCs w:val="26"/>
        </w:rPr>
      </w:pPr>
    </w:p>
    <w:tbl>
      <w:tblPr>
        <w:tblW w:w="878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8"/>
        <w:gridCol w:w="1897"/>
        <w:gridCol w:w="6356"/>
      </w:tblGrid>
      <w:tr w:rsidR="001B4906" w:rsidRPr="001B4906" w14:paraId="31A9BA8E" w14:textId="77777777" w:rsidTr="002A69C0">
        <w:trPr>
          <w:trHeight w:val="564"/>
          <w:tblCellSpacing w:w="0" w:type="dxa"/>
        </w:trPr>
        <w:tc>
          <w:tcPr>
            <w:tcW w:w="8781" w:type="dxa"/>
            <w:gridSpan w:val="3"/>
            <w:tcBorders>
              <w:top w:val="outset" w:sz="6" w:space="0" w:color="auto"/>
              <w:left w:val="outset" w:sz="6" w:space="0" w:color="auto"/>
              <w:bottom w:val="outset" w:sz="6" w:space="0" w:color="auto"/>
              <w:right w:val="outset" w:sz="6" w:space="0" w:color="auto"/>
            </w:tcBorders>
            <w:vAlign w:val="center"/>
          </w:tcPr>
          <w:p w14:paraId="33B7EA71" w14:textId="77777777" w:rsidR="00F06FE2" w:rsidRPr="001B4906" w:rsidRDefault="00F06FE2" w:rsidP="00BD4854">
            <w:pPr>
              <w:pStyle w:val="naisc"/>
              <w:jc w:val="center"/>
              <w:rPr>
                <w:sz w:val="26"/>
                <w:szCs w:val="26"/>
              </w:rPr>
            </w:pPr>
            <w:r w:rsidRPr="001B4906">
              <w:rPr>
                <w:bCs/>
                <w:sz w:val="26"/>
                <w:szCs w:val="26"/>
              </w:rPr>
              <w:t>I. Tiesību akta projekta izstrādes nepieciešamība</w:t>
            </w:r>
          </w:p>
        </w:tc>
      </w:tr>
      <w:tr w:rsidR="001B4906" w:rsidRPr="00535C4B" w14:paraId="061D4867" w14:textId="77777777" w:rsidTr="002A69C0">
        <w:trPr>
          <w:trHeight w:val="630"/>
          <w:tblCellSpacing w:w="0" w:type="dxa"/>
        </w:trPr>
        <w:tc>
          <w:tcPr>
            <w:tcW w:w="528" w:type="dxa"/>
            <w:tcBorders>
              <w:top w:val="outset" w:sz="6" w:space="0" w:color="auto"/>
              <w:left w:val="outset" w:sz="6" w:space="0" w:color="auto"/>
              <w:bottom w:val="outset" w:sz="6" w:space="0" w:color="auto"/>
              <w:right w:val="outset" w:sz="6" w:space="0" w:color="auto"/>
            </w:tcBorders>
          </w:tcPr>
          <w:p w14:paraId="5766BAB1" w14:textId="77777777" w:rsidR="00F06FE2" w:rsidRPr="001B4906" w:rsidRDefault="00F06FE2" w:rsidP="00BD4854">
            <w:pPr>
              <w:pStyle w:val="naiskr"/>
              <w:jc w:val="both"/>
              <w:rPr>
                <w:sz w:val="26"/>
                <w:szCs w:val="26"/>
              </w:rPr>
            </w:pPr>
            <w:r w:rsidRPr="001B4906">
              <w:rPr>
                <w:sz w:val="26"/>
                <w:szCs w:val="26"/>
              </w:rPr>
              <w:t> 1.</w:t>
            </w:r>
          </w:p>
        </w:tc>
        <w:tc>
          <w:tcPr>
            <w:tcW w:w="1897" w:type="dxa"/>
            <w:tcBorders>
              <w:top w:val="outset" w:sz="6" w:space="0" w:color="auto"/>
              <w:left w:val="outset" w:sz="6" w:space="0" w:color="auto"/>
              <w:bottom w:val="outset" w:sz="6" w:space="0" w:color="auto"/>
              <w:right w:val="outset" w:sz="6" w:space="0" w:color="auto"/>
            </w:tcBorders>
          </w:tcPr>
          <w:p w14:paraId="1B1501BA" w14:textId="77777777" w:rsidR="00F06FE2" w:rsidRPr="001B4906" w:rsidRDefault="00F06FE2" w:rsidP="00BD4854">
            <w:pPr>
              <w:pStyle w:val="naislab"/>
              <w:jc w:val="both"/>
              <w:rPr>
                <w:sz w:val="26"/>
                <w:szCs w:val="26"/>
              </w:rPr>
            </w:pPr>
            <w:r w:rsidRPr="001B4906">
              <w:rPr>
                <w:sz w:val="26"/>
                <w:szCs w:val="26"/>
              </w:rPr>
              <w:t>Pamatojums</w:t>
            </w:r>
          </w:p>
        </w:tc>
        <w:tc>
          <w:tcPr>
            <w:tcW w:w="6356" w:type="dxa"/>
            <w:tcBorders>
              <w:top w:val="outset" w:sz="6" w:space="0" w:color="auto"/>
              <w:left w:val="outset" w:sz="6" w:space="0" w:color="auto"/>
              <w:bottom w:val="outset" w:sz="6" w:space="0" w:color="auto"/>
              <w:right w:val="outset" w:sz="6" w:space="0" w:color="auto"/>
            </w:tcBorders>
          </w:tcPr>
          <w:p w14:paraId="0FF005DA" w14:textId="39173746" w:rsidR="00F06FE2" w:rsidRPr="001B4906" w:rsidRDefault="001B4906" w:rsidP="00340B49">
            <w:pPr>
              <w:jc w:val="both"/>
              <w:rPr>
                <w:bCs/>
                <w:sz w:val="26"/>
                <w:szCs w:val="26"/>
                <w:lang w:val="lv-LV"/>
              </w:rPr>
            </w:pPr>
            <w:r w:rsidRPr="001B4906">
              <w:rPr>
                <w:sz w:val="26"/>
                <w:szCs w:val="26"/>
                <w:lang w:val="lv-LV"/>
              </w:rPr>
              <w:t>Rīkojuma projekts</w:t>
            </w:r>
            <w:r w:rsidR="00F06FE2" w:rsidRPr="001B4906">
              <w:rPr>
                <w:sz w:val="26"/>
                <w:szCs w:val="26"/>
                <w:lang w:val="lv-LV"/>
              </w:rPr>
              <w:t xml:space="preserve"> sagatavots, </w:t>
            </w:r>
            <w:r w:rsidR="00340B49">
              <w:rPr>
                <w:sz w:val="26"/>
                <w:szCs w:val="26"/>
                <w:lang w:val="lv-LV"/>
              </w:rPr>
              <w:t>pamatojoties uz</w:t>
            </w:r>
            <w:r w:rsidR="00F06FE2" w:rsidRPr="001B4906">
              <w:rPr>
                <w:sz w:val="26"/>
                <w:szCs w:val="26"/>
                <w:lang w:val="lv-LV"/>
              </w:rPr>
              <w:t xml:space="preserve"> </w:t>
            </w:r>
            <w:r w:rsidR="00F934C4" w:rsidRPr="00F934C4">
              <w:rPr>
                <w:sz w:val="26"/>
                <w:szCs w:val="26"/>
                <w:lang w:val="lv-LV"/>
              </w:rPr>
              <w:t>Likuma “Par valsts budžetu 2013.gadam” 41.pant</w:t>
            </w:r>
            <w:r w:rsidR="00F934C4">
              <w:rPr>
                <w:sz w:val="26"/>
                <w:szCs w:val="26"/>
                <w:lang w:val="lv-LV"/>
              </w:rPr>
              <w:t>u, kas</w:t>
            </w:r>
            <w:r w:rsidR="00F934C4" w:rsidRPr="00F934C4">
              <w:rPr>
                <w:sz w:val="26"/>
                <w:szCs w:val="26"/>
                <w:lang w:val="lv-LV"/>
              </w:rPr>
              <w:t xml:space="preserve"> paredz, ka, ja 2013.gada deviņu mēnešu laikā valsts parāda vadības procesā iesaistīto Valsts kases amatpersonu (darbinieku) darbības rezultātā būtiski samazinās valsts budžeta izdevumi salīdzinājumā ar likuma “Par valsts budžetu 2013.gadam” spēkā stāšanās dienā plānotajiem procentu izdevumiem budžeta apakšprogrammā 31.02.00 “Valsts parāda vadība” un tiek prognozēts procentu izdevumu samazinājums līdz gada beigām, Ministru kabinets pieņem lēmumu par valsts parāda vadības procesā iesaistīto Valsts kases amatpersonu (darbinieku) motivēšanu un apropriācijas palielinājumam novirzāmo finansējuma apjomu, kas nepārsniedz 2 procentus no Ministru kabineta lēmuma pieņemšanas dienā zināmā un līdz gada beigām plānotā valsts budžeta procentu izdevumu samazinājuma kopsummas budžeta apakšprogrammā 31.02.00 “Valsts parāda vadība”.</w:t>
            </w:r>
          </w:p>
        </w:tc>
      </w:tr>
      <w:tr w:rsidR="00773BF4" w:rsidRPr="00535C4B" w14:paraId="00401325" w14:textId="77777777" w:rsidTr="002A69C0">
        <w:trPr>
          <w:trHeight w:val="472"/>
          <w:tblCellSpacing w:w="0" w:type="dxa"/>
        </w:trPr>
        <w:tc>
          <w:tcPr>
            <w:tcW w:w="528" w:type="dxa"/>
            <w:tcBorders>
              <w:top w:val="outset" w:sz="6" w:space="0" w:color="auto"/>
              <w:left w:val="outset" w:sz="6" w:space="0" w:color="auto"/>
              <w:bottom w:val="outset" w:sz="6" w:space="0" w:color="auto"/>
              <w:right w:val="outset" w:sz="6" w:space="0" w:color="auto"/>
            </w:tcBorders>
          </w:tcPr>
          <w:p w14:paraId="2C6F407B" w14:textId="77777777" w:rsidR="00F06FE2" w:rsidRPr="00773BF4" w:rsidRDefault="00F06FE2" w:rsidP="00BD4854">
            <w:pPr>
              <w:pStyle w:val="naiskr"/>
              <w:jc w:val="both"/>
              <w:rPr>
                <w:sz w:val="26"/>
                <w:szCs w:val="26"/>
              </w:rPr>
            </w:pPr>
            <w:r w:rsidRPr="00773BF4">
              <w:rPr>
                <w:sz w:val="26"/>
                <w:szCs w:val="26"/>
              </w:rPr>
              <w:t> 2.</w:t>
            </w:r>
          </w:p>
        </w:tc>
        <w:tc>
          <w:tcPr>
            <w:tcW w:w="1897" w:type="dxa"/>
            <w:tcBorders>
              <w:top w:val="outset" w:sz="6" w:space="0" w:color="auto"/>
              <w:left w:val="outset" w:sz="6" w:space="0" w:color="auto"/>
              <w:bottom w:val="outset" w:sz="6" w:space="0" w:color="auto"/>
              <w:right w:val="outset" w:sz="6" w:space="0" w:color="auto"/>
            </w:tcBorders>
          </w:tcPr>
          <w:p w14:paraId="5D20ECDF" w14:textId="0E84E3D3" w:rsidR="00F06FE2" w:rsidRPr="00773BF4" w:rsidRDefault="00F06FE2" w:rsidP="000522D9">
            <w:pPr>
              <w:pStyle w:val="naiskr"/>
              <w:jc w:val="both"/>
              <w:rPr>
                <w:sz w:val="26"/>
                <w:szCs w:val="26"/>
              </w:rPr>
            </w:pPr>
            <w:r w:rsidRPr="00F10055">
              <w:rPr>
                <w:sz w:val="26"/>
                <w:szCs w:val="26"/>
              </w:rPr>
              <w:t>Pašreizējā situācija un problēmas</w:t>
            </w:r>
          </w:p>
        </w:tc>
        <w:tc>
          <w:tcPr>
            <w:tcW w:w="6356" w:type="dxa"/>
            <w:tcBorders>
              <w:top w:val="outset" w:sz="6" w:space="0" w:color="auto"/>
              <w:left w:val="outset" w:sz="6" w:space="0" w:color="auto"/>
              <w:bottom w:val="outset" w:sz="6" w:space="0" w:color="auto"/>
              <w:right w:val="outset" w:sz="6" w:space="0" w:color="auto"/>
            </w:tcBorders>
          </w:tcPr>
          <w:p w14:paraId="6AD1BD7B" w14:textId="76DCFF6A" w:rsidR="00E669AA" w:rsidRPr="008D501B" w:rsidRDefault="005628E4" w:rsidP="00E669AA">
            <w:pPr>
              <w:jc w:val="both"/>
              <w:rPr>
                <w:bCs/>
                <w:sz w:val="26"/>
                <w:szCs w:val="26"/>
                <w:lang w:val="lv-LV"/>
              </w:rPr>
            </w:pPr>
            <w:r w:rsidRPr="005628E4">
              <w:rPr>
                <w:bCs/>
                <w:sz w:val="26"/>
                <w:szCs w:val="26"/>
                <w:lang w:val="lv-LV"/>
              </w:rPr>
              <w:t xml:space="preserve">Saskaņā ar likumu „Par valsts budžetu 2013.gadam” apropriācija </w:t>
            </w:r>
            <w:r w:rsidR="00A510EC">
              <w:rPr>
                <w:bCs/>
                <w:sz w:val="26"/>
                <w:szCs w:val="26"/>
                <w:lang w:val="lv-LV"/>
              </w:rPr>
              <w:t xml:space="preserve">Finanšu ministrijas </w:t>
            </w:r>
            <w:r w:rsidRPr="005628E4">
              <w:rPr>
                <w:bCs/>
                <w:sz w:val="26"/>
                <w:szCs w:val="26"/>
                <w:lang w:val="lv-LV"/>
              </w:rPr>
              <w:t>apakšprogrammai 31.02.00 “Valsts parāda vadība”</w:t>
            </w:r>
            <w:r w:rsidR="00790073">
              <w:rPr>
                <w:bCs/>
                <w:sz w:val="26"/>
                <w:szCs w:val="26"/>
                <w:lang w:val="lv-LV"/>
              </w:rPr>
              <w:t xml:space="preserve"> (turpmāk – apakšprogramma), kuras plānošanu un izpildi veic Valsts kase,</w:t>
            </w:r>
            <w:r w:rsidRPr="005628E4">
              <w:rPr>
                <w:bCs/>
                <w:sz w:val="26"/>
                <w:szCs w:val="26"/>
                <w:lang w:val="lv-LV"/>
              </w:rPr>
              <w:t xml:space="preserve"> tika noteikta 249,7 </w:t>
            </w:r>
            <w:proofErr w:type="spellStart"/>
            <w:r w:rsidRPr="005628E4">
              <w:rPr>
                <w:bCs/>
                <w:sz w:val="26"/>
                <w:szCs w:val="26"/>
                <w:lang w:val="lv-LV"/>
              </w:rPr>
              <w:t>milj.latu</w:t>
            </w:r>
            <w:proofErr w:type="spellEnd"/>
            <w:r w:rsidRPr="005628E4">
              <w:rPr>
                <w:bCs/>
                <w:sz w:val="26"/>
                <w:szCs w:val="26"/>
                <w:lang w:val="lv-LV"/>
              </w:rPr>
              <w:t xml:space="preserve"> apmērā, </w:t>
            </w:r>
            <w:proofErr w:type="spellStart"/>
            <w:r w:rsidRPr="005628E4">
              <w:rPr>
                <w:bCs/>
                <w:sz w:val="26"/>
                <w:szCs w:val="26"/>
                <w:lang w:val="lv-LV"/>
              </w:rPr>
              <w:t>t.sk</w:t>
            </w:r>
            <w:proofErr w:type="spellEnd"/>
            <w:r w:rsidRPr="005628E4">
              <w:rPr>
                <w:bCs/>
                <w:sz w:val="26"/>
                <w:szCs w:val="26"/>
                <w:lang w:val="lv-LV"/>
              </w:rPr>
              <w:t xml:space="preserve">. procentu izdevumiem 245,2 </w:t>
            </w:r>
            <w:proofErr w:type="spellStart"/>
            <w:r w:rsidRPr="005628E4">
              <w:rPr>
                <w:bCs/>
                <w:sz w:val="26"/>
                <w:szCs w:val="26"/>
                <w:lang w:val="lv-LV"/>
              </w:rPr>
              <w:t>milj.latu</w:t>
            </w:r>
            <w:proofErr w:type="spellEnd"/>
            <w:r w:rsidRPr="005628E4">
              <w:rPr>
                <w:bCs/>
                <w:sz w:val="26"/>
                <w:szCs w:val="26"/>
                <w:lang w:val="lv-LV"/>
              </w:rPr>
              <w:t xml:space="preserve"> apmērā. Ņemot vērā apakšprogrammas faktiskās izpildes rezultātus 2013.gada janvārī – novembrī un prognozēto apakšprogrammas izdevumu izpildi 2013.gada decembrī, apakšprogrammas izdevumu sagaidāmā izpilde 2013.gadā novērtēta 216,2 </w:t>
            </w:r>
            <w:proofErr w:type="spellStart"/>
            <w:r w:rsidRPr="005628E4">
              <w:rPr>
                <w:bCs/>
                <w:sz w:val="26"/>
                <w:szCs w:val="26"/>
                <w:lang w:val="lv-LV"/>
              </w:rPr>
              <w:t>milj.latu</w:t>
            </w:r>
            <w:proofErr w:type="spellEnd"/>
            <w:r w:rsidRPr="005628E4">
              <w:rPr>
                <w:bCs/>
                <w:sz w:val="26"/>
                <w:szCs w:val="26"/>
                <w:lang w:val="lv-LV"/>
              </w:rPr>
              <w:t xml:space="preserve"> apmērā</w:t>
            </w:r>
            <w:r w:rsidR="00790073">
              <w:rPr>
                <w:bCs/>
                <w:sz w:val="26"/>
                <w:szCs w:val="26"/>
                <w:lang w:val="lv-LV"/>
              </w:rPr>
              <w:t xml:space="preserve">, </w:t>
            </w:r>
            <w:proofErr w:type="spellStart"/>
            <w:r w:rsidR="00790073">
              <w:rPr>
                <w:bCs/>
                <w:sz w:val="26"/>
                <w:szCs w:val="26"/>
                <w:lang w:val="lv-LV"/>
              </w:rPr>
              <w:t>t.sk</w:t>
            </w:r>
            <w:proofErr w:type="spellEnd"/>
            <w:r w:rsidR="00790073">
              <w:rPr>
                <w:bCs/>
                <w:sz w:val="26"/>
                <w:szCs w:val="26"/>
                <w:lang w:val="lv-LV"/>
              </w:rPr>
              <w:t>.</w:t>
            </w:r>
            <w:r w:rsidR="00790073" w:rsidRPr="00790073">
              <w:rPr>
                <w:lang w:val="lv-LV"/>
              </w:rPr>
              <w:t xml:space="preserve"> </w:t>
            </w:r>
            <w:r w:rsidR="00790073" w:rsidRPr="00790073">
              <w:rPr>
                <w:bCs/>
                <w:sz w:val="26"/>
                <w:szCs w:val="26"/>
                <w:lang w:val="lv-LV"/>
              </w:rPr>
              <w:t>procentu izdevum</w:t>
            </w:r>
            <w:r w:rsidR="00790073">
              <w:rPr>
                <w:bCs/>
                <w:sz w:val="26"/>
                <w:szCs w:val="26"/>
                <w:lang w:val="lv-LV"/>
              </w:rPr>
              <w:t xml:space="preserve">i prognozēti 210,7 </w:t>
            </w:r>
            <w:proofErr w:type="spellStart"/>
            <w:r w:rsidR="00790073">
              <w:rPr>
                <w:bCs/>
                <w:sz w:val="26"/>
                <w:szCs w:val="26"/>
                <w:lang w:val="lv-LV"/>
              </w:rPr>
              <w:t>milj.latu</w:t>
            </w:r>
            <w:proofErr w:type="spellEnd"/>
            <w:r w:rsidR="00790073">
              <w:rPr>
                <w:bCs/>
                <w:sz w:val="26"/>
                <w:szCs w:val="26"/>
                <w:lang w:val="lv-LV"/>
              </w:rPr>
              <w:t xml:space="preserve"> apmērā</w:t>
            </w:r>
            <w:r w:rsidRPr="008D501B">
              <w:rPr>
                <w:bCs/>
                <w:sz w:val="26"/>
                <w:szCs w:val="26"/>
                <w:lang w:val="lv-LV"/>
              </w:rPr>
              <w:t>.</w:t>
            </w:r>
            <w:r w:rsidR="00790073" w:rsidRPr="008D501B">
              <w:rPr>
                <w:bCs/>
                <w:sz w:val="26"/>
                <w:szCs w:val="26"/>
                <w:lang w:val="lv-LV"/>
              </w:rPr>
              <w:t xml:space="preserve"> </w:t>
            </w:r>
            <w:r w:rsidRPr="008D501B">
              <w:rPr>
                <w:bCs/>
                <w:sz w:val="26"/>
                <w:szCs w:val="26"/>
                <w:lang w:val="lv-LV"/>
              </w:rPr>
              <w:t>Līdz ar to apakšprogramm</w:t>
            </w:r>
            <w:r w:rsidR="00790073" w:rsidRPr="008D501B">
              <w:rPr>
                <w:bCs/>
                <w:sz w:val="26"/>
                <w:szCs w:val="26"/>
                <w:lang w:val="lv-LV"/>
              </w:rPr>
              <w:t xml:space="preserve">ā paredzētajos procentu </w:t>
            </w:r>
            <w:r w:rsidRPr="008D501B">
              <w:rPr>
                <w:bCs/>
                <w:sz w:val="26"/>
                <w:szCs w:val="26"/>
                <w:lang w:val="lv-LV"/>
              </w:rPr>
              <w:t>izdevumos 2013.gadā  prognozēts ietaupījums 3</w:t>
            </w:r>
            <w:r w:rsidR="008D501B" w:rsidRPr="008D501B">
              <w:rPr>
                <w:bCs/>
                <w:sz w:val="26"/>
                <w:szCs w:val="26"/>
                <w:lang w:val="lv-LV"/>
              </w:rPr>
              <w:t>4</w:t>
            </w:r>
            <w:r w:rsidRPr="008D501B">
              <w:rPr>
                <w:bCs/>
                <w:sz w:val="26"/>
                <w:szCs w:val="26"/>
                <w:lang w:val="lv-LV"/>
              </w:rPr>
              <w:t xml:space="preserve">,5 </w:t>
            </w:r>
            <w:proofErr w:type="spellStart"/>
            <w:r w:rsidRPr="008D501B">
              <w:rPr>
                <w:bCs/>
                <w:sz w:val="26"/>
                <w:szCs w:val="26"/>
                <w:lang w:val="lv-LV"/>
              </w:rPr>
              <w:t>milj.latu</w:t>
            </w:r>
            <w:proofErr w:type="spellEnd"/>
            <w:r w:rsidRPr="008D501B">
              <w:rPr>
                <w:bCs/>
                <w:sz w:val="26"/>
                <w:szCs w:val="26"/>
                <w:lang w:val="lv-LV"/>
              </w:rPr>
              <w:t xml:space="preserve"> apmērā </w:t>
            </w:r>
            <w:r w:rsidR="008D501B" w:rsidRPr="008D501B">
              <w:rPr>
                <w:bCs/>
                <w:sz w:val="26"/>
                <w:szCs w:val="26"/>
                <w:lang w:val="lv-LV"/>
              </w:rPr>
              <w:t xml:space="preserve">salīdzinājumā ar likumā “Par valsts budžetu 2013.gadam” plānotajiem procentu izdevumiem </w:t>
            </w:r>
            <w:r w:rsidRPr="008D501B">
              <w:rPr>
                <w:bCs/>
                <w:sz w:val="26"/>
                <w:szCs w:val="26"/>
                <w:lang w:val="lv-LV"/>
              </w:rPr>
              <w:t xml:space="preserve">un šī ietaupījuma lielāko daļu (20,4 </w:t>
            </w:r>
            <w:proofErr w:type="spellStart"/>
            <w:r w:rsidRPr="008D501B">
              <w:rPr>
                <w:bCs/>
                <w:sz w:val="26"/>
                <w:szCs w:val="26"/>
                <w:lang w:val="lv-LV"/>
              </w:rPr>
              <w:t>milj.latu</w:t>
            </w:r>
            <w:proofErr w:type="spellEnd"/>
            <w:r w:rsidRPr="008D501B">
              <w:rPr>
                <w:bCs/>
                <w:sz w:val="26"/>
                <w:szCs w:val="26"/>
                <w:lang w:val="lv-LV"/>
              </w:rPr>
              <w:t xml:space="preserve">) ir nodrošinājusi Valsts kases darbība, veicot </w:t>
            </w:r>
            <w:r w:rsidR="008D501B">
              <w:rPr>
                <w:bCs/>
                <w:sz w:val="26"/>
                <w:szCs w:val="26"/>
                <w:lang w:val="lv-LV"/>
              </w:rPr>
              <w:t xml:space="preserve">virkni uz procentu izdevumu samazināšanu vērstu </w:t>
            </w:r>
            <w:r w:rsidRPr="008D501B">
              <w:rPr>
                <w:bCs/>
                <w:sz w:val="26"/>
                <w:szCs w:val="26"/>
                <w:lang w:val="lv-LV"/>
              </w:rPr>
              <w:t>pasākumu valsts parāda vadības jomā</w:t>
            </w:r>
            <w:r w:rsidR="008D501B" w:rsidRPr="008D501B">
              <w:rPr>
                <w:bCs/>
                <w:sz w:val="26"/>
                <w:szCs w:val="26"/>
                <w:lang w:val="lv-LV"/>
              </w:rPr>
              <w:t>.</w:t>
            </w:r>
            <w:r w:rsidRPr="008D501B">
              <w:rPr>
                <w:bCs/>
                <w:sz w:val="26"/>
                <w:szCs w:val="26"/>
                <w:lang w:val="lv-LV"/>
              </w:rPr>
              <w:t xml:space="preserve"> </w:t>
            </w:r>
            <w:r w:rsidR="00E669AA" w:rsidRPr="008D501B">
              <w:rPr>
                <w:bCs/>
                <w:sz w:val="26"/>
                <w:szCs w:val="26"/>
                <w:lang w:val="lv-LV"/>
              </w:rPr>
              <w:t xml:space="preserve">Novērtējot Valsts kases veiktās darbības </w:t>
            </w:r>
            <w:r w:rsidR="008D501B" w:rsidRPr="008D501B">
              <w:rPr>
                <w:bCs/>
                <w:sz w:val="26"/>
                <w:szCs w:val="26"/>
                <w:lang w:val="lv-LV"/>
              </w:rPr>
              <w:t xml:space="preserve">valsts parāda vadības jomā </w:t>
            </w:r>
            <w:r w:rsidR="00E669AA" w:rsidRPr="008D501B">
              <w:rPr>
                <w:bCs/>
                <w:sz w:val="26"/>
                <w:szCs w:val="26"/>
                <w:lang w:val="lv-LV"/>
              </w:rPr>
              <w:t xml:space="preserve">2012.gada noslēgumā un 2013.gada laikā, nodrošinot </w:t>
            </w:r>
            <w:r w:rsidR="008D501B" w:rsidRPr="008D501B">
              <w:rPr>
                <w:bCs/>
                <w:sz w:val="26"/>
                <w:szCs w:val="26"/>
                <w:lang w:val="lv-LV"/>
              </w:rPr>
              <w:t xml:space="preserve">iepriekš minēto </w:t>
            </w:r>
            <w:r w:rsidR="00E669AA" w:rsidRPr="008D501B">
              <w:rPr>
                <w:bCs/>
                <w:sz w:val="26"/>
                <w:szCs w:val="26"/>
                <w:lang w:val="lv-LV"/>
              </w:rPr>
              <w:t xml:space="preserve">valsts budžeta izdevumu samazinājumu </w:t>
            </w:r>
            <w:r w:rsidR="008D501B" w:rsidRPr="008D501B">
              <w:rPr>
                <w:bCs/>
                <w:sz w:val="26"/>
                <w:szCs w:val="26"/>
                <w:lang w:val="lv-LV"/>
              </w:rPr>
              <w:t>apakšprogrammā</w:t>
            </w:r>
            <w:r w:rsidR="00E669AA" w:rsidRPr="008D501B">
              <w:rPr>
                <w:bCs/>
                <w:sz w:val="26"/>
                <w:szCs w:val="26"/>
                <w:lang w:val="lv-LV"/>
              </w:rPr>
              <w:t>, jā</w:t>
            </w:r>
            <w:r w:rsidR="008D501B">
              <w:rPr>
                <w:bCs/>
                <w:sz w:val="26"/>
                <w:szCs w:val="26"/>
                <w:lang w:val="lv-LV"/>
              </w:rPr>
              <w:t>izceļ</w:t>
            </w:r>
            <w:r w:rsidR="00E669AA" w:rsidRPr="008D501B">
              <w:rPr>
                <w:bCs/>
                <w:sz w:val="26"/>
                <w:szCs w:val="26"/>
                <w:lang w:val="lv-LV"/>
              </w:rPr>
              <w:t xml:space="preserve"> veikto pasākumu būtiskākie rezultāti un valstiski svarīgi ieguvumi:</w:t>
            </w:r>
          </w:p>
          <w:p w14:paraId="0B5F1318" w14:textId="1165B4FC" w:rsidR="00E669AA" w:rsidRPr="00E669AA" w:rsidRDefault="00E669AA" w:rsidP="00E669AA">
            <w:pPr>
              <w:jc w:val="both"/>
              <w:rPr>
                <w:bCs/>
                <w:sz w:val="26"/>
                <w:szCs w:val="26"/>
                <w:lang w:val="lv-LV"/>
              </w:rPr>
            </w:pPr>
            <w:r w:rsidRPr="00E669AA">
              <w:rPr>
                <w:bCs/>
                <w:sz w:val="26"/>
                <w:szCs w:val="26"/>
                <w:lang w:val="lv-LV"/>
              </w:rPr>
              <w:t>1)</w:t>
            </w:r>
            <w:r w:rsidRPr="00E669AA">
              <w:rPr>
                <w:bCs/>
                <w:sz w:val="26"/>
                <w:szCs w:val="26"/>
                <w:lang w:val="lv-LV"/>
              </w:rPr>
              <w:tab/>
            </w:r>
            <w:r w:rsidR="008D501B">
              <w:rPr>
                <w:bCs/>
                <w:sz w:val="26"/>
                <w:szCs w:val="26"/>
                <w:lang w:val="lv-LV"/>
              </w:rPr>
              <w:t xml:space="preserve">Valsts kases </w:t>
            </w:r>
            <w:r w:rsidR="008D501B" w:rsidRPr="00E669AA">
              <w:rPr>
                <w:bCs/>
                <w:sz w:val="26"/>
                <w:szCs w:val="26"/>
                <w:lang w:val="lv-LV"/>
              </w:rPr>
              <w:t>organizē</w:t>
            </w:r>
            <w:r w:rsidR="008D501B">
              <w:rPr>
                <w:bCs/>
                <w:sz w:val="26"/>
                <w:szCs w:val="26"/>
                <w:lang w:val="lv-LV"/>
              </w:rPr>
              <w:t>tā</w:t>
            </w:r>
            <w:r w:rsidR="008D501B" w:rsidRPr="00E669AA">
              <w:rPr>
                <w:bCs/>
                <w:sz w:val="26"/>
                <w:szCs w:val="26"/>
                <w:lang w:val="lv-LV"/>
              </w:rPr>
              <w:t xml:space="preserve"> </w:t>
            </w:r>
            <w:r w:rsidR="008D501B">
              <w:rPr>
                <w:bCs/>
                <w:sz w:val="26"/>
                <w:szCs w:val="26"/>
                <w:lang w:val="lv-LV"/>
              </w:rPr>
              <w:t>a</w:t>
            </w:r>
            <w:r w:rsidRPr="00E669AA">
              <w:rPr>
                <w:bCs/>
                <w:sz w:val="26"/>
                <w:szCs w:val="26"/>
                <w:lang w:val="lv-LV"/>
              </w:rPr>
              <w:t xml:space="preserve">izņemšanās starptautiskajos </w:t>
            </w:r>
            <w:r w:rsidRPr="00E669AA">
              <w:rPr>
                <w:bCs/>
                <w:sz w:val="26"/>
                <w:szCs w:val="26"/>
                <w:lang w:val="lv-LV"/>
              </w:rPr>
              <w:lastRenderedPageBreak/>
              <w:t xml:space="preserve">finanšu tirgos 2012.gada decembrī ar vēsturiski zemāko procentu likmi, izmantojot īpaši labvēlīgu situāciju finanšu tirgos un pozitīvas izmaiņas Latvijas kredītreitinga līmenī. Septiņu gadu eiroobligāciju emisiju 1,25 </w:t>
            </w:r>
            <w:proofErr w:type="spellStart"/>
            <w:r w:rsidRPr="00E669AA">
              <w:rPr>
                <w:bCs/>
                <w:sz w:val="26"/>
                <w:szCs w:val="26"/>
                <w:lang w:val="lv-LV"/>
              </w:rPr>
              <w:t>mljrd</w:t>
            </w:r>
            <w:proofErr w:type="spellEnd"/>
            <w:r w:rsidRPr="00E669AA">
              <w:rPr>
                <w:bCs/>
                <w:sz w:val="26"/>
                <w:szCs w:val="26"/>
                <w:lang w:val="lv-LV"/>
              </w:rPr>
              <w:t>. ASV dolāru apmērā var uzskatīt par īpaši veiksmīgu darījumu, jo tajā tika fiksēta kupona likme 2,75%, kas ir vēsturiski zemākā vērtspapīru procentu likme, kopš Latvija veic publiskus aizņēmumus starptautiskajos finanšu tirgos, un zemākā likme salīdzinājumā ar līdzīgu valstu aizņēmuma likmēm. Valsts kases izvēlētā un finanšu ministra apstiprinātā vidēja termiņa aizņemšanās stratēģija un elastīga pieeja aizņemšanās pasākumu veikšanā</w:t>
            </w:r>
            <w:r w:rsidR="008D501B">
              <w:rPr>
                <w:bCs/>
                <w:sz w:val="26"/>
                <w:szCs w:val="26"/>
                <w:lang w:val="lv-LV"/>
              </w:rPr>
              <w:t>, izvēloties pēc iespējas labvēlīgāko aizņemšanās brīdi,</w:t>
            </w:r>
            <w:r w:rsidRPr="00E669AA">
              <w:rPr>
                <w:bCs/>
                <w:sz w:val="26"/>
                <w:szCs w:val="26"/>
                <w:lang w:val="lv-LV"/>
              </w:rPr>
              <w:t xml:space="preserve"> ir attaisnojusies, jo Valsts kases darbības rezultātā ir izdevies kapitalizēt finanšu tirgus izdevīguma brīdi valsts parāda apkalpošanas izdevumos un gūt vērā ņemamu valsts budžeta līdzekļu ietaupījumu ne tikai 2013.gadā, bet arī turpmākajos gados.</w:t>
            </w:r>
          </w:p>
          <w:p w14:paraId="596C397D" w14:textId="3FBBAFCD" w:rsidR="00E669AA" w:rsidRPr="00E669AA" w:rsidRDefault="00E669AA" w:rsidP="00E669AA">
            <w:pPr>
              <w:jc w:val="both"/>
              <w:rPr>
                <w:bCs/>
                <w:sz w:val="26"/>
                <w:szCs w:val="26"/>
                <w:lang w:val="lv-LV"/>
              </w:rPr>
            </w:pPr>
            <w:r w:rsidRPr="00E669AA">
              <w:rPr>
                <w:bCs/>
                <w:sz w:val="26"/>
                <w:szCs w:val="26"/>
                <w:lang w:val="lv-LV"/>
              </w:rPr>
              <w:t>2)</w:t>
            </w:r>
            <w:r w:rsidRPr="00E669AA">
              <w:rPr>
                <w:bCs/>
                <w:sz w:val="26"/>
                <w:szCs w:val="26"/>
                <w:lang w:val="lv-LV"/>
              </w:rPr>
              <w:tab/>
            </w:r>
            <w:r w:rsidR="00373DEE">
              <w:rPr>
                <w:bCs/>
                <w:sz w:val="26"/>
                <w:szCs w:val="26"/>
                <w:lang w:val="lv-LV"/>
              </w:rPr>
              <w:t xml:space="preserve">Valsts kases veiktā </w:t>
            </w:r>
            <w:r w:rsidRPr="00E669AA">
              <w:rPr>
                <w:bCs/>
                <w:sz w:val="26"/>
                <w:szCs w:val="26"/>
                <w:lang w:val="lv-LV"/>
              </w:rPr>
              <w:t>Starptautiskā Valūtas fonda</w:t>
            </w:r>
            <w:r w:rsidR="00373DEE">
              <w:rPr>
                <w:bCs/>
                <w:sz w:val="26"/>
                <w:szCs w:val="26"/>
                <w:lang w:val="lv-LV"/>
              </w:rPr>
              <w:t xml:space="preserve"> (turpmāk – SVF)</w:t>
            </w:r>
            <w:r w:rsidRPr="00E669AA">
              <w:rPr>
                <w:bCs/>
                <w:sz w:val="26"/>
                <w:szCs w:val="26"/>
                <w:lang w:val="lv-LV"/>
              </w:rPr>
              <w:t xml:space="preserve"> aizdevuma pirmstermiņa atmaksa pilnā apjomā 2012.gadā, nodrošinot finansiāli izdevīgu Valsts kases kontos pieejamo resursu izmantošanu un pārfinansējot dārgu īstermiņa aizņēmumu no </w:t>
            </w:r>
            <w:r w:rsidR="00373DEE" w:rsidRPr="00373DEE">
              <w:rPr>
                <w:bCs/>
                <w:sz w:val="26"/>
                <w:szCs w:val="26"/>
                <w:lang w:val="lv-LV"/>
              </w:rPr>
              <w:t>SV</w:t>
            </w:r>
            <w:r w:rsidR="00373DEE">
              <w:rPr>
                <w:bCs/>
                <w:sz w:val="26"/>
                <w:szCs w:val="26"/>
                <w:lang w:val="lv-LV"/>
              </w:rPr>
              <w:t>F</w:t>
            </w:r>
            <w:r w:rsidRPr="00E669AA">
              <w:rPr>
                <w:bCs/>
                <w:sz w:val="26"/>
                <w:szCs w:val="26"/>
                <w:lang w:val="lv-LV"/>
              </w:rPr>
              <w:t xml:space="preserve"> ar lētiem ilgtermiņa aizņēmuma resursiem, kuri tika piesaistīti starptautiskajos finanšu tirgos 2012.gada decembrī. Atmaksājot </w:t>
            </w:r>
            <w:r w:rsidR="00373DEE">
              <w:rPr>
                <w:bCs/>
                <w:sz w:val="26"/>
                <w:szCs w:val="26"/>
                <w:lang w:val="lv-LV"/>
              </w:rPr>
              <w:t>SVF</w:t>
            </w:r>
            <w:r w:rsidRPr="00E669AA">
              <w:rPr>
                <w:bCs/>
                <w:sz w:val="26"/>
                <w:szCs w:val="26"/>
                <w:lang w:val="lv-LV"/>
              </w:rPr>
              <w:t xml:space="preserve"> aizdevumu </w:t>
            </w:r>
            <w:r w:rsidR="00373DEE">
              <w:rPr>
                <w:bCs/>
                <w:sz w:val="26"/>
                <w:szCs w:val="26"/>
                <w:lang w:val="lv-LV"/>
              </w:rPr>
              <w:t xml:space="preserve">pilnā apmērā </w:t>
            </w:r>
            <w:r w:rsidRPr="00E669AA">
              <w:rPr>
                <w:bCs/>
                <w:sz w:val="26"/>
                <w:szCs w:val="26"/>
                <w:lang w:val="lv-LV"/>
              </w:rPr>
              <w:t>pirms termiņa, tika nodrošināts valsts budžeta līdzekļu ietaupījums</w:t>
            </w:r>
            <w:r w:rsidR="005628E4">
              <w:rPr>
                <w:bCs/>
                <w:sz w:val="26"/>
                <w:szCs w:val="26"/>
                <w:lang w:val="lv-LV"/>
              </w:rPr>
              <w:t xml:space="preserve"> </w:t>
            </w:r>
            <w:r w:rsidR="00373DEE">
              <w:rPr>
                <w:bCs/>
                <w:sz w:val="26"/>
                <w:szCs w:val="26"/>
                <w:lang w:val="lv-LV"/>
              </w:rPr>
              <w:t xml:space="preserve">gan 2013.gadā, gan </w:t>
            </w:r>
            <w:r w:rsidR="005628E4">
              <w:rPr>
                <w:bCs/>
                <w:sz w:val="26"/>
                <w:szCs w:val="26"/>
                <w:lang w:val="lv-LV"/>
              </w:rPr>
              <w:t>vidējā termiņā</w:t>
            </w:r>
            <w:r w:rsidRPr="00E669AA">
              <w:rPr>
                <w:bCs/>
                <w:sz w:val="26"/>
                <w:szCs w:val="26"/>
                <w:lang w:val="lv-LV"/>
              </w:rPr>
              <w:t>, kā arī tika būtiski samazināts īstermiņa valsts parāda pārfinansēšanas risks, jo SVF aizdevuma saistības veidoja lielāko atmaksājamā valsts parāda apjomu 2012.-2013.gadā. Turklāt, nodrošinot starptautiskā aizņēmuma programmas laikā Latvijai piešķirta finansējuma daļēju atmaksu pirms termiņa, Valsts kase ir veicinājusi Latvijas kā droša un atbildīga aizņēmēja tēla atgūšanu un nostiprināšanu, pārliecinoši demonstrējot finanšu tirgu dalībniekiem valsts spēju pārfinansēt krīzes laikā saņemtos subsidētos aizņēmumus ar ilgtermiņa aizņēmumu resursiem, kuri tika piesaistīti finanšu tirgos ar ļoti labvēlīgiem nosacījumiem.</w:t>
            </w:r>
          </w:p>
          <w:p w14:paraId="1B6794A3" w14:textId="3E3CF14C" w:rsidR="00B8196A" w:rsidRPr="00E669AA" w:rsidRDefault="00E669AA" w:rsidP="00E669AA">
            <w:pPr>
              <w:jc w:val="both"/>
              <w:rPr>
                <w:bCs/>
                <w:sz w:val="26"/>
                <w:szCs w:val="26"/>
                <w:lang w:val="lv-LV"/>
              </w:rPr>
            </w:pPr>
            <w:r w:rsidRPr="00E669AA">
              <w:rPr>
                <w:bCs/>
                <w:sz w:val="26"/>
                <w:szCs w:val="26"/>
                <w:lang w:val="lv-LV"/>
              </w:rPr>
              <w:t>3)</w:t>
            </w:r>
            <w:r w:rsidRPr="00E669AA">
              <w:rPr>
                <w:bCs/>
                <w:sz w:val="26"/>
                <w:szCs w:val="26"/>
                <w:lang w:val="lv-LV"/>
              </w:rPr>
              <w:tab/>
              <w:t xml:space="preserve">Iekšzemes finanšu tirgus potenciāla pilnvērtīga izmantošana un attīstīšana, </w:t>
            </w:r>
            <w:r w:rsidR="00B8196A">
              <w:rPr>
                <w:bCs/>
                <w:sz w:val="26"/>
                <w:szCs w:val="26"/>
                <w:lang w:val="lv-LV"/>
              </w:rPr>
              <w:t xml:space="preserve">Valsts kasei </w:t>
            </w:r>
            <w:r w:rsidR="00373DEE">
              <w:rPr>
                <w:bCs/>
                <w:sz w:val="26"/>
                <w:szCs w:val="26"/>
                <w:lang w:val="lv-LV"/>
              </w:rPr>
              <w:t>ieviešot primāro dīleru sistēmu</w:t>
            </w:r>
            <w:r w:rsidR="00B8196A">
              <w:rPr>
                <w:bCs/>
                <w:sz w:val="26"/>
                <w:szCs w:val="26"/>
                <w:lang w:val="lv-LV"/>
              </w:rPr>
              <w:t xml:space="preserve"> </w:t>
            </w:r>
            <w:r w:rsidR="00B8196A" w:rsidRPr="00B8196A">
              <w:rPr>
                <w:bCs/>
                <w:sz w:val="26"/>
                <w:szCs w:val="26"/>
                <w:lang w:val="lv-LV"/>
              </w:rPr>
              <w:t xml:space="preserve">valsts </w:t>
            </w:r>
            <w:r w:rsidR="00B8196A">
              <w:rPr>
                <w:bCs/>
                <w:sz w:val="26"/>
                <w:szCs w:val="26"/>
                <w:lang w:val="lv-LV"/>
              </w:rPr>
              <w:t xml:space="preserve">iekšējā aizņēmuma </w:t>
            </w:r>
            <w:r w:rsidR="00B8196A" w:rsidRPr="00B8196A">
              <w:rPr>
                <w:bCs/>
                <w:sz w:val="26"/>
                <w:szCs w:val="26"/>
                <w:lang w:val="lv-LV"/>
              </w:rPr>
              <w:t>vērtspapīru iegādes procesā</w:t>
            </w:r>
            <w:r w:rsidR="00373DEE">
              <w:rPr>
                <w:bCs/>
                <w:sz w:val="26"/>
                <w:szCs w:val="26"/>
                <w:lang w:val="lv-LV"/>
              </w:rPr>
              <w:t xml:space="preserve">, </w:t>
            </w:r>
            <w:r w:rsidRPr="00E669AA">
              <w:rPr>
                <w:bCs/>
                <w:sz w:val="26"/>
                <w:szCs w:val="26"/>
                <w:lang w:val="lv-LV"/>
              </w:rPr>
              <w:t xml:space="preserve">kā rezultātā valsts vērtspapīru tirgus kļuva aktīvāks, likvīdāks un investoriem pievilcīgāks, veicinot vēsturiski zemāko aizņemšanās likmju uzturēšanu valsts iekšējā aizņēmuma vērtspapīru izsolēs un investoru interesi par ieguldījumiem visu termiņu valsts vērtspapīros. Šie pasākumi veicināja valsts budžeta izdevumu samazinājumu </w:t>
            </w:r>
            <w:r w:rsidRPr="00E669AA">
              <w:rPr>
                <w:bCs/>
                <w:sz w:val="26"/>
                <w:szCs w:val="26"/>
                <w:lang w:val="lv-LV"/>
              </w:rPr>
              <w:lastRenderedPageBreak/>
              <w:t>2013.gadā, kā arī turpmākajos gados sekmēs aizņemšanās procentu likmju (un līdz ar to arī procentu izdevumu) saglabāšanos mērenā, optimālā līmenī.</w:t>
            </w:r>
            <w:r w:rsidR="00B8196A">
              <w:rPr>
                <w:bCs/>
                <w:sz w:val="26"/>
                <w:szCs w:val="26"/>
                <w:lang w:val="lv-LV"/>
              </w:rPr>
              <w:t xml:space="preserve"> </w:t>
            </w:r>
            <w:r w:rsidR="00B8196A" w:rsidRPr="00292AA0">
              <w:rPr>
                <w:bCs/>
                <w:sz w:val="26"/>
                <w:szCs w:val="26"/>
                <w:lang w:val="lv-LV"/>
              </w:rPr>
              <w:t xml:space="preserve">Vēl viens uz iekšējā tirgus attīstību, aktivizēšanu un investoru bāzes paplašināšanu vērsts Valsts kases veiktais pasākums 2013.gadā ir uz privātpersonām orientēta jauna finanšu instrumenta ieviešana – </w:t>
            </w:r>
            <w:proofErr w:type="spellStart"/>
            <w:r w:rsidR="00B8196A" w:rsidRPr="00292AA0">
              <w:rPr>
                <w:bCs/>
                <w:sz w:val="26"/>
                <w:szCs w:val="26"/>
                <w:lang w:val="lv-LV"/>
              </w:rPr>
              <w:t>krājobligāciju</w:t>
            </w:r>
            <w:proofErr w:type="spellEnd"/>
            <w:r w:rsidR="00B8196A" w:rsidRPr="00292AA0">
              <w:rPr>
                <w:bCs/>
                <w:sz w:val="26"/>
                <w:szCs w:val="26"/>
                <w:lang w:val="lv-LV"/>
              </w:rPr>
              <w:t xml:space="preserve"> emisiju uzsākšana. </w:t>
            </w:r>
            <w:r w:rsidR="00292AA0" w:rsidRPr="00292AA0">
              <w:rPr>
                <w:bCs/>
                <w:sz w:val="26"/>
                <w:szCs w:val="26"/>
                <w:lang w:val="lv-LV"/>
              </w:rPr>
              <w:t>Kopš 2013.gada jūnija š</w:t>
            </w:r>
            <w:r w:rsidR="00B8196A" w:rsidRPr="00292AA0">
              <w:rPr>
                <w:bCs/>
                <w:sz w:val="26"/>
                <w:szCs w:val="26"/>
                <w:lang w:val="lv-LV"/>
              </w:rPr>
              <w:t xml:space="preserve">is instruments nodrošina iedzīvotājiem iespēju paplašināt savu ieguldījumu iespējas klasiskos un drošos instrumentos, </w:t>
            </w:r>
            <w:r w:rsidR="00292AA0" w:rsidRPr="00292AA0">
              <w:rPr>
                <w:bCs/>
                <w:sz w:val="26"/>
                <w:szCs w:val="26"/>
                <w:lang w:val="lv-LV"/>
              </w:rPr>
              <w:t>uzkrāt praktisku investīciju pieredzi, kā arī atgriezt apritē tos iedzīvotāju īpašumā esošos naudas līdzekļus, kuri līdz šim ir glabājušies skaidras naudas uzkrājumu veidā</w:t>
            </w:r>
            <w:r w:rsidR="00B8196A" w:rsidRPr="00292AA0">
              <w:rPr>
                <w:bCs/>
                <w:sz w:val="26"/>
                <w:szCs w:val="26"/>
                <w:lang w:val="lv-LV"/>
              </w:rPr>
              <w:t xml:space="preserve">. </w:t>
            </w:r>
            <w:r w:rsidR="00292AA0" w:rsidRPr="00292AA0">
              <w:rPr>
                <w:bCs/>
                <w:sz w:val="26"/>
                <w:szCs w:val="26"/>
                <w:lang w:val="lv-LV"/>
              </w:rPr>
              <w:t xml:space="preserve">No </w:t>
            </w:r>
            <w:r w:rsidR="00B8196A" w:rsidRPr="00292AA0">
              <w:rPr>
                <w:bCs/>
                <w:sz w:val="26"/>
                <w:szCs w:val="26"/>
                <w:lang w:val="lv-LV"/>
              </w:rPr>
              <w:t>2013.gada</w:t>
            </w:r>
            <w:r w:rsidR="00292AA0" w:rsidRPr="00292AA0">
              <w:rPr>
                <w:bCs/>
                <w:sz w:val="26"/>
                <w:szCs w:val="26"/>
                <w:lang w:val="lv-LV"/>
              </w:rPr>
              <w:t xml:space="preserve"> jūnija līdz</w:t>
            </w:r>
            <w:r w:rsidR="00B8196A" w:rsidRPr="00292AA0">
              <w:rPr>
                <w:bCs/>
                <w:sz w:val="26"/>
                <w:szCs w:val="26"/>
                <w:lang w:val="lv-LV"/>
              </w:rPr>
              <w:t xml:space="preserve"> novembra beigām iedzīvotāju iegādāt</w:t>
            </w:r>
            <w:r w:rsidR="00292AA0" w:rsidRPr="00292AA0">
              <w:rPr>
                <w:bCs/>
                <w:sz w:val="26"/>
                <w:szCs w:val="26"/>
                <w:lang w:val="lv-LV"/>
              </w:rPr>
              <w:t>ai</w:t>
            </w:r>
            <w:r w:rsidR="00B8196A" w:rsidRPr="00292AA0">
              <w:rPr>
                <w:bCs/>
                <w:sz w:val="26"/>
                <w:szCs w:val="26"/>
                <w:lang w:val="lv-LV"/>
              </w:rPr>
              <w:t xml:space="preserve">s </w:t>
            </w:r>
            <w:proofErr w:type="spellStart"/>
            <w:r w:rsidR="00B8196A" w:rsidRPr="00292AA0">
              <w:rPr>
                <w:bCs/>
                <w:sz w:val="26"/>
                <w:szCs w:val="26"/>
                <w:lang w:val="lv-LV"/>
              </w:rPr>
              <w:t>krājobligāciju</w:t>
            </w:r>
            <w:proofErr w:type="spellEnd"/>
            <w:r w:rsidR="00B8196A" w:rsidRPr="00292AA0">
              <w:rPr>
                <w:bCs/>
                <w:sz w:val="26"/>
                <w:szCs w:val="26"/>
                <w:lang w:val="lv-LV"/>
              </w:rPr>
              <w:t xml:space="preserve"> </w:t>
            </w:r>
            <w:r w:rsidR="00292AA0" w:rsidRPr="00292AA0">
              <w:rPr>
                <w:bCs/>
                <w:sz w:val="26"/>
                <w:szCs w:val="26"/>
                <w:lang w:val="lv-LV"/>
              </w:rPr>
              <w:t xml:space="preserve">apjoms jau ir pārsniedzis 1 </w:t>
            </w:r>
            <w:proofErr w:type="spellStart"/>
            <w:r w:rsidR="00B8196A" w:rsidRPr="00292AA0">
              <w:rPr>
                <w:bCs/>
                <w:sz w:val="26"/>
                <w:szCs w:val="26"/>
                <w:lang w:val="lv-LV"/>
              </w:rPr>
              <w:t>milj</w:t>
            </w:r>
            <w:proofErr w:type="spellEnd"/>
            <w:r w:rsidR="00B8196A" w:rsidRPr="00292AA0">
              <w:rPr>
                <w:bCs/>
                <w:sz w:val="26"/>
                <w:szCs w:val="26"/>
                <w:lang w:val="lv-LV"/>
              </w:rPr>
              <w:t>. latu.</w:t>
            </w:r>
          </w:p>
          <w:p w14:paraId="1332DACC" w14:textId="3C53F8AB" w:rsidR="00092F82" w:rsidRDefault="00E669AA" w:rsidP="00E669AA">
            <w:pPr>
              <w:jc w:val="both"/>
              <w:rPr>
                <w:bCs/>
                <w:sz w:val="26"/>
                <w:szCs w:val="26"/>
                <w:lang w:val="lv-LV"/>
              </w:rPr>
            </w:pPr>
            <w:r w:rsidRPr="00E669AA">
              <w:rPr>
                <w:bCs/>
                <w:sz w:val="26"/>
                <w:szCs w:val="26"/>
                <w:lang w:val="lv-LV"/>
              </w:rPr>
              <w:t>Valsts kases līdzšinējās darbības rezultātus apliecina arī vispārējās valdības parāda datu salīdzinājums ar citu Eiropas Savienības dalībvalstu vispārējās valdības parāda rādītājiem</w:t>
            </w:r>
            <w:r>
              <w:rPr>
                <w:bCs/>
                <w:sz w:val="26"/>
                <w:szCs w:val="26"/>
                <w:lang w:val="lv-LV"/>
              </w:rPr>
              <w:t>.</w:t>
            </w:r>
            <w:r w:rsidRPr="00E669AA">
              <w:rPr>
                <w:bCs/>
                <w:sz w:val="26"/>
                <w:szCs w:val="26"/>
                <w:lang w:val="lv-LV"/>
              </w:rPr>
              <w:t xml:space="preserve"> Latvijas vispārējās valdības parāda līmenis attiecībā pret IKP joprojām ir viens no zemākajiem Eiropas Savienības dalībvalstu vidū un 2012.gada beigās tas veidoja 41% no IKP. Savukārt, procentu izdevumi par vispārējās valdības parādu 2012.gadā veidoja 1,4% no IKP, kas ir zemāks rādītājs, nekā valstīm ar līdzīgu vispārējās valdības parāda līmeni. Piemēram, Lietuvas vispārējās valdības parāds 2012.gada beigās ir līdzīgs Latvijas vispārējās valdības parāda līmenim – 41% no IKP, bet procentu izdevumi par parāda apkalpošanu 2012.gadā veidoja 1,9 % no IKP.</w:t>
            </w:r>
            <w:r w:rsidR="00DC38EF" w:rsidRPr="00DC38EF">
              <w:rPr>
                <w:bCs/>
                <w:sz w:val="26"/>
                <w:szCs w:val="26"/>
                <w:lang w:val="lv-LV"/>
              </w:rPr>
              <w:t xml:space="preserve"> </w:t>
            </w:r>
          </w:p>
          <w:p w14:paraId="78842303" w14:textId="21AC7CF9" w:rsidR="00E669AA" w:rsidRPr="0016229D" w:rsidRDefault="00E669AA" w:rsidP="00A510EC">
            <w:pPr>
              <w:jc w:val="both"/>
              <w:rPr>
                <w:bCs/>
                <w:sz w:val="26"/>
                <w:szCs w:val="26"/>
                <w:lang w:val="lv-LV"/>
              </w:rPr>
            </w:pPr>
            <w:r w:rsidRPr="00E669AA">
              <w:rPr>
                <w:bCs/>
                <w:sz w:val="26"/>
                <w:szCs w:val="26"/>
                <w:lang w:val="lv-LV"/>
              </w:rPr>
              <w:t>Valsts kases darbības rezultāts</w:t>
            </w:r>
            <w:r w:rsidR="005628E4">
              <w:rPr>
                <w:bCs/>
                <w:sz w:val="26"/>
                <w:szCs w:val="26"/>
                <w:lang w:val="lv-LV"/>
              </w:rPr>
              <w:t>, panākot būtisku valsts budžeta līdzekļu ietaupījumu 2013.gadā</w:t>
            </w:r>
            <w:r w:rsidRPr="00E669AA">
              <w:rPr>
                <w:bCs/>
                <w:sz w:val="26"/>
                <w:szCs w:val="26"/>
                <w:lang w:val="lv-LV"/>
              </w:rPr>
              <w:t xml:space="preserve"> </w:t>
            </w:r>
            <w:r w:rsidR="005628E4">
              <w:rPr>
                <w:bCs/>
                <w:sz w:val="26"/>
                <w:szCs w:val="26"/>
                <w:lang w:val="lv-LV"/>
              </w:rPr>
              <w:t xml:space="preserve">un samazinot valsts parāda apkalpošanas izdevumus arī nākamajos gados, </w:t>
            </w:r>
            <w:r w:rsidRPr="00E669AA">
              <w:rPr>
                <w:bCs/>
                <w:sz w:val="26"/>
                <w:szCs w:val="26"/>
                <w:lang w:val="lv-LV"/>
              </w:rPr>
              <w:t>apliecina Valsts kases darbinieku augsto profesionalitāti</w:t>
            </w:r>
            <w:r w:rsidR="00A510EC">
              <w:rPr>
                <w:bCs/>
                <w:sz w:val="26"/>
                <w:szCs w:val="26"/>
                <w:lang w:val="lv-LV"/>
              </w:rPr>
              <w:t>, personisko ieguldījumu</w:t>
            </w:r>
            <w:r w:rsidRPr="00E669AA">
              <w:rPr>
                <w:bCs/>
                <w:sz w:val="26"/>
                <w:szCs w:val="26"/>
                <w:lang w:val="lv-LV"/>
              </w:rPr>
              <w:t xml:space="preserve"> un atbildību</w:t>
            </w:r>
            <w:r w:rsidR="005628E4">
              <w:rPr>
                <w:bCs/>
                <w:sz w:val="26"/>
                <w:szCs w:val="26"/>
                <w:lang w:val="lv-LV"/>
              </w:rPr>
              <w:t xml:space="preserve"> efektīva valsts parāda vadības procesa nodrošināšanā</w:t>
            </w:r>
            <w:r w:rsidRPr="005628E4">
              <w:rPr>
                <w:bCs/>
                <w:sz w:val="26"/>
                <w:szCs w:val="26"/>
                <w:lang w:val="lv-LV"/>
              </w:rPr>
              <w:t>.</w:t>
            </w:r>
            <w:r w:rsidR="005628E4" w:rsidRPr="005628E4">
              <w:rPr>
                <w:bCs/>
                <w:sz w:val="26"/>
                <w:szCs w:val="26"/>
                <w:lang w:val="lv-LV"/>
              </w:rPr>
              <w:t xml:space="preserve"> Būtiska nozīme </w:t>
            </w:r>
            <w:r w:rsidR="00A510EC">
              <w:rPr>
                <w:bCs/>
                <w:sz w:val="26"/>
                <w:szCs w:val="26"/>
                <w:lang w:val="lv-LV"/>
              </w:rPr>
              <w:t>Valsts kases darbības sekmīgu rezultātu sasniegšanā</w:t>
            </w:r>
            <w:r w:rsidR="005628E4" w:rsidRPr="005628E4">
              <w:rPr>
                <w:bCs/>
                <w:sz w:val="26"/>
                <w:szCs w:val="26"/>
                <w:lang w:val="lv-LV"/>
              </w:rPr>
              <w:t xml:space="preserve"> ir arī Valsts kases amatpersonu (darbinieku) motivācijai – piemaksām un prēmijām par </w:t>
            </w:r>
            <w:r w:rsidR="00A510EC">
              <w:rPr>
                <w:bCs/>
                <w:sz w:val="26"/>
                <w:szCs w:val="26"/>
                <w:lang w:val="lv-LV"/>
              </w:rPr>
              <w:t xml:space="preserve">profesionālu </w:t>
            </w:r>
            <w:r w:rsidR="005628E4" w:rsidRPr="005628E4">
              <w:rPr>
                <w:bCs/>
                <w:sz w:val="26"/>
                <w:szCs w:val="26"/>
                <w:lang w:val="lv-LV"/>
              </w:rPr>
              <w:t>ieguldījumu un sekmīgu darbu</w:t>
            </w:r>
            <w:r w:rsidR="00A510EC">
              <w:rPr>
                <w:bCs/>
                <w:sz w:val="26"/>
                <w:szCs w:val="26"/>
                <w:lang w:val="lv-LV"/>
              </w:rPr>
              <w:t xml:space="preserve"> valsts parāda vadības procesa nodrošināšanā</w:t>
            </w:r>
            <w:r w:rsidR="005628E4" w:rsidRPr="005628E4">
              <w:rPr>
                <w:bCs/>
                <w:sz w:val="26"/>
                <w:szCs w:val="26"/>
                <w:lang w:val="lv-LV"/>
              </w:rPr>
              <w:t>.</w:t>
            </w:r>
          </w:p>
        </w:tc>
      </w:tr>
      <w:tr w:rsidR="001B4906" w:rsidRPr="001B4906" w14:paraId="2537957C" w14:textId="77777777" w:rsidTr="002A69C0">
        <w:trPr>
          <w:trHeight w:val="616"/>
          <w:tblCellSpacing w:w="0" w:type="dxa"/>
        </w:trPr>
        <w:tc>
          <w:tcPr>
            <w:tcW w:w="528" w:type="dxa"/>
            <w:tcBorders>
              <w:top w:val="outset" w:sz="6" w:space="0" w:color="auto"/>
              <w:left w:val="outset" w:sz="6" w:space="0" w:color="auto"/>
              <w:bottom w:val="outset" w:sz="6" w:space="0" w:color="auto"/>
              <w:right w:val="outset" w:sz="6" w:space="0" w:color="auto"/>
            </w:tcBorders>
          </w:tcPr>
          <w:p w14:paraId="352B1908" w14:textId="7F3D063D" w:rsidR="00F06FE2" w:rsidRPr="001B4906" w:rsidRDefault="00F06FE2" w:rsidP="00BD4854">
            <w:pPr>
              <w:pStyle w:val="naiskr"/>
              <w:jc w:val="both"/>
              <w:rPr>
                <w:sz w:val="26"/>
                <w:szCs w:val="26"/>
              </w:rPr>
            </w:pPr>
            <w:r w:rsidRPr="001B4906">
              <w:rPr>
                <w:sz w:val="26"/>
                <w:szCs w:val="26"/>
              </w:rPr>
              <w:lastRenderedPageBreak/>
              <w:t> 3.</w:t>
            </w:r>
          </w:p>
        </w:tc>
        <w:tc>
          <w:tcPr>
            <w:tcW w:w="1897" w:type="dxa"/>
            <w:tcBorders>
              <w:top w:val="outset" w:sz="6" w:space="0" w:color="auto"/>
              <w:left w:val="outset" w:sz="6" w:space="0" w:color="auto"/>
              <w:bottom w:val="outset" w:sz="6" w:space="0" w:color="auto"/>
              <w:right w:val="outset" w:sz="6" w:space="0" w:color="auto"/>
            </w:tcBorders>
          </w:tcPr>
          <w:p w14:paraId="516C104A" w14:textId="77777777" w:rsidR="00F06FE2" w:rsidRPr="001B4906" w:rsidRDefault="00F06FE2" w:rsidP="00BD4854">
            <w:pPr>
              <w:pStyle w:val="naiskr"/>
              <w:jc w:val="both"/>
              <w:rPr>
                <w:sz w:val="26"/>
                <w:szCs w:val="26"/>
              </w:rPr>
            </w:pPr>
            <w:r w:rsidRPr="001B4906">
              <w:rPr>
                <w:sz w:val="26"/>
                <w:szCs w:val="26"/>
              </w:rPr>
              <w:t>Saistītie politikas ietekmes novērtējumi un pētījumi</w:t>
            </w:r>
          </w:p>
        </w:tc>
        <w:tc>
          <w:tcPr>
            <w:tcW w:w="6356" w:type="dxa"/>
            <w:tcBorders>
              <w:top w:val="outset" w:sz="6" w:space="0" w:color="auto"/>
              <w:left w:val="outset" w:sz="6" w:space="0" w:color="auto"/>
              <w:bottom w:val="outset" w:sz="6" w:space="0" w:color="auto"/>
              <w:right w:val="outset" w:sz="6" w:space="0" w:color="auto"/>
            </w:tcBorders>
          </w:tcPr>
          <w:p w14:paraId="39B9BA94" w14:textId="77777777" w:rsidR="00F06FE2" w:rsidRPr="001B4906" w:rsidRDefault="00F06FE2" w:rsidP="00470E0B">
            <w:pPr>
              <w:pStyle w:val="naiskr"/>
              <w:jc w:val="both"/>
              <w:rPr>
                <w:sz w:val="26"/>
                <w:szCs w:val="26"/>
              </w:rPr>
            </w:pPr>
            <w:r w:rsidRPr="001B4906">
              <w:rPr>
                <w:sz w:val="26"/>
                <w:szCs w:val="26"/>
              </w:rPr>
              <w:t> Nav attiecināms.</w:t>
            </w:r>
          </w:p>
        </w:tc>
      </w:tr>
      <w:tr w:rsidR="00773BF4" w:rsidRPr="00535C4B" w14:paraId="4EC85291" w14:textId="77777777" w:rsidTr="002A69C0">
        <w:trPr>
          <w:trHeight w:val="694"/>
          <w:tblCellSpacing w:w="0" w:type="dxa"/>
        </w:trPr>
        <w:tc>
          <w:tcPr>
            <w:tcW w:w="528" w:type="dxa"/>
            <w:tcBorders>
              <w:top w:val="outset" w:sz="6" w:space="0" w:color="auto"/>
              <w:left w:val="outset" w:sz="6" w:space="0" w:color="auto"/>
              <w:bottom w:val="outset" w:sz="6" w:space="0" w:color="auto"/>
              <w:right w:val="outset" w:sz="6" w:space="0" w:color="auto"/>
            </w:tcBorders>
          </w:tcPr>
          <w:p w14:paraId="606E8817" w14:textId="77777777" w:rsidR="00F06FE2" w:rsidRPr="00773BF4" w:rsidRDefault="00F06FE2" w:rsidP="00BD4854">
            <w:pPr>
              <w:pStyle w:val="naiskr"/>
              <w:jc w:val="both"/>
              <w:rPr>
                <w:sz w:val="26"/>
                <w:szCs w:val="26"/>
              </w:rPr>
            </w:pPr>
            <w:r w:rsidRPr="00773BF4">
              <w:rPr>
                <w:sz w:val="26"/>
                <w:szCs w:val="26"/>
              </w:rPr>
              <w:t> 4.</w:t>
            </w:r>
          </w:p>
        </w:tc>
        <w:tc>
          <w:tcPr>
            <w:tcW w:w="1897" w:type="dxa"/>
            <w:tcBorders>
              <w:top w:val="outset" w:sz="6" w:space="0" w:color="auto"/>
              <w:left w:val="outset" w:sz="6" w:space="0" w:color="auto"/>
              <w:bottom w:val="outset" w:sz="6" w:space="0" w:color="auto"/>
              <w:right w:val="outset" w:sz="6" w:space="0" w:color="auto"/>
            </w:tcBorders>
          </w:tcPr>
          <w:p w14:paraId="0B67D697" w14:textId="77777777" w:rsidR="00F06FE2" w:rsidRPr="00773BF4" w:rsidRDefault="00F06FE2" w:rsidP="00BD4854">
            <w:pPr>
              <w:pStyle w:val="naiskr"/>
              <w:jc w:val="both"/>
              <w:rPr>
                <w:sz w:val="26"/>
                <w:szCs w:val="26"/>
              </w:rPr>
            </w:pPr>
            <w:r w:rsidRPr="00773BF4">
              <w:rPr>
                <w:sz w:val="26"/>
                <w:szCs w:val="26"/>
              </w:rPr>
              <w:t>Tiesiskā regulējuma mērķis un būtība</w:t>
            </w:r>
          </w:p>
        </w:tc>
        <w:tc>
          <w:tcPr>
            <w:tcW w:w="6356" w:type="dxa"/>
            <w:tcBorders>
              <w:top w:val="outset" w:sz="6" w:space="0" w:color="auto"/>
              <w:left w:val="outset" w:sz="6" w:space="0" w:color="auto"/>
              <w:bottom w:val="outset" w:sz="6" w:space="0" w:color="auto"/>
              <w:right w:val="outset" w:sz="6" w:space="0" w:color="auto"/>
            </w:tcBorders>
          </w:tcPr>
          <w:p w14:paraId="255F2983" w14:textId="1FD2991B" w:rsidR="00F06FE2" w:rsidRPr="00773BF4" w:rsidRDefault="00773BF4" w:rsidP="00063CA2">
            <w:pPr>
              <w:jc w:val="both"/>
              <w:rPr>
                <w:sz w:val="26"/>
                <w:szCs w:val="26"/>
                <w:lang w:val="lv-LV"/>
              </w:rPr>
            </w:pPr>
            <w:r w:rsidRPr="00773BF4">
              <w:rPr>
                <w:sz w:val="26"/>
                <w:szCs w:val="26"/>
                <w:lang w:val="lv-LV"/>
              </w:rPr>
              <w:t xml:space="preserve">Mērķis ir motivēt </w:t>
            </w:r>
            <w:r w:rsidR="009469EF">
              <w:rPr>
                <w:sz w:val="26"/>
                <w:szCs w:val="26"/>
                <w:lang w:val="lv-LV"/>
              </w:rPr>
              <w:t>Valsts kases</w:t>
            </w:r>
            <w:r w:rsidRPr="00773BF4">
              <w:rPr>
                <w:sz w:val="26"/>
                <w:szCs w:val="26"/>
                <w:lang w:val="lv-LV"/>
              </w:rPr>
              <w:t xml:space="preserve"> amatperson</w:t>
            </w:r>
            <w:r w:rsidR="00D017EF">
              <w:rPr>
                <w:sz w:val="26"/>
                <w:szCs w:val="26"/>
                <w:lang w:val="lv-LV"/>
              </w:rPr>
              <w:t>as</w:t>
            </w:r>
            <w:r w:rsidRPr="00773BF4">
              <w:rPr>
                <w:sz w:val="26"/>
                <w:szCs w:val="26"/>
                <w:lang w:val="lv-LV"/>
              </w:rPr>
              <w:t xml:space="preserve"> (darbinieku</w:t>
            </w:r>
            <w:r w:rsidR="00D017EF">
              <w:rPr>
                <w:sz w:val="26"/>
                <w:szCs w:val="26"/>
                <w:lang w:val="lv-LV"/>
              </w:rPr>
              <w:t>s</w:t>
            </w:r>
            <w:r w:rsidRPr="00773BF4">
              <w:rPr>
                <w:sz w:val="26"/>
                <w:szCs w:val="26"/>
                <w:lang w:val="lv-LV"/>
              </w:rPr>
              <w:t xml:space="preserve">) </w:t>
            </w:r>
            <w:r w:rsidR="009469EF">
              <w:rPr>
                <w:sz w:val="26"/>
                <w:szCs w:val="26"/>
                <w:lang w:val="lv-LV"/>
              </w:rPr>
              <w:t>valsts parāda vadības procesa efektīv</w:t>
            </w:r>
            <w:r w:rsidR="00744F74">
              <w:rPr>
                <w:sz w:val="26"/>
                <w:szCs w:val="26"/>
                <w:lang w:val="lv-LV"/>
              </w:rPr>
              <w:t>a</w:t>
            </w:r>
            <w:r w:rsidR="009469EF">
              <w:rPr>
                <w:sz w:val="26"/>
                <w:szCs w:val="26"/>
                <w:lang w:val="lv-LV"/>
              </w:rPr>
              <w:t xml:space="preserve">i </w:t>
            </w:r>
            <w:r w:rsidR="00063CA2">
              <w:rPr>
                <w:sz w:val="26"/>
                <w:szCs w:val="26"/>
                <w:lang w:val="lv-LV"/>
              </w:rPr>
              <w:t>īstenošanai augstā profesionālā līmenī</w:t>
            </w:r>
            <w:r w:rsidR="00744F74">
              <w:rPr>
                <w:sz w:val="26"/>
                <w:szCs w:val="26"/>
                <w:lang w:val="lv-LV"/>
              </w:rPr>
              <w:t xml:space="preserve">, </w:t>
            </w:r>
            <w:r w:rsidR="00063CA2">
              <w:rPr>
                <w:sz w:val="26"/>
                <w:szCs w:val="26"/>
                <w:lang w:val="lv-LV"/>
              </w:rPr>
              <w:t xml:space="preserve">nodrošinot no valsts budžeta līdzekļiem veicamo </w:t>
            </w:r>
            <w:r w:rsidR="00744F74">
              <w:rPr>
                <w:sz w:val="26"/>
                <w:szCs w:val="26"/>
                <w:lang w:val="lv-LV"/>
              </w:rPr>
              <w:t xml:space="preserve">valsts parāda </w:t>
            </w:r>
            <w:r w:rsidR="00063CA2">
              <w:rPr>
                <w:sz w:val="26"/>
                <w:szCs w:val="26"/>
                <w:lang w:val="lv-LV"/>
              </w:rPr>
              <w:t>procentu izdevumu samazināšanu un optimizēšanu vidējā termiņā.</w:t>
            </w:r>
          </w:p>
        </w:tc>
      </w:tr>
      <w:tr w:rsidR="00773BF4" w:rsidRPr="00F934C4" w14:paraId="5B3BA73D" w14:textId="77777777" w:rsidTr="002A69C0">
        <w:trPr>
          <w:trHeight w:val="476"/>
          <w:tblCellSpacing w:w="0" w:type="dxa"/>
        </w:trPr>
        <w:tc>
          <w:tcPr>
            <w:tcW w:w="528" w:type="dxa"/>
            <w:tcBorders>
              <w:top w:val="outset" w:sz="6" w:space="0" w:color="auto"/>
              <w:left w:val="outset" w:sz="6" w:space="0" w:color="auto"/>
              <w:bottom w:val="outset" w:sz="6" w:space="0" w:color="auto"/>
              <w:right w:val="outset" w:sz="6" w:space="0" w:color="auto"/>
            </w:tcBorders>
          </w:tcPr>
          <w:p w14:paraId="7614658E" w14:textId="77777777" w:rsidR="00F06FE2" w:rsidRPr="00773BF4" w:rsidRDefault="00F06FE2" w:rsidP="00BD4854">
            <w:pPr>
              <w:pStyle w:val="naiskr"/>
              <w:jc w:val="both"/>
              <w:rPr>
                <w:sz w:val="26"/>
                <w:szCs w:val="26"/>
              </w:rPr>
            </w:pPr>
            <w:r w:rsidRPr="00773BF4">
              <w:rPr>
                <w:sz w:val="26"/>
                <w:szCs w:val="26"/>
              </w:rPr>
              <w:lastRenderedPageBreak/>
              <w:t> 5.</w:t>
            </w:r>
          </w:p>
        </w:tc>
        <w:tc>
          <w:tcPr>
            <w:tcW w:w="1897" w:type="dxa"/>
            <w:tcBorders>
              <w:top w:val="outset" w:sz="6" w:space="0" w:color="auto"/>
              <w:left w:val="outset" w:sz="6" w:space="0" w:color="auto"/>
              <w:bottom w:val="outset" w:sz="6" w:space="0" w:color="auto"/>
              <w:right w:val="outset" w:sz="6" w:space="0" w:color="auto"/>
            </w:tcBorders>
          </w:tcPr>
          <w:p w14:paraId="0788F379" w14:textId="77777777" w:rsidR="00F06FE2" w:rsidRPr="00773BF4" w:rsidRDefault="00F06FE2" w:rsidP="00BD4854">
            <w:pPr>
              <w:pStyle w:val="naiskr"/>
              <w:jc w:val="both"/>
              <w:rPr>
                <w:sz w:val="26"/>
                <w:szCs w:val="26"/>
              </w:rPr>
            </w:pPr>
            <w:r w:rsidRPr="00773BF4">
              <w:rPr>
                <w:sz w:val="26"/>
                <w:szCs w:val="26"/>
              </w:rPr>
              <w:t>Projekta izstrādē iesaistītās institūcijas</w:t>
            </w:r>
          </w:p>
        </w:tc>
        <w:tc>
          <w:tcPr>
            <w:tcW w:w="6356" w:type="dxa"/>
            <w:tcBorders>
              <w:top w:val="outset" w:sz="6" w:space="0" w:color="auto"/>
              <w:left w:val="outset" w:sz="6" w:space="0" w:color="auto"/>
              <w:bottom w:val="outset" w:sz="6" w:space="0" w:color="auto"/>
              <w:right w:val="outset" w:sz="6" w:space="0" w:color="auto"/>
            </w:tcBorders>
          </w:tcPr>
          <w:p w14:paraId="2BF1183D" w14:textId="4364F306" w:rsidR="00F06FE2" w:rsidRPr="00773BF4" w:rsidRDefault="00773BF4" w:rsidP="009469EF">
            <w:pPr>
              <w:jc w:val="both"/>
              <w:rPr>
                <w:sz w:val="26"/>
                <w:szCs w:val="26"/>
                <w:lang w:val="lv-LV"/>
              </w:rPr>
            </w:pPr>
            <w:r w:rsidRPr="00773BF4">
              <w:rPr>
                <w:sz w:val="26"/>
                <w:szCs w:val="26"/>
                <w:lang w:val="lv-LV"/>
              </w:rPr>
              <w:t xml:space="preserve">Finanšu ministrija (Valsts </w:t>
            </w:r>
            <w:r w:rsidR="009469EF">
              <w:rPr>
                <w:sz w:val="26"/>
                <w:szCs w:val="26"/>
                <w:lang w:val="lv-LV"/>
              </w:rPr>
              <w:t>kase</w:t>
            </w:r>
            <w:r w:rsidRPr="00773BF4">
              <w:rPr>
                <w:sz w:val="26"/>
                <w:szCs w:val="26"/>
                <w:lang w:val="lv-LV"/>
              </w:rPr>
              <w:t>)</w:t>
            </w:r>
          </w:p>
        </w:tc>
      </w:tr>
      <w:tr w:rsidR="00773BF4" w:rsidRPr="00773BF4" w14:paraId="48882915" w14:textId="77777777" w:rsidTr="002A69C0">
        <w:trPr>
          <w:trHeight w:val="996"/>
          <w:tblCellSpacing w:w="0" w:type="dxa"/>
        </w:trPr>
        <w:tc>
          <w:tcPr>
            <w:tcW w:w="528" w:type="dxa"/>
            <w:tcBorders>
              <w:top w:val="outset" w:sz="6" w:space="0" w:color="auto"/>
              <w:left w:val="outset" w:sz="6" w:space="0" w:color="auto"/>
              <w:bottom w:val="outset" w:sz="6" w:space="0" w:color="auto"/>
              <w:right w:val="outset" w:sz="6" w:space="0" w:color="auto"/>
            </w:tcBorders>
          </w:tcPr>
          <w:p w14:paraId="1A8BA927" w14:textId="77777777" w:rsidR="00F06FE2" w:rsidRPr="00773BF4" w:rsidRDefault="00F06FE2" w:rsidP="00BD4854">
            <w:pPr>
              <w:pStyle w:val="naiskr"/>
              <w:jc w:val="both"/>
              <w:rPr>
                <w:sz w:val="26"/>
                <w:szCs w:val="26"/>
              </w:rPr>
            </w:pPr>
            <w:r w:rsidRPr="00773BF4">
              <w:rPr>
                <w:sz w:val="26"/>
                <w:szCs w:val="26"/>
              </w:rPr>
              <w:t> 6.</w:t>
            </w:r>
          </w:p>
        </w:tc>
        <w:tc>
          <w:tcPr>
            <w:tcW w:w="1897" w:type="dxa"/>
            <w:tcBorders>
              <w:top w:val="outset" w:sz="6" w:space="0" w:color="auto"/>
              <w:left w:val="outset" w:sz="6" w:space="0" w:color="auto"/>
              <w:bottom w:val="outset" w:sz="6" w:space="0" w:color="auto"/>
              <w:right w:val="outset" w:sz="6" w:space="0" w:color="auto"/>
            </w:tcBorders>
          </w:tcPr>
          <w:p w14:paraId="7AE4F669" w14:textId="77777777" w:rsidR="00F06FE2" w:rsidRPr="00773BF4" w:rsidRDefault="00F06FE2" w:rsidP="00BD4854">
            <w:pPr>
              <w:pStyle w:val="naiskr"/>
              <w:jc w:val="both"/>
              <w:rPr>
                <w:sz w:val="26"/>
                <w:szCs w:val="26"/>
              </w:rPr>
            </w:pPr>
            <w:r w:rsidRPr="00773BF4">
              <w:rPr>
                <w:sz w:val="26"/>
                <w:szCs w:val="26"/>
              </w:rPr>
              <w:t>Iemesli, kādēļ netika nodrošināta sabiedrības līdzdalība</w:t>
            </w:r>
          </w:p>
        </w:tc>
        <w:tc>
          <w:tcPr>
            <w:tcW w:w="6356" w:type="dxa"/>
            <w:tcBorders>
              <w:top w:val="outset" w:sz="6" w:space="0" w:color="auto"/>
              <w:left w:val="outset" w:sz="6" w:space="0" w:color="auto"/>
              <w:bottom w:val="outset" w:sz="6" w:space="0" w:color="auto"/>
              <w:right w:val="outset" w:sz="6" w:space="0" w:color="auto"/>
            </w:tcBorders>
          </w:tcPr>
          <w:p w14:paraId="3CCE11A8" w14:textId="541F7C57" w:rsidR="00F06FE2" w:rsidRPr="00773BF4" w:rsidRDefault="00773BF4" w:rsidP="008455E6">
            <w:pPr>
              <w:jc w:val="both"/>
              <w:rPr>
                <w:sz w:val="26"/>
                <w:szCs w:val="26"/>
                <w:lang w:val="lv-LV"/>
              </w:rPr>
            </w:pPr>
            <w:r w:rsidRPr="00773BF4">
              <w:rPr>
                <w:sz w:val="26"/>
                <w:szCs w:val="26"/>
                <w:lang w:val="lv-LV"/>
              </w:rPr>
              <w:t>Nav attiecināms.</w:t>
            </w:r>
          </w:p>
        </w:tc>
      </w:tr>
      <w:tr w:rsidR="00773BF4" w:rsidRPr="00773BF4" w14:paraId="30981BEE" w14:textId="77777777" w:rsidTr="002A69C0">
        <w:trPr>
          <w:tblCellSpacing w:w="0" w:type="dxa"/>
        </w:trPr>
        <w:tc>
          <w:tcPr>
            <w:tcW w:w="528" w:type="dxa"/>
            <w:tcBorders>
              <w:top w:val="outset" w:sz="6" w:space="0" w:color="auto"/>
              <w:left w:val="outset" w:sz="6" w:space="0" w:color="auto"/>
              <w:bottom w:val="outset" w:sz="6" w:space="0" w:color="auto"/>
              <w:right w:val="outset" w:sz="6" w:space="0" w:color="auto"/>
            </w:tcBorders>
          </w:tcPr>
          <w:p w14:paraId="2A9CD64F" w14:textId="77777777" w:rsidR="00F06FE2" w:rsidRPr="00773BF4" w:rsidRDefault="00F06FE2" w:rsidP="00BD4854">
            <w:pPr>
              <w:pStyle w:val="naiskr"/>
              <w:jc w:val="both"/>
              <w:rPr>
                <w:sz w:val="26"/>
                <w:szCs w:val="26"/>
              </w:rPr>
            </w:pPr>
            <w:r w:rsidRPr="00773BF4">
              <w:rPr>
                <w:sz w:val="26"/>
                <w:szCs w:val="26"/>
              </w:rPr>
              <w:t> 7.</w:t>
            </w:r>
          </w:p>
        </w:tc>
        <w:tc>
          <w:tcPr>
            <w:tcW w:w="1897" w:type="dxa"/>
            <w:tcBorders>
              <w:top w:val="outset" w:sz="6" w:space="0" w:color="auto"/>
              <w:left w:val="outset" w:sz="6" w:space="0" w:color="auto"/>
              <w:bottom w:val="outset" w:sz="6" w:space="0" w:color="auto"/>
              <w:right w:val="outset" w:sz="6" w:space="0" w:color="auto"/>
            </w:tcBorders>
          </w:tcPr>
          <w:p w14:paraId="5DD659B5" w14:textId="77777777" w:rsidR="00F06FE2" w:rsidRPr="00773BF4" w:rsidRDefault="00F06FE2" w:rsidP="00BD4854">
            <w:pPr>
              <w:pStyle w:val="naiskr"/>
              <w:jc w:val="both"/>
              <w:rPr>
                <w:sz w:val="26"/>
                <w:szCs w:val="26"/>
              </w:rPr>
            </w:pPr>
            <w:r w:rsidRPr="00773BF4">
              <w:rPr>
                <w:sz w:val="26"/>
                <w:szCs w:val="26"/>
              </w:rPr>
              <w:t>Cita informācija</w:t>
            </w:r>
          </w:p>
        </w:tc>
        <w:tc>
          <w:tcPr>
            <w:tcW w:w="6356" w:type="dxa"/>
            <w:tcBorders>
              <w:top w:val="outset" w:sz="6" w:space="0" w:color="auto"/>
              <w:left w:val="outset" w:sz="6" w:space="0" w:color="auto"/>
              <w:bottom w:val="outset" w:sz="6" w:space="0" w:color="auto"/>
              <w:right w:val="outset" w:sz="6" w:space="0" w:color="auto"/>
            </w:tcBorders>
          </w:tcPr>
          <w:p w14:paraId="3D4C3B9F" w14:textId="5D3E7AC9" w:rsidR="00F06FE2" w:rsidRPr="00773BF4" w:rsidRDefault="00F06FE2" w:rsidP="004468E0">
            <w:pPr>
              <w:jc w:val="both"/>
              <w:rPr>
                <w:sz w:val="26"/>
                <w:szCs w:val="26"/>
                <w:lang w:val="lv-LV" w:eastAsia="lv-LV"/>
              </w:rPr>
            </w:pPr>
            <w:r w:rsidRPr="00773BF4">
              <w:rPr>
                <w:sz w:val="26"/>
                <w:szCs w:val="26"/>
                <w:lang w:val="lv-LV"/>
              </w:rPr>
              <w:t>Nav attiecināms.</w:t>
            </w:r>
          </w:p>
        </w:tc>
      </w:tr>
    </w:tbl>
    <w:p w14:paraId="567449C8" w14:textId="77777777" w:rsidR="00F06FE2" w:rsidRPr="007B4B24" w:rsidRDefault="00F06FE2" w:rsidP="00F06FE2">
      <w:pPr>
        <w:jc w:val="both"/>
        <w:rPr>
          <w:sz w:val="26"/>
          <w:szCs w:val="26"/>
          <w:lang w:val="lv-LV"/>
        </w:rPr>
      </w:pPr>
    </w:p>
    <w:tbl>
      <w:tblPr>
        <w:tblW w:w="878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4"/>
        <w:gridCol w:w="2043"/>
        <w:gridCol w:w="6214"/>
      </w:tblGrid>
      <w:tr w:rsidR="007B4B24" w:rsidRPr="00535C4B" w14:paraId="0B2E4538" w14:textId="77777777" w:rsidTr="002A69C0">
        <w:trPr>
          <w:tblCellSpacing w:w="0" w:type="dxa"/>
        </w:trPr>
        <w:tc>
          <w:tcPr>
            <w:tcW w:w="8781" w:type="dxa"/>
            <w:gridSpan w:val="3"/>
            <w:tcBorders>
              <w:top w:val="outset" w:sz="6" w:space="0" w:color="auto"/>
              <w:left w:val="outset" w:sz="6" w:space="0" w:color="auto"/>
              <w:bottom w:val="outset" w:sz="6" w:space="0" w:color="auto"/>
              <w:right w:val="outset" w:sz="6" w:space="0" w:color="auto"/>
            </w:tcBorders>
            <w:vAlign w:val="center"/>
          </w:tcPr>
          <w:p w14:paraId="463F7312" w14:textId="77777777" w:rsidR="00F06FE2" w:rsidRPr="007B4B24" w:rsidRDefault="00F06FE2" w:rsidP="00BD4854">
            <w:pPr>
              <w:pStyle w:val="naisnod"/>
              <w:jc w:val="both"/>
              <w:rPr>
                <w:bCs/>
                <w:sz w:val="26"/>
                <w:szCs w:val="26"/>
              </w:rPr>
            </w:pPr>
            <w:r w:rsidRPr="007B4B24">
              <w:rPr>
                <w:bCs/>
                <w:sz w:val="26"/>
                <w:szCs w:val="26"/>
              </w:rPr>
              <w:t>II. Tiesību akta projekta ietekme uz sabiedrību</w:t>
            </w:r>
          </w:p>
        </w:tc>
      </w:tr>
      <w:tr w:rsidR="00C40A03" w:rsidRPr="00C40A03" w14:paraId="15E907FE" w14:textId="77777777" w:rsidTr="002A69C0">
        <w:trPr>
          <w:trHeight w:val="467"/>
          <w:tblCellSpacing w:w="0" w:type="dxa"/>
        </w:trPr>
        <w:tc>
          <w:tcPr>
            <w:tcW w:w="524" w:type="dxa"/>
            <w:tcBorders>
              <w:top w:val="outset" w:sz="6" w:space="0" w:color="auto"/>
              <w:left w:val="outset" w:sz="6" w:space="0" w:color="auto"/>
              <w:bottom w:val="outset" w:sz="6" w:space="0" w:color="auto"/>
              <w:right w:val="outset" w:sz="6" w:space="0" w:color="auto"/>
            </w:tcBorders>
          </w:tcPr>
          <w:p w14:paraId="09223A5B" w14:textId="77777777" w:rsidR="00F06FE2" w:rsidRPr="007B4B24" w:rsidRDefault="00F06FE2" w:rsidP="00BD4854">
            <w:pPr>
              <w:pStyle w:val="naiskr"/>
              <w:jc w:val="both"/>
              <w:rPr>
                <w:sz w:val="26"/>
                <w:szCs w:val="26"/>
              </w:rPr>
            </w:pPr>
            <w:r w:rsidRPr="007B4B24">
              <w:rPr>
                <w:sz w:val="26"/>
                <w:szCs w:val="26"/>
              </w:rPr>
              <w:t> 1.</w:t>
            </w:r>
          </w:p>
        </w:tc>
        <w:tc>
          <w:tcPr>
            <w:tcW w:w="2043" w:type="dxa"/>
            <w:tcBorders>
              <w:top w:val="outset" w:sz="6" w:space="0" w:color="auto"/>
              <w:left w:val="outset" w:sz="6" w:space="0" w:color="auto"/>
              <w:bottom w:val="outset" w:sz="6" w:space="0" w:color="auto"/>
              <w:right w:val="outset" w:sz="6" w:space="0" w:color="auto"/>
            </w:tcBorders>
          </w:tcPr>
          <w:p w14:paraId="012573B4" w14:textId="77777777" w:rsidR="00F06FE2" w:rsidRPr="007B4B24" w:rsidRDefault="00F06FE2" w:rsidP="00BD4854">
            <w:pPr>
              <w:pStyle w:val="naiskr"/>
              <w:jc w:val="both"/>
              <w:rPr>
                <w:sz w:val="26"/>
                <w:szCs w:val="26"/>
              </w:rPr>
            </w:pPr>
            <w:r w:rsidRPr="007B4B24">
              <w:rPr>
                <w:sz w:val="26"/>
                <w:szCs w:val="26"/>
              </w:rPr>
              <w:t>Sabiedrības mērķgrupa</w:t>
            </w:r>
          </w:p>
        </w:tc>
        <w:tc>
          <w:tcPr>
            <w:tcW w:w="6214" w:type="dxa"/>
            <w:tcBorders>
              <w:top w:val="outset" w:sz="6" w:space="0" w:color="auto"/>
              <w:left w:val="outset" w:sz="6" w:space="0" w:color="auto"/>
              <w:bottom w:val="outset" w:sz="6" w:space="0" w:color="auto"/>
              <w:right w:val="outset" w:sz="6" w:space="0" w:color="auto"/>
            </w:tcBorders>
          </w:tcPr>
          <w:p w14:paraId="34936727" w14:textId="322C4E5C" w:rsidR="00F06FE2" w:rsidRPr="00C40A03" w:rsidRDefault="007B4B24" w:rsidP="007807B2">
            <w:pPr>
              <w:pStyle w:val="naiskr"/>
              <w:spacing w:before="0" w:beforeAutospacing="0" w:after="0" w:afterAutospacing="0"/>
              <w:jc w:val="both"/>
              <w:rPr>
                <w:color w:val="FF0000"/>
                <w:sz w:val="26"/>
                <w:szCs w:val="26"/>
              </w:rPr>
            </w:pPr>
            <w:r w:rsidRPr="007B4B24">
              <w:rPr>
                <w:sz w:val="26"/>
                <w:szCs w:val="26"/>
              </w:rPr>
              <w:t>Nav attiecināms.</w:t>
            </w:r>
          </w:p>
        </w:tc>
      </w:tr>
      <w:tr w:rsidR="00773BF4" w:rsidRPr="00535C4B" w14:paraId="5C54D05D" w14:textId="77777777" w:rsidTr="002A69C0">
        <w:trPr>
          <w:trHeight w:val="345"/>
          <w:tblCellSpacing w:w="0" w:type="dxa"/>
        </w:trPr>
        <w:tc>
          <w:tcPr>
            <w:tcW w:w="524" w:type="dxa"/>
            <w:tcBorders>
              <w:top w:val="outset" w:sz="6" w:space="0" w:color="auto"/>
              <w:left w:val="outset" w:sz="6" w:space="0" w:color="auto"/>
              <w:bottom w:val="outset" w:sz="6" w:space="0" w:color="auto"/>
              <w:right w:val="outset" w:sz="6" w:space="0" w:color="auto"/>
            </w:tcBorders>
          </w:tcPr>
          <w:p w14:paraId="27E45BAD" w14:textId="77777777" w:rsidR="00F06FE2" w:rsidRPr="00773BF4" w:rsidRDefault="00F06FE2" w:rsidP="00BD4854">
            <w:pPr>
              <w:pStyle w:val="naiskr"/>
              <w:jc w:val="both"/>
              <w:rPr>
                <w:sz w:val="26"/>
                <w:szCs w:val="26"/>
              </w:rPr>
            </w:pPr>
            <w:r w:rsidRPr="00773BF4">
              <w:rPr>
                <w:sz w:val="26"/>
                <w:szCs w:val="26"/>
              </w:rPr>
              <w:t> 2.</w:t>
            </w:r>
          </w:p>
        </w:tc>
        <w:tc>
          <w:tcPr>
            <w:tcW w:w="2043" w:type="dxa"/>
            <w:tcBorders>
              <w:top w:val="outset" w:sz="6" w:space="0" w:color="auto"/>
              <w:left w:val="outset" w:sz="6" w:space="0" w:color="auto"/>
              <w:bottom w:val="outset" w:sz="6" w:space="0" w:color="auto"/>
              <w:right w:val="outset" w:sz="6" w:space="0" w:color="auto"/>
            </w:tcBorders>
          </w:tcPr>
          <w:p w14:paraId="7E9DC71C" w14:textId="77777777" w:rsidR="00F06FE2" w:rsidRPr="00773BF4" w:rsidRDefault="00F06FE2" w:rsidP="00BD4854">
            <w:pPr>
              <w:pStyle w:val="naiskr"/>
              <w:jc w:val="both"/>
              <w:rPr>
                <w:sz w:val="26"/>
                <w:szCs w:val="26"/>
              </w:rPr>
            </w:pPr>
            <w:r w:rsidRPr="00773BF4">
              <w:rPr>
                <w:sz w:val="26"/>
                <w:szCs w:val="26"/>
              </w:rPr>
              <w:t>Citas sabiedrības grupas (bez mērķgrupas), kuras tiesiskais regulējums arī ietekmē vai varētu ietekmēt</w:t>
            </w:r>
          </w:p>
        </w:tc>
        <w:tc>
          <w:tcPr>
            <w:tcW w:w="6214" w:type="dxa"/>
            <w:tcBorders>
              <w:top w:val="outset" w:sz="6" w:space="0" w:color="auto"/>
              <w:left w:val="outset" w:sz="6" w:space="0" w:color="auto"/>
              <w:bottom w:val="outset" w:sz="6" w:space="0" w:color="auto"/>
              <w:right w:val="outset" w:sz="6" w:space="0" w:color="auto"/>
            </w:tcBorders>
          </w:tcPr>
          <w:p w14:paraId="05EC7BC4" w14:textId="75089EE6" w:rsidR="00F06FE2" w:rsidRPr="00773BF4" w:rsidRDefault="00773BF4" w:rsidP="001E3326">
            <w:pPr>
              <w:pStyle w:val="naiskr"/>
              <w:jc w:val="both"/>
              <w:rPr>
                <w:sz w:val="26"/>
                <w:szCs w:val="26"/>
              </w:rPr>
            </w:pPr>
            <w:r w:rsidRPr="00773BF4">
              <w:rPr>
                <w:sz w:val="26"/>
                <w:szCs w:val="26"/>
              </w:rPr>
              <w:t xml:space="preserve">Attieksies uz </w:t>
            </w:r>
            <w:r w:rsidR="001E3326">
              <w:rPr>
                <w:sz w:val="26"/>
                <w:szCs w:val="26"/>
              </w:rPr>
              <w:t xml:space="preserve">Valsts kases </w:t>
            </w:r>
            <w:r w:rsidRPr="00773BF4">
              <w:rPr>
                <w:sz w:val="26"/>
                <w:szCs w:val="26"/>
              </w:rPr>
              <w:t>amatpersonām (darbiniekiem), kur</w:t>
            </w:r>
            <w:r w:rsidR="001E3326">
              <w:rPr>
                <w:sz w:val="26"/>
                <w:szCs w:val="26"/>
              </w:rPr>
              <w:t>i iesaistīti valsts parāda vadības procesa nodrošināšanā</w:t>
            </w:r>
            <w:r w:rsidRPr="00773BF4">
              <w:rPr>
                <w:sz w:val="26"/>
                <w:szCs w:val="26"/>
              </w:rPr>
              <w:t>.</w:t>
            </w:r>
          </w:p>
        </w:tc>
      </w:tr>
      <w:tr w:rsidR="007B4B24" w:rsidRPr="007B4B24" w14:paraId="569E44C0" w14:textId="77777777" w:rsidTr="002A69C0">
        <w:trPr>
          <w:trHeight w:val="517"/>
          <w:tblCellSpacing w:w="0" w:type="dxa"/>
        </w:trPr>
        <w:tc>
          <w:tcPr>
            <w:tcW w:w="524" w:type="dxa"/>
            <w:tcBorders>
              <w:top w:val="outset" w:sz="6" w:space="0" w:color="auto"/>
              <w:left w:val="outset" w:sz="6" w:space="0" w:color="auto"/>
              <w:bottom w:val="outset" w:sz="6" w:space="0" w:color="auto"/>
              <w:right w:val="outset" w:sz="6" w:space="0" w:color="auto"/>
            </w:tcBorders>
          </w:tcPr>
          <w:p w14:paraId="3CCA6889" w14:textId="77777777" w:rsidR="00F06FE2" w:rsidRPr="007B4B24" w:rsidRDefault="00F06FE2" w:rsidP="00BD4854">
            <w:pPr>
              <w:pStyle w:val="naiskr"/>
              <w:jc w:val="both"/>
              <w:rPr>
                <w:sz w:val="26"/>
                <w:szCs w:val="26"/>
              </w:rPr>
            </w:pPr>
            <w:r w:rsidRPr="007B4B24">
              <w:rPr>
                <w:sz w:val="26"/>
                <w:szCs w:val="26"/>
              </w:rPr>
              <w:t> 3.</w:t>
            </w:r>
          </w:p>
        </w:tc>
        <w:tc>
          <w:tcPr>
            <w:tcW w:w="2043" w:type="dxa"/>
            <w:tcBorders>
              <w:top w:val="outset" w:sz="6" w:space="0" w:color="auto"/>
              <w:left w:val="outset" w:sz="6" w:space="0" w:color="auto"/>
              <w:bottom w:val="outset" w:sz="6" w:space="0" w:color="auto"/>
              <w:right w:val="outset" w:sz="6" w:space="0" w:color="auto"/>
            </w:tcBorders>
          </w:tcPr>
          <w:p w14:paraId="3C192710" w14:textId="77777777" w:rsidR="00F06FE2" w:rsidRPr="007B4B24" w:rsidRDefault="00F06FE2" w:rsidP="00BD4854">
            <w:pPr>
              <w:pStyle w:val="naiskr"/>
              <w:jc w:val="both"/>
              <w:rPr>
                <w:sz w:val="26"/>
                <w:szCs w:val="26"/>
              </w:rPr>
            </w:pPr>
            <w:r w:rsidRPr="007B4B24">
              <w:rPr>
                <w:sz w:val="26"/>
                <w:szCs w:val="26"/>
              </w:rPr>
              <w:t>Tiesiskā regulējuma finansiālā ietekme</w:t>
            </w:r>
          </w:p>
        </w:tc>
        <w:tc>
          <w:tcPr>
            <w:tcW w:w="6214" w:type="dxa"/>
            <w:tcBorders>
              <w:top w:val="outset" w:sz="6" w:space="0" w:color="auto"/>
              <w:left w:val="outset" w:sz="6" w:space="0" w:color="auto"/>
              <w:bottom w:val="outset" w:sz="6" w:space="0" w:color="auto"/>
              <w:right w:val="outset" w:sz="6" w:space="0" w:color="auto"/>
            </w:tcBorders>
          </w:tcPr>
          <w:p w14:paraId="2BFC5BBE" w14:textId="77777777" w:rsidR="00F06FE2" w:rsidRPr="007B4B24" w:rsidRDefault="00F06FE2" w:rsidP="00BD4854">
            <w:pPr>
              <w:jc w:val="both"/>
              <w:rPr>
                <w:sz w:val="26"/>
                <w:szCs w:val="26"/>
                <w:lang w:val="lv-LV"/>
              </w:rPr>
            </w:pPr>
            <w:r w:rsidRPr="007B4B24">
              <w:rPr>
                <w:sz w:val="26"/>
                <w:szCs w:val="26"/>
                <w:lang w:val="lv-LV"/>
              </w:rPr>
              <w:t>Nav attiecināms</w:t>
            </w:r>
          </w:p>
          <w:p w14:paraId="0B585414" w14:textId="77777777" w:rsidR="00F06FE2" w:rsidRPr="007B4B24" w:rsidRDefault="00F06FE2" w:rsidP="00BD4854">
            <w:pPr>
              <w:jc w:val="both"/>
              <w:rPr>
                <w:sz w:val="26"/>
                <w:szCs w:val="26"/>
                <w:lang w:val="lv-LV"/>
              </w:rPr>
            </w:pPr>
          </w:p>
        </w:tc>
      </w:tr>
      <w:tr w:rsidR="007B4B24" w:rsidRPr="007B4B24" w14:paraId="13DF0A69" w14:textId="77777777" w:rsidTr="002A69C0">
        <w:trPr>
          <w:trHeight w:val="517"/>
          <w:tblCellSpacing w:w="0" w:type="dxa"/>
        </w:trPr>
        <w:tc>
          <w:tcPr>
            <w:tcW w:w="524" w:type="dxa"/>
            <w:tcBorders>
              <w:top w:val="outset" w:sz="6" w:space="0" w:color="auto"/>
              <w:left w:val="outset" w:sz="6" w:space="0" w:color="auto"/>
              <w:bottom w:val="outset" w:sz="6" w:space="0" w:color="auto"/>
              <w:right w:val="outset" w:sz="6" w:space="0" w:color="auto"/>
            </w:tcBorders>
          </w:tcPr>
          <w:p w14:paraId="10C07084" w14:textId="77777777" w:rsidR="00F06FE2" w:rsidRPr="007B4B24" w:rsidRDefault="00F06FE2" w:rsidP="00BD4854">
            <w:pPr>
              <w:pStyle w:val="naiskr"/>
              <w:jc w:val="both"/>
              <w:rPr>
                <w:sz w:val="26"/>
                <w:szCs w:val="26"/>
              </w:rPr>
            </w:pPr>
            <w:r w:rsidRPr="007B4B24">
              <w:rPr>
                <w:sz w:val="26"/>
                <w:szCs w:val="26"/>
              </w:rPr>
              <w:t> 4.</w:t>
            </w:r>
          </w:p>
        </w:tc>
        <w:tc>
          <w:tcPr>
            <w:tcW w:w="2043" w:type="dxa"/>
            <w:tcBorders>
              <w:top w:val="outset" w:sz="6" w:space="0" w:color="auto"/>
              <w:left w:val="outset" w:sz="6" w:space="0" w:color="auto"/>
              <w:bottom w:val="outset" w:sz="6" w:space="0" w:color="auto"/>
              <w:right w:val="outset" w:sz="6" w:space="0" w:color="auto"/>
            </w:tcBorders>
          </w:tcPr>
          <w:p w14:paraId="41A9279C" w14:textId="77777777" w:rsidR="00F06FE2" w:rsidRPr="007B4B24" w:rsidRDefault="00F06FE2" w:rsidP="00BD4854">
            <w:pPr>
              <w:pStyle w:val="naiskr"/>
              <w:jc w:val="both"/>
              <w:rPr>
                <w:sz w:val="26"/>
                <w:szCs w:val="26"/>
              </w:rPr>
            </w:pPr>
            <w:r w:rsidRPr="007B4B24">
              <w:rPr>
                <w:sz w:val="26"/>
                <w:szCs w:val="26"/>
              </w:rPr>
              <w:t>Tiesiskā regulējuma nefinansiālā ietekme</w:t>
            </w:r>
          </w:p>
        </w:tc>
        <w:tc>
          <w:tcPr>
            <w:tcW w:w="6214" w:type="dxa"/>
            <w:tcBorders>
              <w:top w:val="outset" w:sz="6" w:space="0" w:color="auto"/>
              <w:left w:val="outset" w:sz="6" w:space="0" w:color="auto"/>
              <w:bottom w:val="outset" w:sz="6" w:space="0" w:color="auto"/>
              <w:right w:val="outset" w:sz="6" w:space="0" w:color="auto"/>
            </w:tcBorders>
          </w:tcPr>
          <w:p w14:paraId="5DC2C3D1" w14:textId="0AADB412" w:rsidR="00F06FE2" w:rsidRPr="007B4B24" w:rsidRDefault="007B4B24" w:rsidP="00BD4854">
            <w:pPr>
              <w:jc w:val="both"/>
              <w:rPr>
                <w:sz w:val="26"/>
                <w:szCs w:val="26"/>
                <w:lang w:val="lv-LV"/>
              </w:rPr>
            </w:pPr>
            <w:r w:rsidRPr="007B4B24">
              <w:rPr>
                <w:sz w:val="26"/>
                <w:szCs w:val="26"/>
                <w:lang w:val="lv-LV"/>
              </w:rPr>
              <w:t>Nav attiecināms.</w:t>
            </w:r>
          </w:p>
        </w:tc>
      </w:tr>
      <w:tr w:rsidR="007B4B24" w:rsidRPr="007B4B24" w14:paraId="521B1C39" w14:textId="77777777" w:rsidTr="002A69C0">
        <w:trPr>
          <w:trHeight w:val="65"/>
          <w:tblCellSpacing w:w="0" w:type="dxa"/>
        </w:trPr>
        <w:tc>
          <w:tcPr>
            <w:tcW w:w="524" w:type="dxa"/>
            <w:tcBorders>
              <w:top w:val="outset" w:sz="6" w:space="0" w:color="auto"/>
              <w:left w:val="outset" w:sz="6" w:space="0" w:color="auto"/>
              <w:bottom w:val="outset" w:sz="6" w:space="0" w:color="auto"/>
              <w:right w:val="outset" w:sz="6" w:space="0" w:color="auto"/>
            </w:tcBorders>
          </w:tcPr>
          <w:p w14:paraId="6E9F1DAE" w14:textId="77777777" w:rsidR="00F06FE2" w:rsidRPr="007B4B24" w:rsidRDefault="00F06FE2" w:rsidP="00BD4854">
            <w:pPr>
              <w:pStyle w:val="naiskr"/>
              <w:jc w:val="both"/>
              <w:rPr>
                <w:sz w:val="26"/>
                <w:szCs w:val="26"/>
              </w:rPr>
            </w:pPr>
            <w:r w:rsidRPr="007B4B24">
              <w:rPr>
                <w:sz w:val="26"/>
                <w:szCs w:val="26"/>
              </w:rPr>
              <w:t> 5.</w:t>
            </w:r>
          </w:p>
        </w:tc>
        <w:tc>
          <w:tcPr>
            <w:tcW w:w="2043" w:type="dxa"/>
            <w:tcBorders>
              <w:top w:val="outset" w:sz="6" w:space="0" w:color="auto"/>
              <w:left w:val="outset" w:sz="6" w:space="0" w:color="auto"/>
              <w:bottom w:val="outset" w:sz="6" w:space="0" w:color="auto"/>
              <w:right w:val="outset" w:sz="6" w:space="0" w:color="auto"/>
            </w:tcBorders>
          </w:tcPr>
          <w:p w14:paraId="69429D9C" w14:textId="77777777" w:rsidR="00F06FE2" w:rsidRPr="007B4B24" w:rsidRDefault="00F06FE2" w:rsidP="00BD4854">
            <w:pPr>
              <w:pStyle w:val="naiskr"/>
              <w:jc w:val="both"/>
              <w:rPr>
                <w:sz w:val="26"/>
                <w:szCs w:val="26"/>
              </w:rPr>
            </w:pPr>
            <w:r w:rsidRPr="007B4B24">
              <w:rPr>
                <w:sz w:val="26"/>
                <w:szCs w:val="26"/>
              </w:rPr>
              <w:t>Administratīvās procedūras raksturojums</w:t>
            </w:r>
          </w:p>
        </w:tc>
        <w:tc>
          <w:tcPr>
            <w:tcW w:w="6214" w:type="dxa"/>
            <w:tcBorders>
              <w:top w:val="outset" w:sz="6" w:space="0" w:color="auto"/>
              <w:left w:val="outset" w:sz="6" w:space="0" w:color="auto"/>
              <w:bottom w:val="outset" w:sz="6" w:space="0" w:color="auto"/>
              <w:right w:val="outset" w:sz="6" w:space="0" w:color="auto"/>
            </w:tcBorders>
          </w:tcPr>
          <w:p w14:paraId="3BA55E30" w14:textId="2DCA7B5E" w:rsidR="00F06FE2" w:rsidRPr="007B4B24" w:rsidRDefault="007B4B24" w:rsidP="007807B2">
            <w:pPr>
              <w:jc w:val="both"/>
              <w:rPr>
                <w:sz w:val="26"/>
                <w:szCs w:val="26"/>
                <w:lang w:val="lv-LV" w:eastAsia="lv-LV"/>
              </w:rPr>
            </w:pPr>
            <w:r w:rsidRPr="007B4B24">
              <w:rPr>
                <w:sz w:val="26"/>
                <w:szCs w:val="26"/>
                <w:lang w:val="lv-LV" w:eastAsia="lv-LV"/>
              </w:rPr>
              <w:t>Nav attiecināms.</w:t>
            </w:r>
          </w:p>
        </w:tc>
      </w:tr>
      <w:tr w:rsidR="007B4B24" w:rsidRPr="007B4B24" w14:paraId="472EB40D" w14:textId="77777777" w:rsidTr="002A69C0">
        <w:trPr>
          <w:trHeight w:val="357"/>
          <w:tblCellSpacing w:w="0" w:type="dxa"/>
        </w:trPr>
        <w:tc>
          <w:tcPr>
            <w:tcW w:w="524" w:type="dxa"/>
            <w:tcBorders>
              <w:top w:val="outset" w:sz="6" w:space="0" w:color="auto"/>
              <w:left w:val="outset" w:sz="6" w:space="0" w:color="auto"/>
              <w:bottom w:val="outset" w:sz="6" w:space="0" w:color="auto"/>
              <w:right w:val="outset" w:sz="6" w:space="0" w:color="auto"/>
            </w:tcBorders>
          </w:tcPr>
          <w:p w14:paraId="751686CD" w14:textId="77777777" w:rsidR="00F06FE2" w:rsidRPr="007B4B24" w:rsidRDefault="00F06FE2" w:rsidP="00BD4854">
            <w:pPr>
              <w:pStyle w:val="naiskr"/>
              <w:jc w:val="both"/>
              <w:rPr>
                <w:sz w:val="26"/>
                <w:szCs w:val="26"/>
              </w:rPr>
            </w:pPr>
            <w:r w:rsidRPr="007B4B24">
              <w:rPr>
                <w:sz w:val="26"/>
                <w:szCs w:val="26"/>
              </w:rPr>
              <w:t> 6.</w:t>
            </w:r>
          </w:p>
        </w:tc>
        <w:tc>
          <w:tcPr>
            <w:tcW w:w="2043" w:type="dxa"/>
            <w:tcBorders>
              <w:top w:val="outset" w:sz="6" w:space="0" w:color="auto"/>
              <w:left w:val="outset" w:sz="6" w:space="0" w:color="auto"/>
              <w:bottom w:val="outset" w:sz="6" w:space="0" w:color="auto"/>
              <w:right w:val="outset" w:sz="6" w:space="0" w:color="auto"/>
            </w:tcBorders>
          </w:tcPr>
          <w:p w14:paraId="7C3E6D57" w14:textId="77777777" w:rsidR="00F06FE2" w:rsidRPr="007B4B24" w:rsidRDefault="00F06FE2" w:rsidP="00BD4854">
            <w:pPr>
              <w:pStyle w:val="naiskr"/>
              <w:jc w:val="both"/>
              <w:rPr>
                <w:sz w:val="26"/>
                <w:szCs w:val="26"/>
              </w:rPr>
            </w:pPr>
            <w:r w:rsidRPr="007B4B24">
              <w:rPr>
                <w:sz w:val="26"/>
                <w:szCs w:val="26"/>
              </w:rPr>
              <w:t>Administratīvo izmaksu monetārs novērtējums</w:t>
            </w:r>
          </w:p>
        </w:tc>
        <w:tc>
          <w:tcPr>
            <w:tcW w:w="6214" w:type="dxa"/>
            <w:tcBorders>
              <w:top w:val="outset" w:sz="6" w:space="0" w:color="auto"/>
              <w:left w:val="outset" w:sz="6" w:space="0" w:color="auto"/>
              <w:bottom w:val="outset" w:sz="6" w:space="0" w:color="auto"/>
              <w:right w:val="outset" w:sz="6" w:space="0" w:color="auto"/>
            </w:tcBorders>
          </w:tcPr>
          <w:p w14:paraId="01F5A103" w14:textId="77777777" w:rsidR="00F06FE2" w:rsidRPr="007B4B24" w:rsidRDefault="00F06FE2" w:rsidP="00BD4854">
            <w:pPr>
              <w:pStyle w:val="naiskr"/>
              <w:jc w:val="both"/>
              <w:rPr>
                <w:sz w:val="26"/>
                <w:szCs w:val="26"/>
              </w:rPr>
            </w:pPr>
            <w:r w:rsidRPr="007B4B24">
              <w:rPr>
                <w:sz w:val="26"/>
                <w:szCs w:val="26"/>
              </w:rPr>
              <w:t> Nav attiecināms.</w:t>
            </w:r>
          </w:p>
        </w:tc>
      </w:tr>
      <w:tr w:rsidR="007B4B24" w:rsidRPr="007B4B24" w14:paraId="448140B0" w14:textId="77777777" w:rsidTr="002A69C0">
        <w:trPr>
          <w:tblCellSpacing w:w="0" w:type="dxa"/>
        </w:trPr>
        <w:tc>
          <w:tcPr>
            <w:tcW w:w="524" w:type="dxa"/>
            <w:tcBorders>
              <w:top w:val="outset" w:sz="6" w:space="0" w:color="auto"/>
              <w:left w:val="outset" w:sz="6" w:space="0" w:color="auto"/>
              <w:bottom w:val="outset" w:sz="6" w:space="0" w:color="auto"/>
              <w:right w:val="outset" w:sz="6" w:space="0" w:color="auto"/>
            </w:tcBorders>
          </w:tcPr>
          <w:p w14:paraId="65BE26E5" w14:textId="77777777" w:rsidR="00F06FE2" w:rsidRPr="007B4B24" w:rsidRDefault="00F06FE2" w:rsidP="00BD4854">
            <w:pPr>
              <w:pStyle w:val="naiskr"/>
              <w:jc w:val="both"/>
              <w:rPr>
                <w:sz w:val="26"/>
                <w:szCs w:val="26"/>
              </w:rPr>
            </w:pPr>
            <w:r w:rsidRPr="007B4B24">
              <w:rPr>
                <w:sz w:val="26"/>
                <w:szCs w:val="26"/>
              </w:rPr>
              <w:t> 7.</w:t>
            </w:r>
          </w:p>
        </w:tc>
        <w:tc>
          <w:tcPr>
            <w:tcW w:w="2043" w:type="dxa"/>
            <w:tcBorders>
              <w:top w:val="outset" w:sz="6" w:space="0" w:color="auto"/>
              <w:left w:val="outset" w:sz="6" w:space="0" w:color="auto"/>
              <w:bottom w:val="outset" w:sz="6" w:space="0" w:color="auto"/>
              <w:right w:val="outset" w:sz="6" w:space="0" w:color="auto"/>
            </w:tcBorders>
          </w:tcPr>
          <w:p w14:paraId="4AE71DAC" w14:textId="77777777" w:rsidR="00F06FE2" w:rsidRPr="007B4B24" w:rsidRDefault="00F06FE2" w:rsidP="00BD4854">
            <w:pPr>
              <w:pStyle w:val="naiskr"/>
              <w:jc w:val="both"/>
              <w:rPr>
                <w:sz w:val="26"/>
                <w:szCs w:val="26"/>
              </w:rPr>
            </w:pPr>
            <w:r w:rsidRPr="007B4B24">
              <w:rPr>
                <w:sz w:val="26"/>
                <w:szCs w:val="26"/>
              </w:rPr>
              <w:t>Cita informācija</w:t>
            </w:r>
          </w:p>
        </w:tc>
        <w:tc>
          <w:tcPr>
            <w:tcW w:w="6214" w:type="dxa"/>
            <w:tcBorders>
              <w:top w:val="outset" w:sz="6" w:space="0" w:color="auto"/>
              <w:left w:val="outset" w:sz="6" w:space="0" w:color="auto"/>
              <w:bottom w:val="outset" w:sz="6" w:space="0" w:color="auto"/>
              <w:right w:val="outset" w:sz="6" w:space="0" w:color="auto"/>
            </w:tcBorders>
          </w:tcPr>
          <w:p w14:paraId="1F6A1A57" w14:textId="77777777" w:rsidR="00F06FE2" w:rsidRPr="007B4B24" w:rsidRDefault="00F06FE2" w:rsidP="00BD4854">
            <w:pPr>
              <w:pStyle w:val="naiskr"/>
              <w:jc w:val="both"/>
              <w:rPr>
                <w:sz w:val="26"/>
                <w:szCs w:val="26"/>
              </w:rPr>
            </w:pPr>
            <w:r w:rsidRPr="007B4B24">
              <w:rPr>
                <w:sz w:val="26"/>
                <w:szCs w:val="26"/>
              </w:rPr>
              <w:t> Nav.</w:t>
            </w:r>
          </w:p>
        </w:tc>
      </w:tr>
    </w:tbl>
    <w:p w14:paraId="2D9B8BE9" w14:textId="77777777" w:rsidR="00F06FE2" w:rsidRPr="007B4B24" w:rsidRDefault="00F06FE2" w:rsidP="00F06FE2">
      <w:pPr>
        <w:jc w:val="both"/>
        <w:rPr>
          <w:sz w:val="26"/>
          <w:szCs w:val="26"/>
          <w:lang w:val="lv-LV"/>
        </w:rPr>
      </w:pPr>
    </w:p>
    <w:tbl>
      <w:tblPr>
        <w:tblpPr w:leftFromText="180" w:rightFromText="180" w:vertAnchor="text" w:horzAnchor="margin" w:tblpX="10" w:tblpY="371"/>
        <w:tblW w:w="8930" w:type="dxa"/>
        <w:tblCellSpacing w:w="0" w:type="dxa"/>
        <w:tblBorders>
          <w:top w:val="outset" w:sz="6" w:space="0" w:color="auto"/>
          <w:left w:val="single" w:sz="4"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2227"/>
        <w:gridCol w:w="1908"/>
        <w:gridCol w:w="1174"/>
        <w:gridCol w:w="1158"/>
        <w:gridCol w:w="1158"/>
        <w:gridCol w:w="1305"/>
      </w:tblGrid>
      <w:tr w:rsidR="00D84A5A" w:rsidRPr="00535C4B" w14:paraId="0282E58F" w14:textId="77777777" w:rsidTr="007B4B24">
        <w:trPr>
          <w:trHeight w:val="50"/>
          <w:tblCellSpacing w:w="0" w:type="dxa"/>
        </w:trPr>
        <w:tc>
          <w:tcPr>
            <w:tcW w:w="8930" w:type="dxa"/>
            <w:gridSpan w:val="6"/>
          </w:tcPr>
          <w:p w14:paraId="435339AB" w14:textId="77777777" w:rsidR="00F06FE2" w:rsidRPr="00D84A5A" w:rsidRDefault="00F06FE2" w:rsidP="007B4B24">
            <w:pPr>
              <w:jc w:val="both"/>
              <w:rPr>
                <w:sz w:val="26"/>
                <w:szCs w:val="26"/>
                <w:lang w:val="lv-LV" w:eastAsia="lv-LV"/>
              </w:rPr>
            </w:pPr>
            <w:r w:rsidRPr="00D84A5A">
              <w:rPr>
                <w:sz w:val="26"/>
                <w:szCs w:val="26"/>
                <w:lang w:val="lv-LV" w:eastAsia="lv-LV"/>
              </w:rPr>
              <w:t>III. Tiesību akta projekta ietekme uz valsts budžetu un pašvaldību budžetiem</w:t>
            </w:r>
          </w:p>
          <w:p w14:paraId="6AD82EA8" w14:textId="77777777" w:rsidR="00F06FE2" w:rsidRPr="00D84A5A" w:rsidRDefault="00F06FE2" w:rsidP="007B4B24">
            <w:pPr>
              <w:jc w:val="both"/>
              <w:rPr>
                <w:sz w:val="26"/>
                <w:szCs w:val="26"/>
                <w:lang w:val="lv-LV" w:eastAsia="lv-LV"/>
              </w:rPr>
            </w:pPr>
          </w:p>
        </w:tc>
      </w:tr>
      <w:tr w:rsidR="00C40A03" w:rsidRPr="00C40A03" w14:paraId="4F2659D5" w14:textId="77777777" w:rsidTr="00850E87">
        <w:trPr>
          <w:tblCellSpacing w:w="0" w:type="dxa"/>
        </w:trPr>
        <w:tc>
          <w:tcPr>
            <w:tcW w:w="2227" w:type="dxa"/>
            <w:vMerge w:val="restart"/>
            <w:vAlign w:val="center"/>
          </w:tcPr>
          <w:p w14:paraId="72AD629B" w14:textId="77777777" w:rsidR="00F06FE2" w:rsidRPr="00D84A5A" w:rsidRDefault="00F06FE2" w:rsidP="007B4B24">
            <w:pPr>
              <w:jc w:val="both"/>
              <w:rPr>
                <w:bCs/>
                <w:sz w:val="26"/>
                <w:szCs w:val="26"/>
                <w:lang w:val="lv-LV" w:eastAsia="lv-LV"/>
              </w:rPr>
            </w:pPr>
            <w:r w:rsidRPr="00D84A5A">
              <w:rPr>
                <w:bCs/>
                <w:sz w:val="26"/>
                <w:szCs w:val="26"/>
                <w:lang w:val="lv-LV" w:eastAsia="lv-LV"/>
              </w:rPr>
              <w:t>Rādītāji</w:t>
            </w:r>
          </w:p>
          <w:p w14:paraId="00ACD557" w14:textId="77777777" w:rsidR="00F06FE2" w:rsidRPr="00C40A03" w:rsidRDefault="00F06FE2" w:rsidP="007B4B24">
            <w:pPr>
              <w:jc w:val="both"/>
              <w:rPr>
                <w:bCs/>
                <w:color w:val="FF0000"/>
                <w:sz w:val="26"/>
                <w:szCs w:val="26"/>
                <w:lang w:val="lv-LV" w:eastAsia="lv-LV"/>
              </w:rPr>
            </w:pPr>
          </w:p>
          <w:p w14:paraId="01812CEC" w14:textId="77777777" w:rsidR="00F06FE2" w:rsidRPr="00C40A03" w:rsidRDefault="00F06FE2" w:rsidP="007B4B24">
            <w:pPr>
              <w:jc w:val="both"/>
              <w:rPr>
                <w:color w:val="FF0000"/>
                <w:sz w:val="26"/>
                <w:szCs w:val="26"/>
                <w:lang w:val="lv-LV" w:eastAsia="lv-LV"/>
              </w:rPr>
            </w:pPr>
          </w:p>
        </w:tc>
        <w:tc>
          <w:tcPr>
            <w:tcW w:w="3082" w:type="dxa"/>
            <w:gridSpan w:val="2"/>
            <w:vMerge w:val="restart"/>
            <w:vAlign w:val="center"/>
          </w:tcPr>
          <w:p w14:paraId="53A503B2" w14:textId="77777777" w:rsidR="00F06FE2" w:rsidRPr="00D84A5A" w:rsidRDefault="00F06FE2" w:rsidP="007B4B24">
            <w:pPr>
              <w:jc w:val="both"/>
              <w:rPr>
                <w:sz w:val="26"/>
                <w:szCs w:val="26"/>
                <w:lang w:val="lv-LV" w:eastAsia="lv-LV"/>
              </w:rPr>
            </w:pPr>
            <w:r w:rsidRPr="00D84A5A">
              <w:rPr>
                <w:bCs/>
                <w:sz w:val="26"/>
                <w:szCs w:val="26"/>
                <w:lang w:val="lv-LV" w:eastAsia="lv-LV"/>
              </w:rPr>
              <w:t>2013</w:t>
            </w:r>
          </w:p>
        </w:tc>
        <w:tc>
          <w:tcPr>
            <w:tcW w:w="3621" w:type="dxa"/>
            <w:gridSpan w:val="3"/>
            <w:vAlign w:val="center"/>
          </w:tcPr>
          <w:p w14:paraId="7C8B9E36" w14:textId="3AFCAB94" w:rsidR="00F06FE2" w:rsidRPr="00D84A5A" w:rsidRDefault="00F06FE2" w:rsidP="007B4B24">
            <w:pPr>
              <w:jc w:val="both"/>
              <w:rPr>
                <w:sz w:val="26"/>
                <w:szCs w:val="26"/>
                <w:lang w:val="lv-LV" w:eastAsia="lv-LV"/>
              </w:rPr>
            </w:pPr>
            <w:r w:rsidRPr="00D84A5A">
              <w:rPr>
                <w:sz w:val="26"/>
                <w:szCs w:val="26"/>
                <w:lang w:val="lv-LV" w:eastAsia="lv-LV"/>
              </w:rPr>
              <w:t xml:space="preserve">Turpmākie trīs gadi (tūkst. </w:t>
            </w:r>
            <w:r w:rsidR="00860635" w:rsidRPr="00D84A5A">
              <w:rPr>
                <w:sz w:val="26"/>
                <w:szCs w:val="26"/>
                <w:lang w:val="lv-LV" w:eastAsia="lv-LV"/>
              </w:rPr>
              <w:t>euro</w:t>
            </w:r>
            <w:r w:rsidRPr="00D84A5A">
              <w:rPr>
                <w:sz w:val="26"/>
                <w:szCs w:val="26"/>
                <w:lang w:val="lv-LV" w:eastAsia="lv-LV"/>
              </w:rPr>
              <w:t>)</w:t>
            </w:r>
          </w:p>
          <w:p w14:paraId="13416758" w14:textId="77777777" w:rsidR="00F06FE2" w:rsidRPr="00D84A5A" w:rsidRDefault="00F06FE2" w:rsidP="007B4B24">
            <w:pPr>
              <w:jc w:val="both"/>
              <w:rPr>
                <w:sz w:val="26"/>
                <w:szCs w:val="26"/>
                <w:lang w:val="lv-LV" w:eastAsia="lv-LV"/>
              </w:rPr>
            </w:pPr>
          </w:p>
        </w:tc>
      </w:tr>
      <w:tr w:rsidR="00C40A03" w:rsidRPr="00C40A03" w14:paraId="33D968DB" w14:textId="77777777" w:rsidTr="00850E87">
        <w:trPr>
          <w:tblCellSpacing w:w="0" w:type="dxa"/>
        </w:trPr>
        <w:tc>
          <w:tcPr>
            <w:tcW w:w="2227" w:type="dxa"/>
            <w:vMerge/>
            <w:vAlign w:val="center"/>
          </w:tcPr>
          <w:p w14:paraId="0D51296F" w14:textId="77777777" w:rsidR="00F06FE2" w:rsidRPr="00C40A03" w:rsidRDefault="00F06FE2" w:rsidP="007B4B24">
            <w:pPr>
              <w:jc w:val="both"/>
              <w:rPr>
                <w:color w:val="FF0000"/>
                <w:sz w:val="26"/>
                <w:szCs w:val="26"/>
                <w:lang w:val="lv-LV" w:eastAsia="lv-LV"/>
              </w:rPr>
            </w:pPr>
          </w:p>
        </w:tc>
        <w:tc>
          <w:tcPr>
            <w:tcW w:w="3082" w:type="dxa"/>
            <w:gridSpan w:val="2"/>
            <w:vMerge/>
            <w:vAlign w:val="center"/>
          </w:tcPr>
          <w:p w14:paraId="7DAF2DC2" w14:textId="77777777" w:rsidR="00F06FE2" w:rsidRPr="00D84A5A" w:rsidRDefault="00F06FE2" w:rsidP="007B4B24">
            <w:pPr>
              <w:jc w:val="both"/>
              <w:rPr>
                <w:sz w:val="26"/>
                <w:szCs w:val="26"/>
                <w:lang w:val="lv-LV" w:eastAsia="lv-LV"/>
              </w:rPr>
            </w:pPr>
          </w:p>
        </w:tc>
        <w:tc>
          <w:tcPr>
            <w:tcW w:w="1158" w:type="dxa"/>
            <w:vAlign w:val="center"/>
          </w:tcPr>
          <w:p w14:paraId="447B72A6" w14:textId="77777777" w:rsidR="00F06FE2" w:rsidRPr="00D84A5A" w:rsidRDefault="00F06FE2" w:rsidP="007B4B24">
            <w:pPr>
              <w:jc w:val="both"/>
              <w:rPr>
                <w:sz w:val="26"/>
                <w:szCs w:val="26"/>
                <w:lang w:val="lv-LV" w:eastAsia="lv-LV"/>
              </w:rPr>
            </w:pPr>
            <w:r w:rsidRPr="00D84A5A">
              <w:rPr>
                <w:sz w:val="26"/>
                <w:szCs w:val="26"/>
                <w:lang w:val="lv-LV" w:eastAsia="lv-LV"/>
              </w:rPr>
              <w:t>2014</w:t>
            </w:r>
          </w:p>
        </w:tc>
        <w:tc>
          <w:tcPr>
            <w:tcW w:w="1158" w:type="dxa"/>
            <w:vAlign w:val="center"/>
          </w:tcPr>
          <w:p w14:paraId="4EEA17DB" w14:textId="77777777" w:rsidR="00F06FE2" w:rsidRPr="00D84A5A" w:rsidRDefault="00F06FE2" w:rsidP="007B4B24">
            <w:pPr>
              <w:jc w:val="both"/>
              <w:rPr>
                <w:sz w:val="26"/>
                <w:szCs w:val="26"/>
                <w:lang w:val="lv-LV" w:eastAsia="lv-LV"/>
              </w:rPr>
            </w:pPr>
            <w:r w:rsidRPr="00D84A5A">
              <w:rPr>
                <w:sz w:val="26"/>
                <w:szCs w:val="26"/>
                <w:lang w:val="lv-LV" w:eastAsia="lv-LV"/>
              </w:rPr>
              <w:t>2015</w:t>
            </w:r>
          </w:p>
        </w:tc>
        <w:tc>
          <w:tcPr>
            <w:tcW w:w="1305" w:type="dxa"/>
            <w:vAlign w:val="center"/>
          </w:tcPr>
          <w:p w14:paraId="05A20654" w14:textId="77777777" w:rsidR="00F06FE2" w:rsidRPr="00D84A5A" w:rsidRDefault="00F06FE2" w:rsidP="007B4B24">
            <w:pPr>
              <w:jc w:val="both"/>
              <w:rPr>
                <w:sz w:val="26"/>
                <w:szCs w:val="26"/>
                <w:lang w:val="lv-LV" w:eastAsia="lv-LV"/>
              </w:rPr>
            </w:pPr>
            <w:r w:rsidRPr="00D84A5A">
              <w:rPr>
                <w:sz w:val="26"/>
                <w:szCs w:val="26"/>
                <w:lang w:val="lv-LV" w:eastAsia="lv-LV"/>
              </w:rPr>
              <w:t>2016</w:t>
            </w:r>
          </w:p>
        </w:tc>
      </w:tr>
      <w:tr w:rsidR="00C40A03" w:rsidRPr="00C40A03" w14:paraId="17B65EAB" w14:textId="77777777" w:rsidTr="00850E87">
        <w:trPr>
          <w:tblCellSpacing w:w="0" w:type="dxa"/>
        </w:trPr>
        <w:tc>
          <w:tcPr>
            <w:tcW w:w="2227" w:type="dxa"/>
            <w:vMerge/>
            <w:vAlign w:val="center"/>
          </w:tcPr>
          <w:p w14:paraId="36987712" w14:textId="77777777" w:rsidR="00F06FE2" w:rsidRPr="00C40A03" w:rsidRDefault="00F06FE2" w:rsidP="007B4B24">
            <w:pPr>
              <w:jc w:val="both"/>
              <w:rPr>
                <w:color w:val="FF0000"/>
                <w:sz w:val="26"/>
                <w:szCs w:val="26"/>
                <w:lang w:val="lv-LV" w:eastAsia="lv-LV"/>
              </w:rPr>
            </w:pPr>
          </w:p>
        </w:tc>
        <w:tc>
          <w:tcPr>
            <w:tcW w:w="1908" w:type="dxa"/>
            <w:vAlign w:val="center"/>
          </w:tcPr>
          <w:p w14:paraId="121CBB65" w14:textId="77777777" w:rsidR="00F06FE2" w:rsidRPr="00D84A5A" w:rsidRDefault="00F06FE2" w:rsidP="007B4B24">
            <w:pPr>
              <w:jc w:val="both"/>
              <w:rPr>
                <w:sz w:val="26"/>
                <w:szCs w:val="26"/>
                <w:lang w:val="lv-LV" w:eastAsia="lv-LV"/>
              </w:rPr>
            </w:pPr>
            <w:r w:rsidRPr="00D84A5A">
              <w:rPr>
                <w:sz w:val="26"/>
                <w:szCs w:val="26"/>
                <w:lang w:val="lv-LV" w:eastAsia="lv-LV"/>
              </w:rPr>
              <w:t>Saskaņā ar valsts budžetu kārtējam gadam</w:t>
            </w:r>
          </w:p>
        </w:tc>
        <w:tc>
          <w:tcPr>
            <w:tcW w:w="1174" w:type="dxa"/>
            <w:vAlign w:val="center"/>
          </w:tcPr>
          <w:p w14:paraId="734DBA99" w14:textId="77777777" w:rsidR="00F06FE2" w:rsidRPr="00D84A5A" w:rsidRDefault="00F06FE2" w:rsidP="007B4B24">
            <w:pPr>
              <w:jc w:val="both"/>
              <w:rPr>
                <w:sz w:val="26"/>
                <w:szCs w:val="26"/>
                <w:lang w:val="lv-LV" w:eastAsia="lv-LV"/>
              </w:rPr>
            </w:pPr>
            <w:r w:rsidRPr="00D84A5A">
              <w:rPr>
                <w:sz w:val="26"/>
                <w:szCs w:val="26"/>
                <w:lang w:val="lv-LV" w:eastAsia="lv-LV"/>
              </w:rPr>
              <w:t xml:space="preserve">Izmaiņas kārtējā gadā, salīdzinot </w:t>
            </w:r>
            <w:r w:rsidRPr="00D84A5A">
              <w:rPr>
                <w:sz w:val="26"/>
                <w:szCs w:val="26"/>
                <w:lang w:val="lv-LV" w:eastAsia="lv-LV"/>
              </w:rPr>
              <w:lastRenderedPageBreak/>
              <w:t>ar budžetu kārtējam gadam</w:t>
            </w:r>
          </w:p>
        </w:tc>
        <w:tc>
          <w:tcPr>
            <w:tcW w:w="1158" w:type="dxa"/>
            <w:vAlign w:val="center"/>
          </w:tcPr>
          <w:p w14:paraId="07FC8688" w14:textId="77777777" w:rsidR="00F06FE2" w:rsidRPr="00D84A5A" w:rsidRDefault="00F06FE2" w:rsidP="007B4B24">
            <w:pPr>
              <w:jc w:val="both"/>
              <w:rPr>
                <w:sz w:val="26"/>
                <w:szCs w:val="26"/>
                <w:lang w:val="lv-LV" w:eastAsia="lv-LV"/>
              </w:rPr>
            </w:pPr>
            <w:r w:rsidRPr="00D84A5A">
              <w:rPr>
                <w:sz w:val="26"/>
                <w:szCs w:val="26"/>
                <w:lang w:val="lv-LV"/>
              </w:rPr>
              <w:lastRenderedPageBreak/>
              <w:t>Izmaiņas, salīdzinot ar kārtējo (n) gadu</w:t>
            </w:r>
          </w:p>
        </w:tc>
        <w:tc>
          <w:tcPr>
            <w:tcW w:w="1158" w:type="dxa"/>
            <w:vAlign w:val="center"/>
          </w:tcPr>
          <w:p w14:paraId="7DC1C820" w14:textId="77777777" w:rsidR="00F06FE2" w:rsidRPr="00D84A5A" w:rsidRDefault="00F06FE2" w:rsidP="007B4B24">
            <w:pPr>
              <w:jc w:val="both"/>
              <w:rPr>
                <w:sz w:val="26"/>
                <w:szCs w:val="26"/>
                <w:lang w:val="lv-LV" w:eastAsia="lv-LV"/>
              </w:rPr>
            </w:pPr>
            <w:r w:rsidRPr="00D84A5A">
              <w:rPr>
                <w:sz w:val="26"/>
                <w:szCs w:val="26"/>
                <w:lang w:val="lv-LV" w:eastAsia="lv-LV"/>
              </w:rPr>
              <w:t>Izmaiņas, salīdzinot ar kārtējo (n) gadu</w:t>
            </w:r>
          </w:p>
        </w:tc>
        <w:tc>
          <w:tcPr>
            <w:tcW w:w="1305" w:type="dxa"/>
            <w:vAlign w:val="center"/>
          </w:tcPr>
          <w:p w14:paraId="0E2760B9" w14:textId="77777777" w:rsidR="00F06FE2" w:rsidRPr="00D84A5A" w:rsidRDefault="00F06FE2" w:rsidP="007B4B24">
            <w:pPr>
              <w:jc w:val="both"/>
              <w:rPr>
                <w:sz w:val="26"/>
                <w:szCs w:val="26"/>
                <w:lang w:val="lv-LV" w:eastAsia="lv-LV"/>
              </w:rPr>
            </w:pPr>
            <w:r w:rsidRPr="00D84A5A">
              <w:rPr>
                <w:sz w:val="26"/>
                <w:szCs w:val="26"/>
                <w:lang w:val="lv-LV" w:eastAsia="lv-LV"/>
              </w:rPr>
              <w:t>Izmaiņas, salīdzinot ar kārtējo (n) gadu</w:t>
            </w:r>
          </w:p>
        </w:tc>
      </w:tr>
      <w:tr w:rsidR="00C40A03" w:rsidRPr="00C40A03" w14:paraId="4AC0964E" w14:textId="77777777" w:rsidTr="00850E87">
        <w:trPr>
          <w:tblCellSpacing w:w="0" w:type="dxa"/>
        </w:trPr>
        <w:tc>
          <w:tcPr>
            <w:tcW w:w="2227" w:type="dxa"/>
            <w:vAlign w:val="center"/>
          </w:tcPr>
          <w:p w14:paraId="4A5A8835" w14:textId="77777777" w:rsidR="00F06FE2" w:rsidRPr="00D84A5A" w:rsidRDefault="00F06FE2" w:rsidP="007B4B24">
            <w:pPr>
              <w:jc w:val="both"/>
              <w:rPr>
                <w:sz w:val="26"/>
                <w:szCs w:val="26"/>
                <w:lang w:val="lv-LV" w:eastAsia="lv-LV"/>
              </w:rPr>
            </w:pPr>
            <w:r w:rsidRPr="00D84A5A">
              <w:rPr>
                <w:sz w:val="26"/>
                <w:szCs w:val="26"/>
                <w:lang w:val="lv-LV" w:eastAsia="lv-LV"/>
              </w:rPr>
              <w:lastRenderedPageBreak/>
              <w:t>1</w:t>
            </w:r>
          </w:p>
        </w:tc>
        <w:tc>
          <w:tcPr>
            <w:tcW w:w="1908" w:type="dxa"/>
            <w:vAlign w:val="center"/>
          </w:tcPr>
          <w:p w14:paraId="0E283B0A" w14:textId="77777777" w:rsidR="00F06FE2" w:rsidRPr="00D84A5A" w:rsidRDefault="00F06FE2" w:rsidP="007B4B24">
            <w:pPr>
              <w:jc w:val="both"/>
              <w:rPr>
                <w:sz w:val="26"/>
                <w:szCs w:val="26"/>
                <w:lang w:val="lv-LV" w:eastAsia="lv-LV"/>
              </w:rPr>
            </w:pPr>
            <w:r w:rsidRPr="00D84A5A">
              <w:rPr>
                <w:sz w:val="26"/>
                <w:szCs w:val="26"/>
                <w:lang w:val="lv-LV" w:eastAsia="lv-LV"/>
              </w:rPr>
              <w:t>2</w:t>
            </w:r>
          </w:p>
        </w:tc>
        <w:tc>
          <w:tcPr>
            <w:tcW w:w="1174" w:type="dxa"/>
            <w:vAlign w:val="center"/>
          </w:tcPr>
          <w:p w14:paraId="386DA3AF" w14:textId="77777777" w:rsidR="00F06FE2" w:rsidRPr="00D84A5A" w:rsidRDefault="00F06FE2" w:rsidP="007B4B24">
            <w:pPr>
              <w:jc w:val="both"/>
              <w:rPr>
                <w:sz w:val="26"/>
                <w:szCs w:val="26"/>
                <w:lang w:val="lv-LV" w:eastAsia="lv-LV"/>
              </w:rPr>
            </w:pPr>
            <w:r w:rsidRPr="00D84A5A">
              <w:rPr>
                <w:sz w:val="26"/>
                <w:szCs w:val="26"/>
                <w:lang w:val="lv-LV" w:eastAsia="lv-LV"/>
              </w:rPr>
              <w:t>3</w:t>
            </w:r>
          </w:p>
        </w:tc>
        <w:tc>
          <w:tcPr>
            <w:tcW w:w="1158" w:type="dxa"/>
            <w:vAlign w:val="center"/>
          </w:tcPr>
          <w:p w14:paraId="612D3B20" w14:textId="77777777" w:rsidR="00F06FE2" w:rsidRPr="00D84A5A" w:rsidRDefault="00F06FE2" w:rsidP="007B4B24">
            <w:pPr>
              <w:jc w:val="both"/>
              <w:rPr>
                <w:sz w:val="26"/>
                <w:szCs w:val="26"/>
                <w:lang w:val="lv-LV" w:eastAsia="lv-LV"/>
              </w:rPr>
            </w:pPr>
            <w:r w:rsidRPr="00D84A5A">
              <w:rPr>
                <w:sz w:val="26"/>
                <w:szCs w:val="26"/>
                <w:lang w:val="lv-LV" w:eastAsia="lv-LV"/>
              </w:rPr>
              <w:t>4</w:t>
            </w:r>
          </w:p>
        </w:tc>
        <w:tc>
          <w:tcPr>
            <w:tcW w:w="1158" w:type="dxa"/>
            <w:vAlign w:val="center"/>
          </w:tcPr>
          <w:p w14:paraId="1F423090" w14:textId="77777777" w:rsidR="00F06FE2" w:rsidRPr="00D84A5A" w:rsidRDefault="00F06FE2" w:rsidP="007B4B24">
            <w:pPr>
              <w:jc w:val="both"/>
              <w:rPr>
                <w:sz w:val="26"/>
                <w:szCs w:val="26"/>
                <w:lang w:val="lv-LV" w:eastAsia="lv-LV"/>
              </w:rPr>
            </w:pPr>
            <w:r w:rsidRPr="00D84A5A">
              <w:rPr>
                <w:sz w:val="26"/>
                <w:szCs w:val="26"/>
                <w:lang w:val="lv-LV" w:eastAsia="lv-LV"/>
              </w:rPr>
              <w:t>5</w:t>
            </w:r>
          </w:p>
        </w:tc>
        <w:tc>
          <w:tcPr>
            <w:tcW w:w="1305" w:type="dxa"/>
            <w:vAlign w:val="center"/>
          </w:tcPr>
          <w:p w14:paraId="494DDA68" w14:textId="77777777" w:rsidR="00F06FE2" w:rsidRPr="00D84A5A" w:rsidRDefault="00F06FE2" w:rsidP="007B4B24">
            <w:pPr>
              <w:jc w:val="both"/>
              <w:rPr>
                <w:sz w:val="26"/>
                <w:szCs w:val="26"/>
                <w:lang w:val="lv-LV" w:eastAsia="lv-LV"/>
              </w:rPr>
            </w:pPr>
            <w:r w:rsidRPr="00D84A5A">
              <w:rPr>
                <w:sz w:val="26"/>
                <w:szCs w:val="26"/>
                <w:lang w:val="lv-LV" w:eastAsia="lv-LV"/>
              </w:rPr>
              <w:t>6</w:t>
            </w:r>
          </w:p>
        </w:tc>
      </w:tr>
      <w:tr w:rsidR="00C40A03" w:rsidRPr="00C40A03" w14:paraId="7150F95B" w14:textId="77777777" w:rsidTr="00850E87">
        <w:trPr>
          <w:tblCellSpacing w:w="0" w:type="dxa"/>
        </w:trPr>
        <w:tc>
          <w:tcPr>
            <w:tcW w:w="2227" w:type="dxa"/>
          </w:tcPr>
          <w:p w14:paraId="595315F6" w14:textId="77777777" w:rsidR="00F06FE2" w:rsidRPr="00D84A5A" w:rsidRDefault="00F06FE2" w:rsidP="007B4B24">
            <w:pPr>
              <w:jc w:val="both"/>
              <w:rPr>
                <w:sz w:val="26"/>
                <w:szCs w:val="26"/>
                <w:lang w:val="lv-LV" w:eastAsia="lv-LV"/>
              </w:rPr>
            </w:pPr>
            <w:r w:rsidRPr="00D84A5A">
              <w:rPr>
                <w:sz w:val="26"/>
                <w:szCs w:val="26"/>
                <w:lang w:val="lv-LV" w:eastAsia="lv-LV"/>
              </w:rPr>
              <w:t> 1. Budžeta ieņēmumi:</w:t>
            </w:r>
          </w:p>
        </w:tc>
        <w:tc>
          <w:tcPr>
            <w:tcW w:w="1908" w:type="dxa"/>
          </w:tcPr>
          <w:p w14:paraId="637E6039" w14:textId="2ADADD72" w:rsidR="00F06FE2" w:rsidRPr="00D84A5A" w:rsidRDefault="001E3326" w:rsidP="007B4B24">
            <w:pPr>
              <w:jc w:val="both"/>
              <w:rPr>
                <w:sz w:val="26"/>
                <w:szCs w:val="26"/>
                <w:lang w:val="lv-LV" w:eastAsia="lv-LV"/>
              </w:rPr>
            </w:pPr>
            <w:r>
              <w:rPr>
                <w:sz w:val="26"/>
                <w:szCs w:val="26"/>
                <w:lang w:val="lv-LV" w:eastAsia="lv-LV"/>
              </w:rPr>
              <w:t>0</w:t>
            </w:r>
          </w:p>
        </w:tc>
        <w:tc>
          <w:tcPr>
            <w:tcW w:w="1174" w:type="dxa"/>
          </w:tcPr>
          <w:p w14:paraId="023E4D18" w14:textId="04CFC305" w:rsidR="00F06FE2" w:rsidRPr="00D84A5A" w:rsidRDefault="001E3326" w:rsidP="007B4B24">
            <w:pPr>
              <w:jc w:val="both"/>
              <w:rPr>
                <w:sz w:val="26"/>
                <w:szCs w:val="26"/>
                <w:lang w:val="lv-LV" w:eastAsia="lv-LV"/>
              </w:rPr>
            </w:pPr>
            <w:r>
              <w:rPr>
                <w:sz w:val="26"/>
                <w:szCs w:val="26"/>
                <w:lang w:val="lv-LV" w:eastAsia="lv-LV"/>
              </w:rPr>
              <w:t>0</w:t>
            </w:r>
          </w:p>
        </w:tc>
        <w:tc>
          <w:tcPr>
            <w:tcW w:w="1158" w:type="dxa"/>
          </w:tcPr>
          <w:p w14:paraId="2B2031CA" w14:textId="279E5FE7" w:rsidR="00F06FE2" w:rsidRPr="00D84A5A" w:rsidRDefault="000522D9" w:rsidP="007B4B24">
            <w:pPr>
              <w:jc w:val="both"/>
              <w:rPr>
                <w:sz w:val="26"/>
                <w:szCs w:val="26"/>
                <w:lang w:val="lv-LV" w:eastAsia="lv-LV"/>
              </w:rPr>
            </w:pPr>
            <w:r w:rsidRPr="00D84A5A">
              <w:rPr>
                <w:sz w:val="26"/>
                <w:szCs w:val="26"/>
                <w:lang w:val="lv-LV" w:eastAsia="lv-LV"/>
              </w:rPr>
              <w:t>0</w:t>
            </w:r>
          </w:p>
        </w:tc>
        <w:tc>
          <w:tcPr>
            <w:tcW w:w="1158" w:type="dxa"/>
          </w:tcPr>
          <w:p w14:paraId="0D22E256" w14:textId="6D4ED003" w:rsidR="00F06FE2" w:rsidRPr="00D84A5A" w:rsidRDefault="000522D9" w:rsidP="007B4B24">
            <w:pPr>
              <w:jc w:val="both"/>
              <w:rPr>
                <w:sz w:val="26"/>
                <w:szCs w:val="26"/>
                <w:lang w:val="lv-LV" w:eastAsia="lv-LV"/>
              </w:rPr>
            </w:pPr>
            <w:r w:rsidRPr="00D84A5A">
              <w:rPr>
                <w:sz w:val="26"/>
                <w:szCs w:val="26"/>
                <w:lang w:val="lv-LV" w:eastAsia="lv-LV"/>
              </w:rPr>
              <w:t>0</w:t>
            </w:r>
          </w:p>
        </w:tc>
        <w:tc>
          <w:tcPr>
            <w:tcW w:w="1305" w:type="dxa"/>
          </w:tcPr>
          <w:p w14:paraId="0E51C075" w14:textId="1D761FD7" w:rsidR="00F06FE2" w:rsidRPr="00D84A5A" w:rsidRDefault="000522D9" w:rsidP="007B4B24">
            <w:pPr>
              <w:jc w:val="both"/>
              <w:rPr>
                <w:sz w:val="26"/>
                <w:szCs w:val="26"/>
                <w:lang w:val="lv-LV" w:eastAsia="lv-LV"/>
              </w:rPr>
            </w:pPr>
            <w:r w:rsidRPr="00D84A5A">
              <w:rPr>
                <w:sz w:val="26"/>
                <w:szCs w:val="26"/>
                <w:lang w:val="lv-LV" w:eastAsia="lv-LV"/>
              </w:rPr>
              <w:t>0</w:t>
            </w:r>
          </w:p>
        </w:tc>
      </w:tr>
      <w:tr w:rsidR="00C40A03" w:rsidRPr="00C40A03" w14:paraId="5FB18CFF" w14:textId="77777777" w:rsidTr="00850E87">
        <w:trPr>
          <w:tblCellSpacing w:w="0" w:type="dxa"/>
        </w:trPr>
        <w:tc>
          <w:tcPr>
            <w:tcW w:w="2227" w:type="dxa"/>
          </w:tcPr>
          <w:p w14:paraId="4A7B0262" w14:textId="60B32612" w:rsidR="00F06FE2" w:rsidRPr="00D84A5A" w:rsidRDefault="00F06FE2" w:rsidP="007B4B24">
            <w:pPr>
              <w:jc w:val="both"/>
              <w:rPr>
                <w:sz w:val="26"/>
                <w:szCs w:val="26"/>
                <w:lang w:val="lv-LV" w:eastAsia="lv-LV"/>
              </w:rPr>
            </w:pPr>
            <w:r w:rsidRPr="00D84A5A">
              <w:rPr>
                <w:sz w:val="26"/>
                <w:szCs w:val="26"/>
                <w:lang w:val="lv-LV" w:eastAsia="lv-LV"/>
              </w:rPr>
              <w:t> 1.1. valsts pamatbudžets, tai skaitā ieņēmumi no maksas pakalpojumiem un citi pašu ieņēmumi</w:t>
            </w:r>
          </w:p>
        </w:tc>
        <w:tc>
          <w:tcPr>
            <w:tcW w:w="1908" w:type="dxa"/>
          </w:tcPr>
          <w:p w14:paraId="6C1739D9"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74" w:type="dxa"/>
          </w:tcPr>
          <w:p w14:paraId="52132847" w14:textId="422DC0FE" w:rsidR="00F06FE2" w:rsidRPr="00D84A5A" w:rsidRDefault="00076684" w:rsidP="007B4B24">
            <w:pPr>
              <w:jc w:val="both"/>
              <w:rPr>
                <w:sz w:val="26"/>
                <w:szCs w:val="26"/>
                <w:lang w:val="lv-LV" w:eastAsia="lv-LV"/>
              </w:rPr>
            </w:pPr>
            <w:r>
              <w:rPr>
                <w:sz w:val="26"/>
                <w:szCs w:val="26"/>
                <w:lang w:val="lv-LV" w:eastAsia="lv-LV"/>
              </w:rPr>
              <w:t>0</w:t>
            </w:r>
          </w:p>
        </w:tc>
        <w:tc>
          <w:tcPr>
            <w:tcW w:w="1158" w:type="dxa"/>
          </w:tcPr>
          <w:p w14:paraId="43FCFBBE" w14:textId="215049C1" w:rsidR="00F06FE2" w:rsidRPr="00D84A5A" w:rsidRDefault="000522D9" w:rsidP="007B4B24">
            <w:pPr>
              <w:jc w:val="both"/>
              <w:rPr>
                <w:sz w:val="26"/>
                <w:szCs w:val="26"/>
                <w:lang w:val="lv-LV" w:eastAsia="lv-LV"/>
              </w:rPr>
            </w:pPr>
            <w:r w:rsidRPr="00D84A5A">
              <w:rPr>
                <w:sz w:val="26"/>
                <w:szCs w:val="26"/>
                <w:lang w:val="lv-LV"/>
              </w:rPr>
              <w:t>0</w:t>
            </w:r>
          </w:p>
        </w:tc>
        <w:tc>
          <w:tcPr>
            <w:tcW w:w="1158" w:type="dxa"/>
          </w:tcPr>
          <w:p w14:paraId="5B527A98" w14:textId="0E2ECAFC" w:rsidR="00F06FE2" w:rsidRPr="00D84A5A" w:rsidRDefault="000522D9" w:rsidP="007B4B24">
            <w:pPr>
              <w:jc w:val="both"/>
              <w:rPr>
                <w:sz w:val="26"/>
                <w:szCs w:val="26"/>
                <w:lang w:val="lv-LV" w:eastAsia="lv-LV"/>
              </w:rPr>
            </w:pPr>
            <w:r w:rsidRPr="00D84A5A">
              <w:rPr>
                <w:sz w:val="26"/>
                <w:szCs w:val="26"/>
                <w:lang w:val="lv-LV"/>
              </w:rPr>
              <w:t>0</w:t>
            </w:r>
          </w:p>
        </w:tc>
        <w:tc>
          <w:tcPr>
            <w:tcW w:w="1305" w:type="dxa"/>
          </w:tcPr>
          <w:p w14:paraId="0635F981" w14:textId="5E89A5BD" w:rsidR="00F06FE2" w:rsidRPr="00D84A5A" w:rsidRDefault="000522D9" w:rsidP="007B4B24">
            <w:pPr>
              <w:jc w:val="both"/>
              <w:rPr>
                <w:sz w:val="26"/>
                <w:szCs w:val="26"/>
                <w:lang w:val="lv-LV" w:eastAsia="lv-LV"/>
              </w:rPr>
            </w:pPr>
            <w:r w:rsidRPr="00D84A5A">
              <w:rPr>
                <w:sz w:val="26"/>
                <w:szCs w:val="26"/>
                <w:lang w:val="lv-LV"/>
              </w:rPr>
              <w:t>0</w:t>
            </w:r>
          </w:p>
        </w:tc>
      </w:tr>
      <w:tr w:rsidR="00C40A03" w:rsidRPr="00C40A03" w14:paraId="5B797B78" w14:textId="77777777" w:rsidTr="00850E87">
        <w:trPr>
          <w:tblCellSpacing w:w="0" w:type="dxa"/>
        </w:trPr>
        <w:tc>
          <w:tcPr>
            <w:tcW w:w="2227" w:type="dxa"/>
          </w:tcPr>
          <w:p w14:paraId="397B0940" w14:textId="77777777" w:rsidR="00F06FE2" w:rsidRPr="00D84A5A" w:rsidRDefault="00F06FE2" w:rsidP="007B4B24">
            <w:pPr>
              <w:jc w:val="both"/>
              <w:rPr>
                <w:sz w:val="26"/>
                <w:szCs w:val="26"/>
                <w:lang w:val="lv-LV" w:eastAsia="lv-LV"/>
              </w:rPr>
            </w:pPr>
            <w:r w:rsidRPr="00D84A5A">
              <w:rPr>
                <w:sz w:val="26"/>
                <w:szCs w:val="26"/>
                <w:lang w:val="lv-LV" w:eastAsia="lv-LV"/>
              </w:rPr>
              <w:t> 1.2. valsts speciālais budžets</w:t>
            </w:r>
          </w:p>
        </w:tc>
        <w:tc>
          <w:tcPr>
            <w:tcW w:w="1908" w:type="dxa"/>
          </w:tcPr>
          <w:p w14:paraId="401EA455"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74" w:type="dxa"/>
          </w:tcPr>
          <w:p w14:paraId="729320AD"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115977D9"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305781FF"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305" w:type="dxa"/>
          </w:tcPr>
          <w:p w14:paraId="2822D606" w14:textId="77777777" w:rsidR="00F06FE2" w:rsidRPr="00D84A5A" w:rsidRDefault="00F06FE2" w:rsidP="007B4B24">
            <w:pPr>
              <w:jc w:val="both"/>
              <w:rPr>
                <w:sz w:val="26"/>
                <w:szCs w:val="26"/>
                <w:lang w:val="lv-LV" w:eastAsia="lv-LV"/>
              </w:rPr>
            </w:pPr>
            <w:r w:rsidRPr="00D84A5A">
              <w:rPr>
                <w:sz w:val="26"/>
                <w:szCs w:val="26"/>
                <w:lang w:val="lv-LV" w:eastAsia="lv-LV"/>
              </w:rPr>
              <w:t>0</w:t>
            </w:r>
          </w:p>
        </w:tc>
      </w:tr>
      <w:tr w:rsidR="00C40A03" w:rsidRPr="00C40A03" w14:paraId="3036176F" w14:textId="77777777" w:rsidTr="0084552C">
        <w:trPr>
          <w:trHeight w:val="571"/>
          <w:tblCellSpacing w:w="0" w:type="dxa"/>
        </w:trPr>
        <w:tc>
          <w:tcPr>
            <w:tcW w:w="2227" w:type="dxa"/>
          </w:tcPr>
          <w:p w14:paraId="5E829BE2" w14:textId="77777777" w:rsidR="00F06FE2" w:rsidRPr="00D84A5A" w:rsidRDefault="00F06FE2" w:rsidP="007B4B24">
            <w:pPr>
              <w:jc w:val="both"/>
              <w:rPr>
                <w:sz w:val="26"/>
                <w:szCs w:val="26"/>
                <w:lang w:val="lv-LV" w:eastAsia="lv-LV"/>
              </w:rPr>
            </w:pPr>
            <w:r w:rsidRPr="00D84A5A">
              <w:rPr>
                <w:sz w:val="26"/>
                <w:szCs w:val="26"/>
                <w:lang w:val="lv-LV" w:eastAsia="lv-LV"/>
              </w:rPr>
              <w:t> 1.3. pašvaldību budžets</w:t>
            </w:r>
          </w:p>
        </w:tc>
        <w:tc>
          <w:tcPr>
            <w:tcW w:w="1908" w:type="dxa"/>
          </w:tcPr>
          <w:p w14:paraId="53A31F84"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74" w:type="dxa"/>
          </w:tcPr>
          <w:p w14:paraId="33FCF2CE"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09FB993D"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143268D1"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305" w:type="dxa"/>
          </w:tcPr>
          <w:p w14:paraId="6CEBE17B" w14:textId="77777777" w:rsidR="00F06FE2" w:rsidRPr="00D84A5A" w:rsidRDefault="00F06FE2" w:rsidP="007B4B24">
            <w:pPr>
              <w:jc w:val="both"/>
              <w:rPr>
                <w:sz w:val="26"/>
                <w:szCs w:val="26"/>
                <w:lang w:val="lv-LV" w:eastAsia="lv-LV"/>
              </w:rPr>
            </w:pPr>
            <w:r w:rsidRPr="00D84A5A">
              <w:rPr>
                <w:sz w:val="26"/>
                <w:szCs w:val="26"/>
                <w:lang w:val="lv-LV" w:eastAsia="lv-LV"/>
              </w:rPr>
              <w:t>0</w:t>
            </w:r>
          </w:p>
        </w:tc>
      </w:tr>
      <w:tr w:rsidR="00C40A03" w:rsidRPr="00C40A03" w14:paraId="3CE1CC33" w14:textId="77777777" w:rsidTr="00850E87">
        <w:trPr>
          <w:tblCellSpacing w:w="0" w:type="dxa"/>
        </w:trPr>
        <w:tc>
          <w:tcPr>
            <w:tcW w:w="2227" w:type="dxa"/>
          </w:tcPr>
          <w:p w14:paraId="262DB898" w14:textId="77777777" w:rsidR="00F06FE2" w:rsidRPr="00D84A5A" w:rsidRDefault="00F06FE2" w:rsidP="007B4B24">
            <w:pPr>
              <w:jc w:val="both"/>
              <w:rPr>
                <w:sz w:val="26"/>
                <w:szCs w:val="26"/>
                <w:lang w:val="lv-LV" w:eastAsia="lv-LV"/>
              </w:rPr>
            </w:pPr>
            <w:r w:rsidRPr="00D84A5A">
              <w:rPr>
                <w:sz w:val="26"/>
                <w:szCs w:val="26"/>
                <w:lang w:val="lv-LV" w:eastAsia="lv-LV"/>
              </w:rPr>
              <w:t> 2. Budžeta izdevumi:</w:t>
            </w:r>
          </w:p>
        </w:tc>
        <w:tc>
          <w:tcPr>
            <w:tcW w:w="1908" w:type="dxa"/>
          </w:tcPr>
          <w:p w14:paraId="430F6CB2"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74" w:type="dxa"/>
          </w:tcPr>
          <w:p w14:paraId="41C9BB76" w14:textId="17B07390" w:rsidR="00F06FE2" w:rsidRPr="00D84A5A" w:rsidRDefault="001E3326" w:rsidP="007B4B24">
            <w:pPr>
              <w:jc w:val="both"/>
              <w:rPr>
                <w:sz w:val="26"/>
                <w:szCs w:val="26"/>
                <w:lang w:val="lv-LV" w:eastAsia="lv-LV"/>
              </w:rPr>
            </w:pPr>
            <w:r>
              <w:rPr>
                <w:sz w:val="26"/>
                <w:szCs w:val="26"/>
                <w:lang w:val="lv-LV" w:eastAsia="lv-LV"/>
              </w:rPr>
              <w:t>0</w:t>
            </w:r>
          </w:p>
        </w:tc>
        <w:tc>
          <w:tcPr>
            <w:tcW w:w="1158" w:type="dxa"/>
          </w:tcPr>
          <w:p w14:paraId="73296CB0" w14:textId="77777777" w:rsidR="00F06FE2" w:rsidRPr="00D84A5A" w:rsidRDefault="00A25C50" w:rsidP="007B4B24">
            <w:pPr>
              <w:jc w:val="both"/>
              <w:rPr>
                <w:sz w:val="26"/>
                <w:szCs w:val="26"/>
                <w:lang w:val="lv-LV" w:eastAsia="lv-LV"/>
              </w:rPr>
            </w:pPr>
            <w:r w:rsidRPr="00D84A5A">
              <w:rPr>
                <w:sz w:val="26"/>
                <w:szCs w:val="26"/>
                <w:lang w:val="lv-LV"/>
              </w:rPr>
              <w:t>0</w:t>
            </w:r>
          </w:p>
        </w:tc>
        <w:tc>
          <w:tcPr>
            <w:tcW w:w="1158" w:type="dxa"/>
          </w:tcPr>
          <w:p w14:paraId="173B9F71" w14:textId="77777777" w:rsidR="00F06FE2" w:rsidRPr="00D84A5A" w:rsidRDefault="00A25C50" w:rsidP="007B4B24">
            <w:pPr>
              <w:jc w:val="both"/>
              <w:rPr>
                <w:sz w:val="26"/>
                <w:szCs w:val="26"/>
                <w:lang w:val="lv-LV" w:eastAsia="lv-LV"/>
              </w:rPr>
            </w:pPr>
            <w:r w:rsidRPr="00D84A5A">
              <w:rPr>
                <w:sz w:val="26"/>
                <w:szCs w:val="26"/>
                <w:lang w:val="lv-LV"/>
              </w:rPr>
              <w:t>0</w:t>
            </w:r>
          </w:p>
        </w:tc>
        <w:tc>
          <w:tcPr>
            <w:tcW w:w="1305" w:type="dxa"/>
          </w:tcPr>
          <w:p w14:paraId="65605D22" w14:textId="77777777" w:rsidR="00F06FE2" w:rsidRPr="00D84A5A" w:rsidRDefault="00A25C50" w:rsidP="007B4B24">
            <w:pPr>
              <w:jc w:val="both"/>
              <w:rPr>
                <w:sz w:val="26"/>
                <w:szCs w:val="26"/>
                <w:lang w:val="lv-LV" w:eastAsia="lv-LV"/>
              </w:rPr>
            </w:pPr>
            <w:r w:rsidRPr="00D84A5A">
              <w:rPr>
                <w:sz w:val="26"/>
                <w:szCs w:val="26"/>
                <w:lang w:val="lv-LV"/>
              </w:rPr>
              <w:t>0</w:t>
            </w:r>
          </w:p>
        </w:tc>
      </w:tr>
      <w:tr w:rsidR="00C40A03" w:rsidRPr="00C40A03" w14:paraId="019EFCF9" w14:textId="77777777" w:rsidTr="00850E87">
        <w:trPr>
          <w:tblCellSpacing w:w="0" w:type="dxa"/>
        </w:trPr>
        <w:tc>
          <w:tcPr>
            <w:tcW w:w="2227" w:type="dxa"/>
          </w:tcPr>
          <w:p w14:paraId="3D639B1E" w14:textId="77777777" w:rsidR="00F06FE2" w:rsidRPr="00D84A5A" w:rsidRDefault="00F06FE2" w:rsidP="007B4B24">
            <w:pPr>
              <w:jc w:val="both"/>
              <w:rPr>
                <w:sz w:val="26"/>
                <w:szCs w:val="26"/>
                <w:lang w:val="lv-LV" w:eastAsia="lv-LV"/>
              </w:rPr>
            </w:pPr>
            <w:r w:rsidRPr="00D84A5A">
              <w:rPr>
                <w:sz w:val="26"/>
                <w:szCs w:val="26"/>
                <w:lang w:val="lv-LV" w:eastAsia="lv-LV"/>
              </w:rPr>
              <w:t> 2.1. valsts pamatbudžets</w:t>
            </w:r>
          </w:p>
        </w:tc>
        <w:tc>
          <w:tcPr>
            <w:tcW w:w="1908" w:type="dxa"/>
          </w:tcPr>
          <w:p w14:paraId="31429887"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74" w:type="dxa"/>
          </w:tcPr>
          <w:p w14:paraId="62E24995" w14:textId="7051A4B7" w:rsidR="00F06FE2" w:rsidRPr="00D84A5A" w:rsidRDefault="00076684" w:rsidP="007B4B24">
            <w:pPr>
              <w:jc w:val="both"/>
              <w:rPr>
                <w:sz w:val="26"/>
                <w:szCs w:val="26"/>
                <w:lang w:val="lv-LV" w:eastAsia="lv-LV"/>
              </w:rPr>
            </w:pPr>
            <w:r>
              <w:rPr>
                <w:sz w:val="26"/>
                <w:szCs w:val="26"/>
                <w:lang w:val="lv-LV" w:eastAsia="lv-LV"/>
              </w:rPr>
              <w:t>0</w:t>
            </w:r>
          </w:p>
        </w:tc>
        <w:tc>
          <w:tcPr>
            <w:tcW w:w="1158" w:type="dxa"/>
          </w:tcPr>
          <w:p w14:paraId="1E2DD177" w14:textId="77777777" w:rsidR="00F06FE2" w:rsidRPr="00D84A5A" w:rsidRDefault="00A25C50" w:rsidP="007B4B24">
            <w:pPr>
              <w:jc w:val="both"/>
              <w:rPr>
                <w:sz w:val="26"/>
                <w:szCs w:val="26"/>
                <w:lang w:val="lv-LV" w:eastAsia="lv-LV"/>
              </w:rPr>
            </w:pPr>
            <w:r w:rsidRPr="00D84A5A">
              <w:rPr>
                <w:sz w:val="26"/>
                <w:szCs w:val="26"/>
                <w:lang w:val="lv-LV"/>
              </w:rPr>
              <w:t>0</w:t>
            </w:r>
          </w:p>
        </w:tc>
        <w:tc>
          <w:tcPr>
            <w:tcW w:w="1158" w:type="dxa"/>
          </w:tcPr>
          <w:p w14:paraId="5EC99121" w14:textId="77777777" w:rsidR="00F06FE2" w:rsidRPr="00D84A5A" w:rsidRDefault="00A25C50" w:rsidP="007B4B24">
            <w:pPr>
              <w:jc w:val="both"/>
              <w:rPr>
                <w:sz w:val="26"/>
                <w:szCs w:val="26"/>
                <w:lang w:val="lv-LV" w:eastAsia="lv-LV"/>
              </w:rPr>
            </w:pPr>
            <w:r w:rsidRPr="00D84A5A">
              <w:rPr>
                <w:sz w:val="26"/>
                <w:szCs w:val="26"/>
                <w:lang w:val="lv-LV"/>
              </w:rPr>
              <w:t>0</w:t>
            </w:r>
          </w:p>
        </w:tc>
        <w:tc>
          <w:tcPr>
            <w:tcW w:w="1305" w:type="dxa"/>
          </w:tcPr>
          <w:p w14:paraId="75D18317" w14:textId="77777777" w:rsidR="00F06FE2" w:rsidRPr="00D84A5A" w:rsidRDefault="00A25C50" w:rsidP="007B4B24">
            <w:pPr>
              <w:jc w:val="both"/>
              <w:rPr>
                <w:sz w:val="26"/>
                <w:szCs w:val="26"/>
                <w:lang w:val="lv-LV" w:eastAsia="lv-LV"/>
              </w:rPr>
            </w:pPr>
            <w:r w:rsidRPr="00D84A5A">
              <w:rPr>
                <w:sz w:val="26"/>
                <w:szCs w:val="26"/>
                <w:lang w:val="lv-LV"/>
              </w:rPr>
              <w:t>0</w:t>
            </w:r>
          </w:p>
        </w:tc>
      </w:tr>
      <w:tr w:rsidR="00C40A03" w:rsidRPr="00C40A03" w14:paraId="5BA45D6D" w14:textId="77777777" w:rsidTr="00850E87">
        <w:trPr>
          <w:tblCellSpacing w:w="0" w:type="dxa"/>
        </w:trPr>
        <w:tc>
          <w:tcPr>
            <w:tcW w:w="2227" w:type="dxa"/>
          </w:tcPr>
          <w:p w14:paraId="4B5B9A6C" w14:textId="77777777" w:rsidR="00F06FE2" w:rsidRPr="00D84A5A" w:rsidRDefault="00F06FE2" w:rsidP="007B4B24">
            <w:pPr>
              <w:jc w:val="both"/>
              <w:rPr>
                <w:sz w:val="26"/>
                <w:szCs w:val="26"/>
                <w:lang w:val="lv-LV" w:eastAsia="lv-LV"/>
              </w:rPr>
            </w:pPr>
            <w:r w:rsidRPr="00D84A5A">
              <w:rPr>
                <w:sz w:val="26"/>
                <w:szCs w:val="26"/>
                <w:lang w:val="lv-LV" w:eastAsia="lv-LV"/>
              </w:rPr>
              <w:t> 2.2. valsts speciālais budžets</w:t>
            </w:r>
          </w:p>
        </w:tc>
        <w:tc>
          <w:tcPr>
            <w:tcW w:w="1908" w:type="dxa"/>
          </w:tcPr>
          <w:p w14:paraId="14400365"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74" w:type="dxa"/>
          </w:tcPr>
          <w:p w14:paraId="76CEF6AE"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7CDA6BDD"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62690AD3"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305" w:type="dxa"/>
          </w:tcPr>
          <w:p w14:paraId="72D11F22" w14:textId="77777777" w:rsidR="00F06FE2" w:rsidRPr="00D84A5A" w:rsidRDefault="00F06FE2" w:rsidP="007B4B24">
            <w:pPr>
              <w:jc w:val="both"/>
              <w:rPr>
                <w:sz w:val="26"/>
                <w:szCs w:val="26"/>
                <w:lang w:val="lv-LV" w:eastAsia="lv-LV"/>
              </w:rPr>
            </w:pPr>
            <w:r w:rsidRPr="00D84A5A">
              <w:rPr>
                <w:sz w:val="26"/>
                <w:szCs w:val="26"/>
                <w:lang w:val="lv-LV" w:eastAsia="lv-LV"/>
              </w:rPr>
              <w:t>0</w:t>
            </w:r>
          </w:p>
        </w:tc>
      </w:tr>
      <w:tr w:rsidR="00C40A03" w:rsidRPr="00C40A03" w14:paraId="61C71F39" w14:textId="77777777" w:rsidTr="00850E87">
        <w:trPr>
          <w:tblCellSpacing w:w="0" w:type="dxa"/>
        </w:trPr>
        <w:tc>
          <w:tcPr>
            <w:tcW w:w="2227" w:type="dxa"/>
          </w:tcPr>
          <w:p w14:paraId="4BA10506" w14:textId="77777777" w:rsidR="00F06FE2" w:rsidRPr="00D84A5A" w:rsidRDefault="00F06FE2" w:rsidP="007B4B24">
            <w:pPr>
              <w:jc w:val="both"/>
              <w:rPr>
                <w:sz w:val="26"/>
                <w:szCs w:val="26"/>
                <w:lang w:val="lv-LV" w:eastAsia="lv-LV"/>
              </w:rPr>
            </w:pPr>
            <w:r w:rsidRPr="00D84A5A">
              <w:rPr>
                <w:sz w:val="26"/>
                <w:szCs w:val="26"/>
                <w:lang w:val="lv-LV" w:eastAsia="lv-LV"/>
              </w:rPr>
              <w:t> 2.3. pašvaldību budžets</w:t>
            </w:r>
          </w:p>
        </w:tc>
        <w:tc>
          <w:tcPr>
            <w:tcW w:w="1908" w:type="dxa"/>
          </w:tcPr>
          <w:p w14:paraId="7B4A9CA1"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74" w:type="dxa"/>
          </w:tcPr>
          <w:p w14:paraId="7867CA71"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40CE37ED"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42446813"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305" w:type="dxa"/>
          </w:tcPr>
          <w:p w14:paraId="555966BC" w14:textId="77777777" w:rsidR="00F06FE2" w:rsidRPr="00D84A5A" w:rsidRDefault="00F06FE2" w:rsidP="007B4B24">
            <w:pPr>
              <w:jc w:val="both"/>
              <w:rPr>
                <w:sz w:val="26"/>
                <w:szCs w:val="26"/>
                <w:lang w:val="lv-LV" w:eastAsia="lv-LV"/>
              </w:rPr>
            </w:pPr>
            <w:r w:rsidRPr="00D84A5A">
              <w:rPr>
                <w:sz w:val="26"/>
                <w:szCs w:val="26"/>
                <w:lang w:val="lv-LV" w:eastAsia="lv-LV"/>
              </w:rPr>
              <w:t>0</w:t>
            </w:r>
          </w:p>
        </w:tc>
      </w:tr>
      <w:tr w:rsidR="00C40A03" w:rsidRPr="00C40A03" w14:paraId="4E5203C9" w14:textId="77777777" w:rsidTr="00850E87">
        <w:trPr>
          <w:tblCellSpacing w:w="0" w:type="dxa"/>
        </w:trPr>
        <w:tc>
          <w:tcPr>
            <w:tcW w:w="2227" w:type="dxa"/>
          </w:tcPr>
          <w:p w14:paraId="2F05C13F" w14:textId="77777777" w:rsidR="00F06FE2" w:rsidRPr="00D84A5A" w:rsidRDefault="00F06FE2" w:rsidP="007B4B24">
            <w:pPr>
              <w:jc w:val="both"/>
              <w:rPr>
                <w:sz w:val="26"/>
                <w:szCs w:val="26"/>
                <w:lang w:val="lv-LV" w:eastAsia="lv-LV"/>
              </w:rPr>
            </w:pPr>
            <w:r w:rsidRPr="00D84A5A">
              <w:rPr>
                <w:sz w:val="26"/>
                <w:szCs w:val="26"/>
                <w:lang w:val="lv-LV" w:eastAsia="lv-LV"/>
              </w:rPr>
              <w:t> 3. Finansiālā ietekme:</w:t>
            </w:r>
          </w:p>
        </w:tc>
        <w:tc>
          <w:tcPr>
            <w:tcW w:w="1908" w:type="dxa"/>
            <w:vAlign w:val="center"/>
          </w:tcPr>
          <w:p w14:paraId="0AD36B2D"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74" w:type="dxa"/>
          </w:tcPr>
          <w:p w14:paraId="6BC3564A" w14:textId="3C126518" w:rsidR="00F06FE2" w:rsidRPr="00D84A5A" w:rsidRDefault="001E3326" w:rsidP="007B4B24">
            <w:pPr>
              <w:jc w:val="both"/>
              <w:rPr>
                <w:sz w:val="26"/>
                <w:szCs w:val="26"/>
                <w:lang w:val="lv-LV" w:eastAsia="lv-LV"/>
              </w:rPr>
            </w:pPr>
            <w:r>
              <w:rPr>
                <w:sz w:val="26"/>
                <w:szCs w:val="26"/>
                <w:lang w:val="lv-LV" w:eastAsia="lv-LV"/>
              </w:rPr>
              <w:t>0</w:t>
            </w:r>
          </w:p>
        </w:tc>
        <w:tc>
          <w:tcPr>
            <w:tcW w:w="1158" w:type="dxa"/>
          </w:tcPr>
          <w:p w14:paraId="3FD256E2" w14:textId="15C0EB18" w:rsidR="00F06FE2" w:rsidRPr="00D84A5A" w:rsidRDefault="000522D9" w:rsidP="007B4B24">
            <w:pPr>
              <w:jc w:val="both"/>
              <w:rPr>
                <w:sz w:val="26"/>
                <w:szCs w:val="26"/>
                <w:lang w:val="lv-LV" w:eastAsia="lv-LV"/>
              </w:rPr>
            </w:pPr>
            <w:r w:rsidRPr="00D84A5A">
              <w:rPr>
                <w:sz w:val="26"/>
                <w:szCs w:val="26"/>
                <w:lang w:val="lv-LV"/>
              </w:rPr>
              <w:t>0</w:t>
            </w:r>
          </w:p>
        </w:tc>
        <w:tc>
          <w:tcPr>
            <w:tcW w:w="1158" w:type="dxa"/>
          </w:tcPr>
          <w:p w14:paraId="035BFBA4" w14:textId="33170523" w:rsidR="00F06FE2" w:rsidRPr="00D84A5A" w:rsidRDefault="000522D9" w:rsidP="007B4B24">
            <w:pPr>
              <w:jc w:val="both"/>
              <w:rPr>
                <w:sz w:val="26"/>
                <w:szCs w:val="26"/>
                <w:lang w:val="lv-LV" w:eastAsia="lv-LV"/>
              </w:rPr>
            </w:pPr>
            <w:r w:rsidRPr="00D84A5A">
              <w:rPr>
                <w:sz w:val="26"/>
                <w:szCs w:val="26"/>
                <w:lang w:val="lv-LV"/>
              </w:rPr>
              <w:t>0</w:t>
            </w:r>
          </w:p>
        </w:tc>
        <w:tc>
          <w:tcPr>
            <w:tcW w:w="1305" w:type="dxa"/>
          </w:tcPr>
          <w:p w14:paraId="7AD16664" w14:textId="76A422C8" w:rsidR="00F06FE2" w:rsidRPr="00D84A5A" w:rsidRDefault="000522D9" w:rsidP="007B4B24">
            <w:pPr>
              <w:jc w:val="both"/>
              <w:rPr>
                <w:sz w:val="26"/>
                <w:szCs w:val="26"/>
                <w:lang w:val="lv-LV" w:eastAsia="lv-LV"/>
              </w:rPr>
            </w:pPr>
            <w:r w:rsidRPr="00D84A5A">
              <w:rPr>
                <w:sz w:val="26"/>
                <w:szCs w:val="26"/>
                <w:lang w:val="lv-LV"/>
              </w:rPr>
              <w:t>0</w:t>
            </w:r>
          </w:p>
        </w:tc>
      </w:tr>
      <w:tr w:rsidR="00C40A03" w:rsidRPr="00C40A03" w14:paraId="3B7CF7A3" w14:textId="77777777" w:rsidTr="00850E87">
        <w:trPr>
          <w:tblCellSpacing w:w="0" w:type="dxa"/>
        </w:trPr>
        <w:tc>
          <w:tcPr>
            <w:tcW w:w="2227" w:type="dxa"/>
          </w:tcPr>
          <w:p w14:paraId="3B6820CB" w14:textId="77777777" w:rsidR="00F06FE2" w:rsidRPr="00D84A5A" w:rsidRDefault="00F06FE2" w:rsidP="007B4B24">
            <w:pPr>
              <w:jc w:val="both"/>
              <w:rPr>
                <w:sz w:val="26"/>
                <w:szCs w:val="26"/>
                <w:lang w:val="lv-LV" w:eastAsia="lv-LV"/>
              </w:rPr>
            </w:pPr>
            <w:r w:rsidRPr="00D84A5A">
              <w:rPr>
                <w:sz w:val="26"/>
                <w:szCs w:val="26"/>
                <w:lang w:val="lv-LV" w:eastAsia="lv-LV"/>
              </w:rPr>
              <w:t> 3.1. valsts pamatbudžets</w:t>
            </w:r>
          </w:p>
        </w:tc>
        <w:tc>
          <w:tcPr>
            <w:tcW w:w="1908" w:type="dxa"/>
          </w:tcPr>
          <w:p w14:paraId="24BEDF5E"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74" w:type="dxa"/>
          </w:tcPr>
          <w:p w14:paraId="498BE7E6" w14:textId="0728F586" w:rsidR="00F06FE2" w:rsidRPr="00D84A5A" w:rsidRDefault="00076684" w:rsidP="007B4B24">
            <w:pPr>
              <w:jc w:val="both"/>
              <w:rPr>
                <w:sz w:val="26"/>
                <w:szCs w:val="26"/>
                <w:lang w:val="lv-LV" w:eastAsia="lv-LV"/>
              </w:rPr>
            </w:pPr>
            <w:r>
              <w:rPr>
                <w:sz w:val="26"/>
                <w:szCs w:val="26"/>
                <w:lang w:val="lv-LV" w:eastAsia="lv-LV"/>
              </w:rPr>
              <w:t>0</w:t>
            </w:r>
          </w:p>
        </w:tc>
        <w:tc>
          <w:tcPr>
            <w:tcW w:w="1158" w:type="dxa"/>
          </w:tcPr>
          <w:p w14:paraId="174C38BA" w14:textId="0B1FC46E" w:rsidR="00F06FE2" w:rsidRPr="00D84A5A" w:rsidRDefault="000522D9" w:rsidP="007B4B24">
            <w:pPr>
              <w:jc w:val="both"/>
              <w:rPr>
                <w:sz w:val="26"/>
                <w:szCs w:val="26"/>
                <w:lang w:val="lv-LV" w:eastAsia="lv-LV"/>
              </w:rPr>
            </w:pPr>
            <w:r w:rsidRPr="00D84A5A">
              <w:rPr>
                <w:sz w:val="26"/>
                <w:szCs w:val="26"/>
                <w:lang w:val="lv-LV"/>
              </w:rPr>
              <w:t>0</w:t>
            </w:r>
          </w:p>
        </w:tc>
        <w:tc>
          <w:tcPr>
            <w:tcW w:w="1158" w:type="dxa"/>
          </w:tcPr>
          <w:p w14:paraId="6228E6B3" w14:textId="368A2386" w:rsidR="00F06FE2" w:rsidRPr="00D84A5A" w:rsidRDefault="000522D9" w:rsidP="007B4B24">
            <w:pPr>
              <w:jc w:val="both"/>
              <w:rPr>
                <w:sz w:val="26"/>
                <w:szCs w:val="26"/>
                <w:lang w:val="lv-LV" w:eastAsia="lv-LV"/>
              </w:rPr>
            </w:pPr>
            <w:r w:rsidRPr="00D84A5A">
              <w:rPr>
                <w:sz w:val="26"/>
                <w:szCs w:val="26"/>
                <w:lang w:val="lv-LV"/>
              </w:rPr>
              <w:t>0</w:t>
            </w:r>
          </w:p>
        </w:tc>
        <w:tc>
          <w:tcPr>
            <w:tcW w:w="1305" w:type="dxa"/>
          </w:tcPr>
          <w:p w14:paraId="56274488" w14:textId="41CF327C" w:rsidR="00F06FE2" w:rsidRPr="00D84A5A" w:rsidRDefault="000522D9" w:rsidP="007B4B24">
            <w:pPr>
              <w:jc w:val="both"/>
              <w:rPr>
                <w:sz w:val="26"/>
                <w:szCs w:val="26"/>
                <w:lang w:val="lv-LV" w:eastAsia="lv-LV"/>
              </w:rPr>
            </w:pPr>
            <w:r w:rsidRPr="00D84A5A">
              <w:rPr>
                <w:sz w:val="26"/>
                <w:szCs w:val="26"/>
                <w:lang w:val="lv-LV"/>
              </w:rPr>
              <w:t>0</w:t>
            </w:r>
          </w:p>
        </w:tc>
      </w:tr>
      <w:tr w:rsidR="00C40A03" w:rsidRPr="00C40A03" w14:paraId="565FE609" w14:textId="77777777" w:rsidTr="00850E87">
        <w:trPr>
          <w:tblCellSpacing w:w="0" w:type="dxa"/>
        </w:trPr>
        <w:tc>
          <w:tcPr>
            <w:tcW w:w="2227" w:type="dxa"/>
          </w:tcPr>
          <w:p w14:paraId="44350713" w14:textId="77777777" w:rsidR="00F06FE2" w:rsidRPr="00D84A5A" w:rsidRDefault="00F06FE2" w:rsidP="007B4B24">
            <w:pPr>
              <w:jc w:val="both"/>
              <w:rPr>
                <w:sz w:val="26"/>
                <w:szCs w:val="26"/>
                <w:lang w:val="lv-LV" w:eastAsia="lv-LV"/>
              </w:rPr>
            </w:pPr>
            <w:r w:rsidRPr="00D84A5A">
              <w:rPr>
                <w:sz w:val="26"/>
                <w:szCs w:val="26"/>
                <w:lang w:val="lv-LV" w:eastAsia="lv-LV"/>
              </w:rPr>
              <w:t> 3.2. speciālais budžets</w:t>
            </w:r>
          </w:p>
        </w:tc>
        <w:tc>
          <w:tcPr>
            <w:tcW w:w="1908" w:type="dxa"/>
          </w:tcPr>
          <w:p w14:paraId="415D3C18"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74" w:type="dxa"/>
          </w:tcPr>
          <w:p w14:paraId="30D7368B"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4B543375"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7846FBD9"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305" w:type="dxa"/>
          </w:tcPr>
          <w:p w14:paraId="5638A6B2" w14:textId="77777777" w:rsidR="00F06FE2" w:rsidRPr="00D84A5A" w:rsidRDefault="00F06FE2" w:rsidP="007B4B24">
            <w:pPr>
              <w:jc w:val="both"/>
              <w:rPr>
                <w:sz w:val="26"/>
                <w:szCs w:val="26"/>
                <w:lang w:val="lv-LV" w:eastAsia="lv-LV"/>
              </w:rPr>
            </w:pPr>
            <w:r w:rsidRPr="00D84A5A">
              <w:rPr>
                <w:sz w:val="26"/>
                <w:szCs w:val="26"/>
                <w:lang w:val="lv-LV" w:eastAsia="lv-LV"/>
              </w:rPr>
              <w:t>0</w:t>
            </w:r>
          </w:p>
        </w:tc>
      </w:tr>
      <w:tr w:rsidR="00C40A03" w:rsidRPr="00C40A03" w14:paraId="08347AFF" w14:textId="77777777" w:rsidTr="00850E87">
        <w:trPr>
          <w:tblCellSpacing w:w="0" w:type="dxa"/>
        </w:trPr>
        <w:tc>
          <w:tcPr>
            <w:tcW w:w="2227" w:type="dxa"/>
          </w:tcPr>
          <w:p w14:paraId="3808CC46" w14:textId="77777777" w:rsidR="00F06FE2" w:rsidRPr="00D84A5A" w:rsidRDefault="00F06FE2" w:rsidP="007B4B24">
            <w:pPr>
              <w:jc w:val="both"/>
              <w:rPr>
                <w:sz w:val="26"/>
                <w:szCs w:val="26"/>
                <w:lang w:val="lv-LV" w:eastAsia="lv-LV"/>
              </w:rPr>
            </w:pPr>
            <w:r w:rsidRPr="00D84A5A">
              <w:rPr>
                <w:sz w:val="26"/>
                <w:szCs w:val="26"/>
                <w:lang w:val="lv-LV" w:eastAsia="lv-LV"/>
              </w:rPr>
              <w:t> 3.3. pašvaldību budžets</w:t>
            </w:r>
          </w:p>
        </w:tc>
        <w:tc>
          <w:tcPr>
            <w:tcW w:w="1908" w:type="dxa"/>
          </w:tcPr>
          <w:p w14:paraId="44916D93"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74" w:type="dxa"/>
          </w:tcPr>
          <w:p w14:paraId="1A257992"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2AB58F5C"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1249948A"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305" w:type="dxa"/>
          </w:tcPr>
          <w:p w14:paraId="2BD43CFD" w14:textId="77777777" w:rsidR="00F06FE2" w:rsidRPr="00D84A5A" w:rsidRDefault="00F06FE2" w:rsidP="007B4B24">
            <w:pPr>
              <w:jc w:val="both"/>
              <w:rPr>
                <w:sz w:val="26"/>
                <w:szCs w:val="26"/>
                <w:lang w:val="lv-LV" w:eastAsia="lv-LV"/>
              </w:rPr>
            </w:pPr>
            <w:r w:rsidRPr="00D84A5A">
              <w:rPr>
                <w:sz w:val="26"/>
                <w:szCs w:val="26"/>
                <w:lang w:val="lv-LV" w:eastAsia="lv-LV"/>
              </w:rPr>
              <w:t>0</w:t>
            </w:r>
          </w:p>
        </w:tc>
      </w:tr>
      <w:tr w:rsidR="00C40A03" w:rsidRPr="00C40A03" w14:paraId="0332F03E" w14:textId="77777777" w:rsidTr="00850E87">
        <w:trPr>
          <w:tblCellSpacing w:w="0" w:type="dxa"/>
        </w:trPr>
        <w:tc>
          <w:tcPr>
            <w:tcW w:w="2227" w:type="dxa"/>
            <w:vMerge w:val="restart"/>
          </w:tcPr>
          <w:p w14:paraId="605F4E3E" w14:textId="77777777" w:rsidR="00F06FE2" w:rsidRPr="00D84A5A" w:rsidRDefault="00F06FE2" w:rsidP="007B4B24">
            <w:pPr>
              <w:jc w:val="both"/>
              <w:rPr>
                <w:sz w:val="26"/>
                <w:szCs w:val="26"/>
                <w:lang w:val="lv-LV" w:eastAsia="lv-LV"/>
              </w:rPr>
            </w:pPr>
            <w:r w:rsidRPr="00D84A5A">
              <w:rPr>
                <w:sz w:val="26"/>
                <w:szCs w:val="26"/>
                <w:lang w:val="lv-LV" w:eastAsia="lv-LV"/>
              </w:rPr>
              <w:t> 4. Finanšu līdzekļi papildu izde</w:t>
            </w:r>
            <w:r w:rsidRPr="00D84A5A">
              <w:rPr>
                <w:sz w:val="26"/>
                <w:szCs w:val="26"/>
                <w:lang w:val="lv-LV" w:eastAsia="lv-LV"/>
              </w:rPr>
              <w:softHyphen/>
              <w:t>vumu</w:t>
            </w:r>
            <w:r w:rsidR="006179D1" w:rsidRPr="00D84A5A">
              <w:rPr>
                <w:sz w:val="26"/>
                <w:szCs w:val="26"/>
                <w:lang w:val="lv-LV" w:eastAsia="lv-LV"/>
              </w:rPr>
              <w:t xml:space="preserve"> </w:t>
            </w:r>
            <w:r w:rsidRPr="00D84A5A">
              <w:rPr>
                <w:sz w:val="26"/>
                <w:szCs w:val="26"/>
                <w:lang w:val="lv-LV" w:eastAsia="lv-LV"/>
              </w:rPr>
              <w:t xml:space="preserve">finansēšanai (kompensējošu izdevumu samazinājumu norāda ar "+" zīmi) </w:t>
            </w:r>
          </w:p>
        </w:tc>
        <w:tc>
          <w:tcPr>
            <w:tcW w:w="1908" w:type="dxa"/>
            <w:vMerge w:val="restart"/>
          </w:tcPr>
          <w:p w14:paraId="434996E9" w14:textId="0D659CA3" w:rsidR="00F06FE2" w:rsidRPr="00D84A5A" w:rsidRDefault="001E3326" w:rsidP="007B4B24">
            <w:pPr>
              <w:jc w:val="both"/>
              <w:rPr>
                <w:sz w:val="26"/>
                <w:szCs w:val="26"/>
                <w:lang w:val="lv-LV" w:eastAsia="lv-LV"/>
              </w:rPr>
            </w:pPr>
            <w:r>
              <w:rPr>
                <w:sz w:val="26"/>
                <w:szCs w:val="26"/>
                <w:lang w:val="lv-LV" w:eastAsia="lv-LV"/>
              </w:rPr>
              <w:t>0</w:t>
            </w:r>
          </w:p>
        </w:tc>
        <w:tc>
          <w:tcPr>
            <w:tcW w:w="1174" w:type="dxa"/>
          </w:tcPr>
          <w:p w14:paraId="792F422E" w14:textId="1E0DB08F" w:rsidR="00F06FE2" w:rsidRPr="00D84A5A" w:rsidRDefault="000522D9" w:rsidP="007B4B24">
            <w:pPr>
              <w:jc w:val="both"/>
              <w:rPr>
                <w:sz w:val="26"/>
                <w:szCs w:val="26"/>
                <w:lang w:val="lv-LV" w:eastAsia="lv-LV"/>
              </w:rPr>
            </w:pPr>
            <w:r w:rsidRPr="00D84A5A">
              <w:rPr>
                <w:sz w:val="26"/>
                <w:szCs w:val="26"/>
                <w:lang w:val="lv-LV" w:eastAsia="lv-LV"/>
              </w:rPr>
              <w:t>0</w:t>
            </w:r>
          </w:p>
        </w:tc>
        <w:tc>
          <w:tcPr>
            <w:tcW w:w="1158" w:type="dxa"/>
          </w:tcPr>
          <w:p w14:paraId="250AE13D" w14:textId="0E3B2090" w:rsidR="00F06FE2" w:rsidRPr="00D84A5A" w:rsidRDefault="000522D9" w:rsidP="007B4B24">
            <w:pPr>
              <w:jc w:val="both"/>
              <w:rPr>
                <w:sz w:val="26"/>
                <w:szCs w:val="26"/>
                <w:lang w:val="lv-LV" w:eastAsia="lv-LV"/>
              </w:rPr>
            </w:pPr>
            <w:r w:rsidRPr="00D84A5A">
              <w:rPr>
                <w:sz w:val="26"/>
                <w:szCs w:val="26"/>
                <w:lang w:val="lv-LV" w:eastAsia="lv-LV"/>
              </w:rPr>
              <w:t>0</w:t>
            </w:r>
          </w:p>
        </w:tc>
        <w:tc>
          <w:tcPr>
            <w:tcW w:w="1158" w:type="dxa"/>
          </w:tcPr>
          <w:p w14:paraId="2D6FA4D2"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305" w:type="dxa"/>
          </w:tcPr>
          <w:p w14:paraId="2F12E6F4" w14:textId="77777777" w:rsidR="00F06FE2" w:rsidRPr="00D84A5A" w:rsidRDefault="00F06FE2" w:rsidP="007B4B24">
            <w:pPr>
              <w:jc w:val="both"/>
              <w:rPr>
                <w:sz w:val="26"/>
                <w:szCs w:val="26"/>
                <w:lang w:val="lv-LV" w:eastAsia="lv-LV"/>
              </w:rPr>
            </w:pPr>
            <w:r w:rsidRPr="00D84A5A">
              <w:rPr>
                <w:sz w:val="26"/>
                <w:szCs w:val="26"/>
                <w:lang w:val="lv-LV" w:eastAsia="lv-LV"/>
              </w:rPr>
              <w:t>0</w:t>
            </w:r>
          </w:p>
        </w:tc>
      </w:tr>
      <w:tr w:rsidR="00C40A03" w:rsidRPr="00C40A03" w14:paraId="7A727D3C" w14:textId="77777777" w:rsidTr="00850E87">
        <w:trPr>
          <w:tblCellSpacing w:w="0" w:type="dxa"/>
        </w:trPr>
        <w:tc>
          <w:tcPr>
            <w:tcW w:w="2227" w:type="dxa"/>
            <w:vMerge/>
            <w:vAlign w:val="center"/>
          </w:tcPr>
          <w:p w14:paraId="54372695" w14:textId="77777777" w:rsidR="00F06FE2" w:rsidRPr="00D84A5A" w:rsidRDefault="00F06FE2" w:rsidP="007B4B24">
            <w:pPr>
              <w:jc w:val="both"/>
              <w:rPr>
                <w:sz w:val="26"/>
                <w:szCs w:val="26"/>
                <w:lang w:val="lv-LV" w:eastAsia="lv-LV"/>
              </w:rPr>
            </w:pPr>
          </w:p>
        </w:tc>
        <w:tc>
          <w:tcPr>
            <w:tcW w:w="0" w:type="auto"/>
            <w:vMerge/>
            <w:vAlign w:val="center"/>
          </w:tcPr>
          <w:p w14:paraId="62CFF47A" w14:textId="77777777" w:rsidR="00F06FE2" w:rsidRPr="00D84A5A" w:rsidRDefault="00F06FE2" w:rsidP="007B4B24">
            <w:pPr>
              <w:jc w:val="both"/>
              <w:rPr>
                <w:sz w:val="26"/>
                <w:szCs w:val="26"/>
                <w:lang w:val="lv-LV" w:eastAsia="lv-LV"/>
              </w:rPr>
            </w:pPr>
          </w:p>
        </w:tc>
        <w:tc>
          <w:tcPr>
            <w:tcW w:w="1174" w:type="dxa"/>
          </w:tcPr>
          <w:p w14:paraId="5EE2CEB3" w14:textId="0D5CFA26" w:rsidR="00F06FE2" w:rsidRPr="00D84A5A" w:rsidRDefault="000522D9" w:rsidP="007B4B24">
            <w:pPr>
              <w:jc w:val="both"/>
              <w:rPr>
                <w:sz w:val="26"/>
                <w:szCs w:val="26"/>
                <w:lang w:val="lv-LV" w:eastAsia="lv-LV"/>
              </w:rPr>
            </w:pPr>
            <w:r w:rsidRPr="00D84A5A">
              <w:rPr>
                <w:sz w:val="26"/>
                <w:szCs w:val="26"/>
                <w:lang w:val="lv-LV" w:eastAsia="lv-LV"/>
              </w:rPr>
              <w:t>0</w:t>
            </w:r>
          </w:p>
        </w:tc>
        <w:tc>
          <w:tcPr>
            <w:tcW w:w="1158" w:type="dxa"/>
          </w:tcPr>
          <w:p w14:paraId="3E2095D3" w14:textId="42F5425F" w:rsidR="00F06FE2" w:rsidRPr="00D84A5A" w:rsidRDefault="000522D9" w:rsidP="007B4B24">
            <w:pPr>
              <w:jc w:val="both"/>
              <w:rPr>
                <w:sz w:val="26"/>
                <w:szCs w:val="26"/>
                <w:lang w:val="lv-LV" w:eastAsia="lv-LV"/>
              </w:rPr>
            </w:pPr>
            <w:r w:rsidRPr="00D84A5A">
              <w:rPr>
                <w:sz w:val="26"/>
                <w:szCs w:val="26"/>
                <w:lang w:val="lv-LV" w:eastAsia="lv-LV"/>
              </w:rPr>
              <w:t>0</w:t>
            </w:r>
          </w:p>
        </w:tc>
        <w:tc>
          <w:tcPr>
            <w:tcW w:w="1158" w:type="dxa"/>
          </w:tcPr>
          <w:p w14:paraId="03208F9B" w14:textId="560003B0" w:rsidR="00F06FE2" w:rsidRPr="00D84A5A" w:rsidRDefault="000522D9" w:rsidP="007B4B24">
            <w:pPr>
              <w:jc w:val="both"/>
              <w:rPr>
                <w:sz w:val="26"/>
                <w:szCs w:val="26"/>
                <w:lang w:val="lv-LV" w:eastAsia="lv-LV"/>
              </w:rPr>
            </w:pPr>
            <w:r w:rsidRPr="00D84A5A">
              <w:rPr>
                <w:sz w:val="26"/>
                <w:szCs w:val="26"/>
                <w:lang w:val="lv-LV" w:eastAsia="lv-LV"/>
              </w:rPr>
              <w:t>0</w:t>
            </w:r>
          </w:p>
        </w:tc>
        <w:tc>
          <w:tcPr>
            <w:tcW w:w="1305" w:type="dxa"/>
          </w:tcPr>
          <w:p w14:paraId="1331D985" w14:textId="599A5439" w:rsidR="00F06FE2" w:rsidRPr="00D84A5A" w:rsidRDefault="000522D9" w:rsidP="007B4B24">
            <w:pPr>
              <w:jc w:val="both"/>
              <w:rPr>
                <w:sz w:val="26"/>
                <w:szCs w:val="26"/>
                <w:lang w:val="lv-LV" w:eastAsia="lv-LV"/>
              </w:rPr>
            </w:pPr>
            <w:r w:rsidRPr="00D84A5A">
              <w:rPr>
                <w:sz w:val="26"/>
                <w:szCs w:val="26"/>
                <w:lang w:val="lv-LV" w:eastAsia="lv-LV"/>
              </w:rPr>
              <w:t>0</w:t>
            </w:r>
          </w:p>
        </w:tc>
      </w:tr>
      <w:tr w:rsidR="00C40A03" w:rsidRPr="00C40A03" w14:paraId="284FC4AA" w14:textId="77777777" w:rsidTr="0084552C">
        <w:trPr>
          <w:trHeight w:val="1355"/>
          <w:tblCellSpacing w:w="0" w:type="dxa"/>
        </w:trPr>
        <w:tc>
          <w:tcPr>
            <w:tcW w:w="2227" w:type="dxa"/>
            <w:vMerge/>
            <w:vAlign w:val="center"/>
          </w:tcPr>
          <w:p w14:paraId="153B674D" w14:textId="77777777" w:rsidR="00F06FE2" w:rsidRPr="00D84A5A" w:rsidRDefault="00F06FE2" w:rsidP="007B4B24">
            <w:pPr>
              <w:jc w:val="both"/>
              <w:rPr>
                <w:sz w:val="26"/>
                <w:szCs w:val="26"/>
                <w:lang w:val="lv-LV" w:eastAsia="lv-LV"/>
              </w:rPr>
            </w:pPr>
          </w:p>
        </w:tc>
        <w:tc>
          <w:tcPr>
            <w:tcW w:w="0" w:type="auto"/>
            <w:vMerge/>
            <w:vAlign w:val="center"/>
          </w:tcPr>
          <w:p w14:paraId="22F6BC3B" w14:textId="77777777" w:rsidR="00F06FE2" w:rsidRPr="00D84A5A" w:rsidRDefault="00F06FE2" w:rsidP="007B4B24">
            <w:pPr>
              <w:jc w:val="both"/>
              <w:rPr>
                <w:sz w:val="26"/>
                <w:szCs w:val="26"/>
                <w:lang w:val="lv-LV" w:eastAsia="lv-LV"/>
              </w:rPr>
            </w:pPr>
          </w:p>
        </w:tc>
        <w:tc>
          <w:tcPr>
            <w:tcW w:w="1174" w:type="dxa"/>
          </w:tcPr>
          <w:p w14:paraId="6E9FF34E"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0945E94E"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5A141373"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305" w:type="dxa"/>
          </w:tcPr>
          <w:p w14:paraId="4F3B12DF" w14:textId="77777777" w:rsidR="00F06FE2" w:rsidRPr="00D84A5A" w:rsidRDefault="00F06FE2" w:rsidP="007B4B24">
            <w:pPr>
              <w:jc w:val="both"/>
              <w:rPr>
                <w:sz w:val="26"/>
                <w:szCs w:val="26"/>
                <w:lang w:val="lv-LV" w:eastAsia="lv-LV"/>
              </w:rPr>
            </w:pPr>
            <w:r w:rsidRPr="00D84A5A">
              <w:rPr>
                <w:sz w:val="26"/>
                <w:szCs w:val="26"/>
                <w:lang w:val="lv-LV" w:eastAsia="lv-LV"/>
              </w:rPr>
              <w:t>0</w:t>
            </w:r>
          </w:p>
        </w:tc>
      </w:tr>
      <w:tr w:rsidR="00C40A03" w:rsidRPr="00C40A03" w14:paraId="2E43F7A3" w14:textId="77777777" w:rsidTr="00850E87">
        <w:trPr>
          <w:tblCellSpacing w:w="0" w:type="dxa"/>
        </w:trPr>
        <w:tc>
          <w:tcPr>
            <w:tcW w:w="2227" w:type="dxa"/>
          </w:tcPr>
          <w:p w14:paraId="17386475" w14:textId="77777777" w:rsidR="00F06FE2" w:rsidRPr="00D84A5A" w:rsidRDefault="00F06FE2" w:rsidP="007B4B24">
            <w:pPr>
              <w:jc w:val="both"/>
              <w:rPr>
                <w:sz w:val="26"/>
                <w:szCs w:val="26"/>
                <w:lang w:val="lv-LV" w:eastAsia="lv-LV"/>
              </w:rPr>
            </w:pPr>
            <w:r w:rsidRPr="00D84A5A">
              <w:rPr>
                <w:sz w:val="26"/>
                <w:szCs w:val="26"/>
                <w:lang w:val="lv-LV" w:eastAsia="lv-LV"/>
              </w:rPr>
              <w:t> 5. Precizēta finansiālā ietekme:</w:t>
            </w:r>
          </w:p>
        </w:tc>
        <w:tc>
          <w:tcPr>
            <w:tcW w:w="1908" w:type="dxa"/>
            <w:vMerge w:val="restart"/>
          </w:tcPr>
          <w:p w14:paraId="6972A6E8" w14:textId="657489B3" w:rsidR="00F06FE2" w:rsidRPr="00D84A5A" w:rsidRDefault="001E3326" w:rsidP="0084552C">
            <w:pPr>
              <w:rPr>
                <w:sz w:val="26"/>
                <w:szCs w:val="26"/>
                <w:lang w:val="lv-LV" w:eastAsia="lv-LV"/>
              </w:rPr>
            </w:pPr>
            <w:r>
              <w:rPr>
                <w:sz w:val="26"/>
                <w:szCs w:val="26"/>
                <w:lang w:val="lv-LV" w:eastAsia="lv-LV"/>
              </w:rPr>
              <w:t>0</w:t>
            </w:r>
          </w:p>
        </w:tc>
        <w:tc>
          <w:tcPr>
            <w:tcW w:w="1174" w:type="dxa"/>
          </w:tcPr>
          <w:p w14:paraId="6E79FA47" w14:textId="28BD1BB1" w:rsidR="00F06FE2" w:rsidRPr="00D84A5A" w:rsidRDefault="00D84A5A" w:rsidP="007B4B24">
            <w:pPr>
              <w:jc w:val="both"/>
              <w:rPr>
                <w:sz w:val="26"/>
                <w:szCs w:val="26"/>
                <w:lang w:val="lv-LV" w:eastAsia="lv-LV"/>
              </w:rPr>
            </w:pPr>
            <w:r w:rsidRPr="00D84A5A">
              <w:rPr>
                <w:sz w:val="26"/>
                <w:szCs w:val="26"/>
                <w:lang w:val="lv-LV" w:eastAsia="lv-LV"/>
              </w:rPr>
              <w:t xml:space="preserve">0 </w:t>
            </w:r>
          </w:p>
        </w:tc>
        <w:tc>
          <w:tcPr>
            <w:tcW w:w="1158" w:type="dxa"/>
          </w:tcPr>
          <w:p w14:paraId="58837A7D"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46FF01A0"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305" w:type="dxa"/>
          </w:tcPr>
          <w:p w14:paraId="3FEE2666" w14:textId="77777777" w:rsidR="00F06FE2" w:rsidRPr="00D84A5A" w:rsidRDefault="00F06FE2" w:rsidP="007B4B24">
            <w:pPr>
              <w:jc w:val="both"/>
              <w:rPr>
                <w:sz w:val="26"/>
                <w:szCs w:val="26"/>
                <w:lang w:val="lv-LV" w:eastAsia="lv-LV"/>
              </w:rPr>
            </w:pPr>
            <w:r w:rsidRPr="00D84A5A">
              <w:rPr>
                <w:sz w:val="26"/>
                <w:szCs w:val="26"/>
                <w:lang w:val="lv-LV" w:eastAsia="lv-LV"/>
              </w:rPr>
              <w:t>0</w:t>
            </w:r>
          </w:p>
        </w:tc>
      </w:tr>
      <w:tr w:rsidR="00C40A03" w:rsidRPr="00C40A03" w14:paraId="1878554C" w14:textId="77777777" w:rsidTr="00850E87">
        <w:trPr>
          <w:tblCellSpacing w:w="0" w:type="dxa"/>
        </w:trPr>
        <w:tc>
          <w:tcPr>
            <w:tcW w:w="2227" w:type="dxa"/>
          </w:tcPr>
          <w:p w14:paraId="0080073A" w14:textId="77777777" w:rsidR="00F06FE2" w:rsidRPr="00D84A5A" w:rsidRDefault="00F06FE2" w:rsidP="007B4B24">
            <w:pPr>
              <w:jc w:val="both"/>
              <w:rPr>
                <w:sz w:val="26"/>
                <w:szCs w:val="26"/>
                <w:lang w:val="lv-LV" w:eastAsia="lv-LV"/>
              </w:rPr>
            </w:pPr>
            <w:r w:rsidRPr="00D84A5A">
              <w:rPr>
                <w:sz w:val="26"/>
                <w:szCs w:val="26"/>
                <w:lang w:val="lv-LV" w:eastAsia="lv-LV"/>
              </w:rPr>
              <w:t> 5.1. valsts pamatbudžets</w:t>
            </w:r>
          </w:p>
        </w:tc>
        <w:tc>
          <w:tcPr>
            <w:tcW w:w="0" w:type="auto"/>
            <w:vMerge/>
            <w:vAlign w:val="center"/>
          </w:tcPr>
          <w:p w14:paraId="4AA1FBD5" w14:textId="77777777" w:rsidR="00F06FE2" w:rsidRPr="00D84A5A" w:rsidRDefault="00F06FE2" w:rsidP="007B4B24">
            <w:pPr>
              <w:jc w:val="both"/>
              <w:rPr>
                <w:sz w:val="26"/>
                <w:szCs w:val="26"/>
                <w:lang w:val="lv-LV" w:eastAsia="lv-LV"/>
              </w:rPr>
            </w:pPr>
          </w:p>
        </w:tc>
        <w:tc>
          <w:tcPr>
            <w:tcW w:w="1174" w:type="dxa"/>
          </w:tcPr>
          <w:p w14:paraId="43470A53" w14:textId="495FBEAA" w:rsidR="00F06FE2" w:rsidRPr="00D84A5A" w:rsidRDefault="00F06FE2" w:rsidP="003C5112">
            <w:pPr>
              <w:jc w:val="both"/>
              <w:rPr>
                <w:sz w:val="26"/>
                <w:szCs w:val="26"/>
                <w:lang w:val="lv-LV" w:eastAsia="lv-LV"/>
              </w:rPr>
            </w:pPr>
          </w:p>
        </w:tc>
        <w:tc>
          <w:tcPr>
            <w:tcW w:w="1158" w:type="dxa"/>
          </w:tcPr>
          <w:p w14:paraId="1763DF55"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6D7B76CD"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305" w:type="dxa"/>
          </w:tcPr>
          <w:p w14:paraId="348975C8" w14:textId="77777777" w:rsidR="00F06FE2" w:rsidRPr="00D84A5A" w:rsidRDefault="00F06FE2" w:rsidP="007B4B24">
            <w:pPr>
              <w:jc w:val="both"/>
              <w:rPr>
                <w:sz w:val="26"/>
                <w:szCs w:val="26"/>
                <w:lang w:val="lv-LV" w:eastAsia="lv-LV"/>
              </w:rPr>
            </w:pPr>
            <w:r w:rsidRPr="00D84A5A">
              <w:rPr>
                <w:sz w:val="26"/>
                <w:szCs w:val="26"/>
                <w:lang w:val="lv-LV" w:eastAsia="lv-LV"/>
              </w:rPr>
              <w:t>0</w:t>
            </w:r>
          </w:p>
        </w:tc>
      </w:tr>
      <w:tr w:rsidR="00C40A03" w:rsidRPr="00C40A03" w14:paraId="1D8B6DFB" w14:textId="77777777" w:rsidTr="00850E87">
        <w:trPr>
          <w:tblCellSpacing w:w="0" w:type="dxa"/>
        </w:trPr>
        <w:tc>
          <w:tcPr>
            <w:tcW w:w="2227" w:type="dxa"/>
          </w:tcPr>
          <w:p w14:paraId="5B6CFDB4" w14:textId="77777777" w:rsidR="00F06FE2" w:rsidRPr="00D84A5A" w:rsidRDefault="00F06FE2" w:rsidP="007B4B24">
            <w:pPr>
              <w:jc w:val="both"/>
              <w:rPr>
                <w:sz w:val="26"/>
                <w:szCs w:val="26"/>
                <w:lang w:val="lv-LV" w:eastAsia="lv-LV"/>
              </w:rPr>
            </w:pPr>
            <w:r w:rsidRPr="00D84A5A">
              <w:rPr>
                <w:sz w:val="26"/>
                <w:szCs w:val="26"/>
                <w:lang w:val="lv-LV" w:eastAsia="lv-LV"/>
              </w:rPr>
              <w:t> 5.2. speciālais budžets</w:t>
            </w:r>
          </w:p>
        </w:tc>
        <w:tc>
          <w:tcPr>
            <w:tcW w:w="0" w:type="auto"/>
            <w:vMerge/>
            <w:vAlign w:val="center"/>
          </w:tcPr>
          <w:p w14:paraId="7F4DCBF6" w14:textId="77777777" w:rsidR="00F06FE2" w:rsidRPr="00D84A5A" w:rsidRDefault="00F06FE2" w:rsidP="007B4B24">
            <w:pPr>
              <w:jc w:val="both"/>
              <w:rPr>
                <w:sz w:val="26"/>
                <w:szCs w:val="26"/>
                <w:lang w:val="lv-LV" w:eastAsia="lv-LV"/>
              </w:rPr>
            </w:pPr>
          </w:p>
        </w:tc>
        <w:tc>
          <w:tcPr>
            <w:tcW w:w="1174" w:type="dxa"/>
          </w:tcPr>
          <w:p w14:paraId="669699F2" w14:textId="77777777" w:rsidR="00F06FE2" w:rsidRPr="00D84A5A" w:rsidRDefault="00F06FE2" w:rsidP="007B4B24">
            <w:pPr>
              <w:jc w:val="both"/>
              <w:rPr>
                <w:sz w:val="26"/>
                <w:szCs w:val="26"/>
                <w:lang w:val="lv-LV" w:eastAsia="lv-LV"/>
              </w:rPr>
            </w:pPr>
          </w:p>
        </w:tc>
        <w:tc>
          <w:tcPr>
            <w:tcW w:w="1158" w:type="dxa"/>
          </w:tcPr>
          <w:p w14:paraId="3A9CC33D"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2AFACB56"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305" w:type="dxa"/>
          </w:tcPr>
          <w:p w14:paraId="7257635A" w14:textId="77777777" w:rsidR="00F06FE2" w:rsidRPr="00D84A5A" w:rsidRDefault="00F06FE2" w:rsidP="007B4B24">
            <w:pPr>
              <w:jc w:val="both"/>
              <w:rPr>
                <w:sz w:val="26"/>
                <w:szCs w:val="26"/>
                <w:lang w:val="lv-LV" w:eastAsia="lv-LV"/>
              </w:rPr>
            </w:pPr>
            <w:r w:rsidRPr="00D84A5A">
              <w:rPr>
                <w:sz w:val="26"/>
                <w:szCs w:val="26"/>
                <w:lang w:val="lv-LV" w:eastAsia="lv-LV"/>
              </w:rPr>
              <w:t>0</w:t>
            </w:r>
          </w:p>
        </w:tc>
      </w:tr>
      <w:tr w:rsidR="00C40A03" w:rsidRPr="00C40A03" w14:paraId="719A9C9F" w14:textId="77777777" w:rsidTr="00850E87">
        <w:trPr>
          <w:tblCellSpacing w:w="0" w:type="dxa"/>
        </w:trPr>
        <w:tc>
          <w:tcPr>
            <w:tcW w:w="2227" w:type="dxa"/>
          </w:tcPr>
          <w:p w14:paraId="0906FA72" w14:textId="77777777" w:rsidR="00F06FE2" w:rsidRPr="00D84A5A" w:rsidRDefault="00F06FE2" w:rsidP="007B4B24">
            <w:pPr>
              <w:jc w:val="both"/>
              <w:rPr>
                <w:sz w:val="26"/>
                <w:szCs w:val="26"/>
                <w:lang w:val="lv-LV" w:eastAsia="lv-LV"/>
              </w:rPr>
            </w:pPr>
            <w:r w:rsidRPr="00D84A5A">
              <w:rPr>
                <w:sz w:val="26"/>
                <w:szCs w:val="26"/>
                <w:lang w:val="lv-LV" w:eastAsia="lv-LV"/>
              </w:rPr>
              <w:lastRenderedPageBreak/>
              <w:t> 5.3. pašvaldību budžets</w:t>
            </w:r>
          </w:p>
        </w:tc>
        <w:tc>
          <w:tcPr>
            <w:tcW w:w="0" w:type="auto"/>
            <w:vMerge/>
            <w:vAlign w:val="center"/>
          </w:tcPr>
          <w:p w14:paraId="6BC2AD18" w14:textId="77777777" w:rsidR="00F06FE2" w:rsidRPr="00D84A5A" w:rsidRDefault="00F06FE2" w:rsidP="007B4B24">
            <w:pPr>
              <w:jc w:val="both"/>
              <w:rPr>
                <w:sz w:val="26"/>
                <w:szCs w:val="26"/>
                <w:lang w:val="lv-LV" w:eastAsia="lv-LV"/>
              </w:rPr>
            </w:pPr>
          </w:p>
        </w:tc>
        <w:tc>
          <w:tcPr>
            <w:tcW w:w="1174" w:type="dxa"/>
          </w:tcPr>
          <w:p w14:paraId="26776F13" w14:textId="77777777" w:rsidR="00F06FE2" w:rsidRPr="00D84A5A" w:rsidRDefault="00F06FE2" w:rsidP="007B4B24">
            <w:pPr>
              <w:jc w:val="both"/>
              <w:rPr>
                <w:sz w:val="26"/>
                <w:szCs w:val="26"/>
                <w:lang w:val="lv-LV" w:eastAsia="lv-LV"/>
              </w:rPr>
            </w:pPr>
          </w:p>
        </w:tc>
        <w:tc>
          <w:tcPr>
            <w:tcW w:w="1158" w:type="dxa"/>
          </w:tcPr>
          <w:p w14:paraId="4EED0165"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755B6331"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305" w:type="dxa"/>
          </w:tcPr>
          <w:p w14:paraId="4DF95765" w14:textId="77777777" w:rsidR="00F06FE2" w:rsidRPr="00D84A5A" w:rsidRDefault="00F06FE2" w:rsidP="007B4B24">
            <w:pPr>
              <w:jc w:val="both"/>
              <w:rPr>
                <w:sz w:val="26"/>
                <w:szCs w:val="26"/>
                <w:lang w:val="lv-LV" w:eastAsia="lv-LV"/>
              </w:rPr>
            </w:pPr>
            <w:r w:rsidRPr="00D84A5A">
              <w:rPr>
                <w:sz w:val="26"/>
                <w:szCs w:val="26"/>
                <w:lang w:val="lv-LV" w:eastAsia="lv-LV"/>
              </w:rPr>
              <w:t>0</w:t>
            </w:r>
          </w:p>
        </w:tc>
      </w:tr>
      <w:tr w:rsidR="00C40A03" w:rsidRPr="002615E6" w14:paraId="3779EDA4" w14:textId="77777777" w:rsidTr="00850E87">
        <w:trPr>
          <w:trHeight w:val="1319"/>
          <w:tblCellSpacing w:w="0" w:type="dxa"/>
        </w:trPr>
        <w:tc>
          <w:tcPr>
            <w:tcW w:w="2227" w:type="dxa"/>
          </w:tcPr>
          <w:p w14:paraId="53778548" w14:textId="77777777" w:rsidR="00F06FE2" w:rsidRPr="00D84A5A" w:rsidRDefault="00F06FE2" w:rsidP="007B4B24">
            <w:pPr>
              <w:jc w:val="both"/>
              <w:rPr>
                <w:sz w:val="26"/>
                <w:szCs w:val="26"/>
                <w:lang w:val="lv-LV" w:eastAsia="lv-LV"/>
              </w:rPr>
            </w:pPr>
            <w:r w:rsidRPr="00D84A5A">
              <w:rPr>
                <w:sz w:val="26"/>
                <w:szCs w:val="26"/>
                <w:lang w:val="lv-LV" w:eastAsia="lv-LV"/>
              </w:rPr>
              <w:t> 6. Detalizēts ieņēmumu un izdevu</w:t>
            </w:r>
            <w:r w:rsidRPr="00D84A5A">
              <w:rPr>
                <w:sz w:val="26"/>
                <w:szCs w:val="26"/>
                <w:lang w:val="lv-LV" w:eastAsia="lv-LV"/>
              </w:rPr>
              <w:softHyphen/>
              <w:t>mu aprēķins (ja nepieciešams, detalizētu ieņēmumu un izdevumu aprēķinu var pievienot anotācijas pielikumā):</w:t>
            </w:r>
          </w:p>
        </w:tc>
        <w:tc>
          <w:tcPr>
            <w:tcW w:w="6703" w:type="dxa"/>
            <w:gridSpan w:val="5"/>
            <w:vMerge w:val="restart"/>
            <w:vAlign w:val="center"/>
          </w:tcPr>
          <w:p w14:paraId="58F48407" w14:textId="5EC17A15" w:rsidR="00D34E2F" w:rsidRPr="007B4B24" w:rsidRDefault="00D34E2F" w:rsidP="002A018F">
            <w:pPr>
              <w:rPr>
                <w:color w:val="FF0000"/>
                <w:lang w:val="lv-LV" w:eastAsia="lv-LV"/>
              </w:rPr>
            </w:pPr>
          </w:p>
        </w:tc>
      </w:tr>
      <w:tr w:rsidR="00C40A03" w:rsidRPr="002615E6" w14:paraId="048D93A1" w14:textId="77777777" w:rsidTr="00850E87">
        <w:trPr>
          <w:tblCellSpacing w:w="0" w:type="dxa"/>
        </w:trPr>
        <w:tc>
          <w:tcPr>
            <w:tcW w:w="2227" w:type="dxa"/>
          </w:tcPr>
          <w:p w14:paraId="5B9E7209" w14:textId="10566BB0" w:rsidR="00F06FE2" w:rsidRPr="0084552C" w:rsidRDefault="00F06FE2" w:rsidP="007B4B24">
            <w:pPr>
              <w:jc w:val="both"/>
              <w:rPr>
                <w:color w:val="FF0000"/>
                <w:sz w:val="18"/>
                <w:szCs w:val="26"/>
                <w:lang w:val="lv-LV" w:eastAsia="lv-LV"/>
              </w:rPr>
            </w:pPr>
          </w:p>
        </w:tc>
        <w:tc>
          <w:tcPr>
            <w:tcW w:w="6703" w:type="dxa"/>
            <w:gridSpan w:val="5"/>
            <w:vMerge/>
            <w:vAlign w:val="center"/>
          </w:tcPr>
          <w:p w14:paraId="6889ABB8" w14:textId="77777777" w:rsidR="00F06FE2" w:rsidRPr="00C40A03" w:rsidRDefault="00F06FE2" w:rsidP="007B4B24">
            <w:pPr>
              <w:jc w:val="both"/>
              <w:rPr>
                <w:color w:val="FF0000"/>
                <w:sz w:val="26"/>
                <w:szCs w:val="26"/>
                <w:lang w:val="lv-LV" w:eastAsia="lv-LV"/>
              </w:rPr>
            </w:pPr>
          </w:p>
        </w:tc>
      </w:tr>
      <w:tr w:rsidR="00C40A03" w:rsidRPr="00F934C4" w14:paraId="34E7E383" w14:textId="77777777" w:rsidTr="00850E87">
        <w:trPr>
          <w:trHeight w:val="525"/>
          <w:tblCellSpacing w:w="0" w:type="dxa"/>
        </w:trPr>
        <w:tc>
          <w:tcPr>
            <w:tcW w:w="2227" w:type="dxa"/>
          </w:tcPr>
          <w:p w14:paraId="46653C8A" w14:textId="77777777" w:rsidR="00F06FE2" w:rsidRPr="007B4B24" w:rsidRDefault="00F06FE2" w:rsidP="007B4B24">
            <w:pPr>
              <w:jc w:val="both"/>
              <w:rPr>
                <w:sz w:val="26"/>
                <w:szCs w:val="26"/>
                <w:lang w:val="lv-LV" w:eastAsia="lv-LV"/>
              </w:rPr>
            </w:pPr>
            <w:r w:rsidRPr="007B4B24">
              <w:rPr>
                <w:sz w:val="26"/>
                <w:szCs w:val="26"/>
                <w:lang w:val="lv-LV" w:eastAsia="lv-LV"/>
              </w:rPr>
              <w:t>6.2. detalizēts izdevumu aprēķins</w:t>
            </w:r>
          </w:p>
        </w:tc>
        <w:tc>
          <w:tcPr>
            <w:tcW w:w="6703" w:type="dxa"/>
            <w:gridSpan w:val="5"/>
            <w:vAlign w:val="center"/>
          </w:tcPr>
          <w:p w14:paraId="34D044B0" w14:textId="4886C833" w:rsidR="00F06FE2" w:rsidRPr="007B4B24" w:rsidRDefault="00F06FE2" w:rsidP="002615E6">
            <w:pPr>
              <w:jc w:val="both"/>
              <w:rPr>
                <w:sz w:val="26"/>
                <w:szCs w:val="26"/>
                <w:lang w:val="lv-LV" w:eastAsia="lv-LV"/>
              </w:rPr>
            </w:pPr>
          </w:p>
        </w:tc>
      </w:tr>
      <w:tr w:rsidR="00C40A03" w:rsidRPr="00535C4B" w14:paraId="1BA66CB6" w14:textId="77777777" w:rsidTr="00850E87">
        <w:trPr>
          <w:tblCellSpacing w:w="0" w:type="dxa"/>
        </w:trPr>
        <w:tc>
          <w:tcPr>
            <w:tcW w:w="2227" w:type="dxa"/>
          </w:tcPr>
          <w:p w14:paraId="3F0FEEAF" w14:textId="039C002E" w:rsidR="00F06FE2" w:rsidRPr="007B4B24" w:rsidRDefault="00F06FE2" w:rsidP="007B4B24">
            <w:pPr>
              <w:jc w:val="both"/>
              <w:rPr>
                <w:sz w:val="26"/>
                <w:szCs w:val="26"/>
                <w:lang w:val="lv-LV" w:eastAsia="lv-LV"/>
              </w:rPr>
            </w:pPr>
            <w:r w:rsidRPr="007B4B24">
              <w:rPr>
                <w:sz w:val="26"/>
                <w:szCs w:val="26"/>
                <w:lang w:val="lv-LV" w:eastAsia="lv-LV"/>
              </w:rPr>
              <w:t>7. Cita informācija</w:t>
            </w:r>
          </w:p>
        </w:tc>
        <w:tc>
          <w:tcPr>
            <w:tcW w:w="6703" w:type="dxa"/>
            <w:gridSpan w:val="5"/>
          </w:tcPr>
          <w:p w14:paraId="0F51D914" w14:textId="724805F7" w:rsidR="00AE7041" w:rsidRDefault="00DB7827" w:rsidP="00AE7041">
            <w:pPr>
              <w:jc w:val="both"/>
              <w:rPr>
                <w:sz w:val="26"/>
                <w:szCs w:val="26"/>
                <w:lang w:val="lv-LV" w:eastAsia="lv-LV"/>
              </w:rPr>
            </w:pPr>
            <w:r>
              <w:rPr>
                <w:sz w:val="26"/>
                <w:szCs w:val="26"/>
                <w:lang w:val="lv-LV" w:eastAsia="lv-LV"/>
              </w:rPr>
              <w:t>Valsts parāda vadības procesa nodrošināšanā iesaistīto</w:t>
            </w:r>
            <w:r w:rsidRPr="00DB7827">
              <w:rPr>
                <w:sz w:val="26"/>
                <w:szCs w:val="26"/>
                <w:lang w:val="lv-LV" w:eastAsia="lv-LV"/>
              </w:rPr>
              <w:t xml:space="preserve"> amatpersonu (darbinieku) motivēšanai novirzāmais finansējuma apjoms </w:t>
            </w:r>
            <w:r w:rsidR="000B61F4">
              <w:rPr>
                <w:sz w:val="26"/>
                <w:szCs w:val="26"/>
                <w:lang w:val="lv-LV" w:eastAsia="lv-LV"/>
              </w:rPr>
              <w:t xml:space="preserve">ir </w:t>
            </w:r>
            <w:r w:rsidR="000B61F4" w:rsidRPr="00DB7827">
              <w:rPr>
                <w:sz w:val="26"/>
                <w:szCs w:val="26"/>
                <w:lang w:val="lv-LV" w:eastAsia="lv-LV"/>
              </w:rPr>
              <w:t>181</w:t>
            </w:r>
            <w:r w:rsidR="000B61F4">
              <w:rPr>
                <w:sz w:val="26"/>
                <w:szCs w:val="26"/>
                <w:lang w:val="lv-LV" w:eastAsia="lv-LV"/>
              </w:rPr>
              <w:t> </w:t>
            </w:r>
            <w:r w:rsidR="000B61F4" w:rsidRPr="00DB7827">
              <w:rPr>
                <w:sz w:val="26"/>
                <w:szCs w:val="26"/>
                <w:lang w:val="lv-LV" w:eastAsia="lv-LV"/>
              </w:rPr>
              <w:t>293</w:t>
            </w:r>
            <w:r w:rsidR="000B61F4">
              <w:rPr>
                <w:sz w:val="26"/>
                <w:szCs w:val="26"/>
                <w:lang w:val="lv-LV" w:eastAsia="lv-LV"/>
              </w:rPr>
              <w:t xml:space="preserve"> </w:t>
            </w:r>
            <w:r w:rsidRPr="00DB7827">
              <w:rPr>
                <w:sz w:val="26"/>
                <w:szCs w:val="26"/>
                <w:lang w:val="lv-LV" w:eastAsia="lv-LV"/>
              </w:rPr>
              <w:t xml:space="preserve">latu, kas ir </w:t>
            </w:r>
            <w:r w:rsidR="000B61F4">
              <w:rPr>
                <w:sz w:val="26"/>
                <w:szCs w:val="26"/>
                <w:lang w:val="lv-LV" w:eastAsia="lv-LV"/>
              </w:rPr>
              <w:t>0,9</w:t>
            </w:r>
            <w:r w:rsidRPr="00DB7827">
              <w:rPr>
                <w:sz w:val="26"/>
                <w:szCs w:val="26"/>
                <w:lang w:val="lv-LV" w:eastAsia="lv-LV"/>
              </w:rPr>
              <w:t xml:space="preserve"> procenti no </w:t>
            </w:r>
            <w:r w:rsidR="000B61F4">
              <w:rPr>
                <w:sz w:val="26"/>
                <w:szCs w:val="26"/>
                <w:lang w:val="lv-LV" w:eastAsia="lv-LV"/>
              </w:rPr>
              <w:t xml:space="preserve">valsts budžeta izdevumu samazinājuma, kas </w:t>
            </w:r>
            <w:r w:rsidR="000E50B5" w:rsidRPr="00AE7041">
              <w:rPr>
                <w:sz w:val="26"/>
                <w:szCs w:val="26"/>
                <w:lang w:val="lv-LV" w:eastAsia="lv-LV"/>
              </w:rPr>
              <w:t>valsts parāda vadības procesā iesaistīto Valsts kases amatpersonu (darbinieku) darbības rezultātā</w:t>
            </w:r>
            <w:r w:rsidR="000E50B5">
              <w:rPr>
                <w:sz w:val="26"/>
                <w:szCs w:val="26"/>
                <w:lang w:val="lv-LV" w:eastAsia="lv-LV"/>
              </w:rPr>
              <w:t xml:space="preserve"> </w:t>
            </w:r>
            <w:r w:rsidR="00AE7041">
              <w:rPr>
                <w:sz w:val="26"/>
                <w:szCs w:val="26"/>
                <w:lang w:val="lv-LV" w:eastAsia="lv-LV"/>
              </w:rPr>
              <w:t xml:space="preserve">tika nodrošināts </w:t>
            </w:r>
            <w:r w:rsidR="000E50B5">
              <w:rPr>
                <w:sz w:val="26"/>
                <w:szCs w:val="26"/>
                <w:lang w:val="lv-LV" w:eastAsia="lv-LV"/>
              </w:rPr>
              <w:t xml:space="preserve">2013.gadā </w:t>
            </w:r>
            <w:r w:rsidR="00AE7041">
              <w:rPr>
                <w:sz w:val="26"/>
                <w:szCs w:val="26"/>
                <w:lang w:val="lv-LV" w:eastAsia="lv-LV"/>
              </w:rPr>
              <w:t xml:space="preserve">Finanšu ministrijas </w:t>
            </w:r>
            <w:r w:rsidR="00AE7041" w:rsidRPr="000B61F4">
              <w:rPr>
                <w:sz w:val="26"/>
                <w:szCs w:val="26"/>
                <w:lang w:val="lv-LV" w:eastAsia="lv-LV"/>
              </w:rPr>
              <w:t>valsts pamatbudžeta apakšprogramm</w:t>
            </w:r>
            <w:r w:rsidR="00AE7041">
              <w:rPr>
                <w:sz w:val="26"/>
                <w:szCs w:val="26"/>
                <w:lang w:val="lv-LV" w:eastAsia="lv-LV"/>
              </w:rPr>
              <w:t>ā</w:t>
            </w:r>
            <w:r w:rsidR="00AE7041" w:rsidRPr="000B61F4">
              <w:rPr>
                <w:sz w:val="26"/>
                <w:szCs w:val="26"/>
                <w:lang w:val="lv-LV" w:eastAsia="lv-LV"/>
              </w:rPr>
              <w:t xml:space="preserve"> 31.02.00 "Valsts parāda vadība"</w:t>
            </w:r>
            <w:r w:rsidR="00AE7041">
              <w:rPr>
                <w:sz w:val="26"/>
                <w:szCs w:val="26"/>
                <w:lang w:val="lv-LV" w:eastAsia="lv-LV"/>
              </w:rPr>
              <w:t xml:space="preserve"> 20,4 </w:t>
            </w:r>
            <w:proofErr w:type="spellStart"/>
            <w:r w:rsidR="00AE7041">
              <w:rPr>
                <w:sz w:val="26"/>
                <w:szCs w:val="26"/>
                <w:lang w:val="lv-LV" w:eastAsia="lv-LV"/>
              </w:rPr>
              <w:t>milj.latu</w:t>
            </w:r>
            <w:proofErr w:type="spellEnd"/>
            <w:r w:rsidR="00AE7041">
              <w:rPr>
                <w:sz w:val="26"/>
                <w:szCs w:val="26"/>
                <w:lang w:val="lv-LV" w:eastAsia="lv-LV"/>
              </w:rPr>
              <w:t xml:space="preserve"> apmērā</w:t>
            </w:r>
            <w:r w:rsidR="000E50B5">
              <w:rPr>
                <w:sz w:val="26"/>
                <w:szCs w:val="26"/>
                <w:lang w:val="lv-LV" w:eastAsia="lv-LV"/>
              </w:rPr>
              <w:t xml:space="preserve"> salīdzinājumā ar likuma „Par valsts budžetu</w:t>
            </w:r>
            <w:r w:rsidR="00C12587">
              <w:rPr>
                <w:sz w:val="26"/>
                <w:szCs w:val="26"/>
                <w:lang w:val="lv-LV" w:eastAsia="lv-LV"/>
              </w:rPr>
              <w:t xml:space="preserve"> 2013.gadam</w:t>
            </w:r>
            <w:r w:rsidR="000E50B5">
              <w:rPr>
                <w:sz w:val="26"/>
                <w:szCs w:val="26"/>
                <w:lang w:val="lv-LV" w:eastAsia="lv-LV"/>
              </w:rPr>
              <w:t>” spēkā stāšanās dienā plānotajiem procentu izdevumiem.</w:t>
            </w:r>
            <w:r w:rsidR="00AE7041">
              <w:rPr>
                <w:sz w:val="26"/>
                <w:szCs w:val="26"/>
                <w:lang w:val="lv-LV" w:eastAsia="lv-LV"/>
              </w:rPr>
              <w:t xml:space="preserve"> </w:t>
            </w:r>
          </w:p>
          <w:p w14:paraId="61447E19" w14:textId="4D04D997" w:rsidR="00F06FE2" w:rsidRPr="007B4B24" w:rsidRDefault="000E50B5" w:rsidP="00572697">
            <w:pPr>
              <w:jc w:val="both"/>
              <w:rPr>
                <w:sz w:val="26"/>
                <w:szCs w:val="26"/>
                <w:lang w:val="lv-LV" w:eastAsia="lv-LV"/>
              </w:rPr>
            </w:pPr>
            <w:r>
              <w:rPr>
                <w:sz w:val="26"/>
                <w:szCs w:val="26"/>
                <w:lang w:val="lv-LV" w:eastAsia="lv-LV"/>
              </w:rPr>
              <w:t>Finansējums Valsts parāda vadības proces</w:t>
            </w:r>
            <w:r w:rsidR="00917372">
              <w:rPr>
                <w:sz w:val="26"/>
                <w:szCs w:val="26"/>
                <w:lang w:val="lv-LV" w:eastAsia="lv-LV"/>
              </w:rPr>
              <w:t>ā</w:t>
            </w:r>
            <w:r>
              <w:rPr>
                <w:sz w:val="26"/>
                <w:szCs w:val="26"/>
                <w:lang w:val="lv-LV" w:eastAsia="lv-LV"/>
              </w:rPr>
              <w:t xml:space="preserve"> iesaistīto</w:t>
            </w:r>
            <w:r w:rsidRPr="00DB7827">
              <w:rPr>
                <w:sz w:val="26"/>
                <w:szCs w:val="26"/>
                <w:lang w:val="lv-LV" w:eastAsia="lv-LV"/>
              </w:rPr>
              <w:t xml:space="preserve"> amatpersonu (darbinieku) motivēšanai </w:t>
            </w:r>
            <w:r>
              <w:rPr>
                <w:sz w:val="26"/>
                <w:szCs w:val="26"/>
                <w:lang w:val="lv-LV" w:eastAsia="lv-LV"/>
              </w:rPr>
              <w:t>tiks nodrošināts</w:t>
            </w:r>
            <w:r w:rsidR="00A510EC">
              <w:rPr>
                <w:sz w:val="26"/>
                <w:szCs w:val="26"/>
                <w:lang w:val="lv-LV" w:eastAsia="lv-LV"/>
              </w:rPr>
              <w:t xml:space="preserve">, veicot apropriācijas pārdali Finanšu ministrijas budžeta ietvaros </w:t>
            </w:r>
            <w:r w:rsidR="00613808">
              <w:rPr>
                <w:sz w:val="26"/>
                <w:szCs w:val="26"/>
                <w:lang w:val="lv-LV" w:eastAsia="lv-LV"/>
              </w:rPr>
              <w:t>2013.gadā</w:t>
            </w:r>
            <w:r w:rsidR="004D4909">
              <w:rPr>
                <w:sz w:val="26"/>
                <w:szCs w:val="26"/>
                <w:lang w:val="lv-LV" w:eastAsia="lv-LV"/>
              </w:rPr>
              <w:t xml:space="preserve">, </w:t>
            </w:r>
            <w:r w:rsidR="00DB7827" w:rsidRPr="00DB7827">
              <w:rPr>
                <w:sz w:val="26"/>
                <w:szCs w:val="26"/>
                <w:lang w:val="lv-LV" w:eastAsia="lv-LV"/>
              </w:rPr>
              <w:t>Finanšu ministrija</w:t>
            </w:r>
            <w:r w:rsidR="004D4909">
              <w:rPr>
                <w:sz w:val="26"/>
                <w:szCs w:val="26"/>
                <w:lang w:val="lv-LV" w:eastAsia="lv-LV"/>
              </w:rPr>
              <w:t>s</w:t>
            </w:r>
            <w:r w:rsidR="00DB7827" w:rsidRPr="00DB7827">
              <w:rPr>
                <w:sz w:val="26"/>
                <w:szCs w:val="26"/>
                <w:lang w:val="lv-LV" w:eastAsia="lv-LV"/>
              </w:rPr>
              <w:t xml:space="preserve"> val</w:t>
            </w:r>
            <w:r w:rsidR="004D4909">
              <w:rPr>
                <w:sz w:val="26"/>
                <w:szCs w:val="26"/>
                <w:lang w:val="lv-LV" w:eastAsia="lv-LV"/>
              </w:rPr>
              <w:t>sts pamatbudžeta apakšprogrammai</w:t>
            </w:r>
            <w:r w:rsidR="00DB7827" w:rsidRPr="00DB7827">
              <w:rPr>
                <w:sz w:val="26"/>
                <w:szCs w:val="26"/>
                <w:lang w:val="lv-LV" w:eastAsia="lv-LV"/>
              </w:rPr>
              <w:t xml:space="preserve"> 31.02.00 "Valsts parāda vadība" samazin</w:t>
            </w:r>
            <w:r w:rsidR="004D4909">
              <w:rPr>
                <w:sz w:val="26"/>
                <w:szCs w:val="26"/>
                <w:lang w:val="lv-LV" w:eastAsia="lv-LV"/>
              </w:rPr>
              <w:t>o</w:t>
            </w:r>
            <w:r w:rsidR="00DB7827" w:rsidRPr="00DB7827">
              <w:rPr>
                <w:sz w:val="26"/>
                <w:szCs w:val="26"/>
                <w:lang w:val="lv-LV" w:eastAsia="lv-LV"/>
              </w:rPr>
              <w:t xml:space="preserve">t vispārējā kārtībā sadalāmo dotāciju no vispārējiem ieņēmumiem un procentu izdevumus </w:t>
            </w:r>
            <w:r w:rsidR="00DB7827" w:rsidRPr="00292AA0">
              <w:rPr>
                <w:sz w:val="26"/>
                <w:szCs w:val="26"/>
                <w:lang w:val="lv-LV" w:eastAsia="lv-LV"/>
              </w:rPr>
              <w:t>181 293 latu apmērā un</w:t>
            </w:r>
            <w:r w:rsidR="00DB7827" w:rsidRPr="00DB7827">
              <w:rPr>
                <w:sz w:val="26"/>
                <w:szCs w:val="26"/>
                <w:lang w:val="lv-LV" w:eastAsia="lv-LV"/>
              </w:rPr>
              <w:t xml:space="preserve"> palielin</w:t>
            </w:r>
            <w:r w:rsidR="004D4909">
              <w:rPr>
                <w:sz w:val="26"/>
                <w:szCs w:val="26"/>
                <w:lang w:val="lv-LV" w:eastAsia="lv-LV"/>
              </w:rPr>
              <w:t>o</w:t>
            </w:r>
            <w:r w:rsidR="00DB7827" w:rsidRPr="00DB7827">
              <w:rPr>
                <w:sz w:val="26"/>
                <w:szCs w:val="26"/>
                <w:lang w:val="lv-LV" w:eastAsia="lv-LV"/>
              </w:rPr>
              <w:t>t pamatbudžeta apakšprogrammai 31.</w:t>
            </w:r>
            <w:r w:rsidR="00DB7827" w:rsidRPr="00572697">
              <w:rPr>
                <w:sz w:val="26"/>
                <w:szCs w:val="26"/>
                <w:lang w:val="lv-LV" w:eastAsia="lv-LV"/>
              </w:rPr>
              <w:t>01.00 „Budžeta izpilde” vispārējā kārtībā sadalāmo dotāciju no vispārējiem ieņēmumiem un izdevumus atlīdzībai 181 293 latu apmērā</w:t>
            </w:r>
            <w:r w:rsidR="00292AA0" w:rsidRPr="00572697">
              <w:rPr>
                <w:sz w:val="26"/>
                <w:szCs w:val="26"/>
                <w:lang w:val="lv-LV" w:eastAsia="lv-LV"/>
              </w:rPr>
              <w:t xml:space="preserve"> (tai skaitā atalgojumam </w:t>
            </w:r>
            <w:r w:rsidR="00572697" w:rsidRPr="00572697">
              <w:rPr>
                <w:sz w:val="26"/>
                <w:szCs w:val="26"/>
                <w:lang w:val="lv-LV" w:eastAsia="lv-LV"/>
              </w:rPr>
              <w:t>146 098</w:t>
            </w:r>
            <w:r w:rsidR="00292AA0" w:rsidRPr="00572697">
              <w:rPr>
                <w:sz w:val="26"/>
                <w:szCs w:val="26"/>
                <w:lang w:val="lv-LV" w:eastAsia="lv-LV"/>
              </w:rPr>
              <w:t xml:space="preserve"> latu apmērā)</w:t>
            </w:r>
            <w:r w:rsidR="00DB7827" w:rsidRPr="00572697">
              <w:rPr>
                <w:sz w:val="26"/>
                <w:szCs w:val="26"/>
                <w:lang w:val="lv-LV" w:eastAsia="lv-LV"/>
              </w:rPr>
              <w:t>.</w:t>
            </w:r>
            <w:r w:rsidR="009F7F33" w:rsidRPr="00572697">
              <w:rPr>
                <w:sz w:val="26"/>
                <w:szCs w:val="26"/>
                <w:lang w:val="lv-LV" w:eastAsia="lv-LV"/>
              </w:rPr>
              <w:t xml:space="preserve"> Minētā apropriācijas pārdale neietekmēs valsts pamatbudžeta finansiālo bilanci</w:t>
            </w:r>
            <w:r w:rsidR="00917372">
              <w:rPr>
                <w:sz w:val="26"/>
                <w:szCs w:val="26"/>
                <w:lang w:val="lv-LV" w:eastAsia="lv-LV"/>
              </w:rPr>
              <w:t xml:space="preserve"> un valsts konsolidētā budžeta finansiālo bilanci</w:t>
            </w:r>
            <w:r w:rsidR="00613808">
              <w:rPr>
                <w:sz w:val="26"/>
                <w:szCs w:val="26"/>
                <w:lang w:val="lv-LV" w:eastAsia="lv-LV"/>
              </w:rPr>
              <w:t xml:space="preserve"> 2013.gadā, kā arī turpmākajos gados</w:t>
            </w:r>
            <w:r w:rsidR="00917372">
              <w:rPr>
                <w:sz w:val="26"/>
                <w:szCs w:val="26"/>
                <w:lang w:val="lv-LV" w:eastAsia="lv-LV"/>
              </w:rPr>
              <w:t xml:space="preserve">. </w:t>
            </w:r>
          </w:p>
        </w:tc>
      </w:tr>
    </w:tbl>
    <w:p w14:paraId="5AA53D9C" w14:textId="77777777" w:rsidR="00F06FE2" w:rsidRPr="00C40A03" w:rsidRDefault="00F06FE2" w:rsidP="00F06FE2">
      <w:pPr>
        <w:jc w:val="both"/>
        <w:rPr>
          <w:color w:val="FF0000"/>
          <w:sz w:val="26"/>
          <w:szCs w:val="26"/>
          <w:lang w:val="lv-LV"/>
        </w:rPr>
      </w:pPr>
    </w:p>
    <w:tbl>
      <w:tblPr>
        <w:tblW w:w="8931"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0"/>
        <w:gridCol w:w="2268"/>
        <w:gridCol w:w="6073"/>
      </w:tblGrid>
      <w:tr w:rsidR="007B4B24" w:rsidRPr="00535C4B" w14:paraId="4894C1A5" w14:textId="77777777" w:rsidTr="007B4B24">
        <w:trPr>
          <w:tblCellSpacing w:w="0" w:type="dxa"/>
        </w:trPr>
        <w:tc>
          <w:tcPr>
            <w:tcW w:w="8931" w:type="dxa"/>
            <w:gridSpan w:val="3"/>
            <w:tcBorders>
              <w:top w:val="outset" w:sz="6" w:space="0" w:color="auto"/>
              <w:left w:val="outset" w:sz="6" w:space="0" w:color="auto"/>
              <w:bottom w:val="outset" w:sz="6" w:space="0" w:color="auto"/>
              <w:right w:val="outset" w:sz="6" w:space="0" w:color="auto"/>
            </w:tcBorders>
            <w:hideMark/>
          </w:tcPr>
          <w:p w14:paraId="2B25149E" w14:textId="77777777" w:rsidR="00F06FE2" w:rsidRPr="007B4B24" w:rsidRDefault="00F06FE2" w:rsidP="00BD4854">
            <w:pPr>
              <w:jc w:val="both"/>
              <w:rPr>
                <w:sz w:val="26"/>
                <w:szCs w:val="26"/>
                <w:lang w:val="lv-LV"/>
              </w:rPr>
            </w:pPr>
            <w:r w:rsidRPr="007B4B24">
              <w:rPr>
                <w:i/>
                <w:iCs/>
                <w:sz w:val="26"/>
                <w:szCs w:val="26"/>
                <w:lang w:val="lv-LV"/>
              </w:rPr>
              <w:t> </w:t>
            </w:r>
            <w:r w:rsidRPr="007B4B24">
              <w:rPr>
                <w:sz w:val="26"/>
                <w:szCs w:val="26"/>
                <w:lang w:val="lv-LV"/>
              </w:rPr>
              <w:t>IV. Tiesību akta projekta ietekme uz spēkā esošo tiesību normu sistēmu</w:t>
            </w:r>
          </w:p>
        </w:tc>
      </w:tr>
      <w:tr w:rsidR="007B4B24" w:rsidRPr="007B4B24" w14:paraId="2D481745" w14:textId="77777777" w:rsidTr="007B4B24">
        <w:trPr>
          <w:tblCellSpacing w:w="0" w:type="dxa"/>
        </w:trPr>
        <w:tc>
          <w:tcPr>
            <w:tcW w:w="590" w:type="dxa"/>
            <w:tcBorders>
              <w:top w:val="outset" w:sz="6" w:space="0" w:color="auto"/>
              <w:left w:val="outset" w:sz="6" w:space="0" w:color="auto"/>
              <w:bottom w:val="outset" w:sz="6" w:space="0" w:color="auto"/>
              <w:right w:val="outset" w:sz="6" w:space="0" w:color="auto"/>
            </w:tcBorders>
            <w:hideMark/>
          </w:tcPr>
          <w:p w14:paraId="0DD5C564" w14:textId="77777777" w:rsidR="00F06FE2" w:rsidRPr="007B4B24" w:rsidRDefault="00F06FE2" w:rsidP="00BD4854">
            <w:pPr>
              <w:jc w:val="both"/>
              <w:rPr>
                <w:sz w:val="26"/>
                <w:szCs w:val="26"/>
                <w:lang w:val="lv-LV"/>
              </w:rPr>
            </w:pPr>
            <w:r w:rsidRPr="007B4B24">
              <w:rPr>
                <w:sz w:val="26"/>
                <w:szCs w:val="26"/>
                <w:lang w:val="lv-LV"/>
              </w:rPr>
              <w:t> 1.</w:t>
            </w:r>
          </w:p>
        </w:tc>
        <w:tc>
          <w:tcPr>
            <w:tcW w:w="2268" w:type="dxa"/>
            <w:tcBorders>
              <w:top w:val="outset" w:sz="6" w:space="0" w:color="auto"/>
              <w:left w:val="outset" w:sz="6" w:space="0" w:color="auto"/>
              <w:bottom w:val="outset" w:sz="6" w:space="0" w:color="auto"/>
              <w:right w:val="outset" w:sz="6" w:space="0" w:color="auto"/>
            </w:tcBorders>
            <w:hideMark/>
          </w:tcPr>
          <w:p w14:paraId="5D0236C3" w14:textId="77777777" w:rsidR="00F06FE2" w:rsidRPr="007B4B24" w:rsidRDefault="00F06FE2" w:rsidP="00BD4854">
            <w:pPr>
              <w:jc w:val="both"/>
              <w:rPr>
                <w:sz w:val="26"/>
                <w:szCs w:val="26"/>
                <w:lang w:val="lv-LV"/>
              </w:rPr>
            </w:pPr>
            <w:r w:rsidRPr="007B4B24">
              <w:rPr>
                <w:sz w:val="26"/>
                <w:szCs w:val="26"/>
                <w:lang w:val="lv-LV"/>
              </w:rPr>
              <w:t> Nepieciešamie saistītie tiesību aktu projekti</w:t>
            </w:r>
          </w:p>
        </w:tc>
        <w:tc>
          <w:tcPr>
            <w:tcW w:w="6073" w:type="dxa"/>
            <w:tcBorders>
              <w:top w:val="outset" w:sz="6" w:space="0" w:color="auto"/>
              <w:left w:val="outset" w:sz="6" w:space="0" w:color="auto"/>
              <w:bottom w:val="outset" w:sz="6" w:space="0" w:color="auto"/>
              <w:right w:val="outset" w:sz="6" w:space="0" w:color="auto"/>
            </w:tcBorders>
            <w:hideMark/>
          </w:tcPr>
          <w:p w14:paraId="38FBC1D7" w14:textId="61FEE8D3" w:rsidR="00F06FE2" w:rsidRPr="007B4B24" w:rsidRDefault="007B4B24" w:rsidP="006179D1">
            <w:pPr>
              <w:jc w:val="both"/>
              <w:rPr>
                <w:iCs/>
                <w:sz w:val="26"/>
                <w:szCs w:val="26"/>
                <w:lang w:val="lv-LV" w:eastAsia="lv-LV"/>
              </w:rPr>
            </w:pPr>
            <w:r w:rsidRPr="007B4B24">
              <w:rPr>
                <w:iCs/>
                <w:sz w:val="26"/>
                <w:szCs w:val="26"/>
                <w:lang w:val="lv-LV" w:eastAsia="lv-LV"/>
              </w:rPr>
              <w:t>Nav attiecināms.</w:t>
            </w:r>
          </w:p>
        </w:tc>
      </w:tr>
      <w:tr w:rsidR="007B4B24" w:rsidRPr="007B4B24" w14:paraId="7BDC27AA" w14:textId="77777777" w:rsidTr="007B4B24">
        <w:trPr>
          <w:trHeight w:val="65"/>
          <w:tblCellSpacing w:w="0" w:type="dxa"/>
        </w:trPr>
        <w:tc>
          <w:tcPr>
            <w:tcW w:w="590" w:type="dxa"/>
            <w:tcBorders>
              <w:top w:val="outset" w:sz="6" w:space="0" w:color="auto"/>
              <w:left w:val="outset" w:sz="6" w:space="0" w:color="auto"/>
              <w:bottom w:val="outset" w:sz="6" w:space="0" w:color="auto"/>
              <w:right w:val="outset" w:sz="6" w:space="0" w:color="auto"/>
            </w:tcBorders>
            <w:hideMark/>
          </w:tcPr>
          <w:p w14:paraId="41B17474" w14:textId="77777777" w:rsidR="00F06FE2" w:rsidRPr="007B4B24" w:rsidRDefault="00F06FE2" w:rsidP="00BD4854">
            <w:pPr>
              <w:jc w:val="both"/>
              <w:rPr>
                <w:sz w:val="26"/>
                <w:szCs w:val="26"/>
                <w:lang w:val="lv-LV"/>
              </w:rPr>
            </w:pPr>
            <w:r w:rsidRPr="007B4B24">
              <w:rPr>
                <w:sz w:val="26"/>
                <w:szCs w:val="26"/>
                <w:lang w:val="lv-LV"/>
              </w:rPr>
              <w:t> 2.</w:t>
            </w:r>
          </w:p>
        </w:tc>
        <w:tc>
          <w:tcPr>
            <w:tcW w:w="2268" w:type="dxa"/>
            <w:tcBorders>
              <w:top w:val="outset" w:sz="6" w:space="0" w:color="auto"/>
              <w:left w:val="outset" w:sz="6" w:space="0" w:color="auto"/>
              <w:bottom w:val="outset" w:sz="6" w:space="0" w:color="auto"/>
              <w:right w:val="outset" w:sz="6" w:space="0" w:color="auto"/>
            </w:tcBorders>
            <w:hideMark/>
          </w:tcPr>
          <w:p w14:paraId="4FCD5D6E" w14:textId="77777777" w:rsidR="00F06FE2" w:rsidRPr="007B4B24" w:rsidRDefault="00F06FE2" w:rsidP="00BD4854">
            <w:pPr>
              <w:jc w:val="both"/>
              <w:rPr>
                <w:sz w:val="26"/>
                <w:szCs w:val="26"/>
                <w:lang w:val="lv-LV"/>
              </w:rPr>
            </w:pPr>
            <w:r w:rsidRPr="007B4B24">
              <w:rPr>
                <w:sz w:val="26"/>
                <w:szCs w:val="26"/>
                <w:lang w:val="lv-LV"/>
              </w:rPr>
              <w:t> Cita informācija</w:t>
            </w:r>
          </w:p>
        </w:tc>
        <w:tc>
          <w:tcPr>
            <w:tcW w:w="6073" w:type="dxa"/>
            <w:tcBorders>
              <w:top w:val="outset" w:sz="6" w:space="0" w:color="auto"/>
              <w:left w:val="outset" w:sz="6" w:space="0" w:color="auto"/>
              <w:bottom w:val="outset" w:sz="6" w:space="0" w:color="auto"/>
              <w:right w:val="outset" w:sz="6" w:space="0" w:color="auto"/>
            </w:tcBorders>
          </w:tcPr>
          <w:p w14:paraId="14863641" w14:textId="77777777" w:rsidR="00F06FE2" w:rsidRPr="007B4B24" w:rsidRDefault="00F06FE2" w:rsidP="00BD4854">
            <w:pPr>
              <w:jc w:val="both"/>
              <w:rPr>
                <w:sz w:val="26"/>
                <w:szCs w:val="26"/>
                <w:lang w:val="lv-LV"/>
              </w:rPr>
            </w:pPr>
            <w:r w:rsidRPr="007B4B24">
              <w:rPr>
                <w:sz w:val="26"/>
                <w:szCs w:val="26"/>
                <w:lang w:val="lv-LV"/>
              </w:rPr>
              <w:t xml:space="preserve"> </w:t>
            </w:r>
          </w:p>
        </w:tc>
      </w:tr>
    </w:tbl>
    <w:p w14:paraId="47EA8C9C" w14:textId="77777777" w:rsidR="00F06FE2" w:rsidRPr="007B4B24" w:rsidRDefault="00F06FE2" w:rsidP="00F06FE2">
      <w:pPr>
        <w:pStyle w:val="naiskr"/>
        <w:spacing w:before="0" w:beforeAutospacing="0" w:after="0" w:afterAutospacing="0"/>
        <w:jc w:val="both"/>
        <w:rPr>
          <w:sz w:val="26"/>
          <w:szCs w:val="26"/>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7B4B24" w:rsidRPr="007B4B24" w14:paraId="6B05014C" w14:textId="77777777" w:rsidTr="00DB7827">
        <w:tc>
          <w:tcPr>
            <w:tcW w:w="8931" w:type="dxa"/>
          </w:tcPr>
          <w:p w14:paraId="0C210D39" w14:textId="77777777" w:rsidR="00F06FE2" w:rsidRPr="007B4B24" w:rsidRDefault="00F06FE2" w:rsidP="00BD4854">
            <w:pPr>
              <w:jc w:val="both"/>
              <w:rPr>
                <w:sz w:val="26"/>
                <w:szCs w:val="26"/>
                <w:lang w:val="lv-LV"/>
              </w:rPr>
            </w:pPr>
            <w:r w:rsidRPr="007B4B24">
              <w:rPr>
                <w:sz w:val="26"/>
                <w:szCs w:val="26"/>
                <w:lang w:val="lv-LV"/>
              </w:rPr>
              <w:t>V. Tiesību akta projekta atbilstība Latvijas Republikas starptautiskajām saistībām</w:t>
            </w:r>
          </w:p>
        </w:tc>
      </w:tr>
      <w:tr w:rsidR="007B4B24" w:rsidRPr="007B4B24" w14:paraId="056B2B18" w14:textId="77777777" w:rsidTr="00DB7827">
        <w:trPr>
          <w:trHeight w:val="279"/>
        </w:trPr>
        <w:tc>
          <w:tcPr>
            <w:tcW w:w="8931" w:type="dxa"/>
            <w:vAlign w:val="center"/>
          </w:tcPr>
          <w:p w14:paraId="3A0FA64A" w14:textId="77777777" w:rsidR="00F06FE2" w:rsidRPr="007B4B24" w:rsidRDefault="00F06FE2" w:rsidP="00BD4854">
            <w:pPr>
              <w:jc w:val="both"/>
              <w:rPr>
                <w:sz w:val="26"/>
                <w:szCs w:val="26"/>
                <w:lang w:val="lv-LV"/>
              </w:rPr>
            </w:pPr>
            <w:r w:rsidRPr="007B4B24">
              <w:rPr>
                <w:sz w:val="26"/>
                <w:szCs w:val="26"/>
                <w:lang w:val="lv-LV"/>
              </w:rPr>
              <w:lastRenderedPageBreak/>
              <w:t>Likumprojekts šo jomu neskar.</w:t>
            </w:r>
          </w:p>
        </w:tc>
      </w:tr>
    </w:tbl>
    <w:p w14:paraId="7B60F2C2" w14:textId="77777777" w:rsidR="00F06FE2" w:rsidRPr="007B4B24" w:rsidRDefault="00F06FE2" w:rsidP="00F06FE2">
      <w:pPr>
        <w:pStyle w:val="naiskr"/>
        <w:spacing w:before="0" w:beforeAutospacing="0" w:after="0" w:afterAutospacing="0"/>
        <w:jc w:val="both"/>
        <w:rPr>
          <w:sz w:val="26"/>
          <w:szCs w:val="26"/>
        </w:rPr>
      </w:pPr>
    </w:p>
    <w:tbl>
      <w:tblPr>
        <w:tblW w:w="8885" w:type="dxa"/>
        <w:jc w:val="center"/>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85"/>
      </w:tblGrid>
      <w:tr w:rsidR="007B4B24" w:rsidRPr="00535C4B" w14:paraId="19F0D5E1" w14:textId="77777777" w:rsidTr="00DB7827">
        <w:trPr>
          <w:jc w:val="center"/>
        </w:trPr>
        <w:tc>
          <w:tcPr>
            <w:tcW w:w="8885" w:type="dxa"/>
          </w:tcPr>
          <w:p w14:paraId="5C99F8F6" w14:textId="77777777" w:rsidR="00D079D8" w:rsidRPr="007B4B24" w:rsidRDefault="00D079D8" w:rsidP="005D3C24">
            <w:pPr>
              <w:pStyle w:val="naisnod"/>
              <w:spacing w:before="0" w:after="0"/>
              <w:ind w:left="57" w:right="57"/>
              <w:rPr>
                <w:sz w:val="26"/>
                <w:szCs w:val="26"/>
              </w:rPr>
            </w:pPr>
            <w:r w:rsidRPr="007B4B24">
              <w:rPr>
                <w:sz w:val="26"/>
                <w:szCs w:val="26"/>
              </w:rPr>
              <w:t>VI. Sabiedrības līdzdalība un šīs līdzdalības rezultāti</w:t>
            </w:r>
          </w:p>
        </w:tc>
      </w:tr>
      <w:tr w:rsidR="007B4B24" w:rsidRPr="007B4B24" w14:paraId="6553764A" w14:textId="77777777" w:rsidTr="00DB7827">
        <w:trPr>
          <w:jc w:val="center"/>
        </w:trPr>
        <w:tc>
          <w:tcPr>
            <w:tcW w:w="8885" w:type="dxa"/>
          </w:tcPr>
          <w:p w14:paraId="01744A4F" w14:textId="38E697E9" w:rsidR="00D079D8" w:rsidRPr="007B4B24" w:rsidRDefault="00D079D8" w:rsidP="005D3C24">
            <w:pPr>
              <w:pStyle w:val="naisnod"/>
              <w:spacing w:before="0" w:after="0"/>
              <w:ind w:left="57" w:right="57"/>
              <w:rPr>
                <w:sz w:val="26"/>
                <w:szCs w:val="26"/>
              </w:rPr>
            </w:pPr>
            <w:r w:rsidRPr="007B4B24">
              <w:rPr>
                <w:sz w:val="26"/>
                <w:szCs w:val="26"/>
              </w:rPr>
              <w:t>Likumprojekts šo jomu neskar.</w:t>
            </w:r>
          </w:p>
        </w:tc>
      </w:tr>
    </w:tbl>
    <w:p w14:paraId="299BE481" w14:textId="77777777" w:rsidR="00D079D8" w:rsidRPr="007B4B24" w:rsidRDefault="00D079D8" w:rsidP="00F06FE2">
      <w:pPr>
        <w:pStyle w:val="naiskr"/>
        <w:spacing w:before="0" w:beforeAutospacing="0" w:after="0" w:afterAutospacing="0"/>
        <w:jc w:val="both"/>
        <w:rPr>
          <w:sz w:val="26"/>
          <w:szCs w:val="26"/>
        </w:rPr>
      </w:pPr>
    </w:p>
    <w:tbl>
      <w:tblPr>
        <w:tblW w:w="892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8"/>
        <w:gridCol w:w="2342"/>
        <w:gridCol w:w="6073"/>
      </w:tblGrid>
      <w:tr w:rsidR="007B4B24" w:rsidRPr="00535C4B" w14:paraId="762567EC" w14:textId="77777777" w:rsidTr="002A69C0">
        <w:trPr>
          <w:tblCellSpacing w:w="0" w:type="dxa"/>
        </w:trPr>
        <w:tc>
          <w:tcPr>
            <w:tcW w:w="8923" w:type="dxa"/>
            <w:gridSpan w:val="3"/>
            <w:tcBorders>
              <w:top w:val="outset" w:sz="6" w:space="0" w:color="auto"/>
              <w:left w:val="outset" w:sz="6" w:space="0" w:color="auto"/>
              <w:bottom w:val="outset" w:sz="6" w:space="0" w:color="auto"/>
              <w:right w:val="outset" w:sz="6" w:space="0" w:color="auto"/>
            </w:tcBorders>
          </w:tcPr>
          <w:p w14:paraId="38A6E82A" w14:textId="77777777" w:rsidR="00F06FE2" w:rsidRPr="007B4B24" w:rsidRDefault="00F06FE2" w:rsidP="00BD4854">
            <w:pPr>
              <w:pStyle w:val="naisc"/>
              <w:jc w:val="both"/>
              <w:rPr>
                <w:sz w:val="26"/>
                <w:szCs w:val="26"/>
              </w:rPr>
            </w:pPr>
            <w:r w:rsidRPr="007B4B24">
              <w:rPr>
                <w:bCs/>
                <w:sz w:val="26"/>
                <w:szCs w:val="26"/>
              </w:rPr>
              <w:t>VII. Tiesību akta projekta izpildes nodrošināšana un tās ietekme uz institūcijām</w:t>
            </w:r>
          </w:p>
        </w:tc>
      </w:tr>
      <w:tr w:rsidR="00BA78B3" w:rsidRPr="00F934C4" w14:paraId="5053CC8A" w14:textId="77777777" w:rsidTr="002A69C0">
        <w:trPr>
          <w:trHeight w:val="427"/>
          <w:tblCellSpacing w:w="0" w:type="dxa"/>
        </w:trPr>
        <w:tc>
          <w:tcPr>
            <w:tcW w:w="508" w:type="dxa"/>
            <w:tcBorders>
              <w:top w:val="outset" w:sz="6" w:space="0" w:color="auto"/>
              <w:left w:val="outset" w:sz="6" w:space="0" w:color="auto"/>
              <w:bottom w:val="outset" w:sz="6" w:space="0" w:color="auto"/>
              <w:right w:val="outset" w:sz="6" w:space="0" w:color="auto"/>
            </w:tcBorders>
          </w:tcPr>
          <w:p w14:paraId="1410D2AE" w14:textId="77777777" w:rsidR="00F06FE2" w:rsidRPr="00BA78B3" w:rsidRDefault="00F06FE2" w:rsidP="00BD4854">
            <w:pPr>
              <w:pStyle w:val="naiskr"/>
              <w:jc w:val="both"/>
              <w:rPr>
                <w:sz w:val="26"/>
                <w:szCs w:val="26"/>
              </w:rPr>
            </w:pPr>
            <w:r w:rsidRPr="00BA78B3">
              <w:rPr>
                <w:sz w:val="26"/>
                <w:szCs w:val="26"/>
              </w:rPr>
              <w:t> 1.</w:t>
            </w:r>
          </w:p>
        </w:tc>
        <w:tc>
          <w:tcPr>
            <w:tcW w:w="2342" w:type="dxa"/>
            <w:tcBorders>
              <w:top w:val="outset" w:sz="6" w:space="0" w:color="auto"/>
              <w:left w:val="outset" w:sz="6" w:space="0" w:color="auto"/>
              <w:bottom w:val="outset" w:sz="6" w:space="0" w:color="auto"/>
              <w:right w:val="outset" w:sz="6" w:space="0" w:color="auto"/>
            </w:tcBorders>
          </w:tcPr>
          <w:p w14:paraId="646F201F" w14:textId="77777777" w:rsidR="00F06FE2" w:rsidRPr="00BA78B3" w:rsidRDefault="00F06FE2" w:rsidP="00BD4854">
            <w:pPr>
              <w:pStyle w:val="naiskr"/>
              <w:jc w:val="both"/>
              <w:rPr>
                <w:sz w:val="26"/>
                <w:szCs w:val="26"/>
              </w:rPr>
            </w:pPr>
            <w:r w:rsidRPr="00BA78B3">
              <w:rPr>
                <w:sz w:val="26"/>
                <w:szCs w:val="26"/>
              </w:rPr>
              <w:t> Projekta izpildē iesaistītās institūcijas</w:t>
            </w:r>
          </w:p>
        </w:tc>
        <w:tc>
          <w:tcPr>
            <w:tcW w:w="6073" w:type="dxa"/>
            <w:tcBorders>
              <w:top w:val="outset" w:sz="6" w:space="0" w:color="auto"/>
              <w:left w:val="outset" w:sz="6" w:space="0" w:color="auto"/>
              <w:bottom w:val="outset" w:sz="6" w:space="0" w:color="auto"/>
              <w:right w:val="outset" w:sz="6" w:space="0" w:color="auto"/>
            </w:tcBorders>
          </w:tcPr>
          <w:p w14:paraId="163026F9" w14:textId="618666A3" w:rsidR="00F06FE2" w:rsidRPr="00BA78B3" w:rsidRDefault="00EC7649" w:rsidP="00DB7827">
            <w:pPr>
              <w:pStyle w:val="naiskr"/>
              <w:jc w:val="both"/>
              <w:rPr>
                <w:sz w:val="26"/>
                <w:szCs w:val="26"/>
              </w:rPr>
            </w:pPr>
            <w:r w:rsidRPr="00BA78B3">
              <w:rPr>
                <w:sz w:val="26"/>
                <w:szCs w:val="26"/>
              </w:rPr>
              <w:t> </w:t>
            </w:r>
            <w:r w:rsidR="007B4B24" w:rsidRPr="00BA78B3">
              <w:rPr>
                <w:sz w:val="26"/>
                <w:szCs w:val="26"/>
              </w:rPr>
              <w:t>Finanšu ministrija (V</w:t>
            </w:r>
            <w:r w:rsidR="00DB7827">
              <w:rPr>
                <w:sz w:val="26"/>
                <w:szCs w:val="26"/>
              </w:rPr>
              <w:t>alsts kase</w:t>
            </w:r>
            <w:r w:rsidR="00BA78B3" w:rsidRPr="00BA78B3">
              <w:rPr>
                <w:sz w:val="26"/>
                <w:szCs w:val="26"/>
              </w:rPr>
              <w:t>)</w:t>
            </w:r>
          </w:p>
        </w:tc>
      </w:tr>
      <w:tr w:rsidR="00BA78B3" w:rsidRPr="00BA78B3" w14:paraId="2E5D4941" w14:textId="77777777" w:rsidTr="002A69C0">
        <w:trPr>
          <w:trHeight w:val="463"/>
          <w:tblCellSpacing w:w="0" w:type="dxa"/>
        </w:trPr>
        <w:tc>
          <w:tcPr>
            <w:tcW w:w="508" w:type="dxa"/>
            <w:tcBorders>
              <w:top w:val="outset" w:sz="6" w:space="0" w:color="auto"/>
              <w:left w:val="outset" w:sz="6" w:space="0" w:color="auto"/>
              <w:bottom w:val="outset" w:sz="6" w:space="0" w:color="auto"/>
              <w:right w:val="outset" w:sz="6" w:space="0" w:color="auto"/>
            </w:tcBorders>
          </w:tcPr>
          <w:p w14:paraId="39DA98CF" w14:textId="77777777" w:rsidR="00F06FE2" w:rsidRPr="00BA78B3" w:rsidRDefault="00F06FE2" w:rsidP="00BD4854">
            <w:pPr>
              <w:pStyle w:val="naiskr"/>
              <w:jc w:val="both"/>
              <w:rPr>
                <w:sz w:val="26"/>
                <w:szCs w:val="26"/>
              </w:rPr>
            </w:pPr>
            <w:r w:rsidRPr="00BA78B3">
              <w:rPr>
                <w:sz w:val="26"/>
                <w:szCs w:val="26"/>
              </w:rPr>
              <w:t> 2.</w:t>
            </w:r>
          </w:p>
        </w:tc>
        <w:tc>
          <w:tcPr>
            <w:tcW w:w="2342" w:type="dxa"/>
            <w:tcBorders>
              <w:top w:val="outset" w:sz="6" w:space="0" w:color="auto"/>
              <w:left w:val="outset" w:sz="6" w:space="0" w:color="auto"/>
              <w:bottom w:val="outset" w:sz="6" w:space="0" w:color="auto"/>
              <w:right w:val="outset" w:sz="6" w:space="0" w:color="auto"/>
            </w:tcBorders>
          </w:tcPr>
          <w:p w14:paraId="12250C67" w14:textId="77777777" w:rsidR="00F06FE2" w:rsidRPr="00BA78B3" w:rsidRDefault="00F06FE2" w:rsidP="00BD4854">
            <w:pPr>
              <w:pStyle w:val="naiskr"/>
              <w:jc w:val="both"/>
              <w:rPr>
                <w:sz w:val="26"/>
                <w:szCs w:val="26"/>
              </w:rPr>
            </w:pPr>
            <w:r w:rsidRPr="00BA78B3">
              <w:rPr>
                <w:sz w:val="26"/>
                <w:szCs w:val="26"/>
              </w:rPr>
              <w:t> Projekta izpildes ietekme uz pārvaldes funkcijām</w:t>
            </w:r>
          </w:p>
        </w:tc>
        <w:tc>
          <w:tcPr>
            <w:tcW w:w="6073" w:type="dxa"/>
            <w:tcBorders>
              <w:top w:val="outset" w:sz="6" w:space="0" w:color="auto"/>
              <w:left w:val="outset" w:sz="6" w:space="0" w:color="auto"/>
              <w:bottom w:val="outset" w:sz="6" w:space="0" w:color="auto"/>
              <w:right w:val="outset" w:sz="6" w:space="0" w:color="auto"/>
            </w:tcBorders>
          </w:tcPr>
          <w:p w14:paraId="32597EAC" w14:textId="255883C3" w:rsidR="00F06FE2" w:rsidRPr="00BA78B3" w:rsidRDefault="00F06FE2" w:rsidP="00BD4854">
            <w:pPr>
              <w:pStyle w:val="naiskr"/>
              <w:jc w:val="both"/>
              <w:rPr>
                <w:sz w:val="26"/>
                <w:szCs w:val="26"/>
              </w:rPr>
            </w:pPr>
            <w:r w:rsidRPr="00BA78B3">
              <w:rPr>
                <w:sz w:val="26"/>
                <w:szCs w:val="26"/>
              </w:rPr>
              <w:t> </w:t>
            </w:r>
            <w:r w:rsidR="00BA78B3" w:rsidRPr="00BA78B3">
              <w:rPr>
                <w:sz w:val="26"/>
                <w:szCs w:val="26"/>
              </w:rPr>
              <w:t>Nav attiecināms.</w:t>
            </w:r>
          </w:p>
        </w:tc>
      </w:tr>
      <w:tr w:rsidR="00BA78B3" w:rsidRPr="00BA78B3" w14:paraId="45653C38" w14:textId="77777777" w:rsidTr="002A69C0">
        <w:trPr>
          <w:trHeight w:val="725"/>
          <w:tblCellSpacing w:w="0" w:type="dxa"/>
        </w:trPr>
        <w:tc>
          <w:tcPr>
            <w:tcW w:w="508" w:type="dxa"/>
            <w:tcBorders>
              <w:top w:val="outset" w:sz="6" w:space="0" w:color="auto"/>
              <w:left w:val="outset" w:sz="6" w:space="0" w:color="auto"/>
              <w:bottom w:val="outset" w:sz="6" w:space="0" w:color="auto"/>
              <w:right w:val="outset" w:sz="6" w:space="0" w:color="auto"/>
            </w:tcBorders>
          </w:tcPr>
          <w:p w14:paraId="4BD00201" w14:textId="77777777" w:rsidR="00F06FE2" w:rsidRPr="00BA78B3" w:rsidRDefault="00F06FE2" w:rsidP="00BD4854">
            <w:pPr>
              <w:pStyle w:val="naiskr"/>
              <w:jc w:val="both"/>
              <w:rPr>
                <w:sz w:val="26"/>
                <w:szCs w:val="26"/>
              </w:rPr>
            </w:pPr>
            <w:r w:rsidRPr="00BA78B3">
              <w:rPr>
                <w:sz w:val="26"/>
                <w:szCs w:val="26"/>
              </w:rPr>
              <w:t> 3.</w:t>
            </w:r>
          </w:p>
        </w:tc>
        <w:tc>
          <w:tcPr>
            <w:tcW w:w="2342" w:type="dxa"/>
            <w:tcBorders>
              <w:top w:val="outset" w:sz="6" w:space="0" w:color="auto"/>
              <w:left w:val="outset" w:sz="6" w:space="0" w:color="auto"/>
              <w:bottom w:val="outset" w:sz="6" w:space="0" w:color="auto"/>
              <w:right w:val="outset" w:sz="6" w:space="0" w:color="auto"/>
            </w:tcBorders>
          </w:tcPr>
          <w:p w14:paraId="05E9AD78" w14:textId="77777777" w:rsidR="00F06FE2" w:rsidRPr="00BA78B3" w:rsidRDefault="00F06FE2" w:rsidP="004468E0">
            <w:pPr>
              <w:pStyle w:val="naiskr"/>
              <w:spacing w:before="0" w:beforeAutospacing="0" w:after="0" w:afterAutospacing="0"/>
              <w:jc w:val="both"/>
              <w:rPr>
                <w:sz w:val="26"/>
                <w:szCs w:val="26"/>
              </w:rPr>
            </w:pPr>
            <w:r w:rsidRPr="00BA78B3">
              <w:rPr>
                <w:sz w:val="26"/>
                <w:szCs w:val="26"/>
              </w:rPr>
              <w:t> Projekta izpildes ietekme uz pārvaldes institucionālo struktūru.</w:t>
            </w:r>
          </w:p>
          <w:p w14:paraId="70B0848C" w14:textId="77777777" w:rsidR="00F06FE2" w:rsidRPr="00BA78B3" w:rsidRDefault="00F06FE2" w:rsidP="004468E0">
            <w:pPr>
              <w:pStyle w:val="naiskr"/>
              <w:spacing w:before="0" w:beforeAutospacing="0" w:after="0" w:afterAutospacing="0"/>
              <w:jc w:val="both"/>
              <w:rPr>
                <w:sz w:val="26"/>
                <w:szCs w:val="26"/>
              </w:rPr>
            </w:pPr>
            <w:r w:rsidRPr="00BA78B3">
              <w:rPr>
                <w:sz w:val="26"/>
                <w:szCs w:val="26"/>
              </w:rPr>
              <w:t>Jaunu institūciju izveide</w:t>
            </w:r>
          </w:p>
        </w:tc>
        <w:tc>
          <w:tcPr>
            <w:tcW w:w="6073" w:type="dxa"/>
            <w:tcBorders>
              <w:top w:val="outset" w:sz="6" w:space="0" w:color="auto"/>
              <w:left w:val="outset" w:sz="6" w:space="0" w:color="auto"/>
              <w:bottom w:val="outset" w:sz="6" w:space="0" w:color="auto"/>
              <w:right w:val="outset" w:sz="6" w:space="0" w:color="auto"/>
            </w:tcBorders>
          </w:tcPr>
          <w:p w14:paraId="3ED9D24A" w14:textId="1135068E" w:rsidR="00F06FE2" w:rsidRPr="00BA78B3" w:rsidRDefault="00F06FE2" w:rsidP="00BA78B3">
            <w:pPr>
              <w:pStyle w:val="naiskr"/>
              <w:jc w:val="both"/>
              <w:rPr>
                <w:sz w:val="26"/>
                <w:szCs w:val="26"/>
              </w:rPr>
            </w:pPr>
            <w:r w:rsidRPr="00BA78B3">
              <w:rPr>
                <w:sz w:val="26"/>
                <w:szCs w:val="26"/>
              </w:rPr>
              <w:t> </w:t>
            </w:r>
            <w:r w:rsidR="00BA78B3" w:rsidRPr="00BA78B3">
              <w:rPr>
                <w:sz w:val="26"/>
                <w:szCs w:val="26"/>
              </w:rPr>
              <w:t>Nav attiecināms.</w:t>
            </w:r>
          </w:p>
        </w:tc>
      </w:tr>
      <w:tr w:rsidR="00BA78B3" w:rsidRPr="00BA78B3" w14:paraId="7DEE6866" w14:textId="77777777" w:rsidTr="002A69C0">
        <w:trPr>
          <w:trHeight w:val="780"/>
          <w:tblCellSpacing w:w="0" w:type="dxa"/>
        </w:trPr>
        <w:tc>
          <w:tcPr>
            <w:tcW w:w="508" w:type="dxa"/>
            <w:tcBorders>
              <w:top w:val="outset" w:sz="6" w:space="0" w:color="auto"/>
              <w:left w:val="outset" w:sz="6" w:space="0" w:color="auto"/>
              <w:bottom w:val="outset" w:sz="6" w:space="0" w:color="auto"/>
              <w:right w:val="outset" w:sz="6" w:space="0" w:color="auto"/>
            </w:tcBorders>
          </w:tcPr>
          <w:p w14:paraId="57C41A4B" w14:textId="77777777" w:rsidR="00F06FE2" w:rsidRPr="00BA78B3" w:rsidRDefault="00F06FE2" w:rsidP="00BD4854">
            <w:pPr>
              <w:pStyle w:val="naiskr"/>
              <w:jc w:val="both"/>
              <w:rPr>
                <w:sz w:val="26"/>
                <w:szCs w:val="26"/>
              </w:rPr>
            </w:pPr>
            <w:r w:rsidRPr="00BA78B3">
              <w:rPr>
                <w:sz w:val="26"/>
                <w:szCs w:val="26"/>
              </w:rPr>
              <w:t> 4.</w:t>
            </w:r>
          </w:p>
        </w:tc>
        <w:tc>
          <w:tcPr>
            <w:tcW w:w="2342" w:type="dxa"/>
            <w:tcBorders>
              <w:top w:val="outset" w:sz="6" w:space="0" w:color="auto"/>
              <w:left w:val="outset" w:sz="6" w:space="0" w:color="auto"/>
              <w:bottom w:val="outset" w:sz="6" w:space="0" w:color="auto"/>
              <w:right w:val="outset" w:sz="6" w:space="0" w:color="auto"/>
            </w:tcBorders>
          </w:tcPr>
          <w:p w14:paraId="193182F2" w14:textId="77777777" w:rsidR="00F06FE2" w:rsidRPr="00BA78B3" w:rsidRDefault="00F06FE2" w:rsidP="004468E0">
            <w:pPr>
              <w:pStyle w:val="naiskr"/>
              <w:spacing w:before="0" w:beforeAutospacing="0" w:after="0" w:afterAutospacing="0"/>
              <w:jc w:val="both"/>
              <w:rPr>
                <w:sz w:val="26"/>
                <w:szCs w:val="26"/>
              </w:rPr>
            </w:pPr>
            <w:r w:rsidRPr="00BA78B3">
              <w:rPr>
                <w:sz w:val="26"/>
                <w:szCs w:val="26"/>
              </w:rPr>
              <w:t> Projekta izpildes ietekme uz pārvaldes institucionālo struktūru.</w:t>
            </w:r>
          </w:p>
          <w:p w14:paraId="1B792D45" w14:textId="77777777" w:rsidR="00F06FE2" w:rsidRPr="00BA78B3" w:rsidRDefault="00F06FE2" w:rsidP="004468E0">
            <w:pPr>
              <w:pStyle w:val="naiskr"/>
              <w:spacing w:before="0" w:beforeAutospacing="0" w:after="0" w:afterAutospacing="0"/>
              <w:jc w:val="both"/>
              <w:rPr>
                <w:sz w:val="26"/>
                <w:szCs w:val="26"/>
              </w:rPr>
            </w:pPr>
            <w:r w:rsidRPr="00BA78B3">
              <w:rPr>
                <w:sz w:val="26"/>
                <w:szCs w:val="26"/>
              </w:rPr>
              <w:t>Esošu institūciju likvidācija</w:t>
            </w:r>
          </w:p>
        </w:tc>
        <w:tc>
          <w:tcPr>
            <w:tcW w:w="6073" w:type="dxa"/>
            <w:tcBorders>
              <w:top w:val="outset" w:sz="6" w:space="0" w:color="auto"/>
              <w:left w:val="outset" w:sz="6" w:space="0" w:color="auto"/>
              <w:bottom w:val="outset" w:sz="6" w:space="0" w:color="auto"/>
              <w:right w:val="outset" w:sz="6" w:space="0" w:color="auto"/>
            </w:tcBorders>
          </w:tcPr>
          <w:p w14:paraId="12CA821E" w14:textId="41979F3E" w:rsidR="00F06FE2" w:rsidRPr="00BA78B3" w:rsidRDefault="00F06FE2" w:rsidP="00BD4854">
            <w:pPr>
              <w:pStyle w:val="naiskr"/>
              <w:jc w:val="both"/>
              <w:rPr>
                <w:sz w:val="26"/>
                <w:szCs w:val="26"/>
              </w:rPr>
            </w:pPr>
            <w:r w:rsidRPr="00BA78B3">
              <w:rPr>
                <w:sz w:val="26"/>
                <w:szCs w:val="26"/>
              </w:rPr>
              <w:t> </w:t>
            </w:r>
            <w:r w:rsidR="00BA78B3" w:rsidRPr="00BA78B3">
              <w:rPr>
                <w:sz w:val="26"/>
                <w:szCs w:val="26"/>
              </w:rPr>
              <w:t>Nav attiecināms.</w:t>
            </w:r>
          </w:p>
        </w:tc>
      </w:tr>
      <w:tr w:rsidR="00BA78B3" w:rsidRPr="00BA78B3" w14:paraId="1A0D400B" w14:textId="77777777" w:rsidTr="002A69C0">
        <w:trPr>
          <w:trHeight w:val="703"/>
          <w:tblCellSpacing w:w="0" w:type="dxa"/>
        </w:trPr>
        <w:tc>
          <w:tcPr>
            <w:tcW w:w="508" w:type="dxa"/>
            <w:tcBorders>
              <w:top w:val="outset" w:sz="6" w:space="0" w:color="auto"/>
              <w:left w:val="outset" w:sz="6" w:space="0" w:color="auto"/>
              <w:bottom w:val="outset" w:sz="6" w:space="0" w:color="auto"/>
              <w:right w:val="outset" w:sz="6" w:space="0" w:color="auto"/>
            </w:tcBorders>
          </w:tcPr>
          <w:p w14:paraId="3E281767" w14:textId="77777777" w:rsidR="00F06FE2" w:rsidRPr="00BA78B3" w:rsidRDefault="00F06FE2" w:rsidP="00BD4854">
            <w:pPr>
              <w:pStyle w:val="naiskr"/>
              <w:jc w:val="both"/>
              <w:rPr>
                <w:sz w:val="26"/>
                <w:szCs w:val="26"/>
              </w:rPr>
            </w:pPr>
            <w:r w:rsidRPr="00BA78B3">
              <w:rPr>
                <w:sz w:val="26"/>
                <w:szCs w:val="26"/>
              </w:rPr>
              <w:t> 5.</w:t>
            </w:r>
          </w:p>
        </w:tc>
        <w:tc>
          <w:tcPr>
            <w:tcW w:w="2342" w:type="dxa"/>
            <w:tcBorders>
              <w:top w:val="outset" w:sz="6" w:space="0" w:color="auto"/>
              <w:left w:val="outset" w:sz="6" w:space="0" w:color="auto"/>
              <w:bottom w:val="outset" w:sz="6" w:space="0" w:color="auto"/>
              <w:right w:val="outset" w:sz="6" w:space="0" w:color="auto"/>
            </w:tcBorders>
          </w:tcPr>
          <w:p w14:paraId="2316981F" w14:textId="77777777" w:rsidR="00F06FE2" w:rsidRPr="00BA78B3" w:rsidRDefault="00F06FE2" w:rsidP="004468E0">
            <w:pPr>
              <w:pStyle w:val="naiskr"/>
              <w:spacing w:before="0" w:beforeAutospacing="0" w:after="0" w:afterAutospacing="0"/>
              <w:jc w:val="both"/>
              <w:rPr>
                <w:sz w:val="26"/>
                <w:szCs w:val="26"/>
              </w:rPr>
            </w:pPr>
            <w:r w:rsidRPr="00BA78B3">
              <w:rPr>
                <w:sz w:val="26"/>
                <w:szCs w:val="26"/>
              </w:rPr>
              <w:t> Projekta izpildes ietekme uz pārvaldes institucionālo struktūru.</w:t>
            </w:r>
          </w:p>
          <w:p w14:paraId="34D69E9A" w14:textId="77777777" w:rsidR="00F06FE2" w:rsidRPr="00BA78B3" w:rsidRDefault="00F06FE2" w:rsidP="004468E0">
            <w:pPr>
              <w:pStyle w:val="naiskr"/>
              <w:spacing w:before="0" w:beforeAutospacing="0" w:after="0" w:afterAutospacing="0"/>
              <w:jc w:val="both"/>
              <w:rPr>
                <w:sz w:val="26"/>
                <w:szCs w:val="26"/>
              </w:rPr>
            </w:pPr>
            <w:r w:rsidRPr="00BA78B3">
              <w:rPr>
                <w:sz w:val="26"/>
                <w:szCs w:val="26"/>
              </w:rPr>
              <w:t>Esošu institūciju reorganizācija</w:t>
            </w:r>
          </w:p>
        </w:tc>
        <w:tc>
          <w:tcPr>
            <w:tcW w:w="6073" w:type="dxa"/>
            <w:tcBorders>
              <w:top w:val="outset" w:sz="6" w:space="0" w:color="auto"/>
              <w:left w:val="outset" w:sz="6" w:space="0" w:color="auto"/>
              <w:bottom w:val="outset" w:sz="6" w:space="0" w:color="auto"/>
              <w:right w:val="outset" w:sz="6" w:space="0" w:color="auto"/>
            </w:tcBorders>
          </w:tcPr>
          <w:p w14:paraId="288F3C69" w14:textId="14B14D68" w:rsidR="00F06FE2" w:rsidRPr="00BA78B3" w:rsidRDefault="00F06FE2" w:rsidP="00BD4854">
            <w:pPr>
              <w:pStyle w:val="naiskr"/>
              <w:jc w:val="both"/>
              <w:rPr>
                <w:sz w:val="26"/>
                <w:szCs w:val="26"/>
              </w:rPr>
            </w:pPr>
            <w:r w:rsidRPr="00BA78B3">
              <w:rPr>
                <w:sz w:val="26"/>
                <w:szCs w:val="26"/>
              </w:rPr>
              <w:t> </w:t>
            </w:r>
            <w:r w:rsidR="00BA78B3" w:rsidRPr="00BA78B3">
              <w:rPr>
                <w:sz w:val="26"/>
                <w:szCs w:val="26"/>
              </w:rPr>
              <w:t>Nav attiecināms.</w:t>
            </w:r>
          </w:p>
        </w:tc>
      </w:tr>
      <w:tr w:rsidR="00BA78B3" w:rsidRPr="00BA78B3" w14:paraId="6A909746" w14:textId="77777777" w:rsidTr="002A69C0">
        <w:trPr>
          <w:trHeight w:val="476"/>
          <w:tblCellSpacing w:w="0" w:type="dxa"/>
        </w:trPr>
        <w:tc>
          <w:tcPr>
            <w:tcW w:w="508" w:type="dxa"/>
            <w:tcBorders>
              <w:top w:val="outset" w:sz="6" w:space="0" w:color="auto"/>
              <w:left w:val="outset" w:sz="6" w:space="0" w:color="auto"/>
              <w:bottom w:val="outset" w:sz="6" w:space="0" w:color="auto"/>
              <w:right w:val="outset" w:sz="6" w:space="0" w:color="auto"/>
            </w:tcBorders>
          </w:tcPr>
          <w:p w14:paraId="095EACCF" w14:textId="77777777" w:rsidR="00F06FE2" w:rsidRPr="00BA78B3" w:rsidRDefault="00F06FE2" w:rsidP="004468E0">
            <w:pPr>
              <w:pStyle w:val="naiskr"/>
              <w:spacing w:before="0" w:beforeAutospacing="0" w:after="0" w:afterAutospacing="0"/>
              <w:jc w:val="both"/>
              <w:rPr>
                <w:sz w:val="26"/>
                <w:szCs w:val="26"/>
              </w:rPr>
            </w:pPr>
            <w:r w:rsidRPr="00BA78B3">
              <w:rPr>
                <w:sz w:val="26"/>
                <w:szCs w:val="26"/>
              </w:rPr>
              <w:t> 6.</w:t>
            </w:r>
          </w:p>
        </w:tc>
        <w:tc>
          <w:tcPr>
            <w:tcW w:w="2342" w:type="dxa"/>
            <w:tcBorders>
              <w:top w:val="outset" w:sz="6" w:space="0" w:color="auto"/>
              <w:left w:val="outset" w:sz="6" w:space="0" w:color="auto"/>
              <w:bottom w:val="outset" w:sz="6" w:space="0" w:color="auto"/>
              <w:right w:val="outset" w:sz="6" w:space="0" w:color="auto"/>
            </w:tcBorders>
          </w:tcPr>
          <w:p w14:paraId="10182744" w14:textId="77777777" w:rsidR="00F06FE2" w:rsidRPr="00BA78B3" w:rsidRDefault="00F06FE2" w:rsidP="004468E0">
            <w:pPr>
              <w:pStyle w:val="naiskr"/>
              <w:spacing w:before="0" w:beforeAutospacing="0" w:after="0" w:afterAutospacing="0"/>
              <w:jc w:val="both"/>
              <w:rPr>
                <w:sz w:val="26"/>
                <w:szCs w:val="26"/>
              </w:rPr>
            </w:pPr>
            <w:r w:rsidRPr="00BA78B3">
              <w:rPr>
                <w:sz w:val="26"/>
                <w:szCs w:val="26"/>
              </w:rPr>
              <w:t> Cita informācija</w:t>
            </w:r>
          </w:p>
        </w:tc>
        <w:tc>
          <w:tcPr>
            <w:tcW w:w="6073" w:type="dxa"/>
            <w:tcBorders>
              <w:top w:val="outset" w:sz="6" w:space="0" w:color="auto"/>
              <w:left w:val="outset" w:sz="6" w:space="0" w:color="auto"/>
              <w:bottom w:val="outset" w:sz="6" w:space="0" w:color="auto"/>
              <w:right w:val="outset" w:sz="6" w:space="0" w:color="auto"/>
            </w:tcBorders>
          </w:tcPr>
          <w:p w14:paraId="09A719AC" w14:textId="77777777" w:rsidR="00F06FE2" w:rsidRPr="00BA78B3" w:rsidRDefault="00F06FE2" w:rsidP="004468E0">
            <w:pPr>
              <w:pStyle w:val="naiskr"/>
              <w:spacing w:before="0" w:beforeAutospacing="0" w:after="0" w:afterAutospacing="0"/>
              <w:jc w:val="both"/>
              <w:rPr>
                <w:sz w:val="26"/>
                <w:szCs w:val="26"/>
              </w:rPr>
            </w:pPr>
            <w:r w:rsidRPr="00BA78B3">
              <w:rPr>
                <w:sz w:val="26"/>
                <w:szCs w:val="26"/>
              </w:rPr>
              <w:t> Nav.</w:t>
            </w:r>
          </w:p>
        </w:tc>
      </w:tr>
    </w:tbl>
    <w:p w14:paraId="480856AF" w14:textId="77777777" w:rsidR="00F06FE2" w:rsidRPr="007B4B24" w:rsidRDefault="00F06FE2" w:rsidP="00F06FE2">
      <w:pPr>
        <w:jc w:val="both"/>
        <w:rPr>
          <w:sz w:val="26"/>
          <w:szCs w:val="26"/>
          <w:lang w:val="lv-LV"/>
        </w:rPr>
      </w:pPr>
    </w:p>
    <w:p w14:paraId="02F253E4" w14:textId="77777777" w:rsidR="00F06FE2" w:rsidRDefault="00F06FE2" w:rsidP="00F06FE2">
      <w:pPr>
        <w:jc w:val="both"/>
        <w:rPr>
          <w:sz w:val="26"/>
          <w:szCs w:val="26"/>
          <w:lang w:val="lv-LV"/>
        </w:rPr>
      </w:pPr>
    </w:p>
    <w:p w14:paraId="4FF00C50" w14:textId="77777777" w:rsidR="00AF33FD" w:rsidRPr="007B4B24" w:rsidRDefault="00AF33FD" w:rsidP="00F06FE2">
      <w:pPr>
        <w:jc w:val="both"/>
        <w:rPr>
          <w:sz w:val="26"/>
          <w:szCs w:val="26"/>
          <w:lang w:val="lv-LV"/>
        </w:rPr>
      </w:pPr>
    </w:p>
    <w:p w14:paraId="787B5811" w14:textId="427E8719" w:rsidR="00105A03" w:rsidRPr="007B4B24" w:rsidRDefault="001B7E90" w:rsidP="00DB7827">
      <w:pPr>
        <w:pStyle w:val="naisf"/>
        <w:spacing w:before="0" w:after="0"/>
        <w:rPr>
          <w:sz w:val="26"/>
          <w:szCs w:val="26"/>
        </w:rPr>
      </w:pPr>
      <w:r>
        <w:rPr>
          <w:sz w:val="26"/>
          <w:szCs w:val="26"/>
        </w:rPr>
        <w:tab/>
      </w:r>
      <w:r w:rsidRPr="001B7E90">
        <w:rPr>
          <w:sz w:val="26"/>
          <w:szCs w:val="26"/>
        </w:rPr>
        <w:t>Finanšu ministr</w:t>
      </w:r>
      <w:r w:rsidR="00DB7827">
        <w:rPr>
          <w:sz w:val="26"/>
          <w:szCs w:val="26"/>
        </w:rPr>
        <w:t>s</w:t>
      </w:r>
      <w:r w:rsidRPr="001B7E90">
        <w:rPr>
          <w:sz w:val="26"/>
          <w:szCs w:val="26"/>
        </w:rPr>
        <w:tab/>
      </w:r>
      <w:r w:rsidRPr="001B7E90">
        <w:rPr>
          <w:sz w:val="26"/>
          <w:szCs w:val="26"/>
        </w:rPr>
        <w:tab/>
      </w:r>
      <w:r w:rsidRPr="001B7E90">
        <w:rPr>
          <w:sz w:val="26"/>
          <w:szCs w:val="26"/>
        </w:rPr>
        <w:tab/>
      </w:r>
      <w:r w:rsidRPr="001B7E90">
        <w:rPr>
          <w:sz w:val="26"/>
          <w:szCs w:val="26"/>
        </w:rPr>
        <w:tab/>
      </w:r>
      <w:r w:rsidRPr="001B7E90">
        <w:rPr>
          <w:sz w:val="26"/>
          <w:szCs w:val="26"/>
        </w:rPr>
        <w:tab/>
      </w:r>
      <w:r w:rsidRPr="001B7E90">
        <w:rPr>
          <w:sz w:val="26"/>
          <w:szCs w:val="26"/>
        </w:rPr>
        <w:tab/>
        <w:t>A.</w:t>
      </w:r>
      <w:r w:rsidR="00DB7827">
        <w:rPr>
          <w:sz w:val="26"/>
          <w:szCs w:val="26"/>
        </w:rPr>
        <w:t>Vil</w:t>
      </w:r>
      <w:r w:rsidRPr="001B7E90">
        <w:rPr>
          <w:sz w:val="26"/>
          <w:szCs w:val="26"/>
        </w:rPr>
        <w:t>ks</w:t>
      </w:r>
    </w:p>
    <w:p w14:paraId="75BB983B" w14:textId="77777777" w:rsidR="00CF0637" w:rsidRPr="007B4B24" w:rsidRDefault="00CF0637" w:rsidP="00F06FE2">
      <w:pPr>
        <w:jc w:val="both"/>
        <w:rPr>
          <w:sz w:val="26"/>
          <w:szCs w:val="26"/>
          <w:lang w:val="lv-LV"/>
        </w:rPr>
      </w:pPr>
    </w:p>
    <w:p w14:paraId="38CBFFC0" w14:textId="77777777" w:rsidR="00CF0637" w:rsidRDefault="00CF0637" w:rsidP="00F06FE2">
      <w:pPr>
        <w:jc w:val="both"/>
        <w:rPr>
          <w:sz w:val="26"/>
          <w:szCs w:val="26"/>
          <w:lang w:val="lv-LV"/>
        </w:rPr>
      </w:pPr>
    </w:p>
    <w:p w14:paraId="35366752" w14:textId="77777777" w:rsidR="001B7E90" w:rsidRDefault="001B7E90" w:rsidP="00F06FE2">
      <w:pPr>
        <w:jc w:val="both"/>
        <w:rPr>
          <w:sz w:val="26"/>
          <w:szCs w:val="26"/>
          <w:lang w:val="lv-LV"/>
        </w:rPr>
      </w:pPr>
    </w:p>
    <w:p w14:paraId="03269321" w14:textId="77777777" w:rsidR="001B7E90" w:rsidRDefault="001B7E90" w:rsidP="00F06FE2">
      <w:pPr>
        <w:jc w:val="both"/>
        <w:rPr>
          <w:sz w:val="26"/>
          <w:szCs w:val="26"/>
          <w:lang w:val="lv-LV"/>
        </w:rPr>
      </w:pPr>
    </w:p>
    <w:p w14:paraId="407A7C18" w14:textId="77777777" w:rsidR="00D41347" w:rsidRPr="005D3C7D" w:rsidRDefault="00D41347" w:rsidP="00D41347">
      <w:pPr>
        <w:pStyle w:val="BodyTextIndent"/>
        <w:spacing w:after="0"/>
        <w:ind w:left="0"/>
        <w:rPr>
          <w:noProof/>
          <w:sz w:val="18"/>
          <w:szCs w:val="18"/>
        </w:rPr>
      </w:pPr>
      <w:r w:rsidRPr="005D3C7D">
        <w:rPr>
          <w:noProof/>
          <w:sz w:val="18"/>
          <w:szCs w:val="18"/>
        </w:rPr>
        <w:fldChar w:fldCharType="begin"/>
      </w:r>
      <w:r w:rsidRPr="005D3C7D">
        <w:rPr>
          <w:noProof/>
          <w:sz w:val="18"/>
          <w:szCs w:val="18"/>
        </w:rPr>
        <w:instrText xml:space="preserve"> TIME \@ "dd.MM.yyyy HH:mm" </w:instrText>
      </w:r>
      <w:r w:rsidRPr="005D3C7D">
        <w:rPr>
          <w:noProof/>
          <w:sz w:val="18"/>
          <w:szCs w:val="18"/>
        </w:rPr>
        <w:fldChar w:fldCharType="separate"/>
      </w:r>
      <w:r w:rsidR="00535C4B">
        <w:rPr>
          <w:noProof/>
          <w:sz w:val="18"/>
          <w:szCs w:val="18"/>
        </w:rPr>
        <w:t>13.12.2013 11:23</w:t>
      </w:r>
      <w:r w:rsidRPr="005D3C7D">
        <w:rPr>
          <w:noProof/>
          <w:sz w:val="18"/>
          <w:szCs w:val="18"/>
        </w:rPr>
        <w:fldChar w:fldCharType="end"/>
      </w:r>
    </w:p>
    <w:p w14:paraId="6FB128CC" w14:textId="77777777" w:rsidR="00D41347" w:rsidRDefault="00D41347" w:rsidP="00D41347">
      <w:pPr>
        <w:jc w:val="both"/>
        <w:rPr>
          <w:sz w:val="18"/>
          <w:szCs w:val="18"/>
        </w:rPr>
      </w:pPr>
      <w:r w:rsidRPr="005D3C7D">
        <w:rPr>
          <w:sz w:val="18"/>
          <w:szCs w:val="18"/>
        </w:rPr>
        <w:fldChar w:fldCharType="begin"/>
      </w:r>
      <w:r w:rsidRPr="005D3C7D">
        <w:rPr>
          <w:sz w:val="18"/>
          <w:szCs w:val="18"/>
        </w:rPr>
        <w:instrText xml:space="preserve"> NUMWORDS   \* MERGEFORMAT </w:instrText>
      </w:r>
      <w:r w:rsidRPr="005D3C7D">
        <w:rPr>
          <w:sz w:val="18"/>
          <w:szCs w:val="18"/>
        </w:rPr>
        <w:fldChar w:fldCharType="separate"/>
      </w:r>
      <w:r w:rsidR="00312490">
        <w:rPr>
          <w:noProof/>
          <w:sz w:val="18"/>
          <w:szCs w:val="18"/>
        </w:rPr>
        <w:t>1559</w:t>
      </w:r>
      <w:r w:rsidRPr="005D3C7D">
        <w:rPr>
          <w:sz w:val="18"/>
          <w:szCs w:val="18"/>
        </w:rPr>
        <w:fldChar w:fldCharType="end"/>
      </w:r>
    </w:p>
    <w:p w14:paraId="5A9A4DE2" w14:textId="7A76FBE3" w:rsidR="00572697" w:rsidRPr="00572697" w:rsidRDefault="00572697" w:rsidP="00D41347">
      <w:pPr>
        <w:jc w:val="both"/>
        <w:rPr>
          <w:sz w:val="20"/>
          <w:szCs w:val="20"/>
          <w:lang w:val="lv-LV"/>
        </w:rPr>
      </w:pPr>
      <w:r w:rsidRPr="00572697">
        <w:rPr>
          <w:sz w:val="20"/>
          <w:szCs w:val="20"/>
          <w:lang w:val="lv-LV"/>
        </w:rPr>
        <w:t>Sanita Maļina</w:t>
      </w:r>
    </w:p>
    <w:p w14:paraId="6CAAC1E0" w14:textId="77777777" w:rsidR="00572697" w:rsidRPr="00572697" w:rsidRDefault="00572697" w:rsidP="00572697">
      <w:pPr>
        <w:jc w:val="both"/>
        <w:rPr>
          <w:sz w:val="20"/>
          <w:szCs w:val="20"/>
          <w:lang w:val="lv-LV"/>
        </w:rPr>
      </w:pPr>
      <w:r w:rsidRPr="00572697">
        <w:rPr>
          <w:sz w:val="20"/>
          <w:szCs w:val="20"/>
          <w:lang w:val="lv-LV"/>
        </w:rPr>
        <w:t>Valsts kases</w:t>
      </w:r>
    </w:p>
    <w:p w14:paraId="6DDC98FF" w14:textId="77777777" w:rsidR="00572697" w:rsidRPr="00572697" w:rsidRDefault="00572697" w:rsidP="00572697">
      <w:pPr>
        <w:jc w:val="both"/>
        <w:rPr>
          <w:sz w:val="20"/>
          <w:szCs w:val="20"/>
          <w:lang w:val="lv-LV"/>
        </w:rPr>
      </w:pPr>
      <w:r w:rsidRPr="00572697">
        <w:rPr>
          <w:sz w:val="20"/>
          <w:szCs w:val="20"/>
          <w:lang w:val="lv-LV"/>
        </w:rPr>
        <w:t xml:space="preserve">Prognozēšanas un finanšu plānošanas departamenta </w:t>
      </w:r>
    </w:p>
    <w:p w14:paraId="42E65AC2" w14:textId="77777777" w:rsidR="00572697" w:rsidRPr="00572697" w:rsidRDefault="00572697" w:rsidP="00572697">
      <w:pPr>
        <w:jc w:val="both"/>
        <w:rPr>
          <w:sz w:val="20"/>
          <w:szCs w:val="20"/>
          <w:lang w:val="lv-LV"/>
        </w:rPr>
      </w:pPr>
      <w:r w:rsidRPr="00572697">
        <w:rPr>
          <w:sz w:val="20"/>
          <w:szCs w:val="20"/>
          <w:lang w:val="lv-LV"/>
        </w:rPr>
        <w:t>vecākā eksperte</w:t>
      </w:r>
    </w:p>
    <w:p w14:paraId="1A34A284" w14:textId="77777777" w:rsidR="00572697" w:rsidRPr="00572697" w:rsidRDefault="00572697" w:rsidP="00572697">
      <w:pPr>
        <w:jc w:val="both"/>
        <w:rPr>
          <w:sz w:val="20"/>
          <w:szCs w:val="20"/>
          <w:lang w:val="lv-LV"/>
        </w:rPr>
      </w:pPr>
      <w:proofErr w:type="spellStart"/>
      <w:r w:rsidRPr="00572697">
        <w:rPr>
          <w:sz w:val="20"/>
          <w:szCs w:val="20"/>
          <w:lang w:val="lv-LV"/>
        </w:rPr>
        <w:t>tālr</w:t>
      </w:r>
      <w:proofErr w:type="spellEnd"/>
      <w:r w:rsidRPr="00572697">
        <w:rPr>
          <w:sz w:val="20"/>
          <w:szCs w:val="20"/>
          <w:lang w:val="lv-LV"/>
        </w:rPr>
        <w:t>.: 67094243</w:t>
      </w:r>
    </w:p>
    <w:p w14:paraId="704B53DA" w14:textId="77777777" w:rsidR="00572697" w:rsidRPr="00572697" w:rsidRDefault="00572697" w:rsidP="00572697">
      <w:pPr>
        <w:jc w:val="both"/>
        <w:rPr>
          <w:sz w:val="20"/>
          <w:szCs w:val="20"/>
          <w:lang w:val="lv-LV"/>
        </w:rPr>
      </w:pPr>
      <w:r w:rsidRPr="00572697">
        <w:rPr>
          <w:sz w:val="20"/>
          <w:szCs w:val="20"/>
          <w:lang w:val="lv-LV"/>
        </w:rPr>
        <w:t>fakss: 67094220</w:t>
      </w:r>
    </w:p>
    <w:p w14:paraId="579743B1" w14:textId="3820E8A4" w:rsidR="00F06FE2" w:rsidRDefault="00572697" w:rsidP="00572697">
      <w:pPr>
        <w:jc w:val="both"/>
        <w:rPr>
          <w:sz w:val="20"/>
          <w:szCs w:val="20"/>
          <w:lang w:val="lv-LV"/>
        </w:rPr>
      </w:pPr>
      <w:r w:rsidRPr="00572697">
        <w:rPr>
          <w:sz w:val="20"/>
          <w:szCs w:val="20"/>
          <w:lang w:val="lv-LV"/>
        </w:rPr>
        <w:t xml:space="preserve">e-pasts: </w:t>
      </w:r>
      <w:hyperlink r:id="rId9" w:history="1">
        <w:r w:rsidRPr="00633F84">
          <w:rPr>
            <w:rStyle w:val="Hyperlink"/>
            <w:sz w:val="20"/>
            <w:szCs w:val="20"/>
            <w:lang w:val="lv-LV"/>
          </w:rPr>
          <w:t>Sanita.Malina@kase.gov.lv</w:t>
        </w:r>
      </w:hyperlink>
    </w:p>
    <w:p w14:paraId="7658269C" w14:textId="77777777" w:rsidR="00572697" w:rsidRPr="001B7E90" w:rsidRDefault="00572697" w:rsidP="00572697">
      <w:pPr>
        <w:jc w:val="both"/>
        <w:rPr>
          <w:sz w:val="20"/>
          <w:szCs w:val="20"/>
          <w:lang w:val="lv-LV"/>
        </w:rPr>
      </w:pPr>
    </w:p>
    <w:sectPr w:rsidR="00572697" w:rsidRPr="001B7E90" w:rsidSect="00165AB9">
      <w:headerReference w:type="even" r:id="rId10"/>
      <w:headerReference w:type="default" r:id="rId11"/>
      <w:footerReference w:type="default" r:id="rId12"/>
      <w:footerReference w:type="first" r:id="rId13"/>
      <w:pgSz w:w="11906" w:h="16838" w:code="9"/>
      <w:pgMar w:top="1077" w:right="1133" w:bottom="1134" w:left="1701" w:header="709"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B3F95" w14:textId="77777777" w:rsidR="00106E83" w:rsidRDefault="00106E83" w:rsidP="00316778">
      <w:r>
        <w:separator/>
      </w:r>
    </w:p>
  </w:endnote>
  <w:endnote w:type="continuationSeparator" w:id="0">
    <w:p w14:paraId="3ACE2E48" w14:textId="77777777" w:rsidR="00106E83" w:rsidRDefault="00106E83" w:rsidP="0031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20000287" w:usb1="00000000" w:usb2="00000000" w:usb3="00000000" w:csb0="0000019F" w:csb1="00000000"/>
  </w:font>
  <w:font w:name="Segoe UI">
    <w:panose1 w:val="020B0502040204020203"/>
    <w:charset w:val="BA"/>
    <w:family w:val="swiss"/>
    <w:pitch w:val="variable"/>
    <w:sig w:usb0="E00022FF" w:usb1="C000205B" w:usb2="00000009" w:usb3="00000000" w:csb0="000001D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31F84" w14:textId="12078245" w:rsidR="00AC700D" w:rsidRPr="007B4B24" w:rsidRDefault="00FE74FB" w:rsidP="00753601">
    <w:pPr>
      <w:rPr>
        <w:sz w:val="22"/>
        <w:szCs w:val="22"/>
      </w:rPr>
    </w:pPr>
    <w:r w:rsidRPr="007B4B24">
      <w:rPr>
        <w:sz w:val="22"/>
        <w:szCs w:val="22"/>
        <w:lang w:val="lv-LV"/>
      </w:rPr>
      <w:t>FMAnot_</w:t>
    </w:r>
    <w:r w:rsidR="007B4B24" w:rsidRPr="007B4B24">
      <w:rPr>
        <w:sz w:val="22"/>
        <w:szCs w:val="22"/>
        <w:lang w:val="lv-LV"/>
      </w:rPr>
      <w:t>1</w:t>
    </w:r>
    <w:r w:rsidR="00165AB9">
      <w:rPr>
        <w:sz w:val="22"/>
        <w:szCs w:val="22"/>
        <w:lang w:val="lv-LV"/>
      </w:rPr>
      <w:t>3</w:t>
    </w:r>
    <w:r w:rsidR="007B4B24" w:rsidRPr="007B4B24">
      <w:rPr>
        <w:sz w:val="22"/>
        <w:szCs w:val="22"/>
        <w:lang w:val="lv-LV"/>
      </w:rPr>
      <w:t>1</w:t>
    </w:r>
    <w:r w:rsidR="00165AB9">
      <w:rPr>
        <w:sz w:val="22"/>
        <w:szCs w:val="22"/>
        <w:lang w:val="lv-LV"/>
      </w:rPr>
      <w:t>2</w:t>
    </w:r>
    <w:r w:rsidR="007B4B24" w:rsidRPr="007B4B24">
      <w:rPr>
        <w:sz w:val="22"/>
        <w:szCs w:val="22"/>
        <w:lang w:val="lv-LV"/>
      </w:rPr>
      <w:t>2013</w:t>
    </w:r>
    <w:r w:rsidRPr="007B4B24">
      <w:rPr>
        <w:sz w:val="22"/>
        <w:szCs w:val="22"/>
        <w:lang w:val="lv-LV"/>
      </w:rPr>
      <w:t xml:space="preserve">; </w:t>
    </w:r>
    <w:r w:rsidR="00165AB9" w:rsidRPr="00165AB9">
      <w:rPr>
        <w:sz w:val="22"/>
        <w:szCs w:val="22"/>
        <w:lang w:val="lv-LV"/>
      </w:rPr>
      <w:t>Rīkojuma projekta „Par Valsts kases amatpersonu (darbinieku) motivēšanu un apropriācijas pārdalei novirzāmo finansējuma apjomu”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DC0AB" w14:textId="784F45B0" w:rsidR="00AC700D" w:rsidRPr="00D41C45" w:rsidRDefault="00DA1E51" w:rsidP="00014D26">
    <w:pPr>
      <w:pStyle w:val="Footer"/>
      <w:jc w:val="both"/>
      <w:rPr>
        <w:sz w:val="22"/>
        <w:szCs w:val="22"/>
        <w:lang w:val="lv-LV"/>
      </w:rPr>
    </w:pPr>
    <w:r w:rsidRPr="00DA1E51">
      <w:rPr>
        <w:sz w:val="22"/>
        <w:szCs w:val="22"/>
        <w:lang w:val="lv-LV"/>
      </w:rPr>
      <w:t>FMAnot_1</w:t>
    </w:r>
    <w:r w:rsidR="00165AB9">
      <w:rPr>
        <w:sz w:val="22"/>
        <w:szCs w:val="22"/>
        <w:lang w:val="lv-LV"/>
      </w:rPr>
      <w:t>312</w:t>
    </w:r>
    <w:r w:rsidRPr="00DA1E51">
      <w:rPr>
        <w:sz w:val="22"/>
        <w:szCs w:val="22"/>
        <w:lang w:val="lv-LV"/>
      </w:rPr>
      <w:t>2013</w:t>
    </w:r>
    <w:r w:rsidR="00FE74FB">
      <w:rPr>
        <w:sz w:val="22"/>
        <w:szCs w:val="22"/>
        <w:lang w:val="lv-LV"/>
      </w:rPr>
      <w:t xml:space="preserve">; </w:t>
    </w:r>
    <w:r w:rsidR="00165AB9" w:rsidRPr="00165AB9">
      <w:rPr>
        <w:sz w:val="22"/>
        <w:szCs w:val="22"/>
        <w:lang w:val="lv-LV"/>
      </w:rPr>
      <w:t>Rīkojuma projekta „Par Valsts kases amatpersonu (darbinieku) motivēšanu un apropriācijas pārdalei novirzāmo finansējuma apjomu”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2CA40" w14:textId="77777777" w:rsidR="00106E83" w:rsidRDefault="00106E83" w:rsidP="00316778">
      <w:r>
        <w:separator/>
      </w:r>
    </w:p>
  </w:footnote>
  <w:footnote w:type="continuationSeparator" w:id="0">
    <w:p w14:paraId="642BF771" w14:textId="77777777" w:rsidR="00106E83" w:rsidRDefault="00106E83" w:rsidP="00316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970B0" w14:textId="77777777" w:rsidR="00AC700D" w:rsidRDefault="00FE74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F5032E" w14:textId="77777777" w:rsidR="00AC700D" w:rsidRDefault="00535C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F3E0E" w14:textId="77777777" w:rsidR="00AC700D" w:rsidRPr="00D41C45" w:rsidRDefault="00FE74FB">
    <w:pPr>
      <w:pStyle w:val="Header"/>
      <w:framePr w:wrap="around" w:vAnchor="text" w:hAnchor="margin" w:xAlign="center" w:y="1"/>
      <w:rPr>
        <w:rStyle w:val="PageNumber"/>
        <w:sz w:val="22"/>
        <w:szCs w:val="22"/>
      </w:rPr>
    </w:pPr>
    <w:r w:rsidRPr="00D41C45">
      <w:rPr>
        <w:rStyle w:val="PageNumber"/>
        <w:sz w:val="22"/>
        <w:szCs w:val="22"/>
      </w:rPr>
      <w:fldChar w:fldCharType="begin"/>
    </w:r>
    <w:r w:rsidRPr="00D41C45">
      <w:rPr>
        <w:rStyle w:val="PageNumber"/>
        <w:sz w:val="22"/>
        <w:szCs w:val="22"/>
      </w:rPr>
      <w:instrText xml:space="preserve">PAGE  </w:instrText>
    </w:r>
    <w:r w:rsidRPr="00D41C45">
      <w:rPr>
        <w:rStyle w:val="PageNumber"/>
        <w:sz w:val="22"/>
        <w:szCs w:val="22"/>
      </w:rPr>
      <w:fldChar w:fldCharType="separate"/>
    </w:r>
    <w:r w:rsidR="00535C4B">
      <w:rPr>
        <w:rStyle w:val="PageNumber"/>
        <w:noProof/>
        <w:sz w:val="22"/>
        <w:szCs w:val="22"/>
      </w:rPr>
      <w:t>1</w:t>
    </w:r>
    <w:r w:rsidRPr="00D41C45">
      <w:rPr>
        <w:rStyle w:val="PageNumber"/>
        <w:sz w:val="22"/>
        <w:szCs w:val="22"/>
      </w:rPr>
      <w:fldChar w:fldCharType="end"/>
    </w:r>
  </w:p>
  <w:p w14:paraId="1BAC793A" w14:textId="77777777" w:rsidR="00AC700D" w:rsidRDefault="00535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091B"/>
    <w:multiLevelType w:val="hybridMultilevel"/>
    <w:tmpl w:val="BADC1968"/>
    <w:lvl w:ilvl="0" w:tplc="F8CA25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464736E"/>
    <w:multiLevelType w:val="hybridMultilevel"/>
    <w:tmpl w:val="0ACA34A6"/>
    <w:lvl w:ilvl="0" w:tplc="BC300998">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35D44903"/>
    <w:multiLevelType w:val="hybridMultilevel"/>
    <w:tmpl w:val="C87E0580"/>
    <w:lvl w:ilvl="0" w:tplc="B026534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8EC6F7E"/>
    <w:multiLevelType w:val="hybridMultilevel"/>
    <w:tmpl w:val="1F80C5E0"/>
    <w:lvl w:ilvl="0" w:tplc="925656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E1A0873"/>
    <w:multiLevelType w:val="hybridMultilevel"/>
    <w:tmpl w:val="5A0870B0"/>
    <w:lvl w:ilvl="0" w:tplc="F21484BA">
      <w:start w:val="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nsid w:val="50546007"/>
    <w:multiLevelType w:val="hybridMultilevel"/>
    <w:tmpl w:val="6DC808BE"/>
    <w:lvl w:ilvl="0" w:tplc="A926A37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7F43BEA"/>
    <w:multiLevelType w:val="hybridMultilevel"/>
    <w:tmpl w:val="014C081A"/>
    <w:lvl w:ilvl="0" w:tplc="4EFC962E">
      <w:start w:val="2"/>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0B773CA"/>
    <w:multiLevelType w:val="hybridMultilevel"/>
    <w:tmpl w:val="4E64E9FA"/>
    <w:lvl w:ilvl="0" w:tplc="15BACDB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74BC27CE"/>
    <w:multiLevelType w:val="hybridMultilevel"/>
    <w:tmpl w:val="77A22380"/>
    <w:lvl w:ilvl="0" w:tplc="8F180A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78EE0C87"/>
    <w:multiLevelType w:val="hybridMultilevel"/>
    <w:tmpl w:val="0ACA34A6"/>
    <w:lvl w:ilvl="0" w:tplc="BC300998">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793E20E7"/>
    <w:multiLevelType w:val="hybridMultilevel"/>
    <w:tmpl w:val="E102A41E"/>
    <w:lvl w:ilvl="0" w:tplc="4230A8F8">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9C96E09"/>
    <w:multiLevelType w:val="hybridMultilevel"/>
    <w:tmpl w:val="5678AA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6"/>
  </w:num>
  <w:num w:numId="5">
    <w:abstractNumId w:val="11"/>
  </w:num>
  <w:num w:numId="6">
    <w:abstractNumId w:val="8"/>
  </w:num>
  <w:num w:numId="7">
    <w:abstractNumId w:val="7"/>
  </w:num>
  <w:num w:numId="8">
    <w:abstractNumId w:val="0"/>
  </w:num>
  <w:num w:numId="9">
    <w:abstractNumId w:val="3"/>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6FE2"/>
    <w:rsid w:val="00015333"/>
    <w:rsid w:val="00040611"/>
    <w:rsid w:val="000522D9"/>
    <w:rsid w:val="00063CA2"/>
    <w:rsid w:val="00075847"/>
    <w:rsid w:val="00076684"/>
    <w:rsid w:val="000802F8"/>
    <w:rsid w:val="00092F82"/>
    <w:rsid w:val="000A5C48"/>
    <w:rsid w:val="000B1E5D"/>
    <w:rsid w:val="000B61F4"/>
    <w:rsid w:val="000C16F3"/>
    <w:rsid w:val="000C683C"/>
    <w:rsid w:val="000E50B5"/>
    <w:rsid w:val="000F26EF"/>
    <w:rsid w:val="00105A03"/>
    <w:rsid w:val="00106E83"/>
    <w:rsid w:val="001609C3"/>
    <w:rsid w:val="0016229D"/>
    <w:rsid w:val="0016582E"/>
    <w:rsid w:val="00165AB9"/>
    <w:rsid w:val="00176F97"/>
    <w:rsid w:val="001B4906"/>
    <w:rsid w:val="001B7E90"/>
    <w:rsid w:val="001C4F03"/>
    <w:rsid w:val="001E3326"/>
    <w:rsid w:val="001F4A6D"/>
    <w:rsid w:val="00256A9B"/>
    <w:rsid w:val="002615E6"/>
    <w:rsid w:val="00266D0E"/>
    <w:rsid w:val="002709B7"/>
    <w:rsid w:val="00276E0F"/>
    <w:rsid w:val="00282510"/>
    <w:rsid w:val="00284AE7"/>
    <w:rsid w:val="00286BAE"/>
    <w:rsid w:val="00291FC8"/>
    <w:rsid w:val="00292AA0"/>
    <w:rsid w:val="002A018F"/>
    <w:rsid w:val="002A69C0"/>
    <w:rsid w:val="002B48A4"/>
    <w:rsid w:val="002D4DD5"/>
    <w:rsid w:val="00312490"/>
    <w:rsid w:val="00316778"/>
    <w:rsid w:val="00333A7C"/>
    <w:rsid w:val="00340B49"/>
    <w:rsid w:val="00352B1C"/>
    <w:rsid w:val="00373DEE"/>
    <w:rsid w:val="003C5112"/>
    <w:rsid w:val="003C7861"/>
    <w:rsid w:val="004370AF"/>
    <w:rsid w:val="004468E0"/>
    <w:rsid w:val="0046583B"/>
    <w:rsid w:val="00470E0B"/>
    <w:rsid w:val="004C4843"/>
    <w:rsid w:val="004D4909"/>
    <w:rsid w:val="004D56C4"/>
    <w:rsid w:val="00504AE2"/>
    <w:rsid w:val="00535C4B"/>
    <w:rsid w:val="00551107"/>
    <w:rsid w:val="005628E4"/>
    <w:rsid w:val="00572697"/>
    <w:rsid w:val="005820AB"/>
    <w:rsid w:val="005D3C1F"/>
    <w:rsid w:val="005F7F8E"/>
    <w:rsid w:val="00613808"/>
    <w:rsid w:val="00616BD2"/>
    <w:rsid w:val="006179D1"/>
    <w:rsid w:val="00625B52"/>
    <w:rsid w:val="00625D3E"/>
    <w:rsid w:val="00657553"/>
    <w:rsid w:val="006D7A8E"/>
    <w:rsid w:val="00744E45"/>
    <w:rsid w:val="00744F74"/>
    <w:rsid w:val="0075495B"/>
    <w:rsid w:val="00756377"/>
    <w:rsid w:val="00773BF4"/>
    <w:rsid w:val="007807B2"/>
    <w:rsid w:val="00790073"/>
    <w:rsid w:val="007A03A4"/>
    <w:rsid w:val="007B4B24"/>
    <w:rsid w:val="007D2E9A"/>
    <w:rsid w:val="008014B4"/>
    <w:rsid w:val="00817B62"/>
    <w:rsid w:val="0084552C"/>
    <w:rsid w:val="008455E6"/>
    <w:rsid w:val="00850E87"/>
    <w:rsid w:val="00860635"/>
    <w:rsid w:val="00871B83"/>
    <w:rsid w:val="008907C0"/>
    <w:rsid w:val="008A4117"/>
    <w:rsid w:val="008A79C9"/>
    <w:rsid w:val="008C4F15"/>
    <w:rsid w:val="008D501B"/>
    <w:rsid w:val="00915440"/>
    <w:rsid w:val="009155D9"/>
    <w:rsid w:val="00917372"/>
    <w:rsid w:val="0093676A"/>
    <w:rsid w:val="009469EF"/>
    <w:rsid w:val="00967957"/>
    <w:rsid w:val="00970A28"/>
    <w:rsid w:val="00975924"/>
    <w:rsid w:val="009A05F3"/>
    <w:rsid w:val="009A5830"/>
    <w:rsid w:val="009C67E2"/>
    <w:rsid w:val="009E4A77"/>
    <w:rsid w:val="009F6EB2"/>
    <w:rsid w:val="009F7F33"/>
    <w:rsid w:val="00A25C50"/>
    <w:rsid w:val="00A510EC"/>
    <w:rsid w:val="00A54A04"/>
    <w:rsid w:val="00A8254F"/>
    <w:rsid w:val="00AD275B"/>
    <w:rsid w:val="00AD4DB4"/>
    <w:rsid w:val="00AE7041"/>
    <w:rsid w:val="00AF33FD"/>
    <w:rsid w:val="00B00C81"/>
    <w:rsid w:val="00B72183"/>
    <w:rsid w:val="00B8196A"/>
    <w:rsid w:val="00BA78B3"/>
    <w:rsid w:val="00BE14EB"/>
    <w:rsid w:val="00C12587"/>
    <w:rsid w:val="00C40A03"/>
    <w:rsid w:val="00C530A2"/>
    <w:rsid w:val="00C60721"/>
    <w:rsid w:val="00C807B2"/>
    <w:rsid w:val="00CC5574"/>
    <w:rsid w:val="00CF0637"/>
    <w:rsid w:val="00CF180C"/>
    <w:rsid w:val="00D017EF"/>
    <w:rsid w:val="00D065CB"/>
    <w:rsid w:val="00D079D8"/>
    <w:rsid w:val="00D20527"/>
    <w:rsid w:val="00D34E2F"/>
    <w:rsid w:val="00D41347"/>
    <w:rsid w:val="00D542E2"/>
    <w:rsid w:val="00D551DC"/>
    <w:rsid w:val="00D55B6B"/>
    <w:rsid w:val="00D84A5A"/>
    <w:rsid w:val="00D976F4"/>
    <w:rsid w:val="00DA1E51"/>
    <w:rsid w:val="00DB7827"/>
    <w:rsid w:val="00DC38EF"/>
    <w:rsid w:val="00E027EB"/>
    <w:rsid w:val="00E553C9"/>
    <w:rsid w:val="00E65D86"/>
    <w:rsid w:val="00E669AA"/>
    <w:rsid w:val="00E745D9"/>
    <w:rsid w:val="00EB2FC4"/>
    <w:rsid w:val="00EB3173"/>
    <w:rsid w:val="00EC7649"/>
    <w:rsid w:val="00ED41E5"/>
    <w:rsid w:val="00F06FE2"/>
    <w:rsid w:val="00F10055"/>
    <w:rsid w:val="00F1749D"/>
    <w:rsid w:val="00F24E3B"/>
    <w:rsid w:val="00F31393"/>
    <w:rsid w:val="00F56C24"/>
    <w:rsid w:val="00F7615B"/>
    <w:rsid w:val="00F826BD"/>
    <w:rsid w:val="00F934C4"/>
    <w:rsid w:val="00FA25FF"/>
    <w:rsid w:val="00FA3845"/>
    <w:rsid w:val="00FB201F"/>
    <w:rsid w:val="00FD6DB7"/>
    <w:rsid w:val="00FE7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AF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E2"/>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6FE2"/>
    <w:pPr>
      <w:jc w:val="center"/>
    </w:pPr>
    <w:rPr>
      <w:sz w:val="28"/>
      <w:lang w:val="lv-LV"/>
    </w:rPr>
  </w:style>
  <w:style w:type="character" w:customStyle="1" w:styleId="BodyTextChar">
    <w:name w:val="Body Text Char"/>
    <w:link w:val="BodyText"/>
    <w:rsid w:val="00F06FE2"/>
    <w:rPr>
      <w:rFonts w:eastAsia="Times New Roman" w:cs="Times New Roman"/>
      <w:sz w:val="28"/>
      <w:szCs w:val="24"/>
    </w:rPr>
  </w:style>
  <w:style w:type="character" w:styleId="Hyperlink">
    <w:name w:val="Hyperlink"/>
    <w:rsid w:val="00F06FE2"/>
    <w:rPr>
      <w:color w:val="0000FF"/>
      <w:u w:val="single"/>
    </w:rPr>
  </w:style>
  <w:style w:type="paragraph" w:styleId="Footer">
    <w:name w:val="footer"/>
    <w:basedOn w:val="Normal"/>
    <w:link w:val="FooterChar"/>
    <w:rsid w:val="00F06FE2"/>
    <w:pPr>
      <w:tabs>
        <w:tab w:val="center" w:pos="4153"/>
        <w:tab w:val="right" w:pos="8306"/>
      </w:tabs>
    </w:pPr>
  </w:style>
  <w:style w:type="character" w:customStyle="1" w:styleId="FooterChar">
    <w:name w:val="Footer Char"/>
    <w:link w:val="Footer"/>
    <w:rsid w:val="00F06FE2"/>
    <w:rPr>
      <w:rFonts w:eastAsia="Times New Roman" w:cs="Times New Roman"/>
      <w:szCs w:val="24"/>
      <w:lang w:val="en-GB"/>
    </w:rPr>
  </w:style>
  <w:style w:type="paragraph" w:styleId="Header">
    <w:name w:val="header"/>
    <w:basedOn w:val="Normal"/>
    <w:link w:val="HeaderChar"/>
    <w:rsid w:val="00F06FE2"/>
    <w:pPr>
      <w:tabs>
        <w:tab w:val="center" w:pos="4153"/>
        <w:tab w:val="right" w:pos="8306"/>
      </w:tabs>
    </w:pPr>
  </w:style>
  <w:style w:type="character" w:customStyle="1" w:styleId="HeaderChar">
    <w:name w:val="Header Char"/>
    <w:link w:val="Header"/>
    <w:rsid w:val="00F06FE2"/>
    <w:rPr>
      <w:rFonts w:eastAsia="Times New Roman" w:cs="Times New Roman"/>
      <w:szCs w:val="24"/>
      <w:lang w:val="en-GB"/>
    </w:rPr>
  </w:style>
  <w:style w:type="paragraph" w:customStyle="1" w:styleId="naislab">
    <w:name w:val="naislab"/>
    <w:basedOn w:val="Normal"/>
    <w:rsid w:val="00F06FE2"/>
    <w:pPr>
      <w:spacing w:before="100" w:beforeAutospacing="1" w:after="100" w:afterAutospacing="1"/>
    </w:pPr>
    <w:rPr>
      <w:lang w:val="lv-LV" w:eastAsia="lv-LV"/>
    </w:rPr>
  </w:style>
  <w:style w:type="paragraph" w:customStyle="1" w:styleId="naisc">
    <w:name w:val="naisc"/>
    <w:basedOn w:val="Normal"/>
    <w:rsid w:val="00F06FE2"/>
    <w:pPr>
      <w:spacing w:before="100" w:beforeAutospacing="1" w:after="100" w:afterAutospacing="1"/>
    </w:pPr>
    <w:rPr>
      <w:lang w:val="lv-LV" w:eastAsia="lv-LV"/>
    </w:rPr>
  </w:style>
  <w:style w:type="paragraph" w:customStyle="1" w:styleId="naisnod">
    <w:name w:val="naisnod"/>
    <w:basedOn w:val="Normal"/>
    <w:rsid w:val="00F06FE2"/>
    <w:pPr>
      <w:spacing w:before="100" w:beforeAutospacing="1" w:after="100" w:afterAutospacing="1"/>
    </w:pPr>
    <w:rPr>
      <w:lang w:val="lv-LV" w:eastAsia="lv-LV"/>
    </w:rPr>
  </w:style>
  <w:style w:type="paragraph" w:customStyle="1" w:styleId="naiskr">
    <w:name w:val="naiskr"/>
    <w:basedOn w:val="Normal"/>
    <w:rsid w:val="00F06FE2"/>
    <w:pPr>
      <w:spacing w:before="100" w:beforeAutospacing="1" w:after="100" w:afterAutospacing="1"/>
    </w:pPr>
    <w:rPr>
      <w:lang w:val="lv-LV" w:eastAsia="lv-LV"/>
    </w:rPr>
  </w:style>
  <w:style w:type="character" w:styleId="PageNumber">
    <w:name w:val="page number"/>
    <w:basedOn w:val="DefaultParagraphFont"/>
    <w:rsid w:val="00F06FE2"/>
  </w:style>
  <w:style w:type="paragraph" w:styleId="ListParagraph">
    <w:name w:val="List Paragraph"/>
    <w:basedOn w:val="Normal"/>
    <w:uiPriority w:val="34"/>
    <w:qFormat/>
    <w:rsid w:val="00F06FE2"/>
    <w:pPr>
      <w:ind w:left="720"/>
      <w:contextualSpacing/>
    </w:pPr>
  </w:style>
  <w:style w:type="paragraph" w:styleId="HTMLPreformatted">
    <w:name w:val="HTML Preformatted"/>
    <w:basedOn w:val="Normal"/>
    <w:link w:val="HTMLPreformattedChar"/>
    <w:rsid w:val="00F06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lv-LV"/>
    </w:rPr>
  </w:style>
  <w:style w:type="character" w:customStyle="1" w:styleId="HTMLPreformattedChar">
    <w:name w:val="HTML Preformatted Char"/>
    <w:link w:val="HTMLPreformatted"/>
    <w:rsid w:val="00F06FE2"/>
    <w:rPr>
      <w:rFonts w:ascii="Arial Unicode MS" w:eastAsia="Arial Unicode MS" w:hAnsi="Arial Unicode MS" w:cs="Arial Unicode MS"/>
      <w:sz w:val="20"/>
      <w:szCs w:val="20"/>
    </w:rPr>
  </w:style>
  <w:style w:type="paragraph" w:customStyle="1" w:styleId="tv2131">
    <w:name w:val="tv2131"/>
    <w:basedOn w:val="Normal"/>
    <w:rsid w:val="00F06FE2"/>
    <w:pPr>
      <w:spacing w:before="240" w:line="360" w:lineRule="auto"/>
      <w:ind w:firstLine="300"/>
      <w:jc w:val="both"/>
    </w:pPr>
    <w:rPr>
      <w:rFonts w:ascii="Verdana" w:hAnsi="Verdana"/>
      <w:sz w:val="18"/>
      <w:szCs w:val="18"/>
      <w:lang w:val="lv-LV" w:eastAsia="lv-LV"/>
    </w:rPr>
  </w:style>
  <w:style w:type="paragraph" w:customStyle="1" w:styleId="naisf">
    <w:name w:val="naisf"/>
    <w:basedOn w:val="Normal"/>
    <w:rsid w:val="00F06FE2"/>
    <w:pPr>
      <w:spacing w:before="75" w:after="75"/>
      <w:ind w:firstLine="375"/>
      <w:jc w:val="both"/>
    </w:pPr>
    <w:rPr>
      <w:lang w:val="lv-LV" w:eastAsia="lv-LV"/>
    </w:rPr>
  </w:style>
  <w:style w:type="paragraph" w:styleId="NoSpacing">
    <w:name w:val="No Spacing"/>
    <w:uiPriority w:val="1"/>
    <w:qFormat/>
    <w:rsid w:val="00333A7C"/>
    <w:rPr>
      <w:rFonts w:eastAsia="Times New Roman"/>
      <w:sz w:val="24"/>
      <w:szCs w:val="24"/>
      <w:lang w:val="en-GB" w:eastAsia="en-US"/>
    </w:rPr>
  </w:style>
  <w:style w:type="character" w:styleId="CommentReference">
    <w:name w:val="annotation reference"/>
    <w:uiPriority w:val="99"/>
    <w:semiHidden/>
    <w:unhideWhenUsed/>
    <w:rsid w:val="00E65D86"/>
    <w:rPr>
      <w:sz w:val="16"/>
      <w:szCs w:val="16"/>
    </w:rPr>
  </w:style>
  <w:style w:type="paragraph" w:styleId="CommentText">
    <w:name w:val="annotation text"/>
    <w:basedOn w:val="Normal"/>
    <w:link w:val="CommentTextChar"/>
    <w:uiPriority w:val="99"/>
    <w:semiHidden/>
    <w:unhideWhenUsed/>
    <w:rsid w:val="00E65D86"/>
    <w:rPr>
      <w:sz w:val="20"/>
      <w:szCs w:val="20"/>
      <w:lang w:val="lv-LV" w:eastAsia="lv-LV"/>
    </w:rPr>
  </w:style>
  <w:style w:type="character" w:customStyle="1" w:styleId="CommentTextChar">
    <w:name w:val="Comment Text Char"/>
    <w:link w:val="CommentText"/>
    <w:uiPriority w:val="99"/>
    <w:semiHidden/>
    <w:rsid w:val="00E65D86"/>
    <w:rPr>
      <w:rFonts w:eastAsia="Times New Roman" w:cs="Times New Roman"/>
      <w:sz w:val="20"/>
      <w:szCs w:val="20"/>
      <w:lang w:eastAsia="lv-LV"/>
    </w:rPr>
  </w:style>
  <w:style w:type="paragraph" w:styleId="BalloonText">
    <w:name w:val="Balloon Text"/>
    <w:basedOn w:val="Normal"/>
    <w:link w:val="BalloonTextChar"/>
    <w:uiPriority w:val="99"/>
    <w:semiHidden/>
    <w:unhideWhenUsed/>
    <w:rsid w:val="00E65D86"/>
    <w:rPr>
      <w:rFonts w:ascii="Segoe UI" w:hAnsi="Segoe UI" w:cs="Segoe UI"/>
      <w:sz w:val="18"/>
      <w:szCs w:val="18"/>
    </w:rPr>
  </w:style>
  <w:style w:type="character" w:customStyle="1" w:styleId="BalloonTextChar">
    <w:name w:val="Balloon Text Char"/>
    <w:link w:val="BalloonText"/>
    <w:uiPriority w:val="99"/>
    <w:semiHidden/>
    <w:rsid w:val="00E65D86"/>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9E4A77"/>
    <w:rPr>
      <w:b/>
      <w:bCs/>
      <w:lang w:val="en-GB" w:eastAsia="en-US"/>
    </w:rPr>
  </w:style>
  <w:style w:type="character" w:customStyle="1" w:styleId="CommentSubjectChar">
    <w:name w:val="Comment Subject Char"/>
    <w:link w:val="CommentSubject"/>
    <w:uiPriority w:val="99"/>
    <w:semiHidden/>
    <w:rsid w:val="009E4A77"/>
    <w:rPr>
      <w:rFonts w:eastAsia="Times New Roman" w:cs="Times New Roman"/>
      <w:b/>
      <w:bCs/>
      <w:sz w:val="20"/>
      <w:szCs w:val="20"/>
      <w:lang w:val="en-GB" w:eastAsia="lv-LV"/>
    </w:rPr>
  </w:style>
  <w:style w:type="character" w:customStyle="1" w:styleId="spelle">
    <w:name w:val="spelle"/>
    <w:basedOn w:val="DefaultParagraphFont"/>
    <w:rsid w:val="002D4DD5"/>
  </w:style>
  <w:style w:type="paragraph" w:styleId="BodyTextIndent">
    <w:name w:val="Body Text Indent"/>
    <w:basedOn w:val="Normal"/>
    <w:link w:val="BodyTextIndentChar"/>
    <w:rsid w:val="00D41347"/>
    <w:pPr>
      <w:spacing w:after="120"/>
      <w:ind w:left="283"/>
    </w:pPr>
    <w:rPr>
      <w:lang w:val="lv-LV" w:eastAsia="lv-LV"/>
    </w:rPr>
  </w:style>
  <w:style w:type="character" w:customStyle="1" w:styleId="BodyTextIndentChar">
    <w:name w:val="Body Text Indent Char"/>
    <w:basedOn w:val="DefaultParagraphFont"/>
    <w:link w:val="BodyTextIndent"/>
    <w:rsid w:val="00D41347"/>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E2"/>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6FE2"/>
    <w:pPr>
      <w:jc w:val="center"/>
    </w:pPr>
    <w:rPr>
      <w:sz w:val="28"/>
      <w:lang w:val="lv-LV"/>
    </w:rPr>
  </w:style>
  <w:style w:type="character" w:customStyle="1" w:styleId="BodyTextChar">
    <w:name w:val="Body Text Char"/>
    <w:link w:val="BodyText"/>
    <w:rsid w:val="00F06FE2"/>
    <w:rPr>
      <w:rFonts w:eastAsia="Times New Roman" w:cs="Times New Roman"/>
      <w:sz w:val="28"/>
      <w:szCs w:val="24"/>
    </w:rPr>
  </w:style>
  <w:style w:type="character" w:styleId="Hyperlink">
    <w:name w:val="Hyperlink"/>
    <w:rsid w:val="00F06FE2"/>
    <w:rPr>
      <w:color w:val="0000FF"/>
      <w:u w:val="single"/>
    </w:rPr>
  </w:style>
  <w:style w:type="paragraph" w:styleId="Footer">
    <w:name w:val="footer"/>
    <w:basedOn w:val="Normal"/>
    <w:link w:val="FooterChar"/>
    <w:rsid w:val="00F06FE2"/>
    <w:pPr>
      <w:tabs>
        <w:tab w:val="center" w:pos="4153"/>
        <w:tab w:val="right" w:pos="8306"/>
      </w:tabs>
    </w:pPr>
  </w:style>
  <w:style w:type="character" w:customStyle="1" w:styleId="FooterChar">
    <w:name w:val="Footer Char"/>
    <w:link w:val="Footer"/>
    <w:rsid w:val="00F06FE2"/>
    <w:rPr>
      <w:rFonts w:eastAsia="Times New Roman" w:cs="Times New Roman"/>
      <w:szCs w:val="24"/>
      <w:lang w:val="en-GB"/>
    </w:rPr>
  </w:style>
  <w:style w:type="paragraph" w:styleId="Header">
    <w:name w:val="header"/>
    <w:basedOn w:val="Normal"/>
    <w:link w:val="HeaderChar"/>
    <w:rsid w:val="00F06FE2"/>
    <w:pPr>
      <w:tabs>
        <w:tab w:val="center" w:pos="4153"/>
        <w:tab w:val="right" w:pos="8306"/>
      </w:tabs>
    </w:pPr>
  </w:style>
  <w:style w:type="character" w:customStyle="1" w:styleId="HeaderChar">
    <w:name w:val="Header Char"/>
    <w:link w:val="Header"/>
    <w:rsid w:val="00F06FE2"/>
    <w:rPr>
      <w:rFonts w:eastAsia="Times New Roman" w:cs="Times New Roman"/>
      <w:szCs w:val="24"/>
      <w:lang w:val="en-GB"/>
    </w:rPr>
  </w:style>
  <w:style w:type="paragraph" w:customStyle="1" w:styleId="naislab">
    <w:name w:val="naislab"/>
    <w:basedOn w:val="Normal"/>
    <w:rsid w:val="00F06FE2"/>
    <w:pPr>
      <w:spacing w:before="100" w:beforeAutospacing="1" w:after="100" w:afterAutospacing="1"/>
    </w:pPr>
    <w:rPr>
      <w:lang w:val="lv-LV" w:eastAsia="lv-LV"/>
    </w:rPr>
  </w:style>
  <w:style w:type="paragraph" w:customStyle="1" w:styleId="naisc">
    <w:name w:val="naisc"/>
    <w:basedOn w:val="Normal"/>
    <w:rsid w:val="00F06FE2"/>
    <w:pPr>
      <w:spacing w:before="100" w:beforeAutospacing="1" w:after="100" w:afterAutospacing="1"/>
    </w:pPr>
    <w:rPr>
      <w:lang w:val="lv-LV" w:eastAsia="lv-LV"/>
    </w:rPr>
  </w:style>
  <w:style w:type="paragraph" w:customStyle="1" w:styleId="naisnod">
    <w:name w:val="naisnod"/>
    <w:basedOn w:val="Normal"/>
    <w:rsid w:val="00F06FE2"/>
    <w:pPr>
      <w:spacing w:before="100" w:beforeAutospacing="1" w:after="100" w:afterAutospacing="1"/>
    </w:pPr>
    <w:rPr>
      <w:lang w:val="lv-LV" w:eastAsia="lv-LV"/>
    </w:rPr>
  </w:style>
  <w:style w:type="paragraph" w:customStyle="1" w:styleId="naiskr">
    <w:name w:val="naiskr"/>
    <w:basedOn w:val="Normal"/>
    <w:rsid w:val="00F06FE2"/>
    <w:pPr>
      <w:spacing w:before="100" w:beforeAutospacing="1" w:after="100" w:afterAutospacing="1"/>
    </w:pPr>
    <w:rPr>
      <w:lang w:val="lv-LV" w:eastAsia="lv-LV"/>
    </w:rPr>
  </w:style>
  <w:style w:type="character" w:styleId="PageNumber">
    <w:name w:val="page number"/>
    <w:basedOn w:val="DefaultParagraphFont"/>
    <w:rsid w:val="00F06FE2"/>
  </w:style>
  <w:style w:type="paragraph" w:styleId="ListParagraph">
    <w:name w:val="List Paragraph"/>
    <w:basedOn w:val="Normal"/>
    <w:uiPriority w:val="34"/>
    <w:qFormat/>
    <w:rsid w:val="00F06FE2"/>
    <w:pPr>
      <w:ind w:left="720"/>
      <w:contextualSpacing/>
    </w:pPr>
  </w:style>
  <w:style w:type="paragraph" w:styleId="HTMLPreformatted">
    <w:name w:val="HTML Preformatted"/>
    <w:basedOn w:val="Normal"/>
    <w:link w:val="HTMLPreformattedChar"/>
    <w:rsid w:val="00F06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lv-LV"/>
    </w:rPr>
  </w:style>
  <w:style w:type="character" w:customStyle="1" w:styleId="HTMLPreformattedChar">
    <w:name w:val="HTML Preformatted Char"/>
    <w:link w:val="HTMLPreformatted"/>
    <w:rsid w:val="00F06FE2"/>
    <w:rPr>
      <w:rFonts w:ascii="Arial Unicode MS" w:eastAsia="Arial Unicode MS" w:hAnsi="Arial Unicode MS" w:cs="Arial Unicode MS"/>
      <w:sz w:val="20"/>
      <w:szCs w:val="20"/>
    </w:rPr>
  </w:style>
  <w:style w:type="paragraph" w:customStyle="1" w:styleId="tv2131">
    <w:name w:val="tv2131"/>
    <w:basedOn w:val="Normal"/>
    <w:rsid w:val="00F06FE2"/>
    <w:pPr>
      <w:spacing w:before="240" w:line="360" w:lineRule="auto"/>
      <w:ind w:firstLine="300"/>
      <w:jc w:val="both"/>
    </w:pPr>
    <w:rPr>
      <w:rFonts w:ascii="Verdana" w:hAnsi="Verdana"/>
      <w:sz w:val="18"/>
      <w:szCs w:val="18"/>
      <w:lang w:val="lv-LV" w:eastAsia="lv-LV"/>
    </w:rPr>
  </w:style>
  <w:style w:type="paragraph" w:customStyle="1" w:styleId="naisf">
    <w:name w:val="naisf"/>
    <w:basedOn w:val="Normal"/>
    <w:rsid w:val="00F06FE2"/>
    <w:pPr>
      <w:spacing w:before="75" w:after="75"/>
      <w:ind w:firstLine="375"/>
      <w:jc w:val="both"/>
    </w:pPr>
    <w:rPr>
      <w:lang w:val="lv-LV" w:eastAsia="lv-LV"/>
    </w:rPr>
  </w:style>
  <w:style w:type="paragraph" w:styleId="NoSpacing">
    <w:name w:val="No Spacing"/>
    <w:uiPriority w:val="1"/>
    <w:qFormat/>
    <w:rsid w:val="00333A7C"/>
    <w:rPr>
      <w:rFonts w:eastAsia="Times New Roman"/>
      <w:sz w:val="24"/>
      <w:szCs w:val="24"/>
      <w:lang w:val="en-GB" w:eastAsia="en-US"/>
    </w:rPr>
  </w:style>
  <w:style w:type="character" w:styleId="CommentReference">
    <w:name w:val="annotation reference"/>
    <w:uiPriority w:val="99"/>
    <w:semiHidden/>
    <w:unhideWhenUsed/>
    <w:rsid w:val="00E65D86"/>
    <w:rPr>
      <w:sz w:val="16"/>
      <w:szCs w:val="16"/>
    </w:rPr>
  </w:style>
  <w:style w:type="paragraph" w:styleId="CommentText">
    <w:name w:val="annotation text"/>
    <w:basedOn w:val="Normal"/>
    <w:link w:val="CommentTextChar"/>
    <w:uiPriority w:val="99"/>
    <w:semiHidden/>
    <w:unhideWhenUsed/>
    <w:rsid w:val="00E65D86"/>
    <w:rPr>
      <w:sz w:val="20"/>
      <w:szCs w:val="20"/>
      <w:lang w:val="lv-LV" w:eastAsia="lv-LV"/>
    </w:rPr>
  </w:style>
  <w:style w:type="character" w:customStyle="1" w:styleId="CommentTextChar">
    <w:name w:val="Comment Text Char"/>
    <w:link w:val="CommentText"/>
    <w:uiPriority w:val="99"/>
    <w:semiHidden/>
    <w:rsid w:val="00E65D86"/>
    <w:rPr>
      <w:rFonts w:eastAsia="Times New Roman" w:cs="Times New Roman"/>
      <w:sz w:val="20"/>
      <w:szCs w:val="20"/>
      <w:lang w:eastAsia="lv-LV"/>
    </w:rPr>
  </w:style>
  <w:style w:type="paragraph" w:styleId="BalloonText">
    <w:name w:val="Balloon Text"/>
    <w:basedOn w:val="Normal"/>
    <w:link w:val="BalloonTextChar"/>
    <w:uiPriority w:val="99"/>
    <w:semiHidden/>
    <w:unhideWhenUsed/>
    <w:rsid w:val="00E65D86"/>
    <w:rPr>
      <w:rFonts w:ascii="Segoe UI" w:hAnsi="Segoe UI" w:cs="Segoe UI"/>
      <w:sz w:val="18"/>
      <w:szCs w:val="18"/>
    </w:rPr>
  </w:style>
  <w:style w:type="character" w:customStyle="1" w:styleId="BalloonTextChar">
    <w:name w:val="Balloon Text Char"/>
    <w:link w:val="BalloonText"/>
    <w:uiPriority w:val="99"/>
    <w:semiHidden/>
    <w:rsid w:val="00E65D86"/>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9E4A77"/>
    <w:rPr>
      <w:b/>
      <w:bCs/>
      <w:lang w:val="en-GB" w:eastAsia="en-US"/>
    </w:rPr>
  </w:style>
  <w:style w:type="character" w:customStyle="1" w:styleId="CommentSubjectChar">
    <w:name w:val="Comment Subject Char"/>
    <w:link w:val="CommentSubject"/>
    <w:uiPriority w:val="99"/>
    <w:semiHidden/>
    <w:rsid w:val="009E4A77"/>
    <w:rPr>
      <w:rFonts w:eastAsia="Times New Roman" w:cs="Times New Roman"/>
      <w:b/>
      <w:bCs/>
      <w:sz w:val="20"/>
      <w:szCs w:val="20"/>
      <w:lang w:val="en-GB" w:eastAsia="lv-LV"/>
    </w:rPr>
  </w:style>
  <w:style w:type="character" w:customStyle="1" w:styleId="spelle">
    <w:name w:val="spelle"/>
    <w:basedOn w:val="DefaultParagraphFont"/>
    <w:rsid w:val="002D4DD5"/>
  </w:style>
  <w:style w:type="paragraph" w:styleId="BodyTextIndent">
    <w:name w:val="Body Text Indent"/>
    <w:basedOn w:val="Normal"/>
    <w:link w:val="BodyTextIndentChar"/>
    <w:rsid w:val="00D41347"/>
    <w:pPr>
      <w:spacing w:after="120"/>
      <w:ind w:left="283"/>
    </w:pPr>
    <w:rPr>
      <w:lang w:val="lv-LV" w:eastAsia="lv-LV"/>
    </w:rPr>
  </w:style>
  <w:style w:type="character" w:customStyle="1" w:styleId="BodyTextIndentChar">
    <w:name w:val="Body Text Indent Char"/>
    <w:basedOn w:val="DefaultParagraphFont"/>
    <w:link w:val="BodyTextIndent"/>
    <w:rsid w:val="00D4134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nita.Malina@kase.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3D7A7-41D3-452E-BB70-DE986AF5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7926</Words>
  <Characters>4519</Characters>
  <Application>Microsoft Office Word</Application>
  <DocSecurity>0</DocSecurity>
  <Lines>37</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Rīkojuma projekta „Par Valsts kases amatpersonu (darbinieku) motivēšanu un apropriācijas pārdalei novirzāmo finansējuma apjomu” sākotnējās ietekmes novērtējuma ziņojums (anotācija)</vt:lpstr>
      <vt:lpstr>Rīkojuma projekta „Par ēnu ekonomikas apkarošanas pasākumu īstenošanā iesaistīto institūciju amatpersonu darbinieku motivēšanu un apropriācijas palielinājumam novirzāmo finansējuma apjomu” sākotnējās ietekmes novērtējuma ziņojums (anotācija)</vt:lpstr>
    </vt:vector>
  </TitlesOfParts>
  <Manager>Jevgenija.Jalovecka@kase.gov.lv</Manager>
  <Company>Valsts kase</Company>
  <LinksUpToDate>false</LinksUpToDate>
  <CharactersWithSpaces>12421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projekta „Par Valsts kases amatpersonu (darbinieku) motivēšanu un apropriācijas pārdalei novirzāmo finansējuma apjomu” sākotnējās ietekmes novērtējuma ziņojums (anotācija)</dc:title>
  <dc:subject>Anotācija</dc:subject>
  <dc:creator>Sanita Maļina</dc:creator>
  <dc:description>Sanita Maļina
Sanita.Malina@kase.gov.lv
67094243</dc:description>
  <cp:lastModifiedBy>Sanita Liepina</cp:lastModifiedBy>
  <cp:revision>4</cp:revision>
  <cp:lastPrinted>2013-12-13T06:38:00Z</cp:lastPrinted>
  <dcterms:created xsi:type="dcterms:W3CDTF">2013-12-13T09:17:00Z</dcterms:created>
  <dcterms:modified xsi:type="dcterms:W3CDTF">2013-12-13T09:41:00Z</dcterms:modified>
</cp:coreProperties>
</file>