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312" w:rsidRDefault="00B81312" w:rsidP="00B81312">
      <w:pPr>
        <w:pStyle w:val="naislab"/>
        <w:spacing w:before="0" w:after="0"/>
        <w:jc w:val="center"/>
        <w:outlineLvl w:val="0"/>
        <w:rPr>
          <w:b/>
          <w:sz w:val="26"/>
          <w:szCs w:val="26"/>
        </w:rPr>
      </w:pPr>
      <w:r w:rsidRPr="00CF1DE2">
        <w:rPr>
          <w:b/>
          <w:sz w:val="26"/>
          <w:szCs w:val="26"/>
        </w:rPr>
        <w:t xml:space="preserve">Likumprojekta „Grozījumi </w:t>
      </w:r>
      <w:r>
        <w:rPr>
          <w:b/>
          <w:sz w:val="26"/>
          <w:szCs w:val="26"/>
        </w:rPr>
        <w:t>Fiskālās disciplīnas</w:t>
      </w:r>
      <w:r w:rsidRPr="00CF1DE2">
        <w:rPr>
          <w:b/>
          <w:sz w:val="26"/>
          <w:szCs w:val="26"/>
        </w:rPr>
        <w:t xml:space="preserve"> likumā” sākotnējās ietekmes novērtējuma </w:t>
      </w:r>
      <w:smartTag w:uri="schemas-tilde-lv/tildestengine" w:element="veidnes">
        <w:smartTagPr>
          <w:attr w:name="text" w:val="ziņojums"/>
          <w:attr w:name="baseform" w:val="ziņojums"/>
          <w:attr w:name="id" w:val="-1"/>
        </w:smartTagPr>
        <w:r w:rsidRPr="00CF1DE2">
          <w:rPr>
            <w:b/>
            <w:sz w:val="26"/>
            <w:szCs w:val="26"/>
          </w:rPr>
          <w:t>ziņojums</w:t>
        </w:r>
      </w:smartTag>
      <w:r w:rsidRPr="00CF1DE2">
        <w:rPr>
          <w:b/>
          <w:sz w:val="26"/>
          <w:szCs w:val="26"/>
        </w:rPr>
        <w:t xml:space="preserve"> (anotācija)</w:t>
      </w:r>
    </w:p>
    <w:p w:rsidR="00B81312" w:rsidRPr="00CF1DE2" w:rsidRDefault="00B81312" w:rsidP="00B81312">
      <w:pPr>
        <w:pStyle w:val="naislab"/>
        <w:spacing w:before="0" w:after="0"/>
        <w:jc w:val="center"/>
        <w:outlineLvl w:val="0"/>
        <w:rPr>
          <w:b/>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892"/>
      </w:tblGrid>
      <w:tr w:rsidR="00B81312" w:rsidRPr="00CF1DE2" w:rsidTr="002743B7">
        <w:tc>
          <w:tcPr>
            <w:tcW w:w="9725" w:type="dxa"/>
            <w:gridSpan w:val="3"/>
            <w:vAlign w:val="center"/>
          </w:tcPr>
          <w:p w:rsidR="00B81312" w:rsidRPr="00CF1DE2" w:rsidRDefault="00B81312" w:rsidP="002743B7">
            <w:pPr>
              <w:pStyle w:val="naisnod"/>
              <w:spacing w:before="0" w:after="0"/>
              <w:rPr>
                <w:sz w:val="26"/>
                <w:szCs w:val="26"/>
              </w:rPr>
            </w:pPr>
            <w:r w:rsidRPr="00CF1DE2">
              <w:rPr>
                <w:sz w:val="26"/>
                <w:szCs w:val="26"/>
              </w:rPr>
              <w:t>I. Tiesību akta projekta izstrādes nepieciešamība</w:t>
            </w:r>
          </w:p>
        </w:tc>
      </w:tr>
      <w:tr w:rsidR="00B81312" w:rsidRPr="00CF1DE2" w:rsidTr="002743B7">
        <w:trPr>
          <w:trHeight w:val="630"/>
        </w:trPr>
        <w:tc>
          <w:tcPr>
            <w:tcW w:w="550" w:type="dxa"/>
          </w:tcPr>
          <w:p w:rsidR="00B81312" w:rsidRPr="00CF1DE2" w:rsidRDefault="00B81312" w:rsidP="002743B7">
            <w:pPr>
              <w:pStyle w:val="naiskr"/>
              <w:spacing w:before="0" w:after="0"/>
              <w:rPr>
                <w:sz w:val="26"/>
                <w:szCs w:val="26"/>
              </w:rPr>
            </w:pPr>
            <w:r w:rsidRPr="00CF1DE2">
              <w:rPr>
                <w:sz w:val="26"/>
                <w:szCs w:val="26"/>
              </w:rPr>
              <w:t>1.</w:t>
            </w:r>
          </w:p>
        </w:tc>
        <w:tc>
          <w:tcPr>
            <w:tcW w:w="3283" w:type="dxa"/>
          </w:tcPr>
          <w:p w:rsidR="00B81312" w:rsidRPr="00CF1DE2" w:rsidRDefault="00B81312" w:rsidP="002743B7">
            <w:pPr>
              <w:pStyle w:val="naiskr"/>
              <w:spacing w:before="0" w:after="0"/>
              <w:ind w:hanging="10"/>
              <w:rPr>
                <w:sz w:val="26"/>
                <w:szCs w:val="26"/>
              </w:rPr>
            </w:pPr>
            <w:r w:rsidRPr="00CF1DE2">
              <w:rPr>
                <w:sz w:val="26"/>
                <w:szCs w:val="26"/>
              </w:rPr>
              <w:t>Pamatojums</w:t>
            </w:r>
          </w:p>
        </w:tc>
        <w:tc>
          <w:tcPr>
            <w:tcW w:w="5892" w:type="dxa"/>
          </w:tcPr>
          <w:p w:rsidR="00B81312" w:rsidRPr="00CF1DE2" w:rsidRDefault="00B81312" w:rsidP="002743B7">
            <w:pPr>
              <w:pStyle w:val="naiskr"/>
              <w:spacing w:before="0" w:after="0"/>
              <w:ind w:firstLine="425"/>
              <w:jc w:val="both"/>
              <w:rPr>
                <w:sz w:val="26"/>
                <w:szCs w:val="26"/>
              </w:rPr>
            </w:pPr>
            <w:proofErr w:type="spellStart"/>
            <w:r w:rsidRPr="00CF1DE2">
              <w:rPr>
                <w:i/>
                <w:color w:val="000000"/>
                <w:sz w:val="26"/>
                <w:szCs w:val="26"/>
              </w:rPr>
              <w:t>Euro</w:t>
            </w:r>
            <w:proofErr w:type="spellEnd"/>
            <w:r w:rsidRPr="00CF1DE2">
              <w:rPr>
                <w:i/>
                <w:color w:val="000000"/>
                <w:sz w:val="26"/>
                <w:szCs w:val="26"/>
              </w:rPr>
              <w:t xml:space="preserve"> </w:t>
            </w:r>
            <w:r w:rsidRPr="00CF1DE2">
              <w:rPr>
                <w:color w:val="000000"/>
                <w:sz w:val="26"/>
                <w:szCs w:val="26"/>
              </w:rPr>
              <w:t>ieviešanas kārtības likuma 30. panta pirmā daļa un 32. panta otrās daļas 2. apakšpunkts, Ministru kabineta 2012. gada 27. jūnija rīkojuma Nr. 282 „Par „Koncepciju par normatīvo aktu sakārtošanu saistībā ar eiro ieviešanu Latvijā”” 4. punkts.</w:t>
            </w:r>
          </w:p>
        </w:tc>
      </w:tr>
      <w:tr w:rsidR="00B81312" w:rsidRPr="00CF1DE2" w:rsidTr="002743B7">
        <w:trPr>
          <w:trHeight w:val="472"/>
        </w:trPr>
        <w:tc>
          <w:tcPr>
            <w:tcW w:w="550" w:type="dxa"/>
          </w:tcPr>
          <w:p w:rsidR="00B81312" w:rsidRPr="00CF1DE2" w:rsidRDefault="00B81312" w:rsidP="002743B7">
            <w:pPr>
              <w:pStyle w:val="naiskr"/>
              <w:spacing w:before="0" w:after="0"/>
              <w:rPr>
                <w:sz w:val="26"/>
                <w:szCs w:val="26"/>
              </w:rPr>
            </w:pPr>
            <w:r w:rsidRPr="00CF1DE2">
              <w:rPr>
                <w:sz w:val="26"/>
                <w:szCs w:val="26"/>
              </w:rPr>
              <w:t>2.</w:t>
            </w:r>
          </w:p>
        </w:tc>
        <w:tc>
          <w:tcPr>
            <w:tcW w:w="3283" w:type="dxa"/>
          </w:tcPr>
          <w:p w:rsidR="00B81312" w:rsidRPr="00CF1DE2" w:rsidRDefault="00B81312" w:rsidP="002743B7">
            <w:pPr>
              <w:pStyle w:val="naiskr"/>
              <w:tabs>
                <w:tab w:val="left" w:pos="170"/>
              </w:tabs>
              <w:spacing w:before="0" w:after="0"/>
              <w:rPr>
                <w:sz w:val="26"/>
                <w:szCs w:val="26"/>
              </w:rPr>
            </w:pPr>
            <w:r w:rsidRPr="00CF1DE2">
              <w:rPr>
                <w:sz w:val="26"/>
                <w:szCs w:val="26"/>
              </w:rPr>
              <w:t>Pašreizējā situācija un problēmas</w:t>
            </w:r>
          </w:p>
        </w:tc>
        <w:tc>
          <w:tcPr>
            <w:tcW w:w="5892" w:type="dxa"/>
          </w:tcPr>
          <w:p w:rsidR="00B81312" w:rsidRPr="00B81312" w:rsidRDefault="00B81312" w:rsidP="00B81312">
            <w:pPr>
              <w:pStyle w:val="naiskr"/>
              <w:spacing w:before="0" w:after="0"/>
              <w:ind w:firstLine="425"/>
              <w:jc w:val="both"/>
              <w:rPr>
                <w:sz w:val="26"/>
                <w:szCs w:val="26"/>
              </w:rPr>
            </w:pPr>
            <w:r w:rsidRPr="00B81312">
              <w:rPr>
                <w:sz w:val="26"/>
                <w:szCs w:val="26"/>
              </w:rPr>
              <w:t xml:space="preserve">Ņemot vērā, ka ar 2014. gada 1. janvāri Latvijā plānots ieviest </w:t>
            </w:r>
            <w:proofErr w:type="spellStart"/>
            <w:r w:rsidRPr="00B81312">
              <w:rPr>
                <w:i/>
                <w:sz w:val="26"/>
                <w:szCs w:val="26"/>
              </w:rPr>
              <w:t>euro</w:t>
            </w:r>
            <w:proofErr w:type="spellEnd"/>
            <w:r w:rsidRPr="00B81312">
              <w:rPr>
                <w:sz w:val="26"/>
                <w:szCs w:val="26"/>
              </w:rPr>
              <w:t xml:space="preserve">, ir nepieciešams veikt grozījumus Fiskālās disciplīnas likumā (turpmāk – FDL), aizstājot tajā latus ar </w:t>
            </w:r>
            <w:proofErr w:type="spellStart"/>
            <w:r w:rsidRPr="00B81312">
              <w:rPr>
                <w:i/>
                <w:sz w:val="26"/>
                <w:szCs w:val="26"/>
              </w:rPr>
              <w:t>euro</w:t>
            </w:r>
            <w:proofErr w:type="spellEnd"/>
            <w:r w:rsidRPr="00B81312">
              <w:rPr>
                <w:sz w:val="26"/>
                <w:szCs w:val="26"/>
              </w:rPr>
              <w:t xml:space="preserve">. Šobrīd FDL 31. panta sestajā daļā ir noteikts izdevumu par naktsmītni kompensēšanas apmērs, bet FDL 31. panta trešajā daļā ir noteikts, ka Padomes locekļu stundas algas likme noapaļojama pilnos latos. </w:t>
            </w:r>
          </w:p>
        </w:tc>
      </w:tr>
      <w:tr w:rsidR="00B81312" w:rsidRPr="00CF1DE2" w:rsidTr="002743B7">
        <w:trPr>
          <w:trHeight w:val="752"/>
        </w:trPr>
        <w:tc>
          <w:tcPr>
            <w:tcW w:w="550" w:type="dxa"/>
          </w:tcPr>
          <w:p w:rsidR="00B81312" w:rsidRPr="00CF1DE2" w:rsidRDefault="00B81312" w:rsidP="002743B7">
            <w:pPr>
              <w:pStyle w:val="naiskr"/>
              <w:spacing w:before="0" w:after="0"/>
              <w:rPr>
                <w:sz w:val="26"/>
                <w:szCs w:val="26"/>
              </w:rPr>
            </w:pPr>
            <w:r w:rsidRPr="00CF1DE2">
              <w:rPr>
                <w:sz w:val="26"/>
                <w:szCs w:val="26"/>
              </w:rPr>
              <w:t>3.</w:t>
            </w:r>
          </w:p>
        </w:tc>
        <w:tc>
          <w:tcPr>
            <w:tcW w:w="3283" w:type="dxa"/>
          </w:tcPr>
          <w:p w:rsidR="00B81312" w:rsidRPr="00CF1DE2" w:rsidRDefault="00B81312" w:rsidP="002743B7">
            <w:pPr>
              <w:pStyle w:val="naiskr"/>
              <w:spacing w:before="0" w:after="0"/>
              <w:rPr>
                <w:sz w:val="26"/>
                <w:szCs w:val="26"/>
              </w:rPr>
            </w:pPr>
            <w:r w:rsidRPr="00CF1DE2">
              <w:rPr>
                <w:sz w:val="26"/>
                <w:szCs w:val="26"/>
              </w:rPr>
              <w:t>Saistītie politikas ietekmes novērtējumi un pētījumi</w:t>
            </w:r>
          </w:p>
        </w:tc>
        <w:tc>
          <w:tcPr>
            <w:tcW w:w="5892" w:type="dxa"/>
          </w:tcPr>
          <w:p w:rsidR="00B81312" w:rsidRPr="00CF1DE2" w:rsidRDefault="003E7831" w:rsidP="002743B7">
            <w:pPr>
              <w:pStyle w:val="FootnoteText"/>
              <w:ind w:firstLine="527"/>
              <w:rPr>
                <w:sz w:val="26"/>
                <w:szCs w:val="26"/>
              </w:rPr>
            </w:pPr>
            <w:r>
              <w:rPr>
                <w:sz w:val="26"/>
                <w:szCs w:val="26"/>
              </w:rPr>
              <w:t>Projekts šo jomu neskar</w:t>
            </w:r>
            <w:r w:rsidR="00B81312" w:rsidRPr="00CF1DE2">
              <w:rPr>
                <w:sz w:val="26"/>
                <w:szCs w:val="26"/>
              </w:rPr>
              <w:t xml:space="preserve">. </w:t>
            </w:r>
          </w:p>
        </w:tc>
      </w:tr>
      <w:tr w:rsidR="00B81312" w:rsidRPr="00CF1DE2" w:rsidTr="002743B7">
        <w:trPr>
          <w:trHeight w:val="384"/>
        </w:trPr>
        <w:tc>
          <w:tcPr>
            <w:tcW w:w="550" w:type="dxa"/>
          </w:tcPr>
          <w:p w:rsidR="00B81312" w:rsidRPr="00CF1DE2" w:rsidRDefault="00B81312" w:rsidP="002743B7">
            <w:pPr>
              <w:pStyle w:val="naiskr"/>
              <w:spacing w:before="0" w:after="0"/>
              <w:rPr>
                <w:sz w:val="26"/>
                <w:szCs w:val="26"/>
              </w:rPr>
            </w:pPr>
            <w:r w:rsidRPr="00CF1DE2">
              <w:rPr>
                <w:sz w:val="26"/>
                <w:szCs w:val="26"/>
              </w:rPr>
              <w:t>4.</w:t>
            </w:r>
          </w:p>
        </w:tc>
        <w:tc>
          <w:tcPr>
            <w:tcW w:w="3283" w:type="dxa"/>
          </w:tcPr>
          <w:p w:rsidR="00B81312" w:rsidRPr="00CF1DE2" w:rsidRDefault="00B81312" w:rsidP="002743B7">
            <w:pPr>
              <w:pStyle w:val="naiskr"/>
              <w:spacing w:before="0" w:after="0"/>
              <w:rPr>
                <w:sz w:val="26"/>
                <w:szCs w:val="26"/>
              </w:rPr>
            </w:pPr>
            <w:r w:rsidRPr="00CF1DE2">
              <w:rPr>
                <w:sz w:val="26"/>
                <w:szCs w:val="26"/>
              </w:rPr>
              <w:t>Tiesiskā regulējuma mērķis un būtība</w:t>
            </w:r>
          </w:p>
        </w:tc>
        <w:tc>
          <w:tcPr>
            <w:tcW w:w="5892" w:type="dxa"/>
          </w:tcPr>
          <w:p w:rsidR="00B81312" w:rsidRPr="00CF1DE2" w:rsidRDefault="00B81312" w:rsidP="002743B7">
            <w:pPr>
              <w:pStyle w:val="naiskr"/>
              <w:spacing w:before="0" w:after="0"/>
              <w:ind w:firstLine="425"/>
              <w:jc w:val="both"/>
              <w:rPr>
                <w:color w:val="000000"/>
                <w:sz w:val="26"/>
                <w:szCs w:val="26"/>
              </w:rPr>
            </w:pPr>
            <w:r w:rsidRPr="00CF1DE2">
              <w:rPr>
                <w:sz w:val="26"/>
                <w:szCs w:val="26"/>
              </w:rPr>
              <w:t xml:space="preserve">Likumprojekta „Grozījumi </w:t>
            </w:r>
            <w:r>
              <w:rPr>
                <w:sz w:val="26"/>
                <w:szCs w:val="26"/>
              </w:rPr>
              <w:t>Fiskālās disciplīnas</w:t>
            </w:r>
            <w:r w:rsidRPr="00CF1DE2">
              <w:rPr>
                <w:sz w:val="26"/>
                <w:szCs w:val="26"/>
              </w:rPr>
              <w:t xml:space="preserve"> likumā” (turpmāk </w:t>
            </w:r>
            <w:r w:rsidRPr="00CF1DE2">
              <w:rPr>
                <w:b/>
                <w:sz w:val="26"/>
                <w:szCs w:val="26"/>
              </w:rPr>
              <w:t xml:space="preserve">– </w:t>
            </w:r>
            <w:r w:rsidRPr="00CF1DE2">
              <w:rPr>
                <w:sz w:val="26"/>
                <w:szCs w:val="26"/>
              </w:rPr>
              <w:t xml:space="preserve">projekts) mērķis ir pielāgot </w:t>
            </w:r>
            <w:r>
              <w:rPr>
                <w:sz w:val="26"/>
                <w:szCs w:val="26"/>
              </w:rPr>
              <w:t>FD</w:t>
            </w:r>
            <w:r w:rsidRPr="00CF1DE2">
              <w:rPr>
                <w:sz w:val="26"/>
                <w:szCs w:val="26"/>
              </w:rPr>
              <w:t xml:space="preserve">L noteikto </w:t>
            </w:r>
            <w:r w:rsidR="003D64C0">
              <w:rPr>
                <w:sz w:val="26"/>
                <w:szCs w:val="26"/>
              </w:rPr>
              <w:t xml:space="preserve">kompensējamo </w:t>
            </w:r>
            <w:r w:rsidRPr="00B81312">
              <w:rPr>
                <w:sz w:val="26"/>
                <w:szCs w:val="26"/>
              </w:rPr>
              <w:t>izdevumu par naktsmītni apm</w:t>
            </w:r>
            <w:r>
              <w:rPr>
                <w:sz w:val="26"/>
                <w:szCs w:val="26"/>
              </w:rPr>
              <w:t>ēru</w:t>
            </w:r>
            <w:r w:rsidRPr="00CF1DE2">
              <w:rPr>
                <w:sz w:val="26"/>
                <w:szCs w:val="26"/>
              </w:rPr>
              <w:t xml:space="preserve">, aizstājot tajā latus ar </w:t>
            </w:r>
            <w:proofErr w:type="spellStart"/>
            <w:r w:rsidRPr="00CF1DE2">
              <w:rPr>
                <w:i/>
                <w:sz w:val="26"/>
                <w:szCs w:val="26"/>
              </w:rPr>
              <w:t>euro</w:t>
            </w:r>
            <w:proofErr w:type="spellEnd"/>
            <w:r w:rsidRPr="00CF1DE2">
              <w:rPr>
                <w:sz w:val="26"/>
                <w:szCs w:val="26"/>
              </w:rPr>
              <w:t xml:space="preserve">. Projekts paredz </w:t>
            </w:r>
            <w:r>
              <w:rPr>
                <w:sz w:val="26"/>
                <w:szCs w:val="26"/>
              </w:rPr>
              <w:t>FD</w:t>
            </w:r>
            <w:r w:rsidRPr="00CF1DE2">
              <w:rPr>
                <w:sz w:val="26"/>
                <w:szCs w:val="26"/>
              </w:rPr>
              <w:t xml:space="preserve">L aizstāt latus ar </w:t>
            </w:r>
            <w:proofErr w:type="spellStart"/>
            <w:r w:rsidRPr="00CF1DE2">
              <w:rPr>
                <w:i/>
                <w:sz w:val="26"/>
                <w:szCs w:val="26"/>
              </w:rPr>
              <w:t>euro</w:t>
            </w:r>
            <w:proofErr w:type="spellEnd"/>
            <w:r w:rsidRPr="00CF1DE2">
              <w:rPr>
                <w:sz w:val="26"/>
                <w:szCs w:val="26"/>
              </w:rPr>
              <w:t xml:space="preserve"> atbilstoši </w:t>
            </w:r>
            <w:proofErr w:type="spellStart"/>
            <w:r w:rsidRPr="00CF1DE2">
              <w:rPr>
                <w:i/>
                <w:color w:val="000000"/>
                <w:sz w:val="26"/>
                <w:szCs w:val="26"/>
              </w:rPr>
              <w:t>Euro</w:t>
            </w:r>
            <w:proofErr w:type="spellEnd"/>
            <w:r w:rsidRPr="00CF1DE2">
              <w:rPr>
                <w:i/>
                <w:color w:val="000000"/>
                <w:sz w:val="26"/>
                <w:szCs w:val="26"/>
              </w:rPr>
              <w:t xml:space="preserve"> </w:t>
            </w:r>
            <w:r w:rsidRPr="00CF1DE2">
              <w:rPr>
                <w:color w:val="000000"/>
                <w:sz w:val="26"/>
                <w:szCs w:val="26"/>
              </w:rPr>
              <w:t>ieviešanas kārtības likuma 32. panta otrās daļas 2. punktā paredzētajiem</w:t>
            </w:r>
            <w:r>
              <w:rPr>
                <w:color w:val="000000"/>
                <w:sz w:val="26"/>
                <w:szCs w:val="26"/>
              </w:rPr>
              <w:t xml:space="preserve"> nosacījumiem</w:t>
            </w:r>
            <w:r w:rsidRPr="00CF1DE2">
              <w:rPr>
                <w:sz w:val="26"/>
                <w:szCs w:val="26"/>
              </w:rPr>
              <w:t>.</w:t>
            </w:r>
          </w:p>
          <w:p w:rsidR="00B81312" w:rsidRPr="003D64C0" w:rsidRDefault="00B81312" w:rsidP="002743B7">
            <w:pPr>
              <w:pStyle w:val="naiskr"/>
              <w:spacing w:before="0" w:after="0"/>
              <w:ind w:firstLine="425"/>
              <w:jc w:val="both"/>
              <w:rPr>
                <w:color w:val="000000"/>
                <w:sz w:val="26"/>
                <w:szCs w:val="26"/>
              </w:rPr>
            </w:pPr>
            <w:r w:rsidRPr="003D64C0">
              <w:rPr>
                <w:color w:val="000000"/>
                <w:sz w:val="26"/>
                <w:szCs w:val="26"/>
              </w:rPr>
              <w:t xml:space="preserve">Noapaļošana veikta matemātiski uz </w:t>
            </w:r>
            <w:r w:rsidR="003D64C0" w:rsidRPr="003D64C0">
              <w:rPr>
                <w:color w:val="000000"/>
                <w:sz w:val="26"/>
                <w:szCs w:val="26"/>
              </w:rPr>
              <w:t>augšu</w:t>
            </w:r>
            <w:r w:rsidRPr="003D64C0">
              <w:rPr>
                <w:color w:val="000000"/>
                <w:sz w:val="26"/>
                <w:szCs w:val="26"/>
              </w:rPr>
              <w:t xml:space="preserve"> līdz tuvākajam daļskaitlim ar simtdaļām, kurš dalās ar skaitli 4 un rezultātā ir daļskaitlis ar simtdaļām. Šāds noapaļošanas nosacījums nepieciešams, lai jaunā norma </w:t>
            </w:r>
            <w:r w:rsidRPr="003D64C0">
              <w:rPr>
                <w:sz w:val="26"/>
                <w:szCs w:val="26"/>
              </w:rPr>
              <w:t>nav personai nelabvēlīgā</w:t>
            </w:r>
            <w:r w:rsidR="003D64C0" w:rsidRPr="003D64C0">
              <w:rPr>
                <w:sz w:val="26"/>
                <w:szCs w:val="26"/>
              </w:rPr>
              <w:t xml:space="preserve">ka par sākotnējo tiesību normu. </w:t>
            </w:r>
            <w:r w:rsidRPr="003D64C0">
              <w:rPr>
                <w:color w:val="000000"/>
                <w:sz w:val="26"/>
                <w:szCs w:val="26"/>
              </w:rPr>
              <w:t xml:space="preserve">Kopumā šādai noapaļošanai </w:t>
            </w:r>
            <w:r w:rsidRPr="003D64C0">
              <w:rPr>
                <w:sz w:val="26"/>
                <w:szCs w:val="26"/>
              </w:rPr>
              <w:t xml:space="preserve">nav vērā ņemamas ietekmes ne uz privātpersonu, ne valsts budžetu. </w:t>
            </w:r>
          </w:p>
          <w:p w:rsidR="00B81312" w:rsidRPr="00CF1DE2" w:rsidRDefault="003D64C0" w:rsidP="003D64C0">
            <w:pPr>
              <w:pStyle w:val="naiskr"/>
              <w:spacing w:before="0" w:after="0"/>
              <w:ind w:firstLine="425"/>
              <w:jc w:val="both"/>
              <w:rPr>
                <w:color w:val="000000"/>
                <w:sz w:val="26"/>
                <w:szCs w:val="26"/>
              </w:rPr>
            </w:pPr>
            <w:r w:rsidRPr="003D64C0">
              <w:rPr>
                <w:color w:val="000000"/>
                <w:sz w:val="26"/>
                <w:szCs w:val="26"/>
              </w:rPr>
              <w:t>Naudas summa pārveidota</w:t>
            </w:r>
            <w:r w:rsidR="00B81312" w:rsidRPr="003D64C0">
              <w:rPr>
                <w:color w:val="000000"/>
                <w:sz w:val="26"/>
                <w:szCs w:val="26"/>
              </w:rPr>
              <w:t xml:space="preserve"> pēc iespējas noapaļoti, tā lai saglabātu viegli uztveramu </w:t>
            </w:r>
            <w:r w:rsidRPr="003D64C0">
              <w:rPr>
                <w:color w:val="000000"/>
                <w:sz w:val="26"/>
                <w:szCs w:val="26"/>
              </w:rPr>
              <w:t>FD</w:t>
            </w:r>
            <w:r w:rsidR="00B81312" w:rsidRPr="003D64C0">
              <w:rPr>
                <w:color w:val="000000"/>
                <w:sz w:val="26"/>
                <w:szCs w:val="26"/>
              </w:rPr>
              <w:t xml:space="preserve">L </w:t>
            </w:r>
            <w:r w:rsidRPr="003D64C0">
              <w:rPr>
                <w:color w:val="000000"/>
                <w:sz w:val="26"/>
                <w:szCs w:val="26"/>
              </w:rPr>
              <w:t>noteikto kompensācijas</w:t>
            </w:r>
            <w:r w:rsidR="00B81312" w:rsidRPr="003D64C0">
              <w:rPr>
                <w:color w:val="000000"/>
                <w:sz w:val="26"/>
                <w:szCs w:val="26"/>
              </w:rPr>
              <w:t xml:space="preserve"> sistēmu un atvieglotu tiesību piemērotāja darbu, jo </w:t>
            </w:r>
            <w:r w:rsidR="00B81312" w:rsidRPr="003D64C0">
              <w:rPr>
                <w:sz w:val="26"/>
                <w:szCs w:val="26"/>
              </w:rPr>
              <w:t xml:space="preserve">precīza esošās robežas pārņemšana </w:t>
            </w:r>
            <w:proofErr w:type="spellStart"/>
            <w:r w:rsidR="00B81312" w:rsidRPr="003D64C0">
              <w:rPr>
                <w:i/>
                <w:sz w:val="26"/>
                <w:szCs w:val="26"/>
              </w:rPr>
              <w:t>euro</w:t>
            </w:r>
            <w:proofErr w:type="spellEnd"/>
            <w:r w:rsidR="00B81312" w:rsidRPr="003D64C0">
              <w:rPr>
                <w:sz w:val="26"/>
                <w:szCs w:val="26"/>
              </w:rPr>
              <w:t xml:space="preserve"> nav nepieciešama.</w:t>
            </w:r>
            <w:r w:rsidR="00B81312" w:rsidRPr="00CF1DE2">
              <w:rPr>
                <w:sz w:val="26"/>
                <w:szCs w:val="26"/>
              </w:rPr>
              <w:t xml:space="preserve"> </w:t>
            </w:r>
          </w:p>
        </w:tc>
      </w:tr>
      <w:tr w:rsidR="00B81312" w:rsidRPr="00CF1DE2" w:rsidTr="002743B7">
        <w:trPr>
          <w:trHeight w:val="476"/>
        </w:trPr>
        <w:tc>
          <w:tcPr>
            <w:tcW w:w="550" w:type="dxa"/>
          </w:tcPr>
          <w:p w:rsidR="00B81312" w:rsidRPr="00CF1DE2" w:rsidRDefault="00B81312" w:rsidP="002743B7">
            <w:pPr>
              <w:pStyle w:val="naiskr"/>
              <w:spacing w:before="0" w:after="0"/>
              <w:rPr>
                <w:sz w:val="26"/>
                <w:szCs w:val="26"/>
              </w:rPr>
            </w:pPr>
            <w:r w:rsidRPr="00CF1DE2">
              <w:rPr>
                <w:sz w:val="26"/>
                <w:szCs w:val="26"/>
              </w:rPr>
              <w:t>5.</w:t>
            </w:r>
          </w:p>
        </w:tc>
        <w:tc>
          <w:tcPr>
            <w:tcW w:w="3283" w:type="dxa"/>
          </w:tcPr>
          <w:p w:rsidR="00B81312" w:rsidRPr="00CF1DE2" w:rsidRDefault="00B81312" w:rsidP="002743B7">
            <w:pPr>
              <w:pStyle w:val="naiskr"/>
              <w:spacing w:before="0" w:after="0"/>
              <w:rPr>
                <w:sz w:val="26"/>
                <w:szCs w:val="26"/>
              </w:rPr>
            </w:pPr>
            <w:r w:rsidRPr="00CF1DE2">
              <w:rPr>
                <w:sz w:val="26"/>
                <w:szCs w:val="26"/>
              </w:rPr>
              <w:t>Projekta izstrādē iesaistītās institūcijas</w:t>
            </w:r>
          </w:p>
        </w:tc>
        <w:tc>
          <w:tcPr>
            <w:tcW w:w="5892" w:type="dxa"/>
          </w:tcPr>
          <w:p w:rsidR="00B81312" w:rsidRPr="00CF1DE2" w:rsidRDefault="00D62794" w:rsidP="00D62794">
            <w:pPr>
              <w:ind w:firstLine="283"/>
              <w:jc w:val="both"/>
              <w:rPr>
                <w:sz w:val="26"/>
                <w:szCs w:val="26"/>
              </w:rPr>
            </w:pPr>
            <w:r>
              <w:rPr>
                <w:sz w:val="26"/>
                <w:szCs w:val="26"/>
              </w:rPr>
              <w:t>Projektu izstrādājusi</w:t>
            </w:r>
            <w:r w:rsidR="00B81312" w:rsidRPr="00CF1DE2">
              <w:rPr>
                <w:sz w:val="26"/>
                <w:szCs w:val="26"/>
              </w:rPr>
              <w:t xml:space="preserve"> </w:t>
            </w:r>
            <w:r>
              <w:rPr>
                <w:sz w:val="26"/>
                <w:szCs w:val="26"/>
              </w:rPr>
              <w:t>Finanšu ministrija</w:t>
            </w:r>
            <w:r w:rsidR="00B81312" w:rsidRPr="00CF1DE2">
              <w:rPr>
                <w:sz w:val="26"/>
                <w:szCs w:val="26"/>
              </w:rPr>
              <w:t xml:space="preserve">. </w:t>
            </w:r>
          </w:p>
        </w:tc>
      </w:tr>
      <w:tr w:rsidR="00B81312" w:rsidRPr="00CF1DE2" w:rsidTr="002743B7">
        <w:trPr>
          <w:trHeight w:val="956"/>
        </w:trPr>
        <w:tc>
          <w:tcPr>
            <w:tcW w:w="550" w:type="dxa"/>
          </w:tcPr>
          <w:p w:rsidR="00B81312" w:rsidRPr="00CF1DE2" w:rsidRDefault="00B81312" w:rsidP="002743B7">
            <w:pPr>
              <w:pStyle w:val="naiskr"/>
              <w:spacing w:before="0" w:after="0"/>
              <w:rPr>
                <w:sz w:val="26"/>
                <w:szCs w:val="26"/>
              </w:rPr>
            </w:pPr>
            <w:r w:rsidRPr="00CF1DE2">
              <w:rPr>
                <w:sz w:val="26"/>
                <w:szCs w:val="26"/>
              </w:rPr>
              <w:t>6.</w:t>
            </w:r>
          </w:p>
        </w:tc>
        <w:tc>
          <w:tcPr>
            <w:tcW w:w="3283" w:type="dxa"/>
          </w:tcPr>
          <w:p w:rsidR="00B81312" w:rsidRPr="00CF1DE2" w:rsidRDefault="00B81312" w:rsidP="002743B7">
            <w:pPr>
              <w:pStyle w:val="naiskr"/>
              <w:spacing w:before="0" w:after="0"/>
              <w:rPr>
                <w:i/>
                <w:sz w:val="26"/>
                <w:szCs w:val="26"/>
                <w:highlight w:val="yellow"/>
              </w:rPr>
            </w:pPr>
            <w:r w:rsidRPr="00CF1DE2">
              <w:rPr>
                <w:sz w:val="26"/>
                <w:szCs w:val="26"/>
              </w:rPr>
              <w:t>Iemesli, kādēļ netika nodrošināta sabiedrības līdzdalība</w:t>
            </w:r>
          </w:p>
        </w:tc>
        <w:tc>
          <w:tcPr>
            <w:tcW w:w="5892" w:type="dxa"/>
          </w:tcPr>
          <w:p w:rsidR="00B81312" w:rsidRPr="00CF1DE2" w:rsidRDefault="00B81312" w:rsidP="002743B7">
            <w:pPr>
              <w:pStyle w:val="FootnoteText"/>
              <w:ind w:firstLine="283"/>
              <w:jc w:val="both"/>
              <w:rPr>
                <w:sz w:val="26"/>
                <w:szCs w:val="26"/>
              </w:rPr>
            </w:pPr>
            <w:r w:rsidRPr="00CF1DE2">
              <w:rPr>
                <w:sz w:val="26"/>
                <w:szCs w:val="26"/>
              </w:rPr>
              <w:t xml:space="preserve">Sabiedrības līdzdalība projekta izstrādē netika nodrošināta, jo projekts nemaina pastāvošo tiesisko regulējumu pēc būtības, bet tikai aizstāj latus ar </w:t>
            </w:r>
            <w:proofErr w:type="spellStart"/>
            <w:r w:rsidRPr="00CF1DE2">
              <w:rPr>
                <w:i/>
                <w:sz w:val="26"/>
                <w:szCs w:val="26"/>
              </w:rPr>
              <w:t>euro</w:t>
            </w:r>
            <w:proofErr w:type="spellEnd"/>
            <w:r w:rsidRPr="00CF1DE2">
              <w:rPr>
                <w:sz w:val="26"/>
                <w:szCs w:val="26"/>
              </w:rPr>
              <w:t>.</w:t>
            </w:r>
          </w:p>
        </w:tc>
      </w:tr>
      <w:tr w:rsidR="00B81312" w:rsidRPr="00CF1DE2" w:rsidTr="002743B7">
        <w:tc>
          <w:tcPr>
            <w:tcW w:w="550" w:type="dxa"/>
          </w:tcPr>
          <w:p w:rsidR="00B81312" w:rsidRPr="00CF1DE2" w:rsidRDefault="00B81312" w:rsidP="002743B7">
            <w:pPr>
              <w:pStyle w:val="naiskr"/>
              <w:spacing w:before="0" w:after="0"/>
              <w:rPr>
                <w:sz w:val="26"/>
                <w:szCs w:val="26"/>
              </w:rPr>
            </w:pPr>
            <w:r w:rsidRPr="00CF1DE2">
              <w:rPr>
                <w:sz w:val="26"/>
                <w:szCs w:val="26"/>
              </w:rPr>
              <w:t>7.</w:t>
            </w:r>
          </w:p>
        </w:tc>
        <w:tc>
          <w:tcPr>
            <w:tcW w:w="3283" w:type="dxa"/>
          </w:tcPr>
          <w:p w:rsidR="00B81312" w:rsidRPr="00CF1DE2" w:rsidRDefault="00B81312" w:rsidP="002743B7">
            <w:pPr>
              <w:pStyle w:val="naiskr"/>
              <w:spacing w:before="0" w:after="0"/>
              <w:rPr>
                <w:sz w:val="26"/>
                <w:szCs w:val="26"/>
              </w:rPr>
            </w:pPr>
            <w:r w:rsidRPr="00CF1DE2">
              <w:rPr>
                <w:sz w:val="26"/>
                <w:szCs w:val="26"/>
              </w:rPr>
              <w:t>Cita informācija</w:t>
            </w:r>
          </w:p>
        </w:tc>
        <w:tc>
          <w:tcPr>
            <w:tcW w:w="5892" w:type="dxa"/>
          </w:tcPr>
          <w:p w:rsidR="00B81312" w:rsidRPr="00CF1DE2" w:rsidRDefault="00B81312" w:rsidP="002743B7">
            <w:pPr>
              <w:pStyle w:val="naiskr"/>
              <w:spacing w:before="0" w:after="0"/>
              <w:ind w:firstLine="283"/>
              <w:jc w:val="both"/>
              <w:rPr>
                <w:sz w:val="26"/>
                <w:szCs w:val="26"/>
              </w:rPr>
            </w:pPr>
            <w:r w:rsidRPr="00CF1DE2">
              <w:rPr>
                <w:sz w:val="26"/>
                <w:szCs w:val="26"/>
              </w:rPr>
              <w:t>Projekta izskatīšana Ministru kabinetā var notikt pēc tam, kad Eiropas Savienības Padomē saskaņā ar Līguma par Eiropas Savienības darbību 140.</w:t>
            </w:r>
            <w:r>
              <w:rPr>
                <w:sz w:val="26"/>
                <w:szCs w:val="26"/>
              </w:rPr>
              <w:t> </w:t>
            </w:r>
            <w:r w:rsidRPr="00CF1DE2">
              <w:rPr>
                <w:sz w:val="26"/>
                <w:szCs w:val="26"/>
              </w:rPr>
              <w:t>panta 2.</w:t>
            </w:r>
            <w:r>
              <w:rPr>
                <w:sz w:val="26"/>
                <w:szCs w:val="26"/>
              </w:rPr>
              <w:t> </w:t>
            </w:r>
            <w:r w:rsidRPr="00CF1DE2">
              <w:rPr>
                <w:sz w:val="26"/>
                <w:szCs w:val="26"/>
              </w:rPr>
              <w:t xml:space="preserve">punktu tiks </w:t>
            </w:r>
            <w:r w:rsidRPr="00CF1DE2">
              <w:rPr>
                <w:sz w:val="26"/>
                <w:szCs w:val="26"/>
              </w:rPr>
              <w:lastRenderedPageBreak/>
              <w:t>pieņemts lēmums par izņēmuma statusa atcelšanu Latvijas Republikai.</w:t>
            </w:r>
          </w:p>
          <w:p w:rsidR="00B81312" w:rsidRPr="00CF1DE2" w:rsidRDefault="00B81312" w:rsidP="002743B7">
            <w:pPr>
              <w:pStyle w:val="naiskr"/>
              <w:spacing w:before="0" w:after="0"/>
              <w:ind w:firstLine="283"/>
              <w:jc w:val="both"/>
              <w:rPr>
                <w:sz w:val="26"/>
                <w:szCs w:val="26"/>
              </w:rPr>
            </w:pPr>
            <w:r w:rsidRPr="00CF1DE2">
              <w:rPr>
                <w:sz w:val="26"/>
                <w:szCs w:val="26"/>
              </w:rPr>
              <w:t xml:space="preserve">Projekts virzāms izskatīšanai Saeimā vienotā ar </w:t>
            </w:r>
            <w:proofErr w:type="spellStart"/>
            <w:r w:rsidRPr="00CF1DE2">
              <w:rPr>
                <w:i/>
                <w:sz w:val="26"/>
                <w:szCs w:val="26"/>
              </w:rPr>
              <w:t>euro</w:t>
            </w:r>
            <w:proofErr w:type="spellEnd"/>
            <w:r w:rsidRPr="00CF1DE2">
              <w:rPr>
                <w:sz w:val="26"/>
                <w:szCs w:val="26"/>
              </w:rPr>
              <w:t xml:space="preserve"> ieviešanu saistīto likumprojektu paketē.</w:t>
            </w:r>
          </w:p>
          <w:p w:rsidR="00B81312" w:rsidRPr="00CF1DE2" w:rsidRDefault="00B81312" w:rsidP="002743B7">
            <w:pPr>
              <w:pStyle w:val="naiskr"/>
              <w:spacing w:before="0" w:after="0"/>
              <w:ind w:firstLine="283"/>
              <w:jc w:val="both"/>
              <w:rPr>
                <w:sz w:val="26"/>
                <w:szCs w:val="26"/>
              </w:rPr>
            </w:pPr>
            <w:r w:rsidRPr="00CF1DE2">
              <w:rPr>
                <w:sz w:val="26"/>
                <w:szCs w:val="26"/>
              </w:rPr>
              <w:t xml:space="preserve">Projektam ir jābūt apstiprinātam un publicētam oficiālajā izdevumā „Latvijas Vēstnesis” līdz </w:t>
            </w:r>
            <w:proofErr w:type="spellStart"/>
            <w:r w:rsidRPr="00CF1DE2">
              <w:rPr>
                <w:i/>
                <w:sz w:val="26"/>
                <w:szCs w:val="26"/>
              </w:rPr>
              <w:t>euro</w:t>
            </w:r>
            <w:proofErr w:type="spellEnd"/>
            <w:r w:rsidRPr="00CF1DE2">
              <w:rPr>
                <w:sz w:val="26"/>
                <w:szCs w:val="26"/>
              </w:rPr>
              <w:t xml:space="preserve"> ieviešanas dienai.</w:t>
            </w:r>
          </w:p>
        </w:tc>
      </w:tr>
    </w:tbl>
    <w:p w:rsidR="00B81312" w:rsidRPr="00CF1DE2" w:rsidRDefault="00B81312" w:rsidP="00B81312">
      <w:pPr>
        <w:pStyle w:val="naisf"/>
        <w:spacing w:before="0" w:after="0"/>
        <w:rPr>
          <w:sz w:val="26"/>
          <w:szCs w:val="26"/>
        </w:rPr>
      </w:pPr>
    </w:p>
    <w:tbl>
      <w:tblPr>
        <w:tblpPr w:leftFromText="180" w:rightFromText="180" w:vertAnchor="text" w:horzAnchor="margin" w:tblpXSpec="center" w:tblpY="149"/>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261"/>
        <w:gridCol w:w="5925"/>
      </w:tblGrid>
      <w:tr w:rsidR="00B81312" w:rsidRPr="00CF1DE2" w:rsidTr="002743B7">
        <w:tc>
          <w:tcPr>
            <w:tcW w:w="9758" w:type="dxa"/>
            <w:gridSpan w:val="3"/>
            <w:vAlign w:val="center"/>
          </w:tcPr>
          <w:p w:rsidR="00B81312" w:rsidRPr="00CF1DE2" w:rsidRDefault="00B81312" w:rsidP="002743B7">
            <w:pPr>
              <w:pStyle w:val="naisnod"/>
              <w:spacing w:before="0" w:after="0"/>
              <w:rPr>
                <w:sz w:val="26"/>
                <w:szCs w:val="26"/>
              </w:rPr>
            </w:pPr>
            <w:r w:rsidRPr="00CF1DE2">
              <w:rPr>
                <w:sz w:val="26"/>
                <w:szCs w:val="26"/>
              </w:rPr>
              <w:t>II. Tiesību akta projekta ietekme uz sabiedrību</w:t>
            </w:r>
          </w:p>
        </w:tc>
      </w:tr>
      <w:tr w:rsidR="00B81312" w:rsidRPr="00CF1DE2" w:rsidTr="002743B7">
        <w:trPr>
          <w:trHeight w:val="467"/>
        </w:trPr>
        <w:tc>
          <w:tcPr>
            <w:tcW w:w="572" w:type="dxa"/>
          </w:tcPr>
          <w:p w:rsidR="00B81312" w:rsidRPr="00CF1DE2" w:rsidRDefault="00B81312" w:rsidP="002743B7">
            <w:pPr>
              <w:pStyle w:val="naiskr"/>
              <w:spacing w:before="0" w:after="0"/>
              <w:rPr>
                <w:sz w:val="26"/>
                <w:szCs w:val="26"/>
              </w:rPr>
            </w:pPr>
            <w:r w:rsidRPr="00CF1DE2">
              <w:rPr>
                <w:sz w:val="26"/>
                <w:szCs w:val="26"/>
              </w:rPr>
              <w:t>1.</w:t>
            </w:r>
          </w:p>
        </w:tc>
        <w:tc>
          <w:tcPr>
            <w:tcW w:w="3261" w:type="dxa"/>
          </w:tcPr>
          <w:p w:rsidR="00B81312" w:rsidRPr="00CF1DE2" w:rsidRDefault="00B81312" w:rsidP="002743B7">
            <w:pPr>
              <w:pStyle w:val="naiskr"/>
              <w:spacing w:before="0" w:after="0"/>
              <w:rPr>
                <w:sz w:val="26"/>
                <w:szCs w:val="26"/>
              </w:rPr>
            </w:pPr>
            <w:r w:rsidRPr="00CF1DE2">
              <w:rPr>
                <w:sz w:val="26"/>
                <w:szCs w:val="26"/>
              </w:rPr>
              <w:t xml:space="preserve">Sabiedrības </w:t>
            </w:r>
            <w:proofErr w:type="spellStart"/>
            <w:r w:rsidRPr="00CF1DE2">
              <w:rPr>
                <w:sz w:val="26"/>
                <w:szCs w:val="26"/>
              </w:rPr>
              <w:t>mērķgrupa</w:t>
            </w:r>
            <w:proofErr w:type="spellEnd"/>
          </w:p>
        </w:tc>
        <w:tc>
          <w:tcPr>
            <w:tcW w:w="5925" w:type="dxa"/>
          </w:tcPr>
          <w:p w:rsidR="00C02A28" w:rsidRPr="00CF1DE2" w:rsidRDefault="00B81312" w:rsidP="002743B7">
            <w:pPr>
              <w:ind w:firstLine="284"/>
              <w:jc w:val="both"/>
              <w:rPr>
                <w:sz w:val="26"/>
                <w:szCs w:val="26"/>
              </w:rPr>
            </w:pPr>
            <w:r w:rsidRPr="00CF1DE2">
              <w:rPr>
                <w:sz w:val="26"/>
                <w:szCs w:val="26"/>
              </w:rPr>
              <w:t xml:space="preserve">Sabiedrības </w:t>
            </w:r>
            <w:proofErr w:type="spellStart"/>
            <w:r w:rsidRPr="00CF1DE2">
              <w:rPr>
                <w:sz w:val="26"/>
                <w:szCs w:val="26"/>
              </w:rPr>
              <w:t>mērķgrupa</w:t>
            </w:r>
            <w:proofErr w:type="spellEnd"/>
            <w:r w:rsidRPr="00CF1DE2">
              <w:rPr>
                <w:sz w:val="26"/>
                <w:szCs w:val="26"/>
              </w:rPr>
              <w:t xml:space="preserve">, kuras intereses ietekmē šis projekts, ir </w:t>
            </w:r>
            <w:r w:rsidR="00D62794">
              <w:rPr>
                <w:sz w:val="26"/>
                <w:szCs w:val="26"/>
              </w:rPr>
              <w:t xml:space="preserve">Fiskālās disciplīnas padomes </w:t>
            </w:r>
            <w:r w:rsidR="00FD4262">
              <w:rPr>
                <w:sz w:val="26"/>
                <w:szCs w:val="26"/>
              </w:rPr>
              <w:t>locekļi</w:t>
            </w:r>
            <w:r w:rsidRPr="00CF1DE2">
              <w:rPr>
                <w:sz w:val="26"/>
                <w:szCs w:val="26"/>
              </w:rPr>
              <w:t xml:space="preserve">. </w:t>
            </w:r>
            <w:r w:rsidR="00C02A28">
              <w:rPr>
                <w:sz w:val="26"/>
                <w:szCs w:val="26"/>
              </w:rPr>
              <w:t>Saskaņā ar Fiskālās disciplīnas likuma 22.pantu, Fiskālās disciplīnas padomes sastāvā ir seši locekļi.</w:t>
            </w:r>
          </w:p>
          <w:p w:rsidR="00B81312" w:rsidRPr="00CF1DE2" w:rsidRDefault="00B81312" w:rsidP="002743B7">
            <w:pPr>
              <w:pStyle w:val="naiskr"/>
              <w:spacing w:before="0" w:after="0"/>
              <w:ind w:hanging="57"/>
              <w:rPr>
                <w:sz w:val="26"/>
                <w:szCs w:val="26"/>
              </w:rPr>
            </w:pPr>
          </w:p>
        </w:tc>
      </w:tr>
      <w:tr w:rsidR="00B81312" w:rsidRPr="00CF1DE2" w:rsidTr="002743B7">
        <w:trPr>
          <w:trHeight w:val="523"/>
        </w:trPr>
        <w:tc>
          <w:tcPr>
            <w:tcW w:w="572" w:type="dxa"/>
          </w:tcPr>
          <w:p w:rsidR="00B81312" w:rsidRPr="00CF1DE2" w:rsidRDefault="00B81312" w:rsidP="002743B7">
            <w:pPr>
              <w:pStyle w:val="naiskr"/>
              <w:spacing w:before="0" w:after="0"/>
              <w:rPr>
                <w:sz w:val="26"/>
                <w:szCs w:val="26"/>
              </w:rPr>
            </w:pPr>
            <w:r w:rsidRPr="00CF1DE2">
              <w:rPr>
                <w:sz w:val="26"/>
                <w:szCs w:val="26"/>
              </w:rPr>
              <w:t>2.</w:t>
            </w:r>
          </w:p>
        </w:tc>
        <w:tc>
          <w:tcPr>
            <w:tcW w:w="3261" w:type="dxa"/>
          </w:tcPr>
          <w:p w:rsidR="00B81312" w:rsidRPr="00CF1DE2" w:rsidRDefault="00B81312" w:rsidP="002743B7">
            <w:pPr>
              <w:pStyle w:val="naiskr"/>
              <w:spacing w:before="0" w:after="0"/>
              <w:rPr>
                <w:sz w:val="26"/>
                <w:szCs w:val="26"/>
              </w:rPr>
            </w:pPr>
            <w:r w:rsidRPr="00CF1DE2">
              <w:rPr>
                <w:sz w:val="26"/>
                <w:szCs w:val="26"/>
              </w:rPr>
              <w:t xml:space="preserve">Citas sabiedrības grupas (bez </w:t>
            </w:r>
            <w:proofErr w:type="spellStart"/>
            <w:r w:rsidRPr="00CF1DE2">
              <w:rPr>
                <w:sz w:val="26"/>
                <w:szCs w:val="26"/>
              </w:rPr>
              <w:t>mērķgrupas</w:t>
            </w:r>
            <w:proofErr w:type="spellEnd"/>
            <w:r w:rsidRPr="00CF1DE2">
              <w:rPr>
                <w:sz w:val="26"/>
                <w:szCs w:val="26"/>
              </w:rPr>
              <w:t>), kuras tiesiskais regulējums arī ietekmē vai varētu ietekmēt</w:t>
            </w:r>
          </w:p>
        </w:tc>
        <w:tc>
          <w:tcPr>
            <w:tcW w:w="5925" w:type="dxa"/>
          </w:tcPr>
          <w:p w:rsidR="00B81312" w:rsidRPr="00CF1DE2" w:rsidRDefault="003E7831" w:rsidP="002743B7">
            <w:pPr>
              <w:pStyle w:val="naiskr"/>
              <w:spacing w:before="0" w:after="0"/>
              <w:ind w:firstLine="284"/>
              <w:rPr>
                <w:sz w:val="26"/>
                <w:szCs w:val="26"/>
              </w:rPr>
            </w:pPr>
            <w:r>
              <w:rPr>
                <w:sz w:val="26"/>
                <w:szCs w:val="26"/>
              </w:rPr>
              <w:t>Projekts šo jomu neskar</w:t>
            </w:r>
            <w:r w:rsidRPr="00CF1DE2">
              <w:rPr>
                <w:sz w:val="26"/>
                <w:szCs w:val="26"/>
              </w:rPr>
              <w:t>.</w:t>
            </w:r>
          </w:p>
        </w:tc>
      </w:tr>
      <w:tr w:rsidR="00B81312" w:rsidRPr="00CF1DE2" w:rsidTr="002743B7">
        <w:trPr>
          <w:trHeight w:val="517"/>
        </w:trPr>
        <w:tc>
          <w:tcPr>
            <w:tcW w:w="572" w:type="dxa"/>
          </w:tcPr>
          <w:p w:rsidR="00B81312" w:rsidRPr="00CF1DE2" w:rsidRDefault="00B81312" w:rsidP="002743B7">
            <w:pPr>
              <w:pStyle w:val="naiskr"/>
              <w:spacing w:before="0" w:after="0"/>
              <w:rPr>
                <w:sz w:val="26"/>
                <w:szCs w:val="26"/>
              </w:rPr>
            </w:pPr>
            <w:r w:rsidRPr="00CF1DE2">
              <w:rPr>
                <w:sz w:val="26"/>
                <w:szCs w:val="26"/>
              </w:rPr>
              <w:t>3.</w:t>
            </w:r>
          </w:p>
        </w:tc>
        <w:tc>
          <w:tcPr>
            <w:tcW w:w="3261" w:type="dxa"/>
          </w:tcPr>
          <w:p w:rsidR="00B81312" w:rsidRPr="00CF1DE2" w:rsidRDefault="00B81312" w:rsidP="002743B7">
            <w:pPr>
              <w:pStyle w:val="naiskr"/>
              <w:spacing w:before="0" w:after="0"/>
              <w:rPr>
                <w:sz w:val="26"/>
                <w:szCs w:val="26"/>
              </w:rPr>
            </w:pPr>
            <w:r w:rsidRPr="00CF1DE2">
              <w:rPr>
                <w:sz w:val="26"/>
                <w:szCs w:val="26"/>
              </w:rPr>
              <w:t>Tiesiskā regulējuma finansiālā ietekme</w:t>
            </w:r>
          </w:p>
        </w:tc>
        <w:tc>
          <w:tcPr>
            <w:tcW w:w="5925" w:type="dxa"/>
          </w:tcPr>
          <w:p w:rsidR="00B81312" w:rsidRPr="00CF1DE2" w:rsidRDefault="00B81312" w:rsidP="00D62794">
            <w:pPr>
              <w:pStyle w:val="naiskr"/>
              <w:spacing w:before="0" w:after="0"/>
              <w:ind w:firstLine="284"/>
              <w:jc w:val="both"/>
              <w:rPr>
                <w:sz w:val="26"/>
                <w:szCs w:val="26"/>
              </w:rPr>
            </w:pPr>
            <w:r w:rsidRPr="00CF1DE2">
              <w:rPr>
                <w:sz w:val="26"/>
                <w:szCs w:val="26"/>
              </w:rPr>
              <w:t xml:space="preserve">Projektā paredzētais regulējums, veicot </w:t>
            </w:r>
            <w:r w:rsidR="00D62794">
              <w:rPr>
                <w:sz w:val="26"/>
                <w:szCs w:val="26"/>
              </w:rPr>
              <w:t>kompensācijas apmēra</w:t>
            </w:r>
            <w:r w:rsidRPr="00CF1DE2">
              <w:rPr>
                <w:sz w:val="26"/>
                <w:szCs w:val="26"/>
              </w:rPr>
              <w:t xml:space="preserve"> noapaļošanu, </w:t>
            </w:r>
            <w:r w:rsidR="00D62794">
              <w:rPr>
                <w:sz w:val="26"/>
                <w:szCs w:val="26"/>
              </w:rPr>
              <w:t>personām, kas iesaistītas Fiskālās padomes darba nodrošināšanā,</w:t>
            </w:r>
            <w:r w:rsidRPr="00CF1DE2">
              <w:rPr>
                <w:sz w:val="26"/>
                <w:szCs w:val="26"/>
              </w:rPr>
              <w:t xml:space="preserve"> ir labvēlīgāks, jo paredz šo maksājumu noapaļošanu uz </w:t>
            </w:r>
            <w:r w:rsidR="00D62794">
              <w:rPr>
                <w:sz w:val="26"/>
                <w:szCs w:val="26"/>
              </w:rPr>
              <w:t>augšu</w:t>
            </w:r>
            <w:r w:rsidRPr="00CF1DE2">
              <w:rPr>
                <w:sz w:val="26"/>
                <w:szCs w:val="26"/>
              </w:rPr>
              <w:t xml:space="preserve">. Vienlaicīgi tas kopumā neradīs būtisku iespaidu uz valsts budžetu, jo noapaļošana katrā maksājumā nepārsniedz </w:t>
            </w:r>
            <w:r>
              <w:rPr>
                <w:sz w:val="26"/>
                <w:szCs w:val="26"/>
              </w:rPr>
              <w:t>0,</w:t>
            </w:r>
            <w:r w:rsidR="00D62794">
              <w:rPr>
                <w:sz w:val="26"/>
                <w:szCs w:val="26"/>
              </w:rPr>
              <w:t>40</w:t>
            </w:r>
            <w:r w:rsidRPr="00CF1DE2">
              <w:rPr>
                <w:sz w:val="26"/>
                <w:szCs w:val="26"/>
              </w:rPr>
              <w:t xml:space="preserve"> </w:t>
            </w:r>
            <w:proofErr w:type="spellStart"/>
            <w:r w:rsidRPr="00CF1DE2">
              <w:rPr>
                <w:i/>
                <w:sz w:val="26"/>
                <w:szCs w:val="26"/>
              </w:rPr>
              <w:t>euro</w:t>
            </w:r>
            <w:proofErr w:type="spellEnd"/>
            <w:r w:rsidRPr="00CF1DE2">
              <w:rPr>
                <w:sz w:val="26"/>
                <w:szCs w:val="26"/>
              </w:rPr>
              <w:t>. Tiesiskā regulējuma izmaiņas kopumā finansiālo ietekmi iedzīvotājiem kā arī valsts budžetam nemainīs.</w:t>
            </w:r>
            <w:r>
              <w:rPr>
                <w:sz w:val="26"/>
                <w:szCs w:val="26"/>
              </w:rPr>
              <w:t xml:space="preserve"> </w:t>
            </w:r>
          </w:p>
        </w:tc>
      </w:tr>
      <w:tr w:rsidR="00B81312" w:rsidRPr="00CF1DE2" w:rsidTr="002743B7">
        <w:trPr>
          <w:trHeight w:val="517"/>
        </w:trPr>
        <w:tc>
          <w:tcPr>
            <w:tcW w:w="572" w:type="dxa"/>
          </w:tcPr>
          <w:p w:rsidR="00B81312" w:rsidRPr="00CF1DE2" w:rsidRDefault="00B81312" w:rsidP="002743B7">
            <w:pPr>
              <w:pStyle w:val="naiskr"/>
              <w:spacing w:before="0" w:after="0"/>
              <w:rPr>
                <w:sz w:val="26"/>
                <w:szCs w:val="26"/>
              </w:rPr>
            </w:pPr>
            <w:r w:rsidRPr="00CF1DE2">
              <w:rPr>
                <w:sz w:val="26"/>
                <w:szCs w:val="26"/>
              </w:rPr>
              <w:t>4.</w:t>
            </w:r>
          </w:p>
        </w:tc>
        <w:tc>
          <w:tcPr>
            <w:tcW w:w="3261" w:type="dxa"/>
          </w:tcPr>
          <w:p w:rsidR="00B81312" w:rsidRPr="00CF1DE2" w:rsidRDefault="00B81312" w:rsidP="002743B7">
            <w:pPr>
              <w:pStyle w:val="naiskr"/>
              <w:spacing w:before="0" w:after="0"/>
              <w:rPr>
                <w:sz w:val="26"/>
                <w:szCs w:val="26"/>
              </w:rPr>
            </w:pPr>
            <w:r w:rsidRPr="00CF1DE2">
              <w:rPr>
                <w:sz w:val="26"/>
                <w:szCs w:val="26"/>
              </w:rPr>
              <w:t>Tiesiskā regulējuma nefinansiālā ietekme</w:t>
            </w:r>
          </w:p>
        </w:tc>
        <w:tc>
          <w:tcPr>
            <w:tcW w:w="5925" w:type="dxa"/>
          </w:tcPr>
          <w:p w:rsidR="00B81312" w:rsidRPr="00CF1DE2" w:rsidRDefault="003E7831" w:rsidP="002743B7">
            <w:pPr>
              <w:pStyle w:val="naiskr"/>
              <w:spacing w:before="0" w:after="0"/>
              <w:ind w:firstLine="708"/>
              <w:rPr>
                <w:sz w:val="26"/>
                <w:szCs w:val="26"/>
              </w:rPr>
            </w:pPr>
            <w:r>
              <w:rPr>
                <w:sz w:val="26"/>
                <w:szCs w:val="26"/>
              </w:rPr>
              <w:t>Projekts šo jomu neskar</w:t>
            </w:r>
            <w:r w:rsidRPr="00CF1DE2">
              <w:rPr>
                <w:sz w:val="26"/>
                <w:szCs w:val="26"/>
              </w:rPr>
              <w:t>.</w:t>
            </w:r>
          </w:p>
        </w:tc>
      </w:tr>
      <w:tr w:rsidR="00B81312" w:rsidRPr="00CF1DE2" w:rsidTr="002743B7">
        <w:trPr>
          <w:trHeight w:val="531"/>
        </w:trPr>
        <w:tc>
          <w:tcPr>
            <w:tcW w:w="572" w:type="dxa"/>
          </w:tcPr>
          <w:p w:rsidR="00B81312" w:rsidRPr="00CF1DE2" w:rsidRDefault="00B81312" w:rsidP="002743B7">
            <w:pPr>
              <w:pStyle w:val="naiskr"/>
              <w:spacing w:before="0" w:after="0"/>
              <w:rPr>
                <w:sz w:val="26"/>
                <w:szCs w:val="26"/>
              </w:rPr>
            </w:pPr>
            <w:r w:rsidRPr="00CF1DE2">
              <w:rPr>
                <w:sz w:val="26"/>
                <w:szCs w:val="26"/>
              </w:rPr>
              <w:t>5.</w:t>
            </w:r>
          </w:p>
        </w:tc>
        <w:tc>
          <w:tcPr>
            <w:tcW w:w="3261" w:type="dxa"/>
          </w:tcPr>
          <w:p w:rsidR="00B81312" w:rsidRPr="00CF1DE2" w:rsidRDefault="00B81312" w:rsidP="002743B7">
            <w:pPr>
              <w:pStyle w:val="naiskr"/>
              <w:spacing w:before="0" w:after="0"/>
              <w:rPr>
                <w:sz w:val="26"/>
                <w:szCs w:val="26"/>
              </w:rPr>
            </w:pPr>
            <w:r w:rsidRPr="00CF1DE2">
              <w:rPr>
                <w:sz w:val="26"/>
                <w:szCs w:val="26"/>
              </w:rPr>
              <w:t>Administratīvās procedūras raksturojums</w:t>
            </w:r>
          </w:p>
        </w:tc>
        <w:tc>
          <w:tcPr>
            <w:tcW w:w="5925" w:type="dxa"/>
          </w:tcPr>
          <w:p w:rsidR="00B81312" w:rsidRPr="00CF1DE2" w:rsidRDefault="003E7831" w:rsidP="002743B7">
            <w:pPr>
              <w:pStyle w:val="naiskr"/>
              <w:spacing w:before="0" w:after="0"/>
              <w:ind w:firstLine="708"/>
              <w:rPr>
                <w:sz w:val="26"/>
                <w:szCs w:val="26"/>
              </w:rPr>
            </w:pPr>
            <w:r>
              <w:rPr>
                <w:sz w:val="26"/>
                <w:szCs w:val="26"/>
              </w:rPr>
              <w:t>Projekts šo jomu neskar</w:t>
            </w:r>
            <w:r w:rsidRPr="00CF1DE2">
              <w:rPr>
                <w:sz w:val="26"/>
                <w:szCs w:val="26"/>
              </w:rPr>
              <w:t>.</w:t>
            </w:r>
          </w:p>
        </w:tc>
      </w:tr>
      <w:tr w:rsidR="00B81312" w:rsidRPr="00CF1DE2" w:rsidTr="002743B7">
        <w:trPr>
          <w:trHeight w:val="357"/>
        </w:trPr>
        <w:tc>
          <w:tcPr>
            <w:tcW w:w="572" w:type="dxa"/>
          </w:tcPr>
          <w:p w:rsidR="00B81312" w:rsidRPr="00CF1DE2" w:rsidRDefault="00B81312" w:rsidP="002743B7">
            <w:pPr>
              <w:pStyle w:val="naiskr"/>
              <w:spacing w:before="0" w:after="0"/>
              <w:rPr>
                <w:sz w:val="26"/>
                <w:szCs w:val="26"/>
              </w:rPr>
            </w:pPr>
            <w:r w:rsidRPr="00CF1DE2">
              <w:rPr>
                <w:sz w:val="26"/>
                <w:szCs w:val="26"/>
              </w:rPr>
              <w:t>6.</w:t>
            </w:r>
          </w:p>
        </w:tc>
        <w:tc>
          <w:tcPr>
            <w:tcW w:w="3261" w:type="dxa"/>
          </w:tcPr>
          <w:p w:rsidR="00B81312" w:rsidRPr="00CF1DE2" w:rsidRDefault="00B81312" w:rsidP="002743B7">
            <w:pPr>
              <w:pStyle w:val="naiskr"/>
              <w:spacing w:before="0" w:after="0"/>
              <w:rPr>
                <w:sz w:val="26"/>
                <w:szCs w:val="26"/>
              </w:rPr>
            </w:pPr>
            <w:r w:rsidRPr="00CF1DE2">
              <w:rPr>
                <w:sz w:val="26"/>
                <w:szCs w:val="26"/>
              </w:rPr>
              <w:t>Administratīvo izmaksu monetārs novērtējums</w:t>
            </w:r>
          </w:p>
        </w:tc>
        <w:tc>
          <w:tcPr>
            <w:tcW w:w="5925" w:type="dxa"/>
          </w:tcPr>
          <w:p w:rsidR="00B81312" w:rsidRPr="00CF1DE2" w:rsidRDefault="003E7831" w:rsidP="002743B7">
            <w:pPr>
              <w:pStyle w:val="naiskr"/>
              <w:spacing w:before="0" w:after="0"/>
              <w:ind w:firstLine="708"/>
              <w:rPr>
                <w:sz w:val="26"/>
                <w:szCs w:val="26"/>
              </w:rPr>
            </w:pPr>
            <w:r>
              <w:rPr>
                <w:sz w:val="26"/>
                <w:szCs w:val="26"/>
              </w:rPr>
              <w:t>Projekts šo jomu neskar</w:t>
            </w:r>
            <w:r w:rsidRPr="00CF1DE2">
              <w:rPr>
                <w:sz w:val="26"/>
                <w:szCs w:val="26"/>
              </w:rPr>
              <w:t>.</w:t>
            </w:r>
          </w:p>
        </w:tc>
      </w:tr>
      <w:tr w:rsidR="00B81312" w:rsidRPr="00CF1DE2" w:rsidTr="002743B7">
        <w:tc>
          <w:tcPr>
            <w:tcW w:w="572" w:type="dxa"/>
          </w:tcPr>
          <w:p w:rsidR="00B81312" w:rsidRPr="00CF1DE2" w:rsidRDefault="00B81312" w:rsidP="002743B7">
            <w:pPr>
              <w:pStyle w:val="naiskr"/>
              <w:spacing w:before="0" w:after="0"/>
              <w:rPr>
                <w:sz w:val="26"/>
                <w:szCs w:val="26"/>
              </w:rPr>
            </w:pPr>
            <w:r w:rsidRPr="00CF1DE2">
              <w:rPr>
                <w:sz w:val="26"/>
                <w:szCs w:val="26"/>
              </w:rPr>
              <w:t>7.</w:t>
            </w:r>
          </w:p>
        </w:tc>
        <w:tc>
          <w:tcPr>
            <w:tcW w:w="3261" w:type="dxa"/>
          </w:tcPr>
          <w:p w:rsidR="00B81312" w:rsidRPr="00CF1DE2" w:rsidRDefault="00B81312" w:rsidP="002743B7">
            <w:pPr>
              <w:pStyle w:val="naiskr"/>
              <w:spacing w:before="0" w:after="0"/>
              <w:rPr>
                <w:sz w:val="26"/>
                <w:szCs w:val="26"/>
              </w:rPr>
            </w:pPr>
            <w:r w:rsidRPr="00CF1DE2">
              <w:rPr>
                <w:sz w:val="26"/>
                <w:szCs w:val="26"/>
              </w:rPr>
              <w:t>Cita informācija</w:t>
            </w:r>
          </w:p>
        </w:tc>
        <w:tc>
          <w:tcPr>
            <w:tcW w:w="5925" w:type="dxa"/>
          </w:tcPr>
          <w:p w:rsidR="00B81312" w:rsidRPr="00CF1DE2" w:rsidRDefault="00B81312" w:rsidP="002743B7">
            <w:pPr>
              <w:pStyle w:val="naiskr"/>
              <w:spacing w:before="0" w:after="0"/>
              <w:ind w:firstLine="708"/>
              <w:rPr>
                <w:sz w:val="26"/>
                <w:szCs w:val="26"/>
              </w:rPr>
            </w:pPr>
            <w:r w:rsidRPr="00CF1DE2">
              <w:rPr>
                <w:sz w:val="26"/>
                <w:szCs w:val="26"/>
              </w:rPr>
              <w:t>Nav.</w:t>
            </w:r>
          </w:p>
        </w:tc>
      </w:tr>
    </w:tbl>
    <w:p w:rsidR="00B81312" w:rsidRPr="00CF1DE2" w:rsidRDefault="00B81312" w:rsidP="00B81312">
      <w:pPr>
        <w:pStyle w:val="naisf"/>
        <w:spacing w:before="0" w:after="0"/>
        <w:rPr>
          <w:sz w:val="26"/>
          <w:szCs w:val="26"/>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86"/>
        <w:gridCol w:w="1375"/>
      </w:tblGrid>
      <w:tr w:rsidR="00B81312" w:rsidRPr="00CF1DE2" w:rsidTr="002743B7">
        <w:trPr>
          <w:trHeight w:val="652"/>
          <w:jc w:val="center"/>
        </w:trPr>
        <w:tc>
          <w:tcPr>
            <w:tcW w:w="10124" w:type="dxa"/>
            <w:gridSpan w:val="6"/>
          </w:tcPr>
          <w:p w:rsidR="00B81312" w:rsidRPr="00CF1DE2" w:rsidRDefault="00B81312" w:rsidP="002743B7">
            <w:pPr>
              <w:pStyle w:val="naisnod"/>
              <w:spacing w:before="0" w:after="0"/>
              <w:rPr>
                <w:i/>
                <w:sz w:val="26"/>
                <w:szCs w:val="26"/>
              </w:rPr>
            </w:pPr>
            <w:r w:rsidRPr="00CF1DE2">
              <w:rPr>
                <w:sz w:val="26"/>
                <w:szCs w:val="26"/>
              </w:rPr>
              <w:br w:type="page"/>
              <w:t>III. Tiesību akta projekta ietekme uz valsts budžetu un pašvaldību budžetiem</w:t>
            </w:r>
          </w:p>
        </w:tc>
      </w:tr>
      <w:tr w:rsidR="00B81312" w:rsidRPr="00CF1DE2" w:rsidTr="002743B7">
        <w:trPr>
          <w:jc w:val="center"/>
        </w:trPr>
        <w:tc>
          <w:tcPr>
            <w:tcW w:w="3324" w:type="dxa"/>
            <w:vMerge w:val="restart"/>
            <w:vAlign w:val="center"/>
          </w:tcPr>
          <w:p w:rsidR="00B81312" w:rsidRPr="00CF1DE2" w:rsidRDefault="00B81312" w:rsidP="002743B7">
            <w:pPr>
              <w:pStyle w:val="naisf"/>
              <w:spacing w:before="0" w:after="0"/>
              <w:ind w:firstLine="0"/>
              <w:jc w:val="center"/>
              <w:rPr>
                <w:b/>
                <w:sz w:val="26"/>
                <w:szCs w:val="26"/>
              </w:rPr>
            </w:pPr>
            <w:r w:rsidRPr="00CF1DE2">
              <w:rPr>
                <w:b/>
                <w:sz w:val="26"/>
                <w:szCs w:val="26"/>
              </w:rPr>
              <w:t>Rādītāji</w:t>
            </w:r>
          </w:p>
        </w:tc>
        <w:tc>
          <w:tcPr>
            <w:tcW w:w="2685" w:type="dxa"/>
            <w:gridSpan w:val="2"/>
            <w:vMerge w:val="restart"/>
            <w:vAlign w:val="center"/>
          </w:tcPr>
          <w:p w:rsidR="00B81312" w:rsidRPr="00CF1DE2" w:rsidRDefault="00B81312" w:rsidP="002743B7">
            <w:pPr>
              <w:pStyle w:val="naisf"/>
              <w:spacing w:before="0" w:after="0"/>
              <w:ind w:firstLine="0"/>
              <w:jc w:val="center"/>
              <w:rPr>
                <w:b/>
                <w:sz w:val="26"/>
                <w:szCs w:val="26"/>
              </w:rPr>
            </w:pPr>
            <w:r w:rsidRPr="00CF1DE2">
              <w:rPr>
                <w:b/>
                <w:sz w:val="26"/>
                <w:szCs w:val="26"/>
              </w:rPr>
              <w:t>2013.gads</w:t>
            </w:r>
          </w:p>
        </w:tc>
        <w:tc>
          <w:tcPr>
            <w:tcW w:w="4115" w:type="dxa"/>
            <w:gridSpan w:val="3"/>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Turpmākie trīs gadi (tūkst</w:t>
            </w:r>
            <w:smartTag w:uri="schemas-tilde-lv/tildestengine" w:element="currency2">
              <w:smartTagPr>
                <w:attr w:name="currency_id" w:val="48"/>
                <w:attr w:name="currency_key" w:val="LVL"/>
                <w:attr w:name="currency_value" w:val="."/>
                <w:attr w:name="currency_text" w:val="latu"/>
              </w:smartTagPr>
              <w:r w:rsidRPr="00CF1DE2">
                <w:rPr>
                  <w:sz w:val="26"/>
                  <w:szCs w:val="26"/>
                </w:rPr>
                <w:t>. latu</w:t>
              </w:r>
            </w:smartTag>
            <w:r w:rsidRPr="00CF1DE2">
              <w:rPr>
                <w:sz w:val="26"/>
                <w:szCs w:val="26"/>
              </w:rPr>
              <w:t>)</w:t>
            </w:r>
          </w:p>
        </w:tc>
      </w:tr>
      <w:tr w:rsidR="00B81312" w:rsidRPr="00CF1DE2" w:rsidTr="002743B7">
        <w:trPr>
          <w:jc w:val="center"/>
        </w:trPr>
        <w:tc>
          <w:tcPr>
            <w:tcW w:w="3324" w:type="dxa"/>
            <w:vMerge/>
            <w:vAlign w:val="center"/>
          </w:tcPr>
          <w:p w:rsidR="00B81312" w:rsidRPr="00CF1DE2" w:rsidRDefault="00B81312" w:rsidP="002743B7">
            <w:pPr>
              <w:pStyle w:val="naisf"/>
              <w:spacing w:before="0" w:after="0"/>
              <w:ind w:firstLine="0"/>
              <w:jc w:val="center"/>
              <w:rPr>
                <w:b/>
                <w:i/>
                <w:sz w:val="26"/>
                <w:szCs w:val="26"/>
              </w:rPr>
            </w:pPr>
          </w:p>
        </w:tc>
        <w:tc>
          <w:tcPr>
            <w:tcW w:w="2685" w:type="dxa"/>
            <w:gridSpan w:val="2"/>
            <w:vMerge/>
            <w:vAlign w:val="center"/>
          </w:tcPr>
          <w:p w:rsidR="00B81312" w:rsidRPr="00CF1DE2" w:rsidRDefault="00B81312" w:rsidP="002743B7">
            <w:pPr>
              <w:pStyle w:val="naisf"/>
              <w:spacing w:before="0" w:after="0"/>
              <w:ind w:firstLine="0"/>
              <w:jc w:val="center"/>
              <w:rPr>
                <w:b/>
                <w:i/>
                <w:sz w:val="26"/>
                <w:szCs w:val="26"/>
              </w:rPr>
            </w:pPr>
          </w:p>
        </w:tc>
        <w:tc>
          <w:tcPr>
            <w:tcW w:w="1354" w:type="dxa"/>
            <w:vAlign w:val="center"/>
          </w:tcPr>
          <w:p w:rsidR="00B81312" w:rsidRPr="00CF1DE2" w:rsidRDefault="00B81312" w:rsidP="002743B7">
            <w:pPr>
              <w:pStyle w:val="naisf"/>
              <w:spacing w:before="0" w:after="0"/>
              <w:ind w:firstLine="0"/>
              <w:jc w:val="center"/>
              <w:rPr>
                <w:b/>
                <w:i/>
                <w:sz w:val="26"/>
                <w:szCs w:val="26"/>
              </w:rPr>
            </w:pPr>
            <w:r w:rsidRPr="00CF1DE2">
              <w:rPr>
                <w:b/>
                <w:sz w:val="26"/>
                <w:szCs w:val="26"/>
              </w:rPr>
              <w:t>2014.gads</w:t>
            </w:r>
          </w:p>
        </w:tc>
        <w:tc>
          <w:tcPr>
            <w:tcW w:w="1386" w:type="dxa"/>
            <w:vAlign w:val="center"/>
          </w:tcPr>
          <w:p w:rsidR="00B81312" w:rsidRPr="00CF1DE2" w:rsidRDefault="00B81312" w:rsidP="002743B7">
            <w:pPr>
              <w:pStyle w:val="naisf"/>
              <w:spacing w:before="0" w:after="0"/>
              <w:ind w:firstLine="0"/>
              <w:jc w:val="center"/>
              <w:rPr>
                <w:b/>
                <w:i/>
                <w:sz w:val="26"/>
                <w:szCs w:val="26"/>
              </w:rPr>
            </w:pPr>
            <w:r w:rsidRPr="00CF1DE2">
              <w:rPr>
                <w:b/>
                <w:sz w:val="26"/>
                <w:szCs w:val="26"/>
              </w:rPr>
              <w:t>2015.gads</w:t>
            </w:r>
          </w:p>
        </w:tc>
        <w:tc>
          <w:tcPr>
            <w:tcW w:w="1375" w:type="dxa"/>
            <w:vAlign w:val="center"/>
          </w:tcPr>
          <w:p w:rsidR="00B81312" w:rsidRPr="00CF1DE2" w:rsidRDefault="00B81312" w:rsidP="002743B7">
            <w:pPr>
              <w:pStyle w:val="naisf"/>
              <w:spacing w:before="0" w:after="0"/>
              <w:ind w:firstLine="0"/>
              <w:jc w:val="center"/>
              <w:rPr>
                <w:b/>
                <w:i/>
                <w:sz w:val="26"/>
                <w:szCs w:val="26"/>
              </w:rPr>
            </w:pPr>
            <w:r w:rsidRPr="00CF1DE2">
              <w:rPr>
                <w:b/>
                <w:sz w:val="26"/>
                <w:szCs w:val="26"/>
              </w:rPr>
              <w:t>2016.gads</w:t>
            </w:r>
          </w:p>
        </w:tc>
      </w:tr>
      <w:tr w:rsidR="00B81312" w:rsidRPr="00CF1DE2" w:rsidTr="002743B7">
        <w:trPr>
          <w:jc w:val="center"/>
        </w:trPr>
        <w:tc>
          <w:tcPr>
            <w:tcW w:w="3324" w:type="dxa"/>
            <w:vMerge/>
            <w:vAlign w:val="center"/>
          </w:tcPr>
          <w:p w:rsidR="00B81312" w:rsidRPr="00CF1DE2" w:rsidRDefault="00B81312" w:rsidP="002743B7">
            <w:pPr>
              <w:pStyle w:val="naisf"/>
              <w:spacing w:before="0" w:after="0"/>
              <w:ind w:firstLine="0"/>
              <w:jc w:val="center"/>
              <w:rPr>
                <w:b/>
                <w:i/>
                <w:sz w:val="26"/>
                <w:szCs w:val="26"/>
              </w:rPr>
            </w:pPr>
          </w:p>
        </w:tc>
        <w:tc>
          <w:tcPr>
            <w:tcW w:w="1331" w:type="dxa"/>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Saskaņā ar valsts budžetu kārtējam gadam</w:t>
            </w:r>
          </w:p>
        </w:tc>
        <w:tc>
          <w:tcPr>
            <w:tcW w:w="1354" w:type="dxa"/>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Izmaiņas kārtējā gadā, salīdzinot ar budžetu kārtējam gadam</w:t>
            </w:r>
          </w:p>
        </w:tc>
        <w:tc>
          <w:tcPr>
            <w:tcW w:w="1354" w:type="dxa"/>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 xml:space="preserve">Izmaiņas, salīdzinot ar 2013.gadu </w:t>
            </w:r>
          </w:p>
        </w:tc>
        <w:tc>
          <w:tcPr>
            <w:tcW w:w="1386" w:type="dxa"/>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 xml:space="preserve">Izmaiņas, salīdzinot ar 2013.gadu </w:t>
            </w:r>
          </w:p>
        </w:tc>
        <w:tc>
          <w:tcPr>
            <w:tcW w:w="1375" w:type="dxa"/>
            <w:vAlign w:val="center"/>
          </w:tcPr>
          <w:p w:rsidR="00B81312" w:rsidRPr="00CF1DE2" w:rsidRDefault="00B81312" w:rsidP="002743B7">
            <w:pPr>
              <w:pStyle w:val="naisf"/>
              <w:spacing w:before="0" w:after="0"/>
              <w:ind w:firstLine="0"/>
              <w:jc w:val="center"/>
              <w:rPr>
                <w:b/>
                <w:i/>
                <w:sz w:val="26"/>
                <w:szCs w:val="26"/>
              </w:rPr>
            </w:pPr>
            <w:r w:rsidRPr="00CF1DE2">
              <w:rPr>
                <w:sz w:val="26"/>
                <w:szCs w:val="26"/>
              </w:rPr>
              <w:t xml:space="preserve">Izmaiņas, salīdzinot ar 2013.gadu </w:t>
            </w:r>
          </w:p>
        </w:tc>
      </w:tr>
      <w:tr w:rsidR="00B81312" w:rsidRPr="00CF1DE2" w:rsidTr="002743B7">
        <w:trPr>
          <w:jc w:val="center"/>
        </w:trPr>
        <w:tc>
          <w:tcPr>
            <w:tcW w:w="3324"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1</w:t>
            </w:r>
          </w:p>
        </w:tc>
        <w:tc>
          <w:tcPr>
            <w:tcW w:w="1331"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2</w:t>
            </w:r>
          </w:p>
        </w:tc>
        <w:tc>
          <w:tcPr>
            <w:tcW w:w="1354"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3</w:t>
            </w:r>
          </w:p>
        </w:tc>
        <w:tc>
          <w:tcPr>
            <w:tcW w:w="1354"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4</w:t>
            </w:r>
          </w:p>
        </w:tc>
        <w:tc>
          <w:tcPr>
            <w:tcW w:w="1386"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5</w:t>
            </w:r>
          </w:p>
        </w:tc>
        <w:tc>
          <w:tcPr>
            <w:tcW w:w="1375" w:type="dxa"/>
            <w:vAlign w:val="center"/>
          </w:tcPr>
          <w:p w:rsidR="00B81312" w:rsidRPr="00CF1DE2" w:rsidRDefault="00B81312" w:rsidP="002743B7">
            <w:pPr>
              <w:pStyle w:val="naisf"/>
              <w:spacing w:before="0" w:after="0"/>
              <w:ind w:firstLine="0"/>
              <w:jc w:val="center"/>
              <w:rPr>
                <w:bCs/>
                <w:sz w:val="26"/>
                <w:szCs w:val="26"/>
              </w:rPr>
            </w:pPr>
            <w:r w:rsidRPr="00CF1DE2">
              <w:rPr>
                <w:bCs/>
                <w:sz w:val="26"/>
                <w:szCs w:val="26"/>
              </w:rPr>
              <w:t>6</w:t>
            </w:r>
          </w:p>
        </w:tc>
      </w:tr>
      <w:tr w:rsidR="00B81312" w:rsidRPr="00CF1DE2" w:rsidTr="002743B7">
        <w:trPr>
          <w:jc w:val="center"/>
        </w:trPr>
        <w:tc>
          <w:tcPr>
            <w:tcW w:w="3324" w:type="dxa"/>
          </w:tcPr>
          <w:p w:rsidR="00B81312" w:rsidRPr="00CF1DE2" w:rsidRDefault="00B81312" w:rsidP="002743B7">
            <w:pPr>
              <w:pStyle w:val="naisf"/>
              <w:spacing w:before="0" w:after="0"/>
              <w:ind w:firstLine="0"/>
              <w:rPr>
                <w:i/>
                <w:sz w:val="26"/>
                <w:szCs w:val="26"/>
              </w:rPr>
            </w:pPr>
            <w:r w:rsidRPr="00CF1DE2">
              <w:rPr>
                <w:sz w:val="26"/>
                <w:szCs w:val="26"/>
              </w:rPr>
              <w:lastRenderedPageBreak/>
              <w:t>1. Budžeta ieņēmumi:</w:t>
            </w:r>
          </w:p>
        </w:tc>
        <w:tc>
          <w:tcPr>
            <w:tcW w:w="1331"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pStyle w:val="naisf"/>
              <w:spacing w:before="0" w:after="0"/>
              <w:ind w:firstLine="0"/>
              <w:rPr>
                <w:i/>
                <w:sz w:val="26"/>
                <w:szCs w:val="26"/>
              </w:rPr>
            </w:pPr>
            <w:r w:rsidRPr="00CF1DE2">
              <w:rPr>
                <w:sz w:val="26"/>
                <w:szCs w:val="26"/>
              </w:rPr>
              <w:t>1.1. valsts pamatbudžets, tai skaitā ieņēmumi no maksas pakalpo-jumiem un citi pašu ieņēmumi</w:t>
            </w:r>
          </w:p>
        </w:tc>
        <w:tc>
          <w:tcPr>
            <w:tcW w:w="1331"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pStyle w:val="naisf"/>
              <w:spacing w:before="0" w:after="0"/>
              <w:ind w:firstLine="0"/>
              <w:rPr>
                <w:i/>
                <w:sz w:val="26"/>
                <w:szCs w:val="26"/>
              </w:rPr>
            </w:pPr>
            <w:r w:rsidRPr="00CF1DE2">
              <w:rPr>
                <w:sz w:val="26"/>
                <w:szCs w:val="26"/>
              </w:rPr>
              <w:t>1.2. valsts speciālais budžets</w:t>
            </w:r>
          </w:p>
        </w:tc>
        <w:tc>
          <w:tcPr>
            <w:tcW w:w="1331"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86" w:type="dxa"/>
          </w:tcPr>
          <w:p w:rsidR="00B81312" w:rsidRPr="00CF1DE2" w:rsidRDefault="00B81312" w:rsidP="002743B7">
            <w:pPr>
              <w:pStyle w:val="naisf"/>
              <w:spacing w:before="0" w:after="0"/>
              <w:ind w:firstLine="0"/>
              <w:jc w:val="center"/>
              <w:rPr>
                <w:b/>
                <w:i/>
                <w:sz w:val="26"/>
                <w:szCs w:val="26"/>
              </w:rPr>
            </w:pPr>
          </w:p>
        </w:tc>
        <w:tc>
          <w:tcPr>
            <w:tcW w:w="1375" w:type="dxa"/>
          </w:tcPr>
          <w:p w:rsidR="00B81312" w:rsidRPr="00CF1DE2" w:rsidRDefault="00B81312" w:rsidP="002743B7">
            <w:pPr>
              <w:pStyle w:val="naisf"/>
              <w:spacing w:before="0" w:after="0"/>
              <w:ind w:firstLine="0"/>
              <w:jc w:val="center"/>
              <w:rPr>
                <w:b/>
                <w:i/>
                <w:sz w:val="26"/>
                <w:szCs w:val="26"/>
              </w:rPr>
            </w:pPr>
          </w:p>
        </w:tc>
      </w:tr>
      <w:tr w:rsidR="00B81312" w:rsidRPr="00CF1DE2" w:rsidTr="002743B7">
        <w:trPr>
          <w:jc w:val="center"/>
        </w:trPr>
        <w:tc>
          <w:tcPr>
            <w:tcW w:w="3324" w:type="dxa"/>
          </w:tcPr>
          <w:p w:rsidR="00B81312" w:rsidRPr="00CF1DE2" w:rsidRDefault="00B81312" w:rsidP="002743B7">
            <w:pPr>
              <w:pStyle w:val="naisf"/>
              <w:spacing w:before="0" w:after="0"/>
              <w:ind w:firstLine="0"/>
              <w:rPr>
                <w:i/>
                <w:sz w:val="26"/>
                <w:szCs w:val="26"/>
              </w:rPr>
            </w:pPr>
            <w:r w:rsidRPr="00CF1DE2">
              <w:rPr>
                <w:sz w:val="26"/>
                <w:szCs w:val="26"/>
              </w:rPr>
              <w:t>1.3. pašvaldību budžets</w:t>
            </w:r>
          </w:p>
        </w:tc>
        <w:tc>
          <w:tcPr>
            <w:tcW w:w="1331"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86" w:type="dxa"/>
          </w:tcPr>
          <w:p w:rsidR="00B81312" w:rsidRPr="00CF1DE2" w:rsidRDefault="00B81312" w:rsidP="002743B7">
            <w:pPr>
              <w:pStyle w:val="naisf"/>
              <w:spacing w:before="0" w:after="0"/>
              <w:ind w:firstLine="0"/>
              <w:jc w:val="center"/>
              <w:rPr>
                <w:b/>
                <w:i/>
                <w:sz w:val="26"/>
                <w:szCs w:val="26"/>
              </w:rPr>
            </w:pPr>
          </w:p>
        </w:tc>
        <w:tc>
          <w:tcPr>
            <w:tcW w:w="1375" w:type="dxa"/>
          </w:tcPr>
          <w:p w:rsidR="00B81312" w:rsidRPr="00CF1DE2" w:rsidRDefault="00B81312" w:rsidP="002743B7">
            <w:pPr>
              <w:pStyle w:val="naisf"/>
              <w:spacing w:before="0" w:after="0"/>
              <w:ind w:firstLine="0"/>
              <w:jc w:val="center"/>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2. Budžeta izdevumi:</w:t>
            </w:r>
          </w:p>
        </w:tc>
        <w:tc>
          <w:tcPr>
            <w:tcW w:w="1331"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2.1. valsts pamatbudžets</w:t>
            </w:r>
          </w:p>
        </w:tc>
        <w:tc>
          <w:tcPr>
            <w:tcW w:w="1331"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2.2. valsts speciālais budžets</w:t>
            </w:r>
          </w:p>
        </w:tc>
        <w:tc>
          <w:tcPr>
            <w:tcW w:w="1331"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 xml:space="preserve">2.3. pašvaldību budžets </w:t>
            </w:r>
          </w:p>
        </w:tc>
        <w:tc>
          <w:tcPr>
            <w:tcW w:w="1331"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3. Finansiālā ietekme:</w:t>
            </w:r>
          </w:p>
        </w:tc>
        <w:tc>
          <w:tcPr>
            <w:tcW w:w="1331" w:type="dxa"/>
            <w:shd w:val="clear" w:color="auto" w:fill="auto"/>
            <w:vAlign w:val="center"/>
          </w:tcPr>
          <w:p w:rsidR="00B81312" w:rsidRPr="00CF1DE2" w:rsidRDefault="00B81312" w:rsidP="002743B7">
            <w:pPr>
              <w:pStyle w:val="naisf"/>
              <w:spacing w:before="0" w:after="0"/>
              <w:ind w:firstLine="0"/>
              <w:jc w:val="center"/>
              <w:rPr>
                <w:sz w:val="26"/>
                <w:szCs w:val="26"/>
              </w:rPr>
            </w:pPr>
            <w:r>
              <w:rPr>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3.1. valsts pamatbudžets</w:t>
            </w:r>
          </w:p>
        </w:tc>
        <w:tc>
          <w:tcPr>
            <w:tcW w:w="1331" w:type="dxa"/>
            <w:shd w:val="clear" w:color="auto" w:fill="auto"/>
          </w:tcPr>
          <w:p w:rsidR="00B81312" w:rsidRPr="00CF1DE2" w:rsidRDefault="00B81312" w:rsidP="002743B7">
            <w:pPr>
              <w:pStyle w:val="naisf"/>
              <w:spacing w:before="0" w:after="0"/>
              <w:ind w:firstLine="0"/>
              <w:jc w:val="center"/>
              <w:rPr>
                <w:i/>
                <w:sz w:val="26"/>
                <w:szCs w:val="26"/>
              </w:rPr>
            </w:pPr>
            <w:r>
              <w:rPr>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3.2. speciālais budžets</w:t>
            </w:r>
          </w:p>
        </w:tc>
        <w:tc>
          <w:tcPr>
            <w:tcW w:w="1331" w:type="dxa"/>
            <w:shd w:val="clear" w:color="auto" w:fill="auto"/>
          </w:tcPr>
          <w:p w:rsidR="00B81312" w:rsidRPr="00CF1DE2" w:rsidRDefault="00B81312" w:rsidP="002743B7">
            <w:pPr>
              <w:pStyle w:val="naisf"/>
              <w:spacing w:before="0" w:after="0"/>
              <w:ind w:firstLine="0"/>
              <w:jc w:val="center"/>
              <w:rPr>
                <w:i/>
                <w:sz w:val="26"/>
                <w:szCs w:val="26"/>
              </w:rPr>
            </w:pPr>
            <w:r>
              <w:rPr>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 xml:space="preserve">3.3. pašvaldību budžets </w:t>
            </w:r>
          </w:p>
        </w:tc>
        <w:tc>
          <w:tcPr>
            <w:tcW w:w="1331" w:type="dxa"/>
            <w:shd w:val="clear" w:color="auto" w:fill="auto"/>
          </w:tcPr>
          <w:p w:rsidR="00B81312" w:rsidRPr="00CF1DE2" w:rsidRDefault="00B81312" w:rsidP="002743B7">
            <w:pPr>
              <w:pStyle w:val="naisf"/>
              <w:spacing w:before="0" w:after="0"/>
              <w:ind w:firstLine="0"/>
              <w:jc w:val="center"/>
              <w:rPr>
                <w:i/>
                <w:sz w:val="26"/>
                <w:szCs w:val="26"/>
              </w:rPr>
            </w:pPr>
            <w:r>
              <w:rPr>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vMerge w:val="restart"/>
          </w:tcPr>
          <w:p w:rsidR="00B81312" w:rsidRPr="00CF1DE2" w:rsidRDefault="00B81312" w:rsidP="002743B7">
            <w:pPr>
              <w:jc w:val="both"/>
              <w:rPr>
                <w:sz w:val="26"/>
                <w:szCs w:val="26"/>
              </w:rPr>
            </w:pPr>
            <w:r w:rsidRPr="00CF1DE2">
              <w:rPr>
                <w:sz w:val="26"/>
                <w:szCs w:val="26"/>
              </w:rPr>
              <w:t>4. Finanšu līdzekļi papildu izde</w:t>
            </w:r>
            <w:r w:rsidRPr="00CF1DE2">
              <w:rPr>
                <w:sz w:val="26"/>
                <w:szCs w:val="26"/>
              </w:rPr>
              <w:softHyphen/>
              <w:t>vumu finansēšanai (kompensējošu izdevumu samazinājumu norāda ar "+" zīmi)</w:t>
            </w:r>
          </w:p>
        </w:tc>
        <w:tc>
          <w:tcPr>
            <w:tcW w:w="1331" w:type="dxa"/>
            <w:vMerge w:val="restart"/>
          </w:tcPr>
          <w:p w:rsidR="00B81312" w:rsidRPr="00CF1DE2" w:rsidRDefault="00B81312" w:rsidP="002743B7">
            <w:pPr>
              <w:pStyle w:val="naisf"/>
              <w:spacing w:before="0" w:after="0"/>
              <w:ind w:firstLine="0"/>
              <w:jc w:val="center"/>
              <w:rPr>
                <w:i/>
                <w:sz w:val="26"/>
                <w:szCs w:val="26"/>
              </w:rPr>
            </w:pPr>
            <w:r w:rsidRPr="00CF1DE2">
              <w:rPr>
                <w:sz w:val="26"/>
                <w:szCs w:val="26"/>
              </w:rPr>
              <w:t>X</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vMerge/>
          </w:tcPr>
          <w:p w:rsidR="00B81312" w:rsidRPr="00CF1DE2" w:rsidRDefault="00B81312" w:rsidP="002743B7">
            <w:pPr>
              <w:jc w:val="both"/>
              <w:rPr>
                <w:sz w:val="26"/>
                <w:szCs w:val="26"/>
              </w:rPr>
            </w:pPr>
          </w:p>
        </w:tc>
        <w:tc>
          <w:tcPr>
            <w:tcW w:w="1331" w:type="dxa"/>
            <w:vMerge/>
          </w:tcPr>
          <w:p w:rsidR="00B81312" w:rsidRPr="00CF1DE2" w:rsidRDefault="00B81312" w:rsidP="002743B7">
            <w:pPr>
              <w:pStyle w:val="naisf"/>
              <w:spacing w:before="0" w:after="0"/>
              <w:ind w:firstLine="0"/>
              <w:jc w:val="center"/>
              <w:rPr>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Pr>
                <w:b/>
                <w:i/>
                <w:sz w:val="26"/>
                <w:szCs w:val="26"/>
              </w:rPr>
              <w:t>0</w:t>
            </w:r>
          </w:p>
        </w:tc>
      </w:tr>
      <w:tr w:rsidR="00B81312" w:rsidRPr="00CF1DE2" w:rsidTr="002743B7">
        <w:trPr>
          <w:jc w:val="center"/>
        </w:trPr>
        <w:tc>
          <w:tcPr>
            <w:tcW w:w="3324" w:type="dxa"/>
            <w:vMerge/>
          </w:tcPr>
          <w:p w:rsidR="00B81312" w:rsidRPr="00CF1DE2" w:rsidRDefault="00B81312" w:rsidP="002743B7">
            <w:pPr>
              <w:jc w:val="both"/>
              <w:rPr>
                <w:sz w:val="26"/>
                <w:szCs w:val="26"/>
              </w:rPr>
            </w:pPr>
          </w:p>
        </w:tc>
        <w:tc>
          <w:tcPr>
            <w:tcW w:w="1331" w:type="dxa"/>
            <w:vMerge/>
          </w:tcPr>
          <w:p w:rsidR="00B81312" w:rsidRPr="00CF1DE2" w:rsidRDefault="00B81312" w:rsidP="002743B7">
            <w:pPr>
              <w:pStyle w:val="naisf"/>
              <w:spacing w:before="0" w:after="0"/>
              <w:ind w:firstLine="0"/>
              <w:jc w:val="center"/>
              <w:rPr>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86" w:type="dxa"/>
          </w:tcPr>
          <w:p w:rsidR="00B81312" w:rsidRPr="00CF1DE2" w:rsidRDefault="00B81312" w:rsidP="002743B7">
            <w:pPr>
              <w:pStyle w:val="naisf"/>
              <w:spacing w:before="0" w:after="0"/>
              <w:ind w:firstLine="0"/>
              <w:jc w:val="center"/>
              <w:rPr>
                <w:b/>
                <w:i/>
                <w:sz w:val="26"/>
                <w:szCs w:val="26"/>
              </w:rPr>
            </w:pPr>
          </w:p>
        </w:tc>
        <w:tc>
          <w:tcPr>
            <w:tcW w:w="1375" w:type="dxa"/>
          </w:tcPr>
          <w:p w:rsidR="00B81312" w:rsidRPr="00CF1DE2" w:rsidRDefault="00B81312" w:rsidP="002743B7">
            <w:pPr>
              <w:pStyle w:val="naisf"/>
              <w:spacing w:before="0" w:after="0"/>
              <w:ind w:firstLine="0"/>
              <w:jc w:val="center"/>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5. Precizēta finansiālā ietekme:</w:t>
            </w:r>
          </w:p>
        </w:tc>
        <w:tc>
          <w:tcPr>
            <w:tcW w:w="1331" w:type="dxa"/>
            <w:vMerge w:val="restart"/>
          </w:tcPr>
          <w:p w:rsidR="00B81312" w:rsidRPr="00CF1DE2" w:rsidRDefault="00B81312" w:rsidP="002743B7">
            <w:pPr>
              <w:pStyle w:val="naisf"/>
              <w:spacing w:before="0" w:after="0"/>
              <w:ind w:firstLine="0"/>
              <w:jc w:val="center"/>
              <w:rPr>
                <w:i/>
                <w:sz w:val="26"/>
                <w:szCs w:val="26"/>
              </w:rPr>
            </w:pPr>
            <w:r w:rsidRPr="00CF1DE2">
              <w:rPr>
                <w:sz w:val="26"/>
                <w:szCs w:val="26"/>
              </w:rPr>
              <w:t>X</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5.1. valsts pamatbudžets</w:t>
            </w:r>
          </w:p>
        </w:tc>
        <w:tc>
          <w:tcPr>
            <w:tcW w:w="1331" w:type="dxa"/>
            <w:vMerge/>
            <w:vAlign w:val="center"/>
          </w:tcPr>
          <w:p w:rsidR="00B81312" w:rsidRPr="00CF1DE2" w:rsidRDefault="00B81312" w:rsidP="002743B7">
            <w:pPr>
              <w:pStyle w:val="naisf"/>
              <w:spacing w:before="0" w:after="0"/>
              <w:ind w:firstLine="0"/>
              <w:jc w:val="center"/>
              <w:rPr>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54"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86"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c>
          <w:tcPr>
            <w:tcW w:w="1375" w:type="dxa"/>
          </w:tcPr>
          <w:p w:rsidR="00B81312" w:rsidRPr="00CF1DE2" w:rsidRDefault="00B81312" w:rsidP="002743B7">
            <w:pPr>
              <w:pStyle w:val="naisf"/>
              <w:spacing w:before="0" w:after="0"/>
              <w:ind w:firstLine="0"/>
              <w:jc w:val="center"/>
              <w:rPr>
                <w:b/>
                <w:i/>
                <w:sz w:val="26"/>
                <w:szCs w:val="26"/>
              </w:rPr>
            </w:pPr>
            <w:r w:rsidRPr="00CF1DE2">
              <w:rPr>
                <w:b/>
                <w:i/>
                <w:sz w:val="26"/>
                <w:szCs w:val="26"/>
              </w:rPr>
              <w:t>0</w:t>
            </w: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5.2. speciālais budžets</w:t>
            </w:r>
          </w:p>
        </w:tc>
        <w:tc>
          <w:tcPr>
            <w:tcW w:w="1331" w:type="dxa"/>
            <w:vMerge/>
            <w:vAlign w:val="center"/>
          </w:tcPr>
          <w:p w:rsidR="00B81312" w:rsidRPr="00CF1DE2" w:rsidRDefault="00B81312" w:rsidP="002743B7">
            <w:pPr>
              <w:pStyle w:val="naisf"/>
              <w:spacing w:before="0" w:after="0"/>
              <w:ind w:firstLine="0"/>
              <w:jc w:val="center"/>
              <w:rPr>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86" w:type="dxa"/>
          </w:tcPr>
          <w:p w:rsidR="00B81312" w:rsidRPr="00CF1DE2" w:rsidRDefault="00B81312" w:rsidP="002743B7">
            <w:pPr>
              <w:pStyle w:val="naisf"/>
              <w:spacing w:before="0" w:after="0"/>
              <w:ind w:firstLine="0"/>
              <w:jc w:val="center"/>
              <w:rPr>
                <w:b/>
                <w:i/>
                <w:sz w:val="26"/>
                <w:szCs w:val="26"/>
              </w:rPr>
            </w:pPr>
          </w:p>
        </w:tc>
        <w:tc>
          <w:tcPr>
            <w:tcW w:w="1375" w:type="dxa"/>
          </w:tcPr>
          <w:p w:rsidR="00B81312" w:rsidRPr="00CF1DE2" w:rsidRDefault="00B81312" w:rsidP="002743B7">
            <w:pPr>
              <w:pStyle w:val="naisf"/>
              <w:spacing w:before="0" w:after="0"/>
              <w:ind w:firstLine="0"/>
              <w:jc w:val="center"/>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 xml:space="preserve">5.3. pašvaldību budžets </w:t>
            </w:r>
          </w:p>
        </w:tc>
        <w:tc>
          <w:tcPr>
            <w:tcW w:w="1331" w:type="dxa"/>
            <w:vMerge/>
            <w:vAlign w:val="center"/>
          </w:tcPr>
          <w:p w:rsidR="00B81312" w:rsidRPr="00CF1DE2" w:rsidRDefault="00B81312" w:rsidP="002743B7">
            <w:pPr>
              <w:pStyle w:val="naisf"/>
              <w:spacing w:before="0" w:after="0"/>
              <w:ind w:firstLine="0"/>
              <w:jc w:val="center"/>
              <w:rPr>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54" w:type="dxa"/>
          </w:tcPr>
          <w:p w:rsidR="00B81312" w:rsidRPr="00CF1DE2" w:rsidRDefault="00B81312" w:rsidP="002743B7">
            <w:pPr>
              <w:pStyle w:val="naisf"/>
              <w:spacing w:before="0" w:after="0"/>
              <w:ind w:firstLine="0"/>
              <w:jc w:val="center"/>
              <w:rPr>
                <w:b/>
                <w:i/>
                <w:sz w:val="26"/>
                <w:szCs w:val="26"/>
              </w:rPr>
            </w:pPr>
          </w:p>
        </w:tc>
        <w:tc>
          <w:tcPr>
            <w:tcW w:w="1386" w:type="dxa"/>
          </w:tcPr>
          <w:p w:rsidR="00B81312" w:rsidRPr="00CF1DE2" w:rsidRDefault="00B81312" w:rsidP="002743B7">
            <w:pPr>
              <w:pStyle w:val="naisf"/>
              <w:spacing w:before="0" w:after="0"/>
              <w:ind w:firstLine="0"/>
              <w:jc w:val="center"/>
              <w:rPr>
                <w:b/>
                <w:i/>
                <w:sz w:val="26"/>
                <w:szCs w:val="26"/>
              </w:rPr>
            </w:pPr>
          </w:p>
        </w:tc>
        <w:tc>
          <w:tcPr>
            <w:tcW w:w="1375" w:type="dxa"/>
          </w:tcPr>
          <w:p w:rsidR="00B81312" w:rsidRPr="00CF1DE2" w:rsidRDefault="00B81312" w:rsidP="002743B7">
            <w:pPr>
              <w:pStyle w:val="naisf"/>
              <w:spacing w:before="0" w:after="0"/>
              <w:ind w:firstLine="0"/>
              <w:jc w:val="center"/>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6. Detalizēts ieņēmumu un izdevu</w:t>
            </w:r>
            <w:r w:rsidRPr="00CF1DE2">
              <w:rPr>
                <w:sz w:val="26"/>
                <w:szCs w:val="26"/>
              </w:rPr>
              <w:softHyphen/>
              <w:t>mu aprēķins (ja nepieciešams, detalizētu ieņēmumu un izdevumu aprēķinu var pievienot anotācijas pielikumā):</w:t>
            </w:r>
          </w:p>
        </w:tc>
        <w:tc>
          <w:tcPr>
            <w:tcW w:w="6800" w:type="dxa"/>
            <w:gridSpan w:val="5"/>
            <w:vMerge w:val="restart"/>
            <w:vAlign w:val="center"/>
          </w:tcPr>
          <w:p w:rsidR="001556AE" w:rsidRPr="003D64C0" w:rsidRDefault="001556AE" w:rsidP="001556AE">
            <w:pPr>
              <w:pStyle w:val="Default"/>
              <w:jc w:val="both"/>
              <w:rPr>
                <w:sz w:val="26"/>
                <w:szCs w:val="26"/>
              </w:rPr>
            </w:pPr>
            <w:r w:rsidRPr="003D64C0">
              <w:rPr>
                <w:sz w:val="26"/>
                <w:szCs w:val="26"/>
              </w:rPr>
              <w:t xml:space="preserve">LVL </w:t>
            </w:r>
            <w:r w:rsidR="003D64C0" w:rsidRPr="003D64C0">
              <w:rPr>
                <w:sz w:val="26"/>
                <w:szCs w:val="26"/>
              </w:rPr>
              <w:t>70</w:t>
            </w:r>
            <w:r w:rsidRPr="003D64C0">
              <w:rPr>
                <w:sz w:val="26"/>
                <w:szCs w:val="26"/>
              </w:rPr>
              <w:t xml:space="preserve"> = </w:t>
            </w:r>
            <w:r w:rsidR="003D64C0" w:rsidRPr="003D64C0">
              <w:rPr>
                <w:sz w:val="26"/>
                <w:szCs w:val="26"/>
              </w:rPr>
              <w:t>70</w:t>
            </w:r>
            <w:r w:rsidRPr="003D64C0">
              <w:rPr>
                <w:sz w:val="26"/>
                <w:szCs w:val="26"/>
              </w:rPr>
              <w:t xml:space="preserve"> / 0,702804 = </w:t>
            </w:r>
            <w:r w:rsidRPr="003D64C0">
              <w:rPr>
                <w:b/>
                <w:sz w:val="26"/>
                <w:szCs w:val="26"/>
              </w:rPr>
              <w:t xml:space="preserve">EUR </w:t>
            </w:r>
            <w:r w:rsidR="003D64C0" w:rsidRPr="003D64C0">
              <w:rPr>
                <w:b/>
                <w:sz w:val="26"/>
                <w:szCs w:val="26"/>
              </w:rPr>
              <w:t>99.6</w:t>
            </w:r>
          </w:p>
          <w:p w:rsidR="00B81312" w:rsidRPr="003D64C0" w:rsidRDefault="00B81312" w:rsidP="002743B7">
            <w:pPr>
              <w:pStyle w:val="naisf"/>
              <w:spacing w:before="0" w:after="0"/>
              <w:ind w:firstLine="0"/>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6.1. detalizēts ieņēmumu aprēķins</w:t>
            </w:r>
          </w:p>
        </w:tc>
        <w:tc>
          <w:tcPr>
            <w:tcW w:w="6800" w:type="dxa"/>
            <w:gridSpan w:val="5"/>
            <w:vMerge/>
          </w:tcPr>
          <w:p w:rsidR="00B81312" w:rsidRPr="00CF1DE2" w:rsidRDefault="00B81312" w:rsidP="002743B7">
            <w:pPr>
              <w:pStyle w:val="naisf"/>
              <w:spacing w:before="0" w:after="0"/>
              <w:ind w:firstLine="0"/>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6.2. detalizēts izdevumu aprēķins</w:t>
            </w:r>
          </w:p>
        </w:tc>
        <w:tc>
          <w:tcPr>
            <w:tcW w:w="6800" w:type="dxa"/>
            <w:gridSpan w:val="5"/>
            <w:vMerge/>
          </w:tcPr>
          <w:p w:rsidR="00B81312" w:rsidRPr="00CF1DE2" w:rsidRDefault="00B81312" w:rsidP="002743B7">
            <w:pPr>
              <w:pStyle w:val="naisf"/>
              <w:spacing w:before="0" w:after="0"/>
              <w:ind w:firstLine="0"/>
              <w:rPr>
                <w:b/>
                <w:i/>
                <w:sz w:val="26"/>
                <w:szCs w:val="26"/>
              </w:rPr>
            </w:pPr>
          </w:p>
        </w:tc>
      </w:tr>
      <w:tr w:rsidR="00B81312" w:rsidRPr="00CF1DE2" w:rsidTr="002743B7">
        <w:trPr>
          <w:jc w:val="center"/>
        </w:trPr>
        <w:tc>
          <w:tcPr>
            <w:tcW w:w="3324" w:type="dxa"/>
          </w:tcPr>
          <w:p w:rsidR="00B81312" w:rsidRPr="00CF1DE2" w:rsidRDefault="00B81312" w:rsidP="002743B7">
            <w:pPr>
              <w:jc w:val="both"/>
              <w:rPr>
                <w:sz w:val="26"/>
                <w:szCs w:val="26"/>
              </w:rPr>
            </w:pPr>
            <w:r w:rsidRPr="00CF1DE2">
              <w:rPr>
                <w:sz w:val="26"/>
                <w:szCs w:val="26"/>
              </w:rPr>
              <w:t>7. Cita informācija</w:t>
            </w:r>
          </w:p>
        </w:tc>
        <w:tc>
          <w:tcPr>
            <w:tcW w:w="6800" w:type="dxa"/>
            <w:gridSpan w:val="5"/>
          </w:tcPr>
          <w:p w:rsidR="00B81312" w:rsidRPr="00D62794" w:rsidRDefault="00B81312" w:rsidP="005C202A">
            <w:pPr>
              <w:ind w:firstLine="639"/>
              <w:jc w:val="both"/>
              <w:rPr>
                <w:sz w:val="26"/>
                <w:szCs w:val="26"/>
              </w:rPr>
            </w:pPr>
            <w:r w:rsidRPr="00CF1DE2">
              <w:rPr>
                <w:color w:val="000000"/>
                <w:sz w:val="26"/>
                <w:szCs w:val="26"/>
              </w:rPr>
              <w:t>Grozījumu ietekmi (iespējamo ieņēmumu samazinājumu vai izdevumu palielinājumu) iespējams segt, nemainot attiecīgajās budžeta programmās vai apakšprogrammās finansējuma sadalījumu pa ieņēmumu, izdevumu vai finansēšanas klasifikācijas kodiem</w:t>
            </w:r>
            <w:r w:rsidR="005C202A">
              <w:rPr>
                <w:sz w:val="26"/>
                <w:szCs w:val="26"/>
              </w:rPr>
              <w:t>.</w:t>
            </w:r>
          </w:p>
        </w:tc>
      </w:tr>
    </w:tbl>
    <w:p w:rsidR="00B81312" w:rsidRPr="00CF1DE2" w:rsidRDefault="00B81312" w:rsidP="00B81312">
      <w:pPr>
        <w:pStyle w:val="naiskr"/>
        <w:tabs>
          <w:tab w:val="left" w:pos="2628"/>
        </w:tabs>
        <w:spacing w:before="0" w:after="0"/>
        <w:rPr>
          <w:i/>
          <w:sz w:val="26"/>
          <w:szCs w:val="2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B81312" w:rsidRPr="00CF1DE2" w:rsidTr="002743B7">
        <w:trPr>
          <w:jc w:val="center"/>
        </w:trPr>
        <w:tc>
          <w:tcPr>
            <w:tcW w:w="10098" w:type="dxa"/>
          </w:tcPr>
          <w:p w:rsidR="00B81312" w:rsidRPr="00CF1DE2" w:rsidRDefault="00B81312" w:rsidP="002743B7">
            <w:pPr>
              <w:pStyle w:val="naisnod"/>
              <w:spacing w:before="0" w:after="0"/>
              <w:rPr>
                <w:sz w:val="26"/>
                <w:szCs w:val="26"/>
              </w:rPr>
            </w:pPr>
            <w:r w:rsidRPr="00CF1DE2">
              <w:rPr>
                <w:sz w:val="26"/>
                <w:szCs w:val="26"/>
              </w:rPr>
              <w:t>IV. Tiesību akta projekta ietekme uz spēkā esošo tiesību normu sistēmu</w:t>
            </w:r>
          </w:p>
        </w:tc>
      </w:tr>
      <w:tr w:rsidR="00B81312" w:rsidRPr="00CF1DE2" w:rsidTr="002743B7">
        <w:trPr>
          <w:trHeight w:val="562"/>
          <w:jc w:val="center"/>
        </w:trPr>
        <w:tc>
          <w:tcPr>
            <w:tcW w:w="10098" w:type="dxa"/>
          </w:tcPr>
          <w:p w:rsidR="00B81312" w:rsidRPr="00CF1DE2" w:rsidRDefault="00B81312" w:rsidP="002743B7">
            <w:pPr>
              <w:pStyle w:val="naiskr"/>
              <w:tabs>
                <w:tab w:val="left" w:pos="2628"/>
              </w:tabs>
              <w:spacing w:before="0" w:after="0"/>
              <w:ind w:firstLine="690"/>
              <w:rPr>
                <w:iCs/>
                <w:sz w:val="26"/>
                <w:szCs w:val="26"/>
              </w:rPr>
            </w:pPr>
            <w:r w:rsidRPr="00CF1DE2">
              <w:rPr>
                <w:iCs/>
                <w:sz w:val="26"/>
                <w:szCs w:val="26"/>
              </w:rPr>
              <w:t>Projekts nerada ietekmi uz spēkā esošo tiesību normu sistēmu.</w:t>
            </w:r>
          </w:p>
        </w:tc>
      </w:tr>
    </w:tbl>
    <w:p w:rsidR="00B81312" w:rsidRPr="00CF1DE2" w:rsidRDefault="00B81312" w:rsidP="00B81312">
      <w:pPr>
        <w:ind w:firstLine="720"/>
        <w:jc w:val="both"/>
        <w:rPr>
          <w:sz w:val="26"/>
          <w:szCs w:val="26"/>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B81312" w:rsidRPr="00CF1DE2" w:rsidTr="002743B7">
        <w:tc>
          <w:tcPr>
            <w:tcW w:w="10206" w:type="dxa"/>
            <w:tcBorders>
              <w:top w:val="outset" w:sz="6" w:space="0" w:color="auto"/>
              <w:left w:val="outset" w:sz="6" w:space="0" w:color="auto"/>
              <w:bottom w:val="outset" w:sz="6" w:space="0" w:color="auto"/>
              <w:right w:val="outset" w:sz="6" w:space="0" w:color="auto"/>
            </w:tcBorders>
            <w:vAlign w:val="center"/>
          </w:tcPr>
          <w:p w:rsidR="00B81312" w:rsidRPr="00CF1DE2" w:rsidRDefault="00B81312" w:rsidP="002743B7">
            <w:pPr>
              <w:jc w:val="center"/>
              <w:rPr>
                <w:b/>
                <w:sz w:val="26"/>
                <w:szCs w:val="26"/>
              </w:rPr>
            </w:pPr>
            <w:r w:rsidRPr="00CF1DE2">
              <w:rPr>
                <w:b/>
                <w:sz w:val="26"/>
                <w:szCs w:val="26"/>
              </w:rPr>
              <w:t>V. Tiesību akta projekta atbilstība Latvijas Republikas starptautiskajām saistībām</w:t>
            </w:r>
          </w:p>
        </w:tc>
      </w:tr>
      <w:tr w:rsidR="00B81312" w:rsidRPr="00CF1DE2" w:rsidTr="002743B7">
        <w:tc>
          <w:tcPr>
            <w:tcW w:w="10206" w:type="dxa"/>
            <w:tcBorders>
              <w:top w:val="outset" w:sz="6" w:space="0" w:color="auto"/>
              <w:left w:val="outset" w:sz="6" w:space="0" w:color="auto"/>
              <w:bottom w:val="outset" w:sz="6" w:space="0" w:color="auto"/>
              <w:right w:val="outset" w:sz="6" w:space="0" w:color="auto"/>
            </w:tcBorders>
          </w:tcPr>
          <w:p w:rsidR="00B81312" w:rsidRPr="00CF1DE2" w:rsidRDefault="002D4FAA" w:rsidP="002743B7">
            <w:pPr>
              <w:ind w:left="57" w:firstLine="766"/>
              <w:rPr>
                <w:sz w:val="26"/>
                <w:szCs w:val="26"/>
              </w:rPr>
            </w:pPr>
            <w:r>
              <w:rPr>
                <w:sz w:val="26"/>
                <w:szCs w:val="26"/>
              </w:rPr>
              <w:lastRenderedPageBreak/>
              <w:t>Projekts šo jomu neskar</w:t>
            </w:r>
            <w:r w:rsidRPr="00CF1DE2">
              <w:rPr>
                <w:sz w:val="26"/>
                <w:szCs w:val="26"/>
              </w:rPr>
              <w:t>.</w:t>
            </w:r>
          </w:p>
        </w:tc>
      </w:tr>
    </w:tbl>
    <w:p w:rsidR="00B81312" w:rsidRPr="00CF1DE2" w:rsidRDefault="00B81312" w:rsidP="00B81312">
      <w:pPr>
        <w:rPr>
          <w:sz w:val="26"/>
          <w:szCs w:val="26"/>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56"/>
      </w:tblGrid>
      <w:tr w:rsidR="00B81312" w:rsidRPr="00CF1DE2" w:rsidTr="002743B7">
        <w:trPr>
          <w:jc w:val="center"/>
        </w:trPr>
        <w:tc>
          <w:tcPr>
            <w:tcW w:w="10256" w:type="dxa"/>
          </w:tcPr>
          <w:p w:rsidR="00B81312" w:rsidRPr="00CF1DE2" w:rsidRDefault="00B81312" w:rsidP="002743B7">
            <w:pPr>
              <w:pStyle w:val="naisnod"/>
              <w:spacing w:before="0" w:after="0"/>
              <w:ind w:left="57" w:right="57"/>
              <w:rPr>
                <w:sz w:val="26"/>
                <w:szCs w:val="26"/>
              </w:rPr>
            </w:pPr>
            <w:r w:rsidRPr="00CF1DE2">
              <w:rPr>
                <w:sz w:val="26"/>
                <w:szCs w:val="26"/>
              </w:rPr>
              <w:t>VI. Sabiedrības līdzdalība un šīs līdzdalības rezultāti</w:t>
            </w:r>
          </w:p>
        </w:tc>
      </w:tr>
      <w:tr w:rsidR="00B81312" w:rsidRPr="00CF1DE2" w:rsidTr="002743B7">
        <w:trPr>
          <w:trHeight w:val="430"/>
          <w:jc w:val="center"/>
        </w:trPr>
        <w:tc>
          <w:tcPr>
            <w:tcW w:w="10256" w:type="dxa"/>
          </w:tcPr>
          <w:p w:rsidR="00B81312" w:rsidRPr="00CF1DE2" w:rsidRDefault="002D4FAA" w:rsidP="002743B7">
            <w:pPr>
              <w:pStyle w:val="naiskr"/>
              <w:ind w:right="57" w:firstLine="593"/>
              <w:jc w:val="both"/>
              <w:rPr>
                <w:sz w:val="26"/>
                <w:szCs w:val="26"/>
              </w:rPr>
            </w:pPr>
            <w:r>
              <w:rPr>
                <w:sz w:val="26"/>
                <w:szCs w:val="26"/>
              </w:rPr>
              <w:t>Projekts šo jomu neskar</w:t>
            </w:r>
            <w:r w:rsidRPr="00CF1DE2">
              <w:rPr>
                <w:sz w:val="26"/>
                <w:szCs w:val="26"/>
              </w:rPr>
              <w:t>.</w:t>
            </w:r>
          </w:p>
        </w:tc>
      </w:tr>
    </w:tbl>
    <w:p w:rsidR="00B81312" w:rsidRPr="00CF1DE2" w:rsidRDefault="00B81312" w:rsidP="00B81312">
      <w:pPr>
        <w:pStyle w:val="naisf"/>
        <w:spacing w:before="0" w:after="0"/>
        <w:rPr>
          <w:sz w:val="26"/>
          <w:szCs w:val="26"/>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264"/>
      </w:tblGrid>
      <w:tr w:rsidR="00B81312" w:rsidRPr="00CF1DE2" w:rsidTr="002743B7">
        <w:tc>
          <w:tcPr>
            <w:tcW w:w="10264" w:type="dxa"/>
            <w:tcBorders>
              <w:top w:val="single" w:sz="4" w:space="0" w:color="auto"/>
            </w:tcBorders>
          </w:tcPr>
          <w:p w:rsidR="00B81312" w:rsidRPr="00CF1DE2" w:rsidRDefault="00B81312" w:rsidP="002743B7">
            <w:pPr>
              <w:pStyle w:val="naisnod"/>
              <w:spacing w:before="0" w:after="0"/>
              <w:ind w:left="57" w:right="57"/>
              <w:rPr>
                <w:sz w:val="26"/>
                <w:szCs w:val="26"/>
              </w:rPr>
            </w:pPr>
            <w:r w:rsidRPr="00CF1DE2">
              <w:rPr>
                <w:sz w:val="26"/>
                <w:szCs w:val="26"/>
              </w:rPr>
              <w:t>VII. Tiesību akta projekta izpildes nodrošināšana un tās ietekme uz institūcijām</w:t>
            </w:r>
          </w:p>
        </w:tc>
      </w:tr>
      <w:tr w:rsidR="00B81312" w:rsidRPr="00CF1DE2" w:rsidTr="002743B7">
        <w:trPr>
          <w:trHeight w:val="427"/>
        </w:trPr>
        <w:tc>
          <w:tcPr>
            <w:tcW w:w="10264" w:type="dxa"/>
          </w:tcPr>
          <w:p w:rsidR="00B81312" w:rsidRPr="002D4FAA" w:rsidRDefault="002D4FAA" w:rsidP="002743B7">
            <w:pPr>
              <w:pStyle w:val="naisnod"/>
              <w:spacing w:before="0" w:after="0"/>
              <w:ind w:left="57" w:right="57" w:firstLine="482"/>
              <w:jc w:val="left"/>
              <w:rPr>
                <w:b w:val="0"/>
                <w:sz w:val="26"/>
                <w:szCs w:val="26"/>
              </w:rPr>
            </w:pPr>
            <w:r w:rsidRPr="002D4FAA">
              <w:rPr>
                <w:b w:val="0"/>
                <w:sz w:val="26"/>
                <w:szCs w:val="26"/>
              </w:rPr>
              <w:t>Projekts šo jomu neskar.</w:t>
            </w:r>
          </w:p>
        </w:tc>
      </w:tr>
    </w:tbl>
    <w:p w:rsidR="00B81312" w:rsidRPr="00CF1DE2" w:rsidRDefault="00B81312" w:rsidP="00B81312">
      <w:pPr>
        <w:pStyle w:val="naisf"/>
        <w:tabs>
          <w:tab w:val="left" w:pos="6804"/>
        </w:tabs>
        <w:spacing w:before="0" w:after="0"/>
        <w:ind w:firstLine="720"/>
        <w:rPr>
          <w:sz w:val="26"/>
          <w:szCs w:val="26"/>
        </w:rPr>
      </w:pPr>
    </w:p>
    <w:p w:rsidR="00B81312" w:rsidRPr="00CF1DE2" w:rsidRDefault="00B81312" w:rsidP="00B81312">
      <w:pPr>
        <w:pStyle w:val="naisf"/>
        <w:tabs>
          <w:tab w:val="left" w:pos="6804"/>
        </w:tabs>
        <w:spacing w:before="0" w:after="0"/>
        <w:ind w:firstLine="0"/>
        <w:rPr>
          <w:sz w:val="26"/>
          <w:szCs w:val="26"/>
        </w:rPr>
      </w:pPr>
    </w:p>
    <w:p w:rsidR="00B81312" w:rsidRDefault="00B81312" w:rsidP="00B81312">
      <w:pPr>
        <w:pStyle w:val="naisf"/>
        <w:tabs>
          <w:tab w:val="left" w:pos="6804"/>
        </w:tabs>
        <w:spacing w:before="0" w:after="0"/>
        <w:ind w:firstLine="0"/>
        <w:rPr>
          <w:sz w:val="26"/>
          <w:szCs w:val="26"/>
        </w:rPr>
      </w:pPr>
    </w:p>
    <w:p w:rsidR="005C202A" w:rsidRDefault="005C202A" w:rsidP="00B81312">
      <w:pPr>
        <w:pStyle w:val="naisf"/>
        <w:tabs>
          <w:tab w:val="left" w:pos="6804"/>
        </w:tabs>
        <w:spacing w:before="0" w:after="0"/>
        <w:ind w:firstLine="0"/>
        <w:rPr>
          <w:sz w:val="26"/>
          <w:szCs w:val="26"/>
        </w:rPr>
      </w:pPr>
    </w:p>
    <w:p w:rsidR="005C202A" w:rsidRPr="00CF1DE2" w:rsidRDefault="005C202A" w:rsidP="00B81312">
      <w:pPr>
        <w:pStyle w:val="naisf"/>
        <w:tabs>
          <w:tab w:val="left" w:pos="6804"/>
        </w:tabs>
        <w:spacing w:before="0" w:after="0"/>
        <w:ind w:firstLine="0"/>
        <w:rPr>
          <w:sz w:val="26"/>
          <w:szCs w:val="26"/>
        </w:rPr>
      </w:pPr>
    </w:p>
    <w:p w:rsidR="00B81312" w:rsidRDefault="00ED722F" w:rsidP="00B81312">
      <w:pPr>
        <w:pStyle w:val="naisf"/>
        <w:spacing w:before="0" w:after="0"/>
        <w:ind w:firstLine="0"/>
        <w:jc w:val="left"/>
        <w:rPr>
          <w:sz w:val="26"/>
          <w:szCs w:val="26"/>
        </w:rPr>
      </w:pPr>
      <w:r>
        <w:rPr>
          <w:sz w:val="26"/>
          <w:szCs w:val="26"/>
        </w:rPr>
        <w:t>Finanšu</w:t>
      </w:r>
      <w:r w:rsidR="00B81312" w:rsidRPr="00CF1DE2">
        <w:rPr>
          <w:sz w:val="26"/>
          <w:szCs w:val="26"/>
        </w:rPr>
        <w:t xml:space="preserve"> ministrs</w:t>
      </w:r>
      <w:r w:rsidR="00B81312" w:rsidRPr="00CF1DE2">
        <w:rPr>
          <w:sz w:val="26"/>
          <w:szCs w:val="26"/>
        </w:rPr>
        <w:tab/>
      </w:r>
      <w:r w:rsidR="00B81312" w:rsidRPr="00CF1DE2">
        <w:rPr>
          <w:sz w:val="26"/>
          <w:szCs w:val="26"/>
        </w:rPr>
        <w:tab/>
      </w:r>
      <w:r w:rsidR="00B81312" w:rsidRPr="00CF1DE2">
        <w:rPr>
          <w:sz w:val="26"/>
          <w:szCs w:val="26"/>
        </w:rPr>
        <w:tab/>
      </w:r>
      <w:r w:rsidR="00B81312" w:rsidRPr="00CF1DE2">
        <w:rPr>
          <w:sz w:val="26"/>
          <w:szCs w:val="26"/>
        </w:rPr>
        <w:tab/>
      </w:r>
      <w:r w:rsidR="00B81312" w:rsidRPr="00CF1DE2">
        <w:rPr>
          <w:sz w:val="26"/>
          <w:szCs w:val="26"/>
        </w:rPr>
        <w:tab/>
      </w:r>
      <w:r w:rsidR="00B81312" w:rsidRPr="00CF1DE2">
        <w:rPr>
          <w:sz w:val="26"/>
          <w:szCs w:val="26"/>
        </w:rPr>
        <w:tab/>
      </w:r>
      <w:r w:rsidR="00B81312" w:rsidRPr="00CF1DE2">
        <w:rPr>
          <w:sz w:val="26"/>
          <w:szCs w:val="26"/>
        </w:rPr>
        <w:tab/>
      </w:r>
      <w:r w:rsidR="00B81312" w:rsidRPr="00CF1DE2">
        <w:rPr>
          <w:sz w:val="26"/>
          <w:szCs w:val="26"/>
        </w:rPr>
        <w:tab/>
      </w:r>
      <w:proofErr w:type="spellStart"/>
      <w:r>
        <w:rPr>
          <w:sz w:val="26"/>
          <w:szCs w:val="26"/>
        </w:rPr>
        <w:t>A.Vilks</w:t>
      </w:r>
      <w:proofErr w:type="spellEnd"/>
    </w:p>
    <w:p w:rsidR="00B81312" w:rsidRDefault="00B81312" w:rsidP="00B81312">
      <w:pPr>
        <w:pStyle w:val="naisf"/>
        <w:spacing w:before="0" w:after="0"/>
        <w:ind w:firstLine="0"/>
        <w:jc w:val="left"/>
        <w:rPr>
          <w:sz w:val="26"/>
          <w:szCs w:val="26"/>
        </w:rPr>
      </w:pPr>
    </w:p>
    <w:p w:rsidR="00B81312" w:rsidRDefault="00B81312" w:rsidP="00B81312">
      <w:pPr>
        <w:pStyle w:val="naisf"/>
        <w:tabs>
          <w:tab w:val="left" w:pos="6804"/>
        </w:tabs>
        <w:spacing w:before="0" w:after="0"/>
        <w:ind w:firstLine="720"/>
        <w:rPr>
          <w:sz w:val="26"/>
          <w:szCs w:val="26"/>
        </w:rPr>
      </w:pPr>
    </w:p>
    <w:p w:rsidR="00D8312D" w:rsidRDefault="00D8312D" w:rsidP="00B81312">
      <w:pPr>
        <w:pStyle w:val="naisf"/>
        <w:tabs>
          <w:tab w:val="left" w:pos="6804"/>
        </w:tabs>
        <w:spacing w:before="0" w:after="0"/>
        <w:ind w:firstLine="720"/>
        <w:rPr>
          <w:sz w:val="26"/>
          <w:szCs w:val="26"/>
        </w:rPr>
      </w:pPr>
    </w:p>
    <w:p w:rsidR="00ED722F" w:rsidRDefault="00ED722F" w:rsidP="00B81312">
      <w:pPr>
        <w:pStyle w:val="naisf"/>
        <w:tabs>
          <w:tab w:val="left" w:pos="6804"/>
        </w:tabs>
        <w:spacing w:before="0" w:after="0"/>
        <w:ind w:firstLine="720"/>
        <w:rPr>
          <w:sz w:val="20"/>
          <w:szCs w:val="20"/>
        </w:rPr>
      </w:pPr>
    </w:p>
    <w:p w:rsidR="00ED722F" w:rsidRDefault="00ED722F" w:rsidP="00B81312">
      <w:pPr>
        <w:pStyle w:val="naisf"/>
        <w:tabs>
          <w:tab w:val="left" w:pos="6804"/>
        </w:tabs>
        <w:spacing w:before="0" w:after="0"/>
        <w:ind w:firstLine="720"/>
        <w:rPr>
          <w:sz w:val="20"/>
          <w:szCs w:val="20"/>
        </w:rPr>
      </w:pPr>
    </w:p>
    <w:p w:rsidR="00ED722F" w:rsidRDefault="00ED722F" w:rsidP="00B81312">
      <w:pPr>
        <w:pStyle w:val="naisf"/>
        <w:tabs>
          <w:tab w:val="left" w:pos="6804"/>
        </w:tabs>
        <w:spacing w:before="0" w:after="0"/>
        <w:ind w:firstLine="720"/>
        <w:rPr>
          <w:sz w:val="20"/>
          <w:szCs w:val="20"/>
        </w:rPr>
      </w:pPr>
    </w:p>
    <w:p w:rsidR="00ED722F" w:rsidRPr="00CF1DE2" w:rsidRDefault="00ED722F" w:rsidP="00B81312">
      <w:pPr>
        <w:pStyle w:val="naisf"/>
        <w:tabs>
          <w:tab w:val="left" w:pos="6804"/>
        </w:tabs>
        <w:spacing w:before="0" w:after="0"/>
        <w:ind w:firstLine="720"/>
        <w:rPr>
          <w:sz w:val="20"/>
          <w:szCs w:val="20"/>
        </w:rPr>
      </w:pPr>
    </w:p>
    <w:p w:rsidR="00B81312" w:rsidRPr="00CF1DE2" w:rsidRDefault="00C1131F" w:rsidP="00B81312">
      <w:pPr>
        <w:jc w:val="both"/>
        <w:rPr>
          <w:sz w:val="20"/>
          <w:szCs w:val="20"/>
        </w:rPr>
      </w:pPr>
      <w:r>
        <w:rPr>
          <w:sz w:val="20"/>
          <w:szCs w:val="20"/>
        </w:rPr>
        <w:t>14</w:t>
      </w:r>
      <w:r w:rsidR="00ED722F">
        <w:rPr>
          <w:sz w:val="20"/>
          <w:szCs w:val="20"/>
        </w:rPr>
        <w:t>.0</w:t>
      </w:r>
      <w:r w:rsidR="007F116F">
        <w:rPr>
          <w:sz w:val="20"/>
          <w:szCs w:val="20"/>
        </w:rPr>
        <w:t>8</w:t>
      </w:r>
      <w:r w:rsidR="00B81312">
        <w:rPr>
          <w:sz w:val="20"/>
          <w:szCs w:val="20"/>
        </w:rPr>
        <w:t>.13</w:t>
      </w:r>
      <w:r w:rsidR="00B81312" w:rsidRPr="00CF1DE2">
        <w:rPr>
          <w:sz w:val="20"/>
          <w:szCs w:val="20"/>
        </w:rPr>
        <w:t xml:space="preserve">. </w:t>
      </w:r>
      <w:r w:rsidR="00B81312">
        <w:rPr>
          <w:sz w:val="20"/>
          <w:szCs w:val="20"/>
        </w:rPr>
        <w:t xml:space="preserve"> </w:t>
      </w:r>
      <w:r w:rsidR="00B81312" w:rsidRPr="00CF1DE2">
        <w:rPr>
          <w:sz w:val="20"/>
          <w:szCs w:val="20"/>
        </w:rPr>
        <w:t xml:space="preserve"> </w:t>
      </w:r>
      <w:r w:rsidR="00B81312" w:rsidRPr="00CF1DE2">
        <w:rPr>
          <w:sz w:val="20"/>
          <w:szCs w:val="20"/>
        </w:rPr>
        <w:fldChar w:fldCharType="begin"/>
      </w:r>
      <w:r w:rsidR="00B81312" w:rsidRPr="00CF1DE2">
        <w:rPr>
          <w:sz w:val="20"/>
          <w:szCs w:val="20"/>
        </w:rPr>
        <w:instrText xml:space="preserve"> TIME \@ "H:mm" </w:instrText>
      </w:r>
      <w:r w:rsidR="00B81312" w:rsidRPr="00CF1DE2">
        <w:rPr>
          <w:sz w:val="20"/>
          <w:szCs w:val="20"/>
        </w:rPr>
        <w:fldChar w:fldCharType="separate"/>
      </w:r>
      <w:r w:rsidR="004326D1">
        <w:rPr>
          <w:noProof/>
          <w:sz w:val="20"/>
          <w:szCs w:val="20"/>
        </w:rPr>
        <w:t>12:40</w:t>
      </w:r>
      <w:r w:rsidR="00B81312" w:rsidRPr="00CF1DE2">
        <w:rPr>
          <w:sz w:val="20"/>
          <w:szCs w:val="20"/>
        </w:rPr>
        <w:fldChar w:fldCharType="end"/>
      </w:r>
      <w:r w:rsidR="00B81312" w:rsidRPr="00CF1DE2">
        <w:rPr>
          <w:sz w:val="20"/>
          <w:szCs w:val="20"/>
        </w:rPr>
        <w:t xml:space="preserve"> </w:t>
      </w:r>
    </w:p>
    <w:p w:rsidR="00B81312" w:rsidRPr="00CF1DE2" w:rsidRDefault="005E62F8" w:rsidP="00B81312">
      <w:pPr>
        <w:jc w:val="both"/>
        <w:rPr>
          <w:sz w:val="20"/>
          <w:szCs w:val="20"/>
        </w:rPr>
      </w:pPr>
      <w:r>
        <w:rPr>
          <w:sz w:val="20"/>
          <w:szCs w:val="20"/>
        </w:rPr>
        <w:t>811</w:t>
      </w:r>
      <w:bookmarkStart w:id="0" w:name="_GoBack"/>
      <w:bookmarkEnd w:id="0"/>
    </w:p>
    <w:p w:rsidR="00B81312" w:rsidRPr="00CF1DE2" w:rsidRDefault="00ED722F" w:rsidP="00B81312">
      <w:pPr>
        <w:jc w:val="both"/>
        <w:rPr>
          <w:sz w:val="20"/>
          <w:szCs w:val="20"/>
        </w:rPr>
      </w:pPr>
      <w:proofErr w:type="spellStart"/>
      <w:r>
        <w:rPr>
          <w:sz w:val="20"/>
          <w:szCs w:val="20"/>
        </w:rPr>
        <w:t>I.Jermacāne</w:t>
      </w:r>
      <w:proofErr w:type="spellEnd"/>
    </w:p>
    <w:p w:rsidR="005D536D" w:rsidRPr="00B81312" w:rsidRDefault="00B81312" w:rsidP="00B81312">
      <w:pPr>
        <w:jc w:val="both"/>
        <w:rPr>
          <w:sz w:val="26"/>
          <w:szCs w:val="26"/>
        </w:rPr>
      </w:pPr>
      <w:r w:rsidRPr="00CF1DE2">
        <w:rPr>
          <w:sz w:val="20"/>
          <w:szCs w:val="20"/>
        </w:rPr>
        <w:t>670</w:t>
      </w:r>
      <w:r w:rsidR="00ED722F">
        <w:rPr>
          <w:sz w:val="20"/>
          <w:szCs w:val="20"/>
        </w:rPr>
        <w:t>95429</w:t>
      </w:r>
      <w:r w:rsidRPr="00CF1DE2">
        <w:rPr>
          <w:sz w:val="20"/>
          <w:szCs w:val="20"/>
        </w:rPr>
        <w:t xml:space="preserve">, </w:t>
      </w:r>
      <w:hyperlink r:id="rId7" w:history="1">
        <w:r w:rsidR="00ED722F" w:rsidRPr="00696528">
          <w:rPr>
            <w:rStyle w:val="Hyperlink"/>
            <w:sz w:val="20"/>
            <w:szCs w:val="20"/>
          </w:rPr>
          <w:t>Ilga.Jermacāne@fm.gov.lv</w:t>
        </w:r>
      </w:hyperlink>
    </w:p>
    <w:sectPr w:rsidR="005D536D" w:rsidRPr="00B81312" w:rsidSect="00820C3B">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64" w:rsidRDefault="00FA4564" w:rsidP="00ED722F">
      <w:r>
        <w:separator/>
      </w:r>
    </w:p>
  </w:endnote>
  <w:endnote w:type="continuationSeparator" w:id="0">
    <w:p w:rsidR="00FA4564" w:rsidRDefault="00FA4564" w:rsidP="00ED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862" w:rsidRPr="00487862" w:rsidRDefault="00ED722F" w:rsidP="00487862">
    <w:pPr>
      <w:pStyle w:val="naislab"/>
      <w:spacing w:before="0" w:after="0"/>
      <w:jc w:val="both"/>
      <w:outlineLvl w:val="0"/>
      <w:rPr>
        <w:sz w:val="20"/>
        <w:szCs w:val="20"/>
      </w:rPr>
    </w:pPr>
    <w:r>
      <w:rPr>
        <w:sz w:val="20"/>
        <w:szCs w:val="20"/>
      </w:rPr>
      <w:t>F</w:t>
    </w:r>
    <w:r w:rsidR="00BE342F">
      <w:rPr>
        <w:sz w:val="20"/>
        <w:szCs w:val="20"/>
      </w:rPr>
      <w:t>MAnot_</w:t>
    </w:r>
    <w:r w:rsidR="00C1131F">
      <w:rPr>
        <w:sz w:val="20"/>
        <w:szCs w:val="20"/>
      </w:rPr>
      <w:t>14</w:t>
    </w:r>
    <w:r w:rsidR="007F116F">
      <w:rPr>
        <w:sz w:val="20"/>
        <w:szCs w:val="20"/>
      </w:rPr>
      <w:t>08</w:t>
    </w:r>
    <w:r w:rsidR="00BE342F" w:rsidRPr="00487862">
      <w:rPr>
        <w:sz w:val="20"/>
        <w:szCs w:val="20"/>
      </w:rPr>
      <w:t>13_</w:t>
    </w:r>
    <w:r>
      <w:rPr>
        <w:sz w:val="20"/>
        <w:szCs w:val="20"/>
      </w:rPr>
      <w:t>FD</w:t>
    </w:r>
    <w:r w:rsidR="00BE342F" w:rsidRPr="00487862">
      <w:rPr>
        <w:sz w:val="20"/>
        <w:szCs w:val="20"/>
      </w:rPr>
      <w:t>L</w:t>
    </w:r>
    <w:r>
      <w:rPr>
        <w:sz w:val="20"/>
        <w:szCs w:val="20"/>
      </w:rPr>
      <w:t>_</w:t>
    </w:r>
    <w:r w:rsidR="00BE342F" w:rsidRPr="00487862">
      <w:rPr>
        <w:sz w:val="20"/>
        <w:szCs w:val="20"/>
      </w:rPr>
      <w:t xml:space="preserve">euro; Likumprojekta „Grozījumi </w:t>
    </w:r>
    <w:r>
      <w:rPr>
        <w:sz w:val="20"/>
        <w:szCs w:val="20"/>
      </w:rPr>
      <w:t>Fiskālās disciplīnas</w:t>
    </w:r>
    <w:r w:rsidR="00BE342F" w:rsidRPr="00487862">
      <w:rPr>
        <w:sz w:val="20"/>
        <w:szCs w:val="20"/>
      </w:rPr>
      <w:t xml:space="preserve"> likumā” sākotnējās ietekmes novērtējuma </w:t>
    </w:r>
    <w:smartTag w:uri="schemas-tilde-lv/tildestengine" w:element="veidnes">
      <w:smartTagPr>
        <w:attr w:name="text" w:val="ziņojums"/>
        <w:attr w:name="baseform" w:val="ziņojums"/>
        <w:attr w:name="id" w:val="-1"/>
      </w:smartTagPr>
      <w:r w:rsidR="00BE342F" w:rsidRPr="00487862">
        <w:rPr>
          <w:sz w:val="20"/>
          <w:szCs w:val="20"/>
        </w:rPr>
        <w:t>ziņojums</w:t>
      </w:r>
    </w:smartTag>
    <w:r w:rsidR="00BE342F" w:rsidRPr="00487862">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75" w:rsidRPr="00487862" w:rsidRDefault="00ED722F" w:rsidP="00487862">
    <w:pPr>
      <w:pStyle w:val="naislab"/>
      <w:spacing w:before="0" w:after="0"/>
      <w:jc w:val="both"/>
      <w:outlineLvl w:val="0"/>
      <w:rPr>
        <w:sz w:val="20"/>
        <w:szCs w:val="20"/>
      </w:rPr>
    </w:pPr>
    <w:r>
      <w:rPr>
        <w:sz w:val="20"/>
        <w:szCs w:val="20"/>
      </w:rPr>
      <w:t>F</w:t>
    </w:r>
    <w:r w:rsidR="00BE342F">
      <w:rPr>
        <w:sz w:val="20"/>
        <w:szCs w:val="20"/>
      </w:rPr>
      <w:t>MAnot_</w:t>
    </w:r>
    <w:r w:rsidR="00C1131F">
      <w:rPr>
        <w:sz w:val="20"/>
        <w:szCs w:val="20"/>
      </w:rPr>
      <w:t>14</w:t>
    </w:r>
    <w:r w:rsidR="007F116F">
      <w:rPr>
        <w:sz w:val="20"/>
        <w:szCs w:val="20"/>
      </w:rPr>
      <w:t>08</w:t>
    </w:r>
    <w:r w:rsidR="00BE342F" w:rsidRPr="00487862">
      <w:rPr>
        <w:sz w:val="20"/>
        <w:szCs w:val="20"/>
      </w:rPr>
      <w:t>13_</w:t>
    </w:r>
    <w:r>
      <w:rPr>
        <w:sz w:val="20"/>
        <w:szCs w:val="20"/>
      </w:rPr>
      <w:t>FD</w:t>
    </w:r>
    <w:r w:rsidR="00BE342F" w:rsidRPr="00487862">
      <w:rPr>
        <w:sz w:val="20"/>
        <w:szCs w:val="20"/>
      </w:rPr>
      <w:t>L</w:t>
    </w:r>
    <w:r>
      <w:rPr>
        <w:sz w:val="20"/>
        <w:szCs w:val="20"/>
      </w:rPr>
      <w:t>_</w:t>
    </w:r>
    <w:r w:rsidR="00BE342F" w:rsidRPr="00487862">
      <w:rPr>
        <w:sz w:val="20"/>
        <w:szCs w:val="20"/>
      </w:rPr>
      <w:t xml:space="preserve">euro; Likumprojekta „Grozījumi </w:t>
    </w:r>
    <w:r>
      <w:rPr>
        <w:sz w:val="20"/>
        <w:szCs w:val="20"/>
      </w:rPr>
      <w:t>Fiskālās disciplīnas</w:t>
    </w:r>
    <w:r w:rsidR="00BE342F" w:rsidRPr="00487862">
      <w:rPr>
        <w:sz w:val="20"/>
        <w:szCs w:val="20"/>
      </w:rPr>
      <w:t xml:space="preserve"> likumā” sākotnējās ietekmes novērtējuma </w:t>
    </w:r>
    <w:smartTag w:uri="schemas-tilde-lv/tildestengine" w:element="veidnes">
      <w:smartTagPr>
        <w:attr w:name="text" w:val="ziņojums"/>
        <w:attr w:name="baseform" w:val="ziņojums"/>
        <w:attr w:name="id" w:val="-1"/>
      </w:smartTagPr>
      <w:r w:rsidR="00BE342F" w:rsidRPr="00487862">
        <w:rPr>
          <w:sz w:val="20"/>
          <w:szCs w:val="20"/>
        </w:rPr>
        <w:t>ziņojums</w:t>
      </w:r>
    </w:smartTag>
    <w:r w:rsidR="00BE342F" w:rsidRPr="00487862">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64" w:rsidRDefault="00FA4564" w:rsidP="00ED722F">
      <w:r>
        <w:separator/>
      </w:r>
    </w:p>
  </w:footnote>
  <w:footnote w:type="continuationSeparator" w:id="0">
    <w:p w:rsidR="00FA4564" w:rsidRDefault="00FA4564" w:rsidP="00ED7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75" w:rsidRDefault="00BE342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5075" w:rsidRDefault="00FA4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75" w:rsidRDefault="00BE342F"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26D1">
      <w:rPr>
        <w:rStyle w:val="PageNumber"/>
        <w:noProof/>
      </w:rPr>
      <w:t>4</w:t>
    </w:r>
    <w:r>
      <w:rPr>
        <w:rStyle w:val="PageNumber"/>
      </w:rPr>
      <w:fldChar w:fldCharType="end"/>
    </w:r>
  </w:p>
  <w:p w:rsidR="00255075" w:rsidRDefault="00FA4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F59F8"/>
    <w:multiLevelType w:val="hybridMultilevel"/>
    <w:tmpl w:val="B3508D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12"/>
    <w:rsid w:val="000B262F"/>
    <w:rsid w:val="001556AE"/>
    <w:rsid w:val="002D4FAA"/>
    <w:rsid w:val="003D64C0"/>
    <w:rsid w:val="003E7831"/>
    <w:rsid w:val="004326D1"/>
    <w:rsid w:val="0052652A"/>
    <w:rsid w:val="005C202A"/>
    <w:rsid w:val="005D536D"/>
    <w:rsid w:val="005E62F8"/>
    <w:rsid w:val="00780351"/>
    <w:rsid w:val="007F116F"/>
    <w:rsid w:val="00900A91"/>
    <w:rsid w:val="00946EF8"/>
    <w:rsid w:val="009739C4"/>
    <w:rsid w:val="00B81312"/>
    <w:rsid w:val="00BE342F"/>
    <w:rsid w:val="00C02A28"/>
    <w:rsid w:val="00C1131F"/>
    <w:rsid w:val="00C5070E"/>
    <w:rsid w:val="00D62794"/>
    <w:rsid w:val="00D8312D"/>
    <w:rsid w:val="00EB0815"/>
    <w:rsid w:val="00ED722F"/>
    <w:rsid w:val="00F533B5"/>
    <w:rsid w:val="00FA4564"/>
    <w:rsid w:val="00FD4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chartTrackingRefBased/>
  <w15:docId w15:val="{6EA780A5-519D-48FB-8D6B-E6606F7A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312"/>
    <w:pPr>
      <w:spacing w:after="0" w:line="240" w:lineRule="auto"/>
    </w:pPr>
    <w:rPr>
      <w:rFonts w:eastAsia="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1312"/>
    <w:pPr>
      <w:tabs>
        <w:tab w:val="center" w:pos="4153"/>
        <w:tab w:val="right" w:pos="8306"/>
      </w:tabs>
    </w:pPr>
  </w:style>
  <w:style w:type="character" w:customStyle="1" w:styleId="HeaderChar">
    <w:name w:val="Header Char"/>
    <w:basedOn w:val="DefaultParagraphFont"/>
    <w:link w:val="Header"/>
    <w:rsid w:val="00B81312"/>
    <w:rPr>
      <w:rFonts w:eastAsia="Times New Roman"/>
      <w:lang w:eastAsia="lv-LV"/>
    </w:rPr>
  </w:style>
  <w:style w:type="character" w:styleId="PageNumber">
    <w:name w:val="page number"/>
    <w:basedOn w:val="DefaultParagraphFont"/>
    <w:rsid w:val="00B81312"/>
  </w:style>
  <w:style w:type="paragraph" w:customStyle="1" w:styleId="naisf">
    <w:name w:val="naisf"/>
    <w:basedOn w:val="Normal"/>
    <w:rsid w:val="00B81312"/>
    <w:pPr>
      <w:spacing w:before="75" w:after="75"/>
      <w:ind w:firstLine="375"/>
      <w:jc w:val="both"/>
    </w:pPr>
  </w:style>
  <w:style w:type="paragraph" w:customStyle="1" w:styleId="naisnod">
    <w:name w:val="naisnod"/>
    <w:basedOn w:val="Normal"/>
    <w:rsid w:val="00B81312"/>
    <w:pPr>
      <w:spacing w:before="150" w:after="150"/>
      <w:jc w:val="center"/>
    </w:pPr>
    <w:rPr>
      <w:b/>
      <w:bCs/>
    </w:rPr>
  </w:style>
  <w:style w:type="paragraph" w:customStyle="1" w:styleId="naislab">
    <w:name w:val="naislab"/>
    <w:basedOn w:val="Normal"/>
    <w:rsid w:val="00B81312"/>
    <w:pPr>
      <w:spacing w:before="75" w:after="75"/>
      <w:jc w:val="right"/>
    </w:pPr>
  </w:style>
  <w:style w:type="paragraph" w:customStyle="1" w:styleId="naiskr">
    <w:name w:val="naiskr"/>
    <w:basedOn w:val="Normal"/>
    <w:rsid w:val="00B81312"/>
    <w:pPr>
      <w:spacing w:before="75" w:after="75"/>
    </w:pPr>
  </w:style>
  <w:style w:type="paragraph" w:styleId="FootnoteText">
    <w:name w:val="footnote text"/>
    <w:basedOn w:val="Normal"/>
    <w:link w:val="FootnoteTextChar"/>
    <w:rsid w:val="00B81312"/>
    <w:rPr>
      <w:sz w:val="20"/>
      <w:szCs w:val="20"/>
    </w:rPr>
  </w:style>
  <w:style w:type="character" w:customStyle="1" w:styleId="FootnoteTextChar">
    <w:name w:val="Footnote Text Char"/>
    <w:basedOn w:val="DefaultParagraphFont"/>
    <w:link w:val="FootnoteText"/>
    <w:rsid w:val="00B81312"/>
    <w:rPr>
      <w:rFonts w:eastAsia="Times New Roman"/>
      <w:sz w:val="20"/>
      <w:szCs w:val="20"/>
      <w:lang w:eastAsia="lv-LV"/>
    </w:rPr>
  </w:style>
  <w:style w:type="paragraph" w:styleId="Footer">
    <w:name w:val="footer"/>
    <w:basedOn w:val="Normal"/>
    <w:link w:val="FooterChar"/>
    <w:rsid w:val="00B81312"/>
    <w:pPr>
      <w:tabs>
        <w:tab w:val="center" w:pos="4153"/>
        <w:tab w:val="right" w:pos="8306"/>
      </w:tabs>
    </w:pPr>
  </w:style>
  <w:style w:type="character" w:customStyle="1" w:styleId="FooterChar">
    <w:name w:val="Footer Char"/>
    <w:basedOn w:val="DefaultParagraphFont"/>
    <w:link w:val="Footer"/>
    <w:rsid w:val="00B81312"/>
    <w:rPr>
      <w:rFonts w:eastAsia="Times New Roman"/>
      <w:lang w:eastAsia="lv-LV"/>
    </w:rPr>
  </w:style>
  <w:style w:type="character" w:styleId="Hyperlink">
    <w:name w:val="Hyperlink"/>
    <w:rsid w:val="00B81312"/>
    <w:rPr>
      <w:color w:val="0000FF"/>
      <w:u w:val="single"/>
    </w:rPr>
  </w:style>
  <w:style w:type="paragraph" w:styleId="ListParagraph">
    <w:name w:val="List Paragraph"/>
    <w:basedOn w:val="Normal"/>
    <w:uiPriority w:val="34"/>
    <w:qFormat/>
    <w:rsid w:val="00B8131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556AE"/>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ga.Jermac&#257;ne@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3847</Words>
  <Characters>2193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Fiskālās disciplīnas likumā</dc:title>
  <dc:subject>Sākotnējās ietekmes novērtējuma ziņojums (anotācija)</dc:subject>
  <dc:creator>Jermacāne Ilga</dc:creator>
  <cp:keywords/>
  <dc:description>I.Jermacāne
67095429, Ilga.Jermacāne@fm.gov.lv</dc:description>
  <cp:lastModifiedBy>Jermacāne Ilga</cp:lastModifiedBy>
  <cp:revision>5</cp:revision>
  <dcterms:created xsi:type="dcterms:W3CDTF">2013-08-09T08:00:00Z</dcterms:created>
  <dcterms:modified xsi:type="dcterms:W3CDTF">2013-08-14T09:42:00Z</dcterms:modified>
</cp:coreProperties>
</file>