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F2" w:rsidRDefault="00AF5AA2">
      <w:pPr>
        <w:pStyle w:val="BodyText"/>
      </w:pPr>
      <w:r>
        <w:t xml:space="preserve">Ministru kabineta noteikumu projekta „Grozījumi Ministru kabineta 2009. gada 15. decembra noteikumos Nr. 1486 “Kārtība, kādā budžeta iestādes kārto grāmatvedības uzskaiti”” </w:t>
      </w:r>
    </w:p>
    <w:p w:rsidR="008766F2" w:rsidRDefault="00AF5AA2">
      <w:pPr>
        <w:pStyle w:val="BodyText"/>
      </w:pPr>
      <w:r>
        <w:t>sākotnējās ietekmes novērtējuma ziņojums (anotācija)</w:t>
      </w:r>
    </w:p>
    <w:p w:rsidR="008766F2" w:rsidRDefault="008766F2">
      <w:pPr>
        <w:jc w:val="center"/>
        <w:rPr>
          <w:b/>
          <w:bCs/>
          <w:lang w:val="lv-LV"/>
        </w:rPr>
      </w:pPr>
    </w:p>
    <w:tbl>
      <w:tblPr>
        <w:tblW w:w="97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
        <w:gridCol w:w="3060"/>
        <w:gridCol w:w="6120"/>
      </w:tblGrid>
      <w:tr w:rsidR="008766F2">
        <w:trPr>
          <w:cantSplit/>
        </w:trPr>
        <w:tc>
          <w:tcPr>
            <w:tcW w:w="9720" w:type="dxa"/>
            <w:gridSpan w:val="3"/>
            <w:tcBorders>
              <w:top w:val="single" w:sz="6" w:space="0" w:color="auto"/>
              <w:left w:val="single" w:sz="6" w:space="0" w:color="auto"/>
              <w:bottom w:val="single" w:sz="6" w:space="0" w:color="auto"/>
              <w:right w:val="single" w:sz="6" w:space="0" w:color="auto"/>
            </w:tcBorders>
          </w:tcPr>
          <w:p w:rsidR="008766F2" w:rsidRDefault="00AF5AA2">
            <w:pPr>
              <w:pStyle w:val="BodyTextIndent"/>
              <w:jc w:val="center"/>
            </w:pPr>
            <w:r>
              <w:t>I. Kādēļ normatīvais akts ir vajadzīgs</w:t>
            </w:r>
          </w:p>
        </w:tc>
      </w:tr>
      <w:tr w:rsidR="008766F2">
        <w:tc>
          <w:tcPr>
            <w:tcW w:w="540" w:type="dxa"/>
            <w:tcBorders>
              <w:top w:val="single" w:sz="6" w:space="0" w:color="auto"/>
              <w:left w:val="single" w:sz="6" w:space="0" w:color="auto"/>
              <w:bottom w:val="single" w:sz="6" w:space="0" w:color="auto"/>
              <w:right w:val="single" w:sz="6" w:space="0" w:color="auto"/>
            </w:tcBorders>
          </w:tcPr>
          <w:p w:rsidR="008766F2" w:rsidRDefault="00AF5AA2">
            <w:pPr>
              <w:pStyle w:val="BodyText"/>
              <w:jc w:val="both"/>
              <w:rPr>
                <w:b w:val="0"/>
                <w:bCs w:val="0"/>
                <w:sz w:val="24"/>
                <w:szCs w:val="24"/>
              </w:rPr>
            </w:pPr>
            <w:r>
              <w:rPr>
                <w:b w:val="0"/>
                <w:bCs w:val="0"/>
                <w:sz w:val="24"/>
                <w:szCs w:val="24"/>
              </w:rPr>
              <w:t xml:space="preserve">1. </w:t>
            </w:r>
          </w:p>
        </w:tc>
        <w:tc>
          <w:tcPr>
            <w:tcW w:w="3060" w:type="dxa"/>
            <w:tcBorders>
              <w:top w:val="single" w:sz="6" w:space="0" w:color="auto"/>
              <w:left w:val="single" w:sz="6" w:space="0" w:color="auto"/>
              <w:bottom w:val="single" w:sz="6" w:space="0" w:color="auto"/>
              <w:right w:val="single" w:sz="6" w:space="0" w:color="auto"/>
            </w:tcBorders>
          </w:tcPr>
          <w:p w:rsidR="008766F2" w:rsidRDefault="00AF5AA2">
            <w:pPr>
              <w:pStyle w:val="BodyTextIndent"/>
              <w:rPr>
                <w:b w:val="0"/>
                <w:bCs w:val="0"/>
              </w:rPr>
            </w:pPr>
            <w:r>
              <w:rPr>
                <w:b w:val="0"/>
                <w:bCs w:val="0"/>
              </w:rPr>
              <w:t>Pamatojums</w:t>
            </w:r>
          </w:p>
        </w:tc>
        <w:tc>
          <w:tcPr>
            <w:tcW w:w="6120" w:type="dxa"/>
            <w:tcBorders>
              <w:top w:val="single" w:sz="6" w:space="0" w:color="auto"/>
              <w:left w:val="single" w:sz="6" w:space="0" w:color="auto"/>
              <w:bottom w:val="single" w:sz="6" w:space="0" w:color="auto"/>
              <w:right w:val="single" w:sz="6" w:space="0" w:color="auto"/>
            </w:tcBorders>
          </w:tcPr>
          <w:p w:rsidR="008766F2" w:rsidRDefault="00AF5AA2">
            <w:pPr>
              <w:pStyle w:val="BodyTextIndent"/>
              <w:rPr>
                <w:b w:val="0"/>
                <w:bCs w:val="0"/>
              </w:rPr>
            </w:pPr>
            <w:r>
              <w:rPr>
                <w:b w:val="0"/>
                <w:bCs w:val="0"/>
              </w:rPr>
              <w:t>Likuma par budžetu un finanšu vadību 29. panta otrā daļa</w:t>
            </w:r>
          </w:p>
        </w:tc>
      </w:tr>
      <w:tr w:rsidR="008766F2">
        <w:tc>
          <w:tcPr>
            <w:tcW w:w="540" w:type="dxa"/>
            <w:tcBorders>
              <w:top w:val="single" w:sz="6" w:space="0" w:color="auto"/>
              <w:left w:val="single" w:sz="6" w:space="0" w:color="auto"/>
              <w:bottom w:val="single" w:sz="6" w:space="0" w:color="auto"/>
              <w:right w:val="single" w:sz="6" w:space="0" w:color="auto"/>
            </w:tcBorders>
          </w:tcPr>
          <w:p w:rsidR="008766F2" w:rsidRDefault="00AF5AA2">
            <w:pPr>
              <w:pStyle w:val="BodyText"/>
              <w:jc w:val="both"/>
              <w:rPr>
                <w:b w:val="0"/>
                <w:bCs w:val="0"/>
                <w:sz w:val="24"/>
                <w:szCs w:val="24"/>
              </w:rPr>
            </w:pPr>
            <w:r>
              <w:rPr>
                <w:b w:val="0"/>
                <w:bCs w:val="0"/>
                <w:sz w:val="24"/>
                <w:szCs w:val="24"/>
              </w:rPr>
              <w:t>2.</w:t>
            </w:r>
          </w:p>
        </w:tc>
        <w:tc>
          <w:tcPr>
            <w:tcW w:w="3060" w:type="dxa"/>
            <w:tcBorders>
              <w:top w:val="single" w:sz="6" w:space="0" w:color="auto"/>
              <w:left w:val="single" w:sz="6" w:space="0" w:color="auto"/>
              <w:bottom w:val="single" w:sz="6" w:space="0" w:color="auto"/>
              <w:right w:val="single" w:sz="6" w:space="0" w:color="auto"/>
            </w:tcBorders>
          </w:tcPr>
          <w:p w:rsidR="008766F2" w:rsidRDefault="00AF5AA2">
            <w:pPr>
              <w:jc w:val="both"/>
              <w:rPr>
                <w:lang w:val="lv-LV"/>
              </w:rPr>
            </w:pPr>
            <w:r>
              <w:rPr>
                <w:lang w:val="lv-LV"/>
              </w:rPr>
              <w:t>Pašreizējā situācija un problēmas</w:t>
            </w:r>
          </w:p>
        </w:tc>
        <w:tc>
          <w:tcPr>
            <w:tcW w:w="6120" w:type="dxa"/>
            <w:tcBorders>
              <w:top w:val="single" w:sz="6" w:space="0" w:color="auto"/>
              <w:left w:val="single" w:sz="6" w:space="0" w:color="auto"/>
              <w:bottom w:val="single" w:sz="6" w:space="0" w:color="auto"/>
              <w:right w:val="single" w:sz="6" w:space="0" w:color="auto"/>
            </w:tcBorders>
          </w:tcPr>
          <w:p w:rsidR="008766F2" w:rsidRDefault="00AF5AA2">
            <w:pPr>
              <w:pStyle w:val="BodyTextIndent2"/>
              <w:spacing w:after="0"/>
            </w:pPr>
            <w:r>
              <w:t>Ministru kabineta 2009. gada 15. decembra noteikumi Nr. 1486 “Kārtība, kādā budžeta iestādes kārto grāmatvedības uzskaiti” (turpmāk – noteikumi Nr. 1486) nosaka kārtību, kādā valsts un pašvaldību budžeta iestādes kārto grāmatvedības uzskaiti, paredzot vienotu uzskaites pamatprincipu un grāmatvedības kontu plāna lietošanu.</w:t>
            </w:r>
          </w:p>
          <w:p w:rsidR="008766F2" w:rsidRDefault="00AF5AA2">
            <w:pPr>
              <w:pStyle w:val="BodyTextIndent2"/>
              <w:spacing w:after="0"/>
            </w:pPr>
            <w:r>
              <w:t>1. Pēc noteikumu Nr.1486 stāšanās spēkā no ministrijām un pašvaldībām saņemti vairāki priekšlikumi un ieteikumi par nepieciešamām izmaiņām un papildinājumiem esošajos noteikumos. Pamatojoties uz izteiktajiem priekšlikumiem un ieteikumiem, Valsts kase ir izstrādājusi Ministru kabineta noteikumu projektu “Grozījumi Ministru kabineta 2009. gada 15. decembra noteikumos Nr. 1486 “Kārtība, kādā budžeta iestādes kārto grāmatvedības uzskaiti” (turpmāk – noteikumu projekts).</w:t>
            </w:r>
          </w:p>
          <w:p w:rsidR="008766F2" w:rsidRDefault="00AF5AA2">
            <w:pPr>
              <w:ind w:firstLine="431"/>
              <w:jc w:val="both"/>
              <w:rPr>
                <w:lang w:val="lv-LV"/>
              </w:rPr>
            </w:pPr>
            <w:r>
              <w:rPr>
                <w:lang w:val="lv-LV"/>
              </w:rPr>
              <w:t>2. Ministru kabineta 2005. gada 21.</w:t>
            </w:r>
            <w:r>
              <w:t> </w:t>
            </w:r>
            <w:r>
              <w:rPr>
                <w:lang w:val="lv-LV"/>
              </w:rPr>
              <w:t>jūnija noteikumi Nr. 440 “Noteikumi par budžeta iestāžu pamatlīdzekļu nolietojuma normām un pielietošanas nosacījumiem” (turpmāk – noteikumi Nr. 440) nosaka pamatlīdzekļu normas un to pielietošanas nosacījumus. Noteikumi Nr. 440 izdoti saskaņā ar Likuma par budžetu un finanšu vadību 29. panta otro daļu. Izdošanas pamatojums ir vienāds ar noteikumu Nr. 1486 izdošanas pamatojumu. Izvērtējot normatīvo aktu skaita samazināšanas iespējas, grozījumu projektā paredzēts iekļaut noteikumu Nr. 440 normas.</w:t>
            </w:r>
          </w:p>
          <w:p w:rsidR="008766F2" w:rsidRPr="00AF5AA2" w:rsidRDefault="00AF5AA2">
            <w:pPr>
              <w:ind w:firstLine="431"/>
              <w:jc w:val="both"/>
              <w:rPr>
                <w:lang w:val="lv-LV"/>
              </w:rPr>
            </w:pPr>
            <w:r>
              <w:rPr>
                <w:bCs/>
                <w:lang w:val="lv-LV"/>
              </w:rPr>
              <w:t>3</w:t>
            </w:r>
            <w:r w:rsidRPr="00AF5AA2">
              <w:rPr>
                <w:bCs/>
                <w:lang w:val="lv-LV"/>
              </w:rPr>
              <w:t>. 2010. gada 12. jūlija grozījumi Likumā par ostām noteica ostu pārvalžu juridisko statusu – ostu pārvaldes ir publisko tiesību subjekts, Rīgas ostas pārvalde un Ventspils ostas pārvalde ir atvasināta publisko tiesību juridiskā persona. Ņemot vērā, ka budžeta iestādes var nodot turējumā nekustamo īpašumu ostas funkciju veikšanai, radusies nepieciešamība precizēt noteikumu Nr. 1486 normu par turējumā nodotiem nefinanšu aktīviem attiecībā uz ostu pārvaldēm, jo līdz šim šāds regulējums attiecās tikai uz kapitālsabiedrībām. Precizējumi ietverti noteikumu projekta 17. un 29. punktā.</w:t>
            </w:r>
          </w:p>
        </w:tc>
      </w:tr>
      <w:tr w:rsidR="008766F2">
        <w:tc>
          <w:tcPr>
            <w:tcW w:w="540" w:type="dxa"/>
            <w:tcBorders>
              <w:top w:val="single" w:sz="6" w:space="0" w:color="auto"/>
              <w:left w:val="single" w:sz="6" w:space="0" w:color="auto"/>
              <w:bottom w:val="single" w:sz="6" w:space="0" w:color="auto"/>
              <w:right w:val="single" w:sz="6" w:space="0" w:color="auto"/>
            </w:tcBorders>
          </w:tcPr>
          <w:p w:rsidR="008766F2" w:rsidRDefault="00AF5AA2">
            <w:pPr>
              <w:pStyle w:val="BodyText"/>
              <w:jc w:val="both"/>
              <w:rPr>
                <w:b w:val="0"/>
                <w:bCs w:val="0"/>
                <w:sz w:val="24"/>
                <w:szCs w:val="24"/>
              </w:rPr>
            </w:pPr>
            <w:r>
              <w:rPr>
                <w:b w:val="0"/>
                <w:bCs w:val="0"/>
                <w:sz w:val="24"/>
                <w:szCs w:val="24"/>
              </w:rPr>
              <w:t xml:space="preserve">3. </w:t>
            </w:r>
          </w:p>
        </w:tc>
        <w:tc>
          <w:tcPr>
            <w:tcW w:w="3060" w:type="dxa"/>
            <w:tcBorders>
              <w:top w:val="single" w:sz="6" w:space="0" w:color="auto"/>
              <w:left w:val="single" w:sz="6" w:space="0" w:color="auto"/>
              <w:bottom w:val="single" w:sz="6" w:space="0" w:color="auto"/>
              <w:right w:val="single" w:sz="6" w:space="0" w:color="auto"/>
            </w:tcBorders>
          </w:tcPr>
          <w:p w:rsidR="008766F2" w:rsidRDefault="00AF5AA2">
            <w:pPr>
              <w:pStyle w:val="BodyTextIndent"/>
              <w:rPr>
                <w:b w:val="0"/>
                <w:bCs w:val="0"/>
              </w:rPr>
            </w:pPr>
            <w:r>
              <w:rPr>
                <w:b w:val="0"/>
                <w:bCs w:val="0"/>
              </w:rPr>
              <w:t>Saistītie politikas ietekmes novērtējumi un pētījumi</w:t>
            </w:r>
          </w:p>
        </w:tc>
        <w:tc>
          <w:tcPr>
            <w:tcW w:w="6120" w:type="dxa"/>
            <w:tcBorders>
              <w:top w:val="single" w:sz="6" w:space="0" w:color="auto"/>
              <w:left w:val="single" w:sz="6" w:space="0" w:color="auto"/>
              <w:bottom w:val="single" w:sz="6" w:space="0" w:color="auto"/>
              <w:right w:val="single" w:sz="6" w:space="0" w:color="auto"/>
            </w:tcBorders>
          </w:tcPr>
          <w:p w:rsidR="008766F2" w:rsidRDefault="00AF5AA2">
            <w:pPr>
              <w:pStyle w:val="BodyTextIndent"/>
              <w:rPr>
                <w:b w:val="0"/>
                <w:bCs w:val="0"/>
              </w:rPr>
            </w:pPr>
            <w:r>
              <w:rPr>
                <w:b w:val="0"/>
                <w:bCs w:val="0"/>
              </w:rPr>
              <w:t>Nav veikti.</w:t>
            </w:r>
          </w:p>
        </w:tc>
      </w:tr>
      <w:tr w:rsidR="008766F2">
        <w:tc>
          <w:tcPr>
            <w:tcW w:w="540" w:type="dxa"/>
            <w:tcBorders>
              <w:top w:val="single" w:sz="6" w:space="0" w:color="auto"/>
              <w:left w:val="single" w:sz="6" w:space="0" w:color="auto"/>
              <w:bottom w:val="single" w:sz="6" w:space="0" w:color="auto"/>
              <w:right w:val="single" w:sz="6" w:space="0" w:color="auto"/>
            </w:tcBorders>
          </w:tcPr>
          <w:p w:rsidR="008766F2" w:rsidRDefault="00AF5AA2">
            <w:pPr>
              <w:pStyle w:val="BodyText"/>
              <w:jc w:val="both"/>
              <w:rPr>
                <w:b w:val="0"/>
                <w:bCs w:val="0"/>
                <w:sz w:val="24"/>
                <w:szCs w:val="24"/>
              </w:rPr>
            </w:pPr>
            <w:r>
              <w:rPr>
                <w:b w:val="0"/>
                <w:bCs w:val="0"/>
                <w:sz w:val="24"/>
                <w:szCs w:val="24"/>
              </w:rPr>
              <w:t xml:space="preserve">4. </w:t>
            </w:r>
          </w:p>
        </w:tc>
        <w:tc>
          <w:tcPr>
            <w:tcW w:w="3060" w:type="dxa"/>
            <w:tcBorders>
              <w:top w:val="single" w:sz="6" w:space="0" w:color="auto"/>
              <w:left w:val="single" w:sz="6" w:space="0" w:color="auto"/>
              <w:bottom w:val="single" w:sz="6" w:space="0" w:color="auto"/>
              <w:right w:val="single" w:sz="6" w:space="0" w:color="auto"/>
            </w:tcBorders>
          </w:tcPr>
          <w:p w:rsidR="008766F2" w:rsidRDefault="00AF5AA2">
            <w:pPr>
              <w:pStyle w:val="BodyTextIndent"/>
              <w:spacing w:after="0"/>
              <w:rPr>
                <w:b w:val="0"/>
                <w:bCs w:val="0"/>
              </w:rPr>
            </w:pPr>
            <w:r>
              <w:rPr>
                <w:b w:val="0"/>
                <w:bCs w:val="0"/>
              </w:rPr>
              <w:t>Tiesiskā regulējuma mērķis un būtība</w:t>
            </w:r>
          </w:p>
        </w:tc>
        <w:tc>
          <w:tcPr>
            <w:tcW w:w="6120" w:type="dxa"/>
            <w:tcBorders>
              <w:top w:val="single" w:sz="6" w:space="0" w:color="auto"/>
              <w:left w:val="single" w:sz="6" w:space="0" w:color="auto"/>
              <w:bottom w:val="single" w:sz="6" w:space="0" w:color="auto"/>
              <w:right w:val="single" w:sz="6" w:space="0" w:color="auto"/>
            </w:tcBorders>
          </w:tcPr>
          <w:p w:rsidR="008766F2" w:rsidRDefault="00AF5AA2">
            <w:pPr>
              <w:pStyle w:val="BodyTextIndent"/>
              <w:spacing w:after="0"/>
              <w:rPr>
                <w:b w:val="0"/>
                <w:bCs w:val="0"/>
              </w:rPr>
            </w:pPr>
            <w:r>
              <w:rPr>
                <w:b w:val="0"/>
                <w:bCs w:val="0"/>
              </w:rPr>
              <w:t>Izstrādājot noteikumu projektu, Valsts kase veikusi šādus precizējumus:</w:t>
            </w:r>
          </w:p>
          <w:p w:rsidR="008766F2" w:rsidRPr="00AF5AA2" w:rsidRDefault="00AF5AA2">
            <w:pPr>
              <w:pStyle w:val="BodyTextIndent"/>
              <w:spacing w:after="0"/>
              <w:rPr>
                <w:b w:val="0"/>
                <w:bCs w:val="0"/>
              </w:rPr>
            </w:pPr>
            <w:r>
              <w:rPr>
                <w:b w:val="0"/>
                <w:bCs w:val="0"/>
              </w:rPr>
              <w:lastRenderedPageBreak/>
              <w:t xml:space="preserve">1. noteikumu projektā paredzēta nekustamo īpašumu uzskaite ilgtermiņa ieguldījumu sastāvā neatkarīgi no vērtības un tādu pamatlīdzekļu uzskaite ilgtermiņa ieguldījumu sastāvā, kurus iegādājas ar sākotnējo mērķi nodot bez atlīdzības vispārējās valdības sektora struktūrām, </w:t>
            </w:r>
            <w:r w:rsidRPr="00AF5AA2">
              <w:rPr>
                <w:b w:val="0"/>
              </w:rPr>
              <w:t>vai, pārņemot valstij piekritīgo īpašumu, ja nav pieņemts lēmums par tā izmantošanu</w:t>
            </w:r>
            <w:r w:rsidRPr="00AF5AA2">
              <w:rPr>
                <w:b w:val="0"/>
                <w:bCs w:val="0"/>
              </w:rPr>
              <w:t>;</w:t>
            </w:r>
          </w:p>
          <w:p w:rsidR="008766F2" w:rsidRDefault="00AF5AA2">
            <w:pPr>
              <w:pStyle w:val="BodyTextIndent"/>
              <w:spacing w:after="0"/>
              <w:rPr>
                <w:b w:val="0"/>
                <w:bCs w:val="0"/>
              </w:rPr>
            </w:pPr>
            <w:r>
              <w:rPr>
                <w:b w:val="0"/>
                <w:bCs w:val="0"/>
              </w:rPr>
              <w:t xml:space="preserve">2. </w:t>
            </w:r>
            <w:r w:rsidRPr="00AF5AA2">
              <w:rPr>
                <w:b w:val="0"/>
              </w:rPr>
              <w:t>precizēta normu redakcija par ilgtermiņa finanšu ieguldījumu uzskaiti pēc pašu kapitāla metodes</w:t>
            </w:r>
            <w:r w:rsidRPr="00AF5AA2">
              <w:rPr>
                <w:b w:val="0"/>
                <w:bCs w:val="0"/>
              </w:rPr>
              <w:t>;</w:t>
            </w:r>
          </w:p>
          <w:p w:rsidR="008766F2" w:rsidRDefault="00AF5AA2">
            <w:pPr>
              <w:pStyle w:val="BodyTextIndent"/>
              <w:spacing w:after="0"/>
              <w:rPr>
                <w:b w:val="0"/>
                <w:bCs w:val="0"/>
              </w:rPr>
            </w:pPr>
            <w:r>
              <w:rPr>
                <w:b w:val="0"/>
                <w:bCs w:val="0"/>
              </w:rPr>
              <w:t>3. noteikumu projekts papildināts ar prasību norādīt informāciju par aktīvu vērtības samazinājumu un pārējās rezervēs uzskaitīto mežaudžu vērtību, nododot bez atlīdzības attiecīgās materiālās vērtības citai budžeta iestādei, kā arī precizēti grāmatvedības uzskaites kontu nosaukumi;</w:t>
            </w:r>
          </w:p>
          <w:p w:rsidR="008766F2" w:rsidRPr="00AF5AA2" w:rsidRDefault="00AF5AA2">
            <w:pPr>
              <w:pStyle w:val="BodyTextIndent"/>
              <w:spacing w:after="0"/>
              <w:rPr>
                <w:b w:val="0"/>
              </w:rPr>
            </w:pPr>
            <w:r w:rsidRPr="00AF5AA2">
              <w:rPr>
                <w:b w:val="0"/>
              </w:rPr>
              <w:t>4. noteikumu projekts papildināts, precizējot ilgtermiņa ieguldījumu vērtības samazinājuma noteikšanai izmantot lietošanas vērtību, ja nav iespējams noteikt tā patieso vērtību.</w:t>
            </w:r>
          </w:p>
          <w:p w:rsidR="008766F2" w:rsidRPr="00AF5AA2" w:rsidRDefault="00AF5AA2">
            <w:pPr>
              <w:pStyle w:val="BodyTextIndent"/>
              <w:spacing w:after="0"/>
              <w:rPr>
                <w:b w:val="0"/>
                <w:bCs w:val="0"/>
              </w:rPr>
            </w:pPr>
            <w:r w:rsidRPr="00AF5AA2">
              <w:rPr>
                <w:b w:val="0"/>
                <w:bCs w:val="0"/>
              </w:rPr>
              <w:t>5. noteikumi papildināti ar nosacījumiem bez atlīdzības saņemto un nodoto krājumu uzskaitei</w:t>
            </w:r>
            <w:r w:rsidRPr="00AF5AA2">
              <w:rPr>
                <w:b w:val="0"/>
              </w:rPr>
              <w:t>, kā arī precizēti noteikumi krājumu vērtības samazinājuma uzskaitei;</w:t>
            </w:r>
          </w:p>
          <w:p w:rsidR="008766F2" w:rsidRPr="00AF5AA2" w:rsidRDefault="00AF5AA2">
            <w:pPr>
              <w:pStyle w:val="BodyTextIndent"/>
              <w:spacing w:after="0"/>
              <w:rPr>
                <w:b w:val="0"/>
                <w:bCs w:val="0"/>
              </w:rPr>
            </w:pPr>
            <w:r w:rsidRPr="00AF5AA2">
              <w:rPr>
                <w:b w:val="0"/>
                <w:bCs w:val="0"/>
              </w:rPr>
              <w:t>6. precizēta ilgtermiņa ieguldījumu, kas paredzēti atsavināšanai, izslēgšanas no grāmatvedības uzskaites kārtība, kā arī grāmatvedības konti izdevumu attiecināšanai;</w:t>
            </w:r>
          </w:p>
          <w:p w:rsidR="008766F2" w:rsidRPr="00AF5AA2" w:rsidRDefault="00AF5AA2">
            <w:pPr>
              <w:pStyle w:val="BodyTextIndent"/>
              <w:spacing w:after="0"/>
              <w:rPr>
                <w:b w:val="0"/>
                <w:bCs w:val="0"/>
              </w:rPr>
            </w:pPr>
            <w:r w:rsidRPr="00AF5AA2">
              <w:rPr>
                <w:b w:val="0"/>
                <w:bCs w:val="0"/>
              </w:rPr>
              <w:t xml:space="preserve">7. noteikumu Nr. 1486 </w:t>
            </w:r>
            <w:r w:rsidRPr="00AF5AA2">
              <w:rPr>
                <w:b w:val="0"/>
              </w:rPr>
              <w:t>1.</w:t>
            </w:r>
            <w:r w:rsidRPr="00AF5AA2">
              <w:rPr>
                <w:b w:val="0"/>
                <w:bCs w:val="0"/>
              </w:rPr>
              <w:t xml:space="preserve"> pielikuma sadaļa “Zembilance” papildināta ar </w:t>
            </w:r>
            <w:r w:rsidRPr="00AF5AA2">
              <w:rPr>
                <w:b w:val="0"/>
              </w:rPr>
              <w:t>zembilances saistību detalizētu sadalījumu un visu</w:t>
            </w:r>
            <w:r w:rsidRPr="00AF5AA2">
              <w:rPr>
                <w:b w:val="0"/>
                <w:bCs w:val="0"/>
              </w:rPr>
              <w:t xml:space="preserve"> posteņu kodiem informācijas klasificēšanai;</w:t>
            </w:r>
          </w:p>
          <w:p w:rsidR="008766F2" w:rsidRDefault="00AF5AA2">
            <w:pPr>
              <w:pStyle w:val="BodyTextIndent"/>
              <w:spacing w:after="0"/>
              <w:rPr>
                <w:b w:val="0"/>
                <w:bCs w:val="0"/>
              </w:rPr>
            </w:pPr>
            <w:r>
              <w:rPr>
                <w:b w:val="0"/>
                <w:bCs w:val="0"/>
              </w:rPr>
              <w:t>8. noteikumu projektā iekļauts jauns pielikums, kas aizstāj noteikumus Nr. 440;</w:t>
            </w:r>
          </w:p>
          <w:p w:rsidR="008766F2" w:rsidRDefault="00AF5AA2">
            <w:pPr>
              <w:pStyle w:val="BodyTextIndent"/>
              <w:spacing w:after="0"/>
              <w:rPr>
                <w:b w:val="0"/>
                <w:bCs w:val="0"/>
              </w:rPr>
            </w:pPr>
            <w:r>
              <w:rPr>
                <w:b w:val="0"/>
                <w:bCs w:val="0"/>
              </w:rPr>
              <w:t>9. izdodot noteikumu projektu, atrisināts nefinanšu aktīvu nodošanas turējumā ostu pārvaldēm regulējuma trūkums.</w:t>
            </w:r>
          </w:p>
        </w:tc>
      </w:tr>
      <w:tr w:rsidR="008766F2">
        <w:tc>
          <w:tcPr>
            <w:tcW w:w="540" w:type="dxa"/>
            <w:tcBorders>
              <w:top w:val="single" w:sz="6" w:space="0" w:color="auto"/>
              <w:left w:val="single" w:sz="6" w:space="0" w:color="auto"/>
              <w:bottom w:val="single" w:sz="6" w:space="0" w:color="auto"/>
              <w:right w:val="single" w:sz="6" w:space="0" w:color="auto"/>
            </w:tcBorders>
          </w:tcPr>
          <w:p w:rsidR="008766F2" w:rsidRDefault="00AF5AA2">
            <w:pPr>
              <w:pStyle w:val="BodyText"/>
              <w:jc w:val="both"/>
              <w:rPr>
                <w:b w:val="0"/>
                <w:bCs w:val="0"/>
                <w:sz w:val="24"/>
                <w:szCs w:val="24"/>
              </w:rPr>
            </w:pPr>
            <w:r>
              <w:rPr>
                <w:b w:val="0"/>
                <w:bCs w:val="0"/>
                <w:sz w:val="24"/>
                <w:szCs w:val="24"/>
              </w:rPr>
              <w:lastRenderedPageBreak/>
              <w:t xml:space="preserve">5. </w:t>
            </w:r>
          </w:p>
        </w:tc>
        <w:tc>
          <w:tcPr>
            <w:tcW w:w="3060" w:type="dxa"/>
            <w:tcBorders>
              <w:top w:val="single" w:sz="6" w:space="0" w:color="auto"/>
              <w:left w:val="single" w:sz="6" w:space="0" w:color="auto"/>
              <w:bottom w:val="single" w:sz="6" w:space="0" w:color="auto"/>
              <w:right w:val="single" w:sz="6" w:space="0" w:color="auto"/>
            </w:tcBorders>
          </w:tcPr>
          <w:p w:rsidR="008766F2" w:rsidRDefault="00AF5AA2">
            <w:pPr>
              <w:pStyle w:val="BodyTextIndent"/>
              <w:rPr>
                <w:b w:val="0"/>
                <w:bCs w:val="0"/>
              </w:rPr>
            </w:pPr>
            <w:r>
              <w:rPr>
                <w:b w:val="0"/>
                <w:bCs w:val="0"/>
              </w:rPr>
              <w:t>Projekta izstrādē iesaistītās institūcijas</w:t>
            </w:r>
          </w:p>
        </w:tc>
        <w:tc>
          <w:tcPr>
            <w:tcW w:w="6120" w:type="dxa"/>
            <w:tcBorders>
              <w:top w:val="single" w:sz="6" w:space="0" w:color="auto"/>
              <w:left w:val="single" w:sz="6" w:space="0" w:color="auto"/>
              <w:bottom w:val="single" w:sz="6" w:space="0" w:color="auto"/>
              <w:right w:val="single" w:sz="6" w:space="0" w:color="auto"/>
            </w:tcBorders>
          </w:tcPr>
          <w:p w:rsidR="008766F2" w:rsidRDefault="00AF5AA2">
            <w:pPr>
              <w:pStyle w:val="BodyTextIndent"/>
              <w:rPr>
                <w:b w:val="0"/>
                <w:bCs w:val="0"/>
              </w:rPr>
            </w:pPr>
            <w:r>
              <w:rPr>
                <w:b w:val="0"/>
                <w:bCs w:val="0"/>
              </w:rPr>
              <w:t>Finanšu ministrija</w:t>
            </w:r>
          </w:p>
        </w:tc>
      </w:tr>
      <w:tr w:rsidR="008766F2">
        <w:tc>
          <w:tcPr>
            <w:tcW w:w="540" w:type="dxa"/>
            <w:tcBorders>
              <w:top w:val="single" w:sz="6" w:space="0" w:color="auto"/>
              <w:left w:val="single" w:sz="6" w:space="0" w:color="auto"/>
              <w:bottom w:val="single" w:sz="6" w:space="0" w:color="auto"/>
              <w:right w:val="single" w:sz="6" w:space="0" w:color="auto"/>
            </w:tcBorders>
          </w:tcPr>
          <w:p w:rsidR="008766F2" w:rsidRDefault="00AF5AA2">
            <w:pPr>
              <w:pStyle w:val="BodyText"/>
              <w:jc w:val="both"/>
              <w:rPr>
                <w:b w:val="0"/>
                <w:bCs w:val="0"/>
                <w:sz w:val="24"/>
                <w:szCs w:val="24"/>
              </w:rPr>
            </w:pPr>
            <w:r>
              <w:rPr>
                <w:b w:val="0"/>
                <w:bCs w:val="0"/>
                <w:sz w:val="24"/>
                <w:szCs w:val="24"/>
              </w:rPr>
              <w:t xml:space="preserve">6. </w:t>
            </w:r>
          </w:p>
        </w:tc>
        <w:tc>
          <w:tcPr>
            <w:tcW w:w="3060" w:type="dxa"/>
            <w:tcBorders>
              <w:top w:val="single" w:sz="6" w:space="0" w:color="auto"/>
              <w:left w:val="single" w:sz="6" w:space="0" w:color="auto"/>
              <w:bottom w:val="single" w:sz="6" w:space="0" w:color="auto"/>
              <w:right w:val="single" w:sz="6" w:space="0" w:color="auto"/>
            </w:tcBorders>
          </w:tcPr>
          <w:p w:rsidR="008766F2" w:rsidRDefault="00AF5AA2">
            <w:pPr>
              <w:jc w:val="both"/>
              <w:rPr>
                <w:lang w:val="lv-LV"/>
              </w:rPr>
            </w:pPr>
            <w:r>
              <w:rPr>
                <w:lang w:val="lv-LV"/>
              </w:rPr>
              <w:t>Iemesli, kādēļ netika nodrošināta sabiedrības līdzdalība</w:t>
            </w:r>
          </w:p>
        </w:tc>
        <w:tc>
          <w:tcPr>
            <w:tcW w:w="6120" w:type="dxa"/>
            <w:tcBorders>
              <w:top w:val="single" w:sz="6" w:space="0" w:color="auto"/>
              <w:left w:val="single" w:sz="6" w:space="0" w:color="auto"/>
              <w:bottom w:val="single" w:sz="6" w:space="0" w:color="auto"/>
              <w:right w:val="single" w:sz="6" w:space="0" w:color="auto"/>
            </w:tcBorders>
          </w:tcPr>
          <w:p w:rsidR="008766F2" w:rsidRDefault="00AF5AA2">
            <w:pPr>
              <w:spacing w:after="120"/>
              <w:jc w:val="both"/>
              <w:rPr>
                <w:lang w:val="lv-LV"/>
              </w:rPr>
            </w:pPr>
            <w:r>
              <w:rPr>
                <w:lang w:val="lv-LV"/>
              </w:rPr>
              <w:t>Konsultācijas nav notikušas, jo noteikumu projekts nekādā veidā neierobežo un nesašaurina nevienas personu grupas vai indivīda tiesības.</w:t>
            </w:r>
          </w:p>
        </w:tc>
      </w:tr>
      <w:tr w:rsidR="008766F2">
        <w:tc>
          <w:tcPr>
            <w:tcW w:w="540" w:type="dxa"/>
            <w:tcBorders>
              <w:top w:val="single" w:sz="6" w:space="0" w:color="auto"/>
              <w:left w:val="single" w:sz="6" w:space="0" w:color="auto"/>
              <w:bottom w:val="single" w:sz="6" w:space="0" w:color="auto"/>
              <w:right w:val="single" w:sz="6" w:space="0" w:color="auto"/>
            </w:tcBorders>
          </w:tcPr>
          <w:p w:rsidR="008766F2" w:rsidRDefault="00AF5AA2">
            <w:pPr>
              <w:pStyle w:val="BodyText"/>
              <w:jc w:val="both"/>
              <w:rPr>
                <w:b w:val="0"/>
                <w:bCs w:val="0"/>
                <w:sz w:val="24"/>
                <w:szCs w:val="24"/>
              </w:rPr>
            </w:pPr>
            <w:r>
              <w:rPr>
                <w:b w:val="0"/>
                <w:bCs w:val="0"/>
                <w:sz w:val="24"/>
                <w:szCs w:val="24"/>
              </w:rPr>
              <w:t xml:space="preserve">7. </w:t>
            </w:r>
          </w:p>
        </w:tc>
        <w:tc>
          <w:tcPr>
            <w:tcW w:w="3060" w:type="dxa"/>
            <w:tcBorders>
              <w:top w:val="single" w:sz="6" w:space="0" w:color="auto"/>
              <w:left w:val="single" w:sz="6" w:space="0" w:color="auto"/>
              <w:bottom w:val="single" w:sz="6" w:space="0" w:color="auto"/>
              <w:right w:val="single" w:sz="6" w:space="0" w:color="auto"/>
            </w:tcBorders>
          </w:tcPr>
          <w:p w:rsidR="008766F2" w:rsidRDefault="00AF5AA2">
            <w:pPr>
              <w:jc w:val="both"/>
              <w:rPr>
                <w:lang w:val="lv-LV"/>
              </w:rPr>
            </w:pPr>
            <w:r>
              <w:rPr>
                <w:lang w:val="lv-LV"/>
              </w:rPr>
              <w:t>Cita informācija</w:t>
            </w:r>
          </w:p>
        </w:tc>
        <w:tc>
          <w:tcPr>
            <w:tcW w:w="6120" w:type="dxa"/>
            <w:tcBorders>
              <w:top w:val="single" w:sz="6" w:space="0" w:color="auto"/>
              <w:left w:val="single" w:sz="6" w:space="0" w:color="auto"/>
              <w:bottom w:val="single" w:sz="6" w:space="0" w:color="auto"/>
              <w:right w:val="single" w:sz="6" w:space="0" w:color="auto"/>
            </w:tcBorders>
          </w:tcPr>
          <w:p w:rsidR="008766F2" w:rsidRDefault="00AF5AA2">
            <w:pPr>
              <w:spacing w:after="120"/>
              <w:jc w:val="both"/>
              <w:rPr>
                <w:lang w:val="lv-LV"/>
              </w:rPr>
            </w:pPr>
            <w:r>
              <w:rPr>
                <w:lang w:val="lv-LV"/>
              </w:rPr>
              <w:t>Normatīvais akts ietekmē budžeta iestāžu grāmatvedības uzskaiti, uzlabojot finanšu pārskatu ticamību un pilnīgumu, kā rezultātā paaugstināsies informācijas kvalitāte atbilstoši Eiropas Savienības normatīvo aktu prasībām.</w:t>
            </w:r>
          </w:p>
          <w:p w:rsidR="008766F2" w:rsidRPr="00AF5AA2" w:rsidRDefault="00AF5AA2">
            <w:pPr>
              <w:spacing w:after="120"/>
              <w:jc w:val="both"/>
              <w:rPr>
                <w:lang w:val="lv-LV"/>
              </w:rPr>
            </w:pPr>
            <w:r w:rsidRPr="00AF5AA2">
              <w:rPr>
                <w:bCs/>
                <w:lang w:val="lv-LV"/>
              </w:rPr>
              <w:t>Noteikumu projekta saskaņošanas procesā zembilances apraksts papildināts ar skaidrojumu, ka pozīciju “Nākotnes nomas maksājumi” pielieto, ja nomas līgumos paredzēti maksājumi nomas līguma laušanas gadījumos. Nomas līgumos (neatkarīgi no termiņa) paredzētos nākotnes nomas maksājumus zembilancē neuzskaita, bet paredzamās soda sankcijas aprēķina un uzrāda kā “Citas zembilances saistības”.</w:t>
            </w:r>
          </w:p>
        </w:tc>
      </w:tr>
    </w:tbl>
    <w:p w:rsidR="008766F2" w:rsidRDefault="008766F2">
      <w:pPr>
        <w:rPr>
          <w:b/>
          <w:bCs/>
          <w:i/>
          <w:iCs/>
          <w:lang w:val="lv-LV"/>
        </w:rPr>
      </w:pPr>
    </w:p>
    <w:p w:rsidR="008766F2" w:rsidRDefault="00AF5AA2">
      <w:pPr>
        <w:rPr>
          <w:b/>
          <w:bCs/>
          <w:i/>
          <w:iCs/>
          <w:lang w:val="lv-LV"/>
        </w:rPr>
      </w:pPr>
      <w:r>
        <w:rPr>
          <w:b/>
          <w:bCs/>
          <w:i/>
          <w:iCs/>
          <w:lang w:val="lv-LV"/>
        </w:rPr>
        <w:lastRenderedPageBreak/>
        <w:t>Anotācijas II sadaļa – nav attiecināms.</w:t>
      </w:r>
    </w:p>
    <w:p w:rsidR="008766F2" w:rsidRDefault="008766F2">
      <w:pPr>
        <w:rPr>
          <w:b/>
          <w:bCs/>
          <w:i/>
          <w:iCs/>
          <w:lang w:val="lv-LV"/>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3924"/>
        <w:gridCol w:w="5220"/>
      </w:tblGrid>
      <w:tr w:rsidR="008766F2">
        <w:tc>
          <w:tcPr>
            <w:tcW w:w="9540" w:type="dxa"/>
            <w:gridSpan w:val="3"/>
            <w:tcBorders>
              <w:top w:val="single" w:sz="4" w:space="0" w:color="auto"/>
              <w:left w:val="single" w:sz="4" w:space="0" w:color="auto"/>
              <w:bottom w:val="single" w:sz="4" w:space="0" w:color="auto"/>
              <w:right w:val="single" w:sz="4" w:space="0" w:color="auto"/>
            </w:tcBorders>
          </w:tcPr>
          <w:p w:rsidR="008766F2" w:rsidRDefault="00AF5AA2">
            <w:pPr>
              <w:jc w:val="center"/>
              <w:rPr>
                <w:b/>
                <w:bCs/>
                <w:lang w:val="lv-LV"/>
              </w:rPr>
            </w:pPr>
            <w:r>
              <w:rPr>
                <w:b/>
                <w:bCs/>
                <w:lang w:val="lv-LV"/>
              </w:rPr>
              <w:t xml:space="preserve">IV. </w:t>
            </w:r>
            <w:r>
              <w:rPr>
                <w:b/>
                <w:bCs/>
              </w:rPr>
              <w:t>Tiesību akta projekta ietekme uz spēkā esošo tiesību normu sistēmu</w:t>
            </w:r>
          </w:p>
        </w:tc>
      </w:tr>
      <w:tr w:rsidR="008766F2">
        <w:tc>
          <w:tcPr>
            <w:tcW w:w="396" w:type="dxa"/>
            <w:tcBorders>
              <w:top w:val="single" w:sz="4" w:space="0" w:color="auto"/>
              <w:left w:val="single" w:sz="4" w:space="0" w:color="auto"/>
              <w:bottom w:val="single" w:sz="4" w:space="0" w:color="auto"/>
              <w:right w:val="single" w:sz="4" w:space="0" w:color="auto"/>
            </w:tcBorders>
          </w:tcPr>
          <w:p w:rsidR="008766F2" w:rsidRDefault="00AF5AA2">
            <w:pPr>
              <w:pStyle w:val="NormalWeb"/>
              <w:rPr>
                <w:lang w:val="lv-LV"/>
              </w:rPr>
            </w:pPr>
            <w:r>
              <w:rPr>
                <w:lang w:val="lv-LV"/>
              </w:rPr>
              <w:t>1.</w:t>
            </w:r>
          </w:p>
        </w:tc>
        <w:tc>
          <w:tcPr>
            <w:tcW w:w="3924" w:type="dxa"/>
            <w:tcBorders>
              <w:top w:val="single" w:sz="4" w:space="0" w:color="auto"/>
              <w:left w:val="single" w:sz="4" w:space="0" w:color="auto"/>
              <w:bottom w:val="single" w:sz="4" w:space="0" w:color="auto"/>
              <w:right w:val="single" w:sz="4" w:space="0" w:color="auto"/>
            </w:tcBorders>
          </w:tcPr>
          <w:p w:rsidR="008766F2" w:rsidRPr="00AF5AA2" w:rsidRDefault="00AF5AA2">
            <w:pPr>
              <w:pStyle w:val="NormalWeb"/>
              <w:rPr>
                <w:bCs/>
              </w:rPr>
            </w:pPr>
            <w:r w:rsidRPr="00AF5AA2">
              <w:rPr>
                <w:bCs/>
              </w:rPr>
              <w:t>Nepieciešamie saistītie tiesību aktu projekti</w:t>
            </w:r>
          </w:p>
          <w:p w:rsidR="008766F2" w:rsidRPr="00AF5AA2" w:rsidRDefault="008766F2">
            <w:pPr>
              <w:pStyle w:val="NormalWeb"/>
              <w:rPr>
                <w:bCs/>
                <w:lang w:val="lv-LV"/>
              </w:rPr>
            </w:pPr>
          </w:p>
        </w:tc>
        <w:tc>
          <w:tcPr>
            <w:tcW w:w="5220" w:type="dxa"/>
            <w:tcBorders>
              <w:top w:val="single" w:sz="4" w:space="0" w:color="auto"/>
              <w:left w:val="single" w:sz="4" w:space="0" w:color="auto"/>
              <w:bottom w:val="single" w:sz="4" w:space="0" w:color="auto"/>
              <w:right w:val="single" w:sz="4" w:space="0" w:color="auto"/>
            </w:tcBorders>
          </w:tcPr>
          <w:p w:rsidR="008766F2" w:rsidRPr="00AF5AA2" w:rsidRDefault="00AF5AA2">
            <w:pPr>
              <w:pStyle w:val="NormalWeb"/>
              <w:spacing w:before="0" w:beforeAutospacing="0" w:after="120" w:afterAutospacing="0"/>
              <w:jc w:val="both"/>
              <w:rPr>
                <w:bCs/>
                <w:lang w:val="lv-LV"/>
              </w:rPr>
            </w:pPr>
            <w:r w:rsidRPr="00AF5AA2">
              <w:rPr>
                <w:bCs/>
                <w:lang w:val="lv-LV"/>
              </w:rPr>
              <w:t>Noteikumu projektam stājoties spēkā, spēku zaudēs Ministru kabineta 2005. gada 21.</w:t>
            </w:r>
            <w:r w:rsidRPr="00AF5AA2">
              <w:rPr>
                <w:bCs/>
              </w:rPr>
              <w:t> </w:t>
            </w:r>
            <w:r w:rsidRPr="00AF5AA2">
              <w:rPr>
                <w:bCs/>
                <w:lang w:val="lv-LV"/>
              </w:rPr>
              <w:t>jūnija noteikumi Nr. 440 “Noteikumi par budžeta iestāžu pamatlīdzekļu nolietojuma normām un pielietošanas nosacījumiem”, jo, izvērtējot normatīvo aktu skaita samazināšanas iespējas, noteikumu Nr. 440 normas iekļautas noteikumu projektā.</w:t>
            </w:r>
          </w:p>
        </w:tc>
      </w:tr>
      <w:tr w:rsidR="008766F2">
        <w:tc>
          <w:tcPr>
            <w:tcW w:w="396" w:type="dxa"/>
            <w:tcBorders>
              <w:top w:val="single" w:sz="4" w:space="0" w:color="auto"/>
              <w:left w:val="single" w:sz="4" w:space="0" w:color="auto"/>
              <w:bottom w:val="single" w:sz="4" w:space="0" w:color="auto"/>
              <w:right w:val="single" w:sz="4" w:space="0" w:color="auto"/>
            </w:tcBorders>
          </w:tcPr>
          <w:p w:rsidR="008766F2" w:rsidRDefault="00AF5AA2">
            <w:pPr>
              <w:pStyle w:val="NormalWeb"/>
              <w:rPr>
                <w:lang w:val="lv-LV"/>
              </w:rPr>
            </w:pPr>
            <w:r>
              <w:rPr>
                <w:lang w:val="lv-LV"/>
              </w:rPr>
              <w:t>2.</w:t>
            </w:r>
          </w:p>
        </w:tc>
        <w:tc>
          <w:tcPr>
            <w:tcW w:w="3924" w:type="dxa"/>
            <w:tcBorders>
              <w:top w:val="single" w:sz="4" w:space="0" w:color="auto"/>
              <w:left w:val="single" w:sz="4" w:space="0" w:color="auto"/>
              <w:bottom w:val="single" w:sz="4" w:space="0" w:color="auto"/>
              <w:right w:val="single" w:sz="4" w:space="0" w:color="auto"/>
            </w:tcBorders>
          </w:tcPr>
          <w:p w:rsidR="008766F2" w:rsidRPr="00AF5AA2" w:rsidRDefault="00AF5AA2">
            <w:pPr>
              <w:pStyle w:val="NormalWeb"/>
              <w:rPr>
                <w:bCs/>
              </w:rPr>
            </w:pPr>
            <w:r w:rsidRPr="00AF5AA2">
              <w:rPr>
                <w:bCs/>
                <w:lang w:val="lv-LV"/>
              </w:rPr>
              <w:t>Cita informācija</w:t>
            </w:r>
          </w:p>
        </w:tc>
        <w:tc>
          <w:tcPr>
            <w:tcW w:w="5220" w:type="dxa"/>
            <w:tcBorders>
              <w:top w:val="single" w:sz="4" w:space="0" w:color="auto"/>
              <w:left w:val="single" w:sz="4" w:space="0" w:color="auto"/>
              <w:bottom w:val="single" w:sz="4" w:space="0" w:color="auto"/>
              <w:right w:val="single" w:sz="4" w:space="0" w:color="auto"/>
            </w:tcBorders>
          </w:tcPr>
          <w:p w:rsidR="008766F2" w:rsidRPr="00AF5AA2" w:rsidRDefault="00AF5AA2">
            <w:pPr>
              <w:pStyle w:val="NormalWeb"/>
              <w:spacing w:before="0" w:beforeAutospacing="0" w:after="120" w:afterAutospacing="0"/>
              <w:jc w:val="both"/>
              <w:rPr>
                <w:bCs/>
                <w:lang w:val="lv-LV"/>
              </w:rPr>
            </w:pPr>
            <w:r w:rsidRPr="00AF5AA2">
              <w:rPr>
                <w:bCs/>
                <w:lang w:val="lv-LV"/>
              </w:rPr>
              <w:t>nav</w:t>
            </w:r>
          </w:p>
        </w:tc>
      </w:tr>
    </w:tbl>
    <w:p w:rsidR="008766F2" w:rsidRDefault="008766F2">
      <w:pPr>
        <w:rPr>
          <w:b/>
          <w:bCs/>
          <w:i/>
          <w:iCs/>
          <w:lang w:val="lv-LV"/>
        </w:rPr>
      </w:pPr>
    </w:p>
    <w:p w:rsidR="008766F2" w:rsidRDefault="00AF5AA2">
      <w:pPr>
        <w:rPr>
          <w:b/>
          <w:bCs/>
          <w:i/>
          <w:iCs/>
          <w:lang w:val="lv-LV"/>
        </w:rPr>
      </w:pPr>
      <w:r>
        <w:rPr>
          <w:b/>
          <w:bCs/>
          <w:i/>
          <w:iCs/>
          <w:lang w:val="lv-LV"/>
        </w:rPr>
        <w:t>Anotācijas  III,  V un VI  sadaļa – nav attiecināms.</w:t>
      </w:r>
    </w:p>
    <w:p w:rsidR="008766F2" w:rsidRDefault="008766F2">
      <w:pPr>
        <w:rPr>
          <w:b/>
          <w:bCs/>
          <w:i/>
          <w:iCs/>
          <w:lang w:val="lv-LV"/>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
        <w:gridCol w:w="3924"/>
        <w:gridCol w:w="5220"/>
      </w:tblGrid>
      <w:tr w:rsidR="008766F2">
        <w:tc>
          <w:tcPr>
            <w:tcW w:w="9540" w:type="dxa"/>
            <w:gridSpan w:val="3"/>
            <w:tcBorders>
              <w:top w:val="single" w:sz="4" w:space="0" w:color="auto"/>
              <w:left w:val="single" w:sz="4" w:space="0" w:color="auto"/>
              <w:bottom w:val="single" w:sz="4" w:space="0" w:color="auto"/>
              <w:right w:val="single" w:sz="4" w:space="0" w:color="auto"/>
            </w:tcBorders>
          </w:tcPr>
          <w:p w:rsidR="008766F2" w:rsidRDefault="00AF5AA2">
            <w:pPr>
              <w:jc w:val="center"/>
              <w:rPr>
                <w:lang w:val="lv-LV"/>
              </w:rPr>
            </w:pPr>
            <w:r>
              <w:rPr>
                <w:b/>
                <w:bCs/>
                <w:lang w:val="lv-LV"/>
              </w:rPr>
              <w:t>VII. Tiesību akta projekta izpildes nodrošināšana un tās ietekme uz institūcijām</w:t>
            </w:r>
          </w:p>
        </w:tc>
      </w:tr>
      <w:tr w:rsidR="008766F2">
        <w:tc>
          <w:tcPr>
            <w:tcW w:w="396" w:type="dxa"/>
            <w:tcBorders>
              <w:top w:val="single" w:sz="4" w:space="0" w:color="auto"/>
              <w:left w:val="single" w:sz="4" w:space="0" w:color="auto"/>
              <w:bottom w:val="single" w:sz="4" w:space="0" w:color="auto"/>
              <w:right w:val="single" w:sz="4" w:space="0" w:color="auto"/>
            </w:tcBorders>
          </w:tcPr>
          <w:p w:rsidR="008766F2" w:rsidRDefault="00AF5AA2">
            <w:pPr>
              <w:pStyle w:val="NormalWeb"/>
              <w:rPr>
                <w:lang w:val="lv-LV"/>
              </w:rPr>
            </w:pPr>
            <w:r>
              <w:rPr>
                <w:lang w:val="lv-LV"/>
              </w:rPr>
              <w:t>1.</w:t>
            </w:r>
          </w:p>
        </w:tc>
        <w:tc>
          <w:tcPr>
            <w:tcW w:w="3924" w:type="dxa"/>
            <w:tcBorders>
              <w:top w:val="single" w:sz="4" w:space="0" w:color="auto"/>
              <w:left w:val="single" w:sz="4" w:space="0" w:color="auto"/>
              <w:bottom w:val="single" w:sz="4" w:space="0" w:color="auto"/>
              <w:right w:val="single" w:sz="4" w:space="0" w:color="auto"/>
            </w:tcBorders>
          </w:tcPr>
          <w:p w:rsidR="008766F2" w:rsidRDefault="00AF5AA2">
            <w:pPr>
              <w:pStyle w:val="NormalWeb"/>
              <w:rPr>
                <w:lang w:val="lv-LV"/>
              </w:rPr>
            </w:pPr>
            <w:r>
              <w:rPr>
                <w:lang w:val="lv-LV"/>
              </w:rPr>
              <w:t>Projekta izpildē iesaistītās institūcijas</w:t>
            </w:r>
          </w:p>
        </w:tc>
        <w:tc>
          <w:tcPr>
            <w:tcW w:w="5220" w:type="dxa"/>
            <w:tcBorders>
              <w:top w:val="single" w:sz="4" w:space="0" w:color="auto"/>
              <w:left w:val="single" w:sz="4" w:space="0" w:color="auto"/>
              <w:bottom w:val="single" w:sz="4" w:space="0" w:color="auto"/>
              <w:right w:val="single" w:sz="4" w:space="0" w:color="auto"/>
            </w:tcBorders>
          </w:tcPr>
          <w:p w:rsidR="008766F2" w:rsidRDefault="00AF5AA2">
            <w:pPr>
              <w:pStyle w:val="NormalWeb"/>
              <w:spacing w:before="0" w:beforeAutospacing="0" w:after="120" w:afterAutospacing="0"/>
              <w:jc w:val="both"/>
              <w:rPr>
                <w:lang w:val="lv-LV"/>
              </w:rPr>
            </w:pPr>
            <w:r>
              <w:rPr>
                <w:lang w:val="lv-LV"/>
              </w:rPr>
              <w:t>Ministrijas, centrālās valsts iestādes, pašvaldības, budžeta iestādes, no budžeta daļēji finansētas atvasinātas publiskas personas un budžeta nefinansētas iestādes.</w:t>
            </w:r>
          </w:p>
        </w:tc>
      </w:tr>
      <w:tr w:rsidR="008766F2">
        <w:tc>
          <w:tcPr>
            <w:tcW w:w="396" w:type="dxa"/>
            <w:tcBorders>
              <w:top w:val="single" w:sz="4" w:space="0" w:color="auto"/>
              <w:left w:val="single" w:sz="4" w:space="0" w:color="auto"/>
              <w:bottom w:val="single" w:sz="4" w:space="0" w:color="auto"/>
              <w:right w:val="single" w:sz="4" w:space="0" w:color="auto"/>
            </w:tcBorders>
          </w:tcPr>
          <w:p w:rsidR="008766F2" w:rsidRDefault="00AF5AA2">
            <w:pPr>
              <w:pStyle w:val="NormalWeb"/>
              <w:rPr>
                <w:lang w:val="lv-LV"/>
              </w:rPr>
            </w:pPr>
            <w:r>
              <w:rPr>
                <w:lang w:val="lv-LV"/>
              </w:rPr>
              <w:t>2.</w:t>
            </w:r>
          </w:p>
        </w:tc>
        <w:tc>
          <w:tcPr>
            <w:tcW w:w="3924" w:type="dxa"/>
            <w:tcBorders>
              <w:top w:val="single" w:sz="4" w:space="0" w:color="auto"/>
              <w:left w:val="single" w:sz="4" w:space="0" w:color="auto"/>
              <w:bottom w:val="single" w:sz="4" w:space="0" w:color="auto"/>
              <w:right w:val="single" w:sz="4" w:space="0" w:color="auto"/>
            </w:tcBorders>
          </w:tcPr>
          <w:p w:rsidR="008766F2" w:rsidRDefault="00AF5AA2">
            <w:pPr>
              <w:pStyle w:val="NormalWeb"/>
              <w:rPr>
                <w:lang w:val="lv-LV"/>
              </w:rPr>
            </w:pPr>
            <w:r>
              <w:rPr>
                <w:lang w:val="lv-LV"/>
              </w:rPr>
              <w:t>Projekta izpildes ietekme uz pārvaldes funkcijām</w:t>
            </w:r>
          </w:p>
        </w:tc>
        <w:tc>
          <w:tcPr>
            <w:tcW w:w="5220" w:type="dxa"/>
            <w:tcBorders>
              <w:top w:val="single" w:sz="4" w:space="0" w:color="auto"/>
              <w:left w:val="single" w:sz="4" w:space="0" w:color="auto"/>
              <w:bottom w:val="single" w:sz="4" w:space="0" w:color="auto"/>
              <w:right w:val="single" w:sz="4" w:space="0" w:color="auto"/>
            </w:tcBorders>
          </w:tcPr>
          <w:p w:rsidR="008766F2" w:rsidRDefault="00AF5AA2">
            <w:pPr>
              <w:pStyle w:val="NormalWeb"/>
              <w:rPr>
                <w:lang w:val="lv-LV"/>
              </w:rPr>
            </w:pPr>
            <w:r>
              <w:rPr>
                <w:lang w:val="lv-LV"/>
              </w:rPr>
              <w:t>Nav attiecināms</w:t>
            </w:r>
          </w:p>
        </w:tc>
      </w:tr>
      <w:tr w:rsidR="008766F2">
        <w:tc>
          <w:tcPr>
            <w:tcW w:w="396" w:type="dxa"/>
            <w:tcBorders>
              <w:top w:val="single" w:sz="4" w:space="0" w:color="auto"/>
              <w:left w:val="single" w:sz="4" w:space="0" w:color="auto"/>
              <w:bottom w:val="single" w:sz="4" w:space="0" w:color="auto"/>
              <w:right w:val="single" w:sz="4" w:space="0" w:color="auto"/>
            </w:tcBorders>
          </w:tcPr>
          <w:p w:rsidR="008766F2" w:rsidRDefault="00AF5AA2">
            <w:pPr>
              <w:pStyle w:val="NormalWeb"/>
              <w:rPr>
                <w:lang w:val="lv-LV"/>
              </w:rPr>
            </w:pPr>
            <w:r>
              <w:rPr>
                <w:lang w:val="lv-LV"/>
              </w:rPr>
              <w:t>3.</w:t>
            </w:r>
          </w:p>
        </w:tc>
        <w:tc>
          <w:tcPr>
            <w:tcW w:w="3924" w:type="dxa"/>
            <w:tcBorders>
              <w:top w:val="single" w:sz="4" w:space="0" w:color="auto"/>
              <w:left w:val="single" w:sz="4" w:space="0" w:color="auto"/>
              <w:bottom w:val="single" w:sz="4" w:space="0" w:color="auto"/>
              <w:right w:val="single" w:sz="4" w:space="0" w:color="auto"/>
            </w:tcBorders>
          </w:tcPr>
          <w:p w:rsidR="008766F2" w:rsidRDefault="00AF5AA2">
            <w:pPr>
              <w:pStyle w:val="NormalWeb"/>
              <w:spacing w:before="0" w:beforeAutospacing="0" w:after="0" w:afterAutospacing="0"/>
              <w:rPr>
                <w:lang w:val="lv-LV"/>
              </w:rPr>
            </w:pPr>
            <w:r>
              <w:rPr>
                <w:lang w:val="lv-LV"/>
              </w:rPr>
              <w:t>Projekta izpildes ietekme uz pārvaldes institucionālo struktūru.</w:t>
            </w:r>
          </w:p>
          <w:p w:rsidR="008766F2" w:rsidRDefault="00AF5AA2">
            <w:pPr>
              <w:pStyle w:val="NormalWeb"/>
              <w:spacing w:before="0" w:beforeAutospacing="0" w:after="0" w:afterAutospacing="0"/>
              <w:rPr>
                <w:lang w:val="lv-LV"/>
              </w:rPr>
            </w:pPr>
            <w:r>
              <w:rPr>
                <w:lang w:val="lv-LV"/>
              </w:rPr>
              <w:t>Jaunu institūciju izveide</w:t>
            </w:r>
          </w:p>
        </w:tc>
        <w:tc>
          <w:tcPr>
            <w:tcW w:w="5220" w:type="dxa"/>
            <w:tcBorders>
              <w:top w:val="single" w:sz="4" w:space="0" w:color="auto"/>
              <w:left w:val="single" w:sz="4" w:space="0" w:color="auto"/>
              <w:bottom w:val="single" w:sz="4" w:space="0" w:color="auto"/>
              <w:right w:val="single" w:sz="4" w:space="0" w:color="auto"/>
            </w:tcBorders>
          </w:tcPr>
          <w:p w:rsidR="008766F2" w:rsidRDefault="00AF5AA2">
            <w:pPr>
              <w:pStyle w:val="NormalWeb"/>
              <w:rPr>
                <w:lang w:val="lv-LV"/>
              </w:rPr>
            </w:pPr>
            <w:r>
              <w:rPr>
                <w:lang w:val="lv-LV"/>
              </w:rPr>
              <w:t>Nav attiecināms</w:t>
            </w:r>
          </w:p>
        </w:tc>
      </w:tr>
      <w:tr w:rsidR="008766F2">
        <w:tc>
          <w:tcPr>
            <w:tcW w:w="396" w:type="dxa"/>
            <w:tcBorders>
              <w:top w:val="single" w:sz="4" w:space="0" w:color="auto"/>
              <w:left w:val="single" w:sz="4" w:space="0" w:color="auto"/>
              <w:bottom w:val="single" w:sz="4" w:space="0" w:color="auto"/>
              <w:right w:val="single" w:sz="4" w:space="0" w:color="auto"/>
            </w:tcBorders>
          </w:tcPr>
          <w:p w:rsidR="008766F2" w:rsidRDefault="00AF5AA2">
            <w:pPr>
              <w:pStyle w:val="NormalWeb"/>
              <w:rPr>
                <w:lang w:val="lv-LV"/>
              </w:rPr>
            </w:pPr>
            <w:r>
              <w:rPr>
                <w:lang w:val="lv-LV"/>
              </w:rPr>
              <w:t>4.</w:t>
            </w:r>
          </w:p>
        </w:tc>
        <w:tc>
          <w:tcPr>
            <w:tcW w:w="3924" w:type="dxa"/>
            <w:tcBorders>
              <w:top w:val="single" w:sz="4" w:space="0" w:color="auto"/>
              <w:left w:val="single" w:sz="4" w:space="0" w:color="auto"/>
              <w:bottom w:val="single" w:sz="4" w:space="0" w:color="auto"/>
              <w:right w:val="single" w:sz="4" w:space="0" w:color="auto"/>
            </w:tcBorders>
          </w:tcPr>
          <w:p w:rsidR="008766F2" w:rsidRDefault="00AF5AA2">
            <w:pPr>
              <w:pStyle w:val="NormalWeb"/>
              <w:spacing w:before="0" w:beforeAutospacing="0" w:after="0" w:afterAutospacing="0"/>
              <w:rPr>
                <w:lang w:val="lv-LV"/>
              </w:rPr>
            </w:pPr>
            <w:r>
              <w:rPr>
                <w:lang w:val="lv-LV"/>
              </w:rPr>
              <w:t>Projekta izpildes ietekme uz pārvaldes institucionālo struktūru.</w:t>
            </w:r>
          </w:p>
          <w:p w:rsidR="008766F2" w:rsidRDefault="00AF5AA2">
            <w:pPr>
              <w:pStyle w:val="NormalWeb"/>
              <w:spacing w:before="0" w:beforeAutospacing="0" w:after="0" w:afterAutospacing="0"/>
              <w:rPr>
                <w:lang w:val="lv-LV"/>
              </w:rPr>
            </w:pPr>
            <w:r>
              <w:rPr>
                <w:lang w:val="lv-LV"/>
              </w:rPr>
              <w:t>Esošu institūciju likvidācija</w:t>
            </w:r>
          </w:p>
        </w:tc>
        <w:tc>
          <w:tcPr>
            <w:tcW w:w="5220" w:type="dxa"/>
            <w:tcBorders>
              <w:top w:val="single" w:sz="4" w:space="0" w:color="auto"/>
              <w:left w:val="single" w:sz="4" w:space="0" w:color="auto"/>
              <w:bottom w:val="single" w:sz="4" w:space="0" w:color="auto"/>
              <w:right w:val="single" w:sz="4" w:space="0" w:color="auto"/>
            </w:tcBorders>
          </w:tcPr>
          <w:p w:rsidR="008766F2" w:rsidRDefault="00AF5AA2">
            <w:pPr>
              <w:pStyle w:val="NormalWeb"/>
              <w:rPr>
                <w:lang w:val="lv-LV"/>
              </w:rPr>
            </w:pPr>
            <w:r>
              <w:rPr>
                <w:lang w:val="lv-LV"/>
              </w:rPr>
              <w:t>Nav attiecināms</w:t>
            </w:r>
          </w:p>
        </w:tc>
      </w:tr>
      <w:tr w:rsidR="008766F2">
        <w:tc>
          <w:tcPr>
            <w:tcW w:w="396" w:type="dxa"/>
            <w:tcBorders>
              <w:top w:val="single" w:sz="4" w:space="0" w:color="auto"/>
              <w:left w:val="single" w:sz="4" w:space="0" w:color="auto"/>
              <w:bottom w:val="single" w:sz="4" w:space="0" w:color="auto"/>
              <w:right w:val="single" w:sz="4" w:space="0" w:color="auto"/>
            </w:tcBorders>
          </w:tcPr>
          <w:p w:rsidR="008766F2" w:rsidRDefault="00AF5AA2">
            <w:pPr>
              <w:pStyle w:val="NormalWeb"/>
              <w:rPr>
                <w:lang w:val="lv-LV"/>
              </w:rPr>
            </w:pPr>
            <w:r>
              <w:rPr>
                <w:lang w:val="lv-LV"/>
              </w:rPr>
              <w:t>5.</w:t>
            </w:r>
          </w:p>
        </w:tc>
        <w:tc>
          <w:tcPr>
            <w:tcW w:w="3924" w:type="dxa"/>
            <w:tcBorders>
              <w:top w:val="single" w:sz="4" w:space="0" w:color="auto"/>
              <w:left w:val="single" w:sz="4" w:space="0" w:color="auto"/>
              <w:bottom w:val="single" w:sz="4" w:space="0" w:color="auto"/>
              <w:right w:val="single" w:sz="4" w:space="0" w:color="auto"/>
            </w:tcBorders>
          </w:tcPr>
          <w:p w:rsidR="008766F2" w:rsidRDefault="00AF5AA2">
            <w:pPr>
              <w:pStyle w:val="NormalWeb"/>
              <w:spacing w:before="0" w:beforeAutospacing="0" w:after="0" w:afterAutospacing="0"/>
              <w:rPr>
                <w:lang w:val="lv-LV"/>
              </w:rPr>
            </w:pPr>
            <w:r>
              <w:rPr>
                <w:lang w:val="lv-LV"/>
              </w:rPr>
              <w:t>Projekta izpildes ietekme uz pārvaldes institucionālo struktūru.</w:t>
            </w:r>
          </w:p>
          <w:p w:rsidR="008766F2" w:rsidRDefault="00AF5AA2">
            <w:pPr>
              <w:pStyle w:val="NormalWeb"/>
              <w:spacing w:before="0" w:beforeAutospacing="0" w:after="0" w:afterAutospacing="0"/>
              <w:rPr>
                <w:lang w:val="lv-LV"/>
              </w:rPr>
            </w:pPr>
            <w:r>
              <w:rPr>
                <w:lang w:val="lv-LV"/>
              </w:rPr>
              <w:t>Esošu institūciju reorganizācija</w:t>
            </w:r>
          </w:p>
        </w:tc>
        <w:tc>
          <w:tcPr>
            <w:tcW w:w="5220" w:type="dxa"/>
            <w:tcBorders>
              <w:top w:val="single" w:sz="4" w:space="0" w:color="auto"/>
              <w:left w:val="single" w:sz="4" w:space="0" w:color="auto"/>
              <w:bottom w:val="single" w:sz="4" w:space="0" w:color="auto"/>
              <w:right w:val="single" w:sz="4" w:space="0" w:color="auto"/>
            </w:tcBorders>
          </w:tcPr>
          <w:p w:rsidR="008766F2" w:rsidRDefault="00AF5AA2">
            <w:pPr>
              <w:pStyle w:val="NormalWeb"/>
              <w:rPr>
                <w:lang w:val="lv-LV"/>
              </w:rPr>
            </w:pPr>
            <w:r>
              <w:rPr>
                <w:lang w:val="lv-LV"/>
              </w:rPr>
              <w:t>Nav attiecināms</w:t>
            </w:r>
          </w:p>
        </w:tc>
      </w:tr>
      <w:tr w:rsidR="008766F2">
        <w:tc>
          <w:tcPr>
            <w:tcW w:w="396" w:type="dxa"/>
            <w:tcBorders>
              <w:top w:val="single" w:sz="4" w:space="0" w:color="auto"/>
              <w:left w:val="single" w:sz="4" w:space="0" w:color="auto"/>
              <w:bottom w:val="single" w:sz="4" w:space="0" w:color="auto"/>
              <w:right w:val="single" w:sz="4" w:space="0" w:color="auto"/>
            </w:tcBorders>
          </w:tcPr>
          <w:p w:rsidR="008766F2" w:rsidRDefault="00AF5AA2">
            <w:pPr>
              <w:pStyle w:val="NormalWeb"/>
              <w:rPr>
                <w:lang w:val="lv-LV"/>
              </w:rPr>
            </w:pPr>
            <w:r>
              <w:rPr>
                <w:lang w:val="lv-LV"/>
              </w:rPr>
              <w:t>6.</w:t>
            </w:r>
          </w:p>
        </w:tc>
        <w:tc>
          <w:tcPr>
            <w:tcW w:w="3924" w:type="dxa"/>
            <w:tcBorders>
              <w:top w:val="single" w:sz="4" w:space="0" w:color="auto"/>
              <w:left w:val="single" w:sz="4" w:space="0" w:color="auto"/>
              <w:bottom w:val="single" w:sz="4" w:space="0" w:color="auto"/>
              <w:right w:val="single" w:sz="4" w:space="0" w:color="auto"/>
            </w:tcBorders>
          </w:tcPr>
          <w:p w:rsidR="008766F2" w:rsidRDefault="00AF5AA2">
            <w:pPr>
              <w:pStyle w:val="NormalWeb"/>
              <w:spacing w:before="0" w:beforeAutospacing="0" w:after="0" w:afterAutospacing="0"/>
              <w:rPr>
                <w:lang w:val="lv-LV"/>
              </w:rPr>
            </w:pPr>
            <w:r>
              <w:rPr>
                <w:lang w:val="lv-LV"/>
              </w:rPr>
              <w:t>Cita informācija</w:t>
            </w:r>
          </w:p>
        </w:tc>
        <w:tc>
          <w:tcPr>
            <w:tcW w:w="5220" w:type="dxa"/>
            <w:tcBorders>
              <w:top w:val="single" w:sz="4" w:space="0" w:color="auto"/>
              <w:left w:val="single" w:sz="4" w:space="0" w:color="auto"/>
              <w:bottom w:val="single" w:sz="4" w:space="0" w:color="auto"/>
              <w:right w:val="single" w:sz="4" w:space="0" w:color="auto"/>
            </w:tcBorders>
          </w:tcPr>
          <w:p w:rsidR="008766F2" w:rsidRDefault="00AF5AA2">
            <w:pPr>
              <w:pStyle w:val="NormalWeb"/>
              <w:rPr>
                <w:lang w:val="lv-LV"/>
              </w:rPr>
            </w:pPr>
            <w:r>
              <w:rPr>
                <w:lang w:val="lv-LV"/>
              </w:rPr>
              <w:t>Nav</w:t>
            </w:r>
          </w:p>
        </w:tc>
      </w:tr>
    </w:tbl>
    <w:p w:rsidR="008766F2" w:rsidRDefault="008766F2">
      <w:pPr>
        <w:pStyle w:val="NormalWeb"/>
        <w:spacing w:before="0" w:beforeAutospacing="0" w:after="0" w:afterAutospacing="0"/>
        <w:rPr>
          <w:sz w:val="28"/>
          <w:szCs w:val="28"/>
          <w:lang w:val="lv-LV"/>
        </w:rPr>
      </w:pPr>
    </w:p>
    <w:p w:rsidR="008766F2" w:rsidRDefault="00AF5AA2">
      <w:pPr>
        <w:pStyle w:val="NormalWeb"/>
        <w:spacing w:before="0" w:beforeAutospacing="0" w:after="0" w:afterAutospacing="0"/>
        <w:rPr>
          <w:sz w:val="28"/>
          <w:szCs w:val="28"/>
          <w:lang w:val="lv-LV"/>
        </w:rPr>
      </w:pPr>
      <w:r>
        <w:rPr>
          <w:sz w:val="28"/>
          <w:szCs w:val="28"/>
          <w:lang w:val="lv-LV"/>
        </w:rPr>
        <w:tab/>
      </w:r>
    </w:p>
    <w:p w:rsidR="008766F2" w:rsidRPr="00AF5AA2" w:rsidRDefault="00AF5AA2">
      <w:pPr>
        <w:pStyle w:val="BodyText2"/>
      </w:pPr>
      <w:r>
        <w:t>Finanšu ministrs</w:t>
      </w:r>
      <w:r>
        <w:tab/>
      </w:r>
      <w:r>
        <w:tab/>
      </w:r>
      <w:r>
        <w:tab/>
      </w:r>
      <w:r>
        <w:tab/>
      </w:r>
      <w:r>
        <w:tab/>
      </w:r>
      <w:r>
        <w:tab/>
      </w:r>
      <w:r>
        <w:tab/>
        <w:t>A.Vilks</w:t>
      </w:r>
    </w:p>
    <w:p w:rsidR="008766F2" w:rsidRDefault="008766F2">
      <w:pPr>
        <w:pStyle w:val="naisf"/>
        <w:ind w:firstLine="0"/>
        <w:rPr>
          <w:sz w:val="28"/>
          <w:szCs w:val="28"/>
          <w:lang w:val="lv-LV"/>
        </w:rPr>
      </w:pPr>
    </w:p>
    <w:p w:rsidR="008766F2" w:rsidRDefault="008766F2">
      <w:pPr>
        <w:pStyle w:val="naisf"/>
        <w:ind w:firstLine="0"/>
        <w:rPr>
          <w:sz w:val="28"/>
          <w:szCs w:val="28"/>
          <w:lang w:val="lv-LV"/>
        </w:rPr>
      </w:pPr>
    </w:p>
    <w:p w:rsidR="008766F2" w:rsidRDefault="008766F2">
      <w:pPr>
        <w:pStyle w:val="naisf"/>
        <w:ind w:firstLine="0"/>
        <w:rPr>
          <w:sz w:val="28"/>
          <w:szCs w:val="28"/>
          <w:lang w:val="lv-LV"/>
        </w:rPr>
      </w:pPr>
    </w:p>
    <w:p w:rsidR="00AF5AA2" w:rsidRDefault="00AF5AA2">
      <w:pPr>
        <w:pStyle w:val="naisf"/>
        <w:ind w:firstLine="0"/>
        <w:rPr>
          <w:sz w:val="28"/>
          <w:szCs w:val="28"/>
          <w:lang w:val="lv-LV"/>
        </w:rPr>
      </w:pPr>
    </w:p>
    <w:p w:rsidR="008766F2" w:rsidRDefault="008766F2">
      <w:pPr>
        <w:pStyle w:val="naisf"/>
        <w:ind w:firstLine="0"/>
        <w:rPr>
          <w:sz w:val="22"/>
          <w:szCs w:val="28"/>
          <w:lang w:val="lv-LV"/>
        </w:rPr>
      </w:pPr>
    </w:p>
    <w:p w:rsidR="008766F2" w:rsidRDefault="006853DE">
      <w:pPr>
        <w:spacing w:before="60" w:after="60"/>
        <w:jc w:val="both"/>
        <w:rPr>
          <w:sz w:val="22"/>
          <w:szCs w:val="20"/>
          <w:lang w:val="lv-LV"/>
        </w:rPr>
      </w:pPr>
      <w:r>
        <w:rPr>
          <w:sz w:val="22"/>
          <w:szCs w:val="20"/>
          <w:lang w:val="lv-LV"/>
        </w:rPr>
        <w:t>1</w:t>
      </w:r>
      <w:r w:rsidR="00AB7890">
        <w:rPr>
          <w:sz w:val="22"/>
          <w:szCs w:val="20"/>
          <w:lang w:val="lv-LV"/>
        </w:rPr>
        <w:t>5</w:t>
      </w:r>
      <w:r>
        <w:rPr>
          <w:sz w:val="22"/>
          <w:szCs w:val="20"/>
          <w:lang w:val="lv-LV"/>
        </w:rPr>
        <w:t>.02.2011. 1</w:t>
      </w:r>
      <w:r w:rsidR="00AB7890">
        <w:rPr>
          <w:sz w:val="22"/>
          <w:szCs w:val="20"/>
          <w:lang w:val="lv-LV"/>
        </w:rPr>
        <w:t>1</w:t>
      </w:r>
      <w:r>
        <w:rPr>
          <w:sz w:val="22"/>
          <w:szCs w:val="20"/>
          <w:lang w:val="lv-LV"/>
        </w:rPr>
        <w:t>:</w:t>
      </w:r>
      <w:r w:rsidR="00AB7890">
        <w:rPr>
          <w:sz w:val="22"/>
          <w:szCs w:val="20"/>
          <w:lang w:val="lv-LV"/>
        </w:rPr>
        <w:t>43</w:t>
      </w:r>
      <w:bookmarkStart w:id="0" w:name="_GoBack"/>
      <w:bookmarkEnd w:id="0"/>
    </w:p>
    <w:p w:rsidR="008766F2" w:rsidRDefault="00AF5AA2">
      <w:pPr>
        <w:spacing w:before="60" w:after="60"/>
        <w:jc w:val="both"/>
        <w:rPr>
          <w:sz w:val="22"/>
          <w:szCs w:val="20"/>
          <w:lang w:val="lv-LV"/>
        </w:rPr>
      </w:pPr>
      <w:r>
        <w:rPr>
          <w:sz w:val="22"/>
        </w:rPr>
        <w:fldChar w:fldCharType="begin"/>
      </w:r>
      <w:r>
        <w:rPr>
          <w:sz w:val="22"/>
        </w:rPr>
        <w:instrText xml:space="preserve"> NUMWORDS  \* MERGEFORMAT </w:instrText>
      </w:r>
      <w:r>
        <w:rPr>
          <w:sz w:val="22"/>
        </w:rPr>
        <w:fldChar w:fldCharType="separate"/>
      </w:r>
      <w:r w:rsidR="00AB7890" w:rsidRPr="00AB7890">
        <w:rPr>
          <w:noProof/>
          <w:sz w:val="22"/>
          <w:szCs w:val="20"/>
          <w:lang w:val="lv-LV"/>
        </w:rPr>
        <w:t>783</w:t>
      </w:r>
      <w:r>
        <w:rPr>
          <w:sz w:val="22"/>
        </w:rPr>
        <w:fldChar w:fldCharType="end"/>
      </w:r>
    </w:p>
    <w:p w:rsidR="008766F2" w:rsidRDefault="00AF5AA2">
      <w:pPr>
        <w:jc w:val="both"/>
        <w:rPr>
          <w:sz w:val="22"/>
          <w:szCs w:val="20"/>
          <w:lang w:val="lv-LV"/>
        </w:rPr>
      </w:pPr>
      <w:r>
        <w:rPr>
          <w:sz w:val="22"/>
          <w:szCs w:val="20"/>
          <w:lang w:val="lv-LV"/>
        </w:rPr>
        <w:t>I.Sirbu</w:t>
      </w:r>
    </w:p>
    <w:p w:rsidR="008766F2" w:rsidRDefault="00AF5AA2">
      <w:pPr>
        <w:pStyle w:val="BodyText"/>
        <w:spacing w:after="120"/>
        <w:jc w:val="left"/>
        <w:rPr>
          <w:b w:val="0"/>
          <w:bCs w:val="0"/>
          <w:sz w:val="22"/>
        </w:rPr>
      </w:pPr>
      <w:r>
        <w:rPr>
          <w:b w:val="0"/>
          <w:bCs w:val="0"/>
          <w:sz w:val="22"/>
        </w:rPr>
        <w:t>67094257; inese.sirbu@kase.gov.lv</w:t>
      </w:r>
    </w:p>
    <w:sectPr w:rsidR="008766F2">
      <w:headerReference w:type="default" r:id="rId7"/>
      <w:footerReference w:type="default" r:id="rId8"/>
      <w:footerReference w:type="first" r:id="rId9"/>
      <w:pgSz w:w="11906" w:h="16838"/>
      <w:pgMar w:top="1438" w:right="1800" w:bottom="107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6F2" w:rsidRDefault="00AF5AA2">
      <w:r>
        <w:separator/>
      </w:r>
    </w:p>
  </w:endnote>
  <w:endnote w:type="continuationSeparator" w:id="0">
    <w:p w:rsidR="008766F2" w:rsidRDefault="00AF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F2" w:rsidRDefault="00AF5AA2">
    <w:pPr>
      <w:spacing w:before="60" w:after="60"/>
      <w:jc w:val="both"/>
      <w:rPr>
        <w:sz w:val="22"/>
        <w:szCs w:val="22"/>
        <w:lang w:val="lv-LV"/>
      </w:rPr>
    </w:pPr>
    <w:r>
      <w:rPr>
        <w:sz w:val="22"/>
        <w:szCs w:val="22"/>
      </w:rPr>
      <w:fldChar w:fldCharType="begin"/>
    </w:r>
    <w:r>
      <w:rPr>
        <w:sz w:val="22"/>
        <w:szCs w:val="22"/>
      </w:rPr>
      <w:instrText xml:space="preserve"> FILENAME </w:instrText>
    </w:r>
    <w:r>
      <w:rPr>
        <w:sz w:val="22"/>
        <w:szCs w:val="22"/>
      </w:rPr>
      <w:fldChar w:fldCharType="separate"/>
    </w:r>
    <w:r w:rsidR="00AB7890">
      <w:rPr>
        <w:noProof/>
        <w:sz w:val="22"/>
        <w:szCs w:val="22"/>
      </w:rPr>
      <w:t>FMAnot_15</w:t>
    </w:r>
    <w:r>
      <w:rPr>
        <w:noProof/>
        <w:sz w:val="22"/>
        <w:szCs w:val="22"/>
      </w:rPr>
      <w:t>0</w:t>
    </w:r>
    <w:r w:rsidR="007A4291">
      <w:rPr>
        <w:noProof/>
        <w:sz w:val="22"/>
        <w:szCs w:val="22"/>
      </w:rPr>
      <w:t>2</w:t>
    </w:r>
    <w:r>
      <w:rPr>
        <w:noProof/>
        <w:sz w:val="22"/>
        <w:szCs w:val="22"/>
      </w:rPr>
      <w:t>11_uzskaite.doc</w:t>
    </w:r>
    <w:r>
      <w:rPr>
        <w:sz w:val="22"/>
        <w:szCs w:val="22"/>
      </w:rPr>
      <w:fldChar w:fldCharType="end"/>
    </w:r>
    <w:r>
      <w:rPr>
        <w:sz w:val="22"/>
        <w:szCs w:val="22"/>
      </w:rPr>
      <w:t xml:space="preserve">; </w:t>
    </w:r>
    <w:r>
      <w:rPr>
        <w:sz w:val="22"/>
        <w:szCs w:val="22"/>
        <w:lang w:val="lv-LV"/>
      </w:rPr>
      <w:t>Ministru kabineta noteikumu projekta “Grozījumi Ministru kabineta 2009. gada 15. decembra noteikumos Nr. 1486 “Kārtība, kādā budžeta iestādes kārto grāmatvedības uzskaiti””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F2" w:rsidRDefault="00AF5AA2">
    <w:pPr>
      <w:spacing w:before="60" w:after="60"/>
      <w:jc w:val="both"/>
      <w:rPr>
        <w:sz w:val="22"/>
        <w:szCs w:val="22"/>
        <w:lang w:val="lv-LV"/>
      </w:rPr>
    </w:pPr>
    <w:r>
      <w:rPr>
        <w:sz w:val="22"/>
        <w:szCs w:val="22"/>
      </w:rPr>
      <w:fldChar w:fldCharType="begin"/>
    </w:r>
    <w:r>
      <w:rPr>
        <w:sz w:val="22"/>
        <w:szCs w:val="22"/>
      </w:rPr>
      <w:instrText xml:space="preserve"> FILENAME </w:instrText>
    </w:r>
    <w:r>
      <w:rPr>
        <w:sz w:val="22"/>
        <w:szCs w:val="22"/>
      </w:rPr>
      <w:fldChar w:fldCharType="separate"/>
    </w:r>
    <w:r>
      <w:rPr>
        <w:noProof/>
        <w:sz w:val="22"/>
        <w:szCs w:val="22"/>
      </w:rPr>
      <w:t>FMAnot_1</w:t>
    </w:r>
    <w:r w:rsidR="00AB7890">
      <w:rPr>
        <w:noProof/>
        <w:sz w:val="22"/>
        <w:szCs w:val="22"/>
      </w:rPr>
      <w:t>5</w:t>
    </w:r>
    <w:r>
      <w:rPr>
        <w:noProof/>
        <w:sz w:val="22"/>
        <w:szCs w:val="22"/>
      </w:rPr>
      <w:t>0</w:t>
    </w:r>
    <w:r w:rsidR="007A4291">
      <w:rPr>
        <w:noProof/>
        <w:sz w:val="22"/>
        <w:szCs w:val="22"/>
      </w:rPr>
      <w:t>2</w:t>
    </w:r>
    <w:r>
      <w:rPr>
        <w:noProof/>
        <w:sz w:val="22"/>
        <w:szCs w:val="22"/>
      </w:rPr>
      <w:t>11_uzskaite.doc</w:t>
    </w:r>
    <w:r>
      <w:rPr>
        <w:sz w:val="22"/>
        <w:szCs w:val="22"/>
      </w:rPr>
      <w:fldChar w:fldCharType="end"/>
    </w:r>
    <w:r>
      <w:rPr>
        <w:sz w:val="22"/>
        <w:szCs w:val="22"/>
      </w:rPr>
      <w:t xml:space="preserve">; </w:t>
    </w:r>
    <w:r>
      <w:rPr>
        <w:sz w:val="22"/>
        <w:szCs w:val="22"/>
        <w:lang w:val="lv-LV"/>
      </w:rPr>
      <w:t>Ministru kabineta noteikumu projekta “Grozījumi Ministru kabineta 2009. gada 15. decembra noteikumos Nr. 1486 “Kārtība, kādā budžeta iestādes kārto grāmatvedības uzskaiti””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6F2" w:rsidRDefault="00AF5AA2">
      <w:r>
        <w:separator/>
      </w:r>
    </w:p>
  </w:footnote>
  <w:footnote w:type="continuationSeparator" w:id="0">
    <w:p w:rsidR="008766F2" w:rsidRDefault="00AF5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F2" w:rsidRDefault="00AF5AA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7890">
      <w:rPr>
        <w:rStyle w:val="PageNumber"/>
        <w:noProof/>
      </w:rPr>
      <w:t>3</w:t>
    </w:r>
    <w:r>
      <w:rPr>
        <w:rStyle w:val="PageNumber"/>
      </w:rPr>
      <w:fldChar w:fldCharType="end"/>
    </w:r>
  </w:p>
  <w:p w:rsidR="008766F2" w:rsidRDefault="008766F2">
    <w:pPr>
      <w:pStyle w:val="Header"/>
    </w:pPr>
  </w:p>
  <w:p w:rsidR="008766F2" w:rsidRDefault="008766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F7E"/>
    <w:rsid w:val="00533F7E"/>
    <w:rsid w:val="006853DE"/>
    <w:rsid w:val="006E777E"/>
    <w:rsid w:val="007A4291"/>
    <w:rsid w:val="008766F2"/>
    <w:rsid w:val="00AB7890"/>
    <w:rsid w:val="00AF5A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75" w:after="75"/>
      <w:ind w:firstLine="375"/>
      <w:jc w:val="both"/>
    </w:pPr>
    <w:rPr>
      <w:lang w:val="en-US"/>
    </w:rPr>
  </w:style>
  <w:style w:type="paragraph" w:styleId="BodyText">
    <w:name w:val="Body Text"/>
    <w:basedOn w:val="Normal"/>
    <w:semiHidden/>
    <w:pPr>
      <w:jc w:val="center"/>
    </w:pPr>
    <w:rPr>
      <w:b/>
      <w:bCs/>
      <w:sz w:val="28"/>
      <w:szCs w:val="28"/>
      <w:lang w:val="lv-LV"/>
    </w:rPr>
  </w:style>
  <w:style w:type="paragraph" w:styleId="BodyTextIndent">
    <w:name w:val="Body Text Indent"/>
    <w:basedOn w:val="Normal"/>
    <w:semiHidden/>
    <w:pPr>
      <w:spacing w:after="120"/>
      <w:jc w:val="both"/>
    </w:pPr>
    <w:rPr>
      <w:b/>
      <w:bCs/>
      <w:lang w:val="lv-LV"/>
    </w:rPr>
  </w:style>
  <w:style w:type="paragraph" w:styleId="NormalWeb">
    <w:name w:val="Normal (Web)"/>
    <w:basedOn w:val="Normal"/>
    <w:semiHidden/>
    <w:pPr>
      <w:spacing w:before="100" w:beforeAutospacing="1" w:after="100" w:afterAutospacing="1"/>
    </w:pPr>
    <w:rPr>
      <w:lang w:val="en-US"/>
    </w:rPr>
  </w:style>
  <w:style w:type="character" w:styleId="PageNumber">
    <w:name w:val="page number"/>
    <w:basedOn w:val="DefaultParagraphFont"/>
    <w:semiHidden/>
    <w:rPr>
      <w:rFonts w:ascii="Times New Roman" w:hAnsi="Times New Roman" w:cs="Times New Roman"/>
    </w:rPr>
  </w:style>
  <w:style w:type="paragraph" w:styleId="Header">
    <w:name w:val="header"/>
    <w:basedOn w:val="Normal"/>
    <w:semiHidden/>
    <w:pPr>
      <w:tabs>
        <w:tab w:val="center" w:pos="4153"/>
        <w:tab w:val="right" w:pos="8306"/>
      </w:tabs>
    </w:pPr>
    <w:rPr>
      <w:lang w:val="lv-LV"/>
    </w:rPr>
  </w:style>
  <w:style w:type="paragraph" w:styleId="BodyTextIndent2">
    <w:name w:val="Body Text Indent 2"/>
    <w:basedOn w:val="Normal"/>
    <w:semiHidden/>
    <w:pPr>
      <w:spacing w:after="120"/>
      <w:ind w:firstLine="431"/>
      <w:jc w:val="both"/>
    </w:pPr>
    <w:rPr>
      <w:lang w:val="lv-LV"/>
    </w:rPr>
  </w:style>
  <w:style w:type="paragraph" w:styleId="BodyTextIndent3">
    <w:name w:val="Body Text Indent 3"/>
    <w:basedOn w:val="Normal"/>
    <w:semiHidden/>
    <w:pPr>
      <w:spacing w:after="120"/>
      <w:ind w:firstLine="431"/>
      <w:jc w:val="both"/>
    </w:pPr>
    <w:rPr>
      <w:b/>
      <w:bCs/>
      <w:lang w:val="lv-LV"/>
    </w:rPr>
  </w:style>
  <w:style w:type="paragraph" w:styleId="Footer">
    <w:name w:val="footer"/>
    <w:basedOn w:val="Normal"/>
    <w:semiHidden/>
    <w:pPr>
      <w:tabs>
        <w:tab w:val="center" w:pos="4153"/>
        <w:tab w:val="right" w:pos="8306"/>
      </w:tabs>
    </w:pPr>
  </w:style>
  <w:style w:type="paragraph" w:styleId="BodyText2">
    <w:name w:val="Body Text 2"/>
    <w:basedOn w:val="Normal"/>
    <w:semiHidden/>
    <w:pPr>
      <w:ind w:right="-857"/>
    </w:pPr>
    <w:rPr>
      <w:sz w:val="2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794</Words>
  <Characters>5615</Characters>
  <Application>Microsoft Office Word</Application>
  <DocSecurity>0</DocSecurity>
  <Lines>181</Lines>
  <Paragraphs>84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 gada 15. decembra noteikumos Nr. 1486 “Kārtība, kādā budžeta iestādes kārto grāmatvedības uzskaiti”” sākotnējās ietekmes novērtējuma ziņojums (anotācija)</vt:lpstr>
    </vt:vector>
  </TitlesOfParts>
  <Manager>Valsts kases Pārskatu departamenta direktore Ligita Agleniece</Manager>
  <Company>Valsts kase</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15. decembra noteikumos Nr. 1486 “Kārtība, kādā budžeta iestādes kārto grāmatvedības uzskaiti”” sākotnējās ietekmes novērtējuma ziņojums (anotācija)</dc:title>
  <dc:subject>Anotācija</dc:subject>
  <dc:creator>Valsts kases Pārskatu departamenta vecākā eksperte Inese Sirbu</dc:creator>
  <cp:keywords/>
  <dc:description>L.Agleniece_x000d_
t.67094249_x000d_
ligita.agleniece@kase.gov.lv_x000d_
I.Sirbu_x000d_
t.67094257_x000d_
inese.sirbu@kase.gov.lv</dc:description>
  <cp:lastModifiedBy>Inese Sirbu</cp:lastModifiedBy>
  <cp:revision>7</cp:revision>
  <cp:lastPrinted>2011-01-14T14:38:00Z</cp:lastPrinted>
  <dcterms:created xsi:type="dcterms:W3CDTF">2011-02-11T06:54:00Z</dcterms:created>
  <dcterms:modified xsi:type="dcterms:W3CDTF">2011-02-15T09:43:00Z</dcterms:modified>
</cp:coreProperties>
</file>