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35D" w:rsidRPr="00DA6A0E" w:rsidRDefault="007A535D" w:rsidP="005A196B">
      <w:pPr>
        <w:pStyle w:val="Heading2"/>
        <w:jc w:val="center"/>
        <w:rPr>
          <w:rFonts w:ascii="Times New Roman" w:hAnsi="Times New Roman"/>
          <w:b w:val="0"/>
          <w:sz w:val="28"/>
          <w:szCs w:val="28"/>
          <w:lang w:val="lv-LV"/>
        </w:rPr>
      </w:pPr>
      <w:r w:rsidRPr="00DA6A0E">
        <w:rPr>
          <w:rFonts w:ascii="Times New Roman" w:hAnsi="Times New Roman"/>
          <w:sz w:val="28"/>
          <w:szCs w:val="28"/>
          <w:lang w:val="lv-LV"/>
        </w:rPr>
        <w:t xml:space="preserve">Ministru kabineta noteikumu projekta „Noteikumi par publiskas personas finanšu līdzekļu un mantas dāvinājuma (ziedojuma) līgumu” sākotnējās ietekmes novērtējuma </w:t>
      </w:r>
      <w:smartTag w:uri="schemas-tilde-lv/tildestengine" w:element="veidnes">
        <w:smartTagPr>
          <w:attr w:name="baseform" w:val="ziņojum|s"/>
          <w:attr w:name="id" w:val="-1"/>
          <w:attr w:name="text" w:val="ziņojums"/>
        </w:smartTagPr>
        <w:r w:rsidRPr="00DA6A0E">
          <w:rPr>
            <w:rFonts w:ascii="Times New Roman" w:hAnsi="Times New Roman"/>
            <w:sz w:val="28"/>
            <w:szCs w:val="28"/>
            <w:lang w:val="lv-LV"/>
          </w:rPr>
          <w:t>ziņojums</w:t>
        </w:r>
      </w:smartTag>
      <w:r w:rsidRPr="00DA6A0E">
        <w:rPr>
          <w:rFonts w:ascii="Times New Roman" w:hAnsi="Times New Roman"/>
          <w:sz w:val="28"/>
          <w:szCs w:val="28"/>
          <w:lang w:val="lv-LV"/>
        </w:rPr>
        <w:t xml:space="preserve"> (anotācija)</w:t>
      </w:r>
    </w:p>
    <w:p w:rsidR="007A535D" w:rsidRPr="00DA6A0E" w:rsidRDefault="007A535D" w:rsidP="005A196B">
      <w:pPr>
        <w:jc w:val="center"/>
        <w:rPr>
          <w:rFonts w:eastAsia="Times New Roman"/>
          <w:szCs w:val="28"/>
          <w:lang w:eastAsia="lv-LV"/>
        </w:rPr>
      </w:pPr>
    </w:p>
    <w:tbl>
      <w:tblPr>
        <w:tblStyle w:val="TableGrid"/>
        <w:tblW w:w="9523" w:type="dxa"/>
        <w:tblLook w:val="04A0" w:firstRow="1" w:lastRow="0" w:firstColumn="1" w:lastColumn="0" w:noHBand="0" w:noVBand="1"/>
      </w:tblPr>
      <w:tblGrid>
        <w:gridCol w:w="506"/>
        <w:gridCol w:w="7"/>
        <w:gridCol w:w="3323"/>
        <w:gridCol w:w="83"/>
        <w:gridCol w:w="5604"/>
      </w:tblGrid>
      <w:tr w:rsidR="007A535D" w:rsidRPr="00DA6A0E" w:rsidTr="00C95285">
        <w:tc>
          <w:tcPr>
            <w:tcW w:w="9523" w:type="dxa"/>
            <w:gridSpan w:val="5"/>
            <w:hideMark/>
          </w:tcPr>
          <w:p w:rsidR="007A535D" w:rsidRPr="00DA6A0E" w:rsidRDefault="007A535D" w:rsidP="005A196B">
            <w:pPr>
              <w:spacing w:before="100" w:beforeAutospacing="1" w:after="100" w:afterAutospacing="1"/>
              <w:jc w:val="center"/>
              <w:rPr>
                <w:rFonts w:eastAsia="Times New Roman"/>
                <w:sz w:val="28"/>
                <w:szCs w:val="28"/>
                <w:lang w:eastAsia="lv-LV"/>
              </w:rPr>
            </w:pPr>
            <w:r w:rsidRPr="00DA6A0E">
              <w:rPr>
                <w:rFonts w:eastAsia="Times New Roman"/>
                <w:b/>
                <w:bCs/>
                <w:sz w:val="28"/>
                <w:szCs w:val="28"/>
                <w:lang w:eastAsia="lv-LV"/>
              </w:rPr>
              <w:t>I. Tiesību akta projekta izstrādes nepieciešamība</w:t>
            </w:r>
          </w:p>
        </w:tc>
      </w:tr>
      <w:tr w:rsidR="007A535D" w:rsidRPr="00DA6A0E" w:rsidTr="00C95285">
        <w:trPr>
          <w:trHeight w:val="630"/>
        </w:trPr>
        <w:tc>
          <w:tcPr>
            <w:tcW w:w="513" w:type="dxa"/>
            <w:gridSpan w:val="2"/>
            <w:hideMark/>
          </w:tcPr>
          <w:p w:rsidR="007A535D" w:rsidRPr="00DA6A0E" w:rsidRDefault="007A535D" w:rsidP="005A196B">
            <w:pPr>
              <w:spacing w:before="100" w:beforeAutospacing="1" w:after="100" w:afterAutospacing="1"/>
              <w:rPr>
                <w:rFonts w:eastAsia="Times New Roman"/>
                <w:sz w:val="28"/>
                <w:szCs w:val="28"/>
                <w:lang w:eastAsia="lv-LV"/>
              </w:rPr>
            </w:pPr>
            <w:r w:rsidRPr="00DA6A0E">
              <w:rPr>
                <w:rFonts w:eastAsia="Times New Roman"/>
                <w:sz w:val="28"/>
                <w:szCs w:val="28"/>
                <w:lang w:eastAsia="lv-LV"/>
              </w:rPr>
              <w:t> 1.</w:t>
            </w:r>
          </w:p>
        </w:tc>
        <w:tc>
          <w:tcPr>
            <w:tcW w:w="3323" w:type="dxa"/>
            <w:hideMark/>
          </w:tcPr>
          <w:p w:rsidR="007A535D" w:rsidRPr="00DA6A0E" w:rsidRDefault="007A535D" w:rsidP="005A196B">
            <w:pPr>
              <w:spacing w:before="100" w:beforeAutospacing="1" w:after="100" w:afterAutospacing="1"/>
              <w:rPr>
                <w:rFonts w:eastAsia="Times New Roman"/>
                <w:sz w:val="28"/>
                <w:szCs w:val="28"/>
                <w:lang w:eastAsia="lv-LV"/>
              </w:rPr>
            </w:pPr>
            <w:r w:rsidRPr="00DA6A0E">
              <w:rPr>
                <w:rFonts w:eastAsia="Times New Roman"/>
                <w:sz w:val="28"/>
                <w:szCs w:val="28"/>
                <w:lang w:eastAsia="lv-LV"/>
              </w:rPr>
              <w:t> Pamatojums</w:t>
            </w:r>
          </w:p>
        </w:tc>
        <w:tc>
          <w:tcPr>
            <w:tcW w:w="5687" w:type="dxa"/>
            <w:gridSpan w:val="2"/>
            <w:hideMark/>
          </w:tcPr>
          <w:p w:rsidR="007A535D" w:rsidRPr="00DA6A0E" w:rsidRDefault="007A535D" w:rsidP="000740E0">
            <w:pPr>
              <w:pStyle w:val="naislab"/>
              <w:spacing w:before="0" w:after="0"/>
              <w:ind w:left="57" w:right="57" w:firstLine="335"/>
              <w:jc w:val="both"/>
              <w:rPr>
                <w:sz w:val="28"/>
                <w:szCs w:val="28"/>
              </w:rPr>
            </w:pPr>
            <w:r w:rsidRPr="00DA6A0E">
              <w:rPr>
                <w:sz w:val="28"/>
                <w:szCs w:val="28"/>
              </w:rPr>
              <w:t>Projekts izstrādāts pēc Publiskas personas finanšu līdzekļu un mantas izšķērdēšanas novēršanas likuma 12.panta otrās daļas deleģējuma</w:t>
            </w:r>
            <w:r w:rsidR="00AC36E6" w:rsidRPr="00DA6A0E">
              <w:rPr>
                <w:sz w:val="28"/>
                <w:szCs w:val="28"/>
              </w:rPr>
              <w:t>.</w:t>
            </w:r>
          </w:p>
          <w:p w:rsidR="007A535D" w:rsidRPr="00DA6A0E" w:rsidRDefault="000740E0" w:rsidP="00A54294">
            <w:pPr>
              <w:pStyle w:val="tv2131"/>
              <w:spacing w:before="0" w:line="240" w:lineRule="auto"/>
              <w:rPr>
                <w:sz w:val="28"/>
                <w:szCs w:val="28"/>
              </w:rPr>
            </w:pPr>
            <w:r w:rsidRPr="00DA6A0E">
              <w:rPr>
                <w:rFonts w:ascii="Times New Roman" w:hAnsi="Times New Roman"/>
                <w:sz w:val="28"/>
                <w:szCs w:val="28"/>
              </w:rPr>
              <w:t>Publiskas personas finanšu līdzekļu un m</w:t>
            </w:r>
            <w:bookmarkStart w:id="0" w:name="_GoBack"/>
            <w:bookmarkEnd w:id="0"/>
            <w:r w:rsidRPr="00DA6A0E">
              <w:rPr>
                <w:rFonts w:ascii="Times New Roman" w:hAnsi="Times New Roman"/>
                <w:sz w:val="28"/>
                <w:szCs w:val="28"/>
              </w:rPr>
              <w:t>antas izšķērdēšanas novēršanas likuma Pārejas noteikumu 9.punkts nosaka, ka Ministru kabinets ne vēlāk kā līdz 2013.gada 1.</w:t>
            </w:r>
            <w:r w:rsidRPr="00616B5D">
              <w:rPr>
                <w:rFonts w:ascii="Times New Roman" w:hAnsi="Times New Roman"/>
                <w:sz w:val="28"/>
                <w:szCs w:val="28"/>
              </w:rPr>
              <w:t xml:space="preserve">martam apstiprina jaunu šā likuma </w:t>
            </w:r>
            <w:hyperlink r:id="rId9" w:anchor="p12" w:history="1">
              <w:r w:rsidRPr="00616B5D">
                <w:rPr>
                  <w:rStyle w:val="Hyperlink"/>
                  <w:rFonts w:ascii="Times New Roman" w:hAnsi="Times New Roman"/>
                  <w:color w:val="auto"/>
                  <w:sz w:val="28"/>
                  <w:szCs w:val="28"/>
                </w:rPr>
                <w:t>12.panta</w:t>
              </w:r>
            </w:hyperlink>
            <w:r w:rsidRPr="00616B5D">
              <w:rPr>
                <w:rFonts w:ascii="Times New Roman" w:hAnsi="Times New Roman"/>
                <w:sz w:val="28"/>
                <w:szCs w:val="28"/>
              </w:rPr>
              <w:t xml:space="preserve"> otrajā </w:t>
            </w:r>
            <w:r w:rsidRPr="00DA6A0E">
              <w:rPr>
                <w:rFonts w:ascii="Times New Roman" w:hAnsi="Times New Roman"/>
                <w:sz w:val="28"/>
                <w:szCs w:val="28"/>
              </w:rPr>
              <w:t xml:space="preserve">daļā paredzēto dāvinājuma (ziedojuma) līguma tipveida paraugu. </w:t>
            </w:r>
          </w:p>
        </w:tc>
      </w:tr>
      <w:tr w:rsidR="007A535D" w:rsidRPr="00DA6A0E" w:rsidTr="00C95285">
        <w:trPr>
          <w:trHeight w:val="472"/>
        </w:trPr>
        <w:tc>
          <w:tcPr>
            <w:tcW w:w="513" w:type="dxa"/>
            <w:gridSpan w:val="2"/>
            <w:hideMark/>
          </w:tcPr>
          <w:p w:rsidR="007A535D" w:rsidRPr="00DA6A0E" w:rsidRDefault="007A535D" w:rsidP="005A196B">
            <w:pPr>
              <w:spacing w:before="100" w:beforeAutospacing="1" w:after="100" w:afterAutospacing="1"/>
              <w:rPr>
                <w:rFonts w:eastAsia="Times New Roman"/>
                <w:sz w:val="28"/>
                <w:szCs w:val="28"/>
                <w:lang w:eastAsia="lv-LV"/>
              </w:rPr>
            </w:pPr>
            <w:r w:rsidRPr="00DA6A0E">
              <w:rPr>
                <w:rFonts w:eastAsia="Times New Roman"/>
                <w:sz w:val="28"/>
                <w:szCs w:val="28"/>
                <w:lang w:eastAsia="lv-LV"/>
              </w:rPr>
              <w:t> 2.</w:t>
            </w:r>
          </w:p>
        </w:tc>
        <w:tc>
          <w:tcPr>
            <w:tcW w:w="3323" w:type="dxa"/>
            <w:hideMark/>
          </w:tcPr>
          <w:p w:rsidR="007A535D" w:rsidRPr="00DA6A0E" w:rsidRDefault="007A535D" w:rsidP="005A196B">
            <w:pPr>
              <w:spacing w:before="100" w:beforeAutospacing="1" w:after="100" w:afterAutospacing="1"/>
              <w:rPr>
                <w:rFonts w:eastAsia="Times New Roman"/>
                <w:sz w:val="28"/>
                <w:szCs w:val="28"/>
                <w:lang w:eastAsia="lv-LV"/>
              </w:rPr>
            </w:pPr>
            <w:r w:rsidRPr="00DA6A0E">
              <w:rPr>
                <w:rFonts w:eastAsia="Times New Roman"/>
                <w:sz w:val="28"/>
                <w:szCs w:val="28"/>
                <w:lang w:eastAsia="lv-LV"/>
              </w:rPr>
              <w:t> Pašreizējā situācija un problēmas</w:t>
            </w:r>
          </w:p>
        </w:tc>
        <w:tc>
          <w:tcPr>
            <w:tcW w:w="5687" w:type="dxa"/>
            <w:gridSpan w:val="2"/>
            <w:hideMark/>
          </w:tcPr>
          <w:p w:rsidR="000740E0" w:rsidRPr="00DA6A0E" w:rsidRDefault="006E1209" w:rsidP="00A54294">
            <w:pPr>
              <w:pStyle w:val="NormalWeb"/>
              <w:spacing w:before="0" w:beforeAutospacing="0" w:after="0" w:afterAutospacing="0"/>
              <w:ind w:firstLine="459"/>
              <w:jc w:val="both"/>
              <w:rPr>
                <w:sz w:val="28"/>
                <w:szCs w:val="28"/>
              </w:rPr>
            </w:pPr>
            <w:r w:rsidRPr="00DA6A0E">
              <w:rPr>
                <w:sz w:val="28"/>
                <w:szCs w:val="28"/>
              </w:rPr>
              <w:t>Pašreiz spēkā esoš</w:t>
            </w:r>
            <w:r w:rsidR="00FE58F8" w:rsidRPr="00DA6A0E">
              <w:rPr>
                <w:sz w:val="28"/>
                <w:szCs w:val="28"/>
              </w:rPr>
              <w:t>o</w:t>
            </w:r>
            <w:r w:rsidRPr="00DA6A0E">
              <w:rPr>
                <w:sz w:val="28"/>
                <w:szCs w:val="28"/>
              </w:rPr>
              <w:t xml:space="preserve"> Ministru kabineta 1996.gada noteikumu Nr.16 „Noteikumi par publiskas personas finanšu līdzekļu un mantas dāvinājuma (ziedojuma) līgumu” terminoloģija ir novecojusi, kā arī Publiskas personas finanšu līdzekļu un mantas izšķērdēšanas novēršanas likuma normas par dāvināšanu (ziedošanu) ir precizētas un papildinātas, tādejādi papildināti</w:t>
            </w:r>
            <w:r w:rsidR="000740E0" w:rsidRPr="00DA6A0E">
              <w:rPr>
                <w:sz w:val="28"/>
                <w:szCs w:val="28"/>
              </w:rPr>
              <w:t xml:space="preserve"> arī </w:t>
            </w:r>
            <w:r w:rsidRPr="00DA6A0E">
              <w:rPr>
                <w:sz w:val="28"/>
                <w:szCs w:val="28"/>
              </w:rPr>
              <w:t>tiek tipveida līguma nosacījumi.</w:t>
            </w:r>
          </w:p>
        </w:tc>
      </w:tr>
      <w:tr w:rsidR="007A535D" w:rsidRPr="00DA6A0E" w:rsidTr="00C95285">
        <w:trPr>
          <w:trHeight w:val="808"/>
        </w:trPr>
        <w:tc>
          <w:tcPr>
            <w:tcW w:w="513" w:type="dxa"/>
            <w:gridSpan w:val="2"/>
            <w:hideMark/>
          </w:tcPr>
          <w:p w:rsidR="007A535D" w:rsidRPr="00DA6A0E" w:rsidRDefault="007A535D" w:rsidP="005A196B">
            <w:pPr>
              <w:spacing w:before="100" w:beforeAutospacing="1" w:after="100" w:afterAutospacing="1"/>
              <w:rPr>
                <w:rFonts w:eastAsia="Times New Roman"/>
                <w:sz w:val="28"/>
                <w:szCs w:val="28"/>
                <w:lang w:eastAsia="lv-LV"/>
              </w:rPr>
            </w:pPr>
            <w:r w:rsidRPr="00DA6A0E">
              <w:rPr>
                <w:rFonts w:eastAsia="Times New Roman"/>
                <w:sz w:val="28"/>
                <w:szCs w:val="28"/>
                <w:lang w:eastAsia="lv-LV"/>
              </w:rPr>
              <w:t> 3.</w:t>
            </w:r>
          </w:p>
        </w:tc>
        <w:tc>
          <w:tcPr>
            <w:tcW w:w="3323" w:type="dxa"/>
            <w:hideMark/>
          </w:tcPr>
          <w:p w:rsidR="007A535D" w:rsidRPr="00DA6A0E" w:rsidRDefault="007A535D" w:rsidP="005A196B">
            <w:pPr>
              <w:rPr>
                <w:rFonts w:eastAsia="Times New Roman"/>
                <w:sz w:val="28"/>
                <w:szCs w:val="28"/>
                <w:lang w:eastAsia="lv-LV"/>
              </w:rPr>
            </w:pPr>
            <w:r w:rsidRPr="00DA6A0E">
              <w:rPr>
                <w:rFonts w:eastAsia="Times New Roman"/>
                <w:sz w:val="28"/>
                <w:szCs w:val="28"/>
                <w:lang w:eastAsia="lv-LV"/>
              </w:rPr>
              <w:t> Saistītie politikas ietekmes novērtējumi un pētījumi</w:t>
            </w:r>
          </w:p>
        </w:tc>
        <w:tc>
          <w:tcPr>
            <w:tcW w:w="5687" w:type="dxa"/>
            <w:gridSpan w:val="2"/>
            <w:hideMark/>
          </w:tcPr>
          <w:p w:rsidR="007A535D" w:rsidRPr="00DA6A0E" w:rsidRDefault="007A535D" w:rsidP="00E170B6">
            <w:pPr>
              <w:ind w:firstLine="459"/>
              <w:jc w:val="both"/>
              <w:rPr>
                <w:rFonts w:eastAsia="Times New Roman"/>
                <w:sz w:val="28"/>
                <w:szCs w:val="28"/>
                <w:lang w:eastAsia="lv-LV"/>
              </w:rPr>
            </w:pPr>
            <w:r w:rsidRPr="00DA6A0E">
              <w:rPr>
                <w:rFonts w:eastAsia="Times New Roman"/>
                <w:sz w:val="28"/>
                <w:szCs w:val="28"/>
                <w:lang w:eastAsia="lv-LV"/>
              </w:rPr>
              <w:t>Projekts šo jomu neskar.</w:t>
            </w:r>
          </w:p>
        </w:tc>
      </w:tr>
      <w:tr w:rsidR="007A535D" w:rsidRPr="00DA6A0E" w:rsidTr="00C95285">
        <w:trPr>
          <w:trHeight w:val="384"/>
        </w:trPr>
        <w:tc>
          <w:tcPr>
            <w:tcW w:w="513" w:type="dxa"/>
            <w:gridSpan w:val="2"/>
            <w:hideMark/>
          </w:tcPr>
          <w:p w:rsidR="007A535D" w:rsidRPr="00DA6A0E" w:rsidRDefault="007A535D" w:rsidP="005A196B">
            <w:pPr>
              <w:spacing w:before="100" w:beforeAutospacing="1" w:after="100" w:afterAutospacing="1"/>
              <w:rPr>
                <w:rFonts w:eastAsia="Times New Roman"/>
                <w:sz w:val="28"/>
                <w:szCs w:val="28"/>
                <w:lang w:eastAsia="lv-LV"/>
              </w:rPr>
            </w:pPr>
            <w:r w:rsidRPr="00DA6A0E">
              <w:rPr>
                <w:rFonts w:eastAsia="Times New Roman"/>
                <w:sz w:val="28"/>
                <w:szCs w:val="28"/>
                <w:lang w:eastAsia="lv-LV"/>
              </w:rPr>
              <w:t> 4.</w:t>
            </w:r>
          </w:p>
        </w:tc>
        <w:tc>
          <w:tcPr>
            <w:tcW w:w="3323" w:type="dxa"/>
            <w:hideMark/>
          </w:tcPr>
          <w:p w:rsidR="007A535D" w:rsidRPr="00DA6A0E" w:rsidRDefault="007A535D" w:rsidP="005A196B">
            <w:pPr>
              <w:spacing w:before="100" w:beforeAutospacing="1" w:after="100" w:afterAutospacing="1"/>
              <w:rPr>
                <w:rFonts w:eastAsia="Times New Roman"/>
                <w:sz w:val="28"/>
                <w:szCs w:val="28"/>
                <w:lang w:eastAsia="lv-LV"/>
              </w:rPr>
            </w:pPr>
            <w:r w:rsidRPr="00DA6A0E">
              <w:rPr>
                <w:rFonts w:eastAsia="Times New Roman"/>
                <w:sz w:val="28"/>
                <w:szCs w:val="28"/>
                <w:lang w:eastAsia="lv-LV"/>
              </w:rPr>
              <w:t> Tiesiskā regulējuma mērķis un būtība</w:t>
            </w:r>
          </w:p>
        </w:tc>
        <w:tc>
          <w:tcPr>
            <w:tcW w:w="5687" w:type="dxa"/>
            <w:gridSpan w:val="2"/>
            <w:hideMark/>
          </w:tcPr>
          <w:p w:rsidR="007A535D" w:rsidRPr="00DA6A0E" w:rsidRDefault="00FE58F8" w:rsidP="00E170B6">
            <w:pPr>
              <w:pStyle w:val="BodyText"/>
              <w:spacing w:after="0" w:line="240" w:lineRule="auto"/>
              <w:ind w:firstLine="425"/>
              <w:jc w:val="both"/>
              <w:rPr>
                <w:rFonts w:ascii="Times New Roman" w:hAnsi="Times New Roman" w:cs="Times New Roman"/>
                <w:sz w:val="28"/>
                <w:szCs w:val="28"/>
              </w:rPr>
            </w:pPr>
            <w:r w:rsidRPr="00DA6A0E">
              <w:rPr>
                <w:rFonts w:ascii="Times New Roman" w:hAnsi="Times New Roman" w:cs="Times New Roman"/>
                <w:sz w:val="28"/>
                <w:szCs w:val="28"/>
              </w:rPr>
              <w:t>Projekts precizē</w:t>
            </w:r>
            <w:r w:rsidR="007A535D" w:rsidRPr="00DA6A0E">
              <w:rPr>
                <w:rFonts w:ascii="Times New Roman" w:hAnsi="Times New Roman" w:cs="Times New Roman"/>
                <w:sz w:val="28"/>
                <w:szCs w:val="28"/>
              </w:rPr>
              <w:t xml:space="preserve"> </w:t>
            </w:r>
            <w:r w:rsidR="006E1209" w:rsidRPr="00DA6A0E">
              <w:rPr>
                <w:rFonts w:ascii="Times New Roman" w:hAnsi="Times New Roman" w:cs="Times New Roman"/>
                <w:sz w:val="28"/>
                <w:szCs w:val="28"/>
              </w:rPr>
              <w:t xml:space="preserve">Ministru kabineta 1996.gada noteikumu Nr.16 „Noteikumi par publiskas personas finanšu līdzekļu un mantas dāvinājuma (ziedojuma) līgumu” </w:t>
            </w:r>
            <w:r w:rsidR="000740E0" w:rsidRPr="00DA6A0E">
              <w:rPr>
                <w:rFonts w:ascii="Times New Roman" w:hAnsi="Times New Roman" w:cs="Times New Roman"/>
                <w:sz w:val="28"/>
                <w:szCs w:val="28"/>
              </w:rPr>
              <w:t>satur</w:t>
            </w:r>
            <w:r w:rsidRPr="00DA6A0E">
              <w:rPr>
                <w:rFonts w:ascii="Times New Roman" w:hAnsi="Times New Roman" w:cs="Times New Roman"/>
                <w:sz w:val="28"/>
                <w:szCs w:val="28"/>
              </w:rPr>
              <w:t>u</w:t>
            </w:r>
            <w:r w:rsidR="006E1209" w:rsidRPr="00DA6A0E">
              <w:rPr>
                <w:rFonts w:ascii="Times New Roman" w:hAnsi="Times New Roman" w:cs="Times New Roman"/>
                <w:sz w:val="28"/>
                <w:szCs w:val="28"/>
              </w:rPr>
              <w:t>, izsakot noteikumus jaunā redakcijā.</w:t>
            </w:r>
          </w:p>
          <w:p w:rsidR="00F470EE" w:rsidRDefault="00A54294" w:rsidP="00F470EE">
            <w:pPr>
              <w:pStyle w:val="BodyText"/>
              <w:spacing w:after="0" w:line="240" w:lineRule="auto"/>
              <w:ind w:firstLine="425"/>
              <w:jc w:val="both"/>
              <w:rPr>
                <w:rFonts w:ascii="Times New Roman" w:hAnsi="Times New Roman" w:cs="Times New Roman"/>
                <w:sz w:val="28"/>
                <w:szCs w:val="28"/>
              </w:rPr>
            </w:pPr>
            <w:r w:rsidRPr="00DA6A0E">
              <w:rPr>
                <w:rFonts w:ascii="Times New Roman" w:hAnsi="Times New Roman" w:cs="Times New Roman"/>
                <w:sz w:val="28"/>
                <w:szCs w:val="28"/>
              </w:rPr>
              <w:t>Projekts paredz</w:t>
            </w:r>
            <w:r w:rsidR="0037309B" w:rsidRPr="00DA6A0E">
              <w:rPr>
                <w:rFonts w:ascii="Times New Roman" w:hAnsi="Times New Roman" w:cs="Times New Roman"/>
                <w:bCs/>
                <w:sz w:val="28"/>
                <w:szCs w:val="28"/>
              </w:rPr>
              <w:t xml:space="preserve"> </w:t>
            </w:r>
            <w:r w:rsidR="00F470EE">
              <w:rPr>
                <w:rFonts w:ascii="Times New Roman" w:hAnsi="Times New Roman" w:cs="Times New Roman"/>
                <w:bCs/>
                <w:sz w:val="28"/>
                <w:szCs w:val="28"/>
              </w:rPr>
              <w:t>apstiprināt p</w:t>
            </w:r>
            <w:r w:rsidR="0037309B" w:rsidRPr="00DA6A0E">
              <w:rPr>
                <w:rFonts w:ascii="Times New Roman" w:hAnsi="Times New Roman" w:cs="Times New Roman"/>
                <w:bCs/>
                <w:sz w:val="28"/>
                <w:szCs w:val="28"/>
              </w:rPr>
              <w:t>ubliskas personas finanšu līdzekļu un mantas dāvinā</w:t>
            </w:r>
            <w:r w:rsidR="00F470EE">
              <w:rPr>
                <w:rFonts w:ascii="Times New Roman" w:hAnsi="Times New Roman" w:cs="Times New Roman"/>
                <w:bCs/>
                <w:sz w:val="28"/>
                <w:szCs w:val="28"/>
              </w:rPr>
              <w:t>juma (ziedojuma) līguma tipveida līgumu.</w:t>
            </w:r>
            <w:r w:rsidRPr="00DA6A0E">
              <w:rPr>
                <w:rFonts w:ascii="Times New Roman" w:hAnsi="Times New Roman" w:cs="Times New Roman"/>
                <w:sz w:val="28"/>
                <w:szCs w:val="28"/>
              </w:rPr>
              <w:t xml:space="preserve"> </w:t>
            </w:r>
          </w:p>
          <w:p w:rsidR="00F470EE" w:rsidRPr="00616B5D" w:rsidRDefault="00F470EE" w:rsidP="00F470EE">
            <w:pPr>
              <w:pStyle w:val="BodyText"/>
              <w:spacing w:after="0" w:line="240" w:lineRule="auto"/>
              <w:ind w:firstLine="425"/>
              <w:jc w:val="both"/>
              <w:rPr>
                <w:rFonts w:ascii="Times New Roman" w:hAnsi="Times New Roman" w:cs="Times New Roman"/>
              </w:rPr>
            </w:pPr>
            <w:r w:rsidRPr="00616B5D">
              <w:rPr>
                <w:rFonts w:ascii="Times New Roman" w:hAnsi="Times New Roman" w:cs="Times New Roman"/>
                <w:bCs/>
                <w:sz w:val="28"/>
                <w:szCs w:val="28"/>
              </w:rPr>
              <w:t>Noteikumu projekts paredz, ka z</w:t>
            </w:r>
            <w:r w:rsidRPr="00616B5D">
              <w:rPr>
                <w:rFonts w:ascii="Times New Roman" w:hAnsi="Times New Roman" w:cs="Times New Roman"/>
                <w:sz w:val="28"/>
                <w:szCs w:val="28"/>
              </w:rPr>
              <w:t>iedojuma (dāvinājuma) līguma projektu var papildināt, ja tas nav pretrunā apstiprinātajam tipveida līguma projektam, vai grozīt, ja tas ir atrunāts pašā tipveida līguma projektā.</w:t>
            </w:r>
          </w:p>
          <w:p w:rsidR="006E1209" w:rsidRPr="00DA6A0E" w:rsidRDefault="00FE58F8" w:rsidP="005A196B">
            <w:pPr>
              <w:pStyle w:val="BodyText"/>
              <w:spacing w:before="120" w:after="0" w:line="240" w:lineRule="auto"/>
              <w:ind w:firstLine="425"/>
              <w:jc w:val="both"/>
              <w:rPr>
                <w:rFonts w:ascii="Times New Roman" w:hAnsi="Times New Roman" w:cs="Times New Roman"/>
                <w:sz w:val="28"/>
                <w:szCs w:val="28"/>
              </w:rPr>
            </w:pPr>
            <w:r w:rsidRPr="00DA6A0E">
              <w:rPr>
                <w:rFonts w:ascii="Times New Roman" w:hAnsi="Times New Roman" w:cs="Times New Roman"/>
                <w:sz w:val="28"/>
                <w:szCs w:val="28"/>
              </w:rPr>
              <w:lastRenderedPageBreak/>
              <w:t xml:space="preserve">Projekts paredz </w:t>
            </w:r>
            <w:r w:rsidR="00AD7364" w:rsidRPr="00DA6A0E">
              <w:rPr>
                <w:rFonts w:ascii="Times New Roman" w:hAnsi="Times New Roman" w:cs="Times New Roman"/>
                <w:sz w:val="28"/>
                <w:szCs w:val="28"/>
              </w:rPr>
              <w:t>papildināt</w:t>
            </w:r>
            <w:r w:rsidR="006E1209" w:rsidRPr="00DA6A0E">
              <w:rPr>
                <w:rFonts w:ascii="Times New Roman" w:hAnsi="Times New Roman" w:cs="Times New Roman"/>
                <w:sz w:val="28"/>
                <w:szCs w:val="28"/>
              </w:rPr>
              <w:t xml:space="preserve"> </w:t>
            </w:r>
            <w:r w:rsidRPr="00DA6A0E">
              <w:rPr>
                <w:rFonts w:ascii="Times New Roman" w:hAnsi="Times New Roman" w:cs="Times New Roman"/>
                <w:sz w:val="28"/>
                <w:szCs w:val="28"/>
              </w:rPr>
              <w:t>spēkā esošo dāvinājuma (ziedojuma) tipveida līgumu</w:t>
            </w:r>
            <w:r w:rsidR="00F847E7" w:rsidRPr="00DA6A0E">
              <w:rPr>
                <w:rFonts w:ascii="Times New Roman" w:hAnsi="Times New Roman" w:cs="Times New Roman"/>
                <w:sz w:val="28"/>
                <w:szCs w:val="28"/>
              </w:rPr>
              <w:t>, atrunājot g</w:t>
            </w:r>
            <w:r w:rsidR="00AD7364" w:rsidRPr="00DA6A0E">
              <w:rPr>
                <w:rFonts w:ascii="Times New Roman" w:hAnsi="Times New Roman" w:cs="Times New Roman"/>
                <w:sz w:val="28"/>
                <w:szCs w:val="28"/>
              </w:rPr>
              <w:t>adījumus</w:t>
            </w:r>
            <w:r w:rsidR="006E1209" w:rsidRPr="00DA6A0E">
              <w:rPr>
                <w:rFonts w:ascii="Times New Roman" w:hAnsi="Times New Roman" w:cs="Times New Roman"/>
                <w:sz w:val="28"/>
                <w:szCs w:val="28"/>
              </w:rPr>
              <w:t>, ja dāvinājums (ziedojums) netiek izmantots līgumā paredzētajam mērķim</w:t>
            </w:r>
            <w:r w:rsidR="00AD7364" w:rsidRPr="00DA6A0E">
              <w:rPr>
                <w:rFonts w:ascii="Times New Roman" w:hAnsi="Times New Roman" w:cs="Times New Roman"/>
                <w:sz w:val="28"/>
                <w:szCs w:val="28"/>
              </w:rPr>
              <w:t>. Šajā gadījumā</w:t>
            </w:r>
            <w:r w:rsidR="006E1209" w:rsidRPr="00DA6A0E">
              <w:rPr>
                <w:rFonts w:ascii="Times New Roman" w:hAnsi="Times New Roman" w:cs="Times New Roman"/>
                <w:sz w:val="28"/>
                <w:szCs w:val="28"/>
              </w:rPr>
              <w:t xml:space="preserve"> dāvinātājam (ziedotājam) ir tiesības vienpusēji atkāpties no dāvinājuma (zi</w:t>
            </w:r>
            <w:r w:rsidR="00AD7364" w:rsidRPr="00DA6A0E">
              <w:rPr>
                <w:rFonts w:ascii="Times New Roman" w:hAnsi="Times New Roman" w:cs="Times New Roman"/>
                <w:sz w:val="28"/>
                <w:szCs w:val="28"/>
              </w:rPr>
              <w:t>edojuma) līguma un atprasīt no a</w:t>
            </w:r>
            <w:r w:rsidR="006E1209" w:rsidRPr="00DA6A0E">
              <w:rPr>
                <w:rFonts w:ascii="Times New Roman" w:hAnsi="Times New Roman" w:cs="Times New Roman"/>
                <w:sz w:val="28"/>
                <w:szCs w:val="28"/>
              </w:rPr>
              <w:t>pdāvinātā dāvinātos (ziedotos) finanšu līdzekļus un/vai mantu vai tās vērtību, ja mantas atgūšana nav iespējama.</w:t>
            </w:r>
            <w:r w:rsidR="00A54294" w:rsidRPr="00DA6A0E">
              <w:rPr>
                <w:rFonts w:ascii="Times New Roman" w:hAnsi="Times New Roman" w:cs="Times New Roman"/>
                <w:sz w:val="28"/>
                <w:szCs w:val="28"/>
              </w:rPr>
              <w:t xml:space="preserve"> </w:t>
            </w:r>
          </w:p>
          <w:p w:rsidR="002C62A3" w:rsidRPr="00DA6A0E" w:rsidRDefault="006E1209" w:rsidP="00A54294">
            <w:pPr>
              <w:pStyle w:val="BodyText"/>
              <w:spacing w:before="120" w:after="0" w:line="240" w:lineRule="auto"/>
              <w:ind w:firstLine="425"/>
              <w:jc w:val="both"/>
              <w:rPr>
                <w:rFonts w:ascii="Times New Roman" w:hAnsi="Times New Roman" w:cs="Times New Roman"/>
                <w:sz w:val="28"/>
                <w:szCs w:val="28"/>
              </w:rPr>
            </w:pPr>
            <w:r w:rsidRPr="00DA6A0E">
              <w:rPr>
                <w:rFonts w:ascii="Times New Roman" w:hAnsi="Times New Roman" w:cs="Times New Roman"/>
                <w:sz w:val="28"/>
                <w:szCs w:val="28"/>
              </w:rPr>
              <w:t xml:space="preserve">Tāpat tipveida līgumā tiek precizēta kārtība, kādā Apdāvinātais </w:t>
            </w:r>
            <w:r w:rsidR="00C40932" w:rsidRPr="00DA6A0E">
              <w:rPr>
                <w:rFonts w:ascii="Times New Roman" w:hAnsi="Times New Roman" w:cs="Times New Roman"/>
                <w:sz w:val="28"/>
                <w:szCs w:val="28"/>
              </w:rPr>
              <w:t>atmaksā</w:t>
            </w:r>
            <w:r w:rsidRPr="00DA6A0E">
              <w:rPr>
                <w:rFonts w:ascii="Times New Roman" w:hAnsi="Times New Roman" w:cs="Times New Roman"/>
                <w:sz w:val="28"/>
                <w:szCs w:val="28"/>
              </w:rPr>
              <w:t xml:space="preserve"> dāvinātos (ziedotos) finanšu līdzekļus un/vai mantu vai tās vērtību, ja mantas atgūšana nav iespējama vai Līguma mērķa sasniegšanai neizlietotos vai neatbilstoši izlietotos finanšu līdzekļus.</w:t>
            </w:r>
          </w:p>
        </w:tc>
      </w:tr>
      <w:tr w:rsidR="007A535D" w:rsidRPr="00DA6A0E" w:rsidTr="00C95285">
        <w:trPr>
          <w:trHeight w:val="476"/>
        </w:trPr>
        <w:tc>
          <w:tcPr>
            <w:tcW w:w="513" w:type="dxa"/>
            <w:gridSpan w:val="2"/>
            <w:hideMark/>
          </w:tcPr>
          <w:p w:rsidR="007A535D" w:rsidRPr="00DA6A0E" w:rsidRDefault="007A535D" w:rsidP="005A196B">
            <w:pPr>
              <w:spacing w:before="100" w:beforeAutospacing="1" w:after="100" w:afterAutospacing="1"/>
              <w:rPr>
                <w:rFonts w:eastAsia="Times New Roman"/>
                <w:sz w:val="28"/>
                <w:szCs w:val="28"/>
                <w:lang w:eastAsia="lv-LV"/>
              </w:rPr>
            </w:pPr>
            <w:r w:rsidRPr="00DA6A0E">
              <w:rPr>
                <w:rFonts w:eastAsia="Times New Roman"/>
                <w:sz w:val="28"/>
                <w:szCs w:val="28"/>
                <w:lang w:eastAsia="lv-LV"/>
              </w:rPr>
              <w:lastRenderedPageBreak/>
              <w:t> 5.</w:t>
            </w:r>
          </w:p>
        </w:tc>
        <w:tc>
          <w:tcPr>
            <w:tcW w:w="3323" w:type="dxa"/>
            <w:hideMark/>
          </w:tcPr>
          <w:p w:rsidR="007A535D" w:rsidRPr="00DA6A0E" w:rsidRDefault="007A535D" w:rsidP="005A196B">
            <w:pPr>
              <w:spacing w:before="100" w:beforeAutospacing="1" w:after="100" w:afterAutospacing="1"/>
              <w:rPr>
                <w:rFonts w:eastAsia="Times New Roman"/>
                <w:sz w:val="28"/>
                <w:szCs w:val="28"/>
                <w:lang w:eastAsia="lv-LV"/>
              </w:rPr>
            </w:pPr>
            <w:r w:rsidRPr="00DA6A0E">
              <w:rPr>
                <w:rFonts w:eastAsia="Times New Roman"/>
                <w:sz w:val="28"/>
                <w:szCs w:val="28"/>
                <w:lang w:eastAsia="lv-LV"/>
              </w:rPr>
              <w:t> Projekta izstrādē iesaistītās institūcijas</w:t>
            </w:r>
          </w:p>
        </w:tc>
        <w:tc>
          <w:tcPr>
            <w:tcW w:w="5687" w:type="dxa"/>
            <w:gridSpan w:val="2"/>
            <w:hideMark/>
          </w:tcPr>
          <w:p w:rsidR="007A535D" w:rsidRPr="00DA6A0E" w:rsidRDefault="00C40932" w:rsidP="00E170B6">
            <w:pPr>
              <w:tabs>
                <w:tab w:val="left" w:pos="257"/>
              </w:tabs>
              <w:jc w:val="both"/>
              <w:rPr>
                <w:rFonts w:eastAsia="Times New Roman"/>
                <w:sz w:val="28"/>
                <w:szCs w:val="28"/>
                <w:lang w:eastAsia="lv-LV"/>
              </w:rPr>
            </w:pPr>
            <w:r w:rsidRPr="00DA6A0E">
              <w:rPr>
                <w:rFonts w:eastAsia="Times New Roman"/>
                <w:sz w:val="28"/>
                <w:szCs w:val="28"/>
                <w:lang w:eastAsia="lv-LV"/>
              </w:rPr>
              <w:t>Finanšu ministrija.</w:t>
            </w:r>
          </w:p>
        </w:tc>
      </w:tr>
      <w:tr w:rsidR="007A535D" w:rsidRPr="00DA6A0E" w:rsidTr="00C95285">
        <w:trPr>
          <w:trHeight w:val="705"/>
        </w:trPr>
        <w:tc>
          <w:tcPr>
            <w:tcW w:w="513" w:type="dxa"/>
            <w:gridSpan w:val="2"/>
            <w:hideMark/>
          </w:tcPr>
          <w:p w:rsidR="007A535D" w:rsidRPr="00DA6A0E" w:rsidRDefault="007A535D" w:rsidP="005A196B">
            <w:pPr>
              <w:spacing w:before="100" w:beforeAutospacing="1" w:after="100" w:afterAutospacing="1"/>
              <w:rPr>
                <w:rFonts w:eastAsia="Times New Roman"/>
                <w:sz w:val="28"/>
                <w:szCs w:val="28"/>
                <w:lang w:eastAsia="lv-LV"/>
              </w:rPr>
            </w:pPr>
            <w:r w:rsidRPr="00DA6A0E">
              <w:rPr>
                <w:rFonts w:eastAsia="Times New Roman"/>
                <w:sz w:val="28"/>
                <w:szCs w:val="28"/>
                <w:lang w:eastAsia="lv-LV"/>
              </w:rPr>
              <w:t> 6.</w:t>
            </w:r>
          </w:p>
        </w:tc>
        <w:tc>
          <w:tcPr>
            <w:tcW w:w="3323" w:type="dxa"/>
            <w:hideMark/>
          </w:tcPr>
          <w:p w:rsidR="007A535D" w:rsidRPr="00DA6A0E" w:rsidRDefault="007A535D" w:rsidP="005A196B">
            <w:pPr>
              <w:spacing w:before="100" w:beforeAutospacing="1" w:after="100" w:afterAutospacing="1"/>
              <w:rPr>
                <w:rFonts w:eastAsia="Times New Roman"/>
                <w:sz w:val="28"/>
                <w:szCs w:val="28"/>
                <w:lang w:eastAsia="lv-LV"/>
              </w:rPr>
            </w:pPr>
            <w:r w:rsidRPr="00DA6A0E">
              <w:rPr>
                <w:rFonts w:eastAsia="Times New Roman"/>
                <w:sz w:val="28"/>
                <w:szCs w:val="28"/>
                <w:lang w:eastAsia="lv-LV"/>
              </w:rPr>
              <w:t> Iemesli, kādēļ netika nodrošināta sabiedrības līdzdalība</w:t>
            </w:r>
          </w:p>
        </w:tc>
        <w:tc>
          <w:tcPr>
            <w:tcW w:w="5687" w:type="dxa"/>
            <w:gridSpan w:val="2"/>
            <w:hideMark/>
          </w:tcPr>
          <w:p w:rsidR="002C62A3" w:rsidRPr="00DA6A0E" w:rsidRDefault="007A535D" w:rsidP="00A54294">
            <w:pPr>
              <w:jc w:val="both"/>
              <w:rPr>
                <w:sz w:val="28"/>
                <w:szCs w:val="28"/>
              </w:rPr>
            </w:pPr>
            <w:r w:rsidRPr="00DA6A0E">
              <w:rPr>
                <w:sz w:val="28"/>
                <w:szCs w:val="28"/>
              </w:rPr>
              <w:t>Konsultācijas nav notikušas, jo noteikumu projekts neierobežo un nesašaurina nevienas personu grupas vai indivīda tiesības</w:t>
            </w:r>
            <w:r w:rsidRPr="00DA6A0E">
              <w:rPr>
                <w:bCs/>
                <w:iCs/>
                <w:sz w:val="28"/>
                <w:szCs w:val="28"/>
              </w:rPr>
              <w:t>.</w:t>
            </w:r>
          </w:p>
        </w:tc>
      </w:tr>
      <w:tr w:rsidR="007A535D" w:rsidRPr="00DA6A0E" w:rsidTr="00C95285">
        <w:tc>
          <w:tcPr>
            <w:tcW w:w="513" w:type="dxa"/>
            <w:gridSpan w:val="2"/>
            <w:hideMark/>
          </w:tcPr>
          <w:p w:rsidR="007A535D" w:rsidRPr="00DA6A0E" w:rsidRDefault="007A535D" w:rsidP="005A196B">
            <w:pPr>
              <w:spacing w:before="100" w:beforeAutospacing="1" w:after="100" w:afterAutospacing="1"/>
              <w:rPr>
                <w:rFonts w:eastAsia="Times New Roman"/>
                <w:sz w:val="28"/>
                <w:szCs w:val="28"/>
                <w:lang w:eastAsia="lv-LV"/>
              </w:rPr>
            </w:pPr>
            <w:r w:rsidRPr="00DA6A0E">
              <w:rPr>
                <w:rFonts w:eastAsia="Times New Roman"/>
                <w:sz w:val="28"/>
                <w:szCs w:val="28"/>
                <w:lang w:eastAsia="lv-LV"/>
              </w:rPr>
              <w:t> 7.</w:t>
            </w:r>
          </w:p>
        </w:tc>
        <w:tc>
          <w:tcPr>
            <w:tcW w:w="3323" w:type="dxa"/>
            <w:hideMark/>
          </w:tcPr>
          <w:p w:rsidR="007A535D" w:rsidRPr="00DA6A0E" w:rsidRDefault="007A535D" w:rsidP="005A196B">
            <w:pPr>
              <w:rPr>
                <w:rFonts w:eastAsia="Times New Roman"/>
                <w:sz w:val="28"/>
                <w:szCs w:val="28"/>
                <w:lang w:eastAsia="lv-LV"/>
              </w:rPr>
            </w:pPr>
            <w:r w:rsidRPr="00DA6A0E">
              <w:rPr>
                <w:rFonts w:eastAsia="Times New Roman"/>
                <w:sz w:val="28"/>
                <w:szCs w:val="28"/>
                <w:lang w:eastAsia="lv-LV"/>
              </w:rPr>
              <w:t> Cita informācija</w:t>
            </w:r>
          </w:p>
        </w:tc>
        <w:tc>
          <w:tcPr>
            <w:tcW w:w="5687" w:type="dxa"/>
            <w:gridSpan w:val="2"/>
            <w:hideMark/>
          </w:tcPr>
          <w:p w:rsidR="007A535D" w:rsidRPr="00DA6A0E" w:rsidRDefault="007A535D" w:rsidP="005A196B">
            <w:pPr>
              <w:rPr>
                <w:rFonts w:eastAsia="Times New Roman"/>
                <w:sz w:val="28"/>
                <w:szCs w:val="28"/>
                <w:lang w:eastAsia="lv-LV"/>
              </w:rPr>
            </w:pPr>
            <w:r w:rsidRPr="00DA6A0E">
              <w:rPr>
                <w:rFonts w:eastAsia="Times New Roman"/>
                <w:sz w:val="28"/>
                <w:szCs w:val="28"/>
                <w:lang w:eastAsia="lv-LV"/>
              </w:rPr>
              <w:t>Nav.</w:t>
            </w:r>
          </w:p>
        </w:tc>
      </w:tr>
      <w:tr w:rsidR="007A535D" w:rsidRPr="00DA6A0E" w:rsidTr="00C95285">
        <w:tc>
          <w:tcPr>
            <w:tcW w:w="9523" w:type="dxa"/>
            <w:gridSpan w:val="5"/>
            <w:hideMark/>
          </w:tcPr>
          <w:p w:rsidR="007A535D" w:rsidRPr="00DA6A0E" w:rsidRDefault="007A535D" w:rsidP="005A196B">
            <w:pPr>
              <w:spacing w:before="100" w:beforeAutospacing="1" w:after="100" w:afterAutospacing="1"/>
              <w:jc w:val="center"/>
              <w:rPr>
                <w:rFonts w:eastAsia="Times New Roman"/>
                <w:b/>
                <w:sz w:val="28"/>
                <w:szCs w:val="28"/>
                <w:lang w:eastAsia="lv-LV"/>
              </w:rPr>
            </w:pPr>
            <w:r w:rsidRPr="00DA6A0E">
              <w:rPr>
                <w:rFonts w:eastAsia="Times New Roman"/>
                <w:b/>
                <w:sz w:val="28"/>
                <w:szCs w:val="28"/>
                <w:lang w:eastAsia="lv-LV"/>
              </w:rPr>
              <w:t>II. Tiesību akta projekta ietekme uz sabiedrību</w:t>
            </w:r>
          </w:p>
        </w:tc>
      </w:tr>
      <w:tr w:rsidR="007A535D" w:rsidRPr="00DA6A0E" w:rsidTr="00C95285">
        <w:trPr>
          <w:trHeight w:val="467"/>
        </w:trPr>
        <w:tc>
          <w:tcPr>
            <w:tcW w:w="506" w:type="dxa"/>
            <w:hideMark/>
          </w:tcPr>
          <w:p w:rsidR="007A535D" w:rsidRPr="00DA6A0E" w:rsidRDefault="007A535D" w:rsidP="005A196B">
            <w:pPr>
              <w:spacing w:before="100" w:beforeAutospacing="1" w:after="100" w:afterAutospacing="1"/>
              <w:rPr>
                <w:rFonts w:eastAsia="Times New Roman"/>
                <w:sz w:val="28"/>
                <w:szCs w:val="28"/>
                <w:lang w:eastAsia="lv-LV"/>
              </w:rPr>
            </w:pPr>
            <w:r w:rsidRPr="00DA6A0E">
              <w:rPr>
                <w:rFonts w:eastAsia="Times New Roman"/>
                <w:sz w:val="28"/>
                <w:szCs w:val="28"/>
                <w:lang w:eastAsia="lv-LV"/>
              </w:rPr>
              <w:t> 1.</w:t>
            </w:r>
          </w:p>
        </w:tc>
        <w:tc>
          <w:tcPr>
            <w:tcW w:w="3330" w:type="dxa"/>
            <w:gridSpan w:val="2"/>
            <w:hideMark/>
          </w:tcPr>
          <w:p w:rsidR="007A535D" w:rsidRPr="00DA6A0E" w:rsidRDefault="007A535D" w:rsidP="005A196B">
            <w:pPr>
              <w:spacing w:before="100" w:beforeAutospacing="1" w:after="100" w:afterAutospacing="1"/>
              <w:rPr>
                <w:rFonts w:eastAsia="Times New Roman"/>
                <w:sz w:val="28"/>
                <w:szCs w:val="28"/>
                <w:lang w:eastAsia="lv-LV"/>
              </w:rPr>
            </w:pPr>
            <w:r w:rsidRPr="00DA6A0E">
              <w:rPr>
                <w:rFonts w:eastAsia="Times New Roman"/>
                <w:sz w:val="28"/>
                <w:szCs w:val="28"/>
                <w:lang w:eastAsia="lv-LV"/>
              </w:rPr>
              <w:t xml:space="preserve"> Sabiedrības </w:t>
            </w:r>
            <w:proofErr w:type="spellStart"/>
            <w:r w:rsidRPr="00DA6A0E">
              <w:rPr>
                <w:rFonts w:eastAsia="Times New Roman"/>
                <w:sz w:val="28"/>
                <w:szCs w:val="28"/>
                <w:lang w:eastAsia="lv-LV"/>
              </w:rPr>
              <w:t>mērķgrupa</w:t>
            </w:r>
            <w:proofErr w:type="spellEnd"/>
          </w:p>
        </w:tc>
        <w:tc>
          <w:tcPr>
            <w:tcW w:w="5687" w:type="dxa"/>
            <w:gridSpan w:val="2"/>
            <w:hideMark/>
          </w:tcPr>
          <w:p w:rsidR="007A535D" w:rsidRPr="00DA6A0E" w:rsidRDefault="005066F3" w:rsidP="00E170B6">
            <w:pPr>
              <w:pStyle w:val="naiskr"/>
              <w:spacing w:before="0" w:beforeAutospacing="0" w:after="0" w:afterAutospacing="0"/>
              <w:ind w:right="57" w:firstLine="318"/>
              <w:jc w:val="both"/>
              <w:rPr>
                <w:sz w:val="28"/>
                <w:szCs w:val="28"/>
              </w:rPr>
            </w:pPr>
            <w:r w:rsidRPr="00DA6A0E">
              <w:rPr>
                <w:sz w:val="28"/>
                <w:szCs w:val="28"/>
              </w:rPr>
              <w:t>P</w:t>
            </w:r>
            <w:r w:rsidR="00C40932" w:rsidRPr="00DA6A0E">
              <w:rPr>
                <w:sz w:val="28"/>
                <w:szCs w:val="28"/>
              </w:rPr>
              <w:t>ubliskās personas, kurām īpašos gadījumos ar likumu vai Ministru kabineta noteikumiem ir piešķirtas tiesības dāvināt (ziedot) publiskas personas finanšu līdzekļus un/vai mantu. Tāpat šis tiesību akts attieksies uz  publiskas personas kapitālsabiedrībām, kapitālsabiedrībām, kurās publiskas personas daļa pamatkapitālā atsevišķi vai kopumā pārsniedz 50 procentus, kā arī kapitālsabiedrībām, kurās vienas vai vairāku publisku personu kapitālsabiedrību daļa pamatkapitālā atsevišķi vai kopumā pārsniedz 50 procentus.</w:t>
            </w:r>
          </w:p>
        </w:tc>
      </w:tr>
      <w:tr w:rsidR="007A535D" w:rsidRPr="00DA6A0E" w:rsidTr="00C95285">
        <w:trPr>
          <w:trHeight w:val="523"/>
        </w:trPr>
        <w:tc>
          <w:tcPr>
            <w:tcW w:w="506" w:type="dxa"/>
            <w:hideMark/>
          </w:tcPr>
          <w:p w:rsidR="007A535D" w:rsidRPr="00DA6A0E" w:rsidRDefault="007A535D" w:rsidP="005A196B">
            <w:pPr>
              <w:spacing w:before="100" w:beforeAutospacing="1" w:after="100" w:afterAutospacing="1"/>
              <w:rPr>
                <w:rFonts w:eastAsia="Times New Roman"/>
                <w:sz w:val="28"/>
                <w:szCs w:val="28"/>
                <w:lang w:eastAsia="lv-LV"/>
              </w:rPr>
            </w:pPr>
            <w:r w:rsidRPr="00DA6A0E">
              <w:rPr>
                <w:rFonts w:eastAsia="Times New Roman"/>
                <w:sz w:val="28"/>
                <w:szCs w:val="28"/>
                <w:lang w:eastAsia="lv-LV"/>
              </w:rPr>
              <w:t> 2.</w:t>
            </w:r>
          </w:p>
        </w:tc>
        <w:tc>
          <w:tcPr>
            <w:tcW w:w="3330" w:type="dxa"/>
            <w:gridSpan w:val="2"/>
            <w:hideMark/>
          </w:tcPr>
          <w:p w:rsidR="007A535D" w:rsidRPr="00DA6A0E" w:rsidRDefault="007A535D" w:rsidP="005A196B">
            <w:pPr>
              <w:spacing w:before="100" w:beforeAutospacing="1" w:after="100" w:afterAutospacing="1"/>
              <w:rPr>
                <w:rFonts w:eastAsia="Times New Roman"/>
                <w:sz w:val="28"/>
                <w:szCs w:val="28"/>
                <w:lang w:eastAsia="lv-LV"/>
              </w:rPr>
            </w:pPr>
            <w:r w:rsidRPr="00DA6A0E">
              <w:rPr>
                <w:rFonts w:eastAsia="Times New Roman"/>
                <w:sz w:val="28"/>
                <w:szCs w:val="28"/>
                <w:lang w:eastAsia="lv-LV"/>
              </w:rPr>
              <w:t xml:space="preserve"> Citas sabiedrības grupas (bez </w:t>
            </w:r>
            <w:proofErr w:type="spellStart"/>
            <w:r w:rsidRPr="00DA6A0E">
              <w:rPr>
                <w:rFonts w:eastAsia="Times New Roman"/>
                <w:sz w:val="28"/>
                <w:szCs w:val="28"/>
                <w:lang w:eastAsia="lv-LV"/>
              </w:rPr>
              <w:t>mērķgrupas</w:t>
            </w:r>
            <w:proofErr w:type="spellEnd"/>
            <w:r w:rsidRPr="00DA6A0E">
              <w:rPr>
                <w:rFonts w:eastAsia="Times New Roman"/>
                <w:sz w:val="28"/>
                <w:szCs w:val="28"/>
                <w:lang w:eastAsia="lv-LV"/>
              </w:rPr>
              <w:t>), kuras tiesiskais regulējums arī ietekmē vai varētu ietekmēt</w:t>
            </w:r>
          </w:p>
        </w:tc>
        <w:tc>
          <w:tcPr>
            <w:tcW w:w="5687" w:type="dxa"/>
            <w:gridSpan w:val="2"/>
            <w:hideMark/>
          </w:tcPr>
          <w:p w:rsidR="007A535D" w:rsidRPr="00DA6A0E" w:rsidRDefault="007A535D" w:rsidP="005A196B">
            <w:pPr>
              <w:spacing w:before="100" w:beforeAutospacing="1" w:after="100" w:afterAutospacing="1"/>
              <w:ind w:firstLine="318"/>
              <w:rPr>
                <w:rFonts w:eastAsia="Times New Roman"/>
                <w:sz w:val="28"/>
                <w:szCs w:val="28"/>
                <w:lang w:eastAsia="lv-LV"/>
              </w:rPr>
            </w:pPr>
            <w:r w:rsidRPr="00DA6A0E">
              <w:rPr>
                <w:sz w:val="28"/>
                <w:szCs w:val="28"/>
              </w:rPr>
              <w:t>Projekts šo jomu neskar.</w:t>
            </w:r>
          </w:p>
        </w:tc>
      </w:tr>
      <w:tr w:rsidR="007A535D" w:rsidRPr="00DA6A0E" w:rsidTr="00C95285">
        <w:trPr>
          <w:trHeight w:val="517"/>
        </w:trPr>
        <w:tc>
          <w:tcPr>
            <w:tcW w:w="506" w:type="dxa"/>
            <w:hideMark/>
          </w:tcPr>
          <w:p w:rsidR="007A535D" w:rsidRPr="00DA6A0E" w:rsidRDefault="007A535D" w:rsidP="005A196B">
            <w:pPr>
              <w:spacing w:before="100" w:beforeAutospacing="1" w:after="100" w:afterAutospacing="1"/>
              <w:rPr>
                <w:rFonts w:eastAsia="Times New Roman"/>
                <w:sz w:val="28"/>
                <w:szCs w:val="28"/>
                <w:lang w:eastAsia="lv-LV"/>
              </w:rPr>
            </w:pPr>
            <w:r w:rsidRPr="00DA6A0E">
              <w:rPr>
                <w:rFonts w:eastAsia="Times New Roman"/>
                <w:sz w:val="28"/>
                <w:szCs w:val="28"/>
                <w:lang w:eastAsia="lv-LV"/>
              </w:rPr>
              <w:t> 3.</w:t>
            </w:r>
          </w:p>
        </w:tc>
        <w:tc>
          <w:tcPr>
            <w:tcW w:w="3330" w:type="dxa"/>
            <w:gridSpan w:val="2"/>
            <w:hideMark/>
          </w:tcPr>
          <w:p w:rsidR="007A535D" w:rsidRPr="00DA6A0E" w:rsidRDefault="007A535D" w:rsidP="005A196B">
            <w:pPr>
              <w:spacing w:before="100" w:beforeAutospacing="1" w:after="100" w:afterAutospacing="1"/>
              <w:rPr>
                <w:rFonts w:eastAsia="Times New Roman"/>
                <w:sz w:val="28"/>
                <w:szCs w:val="28"/>
                <w:lang w:eastAsia="lv-LV"/>
              </w:rPr>
            </w:pPr>
            <w:r w:rsidRPr="00DA6A0E">
              <w:rPr>
                <w:rFonts w:eastAsia="Times New Roman"/>
                <w:sz w:val="28"/>
                <w:szCs w:val="28"/>
                <w:lang w:eastAsia="lv-LV"/>
              </w:rPr>
              <w:t> Tiesiskā regulējuma finansiālā ietekme</w:t>
            </w:r>
          </w:p>
        </w:tc>
        <w:tc>
          <w:tcPr>
            <w:tcW w:w="5687" w:type="dxa"/>
            <w:gridSpan w:val="2"/>
            <w:hideMark/>
          </w:tcPr>
          <w:p w:rsidR="007A535D" w:rsidRPr="00DA6A0E" w:rsidRDefault="007A535D" w:rsidP="00E170B6">
            <w:pPr>
              <w:pStyle w:val="BodyText"/>
              <w:spacing w:after="0" w:line="240" w:lineRule="auto"/>
              <w:ind w:firstLine="318"/>
              <w:jc w:val="both"/>
              <w:rPr>
                <w:rFonts w:ascii="Times New Roman" w:hAnsi="Times New Roman" w:cs="Times New Roman"/>
                <w:sz w:val="28"/>
                <w:szCs w:val="28"/>
              </w:rPr>
            </w:pPr>
            <w:r w:rsidRPr="00DA6A0E">
              <w:rPr>
                <w:rFonts w:ascii="Times New Roman" w:hAnsi="Times New Roman" w:cs="Times New Roman"/>
                <w:sz w:val="28"/>
                <w:szCs w:val="28"/>
              </w:rPr>
              <w:t xml:space="preserve">Projekts šo jomu neskar. </w:t>
            </w:r>
          </w:p>
        </w:tc>
      </w:tr>
      <w:tr w:rsidR="007A535D" w:rsidRPr="00DA6A0E" w:rsidTr="00C95285">
        <w:trPr>
          <w:trHeight w:val="517"/>
        </w:trPr>
        <w:tc>
          <w:tcPr>
            <w:tcW w:w="506" w:type="dxa"/>
            <w:hideMark/>
          </w:tcPr>
          <w:p w:rsidR="007A535D" w:rsidRPr="00DA6A0E" w:rsidRDefault="007A535D" w:rsidP="005A196B">
            <w:pPr>
              <w:spacing w:before="100" w:beforeAutospacing="1" w:after="100" w:afterAutospacing="1"/>
              <w:rPr>
                <w:rFonts w:eastAsia="Times New Roman"/>
                <w:sz w:val="28"/>
                <w:szCs w:val="28"/>
                <w:lang w:eastAsia="lv-LV"/>
              </w:rPr>
            </w:pPr>
            <w:r w:rsidRPr="00DA6A0E">
              <w:rPr>
                <w:rFonts w:eastAsia="Times New Roman"/>
                <w:sz w:val="28"/>
                <w:szCs w:val="28"/>
                <w:lang w:eastAsia="lv-LV"/>
              </w:rPr>
              <w:lastRenderedPageBreak/>
              <w:t> 4.</w:t>
            </w:r>
          </w:p>
        </w:tc>
        <w:tc>
          <w:tcPr>
            <w:tcW w:w="3330" w:type="dxa"/>
            <w:gridSpan w:val="2"/>
            <w:hideMark/>
          </w:tcPr>
          <w:p w:rsidR="007A535D" w:rsidRPr="00DA6A0E" w:rsidRDefault="007A535D" w:rsidP="005A196B">
            <w:pPr>
              <w:spacing w:before="100" w:beforeAutospacing="1" w:after="100" w:afterAutospacing="1"/>
              <w:rPr>
                <w:rFonts w:eastAsia="Times New Roman"/>
                <w:sz w:val="28"/>
                <w:szCs w:val="28"/>
                <w:lang w:eastAsia="lv-LV"/>
              </w:rPr>
            </w:pPr>
            <w:r w:rsidRPr="00DA6A0E">
              <w:rPr>
                <w:rFonts w:eastAsia="Times New Roman"/>
                <w:sz w:val="28"/>
                <w:szCs w:val="28"/>
                <w:lang w:eastAsia="lv-LV"/>
              </w:rPr>
              <w:t> Tiesiskā regulējuma nefinansiālā ietekme</w:t>
            </w:r>
          </w:p>
        </w:tc>
        <w:tc>
          <w:tcPr>
            <w:tcW w:w="5687" w:type="dxa"/>
            <w:gridSpan w:val="2"/>
            <w:hideMark/>
          </w:tcPr>
          <w:p w:rsidR="007A535D" w:rsidRPr="00DA6A0E" w:rsidRDefault="007A535D" w:rsidP="005A196B">
            <w:pPr>
              <w:ind w:right="198" w:firstLine="363"/>
              <w:jc w:val="both"/>
              <w:rPr>
                <w:rFonts w:eastAsia="Times New Roman"/>
                <w:sz w:val="28"/>
                <w:szCs w:val="28"/>
                <w:lang w:eastAsia="lv-LV"/>
              </w:rPr>
            </w:pPr>
            <w:r w:rsidRPr="00DA6A0E">
              <w:rPr>
                <w:rFonts w:eastAsia="Times New Roman"/>
                <w:sz w:val="28"/>
                <w:szCs w:val="28"/>
                <w:lang w:eastAsia="lv-LV"/>
              </w:rPr>
              <w:t>Projekts šo jomu neskar.</w:t>
            </w:r>
          </w:p>
          <w:p w:rsidR="007A535D" w:rsidRPr="00DA6A0E" w:rsidRDefault="007A535D" w:rsidP="005A196B">
            <w:pPr>
              <w:ind w:right="198" w:firstLine="363"/>
              <w:jc w:val="both"/>
              <w:rPr>
                <w:rFonts w:eastAsia="Times New Roman"/>
                <w:sz w:val="28"/>
                <w:szCs w:val="28"/>
                <w:lang w:eastAsia="lv-LV"/>
              </w:rPr>
            </w:pPr>
          </w:p>
        </w:tc>
      </w:tr>
      <w:tr w:rsidR="007A535D" w:rsidRPr="00DA6A0E" w:rsidTr="00C95285">
        <w:trPr>
          <w:trHeight w:val="531"/>
        </w:trPr>
        <w:tc>
          <w:tcPr>
            <w:tcW w:w="506" w:type="dxa"/>
            <w:hideMark/>
          </w:tcPr>
          <w:p w:rsidR="007A535D" w:rsidRPr="00DA6A0E" w:rsidRDefault="007A535D" w:rsidP="005A196B">
            <w:pPr>
              <w:spacing w:before="100" w:beforeAutospacing="1" w:after="100" w:afterAutospacing="1"/>
              <w:rPr>
                <w:rFonts w:eastAsia="Times New Roman"/>
                <w:sz w:val="28"/>
                <w:szCs w:val="28"/>
                <w:lang w:eastAsia="lv-LV"/>
              </w:rPr>
            </w:pPr>
            <w:r w:rsidRPr="00DA6A0E">
              <w:rPr>
                <w:rFonts w:eastAsia="Times New Roman"/>
                <w:sz w:val="28"/>
                <w:szCs w:val="28"/>
                <w:lang w:eastAsia="lv-LV"/>
              </w:rPr>
              <w:t> 5.</w:t>
            </w:r>
          </w:p>
        </w:tc>
        <w:tc>
          <w:tcPr>
            <w:tcW w:w="3330" w:type="dxa"/>
            <w:gridSpan w:val="2"/>
            <w:hideMark/>
          </w:tcPr>
          <w:p w:rsidR="007A535D" w:rsidRPr="00DA6A0E" w:rsidRDefault="007A535D" w:rsidP="005A196B">
            <w:pPr>
              <w:spacing w:before="100" w:beforeAutospacing="1" w:after="100" w:afterAutospacing="1"/>
              <w:rPr>
                <w:rFonts w:eastAsia="Times New Roman"/>
                <w:sz w:val="28"/>
                <w:szCs w:val="28"/>
                <w:lang w:eastAsia="lv-LV"/>
              </w:rPr>
            </w:pPr>
            <w:r w:rsidRPr="00DA6A0E">
              <w:rPr>
                <w:rFonts w:eastAsia="Times New Roman"/>
                <w:sz w:val="28"/>
                <w:szCs w:val="28"/>
                <w:lang w:eastAsia="lv-LV"/>
              </w:rPr>
              <w:t> Administratīvās procedūras raksturojums</w:t>
            </w:r>
          </w:p>
        </w:tc>
        <w:tc>
          <w:tcPr>
            <w:tcW w:w="5687" w:type="dxa"/>
            <w:gridSpan w:val="2"/>
            <w:hideMark/>
          </w:tcPr>
          <w:p w:rsidR="007A535D" w:rsidRPr="00DA6A0E" w:rsidRDefault="007A535D" w:rsidP="005A196B">
            <w:pPr>
              <w:ind w:firstLine="417"/>
              <w:jc w:val="both"/>
              <w:rPr>
                <w:rFonts w:eastAsia="Times New Roman"/>
                <w:sz w:val="28"/>
                <w:szCs w:val="28"/>
                <w:lang w:eastAsia="lv-LV"/>
              </w:rPr>
            </w:pPr>
            <w:r w:rsidRPr="00DA6A0E">
              <w:rPr>
                <w:sz w:val="28"/>
                <w:szCs w:val="28"/>
              </w:rPr>
              <w:t>Projekts šo jomu neskar.</w:t>
            </w:r>
          </w:p>
        </w:tc>
      </w:tr>
      <w:tr w:rsidR="007A535D" w:rsidRPr="00DA6A0E" w:rsidTr="00C95285">
        <w:trPr>
          <w:trHeight w:val="357"/>
        </w:trPr>
        <w:tc>
          <w:tcPr>
            <w:tcW w:w="506" w:type="dxa"/>
            <w:hideMark/>
          </w:tcPr>
          <w:p w:rsidR="007A535D" w:rsidRPr="00DA6A0E" w:rsidRDefault="007A535D" w:rsidP="005A196B">
            <w:pPr>
              <w:spacing w:before="100" w:beforeAutospacing="1" w:after="100" w:afterAutospacing="1"/>
              <w:rPr>
                <w:rFonts w:eastAsia="Times New Roman"/>
                <w:sz w:val="28"/>
                <w:szCs w:val="28"/>
                <w:lang w:eastAsia="lv-LV"/>
              </w:rPr>
            </w:pPr>
            <w:r w:rsidRPr="00DA6A0E">
              <w:rPr>
                <w:rFonts w:eastAsia="Times New Roman"/>
                <w:sz w:val="28"/>
                <w:szCs w:val="28"/>
                <w:lang w:eastAsia="lv-LV"/>
              </w:rPr>
              <w:t> 6.</w:t>
            </w:r>
          </w:p>
        </w:tc>
        <w:tc>
          <w:tcPr>
            <w:tcW w:w="3330" w:type="dxa"/>
            <w:gridSpan w:val="2"/>
            <w:hideMark/>
          </w:tcPr>
          <w:p w:rsidR="007A535D" w:rsidRPr="00DA6A0E" w:rsidRDefault="007A535D" w:rsidP="005A196B">
            <w:pPr>
              <w:spacing w:before="100" w:beforeAutospacing="1" w:after="100" w:afterAutospacing="1"/>
              <w:rPr>
                <w:rFonts w:eastAsia="Times New Roman"/>
                <w:sz w:val="28"/>
                <w:szCs w:val="28"/>
                <w:lang w:eastAsia="lv-LV"/>
              </w:rPr>
            </w:pPr>
            <w:r w:rsidRPr="00DA6A0E">
              <w:rPr>
                <w:rFonts w:eastAsia="Times New Roman"/>
                <w:sz w:val="28"/>
                <w:szCs w:val="28"/>
                <w:lang w:eastAsia="lv-LV"/>
              </w:rPr>
              <w:t> Administratīvo izmaksu monetārs novērtējums</w:t>
            </w:r>
          </w:p>
        </w:tc>
        <w:tc>
          <w:tcPr>
            <w:tcW w:w="5687" w:type="dxa"/>
            <w:gridSpan w:val="2"/>
            <w:hideMark/>
          </w:tcPr>
          <w:p w:rsidR="007A535D" w:rsidRPr="00DA6A0E" w:rsidRDefault="007A535D" w:rsidP="005A196B">
            <w:pPr>
              <w:ind w:firstLine="417"/>
              <w:rPr>
                <w:rFonts w:eastAsia="Times New Roman"/>
                <w:sz w:val="28"/>
                <w:szCs w:val="28"/>
                <w:lang w:eastAsia="lv-LV"/>
              </w:rPr>
            </w:pPr>
            <w:r w:rsidRPr="00DA6A0E">
              <w:rPr>
                <w:rFonts w:eastAsia="Times New Roman"/>
                <w:sz w:val="28"/>
                <w:szCs w:val="28"/>
                <w:lang w:eastAsia="lv-LV"/>
              </w:rPr>
              <w:t>P</w:t>
            </w:r>
            <w:r w:rsidRPr="00DA6A0E">
              <w:rPr>
                <w:sz w:val="28"/>
                <w:szCs w:val="28"/>
              </w:rPr>
              <w:t>rojekts šo jomu neskar.</w:t>
            </w:r>
          </w:p>
        </w:tc>
      </w:tr>
      <w:tr w:rsidR="007A535D" w:rsidRPr="00DA6A0E" w:rsidTr="00C95285">
        <w:tc>
          <w:tcPr>
            <w:tcW w:w="506" w:type="dxa"/>
            <w:hideMark/>
          </w:tcPr>
          <w:p w:rsidR="007A535D" w:rsidRPr="00DA6A0E" w:rsidRDefault="007A535D" w:rsidP="005A196B">
            <w:pPr>
              <w:spacing w:before="100" w:beforeAutospacing="1" w:after="100" w:afterAutospacing="1"/>
              <w:rPr>
                <w:rFonts w:eastAsia="Times New Roman"/>
                <w:sz w:val="28"/>
                <w:szCs w:val="28"/>
                <w:lang w:eastAsia="lv-LV"/>
              </w:rPr>
            </w:pPr>
            <w:r w:rsidRPr="00DA6A0E">
              <w:rPr>
                <w:rFonts w:eastAsia="Times New Roman"/>
                <w:sz w:val="28"/>
                <w:szCs w:val="28"/>
                <w:lang w:eastAsia="lv-LV"/>
              </w:rPr>
              <w:t> 7.</w:t>
            </w:r>
          </w:p>
        </w:tc>
        <w:tc>
          <w:tcPr>
            <w:tcW w:w="3330" w:type="dxa"/>
            <w:gridSpan w:val="2"/>
            <w:hideMark/>
          </w:tcPr>
          <w:p w:rsidR="007A535D" w:rsidRPr="00DA6A0E" w:rsidRDefault="007A535D" w:rsidP="005A196B">
            <w:pPr>
              <w:rPr>
                <w:rFonts w:eastAsia="Times New Roman"/>
                <w:sz w:val="28"/>
                <w:szCs w:val="28"/>
                <w:lang w:eastAsia="lv-LV"/>
              </w:rPr>
            </w:pPr>
            <w:r w:rsidRPr="00DA6A0E">
              <w:rPr>
                <w:rFonts w:eastAsia="Times New Roman"/>
                <w:sz w:val="28"/>
                <w:szCs w:val="28"/>
                <w:lang w:eastAsia="lv-LV"/>
              </w:rPr>
              <w:t> Cita informācija</w:t>
            </w:r>
          </w:p>
        </w:tc>
        <w:tc>
          <w:tcPr>
            <w:tcW w:w="5687" w:type="dxa"/>
            <w:gridSpan w:val="2"/>
            <w:hideMark/>
          </w:tcPr>
          <w:p w:rsidR="007A535D" w:rsidRPr="00DA6A0E" w:rsidRDefault="007A535D" w:rsidP="00E170B6">
            <w:pPr>
              <w:ind w:firstLine="318"/>
              <w:rPr>
                <w:rFonts w:eastAsia="Times New Roman"/>
                <w:sz w:val="28"/>
                <w:szCs w:val="28"/>
                <w:lang w:eastAsia="lv-LV"/>
              </w:rPr>
            </w:pPr>
            <w:r w:rsidRPr="00DA6A0E">
              <w:rPr>
                <w:sz w:val="28"/>
                <w:szCs w:val="28"/>
              </w:rPr>
              <w:t>Nav.</w:t>
            </w:r>
          </w:p>
        </w:tc>
      </w:tr>
      <w:tr w:rsidR="007A535D" w:rsidRPr="00DA6A0E" w:rsidTr="00C95285">
        <w:tc>
          <w:tcPr>
            <w:tcW w:w="9523" w:type="dxa"/>
            <w:gridSpan w:val="5"/>
            <w:hideMark/>
          </w:tcPr>
          <w:p w:rsidR="007A535D" w:rsidRPr="00DA6A0E" w:rsidRDefault="007A535D" w:rsidP="005A196B">
            <w:pPr>
              <w:spacing w:before="100" w:beforeAutospacing="1" w:after="100" w:afterAutospacing="1"/>
              <w:jc w:val="center"/>
              <w:rPr>
                <w:rFonts w:eastAsia="Times New Roman"/>
                <w:sz w:val="28"/>
                <w:szCs w:val="28"/>
                <w:lang w:eastAsia="lv-LV"/>
              </w:rPr>
            </w:pPr>
            <w:r w:rsidRPr="00DA6A0E">
              <w:rPr>
                <w:rFonts w:eastAsia="Times New Roman"/>
                <w:b/>
                <w:bCs/>
                <w:sz w:val="28"/>
                <w:szCs w:val="28"/>
                <w:lang w:eastAsia="lv-LV"/>
              </w:rPr>
              <w:t>VII. Tiesību akta projekta izpildes nodrošināšana un tās ietekme uz institūcijām</w:t>
            </w:r>
          </w:p>
        </w:tc>
      </w:tr>
      <w:tr w:rsidR="007A535D" w:rsidRPr="00DA6A0E" w:rsidTr="00C95285">
        <w:trPr>
          <w:trHeight w:val="427"/>
        </w:trPr>
        <w:tc>
          <w:tcPr>
            <w:tcW w:w="506" w:type="dxa"/>
            <w:hideMark/>
          </w:tcPr>
          <w:p w:rsidR="007A535D" w:rsidRPr="00DA6A0E" w:rsidRDefault="007A535D" w:rsidP="005A196B">
            <w:pPr>
              <w:spacing w:before="100" w:beforeAutospacing="1" w:after="100" w:afterAutospacing="1"/>
              <w:rPr>
                <w:rFonts w:eastAsia="Times New Roman"/>
                <w:sz w:val="28"/>
                <w:szCs w:val="28"/>
                <w:lang w:eastAsia="lv-LV"/>
              </w:rPr>
            </w:pPr>
            <w:r w:rsidRPr="00DA6A0E">
              <w:rPr>
                <w:rFonts w:eastAsia="Times New Roman"/>
                <w:sz w:val="28"/>
                <w:szCs w:val="28"/>
                <w:lang w:eastAsia="lv-LV"/>
              </w:rPr>
              <w:t> 1.</w:t>
            </w:r>
          </w:p>
        </w:tc>
        <w:tc>
          <w:tcPr>
            <w:tcW w:w="3413" w:type="dxa"/>
            <w:gridSpan w:val="3"/>
            <w:hideMark/>
          </w:tcPr>
          <w:p w:rsidR="007A535D" w:rsidRPr="00DA6A0E" w:rsidRDefault="007A535D" w:rsidP="005A196B">
            <w:pPr>
              <w:spacing w:before="100" w:beforeAutospacing="1" w:after="100" w:afterAutospacing="1"/>
              <w:rPr>
                <w:rFonts w:eastAsia="Times New Roman"/>
                <w:sz w:val="28"/>
                <w:szCs w:val="28"/>
                <w:lang w:eastAsia="lv-LV"/>
              </w:rPr>
            </w:pPr>
            <w:r w:rsidRPr="00DA6A0E">
              <w:rPr>
                <w:rFonts w:eastAsia="Times New Roman"/>
                <w:sz w:val="28"/>
                <w:szCs w:val="28"/>
                <w:lang w:eastAsia="lv-LV"/>
              </w:rPr>
              <w:t> Projekta izpildē iesaistītās institūcijas</w:t>
            </w:r>
          </w:p>
        </w:tc>
        <w:tc>
          <w:tcPr>
            <w:tcW w:w="5604" w:type="dxa"/>
            <w:hideMark/>
          </w:tcPr>
          <w:p w:rsidR="007A535D" w:rsidRPr="00DA6A0E" w:rsidRDefault="00C40932" w:rsidP="005A196B">
            <w:pPr>
              <w:spacing w:after="100" w:afterAutospacing="1"/>
              <w:ind w:firstLine="335"/>
              <w:rPr>
                <w:rFonts w:eastAsia="Times New Roman"/>
                <w:sz w:val="28"/>
                <w:szCs w:val="28"/>
                <w:lang w:eastAsia="lv-LV"/>
              </w:rPr>
            </w:pPr>
            <w:r w:rsidRPr="00DA6A0E">
              <w:rPr>
                <w:rFonts w:eastAsia="Times New Roman"/>
                <w:sz w:val="28"/>
                <w:szCs w:val="28"/>
                <w:lang w:eastAsia="lv-LV"/>
              </w:rPr>
              <w:t>P</w:t>
            </w:r>
            <w:r w:rsidRPr="00DA6A0E">
              <w:rPr>
                <w:sz w:val="28"/>
                <w:szCs w:val="28"/>
              </w:rPr>
              <w:t>rojekts šo jomu neskar.</w:t>
            </w:r>
          </w:p>
        </w:tc>
      </w:tr>
      <w:tr w:rsidR="007A535D" w:rsidRPr="00DA6A0E" w:rsidTr="00C95285">
        <w:trPr>
          <w:trHeight w:val="463"/>
        </w:trPr>
        <w:tc>
          <w:tcPr>
            <w:tcW w:w="506" w:type="dxa"/>
            <w:hideMark/>
          </w:tcPr>
          <w:p w:rsidR="007A535D" w:rsidRPr="00DA6A0E" w:rsidRDefault="007A535D" w:rsidP="005A196B">
            <w:pPr>
              <w:spacing w:before="100" w:beforeAutospacing="1" w:after="100" w:afterAutospacing="1"/>
              <w:rPr>
                <w:rFonts w:eastAsia="Times New Roman"/>
                <w:sz w:val="28"/>
                <w:szCs w:val="28"/>
                <w:lang w:eastAsia="lv-LV"/>
              </w:rPr>
            </w:pPr>
            <w:r w:rsidRPr="00DA6A0E">
              <w:rPr>
                <w:rFonts w:eastAsia="Times New Roman"/>
                <w:sz w:val="28"/>
                <w:szCs w:val="28"/>
                <w:lang w:eastAsia="lv-LV"/>
              </w:rPr>
              <w:t> 2.</w:t>
            </w:r>
          </w:p>
        </w:tc>
        <w:tc>
          <w:tcPr>
            <w:tcW w:w="3413" w:type="dxa"/>
            <w:gridSpan w:val="3"/>
            <w:hideMark/>
          </w:tcPr>
          <w:p w:rsidR="007A535D" w:rsidRPr="00DA6A0E" w:rsidRDefault="007A535D" w:rsidP="005A196B">
            <w:pPr>
              <w:spacing w:before="100" w:beforeAutospacing="1" w:after="100" w:afterAutospacing="1"/>
              <w:rPr>
                <w:rFonts w:eastAsia="Times New Roman"/>
                <w:sz w:val="28"/>
                <w:szCs w:val="28"/>
                <w:lang w:eastAsia="lv-LV"/>
              </w:rPr>
            </w:pPr>
            <w:r w:rsidRPr="00DA6A0E">
              <w:rPr>
                <w:rFonts w:eastAsia="Times New Roman"/>
                <w:sz w:val="28"/>
                <w:szCs w:val="28"/>
                <w:lang w:eastAsia="lv-LV"/>
              </w:rPr>
              <w:t> Projekta izpildes ietekme uz pārvaldes funkcijām</w:t>
            </w:r>
          </w:p>
        </w:tc>
        <w:tc>
          <w:tcPr>
            <w:tcW w:w="5604" w:type="dxa"/>
            <w:hideMark/>
          </w:tcPr>
          <w:p w:rsidR="007A535D" w:rsidRPr="00DA6A0E" w:rsidRDefault="00C40932" w:rsidP="005A196B">
            <w:pPr>
              <w:spacing w:before="120"/>
              <w:ind w:firstLine="335"/>
              <w:jc w:val="both"/>
              <w:rPr>
                <w:sz w:val="28"/>
                <w:szCs w:val="28"/>
              </w:rPr>
            </w:pPr>
            <w:r w:rsidRPr="00DA6A0E">
              <w:rPr>
                <w:rFonts w:eastAsia="Times New Roman"/>
                <w:sz w:val="28"/>
                <w:szCs w:val="28"/>
                <w:lang w:eastAsia="lv-LV"/>
              </w:rPr>
              <w:t>P</w:t>
            </w:r>
            <w:r w:rsidRPr="00DA6A0E">
              <w:rPr>
                <w:sz w:val="28"/>
                <w:szCs w:val="28"/>
              </w:rPr>
              <w:t>rojekts šo jomu neskar.</w:t>
            </w:r>
          </w:p>
        </w:tc>
      </w:tr>
      <w:tr w:rsidR="007A535D" w:rsidRPr="00DA6A0E" w:rsidTr="00C95285">
        <w:trPr>
          <w:trHeight w:val="725"/>
        </w:trPr>
        <w:tc>
          <w:tcPr>
            <w:tcW w:w="506" w:type="dxa"/>
            <w:hideMark/>
          </w:tcPr>
          <w:p w:rsidR="007A535D" w:rsidRPr="00DA6A0E" w:rsidRDefault="007A535D" w:rsidP="005A196B">
            <w:pPr>
              <w:spacing w:before="100" w:beforeAutospacing="1" w:after="100" w:afterAutospacing="1"/>
              <w:rPr>
                <w:rFonts w:eastAsia="Times New Roman"/>
                <w:sz w:val="28"/>
                <w:szCs w:val="28"/>
                <w:lang w:eastAsia="lv-LV"/>
              </w:rPr>
            </w:pPr>
            <w:r w:rsidRPr="00DA6A0E">
              <w:rPr>
                <w:rFonts w:eastAsia="Times New Roman"/>
                <w:sz w:val="28"/>
                <w:szCs w:val="28"/>
                <w:lang w:eastAsia="lv-LV"/>
              </w:rPr>
              <w:t> 3.</w:t>
            </w:r>
          </w:p>
        </w:tc>
        <w:tc>
          <w:tcPr>
            <w:tcW w:w="3413" w:type="dxa"/>
            <w:gridSpan w:val="3"/>
            <w:hideMark/>
          </w:tcPr>
          <w:p w:rsidR="007A535D" w:rsidRPr="00DA6A0E" w:rsidRDefault="007A535D" w:rsidP="005A196B">
            <w:pPr>
              <w:spacing w:before="100" w:beforeAutospacing="1" w:after="100" w:afterAutospacing="1"/>
              <w:rPr>
                <w:rFonts w:eastAsia="Times New Roman"/>
                <w:sz w:val="28"/>
                <w:szCs w:val="28"/>
                <w:lang w:eastAsia="lv-LV"/>
              </w:rPr>
            </w:pPr>
            <w:r w:rsidRPr="00DA6A0E">
              <w:rPr>
                <w:rFonts w:eastAsia="Times New Roman"/>
                <w:sz w:val="28"/>
                <w:szCs w:val="28"/>
                <w:lang w:eastAsia="lv-LV"/>
              </w:rPr>
              <w:t> Projekta izpildes ietekme uz pārvaldes institucionālo struktūru.</w:t>
            </w:r>
          </w:p>
          <w:p w:rsidR="007A535D" w:rsidRPr="00DA6A0E" w:rsidRDefault="007A535D" w:rsidP="005A196B">
            <w:pPr>
              <w:spacing w:before="100" w:beforeAutospacing="1" w:after="100" w:afterAutospacing="1"/>
              <w:rPr>
                <w:rFonts w:eastAsia="Times New Roman"/>
                <w:sz w:val="28"/>
                <w:szCs w:val="28"/>
                <w:lang w:eastAsia="lv-LV"/>
              </w:rPr>
            </w:pPr>
            <w:r w:rsidRPr="00DA6A0E">
              <w:rPr>
                <w:rFonts w:eastAsia="Times New Roman"/>
                <w:sz w:val="28"/>
                <w:szCs w:val="28"/>
                <w:lang w:eastAsia="lv-LV"/>
              </w:rPr>
              <w:t>Jaunu institūciju izveide</w:t>
            </w:r>
          </w:p>
        </w:tc>
        <w:tc>
          <w:tcPr>
            <w:tcW w:w="5604" w:type="dxa"/>
            <w:hideMark/>
          </w:tcPr>
          <w:p w:rsidR="007A535D" w:rsidRPr="00DA6A0E" w:rsidRDefault="007A535D" w:rsidP="005A196B">
            <w:pPr>
              <w:ind w:firstLine="334"/>
              <w:rPr>
                <w:rFonts w:eastAsia="Times New Roman"/>
                <w:sz w:val="28"/>
                <w:szCs w:val="28"/>
                <w:lang w:eastAsia="lv-LV"/>
              </w:rPr>
            </w:pPr>
            <w:r w:rsidRPr="00DA6A0E">
              <w:rPr>
                <w:sz w:val="28"/>
                <w:szCs w:val="28"/>
              </w:rPr>
              <w:t>Jaunu institūciju izveidi projekts neparedz.</w:t>
            </w:r>
          </w:p>
        </w:tc>
      </w:tr>
      <w:tr w:rsidR="007A535D" w:rsidRPr="00DA6A0E" w:rsidTr="00C95285">
        <w:trPr>
          <w:trHeight w:val="780"/>
        </w:trPr>
        <w:tc>
          <w:tcPr>
            <w:tcW w:w="506" w:type="dxa"/>
            <w:hideMark/>
          </w:tcPr>
          <w:p w:rsidR="007A535D" w:rsidRPr="00DA6A0E" w:rsidRDefault="007A535D" w:rsidP="005A196B">
            <w:pPr>
              <w:spacing w:before="100" w:beforeAutospacing="1" w:after="100" w:afterAutospacing="1"/>
              <w:rPr>
                <w:rFonts w:eastAsia="Times New Roman"/>
                <w:sz w:val="28"/>
                <w:szCs w:val="28"/>
                <w:lang w:eastAsia="lv-LV"/>
              </w:rPr>
            </w:pPr>
            <w:r w:rsidRPr="00DA6A0E">
              <w:rPr>
                <w:rFonts w:eastAsia="Times New Roman"/>
                <w:sz w:val="28"/>
                <w:szCs w:val="28"/>
                <w:lang w:eastAsia="lv-LV"/>
              </w:rPr>
              <w:t> 4.</w:t>
            </w:r>
          </w:p>
        </w:tc>
        <w:tc>
          <w:tcPr>
            <w:tcW w:w="3413" w:type="dxa"/>
            <w:gridSpan w:val="3"/>
            <w:hideMark/>
          </w:tcPr>
          <w:p w:rsidR="007A535D" w:rsidRPr="00DA6A0E" w:rsidRDefault="007A535D" w:rsidP="005A196B">
            <w:pPr>
              <w:spacing w:before="100" w:beforeAutospacing="1" w:after="100" w:afterAutospacing="1"/>
              <w:rPr>
                <w:rFonts w:eastAsia="Times New Roman"/>
                <w:sz w:val="28"/>
                <w:szCs w:val="28"/>
                <w:lang w:eastAsia="lv-LV"/>
              </w:rPr>
            </w:pPr>
            <w:r w:rsidRPr="00DA6A0E">
              <w:rPr>
                <w:rFonts w:eastAsia="Times New Roman"/>
                <w:sz w:val="28"/>
                <w:szCs w:val="28"/>
                <w:lang w:eastAsia="lv-LV"/>
              </w:rPr>
              <w:t> Projekta izpildes ietekme uz pārvaldes institucionālo struktūru.</w:t>
            </w:r>
          </w:p>
          <w:p w:rsidR="007A535D" w:rsidRPr="00DA6A0E" w:rsidRDefault="007A535D" w:rsidP="005A196B">
            <w:pPr>
              <w:spacing w:before="100" w:beforeAutospacing="1" w:after="100" w:afterAutospacing="1"/>
              <w:rPr>
                <w:rFonts w:eastAsia="Times New Roman"/>
                <w:sz w:val="28"/>
                <w:szCs w:val="28"/>
                <w:lang w:eastAsia="lv-LV"/>
              </w:rPr>
            </w:pPr>
            <w:r w:rsidRPr="00DA6A0E">
              <w:rPr>
                <w:rFonts w:eastAsia="Times New Roman"/>
                <w:sz w:val="28"/>
                <w:szCs w:val="28"/>
                <w:lang w:eastAsia="lv-LV"/>
              </w:rPr>
              <w:t>Esošu institūciju likvidācija</w:t>
            </w:r>
          </w:p>
        </w:tc>
        <w:tc>
          <w:tcPr>
            <w:tcW w:w="5604" w:type="dxa"/>
            <w:hideMark/>
          </w:tcPr>
          <w:p w:rsidR="007A535D" w:rsidRPr="00DA6A0E" w:rsidRDefault="007A535D" w:rsidP="005A196B">
            <w:pPr>
              <w:spacing w:before="100" w:beforeAutospacing="1" w:after="100" w:afterAutospacing="1"/>
              <w:ind w:firstLine="334"/>
              <w:jc w:val="both"/>
              <w:rPr>
                <w:rFonts w:eastAsia="Times New Roman"/>
                <w:sz w:val="28"/>
                <w:szCs w:val="28"/>
                <w:lang w:eastAsia="lv-LV"/>
              </w:rPr>
            </w:pPr>
            <w:r w:rsidRPr="00DA6A0E">
              <w:rPr>
                <w:sz w:val="28"/>
                <w:szCs w:val="28"/>
              </w:rPr>
              <w:t>Esošās institūcijas projekts neparedz likvidēt.</w:t>
            </w:r>
          </w:p>
        </w:tc>
      </w:tr>
      <w:tr w:rsidR="007A535D" w:rsidRPr="00DA6A0E" w:rsidTr="00C95285">
        <w:trPr>
          <w:trHeight w:val="703"/>
        </w:trPr>
        <w:tc>
          <w:tcPr>
            <w:tcW w:w="506" w:type="dxa"/>
            <w:hideMark/>
          </w:tcPr>
          <w:p w:rsidR="007A535D" w:rsidRPr="00DA6A0E" w:rsidRDefault="007A535D" w:rsidP="005A196B">
            <w:pPr>
              <w:spacing w:before="100" w:beforeAutospacing="1" w:after="100" w:afterAutospacing="1"/>
              <w:rPr>
                <w:rFonts w:eastAsia="Times New Roman"/>
                <w:sz w:val="28"/>
                <w:szCs w:val="28"/>
                <w:lang w:eastAsia="lv-LV"/>
              </w:rPr>
            </w:pPr>
            <w:r w:rsidRPr="00DA6A0E">
              <w:rPr>
                <w:rFonts w:eastAsia="Times New Roman"/>
                <w:sz w:val="28"/>
                <w:szCs w:val="28"/>
                <w:lang w:eastAsia="lv-LV"/>
              </w:rPr>
              <w:t> 5.</w:t>
            </w:r>
          </w:p>
        </w:tc>
        <w:tc>
          <w:tcPr>
            <w:tcW w:w="3413" w:type="dxa"/>
            <w:gridSpan w:val="3"/>
            <w:hideMark/>
          </w:tcPr>
          <w:p w:rsidR="007A535D" w:rsidRPr="00DA6A0E" w:rsidRDefault="007A535D" w:rsidP="005A196B">
            <w:pPr>
              <w:spacing w:before="100" w:beforeAutospacing="1" w:after="100" w:afterAutospacing="1"/>
              <w:rPr>
                <w:rFonts w:eastAsia="Times New Roman"/>
                <w:sz w:val="28"/>
                <w:szCs w:val="28"/>
                <w:lang w:eastAsia="lv-LV"/>
              </w:rPr>
            </w:pPr>
            <w:r w:rsidRPr="00DA6A0E">
              <w:rPr>
                <w:rFonts w:eastAsia="Times New Roman"/>
                <w:sz w:val="28"/>
                <w:szCs w:val="28"/>
                <w:lang w:eastAsia="lv-LV"/>
              </w:rPr>
              <w:t> Projekta izpildes ietekme uz pārvaldes institucionālo struktūru.</w:t>
            </w:r>
          </w:p>
          <w:p w:rsidR="007A535D" w:rsidRPr="00DA6A0E" w:rsidRDefault="007A535D" w:rsidP="005A196B">
            <w:pPr>
              <w:spacing w:before="100" w:beforeAutospacing="1" w:after="100" w:afterAutospacing="1"/>
              <w:rPr>
                <w:rFonts w:eastAsia="Times New Roman"/>
                <w:sz w:val="28"/>
                <w:szCs w:val="28"/>
                <w:lang w:eastAsia="lv-LV"/>
              </w:rPr>
            </w:pPr>
            <w:r w:rsidRPr="00DA6A0E">
              <w:rPr>
                <w:rFonts w:eastAsia="Times New Roman"/>
                <w:sz w:val="28"/>
                <w:szCs w:val="28"/>
                <w:lang w:eastAsia="lv-LV"/>
              </w:rPr>
              <w:t>Esošu institūciju reorganizācija</w:t>
            </w:r>
          </w:p>
        </w:tc>
        <w:tc>
          <w:tcPr>
            <w:tcW w:w="5604" w:type="dxa"/>
            <w:hideMark/>
          </w:tcPr>
          <w:p w:rsidR="007A535D" w:rsidRPr="00DA6A0E" w:rsidRDefault="007A535D" w:rsidP="005A196B">
            <w:pPr>
              <w:spacing w:before="100" w:beforeAutospacing="1" w:after="100" w:afterAutospacing="1"/>
              <w:ind w:firstLine="334"/>
              <w:jc w:val="both"/>
              <w:rPr>
                <w:rFonts w:eastAsia="Times New Roman"/>
                <w:sz w:val="28"/>
                <w:szCs w:val="28"/>
                <w:lang w:eastAsia="lv-LV"/>
              </w:rPr>
            </w:pPr>
            <w:r w:rsidRPr="00DA6A0E">
              <w:rPr>
                <w:sz w:val="28"/>
                <w:szCs w:val="28"/>
              </w:rPr>
              <w:t>Esošās institūcijas projekts neparedz reorganizēt.</w:t>
            </w:r>
          </w:p>
        </w:tc>
      </w:tr>
      <w:tr w:rsidR="007A535D" w:rsidRPr="00DA6A0E" w:rsidTr="00C95285">
        <w:trPr>
          <w:trHeight w:val="476"/>
        </w:trPr>
        <w:tc>
          <w:tcPr>
            <w:tcW w:w="506" w:type="dxa"/>
            <w:hideMark/>
          </w:tcPr>
          <w:p w:rsidR="007A535D" w:rsidRPr="00DA6A0E" w:rsidRDefault="007A535D" w:rsidP="005A196B">
            <w:pPr>
              <w:spacing w:before="100" w:beforeAutospacing="1" w:after="100" w:afterAutospacing="1"/>
              <w:rPr>
                <w:rFonts w:eastAsia="Times New Roman"/>
                <w:sz w:val="28"/>
                <w:szCs w:val="28"/>
                <w:lang w:eastAsia="lv-LV"/>
              </w:rPr>
            </w:pPr>
            <w:r w:rsidRPr="00DA6A0E">
              <w:rPr>
                <w:rFonts w:eastAsia="Times New Roman"/>
                <w:sz w:val="28"/>
                <w:szCs w:val="28"/>
                <w:lang w:eastAsia="lv-LV"/>
              </w:rPr>
              <w:t> 6.</w:t>
            </w:r>
          </w:p>
        </w:tc>
        <w:tc>
          <w:tcPr>
            <w:tcW w:w="3413" w:type="dxa"/>
            <w:gridSpan w:val="3"/>
            <w:hideMark/>
          </w:tcPr>
          <w:p w:rsidR="007A535D" w:rsidRPr="00DA6A0E" w:rsidRDefault="007A535D" w:rsidP="005A196B">
            <w:pPr>
              <w:rPr>
                <w:rFonts w:eastAsia="Times New Roman"/>
                <w:sz w:val="28"/>
                <w:szCs w:val="28"/>
                <w:lang w:eastAsia="lv-LV"/>
              </w:rPr>
            </w:pPr>
            <w:r w:rsidRPr="00DA6A0E">
              <w:rPr>
                <w:rFonts w:eastAsia="Times New Roman"/>
                <w:sz w:val="28"/>
                <w:szCs w:val="28"/>
                <w:lang w:eastAsia="lv-LV"/>
              </w:rPr>
              <w:t> Cita informācija</w:t>
            </w:r>
          </w:p>
        </w:tc>
        <w:tc>
          <w:tcPr>
            <w:tcW w:w="5604" w:type="dxa"/>
            <w:hideMark/>
          </w:tcPr>
          <w:p w:rsidR="007A535D" w:rsidRPr="00DA6A0E" w:rsidRDefault="007A535D" w:rsidP="005A196B">
            <w:pPr>
              <w:rPr>
                <w:rFonts w:eastAsia="Times New Roman"/>
                <w:sz w:val="28"/>
                <w:szCs w:val="28"/>
                <w:lang w:eastAsia="lv-LV"/>
              </w:rPr>
            </w:pPr>
            <w:r w:rsidRPr="00DA6A0E">
              <w:rPr>
                <w:rFonts w:eastAsia="Times New Roman"/>
                <w:sz w:val="28"/>
                <w:szCs w:val="28"/>
                <w:lang w:eastAsia="lv-LV"/>
              </w:rPr>
              <w:t>Nav.</w:t>
            </w:r>
          </w:p>
        </w:tc>
      </w:tr>
    </w:tbl>
    <w:p w:rsidR="007A535D" w:rsidRPr="00DA6A0E" w:rsidRDefault="007A535D" w:rsidP="005A196B">
      <w:pPr>
        <w:rPr>
          <w:rFonts w:eastAsia="Times New Roman"/>
          <w:szCs w:val="28"/>
          <w:lang w:eastAsia="lv-LV"/>
        </w:rPr>
      </w:pPr>
    </w:p>
    <w:p w:rsidR="007A535D" w:rsidRPr="00DA6A0E" w:rsidRDefault="007A535D" w:rsidP="005A196B">
      <w:pPr>
        <w:rPr>
          <w:rFonts w:eastAsia="Times New Roman"/>
          <w:szCs w:val="28"/>
          <w:lang w:eastAsia="lv-LV"/>
        </w:rPr>
      </w:pPr>
      <w:r w:rsidRPr="00DA6A0E">
        <w:rPr>
          <w:rFonts w:eastAsia="Times New Roman"/>
          <w:szCs w:val="28"/>
          <w:lang w:eastAsia="lv-LV"/>
        </w:rPr>
        <w:t> Anotācijas III, IV, V un VI sadaļa – projekts šīs jomas neskar.</w:t>
      </w:r>
    </w:p>
    <w:p w:rsidR="007A535D" w:rsidRPr="00DA6A0E" w:rsidRDefault="007A535D" w:rsidP="005A196B">
      <w:pPr>
        <w:rPr>
          <w:rFonts w:eastAsia="Times New Roman"/>
          <w:szCs w:val="28"/>
          <w:lang w:eastAsia="lv-LV"/>
        </w:rPr>
      </w:pPr>
    </w:p>
    <w:p w:rsidR="007A535D" w:rsidRPr="00DA6A0E" w:rsidRDefault="00AC36E6" w:rsidP="005A196B">
      <w:pPr>
        <w:jc w:val="both"/>
        <w:rPr>
          <w:rFonts w:eastAsia="Times New Roman"/>
          <w:szCs w:val="28"/>
          <w:lang w:eastAsia="lv-LV"/>
        </w:rPr>
      </w:pPr>
      <w:r w:rsidRPr="00DA6A0E">
        <w:rPr>
          <w:rFonts w:eastAsia="Times New Roman"/>
          <w:szCs w:val="28"/>
          <w:lang w:eastAsia="lv-LV"/>
        </w:rPr>
        <w:t>Finanšu</w:t>
      </w:r>
      <w:r w:rsidR="007A535D" w:rsidRPr="00DA6A0E">
        <w:rPr>
          <w:rFonts w:eastAsia="Times New Roman"/>
          <w:szCs w:val="28"/>
          <w:lang w:eastAsia="lv-LV"/>
        </w:rPr>
        <w:t xml:space="preserve"> ministrs</w:t>
      </w:r>
      <w:r w:rsidR="007A535D" w:rsidRPr="00DA6A0E">
        <w:rPr>
          <w:rFonts w:eastAsia="Times New Roman"/>
          <w:szCs w:val="28"/>
          <w:lang w:eastAsia="lv-LV"/>
        </w:rPr>
        <w:tab/>
      </w:r>
      <w:r w:rsidR="007A535D" w:rsidRPr="00DA6A0E">
        <w:rPr>
          <w:rFonts w:eastAsia="Times New Roman"/>
          <w:szCs w:val="28"/>
          <w:lang w:eastAsia="lv-LV"/>
        </w:rPr>
        <w:tab/>
      </w:r>
      <w:r w:rsidR="007A535D" w:rsidRPr="00DA6A0E">
        <w:rPr>
          <w:rFonts w:eastAsia="Times New Roman"/>
          <w:szCs w:val="28"/>
          <w:lang w:eastAsia="lv-LV"/>
        </w:rPr>
        <w:tab/>
      </w:r>
      <w:r w:rsidR="007A535D" w:rsidRPr="00DA6A0E">
        <w:rPr>
          <w:rFonts w:eastAsia="Times New Roman"/>
          <w:szCs w:val="28"/>
          <w:lang w:eastAsia="lv-LV"/>
        </w:rPr>
        <w:tab/>
      </w:r>
      <w:r w:rsidR="007A535D" w:rsidRPr="00DA6A0E">
        <w:rPr>
          <w:rFonts w:eastAsia="Times New Roman"/>
          <w:szCs w:val="28"/>
          <w:lang w:eastAsia="lv-LV"/>
        </w:rPr>
        <w:tab/>
      </w:r>
      <w:r w:rsidR="007A535D" w:rsidRPr="00DA6A0E">
        <w:rPr>
          <w:rFonts w:eastAsia="Times New Roman"/>
          <w:szCs w:val="28"/>
          <w:lang w:eastAsia="lv-LV"/>
        </w:rPr>
        <w:tab/>
      </w:r>
      <w:r w:rsidR="007A535D" w:rsidRPr="00DA6A0E">
        <w:rPr>
          <w:rFonts w:eastAsia="Times New Roman"/>
          <w:szCs w:val="28"/>
          <w:lang w:eastAsia="lv-LV"/>
        </w:rPr>
        <w:tab/>
      </w:r>
      <w:r w:rsidR="007A535D" w:rsidRPr="00DA6A0E">
        <w:rPr>
          <w:rFonts w:eastAsia="Times New Roman"/>
          <w:szCs w:val="28"/>
          <w:lang w:eastAsia="lv-LV"/>
        </w:rPr>
        <w:tab/>
      </w:r>
      <w:r w:rsidRPr="00DA6A0E">
        <w:rPr>
          <w:rFonts w:eastAsia="Times New Roman"/>
          <w:szCs w:val="28"/>
          <w:lang w:eastAsia="lv-LV"/>
        </w:rPr>
        <w:t>A.Vilks</w:t>
      </w:r>
    </w:p>
    <w:p w:rsidR="00A54294" w:rsidRPr="00DA6A0E" w:rsidRDefault="00A54294" w:rsidP="005A196B">
      <w:pPr>
        <w:ind w:left="-284" w:firstLine="284"/>
        <w:jc w:val="both"/>
        <w:rPr>
          <w:rFonts w:eastAsia="Times New Roman"/>
          <w:szCs w:val="28"/>
          <w:lang w:eastAsia="lv-LV"/>
        </w:rPr>
      </w:pPr>
    </w:p>
    <w:p w:rsidR="00A54294" w:rsidRPr="00DA6A0E" w:rsidRDefault="00A54294" w:rsidP="005A196B">
      <w:pPr>
        <w:ind w:left="-284" w:firstLine="284"/>
        <w:jc w:val="both"/>
        <w:rPr>
          <w:rFonts w:eastAsia="Times New Roman"/>
          <w:szCs w:val="28"/>
          <w:lang w:eastAsia="lv-LV"/>
        </w:rPr>
      </w:pPr>
    </w:p>
    <w:p w:rsidR="007A535D" w:rsidRPr="00DA6A0E" w:rsidRDefault="008A0519" w:rsidP="005A196B">
      <w:pPr>
        <w:ind w:left="-284" w:firstLine="284"/>
        <w:jc w:val="both"/>
        <w:rPr>
          <w:sz w:val="20"/>
          <w:szCs w:val="20"/>
        </w:rPr>
      </w:pPr>
      <w:r w:rsidRPr="00DA6A0E">
        <w:rPr>
          <w:sz w:val="20"/>
          <w:szCs w:val="20"/>
          <w:lang w:val="sv-SE"/>
        </w:rPr>
        <w:t>1</w:t>
      </w:r>
      <w:r w:rsidR="00616B5D">
        <w:rPr>
          <w:sz w:val="20"/>
          <w:szCs w:val="20"/>
          <w:lang w:val="sv-SE"/>
        </w:rPr>
        <w:t>6.04</w:t>
      </w:r>
      <w:r w:rsidR="00AC36E6" w:rsidRPr="00DA6A0E">
        <w:rPr>
          <w:sz w:val="20"/>
          <w:szCs w:val="20"/>
          <w:lang w:val="sv-SE"/>
        </w:rPr>
        <w:t>.2013</w:t>
      </w:r>
      <w:r w:rsidR="00F470EE">
        <w:rPr>
          <w:sz w:val="20"/>
          <w:szCs w:val="20"/>
          <w:lang w:val="sv-SE"/>
        </w:rPr>
        <w:t>. 16</w:t>
      </w:r>
      <w:r w:rsidR="007A535D" w:rsidRPr="00DA6A0E">
        <w:rPr>
          <w:sz w:val="20"/>
          <w:szCs w:val="20"/>
          <w:lang w:val="sv-SE"/>
        </w:rPr>
        <w:t>:</w:t>
      </w:r>
      <w:r w:rsidR="00616B5D">
        <w:rPr>
          <w:sz w:val="20"/>
          <w:szCs w:val="20"/>
          <w:lang w:val="sv-SE"/>
        </w:rPr>
        <w:t>15</w:t>
      </w:r>
    </w:p>
    <w:p w:rsidR="007A535D" w:rsidRPr="00DA6A0E" w:rsidRDefault="00F470EE" w:rsidP="005A196B">
      <w:pPr>
        <w:ind w:left="-284" w:firstLine="284"/>
        <w:jc w:val="both"/>
        <w:rPr>
          <w:sz w:val="20"/>
          <w:szCs w:val="20"/>
        </w:rPr>
      </w:pPr>
      <w:r>
        <w:rPr>
          <w:sz w:val="20"/>
          <w:szCs w:val="20"/>
        </w:rPr>
        <w:t>560</w:t>
      </w:r>
      <w:r w:rsidR="00E170B6" w:rsidRPr="00DA6A0E">
        <w:rPr>
          <w:sz w:val="20"/>
          <w:szCs w:val="20"/>
        </w:rPr>
        <w:t xml:space="preserve">                                                                                                                                                                                                                                                                                                                                                                                                         </w:t>
      </w:r>
    </w:p>
    <w:p w:rsidR="007A535D" w:rsidRPr="00DA6A0E" w:rsidRDefault="00B176DD" w:rsidP="005A196B">
      <w:pPr>
        <w:ind w:left="-284" w:firstLine="284"/>
        <w:jc w:val="both"/>
        <w:rPr>
          <w:sz w:val="20"/>
          <w:szCs w:val="20"/>
        </w:rPr>
      </w:pPr>
      <w:r w:rsidRPr="00DA6A0E">
        <w:rPr>
          <w:sz w:val="20"/>
          <w:szCs w:val="20"/>
        </w:rPr>
        <w:t>I.Lipov</w:t>
      </w:r>
      <w:r w:rsidR="00AC36E6" w:rsidRPr="00DA6A0E">
        <w:rPr>
          <w:sz w:val="20"/>
          <w:szCs w:val="20"/>
        </w:rPr>
        <w:t>ska</w:t>
      </w:r>
    </w:p>
    <w:p w:rsidR="007E531F" w:rsidRPr="00570818" w:rsidRDefault="007A535D" w:rsidP="00A54294">
      <w:pPr>
        <w:pStyle w:val="HTMLPreformatted"/>
        <w:jc w:val="both"/>
      </w:pPr>
      <w:r w:rsidRPr="00DA6A0E">
        <w:rPr>
          <w:rFonts w:ascii="Times New Roman" w:hAnsi="Times New Roman" w:cs="Times New Roman"/>
        </w:rPr>
        <w:t>670</w:t>
      </w:r>
      <w:r w:rsidR="00AC36E6" w:rsidRPr="00DA6A0E">
        <w:rPr>
          <w:rFonts w:ascii="Times New Roman" w:hAnsi="Times New Roman" w:cs="Times New Roman"/>
        </w:rPr>
        <w:t>83965</w:t>
      </w:r>
      <w:r w:rsidRPr="00DA6A0E">
        <w:rPr>
          <w:rFonts w:ascii="Times New Roman" w:hAnsi="Times New Roman" w:cs="Times New Roman"/>
        </w:rPr>
        <w:t xml:space="preserve">, </w:t>
      </w:r>
      <w:r w:rsidR="00AC36E6" w:rsidRPr="00DA6A0E">
        <w:rPr>
          <w:rFonts w:ascii="Times New Roman" w:hAnsi="Times New Roman" w:cs="Times New Roman"/>
        </w:rPr>
        <w:t>Inta.Lipvoska@f</w:t>
      </w:r>
      <w:r w:rsidRPr="00DA6A0E">
        <w:rPr>
          <w:rFonts w:ascii="Times New Roman" w:hAnsi="Times New Roman" w:cs="Times New Roman"/>
        </w:rPr>
        <w:t>m.gov.lv</w:t>
      </w:r>
    </w:p>
    <w:sectPr w:rsidR="007E531F" w:rsidRPr="00570818" w:rsidSect="00381B75">
      <w:headerReference w:type="default" r:id="rId10"/>
      <w:footerReference w:type="default" r:id="rId11"/>
      <w:footerReference w:type="first" r:id="rId12"/>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494" w:rsidRDefault="00AE5494" w:rsidP="00121F2E">
      <w:r>
        <w:separator/>
      </w:r>
    </w:p>
  </w:endnote>
  <w:endnote w:type="continuationSeparator" w:id="0">
    <w:p w:rsidR="00AE5494" w:rsidRDefault="00AE5494" w:rsidP="0012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RimTimes">
    <w:altName w:val="Times New Roman"/>
    <w:panose1 w:val="02020603060505020304"/>
    <w:charset w:val="00"/>
    <w:family w:val="auto"/>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0EE" w:rsidRPr="005A196B" w:rsidRDefault="00F470EE" w:rsidP="00F470EE">
    <w:pPr>
      <w:pStyle w:val="Heading2"/>
      <w:jc w:val="both"/>
      <w:rPr>
        <w:rFonts w:ascii="Times New Roman" w:hAnsi="Times New Roman"/>
        <w:b w:val="0"/>
        <w:lang w:val="lv-LV"/>
      </w:rPr>
    </w:pPr>
    <w:r>
      <w:rPr>
        <w:rFonts w:ascii="Times New Roman" w:hAnsi="Times New Roman"/>
        <w:b w:val="0"/>
      </w:rPr>
      <w:t>FMAnot_150313_davina</w:t>
    </w:r>
    <w:r w:rsidRPr="005A196B">
      <w:rPr>
        <w:rFonts w:ascii="Times New Roman" w:hAnsi="Times New Roman"/>
        <w:b w:val="0"/>
      </w:rPr>
      <w:t xml:space="preserve">jums; </w:t>
    </w:r>
    <w:r w:rsidRPr="005A196B">
      <w:rPr>
        <w:rFonts w:ascii="Times New Roman" w:hAnsi="Times New Roman"/>
        <w:b w:val="0"/>
        <w:lang w:val="lv-LV"/>
      </w:rPr>
      <w:t xml:space="preserve">Ministru kabineta noteikumu projekta „Noteikumi par publiskas personas finanšu līdzekļu un mantas dāvinājuma (ziedojuma) līgumu” sākotnējās ietekmes novērtējuma </w:t>
    </w:r>
    <w:smartTag w:uri="schemas-tilde-lv/tildestengine" w:element="veidnes">
      <w:smartTagPr>
        <w:attr w:name="baseform" w:val="ziņojum|s"/>
        <w:attr w:name="id" w:val="-1"/>
        <w:attr w:name="text" w:val="ziņojums"/>
      </w:smartTagPr>
      <w:r w:rsidRPr="005A196B">
        <w:rPr>
          <w:rFonts w:ascii="Times New Roman" w:hAnsi="Times New Roman"/>
          <w:b w:val="0"/>
          <w:lang w:val="lv-LV"/>
        </w:rPr>
        <w:t>ziņojums</w:t>
      </w:r>
    </w:smartTag>
    <w:r w:rsidRPr="005A196B">
      <w:rPr>
        <w:rFonts w:ascii="Times New Roman" w:hAnsi="Times New Roman"/>
        <w:b w:val="0"/>
        <w:lang w:val="lv-LV"/>
      </w:rPr>
      <w:t xml:space="preserve"> (anotācija)</w:t>
    </w:r>
  </w:p>
  <w:p w:rsidR="00B176DD" w:rsidRDefault="00B176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96B" w:rsidRPr="005A196B" w:rsidRDefault="00F470EE" w:rsidP="005A196B">
    <w:pPr>
      <w:pStyle w:val="Heading2"/>
      <w:jc w:val="both"/>
      <w:rPr>
        <w:rFonts w:ascii="Times New Roman" w:hAnsi="Times New Roman"/>
        <w:b w:val="0"/>
        <w:lang w:val="lv-LV"/>
      </w:rPr>
    </w:pPr>
    <w:r>
      <w:rPr>
        <w:rFonts w:ascii="Times New Roman" w:hAnsi="Times New Roman"/>
        <w:b w:val="0"/>
      </w:rPr>
      <w:t>FMAnot_150313_davina</w:t>
    </w:r>
    <w:r w:rsidR="005A196B" w:rsidRPr="005A196B">
      <w:rPr>
        <w:rFonts w:ascii="Times New Roman" w:hAnsi="Times New Roman"/>
        <w:b w:val="0"/>
      </w:rPr>
      <w:t xml:space="preserve">jums; </w:t>
    </w:r>
    <w:r w:rsidR="005A196B" w:rsidRPr="005A196B">
      <w:rPr>
        <w:rFonts w:ascii="Times New Roman" w:hAnsi="Times New Roman"/>
        <w:b w:val="0"/>
        <w:lang w:val="lv-LV"/>
      </w:rPr>
      <w:t xml:space="preserve">Ministru kabineta noteikumu projekta „Noteikumi par publiskas personas finanšu līdzekļu un mantas dāvinājuma (ziedojuma) līgumu” sākotnējās ietekmes novērtējuma </w:t>
    </w:r>
    <w:smartTag w:uri="schemas-tilde-lv/tildestengine" w:element="veidnes">
      <w:smartTagPr>
        <w:attr w:name="baseform" w:val="ziņojum|s"/>
        <w:attr w:name="id" w:val="-1"/>
        <w:attr w:name="text" w:val="ziņojums"/>
      </w:smartTagPr>
      <w:r w:rsidR="005A196B" w:rsidRPr="005A196B">
        <w:rPr>
          <w:rFonts w:ascii="Times New Roman" w:hAnsi="Times New Roman"/>
          <w:b w:val="0"/>
          <w:lang w:val="lv-LV"/>
        </w:rPr>
        <w:t>ziņojums</w:t>
      </w:r>
    </w:smartTag>
    <w:r w:rsidR="005A196B" w:rsidRPr="005A196B">
      <w:rPr>
        <w:rFonts w:ascii="Times New Roman" w:hAnsi="Times New Roman"/>
        <w:b w:val="0"/>
        <w:lang w:val="lv-LV"/>
      </w:rPr>
      <w:t xml:space="preserve"> (anotācija)</w:t>
    </w:r>
  </w:p>
  <w:p w:rsidR="005A196B" w:rsidRPr="00D111F3" w:rsidRDefault="005A196B" w:rsidP="005A196B">
    <w:pPr>
      <w:jc w:val="both"/>
      <w:rPr>
        <w:sz w:val="20"/>
        <w:szCs w:val="20"/>
      </w:rPr>
    </w:pPr>
  </w:p>
  <w:p w:rsidR="00AC36E6" w:rsidRDefault="00AC36E6">
    <w:pPr>
      <w:pStyle w:val="Footer"/>
    </w:pPr>
  </w:p>
  <w:p w:rsidR="00AC36E6" w:rsidRDefault="00AC36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494" w:rsidRDefault="00AE5494" w:rsidP="00121F2E">
      <w:r>
        <w:separator/>
      </w:r>
    </w:p>
  </w:footnote>
  <w:footnote w:type="continuationSeparator" w:id="0">
    <w:p w:rsidR="00AE5494" w:rsidRDefault="00AE5494" w:rsidP="00121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B75" w:rsidRDefault="00381B75">
    <w:pPr>
      <w:pStyle w:val="Header"/>
      <w:jc w:val="center"/>
    </w:pPr>
    <w:r>
      <w:fldChar w:fldCharType="begin"/>
    </w:r>
    <w:r>
      <w:instrText xml:space="preserve"> PAGE   \* MERGEFORMAT </w:instrText>
    </w:r>
    <w:r>
      <w:fldChar w:fldCharType="separate"/>
    </w:r>
    <w:r w:rsidR="00FE7E00">
      <w:rPr>
        <w:noProof/>
      </w:rPr>
      <w:t>2</w:t>
    </w:r>
    <w:r>
      <w:fldChar w:fldCharType="end"/>
    </w:r>
  </w:p>
  <w:p w:rsidR="00381B75" w:rsidRDefault="00381B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B1765"/>
    <w:multiLevelType w:val="hybridMultilevel"/>
    <w:tmpl w:val="82A0B376"/>
    <w:lvl w:ilvl="0" w:tplc="0426000B">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
    <w:nsid w:val="59D45CC1"/>
    <w:multiLevelType w:val="hybridMultilevel"/>
    <w:tmpl w:val="A0D4887A"/>
    <w:lvl w:ilvl="0" w:tplc="3C4484BC">
      <w:start w:val="1"/>
      <w:numFmt w:val="decimal"/>
      <w:lvlText w:val="%1)"/>
      <w:lvlJc w:val="left"/>
      <w:pPr>
        <w:ind w:left="987" w:hanging="360"/>
      </w:pPr>
      <w:rPr>
        <w:rFonts w:hint="default"/>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ērziņa Inga">
    <w15:presenceInfo w15:providerId="None" w15:userId="Bērziņa In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657"/>
    <w:rsid w:val="00066849"/>
    <w:rsid w:val="000740E0"/>
    <w:rsid w:val="000776CB"/>
    <w:rsid w:val="00082104"/>
    <w:rsid w:val="000F1D11"/>
    <w:rsid w:val="00121F2E"/>
    <w:rsid w:val="00157738"/>
    <w:rsid w:val="001718F5"/>
    <w:rsid w:val="00177C1F"/>
    <w:rsid w:val="00183450"/>
    <w:rsid w:val="001A601E"/>
    <w:rsid w:val="00201FF9"/>
    <w:rsid w:val="0023006F"/>
    <w:rsid w:val="00242122"/>
    <w:rsid w:val="00257A43"/>
    <w:rsid w:val="002B0060"/>
    <w:rsid w:val="002C62A3"/>
    <w:rsid w:val="002C74FE"/>
    <w:rsid w:val="0034520A"/>
    <w:rsid w:val="00357588"/>
    <w:rsid w:val="0037309B"/>
    <w:rsid w:val="00381B75"/>
    <w:rsid w:val="003849A5"/>
    <w:rsid w:val="0039414C"/>
    <w:rsid w:val="003A00B2"/>
    <w:rsid w:val="003D6592"/>
    <w:rsid w:val="00411425"/>
    <w:rsid w:val="00440ADF"/>
    <w:rsid w:val="00454C6E"/>
    <w:rsid w:val="004C133A"/>
    <w:rsid w:val="004E7BAC"/>
    <w:rsid w:val="005009F4"/>
    <w:rsid w:val="00505A29"/>
    <w:rsid w:val="005066F3"/>
    <w:rsid w:val="00523C80"/>
    <w:rsid w:val="005421D4"/>
    <w:rsid w:val="0055795B"/>
    <w:rsid w:val="00570818"/>
    <w:rsid w:val="005A196B"/>
    <w:rsid w:val="005A2BB4"/>
    <w:rsid w:val="005D208D"/>
    <w:rsid w:val="005D49E4"/>
    <w:rsid w:val="00616B5D"/>
    <w:rsid w:val="006B3732"/>
    <w:rsid w:val="006E0B06"/>
    <w:rsid w:val="006E1209"/>
    <w:rsid w:val="0070378A"/>
    <w:rsid w:val="00753BB3"/>
    <w:rsid w:val="00793657"/>
    <w:rsid w:val="007A535D"/>
    <w:rsid w:val="007E531F"/>
    <w:rsid w:val="008A0519"/>
    <w:rsid w:val="009003E4"/>
    <w:rsid w:val="009175C6"/>
    <w:rsid w:val="00967E24"/>
    <w:rsid w:val="009A0EAB"/>
    <w:rsid w:val="009B309B"/>
    <w:rsid w:val="00A30594"/>
    <w:rsid w:val="00A31C61"/>
    <w:rsid w:val="00A54294"/>
    <w:rsid w:val="00A7747F"/>
    <w:rsid w:val="00AB6C1E"/>
    <w:rsid w:val="00AC1D58"/>
    <w:rsid w:val="00AC36E6"/>
    <w:rsid w:val="00AD7364"/>
    <w:rsid w:val="00AE36B7"/>
    <w:rsid w:val="00AE5494"/>
    <w:rsid w:val="00AF43DD"/>
    <w:rsid w:val="00AF6A48"/>
    <w:rsid w:val="00B176DD"/>
    <w:rsid w:val="00B36957"/>
    <w:rsid w:val="00B60588"/>
    <w:rsid w:val="00B71B66"/>
    <w:rsid w:val="00BD47A3"/>
    <w:rsid w:val="00BE08D1"/>
    <w:rsid w:val="00C13F5B"/>
    <w:rsid w:val="00C245FE"/>
    <w:rsid w:val="00C40932"/>
    <w:rsid w:val="00C732A0"/>
    <w:rsid w:val="00C94501"/>
    <w:rsid w:val="00CE2C5B"/>
    <w:rsid w:val="00CE5ADD"/>
    <w:rsid w:val="00CF1F93"/>
    <w:rsid w:val="00D412FB"/>
    <w:rsid w:val="00D4611F"/>
    <w:rsid w:val="00D91650"/>
    <w:rsid w:val="00DA6A0E"/>
    <w:rsid w:val="00E07330"/>
    <w:rsid w:val="00E170B6"/>
    <w:rsid w:val="00E436BD"/>
    <w:rsid w:val="00E629B8"/>
    <w:rsid w:val="00EC7244"/>
    <w:rsid w:val="00EE3067"/>
    <w:rsid w:val="00EF5CA4"/>
    <w:rsid w:val="00F215FA"/>
    <w:rsid w:val="00F470EE"/>
    <w:rsid w:val="00F471BB"/>
    <w:rsid w:val="00F607A0"/>
    <w:rsid w:val="00F847E7"/>
    <w:rsid w:val="00FB3C5D"/>
    <w:rsid w:val="00FE58F8"/>
    <w:rsid w:val="00FE7E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657"/>
    <w:rPr>
      <w:rFonts w:eastAsia="Calibri" w:cs="Times New Roman"/>
    </w:rPr>
  </w:style>
  <w:style w:type="paragraph" w:styleId="Heading2">
    <w:name w:val="heading 2"/>
    <w:basedOn w:val="Normal"/>
    <w:next w:val="Normal"/>
    <w:link w:val="Heading2Char"/>
    <w:unhideWhenUsed/>
    <w:qFormat/>
    <w:rsid w:val="007A535D"/>
    <w:pPr>
      <w:keepNext/>
      <w:widowControl w:val="0"/>
      <w:overflowPunct w:val="0"/>
      <w:autoSpaceDE w:val="0"/>
      <w:autoSpaceDN w:val="0"/>
      <w:adjustRightInd w:val="0"/>
      <w:outlineLvl w:val="1"/>
    </w:pPr>
    <w:rPr>
      <w:rFonts w:ascii="RimTimes" w:eastAsia="Times New Roman" w:hAnsi="RimTimes"/>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3657"/>
    <w:rPr>
      <w:rFonts w:ascii="Calibri" w:eastAsia="Calibri" w:hAnsi="Calibri" w:cs="Times New Roman"/>
      <w:sz w:val="22"/>
    </w:rPr>
  </w:style>
  <w:style w:type="paragraph" w:styleId="Header">
    <w:name w:val="header"/>
    <w:basedOn w:val="Normal"/>
    <w:link w:val="HeaderChar"/>
    <w:uiPriority w:val="99"/>
    <w:unhideWhenUsed/>
    <w:rsid w:val="00793657"/>
    <w:pPr>
      <w:tabs>
        <w:tab w:val="center" w:pos="4153"/>
        <w:tab w:val="right" w:pos="8306"/>
      </w:tabs>
    </w:pPr>
  </w:style>
  <w:style w:type="character" w:customStyle="1" w:styleId="HeaderChar">
    <w:name w:val="Header Char"/>
    <w:basedOn w:val="DefaultParagraphFont"/>
    <w:link w:val="Header"/>
    <w:uiPriority w:val="99"/>
    <w:rsid w:val="00793657"/>
    <w:rPr>
      <w:rFonts w:eastAsia="Calibri" w:cs="Times New Roman"/>
    </w:rPr>
  </w:style>
  <w:style w:type="paragraph" w:styleId="BalloonText">
    <w:name w:val="Balloon Text"/>
    <w:basedOn w:val="Normal"/>
    <w:link w:val="BalloonTextChar"/>
    <w:uiPriority w:val="99"/>
    <w:semiHidden/>
    <w:unhideWhenUsed/>
    <w:rsid w:val="007E531F"/>
    <w:rPr>
      <w:rFonts w:ascii="Tahoma" w:hAnsi="Tahoma" w:cs="Tahoma"/>
      <w:sz w:val="16"/>
      <w:szCs w:val="16"/>
    </w:rPr>
  </w:style>
  <w:style w:type="character" w:customStyle="1" w:styleId="BalloonTextChar">
    <w:name w:val="Balloon Text Char"/>
    <w:basedOn w:val="DefaultParagraphFont"/>
    <w:link w:val="BalloonText"/>
    <w:uiPriority w:val="99"/>
    <w:semiHidden/>
    <w:rsid w:val="007E531F"/>
    <w:rPr>
      <w:rFonts w:ascii="Tahoma" w:eastAsia="Calibri" w:hAnsi="Tahoma" w:cs="Tahoma"/>
      <w:sz w:val="16"/>
      <w:szCs w:val="16"/>
    </w:rPr>
  </w:style>
  <w:style w:type="paragraph" w:styleId="Footer">
    <w:name w:val="footer"/>
    <w:basedOn w:val="Normal"/>
    <w:link w:val="FooterChar"/>
    <w:uiPriority w:val="99"/>
    <w:unhideWhenUsed/>
    <w:rsid w:val="000776CB"/>
    <w:pPr>
      <w:tabs>
        <w:tab w:val="center" w:pos="4153"/>
        <w:tab w:val="right" w:pos="8306"/>
      </w:tabs>
    </w:pPr>
  </w:style>
  <w:style w:type="character" w:customStyle="1" w:styleId="FooterChar">
    <w:name w:val="Footer Char"/>
    <w:basedOn w:val="DefaultParagraphFont"/>
    <w:link w:val="Footer"/>
    <w:uiPriority w:val="99"/>
    <w:rsid w:val="000776CB"/>
    <w:rPr>
      <w:rFonts w:eastAsia="Calibri" w:cs="Times New Roman"/>
    </w:rPr>
  </w:style>
  <w:style w:type="paragraph" w:styleId="ListParagraph">
    <w:name w:val="List Paragraph"/>
    <w:basedOn w:val="Normal"/>
    <w:uiPriority w:val="34"/>
    <w:qFormat/>
    <w:rsid w:val="00CE5ADD"/>
    <w:pPr>
      <w:ind w:left="720"/>
      <w:contextualSpacing/>
    </w:pPr>
  </w:style>
  <w:style w:type="character" w:customStyle="1" w:styleId="Heading2Char">
    <w:name w:val="Heading 2 Char"/>
    <w:basedOn w:val="DefaultParagraphFont"/>
    <w:link w:val="Heading2"/>
    <w:rsid w:val="007A535D"/>
    <w:rPr>
      <w:rFonts w:ascii="RimTimes" w:eastAsia="Times New Roman" w:hAnsi="RimTimes" w:cs="Times New Roman"/>
      <w:b/>
      <w:sz w:val="20"/>
      <w:szCs w:val="20"/>
      <w:lang w:val="en-US"/>
    </w:rPr>
  </w:style>
  <w:style w:type="paragraph" w:customStyle="1" w:styleId="naiskr">
    <w:name w:val="naiskr"/>
    <w:basedOn w:val="Normal"/>
    <w:rsid w:val="007A535D"/>
    <w:pPr>
      <w:spacing w:before="100" w:beforeAutospacing="1" w:after="100" w:afterAutospacing="1"/>
    </w:pPr>
    <w:rPr>
      <w:rFonts w:eastAsia="Times New Roman"/>
      <w:sz w:val="24"/>
      <w:szCs w:val="24"/>
      <w:lang w:eastAsia="lv-LV"/>
    </w:rPr>
  </w:style>
  <w:style w:type="paragraph" w:styleId="HTMLPreformatted">
    <w:name w:val="HTML Preformatted"/>
    <w:basedOn w:val="Normal"/>
    <w:link w:val="HTMLPreformattedChar"/>
    <w:rsid w:val="007A5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7A535D"/>
    <w:rPr>
      <w:rFonts w:ascii="Courier New" w:eastAsia="Times New Roman" w:hAnsi="Courier New" w:cs="Courier New"/>
      <w:sz w:val="20"/>
      <w:szCs w:val="20"/>
      <w:lang w:eastAsia="lv-LV"/>
    </w:rPr>
  </w:style>
  <w:style w:type="table" w:styleId="TableGrid">
    <w:name w:val="Table Grid"/>
    <w:basedOn w:val="TableNormal"/>
    <w:rsid w:val="007A535D"/>
    <w:rPr>
      <w:rFonts w:cs="Times New Roman"/>
      <w:sz w:val="24"/>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A535D"/>
    <w:pPr>
      <w:spacing w:before="100" w:beforeAutospacing="1" w:after="100" w:afterAutospacing="1"/>
    </w:pPr>
    <w:rPr>
      <w:rFonts w:eastAsia="Times New Roman"/>
      <w:sz w:val="24"/>
      <w:szCs w:val="24"/>
      <w:lang w:eastAsia="lv-LV"/>
    </w:rPr>
  </w:style>
  <w:style w:type="paragraph" w:styleId="BodyText">
    <w:name w:val="Body Text"/>
    <w:basedOn w:val="Normal"/>
    <w:link w:val="BodyTextChar"/>
    <w:uiPriority w:val="99"/>
    <w:unhideWhenUsed/>
    <w:rsid w:val="007A535D"/>
    <w:pPr>
      <w:spacing w:after="120" w:line="276" w:lineRule="auto"/>
    </w:pPr>
    <w:rPr>
      <w:rFonts w:asciiTheme="minorHAnsi" w:eastAsiaTheme="minorHAnsi" w:hAnsiTheme="minorHAnsi" w:cstheme="minorBidi"/>
      <w:sz w:val="22"/>
    </w:rPr>
  </w:style>
  <w:style w:type="character" w:customStyle="1" w:styleId="BodyTextChar">
    <w:name w:val="Body Text Char"/>
    <w:basedOn w:val="DefaultParagraphFont"/>
    <w:link w:val="BodyText"/>
    <w:uiPriority w:val="99"/>
    <w:rsid w:val="007A535D"/>
    <w:rPr>
      <w:rFonts w:asciiTheme="minorHAnsi" w:hAnsiTheme="minorHAnsi"/>
      <w:sz w:val="22"/>
    </w:rPr>
  </w:style>
  <w:style w:type="paragraph" w:customStyle="1" w:styleId="naislab">
    <w:name w:val="naislab"/>
    <w:basedOn w:val="Normal"/>
    <w:rsid w:val="007A535D"/>
    <w:pPr>
      <w:spacing w:before="75" w:after="75"/>
      <w:jc w:val="right"/>
    </w:pPr>
    <w:rPr>
      <w:rFonts w:eastAsia="Times New Roman"/>
      <w:sz w:val="24"/>
      <w:szCs w:val="24"/>
      <w:lang w:eastAsia="lv-LV"/>
    </w:rPr>
  </w:style>
  <w:style w:type="character" w:styleId="Hyperlink">
    <w:name w:val="Hyperlink"/>
    <w:basedOn w:val="DefaultParagraphFont"/>
    <w:uiPriority w:val="99"/>
    <w:semiHidden/>
    <w:unhideWhenUsed/>
    <w:rsid w:val="000740E0"/>
    <w:rPr>
      <w:strike w:val="0"/>
      <w:dstrike w:val="0"/>
      <w:color w:val="40407C"/>
      <w:u w:val="none"/>
      <w:effect w:val="none"/>
    </w:rPr>
  </w:style>
  <w:style w:type="paragraph" w:customStyle="1" w:styleId="tv2131">
    <w:name w:val="tv2131"/>
    <w:basedOn w:val="Normal"/>
    <w:rsid w:val="000740E0"/>
    <w:pPr>
      <w:spacing w:before="240" w:line="360" w:lineRule="auto"/>
      <w:ind w:firstLine="300"/>
      <w:jc w:val="both"/>
    </w:pPr>
    <w:rPr>
      <w:rFonts w:ascii="Verdana" w:eastAsia="Times New Roman" w:hAnsi="Verdana"/>
      <w:sz w:val="18"/>
      <w:szCs w:val="18"/>
      <w:lang w:eastAsia="lv-LV"/>
    </w:rPr>
  </w:style>
  <w:style w:type="character" w:styleId="CommentReference">
    <w:name w:val="annotation reference"/>
    <w:basedOn w:val="DefaultParagraphFont"/>
    <w:unhideWhenUsed/>
    <w:rsid w:val="0023006F"/>
    <w:rPr>
      <w:sz w:val="16"/>
      <w:szCs w:val="16"/>
    </w:rPr>
  </w:style>
  <w:style w:type="paragraph" w:styleId="CommentText">
    <w:name w:val="annotation text"/>
    <w:basedOn w:val="Normal"/>
    <w:link w:val="CommentTextChar"/>
    <w:unhideWhenUsed/>
    <w:rsid w:val="0023006F"/>
    <w:rPr>
      <w:sz w:val="20"/>
      <w:szCs w:val="20"/>
    </w:rPr>
  </w:style>
  <w:style w:type="character" w:customStyle="1" w:styleId="CommentTextChar">
    <w:name w:val="Comment Text Char"/>
    <w:basedOn w:val="DefaultParagraphFont"/>
    <w:link w:val="CommentText"/>
    <w:rsid w:val="0023006F"/>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23006F"/>
    <w:rPr>
      <w:b/>
      <w:bCs/>
    </w:rPr>
  </w:style>
  <w:style w:type="character" w:customStyle="1" w:styleId="CommentSubjectChar">
    <w:name w:val="Comment Subject Char"/>
    <w:basedOn w:val="CommentTextChar"/>
    <w:link w:val="CommentSubject"/>
    <w:uiPriority w:val="99"/>
    <w:semiHidden/>
    <w:rsid w:val="0023006F"/>
    <w:rPr>
      <w:rFonts w:eastAsia="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657"/>
    <w:rPr>
      <w:rFonts w:eastAsia="Calibri" w:cs="Times New Roman"/>
    </w:rPr>
  </w:style>
  <w:style w:type="paragraph" w:styleId="Heading2">
    <w:name w:val="heading 2"/>
    <w:basedOn w:val="Normal"/>
    <w:next w:val="Normal"/>
    <w:link w:val="Heading2Char"/>
    <w:unhideWhenUsed/>
    <w:qFormat/>
    <w:rsid w:val="007A535D"/>
    <w:pPr>
      <w:keepNext/>
      <w:widowControl w:val="0"/>
      <w:overflowPunct w:val="0"/>
      <w:autoSpaceDE w:val="0"/>
      <w:autoSpaceDN w:val="0"/>
      <w:adjustRightInd w:val="0"/>
      <w:outlineLvl w:val="1"/>
    </w:pPr>
    <w:rPr>
      <w:rFonts w:ascii="RimTimes" w:eastAsia="Times New Roman" w:hAnsi="RimTimes"/>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3657"/>
    <w:rPr>
      <w:rFonts w:ascii="Calibri" w:eastAsia="Calibri" w:hAnsi="Calibri" w:cs="Times New Roman"/>
      <w:sz w:val="22"/>
    </w:rPr>
  </w:style>
  <w:style w:type="paragraph" w:styleId="Header">
    <w:name w:val="header"/>
    <w:basedOn w:val="Normal"/>
    <w:link w:val="HeaderChar"/>
    <w:uiPriority w:val="99"/>
    <w:unhideWhenUsed/>
    <w:rsid w:val="00793657"/>
    <w:pPr>
      <w:tabs>
        <w:tab w:val="center" w:pos="4153"/>
        <w:tab w:val="right" w:pos="8306"/>
      </w:tabs>
    </w:pPr>
  </w:style>
  <w:style w:type="character" w:customStyle="1" w:styleId="HeaderChar">
    <w:name w:val="Header Char"/>
    <w:basedOn w:val="DefaultParagraphFont"/>
    <w:link w:val="Header"/>
    <w:uiPriority w:val="99"/>
    <w:rsid w:val="00793657"/>
    <w:rPr>
      <w:rFonts w:eastAsia="Calibri" w:cs="Times New Roman"/>
    </w:rPr>
  </w:style>
  <w:style w:type="paragraph" w:styleId="BalloonText">
    <w:name w:val="Balloon Text"/>
    <w:basedOn w:val="Normal"/>
    <w:link w:val="BalloonTextChar"/>
    <w:uiPriority w:val="99"/>
    <w:semiHidden/>
    <w:unhideWhenUsed/>
    <w:rsid w:val="007E531F"/>
    <w:rPr>
      <w:rFonts w:ascii="Tahoma" w:hAnsi="Tahoma" w:cs="Tahoma"/>
      <w:sz w:val="16"/>
      <w:szCs w:val="16"/>
    </w:rPr>
  </w:style>
  <w:style w:type="character" w:customStyle="1" w:styleId="BalloonTextChar">
    <w:name w:val="Balloon Text Char"/>
    <w:basedOn w:val="DefaultParagraphFont"/>
    <w:link w:val="BalloonText"/>
    <w:uiPriority w:val="99"/>
    <w:semiHidden/>
    <w:rsid w:val="007E531F"/>
    <w:rPr>
      <w:rFonts w:ascii="Tahoma" w:eastAsia="Calibri" w:hAnsi="Tahoma" w:cs="Tahoma"/>
      <w:sz w:val="16"/>
      <w:szCs w:val="16"/>
    </w:rPr>
  </w:style>
  <w:style w:type="paragraph" w:styleId="Footer">
    <w:name w:val="footer"/>
    <w:basedOn w:val="Normal"/>
    <w:link w:val="FooterChar"/>
    <w:uiPriority w:val="99"/>
    <w:unhideWhenUsed/>
    <w:rsid w:val="000776CB"/>
    <w:pPr>
      <w:tabs>
        <w:tab w:val="center" w:pos="4153"/>
        <w:tab w:val="right" w:pos="8306"/>
      </w:tabs>
    </w:pPr>
  </w:style>
  <w:style w:type="character" w:customStyle="1" w:styleId="FooterChar">
    <w:name w:val="Footer Char"/>
    <w:basedOn w:val="DefaultParagraphFont"/>
    <w:link w:val="Footer"/>
    <w:uiPriority w:val="99"/>
    <w:rsid w:val="000776CB"/>
    <w:rPr>
      <w:rFonts w:eastAsia="Calibri" w:cs="Times New Roman"/>
    </w:rPr>
  </w:style>
  <w:style w:type="paragraph" w:styleId="ListParagraph">
    <w:name w:val="List Paragraph"/>
    <w:basedOn w:val="Normal"/>
    <w:uiPriority w:val="34"/>
    <w:qFormat/>
    <w:rsid w:val="00CE5ADD"/>
    <w:pPr>
      <w:ind w:left="720"/>
      <w:contextualSpacing/>
    </w:pPr>
  </w:style>
  <w:style w:type="character" w:customStyle="1" w:styleId="Heading2Char">
    <w:name w:val="Heading 2 Char"/>
    <w:basedOn w:val="DefaultParagraphFont"/>
    <w:link w:val="Heading2"/>
    <w:rsid w:val="007A535D"/>
    <w:rPr>
      <w:rFonts w:ascii="RimTimes" w:eastAsia="Times New Roman" w:hAnsi="RimTimes" w:cs="Times New Roman"/>
      <w:b/>
      <w:sz w:val="20"/>
      <w:szCs w:val="20"/>
      <w:lang w:val="en-US"/>
    </w:rPr>
  </w:style>
  <w:style w:type="paragraph" w:customStyle="1" w:styleId="naiskr">
    <w:name w:val="naiskr"/>
    <w:basedOn w:val="Normal"/>
    <w:rsid w:val="007A535D"/>
    <w:pPr>
      <w:spacing w:before="100" w:beforeAutospacing="1" w:after="100" w:afterAutospacing="1"/>
    </w:pPr>
    <w:rPr>
      <w:rFonts w:eastAsia="Times New Roman"/>
      <w:sz w:val="24"/>
      <w:szCs w:val="24"/>
      <w:lang w:eastAsia="lv-LV"/>
    </w:rPr>
  </w:style>
  <w:style w:type="paragraph" w:styleId="HTMLPreformatted">
    <w:name w:val="HTML Preformatted"/>
    <w:basedOn w:val="Normal"/>
    <w:link w:val="HTMLPreformattedChar"/>
    <w:rsid w:val="007A5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7A535D"/>
    <w:rPr>
      <w:rFonts w:ascii="Courier New" w:eastAsia="Times New Roman" w:hAnsi="Courier New" w:cs="Courier New"/>
      <w:sz w:val="20"/>
      <w:szCs w:val="20"/>
      <w:lang w:eastAsia="lv-LV"/>
    </w:rPr>
  </w:style>
  <w:style w:type="table" w:styleId="TableGrid">
    <w:name w:val="Table Grid"/>
    <w:basedOn w:val="TableNormal"/>
    <w:rsid w:val="007A535D"/>
    <w:rPr>
      <w:rFonts w:cs="Times New Roman"/>
      <w:sz w:val="24"/>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A535D"/>
    <w:pPr>
      <w:spacing w:before="100" w:beforeAutospacing="1" w:after="100" w:afterAutospacing="1"/>
    </w:pPr>
    <w:rPr>
      <w:rFonts w:eastAsia="Times New Roman"/>
      <w:sz w:val="24"/>
      <w:szCs w:val="24"/>
      <w:lang w:eastAsia="lv-LV"/>
    </w:rPr>
  </w:style>
  <w:style w:type="paragraph" w:styleId="BodyText">
    <w:name w:val="Body Text"/>
    <w:basedOn w:val="Normal"/>
    <w:link w:val="BodyTextChar"/>
    <w:uiPriority w:val="99"/>
    <w:unhideWhenUsed/>
    <w:rsid w:val="007A535D"/>
    <w:pPr>
      <w:spacing w:after="120" w:line="276" w:lineRule="auto"/>
    </w:pPr>
    <w:rPr>
      <w:rFonts w:asciiTheme="minorHAnsi" w:eastAsiaTheme="minorHAnsi" w:hAnsiTheme="minorHAnsi" w:cstheme="minorBidi"/>
      <w:sz w:val="22"/>
    </w:rPr>
  </w:style>
  <w:style w:type="character" w:customStyle="1" w:styleId="BodyTextChar">
    <w:name w:val="Body Text Char"/>
    <w:basedOn w:val="DefaultParagraphFont"/>
    <w:link w:val="BodyText"/>
    <w:uiPriority w:val="99"/>
    <w:rsid w:val="007A535D"/>
    <w:rPr>
      <w:rFonts w:asciiTheme="minorHAnsi" w:hAnsiTheme="minorHAnsi"/>
      <w:sz w:val="22"/>
    </w:rPr>
  </w:style>
  <w:style w:type="paragraph" w:customStyle="1" w:styleId="naislab">
    <w:name w:val="naislab"/>
    <w:basedOn w:val="Normal"/>
    <w:rsid w:val="007A535D"/>
    <w:pPr>
      <w:spacing w:before="75" w:after="75"/>
      <w:jc w:val="right"/>
    </w:pPr>
    <w:rPr>
      <w:rFonts w:eastAsia="Times New Roman"/>
      <w:sz w:val="24"/>
      <w:szCs w:val="24"/>
      <w:lang w:eastAsia="lv-LV"/>
    </w:rPr>
  </w:style>
  <w:style w:type="character" w:styleId="Hyperlink">
    <w:name w:val="Hyperlink"/>
    <w:basedOn w:val="DefaultParagraphFont"/>
    <w:uiPriority w:val="99"/>
    <w:semiHidden/>
    <w:unhideWhenUsed/>
    <w:rsid w:val="000740E0"/>
    <w:rPr>
      <w:strike w:val="0"/>
      <w:dstrike w:val="0"/>
      <w:color w:val="40407C"/>
      <w:u w:val="none"/>
      <w:effect w:val="none"/>
    </w:rPr>
  </w:style>
  <w:style w:type="paragraph" w:customStyle="1" w:styleId="tv2131">
    <w:name w:val="tv2131"/>
    <w:basedOn w:val="Normal"/>
    <w:rsid w:val="000740E0"/>
    <w:pPr>
      <w:spacing w:before="240" w:line="360" w:lineRule="auto"/>
      <w:ind w:firstLine="300"/>
      <w:jc w:val="both"/>
    </w:pPr>
    <w:rPr>
      <w:rFonts w:ascii="Verdana" w:eastAsia="Times New Roman" w:hAnsi="Verdana"/>
      <w:sz w:val="18"/>
      <w:szCs w:val="18"/>
      <w:lang w:eastAsia="lv-LV"/>
    </w:rPr>
  </w:style>
  <w:style w:type="character" w:styleId="CommentReference">
    <w:name w:val="annotation reference"/>
    <w:basedOn w:val="DefaultParagraphFont"/>
    <w:unhideWhenUsed/>
    <w:rsid w:val="0023006F"/>
    <w:rPr>
      <w:sz w:val="16"/>
      <w:szCs w:val="16"/>
    </w:rPr>
  </w:style>
  <w:style w:type="paragraph" w:styleId="CommentText">
    <w:name w:val="annotation text"/>
    <w:basedOn w:val="Normal"/>
    <w:link w:val="CommentTextChar"/>
    <w:unhideWhenUsed/>
    <w:rsid w:val="0023006F"/>
    <w:rPr>
      <w:sz w:val="20"/>
      <w:szCs w:val="20"/>
    </w:rPr>
  </w:style>
  <w:style w:type="character" w:customStyle="1" w:styleId="CommentTextChar">
    <w:name w:val="Comment Text Char"/>
    <w:basedOn w:val="DefaultParagraphFont"/>
    <w:link w:val="CommentText"/>
    <w:rsid w:val="0023006F"/>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23006F"/>
    <w:rPr>
      <w:b/>
      <w:bCs/>
    </w:rPr>
  </w:style>
  <w:style w:type="character" w:customStyle="1" w:styleId="CommentSubjectChar">
    <w:name w:val="Comment Subject Char"/>
    <w:basedOn w:val="CommentTextChar"/>
    <w:link w:val="CommentSubject"/>
    <w:uiPriority w:val="99"/>
    <w:semiHidden/>
    <w:rsid w:val="0023006F"/>
    <w:rPr>
      <w:rFonts w:eastAsia="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74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likumi.lv/doc.php?id=3619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7F853-E45B-472D-B99E-85181B723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3237</Words>
  <Characters>1846</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Ministru kabineta noteikumu projekta „Noteikumi par publiskas personas finanšu līdzekļu un mantas dāvinājuma (ziedojuma) līgumu” sākotnējās ietekmes novērtējuma ziņojums (anotācija)</vt:lpstr>
    </vt:vector>
  </TitlesOfParts>
  <Company>Finanšu ministrija</Company>
  <LinksUpToDate>false</LinksUpToDate>
  <CharactersWithSpaces>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publiskas personas finanšu līdzekļu un mantas dāvinājuma (ziedojuma) līgumu” sākotnējās ietekmes novērtējuma ziņojums (anotācija)</dc:title>
  <dc:subject/>
  <dc:creator>Inta Lipovska</dc:creator>
  <cp:keywords/>
  <dc:description/>
  <cp:lastModifiedBy>Finanšu Ministrija</cp:lastModifiedBy>
  <cp:revision>4</cp:revision>
  <cp:lastPrinted>2013-04-16T13:13:00Z</cp:lastPrinted>
  <dcterms:created xsi:type="dcterms:W3CDTF">2013-03-15T08:34:00Z</dcterms:created>
  <dcterms:modified xsi:type="dcterms:W3CDTF">2013-04-16T14:10:00Z</dcterms:modified>
</cp:coreProperties>
</file>