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49" w:rsidRDefault="008D5DC0" w:rsidP="00AD3269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67D04">
        <w:rPr>
          <w:b/>
          <w:sz w:val="28"/>
          <w:szCs w:val="28"/>
        </w:rPr>
        <w:t>Minist</w:t>
      </w:r>
      <w:r>
        <w:rPr>
          <w:b/>
          <w:sz w:val="28"/>
          <w:szCs w:val="28"/>
        </w:rPr>
        <w:t xml:space="preserve">ru kabineta noteikumu projekta </w:t>
      </w:r>
      <w:r w:rsidR="00947C36">
        <w:rPr>
          <w:b/>
          <w:sz w:val="28"/>
          <w:szCs w:val="28"/>
        </w:rPr>
        <w:br/>
      </w:r>
      <w:r w:rsidRPr="00C67D04">
        <w:rPr>
          <w:b/>
          <w:sz w:val="28"/>
          <w:szCs w:val="28"/>
        </w:rPr>
        <w:t>“Valsts ieņēmumu dienesta maksas pakalpojumu cenrādi</w:t>
      </w:r>
      <w:r w:rsidR="00415241">
        <w:rPr>
          <w:b/>
          <w:sz w:val="28"/>
          <w:szCs w:val="28"/>
        </w:rPr>
        <w:t>s</w:t>
      </w:r>
      <w:r w:rsidRPr="00C67D04">
        <w:rPr>
          <w:b/>
          <w:sz w:val="28"/>
          <w:szCs w:val="28"/>
        </w:rPr>
        <w:t>”</w:t>
      </w:r>
      <w:r w:rsidRPr="007C0F2C">
        <w:rPr>
          <w:b/>
          <w:sz w:val="28"/>
          <w:szCs w:val="28"/>
        </w:rPr>
        <w:t xml:space="preserve"> </w:t>
      </w:r>
      <w:r w:rsidR="00947C36">
        <w:rPr>
          <w:b/>
          <w:sz w:val="28"/>
          <w:szCs w:val="28"/>
        </w:rPr>
        <w:t>sākotnējās ietekmes novērtējuma ziņojums (</w:t>
      </w:r>
      <w:r>
        <w:rPr>
          <w:b/>
          <w:sz w:val="28"/>
          <w:szCs w:val="28"/>
        </w:rPr>
        <w:t>anotācija</w:t>
      </w:r>
      <w:r w:rsidR="00947C36">
        <w:rPr>
          <w:b/>
          <w:sz w:val="28"/>
          <w:szCs w:val="28"/>
        </w:rPr>
        <w:t>)</w:t>
      </w:r>
    </w:p>
    <w:p w:rsidR="00D44A59" w:rsidRPr="007C0F2C" w:rsidRDefault="00D44A59" w:rsidP="00AD3269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638"/>
      </w:tblGrid>
      <w:tr w:rsidR="00852042" w:rsidRPr="007C0F2C" w:rsidTr="00CA738D">
        <w:tc>
          <w:tcPr>
            <w:tcW w:w="9503" w:type="dxa"/>
            <w:gridSpan w:val="3"/>
            <w:vAlign w:val="center"/>
          </w:tcPr>
          <w:p w:rsidR="00852042" w:rsidRPr="007C0F2C" w:rsidRDefault="00852042" w:rsidP="006C4607">
            <w:pPr>
              <w:pStyle w:val="naisnod"/>
              <w:spacing w:before="0" w:after="0"/>
            </w:pPr>
            <w:r w:rsidRPr="007C0F2C">
              <w:t>I</w:t>
            </w:r>
            <w:r w:rsidR="00947C36">
              <w:t>.</w:t>
            </w:r>
            <w:r w:rsidRPr="007C0F2C">
              <w:t xml:space="preserve"> Tiesību akta </w:t>
            </w:r>
            <w:r w:rsidR="002E3FF4" w:rsidRPr="007C0F2C">
              <w:t xml:space="preserve">projekta </w:t>
            </w:r>
            <w:r w:rsidRPr="007C0F2C">
              <w:t>izstrādes nepieciešamība</w:t>
            </w:r>
          </w:p>
        </w:tc>
      </w:tr>
      <w:tr w:rsidR="00262E2B" w:rsidRPr="005C4C49" w:rsidTr="00CA738D">
        <w:trPr>
          <w:trHeight w:val="630"/>
        </w:trPr>
        <w:tc>
          <w:tcPr>
            <w:tcW w:w="550" w:type="dxa"/>
          </w:tcPr>
          <w:p w:rsidR="00262E2B" w:rsidRPr="007C0F2C" w:rsidRDefault="00262E2B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1.</w:t>
            </w:r>
          </w:p>
        </w:tc>
        <w:tc>
          <w:tcPr>
            <w:tcW w:w="4315" w:type="dxa"/>
          </w:tcPr>
          <w:p w:rsidR="00262E2B" w:rsidRDefault="002D7F54" w:rsidP="006C4607">
            <w:pPr>
              <w:pStyle w:val="naiskr"/>
              <w:spacing w:before="0" w:after="0"/>
              <w:ind w:hanging="1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Pamatojums</w:t>
            </w:r>
          </w:p>
          <w:p w:rsidR="00775DE5" w:rsidRPr="009C4A07" w:rsidRDefault="00775DE5" w:rsidP="006C4607">
            <w:pPr>
              <w:pStyle w:val="naiskr"/>
              <w:spacing w:before="0" w:after="0"/>
              <w:ind w:hanging="10"/>
              <w:rPr>
                <w:color w:val="808080"/>
                <w:sz w:val="22"/>
                <w:szCs w:val="22"/>
              </w:rPr>
            </w:pPr>
          </w:p>
        </w:tc>
        <w:tc>
          <w:tcPr>
            <w:tcW w:w="4638" w:type="dxa"/>
          </w:tcPr>
          <w:p w:rsidR="00AE13BC" w:rsidRPr="00CA738D" w:rsidRDefault="00742099" w:rsidP="002E1A5C">
            <w:pPr>
              <w:jc w:val="both"/>
              <w:rPr>
                <w:sz w:val="22"/>
                <w:szCs w:val="22"/>
                <w:lang w:eastAsia="ru-RU"/>
              </w:rPr>
            </w:pPr>
            <w:r w:rsidRPr="00CA738D">
              <w:rPr>
                <w:i/>
                <w:sz w:val="22"/>
                <w:szCs w:val="22"/>
                <w:lang w:eastAsia="ru-RU"/>
              </w:rPr>
              <w:t xml:space="preserve">Euro </w:t>
            </w:r>
            <w:r w:rsidRPr="00CA738D">
              <w:rPr>
                <w:sz w:val="22"/>
                <w:szCs w:val="22"/>
                <w:lang w:eastAsia="ru-RU"/>
              </w:rPr>
              <w:t xml:space="preserve">ieviešanas kārtības likuma 30.panta pirmā daļa, Ministru kabineta 2012.gada 27.jūnija rīkojuma Nr.282 </w:t>
            </w:r>
            <w:r w:rsidRPr="002B65E9">
              <w:rPr>
                <w:sz w:val="22"/>
                <w:szCs w:val="22"/>
              </w:rPr>
              <w:t>“</w:t>
            </w:r>
            <w:r w:rsidRPr="00CA738D">
              <w:rPr>
                <w:sz w:val="22"/>
                <w:szCs w:val="22"/>
                <w:lang w:eastAsia="ru-RU"/>
              </w:rPr>
              <w:t xml:space="preserve">Par </w:t>
            </w:r>
            <w:r w:rsidRPr="002B65E9">
              <w:rPr>
                <w:sz w:val="22"/>
                <w:szCs w:val="22"/>
              </w:rPr>
              <w:t>“</w:t>
            </w:r>
            <w:r w:rsidRPr="00CA738D">
              <w:rPr>
                <w:sz w:val="22"/>
                <w:szCs w:val="22"/>
                <w:lang w:eastAsia="ru-RU"/>
              </w:rPr>
              <w:t>Koncepciju par normatīvo aktu sakārtošanu saistībā ar eiro ieviešanu Latvijā”” 1.1.2.</w:t>
            </w:r>
            <w:r w:rsidR="00551CA2">
              <w:rPr>
                <w:sz w:val="22"/>
                <w:szCs w:val="22"/>
                <w:lang w:eastAsia="ru-RU"/>
              </w:rPr>
              <w:t xml:space="preserve"> un</w:t>
            </w:r>
            <w:r w:rsidRPr="00CA738D">
              <w:rPr>
                <w:sz w:val="22"/>
                <w:szCs w:val="22"/>
                <w:lang w:eastAsia="ru-RU"/>
              </w:rPr>
              <w:t xml:space="preserve"> 7.1.apakšpunkts, 3.pielikuma 704.punkts</w:t>
            </w:r>
            <w:r w:rsidR="002B65E9" w:rsidRPr="00CA738D">
              <w:rPr>
                <w:sz w:val="22"/>
                <w:szCs w:val="22"/>
                <w:lang w:eastAsia="ru-RU"/>
              </w:rPr>
              <w:t xml:space="preserve">, Ministru kabineta 2013.gada 22.janvāra </w:t>
            </w:r>
            <w:proofErr w:type="spellStart"/>
            <w:r w:rsidR="002B65E9" w:rsidRPr="00CA738D">
              <w:rPr>
                <w:sz w:val="22"/>
                <w:szCs w:val="22"/>
                <w:lang w:eastAsia="ru-RU"/>
              </w:rPr>
              <w:t>protokollēmuma</w:t>
            </w:r>
            <w:proofErr w:type="spellEnd"/>
            <w:r w:rsidR="002B65E9" w:rsidRPr="00CA738D">
              <w:rPr>
                <w:sz w:val="22"/>
                <w:szCs w:val="22"/>
                <w:lang w:eastAsia="ru-RU"/>
              </w:rPr>
              <w:t xml:space="preserve"> (prot. Nr.5, 26.</w:t>
            </w:r>
            <w:r w:rsidR="002B65E9" w:rsidRPr="00CA738D">
              <w:rPr>
                <w:sz w:val="22"/>
                <w:szCs w:val="22"/>
              </w:rPr>
              <w:t>§, TA-110) 3.punkts</w:t>
            </w:r>
          </w:p>
        </w:tc>
      </w:tr>
      <w:tr w:rsidR="00262E2B" w:rsidRPr="005C4C49" w:rsidTr="00CA738D">
        <w:trPr>
          <w:trHeight w:val="2929"/>
        </w:trPr>
        <w:tc>
          <w:tcPr>
            <w:tcW w:w="550" w:type="dxa"/>
          </w:tcPr>
          <w:p w:rsidR="00262E2B" w:rsidRPr="007C0F2C" w:rsidRDefault="00262E2B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2.</w:t>
            </w:r>
          </w:p>
        </w:tc>
        <w:tc>
          <w:tcPr>
            <w:tcW w:w="4315" w:type="dxa"/>
          </w:tcPr>
          <w:p w:rsidR="00262E2B" w:rsidRDefault="00262E2B" w:rsidP="006C4607">
            <w:pPr>
              <w:pStyle w:val="naiskr"/>
              <w:tabs>
                <w:tab w:val="left" w:pos="170"/>
              </w:tabs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Pašreizējā situācija</w:t>
            </w:r>
            <w:r w:rsidR="001F5CD6" w:rsidRPr="007C0F2C">
              <w:rPr>
                <w:sz w:val="22"/>
                <w:szCs w:val="22"/>
              </w:rPr>
              <w:t xml:space="preserve"> un problēmas</w:t>
            </w:r>
          </w:p>
          <w:p w:rsidR="00775DE5" w:rsidRPr="009C4A07" w:rsidRDefault="00775DE5" w:rsidP="006C4607">
            <w:pPr>
              <w:pStyle w:val="naiskr"/>
              <w:tabs>
                <w:tab w:val="left" w:pos="170"/>
              </w:tabs>
              <w:spacing w:before="0" w:after="0"/>
              <w:rPr>
                <w:color w:val="808080"/>
                <w:sz w:val="22"/>
                <w:szCs w:val="22"/>
              </w:rPr>
            </w:pPr>
          </w:p>
        </w:tc>
        <w:tc>
          <w:tcPr>
            <w:tcW w:w="4638" w:type="dxa"/>
          </w:tcPr>
          <w:p w:rsidR="006E7B25" w:rsidRPr="00CA738D" w:rsidRDefault="006E7B25" w:rsidP="006E7B25">
            <w:pPr>
              <w:jc w:val="both"/>
              <w:rPr>
                <w:sz w:val="22"/>
                <w:szCs w:val="22"/>
              </w:rPr>
            </w:pPr>
            <w:r w:rsidRPr="00CA738D">
              <w:rPr>
                <w:sz w:val="22"/>
                <w:szCs w:val="22"/>
              </w:rPr>
              <w:t xml:space="preserve">Šobrīd Ministru kabineta </w:t>
            </w:r>
            <w:r w:rsidRPr="00CA738D">
              <w:rPr>
                <w:bCs/>
                <w:sz w:val="22"/>
                <w:szCs w:val="22"/>
              </w:rPr>
              <w:t xml:space="preserve">2006.gada 31.janvāra noteikumu Nr.82 </w:t>
            </w:r>
            <w:r w:rsidRPr="00CA738D">
              <w:rPr>
                <w:sz w:val="22"/>
                <w:szCs w:val="22"/>
              </w:rPr>
              <w:t>“Valsts ieņēmumu dienesta maksas pakalpojumu cenrādis”</w:t>
            </w:r>
            <w:r w:rsidRPr="00CA738D">
              <w:rPr>
                <w:bCs/>
                <w:sz w:val="22"/>
                <w:szCs w:val="22"/>
              </w:rPr>
              <w:t xml:space="preserve"> </w:t>
            </w:r>
            <w:r w:rsidRPr="00CA738D">
              <w:rPr>
                <w:sz w:val="22"/>
                <w:szCs w:val="22"/>
              </w:rPr>
              <w:t xml:space="preserve">pielikumā ir minēts  saīsinājums </w:t>
            </w:r>
            <w:r w:rsidR="00551CA2">
              <w:rPr>
                <w:sz w:val="22"/>
                <w:szCs w:val="22"/>
              </w:rPr>
              <w:t>“</w:t>
            </w:r>
            <w:r w:rsidRPr="00CA738D">
              <w:rPr>
                <w:sz w:val="22"/>
                <w:szCs w:val="22"/>
              </w:rPr>
              <w:t>Ls”.</w:t>
            </w:r>
          </w:p>
          <w:p w:rsidR="00347BE8" w:rsidRDefault="006E7B25" w:rsidP="00C66907">
            <w:pPr>
              <w:jc w:val="both"/>
            </w:pPr>
            <w:r w:rsidRPr="00CA738D">
              <w:rPr>
                <w:bCs/>
                <w:sz w:val="22"/>
                <w:szCs w:val="22"/>
              </w:rPr>
              <w:t xml:space="preserve">Deklarācijas par Valda </w:t>
            </w:r>
            <w:proofErr w:type="spellStart"/>
            <w:r w:rsidRPr="00CA738D">
              <w:rPr>
                <w:bCs/>
                <w:sz w:val="22"/>
                <w:szCs w:val="22"/>
              </w:rPr>
              <w:t>Dombrovska</w:t>
            </w:r>
            <w:proofErr w:type="spellEnd"/>
            <w:r w:rsidRPr="00CA738D">
              <w:rPr>
                <w:bCs/>
                <w:sz w:val="22"/>
                <w:szCs w:val="22"/>
              </w:rPr>
              <w:t xml:space="preserve"> vadītā Ministru kabineta iecerēto darbību II sadaļā ir noteikts, ka Latvija plāno iekļauties e</w:t>
            </w:r>
            <w:r w:rsidR="00551CA2">
              <w:rPr>
                <w:bCs/>
                <w:sz w:val="22"/>
                <w:szCs w:val="22"/>
              </w:rPr>
              <w:t>i</w:t>
            </w:r>
            <w:r w:rsidRPr="00CA738D">
              <w:rPr>
                <w:bCs/>
                <w:sz w:val="22"/>
                <w:szCs w:val="22"/>
              </w:rPr>
              <w:t>ro zonā 2014.gadā. Ņemot vērā, ka pēc iestāšanās e</w:t>
            </w:r>
            <w:r w:rsidR="00551CA2">
              <w:rPr>
                <w:bCs/>
                <w:sz w:val="22"/>
                <w:szCs w:val="22"/>
              </w:rPr>
              <w:t>i</w:t>
            </w:r>
            <w:r w:rsidRPr="00CA738D">
              <w:rPr>
                <w:bCs/>
                <w:sz w:val="22"/>
                <w:szCs w:val="22"/>
              </w:rPr>
              <w:t xml:space="preserve">ro zonā likumīgais maksāšanas līdzeklis būs nevis lats, bet </w:t>
            </w:r>
            <w:r w:rsidRPr="00CA738D">
              <w:rPr>
                <w:bCs/>
                <w:i/>
                <w:sz w:val="22"/>
                <w:szCs w:val="22"/>
              </w:rPr>
              <w:t>euro</w:t>
            </w:r>
            <w:r w:rsidRPr="00CA738D">
              <w:rPr>
                <w:bCs/>
                <w:sz w:val="22"/>
                <w:szCs w:val="22"/>
              </w:rPr>
              <w:t xml:space="preserve">, ir nepieciešams nodrošināt tiesību aktu pielāgošanu </w:t>
            </w:r>
            <w:r w:rsidRPr="00CA738D">
              <w:rPr>
                <w:bCs/>
                <w:i/>
                <w:sz w:val="22"/>
                <w:szCs w:val="22"/>
              </w:rPr>
              <w:t>euro</w:t>
            </w:r>
            <w:r w:rsidRPr="00CA738D">
              <w:rPr>
                <w:bCs/>
                <w:sz w:val="22"/>
                <w:szCs w:val="22"/>
              </w:rPr>
              <w:t xml:space="preserve"> ieviešanai Latvijā.</w:t>
            </w:r>
            <w:r w:rsidR="00347BE8">
              <w:t xml:space="preserve"> </w:t>
            </w:r>
          </w:p>
          <w:p w:rsidR="001E7981" w:rsidRPr="00551CA2" w:rsidRDefault="00347BE8" w:rsidP="002E1A5C">
            <w:pPr>
              <w:jc w:val="both"/>
              <w:rPr>
                <w:sz w:val="22"/>
                <w:szCs w:val="22"/>
              </w:rPr>
            </w:pPr>
            <w:r w:rsidRPr="00347BE8">
              <w:rPr>
                <w:sz w:val="22"/>
                <w:szCs w:val="22"/>
              </w:rPr>
              <w:t>Sakarā ar to, ka grozījumu apjoms Ministru kabineta 2006.gada 31.janvāra noteikum</w:t>
            </w:r>
            <w:r>
              <w:rPr>
                <w:sz w:val="22"/>
                <w:szCs w:val="22"/>
              </w:rPr>
              <w:t>os</w:t>
            </w:r>
            <w:r w:rsidRPr="00347BE8">
              <w:rPr>
                <w:sz w:val="22"/>
                <w:szCs w:val="22"/>
              </w:rPr>
              <w:t xml:space="preserve"> Nr.82 “Valsts ieņēmumu dienesta maksas pakalpojumu cenrādis”</w:t>
            </w:r>
            <w:r>
              <w:rPr>
                <w:sz w:val="22"/>
                <w:szCs w:val="22"/>
              </w:rPr>
              <w:t xml:space="preserve"> </w:t>
            </w:r>
            <w:r w:rsidRPr="00347BE8">
              <w:rPr>
                <w:sz w:val="22"/>
                <w:szCs w:val="22"/>
              </w:rPr>
              <w:t>pārsniedz pusi no spēkā esošo noteikumu normu apjoma, normatīvā akta projekts sagatavots jaunā redakcijā</w:t>
            </w:r>
            <w:r w:rsidR="00B621CE">
              <w:rPr>
                <w:sz w:val="22"/>
                <w:szCs w:val="22"/>
              </w:rPr>
              <w:t>.</w:t>
            </w:r>
          </w:p>
        </w:tc>
      </w:tr>
      <w:tr w:rsidR="00262E2B" w:rsidRPr="005C4C49" w:rsidTr="00CA738D">
        <w:trPr>
          <w:trHeight w:val="498"/>
        </w:trPr>
        <w:tc>
          <w:tcPr>
            <w:tcW w:w="550" w:type="dxa"/>
          </w:tcPr>
          <w:p w:rsidR="00262E2B" w:rsidRPr="007C0F2C" w:rsidRDefault="00262E2B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3.</w:t>
            </w:r>
          </w:p>
        </w:tc>
        <w:tc>
          <w:tcPr>
            <w:tcW w:w="4315" w:type="dxa"/>
          </w:tcPr>
          <w:p w:rsidR="00775DE5" w:rsidRPr="007C0F2C" w:rsidRDefault="00420870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S</w:t>
            </w:r>
            <w:r w:rsidR="000B69CF" w:rsidRPr="007C0F2C">
              <w:rPr>
                <w:sz w:val="22"/>
                <w:szCs w:val="22"/>
              </w:rPr>
              <w:t xml:space="preserve">aistītie </w:t>
            </w:r>
            <w:r w:rsidR="001A6AE4" w:rsidRPr="007C0F2C">
              <w:rPr>
                <w:sz w:val="22"/>
                <w:szCs w:val="22"/>
              </w:rPr>
              <w:t>politikas ietekmes novērtējumi</w:t>
            </w:r>
            <w:r w:rsidR="00CB0247" w:rsidRPr="007C0F2C">
              <w:rPr>
                <w:sz w:val="22"/>
                <w:szCs w:val="22"/>
              </w:rPr>
              <w:t xml:space="preserve"> un</w:t>
            </w:r>
            <w:r w:rsidR="001A6AE4" w:rsidRPr="007C0F2C">
              <w:rPr>
                <w:sz w:val="22"/>
                <w:szCs w:val="22"/>
              </w:rPr>
              <w:t xml:space="preserve"> </w:t>
            </w:r>
            <w:r w:rsidR="000B69CF" w:rsidRPr="007C0F2C">
              <w:rPr>
                <w:sz w:val="22"/>
                <w:szCs w:val="22"/>
              </w:rPr>
              <w:t>pētījumi</w:t>
            </w:r>
          </w:p>
        </w:tc>
        <w:tc>
          <w:tcPr>
            <w:tcW w:w="4638" w:type="dxa"/>
          </w:tcPr>
          <w:p w:rsidR="00D20FF4" w:rsidRPr="00C824F8" w:rsidRDefault="0030559D" w:rsidP="00BF3B77">
            <w:pPr>
              <w:pStyle w:val="FootnoteText"/>
              <w:jc w:val="both"/>
              <w:rPr>
                <w:sz w:val="22"/>
                <w:szCs w:val="22"/>
              </w:rPr>
            </w:pPr>
            <w:r w:rsidRPr="00C824F8">
              <w:rPr>
                <w:sz w:val="22"/>
                <w:szCs w:val="22"/>
              </w:rPr>
              <w:t>Projekts šo jomu neskar</w:t>
            </w:r>
          </w:p>
        </w:tc>
      </w:tr>
      <w:tr w:rsidR="00262E2B" w:rsidRPr="00CA738D" w:rsidTr="00CA738D">
        <w:trPr>
          <w:trHeight w:val="384"/>
        </w:trPr>
        <w:tc>
          <w:tcPr>
            <w:tcW w:w="550" w:type="dxa"/>
          </w:tcPr>
          <w:p w:rsidR="00262E2B" w:rsidRPr="002B65E9" w:rsidRDefault="00262E2B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2B65E9">
              <w:rPr>
                <w:sz w:val="22"/>
                <w:szCs w:val="22"/>
              </w:rPr>
              <w:t>4.</w:t>
            </w:r>
          </w:p>
        </w:tc>
        <w:tc>
          <w:tcPr>
            <w:tcW w:w="4315" w:type="dxa"/>
          </w:tcPr>
          <w:p w:rsidR="00262E2B" w:rsidRPr="00F76F3B" w:rsidRDefault="000C790C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F76F3B">
              <w:rPr>
                <w:sz w:val="22"/>
                <w:szCs w:val="22"/>
              </w:rPr>
              <w:t>Tiesiskā r</w:t>
            </w:r>
            <w:r w:rsidR="00400032" w:rsidRPr="00F76F3B">
              <w:rPr>
                <w:sz w:val="22"/>
                <w:szCs w:val="22"/>
              </w:rPr>
              <w:t xml:space="preserve">egulējuma </w:t>
            </w:r>
            <w:r w:rsidR="00262E2B" w:rsidRPr="00F76F3B">
              <w:rPr>
                <w:sz w:val="22"/>
                <w:szCs w:val="22"/>
              </w:rPr>
              <w:t>mērķis un būtība</w:t>
            </w:r>
          </w:p>
          <w:p w:rsidR="00775DE5" w:rsidRPr="00347BE8" w:rsidRDefault="00775DE5" w:rsidP="006C4607">
            <w:pPr>
              <w:pStyle w:val="naiskr"/>
              <w:spacing w:before="0" w:after="0"/>
              <w:rPr>
                <w:color w:val="808080"/>
                <w:sz w:val="22"/>
                <w:szCs w:val="22"/>
              </w:rPr>
            </w:pPr>
          </w:p>
        </w:tc>
        <w:tc>
          <w:tcPr>
            <w:tcW w:w="4638" w:type="dxa"/>
          </w:tcPr>
          <w:p w:rsidR="001025B6" w:rsidRPr="00B621CE" w:rsidRDefault="001E7981" w:rsidP="001E7981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 w:rsidRPr="00CA738D">
              <w:rPr>
                <w:sz w:val="22"/>
                <w:szCs w:val="22"/>
              </w:rPr>
              <w:t xml:space="preserve">Projekta mērķis ir ar 2014.gada 1.janvāri  Ministru kabineta </w:t>
            </w:r>
            <w:r w:rsidRPr="00CA738D">
              <w:rPr>
                <w:bCs/>
                <w:sz w:val="22"/>
                <w:szCs w:val="22"/>
              </w:rPr>
              <w:t xml:space="preserve">2006.gada 31.janvāra noteikumos Nr.82 </w:t>
            </w:r>
            <w:r w:rsidRPr="00CA738D">
              <w:rPr>
                <w:sz w:val="22"/>
                <w:szCs w:val="22"/>
              </w:rPr>
              <w:t>“Valsts ieņēmumu dienesta maksas pakalpojumu cenrādis”</w:t>
            </w:r>
            <w:r w:rsidRPr="00CA738D">
              <w:rPr>
                <w:bCs/>
                <w:sz w:val="22"/>
                <w:szCs w:val="22"/>
              </w:rPr>
              <w:t xml:space="preserve"> </w:t>
            </w:r>
            <w:r w:rsidRPr="00CA738D">
              <w:rPr>
                <w:sz w:val="22"/>
                <w:szCs w:val="22"/>
              </w:rPr>
              <w:t xml:space="preserve">aizstāt latus ar </w:t>
            </w:r>
            <w:r w:rsidRPr="00CA738D">
              <w:rPr>
                <w:i/>
                <w:sz w:val="22"/>
                <w:szCs w:val="22"/>
              </w:rPr>
              <w:t>euro</w:t>
            </w:r>
            <w:r w:rsidR="00B621CE">
              <w:rPr>
                <w:sz w:val="22"/>
                <w:szCs w:val="22"/>
              </w:rPr>
              <w:t>.</w:t>
            </w:r>
          </w:p>
          <w:p w:rsidR="00817574" w:rsidRPr="00817574" w:rsidRDefault="00A940FF" w:rsidP="001E7981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Grozītās tiesību normas </w:t>
            </w:r>
            <w:r>
              <w:rPr>
                <w:i/>
                <w:sz w:val="22"/>
                <w:szCs w:val="22"/>
              </w:rPr>
              <w:t>euro</w:t>
            </w:r>
            <w:r>
              <w:rPr>
                <w:sz w:val="22"/>
                <w:szCs w:val="22"/>
              </w:rPr>
              <w:t xml:space="preserve"> valūtā nav personām nelabvēlīgākas par sākotnējo tiesību normu latos, izņemot noteikumu projekta pielikuma 1.1. apakšpunktu, un nerada vērā ņemamu negatīvu ietekmi uz valsts budžetu</w:t>
            </w:r>
            <w:r w:rsidR="00B621CE">
              <w:rPr>
                <w:sz w:val="22"/>
                <w:szCs w:val="22"/>
              </w:rPr>
              <w:t>.</w:t>
            </w:r>
          </w:p>
        </w:tc>
      </w:tr>
      <w:tr w:rsidR="00262E2B" w:rsidRPr="00CA738D" w:rsidTr="00CA738D">
        <w:trPr>
          <w:trHeight w:val="252"/>
        </w:trPr>
        <w:tc>
          <w:tcPr>
            <w:tcW w:w="550" w:type="dxa"/>
          </w:tcPr>
          <w:p w:rsidR="00262E2B" w:rsidRPr="002B65E9" w:rsidRDefault="00262E2B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2B65E9">
              <w:rPr>
                <w:sz w:val="22"/>
                <w:szCs w:val="22"/>
              </w:rPr>
              <w:t>5.</w:t>
            </w:r>
          </w:p>
        </w:tc>
        <w:tc>
          <w:tcPr>
            <w:tcW w:w="4315" w:type="dxa"/>
          </w:tcPr>
          <w:p w:rsidR="00775DE5" w:rsidRPr="00F76F3B" w:rsidRDefault="001A4066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F76F3B">
              <w:rPr>
                <w:sz w:val="22"/>
                <w:szCs w:val="22"/>
              </w:rPr>
              <w:t>Projekta i</w:t>
            </w:r>
            <w:r w:rsidR="00262E2B" w:rsidRPr="00F76F3B">
              <w:rPr>
                <w:sz w:val="22"/>
                <w:szCs w:val="22"/>
              </w:rPr>
              <w:t>zstrād</w:t>
            </w:r>
            <w:r w:rsidR="00420870" w:rsidRPr="00F76F3B">
              <w:rPr>
                <w:sz w:val="22"/>
                <w:szCs w:val="22"/>
              </w:rPr>
              <w:t xml:space="preserve">ē </w:t>
            </w:r>
            <w:r w:rsidR="00262E2B" w:rsidRPr="00F76F3B">
              <w:rPr>
                <w:sz w:val="22"/>
                <w:szCs w:val="22"/>
              </w:rPr>
              <w:t>iesaistītās institūcijas</w:t>
            </w:r>
          </w:p>
        </w:tc>
        <w:tc>
          <w:tcPr>
            <w:tcW w:w="4638" w:type="dxa"/>
          </w:tcPr>
          <w:p w:rsidR="00262E2B" w:rsidRPr="00347BE8" w:rsidRDefault="001E7981" w:rsidP="001E7981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 w:rsidRPr="00347BE8">
              <w:rPr>
                <w:sz w:val="22"/>
                <w:szCs w:val="22"/>
              </w:rPr>
              <w:t>Nav</w:t>
            </w:r>
          </w:p>
        </w:tc>
      </w:tr>
      <w:tr w:rsidR="00262E2B" w:rsidRPr="00CA738D" w:rsidTr="00D44A59">
        <w:trPr>
          <w:trHeight w:val="333"/>
        </w:trPr>
        <w:tc>
          <w:tcPr>
            <w:tcW w:w="550" w:type="dxa"/>
          </w:tcPr>
          <w:p w:rsidR="00262E2B" w:rsidRPr="002B65E9" w:rsidRDefault="00262E2B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2B65E9">
              <w:rPr>
                <w:sz w:val="22"/>
                <w:szCs w:val="22"/>
              </w:rPr>
              <w:t>6.</w:t>
            </w:r>
          </w:p>
        </w:tc>
        <w:tc>
          <w:tcPr>
            <w:tcW w:w="4315" w:type="dxa"/>
          </w:tcPr>
          <w:p w:rsidR="00775DE5" w:rsidRPr="00F76F3B" w:rsidRDefault="00BB7C94" w:rsidP="003533BB">
            <w:pPr>
              <w:pStyle w:val="naiskr"/>
              <w:spacing w:before="0" w:after="0"/>
              <w:rPr>
                <w:i/>
                <w:color w:val="808080"/>
                <w:sz w:val="22"/>
                <w:szCs w:val="22"/>
                <w:highlight w:val="yellow"/>
              </w:rPr>
            </w:pPr>
            <w:r w:rsidRPr="00F76F3B">
              <w:rPr>
                <w:sz w:val="22"/>
                <w:szCs w:val="22"/>
              </w:rPr>
              <w:t xml:space="preserve">Iemesli, kādēļ netika nodrošināta </w:t>
            </w:r>
            <w:r w:rsidR="00262E2B" w:rsidRPr="00F76F3B">
              <w:rPr>
                <w:sz w:val="22"/>
                <w:szCs w:val="22"/>
              </w:rPr>
              <w:t xml:space="preserve">sabiedrības </w:t>
            </w:r>
            <w:r w:rsidRPr="00F76F3B">
              <w:rPr>
                <w:sz w:val="22"/>
                <w:szCs w:val="22"/>
              </w:rPr>
              <w:t>līdzdalība</w:t>
            </w:r>
          </w:p>
        </w:tc>
        <w:tc>
          <w:tcPr>
            <w:tcW w:w="4638" w:type="dxa"/>
          </w:tcPr>
          <w:p w:rsidR="00D20FF4" w:rsidRPr="00551CA2" w:rsidRDefault="00CE6F56" w:rsidP="00CE6F56">
            <w:pPr>
              <w:pStyle w:val="FootnoteText"/>
              <w:jc w:val="both"/>
              <w:rPr>
                <w:color w:val="FF0000"/>
                <w:sz w:val="22"/>
                <w:szCs w:val="22"/>
              </w:rPr>
            </w:pPr>
            <w:r w:rsidRPr="00347BE8">
              <w:rPr>
                <w:sz w:val="22"/>
                <w:szCs w:val="22"/>
              </w:rPr>
              <w:t>Projekts šo jomu neskar</w:t>
            </w:r>
          </w:p>
        </w:tc>
      </w:tr>
      <w:tr w:rsidR="001E7981" w:rsidRPr="00CA738D" w:rsidTr="00D44A59">
        <w:trPr>
          <w:trHeight w:val="215"/>
        </w:trPr>
        <w:tc>
          <w:tcPr>
            <w:tcW w:w="550" w:type="dxa"/>
          </w:tcPr>
          <w:p w:rsidR="001E7981" w:rsidRPr="002B65E9" w:rsidRDefault="001E7981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2B65E9">
              <w:rPr>
                <w:sz w:val="22"/>
                <w:szCs w:val="22"/>
              </w:rPr>
              <w:t>7.</w:t>
            </w:r>
          </w:p>
        </w:tc>
        <w:tc>
          <w:tcPr>
            <w:tcW w:w="4315" w:type="dxa"/>
          </w:tcPr>
          <w:p w:rsidR="001E7981" w:rsidRPr="00F76F3B" w:rsidRDefault="001E7981" w:rsidP="003533BB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F76F3B">
              <w:rPr>
                <w:sz w:val="22"/>
                <w:szCs w:val="22"/>
              </w:rPr>
              <w:t>Cita informācija</w:t>
            </w:r>
          </w:p>
        </w:tc>
        <w:tc>
          <w:tcPr>
            <w:tcW w:w="4638" w:type="dxa"/>
          </w:tcPr>
          <w:p w:rsidR="001E7981" w:rsidRPr="00F76F3B" w:rsidRDefault="001E7981" w:rsidP="00CE6F56">
            <w:pPr>
              <w:pStyle w:val="FootnoteText"/>
              <w:jc w:val="both"/>
              <w:rPr>
                <w:sz w:val="22"/>
                <w:szCs w:val="22"/>
              </w:rPr>
            </w:pPr>
            <w:r w:rsidRPr="00F76F3B">
              <w:rPr>
                <w:sz w:val="22"/>
                <w:szCs w:val="22"/>
              </w:rPr>
              <w:t>Nav</w:t>
            </w:r>
          </w:p>
        </w:tc>
      </w:tr>
    </w:tbl>
    <w:p w:rsidR="00C824F8" w:rsidRPr="00CA738D" w:rsidRDefault="00C824F8" w:rsidP="00C824F8">
      <w:pPr>
        <w:pStyle w:val="naisf"/>
        <w:spacing w:before="0" w:after="0"/>
        <w:ind w:firstLine="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4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395"/>
        <w:gridCol w:w="4791"/>
      </w:tblGrid>
      <w:tr w:rsidR="0062298A" w:rsidRPr="00CA738D" w:rsidTr="00CA738D">
        <w:tc>
          <w:tcPr>
            <w:tcW w:w="9611" w:type="dxa"/>
            <w:gridSpan w:val="3"/>
            <w:vAlign w:val="center"/>
          </w:tcPr>
          <w:p w:rsidR="0062298A" w:rsidRPr="00CA738D" w:rsidRDefault="0062298A" w:rsidP="006C4607">
            <w:pPr>
              <w:pStyle w:val="naisnod"/>
              <w:spacing w:before="0" w:after="0"/>
              <w:rPr>
                <w:sz w:val="22"/>
                <w:szCs w:val="22"/>
              </w:rPr>
            </w:pPr>
            <w:r w:rsidRPr="00CA738D">
              <w:rPr>
                <w:sz w:val="22"/>
                <w:szCs w:val="22"/>
              </w:rPr>
              <w:t>II</w:t>
            </w:r>
            <w:r w:rsidR="00947C36" w:rsidRPr="00CA738D">
              <w:rPr>
                <w:sz w:val="22"/>
                <w:szCs w:val="22"/>
              </w:rPr>
              <w:t>.</w:t>
            </w:r>
            <w:r w:rsidRPr="00CA738D">
              <w:rPr>
                <w:sz w:val="22"/>
                <w:szCs w:val="22"/>
              </w:rPr>
              <w:t xml:space="preserve"> Tiesību akta projekta ietekme uz sabiedrību</w:t>
            </w:r>
          </w:p>
        </w:tc>
      </w:tr>
      <w:tr w:rsidR="0062298A" w:rsidRPr="00CA738D" w:rsidTr="00CA738D">
        <w:trPr>
          <w:trHeight w:val="2262"/>
        </w:trPr>
        <w:tc>
          <w:tcPr>
            <w:tcW w:w="425" w:type="dxa"/>
          </w:tcPr>
          <w:p w:rsidR="0062298A" w:rsidRPr="002B65E9" w:rsidRDefault="0062298A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2B65E9">
              <w:rPr>
                <w:sz w:val="22"/>
                <w:szCs w:val="22"/>
              </w:rPr>
              <w:t>1.</w:t>
            </w:r>
          </w:p>
        </w:tc>
        <w:tc>
          <w:tcPr>
            <w:tcW w:w="4395" w:type="dxa"/>
          </w:tcPr>
          <w:p w:rsidR="00167C4E" w:rsidRPr="00F76F3B" w:rsidRDefault="00C27A08" w:rsidP="00167C4E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F76F3B">
              <w:rPr>
                <w:sz w:val="22"/>
                <w:szCs w:val="22"/>
              </w:rPr>
              <w:t xml:space="preserve">Sabiedrības </w:t>
            </w:r>
            <w:proofErr w:type="spellStart"/>
            <w:r w:rsidRPr="00F76F3B">
              <w:rPr>
                <w:sz w:val="22"/>
                <w:szCs w:val="22"/>
              </w:rPr>
              <w:t>mērķgrupa</w:t>
            </w:r>
            <w:proofErr w:type="spellEnd"/>
          </w:p>
          <w:p w:rsidR="00775DE5" w:rsidRPr="00F76F3B" w:rsidRDefault="00775DE5" w:rsidP="00775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1" w:type="dxa"/>
          </w:tcPr>
          <w:p w:rsidR="008A0493" w:rsidRPr="00347BE8" w:rsidRDefault="009E12D7" w:rsidP="008721E5">
            <w:pPr>
              <w:jc w:val="both"/>
              <w:rPr>
                <w:iCs/>
                <w:sz w:val="22"/>
                <w:szCs w:val="22"/>
              </w:rPr>
            </w:pPr>
            <w:r w:rsidRPr="00347BE8">
              <w:rPr>
                <w:iCs/>
                <w:sz w:val="22"/>
                <w:szCs w:val="22"/>
              </w:rPr>
              <w:t> </w:t>
            </w:r>
            <w:r w:rsidR="00835F70" w:rsidRPr="00347BE8">
              <w:rPr>
                <w:iCs/>
                <w:sz w:val="22"/>
                <w:szCs w:val="22"/>
              </w:rPr>
              <w:t>Ministru kabineta noteikumu tiesiskais regulējums attiecināms uz</w:t>
            </w:r>
            <w:r w:rsidR="008A0493" w:rsidRPr="00347BE8">
              <w:rPr>
                <w:iCs/>
                <w:sz w:val="22"/>
                <w:szCs w:val="22"/>
              </w:rPr>
              <w:t>:</w:t>
            </w:r>
          </w:p>
          <w:p w:rsidR="00C824F8" w:rsidRPr="00F76F3B" w:rsidRDefault="008A0493" w:rsidP="00551CA2">
            <w:pPr>
              <w:numPr>
                <w:ilvl w:val="0"/>
                <w:numId w:val="14"/>
              </w:numPr>
              <w:ind w:left="5" w:firstLine="355"/>
              <w:jc w:val="both"/>
              <w:rPr>
                <w:iCs/>
                <w:sz w:val="22"/>
                <w:szCs w:val="22"/>
              </w:rPr>
            </w:pPr>
            <w:r w:rsidRPr="00551CA2">
              <w:rPr>
                <w:iCs/>
                <w:sz w:val="22"/>
                <w:szCs w:val="22"/>
              </w:rPr>
              <w:t xml:space="preserve">personām, </w:t>
            </w:r>
            <w:r w:rsidR="00C824F8" w:rsidRPr="00551CA2">
              <w:rPr>
                <w:iCs/>
                <w:sz w:val="22"/>
                <w:szCs w:val="22"/>
              </w:rPr>
              <w:t xml:space="preserve">kuras </w:t>
            </w:r>
            <w:r w:rsidRPr="00551CA2">
              <w:rPr>
                <w:iCs/>
                <w:sz w:val="22"/>
                <w:szCs w:val="22"/>
              </w:rPr>
              <w:t>saņēmušas vietējās muitošanas atļaujas, kas dod tiesības uzlikt muitas nodrošinājumu bez muitas amatpersonas klātbūtnes, pamatojoties uz Ministru kabineta 2005.gada 18.oktobra noteikumiem Nr.77</w:t>
            </w:r>
            <w:r w:rsidR="008F0B50" w:rsidRPr="00551CA2">
              <w:rPr>
                <w:iCs/>
                <w:sz w:val="22"/>
                <w:szCs w:val="22"/>
              </w:rPr>
              <w:t xml:space="preserve">5 </w:t>
            </w:r>
            <w:r w:rsidR="001E7981" w:rsidRPr="00CA738D">
              <w:rPr>
                <w:sz w:val="22"/>
                <w:szCs w:val="22"/>
              </w:rPr>
              <w:t>“</w:t>
            </w:r>
            <w:r w:rsidR="008F0B50" w:rsidRPr="002B65E9">
              <w:rPr>
                <w:iCs/>
                <w:sz w:val="22"/>
                <w:szCs w:val="22"/>
              </w:rPr>
              <w:t xml:space="preserve">Noteikumi par muitas </w:t>
            </w:r>
            <w:r w:rsidRPr="002B65E9">
              <w:rPr>
                <w:iCs/>
                <w:sz w:val="22"/>
                <w:szCs w:val="22"/>
              </w:rPr>
              <w:t xml:space="preserve"> nodrošinājumu”;</w:t>
            </w:r>
          </w:p>
          <w:p w:rsidR="009A3C59" w:rsidRPr="00F76F3B" w:rsidRDefault="009A3C59" w:rsidP="00551CA2">
            <w:pPr>
              <w:numPr>
                <w:ilvl w:val="0"/>
                <w:numId w:val="14"/>
              </w:numPr>
              <w:ind w:left="5" w:firstLine="355"/>
              <w:jc w:val="both"/>
              <w:rPr>
                <w:iCs/>
                <w:sz w:val="22"/>
                <w:szCs w:val="22"/>
              </w:rPr>
            </w:pPr>
            <w:r w:rsidRPr="00F76F3B">
              <w:rPr>
                <w:iCs/>
                <w:sz w:val="22"/>
                <w:szCs w:val="22"/>
              </w:rPr>
              <w:t xml:space="preserve">apkalpojošiem dienestiem, kuri </w:t>
            </w:r>
            <w:r w:rsidR="00416FB3" w:rsidRPr="00F76F3B">
              <w:rPr>
                <w:iCs/>
                <w:sz w:val="22"/>
                <w:szCs w:val="22"/>
              </w:rPr>
              <w:t xml:space="preserve">veic kases </w:t>
            </w:r>
            <w:r w:rsidR="00416FB3" w:rsidRPr="00F76F3B">
              <w:rPr>
                <w:iCs/>
                <w:sz w:val="22"/>
                <w:szCs w:val="22"/>
              </w:rPr>
              <w:lastRenderedPageBreak/>
              <w:t>aparātu, kases sistēmu, specializēto</w:t>
            </w:r>
            <w:r w:rsidRPr="00347BE8">
              <w:rPr>
                <w:iCs/>
                <w:sz w:val="22"/>
                <w:szCs w:val="22"/>
              </w:rPr>
              <w:t xml:space="preserve"> </w:t>
            </w:r>
            <w:r w:rsidR="00416FB3" w:rsidRPr="00347BE8">
              <w:rPr>
                <w:iCs/>
                <w:sz w:val="22"/>
                <w:szCs w:val="22"/>
              </w:rPr>
              <w:t>ierīču un iekārtu</w:t>
            </w:r>
            <w:r w:rsidRPr="00347BE8">
              <w:rPr>
                <w:iCs/>
                <w:sz w:val="22"/>
                <w:szCs w:val="22"/>
              </w:rPr>
              <w:t xml:space="preserve"> apkalpošanu un plomb</w:t>
            </w:r>
            <w:r w:rsidRPr="00551CA2">
              <w:rPr>
                <w:iCs/>
                <w:sz w:val="22"/>
                <w:szCs w:val="22"/>
              </w:rPr>
              <w:t>ē kases aparātus, kases sistēmas, specializētās ierīces un iekārtas saskaņ</w:t>
            </w:r>
            <w:r w:rsidR="00944CDE" w:rsidRPr="00551CA2">
              <w:rPr>
                <w:iCs/>
                <w:sz w:val="22"/>
                <w:szCs w:val="22"/>
              </w:rPr>
              <w:t>ā ar Ministru kabineta 2007.gada 2.maija</w:t>
            </w:r>
            <w:r w:rsidR="00F648DB" w:rsidRPr="00551CA2">
              <w:rPr>
                <w:iCs/>
                <w:sz w:val="22"/>
                <w:szCs w:val="22"/>
              </w:rPr>
              <w:t xml:space="preserve"> noteikumiem Nr.282 </w:t>
            </w:r>
            <w:r w:rsidR="00C92695" w:rsidRPr="00CA738D">
              <w:rPr>
                <w:sz w:val="22"/>
                <w:szCs w:val="22"/>
              </w:rPr>
              <w:t>“</w:t>
            </w:r>
            <w:r w:rsidR="00F648DB" w:rsidRPr="002B65E9">
              <w:rPr>
                <w:iCs/>
                <w:sz w:val="22"/>
                <w:szCs w:val="22"/>
              </w:rPr>
              <w:t>Nodokļu un citu maksājumu reģistrēšanas elektronisko ierīču un iekārtu lietošanas kārtība</w:t>
            </w:r>
            <w:r w:rsidR="00C92695" w:rsidRPr="00F76F3B">
              <w:rPr>
                <w:iCs/>
                <w:sz w:val="22"/>
                <w:szCs w:val="22"/>
              </w:rPr>
              <w:t>”</w:t>
            </w:r>
            <w:r w:rsidR="00C61C31" w:rsidRPr="00F76F3B">
              <w:rPr>
                <w:iCs/>
                <w:sz w:val="22"/>
                <w:szCs w:val="22"/>
              </w:rPr>
              <w:t>;</w:t>
            </w:r>
          </w:p>
          <w:p w:rsidR="008D270F" w:rsidRPr="00347BE8" w:rsidRDefault="00C824F8" w:rsidP="00CA738D">
            <w:pPr>
              <w:numPr>
                <w:ilvl w:val="0"/>
                <w:numId w:val="14"/>
              </w:numPr>
              <w:ind w:left="5" w:firstLine="355"/>
              <w:jc w:val="both"/>
              <w:rPr>
                <w:iCs/>
                <w:sz w:val="22"/>
                <w:szCs w:val="22"/>
              </w:rPr>
            </w:pPr>
            <w:r w:rsidRPr="00347BE8">
              <w:rPr>
                <w:iCs/>
                <w:sz w:val="22"/>
                <w:szCs w:val="22"/>
              </w:rPr>
              <w:t xml:space="preserve">akcīzes preču noliktavu turētājiem, kam licencē deklarēts attiecīgais darbības veids </w:t>
            </w:r>
            <w:r w:rsidRPr="00551CA2">
              <w:rPr>
                <w:sz w:val="22"/>
                <w:szCs w:val="22"/>
              </w:rPr>
              <w:t xml:space="preserve">– naftas produktu iezīmēšana (marķēšana) – un </w:t>
            </w:r>
            <w:r w:rsidRPr="00551CA2">
              <w:rPr>
                <w:iCs/>
                <w:sz w:val="22"/>
                <w:szCs w:val="22"/>
              </w:rPr>
              <w:t>kas iezīmētos (marķētos) naftas produktus realizē lietotājiem</w:t>
            </w:r>
            <w:r w:rsidRPr="00551CA2">
              <w:rPr>
                <w:sz w:val="22"/>
                <w:szCs w:val="22"/>
              </w:rPr>
              <w:t>. Akcīzes preču noliktavu turētājiem pirms produ</w:t>
            </w:r>
            <w:r w:rsidRPr="002E1A5C">
              <w:rPr>
                <w:sz w:val="22"/>
                <w:szCs w:val="22"/>
              </w:rPr>
              <w:t>ktu realizācijas lietotājiem saskaņā ar Ministru kabineta 2007.gada 31.jūlija noteikumiem Nr.525</w:t>
            </w:r>
            <w:r w:rsidR="008F0B50" w:rsidRPr="002E1A5C">
              <w:rPr>
                <w:sz w:val="22"/>
                <w:szCs w:val="22"/>
              </w:rPr>
              <w:t xml:space="preserve"> </w:t>
            </w:r>
            <w:r w:rsidR="00C92695" w:rsidRPr="00CA738D">
              <w:rPr>
                <w:sz w:val="22"/>
                <w:szCs w:val="22"/>
              </w:rPr>
              <w:t>“</w:t>
            </w:r>
            <w:r w:rsidR="008F0B50" w:rsidRPr="002B65E9">
              <w:rPr>
                <w:sz w:val="22"/>
                <w:szCs w:val="22"/>
              </w:rPr>
              <w:t>Kārtība, kādā atsevišķiem naftas produktiem piemēro samazinātu akcīzes nodokļa likmi vai atbrīvojumu no akcīzes nodokļa</w:t>
            </w:r>
            <w:r w:rsidR="00C92695" w:rsidRPr="00F76F3B">
              <w:rPr>
                <w:iCs/>
                <w:sz w:val="22"/>
                <w:szCs w:val="22"/>
              </w:rPr>
              <w:t>”</w:t>
            </w:r>
            <w:r w:rsidR="008F0B50" w:rsidRPr="00F76F3B">
              <w:rPr>
                <w:sz w:val="22"/>
                <w:szCs w:val="22"/>
              </w:rPr>
              <w:t xml:space="preserve"> </w:t>
            </w:r>
            <w:r w:rsidRPr="00F76F3B">
              <w:rPr>
                <w:sz w:val="22"/>
                <w:szCs w:val="22"/>
              </w:rPr>
              <w:t>jāsaņem dokuments par to atbilstību normatīvo aktu prasībām</w:t>
            </w:r>
            <w:r w:rsidR="00B621CE">
              <w:rPr>
                <w:sz w:val="22"/>
                <w:szCs w:val="22"/>
              </w:rPr>
              <w:t>.</w:t>
            </w:r>
          </w:p>
        </w:tc>
      </w:tr>
      <w:tr w:rsidR="0062298A" w:rsidRPr="00CA738D" w:rsidTr="00CA738D">
        <w:trPr>
          <w:trHeight w:val="523"/>
        </w:trPr>
        <w:tc>
          <w:tcPr>
            <w:tcW w:w="425" w:type="dxa"/>
          </w:tcPr>
          <w:p w:rsidR="0062298A" w:rsidRPr="00CA738D" w:rsidRDefault="0062298A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CA738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395" w:type="dxa"/>
          </w:tcPr>
          <w:p w:rsidR="00775DE5" w:rsidRPr="00CA738D" w:rsidRDefault="00C27A08" w:rsidP="00167C4E">
            <w:pPr>
              <w:pStyle w:val="naiskr"/>
              <w:spacing w:before="0" w:after="0"/>
              <w:rPr>
                <w:color w:val="808080"/>
                <w:sz w:val="22"/>
                <w:szCs w:val="22"/>
              </w:rPr>
            </w:pPr>
            <w:r w:rsidRPr="00CA738D">
              <w:rPr>
                <w:sz w:val="22"/>
                <w:szCs w:val="22"/>
              </w:rPr>
              <w:t xml:space="preserve">Citas sabiedrības grupas (bez </w:t>
            </w:r>
            <w:proofErr w:type="spellStart"/>
            <w:r w:rsidRPr="00CA738D">
              <w:rPr>
                <w:sz w:val="22"/>
                <w:szCs w:val="22"/>
              </w:rPr>
              <w:t>mērķgrupas</w:t>
            </w:r>
            <w:proofErr w:type="spellEnd"/>
            <w:r w:rsidRPr="00CA738D">
              <w:rPr>
                <w:sz w:val="22"/>
                <w:szCs w:val="22"/>
              </w:rPr>
              <w:t>), kuras tiesiskais regulējums arī ietekmē vai varētu ietekmēt</w:t>
            </w:r>
          </w:p>
        </w:tc>
        <w:tc>
          <w:tcPr>
            <w:tcW w:w="4791" w:type="dxa"/>
          </w:tcPr>
          <w:p w:rsidR="0062298A" w:rsidRPr="00CA738D" w:rsidRDefault="00C92695" w:rsidP="00C92695">
            <w:pPr>
              <w:pStyle w:val="naiskr"/>
              <w:spacing w:before="0" w:after="0"/>
              <w:jc w:val="both"/>
              <w:rPr>
                <w:color w:val="808080"/>
                <w:sz w:val="22"/>
                <w:szCs w:val="22"/>
              </w:rPr>
            </w:pPr>
            <w:r w:rsidRPr="00CA738D">
              <w:rPr>
                <w:sz w:val="22"/>
                <w:szCs w:val="22"/>
              </w:rPr>
              <w:t>Nav</w:t>
            </w:r>
          </w:p>
        </w:tc>
      </w:tr>
      <w:tr w:rsidR="0062298A" w:rsidRPr="00CA738D" w:rsidTr="00CA738D">
        <w:trPr>
          <w:trHeight w:val="281"/>
        </w:trPr>
        <w:tc>
          <w:tcPr>
            <w:tcW w:w="425" w:type="dxa"/>
          </w:tcPr>
          <w:p w:rsidR="0062298A" w:rsidRPr="00CA738D" w:rsidRDefault="0062298A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CA738D">
              <w:rPr>
                <w:sz w:val="22"/>
                <w:szCs w:val="22"/>
              </w:rPr>
              <w:t>3.</w:t>
            </w:r>
          </w:p>
        </w:tc>
        <w:tc>
          <w:tcPr>
            <w:tcW w:w="4395" w:type="dxa"/>
          </w:tcPr>
          <w:p w:rsidR="00C1133D" w:rsidRPr="00CA738D" w:rsidRDefault="000C790C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CA738D">
              <w:rPr>
                <w:sz w:val="22"/>
                <w:szCs w:val="22"/>
              </w:rPr>
              <w:t>Tiesiskā r</w:t>
            </w:r>
            <w:r w:rsidR="003D21FF" w:rsidRPr="00CA738D">
              <w:rPr>
                <w:sz w:val="22"/>
                <w:szCs w:val="22"/>
              </w:rPr>
              <w:t>egulējuma</w:t>
            </w:r>
            <w:r w:rsidR="00C27A08" w:rsidRPr="00CA738D">
              <w:rPr>
                <w:sz w:val="22"/>
                <w:szCs w:val="22"/>
              </w:rPr>
              <w:t xml:space="preserve"> finansiālā ietekme</w:t>
            </w:r>
          </w:p>
          <w:p w:rsidR="00775DE5" w:rsidRPr="00CA738D" w:rsidRDefault="00775DE5" w:rsidP="006C4607">
            <w:pPr>
              <w:pStyle w:val="naiskr"/>
              <w:spacing w:before="0" w:after="0"/>
              <w:rPr>
                <w:color w:val="808080"/>
                <w:sz w:val="22"/>
                <w:szCs w:val="22"/>
              </w:rPr>
            </w:pPr>
          </w:p>
        </w:tc>
        <w:tc>
          <w:tcPr>
            <w:tcW w:w="4791" w:type="dxa"/>
          </w:tcPr>
          <w:p w:rsidR="0062298A" w:rsidRPr="00347BE8" w:rsidRDefault="00CA50B8" w:rsidP="00F76F3B">
            <w:pPr>
              <w:jc w:val="both"/>
              <w:rPr>
                <w:sz w:val="22"/>
                <w:szCs w:val="22"/>
              </w:rPr>
            </w:pPr>
            <w:r w:rsidRPr="00CA738D">
              <w:rPr>
                <w:sz w:val="22"/>
                <w:szCs w:val="22"/>
              </w:rPr>
              <w:t>Valsts ieņēmumu dienestam</w:t>
            </w:r>
            <w:r w:rsidR="0075738B" w:rsidRPr="00CA738D">
              <w:rPr>
                <w:sz w:val="22"/>
                <w:szCs w:val="22"/>
              </w:rPr>
              <w:t>,</w:t>
            </w:r>
            <w:r w:rsidRPr="00CA738D">
              <w:rPr>
                <w:sz w:val="22"/>
                <w:szCs w:val="22"/>
              </w:rPr>
              <w:t xml:space="preserve"> </w:t>
            </w:r>
            <w:r w:rsidR="00E546E0" w:rsidRPr="00CA738D">
              <w:rPr>
                <w:sz w:val="22"/>
                <w:szCs w:val="22"/>
              </w:rPr>
              <w:t>izstrādājot</w:t>
            </w:r>
            <w:r w:rsidRPr="00CA738D">
              <w:rPr>
                <w:sz w:val="22"/>
                <w:szCs w:val="22"/>
              </w:rPr>
              <w:t xml:space="preserve"> Ministru kabineta noteikum</w:t>
            </w:r>
            <w:r w:rsidR="00E546E0" w:rsidRPr="00CA738D">
              <w:rPr>
                <w:sz w:val="22"/>
                <w:szCs w:val="22"/>
              </w:rPr>
              <w:t>u</w:t>
            </w:r>
            <w:r w:rsidR="00980C8F" w:rsidRPr="00CA738D">
              <w:rPr>
                <w:sz w:val="22"/>
                <w:szCs w:val="22"/>
              </w:rPr>
              <w:t xml:space="preserve"> projektu</w:t>
            </w:r>
            <w:r w:rsidRPr="00CA738D">
              <w:rPr>
                <w:sz w:val="22"/>
                <w:szCs w:val="22"/>
              </w:rPr>
              <w:t xml:space="preserve"> “Valsts ieņēmumu dienesta </w:t>
            </w:r>
            <w:r w:rsidR="00441A4D" w:rsidRPr="00CA738D">
              <w:rPr>
                <w:sz w:val="22"/>
                <w:szCs w:val="22"/>
              </w:rPr>
              <w:t>maksas pakalpojumu cenrādis</w:t>
            </w:r>
            <w:r w:rsidRPr="00CA738D">
              <w:rPr>
                <w:sz w:val="22"/>
                <w:szCs w:val="22"/>
              </w:rPr>
              <w:t>”</w:t>
            </w:r>
            <w:r w:rsidR="0075738B" w:rsidRPr="00CA738D">
              <w:rPr>
                <w:sz w:val="22"/>
                <w:szCs w:val="22"/>
              </w:rPr>
              <w:t xml:space="preserve"> atbilstoši</w:t>
            </w:r>
            <w:r w:rsidRPr="00CA738D">
              <w:rPr>
                <w:sz w:val="22"/>
                <w:szCs w:val="22"/>
              </w:rPr>
              <w:t xml:space="preserve"> </w:t>
            </w:r>
            <w:r w:rsidR="009E18A4" w:rsidRPr="00CA738D">
              <w:rPr>
                <w:i/>
                <w:sz w:val="22"/>
                <w:szCs w:val="22"/>
              </w:rPr>
              <w:t>Euro</w:t>
            </w:r>
            <w:r w:rsidR="0075738B" w:rsidRPr="00CA738D">
              <w:rPr>
                <w:sz w:val="22"/>
                <w:szCs w:val="22"/>
              </w:rPr>
              <w:t xml:space="preserve"> ieviešanas kārtības likum</w:t>
            </w:r>
            <w:r w:rsidR="00902F64" w:rsidRPr="00CA738D">
              <w:rPr>
                <w:sz w:val="22"/>
                <w:szCs w:val="22"/>
              </w:rPr>
              <w:t>a</w:t>
            </w:r>
            <w:r w:rsidR="0075738B" w:rsidRPr="00CA738D">
              <w:rPr>
                <w:sz w:val="22"/>
                <w:szCs w:val="22"/>
              </w:rPr>
              <w:t xml:space="preserve"> 6.pantam</w:t>
            </w:r>
            <w:r w:rsidR="009E18A4" w:rsidRPr="00CA738D">
              <w:rPr>
                <w:sz w:val="22"/>
                <w:szCs w:val="22"/>
              </w:rPr>
              <w:t xml:space="preserve">, </w:t>
            </w:r>
            <w:r w:rsidR="00842AA1" w:rsidRPr="00CA738D">
              <w:rPr>
                <w:sz w:val="22"/>
                <w:szCs w:val="22"/>
              </w:rPr>
              <w:t xml:space="preserve">noapaļošanas rezultātā </w:t>
            </w:r>
            <w:r w:rsidRPr="00CA738D">
              <w:rPr>
                <w:sz w:val="22"/>
                <w:szCs w:val="22"/>
              </w:rPr>
              <w:t xml:space="preserve">radīsies nebūtiskas </w:t>
            </w:r>
            <w:r w:rsidR="00842AA1" w:rsidRPr="00CA738D">
              <w:rPr>
                <w:sz w:val="22"/>
                <w:szCs w:val="22"/>
              </w:rPr>
              <w:t>izmaksa</w:t>
            </w:r>
            <w:r w:rsidR="00AC4C80" w:rsidRPr="00CA738D">
              <w:rPr>
                <w:sz w:val="22"/>
                <w:szCs w:val="22"/>
              </w:rPr>
              <w:t>s</w:t>
            </w:r>
            <w:r w:rsidR="00E171E1" w:rsidRPr="00CA738D">
              <w:rPr>
                <w:sz w:val="22"/>
                <w:szCs w:val="22"/>
              </w:rPr>
              <w:t>,</w:t>
            </w:r>
            <w:r w:rsidR="00442E96" w:rsidRPr="00CA738D">
              <w:rPr>
                <w:sz w:val="22"/>
                <w:szCs w:val="22"/>
              </w:rPr>
              <w:t xml:space="preserve"> t.i.,</w:t>
            </w:r>
            <w:r w:rsidR="00842AA1" w:rsidRPr="00CA738D">
              <w:rPr>
                <w:sz w:val="22"/>
                <w:szCs w:val="22"/>
              </w:rPr>
              <w:t xml:space="preserve"> aptuveni Ls </w:t>
            </w:r>
            <w:r w:rsidR="00F76F3B">
              <w:rPr>
                <w:sz w:val="22"/>
                <w:szCs w:val="22"/>
              </w:rPr>
              <w:t>30</w:t>
            </w:r>
            <w:r w:rsidR="00842AA1" w:rsidRPr="00F76F3B">
              <w:rPr>
                <w:sz w:val="22"/>
                <w:szCs w:val="22"/>
              </w:rPr>
              <w:t xml:space="preserve"> gadā</w:t>
            </w:r>
            <w:r w:rsidR="00666C6F">
              <w:rPr>
                <w:sz w:val="22"/>
                <w:szCs w:val="22"/>
              </w:rPr>
              <w:t>, kas tiks nodrošinātas piešķirtā budžeta līdzekļu ietvaros</w:t>
            </w:r>
            <w:r w:rsidR="00B621CE">
              <w:rPr>
                <w:sz w:val="22"/>
                <w:szCs w:val="22"/>
              </w:rPr>
              <w:t>.</w:t>
            </w:r>
          </w:p>
        </w:tc>
      </w:tr>
      <w:tr w:rsidR="00C27A08" w:rsidRPr="00CA738D" w:rsidTr="00D44A59">
        <w:trPr>
          <w:trHeight w:val="219"/>
        </w:trPr>
        <w:tc>
          <w:tcPr>
            <w:tcW w:w="425" w:type="dxa"/>
          </w:tcPr>
          <w:p w:rsidR="00C27A08" w:rsidRPr="00CA738D" w:rsidRDefault="00C27A08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CA738D">
              <w:rPr>
                <w:sz w:val="22"/>
                <w:szCs w:val="22"/>
              </w:rPr>
              <w:t>4.</w:t>
            </w:r>
          </w:p>
        </w:tc>
        <w:tc>
          <w:tcPr>
            <w:tcW w:w="4395" w:type="dxa"/>
          </w:tcPr>
          <w:p w:rsidR="00C27A08" w:rsidRPr="00CA738D" w:rsidRDefault="00C27A08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CA738D">
              <w:rPr>
                <w:sz w:val="22"/>
                <w:szCs w:val="22"/>
              </w:rPr>
              <w:t>Tiesiskā regulējuma nefinansiālā ietekme</w:t>
            </w:r>
          </w:p>
          <w:p w:rsidR="00775DE5" w:rsidRPr="00CA738D" w:rsidRDefault="00775DE5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791" w:type="dxa"/>
          </w:tcPr>
          <w:p w:rsidR="00C27A08" w:rsidRPr="00551CA2" w:rsidRDefault="00C92695" w:rsidP="00C92695">
            <w:pPr>
              <w:pStyle w:val="naiskr"/>
              <w:spacing w:before="0" w:after="0"/>
              <w:jc w:val="both"/>
              <w:rPr>
                <w:color w:val="808080"/>
                <w:sz w:val="22"/>
                <w:szCs w:val="22"/>
              </w:rPr>
            </w:pPr>
            <w:r w:rsidRPr="00551CA2">
              <w:rPr>
                <w:sz w:val="22"/>
                <w:szCs w:val="22"/>
              </w:rPr>
              <w:t>Nav</w:t>
            </w:r>
          </w:p>
        </w:tc>
      </w:tr>
      <w:tr w:rsidR="0062298A" w:rsidRPr="00CA738D" w:rsidTr="00D44A59">
        <w:trPr>
          <w:trHeight w:val="60"/>
        </w:trPr>
        <w:tc>
          <w:tcPr>
            <w:tcW w:w="425" w:type="dxa"/>
          </w:tcPr>
          <w:p w:rsidR="0062298A" w:rsidRPr="00CA738D" w:rsidRDefault="00C27A08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CA738D">
              <w:rPr>
                <w:sz w:val="22"/>
                <w:szCs w:val="22"/>
              </w:rPr>
              <w:t>5</w:t>
            </w:r>
            <w:r w:rsidR="0062298A" w:rsidRPr="00CA738D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C1133D" w:rsidRPr="00CA738D" w:rsidRDefault="00C1133D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CA738D">
              <w:rPr>
                <w:sz w:val="22"/>
                <w:szCs w:val="22"/>
              </w:rPr>
              <w:t>Administratīv</w:t>
            </w:r>
            <w:r w:rsidR="00C27A08" w:rsidRPr="00CA738D">
              <w:rPr>
                <w:sz w:val="22"/>
                <w:szCs w:val="22"/>
              </w:rPr>
              <w:t>ās</w:t>
            </w:r>
            <w:r w:rsidRPr="00CA738D">
              <w:rPr>
                <w:sz w:val="22"/>
                <w:szCs w:val="22"/>
              </w:rPr>
              <w:t xml:space="preserve"> procedūr</w:t>
            </w:r>
            <w:r w:rsidR="00965897" w:rsidRPr="00CA738D">
              <w:rPr>
                <w:sz w:val="22"/>
                <w:szCs w:val="22"/>
              </w:rPr>
              <w:t>a</w:t>
            </w:r>
            <w:r w:rsidRPr="00CA738D">
              <w:rPr>
                <w:sz w:val="22"/>
                <w:szCs w:val="22"/>
              </w:rPr>
              <w:t xml:space="preserve">s </w:t>
            </w:r>
            <w:r w:rsidR="00C27A08" w:rsidRPr="00CA738D">
              <w:rPr>
                <w:sz w:val="22"/>
                <w:szCs w:val="22"/>
              </w:rPr>
              <w:t>raksturojums</w:t>
            </w:r>
          </w:p>
          <w:p w:rsidR="00775DE5" w:rsidRPr="00CA738D" w:rsidRDefault="00775DE5" w:rsidP="00167C4E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791" w:type="dxa"/>
          </w:tcPr>
          <w:p w:rsidR="0062298A" w:rsidRPr="00CA738D" w:rsidRDefault="00C92695" w:rsidP="00C92695">
            <w:pPr>
              <w:pStyle w:val="naiskr"/>
              <w:spacing w:before="0" w:after="0"/>
              <w:jc w:val="both"/>
              <w:rPr>
                <w:color w:val="FF0000"/>
                <w:sz w:val="22"/>
                <w:szCs w:val="22"/>
              </w:rPr>
            </w:pPr>
            <w:r w:rsidRPr="00CA738D">
              <w:rPr>
                <w:sz w:val="22"/>
                <w:szCs w:val="22"/>
              </w:rPr>
              <w:t>Nav</w:t>
            </w:r>
          </w:p>
        </w:tc>
      </w:tr>
      <w:tr w:rsidR="0062298A" w:rsidRPr="00CA738D" w:rsidTr="00D44A59">
        <w:trPr>
          <w:trHeight w:val="60"/>
        </w:trPr>
        <w:tc>
          <w:tcPr>
            <w:tcW w:w="425" w:type="dxa"/>
          </w:tcPr>
          <w:p w:rsidR="0062298A" w:rsidRPr="00CA738D" w:rsidRDefault="00C27A08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CA738D">
              <w:rPr>
                <w:sz w:val="22"/>
                <w:szCs w:val="22"/>
              </w:rPr>
              <w:t>6</w:t>
            </w:r>
            <w:r w:rsidR="0062298A" w:rsidRPr="00CA738D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AE5066" w:rsidRPr="00CA738D" w:rsidRDefault="00C27A08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CA738D">
              <w:rPr>
                <w:sz w:val="22"/>
                <w:szCs w:val="22"/>
              </w:rPr>
              <w:t xml:space="preserve">Administratīvo izmaksu </w:t>
            </w:r>
            <w:r w:rsidR="00502374" w:rsidRPr="00CA738D">
              <w:rPr>
                <w:sz w:val="22"/>
                <w:szCs w:val="22"/>
              </w:rPr>
              <w:t xml:space="preserve">monetārs </w:t>
            </w:r>
            <w:r w:rsidRPr="00CA738D">
              <w:rPr>
                <w:sz w:val="22"/>
                <w:szCs w:val="22"/>
              </w:rPr>
              <w:t>novērtējums</w:t>
            </w:r>
          </w:p>
          <w:p w:rsidR="00775DE5" w:rsidRPr="00CA738D" w:rsidRDefault="00775DE5" w:rsidP="00775DE5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791" w:type="dxa"/>
          </w:tcPr>
          <w:p w:rsidR="0062298A" w:rsidRPr="00F76F3B" w:rsidRDefault="00C92695" w:rsidP="00980C8F">
            <w:pPr>
              <w:jc w:val="both"/>
              <w:rPr>
                <w:sz w:val="22"/>
                <w:szCs w:val="22"/>
              </w:rPr>
            </w:pPr>
            <w:r w:rsidRPr="00F76F3B">
              <w:rPr>
                <w:sz w:val="22"/>
                <w:szCs w:val="22"/>
              </w:rPr>
              <w:t>Nav</w:t>
            </w:r>
          </w:p>
        </w:tc>
      </w:tr>
      <w:tr w:rsidR="0062298A" w:rsidRPr="00CA738D" w:rsidTr="00CA738D">
        <w:tc>
          <w:tcPr>
            <w:tcW w:w="425" w:type="dxa"/>
          </w:tcPr>
          <w:p w:rsidR="0062298A" w:rsidRPr="00CA738D" w:rsidRDefault="00C27A08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CA738D">
              <w:rPr>
                <w:sz w:val="22"/>
                <w:szCs w:val="22"/>
              </w:rPr>
              <w:t>7</w:t>
            </w:r>
            <w:r w:rsidR="0062298A" w:rsidRPr="00CA738D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775DE5" w:rsidRPr="00CA738D" w:rsidRDefault="009E12D7" w:rsidP="00167C4E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CA738D">
              <w:rPr>
                <w:sz w:val="22"/>
                <w:szCs w:val="22"/>
              </w:rPr>
              <w:t>Cita informācija</w:t>
            </w:r>
          </w:p>
        </w:tc>
        <w:tc>
          <w:tcPr>
            <w:tcW w:w="4791" w:type="dxa"/>
          </w:tcPr>
          <w:p w:rsidR="0062298A" w:rsidRPr="00CA738D" w:rsidRDefault="00C92695" w:rsidP="00BF3B77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 w:rsidRPr="00CA738D">
              <w:rPr>
                <w:sz w:val="22"/>
                <w:szCs w:val="22"/>
              </w:rPr>
              <w:t>N</w:t>
            </w:r>
            <w:r w:rsidR="001029F7" w:rsidRPr="00CA738D">
              <w:rPr>
                <w:sz w:val="22"/>
                <w:szCs w:val="22"/>
              </w:rPr>
              <w:t>av</w:t>
            </w:r>
          </w:p>
        </w:tc>
      </w:tr>
    </w:tbl>
    <w:p w:rsidR="008C5649" w:rsidRPr="00CA738D" w:rsidRDefault="008C5649" w:rsidP="00D44A59">
      <w:pPr>
        <w:pStyle w:val="naisf"/>
        <w:spacing w:before="0" w:after="0"/>
        <w:ind w:firstLine="0"/>
        <w:rPr>
          <w:sz w:val="22"/>
          <w:szCs w:val="22"/>
        </w:rPr>
      </w:pPr>
    </w:p>
    <w:p w:rsidR="0015060C" w:rsidRPr="00CA738D" w:rsidRDefault="002120FF" w:rsidP="002E1A5C">
      <w:pPr>
        <w:pStyle w:val="naiskr"/>
        <w:tabs>
          <w:tab w:val="left" w:pos="2628"/>
        </w:tabs>
        <w:spacing w:before="0" w:after="0"/>
        <w:ind w:firstLine="720"/>
        <w:jc w:val="both"/>
        <w:rPr>
          <w:sz w:val="28"/>
          <w:szCs w:val="28"/>
        </w:rPr>
      </w:pPr>
      <w:r w:rsidRPr="00CA738D">
        <w:rPr>
          <w:sz w:val="28"/>
          <w:szCs w:val="28"/>
        </w:rPr>
        <w:t xml:space="preserve">Anotācijas </w:t>
      </w:r>
      <w:r w:rsidR="00C00368">
        <w:rPr>
          <w:sz w:val="28"/>
          <w:szCs w:val="28"/>
        </w:rPr>
        <w:t xml:space="preserve">III, </w:t>
      </w:r>
      <w:r w:rsidRPr="00CA738D">
        <w:rPr>
          <w:sz w:val="28"/>
          <w:szCs w:val="28"/>
        </w:rPr>
        <w:t>IV, V</w:t>
      </w:r>
      <w:r w:rsidR="00902F64" w:rsidRPr="00CA738D">
        <w:rPr>
          <w:sz w:val="28"/>
          <w:szCs w:val="28"/>
        </w:rPr>
        <w:t>,</w:t>
      </w:r>
      <w:r w:rsidRPr="00CA738D">
        <w:rPr>
          <w:sz w:val="28"/>
          <w:szCs w:val="28"/>
        </w:rPr>
        <w:t xml:space="preserve"> V</w:t>
      </w:r>
      <w:r w:rsidR="009C1787" w:rsidRPr="00CA738D">
        <w:rPr>
          <w:sz w:val="28"/>
          <w:szCs w:val="28"/>
        </w:rPr>
        <w:t>I</w:t>
      </w:r>
      <w:r w:rsidR="00902F64" w:rsidRPr="00CA738D">
        <w:rPr>
          <w:sz w:val="28"/>
          <w:szCs w:val="28"/>
        </w:rPr>
        <w:t xml:space="preserve"> un VII</w:t>
      </w:r>
      <w:r w:rsidRPr="00CA738D">
        <w:rPr>
          <w:sz w:val="28"/>
          <w:szCs w:val="28"/>
        </w:rPr>
        <w:t xml:space="preserve"> sadaļa – </w:t>
      </w:r>
      <w:r w:rsidR="004F6191" w:rsidRPr="00CA738D">
        <w:rPr>
          <w:sz w:val="28"/>
          <w:szCs w:val="28"/>
        </w:rPr>
        <w:t>projekts šīs jomas neskar</w:t>
      </w:r>
      <w:r w:rsidR="00A53B80" w:rsidRPr="00CA738D">
        <w:rPr>
          <w:sz w:val="28"/>
          <w:szCs w:val="28"/>
        </w:rPr>
        <w:t>.</w:t>
      </w:r>
    </w:p>
    <w:p w:rsidR="007A3877" w:rsidRPr="00D44A59" w:rsidRDefault="007A3877" w:rsidP="00D44A59">
      <w:pPr>
        <w:pStyle w:val="naiskr"/>
        <w:tabs>
          <w:tab w:val="left" w:pos="2628"/>
        </w:tabs>
        <w:spacing w:before="0" w:after="0"/>
        <w:jc w:val="both"/>
        <w:rPr>
          <w:sz w:val="28"/>
          <w:szCs w:val="28"/>
        </w:rPr>
      </w:pPr>
    </w:p>
    <w:p w:rsidR="00214094" w:rsidRPr="007C0F2C" w:rsidRDefault="00214094" w:rsidP="00D44A59">
      <w:pPr>
        <w:pStyle w:val="naisf"/>
        <w:tabs>
          <w:tab w:val="left" w:pos="5760"/>
        </w:tabs>
        <w:spacing w:before="0" w:after="0"/>
        <w:ind w:firstLine="0"/>
        <w:rPr>
          <w:sz w:val="28"/>
          <w:szCs w:val="28"/>
        </w:rPr>
      </w:pPr>
    </w:p>
    <w:p w:rsidR="008D5DC0" w:rsidRDefault="008D5DC0" w:rsidP="008D5DC0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prezidents                                                            </w:t>
      </w:r>
      <w:r w:rsidR="009C178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8D5DC0" w:rsidRDefault="008D5DC0" w:rsidP="00D44A59">
      <w:pPr>
        <w:pStyle w:val="naisf"/>
        <w:spacing w:before="0" w:after="0"/>
        <w:ind w:firstLine="0"/>
        <w:rPr>
          <w:sz w:val="28"/>
          <w:szCs w:val="28"/>
        </w:rPr>
      </w:pPr>
    </w:p>
    <w:p w:rsidR="009C1787" w:rsidRDefault="009C1787" w:rsidP="00D44A59">
      <w:pPr>
        <w:pStyle w:val="naisf"/>
        <w:spacing w:before="0" w:after="0"/>
        <w:ind w:firstLine="0"/>
        <w:rPr>
          <w:sz w:val="28"/>
          <w:szCs w:val="28"/>
        </w:rPr>
      </w:pPr>
    </w:p>
    <w:p w:rsidR="008D5DC0" w:rsidRDefault="008D5DC0" w:rsidP="008D5DC0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Finanšu ministrs                                                                </w:t>
      </w:r>
      <w:r w:rsidR="009C1787">
        <w:rPr>
          <w:sz w:val="28"/>
          <w:szCs w:val="28"/>
        </w:rPr>
        <w:tab/>
      </w:r>
      <w:r w:rsidR="006D6112">
        <w:rPr>
          <w:sz w:val="28"/>
          <w:szCs w:val="28"/>
        </w:rPr>
        <w:t>A.Vilks</w:t>
      </w:r>
    </w:p>
    <w:p w:rsidR="008D5DC0" w:rsidRPr="002C61CF" w:rsidRDefault="008D5DC0" w:rsidP="00D44A59">
      <w:pPr>
        <w:pStyle w:val="naisf"/>
        <w:spacing w:before="0" w:after="0"/>
        <w:ind w:firstLine="0"/>
        <w:rPr>
          <w:sz w:val="28"/>
          <w:szCs w:val="28"/>
        </w:rPr>
      </w:pPr>
    </w:p>
    <w:p w:rsidR="008D5DC0" w:rsidRPr="002C61CF" w:rsidRDefault="008D5DC0" w:rsidP="00D44A59">
      <w:pPr>
        <w:pStyle w:val="BodyText"/>
        <w:jc w:val="left"/>
        <w:rPr>
          <w:szCs w:val="28"/>
        </w:rPr>
      </w:pPr>
    </w:p>
    <w:p w:rsidR="00036801" w:rsidRDefault="00036801" w:rsidP="002C61CF">
      <w:r>
        <w:fldChar w:fldCharType="begin"/>
      </w:r>
      <w:r>
        <w:instrText xml:space="preserve"> DATE  \@ "dd.MM.yyyy H:mm"  \* MERGEFORMAT </w:instrText>
      </w:r>
      <w:r>
        <w:fldChar w:fldCharType="separate"/>
      </w:r>
      <w:r w:rsidR="00C372C8">
        <w:rPr>
          <w:noProof/>
        </w:rPr>
        <w:t>23.08.2013 16:02</w:t>
      </w:r>
      <w:r>
        <w:fldChar w:fldCharType="end"/>
      </w:r>
    </w:p>
    <w:p w:rsidR="004F6191" w:rsidRDefault="007B4949" w:rsidP="002C61CF">
      <w:r>
        <w:fldChar w:fldCharType="begin"/>
      </w:r>
      <w:r>
        <w:instrText xml:space="preserve"> NUMWORDS   \* MERGEFORMAT </w:instrText>
      </w:r>
      <w:r>
        <w:fldChar w:fldCharType="separate"/>
      </w:r>
      <w:r w:rsidR="00D44A59">
        <w:rPr>
          <w:noProof/>
        </w:rPr>
        <w:t>502</w:t>
      </w:r>
      <w:r>
        <w:rPr>
          <w:noProof/>
        </w:rPr>
        <w:fldChar w:fldCharType="end"/>
      </w:r>
    </w:p>
    <w:p w:rsidR="008D5DC0" w:rsidRDefault="00036801" w:rsidP="002C61CF">
      <w:r>
        <w:t>K.Vīksne</w:t>
      </w:r>
    </w:p>
    <w:p w:rsidR="00685ABC" w:rsidRPr="007C0F2C" w:rsidRDefault="00036801" w:rsidP="009B0110">
      <w:pPr>
        <w:rPr>
          <w:sz w:val="28"/>
          <w:szCs w:val="28"/>
        </w:rPr>
      </w:pPr>
      <w:r>
        <w:t>67090295</w:t>
      </w:r>
      <w:r w:rsidR="00C3073E" w:rsidRPr="007A3877">
        <w:t>,</w:t>
      </w:r>
      <w:r w:rsidR="008D5DC0" w:rsidRPr="007A3877">
        <w:t xml:space="preserve"> </w:t>
      </w:r>
      <w:hyperlink r:id="rId12" w:history="1">
        <w:r w:rsidRPr="00036801">
          <w:rPr>
            <w:rStyle w:val="Hyperlink"/>
          </w:rPr>
          <w:t>Kristaps.Viksne@vid.gov.lv</w:t>
        </w:r>
      </w:hyperlink>
    </w:p>
    <w:sectPr w:rsidR="00685ABC" w:rsidRPr="007C0F2C" w:rsidSect="00D44A59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49" w:rsidRDefault="007B4949">
      <w:r>
        <w:separator/>
      </w:r>
    </w:p>
  </w:endnote>
  <w:endnote w:type="continuationSeparator" w:id="0">
    <w:p w:rsidR="007B4949" w:rsidRDefault="007B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D6" w:rsidRPr="00A940FF" w:rsidRDefault="00036801" w:rsidP="00CA738D">
    <w:pPr>
      <w:pStyle w:val="Footer"/>
      <w:jc w:val="both"/>
      <w:rPr>
        <w:sz w:val="20"/>
        <w:szCs w:val="20"/>
      </w:rPr>
    </w:pPr>
    <w:r w:rsidRPr="00A940FF">
      <w:rPr>
        <w:sz w:val="20"/>
        <w:szCs w:val="20"/>
      </w:rPr>
      <w:fldChar w:fldCharType="begin"/>
    </w:r>
    <w:r w:rsidRPr="00A940FF">
      <w:rPr>
        <w:sz w:val="20"/>
        <w:szCs w:val="20"/>
      </w:rPr>
      <w:instrText xml:space="preserve"> FILENAME   \* MERGEFORMAT </w:instrText>
    </w:r>
    <w:r w:rsidRPr="00A940FF">
      <w:rPr>
        <w:sz w:val="20"/>
        <w:szCs w:val="20"/>
      </w:rPr>
      <w:fldChar w:fldCharType="separate"/>
    </w:r>
    <w:r w:rsidR="00C372C8">
      <w:rPr>
        <w:noProof/>
        <w:sz w:val="20"/>
        <w:szCs w:val="20"/>
      </w:rPr>
      <w:t>FMAnot_230813_VIDcenr</w:t>
    </w:r>
    <w:r w:rsidRPr="00A940FF">
      <w:rPr>
        <w:sz w:val="20"/>
        <w:szCs w:val="20"/>
      </w:rPr>
      <w:fldChar w:fldCharType="end"/>
    </w:r>
    <w:r w:rsidR="001908CE" w:rsidRPr="00A940FF">
      <w:rPr>
        <w:sz w:val="20"/>
        <w:szCs w:val="20"/>
      </w:rPr>
      <w:t xml:space="preserve">; Ministru kabineta noteikumu projekta </w:t>
    </w:r>
    <w:r w:rsidR="001908CE" w:rsidRPr="00A940FF">
      <w:rPr>
        <w:rFonts w:cs="RimTimes"/>
        <w:sz w:val="20"/>
        <w:szCs w:val="20"/>
      </w:rPr>
      <w:t>“</w:t>
    </w:r>
    <w:r w:rsidR="001908CE" w:rsidRPr="00A940FF">
      <w:rPr>
        <w:bCs/>
        <w:sz w:val="20"/>
        <w:szCs w:val="20"/>
      </w:rPr>
      <w:t>Valsts ieņēmumu dienesta maksas pakalpojumu cenrādis</w:t>
    </w:r>
    <w:r w:rsidR="001908CE" w:rsidRPr="00A940FF">
      <w:rPr>
        <w:sz w:val="20"/>
        <w:szCs w:val="20"/>
      </w:rPr>
      <w:t>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58" w:rsidRPr="001908CE" w:rsidRDefault="00036801" w:rsidP="00CA738D">
    <w:pPr>
      <w:pStyle w:val="Footer"/>
      <w:jc w:val="both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C372C8">
      <w:rPr>
        <w:noProof/>
        <w:sz w:val="18"/>
        <w:szCs w:val="18"/>
      </w:rPr>
      <w:t>FMAnot_230813_VIDcenr</w:t>
    </w:r>
    <w:r>
      <w:rPr>
        <w:sz w:val="18"/>
        <w:szCs w:val="18"/>
      </w:rPr>
      <w:fldChar w:fldCharType="end"/>
    </w:r>
    <w:r w:rsidR="001908CE" w:rsidRPr="005815E8">
      <w:rPr>
        <w:sz w:val="18"/>
        <w:szCs w:val="18"/>
      </w:rPr>
      <w:t xml:space="preserve">; </w:t>
    </w:r>
    <w:r w:rsidR="001908CE" w:rsidRPr="00EF51BE">
      <w:rPr>
        <w:sz w:val="20"/>
      </w:rPr>
      <w:t xml:space="preserve">Ministru kabineta noteikumu projekta </w:t>
    </w:r>
    <w:r w:rsidR="001908CE">
      <w:rPr>
        <w:rFonts w:cs="RimTimes"/>
        <w:sz w:val="20"/>
      </w:rPr>
      <w:t>“</w:t>
    </w:r>
    <w:r w:rsidR="001908CE" w:rsidRPr="00EF51BE">
      <w:rPr>
        <w:bCs/>
        <w:sz w:val="20"/>
      </w:rPr>
      <w:t>Valsts ieņēmumu dienesta maksas pakalpojumu cenrādi</w:t>
    </w:r>
    <w:r w:rsidR="001908CE">
      <w:rPr>
        <w:bCs/>
        <w:sz w:val="20"/>
      </w:rPr>
      <w:t>s</w:t>
    </w:r>
    <w:r w:rsidR="001908CE">
      <w:rPr>
        <w:sz w:val="20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49" w:rsidRDefault="007B4949">
      <w:r>
        <w:separator/>
      </w:r>
    </w:p>
  </w:footnote>
  <w:footnote w:type="continuationSeparator" w:id="0">
    <w:p w:rsidR="007B4949" w:rsidRDefault="007B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D6" w:rsidRDefault="00C241D6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41D6" w:rsidRDefault="00C241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D6" w:rsidRDefault="00C241D6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72C8">
      <w:rPr>
        <w:rStyle w:val="PageNumber"/>
        <w:noProof/>
      </w:rPr>
      <w:t>2</w:t>
    </w:r>
    <w:r>
      <w:rPr>
        <w:rStyle w:val="PageNumber"/>
      </w:rPr>
      <w:fldChar w:fldCharType="end"/>
    </w:r>
  </w:p>
  <w:p w:rsidR="00C241D6" w:rsidRDefault="00C24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137551"/>
    <w:multiLevelType w:val="hybridMultilevel"/>
    <w:tmpl w:val="845087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3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006FF"/>
    <w:rsid w:val="00006A57"/>
    <w:rsid w:val="0000729E"/>
    <w:rsid w:val="000100F8"/>
    <w:rsid w:val="00011D24"/>
    <w:rsid w:val="00013FF4"/>
    <w:rsid w:val="0001488A"/>
    <w:rsid w:val="00020FE1"/>
    <w:rsid w:val="00022E13"/>
    <w:rsid w:val="00025559"/>
    <w:rsid w:val="00027041"/>
    <w:rsid w:val="00032388"/>
    <w:rsid w:val="00035CE2"/>
    <w:rsid w:val="00036801"/>
    <w:rsid w:val="00036D95"/>
    <w:rsid w:val="00043AE6"/>
    <w:rsid w:val="00043EBD"/>
    <w:rsid w:val="0005376D"/>
    <w:rsid w:val="0005553B"/>
    <w:rsid w:val="00060499"/>
    <w:rsid w:val="000604D2"/>
    <w:rsid w:val="00064894"/>
    <w:rsid w:val="0007247A"/>
    <w:rsid w:val="000739DB"/>
    <w:rsid w:val="0007654F"/>
    <w:rsid w:val="000767C5"/>
    <w:rsid w:val="00081BEE"/>
    <w:rsid w:val="0009005E"/>
    <w:rsid w:val="000941C5"/>
    <w:rsid w:val="00094903"/>
    <w:rsid w:val="000A04F0"/>
    <w:rsid w:val="000A26DA"/>
    <w:rsid w:val="000A3B4D"/>
    <w:rsid w:val="000A6451"/>
    <w:rsid w:val="000A712C"/>
    <w:rsid w:val="000B0386"/>
    <w:rsid w:val="000B064E"/>
    <w:rsid w:val="000B69CF"/>
    <w:rsid w:val="000B6BD9"/>
    <w:rsid w:val="000B6E09"/>
    <w:rsid w:val="000C790C"/>
    <w:rsid w:val="000C7D72"/>
    <w:rsid w:val="000D5314"/>
    <w:rsid w:val="000D774B"/>
    <w:rsid w:val="000F061D"/>
    <w:rsid w:val="000F3C6E"/>
    <w:rsid w:val="000F437B"/>
    <w:rsid w:val="000F4794"/>
    <w:rsid w:val="000F509B"/>
    <w:rsid w:val="00100B22"/>
    <w:rsid w:val="001025B6"/>
    <w:rsid w:val="001029F7"/>
    <w:rsid w:val="001057CB"/>
    <w:rsid w:val="00105EFB"/>
    <w:rsid w:val="0011520D"/>
    <w:rsid w:val="00124EA5"/>
    <w:rsid w:val="00124F12"/>
    <w:rsid w:val="0013261B"/>
    <w:rsid w:val="00142C7C"/>
    <w:rsid w:val="00144E3A"/>
    <w:rsid w:val="0014700A"/>
    <w:rsid w:val="00147107"/>
    <w:rsid w:val="0015060C"/>
    <w:rsid w:val="00152C1D"/>
    <w:rsid w:val="00153581"/>
    <w:rsid w:val="0016018A"/>
    <w:rsid w:val="00161110"/>
    <w:rsid w:val="00161F0E"/>
    <w:rsid w:val="00167C4E"/>
    <w:rsid w:val="00170E2A"/>
    <w:rsid w:val="00176156"/>
    <w:rsid w:val="00177394"/>
    <w:rsid w:val="00181C4F"/>
    <w:rsid w:val="00182C18"/>
    <w:rsid w:val="00183CC2"/>
    <w:rsid w:val="001862F0"/>
    <w:rsid w:val="0018646C"/>
    <w:rsid w:val="001900E4"/>
    <w:rsid w:val="001908CE"/>
    <w:rsid w:val="00190F88"/>
    <w:rsid w:val="00191726"/>
    <w:rsid w:val="001A4066"/>
    <w:rsid w:val="001A5D17"/>
    <w:rsid w:val="001A60F2"/>
    <w:rsid w:val="001A6AE4"/>
    <w:rsid w:val="001B01FD"/>
    <w:rsid w:val="001B0D62"/>
    <w:rsid w:val="001B2CF5"/>
    <w:rsid w:val="001B4A71"/>
    <w:rsid w:val="001C0A2F"/>
    <w:rsid w:val="001C4C5A"/>
    <w:rsid w:val="001C5DC7"/>
    <w:rsid w:val="001D1463"/>
    <w:rsid w:val="001D467D"/>
    <w:rsid w:val="001D5B54"/>
    <w:rsid w:val="001D705C"/>
    <w:rsid w:val="001E0D62"/>
    <w:rsid w:val="001E1DBF"/>
    <w:rsid w:val="001E4639"/>
    <w:rsid w:val="001E4A7D"/>
    <w:rsid w:val="001E7981"/>
    <w:rsid w:val="001F4209"/>
    <w:rsid w:val="001F43A8"/>
    <w:rsid w:val="001F5CD6"/>
    <w:rsid w:val="002120FF"/>
    <w:rsid w:val="0021263D"/>
    <w:rsid w:val="00213B2E"/>
    <w:rsid w:val="00213E33"/>
    <w:rsid w:val="00213F0C"/>
    <w:rsid w:val="00214094"/>
    <w:rsid w:val="0021592D"/>
    <w:rsid w:val="0021634B"/>
    <w:rsid w:val="002211A1"/>
    <w:rsid w:val="00222D76"/>
    <w:rsid w:val="00223EB1"/>
    <w:rsid w:val="00231344"/>
    <w:rsid w:val="0023436E"/>
    <w:rsid w:val="002347C0"/>
    <w:rsid w:val="00241A6C"/>
    <w:rsid w:val="00242D2B"/>
    <w:rsid w:val="002513B7"/>
    <w:rsid w:val="002547E3"/>
    <w:rsid w:val="00257A70"/>
    <w:rsid w:val="00262E2B"/>
    <w:rsid w:val="00270429"/>
    <w:rsid w:val="002723E9"/>
    <w:rsid w:val="0027690A"/>
    <w:rsid w:val="00277929"/>
    <w:rsid w:val="00283B82"/>
    <w:rsid w:val="002846E9"/>
    <w:rsid w:val="00284C34"/>
    <w:rsid w:val="0029066C"/>
    <w:rsid w:val="002A2173"/>
    <w:rsid w:val="002A2A80"/>
    <w:rsid w:val="002A4A6D"/>
    <w:rsid w:val="002A5708"/>
    <w:rsid w:val="002A7528"/>
    <w:rsid w:val="002B50DB"/>
    <w:rsid w:val="002B65E9"/>
    <w:rsid w:val="002B721C"/>
    <w:rsid w:val="002C12AB"/>
    <w:rsid w:val="002C61CF"/>
    <w:rsid w:val="002C7CAC"/>
    <w:rsid w:val="002D3306"/>
    <w:rsid w:val="002D48AA"/>
    <w:rsid w:val="002D7BAA"/>
    <w:rsid w:val="002D7F54"/>
    <w:rsid w:val="002E0CDD"/>
    <w:rsid w:val="002E1A5C"/>
    <w:rsid w:val="002E2766"/>
    <w:rsid w:val="002E3FF4"/>
    <w:rsid w:val="002E4848"/>
    <w:rsid w:val="002E5F62"/>
    <w:rsid w:val="002E6370"/>
    <w:rsid w:val="002F23F2"/>
    <w:rsid w:val="002F2B83"/>
    <w:rsid w:val="002F31FE"/>
    <w:rsid w:val="002F479C"/>
    <w:rsid w:val="002F4D16"/>
    <w:rsid w:val="002F76C2"/>
    <w:rsid w:val="002F78C8"/>
    <w:rsid w:val="00301CF3"/>
    <w:rsid w:val="00305479"/>
    <w:rsid w:val="0030559D"/>
    <w:rsid w:val="003068D3"/>
    <w:rsid w:val="00311858"/>
    <w:rsid w:val="00313404"/>
    <w:rsid w:val="003150A0"/>
    <w:rsid w:val="00321F82"/>
    <w:rsid w:val="0032715C"/>
    <w:rsid w:val="003279D7"/>
    <w:rsid w:val="00334DD7"/>
    <w:rsid w:val="00336DBF"/>
    <w:rsid w:val="00337CA5"/>
    <w:rsid w:val="0034079E"/>
    <w:rsid w:val="003444AC"/>
    <w:rsid w:val="00347BE8"/>
    <w:rsid w:val="00350A84"/>
    <w:rsid w:val="00350AEA"/>
    <w:rsid w:val="003533BB"/>
    <w:rsid w:val="00362478"/>
    <w:rsid w:val="003743D6"/>
    <w:rsid w:val="003756FA"/>
    <w:rsid w:val="00375B25"/>
    <w:rsid w:val="00380425"/>
    <w:rsid w:val="0038132C"/>
    <w:rsid w:val="00383326"/>
    <w:rsid w:val="00383508"/>
    <w:rsid w:val="003911AA"/>
    <w:rsid w:val="00391C8C"/>
    <w:rsid w:val="00396542"/>
    <w:rsid w:val="0039685B"/>
    <w:rsid w:val="00396AB4"/>
    <w:rsid w:val="003A04AD"/>
    <w:rsid w:val="003A0FE2"/>
    <w:rsid w:val="003A1904"/>
    <w:rsid w:val="003A31A6"/>
    <w:rsid w:val="003A7F0C"/>
    <w:rsid w:val="003A7F79"/>
    <w:rsid w:val="003B5AC7"/>
    <w:rsid w:val="003B6404"/>
    <w:rsid w:val="003B71EF"/>
    <w:rsid w:val="003C0785"/>
    <w:rsid w:val="003C449B"/>
    <w:rsid w:val="003D21FF"/>
    <w:rsid w:val="003D3266"/>
    <w:rsid w:val="003F0112"/>
    <w:rsid w:val="003F071A"/>
    <w:rsid w:val="003F160B"/>
    <w:rsid w:val="003F5D29"/>
    <w:rsid w:val="003F5F9F"/>
    <w:rsid w:val="003F73F6"/>
    <w:rsid w:val="00400032"/>
    <w:rsid w:val="00400B5B"/>
    <w:rsid w:val="00405A00"/>
    <w:rsid w:val="00414CCE"/>
    <w:rsid w:val="00415241"/>
    <w:rsid w:val="00416FB3"/>
    <w:rsid w:val="00420870"/>
    <w:rsid w:val="00425225"/>
    <w:rsid w:val="004311B8"/>
    <w:rsid w:val="00432D0C"/>
    <w:rsid w:val="004349C9"/>
    <w:rsid w:val="00434A71"/>
    <w:rsid w:val="00436AA4"/>
    <w:rsid w:val="0043791B"/>
    <w:rsid w:val="00441444"/>
    <w:rsid w:val="00441483"/>
    <w:rsid w:val="00441A4D"/>
    <w:rsid w:val="00441BCB"/>
    <w:rsid w:val="00442E4B"/>
    <w:rsid w:val="00442E96"/>
    <w:rsid w:val="0045176A"/>
    <w:rsid w:val="00456332"/>
    <w:rsid w:val="00457A8D"/>
    <w:rsid w:val="00461826"/>
    <w:rsid w:val="00463FFC"/>
    <w:rsid w:val="00467447"/>
    <w:rsid w:val="00472424"/>
    <w:rsid w:val="004755DC"/>
    <w:rsid w:val="0047691D"/>
    <w:rsid w:val="004800F9"/>
    <w:rsid w:val="00490220"/>
    <w:rsid w:val="0049134A"/>
    <w:rsid w:val="004A58CB"/>
    <w:rsid w:val="004A68C0"/>
    <w:rsid w:val="004B1795"/>
    <w:rsid w:val="004B4D59"/>
    <w:rsid w:val="004B56DD"/>
    <w:rsid w:val="004B60C8"/>
    <w:rsid w:val="004C020F"/>
    <w:rsid w:val="004C0A03"/>
    <w:rsid w:val="004C1AFD"/>
    <w:rsid w:val="004C3E25"/>
    <w:rsid w:val="004C4906"/>
    <w:rsid w:val="004C558B"/>
    <w:rsid w:val="004C68EF"/>
    <w:rsid w:val="004D14DD"/>
    <w:rsid w:val="004E20D5"/>
    <w:rsid w:val="004E65CF"/>
    <w:rsid w:val="004E730C"/>
    <w:rsid w:val="004F1F88"/>
    <w:rsid w:val="004F5F1B"/>
    <w:rsid w:val="004F6191"/>
    <w:rsid w:val="00502374"/>
    <w:rsid w:val="00503C7C"/>
    <w:rsid w:val="005060A1"/>
    <w:rsid w:val="00516072"/>
    <w:rsid w:val="00521B59"/>
    <w:rsid w:val="00527CAD"/>
    <w:rsid w:val="005302A3"/>
    <w:rsid w:val="005332EC"/>
    <w:rsid w:val="00534418"/>
    <w:rsid w:val="005353AB"/>
    <w:rsid w:val="005370FE"/>
    <w:rsid w:val="005371C6"/>
    <w:rsid w:val="005452D0"/>
    <w:rsid w:val="00545CD1"/>
    <w:rsid w:val="005460E9"/>
    <w:rsid w:val="005478D3"/>
    <w:rsid w:val="00551CA2"/>
    <w:rsid w:val="005560BC"/>
    <w:rsid w:val="005571CE"/>
    <w:rsid w:val="005573BE"/>
    <w:rsid w:val="005615AD"/>
    <w:rsid w:val="0056344D"/>
    <w:rsid w:val="00570996"/>
    <w:rsid w:val="00572700"/>
    <w:rsid w:val="00580468"/>
    <w:rsid w:val="00581DC5"/>
    <w:rsid w:val="00582231"/>
    <w:rsid w:val="00583A02"/>
    <w:rsid w:val="00583BDE"/>
    <w:rsid w:val="00584A58"/>
    <w:rsid w:val="00585C86"/>
    <w:rsid w:val="0058603B"/>
    <w:rsid w:val="00587E49"/>
    <w:rsid w:val="00590064"/>
    <w:rsid w:val="0059431B"/>
    <w:rsid w:val="00596730"/>
    <w:rsid w:val="00597C36"/>
    <w:rsid w:val="005A0263"/>
    <w:rsid w:val="005A0723"/>
    <w:rsid w:val="005A39CC"/>
    <w:rsid w:val="005A4708"/>
    <w:rsid w:val="005A56B7"/>
    <w:rsid w:val="005B0030"/>
    <w:rsid w:val="005B0D0B"/>
    <w:rsid w:val="005B4730"/>
    <w:rsid w:val="005B771F"/>
    <w:rsid w:val="005C4C49"/>
    <w:rsid w:val="005D05DC"/>
    <w:rsid w:val="005D082D"/>
    <w:rsid w:val="005D445D"/>
    <w:rsid w:val="005D50A0"/>
    <w:rsid w:val="005E05D7"/>
    <w:rsid w:val="005E0B93"/>
    <w:rsid w:val="005E2461"/>
    <w:rsid w:val="005E41E7"/>
    <w:rsid w:val="005E450F"/>
    <w:rsid w:val="005E55CA"/>
    <w:rsid w:val="005F0ECD"/>
    <w:rsid w:val="005F7703"/>
    <w:rsid w:val="00600786"/>
    <w:rsid w:val="006042C1"/>
    <w:rsid w:val="00607C0C"/>
    <w:rsid w:val="0062042E"/>
    <w:rsid w:val="0062298A"/>
    <w:rsid w:val="006236E1"/>
    <w:rsid w:val="00626454"/>
    <w:rsid w:val="00626514"/>
    <w:rsid w:val="00626589"/>
    <w:rsid w:val="00631AF0"/>
    <w:rsid w:val="006339A0"/>
    <w:rsid w:val="0063662F"/>
    <w:rsid w:val="00636ABE"/>
    <w:rsid w:val="00636AC8"/>
    <w:rsid w:val="006413A8"/>
    <w:rsid w:val="00642E56"/>
    <w:rsid w:val="006457F9"/>
    <w:rsid w:val="00646920"/>
    <w:rsid w:val="00646BDF"/>
    <w:rsid w:val="00651E00"/>
    <w:rsid w:val="006658FC"/>
    <w:rsid w:val="00666C6F"/>
    <w:rsid w:val="00667D76"/>
    <w:rsid w:val="00674572"/>
    <w:rsid w:val="0068405B"/>
    <w:rsid w:val="00685ABC"/>
    <w:rsid w:val="00685F0B"/>
    <w:rsid w:val="00687763"/>
    <w:rsid w:val="00691863"/>
    <w:rsid w:val="00692B0D"/>
    <w:rsid w:val="00693E0E"/>
    <w:rsid w:val="006967B6"/>
    <w:rsid w:val="006A1AE3"/>
    <w:rsid w:val="006A7BA1"/>
    <w:rsid w:val="006B0B57"/>
    <w:rsid w:val="006C0E9E"/>
    <w:rsid w:val="006C1FB9"/>
    <w:rsid w:val="006C2370"/>
    <w:rsid w:val="006C30E1"/>
    <w:rsid w:val="006C4607"/>
    <w:rsid w:val="006C6CF7"/>
    <w:rsid w:val="006C7CD1"/>
    <w:rsid w:val="006D221C"/>
    <w:rsid w:val="006D48F1"/>
    <w:rsid w:val="006D5D91"/>
    <w:rsid w:val="006D6112"/>
    <w:rsid w:val="006E03F6"/>
    <w:rsid w:val="006E37E4"/>
    <w:rsid w:val="006E7B25"/>
    <w:rsid w:val="006F167D"/>
    <w:rsid w:val="006F45BE"/>
    <w:rsid w:val="006F4BC9"/>
    <w:rsid w:val="007004FC"/>
    <w:rsid w:val="007049D4"/>
    <w:rsid w:val="00705A8F"/>
    <w:rsid w:val="00706670"/>
    <w:rsid w:val="00706C93"/>
    <w:rsid w:val="00707C83"/>
    <w:rsid w:val="007105E6"/>
    <w:rsid w:val="00711F59"/>
    <w:rsid w:val="00712E4E"/>
    <w:rsid w:val="00712EE8"/>
    <w:rsid w:val="00720199"/>
    <w:rsid w:val="0072417C"/>
    <w:rsid w:val="00724908"/>
    <w:rsid w:val="00725D60"/>
    <w:rsid w:val="00733ECD"/>
    <w:rsid w:val="00734450"/>
    <w:rsid w:val="00742099"/>
    <w:rsid w:val="00745F67"/>
    <w:rsid w:val="0075039E"/>
    <w:rsid w:val="00752D9D"/>
    <w:rsid w:val="007533D7"/>
    <w:rsid w:val="007539E3"/>
    <w:rsid w:val="00754784"/>
    <w:rsid w:val="00756D9E"/>
    <w:rsid w:val="0075738B"/>
    <w:rsid w:val="00757C6E"/>
    <w:rsid w:val="00762BDA"/>
    <w:rsid w:val="0076424C"/>
    <w:rsid w:val="007715EE"/>
    <w:rsid w:val="00775DE5"/>
    <w:rsid w:val="007760DE"/>
    <w:rsid w:val="007772EF"/>
    <w:rsid w:val="007805FD"/>
    <w:rsid w:val="007815E8"/>
    <w:rsid w:val="007819A3"/>
    <w:rsid w:val="00784422"/>
    <w:rsid w:val="00785301"/>
    <w:rsid w:val="00792340"/>
    <w:rsid w:val="00797B05"/>
    <w:rsid w:val="007A28B4"/>
    <w:rsid w:val="007A3877"/>
    <w:rsid w:val="007B04FC"/>
    <w:rsid w:val="007B0BA2"/>
    <w:rsid w:val="007B2FCA"/>
    <w:rsid w:val="007B3B54"/>
    <w:rsid w:val="007B3FA0"/>
    <w:rsid w:val="007B4903"/>
    <w:rsid w:val="007B4949"/>
    <w:rsid w:val="007B60EB"/>
    <w:rsid w:val="007C0F2C"/>
    <w:rsid w:val="007C138A"/>
    <w:rsid w:val="007C2BCC"/>
    <w:rsid w:val="007C4EF0"/>
    <w:rsid w:val="007D099D"/>
    <w:rsid w:val="007D1B1D"/>
    <w:rsid w:val="007E2664"/>
    <w:rsid w:val="007E334D"/>
    <w:rsid w:val="007E3ABF"/>
    <w:rsid w:val="007E572F"/>
    <w:rsid w:val="007E5BFA"/>
    <w:rsid w:val="007E6689"/>
    <w:rsid w:val="007E731C"/>
    <w:rsid w:val="007E77FF"/>
    <w:rsid w:val="007F0A03"/>
    <w:rsid w:val="007F22F2"/>
    <w:rsid w:val="007F7D8A"/>
    <w:rsid w:val="00810040"/>
    <w:rsid w:val="00814C84"/>
    <w:rsid w:val="00817574"/>
    <w:rsid w:val="0082023A"/>
    <w:rsid w:val="00821A7A"/>
    <w:rsid w:val="008224F0"/>
    <w:rsid w:val="008228A4"/>
    <w:rsid w:val="008242A9"/>
    <w:rsid w:val="008253F8"/>
    <w:rsid w:val="008325E4"/>
    <w:rsid w:val="00832A2B"/>
    <w:rsid w:val="008358A9"/>
    <w:rsid w:val="00835DC8"/>
    <w:rsid w:val="00835F70"/>
    <w:rsid w:val="00837AA7"/>
    <w:rsid w:val="00842AA1"/>
    <w:rsid w:val="00845811"/>
    <w:rsid w:val="00846994"/>
    <w:rsid w:val="00850451"/>
    <w:rsid w:val="00852042"/>
    <w:rsid w:val="008534C9"/>
    <w:rsid w:val="00854CBF"/>
    <w:rsid w:val="0085599D"/>
    <w:rsid w:val="00856921"/>
    <w:rsid w:val="0086066A"/>
    <w:rsid w:val="00863640"/>
    <w:rsid w:val="00866AB3"/>
    <w:rsid w:val="0086732D"/>
    <w:rsid w:val="008721E5"/>
    <w:rsid w:val="0087510C"/>
    <w:rsid w:val="00877C9F"/>
    <w:rsid w:val="00884D51"/>
    <w:rsid w:val="00885C49"/>
    <w:rsid w:val="00885F53"/>
    <w:rsid w:val="0088632D"/>
    <w:rsid w:val="008906F7"/>
    <w:rsid w:val="008938E9"/>
    <w:rsid w:val="008968D2"/>
    <w:rsid w:val="0089738E"/>
    <w:rsid w:val="008A0493"/>
    <w:rsid w:val="008A0F1C"/>
    <w:rsid w:val="008A40A3"/>
    <w:rsid w:val="008B0591"/>
    <w:rsid w:val="008B5FDB"/>
    <w:rsid w:val="008C0F4F"/>
    <w:rsid w:val="008C4E2A"/>
    <w:rsid w:val="008C50F4"/>
    <w:rsid w:val="008C5649"/>
    <w:rsid w:val="008D270F"/>
    <w:rsid w:val="008D3AB3"/>
    <w:rsid w:val="008D5DC0"/>
    <w:rsid w:val="008E230B"/>
    <w:rsid w:val="008E44A2"/>
    <w:rsid w:val="008E697D"/>
    <w:rsid w:val="008F0B50"/>
    <w:rsid w:val="008F1606"/>
    <w:rsid w:val="008F5AE1"/>
    <w:rsid w:val="00902F64"/>
    <w:rsid w:val="00903263"/>
    <w:rsid w:val="00906305"/>
    <w:rsid w:val="00906A21"/>
    <w:rsid w:val="009079C3"/>
    <w:rsid w:val="00910462"/>
    <w:rsid w:val="00915AB1"/>
    <w:rsid w:val="00917532"/>
    <w:rsid w:val="00922A2E"/>
    <w:rsid w:val="009235BA"/>
    <w:rsid w:val="00924023"/>
    <w:rsid w:val="00924CE2"/>
    <w:rsid w:val="00925B9F"/>
    <w:rsid w:val="00926AA7"/>
    <w:rsid w:val="00930598"/>
    <w:rsid w:val="00931AED"/>
    <w:rsid w:val="00934F15"/>
    <w:rsid w:val="00936373"/>
    <w:rsid w:val="00937B6B"/>
    <w:rsid w:val="00941FDD"/>
    <w:rsid w:val="0094460B"/>
    <w:rsid w:val="00944CDE"/>
    <w:rsid w:val="009476A3"/>
    <w:rsid w:val="00947C36"/>
    <w:rsid w:val="0095334F"/>
    <w:rsid w:val="00953FD4"/>
    <w:rsid w:val="00956C59"/>
    <w:rsid w:val="009573BC"/>
    <w:rsid w:val="00960C02"/>
    <w:rsid w:val="0096206A"/>
    <w:rsid w:val="00965897"/>
    <w:rsid w:val="00966E23"/>
    <w:rsid w:val="0096765C"/>
    <w:rsid w:val="0097028B"/>
    <w:rsid w:val="009727E4"/>
    <w:rsid w:val="00975DA9"/>
    <w:rsid w:val="00980C8F"/>
    <w:rsid w:val="009831C6"/>
    <w:rsid w:val="00987818"/>
    <w:rsid w:val="00990E37"/>
    <w:rsid w:val="00990E7A"/>
    <w:rsid w:val="00992BCF"/>
    <w:rsid w:val="009934C5"/>
    <w:rsid w:val="00994026"/>
    <w:rsid w:val="00994C0F"/>
    <w:rsid w:val="0099624E"/>
    <w:rsid w:val="0099637E"/>
    <w:rsid w:val="009A2519"/>
    <w:rsid w:val="009A3C59"/>
    <w:rsid w:val="009B0110"/>
    <w:rsid w:val="009B14B0"/>
    <w:rsid w:val="009B22D7"/>
    <w:rsid w:val="009B4E6B"/>
    <w:rsid w:val="009B6813"/>
    <w:rsid w:val="009B72ED"/>
    <w:rsid w:val="009C05CF"/>
    <w:rsid w:val="009C1787"/>
    <w:rsid w:val="009C350F"/>
    <w:rsid w:val="009C41E2"/>
    <w:rsid w:val="009C4A07"/>
    <w:rsid w:val="009C6DEB"/>
    <w:rsid w:val="009D53D8"/>
    <w:rsid w:val="009D5972"/>
    <w:rsid w:val="009D6504"/>
    <w:rsid w:val="009E0B72"/>
    <w:rsid w:val="009E12D7"/>
    <w:rsid w:val="009E18A4"/>
    <w:rsid w:val="009E54F3"/>
    <w:rsid w:val="009E661A"/>
    <w:rsid w:val="009F1A49"/>
    <w:rsid w:val="009F4BCB"/>
    <w:rsid w:val="00A04256"/>
    <w:rsid w:val="00A06781"/>
    <w:rsid w:val="00A06D6A"/>
    <w:rsid w:val="00A06E39"/>
    <w:rsid w:val="00A06E7E"/>
    <w:rsid w:val="00A074C3"/>
    <w:rsid w:val="00A115F7"/>
    <w:rsid w:val="00A13C71"/>
    <w:rsid w:val="00A1509C"/>
    <w:rsid w:val="00A17FEF"/>
    <w:rsid w:val="00A23AA4"/>
    <w:rsid w:val="00A24312"/>
    <w:rsid w:val="00A249B9"/>
    <w:rsid w:val="00A31B5A"/>
    <w:rsid w:val="00A34260"/>
    <w:rsid w:val="00A35D7C"/>
    <w:rsid w:val="00A37902"/>
    <w:rsid w:val="00A41291"/>
    <w:rsid w:val="00A43F4F"/>
    <w:rsid w:val="00A5161E"/>
    <w:rsid w:val="00A53B80"/>
    <w:rsid w:val="00A63402"/>
    <w:rsid w:val="00A65104"/>
    <w:rsid w:val="00A70CFD"/>
    <w:rsid w:val="00A72A0B"/>
    <w:rsid w:val="00A739FA"/>
    <w:rsid w:val="00A73DD6"/>
    <w:rsid w:val="00A81E42"/>
    <w:rsid w:val="00A864FE"/>
    <w:rsid w:val="00A86F41"/>
    <w:rsid w:val="00A87D04"/>
    <w:rsid w:val="00A930B0"/>
    <w:rsid w:val="00A940FF"/>
    <w:rsid w:val="00A945DF"/>
    <w:rsid w:val="00A950C5"/>
    <w:rsid w:val="00A97417"/>
    <w:rsid w:val="00AA1D25"/>
    <w:rsid w:val="00AA6086"/>
    <w:rsid w:val="00AA7D4A"/>
    <w:rsid w:val="00AB1302"/>
    <w:rsid w:val="00AB2B1A"/>
    <w:rsid w:val="00AB397F"/>
    <w:rsid w:val="00AB5832"/>
    <w:rsid w:val="00AB7400"/>
    <w:rsid w:val="00AB7667"/>
    <w:rsid w:val="00AC090C"/>
    <w:rsid w:val="00AC4C80"/>
    <w:rsid w:val="00AC51F2"/>
    <w:rsid w:val="00AC541B"/>
    <w:rsid w:val="00AC66B7"/>
    <w:rsid w:val="00AC7092"/>
    <w:rsid w:val="00AD3269"/>
    <w:rsid w:val="00AE13BC"/>
    <w:rsid w:val="00AE414B"/>
    <w:rsid w:val="00AE5066"/>
    <w:rsid w:val="00AE5B54"/>
    <w:rsid w:val="00AE5E24"/>
    <w:rsid w:val="00AE61B7"/>
    <w:rsid w:val="00AE6CBA"/>
    <w:rsid w:val="00AE79AD"/>
    <w:rsid w:val="00AE7F36"/>
    <w:rsid w:val="00AF2D71"/>
    <w:rsid w:val="00AF31EB"/>
    <w:rsid w:val="00AF35E4"/>
    <w:rsid w:val="00AF59DE"/>
    <w:rsid w:val="00AF5CDE"/>
    <w:rsid w:val="00B00680"/>
    <w:rsid w:val="00B0124A"/>
    <w:rsid w:val="00B06AF5"/>
    <w:rsid w:val="00B06D8D"/>
    <w:rsid w:val="00B11A57"/>
    <w:rsid w:val="00B20478"/>
    <w:rsid w:val="00B211C3"/>
    <w:rsid w:val="00B25597"/>
    <w:rsid w:val="00B267B9"/>
    <w:rsid w:val="00B33E09"/>
    <w:rsid w:val="00B35EEB"/>
    <w:rsid w:val="00B372AF"/>
    <w:rsid w:val="00B3772D"/>
    <w:rsid w:val="00B408F0"/>
    <w:rsid w:val="00B44C6B"/>
    <w:rsid w:val="00B47C5D"/>
    <w:rsid w:val="00B50708"/>
    <w:rsid w:val="00B50C68"/>
    <w:rsid w:val="00B51293"/>
    <w:rsid w:val="00B5170F"/>
    <w:rsid w:val="00B52B1E"/>
    <w:rsid w:val="00B54153"/>
    <w:rsid w:val="00B55481"/>
    <w:rsid w:val="00B56C32"/>
    <w:rsid w:val="00B57ACF"/>
    <w:rsid w:val="00B614AF"/>
    <w:rsid w:val="00B621CE"/>
    <w:rsid w:val="00B64BB1"/>
    <w:rsid w:val="00B71765"/>
    <w:rsid w:val="00B72587"/>
    <w:rsid w:val="00B73166"/>
    <w:rsid w:val="00B7473F"/>
    <w:rsid w:val="00B75B4C"/>
    <w:rsid w:val="00B8042A"/>
    <w:rsid w:val="00B822FE"/>
    <w:rsid w:val="00B8426C"/>
    <w:rsid w:val="00B91B8D"/>
    <w:rsid w:val="00B94598"/>
    <w:rsid w:val="00B94E90"/>
    <w:rsid w:val="00B9695F"/>
    <w:rsid w:val="00B9762A"/>
    <w:rsid w:val="00BA3CE8"/>
    <w:rsid w:val="00BB0A82"/>
    <w:rsid w:val="00BB7C94"/>
    <w:rsid w:val="00BC0094"/>
    <w:rsid w:val="00BC0A9D"/>
    <w:rsid w:val="00BC1C17"/>
    <w:rsid w:val="00BC26E0"/>
    <w:rsid w:val="00BD127A"/>
    <w:rsid w:val="00BD2AF5"/>
    <w:rsid w:val="00BD4ADB"/>
    <w:rsid w:val="00BE4BA2"/>
    <w:rsid w:val="00BE7747"/>
    <w:rsid w:val="00BF3B77"/>
    <w:rsid w:val="00BF40ED"/>
    <w:rsid w:val="00BF44D2"/>
    <w:rsid w:val="00BF5BC2"/>
    <w:rsid w:val="00BF7997"/>
    <w:rsid w:val="00C00368"/>
    <w:rsid w:val="00C01DF4"/>
    <w:rsid w:val="00C053B7"/>
    <w:rsid w:val="00C1133D"/>
    <w:rsid w:val="00C13B6E"/>
    <w:rsid w:val="00C23E27"/>
    <w:rsid w:val="00C241D6"/>
    <w:rsid w:val="00C26F73"/>
    <w:rsid w:val="00C27A08"/>
    <w:rsid w:val="00C27E8F"/>
    <w:rsid w:val="00C3073E"/>
    <w:rsid w:val="00C31312"/>
    <w:rsid w:val="00C31A9F"/>
    <w:rsid w:val="00C31E36"/>
    <w:rsid w:val="00C323A7"/>
    <w:rsid w:val="00C326C6"/>
    <w:rsid w:val="00C333DA"/>
    <w:rsid w:val="00C35295"/>
    <w:rsid w:val="00C35734"/>
    <w:rsid w:val="00C36ADD"/>
    <w:rsid w:val="00C36E74"/>
    <w:rsid w:val="00C372C8"/>
    <w:rsid w:val="00C40595"/>
    <w:rsid w:val="00C41621"/>
    <w:rsid w:val="00C41D6B"/>
    <w:rsid w:val="00C449FA"/>
    <w:rsid w:val="00C47AC6"/>
    <w:rsid w:val="00C5384F"/>
    <w:rsid w:val="00C56964"/>
    <w:rsid w:val="00C56DE9"/>
    <w:rsid w:val="00C61C31"/>
    <w:rsid w:val="00C62D39"/>
    <w:rsid w:val="00C63032"/>
    <w:rsid w:val="00C656D5"/>
    <w:rsid w:val="00C66907"/>
    <w:rsid w:val="00C67103"/>
    <w:rsid w:val="00C71BB9"/>
    <w:rsid w:val="00C72E0A"/>
    <w:rsid w:val="00C7360E"/>
    <w:rsid w:val="00C772C2"/>
    <w:rsid w:val="00C81560"/>
    <w:rsid w:val="00C821F0"/>
    <w:rsid w:val="00C824F8"/>
    <w:rsid w:val="00C92695"/>
    <w:rsid w:val="00C92B75"/>
    <w:rsid w:val="00C94C28"/>
    <w:rsid w:val="00CA043F"/>
    <w:rsid w:val="00CA0BFA"/>
    <w:rsid w:val="00CA50B8"/>
    <w:rsid w:val="00CA636F"/>
    <w:rsid w:val="00CA738D"/>
    <w:rsid w:val="00CB0247"/>
    <w:rsid w:val="00CB1C33"/>
    <w:rsid w:val="00CB3440"/>
    <w:rsid w:val="00CB3531"/>
    <w:rsid w:val="00CC1692"/>
    <w:rsid w:val="00CD12A3"/>
    <w:rsid w:val="00CD138B"/>
    <w:rsid w:val="00CD2988"/>
    <w:rsid w:val="00CD3E31"/>
    <w:rsid w:val="00CD74A3"/>
    <w:rsid w:val="00CE011B"/>
    <w:rsid w:val="00CE0527"/>
    <w:rsid w:val="00CE2045"/>
    <w:rsid w:val="00CE5B23"/>
    <w:rsid w:val="00CE6F56"/>
    <w:rsid w:val="00CE6FA3"/>
    <w:rsid w:val="00CF5374"/>
    <w:rsid w:val="00CF70AD"/>
    <w:rsid w:val="00CF7729"/>
    <w:rsid w:val="00D00059"/>
    <w:rsid w:val="00D01B40"/>
    <w:rsid w:val="00D026B2"/>
    <w:rsid w:val="00D107FA"/>
    <w:rsid w:val="00D12275"/>
    <w:rsid w:val="00D12766"/>
    <w:rsid w:val="00D153B5"/>
    <w:rsid w:val="00D17BF3"/>
    <w:rsid w:val="00D20FF4"/>
    <w:rsid w:val="00D21AE1"/>
    <w:rsid w:val="00D23E39"/>
    <w:rsid w:val="00D24D2C"/>
    <w:rsid w:val="00D27FB6"/>
    <w:rsid w:val="00D35881"/>
    <w:rsid w:val="00D361E3"/>
    <w:rsid w:val="00D3670A"/>
    <w:rsid w:val="00D40216"/>
    <w:rsid w:val="00D43815"/>
    <w:rsid w:val="00D43D18"/>
    <w:rsid w:val="00D43FF9"/>
    <w:rsid w:val="00D44A59"/>
    <w:rsid w:val="00D50D31"/>
    <w:rsid w:val="00D5154F"/>
    <w:rsid w:val="00D63464"/>
    <w:rsid w:val="00D65B14"/>
    <w:rsid w:val="00D7791A"/>
    <w:rsid w:val="00D77F2F"/>
    <w:rsid w:val="00D84B97"/>
    <w:rsid w:val="00D95F95"/>
    <w:rsid w:val="00D97EF9"/>
    <w:rsid w:val="00DA7B60"/>
    <w:rsid w:val="00DA7DA5"/>
    <w:rsid w:val="00DB073B"/>
    <w:rsid w:val="00DB78F0"/>
    <w:rsid w:val="00DC0CEA"/>
    <w:rsid w:val="00DC130B"/>
    <w:rsid w:val="00DC1DC3"/>
    <w:rsid w:val="00DC2E43"/>
    <w:rsid w:val="00DC4503"/>
    <w:rsid w:val="00DD095C"/>
    <w:rsid w:val="00DD1020"/>
    <w:rsid w:val="00DD1330"/>
    <w:rsid w:val="00DD14F6"/>
    <w:rsid w:val="00DE0B83"/>
    <w:rsid w:val="00DE1A81"/>
    <w:rsid w:val="00DE1C13"/>
    <w:rsid w:val="00DE2E7D"/>
    <w:rsid w:val="00DE4E10"/>
    <w:rsid w:val="00DE661E"/>
    <w:rsid w:val="00DE6CA9"/>
    <w:rsid w:val="00DF0D24"/>
    <w:rsid w:val="00DF10BB"/>
    <w:rsid w:val="00DF1BF6"/>
    <w:rsid w:val="00E02ABF"/>
    <w:rsid w:val="00E02EA7"/>
    <w:rsid w:val="00E031B2"/>
    <w:rsid w:val="00E05FC7"/>
    <w:rsid w:val="00E13258"/>
    <w:rsid w:val="00E14995"/>
    <w:rsid w:val="00E15DDD"/>
    <w:rsid w:val="00E171E1"/>
    <w:rsid w:val="00E179CD"/>
    <w:rsid w:val="00E23E8D"/>
    <w:rsid w:val="00E35812"/>
    <w:rsid w:val="00E36893"/>
    <w:rsid w:val="00E37AC9"/>
    <w:rsid w:val="00E37F98"/>
    <w:rsid w:val="00E405A2"/>
    <w:rsid w:val="00E46559"/>
    <w:rsid w:val="00E546E0"/>
    <w:rsid w:val="00E55A8B"/>
    <w:rsid w:val="00E6300A"/>
    <w:rsid w:val="00E6670C"/>
    <w:rsid w:val="00E7638A"/>
    <w:rsid w:val="00E776E8"/>
    <w:rsid w:val="00E855F1"/>
    <w:rsid w:val="00E92C1F"/>
    <w:rsid w:val="00E94227"/>
    <w:rsid w:val="00E95D4B"/>
    <w:rsid w:val="00EA0D07"/>
    <w:rsid w:val="00EB0916"/>
    <w:rsid w:val="00EB117D"/>
    <w:rsid w:val="00EB199F"/>
    <w:rsid w:val="00EC1504"/>
    <w:rsid w:val="00EC151D"/>
    <w:rsid w:val="00EC23F7"/>
    <w:rsid w:val="00EC45D6"/>
    <w:rsid w:val="00EC4BD8"/>
    <w:rsid w:val="00EC5270"/>
    <w:rsid w:val="00EC63EB"/>
    <w:rsid w:val="00ED412F"/>
    <w:rsid w:val="00ED6D0B"/>
    <w:rsid w:val="00EE2760"/>
    <w:rsid w:val="00EE2D53"/>
    <w:rsid w:val="00EF36B2"/>
    <w:rsid w:val="00EF4F3B"/>
    <w:rsid w:val="00F1246B"/>
    <w:rsid w:val="00F1760A"/>
    <w:rsid w:val="00F201EC"/>
    <w:rsid w:val="00F208A9"/>
    <w:rsid w:val="00F23D08"/>
    <w:rsid w:val="00F24DFA"/>
    <w:rsid w:val="00F31C1F"/>
    <w:rsid w:val="00F32CFF"/>
    <w:rsid w:val="00F40F2C"/>
    <w:rsid w:val="00F41D75"/>
    <w:rsid w:val="00F468DB"/>
    <w:rsid w:val="00F47CDC"/>
    <w:rsid w:val="00F5139D"/>
    <w:rsid w:val="00F54AAA"/>
    <w:rsid w:val="00F6329A"/>
    <w:rsid w:val="00F63DAC"/>
    <w:rsid w:val="00F648DB"/>
    <w:rsid w:val="00F65E34"/>
    <w:rsid w:val="00F72D25"/>
    <w:rsid w:val="00F7454F"/>
    <w:rsid w:val="00F7577C"/>
    <w:rsid w:val="00F76F3B"/>
    <w:rsid w:val="00F77988"/>
    <w:rsid w:val="00F77F48"/>
    <w:rsid w:val="00F84655"/>
    <w:rsid w:val="00F85A48"/>
    <w:rsid w:val="00F87EB0"/>
    <w:rsid w:val="00F9205A"/>
    <w:rsid w:val="00F9223D"/>
    <w:rsid w:val="00F93D1A"/>
    <w:rsid w:val="00F954A1"/>
    <w:rsid w:val="00F95D93"/>
    <w:rsid w:val="00FA7D2C"/>
    <w:rsid w:val="00FB043F"/>
    <w:rsid w:val="00FB2158"/>
    <w:rsid w:val="00FB30F1"/>
    <w:rsid w:val="00FB53E7"/>
    <w:rsid w:val="00FB56D1"/>
    <w:rsid w:val="00FC3FAE"/>
    <w:rsid w:val="00FC6FBE"/>
    <w:rsid w:val="00FD16A4"/>
    <w:rsid w:val="00FD2A8A"/>
    <w:rsid w:val="00FD3C92"/>
    <w:rsid w:val="00FE066B"/>
    <w:rsid w:val="00FE4966"/>
    <w:rsid w:val="00F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8D5DC0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8D5DC0"/>
    <w:rPr>
      <w:sz w:val="28"/>
      <w:szCs w:val="24"/>
      <w:lang w:eastAsia="en-US"/>
    </w:rPr>
  </w:style>
  <w:style w:type="paragraph" w:styleId="NormalWeb">
    <w:name w:val="Normal (Web)"/>
    <w:basedOn w:val="Normal"/>
    <w:rsid w:val="008D5DC0"/>
    <w:pPr>
      <w:spacing w:before="100" w:beforeAutospacing="1" w:after="100" w:afterAutospacing="1"/>
    </w:pPr>
    <w:rPr>
      <w:lang w:eastAsia="en-US"/>
    </w:rPr>
  </w:style>
  <w:style w:type="paragraph" w:styleId="Revision">
    <w:name w:val="Revision"/>
    <w:hidden/>
    <w:uiPriority w:val="99"/>
    <w:semiHidden/>
    <w:rsid w:val="009C05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8D5DC0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8D5DC0"/>
    <w:rPr>
      <w:sz w:val="28"/>
      <w:szCs w:val="24"/>
      <w:lang w:eastAsia="en-US"/>
    </w:rPr>
  </w:style>
  <w:style w:type="paragraph" w:styleId="NormalWeb">
    <w:name w:val="Normal (Web)"/>
    <w:basedOn w:val="Normal"/>
    <w:rsid w:val="008D5DC0"/>
    <w:pPr>
      <w:spacing w:before="100" w:beforeAutospacing="1" w:after="100" w:afterAutospacing="1"/>
    </w:pPr>
    <w:rPr>
      <w:lang w:eastAsia="en-US"/>
    </w:rPr>
  </w:style>
  <w:style w:type="paragraph" w:styleId="Revision">
    <w:name w:val="Revision"/>
    <w:hidden/>
    <w:uiPriority w:val="99"/>
    <w:semiHidden/>
    <w:rsid w:val="009C05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031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506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8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4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334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80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8437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566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ristaps.Viksne@vid.gov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4BA6E2C46CEF44A9CB5E39F8F968C6D" ma:contentTypeVersion="0" ma:contentTypeDescription="Izveidot jaunu dokumentu." ma:contentTypeScope="" ma:versionID="5fbee6d173a1074fc5462fb929006402">
  <xsd:schema xmlns:xsd="http://www.w3.org/2001/XMLSchema" xmlns:p="http://schemas.microsoft.com/office/2006/metadata/properties" targetNamespace="http://schemas.microsoft.com/office/2006/metadata/properties" ma:root="true" ma:fieldsID="03f02128687e48d6f6cc7d7a99a2c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F9BE-2AAC-4867-B6A5-AAE8FC402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B6A131-8AEF-46F4-B71B-FB745611D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F6FB21-A9FB-4158-A82A-C341FC93A5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40E1BE-E082-4D34-8FAA-8CFB6FF1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2774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projekta "Valsts ieņēmumu dienesta maksas pakalpojumu cenrādis" sākotnējās ietekmes novērtējuma ziņojums (anotācija)</vt:lpstr>
    </vt:vector>
  </TitlesOfParts>
  <Company>Valsts ieņēmumu dienests</Company>
  <LinksUpToDate>false</LinksUpToDate>
  <CharactersWithSpaces>4348</CharactersWithSpaces>
  <SharedDoc>false</SharedDoc>
  <HLinks>
    <vt:vector size="6" baseType="variant">
      <vt:variant>
        <vt:i4>5898348</vt:i4>
      </vt:variant>
      <vt:variant>
        <vt:i4>6</vt:i4>
      </vt:variant>
      <vt:variant>
        <vt:i4>0</vt:i4>
      </vt:variant>
      <vt:variant>
        <vt:i4>5</vt:i4>
      </vt:variant>
      <vt:variant>
        <vt:lpwstr>mailto:Kristaps.Viksne@vid.gov.lv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ieņēmumu dienesta maksas pakalpojumu cenrādis" sākotnējās ietekmes novērtējuma ziņojums (anotācija)</dc:title>
  <dc:subject>MK noteikumu projekta anotācija</dc:subject>
  <dc:creator>Kristaps Vīksne</dc:creator>
  <dc:description>67090295, Kristaps.Viksne@vid.gov.lv</dc:description>
  <cp:lastModifiedBy>Kristaps Vīksne</cp:lastModifiedBy>
  <cp:revision>12</cp:revision>
  <cp:lastPrinted>2013-06-13T10:42:00Z</cp:lastPrinted>
  <dcterms:created xsi:type="dcterms:W3CDTF">2013-08-15T07:58:00Z</dcterms:created>
  <dcterms:modified xsi:type="dcterms:W3CDTF">2013-08-23T13:02:00Z</dcterms:modified>
  <cp:category>MK noteikumu 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0x01010054BA6E2C46CEF44A9CB5E39F8F968C6D</vt:lpwstr>
  </property>
</Properties>
</file>