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B9" w:rsidRPr="000A1B12" w:rsidRDefault="00D577B9" w:rsidP="00D577B9">
      <w:pPr>
        <w:jc w:val="center"/>
        <w:rPr>
          <w:b/>
          <w:bCs/>
          <w:sz w:val="28"/>
          <w:szCs w:val="28"/>
        </w:rPr>
      </w:pPr>
      <w:bookmarkStart w:id="0" w:name="OLE_LINK5"/>
      <w:bookmarkStart w:id="1" w:name="OLE_LINK6"/>
      <w:r w:rsidRPr="000A1B12">
        <w:rPr>
          <w:b/>
          <w:bCs/>
          <w:sz w:val="28"/>
          <w:szCs w:val="28"/>
        </w:rPr>
        <w:t>Ministru kabineta noteikumu projekta</w:t>
      </w:r>
    </w:p>
    <w:p w:rsidR="009F13C7" w:rsidRDefault="00D577B9" w:rsidP="00D577B9">
      <w:pPr>
        <w:pStyle w:val="Header"/>
        <w:tabs>
          <w:tab w:val="right" w:pos="8460"/>
        </w:tabs>
        <w:ind w:right="-154"/>
        <w:jc w:val="center"/>
        <w:rPr>
          <w:b/>
          <w:bCs/>
          <w:sz w:val="28"/>
          <w:szCs w:val="28"/>
        </w:rPr>
      </w:pPr>
      <w:r w:rsidRPr="000A1B12">
        <w:rPr>
          <w:b/>
          <w:bCs/>
          <w:sz w:val="28"/>
          <w:szCs w:val="28"/>
        </w:rPr>
        <w:t>„</w:t>
      </w:r>
      <w:r w:rsidR="004D6454" w:rsidRPr="004D6454">
        <w:rPr>
          <w:b/>
          <w:bCs/>
          <w:sz w:val="28"/>
          <w:szCs w:val="28"/>
        </w:rPr>
        <w:t>Kārtība, kādā plānojami un uzskaitāmi ieņēmumi no maksas pakalpojumiem un ar šo pakalpojumu sniegšanu saistītie izdevumi, kā arī maksas pakalpojumu izcenojumu noteikšanas metodika</w:t>
      </w:r>
      <w:r w:rsidR="00217011">
        <w:rPr>
          <w:b/>
          <w:bCs/>
          <w:sz w:val="28"/>
          <w:szCs w:val="28"/>
        </w:rPr>
        <w:t xml:space="preserve"> un izcenojumu apstiprināšanas kartība</w:t>
      </w:r>
      <w:r w:rsidR="004D6454">
        <w:rPr>
          <w:b/>
          <w:bCs/>
          <w:sz w:val="28"/>
          <w:szCs w:val="28"/>
        </w:rPr>
        <w:t>”</w:t>
      </w:r>
    </w:p>
    <w:bookmarkEnd w:id="0"/>
    <w:bookmarkEnd w:id="1"/>
    <w:p w:rsidR="00D577B9" w:rsidRDefault="00D577B9" w:rsidP="00E2255B">
      <w:pPr>
        <w:pStyle w:val="Header"/>
        <w:tabs>
          <w:tab w:val="right" w:pos="8460"/>
        </w:tabs>
        <w:ind w:right="-154"/>
        <w:jc w:val="center"/>
        <w:rPr>
          <w:b/>
          <w:sz w:val="28"/>
          <w:szCs w:val="28"/>
        </w:rPr>
      </w:pPr>
      <w:r>
        <w:rPr>
          <w:b/>
          <w:sz w:val="28"/>
          <w:szCs w:val="28"/>
        </w:rPr>
        <w:t>sākotnējās ietekmes novērtējuma ziņojums (</w:t>
      </w:r>
      <w:r w:rsidRPr="009172ED">
        <w:rPr>
          <w:b/>
          <w:bCs/>
          <w:sz w:val="28"/>
          <w:szCs w:val="28"/>
        </w:rPr>
        <w:t>anotācija</w:t>
      </w:r>
      <w:r>
        <w:rPr>
          <w:b/>
          <w:bCs/>
          <w:sz w:val="28"/>
          <w:szCs w:val="28"/>
        </w:rPr>
        <w:t>)</w:t>
      </w:r>
    </w:p>
    <w:p w:rsidR="00E2255B" w:rsidRPr="00E2255B" w:rsidRDefault="00E2255B" w:rsidP="00E2255B">
      <w:pPr>
        <w:pStyle w:val="Header"/>
        <w:tabs>
          <w:tab w:val="right" w:pos="8460"/>
        </w:tabs>
        <w:ind w:right="-154"/>
        <w:jc w:val="center"/>
        <w:rPr>
          <w:b/>
          <w:sz w:val="28"/>
          <w:szCs w:val="28"/>
        </w:rPr>
      </w:pPr>
    </w:p>
    <w:tbl>
      <w:tblPr>
        <w:tblW w:w="964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
        <w:gridCol w:w="3019"/>
        <w:gridCol w:w="6095"/>
      </w:tblGrid>
      <w:tr w:rsidR="00D577B9" w:rsidRPr="004F22F2" w:rsidTr="00E2255B">
        <w:trPr>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hideMark/>
          </w:tcPr>
          <w:p w:rsidR="00D577B9" w:rsidRPr="004F22F2" w:rsidRDefault="00D577B9" w:rsidP="00804874">
            <w:pPr>
              <w:spacing w:before="75" w:after="75"/>
              <w:jc w:val="center"/>
            </w:pPr>
            <w:r w:rsidRPr="004F22F2">
              <w:rPr>
                <w:b/>
                <w:bCs/>
              </w:rPr>
              <w:t> I. Tiesību akta projekta izstrādes nepieciešamība</w:t>
            </w:r>
          </w:p>
        </w:tc>
      </w:tr>
      <w:tr w:rsidR="00D577B9" w:rsidRPr="004F22F2" w:rsidTr="00E2255B">
        <w:trPr>
          <w:trHeight w:val="978"/>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 1.</w:t>
            </w:r>
          </w:p>
        </w:tc>
        <w:tc>
          <w:tcPr>
            <w:tcW w:w="3019" w:type="dxa"/>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 Pamatojums</w:t>
            </w:r>
          </w:p>
        </w:tc>
        <w:tc>
          <w:tcPr>
            <w:tcW w:w="6095" w:type="dxa"/>
            <w:tcBorders>
              <w:top w:val="outset" w:sz="6" w:space="0" w:color="auto"/>
              <w:left w:val="outset" w:sz="6" w:space="0" w:color="auto"/>
              <w:bottom w:val="outset" w:sz="6" w:space="0" w:color="auto"/>
              <w:right w:val="outset" w:sz="6" w:space="0" w:color="auto"/>
            </w:tcBorders>
            <w:hideMark/>
          </w:tcPr>
          <w:p w:rsidR="00D577B9" w:rsidRPr="0093333D" w:rsidRDefault="00D577B9" w:rsidP="0073134A">
            <w:pPr>
              <w:spacing w:before="120" w:after="120"/>
              <w:ind w:left="127" w:right="127"/>
              <w:jc w:val="both"/>
              <w:rPr>
                <w:rFonts w:eastAsia="Calibri"/>
              </w:rPr>
            </w:pPr>
            <w:r>
              <w:t xml:space="preserve">Likuma par budžetu un finanšu vadību </w:t>
            </w:r>
            <w:r w:rsidR="007F698F">
              <w:rPr>
                <w:bCs/>
              </w:rPr>
              <w:t>5</w:t>
            </w:r>
            <w:r>
              <w:rPr>
                <w:bCs/>
              </w:rPr>
              <w:t>.</w:t>
            </w:r>
            <w:r>
              <w:t>p</w:t>
            </w:r>
            <w:r w:rsidRPr="004F067C">
              <w:t>a</w:t>
            </w:r>
            <w:r>
              <w:t xml:space="preserve">nta </w:t>
            </w:r>
            <w:r w:rsidR="007F698F">
              <w:t>divpadsmitā</w:t>
            </w:r>
            <w:r>
              <w:t xml:space="preserve"> daļa</w:t>
            </w:r>
            <w:r w:rsidR="0038051D">
              <w:t xml:space="preserve"> un Pu</w:t>
            </w:r>
            <w:r w:rsidR="002E4F6B">
              <w:t>blisko aģentūru likuma 5.panta otr</w:t>
            </w:r>
            <w:r w:rsidR="00837112">
              <w:t>ā</w:t>
            </w:r>
            <w:r w:rsidR="002E4F6B">
              <w:t xml:space="preserve"> </w:t>
            </w:r>
            <w:r w:rsidR="0038051D">
              <w:t>daļ</w:t>
            </w:r>
            <w:r w:rsidR="00837112">
              <w:t>a</w:t>
            </w:r>
            <w:r>
              <w:t>.</w:t>
            </w:r>
          </w:p>
        </w:tc>
      </w:tr>
      <w:tr w:rsidR="00D577B9" w:rsidRPr="004F22F2" w:rsidTr="00E2255B">
        <w:trPr>
          <w:trHeight w:val="472"/>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 2.</w:t>
            </w:r>
          </w:p>
        </w:tc>
        <w:tc>
          <w:tcPr>
            <w:tcW w:w="3019" w:type="dxa"/>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 Pašreizējā situācija un problēmas</w:t>
            </w:r>
          </w:p>
        </w:tc>
        <w:tc>
          <w:tcPr>
            <w:tcW w:w="6095" w:type="dxa"/>
            <w:tcBorders>
              <w:top w:val="outset" w:sz="6" w:space="0" w:color="auto"/>
              <w:left w:val="outset" w:sz="6" w:space="0" w:color="auto"/>
              <w:bottom w:val="outset" w:sz="6" w:space="0" w:color="auto"/>
              <w:right w:val="outset" w:sz="6" w:space="0" w:color="auto"/>
            </w:tcBorders>
            <w:hideMark/>
          </w:tcPr>
          <w:p w:rsidR="001B3985" w:rsidRDefault="001B3985" w:rsidP="001B3985">
            <w:pPr>
              <w:ind w:left="164" w:right="95"/>
              <w:jc w:val="both"/>
            </w:pPr>
            <w:r>
              <w:t>Ar 2011.gada 1.janvāri stājās</w:t>
            </w:r>
            <w:r w:rsidRPr="00283BB9">
              <w:t xml:space="preserve"> spēkā grozījumi Likumā par budžetu un finanšu vadību</w:t>
            </w:r>
            <w:r>
              <w:t xml:space="preserve"> (LBFV)</w:t>
            </w:r>
            <w:r w:rsidRPr="00283BB9">
              <w:t xml:space="preserve">. Pamatojoties uz </w:t>
            </w:r>
            <w:r>
              <w:t>LBFV</w:t>
            </w:r>
            <w:r w:rsidRPr="00283BB9">
              <w:t xml:space="preserve"> 5.panta divpadsmitajā daļā doto</w:t>
            </w:r>
            <w:r>
              <w:t xml:space="preserve"> jauno</w:t>
            </w:r>
            <w:r w:rsidRPr="00283BB9">
              <w:t xml:space="preserve"> deleģējumu, nepieciešams</w:t>
            </w:r>
            <w:r>
              <w:t xml:space="preserve"> noteikt kārtību, kādā plānojami un uzskaitāmi ieņēmumi no valsts budžeta iestāžu sniegtajiem maksas pakalpojumiem un ar šo pakalpojumu sniegšanu saistītie izdevumi, kā arī maksas pakalpojumu izcenojumu noteikšanas metodiku. Tas attiecas arī uz tām valsts aģentūrām, kas izveidotas līdz 2010.gada 1.janvārim.</w:t>
            </w:r>
          </w:p>
          <w:p w:rsidR="001B3985" w:rsidRDefault="001B3985" w:rsidP="001B3985">
            <w:pPr>
              <w:ind w:left="164" w:right="95"/>
              <w:jc w:val="both"/>
            </w:pPr>
            <w:r w:rsidRPr="00283BB9">
              <w:t>Savukārt, atbilstoši Publisko aģentūru likuma</w:t>
            </w:r>
            <w:r>
              <w:t xml:space="preserve"> (01.12.2009.)</w:t>
            </w:r>
            <w:r w:rsidRPr="00283BB9">
              <w:t xml:space="preserve"> normām,</w:t>
            </w:r>
            <w:r>
              <w:t xml:space="preserve"> </w:t>
            </w:r>
            <w:r w:rsidRPr="001C5BC6">
              <w:t>maksas pakalpojumu</w:t>
            </w:r>
            <w:r>
              <w:t xml:space="preserve"> izcenojumu noteikšanas metodika</w:t>
            </w:r>
            <w:r w:rsidRPr="001C5BC6">
              <w:t xml:space="preserve"> un iz</w:t>
            </w:r>
            <w:r>
              <w:t>cenojumu apstiprināšanas kārtība</w:t>
            </w:r>
            <w:r w:rsidRPr="001C5BC6">
              <w:t xml:space="preserve"> </w:t>
            </w:r>
            <w:r w:rsidRPr="00283BB9">
              <w:t>ir saistoša valsts aģentūrām</w:t>
            </w:r>
            <w:r>
              <w:t xml:space="preserve"> (budžeta nefinansētām aģentūrām, kas izveidotas pēc 2010.gada 1.janvāra). </w:t>
            </w:r>
          </w:p>
          <w:p w:rsidR="00727C28" w:rsidRDefault="001C69EE" w:rsidP="007643D1">
            <w:pPr>
              <w:spacing w:before="120" w:after="120"/>
              <w:ind w:left="127" w:right="127"/>
              <w:jc w:val="both"/>
            </w:pPr>
            <w:r w:rsidRPr="001C69EE">
              <w:t>Šobrīd ir spēkā Ministru kabineta 2005.gada 23.augusta noteikumi Nr.615 „Valsts aģentūru publisko pakalpojumu izcenojumu noteikšanas metodika un izcenojumu apstiprināšanas kārtība”</w:t>
            </w:r>
            <w:r w:rsidR="001B3985">
              <w:t xml:space="preserve"> (izdoti uz tā Publisko aģentūru likuma (22.03.2001.) pamata kas jau zaudējis spēku)</w:t>
            </w:r>
            <w:r w:rsidRPr="001C69EE">
              <w:t>, kas nosaka tikai valsts aģentūru sniegto publisko pakalpojumu izcenojumu noteikšanas metodiku un izce</w:t>
            </w:r>
            <w:r w:rsidR="00DA5040">
              <w:t>nojumu apstiprināšanas kārtību. Tie ir spēkā līdz jaunu Ministru kabineta noteikumu spēkā stāšanos, bet ne ilgāk kā līdz 2011.gada 1.septembrim.</w:t>
            </w:r>
          </w:p>
          <w:p w:rsidR="00EF310B" w:rsidRPr="0093333D" w:rsidRDefault="001B3985" w:rsidP="00703D38">
            <w:pPr>
              <w:spacing w:before="120" w:after="120"/>
              <w:ind w:left="127" w:right="127"/>
              <w:jc w:val="both"/>
            </w:pPr>
            <w:r>
              <w:t>V</w:t>
            </w:r>
            <w:r w:rsidR="00DA5040">
              <w:t xml:space="preserve">alsts budžeta iestādes izdod savus maksas pakalpojumu cenrāžus, taču tām nav noteiktā metodika izcenojumu aprēķināšanai. </w:t>
            </w:r>
          </w:p>
        </w:tc>
      </w:tr>
      <w:tr w:rsidR="00D577B9" w:rsidRPr="004F22F2" w:rsidTr="00E2255B">
        <w:trPr>
          <w:trHeight w:val="833"/>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 3.</w:t>
            </w:r>
          </w:p>
        </w:tc>
        <w:tc>
          <w:tcPr>
            <w:tcW w:w="3019" w:type="dxa"/>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 Saistītie politikas ietekmes novērtējumi un pētījumi</w:t>
            </w:r>
          </w:p>
        </w:tc>
        <w:tc>
          <w:tcPr>
            <w:tcW w:w="6095" w:type="dxa"/>
            <w:tcBorders>
              <w:top w:val="outset" w:sz="6" w:space="0" w:color="auto"/>
              <w:left w:val="outset" w:sz="6" w:space="0" w:color="auto"/>
              <w:bottom w:val="outset" w:sz="6" w:space="0" w:color="auto"/>
              <w:right w:val="outset" w:sz="6" w:space="0" w:color="auto"/>
            </w:tcBorders>
            <w:hideMark/>
          </w:tcPr>
          <w:p w:rsidR="00D577B9" w:rsidRPr="004F22F2" w:rsidRDefault="00D577B9" w:rsidP="0073134A">
            <w:pPr>
              <w:spacing w:before="75" w:after="75"/>
              <w:ind w:left="127" w:right="127"/>
            </w:pPr>
            <w:r>
              <w:t>Nav attiecināms</w:t>
            </w:r>
          </w:p>
        </w:tc>
      </w:tr>
      <w:tr w:rsidR="00D577B9" w:rsidRPr="004F22F2" w:rsidTr="00E2255B">
        <w:trPr>
          <w:trHeight w:val="384"/>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 4.</w:t>
            </w:r>
          </w:p>
        </w:tc>
        <w:tc>
          <w:tcPr>
            <w:tcW w:w="3019" w:type="dxa"/>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 Tiesiskā regulējuma mērķis un būtība</w:t>
            </w:r>
          </w:p>
        </w:tc>
        <w:tc>
          <w:tcPr>
            <w:tcW w:w="6095" w:type="dxa"/>
            <w:tcBorders>
              <w:top w:val="outset" w:sz="6" w:space="0" w:color="auto"/>
              <w:left w:val="outset" w:sz="6" w:space="0" w:color="auto"/>
              <w:bottom w:val="outset" w:sz="6" w:space="0" w:color="auto"/>
              <w:right w:val="outset" w:sz="6" w:space="0" w:color="auto"/>
            </w:tcBorders>
            <w:hideMark/>
          </w:tcPr>
          <w:p w:rsidR="001B3985" w:rsidRDefault="00703D38" w:rsidP="001B3985">
            <w:pPr>
              <w:spacing w:before="120" w:after="120"/>
              <w:ind w:left="127" w:right="127"/>
              <w:jc w:val="both"/>
              <w:rPr>
                <w:bCs/>
                <w:szCs w:val="28"/>
              </w:rPr>
            </w:pPr>
            <w:r>
              <w:t>Ministru kabineta noteikumu projekts „</w:t>
            </w:r>
            <w:r w:rsidRPr="009D2857">
              <w:t>Kārtība, kādā plānojami un uzskaitāmi ieņēmumi no maksas pakalpojumiem un ar šo pakalpojum</w:t>
            </w:r>
            <w:r>
              <w:t>u sniegšanu saistītie izdevumi, kā arī maksas pakalpojumu izcenojumu noteikšanas metodika un izcenojumu apstiprināšanas kartība”</w:t>
            </w:r>
            <w:r w:rsidRPr="009D3C96">
              <w:rPr>
                <w:bCs/>
                <w:szCs w:val="28"/>
              </w:rPr>
              <w:t xml:space="preserve"> (turpmāk – noteikumu projekts)</w:t>
            </w:r>
            <w:r>
              <w:t xml:space="preserve"> </w:t>
            </w:r>
            <w:r w:rsidR="001B3985" w:rsidRPr="009D3C96">
              <w:rPr>
                <w:bCs/>
                <w:szCs w:val="28"/>
              </w:rPr>
              <w:t xml:space="preserve">ir izstrādāts, lai noteiktu </w:t>
            </w:r>
            <w:r w:rsidR="001B3985">
              <w:rPr>
                <w:bCs/>
                <w:szCs w:val="28"/>
              </w:rPr>
              <w:t>valsts budžeta iestādēm</w:t>
            </w:r>
            <w:r w:rsidR="001B3985" w:rsidRPr="009D3C96">
              <w:rPr>
                <w:bCs/>
                <w:szCs w:val="28"/>
              </w:rPr>
              <w:t xml:space="preserve"> </w:t>
            </w:r>
            <w:r w:rsidR="001B3985">
              <w:rPr>
                <w:bCs/>
                <w:szCs w:val="28"/>
              </w:rPr>
              <w:t xml:space="preserve">un valsts budžeta nefinansētām aģentūrām </w:t>
            </w:r>
            <w:r w:rsidR="001B3985" w:rsidRPr="009D3C96">
              <w:rPr>
                <w:bCs/>
                <w:szCs w:val="28"/>
              </w:rPr>
              <w:t xml:space="preserve">vienotu </w:t>
            </w:r>
            <w:r w:rsidR="001B3985">
              <w:rPr>
                <w:bCs/>
                <w:szCs w:val="28"/>
              </w:rPr>
              <w:t xml:space="preserve">metodiku </w:t>
            </w:r>
            <w:r w:rsidR="001B3985" w:rsidRPr="009D3C96">
              <w:rPr>
                <w:bCs/>
                <w:szCs w:val="28"/>
              </w:rPr>
              <w:t xml:space="preserve">maksas </w:t>
            </w:r>
            <w:r w:rsidR="001B3985" w:rsidRPr="009D3C96">
              <w:rPr>
                <w:bCs/>
                <w:szCs w:val="28"/>
              </w:rPr>
              <w:lastRenderedPageBreak/>
              <w:t>pa</w:t>
            </w:r>
            <w:r w:rsidR="001B3985">
              <w:rPr>
                <w:bCs/>
                <w:szCs w:val="28"/>
              </w:rPr>
              <w:t>kalpojumu izcenojumu noteikšanai un apstiprināšanai, kā arī</w:t>
            </w:r>
            <w:r w:rsidR="001B3985" w:rsidRPr="009D3C96">
              <w:rPr>
                <w:bCs/>
                <w:szCs w:val="28"/>
              </w:rPr>
              <w:t xml:space="preserve"> </w:t>
            </w:r>
            <w:r w:rsidR="001B3985">
              <w:rPr>
                <w:bCs/>
                <w:szCs w:val="28"/>
              </w:rPr>
              <w:t xml:space="preserve">valsts budžeta iestādēm noteikt </w:t>
            </w:r>
            <w:r w:rsidR="001B3985" w:rsidRPr="009D3C96">
              <w:rPr>
                <w:bCs/>
                <w:szCs w:val="28"/>
              </w:rPr>
              <w:t>ieņēmumu no sniegtajiem maksas pakalpojumiem un ar šo pakalpoju</w:t>
            </w:r>
            <w:r w:rsidR="001B3985">
              <w:rPr>
                <w:bCs/>
                <w:szCs w:val="28"/>
              </w:rPr>
              <w:t>mu sniegšanu saistīto izdevumu plānošanas un uzskaitīšanas kārtību.</w:t>
            </w:r>
          </w:p>
          <w:p w:rsidR="002D6382" w:rsidRDefault="002D6382" w:rsidP="0073134A">
            <w:pPr>
              <w:spacing w:before="120" w:after="120"/>
              <w:ind w:left="127" w:right="127"/>
              <w:jc w:val="both"/>
            </w:pPr>
            <w:r>
              <w:t xml:space="preserve">Citi normatīvie akti, kas regulē </w:t>
            </w:r>
            <w:r w:rsidR="00264EC9">
              <w:t>jautājumus par ieņēmumiem</w:t>
            </w:r>
            <w:r>
              <w:t xml:space="preserve"> no sniegtajiem maksas pakalpojumiem un ar šo pakalpojumu sniegšanu saistīto izdevumu plānošanu un uzskaiti ir L</w:t>
            </w:r>
            <w:r w:rsidR="00264EC9">
              <w:t>BFV</w:t>
            </w:r>
            <w:r>
              <w:t>, Publisko aģentūru likums</w:t>
            </w:r>
            <w:r w:rsidR="00264EC9">
              <w:t>,</w:t>
            </w:r>
            <w:r>
              <w:t xml:space="preserve"> kā arī </w:t>
            </w:r>
            <w:r w:rsidR="00264EC9">
              <w:t xml:space="preserve">no minētiem likumiem izrietoši </w:t>
            </w:r>
            <w:r>
              <w:t>Ministru kabineta noteikumi par plānošanu un uzskaiti</w:t>
            </w:r>
            <w:r w:rsidR="00264EC9">
              <w:t>.</w:t>
            </w:r>
          </w:p>
          <w:p w:rsidR="00703D38" w:rsidRDefault="00703D38" w:rsidP="0073134A">
            <w:pPr>
              <w:spacing w:before="120" w:after="120"/>
              <w:ind w:left="127" w:right="127"/>
              <w:jc w:val="both"/>
            </w:pPr>
            <w:r>
              <w:t>Sniegto maksas pakalpojumu cenrādī diferencē  maksas pakalpojumu cenas atkarībā no pakalpojuma sniegšanas (pieprasīšanas) veida, tai skaitā, ņemot vērā, ka sniedzot pakalpojumu elektroniski, ir zemākas izmaksas.</w:t>
            </w:r>
          </w:p>
          <w:p w:rsidR="00D577B9" w:rsidRPr="00221468" w:rsidRDefault="00873ACB" w:rsidP="0073134A">
            <w:pPr>
              <w:pStyle w:val="naisc"/>
              <w:spacing w:before="120" w:after="120"/>
              <w:ind w:left="127" w:right="127"/>
              <w:jc w:val="both"/>
              <w:rPr>
                <w:bCs/>
                <w:sz w:val="24"/>
                <w:szCs w:val="24"/>
              </w:rPr>
            </w:pPr>
            <w:r w:rsidRPr="00221468">
              <w:rPr>
                <w:rFonts w:eastAsia="Calibri"/>
                <w:sz w:val="24"/>
                <w:szCs w:val="24"/>
              </w:rPr>
              <w:t xml:space="preserve">Šīs anotācijas </w:t>
            </w:r>
            <w:proofErr w:type="spellStart"/>
            <w:r w:rsidRPr="00221468">
              <w:rPr>
                <w:rFonts w:eastAsia="Calibri"/>
                <w:sz w:val="24"/>
                <w:szCs w:val="24"/>
              </w:rPr>
              <w:t>I sadaļas</w:t>
            </w:r>
            <w:proofErr w:type="spellEnd"/>
            <w:r w:rsidRPr="00221468">
              <w:rPr>
                <w:rFonts w:eastAsia="Calibri"/>
                <w:sz w:val="24"/>
                <w:szCs w:val="24"/>
              </w:rPr>
              <w:t xml:space="preserve"> 2.punktā minētās problēmas noteikumu projekts atrisinās pilnībā.</w:t>
            </w:r>
          </w:p>
        </w:tc>
      </w:tr>
      <w:tr w:rsidR="00D577B9" w:rsidRPr="004F22F2" w:rsidTr="00E2255B">
        <w:trPr>
          <w:trHeight w:val="476"/>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lastRenderedPageBreak/>
              <w:t> 5.</w:t>
            </w:r>
          </w:p>
        </w:tc>
        <w:tc>
          <w:tcPr>
            <w:tcW w:w="3019" w:type="dxa"/>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 Projekta izstrādē iesaistītās institūcijas</w:t>
            </w:r>
          </w:p>
        </w:tc>
        <w:tc>
          <w:tcPr>
            <w:tcW w:w="6095" w:type="dxa"/>
            <w:tcBorders>
              <w:top w:val="outset" w:sz="6" w:space="0" w:color="auto"/>
              <w:left w:val="outset" w:sz="6" w:space="0" w:color="auto"/>
              <w:bottom w:val="outset" w:sz="6" w:space="0" w:color="auto"/>
              <w:right w:val="outset" w:sz="6" w:space="0" w:color="auto"/>
            </w:tcBorders>
            <w:hideMark/>
          </w:tcPr>
          <w:p w:rsidR="00D577B9" w:rsidRPr="004F22F2" w:rsidRDefault="0038333A" w:rsidP="0073134A">
            <w:pPr>
              <w:spacing w:before="75" w:after="75"/>
              <w:ind w:left="127" w:right="127"/>
              <w:jc w:val="both"/>
            </w:pPr>
            <w:r w:rsidRPr="00136090">
              <w:t>Aizsardz</w:t>
            </w:r>
            <w:r>
              <w:t xml:space="preserve">ības </w:t>
            </w:r>
            <w:r w:rsidRPr="00136090">
              <w:t>ministrija, Ārlietu ministrija, Ekonomikas ministrija, Iekšlietu ministrija, Kultūras ministrija, Labklājības ministrija, Reģionālās attīstības un pašvaldību lietu ministrija, Satiksmes ministrija, Tieslietu ministrija, Vides ministrija, Valsts kanceleja, Veselības ministrija, Zemkopības ministrija.</w:t>
            </w:r>
          </w:p>
        </w:tc>
      </w:tr>
      <w:tr w:rsidR="00D577B9" w:rsidRPr="004F22F2" w:rsidTr="00E2255B">
        <w:trPr>
          <w:trHeight w:val="773"/>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 6.</w:t>
            </w:r>
          </w:p>
        </w:tc>
        <w:tc>
          <w:tcPr>
            <w:tcW w:w="3019" w:type="dxa"/>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 Iemesli, kādēļ netika nodrošināta sabiedrības līdzdalība</w:t>
            </w:r>
          </w:p>
        </w:tc>
        <w:tc>
          <w:tcPr>
            <w:tcW w:w="6095" w:type="dxa"/>
            <w:tcBorders>
              <w:top w:val="outset" w:sz="6" w:space="0" w:color="auto"/>
              <w:left w:val="outset" w:sz="6" w:space="0" w:color="auto"/>
              <w:bottom w:val="outset" w:sz="6" w:space="0" w:color="auto"/>
              <w:right w:val="outset" w:sz="6" w:space="0" w:color="auto"/>
            </w:tcBorders>
            <w:hideMark/>
          </w:tcPr>
          <w:p w:rsidR="00D577B9" w:rsidRPr="004F22F2" w:rsidRDefault="00D577B9" w:rsidP="0073134A">
            <w:pPr>
              <w:spacing w:before="75" w:after="75"/>
              <w:ind w:left="127" w:right="127"/>
              <w:jc w:val="both"/>
            </w:pPr>
            <w:r>
              <w:t>Sabiedrības līdzdalība nav nepieciešama, jo ši</w:t>
            </w:r>
            <w:r w:rsidR="00837112">
              <w:t>s</w:t>
            </w:r>
            <w:r w:rsidR="00F005B6">
              <w:t xml:space="preserve"> </w:t>
            </w:r>
            <w:r w:rsidR="00837112">
              <w:t xml:space="preserve">normatīvais </w:t>
            </w:r>
            <w:r>
              <w:t>akt</w:t>
            </w:r>
            <w:r w:rsidR="00837112">
              <w:t>s ir paredzēts lietošanai valsts budžeta iestādēm</w:t>
            </w:r>
            <w:r>
              <w:t>.</w:t>
            </w:r>
          </w:p>
        </w:tc>
      </w:tr>
      <w:tr w:rsidR="00D577B9" w:rsidRPr="004F22F2" w:rsidTr="00E2255B">
        <w:trPr>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 7.</w:t>
            </w:r>
          </w:p>
        </w:tc>
        <w:tc>
          <w:tcPr>
            <w:tcW w:w="3019" w:type="dxa"/>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 Cita informācija</w:t>
            </w:r>
          </w:p>
        </w:tc>
        <w:tc>
          <w:tcPr>
            <w:tcW w:w="6095" w:type="dxa"/>
            <w:tcBorders>
              <w:top w:val="outset" w:sz="6" w:space="0" w:color="auto"/>
              <w:left w:val="outset" w:sz="6" w:space="0" w:color="auto"/>
              <w:bottom w:val="outset" w:sz="6" w:space="0" w:color="auto"/>
              <w:right w:val="outset" w:sz="6" w:space="0" w:color="auto"/>
            </w:tcBorders>
            <w:hideMark/>
          </w:tcPr>
          <w:p w:rsidR="00D577B9" w:rsidRPr="004F22F2" w:rsidRDefault="00D577B9" w:rsidP="0073134A">
            <w:pPr>
              <w:spacing w:before="75" w:after="75"/>
              <w:ind w:left="127" w:right="127"/>
            </w:pPr>
            <w:r w:rsidRPr="004F22F2">
              <w:t>Nav</w:t>
            </w:r>
          </w:p>
        </w:tc>
      </w:tr>
      <w:tr w:rsidR="00D577B9" w:rsidRPr="004F22F2" w:rsidTr="00E2255B">
        <w:trPr>
          <w:tblCellSpacing w:w="0" w:type="dxa"/>
        </w:trPr>
        <w:tc>
          <w:tcPr>
            <w:tcW w:w="9640" w:type="dxa"/>
            <w:gridSpan w:val="3"/>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150" w:after="150"/>
              <w:jc w:val="center"/>
              <w:rPr>
                <w:b/>
                <w:bCs/>
              </w:rPr>
            </w:pPr>
            <w:r w:rsidRPr="004F22F2">
              <w:rPr>
                <w:b/>
                <w:bCs/>
              </w:rPr>
              <w:t> IV. Tiesību akta projekta ietekme uz spēkā esošo tiesību normu sistēmu</w:t>
            </w:r>
          </w:p>
        </w:tc>
      </w:tr>
      <w:tr w:rsidR="00D577B9" w:rsidRPr="004F22F2" w:rsidTr="00E2255B">
        <w:trPr>
          <w:tblCellSpacing w:w="0" w:type="dxa"/>
        </w:trPr>
        <w:tc>
          <w:tcPr>
            <w:tcW w:w="3545" w:type="dxa"/>
            <w:gridSpan w:val="2"/>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 Nepieciešamie saistītie tiesību aktu projekti</w:t>
            </w:r>
          </w:p>
        </w:tc>
        <w:tc>
          <w:tcPr>
            <w:tcW w:w="6095" w:type="dxa"/>
            <w:tcBorders>
              <w:top w:val="outset" w:sz="6" w:space="0" w:color="auto"/>
              <w:left w:val="outset" w:sz="6" w:space="0" w:color="auto"/>
              <w:bottom w:val="outset" w:sz="6" w:space="0" w:color="auto"/>
              <w:right w:val="outset" w:sz="6" w:space="0" w:color="auto"/>
            </w:tcBorders>
            <w:hideMark/>
          </w:tcPr>
          <w:p w:rsidR="00D577B9" w:rsidRPr="004F22F2" w:rsidRDefault="00D577B9" w:rsidP="00264EC9">
            <w:pPr>
              <w:spacing w:before="75" w:after="75"/>
              <w:ind w:left="127" w:right="127"/>
              <w:jc w:val="both"/>
            </w:pPr>
            <w:r w:rsidRPr="004F22F2">
              <w:t> </w:t>
            </w:r>
            <w:r w:rsidR="00264EC9" w:rsidRPr="004F22F2">
              <w:t>Nav</w:t>
            </w:r>
          </w:p>
        </w:tc>
      </w:tr>
      <w:tr w:rsidR="00D577B9" w:rsidRPr="004F22F2" w:rsidTr="00E2255B">
        <w:trPr>
          <w:tblCellSpacing w:w="0" w:type="dxa"/>
        </w:trPr>
        <w:tc>
          <w:tcPr>
            <w:tcW w:w="3545" w:type="dxa"/>
            <w:gridSpan w:val="2"/>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 Cita informācija</w:t>
            </w:r>
          </w:p>
        </w:tc>
        <w:tc>
          <w:tcPr>
            <w:tcW w:w="6095" w:type="dxa"/>
            <w:tcBorders>
              <w:top w:val="outset" w:sz="6" w:space="0" w:color="auto"/>
              <w:left w:val="outset" w:sz="6" w:space="0" w:color="auto"/>
              <w:bottom w:val="outset" w:sz="6" w:space="0" w:color="auto"/>
              <w:right w:val="outset" w:sz="6" w:space="0" w:color="auto"/>
            </w:tcBorders>
            <w:hideMark/>
          </w:tcPr>
          <w:p w:rsidR="00D577B9" w:rsidRPr="004F22F2" w:rsidRDefault="00264EC9" w:rsidP="008B016D">
            <w:pPr>
              <w:spacing w:before="75" w:after="75"/>
              <w:ind w:left="127" w:right="127"/>
              <w:jc w:val="both"/>
            </w:pPr>
            <w:r>
              <w:t>Ar šo noteikumu spēkā stāšanos spēku zaudēs:</w:t>
            </w:r>
            <w:r w:rsidRPr="00F26CD0">
              <w:t xml:space="preserve"> </w:t>
            </w:r>
            <w:r>
              <w:t>Ministru kabineta 2005.gada 23.augusta</w:t>
            </w:r>
            <w:r w:rsidRPr="00F26CD0">
              <w:t xml:space="preserve"> </w:t>
            </w:r>
            <w:r>
              <w:t>noteikumus Nr.615 „Valsts aģentūru publisko pakalpojumu izcenojumu noteikšanas metodika un izcenojumu apstiprināšanas kārtība” (Latvijas Vēstnesis, 2005, 135</w:t>
            </w:r>
            <w:r w:rsidRPr="00F26CD0">
              <w:t>.nr.).</w:t>
            </w:r>
          </w:p>
        </w:tc>
      </w:tr>
      <w:tr w:rsidR="00D577B9" w:rsidRPr="004F22F2" w:rsidTr="00E2255B">
        <w:trPr>
          <w:tblCellSpacing w:w="0" w:type="dxa"/>
        </w:trPr>
        <w:tc>
          <w:tcPr>
            <w:tcW w:w="9640" w:type="dxa"/>
            <w:gridSpan w:val="3"/>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jc w:val="center"/>
            </w:pPr>
            <w:r w:rsidRPr="004F22F2">
              <w:rPr>
                <w:b/>
                <w:bCs/>
              </w:rPr>
              <w:t> VII. Tiesību akta projekta izpildes nodrošināšana un tās ietekme uz institūcijām</w:t>
            </w:r>
          </w:p>
        </w:tc>
      </w:tr>
      <w:tr w:rsidR="00D577B9" w:rsidRPr="004F22F2" w:rsidTr="00E2255B">
        <w:trPr>
          <w:trHeight w:val="427"/>
          <w:tblCellSpacing w:w="0" w:type="dxa"/>
        </w:trPr>
        <w:tc>
          <w:tcPr>
            <w:tcW w:w="3545" w:type="dxa"/>
            <w:gridSpan w:val="2"/>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Projekta izpildē iesaistītās institūcijas</w:t>
            </w:r>
          </w:p>
        </w:tc>
        <w:tc>
          <w:tcPr>
            <w:tcW w:w="6095" w:type="dxa"/>
            <w:tcBorders>
              <w:top w:val="outset" w:sz="6" w:space="0" w:color="auto"/>
              <w:left w:val="outset" w:sz="6" w:space="0" w:color="auto"/>
              <w:bottom w:val="outset" w:sz="6" w:space="0" w:color="auto"/>
              <w:right w:val="outset" w:sz="6" w:space="0" w:color="auto"/>
            </w:tcBorders>
            <w:hideMark/>
          </w:tcPr>
          <w:p w:rsidR="00D577B9" w:rsidRPr="004F22F2" w:rsidRDefault="0038333A" w:rsidP="008B016D">
            <w:pPr>
              <w:spacing w:before="75" w:after="75"/>
              <w:ind w:left="127" w:right="127"/>
              <w:jc w:val="both"/>
            </w:pPr>
            <w:r w:rsidRPr="005010AD">
              <w:t>Valsts budžeta iestādes</w:t>
            </w:r>
            <w:r>
              <w:t>, tai skaitā valsts aģentūras, kas izveidotas pirms 2010.gada 1.janvāra, un valsts aģentūras</w:t>
            </w:r>
            <w:r w:rsidR="00264EC9">
              <w:t xml:space="preserve"> (budžeta nefinansētas)</w:t>
            </w:r>
            <w:r>
              <w:t>, kas izveidotas pēc 2010.gada 1.janvāra.</w:t>
            </w:r>
          </w:p>
        </w:tc>
      </w:tr>
      <w:tr w:rsidR="00D577B9" w:rsidRPr="004F22F2" w:rsidTr="00E2255B">
        <w:trPr>
          <w:trHeight w:val="463"/>
          <w:tblCellSpacing w:w="0" w:type="dxa"/>
        </w:trPr>
        <w:tc>
          <w:tcPr>
            <w:tcW w:w="3545" w:type="dxa"/>
            <w:gridSpan w:val="2"/>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Projekta izpildes ietekme uz pārvaldes funkcijām</w:t>
            </w:r>
          </w:p>
        </w:tc>
        <w:tc>
          <w:tcPr>
            <w:tcW w:w="6095" w:type="dxa"/>
            <w:tcBorders>
              <w:top w:val="outset" w:sz="6" w:space="0" w:color="auto"/>
              <w:left w:val="outset" w:sz="6" w:space="0" w:color="auto"/>
              <w:bottom w:val="outset" w:sz="6" w:space="0" w:color="auto"/>
              <w:right w:val="outset" w:sz="6" w:space="0" w:color="auto"/>
            </w:tcBorders>
            <w:hideMark/>
          </w:tcPr>
          <w:p w:rsidR="00D577B9" w:rsidRPr="004F22F2" w:rsidRDefault="00D577B9" w:rsidP="0073134A">
            <w:pPr>
              <w:spacing w:before="75" w:after="75"/>
              <w:ind w:left="127" w:right="127"/>
            </w:pPr>
            <w:r w:rsidRPr="004F22F2">
              <w:t> </w:t>
            </w:r>
            <w:r w:rsidR="00944E33">
              <w:t>Esošo institūciju funkcijas nepaplašinās.</w:t>
            </w:r>
          </w:p>
        </w:tc>
      </w:tr>
      <w:tr w:rsidR="00D577B9" w:rsidRPr="004F22F2" w:rsidTr="00E2255B">
        <w:trPr>
          <w:trHeight w:val="725"/>
          <w:tblCellSpacing w:w="0" w:type="dxa"/>
        </w:trPr>
        <w:tc>
          <w:tcPr>
            <w:tcW w:w="3545" w:type="dxa"/>
            <w:gridSpan w:val="2"/>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lastRenderedPageBreak/>
              <w:t>Projekta izpildes ietekme uz pārvaldes institucionālo struktūru.</w:t>
            </w:r>
          </w:p>
          <w:p w:rsidR="00D577B9" w:rsidRPr="004F22F2" w:rsidRDefault="00D577B9" w:rsidP="00804874">
            <w:pPr>
              <w:spacing w:before="75" w:after="75"/>
            </w:pPr>
            <w:r w:rsidRPr="004F22F2">
              <w:t>Jaunu institūciju izveide</w:t>
            </w:r>
          </w:p>
        </w:tc>
        <w:tc>
          <w:tcPr>
            <w:tcW w:w="6095" w:type="dxa"/>
            <w:tcBorders>
              <w:top w:val="outset" w:sz="6" w:space="0" w:color="auto"/>
              <w:left w:val="outset" w:sz="6" w:space="0" w:color="auto"/>
              <w:bottom w:val="outset" w:sz="6" w:space="0" w:color="auto"/>
              <w:right w:val="outset" w:sz="6" w:space="0" w:color="auto"/>
            </w:tcBorders>
            <w:hideMark/>
          </w:tcPr>
          <w:p w:rsidR="00D577B9" w:rsidRPr="004F22F2" w:rsidRDefault="00D577B9" w:rsidP="00944E33">
            <w:pPr>
              <w:ind w:left="149" w:right="127"/>
              <w:jc w:val="both"/>
            </w:pPr>
            <w:r w:rsidRPr="00AC4645">
              <w:rPr>
                <w:szCs w:val="28"/>
              </w:rPr>
              <w:t>Noteikuma projekta izpilde iespējama uzreiz pēc stāšanas spēkā.</w:t>
            </w:r>
            <w:r w:rsidR="00944E33" w:rsidRPr="00AC4645">
              <w:rPr>
                <w:szCs w:val="28"/>
              </w:rPr>
              <w:t xml:space="preserve"> Jaunas valsts institūcijas netiek radītas</w:t>
            </w:r>
            <w:r w:rsidR="00944E33">
              <w:rPr>
                <w:szCs w:val="28"/>
              </w:rPr>
              <w:t>.</w:t>
            </w:r>
          </w:p>
        </w:tc>
      </w:tr>
      <w:tr w:rsidR="00D577B9" w:rsidRPr="00E92C45" w:rsidTr="00E2255B">
        <w:trPr>
          <w:trHeight w:val="780"/>
          <w:tblCellSpacing w:w="0" w:type="dxa"/>
        </w:trPr>
        <w:tc>
          <w:tcPr>
            <w:tcW w:w="3545" w:type="dxa"/>
            <w:gridSpan w:val="2"/>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Projekta izpildes ietekme uz pārvaldes institucionālo struktūru.</w:t>
            </w:r>
          </w:p>
          <w:p w:rsidR="00D577B9" w:rsidRPr="004F22F2" w:rsidRDefault="00D577B9" w:rsidP="00804874">
            <w:pPr>
              <w:spacing w:before="75" w:after="75"/>
            </w:pPr>
            <w:r w:rsidRPr="004F22F2">
              <w:t>Esošu institūciju likvidācija</w:t>
            </w:r>
          </w:p>
        </w:tc>
        <w:tc>
          <w:tcPr>
            <w:tcW w:w="6095" w:type="dxa"/>
            <w:tcBorders>
              <w:top w:val="outset" w:sz="6" w:space="0" w:color="auto"/>
              <w:left w:val="outset" w:sz="6" w:space="0" w:color="auto"/>
              <w:bottom w:val="outset" w:sz="6" w:space="0" w:color="auto"/>
              <w:right w:val="outset" w:sz="6" w:space="0" w:color="auto"/>
            </w:tcBorders>
            <w:hideMark/>
          </w:tcPr>
          <w:p w:rsidR="00D577B9" w:rsidRPr="00E92C45" w:rsidRDefault="00D577B9" w:rsidP="0073134A">
            <w:pPr>
              <w:spacing w:before="75" w:after="75"/>
              <w:ind w:left="127" w:right="127"/>
              <w:rPr>
                <w:highlight w:val="green"/>
              </w:rPr>
            </w:pPr>
            <w:r w:rsidRPr="008C15DC">
              <w:t> Nav attiecināms</w:t>
            </w:r>
          </w:p>
        </w:tc>
      </w:tr>
      <w:tr w:rsidR="00D577B9" w:rsidRPr="00E92C45" w:rsidTr="00E2255B">
        <w:trPr>
          <w:trHeight w:val="703"/>
          <w:tblCellSpacing w:w="0" w:type="dxa"/>
        </w:trPr>
        <w:tc>
          <w:tcPr>
            <w:tcW w:w="3545" w:type="dxa"/>
            <w:gridSpan w:val="2"/>
            <w:tcBorders>
              <w:top w:val="outset" w:sz="6" w:space="0" w:color="auto"/>
              <w:left w:val="outset" w:sz="6" w:space="0" w:color="auto"/>
              <w:bottom w:val="outset" w:sz="6" w:space="0" w:color="auto"/>
              <w:right w:val="outset" w:sz="6" w:space="0" w:color="auto"/>
            </w:tcBorders>
            <w:hideMark/>
          </w:tcPr>
          <w:p w:rsidR="00D577B9" w:rsidRPr="008C15DC" w:rsidRDefault="00D577B9" w:rsidP="00804874">
            <w:pPr>
              <w:spacing w:before="75" w:after="75"/>
            </w:pPr>
            <w:r w:rsidRPr="008C15DC">
              <w:t>Projekta izpildes ietekme uz pārvaldes institucionālo struktūru.</w:t>
            </w:r>
          </w:p>
          <w:p w:rsidR="00D577B9" w:rsidRPr="008C15DC" w:rsidRDefault="00D577B9" w:rsidP="00804874">
            <w:pPr>
              <w:spacing w:before="75" w:after="75"/>
            </w:pPr>
            <w:r w:rsidRPr="008C15DC">
              <w:t>Esošu institūciju reorganizācija</w:t>
            </w:r>
          </w:p>
        </w:tc>
        <w:tc>
          <w:tcPr>
            <w:tcW w:w="6095" w:type="dxa"/>
            <w:tcBorders>
              <w:top w:val="outset" w:sz="6" w:space="0" w:color="auto"/>
              <w:left w:val="outset" w:sz="6" w:space="0" w:color="auto"/>
              <w:bottom w:val="outset" w:sz="6" w:space="0" w:color="auto"/>
              <w:right w:val="outset" w:sz="6" w:space="0" w:color="auto"/>
            </w:tcBorders>
            <w:hideMark/>
          </w:tcPr>
          <w:p w:rsidR="00D577B9" w:rsidRPr="008C15DC" w:rsidRDefault="00D577B9" w:rsidP="0073134A">
            <w:pPr>
              <w:spacing w:before="75" w:after="75"/>
              <w:ind w:left="127" w:right="127"/>
            </w:pPr>
            <w:r w:rsidRPr="008C15DC">
              <w:t> </w:t>
            </w:r>
            <w:r>
              <w:t>Nav attiecināms</w:t>
            </w:r>
          </w:p>
        </w:tc>
      </w:tr>
      <w:tr w:rsidR="00D577B9" w:rsidRPr="004F22F2" w:rsidTr="00E2255B">
        <w:trPr>
          <w:trHeight w:val="476"/>
          <w:tblCellSpacing w:w="0" w:type="dxa"/>
        </w:trPr>
        <w:tc>
          <w:tcPr>
            <w:tcW w:w="3545" w:type="dxa"/>
            <w:gridSpan w:val="2"/>
            <w:tcBorders>
              <w:top w:val="outset" w:sz="6" w:space="0" w:color="auto"/>
              <w:left w:val="outset" w:sz="6" w:space="0" w:color="auto"/>
              <w:bottom w:val="outset" w:sz="6" w:space="0" w:color="auto"/>
              <w:right w:val="outset" w:sz="6" w:space="0" w:color="auto"/>
            </w:tcBorders>
            <w:hideMark/>
          </w:tcPr>
          <w:p w:rsidR="00D577B9" w:rsidRPr="004F22F2" w:rsidRDefault="00D577B9" w:rsidP="00804874">
            <w:pPr>
              <w:spacing w:before="75" w:after="75"/>
            </w:pPr>
            <w:r w:rsidRPr="004F22F2">
              <w:t> Cita informācija</w:t>
            </w:r>
          </w:p>
        </w:tc>
        <w:tc>
          <w:tcPr>
            <w:tcW w:w="6095" w:type="dxa"/>
            <w:tcBorders>
              <w:top w:val="outset" w:sz="6" w:space="0" w:color="auto"/>
              <w:left w:val="outset" w:sz="6" w:space="0" w:color="auto"/>
              <w:bottom w:val="outset" w:sz="6" w:space="0" w:color="auto"/>
              <w:right w:val="outset" w:sz="6" w:space="0" w:color="auto"/>
            </w:tcBorders>
            <w:hideMark/>
          </w:tcPr>
          <w:p w:rsidR="00D577B9" w:rsidRPr="004F22F2" w:rsidRDefault="00D577B9" w:rsidP="0073134A">
            <w:pPr>
              <w:spacing w:before="75" w:after="75"/>
              <w:ind w:left="127" w:right="127"/>
            </w:pPr>
            <w:r w:rsidRPr="004F22F2">
              <w:t> Nav</w:t>
            </w:r>
          </w:p>
        </w:tc>
      </w:tr>
    </w:tbl>
    <w:p w:rsidR="00D577B9" w:rsidRDefault="00D577B9" w:rsidP="00D577B9">
      <w:pPr>
        <w:pStyle w:val="Header"/>
        <w:tabs>
          <w:tab w:val="clear" w:pos="4153"/>
          <w:tab w:val="clear" w:pos="8306"/>
          <w:tab w:val="center" w:pos="0"/>
          <w:tab w:val="right" w:pos="142"/>
        </w:tabs>
        <w:ind w:right="-496" w:firstLine="851"/>
        <w:rPr>
          <w:sz w:val="28"/>
          <w:szCs w:val="28"/>
        </w:rPr>
      </w:pPr>
    </w:p>
    <w:p w:rsidR="00D577B9" w:rsidRDefault="00D577B9" w:rsidP="00D577B9">
      <w:pPr>
        <w:pStyle w:val="Header"/>
        <w:tabs>
          <w:tab w:val="clear" w:pos="4153"/>
          <w:tab w:val="clear" w:pos="8306"/>
          <w:tab w:val="center" w:pos="0"/>
          <w:tab w:val="right" w:pos="142"/>
        </w:tabs>
        <w:ind w:right="-496"/>
        <w:rPr>
          <w:sz w:val="28"/>
          <w:szCs w:val="28"/>
        </w:rPr>
      </w:pPr>
      <w:r>
        <w:rPr>
          <w:sz w:val="28"/>
          <w:szCs w:val="28"/>
        </w:rPr>
        <w:tab/>
      </w:r>
      <w:r>
        <w:rPr>
          <w:sz w:val="28"/>
          <w:szCs w:val="28"/>
        </w:rPr>
        <w:tab/>
        <w:t>Anotācijas II, III, V un VI sadaļa – nav attiecināms.</w:t>
      </w:r>
    </w:p>
    <w:p w:rsidR="00E2255B" w:rsidRDefault="00E2255B" w:rsidP="00D577B9">
      <w:pPr>
        <w:pStyle w:val="Header"/>
        <w:tabs>
          <w:tab w:val="clear" w:pos="4153"/>
          <w:tab w:val="clear" w:pos="8306"/>
          <w:tab w:val="center" w:pos="0"/>
          <w:tab w:val="right" w:pos="142"/>
        </w:tabs>
        <w:ind w:right="-496"/>
        <w:rPr>
          <w:sz w:val="28"/>
          <w:szCs w:val="28"/>
        </w:rPr>
      </w:pPr>
    </w:p>
    <w:p w:rsidR="00E2255B" w:rsidRDefault="00E2255B" w:rsidP="00D577B9">
      <w:pPr>
        <w:pStyle w:val="Header"/>
        <w:tabs>
          <w:tab w:val="clear" w:pos="4153"/>
          <w:tab w:val="clear" w:pos="8306"/>
          <w:tab w:val="center" w:pos="0"/>
          <w:tab w:val="right" w:pos="142"/>
        </w:tabs>
        <w:ind w:right="-496"/>
        <w:rPr>
          <w:sz w:val="28"/>
          <w:szCs w:val="28"/>
        </w:rPr>
      </w:pPr>
    </w:p>
    <w:p w:rsidR="00E2255B" w:rsidRDefault="00E2255B" w:rsidP="00D577B9">
      <w:pPr>
        <w:pStyle w:val="Header"/>
        <w:tabs>
          <w:tab w:val="clear" w:pos="4153"/>
          <w:tab w:val="clear" w:pos="8306"/>
          <w:tab w:val="center" w:pos="0"/>
          <w:tab w:val="right" w:pos="142"/>
        </w:tabs>
        <w:ind w:right="-496"/>
        <w:rPr>
          <w:sz w:val="28"/>
          <w:szCs w:val="28"/>
        </w:rPr>
      </w:pPr>
    </w:p>
    <w:p w:rsidR="00D577B9" w:rsidRDefault="00D577B9" w:rsidP="00D577B9">
      <w:pPr>
        <w:pStyle w:val="Header"/>
        <w:tabs>
          <w:tab w:val="clear" w:pos="4153"/>
          <w:tab w:val="clear" w:pos="8306"/>
          <w:tab w:val="center" w:pos="0"/>
          <w:tab w:val="right" w:pos="142"/>
        </w:tabs>
        <w:ind w:right="-153"/>
        <w:rPr>
          <w:sz w:val="28"/>
          <w:szCs w:val="28"/>
        </w:rPr>
      </w:pPr>
    </w:p>
    <w:p w:rsidR="00D577B9" w:rsidRPr="00CF135E" w:rsidRDefault="00D577B9" w:rsidP="00CF135E">
      <w:pPr>
        <w:pStyle w:val="Header"/>
        <w:tabs>
          <w:tab w:val="clear" w:pos="4153"/>
          <w:tab w:val="clear" w:pos="8306"/>
          <w:tab w:val="center" w:pos="0"/>
          <w:tab w:val="right" w:pos="142"/>
        </w:tabs>
        <w:ind w:right="-153"/>
        <w:rPr>
          <w:sz w:val="28"/>
          <w:szCs w:val="28"/>
        </w:rPr>
      </w:pPr>
      <w:r>
        <w:rPr>
          <w:sz w:val="28"/>
          <w:szCs w:val="28"/>
        </w:rPr>
        <w:t xml:space="preserve">Finanšu ministrs                                                                       </w:t>
      </w:r>
      <w:r w:rsidR="00FD37F2">
        <w:rPr>
          <w:sz w:val="28"/>
          <w:szCs w:val="28"/>
        </w:rPr>
        <w:t>A.Vilks</w:t>
      </w:r>
      <w:r w:rsidR="0062446E">
        <w:rPr>
          <w:sz w:val="28"/>
          <w:szCs w:val="28"/>
        </w:rPr>
        <w:t xml:space="preserve"> </w:t>
      </w:r>
      <w:r w:rsidR="00CF135E">
        <w:rPr>
          <w:sz w:val="28"/>
          <w:szCs w:val="28"/>
        </w:rPr>
        <w:tab/>
      </w:r>
      <w:r w:rsidR="00CF135E">
        <w:rPr>
          <w:sz w:val="28"/>
          <w:szCs w:val="28"/>
        </w:rPr>
        <w:tab/>
      </w:r>
      <w:r w:rsidR="00CF135E">
        <w:rPr>
          <w:sz w:val="28"/>
          <w:szCs w:val="28"/>
        </w:rPr>
        <w:tab/>
      </w:r>
    </w:p>
    <w:p w:rsidR="00E2255B" w:rsidRDefault="00E2255B" w:rsidP="00D577B9">
      <w:pPr>
        <w:ind w:right="40"/>
        <w:jc w:val="both"/>
        <w:rPr>
          <w:sz w:val="20"/>
          <w:szCs w:val="20"/>
        </w:rPr>
      </w:pPr>
    </w:p>
    <w:p w:rsidR="00E2255B" w:rsidRDefault="00E2255B" w:rsidP="00D577B9">
      <w:pPr>
        <w:ind w:right="40"/>
        <w:jc w:val="both"/>
        <w:rPr>
          <w:sz w:val="20"/>
          <w:szCs w:val="20"/>
        </w:rPr>
      </w:pPr>
    </w:p>
    <w:p w:rsidR="00E2255B" w:rsidRDefault="00E2255B" w:rsidP="00D577B9">
      <w:pPr>
        <w:ind w:right="40"/>
        <w:jc w:val="both"/>
        <w:rPr>
          <w:sz w:val="20"/>
          <w:szCs w:val="20"/>
        </w:rPr>
      </w:pPr>
    </w:p>
    <w:p w:rsidR="00E2255B" w:rsidRDefault="00E2255B" w:rsidP="00D577B9">
      <w:pPr>
        <w:ind w:right="40"/>
        <w:jc w:val="both"/>
        <w:rPr>
          <w:sz w:val="20"/>
          <w:szCs w:val="20"/>
        </w:rPr>
      </w:pPr>
    </w:p>
    <w:p w:rsidR="00174628" w:rsidRDefault="00174628" w:rsidP="00D577B9">
      <w:pPr>
        <w:ind w:right="40"/>
        <w:jc w:val="both"/>
        <w:rPr>
          <w:sz w:val="20"/>
          <w:szCs w:val="20"/>
        </w:rPr>
      </w:pPr>
    </w:p>
    <w:p w:rsidR="00174628" w:rsidRDefault="00174628" w:rsidP="00D577B9">
      <w:pPr>
        <w:ind w:right="40"/>
        <w:jc w:val="both"/>
        <w:rPr>
          <w:sz w:val="20"/>
          <w:szCs w:val="20"/>
        </w:rPr>
      </w:pPr>
    </w:p>
    <w:p w:rsidR="00174628" w:rsidRDefault="00174628" w:rsidP="00D577B9">
      <w:pPr>
        <w:ind w:right="40"/>
        <w:jc w:val="both"/>
        <w:rPr>
          <w:sz w:val="20"/>
          <w:szCs w:val="20"/>
        </w:rPr>
      </w:pPr>
    </w:p>
    <w:p w:rsidR="00174628" w:rsidRDefault="00174628" w:rsidP="00D577B9">
      <w:pPr>
        <w:ind w:right="40"/>
        <w:jc w:val="both"/>
        <w:rPr>
          <w:sz w:val="20"/>
          <w:szCs w:val="20"/>
        </w:rPr>
      </w:pPr>
    </w:p>
    <w:p w:rsidR="00174628" w:rsidRDefault="00174628" w:rsidP="00D577B9">
      <w:pPr>
        <w:ind w:right="40"/>
        <w:jc w:val="both"/>
        <w:rPr>
          <w:sz w:val="20"/>
          <w:szCs w:val="20"/>
        </w:rPr>
      </w:pPr>
    </w:p>
    <w:p w:rsidR="00174628" w:rsidRDefault="00174628" w:rsidP="00D577B9">
      <w:pPr>
        <w:ind w:right="40"/>
        <w:jc w:val="both"/>
        <w:rPr>
          <w:sz w:val="20"/>
          <w:szCs w:val="20"/>
        </w:rPr>
      </w:pPr>
    </w:p>
    <w:p w:rsidR="00174628" w:rsidRDefault="00174628" w:rsidP="00D577B9">
      <w:pPr>
        <w:ind w:right="40"/>
        <w:jc w:val="both"/>
        <w:rPr>
          <w:sz w:val="20"/>
          <w:szCs w:val="20"/>
        </w:rPr>
      </w:pPr>
    </w:p>
    <w:p w:rsidR="00174628" w:rsidRDefault="00174628" w:rsidP="00D577B9">
      <w:pPr>
        <w:ind w:right="40"/>
        <w:jc w:val="both"/>
        <w:rPr>
          <w:sz w:val="20"/>
          <w:szCs w:val="20"/>
        </w:rPr>
      </w:pPr>
    </w:p>
    <w:p w:rsidR="00174628" w:rsidRDefault="00174628" w:rsidP="00D577B9">
      <w:pPr>
        <w:ind w:right="40"/>
        <w:jc w:val="both"/>
        <w:rPr>
          <w:sz w:val="20"/>
          <w:szCs w:val="20"/>
        </w:rPr>
      </w:pPr>
    </w:p>
    <w:p w:rsidR="00174628" w:rsidRDefault="00174628" w:rsidP="00D577B9">
      <w:pPr>
        <w:ind w:right="40"/>
        <w:jc w:val="both"/>
        <w:rPr>
          <w:sz w:val="20"/>
          <w:szCs w:val="20"/>
        </w:rPr>
      </w:pPr>
      <w:bookmarkStart w:id="2" w:name="_GoBack"/>
      <w:bookmarkEnd w:id="2"/>
    </w:p>
    <w:p w:rsidR="00174628" w:rsidRDefault="00174628" w:rsidP="00D577B9">
      <w:pPr>
        <w:ind w:right="40"/>
        <w:jc w:val="both"/>
        <w:rPr>
          <w:sz w:val="20"/>
          <w:szCs w:val="20"/>
        </w:rPr>
      </w:pPr>
    </w:p>
    <w:p w:rsidR="00174628" w:rsidRDefault="00174628" w:rsidP="00D577B9">
      <w:pPr>
        <w:ind w:right="40"/>
        <w:jc w:val="both"/>
        <w:rPr>
          <w:sz w:val="20"/>
          <w:szCs w:val="20"/>
        </w:rPr>
      </w:pPr>
    </w:p>
    <w:p w:rsidR="00691ABA" w:rsidRDefault="00691ABA" w:rsidP="00D577B9">
      <w:pPr>
        <w:ind w:right="40"/>
        <w:jc w:val="both"/>
        <w:rPr>
          <w:sz w:val="20"/>
          <w:szCs w:val="20"/>
        </w:rPr>
      </w:pPr>
    </w:p>
    <w:p w:rsidR="00691ABA" w:rsidRDefault="00691ABA" w:rsidP="00D577B9">
      <w:pPr>
        <w:ind w:right="40"/>
        <w:jc w:val="both"/>
        <w:rPr>
          <w:sz w:val="20"/>
          <w:szCs w:val="20"/>
        </w:rPr>
      </w:pPr>
    </w:p>
    <w:p w:rsidR="00691ABA" w:rsidRDefault="00691ABA" w:rsidP="00D577B9">
      <w:pPr>
        <w:ind w:right="40"/>
        <w:jc w:val="both"/>
        <w:rPr>
          <w:sz w:val="20"/>
          <w:szCs w:val="20"/>
        </w:rPr>
      </w:pPr>
    </w:p>
    <w:p w:rsidR="00691ABA" w:rsidRDefault="00691ABA" w:rsidP="00D577B9">
      <w:pPr>
        <w:ind w:right="40"/>
        <w:jc w:val="both"/>
        <w:rPr>
          <w:sz w:val="20"/>
          <w:szCs w:val="20"/>
        </w:rPr>
      </w:pPr>
    </w:p>
    <w:p w:rsidR="00691ABA" w:rsidRDefault="00691ABA" w:rsidP="00D577B9">
      <w:pPr>
        <w:ind w:right="40"/>
        <w:jc w:val="both"/>
        <w:rPr>
          <w:sz w:val="20"/>
          <w:szCs w:val="20"/>
        </w:rPr>
      </w:pPr>
    </w:p>
    <w:p w:rsidR="00691ABA" w:rsidRDefault="00691ABA" w:rsidP="00D577B9">
      <w:pPr>
        <w:ind w:right="40"/>
        <w:jc w:val="both"/>
        <w:rPr>
          <w:sz w:val="20"/>
          <w:szCs w:val="20"/>
        </w:rPr>
      </w:pPr>
    </w:p>
    <w:p w:rsidR="00691ABA" w:rsidRDefault="00691ABA" w:rsidP="00D577B9">
      <w:pPr>
        <w:ind w:right="40"/>
        <w:jc w:val="both"/>
        <w:rPr>
          <w:sz w:val="20"/>
          <w:szCs w:val="20"/>
        </w:rPr>
      </w:pPr>
    </w:p>
    <w:p w:rsidR="00691ABA" w:rsidRDefault="00691ABA" w:rsidP="00D577B9">
      <w:pPr>
        <w:ind w:right="40"/>
        <w:jc w:val="both"/>
        <w:rPr>
          <w:sz w:val="20"/>
          <w:szCs w:val="20"/>
        </w:rPr>
      </w:pPr>
    </w:p>
    <w:p w:rsidR="00174628" w:rsidRDefault="00174628" w:rsidP="00D577B9">
      <w:pPr>
        <w:ind w:right="40"/>
        <w:jc w:val="both"/>
        <w:rPr>
          <w:sz w:val="20"/>
          <w:szCs w:val="20"/>
        </w:rPr>
      </w:pPr>
    </w:p>
    <w:p w:rsidR="00174628" w:rsidRDefault="00174628" w:rsidP="00D577B9">
      <w:pPr>
        <w:ind w:right="40"/>
        <w:jc w:val="both"/>
        <w:rPr>
          <w:sz w:val="20"/>
          <w:szCs w:val="20"/>
        </w:rPr>
      </w:pPr>
    </w:p>
    <w:p w:rsidR="00E2255B" w:rsidRDefault="00E2255B" w:rsidP="00D577B9">
      <w:pPr>
        <w:ind w:right="40"/>
        <w:jc w:val="both"/>
        <w:rPr>
          <w:sz w:val="20"/>
          <w:szCs w:val="20"/>
        </w:rPr>
      </w:pPr>
    </w:p>
    <w:p w:rsidR="00D577B9" w:rsidRPr="00BC7A01" w:rsidRDefault="00C64EA6" w:rsidP="00D577B9">
      <w:pPr>
        <w:ind w:right="40"/>
        <w:jc w:val="both"/>
        <w:rPr>
          <w:sz w:val="20"/>
          <w:szCs w:val="20"/>
        </w:rPr>
      </w:pPr>
      <w:r>
        <w:rPr>
          <w:sz w:val="20"/>
          <w:szCs w:val="20"/>
        </w:rPr>
        <w:t>16</w:t>
      </w:r>
      <w:r w:rsidR="003C6074">
        <w:rPr>
          <w:sz w:val="20"/>
          <w:szCs w:val="20"/>
        </w:rPr>
        <w:t>.03</w:t>
      </w:r>
      <w:r w:rsidR="00EC2618">
        <w:rPr>
          <w:sz w:val="20"/>
          <w:szCs w:val="20"/>
        </w:rPr>
        <w:t>.2011</w:t>
      </w:r>
      <w:r w:rsidR="00D577B9" w:rsidRPr="00BC7A01">
        <w:rPr>
          <w:sz w:val="20"/>
          <w:szCs w:val="20"/>
        </w:rPr>
        <w:t xml:space="preserve"> 9:11</w:t>
      </w:r>
    </w:p>
    <w:p w:rsidR="003C0511" w:rsidRDefault="00267BE8" w:rsidP="00D577B9">
      <w:pPr>
        <w:ind w:right="40"/>
        <w:jc w:val="both"/>
        <w:rPr>
          <w:noProof/>
          <w:sz w:val="20"/>
          <w:szCs w:val="20"/>
        </w:rPr>
      </w:pPr>
      <w:r>
        <w:fldChar w:fldCharType="begin"/>
      </w:r>
      <w:r>
        <w:instrText xml:space="preserve"> NUMWORDS  \* MERGEFORMAT </w:instrText>
      </w:r>
      <w:r>
        <w:fldChar w:fldCharType="separate"/>
      </w:r>
      <w:r w:rsidR="00C64EA6" w:rsidRPr="00C64EA6">
        <w:rPr>
          <w:noProof/>
          <w:sz w:val="20"/>
          <w:szCs w:val="20"/>
        </w:rPr>
        <w:t>623</w:t>
      </w:r>
      <w:r>
        <w:rPr>
          <w:noProof/>
          <w:sz w:val="20"/>
          <w:szCs w:val="20"/>
        </w:rPr>
        <w:fldChar w:fldCharType="end"/>
      </w:r>
    </w:p>
    <w:p w:rsidR="00FF73A9" w:rsidRDefault="00FF73A9" w:rsidP="00FF73A9">
      <w:pPr>
        <w:rPr>
          <w:sz w:val="18"/>
          <w:szCs w:val="18"/>
        </w:rPr>
      </w:pPr>
      <w:r>
        <w:rPr>
          <w:sz w:val="18"/>
          <w:szCs w:val="18"/>
        </w:rPr>
        <w:t>I.Lazdiņa</w:t>
      </w:r>
    </w:p>
    <w:p w:rsidR="00FF73A9" w:rsidRPr="00581109" w:rsidRDefault="00FF73A9" w:rsidP="00FF73A9">
      <w:pPr>
        <w:rPr>
          <w:sz w:val="18"/>
          <w:szCs w:val="18"/>
        </w:rPr>
      </w:pPr>
      <w:r w:rsidRPr="00581109">
        <w:rPr>
          <w:sz w:val="18"/>
          <w:szCs w:val="18"/>
        </w:rPr>
        <w:t xml:space="preserve">67095455,Ivita.Lazdina@fm.gov.lv  </w:t>
      </w:r>
    </w:p>
    <w:p w:rsidR="00FF73A9" w:rsidRDefault="00FF73A9" w:rsidP="00D577B9">
      <w:pPr>
        <w:ind w:right="40"/>
        <w:jc w:val="both"/>
        <w:rPr>
          <w:sz w:val="20"/>
          <w:szCs w:val="20"/>
        </w:rPr>
      </w:pPr>
    </w:p>
    <w:sectPr w:rsidR="00FF73A9" w:rsidSect="00E2255B">
      <w:headerReference w:type="default" r:id="rId8"/>
      <w:footerReference w:type="default" r:id="rId9"/>
      <w:footerReference w:type="first" r:id="rId10"/>
      <w:pgSz w:w="11906" w:h="16838"/>
      <w:pgMar w:top="1134" w:right="849" w:bottom="1134" w:left="1701" w:header="53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E8" w:rsidRDefault="00267BE8" w:rsidP="001A10DD">
      <w:r>
        <w:separator/>
      </w:r>
    </w:p>
  </w:endnote>
  <w:endnote w:type="continuationSeparator" w:id="0">
    <w:p w:rsidR="00267BE8" w:rsidRDefault="00267BE8" w:rsidP="001A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74" w:rsidRDefault="00804874" w:rsidP="00804874">
    <w:pPr>
      <w:rPr>
        <w:sz w:val="18"/>
        <w:szCs w:val="18"/>
      </w:rPr>
    </w:pPr>
  </w:p>
  <w:p w:rsidR="00804874" w:rsidRPr="00D35CB4" w:rsidRDefault="00267BE8" w:rsidP="00D35CB4">
    <w:pPr>
      <w:jc w:val="both"/>
      <w:rPr>
        <w:sz w:val="20"/>
        <w:szCs w:val="20"/>
      </w:rPr>
    </w:pPr>
    <w:r>
      <w:fldChar w:fldCharType="begin"/>
    </w:r>
    <w:r>
      <w:instrText xml:space="preserve"> FILENAME   \* MERGEFORMAT </w:instrText>
    </w:r>
    <w:r>
      <w:fldChar w:fldCharType="separate"/>
    </w:r>
    <w:r w:rsidR="00C64EA6" w:rsidRPr="00C64EA6">
      <w:rPr>
        <w:noProof/>
        <w:sz w:val="20"/>
        <w:szCs w:val="20"/>
      </w:rPr>
      <w:t>FMAnot_17022011</w:t>
    </w:r>
    <w:r>
      <w:rPr>
        <w:noProof/>
        <w:sz w:val="20"/>
        <w:szCs w:val="20"/>
      </w:rPr>
      <w:fldChar w:fldCharType="end"/>
    </w:r>
    <w:r w:rsidR="00804874" w:rsidRPr="00D35CB4">
      <w:rPr>
        <w:sz w:val="20"/>
        <w:szCs w:val="20"/>
      </w:rPr>
      <w:t>; Ministru kabineta noteikumu projekta  „</w:t>
    </w:r>
    <w:r w:rsidR="00EC2618" w:rsidRPr="00EC2618">
      <w:rPr>
        <w:sz w:val="20"/>
        <w:szCs w:val="20"/>
      </w:rPr>
      <w:t>Kārtība, kādā plānojami un uzskaitāmi ieņēmumi no maksas pakalpojumiem un ar šo pakalpojumu sniegšanu saistītie izdevumi, kā arī maksas pakalpojumu izcenojumu noteikšanas metodika un izcenojumu apstiprināšanas kartība</w:t>
    </w:r>
    <w:r w:rsidR="00804874" w:rsidRPr="00D35CB4">
      <w:rPr>
        <w:sz w:val="20"/>
        <w:szCs w:val="20"/>
      </w:rPr>
      <w:t>”</w:t>
    </w:r>
    <w:r w:rsidR="00804874" w:rsidRPr="00D35CB4">
      <w:rPr>
        <w:sz w:val="20"/>
        <w:szCs w:val="20"/>
        <w:shd w:val="clear" w:color="auto" w:fill="FFFFFF"/>
      </w:rPr>
      <w:t xml:space="preserve"> anotācija</w:t>
    </w:r>
  </w:p>
  <w:p w:rsidR="00804874" w:rsidRPr="00506A4F" w:rsidRDefault="00804874" w:rsidP="00804874">
    <w:pPr>
      <w:rPr>
        <w:sz w:val="18"/>
        <w:szCs w:val="18"/>
      </w:rPr>
    </w:pPr>
  </w:p>
  <w:p w:rsidR="00804874" w:rsidRPr="00506A4F" w:rsidRDefault="00804874" w:rsidP="00804874">
    <w:pPr>
      <w:pStyle w:val="Footer"/>
      <w:rPr>
        <w:sz w:val="18"/>
        <w:szCs w:val="18"/>
      </w:rPr>
    </w:pPr>
  </w:p>
  <w:p w:rsidR="00804874" w:rsidRDefault="00804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74" w:rsidRPr="00897645" w:rsidRDefault="00267BE8" w:rsidP="00804874">
    <w:pPr>
      <w:rPr>
        <w:sz w:val="20"/>
        <w:szCs w:val="20"/>
      </w:rPr>
    </w:pPr>
    <w:r>
      <w:fldChar w:fldCharType="begin"/>
    </w:r>
    <w:r>
      <w:instrText xml:space="preserve"> FILENAME   \* MERGEFORMAT </w:instrText>
    </w:r>
    <w:r>
      <w:fldChar w:fldCharType="separate"/>
    </w:r>
    <w:r w:rsidR="00C64EA6" w:rsidRPr="00C64EA6">
      <w:rPr>
        <w:noProof/>
        <w:sz w:val="20"/>
        <w:szCs w:val="20"/>
      </w:rPr>
      <w:t>FMAnot_17022011</w:t>
    </w:r>
    <w:r>
      <w:rPr>
        <w:noProof/>
        <w:sz w:val="20"/>
        <w:szCs w:val="20"/>
      </w:rPr>
      <w:fldChar w:fldCharType="end"/>
    </w:r>
    <w:r w:rsidR="00804874" w:rsidRPr="00897645">
      <w:rPr>
        <w:sz w:val="20"/>
        <w:szCs w:val="20"/>
      </w:rPr>
      <w:t>; Ministru kabineta noteikumu projekta  „</w:t>
    </w:r>
    <w:r w:rsidR="00EC2618" w:rsidRPr="00483501">
      <w:rPr>
        <w:sz w:val="20"/>
        <w:szCs w:val="20"/>
      </w:rPr>
      <w:t>Kārtība, kādā plānojami un uzskaitāmi ieņēmumi no maksas pakalpojumiem un ar šo pakalpojumu sniegšanu saistītie izdevumi, kā arī maksas pakalpojumu izcenojumu noteikšanas metodika un izcenojumu apstiprināšanas kartība</w:t>
    </w:r>
    <w:r w:rsidR="00804874" w:rsidRPr="00897645">
      <w:rPr>
        <w:sz w:val="20"/>
        <w:szCs w:val="20"/>
      </w:rPr>
      <w:t>”</w:t>
    </w:r>
    <w:r w:rsidR="00804874" w:rsidRPr="00897645">
      <w:rPr>
        <w:sz w:val="20"/>
        <w:szCs w:val="20"/>
        <w:shd w:val="clear" w:color="auto" w:fill="FFFFFF"/>
      </w:rPr>
      <w:t xml:space="preserve"> anotācija</w:t>
    </w:r>
  </w:p>
  <w:p w:rsidR="00804874" w:rsidRPr="00897645" w:rsidRDefault="00804874" w:rsidP="00804874">
    <w:pPr>
      <w:pStyle w:val="Footer"/>
      <w:rPr>
        <w:sz w:val="20"/>
        <w:szCs w:val="20"/>
      </w:rPr>
    </w:pPr>
  </w:p>
  <w:p w:rsidR="00804874" w:rsidRDefault="00804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E8" w:rsidRDefault="00267BE8" w:rsidP="001A10DD">
      <w:r>
        <w:separator/>
      </w:r>
    </w:p>
  </w:footnote>
  <w:footnote w:type="continuationSeparator" w:id="0">
    <w:p w:rsidR="00267BE8" w:rsidRDefault="00267BE8" w:rsidP="001A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5813"/>
      <w:docPartObj>
        <w:docPartGallery w:val="Page Numbers (Top of Page)"/>
        <w:docPartUnique/>
      </w:docPartObj>
    </w:sdtPr>
    <w:sdtEndPr/>
    <w:sdtContent>
      <w:p w:rsidR="00804874" w:rsidRDefault="00F365C3">
        <w:pPr>
          <w:pStyle w:val="Header"/>
          <w:jc w:val="center"/>
        </w:pPr>
        <w:r>
          <w:fldChar w:fldCharType="begin"/>
        </w:r>
        <w:r w:rsidR="002B2DC3">
          <w:instrText xml:space="preserve"> PAGE   \* MERGEFORMAT </w:instrText>
        </w:r>
        <w:r>
          <w:fldChar w:fldCharType="separate"/>
        </w:r>
        <w:r w:rsidR="000869A7">
          <w:rPr>
            <w:noProof/>
          </w:rPr>
          <w:t>3</w:t>
        </w:r>
        <w:r>
          <w:rPr>
            <w:noProof/>
          </w:rPr>
          <w:fldChar w:fldCharType="end"/>
        </w:r>
      </w:p>
    </w:sdtContent>
  </w:sdt>
  <w:p w:rsidR="00804874" w:rsidRDefault="008048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77B9"/>
    <w:rsid w:val="00003B98"/>
    <w:rsid w:val="00003E88"/>
    <w:rsid w:val="00006B94"/>
    <w:rsid w:val="00031EB1"/>
    <w:rsid w:val="00041966"/>
    <w:rsid w:val="00050261"/>
    <w:rsid w:val="00057403"/>
    <w:rsid w:val="000869A7"/>
    <w:rsid w:val="000B2C8F"/>
    <w:rsid w:val="000B5756"/>
    <w:rsid w:val="000D433F"/>
    <w:rsid w:val="000D67DF"/>
    <w:rsid w:val="00111527"/>
    <w:rsid w:val="0015407C"/>
    <w:rsid w:val="00174628"/>
    <w:rsid w:val="001A10DD"/>
    <w:rsid w:val="001A6EB0"/>
    <w:rsid w:val="001B3985"/>
    <w:rsid w:val="001C69EE"/>
    <w:rsid w:val="001F305F"/>
    <w:rsid w:val="00202C63"/>
    <w:rsid w:val="00217011"/>
    <w:rsid w:val="00221468"/>
    <w:rsid w:val="00225AFD"/>
    <w:rsid w:val="00234775"/>
    <w:rsid w:val="00246BF0"/>
    <w:rsid w:val="00247AF0"/>
    <w:rsid w:val="00251DBF"/>
    <w:rsid w:val="00252308"/>
    <w:rsid w:val="00264EC9"/>
    <w:rsid w:val="00267BE8"/>
    <w:rsid w:val="00292A9B"/>
    <w:rsid w:val="002B2DC3"/>
    <w:rsid w:val="002D25E7"/>
    <w:rsid w:val="002D6382"/>
    <w:rsid w:val="002E4F6B"/>
    <w:rsid w:val="003504B5"/>
    <w:rsid w:val="00352693"/>
    <w:rsid w:val="003652C1"/>
    <w:rsid w:val="0038051D"/>
    <w:rsid w:val="0038333A"/>
    <w:rsid w:val="003A3783"/>
    <w:rsid w:val="003C0511"/>
    <w:rsid w:val="003C6074"/>
    <w:rsid w:val="003F1A85"/>
    <w:rsid w:val="003F73C2"/>
    <w:rsid w:val="00415F12"/>
    <w:rsid w:val="00440414"/>
    <w:rsid w:val="004D622E"/>
    <w:rsid w:val="004D6454"/>
    <w:rsid w:val="005428D1"/>
    <w:rsid w:val="005A362C"/>
    <w:rsid w:val="006030C4"/>
    <w:rsid w:val="00623EED"/>
    <w:rsid w:val="0062446E"/>
    <w:rsid w:val="00670A9E"/>
    <w:rsid w:val="006756F6"/>
    <w:rsid w:val="00691ABA"/>
    <w:rsid w:val="00696E7B"/>
    <w:rsid w:val="006B47D5"/>
    <w:rsid w:val="006C36CE"/>
    <w:rsid w:val="00703D38"/>
    <w:rsid w:val="00706CF7"/>
    <w:rsid w:val="007221F7"/>
    <w:rsid w:val="00727C28"/>
    <w:rsid w:val="0073134A"/>
    <w:rsid w:val="00756013"/>
    <w:rsid w:val="007613E2"/>
    <w:rsid w:val="007643D1"/>
    <w:rsid w:val="0077079A"/>
    <w:rsid w:val="007A4DAB"/>
    <w:rsid w:val="007A787A"/>
    <w:rsid w:val="007F698F"/>
    <w:rsid w:val="00804874"/>
    <w:rsid w:val="008324CE"/>
    <w:rsid w:val="00837112"/>
    <w:rsid w:val="00837955"/>
    <w:rsid w:val="00873ACB"/>
    <w:rsid w:val="00877442"/>
    <w:rsid w:val="00897645"/>
    <w:rsid w:val="008B016D"/>
    <w:rsid w:val="008F1942"/>
    <w:rsid w:val="008F21D0"/>
    <w:rsid w:val="0093333D"/>
    <w:rsid w:val="00944E33"/>
    <w:rsid w:val="00947A94"/>
    <w:rsid w:val="00971462"/>
    <w:rsid w:val="00977EA5"/>
    <w:rsid w:val="0098444B"/>
    <w:rsid w:val="009878ED"/>
    <w:rsid w:val="009B0CF9"/>
    <w:rsid w:val="009D3C96"/>
    <w:rsid w:val="009E1DA8"/>
    <w:rsid w:val="009F13C7"/>
    <w:rsid w:val="00A07EB7"/>
    <w:rsid w:val="00A23B40"/>
    <w:rsid w:val="00A83062"/>
    <w:rsid w:val="00A918DB"/>
    <w:rsid w:val="00A91FFA"/>
    <w:rsid w:val="00AA482E"/>
    <w:rsid w:val="00AB4E4D"/>
    <w:rsid w:val="00AC7688"/>
    <w:rsid w:val="00B016D6"/>
    <w:rsid w:val="00B14A0F"/>
    <w:rsid w:val="00B3161D"/>
    <w:rsid w:val="00B436B6"/>
    <w:rsid w:val="00B64883"/>
    <w:rsid w:val="00B71578"/>
    <w:rsid w:val="00B94E27"/>
    <w:rsid w:val="00BB0AC9"/>
    <w:rsid w:val="00BE7CFC"/>
    <w:rsid w:val="00BF6ABC"/>
    <w:rsid w:val="00C0268B"/>
    <w:rsid w:val="00C1421B"/>
    <w:rsid w:val="00C64EA6"/>
    <w:rsid w:val="00C84C2E"/>
    <w:rsid w:val="00C968AD"/>
    <w:rsid w:val="00CA47C5"/>
    <w:rsid w:val="00CC12E6"/>
    <w:rsid w:val="00CC4620"/>
    <w:rsid w:val="00CF135E"/>
    <w:rsid w:val="00D21F7D"/>
    <w:rsid w:val="00D35CB4"/>
    <w:rsid w:val="00D54D2D"/>
    <w:rsid w:val="00D577B9"/>
    <w:rsid w:val="00D86BB0"/>
    <w:rsid w:val="00D92715"/>
    <w:rsid w:val="00DA5040"/>
    <w:rsid w:val="00DF2777"/>
    <w:rsid w:val="00E0729D"/>
    <w:rsid w:val="00E170E2"/>
    <w:rsid w:val="00E2255B"/>
    <w:rsid w:val="00E438E4"/>
    <w:rsid w:val="00E53B09"/>
    <w:rsid w:val="00E5533E"/>
    <w:rsid w:val="00EB244B"/>
    <w:rsid w:val="00EC2618"/>
    <w:rsid w:val="00EF310B"/>
    <w:rsid w:val="00F005B6"/>
    <w:rsid w:val="00F15CC4"/>
    <w:rsid w:val="00F2078E"/>
    <w:rsid w:val="00F2561D"/>
    <w:rsid w:val="00F338BD"/>
    <w:rsid w:val="00F365C3"/>
    <w:rsid w:val="00F473B1"/>
    <w:rsid w:val="00F75B7F"/>
    <w:rsid w:val="00FB52D6"/>
    <w:rsid w:val="00FB786E"/>
    <w:rsid w:val="00FD37F2"/>
    <w:rsid w:val="00FF4540"/>
    <w:rsid w:val="00FF73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77B9"/>
    <w:pPr>
      <w:tabs>
        <w:tab w:val="center" w:pos="4153"/>
        <w:tab w:val="right" w:pos="8306"/>
      </w:tabs>
      <w:jc w:val="both"/>
    </w:pPr>
    <w:rPr>
      <w:szCs w:val="20"/>
      <w:lang w:eastAsia="en-US"/>
    </w:rPr>
  </w:style>
  <w:style w:type="character" w:customStyle="1" w:styleId="HeaderChar">
    <w:name w:val="Header Char"/>
    <w:basedOn w:val="DefaultParagraphFont"/>
    <w:link w:val="Header"/>
    <w:uiPriority w:val="99"/>
    <w:rsid w:val="00D577B9"/>
    <w:rPr>
      <w:rFonts w:ascii="Times New Roman" w:eastAsia="Times New Roman" w:hAnsi="Times New Roman" w:cs="Times New Roman"/>
      <w:sz w:val="24"/>
      <w:szCs w:val="20"/>
    </w:rPr>
  </w:style>
  <w:style w:type="paragraph" w:customStyle="1" w:styleId="naisc">
    <w:name w:val="naisc"/>
    <w:basedOn w:val="Normal"/>
    <w:rsid w:val="00D577B9"/>
    <w:pPr>
      <w:spacing w:before="450" w:after="300"/>
      <w:jc w:val="center"/>
    </w:pPr>
    <w:rPr>
      <w:sz w:val="26"/>
      <w:szCs w:val="26"/>
    </w:rPr>
  </w:style>
  <w:style w:type="character" w:styleId="Hyperlink">
    <w:name w:val="Hyperlink"/>
    <w:basedOn w:val="DefaultParagraphFont"/>
    <w:rsid w:val="00D577B9"/>
    <w:rPr>
      <w:color w:val="0000FF"/>
      <w:u w:val="single"/>
    </w:rPr>
  </w:style>
  <w:style w:type="paragraph" w:styleId="Footer">
    <w:name w:val="footer"/>
    <w:basedOn w:val="Normal"/>
    <w:link w:val="FooterChar"/>
    <w:uiPriority w:val="99"/>
    <w:unhideWhenUsed/>
    <w:rsid w:val="00D577B9"/>
    <w:pPr>
      <w:tabs>
        <w:tab w:val="center" w:pos="4153"/>
        <w:tab w:val="right" w:pos="8306"/>
      </w:tabs>
    </w:pPr>
  </w:style>
  <w:style w:type="character" w:customStyle="1" w:styleId="FooterChar">
    <w:name w:val="Footer Char"/>
    <w:basedOn w:val="DefaultParagraphFont"/>
    <w:link w:val="Footer"/>
    <w:uiPriority w:val="99"/>
    <w:rsid w:val="00D577B9"/>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31EB1"/>
    <w:pPr>
      <w:ind w:left="720"/>
      <w:contextualSpacing/>
    </w:pPr>
    <w:rPr>
      <w:rFonts w:eastAsia="Calibri"/>
      <w:sz w:val="28"/>
      <w:szCs w:val="28"/>
      <w:lang w:val="en-GB" w:eastAsia="en-US"/>
    </w:rPr>
  </w:style>
  <w:style w:type="paragraph" w:styleId="BalloonText">
    <w:name w:val="Balloon Text"/>
    <w:basedOn w:val="Normal"/>
    <w:link w:val="BalloonTextChar"/>
    <w:uiPriority w:val="99"/>
    <w:semiHidden/>
    <w:unhideWhenUsed/>
    <w:rsid w:val="00837112"/>
    <w:rPr>
      <w:rFonts w:ascii="Tahoma" w:hAnsi="Tahoma" w:cs="Tahoma"/>
      <w:sz w:val="16"/>
      <w:szCs w:val="16"/>
    </w:rPr>
  </w:style>
  <w:style w:type="character" w:customStyle="1" w:styleId="BalloonTextChar">
    <w:name w:val="Balloon Text Char"/>
    <w:basedOn w:val="DefaultParagraphFont"/>
    <w:link w:val="BalloonText"/>
    <w:uiPriority w:val="99"/>
    <w:semiHidden/>
    <w:rsid w:val="00837112"/>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837112"/>
    <w:rPr>
      <w:sz w:val="16"/>
      <w:szCs w:val="16"/>
    </w:rPr>
  </w:style>
  <w:style w:type="paragraph" w:styleId="CommentText">
    <w:name w:val="annotation text"/>
    <w:basedOn w:val="Normal"/>
    <w:link w:val="CommentTextChar"/>
    <w:uiPriority w:val="99"/>
    <w:semiHidden/>
    <w:unhideWhenUsed/>
    <w:rsid w:val="00837112"/>
    <w:rPr>
      <w:sz w:val="20"/>
      <w:szCs w:val="20"/>
    </w:rPr>
  </w:style>
  <w:style w:type="character" w:customStyle="1" w:styleId="CommentTextChar">
    <w:name w:val="Comment Text Char"/>
    <w:basedOn w:val="DefaultParagraphFont"/>
    <w:link w:val="CommentText"/>
    <w:uiPriority w:val="99"/>
    <w:semiHidden/>
    <w:rsid w:val="0083711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7112"/>
    <w:rPr>
      <w:b/>
      <w:bCs/>
    </w:rPr>
  </w:style>
  <w:style w:type="character" w:customStyle="1" w:styleId="CommentSubjectChar">
    <w:name w:val="Comment Subject Char"/>
    <w:basedOn w:val="CommentTextChar"/>
    <w:link w:val="CommentSubject"/>
    <w:uiPriority w:val="99"/>
    <w:semiHidden/>
    <w:rsid w:val="00837112"/>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77B9"/>
    <w:pPr>
      <w:tabs>
        <w:tab w:val="center" w:pos="4153"/>
        <w:tab w:val="right" w:pos="8306"/>
      </w:tabs>
      <w:jc w:val="both"/>
    </w:pPr>
    <w:rPr>
      <w:szCs w:val="20"/>
      <w:lang w:eastAsia="en-US"/>
    </w:rPr>
  </w:style>
  <w:style w:type="character" w:customStyle="1" w:styleId="HeaderChar">
    <w:name w:val="Header Char"/>
    <w:basedOn w:val="DefaultParagraphFont"/>
    <w:link w:val="Header"/>
    <w:uiPriority w:val="99"/>
    <w:rsid w:val="00D577B9"/>
    <w:rPr>
      <w:rFonts w:ascii="Times New Roman" w:eastAsia="Times New Roman" w:hAnsi="Times New Roman" w:cs="Times New Roman"/>
      <w:sz w:val="24"/>
      <w:szCs w:val="20"/>
    </w:rPr>
  </w:style>
  <w:style w:type="paragraph" w:customStyle="1" w:styleId="naisc">
    <w:name w:val="naisc"/>
    <w:basedOn w:val="Normal"/>
    <w:rsid w:val="00D577B9"/>
    <w:pPr>
      <w:spacing w:before="450" w:after="300"/>
      <w:jc w:val="center"/>
    </w:pPr>
    <w:rPr>
      <w:sz w:val="26"/>
      <w:szCs w:val="26"/>
    </w:rPr>
  </w:style>
  <w:style w:type="character" w:styleId="Hyperlink">
    <w:name w:val="Hyperlink"/>
    <w:basedOn w:val="DefaultParagraphFont"/>
    <w:rsid w:val="00D577B9"/>
    <w:rPr>
      <w:color w:val="0000FF"/>
      <w:u w:val="single"/>
    </w:rPr>
  </w:style>
  <w:style w:type="paragraph" w:styleId="Footer">
    <w:name w:val="footer"/>
    <w:basedOn w:val="Normal"/>
    <w:link w:val="FooterChar"/>
    <w:uiPriority w:val="99"/>
    <w:unhideWhenUsed/>
    <w:rsid w:val="00D577B9"/>
    <w:pPr>
      <w:tabs>
        <w:tab w:val="center" w:pos="4153"/>
        <w:tab w:val="right" w:pos="8306"/>
      </w:tabs>
    </w:pPr>
  </w:style>
  <w:style w:type="character" w:customStyle="1" w:styleId="FooterChar">
    <w:name w:val="Footer Char"/>
    <w:basedOn w:val="DefaultParagraphFont"/>
    <w:link w:val="Footer"/>
    <w:uiPriority w:val="99"/>
    <w:rsid w:val="00D577B9"/>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31EB1"/>
    <w:pPr>
      <w:ind w:left="720"/>
      <w:contextualSpacing/>
    </w:pPr>
    <w:rPr>
      <w:rFonts w:eastAsia="Calibri"/>
      <w:sz w:val="28"/>
      <w:szCs w:val="28"/>
      <w:lang w:val="en-GB" w:eastAsia="en-US"/>
    </w:rPr>
  </w:style>
  <w:style w:type="paragraph" w:styleId="BalloonText">
    <w:name w:val="Balloon Text"/>
    <w:basedOn w:val="Normal"/>
    <w:link w:val="BalloonTextChar"/>
    <w:uiPriority w:val="99"/>
    <w:semiHidden/>
    <w:unhideWhenUsed/>
    <w:rsid w:val="00837112"/>
    <w:rPr>
      <w:rFonts w:ascii="Tahoma" w:hAnsi="Tahoma" w:cs="Tahoma"/>
      <w:sz w:val="16"/>
      <w:szCs w:val="16"/>
    </w:rPr>
  </w:style>
  <w:style w:type="character" w:customStyle="1" w:styleId="BalloonTextChar">
    <w:name w:val="Balloon Text Char"/>
    <w:basedOn w:val="DefaultParagraphFont"/>
    <w:link w:val="BalloonText"/>
    <w:uiPriority w:val="99"/>
    <w:semiHidden/>
    <w:rsid w:val="00837112"/>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837112"/>
    <w:rPr>
      <w:sz w:val="16"/>
      <w:szCs w:val="16"/>
    </w:rPr>
  </w:style>
  <w:style w:type="paragraph" w:styleId="CommentText">
    <w:name w:val="annotation text"/>
    <w:basedOn w:val="Normal"/>
    <w:link w:val="CommentTextChar"/>
    <w:uiPriority w:val="99"/>
    <w:semiHidden/>
    <w:unhideWhenUsed/>
    <w:rsid w:val="00837112"/>
    <w:rPr>
      <w:sz w:val="20"/>
      <w:szCs w:val="20"/>
    </w:rPr>
  </w:style>
  <w:style w:type="character" w:customStyle="1" w:styleId="CommentTextChar">
    <w:name w:val="Comment Text Char"/>
    <w:basedOn w:val="DefaultParagraphFont"/>
    <w:link w:val="CommentText"/>
    <w:uiPriority w:val="99"/>
    <w:semiHidden/>
    <w:rsid w:val="0083711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7112"/>
    <w:rPr>
      <w:b/>
      <w:bCs/>
    </w:rPr>
  </w:style>
  <w:style w:type="character" w:customStyle="1" w:styleId="CommentSubjectChar">
    <w:name w:val="Comment Subject Char"/>
    <w:basedOn w:val="CommentTextChar"/>
    <w:link w:val="CommentSubject"/>
    <w:uiPriority w:val="99"/>
    <w:semiHidden/>
    <w:rsid w:val="0083711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4C23-3219-4FFD-9612-AAE574B5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646</Words>
  <Characters>4699</Characters>
  <Application>Microsoft Office Word</Application>
  <DocSecurity>0</DocSecurity>
  <Lines>174</Lines>
  <Paragraphs>67</Paragraphs>
  <ScaleCrop>false</ScaleCrop>
  <HeadingPairs>
    <vt:vector size="2" baseType="variant">
      <vt:variant>
        <vt:lpstr>Title</vt:lpstr>
      </vt:variant>
      <vt:variant>
        <vt:i4>1</vt:i4>
      </vt:variant>
    </vt:vector>
  </HeadingPairs>
  <TitlesOfParts>
    <vt:vector size="1" baseType="lpstr">
      <vt:lpstr/>
    </vt:vector>
  </TitlesOfParts>
  <Company>fm</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par maksas pakalpojumiem</dc:title>
  <dc:subject>Noteikumu projekta anotācija</dc:subject>
  <dc:creator>I.Lazdiņa</dc:creator>
  <cp:lastModifiedBy>bd-lazdin</cp:lastModifiedBy>
  <cp:revision>27</cp:revision>
  <cp:lastPrinted>2011-03-16T07:25:00Z</cp:lastPrinted>
  <dcterms:created xsi:type="dcterms:W3CDTF">2011-02-17T08:53:00Z</dcterms:created>
  <dcterms:modified xsi:type="dcterms:W3CDTF">2011-03-16T07:50:00Z</dcterms:modified>
</cp:coreProperties>
</file>