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9C" w:rsidRDefault="00DC689C" w:rsidP="0023237B">
      <w:pPr>
        <w:pStyle w:val="naislab"/>
        <w:spacing w:before="0" w:after="0"/>
        <w:jc w:val="center"/>
        <w:outlineLvl w:val="0"/>
        <w:rPr>
          <w:b/>
        </w:rPr>
      </w:pPr>
      <w:r w:rsidRPr="00DC689C">
        <w:rPr>
          <w:b/>
        </w:rPr>
        <w:t>Ministru kabineta noteikum</w:t>
      </w:r>
      <w:r w:rsidR="007578EB">
        <w:rPr>
          <w:b/>
        </w:rPr>
        <w:t>u</w:t>
      </w:r>
      <w:r w:rsidRPr="00DC689C">
        <w:rPr>
          <w:b/>
        </w:rPr>
        <w:t xml:space="preserve"> projekta </w:t>
      </w:r>
      <w:r w:rsidR="00283D6B">
        <w:rPr>
          <w:b/>
        </w:rPr>
        <w:t>„</w:t>
      </w:r>
      <w:r w:rsidR="002B57DA" w:rsidRPr="002B57DA">
        <w:rPr>
          <w:b/>
        </w:rPr>
        <w:t>Grozījum</w:t>
      </w:r>
      <w:r w:rsidR="009D1535">
        <w:rPr>
          <w:b/>
        </w:rPr>
        <w:t>s</w:t>
      </w:r>
      <w:r w:rsidR="002B57DA" w:rsidRPr="002B57DA">
        <w:rPr>
          <w:b/>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283D6B">
        <w:rPr>
          <w:b/>
        </w:rPr>
        <w:t>”</w:t>
      </w:r>
      <w:r w:rsidR="00743B6F">
        <w:rPr>
          <w:b/>
        </w:rPr>
        <w:t xml:space="preserve"> </w:t>
      </w:r>
      <w:r w:rsidRPr="00DC689C">
        <w:rPr>
          <w:b/>
        </w:rPr>
        <w:t xml:space="preserve">sākotnējās ietekmes novērtējuma </w:t>
      </w:r>
      <w:smartTag w:uri="schemas-tilde-lv/tildestengine" w:element="veidnes">
        <w:smartTagPr>
          <w:attr w:name="id" w:val="-1"/>
          <w:attr w:name="baseform" w:val="ziņojums"/>
          <w:attr w:name="text" w:val="ziņojums"/>
        </w:smartTagPr>
        <w:r w:rsidRPr="00DC689C">
          <w:rPr>
            <w:b/>
          </w:rPr>
          <w:t>ziņojums</w:t>
        </w:r>
      </w:smartTag>
      <w:r w:rsidRPr="00DC689C">
        <w:rPr>
          <w:b/>
        </w:rPr>
        <w:t xml:space="preserve"> (anotācija)</w:t>
      </w:r>
    </w:p>
    <w:p w:rsidR="00743B6F" w:rsidRPr="00DC689C" w:rsidRDefault="00743B6F" w:rsidP="0023237B">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DC689C" w:rsidRPr="007C0F2C" w:rsidTr="0023237B">
        <w:tc>
          <w:tcPr>
            <w:tcW w:w="9725" w:type="dxa"/>
            <w:gridSpan w:val="3"/>
            <w:vAlign w:val="center"/>
          </w:tcPr>
          <w:p w:rsidR="00DC689C" w:rsidRPr="007C0F2C" w:rsidRDefault="00DC689C" w:rsidP="0023237B">
            <w:pPr>
              <w:pStyle w:val="naisnod"/>
              <w:spacing w:before="0" w:after="0"/>
            </w:pPr>
            <w:r w:rsidRPr="007C0F2C">
              <w:t>I. Tiesību akta projekta izstrādes nepieciešamība</w:t>
            </w:r>
          </w:p>
        </w:tc>
      </w:tr>
      <w:tr w:rsidR="00DC689C" w:rsidRPr="007C0F2C" w:rsidTr="003F4153">
        <w:trPr>
          <w:trHeight w:val="630"/>
        </w:trPr>
        <w:tc>
          <w:tcPr>
            <w:tcW w:w="550" w:type="dxa"/>
          </w:tcPr>
          <w:p w:rsidR="00DC689C" w:rsidRPr="007C0F2C" w:rsidRDefault="00DC689C" w:rsidP="0023237B">
            <w:pPr>
              <w:pStyle w:val="naiskr"/>
              <w:spacing w:before="0" w:after="0"/>
              <w:rPr>
                <w:sz w:val="22"/>
                <w:szCs w:val="22"/>
              </w:rPr>
            </w:pPr>
            <w:r w:rsidRPr="007C0F2C">
              <w:rPr>
                <w:sz w:val="22"/>
                <w:szCs w:val="22"/>
              </w:rPr>
              <w:t>1.</w:t>
            </w:r>
          </w:p>
        </w:tc>
        <w:tc>
          <w:tcPr>
            <w:tcW w:w="3708" w:type="dxa"/>
          </w:tcPr>
          <w:p w:rsidR="00DC689C" w:rsidRPr="007C0F2C" w:rsidRDefault="00DC689C" w:rsidP="0023237B">
            <w:pPr>
              <w:pStyle w:val="naiskr"/>
              <w:spacing w:before="0" w:after="0"/>
              <w:ind w:hanging="10"/>
              <w:rPr>
                <w:sz w:val="22"/>
                <w:szCs w:val="22"/>
              </w:rPr>
            </w:pPr>
            <w:r w:rsidRPr="007C0F2C">
              <w:rPr>
                <w:sz w:val="22"/>
                <w:szCs w:val="22"/>
              </w:rPr>
              <w:t>Pamatojums</w:t>
            </w:r>
          </w:p>
        </w:tc>
        <w:tc>
          <w:tcPr>
            <w:tcW w:w="5467" w:type="dxa"/>
          </w:tcPr>
          <w:p w:rsidR="0023237B" w:rsidRDefault="0023237B" w:rsidP="003C44C3">
            <w:pPr>
              <w:pStyle w:val="naiskr"/>
              <w:spacing w:before="0" w:after="0"/>
              <w:ind w:left="142" w:right="222"/>
            </w:pPr>
            <w:proofErr w:type="spellStart"/>
            <w:r w:rsidRPr="003C44C3">
              <w:rPr>
                <w:i/>
              </w:rPr>
              <w:t>Euro</w:t>
            </w:r>
            <w:proofErr w:type="spellEnd"/>
            <w:r w:rsidRPr="00C1051F">
              <w:t xml:space="preserve"> ieviešanas kārtības likuma 30.panta pirmā daļa.</w:t>
            </w:r>
          </w:p>
          <w:p w:rsidR="003C44C3" w:rsidRPr="00C1051F" w:rsidRDefault="003C44C3" w:rsidP="003C44C3">
            <w:pPr>
              <w:pStyle w:val="naiskr"/>
              <w:spacing w:before="0" w:after="0"/>
              <w:ind w:left="142" w:right="222"/>
            </w:pPr>
          </w:p>
          <w:p w:rsidR="0023237B" w:rsidRDefault="0023237B" w:rsidP="003C44C3">
            <w:pPr>
              <w:pStyle w:val="naiskr"/>
              <w:spacing w:before="0" w:after="0"/>
              <w:ind w:left="142" w:right="222"/>
              <w:jc w:val="both"/>
            </w:pPr>
            <w:r w:rsidRPr="00C1051F">
              <w:t>Ministru kabineta 2012.gada 27.jūnija rīkojum</w:t>
            </w:r>
            <w:r w:rsidR="00E4429F">
              <w:t>a</w:t>
            </w:r>
            <w:r w:rsidRPr="00C1051F">
              <w:t xml:space="preserve"> Nr.282 „Par </w:t>
            </w:r>
            <w:r w:rsidR="00E4429F">
              <w:t>„</w:t>
            </w:r>
            <w:r w:rsidRPr="00C1051F">
              <w:t>Koncepciju par normatīvo aktu sakārtošanu saistībā ar eiro ieviešanu Latvijā”” 7.</w:t>
            </w:r>
            <w:r w:rsidR="002B57DA">
              <w:t>2</w:t>
            </w:r>
            <w:r w:rsidRPr="00C1051F">
              <w:t>.apakšpunkts</w:t>
            </w:r>
            <w:r w:rsidR="006A5605">
              <w:t>.</w:t>
            </w:r>
          </w:p>
          <w:p w:rsidR="003C44C3" w:rsidRDefault="003C44C3" w:rsidP="003C44C3">
            <w:pPr>
              <w:pStyle w:val="naiskr"/>
              <w:spacing w:before="0" w:after="0"/>
              <w:ind w:left="142" w:right="222"/>
              <w:jc w:val="both"/>
            </w:pPr>
          </w:p>
          <w:p w:rsidR="003C44C3" w:rsidRPr="00C1051F" w:rsidRDefault="003C44C3" w:rsidP="00E77846">
            <w:pPr>
              <w:pStyle w:val="naiskr"/>
              <w:spacing w:before="0" w:after="0"/>
              <w:ind w:left="142" w:right="222"/>
              <w:jc w:val="both"/>
            </w:pPr>
            <w:r w:rsidRPr="003C44C3">
              <w:t xml:space="preserve">Latvijas Nacionālā </w:t>
            </w:r>
            <w:proofErr w:type="spellStart"/>
            <w:r w:rsidRPr="003C44C3">
              <w:rPr>
                <w:i/>
              </w:rPr>
              <w:t>euro</w:t>
            </w:r>
            <w:proofErr w:type="spellEnd"/>
            <w:r w:rsidRPr="003C44C3">
              <w:t xml:space="preserve"> ieviešanas plāna (apstiprināts ar Ministru kabineta 2013.gada 4.aprīļa rīkojumu Nr.136) 1.pielikuma J2.2 pasākums.</w:t>
            </w:r>
          </w:p>
        </w:tc>
      </w:tr>
      <w:tr w:rsidR="00DC689C" w:rsidRPr="007C0F2C" w:rsidTr="00A7137A">
        <w:trPr>
          <w:trHeight w:val="2548"/>
        </w:trPr>
        <w:tc>
          <w:tcPr>
            <w:tcW w:w="550" w:type="dxa"/>
          </w:tcPr>
          <w:p w:rsidR="00DC689C" w:rsidRPr="007C0F2C" w:rsidRDefault="00DC689C" w:rsidP="0023237B">
            <w:pPr>
              <w:pStyle w:val="naiskr"/>
              <w:spacing w:before="0" w:after="0"/>
              <w:rPr>
                <w:sz w:val="22"/>
                <w:szCs w:val="22"/>
              </w:rPr>
            </w:pPr>
            <w:r w:rsidRPr="007C0F2C">
              <w:rPr>
                <w:sz w:val="22"/>
                <w:szCs w:val="22"/>
              </w:rPr>
              <w:t>2.</w:t>
            </w:r>
          </w:p>
        </w:tc>
        <w:tc>
          <w:tcPr>
            <w:tcW w:w="3708" w:type="dxa"/>
          </w:tcPr>
          <w:p w:rsidR="00DC689C" w:rsidRPr="007C0F2C" w:rsidRDefault="00DC689C" w:rsidP="0023237B">
            <w:pPr>
              <w:pStyle w:val="naiskr"/>
              <w:tabs>
                <w:tab w:val="left" w:pos="170"/>
              </w:tabs>
              <w:spacing w:before="0" w:after="0"/>
              <w:rPr>
                <w:sz w:val="22"/>
                <w:szCs w:val="22"/>
              </w:rPr>
            </w:pPr>
            <w:r w:rsidRPr="007C0F2C">
              <w:rPr>
                <w:sz w:val="22"/>
                <w:szCs w:val="22"/>
              </w:rPr>
              <w:t>Pašreizējā situācija un problēmas</w:t>
            </w:r>
          </w:p>
        </w:tc>
        <w:tc>
          <w:tcPr>
            <w:tcW w:w="5467" w:type="dxa"/>
          </w:tcPr>
          <w:p w:rsidR="00283D6B" w:rsidRDefault="00471BA0" w:rsidP="00471BA0">
            <w:pPr>
              <w:ind w:left="142" w:right="81"/>
              <w:jc w:val="both"/>
            </w:pPr>
            <w:r w:rsidRPr="00471BA0">
              <w:rPr>
                <w:rFonts w:eastAsia="Calibri"/>
                <w:lang w:eastAsia="en-US"/>
              </w:rPr>
              <w:t xml:space="preserve">Deklarācijas par Valda </w:t>
            </w:r>
            <w:proofErr w:type="spellStart"/>
            <w:r w:rsidRPr="00471BA0">
              <w:rPr>
                <w:rFonts w:eastAsia="Calibri"/>
                <w:lang w:eastAsia="en-US"/>
              </w:rPr>
              <w:t>Dombrovska</w:t>
            </w:r>
            <w:proofErr w:type="spellEnd"/>
            <w:r w:rsidRPr="00471BA0">
              <w:rPr>
                <w:rFonts w:eastAsia="Calibri"/>
                <w:lang w:eastAsia="en-US"/>
              </w:rPr>
              <w:t xml:space="preserve"> vadītā Ministru kabineta iecerēto darbību II sadaļas 1.punkts paredz, ka Latvija plāno iekļauties eiro zonā 2014.gadā.  </w:t>
            </w:r>
            <w:proofErr w:type="spellStart"/>
            <w:r w:rsidRPr="00471BA0">
              <w:rPr>
                <w:rFonts w:eastAsia="Calibri"/>
                <w:i/>
                <w:iCs/>
                <w:lang w:eastAsia="en-US"/>
              </w:rPr>
              <w:t>Euro</w:t>
            </w:r>
            <w:proofErr w:type="spellEnd"/>
            <w:r w:rsidRPr="00471BA0">
              <w:rPr>
                <w:rFonts w:eastAsia="Calibri"/>
                <w:lang w:eastAsia="en-US"/>
              </w:rPr>
              <w:t xml:space="preserve"> ieviešanas kārtības likuma 30.panta pirmā daļa paredz, ka nepieciešams sagatavot to tiesību aktu grozījumu projektus, kurus nepieciešams pielāgot </w:t>
            </w:r>
            <w:proofErr w:type="spellStart"/>
            <w:r w:rsidRPr="00471BA0">
              <w:rPr>
                <w:rFonts w:eastAsia="Calibri"/>
                <w:i/>
                <w:iCs/>
                <w:lang w:eastAsia="en-US"/>
              </w:rPr>
              <w:t>euro</w:t>
            </w:r>
            <w:proofErr w:type="spellEnd"/>
            <w:r w:rsidRPr="00471BA0">
              <w:rPr>
                <w:rFonts w:eastAsia="Calibri"/>
                <w:lang w:eastAsia="en-US"/>
              </w:rPr>
              <w:t xml:space="preserve"> ieviešanai. Ņemot vērā, ka pēc pievienošanās eiro zonai, likumīgais maksāšanas līdzeklis būs </w:t>
            </w:r>
            <w:proofErr w:type="spellStart"/>
            <w:r w:rsidRPr="00471BA0">
              <w:rPr>
                <w:rFonts w:eastAsia="Calibri"/>
                <w:i/>
                <w:iCs/>
                <w:lang w:eastAsia="en-US"/>
              </w:rPr>
              <w:t>euro</w:t>
            </w:r>
            <w:proofErr w:type="spellEnd"/>
            <w:r w:rsidRPr="00471BA0">
              <w:rPr>
                <w:rFonts w:eastAsia="Calibri"/>
                <w:lang w:eastAsia="en-US"/>
              </w:rPr>
              <w:t xml:space="preserve">, nevis lats, ir </w:t>
            </w:r>
            <w:r>
              <w:rPr>
                <w:rFonts w:eastAsia="Calibri"/>
                <w:lang w:eastAsia="en-US"/>
              </w:rPr>
              <w:t xml:space="preserve">nepieciešams izdarīt grozījumu </w:t>
            </w:r>
            <w:r w:rsidR="00283D6B" w:rsidRPr="00283D6B">
              <w:t>Ministru kabineta 201</w:t>
            </w:r>
            <w:r w:rsidR="006A5605">
              <w:t>2</w:t>
            </w:r>
            <w:r w:rsidR="00283D6B" w:rsidRPr="00283D6B">
              <w:t xml:space="preserve">.gada </w:t>
            </w:r>
            <w:r w:rsidR="006A5605">
              <w:t>11</w:t>
            </w:r>
            <w:r w:rsidR="00283D6B" w:rsidRPr="00283D6B">
              <w:t>.</w:t>
            </w:r>
            <w:r w:rsidR="006A5605">
              <w:t>decembra</w:t>
            </w:r>
            <w:r w:rsidR="00283D6B" w:rsidRPr="00283D6B">
              <w:t xml:space="preserve"> noteikum</w:t>
            </w:r>
            <w:r w:rsidR="00283D6B">
              <w:t>u</w:t>
            </w:r>
            <w:r w:rsidR="00283D6B" w:rsidRPr="00283D6B">
              <w:t xml:space="preserve"> Nr.</w:t>
            </w:r>
            <w:r w:rsidR="006A5605">
              <w:t>867</w:t>
            </w:r>
            <w:r w:rsidR="00283D6B" w:rsidRPr="00283D6B">
              <w:t xml:space="preserve"> „</w:t>
            </w:r>
            <w:r w:rsidR="006A5605" w:rsidRPr="006A5605">
              <w:t>Kārtība, kādā nosakāms maksimāli pieļaujamais valsts budžeta izdevumu kopapjoms un maksimāli pieļaujamais valsts budžeta izdevumu kopējais apjoms katrai ministrijai un citām centrālajām valsts iestādēm vidējam termiņam</w:t>
            </w:r>
            <w:r w:rsidR="00283D6B" w:rsidRPr="00283D6B">
              <w:t>”</w:t>
            </w:r>
            <w:r w:rsidR="00283D6B">
              <w:t xml:space="preserve"> (turpmāk – noteikumi Nr.</w:t>
            </w:r>
            <w:r w:rsidR="006A5605">
              <w:t>867</w:t>
            </w:r>
            <w:r w:rsidR="00283D6B">
              <w:t xml:space="preserve">) </w:t>
            </w:r>
            <w:r w:rsidR="006A5605">
              <w:t>15.2.apakšpunktā</w:t>
            </w:r>
            <w:r>
              <w:t>, kurā</w:t>
            </w:r>
            <w:r w:rsidR="00283D6B">
              <w:t xml:space="preserve"> ir </w:t>
            </w:r>
            <w:r w:rsidR="006A5605">
              <w:t>atsauce uz vārdu „</w:t>
            </w:r>
            <w:r w:rsidR="00283D6B">
              <w:t>latos</w:t>
            </w:r>
            <w:r w:rsidR="006A5605">
              <w:t>”</w:t>
            </w:r>
            <w:r w:rsidR="00283D6B">
              <w:t>:</w:t>
            </w:r>
          </w:p>
          <w:p w:rsidR="00413666" w:rsidRPr="008C5700" w:rsidRDefault="00283D6B" w:rsidP="00471BA0">
            <w:pPr>
              <w:ind w:left="142" w:right="81"/>
              <w:jc w:val="both"/>
              <w:rPr>
                <w:iCs/>
              </w:rPr>
            </w:pPr>
            <w:r>
              <w:rPr>
                <w:iCs/>
              </w:rPr>
              <w:t>„</w:t>
            </w:r>
            <w:r w:rsidR="006A5605" w:rsidRPr="006A5605">
              <w:rPr>
                <w:iCs/>
              </w:rPr>
              <w:t>15.2. tautsaimniecībā nodarbināto mēneša vidējo bruto darba samaksu latos, tās pieaugumu faktiskajās un salīdzināmajās cenās procentos salīdz</w:t>
            </w:r>
            <w:r w:rsidR="006A5605">
              <w:rPr>
                <w:iCs/>
              </w:rPr>
              <w:t>inājumā ar iepriekšējo periodu;</w:t>
            </w:r>
            <w:r w:rsidRPr="00AD78FC">
              <w:rPr>
                <w:iCs/>
                <w:sz w:val="22"/>
                <w:szCs w:val="22"/>
              </w:rPr>
              <w:t>”.</w:t>
            </w:r>
            <w:r w:rsidR="00AD78FC">
              <w:rPr>
                <w:iCs/>
                <w:sz w:val="22"/>
                <w:szCs w:val="22"/>
              </w:rPr>
              <w:t xml:space="preserve"> </w:t>
            </w:r>
          </w:p>
        </w:tc>
      </w:tr>
      <w:tr w:rsidR="00DC689C" w:rsidRPr="007C0F2C" w:rsidTr="003F4153">
        <w:trPr>
          <w:trHeight w:val="584"/>
        </w:trPr>
        <w:tc>
          <w:tcPr>
            <w:tcW w:w="550" w:type="dxa"/>
          </w:tcPr>
          <w:p w:rsidR="00DC689C" w:rsidRPr="007C0F2C" w:rsidRDefault="00DC689C" w:rsidP="0023237B">
            <w:pPr>
              <w:pStyle w:val="naiskr"/>
              <w:spacing w:before="0" w:after="0"/>
              <w:rPr>
                <w:sz w:val="22"/>
                <w:szCs w:val="22"/>
              </w:rPr>
            </w:pPr>
            <w:r w:rsidRPr="007C0F2C">
              <w:rPr>
                <w:sz w:val="22"/>
                <w:szCs w:val="22"/>
              </w:rPr>
              <w:t>3.</w:t>
            </w:r>
          </w:p>
        </w:tc>
        <w:tc>
          <w:tcPr>
            <w:tcW w:w="3708" w:type="dxa"/>
          </w:tcPr>
          <w:p w:rsidR="00DC689C" w:rsidRPr="007C0F2C" w:rsidRDefault="00DC689C" w:rsidP="0023237B">
            <w:pPr>
              <w:pStyle w:val="naiskr"/>
              <w:spacing w:before="0" w:after="0"/>
              <w:rPr>
                <w:sz w:val="22"/>
                <w:szCs w:val="22"/>
              </w:rPr>
            </w:pPr>
            <w:r w:rsidRPr="007C0F2C">
              <w:rPr>
                <w:sz w:val="22"/>
                <w:szCs w:val="22"/>
              </w:rPr>
              <w:t>Saistītie politikas ietekmes novērtējumi un pētījumi</w:t>
            </w:r>
          </w:p>
        </w:tc>
        <w:tc>
          <w:tcPr>
            <w:tcW w:w="5467" w:type="dxa"/>
          </w:tcPr>
          <w:p w:rsidR="00DC689C" w:rsidRPr="008D3A5D" w:rsidRDefault="008E4D69" w:rsidP="008D3A5D">
            <w:pPr>
              <w:pStyle w:val="FootnoteText"/>
              <w:ind w:left="142" w:right="81"/>
              <w:rPr>
                <w:sz w:val="24"/>
                <w:szCs w:val="24"/>
              </w:rPr>
            </w:pPr>
            <w:r w:rsidRPr="00C1051F">
              <w:rPr>
                <w:sz w:val="24"/>
                <w:szCs w:val="24"/>
              </w:rPr>
              <w:t>Projekts šo jomu neskar.</w:t>
            </w:r>
          </w:p>
        </w:tc>
      </w:tr>
      <w:tr w:rsidR="00DC689C" w:rsidRPr="007C0F2C" w:rsidTr="006A5605">
        <w:trPr>
          <w:trHeight w:val="911"/>
        </w:trPr>
        <w:tc>
          <w:tcPr>
            <w:tcW w:w="550" w:type="dxa"/>
          </w:tcPr>
          <w:p w:rsidR="00DC689C" w:rsidRPr="007C0F2C" w:rsidRDefault="00DC689C" w:rsidP="0023237B">
            <w:pPr>
              <w:pStyle w:val="naiskr"/>
              <w:spacing w:before="0" w:after="0"/>
              <w:rPr>
                <w:sz w:val="22"/>
                <w:szCs w:val="22"/>
              </w:rPr>
            </w:pPr>
            <w:r w:rsidRPr="007C0F2C">
              <w:rPr>
                <w:sz w:val="22"/>
                <w:szCs w:val="22"/>
              </w:rPr>
              <w:t>4.</w:t>
            </w:r>
          </w:p>
        </w:tc>
        <w:tc>
          <w:tcPr>
            <w:tcW w:w="3708" w:type="dxa"/>
          </w:tcPr>
          <w:p w:rsidR="00DC689C" w:rsidRPr="007C0F2C" w:rsidRDefault="00DC689C" w:rsidP="0023237B">
            <w:pPr>
              <w:pStyle w:val="naiskr"/>
              <w:spacing w:before="0" w:after="0"/>
              <w:rPr>
                <w:sz w:val="22"/>
                <w:szCs w:val="22"/>
              </w:rPr>
            </w:pPr>
            <w:r w:rsidRPr="007C0F2C">
              <w:rPr>
                <w:sz w:val="22"/>
                <w:szCs w:val="22"/>
              </w:rPr>
              <w:t>Tiesiskā regulējuma mērķis un būtība</w:t>
            </w:r>
          </w:p>
        </w:tc>
        <w:tc>
          <w:tcPr>
            <w:tcW w:w="5467" w:type="dxa"/>
          </w:tcPr>
          <w:p w:rsidR="003F4153" w:rsidRPr="00C1051F" w:rsidRDefault="00283D6B" w:rsidP="006A5605">
            <w:pPr>
              <w:ind w:left="142" w:right="81"/>
              <w:jc w:val="both"/>
            </w:pPr>
            <w:r w:rsidRPr="00283D6B">
              <w:rPr>
                <w:iCs/>
              </w:rPr>
              <w:t>Noteikumu projekts paredz veikt tehniskos precizējumus, lai nodrošinātu, ka noteikumu Nr.</w:t>
            </w:r>
            <w:r w:rsidR="006A5605">
              <w:rPr>
                <w:iCs/>
              </w:rPr>
              <w:t>867</w:t>
            </w:r>
            <w:r w:rsidRPr="00283D6B">
              <w:rPr>
                <w:iCs/>
              </w:rPr>
              <w:t xml:space="preserve"> normas nesatur atsauci uz latiem</w:t>
            </w:r>
            <w:r w:rsidR="006A5605">
              <w:rPr>
                <w:iCs/>
              </w:rPr>
              <w:t>.</w:t>
            </w:r>
          </w:p>
        </w:tc>
      </w:tr>
      <w:tr w:rsidR="00DC689C" w:rsidRPr="007C0F2C" w:rsidTr="003F4153">
        <w:trPr>
          <w:trHeight w:val="476"/>
        </w:trPr>
        <w:tc>
          <w:tcPr>
            <w:tcW w:w="550" w:type="dxa"/>
          </w:tcPr>
          <w:p w:rsidR="00DC689C" w:rsidRPr="007C0F2C" w:rsidRDefault="00DC689C" w:rsidP="0023237B">
            <w:pPr>
              <w:pStyle w:val="naiskr"/>
              <w:spacing w:before="0" w:after="0"/>
              <w:rPr>
                <w:sz w:val="22"/>
                <w:szCs w:val="22"/>
              </w:rPr>
            </w:pPr>
            <w:r w:rsidRPr="007C0F2C">
              <w:rPr>
                <w:sz w:val="22"/>
                <w:szCs w:val="22"/>
              </w:rPr>
              <w:t>5.</w:t>
            </w:r>
          </w:p>
        </w:tc>
        <w:tc>
          <w:tcPr>
            <w:tcW w:w="3708" w:type="dxa"/>
          </w:tcPr>
          <w:p w:rsidR="00DC689C" w:rsidRPr="007C0F2C" w:rsidRDefault="00DC689C" w:rsidP="0023237B">
            <w:pPr>
              <w:pStyle w:val="naiskr"/>
              <w:spacing w:before="0" w:after="0"/>
              <w:rPr>
                <w:sz w:val="22"/>
                <w:szCs w:val="22"/>
              </w:rPr>
            </w:pPr>
            <w:r w:rsidRPr="007C0F2C">
              <w:rPr>
                <w:sz w:val="22"/>
                <w:szCs w:val="22"/>
              </w:rPr>
              <w:t>Projekta izstrādē iesaistītās institūcijas</w:t>
            </w:r>
          </w:p>
        </w:tc>
        <w:tc>
          <w:tcPr>
            <w:tcW w:w="5467" w:type="dxa"/>
          </w:tcPr>
          <w:p w:rsidR="00DC689C" w:rsidRPr="00C1051F" w:rsidRDefault="007578EB" w:rsidP="00C1051F">
            <w:pPr>
              <w:pStyle w:val="naiskr"/>
              <w:spacing w:before="0" w:after="0"/>
              <w:ind w:left="142" w:right="81"/>
            </w:pPr>
            <w:r w:rsidRPr="007578EB">
              <w:rPr>
                <w:iCs/>
              </w:rPr>
              <w:t>Projekts šo jomu neskar.</w:t>
            </w:r>
          </w:p>
        </w:tc>
      </w:tr>
      <w:tr w:rsidR="00DC689C" w:rsidRPr="007C0F2C" w:rsidTr="003F4153">
        <w:trPr>
          <w:trHeight w:val="899"/>
        </w:trPr>
        <w:tc>
          <w:tcPr>
            <w:tcW w:w="550" w:type="dxa"/>
          </w:tcPr>
          <w:p w:rsidR="00DC689C" w:rsidRPr="007C0F2C" w:rsidRDefault="00DC689C" w:rsidP="0023237B">
            <w:pPr>
              <w:pStyle w:val="naiskr"/>
              <w:spacing w:before="0" w:after="0"/>
              <w:rPr>
                <w:sz w:val="22"/>
                <w:szCs w:val="22"/>
              </w:rPr>
            </w:pPr>
            <w:r w:rsidRPr="007C0F2C">
              <w:rPr>
                <w:sz w:val="22"/>
                <w:szCs w:val="22"/>
              </w:rPr>
              <w:t>6.</w:t>
            </w:r>
          </w:p>
        </w:tc>
        <w:tc>
          <w:tcPr>
            <w:tcW w:w="3708" w:type="dxa"/>
          </w:tcPr>
          <w:p w:rsidR="00DC689C" w:rsidRPr="007C0F2C" w:rsidRDefault="00DC689C" w:rsidP="0023237B">
            <w:pPr>
              <w:pStyle w:val="naiskr"/>
              <w:spacing w:before="0" w:after="0"/>
              <w:rPr>
                <w:i/>
                <w:sz w:val="22"/>
                <w:szCs w:val="22"/>
                <w:highlight w:val="yellow"/>
              </w:rPr>
            </w:pPr>
            <w:r w:rsidRPr="007C0F2C">
              <w:rPr>
                <w:sz w:val="22"/>
                <w:szCs w:val="22"/>
              </w:rPr>
              <w:t>Iemesli, kādēļ netika nodrošināta sabiedrības līdzdalība</w:t>
            </w:r>
          </w:p>
        </w:tc>
        <w:tc>
          <w:tcPr>
            <w:tcW w:w="5467" w:type="dxa"/>
          </w:tcPr>
          <w:p w:rsidR="00DC689C" w:rsidRPr="00C1051F" w:rsidRDefault="003C44C3" w:rsidP="007578EB">
            <w:pPr>
              <w:pStyle w:val="FootnoteText"/>
              <w:ind w:left="142" w:right="81"/>
              <w:jc w:val="both"/>
              <w:rPr>
                <w:sz w:val="24"/>
                <w:szCs w:val="24"/>
              </w:rPr>
            </w:pPr>
            <w:r w:rsidRPr="003C44C3">
              <w:rPr>
                <w:sz w:val="24"/>
                <w:szCs w:val="24"/>
              </w:rPr>
              <w:t>Sabiedrības līdzdalība projekta izstrādē netika nodrošināta, jo projekts nemaina pastāvošo tiesisko regulējumu pēc būtības.</w:t>
            </w:r>
          </w:p>
        </w:tc>
      </w:tr>
      <w:tr w:rsidR="00DC689C" w:rsidRPr="007C0F2C" w:rsidTr="003F4153">
        <w:tc>
          <w:tcPr>
            <w:tcW w:w="550" w:type="dxa"/>
          </w:tcPr>
          <w:p w:rsidR="00DC689C" w:rsidRPr="007C0F2C" w:rsidRDefault="00DC689C" w:rsidP="0023237B">
            <w:pPr>
              <w:pStyle w:val="naiskr"/>
              <w:spacing w:before="0" w:after="0"/>
              <w:rPr>
                <w:sz w:val="22"/>
                <w:szCs w:val="22"/>
              </w:rPr>
            </w:pPr>
            <w:r w:rsidRPr="007C0F2C">
              <w:rPr>
                <w:sz w:val="22"/>
                <w:szCs w:val="22"/>
              </w:rPr>
              <w:t>7.</w:t>
            </w:r>
          </w:p>
        </w:tc>
        <w:tc>
          <w:tcPr>
            <w:tcW w:w="3708" w:type="dxa"/>
          </w:tcPr>
          <w:p w:rsidR="00DC689C" w:rsidRPr="007C0F2C" w:rsidRDefault="00DC689C" w:rsidP="0023237B">
            <w:pPr>
              <w:pStyle w:val="naiskr"/>
              <w:spacing w:before="0" w:after="0"/>
              <w:rPr>
                <w:sz w:val="22"/>
                <w:szCs w:val="22"/>
              </w:rPr>
            </w:pPr>
            <w:r w:rsidRPr="007C0F2C">
              <w:rPr>
                <w:sz w:val="22"/>
                <w:szCs w:val="22"/>
              </w:rPr>
              <w:t>Cita informācija</w:t>
            </w:r>
          </w:p>
        </w:tc>
        <w:tc>
          <w:tcPr>
            <w:tcW w:w="5467" w:type="dxa"/>
          </w:tcPr>
          <w:p w:rsidR="00DC689C" w:rsidRPr="00C1051F" w:rsidRDefault="008E4D69" w:rsidP="00C1051F">
            <w:pPr>
              <w:pStyle w:val="naiskr"/>
              <w:spacing w:before="0" w:after="0"/>
              <w:ind w:left="142" w:right="81"/>
            </w:pPr>
            <w:r w:rsidRPr="00C1051F">
              <w:t>Nav.</w:t>
            </w:r>
          </w:p>
        </w:tc>
      </w:tr>
    </w:tbl>
    <w:p w:rsidR="00DC689C" w:rsidRPr="007C0F2C" w:rsidRDefault="00DC689C" w:rsidP="00DC689C">
      <w:pPr>
        <w:pStyle w:val="naisf"/>
        <w:spacing w:before="0" w:after="0"/>
      </w:pPr>
    </w:p>
    <w:tbl>
      <w:tblPr>
        <w:tblpPr w:leftFromText="180" w:rightFromText="180" w:vertAnchor="text" w:horzAnchor="margin" w:tblpXSpec="center" w:tblpY="1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5"/>
      </w:tblGrid>
      <w:tr w:rsidR="003C44C3" w:rsidRPr="00180B70" w:rsidTr="005519D4">
        <w:tc>
          <w:tcPr>
            <w:tcW w:w="9895" w:type="dxa"/>
            <w:vAlign w:val="center"/>
          </w:tcPr>
          <w:p w:rsidR="003C44C3" w:rsidRPr="00180B70" w:rsidRDefault="003C44C3" w:rsidP="005519D4">
            <w:pPr>
              <w:jc w:val="center"/>
              <w:rPr>
                <w:b/>
                <w:bCs/>
              </w:rPr>
            </w:pPr>
            <w:r w:rsidRPr="00180B70">
              <w:rPr>
                <w:b/>
                <w:bCs/>
              </w:rPr>
              <w:lastRenderedPageBreak/>
              <w:t>II. Tiesību akta projekta ietekme uz sabiedrību</w:t>
            </w:r>
          </w:p>
        </w:tc>
      </w:tr>
      <w:tr w:rsidR="003C44C3" w:rsidRPr="00180B70" w:rsidTr="005519D4">
        <w:trPr>
          <w:trHeight w:val="467"/>
        </w:trPr>
        <w:tc>
          <w:tcPr>
            <w:tcW w:w="9895" w:type="dxa"/>
          </w:tcPr>
          <w:p w:rsidR="003C44C3" w:rsidRPr="00AB7FDF" w:rsidRDefault="003C44C3" w:rsidP="005519D4">
            <w:pPr>
              <w:ind w:left="147"/>
              <w:jc w:val="center"/>
              <w:rPr>
                <w:rFonts w:eastAsia="Calibri"/>
                <w:iCs/>
                <w:sz w:val="22"/>
                <w:szCs w:val="22"/>
                <w:lang w:eastAsia="en-US"/>
              </w:rPr>
            </w:pPr>
            <w:r w:rsidRPr="00AB7FDF">
              <w:rPr>
                <w:rFonts w:eastAsia="Calibri"/>
                <w:iCs/>
                <w:sz w:val="22"/>
                <w:szCs w:val="22"/>
                <w:lang w:eastAsia="en-US"/>
              </w:rPr>
              <w:t>Projekts nerada ietekmi uz sabiedrību, jo nemaina spēkā esošo tiesisko regulējumu pēc būtības.</w:t>
            </w:r>
          </w:p>
          <w:p w:rsidR="003C44C3" w:rsidRPr="00180B70" w:rsidRDefault="003C44C3" w:rsidP="005519D4">
            <w:pPr>
              <w:ind w:left="141"/>
              <w:rPr>
                <w:iCs/>
                <w:sz w:val="22"/>
                <w:szCs w:val="22"/>
              </w:rPr>
            </w:pPr>
          </w:p>
        </w:tc>
      </w:tr>
    </w:tbl>
    <w:p w:rsidR="008D3A5D" w:rsidRDefault="008D3A5D" w:rsidP="00014F75">
      <w:pPr>
        <w:pStyle w:val="naisf"/>
        <w:spacing w:before="0" w:after="0"/>
        <w:ind w:firstLine="0"/>
        <w:rPr>
          <w:sz w:val="28"/>
          <w:szCs w:val="28"/>
        </w:rPr>
      </w:pP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3907F1" w:rsidRPr="000B2959" w:rsidTr="00516B51">
        <w:tc>
          <w:tcPr>
            <w:tcW w:w="9923" w:type="dxa"/>
            <w:vAlign w:val="center"/>
          </w:tcPr>
          <w:p w:rsidR="003907F1" w:rsidRPr="000B2959" w:rsidRDefault="003907F1" w:rsidP="00516B51">
            <w:pPr>
              <w:jc w:val="center"/>
              <w:rPr>
                <w:b/>
                <w:bCs/>
              </w:rPr>
            </w:pPr>
            <w:r w:rsidRPr="000B2959">
              <w:rPr>
                <w:b/>
                <w:bCs/>
              </w:rPr>
              <w:t>III. Tiesību akta projekta ietekme uz valsts budžetu un pašvaldību budžetiem</w:t>
            </w:r>
          </w:p>
        </w:tc>
      </w:tr>
      <w:tr w:rsidR="003907F1" w:rsidRPr="000B2959" w:rsidTr="00516B51">
        <w:trPr>
          <w:trHeight w:val="467"/>
        </w:trPr>
        <w:tc>
          <w:tcPr>
            <w:tcW w:w="9923" w:type="dxa"/>
          </w:tcPr>
          <w:p w:rsidR="003907F1" w:rsidRPr="000B2959" w:rsidRDefault="003907F1" w:rsidP="00516B51">
            <w:pPr>
              <w:ind w:left="141" w:right="142"/>
              <w:jc w:val="both"/>
              <w:rPr>
                <w:iCs/>
                <w:sz w:val="22"/>
                <w:szCs w:val="22"/>
              </w:rPr>
            </w:pPr>
            <w:r w:rsidRPr="000B2959">
              <w:rPr>
                <w:rFonts w:eastAsiaTheme="minorHAnsi" w:cstheme="minorBidi"/>
                <w:iCs/>
                <w:sz w:val="22"/>
                <w:szCs w:val="22"/>
                <w:lang w:eastAsia="en-US"/>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3907F1" w:rsidRDefault="003907F1" w:rsidP="00014F75">
      <w:pPr>
        <w:pStyle w:val="naisf"/>
        <w:spacing w:before="0" w:after="0"/>
        <w:ind w:firstLine="0"/>
        <w:rPr>
          <w:sz w:val="28"/>
          <w:szCs w:val="28"/>
        </w:rPr>
      </w:pPr>
    </w:p>
    <w:p w:rsidR="003907F1" w:rsidRPr="007C0F2C" w:rsidRDefault="003907F1" w:rsidP="00014F75">
      <w:pPr>
        <w:pStyle w:val="naisf"/>
        <w:spacing w:before="0" w:after="0"/>
        <w:ind w:firstLine="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453"/>
        <w:gridCol w:w="5045"/>
      </w:tblGrid>
      <w:tr w:rsidR="00DC689C" w:rsidRPr="007C0F2C" w:rsidTr="000334A9">
        <w:tc>
          <w:tcPr>
            <w:tcW w:w="9924" w:type="dxa"/>
            <w:gridSpan w:val="3"/>
            <w:tcBorders>
              <w:top w:val="single" w:sz="4" w:space="0" w:color="auto"/>
            </w:tcBorders>
          </w:tcPr>
          <w:p w:rsidR="00DC689C" w:rsidRPr="007C0F2C" w:rsidRDefault="00DC689C" w:rsidP="0023237B">
            <w:pPr>
              <w:pStyle w:val="naisnod"/>
              <w:spacing w:before="0" w:after="0"/>
              <w:ind w:left="57" w:right="57"/>
            </w:pPr>
            <w:r w:rsidRPr="007C0F2C">
              <w:t>VII. Tiesību akta projekta izpildes nodrošināšana un tās ietekme uz institūcijām</w:t>
            </w:r>
          </w:p>
        </w:tc>
      </w:tr>
      <w:tr w:rsidR="00DC689C" w:rsidRPr="007C0F2C" w:rsidTr="000334A9">
        <w:trPr>
          <w:trHeight w:val="427"/>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1.</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5045" w:type="dxa"/>
          </w:tcPr>
          <w:p w:rsidR="00DC689C" w:rsidRPr="007C0F2C" w:rsidRDefault="00390B89" w:rsidP="00283D6B">
            <w:pPr>
              <w:pStyle w:val="naisnod"/>
              <w:spacing w:before="0" w:after="0"/>
              <w:ind w:left="57" w:right="57"/>
              <w:jc w:val="left"/>
              <w:rPr>
                <w:b w:val="0"/>
                <w:sz w:val="22"/>
                <w:szCs w:val="22"/>
              </w:rPr>
            </w:pPr>
            <w:r>
              <w:rPr>
                <w:b w:val="0"/>
                <w:iCs/>
                <w:sz w:val="22"/>
                <w:szCs w:val="22"/>
              </w:rPr>
              <w:t>Ministrijas un citas centrālās valsts iestādes.</w:t>
            </w:r>
          </w:p>
        </w:tc>
      </w:tr>
      <w:tr w:rsidR="00DC689C" w:rsidRPr="007C0F2C" w:rsidTr="000334A9">
        <w:trPr>
          <w:trHeight w:val="46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2.</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25"/>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3.</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Jaunu institūciju izveide</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80"/>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4.</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likvidācija</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0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5.</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reorganizācija</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476"/>
        </w:trPr>
        <w:tc>
          <w:tcPr>
            <w:tcW w:w="426" w:type="dxa"/>
          </w:tcPr>
          <w:p w:rsidR="00DC689C" w:rsidRPr="007C0F2C" w:rsidRDefault="00DC689C" w:rsidP="0023237B">
            <w:pPr>
              <w:pStyle w:val="naiskr"/>
              <w:spacing w:before="0" w:after="0"/>
              <w:ind w:left="57" w:right="57"/>
              <w:rPr>
                <w:sz w:val="22"/>
                <w:szCs w:val="22"/>
              </w:rPr>
            </w:pPr>
            <w:r>
              <w:rPr>
                <w:sz w:val="22"/>
                <w:szCs w:val="22"/>
              </w:rPr>
              <w:t>6</w:t>
            </w:r>
            <w:r w:rsidRPr="007C0F2C">
              <w:rPr>
                <w:sz w:val="22"/>
                <w:szCs w:val="22"/>
              </w:rPr>
              <w:t>.</w:t>
            </w:r>
          </w:p>
        </w:tc>
        <w:tc>
          <w:tcPr>
            <w:tcW w:w="4453" w:type="dxa"/>
          </w:tcPr>
          <w:p w:rsidR="00DC689C" w:rsidRPr="007C0F2C" w:rsidRDefault="00DC689C" w:rsidP="0023237B">
            <w:pPr>
              <w:pStyle w:val="naiskr"/>
              <w:spacing w:before="0" w:after="0"/>
              <w:ind w:left="57" w:right="57"/>
              <w:rPr>
                <w:sz w:val="22"/>
                <w:szCs w:val="22"/>
              </w:rPr>
            </w:pPr>
            <w:r w:rsidRPr="007C0F2C">
              <w:rPr>
                <w:sz w:val="22"/>
                <w:szCs w:val="22"/>
              </w:rPr>
              <w:t>Cita informācija</w:t>
            </w:r>
          </w:p>
        </w:tc>
        <w:tc>
          <w:tcPr>
            <w:tcW w:w="5045" w:type="dxa"/>
          </w:tcPr>
          <w:p w:rsidR="00DC689C" w:rsidRPr="007C0F2C" w:rsidRDefault="00014F75" w:rsidP="0023237B">
            <w:pPr>
              <w:pStyle w:val="naiskr"/>
              <w:spacing w:before="0" w:after="0"/>
              <w:ind w:left="57" w:right="57"/>
              <w:rPr>
                <w:sz w:val="22"/>
                <w:szCs w:val="22"/>
              </w:rPr>
            </w:pPr>
            <w:r>
              <w:rPr>
                <w:sz w:val="22"/>
                <w:szCs w:val="22"/>
              </w:rPr>
              <w:t>Nav.</w:t>
            </w:r>
          </w:p>
        </w:tc>
      </w:tr>
    </w:tbl>
    <w:p w:rsidR="00DC689C" w:rsidRPr="007C0F2C" w:rsidRDefault="00DC689C" w:rsidP="00DC689C">
      <w:pPr>
        <w:pStyle w:val="naisf"/>
        <w:tabs>
          <w:tab w:val="left" w:pos="5760"/>
        </w:tabs>
        <w:spacing w:before="0" w:after="0"/>
        <w:ind w:firstLine="720"/>
        <w:rPr>
          <w:sz w:val="28"/>
          <w:szCs w:val="28"/>
        </w:rPr>
      </w:pPr>
    </w:p>
    <w:p w:rsidR="00DC689C" w:rsidRPr="00DF7D4A" w:rsidRDefault="00014F75" w:rsidP="00014F75">
      <w:pPr>
        <w:pStyle w:val="naisf"/>
        <w:tabs>
          <w:tab w:val="left" w:pos="5760"/>
        </w:tabs>
        <w:spacing w:before="0" w:after="0"/>
        <w:ind w:firstLine="0"/>
        <w:rPr>
          <w:i/>
        </w:rPr>
      </w:pPr>
      <w:r w:rsidRPr="00DF7D4A">
        <w:rPr>
          <w:i/>
        </w:rPr>
        <w:t xml:space="preserve">Anotācijas </w:t>
      </w:r>
      <w:r w:rsidR="007578EB" w:rsidRPr="00DF7D4A">
        <w:rPr>
          <w:i/>
        </w:rPr>
        <w:t xml:space="preserve"> </w:t>
      </w:r>
      <w:r w:rsidRPr="00DF7D4A">
        <w:rPr>
          <w:i/>
        </w:rPr>
        <w:t>IV, V un VI  sadaļa –  noteikumu projekts šīs jomas neskar.</w:t>
      </w:r>
    </w:p>
    <w:p w:rsidR="00AE45A1" w:rsidRPr="00AE45A1" w:rsidRDefault="00AE45A1" w:rsidP="00AE45A1"/>
    <w:p w:rsidR="00AE45A1" w:rsidRPr="00AE45A1" w:rsidRDefault="00AE45A1" w:rsidP="00AE45A1"/>
    <w:p w:rsidR="00AE45A1" w:rsidRPr="00AE45A1" w:rsidRDefault="00AE45A1" w:rsidP="00AE45A1"/>
    <w:p w:rsidR="008E4D69" w:rsidRPr="008D3A5D" w:rsidRDefault="008E4D69" w:rsidP="00AE45A1">
      <w:pPr>
        <w:rPr>
          <w:sz w:val="28"/>
          <w:szCs w:val="28"/>
        </w:rPr>
      </w:pPr>
    </w:p>
    <w:p w:rsidR="00AE45A1" w:rsidRPr="008D3A5D" w:rsidRDefault="00AE45A1" w:rsidP="00AE45A1">
      <w:pPr>
        <w:rPr>
          <w:sz w:val="28"/>
          <w:szCs w:val="28"/>
        </w:rPr>
      </w:pPr>
      <w:r w:rsidRPr="008D3A5D">
        <w:rPr>
          <w:sz w:val="28"/>
          <w:szCs w:val="28"/>
        </w:rPr>
        <w:t xml:space="preserve">Finanšu ministrs </w:t>
      </w:r>
      <w:r w:rsidRPr="008D3A5D">
        <w:rPr>
          <w:sz w:val="28"/>
          <w:szCs w:val="28"/>
        </w:rPr>
        <w:tab/>
        <w:t xml:space="preserve">  </w:t>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008D3A5D" w:rsidRPr="008D3A5D">
        <w:rPr>
          <w:sz w:val="28"/>
          <w:szCs w:val="28"/>
        </w:rPr>
        <w:tab/>
      </w:r>
      <w:r w:rsidR="008D3A5D" w:rsidRPr="008D3A5D">
        <w:rPr>
          <w:sz w:val="28"/>
          <w:szCs w:val="28"/>
        </w:rPr>
        <w:tab/>
      </w:r>
      <w:r w:rsidRPr="008D3A5D">
        <w:rPr>
          <w:sz w:val="28"/>
          <w:szCs w:val="28"/>
        </w:rPr>
        <w:t>A.Vilks</w:t>
      </w:r>
    </w:p>
    <w:p w:rsidR="00AE45A1" w:rsidRPr="00AE45A1" w:rsidRDefault="00AE45A1" w:rsidP="00AE45A1"/>
    <w:p w:rsidR="00AE45A1" w:rsidRPr="00AE45A1" w:rsidRDefault="00AE45A1" w:rsidP="00AE45A1"/>
    <w:p w:rsidR="00665E37" w:rsidRDefault="00665E37" w:rsidP="00283D6B">
      <w:pPr>
        <w:jc w:val="both"/>
        <w:rPr>
          <w:sz w:val="20"/>
          <w:szCs w:val="20"/>
        </w:rPr>
      </w:pPr>
    </w:p>
    <w:p w:rsidR="00665E37" w:rsidRDefault="00665E37" w:rsidP="00283D6B">
      <w:pPr>
        <w:jc w:val="both"/>
        <w:rPr>
          <w:sz w:val="20"/>
          <w:szCs w:val="20"/>
        </w:rPr>
      </w:pPr>
    </w:p>
    <w:p w:rsidR="00665E37" w:rsidRDefault="00665E37" w:rsidP="00283D6B">
      <w:pPr>
        <w:jc w:val="both"/>
        <w:rPr>
          <w:sz w:val="20"/>
          <w:szCs w:val="20"/>
        </w:rPr>
      </w:pPr>
    </w:p>
    <w:p w:rsidR="00665E37" w:rsidRDefault="00665E37" w:rsidP="00283D6B">
      <w:pPr>
        <w:jc w:val="both"/>
        <w:rPr>
          <w:sz w:val="20"/>
          <w:szCs w:val="20"/>
        </w:rPr>
      </w:pPr>
      <w:r>
        <w:rPr>
          <w:sz w:val="20"/>
          <w:szCs w:val="20"/>
        </w:rPr>
        <w:t>12.06.2013.  10:12</w:t>
      </w:r>
    </w:p>
    <w:p w:rsidR="00283D6B" w:rsidRPr="00283D6B" w:rsidRDefault="00283D6B" w:rsidP="00283D6B">
      <w:pPr>
        <w:jc w:val="both"/>
        <w:rPr>
          <w:sz w:val="20"/>
          <w:szCs w:val="20"/>
        </w:rPr>
      </w:pPr>
      <w:r w:rsidRPr="00283D6B">
        <w:rPr>
          <w:sz w:val="20"/>
          <w:szCs w:val="20"/>
        </w:rPr>
        <w:fldChar w:fldCharType="begin"/>
      </w:r>
      <w:r w:rsidRPr="00283D6B">
        <w:rPr>
          <w:sz w:val="20"/>
          <w:szCs w:val="20"/>
        </w:rPr>
        <w:instrText xml:space="preserve"> NUMWORDS   \* MERGEFORMAT </w:instrText>
      </w:r>
      <w:r w:rsidRPr="00283D6B">
        <w:rPr>
          <w:sz w:val="20"/>
          <w:szCs w:val="20"/>
        </w:rPr>
        <w:fldChar w:fldCharType="separate"/>
      </w:r>
      <w:r w:rsidR="00E77846">
        <w:rPr>
          <w:noProof/>
          <w:sz w:val="20"/>
          <w:szCs w:val="20"/>
        </w:rPr>
        <w:t>442</w:t>
      </w:r>
      <w:r w:rsidRPr="00283D6B">
        <w:rPr>
          <w:sz w:val="20"/>
          <w:szCs w:val="20"/>
        </w:rPr>
        <w:fldChar w:fldCharType="end"/>
      </w:r>
      <w:bookmarkStart w:id="0" w:name="_GoBack"/>
      <w:bookmarkEnd w:id="0"/>
    </w:p>
    <w:p w:rsidR="00283D6B" w:rsidRPr="00283D6B" w:rsidRDefault="00283D6B" w:rsidP="00283D6B">
      <w:pPr>
        <w:jc w:val="both"/>
        <w:rPr>
          <w:sz w:val="20"/>
          <w:szCs w:val="20"/>
        </w:rPr>
      </w:pPr>
      <w:r w:rsidRPr="00283D6B">
        <w:rPr>
          <w:sz w:val="20"/>
          <w:szCs w:val="20"/>
        </w:rPr>
        <w:t>R.Čablis</w:t>
      </w:r>
    </w:p>
    <w:p w:rsidR="00283D6B" w:rsidRPr="00283D6B" w:rsidRDefault="00283D6B" w:rsidP="00283D6B">
      <w:pPr>
        <w:jc w:val="both"/>
        <w:rPr>
          <w:sz w:val="20"/>
          <w:szCs w:val="20"/>
        </w:rPr>
      </w:pPr>
      <w:r w:rsidRPr="00283D6B">
        <w:rPr>
          <w:sz w:val="20"/>
          <w:szCs w:val="20"/>
        </w:rPr>
        <w:t xml:space="preserve">67095498, </w:t>
      </w:r>
      <w:proofErr w:type="spellStart"/>
      <w:r w:rsidRPr="00283D6B">
        <w:rPr>
          <w:sz w:val="20"/>
          <w:szCs w:val="20"/>
        </w:rPr>
        <w:t>raivis.cablis@fm.gov.lv</w:t>
      </w:r>
      <w:proofErr w:type="spellEnd"/>
      <w:r w:rsidRPr="00283D6B">
        <w:rPr>
          <w:sz w:val="20"/>
          <w:szCs w:val="20"/>
        </w:rPr>
        <w:t>;</w:t>
      </w:r>
    </w:p>
    <w:p w:rsidR="008E4D69" w:rsidRPr="00AE45A1" w:rsidRDefault="008E4D69" w:rsidP="00AE45A1"/>
    <w:p w:rsidR="00AE45A1" w:rsidRDefault="00AE45A1" w:rsidP="00AE45A1"/>
    <w:p w:rsidR="007578EB" w:rsidRDefault="007578EB" w:rsidP="00AE45A1"/>
    <w:sectPr w:rsidR="007578EB" w:rsidSect="008D3A5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F8" w:rsidRDefault="00CE63F8" w:rsidP="00307F91">
      <w:r>
        <w:separator/>
      </w:r>
    </w:p>
  </w:endnote>
  <w:endnote w:type="continuationSeparator" w:id="0">
    <w:p w:rsidR="00CE63F8" w:rsidRDefault="00CE63F8"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DA" w:rsidRPr="00743B6F" w:rsidRDefault="002B57DA" w:rsidP="002B57DA">
    <w:pPr>
      <w:pStyle w:val="Footer"/>
      <w:ind w:left="-284" w:right="-285"/>
      <w:jc w:val="both"/>
      <w:rPr>
        <w:sz w:val="18"/>
        <w:szCs w:val="18"/>
      </w:rPr>
    </w:pPr>
    <w:r w:rsidRPr="00743B6F">
      <w:rPr>
        <w:sz w:val="18"/>
        <w:szCs w:val="18"/>
      </w:rPr>
      <w:t>FMAnot_</w:t>
    </w:r>
    <w:r>
      <w:rPr>
        <w:sz w:val="18"/>
        <w:szCs w:val="18"/>
      </w:rPr>
      <w:t>1705</w:t>
    </w:r>
    <w:r w:rsidRPr="00743B6F">
      <w:rPr>
        <w:sz w:val="18"/>
        <w:szCs w:val="18"/>
      </w:rPr>
      <w:t>13_</w:t>
    </w:r>
    <w:r>
      <w:rPr>
        <w:sz w:val="18"/>
        <w:szCs w:val="18"/>
      </w:rPr>
      <w:t>867euro</w:t>
    </w:r>
    <w:r w:rsidRPr="00743B6F">
      <w:rPr>
        <w:sz w:val="18"/>
        <w:szCs w:val="18"/>
      </w:rPr>
      <w:t xml:space="preserve">; Ministru kabineta noteikumu projekta </w:t>
    </w:r>
    <w:r>
      <w:rPr>
        <w:sz w:val="18"/>
        <w:szCs w:val="18"/>
      </w:rPr>
      <w:t>„</w:t>
    </w:r>
    <w:r w:rsidRPr="002B57DA">
      <w:rPr>
        <w:sz w:val="18"/>
        <w:szCs w:val="18"/>
      </w:rPr>
      <w:t>Grozījum</w:t>
    </w:r>
    <w:r w:rsidR="009D1535">
      <w:rPr>
        <w:sz w:val="18"/>
        <w:szCs w:val="18"/>
      </w:rPr>
      <w:t>s</w:t>
    </w:r>
    <w:r w:rsidRPr="002B57DA">
      <w:rPr>
        <w:sz w:val="18"/>
        <w:szCs w:val="18"/>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Pr>
        <w:sz w:val="18"/>
        <w:szCs w:val="18"/>
      </w:rPr>
      <w:t>”</w:t>
    </w:r>
    <w:r w:rsidRPr="00743B6F">
      <w:rPr>
        <w:sz w:val="18"/>
        <w:szCs w:val="18"/>
      </w:rPr>
      <w:t xml:space="preserve"> sākotnējās ietekmes novērtējuma ziņojums (anotācija)</w:t>
    </w:r>
  </w:p>
  <w:p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6F" w:rsidRPr="00743B6F" w:rsidRDefault="00743B6F" w:rsidP="006A576C">
    <w:pPr>
      <w:pStyle w:val="Footer"/>
      <w:ind w:left="-284" w:right="-285"/>
      <w:jc w:val="both"/>
      <w:rPr>
        <w:sz w:val="18"/>
        <w:szCs w:val="18"/>
      </w:rPr>
    </w:pPr>
    <w:r w:rsidRPr="00743B6F">
      <w:rPr>
        <w:sz w:val="18"/>
        <w:szCs w:val="18"/>
      </w:rPr>
      <w:t>FMAnot_</w:t>
    </w:r>
    <w:r w:rsidR="002B57DA">
      <w:rPr>
        <w:sz w:val="18"/>
        <w:szCs w:val="18"/>
      </w:rPr>
      <w:t>1705</w:t>
    </w:r>
    <w:r w:rsidRPr="00743B6F">
      <w:rPr>
        <w:sz w:val="18"/>
        <w:szCs w:val="18"/>
      </w:rPr>
      <w:t>13_</w:t>
    </w:r>
    <w:r w:rsidR="002B57DA">
      <w:rPr>
        <w:sz w:val="18"/>
        <w:szCs w:val="18"/>
      </w:rPr>
      <w:t>867</w:t>
    </w:r>
    <w:r w:rsidR="006A576C">
      <w:rPr>
        <w:sz w:val="18"/>
        <w:szCs w:val="18"/>
      </w:rPr>
      <w:t>euro</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D1535">
      <w:rPr>
        <w:sz w:val="18"/>
        <w:szCs w:val="18"/>
      </w:rPr>
      <w:t>s</w:t>
    </w:r>
    <w:r w:rsidR="002B57DA" w:rsidRPr="002B57DA">
      <w:rPr>
        <w:sz w:val="18"/>
        <w:szCs w:val="18"/>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F8" w:rsidRDefault="00CE63F8" w:rsidP="00307F91">
      <w:r>
        <w:separator/>
      </w:r>
    </w:p>
  </w:footnote>
  <w:footnote w:type="continuationSeparator" w:id="0">
    <w:p w:rsidR="00CE63F8" w:rsidRDefault="00CE63F8"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846">
      <w:rPr>
        <w:rStyle w:val="PageNumber"/>
        <w:noProof/>
      </w:rPr>
      <w:t>2</w:t>
    </w:r>
    <w:r>
      <w:rPr>
        <w:rStyle w:val="PageNumber"/>
      </w:rPr>
      <w:fldChar w:fldCharType="end"/>
    </w:r>
  </w:p>
  <w:p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C"/>
    <w:rsid w:val="00006C5A"/>
    <w:rsid w:val="00014F75"/>
    <w:rsid w:val="00025D74"/>
    <w:rsid w:val="000325F2"/>
    <w:rsid w:val="000334A9"/>
    <w:rsid w:val="001A16C5"/>
    <w:rsid w:val="002004B3"/>
    <w:rsid w:val="0023237B"/>
    <w:rsid w:val="0025068D"/>
    <w:rsid w:val="00265083"/>
    <w:rsid w:val="00283D6B"/>
    <w:rsid w:val="002B57DA"/>
    <w:rsid w:val="002C28A4"/>
    <w:rsid w:val="002D351B"/>
    <w:rsid w:val="00307F91"/>
    <w:rsid w:val="003907F1"/>
    <w:rsid w:val="00390B89"/>
    <w:rsid w:val="003C44C3"/>
    <w:rsid w:val="003F4153"/>
    <w:rsid w:val="00413666"/>
    <w:rsid w:val="004511E2"/>
    <w:rsid w:val="00471BA0"/>
    <w:rsid w:val="005E4CF6"/>
    <w:rsid w:val="00665E37"/>
    <w:rsid w:val="006A5605"/>
    <w:rsid w:val="006A576C"/>
    <w:rsid w:val="006D73C8"/>
    <w:rsid w:val="00743B6F"/>
    <w:rsid w:val="007578EB"/>
    <w:rsid w:val="007F0AF9"/>
    <w:rsid w:val="008C5531"/>
    <w:rsid w:val="008C5700"/>
    <w:rsid w:val="008D3A5D"/>
    <w:rsid w:val="008E4D69"/>
    <w:rsid w:val="008F26D3"/>
    <w:rsid w:val="009D1535"/>
    <w:rsid w:val="00A17F43"/>
    <w:rsid w:val="00A7137A"/>
    <w:rsid w:val="00A76F6E"/>
    <w:rsid w:val="00AD78FC"/>
    <w:rsid w:val="00AE45A1"/>
    <w:rsid w:val="00B9570B"/>
    <w:rsid w:val="00BB5CE6"/>
    <w:rsid w:val="00C1051F"/>
    <w:rsid w:val="00C45363"/>
    <w:rsid w:val="00C5294E"/>
    <w:rsid w:val="00CE63F8"/>
    <w:rsid w:val="00D14039"/>
    <w:rsid w:val="00D617AE"/>
    <w:rsid w:val="00D84A1A"/>
    <w:rsid w:val="00DC689C"/>
    <w:rsid w:val="00DF7D4A"/>
    <w:rsid w:val="00E4429F"/>
    <w:rsid w:val="00E53471"/>
    <w:rsid w:val="00E77846"/>
    <w:rsid w:val="00EC7696"/>
    <w:rsid w:val="00F074ED"/>
    <w:rsid w:val="00FE4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453</Words>
  <Characters>3248</Characters>
  <Application>Microsoft Office Word</Application>
  <DocSecurity>0</DocSecurity>
  <Lines>124</Lines>
  <Paragraphs>67</Paragraphs>
  <ScaleCrop>false</ScaleCrop>
  <HeadingPairs>
    <vt:vector size="2" baseType="variant">
      <vt:variant>
        <vt:lpstr>Title</vt:lpstr>
      </vt:variant>
      <vt:variant>
        <vt:i4>1</vt:i4>
      </vt:variant>
    </vt:vector>
  </HeadingPairs>
  <TitlesOfParts>
    <vt:vector size="1" baseType="lpstr">
      <vt:lpstr>anotācija MK noteikumu projektam "Grozījumi Ministru kabineta 2012.gada 11.decembra noteikumos Nr.867 "Kārtība, kādā nosakāms maksimāli pieļaujamais valsts budžeta izdevumu kopapjoms un maksimāli pieļaujamais valsts budžeta izdevumu kopējais apjoms katrai</vt:lpstr>
    </vt:vector>
  </TitlesOfParts>
  <Company>Finanšu ministrija</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dc:title>
  <dc:subject>Anotācija</dc:subject>
  <dc:creator>Raivis Čablis</dc:creator>
  <cp:keywords/>
  <dc:description>67095498, raivis.cablis@fm.gov.lv</dc:description>
  <cp:lastModifiedBy>Windows User</cp:lastModifiedBy>
  <cp:revision>29</cp:revision>
  <cp:lastPrinted>2013-03-20T14:34:00Z</cp:lastPrinted>
  <dcterms:created xsi:type="dcterms:W3CDTF">2013-03-20T12:15:00Z</dcterms:created>
  <dcterms:modified xsi:type="dcterms:W3CDTF">2013-08-21T12:56:00Z</dcterms:modified>
</cp:coreProperties>
</file>