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F1" w:rsidRDefault="006C4EB7" w:rsidP="000F41F1">
      <w:pPr>
        <w:pStyle w:val="Heading4"/>
        <w:jc w:val="center"/>
      </w:pPr>
      <w:r>
        <w:t>Ministru kabineta noteikumu projekta „</w:t>
      </w:r>
      <w:r w:rsidR="003F1668">
        <w:t xml:space="preserve">Grozījumi Ministru kabineta </w:t>
      </w:r>
      <w:r w:rsidR="00D03392" w:rsidRPr="00D03392">
        <w:t>201</w:t>
      </w:r>
      <w:r w:rsidR="00881AEA">
        <w:t>0.gada 1. jūnija noteikumos Nr.</w:t>
      </w:r>
      <w:r w:rsidR="00D03392" w:rsidRPr="00D03392">
        <w:t>498 “Ceturkšņa finanšu pārskatu sagatavošanas un iesniegšanas kārtība”</w:t>
      </w:r>
      <w:r w:rsidR="003F1668">
        <w:t>”</w:t>
      </w:r>
      <w:r w:rsidR="000F41F1">
        <w:t xml:space="preserve"> sākotnējās ietekmes novērtējuma ziņojums (anotācija)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2592"/>
        <w:gridCol w:w="6300"/>
      </w:tblGrid>
      <w:tr w:rsidR="006C4EB7" w:rsidTr="00A83BDB">
        <w:tc>
          <w:tcPr>
            <w:tcW w:w="9288" w:type="dxa"/>
            <w:gridSpan w:val="3"/>
            <w:shd w:val="clear" w:color="auto" w:fill="auto"/>
          </w:tcPr>
          <w:p w:rsidR="006C4EB7" w:rsidRDefault="006C4EB7" w:rsidP="001F20CA">
            <w:pPr>
              <w:pStyle w:val="NormalWeb"/>
            </w:pPr>
            <w:r w:rsidRPr="00A83BDB">
              <w:rPr>
                <w:b/>
                <w:bCs/>
              </w:rPr>
              <w:t>I. Tiesību akta projekta izstrādes nepieciešamība</w:t>
            </w:r>
          </w:p>
        </w:tc>
      </w:tr>
      <w:tr w:rsidR="00D02C6A" w:rsidRPr="00D03392" w:rsidTr="00A83BDB">
        <w:tc>
          <w:tcPr>
            <w:tcW w:w="396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t>1.</w:t>
            </w:r>
          </w:p>
        </w:tc>
        <w:tc>
          <w:tcPr>
            <w:tcW w:w="2592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t>Pamatojums</w:t>
            </w:r>
          </w:p>
        </w:tc>
        <w:tc>
          <w:tcPr>
            <w:tcW w:w="6300" w:type="dxa"/>
            <w:shd w:val="clear" w:color="auto" w:fill="auto"/>
          </w:tcPr>
          <w:p w:rsidR="005A2AA1" w:rsidRPr="00DC4745" w:rsidRDefault="005D3F71" w:rsidP="000535D7">
            <w:pPr>
              <w:spacing w:before="120" w:after="120"/>
              <w:jc w:val="both"/>
            </w:pPr>
            <w:r>
              <w:t>Grozījumi Ministru kabineta 2010.ga</w:t>
            </w:r>
            <w:r w:rsidR="00881AEA">
              <w:t>da 1.jūnija noteikumos Nr.</w:t>
            </w:r>
            <w:r w:rsidR="00456733">
              <w:t>498 “</w:t>
            </w:r>
            <w:r>
              <w:t>Ceturkšņa finanšu pārskatu sagatavošanas un iesniegšanas kārtība” (turpmāk – noteikumu projekts) nepieciešami, lai</w:t>
            </w:r>
            <w:r w:rsidR="00DC4745">
              <w:t xml:space="preserve"> uzlabotu pārskatu datu kvalitāti, izslēgtu atkārtotu informācijas sniegšanu un samazinātu administratīvo slogu budžeta iestādēm, turpinot veikt fiskālās uzraudzības pasākumus.</w:t>
            </w:r>
          </w:p>
        </w:tc>
      </w:tr>
      <w:tr w:rsidR="00D02C6A" w:rsidRPr="00D03392" w:rsidTr="00A83BDB">
        <w:tc>
          <w:tcPr>
            <w:tcW w:w="396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t>2.</w:t>
            </w:r>
          </w:p>
        </w:tc>
        <w:tc>
          <w:tcPr>
            <w:tcW w:w="2592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t>Pašreizējā situācija un problēmas</w:t>
            </w:r>
          </w:p>
        </w:tc>
        <w:tc>
          <w:tcPr>
            <w:tcW w:w="6300" w:type="dxa"/>
            <w:shd w:val="clear" w:color="auto" w:fill="auto"/>
          </w:tcPr>
          <w:p w:rsidR="00B55FA0" w:rsidRPr="003D2104" w:rsidRDefault="00EC68B0" w:rsidP="000535D7">
            <w:pPr>
              <w:pStyle w:val="NormalWeb"/>
              <w:numPr>
                <w:ilvl w:val="0"/>
                <w:numId w:val="8"/>
              </w:numPr>
              <w:tabs>
                <w:tab w:val="left" w:pos="556"/>
              </w:tabs>
              <w:spacing w:before="120" w:beforeAutospacing="0" w:after="120" w:afterAutospacing="0"/>
              <w:ind w:left="0" w:firstLine="272"/>
              <w:jc w:val="both"/>
            </w:pPr>
            <w:r w:rsidRPr="003D2104">
              <w:t>Ministru kabineta 2010.g</w:t>
            </w:r>
            <w:r w:rsidR="00881AEA">
              <w:t>ada 1.jūnija noteikumi Nr.</w:t>
            </w:r>
            <w:r w:rsidR="00456733">
              <w:t>498 “</w:t>
            </w:r>
            <w:r w:rsidRPr="003D2104">
              <w:t xml:space="preserve">Ceturkšņa finanšu pārskatu sagatavošanas un iesniegšanas kārtība” </w:t>
            </w:r>
            <w:r w:rsidR="003D2104">
              <w:t xml:space="preserve">(turpmāk – MK noteikumi Nr.498) </w:t>
            </w:r>
            <w:r w:rsidRPr="003D2104">
              <w:t xml:space="preserve">nosaka kārtību, kādā budžeta iestādes, no valsts budžeta daļēji finansētas atvasinātas publiskas personas un budžeta nefinansētas iestādes </w:t>
            </w:r>
            <w:r w:rsidR="003E186B" w:rsidRPr="003D2104">
              <w:t xml:space="preserve">(turpmāk – iestādes) </w:t>
            </w:r>
            <w:r w:rsidRPr="003D2104">
              <w:t xml:space="preserve">sagatavo un iesniedz Valsts kasei ceturkšņa finanšu pārskatu. </w:t>
            </w:r>
          </w:p>
          <w:p w:rsidR="00EC68B0" w:rsidRPr="003D2104" w:rsidRDefault="00EC68B0" w:rsidP="000535D7">
            <w:pPr>
              <w:pStyle w:val="NormalWeb"/>
              <w:spacing w:before="120" w:beforeAutospacing="0" w:after="120" w:afterAutospacing="0"/>
              <w:jc w:val="both"/>
            </w:pPr>
            <w:r w:rsidRPr="003D2104">
              <w:t>Pārskatu par I ceturksni iesniedz līdz kārtējā gada 1.jūnijam, pārskatu par II ceturksni – līdz 25.augustam, pārskatu par III ceturksni – līdz 25.novembrim</w:t>
            </w:r>
            <w:r w:rsidR="003E186B" w:rsidRPr="003D2104">
              <w:t>, pārskatu par IV ceturksni – līdz nākamā gada 25.februārim. Vienlaikus ar kārtējā gada I ceturksni iestādes iesniedz iepriekšējā gada IV ceturkšņa precizēto pārskatu.</w:t>
            </w:r>
            <w:r w:rsidR="000E3913" w:rsidRPr="003D2104">
              <w:t xml:space="preserve"> </w:t>
            </w:r>
          </w:p>
          <w:p w:rsidR="000E3913" w:rsidRPr="003D2104" w:rsidRDefault="00C57DEE" w:rsidP="000535D7">
            <w:pPr>
              <w:pStyle w:val="NormalWeb"/>
              <w:spacing w:before="120" w:beforeAutospacing="0" w:after="120" w:afterAutospacing="0"/>
              <w:jc w:val="both"/>
            </w:pPr>
            <w:r>
              <w:t>Pamatojoties uz iestāžu sniegto pārskatu datiem</w:t>
            </w:r>
            <w:r w:rsidR="000E3913" w:rsidRPr="003D2104">
              <w:t xml:space="preserve">, </w:t>
            </w:r>
            <w:r w:rsidR="003D2104" w:rsidRPr="003D2104">
              <w:t>V</w:t>
            </w:r>
            <w:r w:rsidR="000E3913" w:rsidRPr="003D2104">
              <w:t>alsts kase sagatavo informāciju EUROSTAT vajadzībām, kā arī dažādiem iekšējiem un ārējiem informācijas lietotājiem</w:t>
            </w:r>
            <w:r w:rsidR="00817B0C">
              <w:t xml:space="preserve"> fiskālās uzraudzības īstenošanai</w:t>
            </w:r>
            <w:r w:rsidR="000E3913" w:rsidRPr="003D2104">
              <w:t>.</w:t>
            </w:r>
          </w:p>
          <w:p w:rsidR="000E3913" w:rsidRDefault="000E3913" w:rsidP="000535D7">
            <w:pPr>
              <w:pStyle w:val="NormalWeb"/>
              <w:spacing w:before="120" w:beforeAutospacing="0" w:after="120" w:afterAutospacing="0"/>
              <w:jc w:val="both"/>
            </w:pPr>
            <w:r w:rsidRPr="00817B0C">
              <w:t xml:space="preserve">Izvērtējot pārskatos uzrādītās informācijas kvalitāti, secināts, ka </w:t>
            </w:r>
            <w:r w:rsidR="00C57DEE" w:rsidRPr="00817B0C">
              <w:t>pārskata par IV ceturksni</w:t>
            </w:r>
            <w:r w:rsidRPr="00817B0C">
              <w:t xml:space="preserve"> dati būtiski atšķiras no precizētā pārskata par IV ceturksni </w:t>
            </w:r>
            <w:r w:rsidR="003D2104" w:rsidRPr="00817B0C">
              <w:t>datiem</w:t>
            </w:r>
            <w:r w:rsidR="00817B0C" w:rsidRPr="00817B0C">
              <w:t>, kas apgrūtina datu apstrādi un informācijas analīzi ārējiem lietotājiem</w:t>
            </w:r>
            <w:r w:rsidRPr="00817B0C">
              <w:t>.</w:t>
            </w:r>
          </w:p>
          <w:p w:rsidR="003D2104" w:rsidRDefault="003D2104" w:rsidP="000535D7">
            <w:pPr>
              <w:pStyle w:val="NormalWeb"/>
              <w:numPr>
                <w:ilvl w:val="0"/>
                <w:numId w:val="8"/>
              </w:numPr>
              <w:spacing w:before="120" w:beforeAutospacing="0" w:after="120" w:afterAutospacing="0"/>
              <w:ind w:left="0" w:firstLine="272"/>
              <w:jc w:val="both"/>
            </w:pPr>
            <w:r w:rsidRPr="003D2104">
              <w:t xml:space="preserve">Saskaņā ar </w:t>
            </w:r>
            <w:r w:rsidR="00DC4745" w:rsidRPr="00DC4745">
              <w:t>Ministru kabinet</w:t>
            </w:r>
            <w:r w:rsidR="00456733">
              <w:t>a 2008.gada 29.decembra rīkojumu</w:t>
            </w:r>
            <w:r w:rsidR="00DC4745" w:rsidRPr="00DC4745">
              <w:t xml:space="preserve"> Nr.882 "Par fiskālās disciplīnas un uzraudzības nodrošināšanas pasākumiem" (turpmāk – MK rīkojums Nr.882)</w:t>
            </w:r>
            <w:r w:rsidR="00DC4745">
              <w:t xml:space="preserve"> </w:t>
            </w:r>
            <w:r w:rsidRPr="003D2104">
              <w:t xml:space="preserve">iestādes katru mēnesi </w:t>
            </w:r>
            <w:r w:rsidR="00817B0C">
              <w:t xml:space="preserve">līdz piecpadsmitajam datumam </w:t>
            </w:r>
            <w:r w:rsidRPr="003D2104">
              <w:t xml:space="preserve">Valsts kasei sniedz pārskatus par avansa maksājumiem, prasībām un nākamo periodu izdevumiem un pārskatu par saistībām, kam pievieno apliecinājumu par kārtējo maksājumu parādu </w:t>
            </w:r>
            <w:proofErr w:type="spellStart"/>
            <w:r w:rsidRPr="003D2104">
              <w:t>neesību</w:t>
            </w:r>
            <w:proofErr w:type="spellEnd"/>
            <w:r w:rsidRPr="003D2104">
              <w:t xml:space="preserve"> vai informāciju par maksājumu parādiem</w:t>
            </w:r>
            <w:r>
              <w:t xml:space="preserve">. Šī informācija daļēji </w:t>
            </w:r>
            <w:r w:rsidR="00817B0C">
              <w:t>pārklājas ar</w:t>
            </w:r>
            <w:r>
              <w:t xml:space="preserve"> ceturkšņa finanšu pārskatu informācij</w:t>
            </w:r>
            <w:r w:rsidR="00817B0C">
              <w:t>u</w:t>
            </w:r>
            <w:r>
              <w:t>.</w:t>
            </w:r>
          </w:p>
          <w:p w:rsidR="00817B0C" w:rsidRDefault="00817B0C" w:rsidP="000535D7">
            <w:pPr>
              <w:pStyle w:val="NormalWeb"/>
              <w:spacing w:before="120" w:beforeAutospacing="0" w:after="120" w:afterAutospacing="0"/>
              <w:jc w:val="both"/>
            </w:pPr>
            <w:r>
              <w:t xml:space="preserve">Valsts kase apstrādā iestāžu sniegto informāciju un sagatavo pārskatus Starptautiskajam valūtas fondam, statistikas </w:t>
            </w:r>
            <w:r>
              <w:lastRenderedPageBreak/>
              <w:t>vajadzībām, kā arī dažādiem iekšējiem un ārējiem lietotājiem.</w:t>
            </w:r>
          </w:p>
          <w:p w:rsidR="003D2104" w:rsidRPr="003D2104" w:rsidRDefault="00817B0C" w:rsidP="000535D7">
            <w:pPr>
              <w:pStyle w:val="NormalWeb"/>
              <w:spacing w:before="120" w:beforeAutospacing="0" w:after="120" w:afterAutospacing="0"/>
              <w:jc w:val="both"/>
            </w:pPr>
            <w:r>
              <w:t>S</w:t>
            </w:r>
            <w:r w:rsidR="003D2104">
              <w:t xml:space="preserve">arunās ar </w:t>
            </w:r>
            <w:r w:rsidR="001C3AEC">
              <w:t>s</w:t>
            </w:r>
            <w:r w:rsidR="003D2104">
              <w:t xml:space="preserve">tarptautiskajiem aizdevējiem panākta vienošanās </w:t>
            </w:r>
            <w:r>
              <w:t>par</w:t>
            </w:r>
            <w:r w:rsidR="003D2104">
              <w:t xml:space="preserve"> </w:t>
            </w:r>
            <w:r w:rsidR="00263511">
              <w:t>augstākminētās</w:t>
            </w:r>
            <w:r>
              <w:t xml:space="preserve"> informācijas iesniegšanu</w:t>
            </w:r>
            <w:r w:rsidR="003D2104">
              <w:t xml:space="preserve"> reizi ceturksnī. Tāpēc nepieciešams papildināt </w:t>
            </w:r>
            <w:r w:rsidR="003D2104" w:rsidRPr="003D2104">
              <w:t>MK noteikum</w:t>
            </w:r>
            <w:r w:rsidR="003D2104">
              <w:t>us</w:t>
            </w:r>
            <w:r w:rsidR="003D2104" w:rsidRPr="003D2104">
              <w:t xml:space="preserve"> Nr.498</w:t>
            </w:r>
            <w:r w:rsidR="003D2104">
              <w:t xml:space="preserve"> ar informāciju, kas sniedzama </w:t>
            </w:r>
            <w:r w:rsidR="001C3AEC" w:rsidRPr="001C3AEC">
              <w:t>starptautiskajiem aizdevējiem</w:t>
            </w:r>
            <w:r w:rsidR="00C2501C">
              <w:t xml:space="preserve">, kā arī veikt izmaiņas </w:t>
            </w:r>
            <w:r w:rsidR="00C2501C" w:rsidRPr="00C2501C">
              <w:t>MK rīkojumā Nr.882</w:t>
            </w:r>
            <w:r w:rsidR="001C3AEC">
              <w:t>.</w:t>
            </w:r>
          </w:p>
        </w:tc>
      </w:tr>
      <w:tr w:rsidR="00D02C6A" w:rsidRPr="005D3F71" w:rsidTr="00A83BDB">
        <w:tc>
          <w:tcPr>
            <w:tcW w:w="396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lastRenderedPageBreak/>
              <w:t>3.</w:t>
            </w:r>
          </w:p>
        </w:tc>
        <w:tc>
          <w:tcPr>
            <w:tcW w:w="2592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t>Saistītie politikas ietekmes novērtējumi un pētījumi</w:t>
            </w:r>
          </w:p>
        </w:tc>
        <w:tc>
          <w:tcPr>
            <w:tcW w:w="6300" w:type="dxa"/>
            <w:shd w:val="clear" w:color="auto" w:fill="auto"/>
          </w:tcPr>
          <w:p w:rsidR="00D02C6A" w:rsidRPr="005D3F71" w:rsidRDefault="00EA0CB5" w:rsidP="001F20CA">
            <w:pPr>
              <w:pStyle w:val="NormalWeb"/>
            </w:pPr>
            <w:r w:rsidRPr="005D3F71">
              <w:t>Projekts šo jomu neskar</w:t>
            </w:r>
          </w:p>
        </w:tc>
      </w:tr>
      <w:tr w:rsidR="00D02C6A" w:rsidRPr="00D03392" w:rsidTr="00A83BDB">
        <w:tc>
          <w:tcPr>
            <w:tcW w:w="396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t>4.</w:t>
            </w:r>
          </w:p>
        </w:tc>
        <w:tc>
          <w:tcPr>
            <w:tcW w:w="2592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t>Tiesiskā regulējuma mērķis un būtība</w:t>
            </w:r>
          </w:p>
        </w:tc>
        <w:tc>
          <w:tcPr>
            <w:tcW w:w="6300" w:type="dxa"/>
            <w:shd w:val="clear" w:color="auto" w:fill="auto"/>
          </w:tcPr>
          <w:p w:rsidR="000E3913" w:rsidRDefault="005D3F71" w:rsidP="000535D7">
            <w:pPr>
              <w:pStyle w:val="BodyTextIndent"/>
              <w:tabs>
                <w:tab w:val="left" w:pos="324"/>
              </w:tabs>
              <w:spacing w:before="120" w:after="12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Noteikumu</w:t>
            </w:r>
            <w:r w:rsidRPr="005D3F71">
              <w:rPr>
                <w:sz w:val="24"/>
              </w:rPr>
              <w:t xml:space="preserve"> projektā</w:t>
            </w:r>
            <w:r w:rsidR="000E3913">
              <w:rPr>
                <w:sz w:val="24"/>
              </w:rPr>
              <w:t>:</w:t>
            </w:r>
            <w:r w:rsidRPr="005D3F71">
              <w:rPr>
                <w:sz w:val="24"/>
              </w:rPr>
              <w:t xml:space="preserve"> </w:t>
            </w:r>
          </w:p>
          <w:p w:rsidR="000E3913" w:rsidRDefault="000E3913" w:rsidP="000535D7">
            <w:pPr>
              <w:pStyle w:val="BodyTextIndent"/>
              <w:numPr>
                <w:ilvl w:val="0"/>
                <w:numId w:val="7"/>
              </w:numPr>
              <w:tabs>
                <w:tab w:val="left" w:pos="324"/>
              </w:tabs>
              <w:spacing w:before="120" w:after="120"/>
              <w:ind w:left="414" w:hanging="357"/>
              <w:jc w:val="both"/>
              <w:rPr>
                <w:sz w:val="24"/>
              </w:rPr>
            </w:pPr>
            <w:r w:rsidRPr="005D3F71">
              <w:rPr>
                <w:sz w:val="24"/>
              </w:rPr>
              <w:t>precizēt</w:t>
            </w:r>
            <w:r>
              <w:rPr>
                <w:sz w:val="24"/>
              </w:rPr>
              <w:t>i</w:t>
            </w:r>
            <w:r w:rsidRPr="005D3F71">
              <w:rPr>
                <w:sz w:val="24"/>
              </w:rPr>
              <w:t xml:space="preserve"> </w:t>
            </w:r>
            <w:r w:rsidR="005D3F71" w:rsidRPr="005D3F71">
              <w:rPr>
                <w:sz w:val="24"/>
              </w:rPr>
              <w:t>pārskatu iesniegšanas</w:t>
            </w:r>
            <w:r w:rsidR="005D3F71">
              <w:rPr>
                <w:sz w:val="24"/>
              </w:rPr>
              <w:t xml:space="preserve"> termiņi</w:t>
            </w:r>
            <w:r w:rsidR="000D6368">
              <w:rPr>
                <w:sz w:val="24"/>
              </w:rPr>
              <w:t>, nosakot pārskatus par I ceturksn</w:t>
            </w:r>
            <w:r w:rsidR="00881AEA">
              <w:rPr>
                <w:sz w:val="24"/>
              </w:rPr>
              <w:t xml:space="preserve">i </w:t>
            </w:r>
            <w:r w:rsidR="00881AEA" w:rsidRPr="00DF6259">
              <w:rPr>
                <w:sz w:val="24"/>
              </w:rPr>
              <w:t xml:space="preserve">iesniegt līdz </w:t>
            </w:r>
            <w:r w:rsidR="008360FB" w:rsidRPr="00DF6259">
              <w:rPr>
                <w:sz w:val="24"/>
              </w:rPr>
              <w:t>1.maijam, pārskatus</w:t>
            </w:r>
            <w:r w:rsidR="008360FB">
              <w:rPr>
                <w:sz w:val="24"/>
              </w:rPr>
              <w:t xml:space="preserve"> par II un III ceturksni – līdz </w:t>
            </w:r>
            <w:r w:rsidR="00881AEA">
              <w:rPr>
                <w:sz w:val="24"/>
              </w:rPr>
              <w:t>nākamā mēneša 25</w:t>
            </w:r>
            <w:r w:rsidR="000D6368">
              <w:rPr>
                <w:sz w:val="24"/>
              </w:rPr>
              <w:t xml:space="preserve">.datumam (šobrīd mēneša pārskatus iesniedz līdz nākamā mēneša 15.datumam) un pārskatu par IV ceturksni – līdz nākamā gada </w:t>
            </w:r>
            <w:r w:rsidR="000D6368" w:rsidRPr="0004708C">
              <w:rPr>
                <w:sz w:val="24"/>
                <w:u w:val="single"/>
              </w:rPr>
              <w:t>2</w:t>
            </w:r>
            <w:r w:rsidR="0004708C" w:rsidRPr="0004708C">
              <w:rPr>
                <w:sz w:val="24"/>
                <w:u w:val="single"/>
              </w:rPr>
              <w:t>5</w:t>
            </w:r>
            <w:r w:rsidR="000D6368" w:rsidRPr="0004708C">
              <w:rPr>
                <w:sz w:val="24"/>
                <w:u w:val="single"/>
              </w:rPr>
              <w:t>.februārim</w:t>
            </w:r>
            <w:r w:rsidR="005D3F71" w:rsidRPr="005D3F71">
              <w:rPr>
                <w:sz w:val="24"/>
              </w:rPr>
              <w:t xml:space="preserve">, </w:t>
            </w:r>
          </w:p>
          <w:p w:rsidR="000E3913" w:rsidRDefault="005D3F71" w:rsidP="000535D7">
            <w:pPr>
              <w:pStyle w:val="BodyTextIndent"/>
              <w:numPr>
                <w:ilvl w:val="0"/>
                <w:numId w:val="7"/>
              </w:numPr>
              <w:tabs>
                <w:tab w:val="left" w:pos="324"/>
              </w:tabs>
              <w:spacing w:before="120" w:after="120"/>
              <w:ind w:left="414"/>
              <w:jc w:val="both"/>
              <w:rPr>
                <w:sz w:val="24"/>
              </w:rPr>
            </w:pPr>
            <w:r w:rsidRPr="005D3F71">
              <w:rPr>
                <w:sz w:val="24"/>
              </w:rPr>
              <w:t>samazināt</w:t>
            </w:r>
            <w:r>
              <w:rPr>
                <w:sz w:val="24"/>
              </w:rPr>
              <w:t>s</w:t>
            </w:r>
            <w:r w:rsidRPr="005D3F71">
              <w:rPr>
                <w:sz w:val="24"/>
              </w:rPr>
              <w:t xml:space="preserve"> iesniedzamās informācijas biežum</w:t>
            </w:r>
            <w:r>
              <w:rPr>
                <w:sz w:val="24"/>
              </w:rPr>
              <w:t>s</w:t>
            </w:r>
            <w:r w:rsidR="000E3913">
              <w:rPr>
                <w:sz w:val="24"/>
              </w:rPr>
              <w:t>,</w:t>
            </w:r>
            <w:r w:rsidRPr="005D3F71">
              <w:rPr>
                <w:sz w:val="24"/>
              </w:rPr>
              <w:t xml:space="preserve"> </w:t>
            </w:r>
          </w:p>
          <w:p w:rsidR="000E3913" w:rsidRDefault="005D3F71" w:rsidP="000535D7">
            <w:pPr>
              <w:pStyle w:val="BodyTextIndent"/>
              <w:numPr>
                <w:ilvl w:val="0"/>
                <w:numId w:val="7"/>
              </w:numPr>
              <w:tabs>
                <w:tab w:val="left" w:pos="324"/>
              </w:tabs>
              <w:spacing w:before="120" w:after="120"/>
              <w:ind w:left="414"/>
              <w:jc w:val="both"/>
              <w:rPr>
                <w:sz w:val="24"/>
              </w:rPr>
            </w:pPr>
            <w:r w:rsidRPr="005D3F71">
              <w:rPr>
                <w:sz w:val="24"/>
              </w:rPr>
              <w:t>daļēji papildināt</w:t>
            </w:r>
            <w:r w:rsidR="003D2104">
              <w:rPr>
                <w:sz w:val="24"/>
              </w:rPr>
              <w:t>s</w:t>
            </w:r>
            <w:r w:rsidRPr="005D3F71">
              <w:rPr>
                <w:sz w:val="24"/>
              </w:rPr>
              <w:t xml:space="preserve"> </w:t>
            </w:r>
            <w:r w:rsidR="00E40A27">
              <w:rPr>
                <w:sz w:val="24"/>
              </w:rPr>
              <w:t xml:space="preserve">6. pielikums </w:t>
            </w:r>
            <w:r w:rsidRPr="005D3F71">
              <w:rPr>
                <w:sz w:val="24"/>
              </w:rPr>
              <w:t>ar informāciju, kas šobrīd iesniedzama saskaņā ar MK rīkojumu Nr.882</w:t>
            </w:r>
            <w:r w:rsidR="000E3913">
              <w:rPr>
                <w:sz w:val="24"/>
              </w:rPr>
              <w:t>,</w:t>
            </w:r>
          </w:p>
          <w:p w:rsidR="000E3913" w:rsidRDefault="000E3913" w:rsidP="000535D7">
            <w:pPr>
              <w:pStyle w:val="BodyTextIndent"/>
              <w:numPr>
                <w:ilvl w:val="0"/>
                <w:numId w:val="7"/>
              </w:numPr>
              <w:tabs>
                <w:tab w:val="left" w:pos="324"/>
              </w:tabs>
              <w:spacing w:before="120" w:after="120"/>
              <w:ind w:left="414"/>
              <w:jc w:val="both"/>
              <w:rPr>
                <w:sz w:val="24"/>
              </w:rPr>
            </w:pPr>
            <w:r>
              <w:rPr>
                <w:sz w:val="24"/>
              </w:rPr>
              <w:t>precizēta savstarpēji salīdzināmu datu norādīšana,</w:t>
            </w:r>
          </w:p>
          <w:p w:rsidR="000E3913" w:rsidRPr="003D2104" w:rsidRDefault="000E3913" w:rsidP="000535D7">
            <w:pPr>
              <w:pStyle w:val="BodyTextIndent"/>
              <w:numPr>
                <w:ilvl w:val="0"/>
                <w:numId w:val="7"/>
              </w:numPr>
              <w:tabs>
                <w:tab w:val="left" w:pos="324"/>
              </w:tabs>
              <w:spacing w:before="120" w:after="120"/>
              <w:ind w:left="414"/>
              <w:jc w:val="both"/>
              <w:rPr>
                <w:sz w:val="24"/>
              </w:rPr>
            </w:pPr>
            <w:r>
              <w:rPr>
                <w:sz w:val="24"/>
              </w:rPr>
              <w:t>precizēta izveidoto uzkrājumu nedrošā</w:t>
            </w:r>
            <w:r w:rsidR="003D2104">
              <w:rPr>
                <w:sz w:val="24"/>
              </w:rPr>
              <w:t>m prasībām norādīšana pārskatos.</w:t>
            </w:r>
          </w:p>
        </w:tc>
      </w:tr>
      <w:tr w:rsidR="00D02C6A" w:rsidRPr="00D03392" w:rsidTr="00A83BDB">
        <w:tc>
          <w:tcPr>
            <w:tcW w:w="396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t>5.</w:t>
            </w:r>
          </w:p>
        </w:tc>
        <w:tc>
          <w:tcPr>
            <w:tcW w:w="2592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t>Projekta izstrādē iesaistītās institūcijas</w:t>
            </w:r>
          </w:p>
        </w:tc>
        <w:tc>
          <w:tcPr>
            <w:tcW w:w="6300" w:type="dxa"/>
            <w:shd w:val="clear" w:color="auto" w:fill="auto"/>
          </w:tcPr>
          <w:p w:rsidR="00D02C6A" w:rsidRPr="005D3F71" w:rsidRDefault="005D3F71" w:rsidP="007001A8">
            <w:pPr>
              <w:pStyle w:val="NormalWeb"/>
              <w:spacing w:before="0" w:beforeAutospacing="0" w:after="0" w:afterAutospacing="0"/>
              <w:jc w:val="both"/>
            </w:pPr>
            <w:r w:rsidRPr="005D3F71">
              <w:t>Finanšu ministrija un Valsts kase</w:t>
            </w:r>
          </w:p>
        </w:tc>
      </w:tr>
      <w:tr w:rsidR="00D02C6A" w:rsidRPr="005D3F71" w:rsidTr="00A83BDB">
        <w:tc>
          <w:tcPr>
            <w:tcW w:w="396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t>6.</w:t>
            </w:r>
          </w:p>
        </w:tc>
        <w:tc>
          <w:tcPr>
            <w:tcW w:w="2592" w:type="dxa"/>
            <w:shd w:val="clear" w:color="auto" w:fill="auto"/>
          </w:tcPr>
          <w:p w:rsidR="00D02C6A" w:rsidRPr="005D3F71" w:rsidRDefault="00D02C6A" w:rsidP="002372C0">
            <w:pPr>
              <w:pStyle w:val="NormalWeb"/>
              <w:jc w:val="both"/>
            </w:pPr>
            <w:r w:rsidRPr="005D3F71">
              <w:t>Iemesli, kādēļ netika nodrošināta sabiedrības līdzdalība</w:t>
            </w:r>
          </w:p>
        </w:tc>
        <w:tc>
          <w:tcPr>
            <w:tcW w:w="6300" w:type="dxa"/>
            <w:shd w:val="clear" w:color="auto" w:fill="auto"/>
          </w:tcPr>
          <w:p w:rsidR="00D02C6A" w:rsidRPr="005D3F71" w:rsidRDefault="002372C0" w:rsidP="000535D7">
            <w:pPr>
              <w:pStyle w:val="NormalWeb"/>
              <w:spacing w:before="120" w:beforeAutospacing="0" w:after="120" w:afterAutospacing="0"/>
              <w:jc w:val="both"/>
            </w:pPr>
            <w:r w:rsidRPr="005D3F71">
              <w:t>Projekts attiecināms uz institūcijām – budžeta iestādēm, ministrijām un centrālajām valsts iestādēm, pašvaldībām, no valsts budžeta daļēji finansētām atvasinātām publiskām personām, tādēļ ar sabiedrības līdzdalība nebija nepieciešama</w:t>
            </w:r>
          </w:p>
        </w:tc>
      </w:tr>
      <w:tr w:rsidR="00D02C6A" w:rsidRPr="005D3F71" w:rsidTr="00A83BDB">
        <w:tc>
          <w:tcPr>
            <w:tcW w:w="396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t>7.</w:t>
            </w:r>
          </w:p>
        </w:tc>
        <w:tc>
          <w:tcPr>
            <w:tcW w:w="2592" w:type="dxa"/>
            <w:shd w:val="clear" w:color="auto" w:fill="auto"/>
          </w:tcPr>
          <w:p w:rsidR="00D02C6A" w:rsidRPr="005D3F71" w:rsidRDefault="00D02C6A" w:rsidP="001F20CA">
            <w:pPr>
              <w:pStyle w:val="NormalWeb"/>
            </w:pPr>
            <w:r w:rsidRPr="005D3F71">
              <w:t>Cita informācija</w:t>
            </w:r>
          </w:p>
        </w:tc>
        <w:tc>
          <w:tcPr>
            <w:tcW w:w="6300" w:type="dxa"/>
            <w:shd w:val="clear" w:color="auto" w:fill="auto"/>
          </w:tcPr>
          <w:p w:rsidR="00D02C6A" w:rsidRPr="005D3F71" w:rsidRDefault="00D02C6A" w:rsidP="006C4EB7">
            <w:pPr>
              <w:pStyle w:val="Heading4"/>
              <w:rPr>
                <w:b w:val="0"/>
              </w:rPr>
            </w:pPr>
            <w:r w:rsidRPr="005D3F71">
              <w:rPr>
                <w:b w:val="0"/>
              </w:rPr>
              <w:t>Nav</w:t>
            </w:r>
          </w:p>
        </w:tc>
      </w:tr>
    </w:tbl>
    <w:p w:rsidR="000F41F1" w:rsidRPr="00D03392" w:rsidRDefault="000F41F1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75"/>
        <w:gridCol w:w="6345"/>
      </w:tblGrid>
      <w:tr w:rsidR="006C4EB7" w:rsidRPr="005D3F71" w:rsidTr="00A83BDB">
        <w:tc>
          <w:tcPr>
            <w:tcW w:w="9288" w:type="dxa"/>
            <w:gridSpan w:val="3"/>
            <w:shd w:val="clear" w:color="auto" w:fill="auto"/>
          </w:tcPr>
          <w:p w:rsidR="006C4EB7" w:rsidRPr="005D3F71" w:rsidRDefault="006C4EB7" w:rsidP="00A83BDB">
            <w:pPr>
              <w:pStyle w:val="NormalWeb"/>
              <w:jc w:val="center"/>
            </w:pPr>
            <w:r w:rsidRPr="005D3F71">
              <w:rPr>
                <w:b/>
                <w:bCs/>
              </w:rPr>
              <w:t>II. Tiesību akta projekta ietekme uz sabiedrību</w:t>
            </w:r>
          </w:p>
        </w:tc>
      </w:tr>
      <w:tr w:rsidR="006C4EB7" w:rsidRPr="005D3F71" w:rsidTr="00C71E48">
        <w:tc>
          <w:tcPr>
            <w:tcW w:w="468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1.</w:t>
            </w:r>
          </w:p>
        </w:tc>
        <w:tc>
          <w:tcPr>
            <w:tcW w:w="2475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 xml:space="preserve">Sabiedrības </w:t>
            </w:r>
            <w:proofErr w:type="spellStart"/>
            <w:r w:rsidRPr="005D3F71">
              <w:t>mērķgrupa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6C4EB7" w:rsidRPr="005D3F71" w:rsidRDefault="00D036CC" w:rsidP="000535D7">
            <w:pPr>
              <w:pStyle w:val="NormalWeb"/>
              <w:spacing w:before="120" w:beforeAutospacing="0" w:after="120" w:afterAutospacing="0"/>
              <w:jc w:val="both"/>
            </w:pPr>
            <w:r w:rsidRPr="005D3F71">
              <w:t>Noteikumu projekts attiecas uz budžeta iestāžu, no budžeta daļēji finansētu atvasinātu publisku personu un budžeta nefinansētu iestāžu – kopā 2334 – pārskatu sagatavošanā iesaistītajiem darbiniekiem.</w:t>
            </w:r>
          </w:p>
        </w:tc>
      </w:tr>
      <w:tr w:rsidR="006C4EB7" w:rsidRPr="005D3F71" w:rsidTr="00C71E48">
        <w:tc>
          <w:tcPr>
            <w:tcW w:w="468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2.</w:t>
            </w:r>
          </w:p>
        </w:tc>
        <w:tc>
          <w:tcPr>
            <w:tcW w:w="2475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 xml:space="preserve">Citas sabiedrības grupas (bez </w:t>
            </w:r>
            <w:proofErr w:type="spellStart"/>
            <w:r w:rsidRPr="005D3F71">
              <w:t>mērķgrupas</w:t>
            </w:r>
            <w:proofErr w:type="spellEnd"/>
            <w:r w:rsidRPr="005D3F71">
              <w:t>), kuras tiesiskais regulējums arī ietekmē vai varētu ietekmēt</w:t>
            </w:r>
          </w:p>
        </w:tc>
        <w:tc>
          <w:tcPr>
            <w:tcW w:w="6345" w:type="dxa"/>
            <w:shd w:val="clear" w:color="auto" w:fill="auto"/>
          </w:tcPr>
          <w:p w:rsidR="006C4EB7" w:rsidRPr="005D3F71" w:rsidRDefault="005D3F71" w:rsidP="00A83BDB">
            <w:pPr>
              <w:pStyle w:val="NormalWeb"/>
              <w:jc w:val="both"/>
            </w:pPr>
            <w:r w:rsidRPr="005D3F71">
              <w:t>Projekts šo jomu neskar</w:t>
            </w:r>
          </w:p>
        </w:tc>
      </w:tr>
      <w:tr w:rsidR="006C4EB7" w:rsidRPr="005D3F71" w:rsidTr="00C71E48">
        <w:tc>
          <w:tcPr>
            <w:tcW w:w="468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3.</w:t>
            </w:r>
          </w:p>
        </w:tc>
        <w:tc>
          <w:tcPr>
            <w:tcW w:w="2475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 xml:space="preserve">Tiesiskā regulējuma </w:t>
            </w:r>
            <w:r w:rsidRPr="005D3F71">
              <w:lastRenderedPageBreak/>
              <w:t>finansiālā ietekme</w:t>
            </w:r>
          </w:p>
        </w:tc>
        <w:tc>
          <w:tcPr>
            <w:tcW w:w="6345" w:type="dxa"/>
            <w:shd w:val="clear" w:color="auto" w:fill="auto"/>
          </w:tcPr>
          <w:p w:rsidR="006C4EB7" w:rsidRPr="005D3F71" w:rsidRDefault="00EA0CB5" w:rsidP="001F20CA">
            <w:pPr>
              <w:pStyle w:val="NormalWeb"/>
            </w:pPr>
            <w:r w:rsidRPr="005D3F71">
              <w:lastRenderedPageBreak/>
              <w:t>Projekts šo jomu neskar</w:t>
            </w:r>
          </w:p>
        </w:tc>
      </w:tr>
      <w:tr w:rsidR="006C4EB7" w:rsidRPr="005D3F71" w:rsidTr="00C71E48">
        <w:tc>
          <w:tcPr>
            <w:tcW w:w="468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lastRenderedPageBreak/>
              <w:t>4.</w:t>
            </w:r>
          </w:p>
        </w:tc>
        <w:tc>
          <w:tcPr>
            <w:tcW w:w="2475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Tiesiskā regulējuma nefinansiālā ietekme</w:t>
            </w:r>
          </w:p>
        </w:tc>
        <w:tc>
          <w:tcPr>
            <w:tcW w:w="6345" w:type="dxa"/>
            <w:shd w:val="clear" w:color="auto" w:fill="auto"/>
          </w:tcPr>
          <w:p w:rsidR="006C4EB7" w:rsidRPr="005D3F71" w:rsidRDefault="00EA0CB5" w:rsidP="00A83BDB">
            <w:pPr>
              <w:pStyle w:val="NormalWeb"/>
              <w:jc w:val="both"/>
            </w:pPr>
            <w:r w:rsidRPr="005D3F71">
              <w:t>Projekts šo jomu neskar</w:t>
            </w:r>
          </w:p>
        </w:tc>
      </w:tr>
      <w:tr w:rsidR="006C4EB7" w:rsidRPr="005D3F71" w:rsidTr="00C71E48">
        <w:tc>
          <w:tcPr>
            <w:tcW w:w="468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5.</w:t>
            </w:r>
          </w:p>
        </w:tc>
        <w:tc>
          <w:tcPr>
            <w:tcW w:w="2475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Administratīvās procedūras raksturojums</w:t>
            </w:r>
          </w:p>
        </w:tc>
        <w:tc>
          <w:tcPr>
            <w:tcW w:w="6345" w:type="dxa"/>
            <w:shd w:val="clear" w:color="auto" w:fill="auto"/>
          </w:tcPr>
          <w:p w:rsidR="00C07AF1" w:rsidRPr="005D3F71" w:rsidRDefault="00EA0CB5" w:rsidP="00A83BDB">
            <w:pPr>
              <w:pStyle w:val="NormalWeb"/>
              <w:spacing w:before="0" w:beforeAutospacing="0" w:after="0" w:afterAutospacing="0"/>
              <w:jc w:val="both"/>
            </w:pPr>
            <w:r w:rsidRPr="005D3F71">
              <w:t>Projekts šo jomu neskar</w:t>
            </w:r>
          </w:p>
        </w:tc>
      </w:tr>
      <w:tr w:rsidR="006C4EB7" w:rsidRPr="005D3F71" w:rsidTr="00C71E48">
        <w:tc>
          <w:tcPr>
            <w:tcW w:w="468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6.</w:t>
            </w:r>
          </w:p>
        </w:tc>
        <w:tc>
          <w:tcPr>
            <w:tcW w:w="2475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Administratīvo izmaksu monetārs novērtējums</w:t>
            </w:r>
          </w:p>
        </w:tc>
        <w:tc>
          <w:tcPr>
            <w:tcW w:w="6345" w:type="dxa"/>
            <w:shd w:val="clear" w:color="auto" w:fill="auto"/>
          </w:tcPr>
          <w:p w:rsidR="006C4EB7" w:rsidRPr="005D3F71" w:rsidRDefault="00EA0CB5" w:rsidP="001F20CA">
            <w:pPr>
              <w:pStyle w:val="NormalWeb"/>
            </w:pPr>
            <w:r w:rsidRPr="005D3F71">
              <w:t>Projekts šo jomu neskar</w:t>
            </w:r>
          </w:p>
        </w:tc>
      </w:tr>
      <w:tr w:rsidR="006C4EB7" w:rsidRPr="005D3F71" w:rsidTr="00C71E48">
        <w:tc>
          <w:tcPr>
            <w:tcW w:w="468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7.</w:t>
            </w:r>
          </w:p>
        </w:tc>
        <w:tc>
          <w:tcPr>
            <w:tcW w:w="2475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Cita informācija</w:t>
            </w:r>
          </w:p>
        </w:tc>
        <w:tc>
          <w:tcPr>
            <w:tcW w:w="6345" w:type="dxa"/>
            <w:shd w:val="clear" w:color="auto" w:fill="auto"/>
          </w:tcPr>
          <w:p w:rsidR="006C4EB7" w:rsidRPr="005D3F71" w:rsidRDefault="00393820" w:rsidP="001F20CA">
            <w:pPr>
              <w:pStyle w:val="NormalWeb"/>
            </w:pPr>
            <w:r w:rsidRPr="005D3F71">
              <w:t>Nav</w:t>
            </w:r>
          </w:p>
        </w:tc>
      </w:tr>
    </w:tbl>
    <w:p w:rsidR="000F41F1" w:rsidRDefault="00B732EE">
      <w:pPr>
        <w:rPr>
          <w:b/>
        </w:rPr>
      </w:pPr>
      <w:r w:rsidRPr="005D3F71">
        <w:rPr>
          <w:b/>
        </w:rPr>
        <w:t xml:space="preserve">Anotācijas III. sadaļa – </w:t>
      </w:r>
      <w:r w:rsidR="00EA0CB5" w:rsidRPr="005D3F71">
        <w:rPr>
          <w:b/>
        </w:rPr>
        <w:t>projekts šo jomu neskar</w:t>
      </w:r>
      <w:r w:rsidRPr="005D3F71">
        <w:rPr>
          <w:b/>
        </w:rPr>
        <w:t>.</w:t>
      </w:r>
    </w:p>
    <w:p w:rsidR="00456733" w:rsidRPr="005D3F71" w:rsidRDefault="0045673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75"/>
        <w:gridCol w:w="6345"/>
      </w:tblGrid>
      <w:tr w:rsidR="006C4EB7" w:rsidRPr="005D3F71" w:rsidTr="00A83BDB">
        <w:tc>
          <w:tcPr>
            <w:tcW w:w="9288" w:type="dxa"/>
            <w:gridSpan w:val="3"/>
            <w:shd w:val="clear" w:color="auto" w:fill="auto"/>
          </w:tcPr>
          <w:p w:rsidR="006C4EB7" w:rsidRPr="005D3F71" w:rsidRDefault="006C4EB7" w:rsidP="00A83BDB">
            <w:pPr>
              <w:jc w:val="center"/>
            </w:pPr>
            <w:r w:rsidRPr="005D3F71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6C4EB7" w:rsidRPr="005D3F71" w:rsidTr="00C71E48">
        <w:tc>
          <w:tcPr>
            <w:tcW w:w="468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1.</w:t>
            </w:r>
          </w:p>
        </w:tc>
        <w:tc>
          <w:tcPr>
            <w:tcW w:w="2475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Nepieciešamie saistītie tiesību aktu projekti</w:t>
            </w:r>
          </w:p>
        </w:tc>
        <w:tc>
          <w:tcPr>
            <w:tcW w:w="6345" w:type="dxa"/>
            <w:shd w:val="clear" w:color="auto" w:fill="auto"/>
          </w:tcPr>
          <w:p w:rsidR="00B52870" w:rsidRPr="005D3F71" w:rsidRDefault="005D3F71" w:rsidP="00A83BDB">
            <w:pPr>
              <w:pStyle w:val="NormalWeb"/>
              <w:jc w:val="both"/>
            </w:pPr>
            <w:r w:rsidRPr="005D3F71">
              <w:t>Projekts šo jomu neskar</w:t>
            </w:r>
          </w:p>
        </w:tc>
      </w:tr>
      <w:tr w:rsidR="006C4EB7" w:rsidRPr="005D3F71" w:rsidTr="00C71E48">
        <w:tc>
          <w:tcPr>
            <w:tcW w:w="468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2.</w:t>
            </w:r>
          </w:p>
        </w:tc>
        <w:tc>
          <w:tcPr>
            <w:tcW w:w="2475" w:type="dxa"/>
            <w:shd w:val="clear" w:color="auto" w:fill="auto"/>
          </w:tcPr>
          <w:p w:rsidR="006C4EB7" w:rsidRPr="005D3F71" w:rsidRDefault="006C4EB7" w:rsidP="001F20CA">
            <w:pPr>
              <w:pStyle w:val="NormalWeb"/>
            </w:pPr>
            <w:r w:rsidRPr="005D3F71">
              <w:t>Cita informācija</w:t>
            </w:r>
          </w:p>
        </w:tc>
        <w:tc>
          <w:tcPr>
            <w:tcW w:w="6345" w:type="dxa"/>
            <w:shd w:val="clear" w:color="auto" w:fill="auto"/>
          </w:tcPr>
          <w:p w:rsidR="000D6368" w:rsidRPr="005D3F71" w:rsidRDefault="001C3AEC" w:rsidP="00D249E8">
            <w:pPr>
              <w:pStyle w:val="NormalWeb"/>
              <w:spacing w:before="120" w:beforeAutospacing="0" w:after="120" w:afterAutospacing="0"/>
              <w:jc w:val="both"/>
            </w:pPr>
            <w:r>
              <w:t>Finanšu ministrijai nepieciešams izstrādāt grozījumus</w:t>
            </w:r>
            <w:r w:rsidR="005D3F71" w:rsidRPr="005D3F71">
              <w:t xml:space="preserve"> Ministru kabineta 2008.gada 29.decembra rīkojumā Nr.882 "Par fiskālās disciplīnas un uzraudzības nodrošināšanas pasākumiem"</w:t>
            </w:r>
            <w:r w:rsidR="004A21A7">
              <w:t xml:space="preserve"> (turpmāk – Rīkojums Nr.882)</w:t>
            </w:r>
            <w:r>
              <w:t xml:space="preserve">, atceļot prasību </w:t>
            </w:r>
            <w:r w:rsidR="00C2501C">
              <w:t xml:space="preserve">budžeta </w:t>
            </w:r>
            <w:r>
              <w:t xml:space="preserve">iestādēm katru mēnesi </w:t>
            </w:r>
            <w:r w:rsidRPr="001C3AEC">
              <w:t>Valsts kas</w:t>
            </w:r>
            <w:r>
              <w:t>ei sniegt</w:t>
            </w:r>
            <w:r w:rsidRPr="001C3AEC">
              <w:t xml:space="preserve"> pārskatus par avansa maksājumiem, prasībām un nākamo periodu izdevumiem un pārskatu par saistībām</w:t>
            </w:r>
            <w:r>
              <w:t xml:space="preserve">. </w:t>
            </w:r>
            <w:r w:rsidR="004A21A7" w:rsidRPr="00DF6259">
              <w:t xml:space="preserve">Rīkojumu Nr.882 nepieciešams papildināt, nosakot, ka </w:t>
            </w:r>
            <w:r w:rsidR="00CF709E" w:rsidRPr="00DF6259">
              <w:t>budžeta</w:t>
            </w:r>
            <w:r w:rsidR="004A21A7" w:rsidRPr="00DF6259">
              <w:t xml:space="preserve"> iestādes </w:t>
            </w:r>
            <w:r w:rsidR="00CF709E" w:rsidRPr="00DF6259">
              <w:t>divu</w:t>
            </w:r>
            <w:r w:rsidR="004A21A7" w:rsidRPr="00DF6259">
              <w:t xml:space="preserve"> </w:t>
            </w:r>
            <w:r w:rsidR="00D249E8" w:rsidRPr="00DF6259">
              <w:t xml:space="preserve">darba </w:t>
            </w:r>
            <w:r w:rsidR="004A21A7" w:rsidRPr="00DF6259">
              <w:t xml:space="preserve">dienu laikā ziņo Valsts kasei par maksājumiem, </w:t>
            </w:r>
            <w:r w:rsidR="00D249E8" w:rsidRPr="00DF6259">
              <w:t>kuru izpilde tiek kavēta vairāk par 30 dienām</w:t>
            </w:r>
            <w:r w:rsidR="004A21A7" w:rsidRPr="00DF6259">
              <w:t xml:space="preserve">. </w:t>
            </w:r>
            <w:r w:rsidRPr="00DF6259">
              <w:t xml:space="preserve">Grozījumiem jāstājas spēkā </w:t>
            </w:r>
            <w:r w:rsidR="00EA7059" w:rsidRPr="00DF6259">
              <w:t>2012.gada 1.janvārī</w:t>
            </w:r>
            <w:r w:rsidRPr="00DF6259">
              <w:t>.</w:t>
            </w:r>
          </w:p>
        </w:tc>
      </w:tr>
    </w:tbl>
    <w:p w:rsidR="006C4EB7" w:rsidRPr="00D03392" w:rsidRDefault="006C4EB7">
      <w:pPr>
        <w:rPr>
          <w:highlight w:val="yellow"/>
        </w:rPr>
      </w:pPr>
    </w:p>
    <w:p w:rsidR="00AB4D6E" w:rsidRPr="005D3F71" w:rsidRDefault="00AB4D6E" w:rsidP="00B732EE">
      <w:pPr>
        <w:outlineLvl w:val="0"/>
      </w:pPr>
      <w:r w:rsidRPr="005D3F71">
        <w:rPr>
          <w:b/>
          <w:bCs/>
          <w:szCs w:val="28"/>
        </w:rPr>
        <w:t>Anotācijas</w:t>
      </w:r>
      <w:r w:rsidRPr="005D3F71">
        <w:rPr>
          <w:b/>
          <w:szCs w:val="28"/>
        </w:rPr>
        <w:t xml:space="preserve"> </w:t>
      </w:r>
      <w:r w:rsidRPr="005D3F71">
        <w:rPr>
          <w:b/>
          <w:bCs/>
          <w:szCs w:val="28"/>
        </w:rPr>
        <w:t xml:space="preserve">V. un VI. sadaļa – </w:t>
      </w:r>
      <w:r w:rsidR="00EA0CB5" w:rsidRPr="005D3F71">
        <w:rPr>
          <w:b/>
        </w:rPr>
        <w:t>projekts šo jomu neskar</w:t>
      </w:r>
      <w:r w:rsidRPr="005D3F71">
        <w:rPr>
          <w:b/>
          <w:bCs/>
          <w:szCs w:val="28"/>
        </w:rPr>
        <w:t>.</w:t>
      </w:r>
    </w:p>
    <w:p w:rsidR="000F41F1" w:rsidRPr="00D03392" w:rsidRDefault="000F41F1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75"/>
        <w:gridCol w:w="6345"/>
      </w:tblGrid>
      <w:tr w:rsidR="001F20CA" w:rsidRPr="005D3F71" w:rsidTr="00A83BDB">
        <w:tc>
          <w:tcPr>
            <w:tcW w:w="9288" w:type="dxa"/>
            <w:gridSpan w:val="3"/>
            <w:shd w:val="clear" w:color="auto" w:fill="auto"/>
          </w:tcPr>
          <w:p w:rsidR="001F20CA" w:rsidRPr="005D3F71" w:rsidRDefault="001F20CA" w:rsidP="00A83BDB">
            <w:pPr>
              <w:jc w:val="center"/>
            </w:pPr>
            <w:r w:rsidRPr="005D3F71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1F20CA" w:rsidRPr="005D3F71" w:rsidTr="00C71E48">
        <w:tc>
          <w:tcPr>
            <w:tcW w:w="468" w:type="dxa"/>
            <w:shd w:val="clear" w:color="auto" w:fill="auto"/>
          </w:tcPr>
          <w:p w:rsidR="001F20CA" w:rsidRPr="005D3F71" w:rsidRDefault="001F20CA" w:rsidP="001F20CA">
            <w:pPr>
              <w:pStyle w:val="NormalWeb"/>
            </w:pPr>
            <w:r w:rsidRPr="005D3F71">
              <w:t>1.</w:t>
            </w:r>
          </w:p>
        </w:tc>
        <w:tc>
          <w:tcPr>
            <w:tcW w:w="2475" w:type="dxa"/>
            <w:shd w:val="clear" w:color="auto" w:fill="auto"/>
          </w:tcPr>
          <w:p w:rsidR="001F20CA" w:rsidRPr="005D3F71" w:rsidRDefault="001F20CA" w:rsidP="001F20CA">
            <w:pPr>
              <w:pStyle w:val="NormalWeb"/>
            </w:pPr>
            <w:r w:rsidRPr="005D3F71">
              <w:t>Projekta izpildē iesaistītās institūcijas</w:t>
            </w:r>
          </w:p>
        </w:tc>
        <w:tc>
          <w:tcPr>
            <w:tcW w:w="6345" w:type="dxa"/>
            <w:shd w:val="clear" w:color="auto" w:fill="auto"/>
          </w:tcPr>
          <w:p w:rsidR="001F20CA" w:rsidRPr="005D3F71" w:rsidRDefault="00FA2831" w:rsidP="000535D7">
            <w:pPr>
              <w:pStyle w:val="NormalWeb"/>
              <w:spacing w:before="120" w:beforeAutospacing="0" w:after="120" w:afterAutospacing="0"/>
              <w:jc w:val="both"/>
            </w:pPr>
            <w:r w:rsidRPr="005D3F71">
              <w:t>Ministrijas, centrālās valsts iestādes, pašvaldības, budžeta iestādes, no budžeta daļēji finansēt</w:t>
            </w:r>
            <w:r w:rsidR="00647B63" w:rsidRPr="005D3F71">
              <w:t>as</w:t>
            </w:r>
            <w:r w:rsidRPr="005D3F71">
              <w:t xml:space="preserve"> atvasinātas publiskas personas un budžeta nefinansētas iestādes</w:t>
            </w:r>
            <w:r w:rsidR="004E7916" w:rsidRPr="005D3F71">
              <w:t>, Valsts kase.</w:t>
            </w:r>
          </w:p>
        </w:tc>
      </w:tr>
      <w:tr w:rsidR="001F20CA" w:rsidRPr="005D3F71" w:rsidTr="00C71E48">
        <w:tc>
          <w:tcPr>
            <w:tcW w:w="468" w:type="dxa"/>
            <w:shd w:val="clear" w:color="auto" w:fill="auto"/>
          </w:tcPr>
          <w:p w:rsidR="001F20CA" w:rsidRPr="005D3F71" w:rsidRDefault="001F20CA" w:rsidP="001F20CA">
            <w:pPr>
              <w:pStyle w:val="NormalWeb"/>
            </w:pPr>
            <w:r w:rsidRPr="005D3F71">
              <w:t>2.</w:t>
            </w:r>
          </w:p>
        </w:tc>
        <w:tc>
          <w:tcPr>
            <w:tcW w:w="2475" w:type="dxa"/>
            <w:shd w:val="clear" w:color="auto" w:fill="auto"/>
          </w:tcPr>
          <w:p w:rsidR="001F20CA" w:rsidRPr="005D3F71" w:rsidRDefault="001F20CA" w:rsidP="001F20CA">
            <w:pPr>
              <w:pStyle w:val="NormalWeb"/>
            </w:pPr>
            <w:r w:rsidRPr="005D3F71">
              <w:t>Projekta izpildes ietekme uz pārvaldes funkcijām</w:t>
            </w:r>
          </w:p>
        </w:tc>
        <w:tc>
          <w:tcPr>
            <w:tcW w:w="6345" w:type="dxa"/>
            <w:shd w:val="clear" w:color="auto" w:fill="auto"/>
          </w:tcPr>
          <w:p w:rsidR="001F20CA" w:rsidRPr="005D3F71" w:rsidRDefault="00EA0CB5" w:rsidP="001F20CA">
            <w:pPr>
              <w:pStyle w:val="NormalWeb"/>
            </w:pPr>
            <w:r w:rsidRPr="005D3F71">
              <w:t>Projekts šo jomu neskar</w:t>
            </w:r>
          </w:p>
        </w:tc>
      </w:tr>
      <w:tr w:rsidR="001F20CA" w:rsidRPr="005D3F71" w:rsidTr="00C71E48">
        <w:tc>
          <w:tcPr>
            <w:tcW w:w="468" w:type="dxa"/>
            <w:shd w:val="clear" w:color="auto" w:fill="auto"/>
          </w:tcPr>
          <w:p w:rsidR="001F20CA" w:rsidRPr="005D3F71" w:rsidRDefault="001F20CA" w:rsidP="001F20CA">
            <w:pPr>
              <w:pStyle w:val="NormalWeb"/>
            </w:pPr>
            <w:r w:rsidRPr="005D3F71">
              <w:t>3.</w:t>
            </w:r>
          </w:p>
        </w:tc>
        <w:tc>
          <w:tcPr>
            <w:tcW w:w="2475" w:type="dxa"/>
            <w:shd w:val="clear" w:color="auto" w:fill="auto"/>
          </w:tcPr>
          <w:p w:rsidR="00FA2831" w:rsidRPr="005D3F71" w:rsidRDefault="001F20CA" w:rsidP="00A83BDB">
            <w:pPr>
              <w:pStyle w:val="NormalWeb"/>
              <w:spacing w:before="0" w:beforeAutospacing="0" w:after="0" w:afterAutospacing="0"/>
            </w:pPr>
            <w:r w:rsidRPr="005D3F71">
              <w:t>Projekta izpildes ietekme uz pārvaldes institucionālo struktūru.</w:t>
            </w:r>
          </w:p>
          <w:p w:rsidR="001F20CA" w:rsidRPr="005D3F71" w:rsidRDefault="001F20CA" w:rsidP="00A83BDB">
            <w:pPr>
              <w:pStyle w:val="NormalWeb"/>
              <w:spacing w:before="0" w:beforeAutospacing="0" w:after="0" w:afterAutospacing="0"/>
            </w:pPr>
            <w:r w:rsidRPr="005D3F71">
              <w:t>Jaunu institūciju izveide</w:t>
            </w:r>
          </w:p>
        </w:tc>
        <w:tc>
          <w:tcPr>
            <w:tcW w:w="6345" w:type="dxa"/>
            <w:shd w:val="clear" w:color="auto" w:fill="auto"/>
          </w:tcPr>
          <w:p w:rsidR="001F20CA" w:rsidRPr="005D3F71" w:rsidRDefault="00EA0CB5" w:rsidP="001F20CA">
            <w:pPr>
              <w:pStyle w:val="NormalWeb"/>
            </w:pPr>
            <w:r w:rsidRPr="005D3F71">
              <w:t>Projekts šo jomu neskar</w:t>
            </w:r>
          </w:p>
        </w:tc>
      </w:tr>
      <w:tr w:rsidR="001F20CA" w:rsidRPr="005D3F71" w:rsidTr="00C71E48">
        <w:tc>
          <w:tcPr>
            <w:tcW w:w="468" w:type="dxa"/>
            <w:shd w:val="clear" w:color="auto" w:fill="auto"/>
          </w:tcPr>
          <w:p w:rsidR="001F20CA" w:rsidRPr="005D3F71" w:rsidRDefault="001F20CA" w:rsidP="001F20CA">
            <w:pPr>
              <w:pStyle w:val="NormalWeb"/>
            </w:pPr>
            <w:r w:rsidRPr="005D3F71">
              <w:t>4.</w:t>
            </w:r>
          </w:p>
        </w:tc>
        <w:tc>
          <w:tcPr>
            <w:tcW w:w="2475" w:type="dxa"/>
            <w:shd w:val="clear" w:color="auto" w:fill="auto"/>
          </w:tcPr>
          <w:p w:rsidR="001F20CA" w:rsidRPr="005D3F71" w:rsidRDefault="001F20CA" w:rsidP="00A83BDB">
            <w:pPr>
              <w:pStyle w:val="NormalWeb"/>
              <w:spacing w:before="0" w:beforeAutospacing="0" w:after="0" w:afterAutospacing="0"/>
            </w:pPr>
            <w:r w:rsidRPr="005D3F71">
              <w:t xml:space="preserve">Projekta izpildes ietekme uz pārvaldes institucionālo </w:t>
            </w:r>
            <w:r w:rsidRPr="005D3F71">
              <w:lastRenderedPageBreak/>
              <w:t>struktūru.</w:t>
            </w:r>
          </w:p>
          <w:p w:rsidR="001F20CA" w:rsidRPr="005D3F71" w:rsidRDefault="001F20CA" w:rsidP="00A83BDB">
            <w:pPr>
              <w:pStyle w:val="NormalWeb"/>
              <w:spacing w:before="0" w:beforeAutospacing="0" w:after="0" w:afterAutospacing="0"/>
            </w:pPr>
            <w:r w:rsidRPr="005D3F71">
              <w:t>Esošu institūciju likvidācija</w:t>
            </w:r>
          </w:p>
        </w:tc>
        <w:tc>
          <w:tcPr>
            <w:tcW w:w="6345" w:type="dxa"/>
            <w:shd w:val="clear" w:color="auto" w:fill="auto"/>
          </w:tcPr>
          <w:p w:rsidR="001F20CA" w:rsidRPr="005D3F71" w:rsidRDefault="00EA0CB5" w:rsidP="001F20CA">
            <w:pPr>
              <w:pStyle w:val="NormalWeb"/>
            </w:pPr>
            <w:r w:rsidRPr="005D3F71">
              <w:lastRenderedPageBreak/>
              <w:t>Projekts šo jomu neskar</w:t>
            </w:r>
          </w:p>
        </w:tc>
      </w:tr>
      <w:tr w:rsidR="001F20CA" w:rsidRPr="005D3F71" w:rsidTr="00C71E48">
        <w:tc>
          <w:tcPr>
            <w:tcW w:w="468" w:type="dxa"/>
            <w:shd w:val="clear" w:color="auto" w:fill="auto"/>
          </w:tcPr>
          <w:p w:rsidR="001F20CA" w:rsidRPr="005D3F71" w:rsidRDefault="001F20CA" w:rsidP="001F20CA">
            <w:pPr>
              <w:pStyle w:val="NormalWeb"/>
            </w:pPr>
            <w:r w:rsidRPr="005D3F71">
              <w:lastRenderedPageBreak/>
              <w:t>5.</w:t>
            </w:r>
          </w:p>
        </w:tc>
        <w:tc>
          <w:tcPr>
            <w:tcW w:w="2475" w:type="dxa"/>
            <w:shd w:val="clear" w:color="auto" w:fill="auto"/>
          </w:tcPr>
          <w:p w:rsidR="001F20CA" w:rsidRPr="005D3F71" w:rsidRDefault="001F20CA" w:rsidP="00A83BDB">
            <w:pPr>
              <w:pStyle w:val="NormalWeb"/>
              <w:spacing w:before="0" w:beforeAutospacing="0" w:after="0" w:afterAutospacing="0"/>
            </w:pPr>
            <w:r w:rsidRPr="005D3F71">
              <w:t>Projekta izpildes ietekme uz pārvaldes institucionālo struktūru.</w:t>
            </w:r>
          </w:p>
          <w:p w:rsidR="001F20CA" w:rsidRPr="005D3F71" w:rsidRDefault="001F20CA" w:rsidP="00A83BDB">
            <w:pPr>
              <w:pStyle w:val="NormalWeb"/>
              <w:spacing w:before="0" w:beforeAutospacing="0" w:after="0" w:afterAutospacing="0"/>
            </w:pPr>
            <w:r w:rsidRPr="005D3F71">
              <w:t>Esošu institūciju reorganizācija</w:t>
            </w:r>
          </w:p>
        </w:tc>
        <w:tc>
          <w:tcPr>
            <w:tcW w:w="6345" w:type="dxa"/>
            <w:shd w:val="clear" w:color="auto" w:fill="auto"/>
          </w:tcPr>
          <w:p w:rsidR="001F20CA" w:rsidRPr="005D3F71" w:rsidRDefault="00EA0CB5" w:rsidP="001F20CA">
            <w:pPr>
              <w:pStyle w:val="NormalWeb"/>
            </w:pPr>
            <w:r w:rsidRPr="005D3F71">
              <w:t>Projekts šo jomu neskar</w:t>
            </w:r>
          </w:p>
        </w:tc>
      </w:tr>
      <w:tr w:rsidR="001F20CA" w:rsidRPr="005D3F71" w:rsidTr="00C71E48">
        <w:tc>
          <w:tcPr>
            <w:tcW w:w="468" w:type="dxa"/>
            <w:shd w:val="clear" w:color="auto" w:fill="auto"/>
          </w:tcPr>
          <w:p w:rsidR="001F20CA" w:rsidRPr="005D3F71" w:rsidRDefault="001F20CA" w:rsidP="001F20CA">
            <w:pPr>
              <w:pStyle w:val="NormalWeb"/>
            </w:pPr>
            <w:r w:rsidRPr="005D3F71">
              <w:t>6.</w:t>
            </w:r>
          </w:p>
        </w:tc>
        <w:tc>
          <w:tcPr>
            <w:tcW w:w="2475" w:type="dxa"/>
            <w:shd w:val="clear" w:color="auto" w:fill="auto"/>
          </w:tcPr>
          <w:p w:rsidR="001F20CA" w:rsidRPr="005D3F71" w:rsidRDefault="001F20CA" w:rsidP="00A83BDB">
            <w:pPr>
              <w:pStyle w:val="NormalWeb"/>
              <w:spacing w:before="0" w:beforeAutospacing="0" w:after="0" w:afterAutospacing="0"/>
            </w:pPr>
            <w:r w:rsidRPr="005D3F71">
              <w:t>Cita informācija</w:t>
            </w:r>
          </w:p>
        </w:tc>
        <w:tc>
          <w:tcPr>
            <w:tcW w:w="6345" w:type="dxa"/>
            <w:shd w:val="clear" w:color="auto" w:fill="auto"/>
          </w:tcPr>
          <w:p w:rsidR="001F20CA" w:rsidRPr="005D3F71" w:rsidRDefault="00FA2831" w:rsidP="001F20CA">
            <w:pPr>
              <w:pStyle w:val="NormalWeb"/>
            </w:pPr>
            <w:r w:rsidRPr="005D3F71">
              <w:t>Nav</w:t>
            </w:r>
          </w:p>
        </w:tc>
      </w:tr>
    </w:tbl>
    <w:p w:rsidR="001F20CA" w:rsidRDefault="001F20CA">
      <w:pPr>
        <w:rPr>
          <w:highlight w:val="yellow"/>
        </w:rPr>
      </w:pPr>
    </w:p>
    <w:p w:rsidR="000535D7" w:rsidRPr="00D03392" w:rsidRDefault="000535D7">
      <w:pPr>
        <w:rPr>
          <w:highlight w:val="yellow"/>
        </w:rPr>
      </w:pPr>
    </w:p>
    <w:p w:rsidR="002615B9" w:rsidRPr="00D517A6" w:rsidRDefault="002615B9" w:rsidP="002615B9">
      <w:pPr>
        <w:rPr>
          <w:sz w:val="28"/>
          <w:szCs w:val="28"/>
        </w:rPr>
      </w:pPr>
      <w:r w:rsidRPr="00D517A6">
        <w:rPr>
          <w:sz w:val="28"/>
          <w:szCs w:val="28"/>
        </w:rPr>
        <w:t>Finanšu ministrs</w:t>
      </w:r>
      <w:r w:rsidRPr="00D517A6">
        <w:rPr>
          <w:sz w:val="28"/>
          <w:szCs w:val="28"/>
        </w:rPr>
        <w:tab/>
      </w:r>
      <w:r w:rsidRPr="00D517A6">
        <w:rPr>
          <w:sz w:val="28"/>
          <w:szCs w:val="28"/>
        </w:rPr>
        <w:tab/>
      </w:r>
      <w:r w:rsidRPr="00D517A6">
        <w:rPr>
          <w:sz w:val="28"/>
          <w:szCs w:val="28"/>
        </w:rPr>
        <w:tab/>
      </w:r>
      <w:r w:rsidRPr="00D517A6">
        <w:rPr>
          <w:sz w:val="28"/>
          <w:szCs w:val="28"/>
        </w:rPr>
        <w:tab/>
      </w:r>
      <w:r w:rsidRPr="00D517A6">
        <w:rPr>
          <w:sz w:val="28"/>
          <w:szCs w:val="28"/>
        </w:rPr>
        <w:tab/>
      </w:r>
      <w:r w:rsidRPr="00D517A6">
        <w:rPr>
          <w:sz w:val="28"/>
          <w:szCs w:val="28"/>
        </w:rPr>
        <w:tab/>
      </w:r>
      <w:r w:rsidRPr="00D517A6">
        <w:rPr>
          <w:sz w:val="28"/>
          <w:szCs w:val="28"/>
        </w:rPr>
        <w:tab/>
      </w:r>
      <w:r w:rsidR="00490C73" w:rsidRPr="00D517A6">
        <w:rPr>
          <w:sz w:val="28"/>
          <w:szCs w:val="28"/>
        </w:rPr>
        <w:t>A.Vilks</w:t>
      </w:r>
    </w:p>
    <w:p w:rsidR="00C2501C" w:rsidRDefault="00C2501C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535D7" w:rsidRDefault="000535D7" w:rsidP="002615B9">
      <w:pPr>
        <w:jc w:val="both"/>
        <w:rPr>
          <w:sz w:val="20"/>
          <w:szCs w:val="20"/>
        </w:rPr>
      </w:pPr>
    </w:p>
    <w:p w:rsidR="00081756" w:rsidRDefault="00DF6259" w:rsidP="002615B9">
      <w:pPr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081756">
        <w:rPr>
          <w:sz w:val="20"/>
          <w:szCs w:val="20"/>
        </w:rPr>
        <w:t>.08</w:t>
      </w:r>
      <w:r w:rsidR="00490C73" w:rsidRPr="00D517A6">
        <w:rPr>
          <w:sz w:val="20"/>
          <w:szCs w:val="20"/>
        </w:rPr>
        <w:t xml:space="preserve">.2011.   </w:t>
      </w:r>
      <w:r w:rsidR="00280B9E">
        <w:rPr>
          <w:sz w:val="20"/>
          <w:szCs w:val="20"/>
        </w:rPr>
        <w:t>11:54</w:t>
      </w:r>
      <w:bookmarkStart w:id="0" w:name="_GoBack"/>
      <w:bookmarkEnd w:id="0"/>
    </w:p>
    <w:p w:rsidR="002615B9" w:rsidRPr="00D517A6" w:rsidRDefault="002615B9" w:rsidP="002615B9">
      <w:pPr>
        <w:jc w:val="both"/>
        <w:rPr>
          <w:sz w:val="20"/>
          <w:szCs w:val="20"/>
        </w:rPr>
      </w:pPr>
      <w:r w:rsidRPr="00D517A6">
        <w:rPr>
          <w:sz w:val="20"/>
          <w:szCs w:val="20"/>
        </w:rPr>
        <w:fldChar w:fldCharType="begin"/>
      </w:r>
      <w:r w:rsidRPr="00D517A6">
        <w:rPr>
          <w:sz w:val="20"/>
          <w:szCs w:val="20"/>
        </w:rPr>
        <w:instrText xml:space="preserve"> NUMWORDS  \* MERGEFORMAT </w:instrText>
      </w:r>
      <w:r w:rsidRPr="00D517A6">
        <w:rPr>
          <w:sz w:val="20"/>
          <w:szCs w:val="20"/>
        </w:rPr>
        <w:fldChar w:fldCharType="separate"/>
      </w:r>
      <w:r w:rsidR="00DF6259">
        <w:rPr>
          <w:noProof/>
          <w:sz w:val="20"/>
          <w:szCs w:val="20"/>
        </w:rPr>
        <w:t>780</w:t>
      </w:r>
      <w:r w:rsidRPr="00D517A6">
        <w:rPr>
          <w:sz w:val="20"/>
          <w:szCs w:val="20"/>
        </w:rPr>
        <w:fldChar w:fldCharType="end"/>
      </w:r>
    </w:p>
    <w:p w:rsidR="007001A8" w:rsidRPr="00D517A6" w:rsidRDefault="00DF6259" w:rsidP="007001A8">
      <w:pPr>
        <w:jc w:val="both"/>
      </w:pPr>
      <w:r>
        <w:rPr>
          <w:sz w:val="20"/>
          <w:szCs w:val="20"/>
        </w:rPr>
        <w:t>Lansmane</w:t>
      </w:r>
      <w:r w:rsidR="00C26AD4" w:rsidRPr="00D517A6">
        <w:rPr>
          <w:sz w:val="20"/>
          <w:szCs w:val="20"/>
        </w:rPr>
        <w:t>,</w:t>
      </w:r>
      <w:r w:rsidR="00D517A6">
        <w:rPr>
          <w:sz w:val="20"/>
          <w:szCs w:val="20"/>
        </w:rPr>
        <w:t xml:space="preserve"> </w:t>
      </w:r>
      <w:r w:rsidR="002615B9" w:rsidRPr="00D517A6">
        <w:rPr>
          <w:sz w:val="20"/>
          <w:szCs w:val="20"/>
        </w:rPr>
        <w:t>670942</w:t>
      </w:r>
      <w:r>
        <w:rPr>
          <w:sz w:val="20"/>
          <w:szCs w:val="20"/>
        </w:rPr>
        <w:t>39</w:t>
      </w:r>
    </w:p>
    <w:p w:rsidR="001F20CA" w:rsidRDefault="00DF6259" w:rsidP="00D517A6">
      <w:pPr>
        <w:jc w:val="both"/>
      </w:pPr>
      <w:r>
        <w:rPr>
          <w:sz w:val="20"/>
          <w:szCs w:val="20"/>
        </w:rPr>
        <w:t>Silvija.Lansmane</w:t>
      </w:r>
      <w:r w:rsidR="002615B9" w:rsidRPr="00D517A6">
        <w:rPr>
          <w:sz w:val="20"/>
          <w:szCs w:val="20"/>
        </w:rPr>
        <w:t>@kase.gov.lv</w:t>
      </w:r>
    </w:p>
    <w:sectPr w:rsidR="001F20CA" w:rsidSect="00881AEA">
      <w:headerReference w:type="default" r:id="rId8"/>
      <w:footerReference w:type="default" r:id="rId9"/>
      <w:footerReference w:type="first" r:id="rId10"/>
      <w:pgSz w:w="11906" w:h="16838"/>
      <w:pgMar w:top="1440" w:right="924" w:bottom="136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FB" w:rsidRDefault="008360FB">
      <w:r>
        <w:separator/>
      </w:r>
    </w:p>
  </w:endnote>
  <w:endnote w:type="continuationSeparator" w:id="0">
    <w:p w:rsidR="008360FB" w:rsidRDefault="008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FB" w:rsidRPr="00E6248E" w:rsidRDefault="008360FB" w:rsidP="00E6248E">
    <w:pPr>
      <w:pStyle w:val="Heading4"/>
      <w:jc w:val="both"/>
      <w:rPr>
        <w:b w:val="0"/>
      </w:rPr>
    </w:pPr>
    <w:r w:rsidRPr="00E6248E">
      <w:rPr>
        <w:b w:val="0"/>
      </w:rPr>
      <w:fldChar w:fldCharType="begin"/>
    </w:r>
    <w:r w:rsidRPr="00E6248E">
      <w:rPr>
        <w:b w:val="0"/>
      </w:rPr>
      <w:instrText xml:space="preserve"> FILENAME </w:instrText>
    </w:r>
    <w:r w:rsidRPr="00E6248E">
      <w:rPr>
        <w:b w:val="0"/>
      </w:rPr>
      <w:fldChar w:fldCharType="separate"/>
    </w:r>
    <w:r w:rsidR="00A87EBF">
      <w:rPr>
        <w:b w:val="0"/>
        <w:noProof/>
      </w:rPr>
      <w:t>FMAnot_170811_ceturksnis_prec.docx</w:t>
    </w:r>
    <w:r w:rsidRPr="00E6248E">
      <w:rPr>
        <w:b w:val="0"/>
      </w:rPr>
      <w:fldChar w:fldCharType="end"/>
    </w:r>
    <w:r w:rsidRPr="00E6248E">
      <w:rPr>
        <w:b w:val="0"/>
      </w:rPr>
      <w:t>;</w:t>
    </w:r>
    <w:r>
      <w:t xml:space="preserve"> </w:t>
    </w:r>
    <w:r w:rsidRPr="005D3F71">
      <w:rPr>
        <w:b w:val="0"/>
      </w:rPr>
      <w:t>Ministru kabineta noteikumu projekta „Grozījumi</w:t>
    </w:r>
    <w:r>
      <w:rPr>
        <w:b w:val="0"/>
      </w:rPr>
      <w:t xml:space="preserve"> Ministru kabineta 2010.gada 1.jūnija noteikumos Nr.</w:t>
    </w:r>
    <w:r w:rsidRPr="005D3F71">
      <w:rPr>
        <w:b w:val="0"/>
      </w:rPr>
      <w:t>498 “Ceturkšņa finanšu pārskatu sagatavošanas un iesniegšanas kārtība”” sākotnējās ietekmes novērtējuma ziņojums (anotācija)</w:t>
    </w:r>
  </w:p>
  <w:p w:rsidR="008360FB" w:rsidRDefault="00836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FB" w:rsidRDefault="008360FB" w:rsidP="00B647B8">
    <w:pPr>
      <w:pStyle w:val="Heading4"/>
      <w:jc w:val="both"/>
    </w:pPr>
    <w:r w:rsidRPr="00E6248E">
      <w:rPr>
        <w:b w:val="0"/>
      </w:rPr>
      <w:fldChar w:fldCharType="begin"/>
    </w:r>
    <w:r w:rsidRPr="00E6248E">
      <w:rPr>
        <w:b w:val="0"/>
      </w:rPr>
      <w:instrText xml:space="preserve"> FILENAME </w:instrText>
    </w:r>
    <w:r w:rsidRPr="00E6248E">
      <w:rPr>
        <w:b w:val="0"/>
      </w:rPr>
      <w:fldChar w:fldCharType="separate"/>
    </w:r>
    <w:r w:rsidR="00A87EBF">
      <w:rPr>
        <w:b w:val="0"/>
        <w:noProof/>
      </w:rPr>
      <w:t>FMAnot_170811_ceturksnis_prec.docx</w:t>
    </w:r>
    <w:r w:rsidRPr="00E6248E">
      <w:rPr>
        <w:b w:val="0"/>
      </w:rPr>
      <w:fldChar w:fldCharType="end"/>
    </w:r>
    <w:r w:rsidRPr="00E6248E">
      <w:rPr>
        <w:b w:val="0"/>
      </w:rPr>
      <w:t>;</w:t>
    </w:r>
    <w:r>
      <w:t xml:space="preserve"> </w:t>
    </w:r>
    <w:r w:rsidRPr="005D3F71">
      <w:rPr>
        <w:b w:val="0"/>
      </w:rPr>
      <w:t>Ministru kabineta noteikumu projekta „Grozījumi Ministru kabineta 201</w:t>
    </w:r>
    <w:r>
      <w:rPr>
        <w:b w:val="0"/>
      </w:rPr>
      <w:t>0.gada 1.jūnija noteikumos Nr.</w:t>
    </w:r>
    <w:r w:rsidRPr="005D3F71">
      <w:rPr>
        <w:b w:val="0"/>
      </w:rPr>
      <w:t>498 “Ceturkšņa finanšu pārskatu sagatavošanas un iesniegšanas kārtība””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FB" w:rsidRDefault="008360FB">
      <w:r>
        <w:separator/>
      </w:r>
    </w:p>
  </w:footnote>
  <w:footnote w:type="continuationSeparator" w:id="0">
    <w:p w:rsidR="008360FB" w:rsidRDefault="0083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FB" w:rsidRDefault="008360F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EBF">
      <w:rPr>
        <w:noProof/>
      </w:rPr>
      <w:t>4</w:t>
    </w:r>
    <w:r>
      <w:rPr>
        <w:noProof/>
      </w:rPr>
      <w:fldChar w:fldCharType="end"/>
    </w:r>
  </w:p>
  <w:p w:rsidR="008360FB" w:rsidRDefault="00836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6BDF"/>
    <w:multiLevelType w:val="hybridMultilevel"/>
    <w:tmpl w:val="E7064D88"/>
    <w:lvl w:ilvl="0" w:tplc="09FEC7A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2E266D4"/>
    <w:multiLevelType w:val="hybridMultilevel"/>
    <w:tmpl w:val="7A905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1C97"/>
    <w:multiLevelType w:val="hybridMultilevel"/>
    <w:tmpl w:val="AD96D0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E626D"/>
    <w:multiLevelType w:val="hybridMultilevel"/>
    <w:tmpl w:val="EC727EA2"/>
    <w:lvl w:ilvl="0" w:tplc="AF4459C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34EF0"/>
    <w:multiLevelType w:val="multilevel"/>
    <w:tmpl w:val="1F52D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E216D"/>
    <w:multiLevelType w:val="hybridMultilevel"/>
    <w:tmpl w:val="8F008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C1D27"/>
    <w:multiLevelType w:val="hybridMultilevel"/>
    <w:tmpl w:val="481CD87E"/>
    <w:lvl w:ilvl="0" w:tplc="09FEC7A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2ED353C"/>
    <w:multiLevelType w:val="hybridMultilevel"/>
    <w:tmpl w:val="164CE260"/>
    <w:lvl w:ilvl="0" w:tplc="37D8A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1F1"/>
    <w:rsid w:val="00005FAB"/>
    <w:rsid w:val="000107F7"/>
    <w:rsid w:val="00014EE3"/>
    <w:rsid w:val="00021EE3"/>
    <w:rsid w:val="0004708C"/>
    <w:rsid w:val="000535D7"/>
    <w:rsid w:val="00080DD8"/>
    <w:rsid w:val="00081756"/>
    <w:rsid w:val="000920A0"/>
    <w:rsid w:val="000A6F07"/>
    <w:rsid w:val="000B7D60"/>
    <w:rsid w:val="000D0790"/>
    <w:rsid w:val="000D6368"/>
    <w:rsid w:val="000E3632"/>
    <w:rsid w:val="000E3913"/>
    <w:rsid w:val="000F41F1"/>
    <w:rsid w:val="00142349"/>
    <w:rsid w:val="0016166B"/>
    <w:rsid w:val="001654D7"/>
    <w:rsid w:val="00181B0B"/>
    <w:rsid w:val="001A1572"/>
    <w:rsid w:val="001C3AEC"/>
    <w:rsid w:val="001D044F"/>
    <w:rsid w:val="001E2463"/>
    <w:rsid w:val="001E50B7"/>
    <w:rsid w:val="001F20CA"/>
    <w:rsid w:val="0020242D"/>
    <w:rsid w:val="00213F58"/>
    <w:rsid w:val="002262E6"/>
    <w:rsid w:val="00231B96"/>
    <w:rsid w:val="002372C0"/>
    <w:rsid w:val="0023783C"/>
    <w:rsid w:val="002401F6"/>
    <w:rsid w:val="002615B9"/>
    <w:rsid w:val="00263511"/>
    <w:rsid w:val="002655FF"/>
    <w:rsid w:val="00280B9E"/>
    <w:rsid w:val="0028562E"/>
    <w:rsid w:val="00291E4E"/>
    <w:rsid w:val="002A063E"/>
    <w:rsid w:val="002B292D"/>
    <w:rsid w:val="002C3C1C"/>
    <w:rsid w:val="002D2AE4"/>
    <w:rsid w:val="002D6E3B"/>
    <w:rsid w:val="002E15E6"/>
    <w:rsid w:val="002F4193"/>
    <w:rsid w:val="003264CC"/>
    <w:rsid w:val="00393820"/>
    <w:rsid w:val="00397982"/>
    <w:rsid w:val="003A0DF9"/>
    <w:rsid w:val="003A1038"/>
    <w:rsid w:val="003A77D3"/>
    <w:rsid w:val="003B4DEB"/>
    <w:rsid w:val="003D2104"/>
    <w:rsid w:val="003D7712"/>
    <w:rsid w:val="003E186B"/>
    <w:rsid w:val="003F1668"/>
    <w:rsid w:val="00427D02"/>
    <w:rsid w:val="0043641D"/>
    <w:rsid w:val="004436C9"/>
    <w:rsid w:val="00456733"/>
    <w:rsid w:val="004715E3"/>
    <w:rsid w:val="00472BB8"/>
    <w:rsid w:val="00490C73"/>
    <w:rsid w:val="004A21A7"/>
    <w:rsid w:val="004B326F"/>
    <w:rsid w:val="004B4278"/>
    <w:rsid w:val="004C5F7E"/>
    <w:rsid w:val="004C7A53"/>
    <w:rsid w:val="004D0247"/>
    <w:rsid w:val="004D62D7"/>
    <w:rsid w:val="004E3E7C"/>
    <w:rsid w:val="004E7916"/>
    <w:rsid w:val="00507951"/>
    <w:rsid w:val="00510E72"/>
    <w:rsid w:val="005142CA"/>
    <w:rsid w:val="005327C9"/>
    <w:rsid w:val="005451EC"/>
    <w:rsid w:val="00550066"/>
    <w:rsid w:val="005504A6"/>
    <w:rsid w:val="00567244"/>
    <w:rsid w:val="00592E18"/>
    <w:rsid w:val="005975A6"/>
    <w:rsid w:val="00597C7D"/>
    <w:rsid w:val="005A2AA1"/>
    <w:rsid w:val="005B701F"/>
    <w:rsid w:val="005C25E1"/>
    <w:rsid w:val="005D39F1"/>
    <w:rsid w:val="005D3DF0"/>
    <w:rsid w:val="005D3F71"/>
    <w:rsid w:val="00604B95"/>
    <w:rsid w:val="00642EC3"/>
    <w:rsid w:val="00647B63"/>
    <w:rsid w:val="006853AF"/>
    <w:rsid w:val="006B715D"/>
    <w:rsid w:val="006C4EB7"/>
    <w:rsid w:val="006E36EF"/>
    <w:rsid w:val="007001A8"/>
    <w:rsid w:val="00714B7B"/>
    <w:rsid w:val="0071565B"/>
    <w:rsid w:val="00740252"/>
    <w:rsid w:val="00743811"/>
    <w:rsid w:val="00743F6F"/>
    <w:rsid w:val="007469E9"/>
    <w:rsid w:val="00747976"/>
    <w:rsid w:val="007552E1"/>
    <w:rsid w:val="00764153"/>
    <w:rsid w:val="00773FCD"/>
    <w:rsid w:val="00785F18"/>
    <w:rsid w:val="007A1D05"/>
    <w:rsid w:val="007A793E"/>
    <w:rsid w:val="007B18F2"/>
    <w:rsid w:val="007B7093"/>
    <w:rsid w:val="007C0A0B"/>
    <w:rsid w:val="007C7228"/>
    <w:rsid w:val="007E5EEE"/>
    <w:rsid w:val="007E76B3"/>
    <w:rsid w:val="007F6937"/>
    <w:rsid w:val="00810163"/>
    <w:rsid w:val="008177DF"/>
    <w:rsid w:val="00817B0C"/>
    <w:rsid w:val="00825CEA"/>
    <w:rsid w:val="008302F5"/>
    <w:rsid w:val="00832D84"/>
    <w:rsid w:val="008360FB"/>
    <w:rsid w:val="0085084B"/>
    <w:rsid w:val="008526DE"/>
    <w:rsid w:val="0085566B"/>
    <w:rsid w:val="00876F3B"/>
    <w:rsid w:val="0088049F"/>
    <w:rsid w:val="00881AEA"/>
    <w:rsid w:val="00885901"/>
    <w:rsid w:val="008D3883"/>
    <w:rsid w:val="008E0BF1"/>
    <w:rsid w:val="008E52AF"/>
    <w:rsid w:val="008E5666"/>
    <w:rsid w:val="00915234"/>
    <w:rsid w:val="00930702"/>
    <w:rsid w:val="00936117"/>
    <w:rsid w:val="009453D3"/>
    <w:rsid w:val="00947179"/>
    <w:rsid w:val="00951AD3"/>
    <w:rsid w:val="009605AE"/>
    <w:rsid w:val="0096473B"/>
    <w:rsid w:val="0099003C"/>
    <w:rsid w:val="009917D0"/>
    <w:rsid w:val="009A0134"/>
    <w:rsid w:val="009A1A8F"/>
    <w:rsid w:val="009A57D4"/>
    <w:rsid w:val="009B2A59"/>
    <w:rsid w:val="009B3BAC"/>
    <w:rsid w:val="009C5883"/>
    <w:rsid w:val="009D71FA"/>
    <w:rsid w:val="009E4A9C"/>
    <w:rsid w:val="009F02E0"/>
    <w:rsid w:val="009F14B5"/>
    <w:rsid w:val="009F790B"/>
    <w:rsid w:val="00A06BB9"/>
    <w:rsid w:val="00A61BE6"/>
    <w:rsid w:val="00A61FC9"/>
    <w:rsid w:val="00A75F6A"/>
    <w:rsid w:val="00A83BDB"/>
    <w:rsid w:val="00A87532"/>
    <w:rsid w:val="00A87EBF"/>
    <w:rsid w:val="00AA46F7"/>
    <w:rsid w:val="00AB4D6E"/>
    <w:rsid w:val="00AE638F"/>
    <w:rsid w:val="00B0703D"/>
    <w:rsid w:val="00B25CA3"/>
    <w:rsid w:val="00B31CF9"/>
    <w:rsid w:val="00B47991"/>
    <w:rsid w:val="00B52870"/>
    <w:rsid w:val="00B55FA0"/>
    <w:rsid w:val="00B647B8"/>
    <w:rsid w:val="00B64E2F"/>
    <w:rsid w:val="00B65C64"/>
    <w:rsid w:val="00B732EE"/>
    <w:rsid w:val="00BB6DD2"/>
    <w:rsid w:val="00BB6E5A"/>
    <w:rsid w:val="00BC481A"/>
    <w:rsid w:val="00C07AF1"/>
    <w:rsid w:val="00C1566C"/>
    <w:rsid w:val="00C2501C"/>
    <w:rsid w:val="00C26AD4"/>
    <w:rsid w:val="00C305DA"/>
    <w:rsid w:val="00C46972"/>
    <w:rsid w:val="00C57654"/>
    <w:rsid w:val="00C57DEE"/>
    <w:rsid w:val="00C71E48"/>
    <w:rsid w:val="00CA61EB"/>
    <w:rsid w:val="00CC7CB9"/>
    <w:rsid w:val="00CF709E"/>
    <w:rsid w:val="00D02C6A"/>
    <w:rsid w:val="00D03392"/>
    <w:rsid w:val="00D036CC"/>
    <w:rsid w:val="00D16713"/>
    <w:rsid w:val="00D171D2"/>
    <w:rsid w:val="00D249E8"/>
    <w:rsid w:val="00D303AF"/>
    <w:rsid w:val="00D517A6"/>
    <w:rsid w:val="00D604A9"/>
    <w:rsid w:val="00D6469B"/>
    <w:rsid w:val="00D66D88"/>
    <w:rsid w:val="00DB1158"/>
    <w:rsid w:val="00DC4745"/>
    <w:rsid w:val="00DF204D"/>
    <w:rsid w:val="00DF6259"/>
    <w:rsid w:val="00E13838"/>
    <w:rsid w:val="00E3493D"/>
    <w:rsid w:val="00E349A2"/>
    <w:rsid w:val="00E40A27"/>
    <w:rsid w:val="00E44C52"/>
    <w:rsid w:val="00E45EFB"/>
    <w:rsid w:val="00E6248E"/>
    <w:rsid w:val="00E64C93"/>
    <w:rsid w:val="00E70800"/>
    <w:rsid w:val="00E85D02"/>
    <w:rsid w:val="00EA0CB5"/>
    <w:rsid w:val="00EA7059"/>
    <w:rsid w:val="00EA7EC9"/>
    <w:rsid w:val="00EC68B0"/>
    <w:rsid w:val="00EE133F"/>
    <w:rsid w:val="00EF16F8"/>
    <w:rsid w:val="00EF172F"/>
    <w:rsid w:val="00F14086"/>
    <w:rsid w:val="00F446DE"/>
    <w:rsid w:val="00F6114D"/>
    <w:rsid w:val="00F63281"/>
    <w:rsid w:val="00F778B2"/>
    <w:rsid w:val="00F96B4D"/>
    <w:rsid w:val="00FA0DDD"/>
    <w:rsid w:val="00FA2831"/>
    <w:rsid w:val="00FA7716"/>
    <w:rsid w:val="00FB0185"/>
    <w:rsid w:val="00FB788E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0F4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0F41F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1F1"/>
    <w:rPr>
      <w:color w:val="0000FF"/>
      <w:u w:val="single"/>
    </w:rPr>
  </w:style>
  <w:style w:type="paragraph" w:styleId="NormalWeb">
    <w:name w:val="Normal (Web)"/>
    <w:basedOn w:val="Normal"/>
    <w:rsid w:val="000F41F1"/>
    <w:pPr>
      <w:spacing w:before="100" w:beforeAutospacing="1" w:after="100" w:afterAutospacing="1"/>
    </w:pPr>
  </w:style>
  <w:style w:type="table" w:styleId="TableGrid">
    <w:name w:val="Table Grid"/>
    <w:basedOn w:val="TableNormal"/>
    <w:rsid w:val="006C4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85D02"/>
    <w:pPr>
      <w:ind w:firstLine="720"/>
    </w:pPr>
    <w:rPr>
      <w:sz w:val="28"/>
      <w:lang w:eastAsia="en-US"/>
    </w:rPr>
  </w:style>
  <w:style w:type="character" w:styleId="CommentReference">
    <w:name w:val="annotation reference"/>
    <w:semiHidden/>
    <w:rsid w:val="00D02C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2C6A"/>
    <w:rPr>
      <w:sz w:val="20"/>
      <w:szCs w:val="20"/>
    </w:rPr>
  </w:style>
  <w:style w:type="paragraph" w:styleId="BalloonText">
    <w:name w:val="Balloon Text"/>
    <w:basedOn w:val="Normal"/>
    <w:semiHidden/>
    <w:rsid w:val="00D02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24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48E"/>
    <w:pPr>
      <w:tabs>
        <w:tab w:val="center" w:pos="4153"/>
        <w:tab w:val="right" w:pos="8306"/>
      </w:tabs>
    </w:pPr>
  </w:style>
  <w:style w:type="paragraph" w:customStyle="1" w:styleId="xl36">
    <w:name w:val="xl36"/>
    <w:basedOn w:val="Normal"/>
    <w:rsid w:val="002615B9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46F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A46F7"/>
  </w:style>
  <w:style w:type="character" w:customStyle="1" w:styleId="CommentSubjectChar">
    <w:name w:val="Comment Subject Char"/>
    <w:link w:val="CommentSubject"/>
    <w:rsid w:val="00AA46F7"/>
    <w:rPr>
      <w:b/>
      <w:bCs/>
    </w:rPr>
  </w:style>
  <w:style w:type="character" w:customStyle="1" w:styleId="HeaderChar">
    <w:name w:val="Header Char"/>
    <w:link w:val="Header"/>
    <w:uiPriority w:val="99"/>
    <w:rsid w:val="00EA0C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4085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2010.gada 1. jūnija noteikumos Nr.498 “Ceturkšņa finanšu pārskatu sagatavošanas un iesniegšanas kārtība”” sākotnējās ietekmes novērtējuma ziņojums (anotācija)</vt:lpstr>
    </vt:vector>
  </TitlesOfParts>
  <Company>Valsts kase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1. jūnija noteikumos Nr.498 “Ceturkšņa finanšu pārskatu sagatavošanas un iesniegšanas kārtība”” sākotnējās ietekmes novērtējuma ziņojums (anotācija)</dc:title>
  <dc:subject>Anotācija</dc:subject>
  <dc:creator>Ligita Agleniece</dc:creator>
  <cp:keywords/>
  <dc:description>Ligita.agleniece@kase.gov.lv; 67094249
Inese.Sirbu@kase.gov.lv; 67094257</dc:description>
  <cp:lastModifiedBy>Silvija Lansmane</cp:lastModifiedBy>
  <cp:revision>5</cp:revision>
  <cp:lastPrinted>2011-08-17T08:54:00Z</cp:lastPrinted>
  <dcterms:created xsi:type="dcterms:W3CDTF">2011-08-12T13:19:00Z</dcterms:created>
  <dcterms:modified xsi:type="dcterms:W3CDTF">2011-08-17T08:54:00Z</dcterms:modified>
</cp:coreProperties>
</file>