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1D166B" w:rsidRDefault="00FC5263" w:rsidP="001D166B">
      <w:pPr>
        <w:pStyle w:val="naislab"/>
        <w:spacing w:before="0" w:after="0"/>
        <w:jc w:val="center"/>
        <w:rPr>
          <w:sz w:val="28"/>
          <w:szCs w:val="28"/>
        </w:rPr>
      </w:pPr>
      <w:r>
        <w:rPr>
          <w:b/>
          <w:sz w:val="28"/>
          <w:szCs w:val="28"/>
        </w:rPr>
        <w:t>Noteikumu projekta "</w:t>
      </w:r>
      <w:r w:rsidR="005F3ADF" w:rsidRPr="005F3ADF">
        <w:rPr>
          <w:b/>
          <w:sz w:val="28"/>
          <w:szCs w:val="28"/>
        </w:rPr>
        <w:t>Grozījums Ministru kabineta 2013.gada 3.janvāra noteikumos Nr.16 "Kārtība, kādā noslēdzama nodokļu maksātāja un nodokļu administrācijas iepriekšēja vienošanās par tirgus cenas (vērtības) noteikšanu darījumam vai darījumu veidam"</w:t>
      </w:r>
      <w:r>
        <w:rPr>
          <w:b/>
          <w:sz w:val="28"/>
          <w:szCs w:val="28"/>
        </w:rPr>
        <w:t xml:space="preserve">" </w:t>
      </w:r>
      <w:r w:rsidR="00852042" w:rsidRPr="007C0F2C">
        <w:rPr>
          <w:b/>
          <w:sz w:val="28"/>
          <w:szCs w:val="28"/>
        </w:rPr>
        <w:t>sākotnējā</w:t>
      </w:r>
      <w:r w:rsidR="002D3306" w:rsidRPr="007C0F2C">
        <w:rPr>
          <w:b/>
          <w:sz w:val="28"/>
          <w:szCs w:val="28"/>
        </w:rPr>
        <w:t>s</w:t>
      </w:r>
      <w:r w:rsidR="00852042" w:rsidRPr="007C0F2C">
        <w:rPr>
          <w:b/>
          <w:sz w:val="28"/>
          <w:szCs w:val="28"/>
        </w:rPr>
        <w:t xml:space="preserve">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026"/>
      </w:tblGrid>
      <w:tr w:rsidR="00852042" w:rsidRPr="007C0F2C">
        <w:tc>
          <w:tcPr>
            <w:tcW w:w="9725" w:type="dxa"/>
            <w:gridSpan w:val="3"/>
            <w:vAlign w:val="center"/>
          </w:tcPr>
          <w:p w:rsidR="00852042" w:rsidRPr="007C0F2C" w:rsidRDefault="00852042" w:rsidP="006C4607">
            <w:pPr>
              <w:pStyle w:val="naisnod"/>
              <w:spacing w:before="0" w:after="0"/>
            </w:pPr>
            <w:r w:rsidRPr="007C0F2C">
              <w:t>I</w:t>
            </w:r>
            <w:r w:rsidR="000941C5" w:rsidRPr="007C0F2C">
              <w:t>.</w:t>
            </w:r>
            <w:r w:rsidRPr="007C0F2C">
              <w:t xml:space="preserve"> Tiesību akta </w:t>
            </w:r>
            <w:r w:rsidR="002E3FF4" w:rsidRPr="007C0F2C">
              <w:t xml:space="preserve">projekta </w:t>
            </w:r>
            <w:r w:rsidRPr="007C0F2C">
              <w:t>izstrādes nepieciešamība</w:t>
            </w:r>
          </w:p>
        </w:tc>
      </w:tr>
      <w:tr w:rsidR="00262E2B" w:rsidRPr="007C0F2C" w:rsidTr="00AD104F">
        <w:trPr>
          <w:trHeight w:val="267"/>
        </w:trPr>
        <w:tc>
          <w:tcPr>
            <w:tcW w:w="550" w:type="dxa"/>
          </w:tcPr>
          <w:p w:rsidR="00262E2B" w:rsidRPr="00E253EB" w:rsidRDefault="00262E2B" w:rsidP="006C4607">
            <w:pPr>
              <w:pStyle w:val="naiskr"/>
              <w:spacing w:before="0" w:after="0"/>
            </w:pPr>
            <w:r w:rsidRPr="00E253EB">
              <w:t>1.</w:t>
            </w:r>
          </w:p>
        </w:tc>
        <w:tc>
          <w:tcPr>
            <w:tcW w:w="2149" w:type="dxa"/>
          </w:tcPr>
          <w:p w:rsidR="00262E2B" w:rsidRPr="00E253EB" w:rsidRDefault="002D7F54" w:rsidP="006C4607">
            <w:pPr>
              <w:pStyle w:val="naiskr"/>
              <w:spacing w:before="0" w:after="0"/>
              <w:ind w:hanging="10"/>
            </w:pPr>
            <w:r w:rsidRPr="00E253EB">
              <w:t>Pamatojums</w:t>
            </w:r>
          </w:p>
        </w:tc>
        <w:tc>
          <w:tcPr>
            <w:tcW w:w="7026" w:type="dxa"/>
          </w:tcPr>
          <w:p w:rsidR="004056ED" w:rsidRPr="004C49D2" w:rsidRDefault="00165B11" w:rsidP="00FC5263">
            <w:pPr>
              <w:pStyle w:val="naiskr"/>
              <w:spacing w:before="0" w:after="0"/>
              <w:ind w:hanging="5"/>
              <w:jc w:val="both"/>
            </w:pPr>
            <w:proofErr w:type="spellStart"/>
            <w:r w:rsidRPr="00165B11">
              <w:rPr>
                <w:i/>
              </w:rPr>
              <w:t>Euro</w:t>
            </w:r>
            <w:proofErr w:type="spellEnd"/>
            <w:r>
              <w:t xml:space="preserve"> ieviešanas kārtības likuma 30.panta pirmā daļa</w:t>
            </w:r>
            <w:r w:rsidR="003807FF">
              <w:t>.</w:t>
            </w:r>
          </w:p>
        </w:tc>
      </w:tr>
      <w:tr w:rsidR="00262E2B" w:rsidRPr="007C0F2C" w:rsidTr="00AD104F">
        <w:trPr>
          <w:trHeight w:val="472"/>
        </w:trPr>
        <w:tc>
          <w:tcPr>
            <w:tcW w:w="550" w:type="dxa"/>
          </w:tcPr>
          <w:p w:rsidR="00262E2B" w:rsidRPr="00E253EB" w:rsidRDefault="00262E2B" w:rsidP="006C4607">
            <w:pPr>
              <w:pStyle w:val="naiskr"/>
              <w:spacing w:before="0" w:after="0"/>
            </w:pPr>
            <w:r w:rsidRPr="00E253EB">
              <w:t>2.</w:t>
            </w:r>
          </w:p>
        </w:tc>
        <w:tc>
          <w:tcPr>
            <w:tcW w:w="2149" w:type="dxa"/>
          </w:tcPr>
          <w:p w:rsidR="00262E2B" w:rsidRPr="00E253EB" w:rsidRDefault="00262E2B" w:rsidP="006C4607">
            <w:pPr>
              <w:pStyle w:val="naiskr"/>
              <w:tabs>
                <w:tab w:val="left" w:pos="170"/>
              </w:tabs>
              <w:spacing w:before="0" w:after="0"/>
            </w:pPr>
            <w:r w:rsidRPr="00E253EB">
              <w:t>Pašreizējā situācija</w:t>
            </w:r>
            <w:r w:rsidR="001F5CD6" w:rsidRPr="00E253EB">
              <w:t xml:space="preserve"> un problēmas</w:t>
            </w:r>
          </w:p>
        </w:tc>
        <w:tc>
          <w:tcPr>
            <w:tcW w:w="7026" w:type="dxa"/>
          </w:tcPr>
          <w:p w:rsidR="005F3ADF" w:rsidRDefault="00035DDF" w:rsidP="003807FF">
            <w:pPr>
              <w:jc w:val="both"/>
              <w:rPr>
                <w:sz w:val="23"/>
                <w:szCs w:val="23"/>
              </w:rPr>
            </w:pPr>
            <w:r>
              <w:rPr>
                <w:sz w:val="23"/>
                <w:szCs w:val="23"/>
              </w:rPr>
              <w:t xml:space="preserve">Šobrīd </w:t>
            </w:r>
            <w:r w:rsidR="002C1663" w:rsidRPr="002C1663">
              <w:rPr>
                <w:sz w:val="23"/>
                <w:szCs w:val="23"/>
              </w:rPr>
              <w:t xml:space="preserve">Ministru kabineta </w:t>
            </w:r>
            <w:r w:rsidR="005F3ADF">
              <w:rPr>
                <w:sz w:val="23"/>
                <w:szCs w:val="23"/>
              </w:rPr>
              <w:t>2013.gada 3.janvāra noteikumu</w:t>
            </w:r>
            <w:r w:rsidR="005F3ADF">
              <w:t xml:space="preserve"> </w:t>
            </w:r>
            <w:r w:rsidR="005F3ADF" w:rsidRPr="005F3ADF">
              <w:rPr>
                <w:sz w:val="23"/>
                <w:szCs w:val="23"/>
              </w:rPr>
              <w:t>Nr.16 "Kārtība, kādā noslēdzama nodokļu maksātāja un nodokļu administrācijas iepriekšēja vienošanās par tirgus cenas (vērtības) noteikšanu darījumam vai darījumu veidam"</w:t>
            </w:r>
            <w:r w:rsidR="005F3ADF">
              <w:rPr>
                <w:sz w:val="23"/>
                <w:szCs w:val="23"/>
              </w:rPr>
              <w:t>14.punktā norādītā maksa par iepriekšējas vienošanās noslēgšanu ir noteikta latos.</w:t>
            </w:r>
            <w:r w:rsidR="005F3ADF" w:rsidRPr="00F46758">
              <w:rPr>
                <w:bCs/>
              </w:rPr>
              <w:t xml:space="preserve"> Deklarācijas par Valda Dombrovska vadītā Ministru kabineta iecerēto darbību II sadaļas 1.punkts paredz, ka Latvija plāno iekļauties </w:t>
            </w:r>
            <w:proofErr w:type="spellStart"/>
            <w:r w:rsidR="005F3ADF" w:rsidRPr="00283255">
              <w:rPr>
                <w:bCs/>
                <w:i/>
              </w:rPr>
              <w:t>e</w:t>
            </w:r>
            <w:r w:rsidR="005F3ADF">
              <w:rPr>
                <w:bCs/>
                <w:i/>
              </w:rPr>
              <w:t>u</w:t>
            </w:r>
            <w:r w:rsidR="005F3ADF" w:rsidRPr="00283255">
              <w:rPr>
                <w:bCs/>
                <w:i/>
              </w:rPr>
              <w:t>ro</w:t>
            </w:r>
            <w:proofErr w:type="spellEnd"/>
            <w:r w:rsidR="005F3ADF" w:rsidRPr="00F46758">
              <w:rPr>
                <w:bCs/>
              </w:rPr>
              <w:t xml:space="preserve"> zonā jau 2014.gadā</w:t>
            </w:r>
            <w:r w:rsidR="005F3ADF">
              <w:rPr>
                <w:bCs/>
              </w:rPr>
              <w:t xml:space="preserve">. Ņemot vērā, ka pēc iestāšanās </w:t>
            </w:r>
            <w:proofErr w:type="spellStart"/>
            <w:r w:rsidR="005F3ADF" w:rsidRPr="00035DDF">
              <w:rPr>
                <w:bCs/>
                <w:i/>
              </w:rPr>
              <w:t>euro</w:t>
            </w:r>
            <w:proofErr w:type="spellEnd"/>
            <w:r w:rsidR="005F3ADF">
              <w:rPr>
                <w:bCs/>
              </w:rPr>
              <w:t xml:space="preserve"> zonā, likumīgais maksāšanas līdzeklis būs nevis lats, bet </w:t>
            </w:r>
            <w:proofErr w:type="spellStart"/>
            <w:r w:rsidR="005F3ADF" w:rsidRPr="00A5226A">
              <w:rPr>
                <w:bCs/>
                <w:i/>
              </w:rPr>
              <w:t>euro</w:t>
            </w:r>
            <w:proofErr w:type="spellEnd"/>
            <w:r w:rsidR="005F3ADF">
              <w:rPr>
                <w:bCs/>
              </w:rPr>
              <w:t xml:space="preserve">, ir nepieciešams nodrošināt tiesību aktu pielāgošanu </w:t>
            </w:r>
            <w:proofErr w:type="spellStart"/>
            <w:r w:rsidR="005F3ADF" w:rsidRPr="00A5226A">
              <w:rPr>
                <w:bCs/>
                <w:i/>
              </w:rPr>
              <w:t>euro</w:t>
            </w:r>
            <w:proofErr w:type="spellEnd"/>
            <w:r w:rsidR="005F3ADF">
              <w:rPr>
                <w:bCs/>
              </w:rPr>
              <w:t xml:space="preserve"> ieviešanai Latvijā, tai skaitā izdarot grozījumus 16.noteikumos.</w:t>
            </w:r>
          </w:p>
          <w:p w:rsidR="004056ED" w:rsidRPr="00E253EB" w:rsidRDefault="004056ED" w:rsidP="005F3ADF">
            <w:pPr>
              <w:jc w:val="both"/>
            </w:pPr>
          </w:p>
        </w:tc>
      </w:tr>
      <w:tr w:rsidR="00262E2B" w:rsidRPr="007C0F2C" w:rsidTr="00AD104F">
        <w:trPr>
          <w:trHeight w:val="742"/>
        </w:trPr>
        <w:tc>
          <w:tcPr>
            <w:tcW w:w="550" w:type="dxa"/>
          </w:tcPr>
          <w:p w:rsidR="00262E2B" w:rsidRPr="00E253EB" w:rsidRDefault="00262E2B" w:rsidP="006C4607">
            <w:pPr>
              <w:pStyle w:val="naiskr"/>
              <w:spacing w:before="0" w:after="0"/>
            </w:pPr>
            <w:r w:rsidRPr="00E253EB">
              <w:t>3.</w:t>
            </w:r>
          </w:p>
        </w:tc>
        <w:tc>
          <w:tcPr>
            <w:tcW w:w="2149" w:type="dxa"/>
          </w:tcPr>
          <w:p w:rsidR="00262E2B" w:rsidRPr="00E253EB" w:rsidRDefault="00420870" w:rsidP="006C4607">
            <w:pPr>
              <w:pStyle w:val="naiskr"/>
              <w:spacing w:before="0" w:after="0"/>
            </w:pPr>
            <w:r w:rsidRPr="00E253EB">
              <w:t>S</w:t>
            </w:r>
            <w:r w:rsidR="000B69CF" w:rsidRPr="00E253EB">
              <w:t xml:space="preserve">aistītie </w:t>
            </w:r>
            <w:r w:rsidR="001A6AE4" w:rsidRPr="00E253EB">
              <w:t>politikas ietekmes novērtējumi</w:t>
            </w:r>
            <w:r w:rsidR="00CB0247" w:rsidRPr="00E253EB">
              <w:t xml:space="preserve"> un</w:t>
            </w:r>
            <w:r w:rsidR="001A6AE4" w:rsidRPr="00E253EB">
              <w:t xml:space="preserve"> </w:t>
            </w:r>
            <w:r w:rsidR="000B69CF" w:rsidRPr="00E253EB">
              <w:t>pētījumi</w:t>
            </w:r>
          </w:p>
        </w:tc>
        <w:tc>
          <w:tcPr>
            <w:tcW w:w="7026" w:type="dxa"/>
          </w:tcPr>
          <w:p w:rsidR="00D20FF4" w:rsidRPr="00E253EB" w:rsidRDefault="00890442" w:rsidP="006C4607">
            <w:pPr>
              <w:pStyle w:val="FootnoteText"/>
              <w:rPr>
                <w:sz w:val="24"/>
                <w:szCs w:val="24"/>
              </w:rPr>
            </w:pPr>
            <w:r>
              <w:rPr>
                <w:sz w:val="24"/>
                <w:szCs w:val="24"/>
              </w:rPr>
              <w:t>Projekts šo jomu neskar</w:t>
            </w:r>
            <w:r w:rsidR="002B0982">
              <w:rPr>
                <w:sz w:val="24"/>
                <w:szCs w:val="24"/>
              </w:rPr>
              <w:t>.</w:t>
            </w:r>
          </w:p>
        </w:tc>
      </w:tr>
      <w:tr w:rsidR="00262E2B" w:rsidRPr="007C0F2C" w:rsidTr="00AD104F">
        <w:trPr>
          <w:trHeight w:val="384"/>
        </w:trPr>
        <w:tc>
          <w:tcPr>
            <w:tcW w:w="550" w:type="dxa"/>
          </w:tcPr>
          <w:p w:rsidR="00262E2B" w:rsidRPr="00E253EB" w:rsidRDefault="00262E2B" w:rsidP="006C4607">
            <w:pPr>
              <w:pStyle w:val="naiskr"/>
              <w:spacing w:before="0" w:after="0"/>
            </w:pPr>
            <w:r w:rsidRPr="00E253EB">
              <w:t>4.</w:t>
            </w:r>
          </w:p>
        </w:tc>
        <w:tc>
          <w:tcPr>
            <w:tcW w:w="2149" w:type="dxa"/>
          </w:tcPr>
          <w:p w:rsidR="00262E2B" w:rsidRPr="00E253EB" w:rsidRDefault="000C790C" w:rsidP="006C4607">
            <w:pPr>
              <w:pStyle w:val="naiskr"/>
              <w:spacing w:before="0" w:after="0"/>
            </w:pPr>
            <w:r w:rsidRPr="00E253EB">
              <w:t>Tiesiskā r</w:t>
            </w:r>
            <w:r w:rsidR="00400032" w:rsidRPr="00E253EB">
              <w:t xml:space="preserve">egulējuma </w:t>
            </w:r>
            <w:r w:rsidR="00262E2B" w:rsidRPr="00E253EB">
              <w:t>mērķis un būtība</w:t>
            </w:r>
          </w:p>
        </w:tc>
        <w:tc>
          <w:tcPr>
            <w:tcW w:w="7026" w:type="dxa"/>
          </w:tcPr>
          <w:p w:rsidR="00035DDF" w:rsidRDefault="00977037" w:rsidP="00035DDF">
            <w:pPr>
              <w:pStyle w:val="Nobeigums"/>
              <w:jc w:val="both"/>
              <w:rPr>
                <w:iCs/>
                <w:szCs w:val="24"/>
                <w:lang w:val="lv-LV"/>
              </w:rPr>
            </w:pPr>
            <w:r>
              <w:rPr>
                <w:iCs/>
                <w:szCs w:val="24"/>
                <w:lang w:val="lv-LV"/>
              </w:rPr>
              <w:t>Noteikumu projekts</w:t>
            </w:r>
            <w:r w:rsidR="00035DDF">
              <w:rPr>
                <w:iCs/>
                <w:szCs w:val="24"/>
                <w:lang w:val="lv-LV"/>
              </w:rPr>
              <w:t xml:space="preserve"> paredz veikt tehniskos precizējumus, lai nodrošinātu, ka </w:t>
            </w:r>
            <w:r w:rsidR="005F3ADF">
              <w:rPr>
                <w:iCs/>
                <w:szCs w:val="24"/>
                <w:lang w:val="lv-LV"/>
              </w:rPr>
              <w:t>16</w:t>
            </w:r>
            <w:r>
              <w:rPr>
                <w:iCs/>
                <w:szCs w:val="24"/>
                <w:lang w:val="lv-LV"/>
              </w:rPr>
              <w:t>.noteikumi</w:t>
            </w:r>
            <w:r w:rsidR="00035DDF">
              <w:rPr>
                <w:iCs/>
                <w:szCs w:val="24"/>
                <w:lang w:val="lv-LV"/>
              </w:rPr>
              <w:t xml:space="preserve"> nesatur atsauci uz latiem, kā arī, ņemot vērā oficiālo maiņas kursu, izteikt </w:t>
            </w:r>
            <w:proofErr w:type="spellStart"/>
            <w:r w:rsidR="00035DDF" w:rsidRPr="00457561">
              <w:rPr>
                <w:i/>
                <w:iCs/>
                <w:szCs w:val="24"/>
                <w:lang w:val="lv-LV"/>
              </w:rPr>
              <w:t>euro</w:t>
            </w:r>
            <w:proofErr w:type="spellEnd"/>
            <w:r w:rsidR="00035DDF">
              <w:rPr>
                <w:iCs/>
                <w:szCs w:val="24"/>
                <w:lang w:val="lv-LV"/>
              </w:rPr>
              <w:t xml:space="preserve"> tās summas, kas šobrīd </w:t>
            </w:r>
            <w:r w:rsidR="005F3ADF">
              <w:rPr>
                <w:iCs/>
                <w:szCs w:val="24"/>
                <w:lang w:val="lv-LV"/>
              </w:rPr>
              <w:t>16</w:t>
            </w:r>
            <w:r>
              <w:rPr>
                <w:iCs/>
                <w:szCs w:val="24"/>
                <w:lang w:val="lv-LV"/>
              </w:rPr>
              <w:t>.noteikumos</w:t>
            </w:r>
            <w:r w:rsidR="00035DDF">
              <w:rPr>
                <w:iCs/>
                <w:szCs w:val="24"/>
                <w:lang w:val="lv-LV"/>
              </w:rPr>
              <w:t xml:space="preserve"> ir noteiktas latos. </w:t>
            </w:r>
          </w:p>
          <w:p w:rsidR="00035DDF" w:rsidRDefault="00035DDF" w:rsidP="00035DDF">
            <w:pPr>
              <w:pStyle w:val="tv2131"/>
              <w:spacing w:before="0" w:line="240" w:lineRule="auto"/>
              <w:rPr>
                <w:rFonts w:ascii="Times New Roman" w:hAnsi="Times New Roman"/>
                <w:iCs/>
                <w:sz w:val="24"/>
                <w:szCs w:val="24"/>
              </w:rPr>
            </w:pPr>
            <w:r w:rsidRPr="00035DDF">
              <w:rPr>
                <w:rFonts w:ascii="Times New Roman" w:hAnsi="Times New Roman"/>
                <w:iCs/>
                <w:sz w:val="24"/>
                <w:szCs w:val="24"/>
              </w:rPr>
              <w:t xml:space="preserve">Atbilstoši </w:t>
            </w:r>
            <w:proofErr w:type="spellStart"/>
            <w:r w:rsidRPr="00035DDF">
              <w:rPr>
                <w:rFonts w:ascii="Times New Roman" w:hAnsi="Times New Roman"/>
                <w:i/>
                <w:iCs/>
                <w:sz w:val="24"/>
                <w:szCs w:val="24"/>
              </w:rPr>
              <w:t>Euro</w:t>
            </w:r>
            <w:proofErr w:type="spellEnd"/>
            <w:r w:rsidRPr="00035DDF">
              <w:rPr>
                <w:rFonts w:ascii="Times New Roman" w:hAnsi="Times New Roman"/>
                <w:iCs/>
                <w:sz w:val="24"/>
                <w:szCs w:val="24"/>
              </w:rPr>
              <w:t xml:space="preserve"> ieviešanas kārtības likuma 32.panta otrās daļas 2.punktam tiesību normā skaitlisko vērtību, ar kuru tiek aizstāts lats, var noapaļot uz augšu vai leju ar precizitāti, kas nav mazāka par noapaļošanas precizitāti skaitliskajai vērtībai latos, ja tiek ievēroti abi šajā punktā norādītie nosacījumi: </w:t>
            </w:r>
          </w:p>
          <w:p w:rsidR="00035DDF" w:rsidRDefault="00035DDF" w:rsidP="00035DDF">
            <w:pPr>
              <w:pStyle w:val="tv2131"/>
              <w:spacing w:before="0" w:line="240" w:lineRule="auto"/>
              <w:rPr>
                <w:rFonts w:ascii="Times New Roman" w:hAnsi="Times New Roman"/>
                <w:sz w:val="24"/>
                <w:szCs w:val="24"/>
              </w:rPr>
            </w:pPr>
            <w:r w:rsidRPr="00035DDF">
              <w:rPr>
                <w:rFonts w:ascii="Times New Roman" w:hAnsi="Times New Roman"/>
                <w:sz w:val="24"/>
                <w:szCs w:val="24"/>
              </w:rPr>
              <w:t xml:space="preserve">a) tiesību norma, kurā skaitliskā vērtība tiek izteikta </w:t>
            </w:r>
            <w:proofErr w:type="spellStart"/>
            <w:r w:rsidRPr="00035DDF">
              <w:rPr>
                <w:rFonts w:ascii="Times New Roman" w:hAnsi="Times New Roman"/>
                <w:i/>
                <w:iCs/>
                <w:sz w:val="24"/>
                <w:szCs w:val="24"/>
              </w:rPr>
              <w:t>euro</w:t>
            </w:r>
            <w:proofErr w:type="spellEnd"/>
            <w:r w:rsidRPr="00035DDF">
              <w:rPr>
                <w:rFonts w:ascii="Times New Roman" w:hAnsi="Times New Roman"/>
                <w:sz w:val="24"/>
                <w:szCs w:val="24"/>
              </w:rPr>
              <w:t xml:space="preserve">, nav personai nelabvēlīgāka par sākotnējo tiesību normu, kurā skaitliskā vērtība ir izteikta latos. Šo nosacījumu var nepiemērot tām tiesību normām, kuras nosaka soda naudas un naudas soda apmēru vai soda naudas un naudas soda apmēra intervālus un kurās tiek grozīta skaitliskā vērtība latos uz skaitlisko vērtību </w:t>
            </w:r>
            <w:proofErr w:type="spellStart"/>
            <w:r w:rsidRPr="00035DDF">
              <w:rPr>
                <w:rFonts w:ascii="Times New Roman" w:hAnsi="Times New Roman"/>
                <w:i/>
                <w:iCs/>
                <w:sz w:val="24"/>
                <w:szCs w:val="24"/>
              </w:rPr>
              <w:t>euro</w:t>
            </w:r>
            <w:proofErr w:type="spellEnd"/>
            <w:r w:rsidRPr="00035DDF">
              <w:rPr>
                <w:rFonts w:ascii="Times New Roman" w:hAnsi="Times New Roman"/>
                <w:sz w:val="24"/>
                <w:szCs w:val="24"/>
              </w:rPr>
              <w:t>,</w:t>
            </w:r>
          </w:p>
          <w:p w:rsidR="00035DDF" w:rsidRDefault="00035DDF" w:rsidP="00035DDF">
            <w:pPr>
              <w:pStyle w:val="tv2131"/>
              <w:spacing w:before="0" w:line="240" w:lineRule="auto"/>
              <w:rPr>
                <w:rFonts w:ascii="Times New Roman" w:hAnsi="Times New Roman"/>
                <w:sz w:val="24"/>
                <w:szCs w:val="24"/>
              </w:rPr>
            </w:pPr>
            <w:r w:rsidRPr="00035DDF">
              <w:rPr>
                <w:rFonts w:ascii="Times New Roman" w:hAnsi="Times New Roman"/>
                <w:sz w:val="24"/>
                <w:szCs w:val="24"/>
              </w:rPr>
              <w:t xml:space="preserve">b) tiesību normā skaitliskās vērtības latos aizstāšana ar skaitlisko vērtību </w:t>
            </w:r>
            <w:proofErr w:type="spellStart"/>
            <w:r w:rsidRPr="00035DDF">
              <w:rPr>
                <w:rFonts w:ascii="Times New Roman" w:hAnsi="Times New Roman"/>
                <w:i/>
                <w:iCs/>
                <w:sz w:val="24"/>
                <w:szCs w:val="24"/>
              </w:rPr>
              <w:t>euro</w:t>
            </w:r>
            <w:proofErr w:type="spellEnd"/>
            <w:r w:rsidRPr="00035DDF">
              <w:rPr>
                <w:rFonts w:ascii="Times New Roman" w:hAnsi="Times New Roman"/>
                <w:sz w:val="24"/>
                <w:szCs w:val="24"/>
              </w:rPr>
              <w:t xml:space="preserve"> nerada vērā ņemamu negatīvu ietekmi uz valsts budžetu.</w:t>
            </w:r>
          </w:p>
          <w:p w:rsidR="00F1231C" w:rsidRDefault="00422593" w:rsidP="00035DDF">
            <w:pPr>
              <w:pStyle w:val="tv2131"/>
              <w:spacing w:before="0" w:line="240" w:lineRule="auto"/>
              <w:rPr>
                <w:rFonts w:ascii="Times New Roman" w:hAnsi="Times New Roman"/>
                <w:sz w:val="24"/>
                <w:szCs w:val="24"/>
              </w:rPr>
            </w:pPr>
            <w:r>
              <w:rPr>
                <w:rFonts w:ascii="Times New Roman" w:hAnsi="Times New Roman"/>
                <w:sz w:val="24"/>
                <w:szCs w:val="24"/>
              </w:rPr>
              <w:t>16</w:t>
            </w:r>
            <w:r w:rsidR="00977037">
              <w:rPr>
                <w:rFonts w:ascii="Times New Roman" w:hAnsi="Times New Roman"/>
                <w:sz w:val="24"/>
                <w:szCs w:val="24"/>
              </w:rPr>
              <w:t>.noteikumos</w:t>
            </w:r>
            <w:r w:rsidR="00D22B0E">
              <w:rPr>
                <w:rFonts w:ascii="Times New Roman" w:hAnsi="Times New Roman"/>
                <w:sz w:val="24"/>
                <w:szCs w:val="24"/>
              </w:rPr>
              <w:t xml:space="preserve"> </w:t>
            </w:r>
            <w:r>
              <w:rPr>
                <w:rFonts w:ascii="Times New Roman" w:hAnsi="Times New Roman"/>
                <w:sz w:val="24"/>
                <w:szCs w:val="24"/>
              </w:rPr>
              <w:t>norādītajai summai</w:t>
            </w:r>
            <w:r w:rsidR="00F1231C">
              <w:rPr>
                <w:rFonts w:ascii="Times New Roman" w:hAnsi="Times New Roman"/>
                <w:sz w:val="24"/>
                <w:szCs w:val="24"/>
              </w:rPr>
              <w:t xml:space="preserve"> nav</w:t>
            </w:r>
            <w:r w:rsidR="009058E2">
              <w:rPr>
                <w:rFonts w:ascii="Times New Roman" w:hAnsi="Times New Roman"/>
                <w:sz w:val="24"/>
                <w:szCs w:val="24"/>
              </w:rPr>
              <w:t xml:space="preserve"> vērā ņemamās</w:t>
            </w:r>
            <w:r w:rsidR="00F1231C">
              <w:rPr>
                <w:rFonts w:ascii="Times New Roman" w:hAnsi="Times New Roman"/>
                <w:sz w:val="24"/>
                <w:szCs w:val="24"/>
              </w:rPr>
              <w:t xml:space="preserve"> fiskālās ietekmes, savukārt </w:t>
            </w:r>
            <w:r w:rsidR="000F1982">
              <w:rPr>
                <w:rFonts w:ascii="Times New Roman" w:hAnsi="Times New Roman"/>
                <w:sz w:val="24"/>
                <w:szCs w:val="24"/>
              </w:rPr>
              <w:t>to</w:t>
            </w:r>
            <w:r w:rsidR="00F1231C">
              <w:rPr>
                <w:rFonts w:ascii="Times New Roman" w:hAnsi="Times New Roman"/>
                <w:sz w:val="24"/>
                <w:szCs w:val="24"/>
              </w:rPr>
              <w:t xml:space="preserve"> atbilstība pirmajam nosacījumam tiks analizēta turpmāk</w:t>
            </w:r>
            <w:r w:rsidR="00BD4D26">
              <w:rPr>
                <w:rFonts w:ascii="Times New Roman" w:hAnsi="Times New Roman"/>
                <w:sz w:val="24"/>
                <w:szCs w:val="24"/>
              </w:rPr>
              <w:t xml:space="preserve">, vērtējot </w:t>
            </w:r>
            <w:r w:rsidR="00F77511">
              <w:rPr>
                <w:rFonts w:ascii="Times New Roman" w:hAnsi="Times New Roman"/>
                <w:sz w:val="24"/>
                <w:szCs w:val="24"/>
              </w:rPr>
              <w:t xml:space="preserve">katra grozījuma </w:t>
            </w:r>
            <w:r w:rsidR="00BD4D26">
              <w:rPr>
                <w:rFonts w:ascii="Times New Roman" w:hAnsi="Times New Roman"/>
                <w:sz w:val="24"/>
                <w:szCs w:val="24"/>
              </w:rPr>
              <w:t xml:space="preserve">ietekmi attiecībā </w:t>
            </w:r>
            <w:r w:rsidR="009058E2">
              <w:rPr>
                <w:rFonts w:ascii="Times New Roman" w:hAnsi="Times New Roman"/>
                <w:sz w:val="24"/>
                <w:szCs w:val="24"/>
              </w:rPr>
              <w:t>uz nodokļu maksātājiem</w:t>
            </w:r>
            <w:r w:rsidR="00F1231C">
              <w:rPr>
                <w:rFonts w:ascii="Times New Roman" w:hAnsi="Times New Roman"/>
                <w:sz w:val="24"/>
                <w:szCs w:val="24"/>
              </w:rPr>
              <w:t>.</w:t>
            </w:r>
          </w:p>
          <w:p w:rsidR="00EA6362" w:rsidRDefault="00EA6362" w:rsidP="00035DDF">
            <w:pPr>
              <w:pStyle w:val="Nobeigums"/>
              <w:jc w:val="both"/>
              <w:rPr>
                <w:iCs/>
                <w:szCs w:val="24"/>
                <w:u w:val="single"/>
                <w:lang w:val="lv-LV"/>
              </w:rPr>
            </w:pPr>
          </w:p>
          <w:p w:rsidR="009058E2" w:rsidRDefault="00EA4F15" w:rsidP="00035DDF">
            <w:pPr>
              <w:pStyle w:val="Nobeigums"/>
              <w:jc w:val="both"/>
              <w:rPr>
                <w:iCs/>
                <w:szCs w:val="24"/>
                <w:lang w:val="lv-LV"/>
              </w:rPr>
            </w:pPr>
            <w:r>
              <w:rPr>
                <w:iCs/>
                <w:szCs w:val="24"/>
                <w:u w:val="single"/>
                <w:lang w:val="lv-LV"/>
              </w:rPr>
              <w:t>Noteikumu projekta</w:t>
            </w:r>
            <w:r w:rsidR="00BE1763">
              <w:rPr>
                <w:iCs/>
                <w:szCs w:val="24"/>
                <w:u w:val="single"/>
                <w:lang w:val="lv-LV"/>
              </w:rPr>
              <w:t xml:space="preserve"> </w:t>
            </w:r>
            <w:r w:rsidR="00035DDF">
              <w:rPr>
                <w:iCs/>
                <w:szCs w:val="24"/>
                <w:u w:val="single"/>
                <w:lang w:val="lv-LV"/>
              </w:rPr>
              <w:t>paredz</w:t>
            </w:r>
            <w:r w:rsidR="000D7C3C" w:rsidRPr="000D7C3C">
              <w:rPr>
                <w:iCs/>
                <w:szCs w:val="24"/>
                <w:lang w:val="lv-LV"/>
              </w:rPr>
              <w:t xml:space="preserve"> </w:t>
            </w:r>
            <w:r w:rsidR="005F3ADF">
              <w:rPr>
                <w:iCs/>
                <w:szCs w:val="24"/>
                <w:lang w:val="lv-LV"/>
              </w:rPr>
              <w:t xml:space="preserve">izteikt 14.punktā norādīto summu par iepriekšējo vienošanos noslēgšanu </w:t>
            </w:r>
            <w:proofErr w:type="spellStart"/>
            <w:r w:rsidR="005F3ADF">
              <w:rPr>
                <w:iCs/>
                <w:szCs w:val="24"/>
                <w:lang w:val="lv-LV"/>
              </w:rPr>
              <w:t>euro</w:t>
            </w:r>
            <w:proofErr w:type="spellEnd"/>
            <w:r w:rsidR="009058E2">
              <w:rPr>
                <w:iCs/>
                <w:szCs w:val="24"/>
                <w:lang w:val="lv-LV"/>
              </w:rPr>
              <w:t>.</w:t>
            </w:r>
          </w:p>
          <w:p w:rsidR="00EA4F15" w:rsidRDefault="005F3ADF" w:rsidP="00EA4F15">
            <w:pPr>
              <w:pStyle w:val="Nobeigums"/>
              <w:numPr>
                <w:ilvl w:val="0"/>
                <w:numId w:val="15"/>
              </w:numPr>
              <w:tabs>
                <w:tab w:val="left" w:pos="459"/>
              </w:tabs>
              <w:jc w:val="both"/>
              <w:rPr>
                <w:iCs/>
                <w:szCs w:val="24"/>
                <w:lang w:val="lv-LV"/>
              </w:rPr>
            </w:pPr>
            <w:r>
              <w:rPr>
                <w:b/>
                <w:iCs/>
                <w:szCs w:val="24"/>
                <w:lang w:val="lv-LV"/>
              </w:rPr>
              <w:t>5 000</w:t>
            </w:r>
            <w:r w:rsidR="00EA4F15" w:rsidRPr="00410C61">
              <w:rPr>
                <w:b/>
                <w:iCs/>
                <w:szCs w:val="24"/>
                <w:lang w:val="lv-LV"/>
              </w:rPr>
              <w:t xml:space="preserve"> lat</w:t>
            </w:r>
            <w:r w:rsidR="00EA4F15">
              <w:rPr>
                <w:b/>
                <w:iCs/>
                <w:szCs w:val="24"/>
                <w:lang w:val="lv-LV"/>
              </w:rPr>
              <w:t>i</w:t>
            </w:r>
            <w:r w:rsidR="00EA4F15" w:rsidRPr="00410C61">
              <w:rPr>
                <w:b/>
                <w:iCs/>
                <w:szCs w:val="24"/>
                <w:lang w:val="lv-LV"/>
              </w:rPr>
              <w:t xml:space="preserve"> tiek izteikti kā </w:t>
            </w:r>
            <w:r>
              <w:rPr>
                <w:b/>
                <w:iCs/>
                <w:szCs w:val="24"/>
                <w:lang w:val="lv-LV"/>
              </w:rPr>
              <w:t>7114</w:t>
            </w:r>
            <w:r w:rsidR="00EA4F15">
              <w:rPr>
                <w:b/>
                <w:iCs/>
                <w:szCs w:val="24"/>
                <w:lang w:val="lv-LV"/>
              </w:rPr>
              <w:t xml:space="preserve"> </w:t>
            </w:r>
            <w:proofErr w:type="spellStart"/>
            <w:r w:rsidR="00EA4F15" w:rsidRPr="00F77222">
              <w:rPr>
                <w:b/>
                <w:i/>
                <w:iCs/>
                <w:szCs w:val="24"/>
                <w:lang w:val="lv-LV"/>
              </w:rPr>
              <w:t>euro</w:t>
            </w:r>
            <w:proofErr w:type="spellEnd"/>
            <w:r w:rsidR="00EA4F15" w:rsidRPr="00F77222">
              <w:rPr>
                <w:b/>
                <w:i/>
                <w:iCs/>
                <w:szCs w:val="24"/>
                <w:lang w:val="lv-LV"/>
              </w:rPr>
              <w:t xml:space="preserve"> </w:t>
            </w:r>
            <w:r w:rsidR="00EA4F15" w:rsidRPr="00410C61">
              <w:rPr>
                <w:b/>
                <w:iCs/>
                <w:szCs w:val="24"/>
                <w:lang w:val="lv-LV"/>
              </w:rPr>
              <w:t>(</w:t>
            </w:r>
            <w:r>
              <w:rPr>
                <w:b/>
                <w:iCs/>
                <w:szCs w:val="24"/>
                <w:lang w:val="lv-LV"/>
              </w:rPr>
              <w:t>7114</w:t>
            </w:r>
            <w:r w:rsidR="00EA4F15">
              <w:rPr>
                <w:b/>
                <w:iCs/>
                <w:szCs w:val="24"/>
                <w:lang w:val="lv-LV"/>
              </w:rPr>
              <w:t>,</w:t>
            </w:r>
            <w:r>
              <w:rPr>
                <w:b/>
                <w:iCs/>
                <w:szCs w:val="24"/>
                <w:lang w:val="lv-LV"/>
              </w:rPr>
              <w:t>36</w:t>
            </w:r>
            <w:r w:rsidR="00EA4F15">
              <w:rPr>
                <w:b/>
                <w:iCs/>
                <w:szCs w:val="24"/>
                <w:lang w:val="lv-LV"/>
              </w:rPr>
              <w:t xml:space="preserve"> </w:t>
            </w:r>
            <w:proofErr w:type="spellStart"/>
            <w:r w:rsidR="00EA4F15" w:rsidRPr="00F77222">
              <w:rPr>
                <w:b/>
                <w:i/>
                <w:iCs/>
                <w:szCs w:val="24"/>
                <w:lang w:val="lv-LV"/>
              </w:rPr>
              <w:t>euro</w:t>
            </w:r>
            <w:proofErr w:type="spellEnd"/>
            <w:r w:rsidR="00EA4F15" w:rsidRPr="00410C61">
              <w:rPr>
                <w:b/>
                <w:iCs/>
                <w:szCs w:val="24"/>
                <w:lang w:val="lv-LV"/>
              </w:rPr>
              <w:t>)</w:t>
            </w:r>
            <w:r w:rsidR="00EA4F15">
              <w:rPr>
                <w:iCs/>
                <w:szCs w:val="24"/>
                <w:lang w:val="lv-LV"/>
              </w:rPr>
              <w:t>.</w:t>
            </w:r>
          </w:p>
          <w:p w:rsidR="00EA4F15" w:rsidRDefault="00EA4F15" w:rsidP="00035DDF">
            <w:pPr>
              <w:pStyle w:val="Nobeigums"/>
              <w:jc w:val="both"/>
              <w:rPr>
                <w:iCs/>
                <w:szCs w:val="24"/>
                <w:lang w:val="lv-LV"/>
              </w:rPr>
            </w:pPr>
            <w:r>
              <w:rPr>
                <w:iCs/>
                <w:szCs w:val="24"/>
                <w:lang w:val="lv-LV"/>
              </w:rPr>
              <w:t xml:space="preserve">Noapaļojot summu līdz </w:t>
            </w:r>
            <w:r w:rsidR="005F3ADF">
              <w:rPr>
                <w:iCs/>
                <w:szCs w:val="24"/>
                <w:lang w:val="lv-LV"/>
              </w:rPr>
              <w:t>7114</w:t>
            </w:r>
            <w:r>
              <w:rPr>
                <w:iCs/>
                <w:szCs w:val="24"/>
                <w:lang w:val="lv-LV"/>
              </w:rPr>
              <w:t xml:space="preserve"> </w:t>
            </w:r>
            <w:proofErr w:type="spellStart"/>
            <w:r>
              <w:rPr>
                <w:iCs/>
                <w:szCs w:val="24"/>
                <w:lang w:val="lv-LV"/>
              </w:rPr>
              <w:t>euro</w:t>
            </w:r>
            <w:proofErr w:type="spellEnd"/>
            <w:r>
              <w:rPr>
                <w:iCs/>
                <w:szCs w:val="24"/>
                <w:lang w:val="lv-LV"/>
              </w:rPr>
              <w:t xml:space="preserve"> un salīdzinot ar esošo summu latos, paredzētie grozījumi to </w:t>
            </w:r>
            <w:r w:rsidR="005F3ADF">
              <w:rPr>
                <w:iCs/>
                <w:szCs w:val="24"/>
                <w:lang w:val="lv-LV"/>
              </w:rPr>
              <w:t>samazina</w:t>
            </w:r>
            <w:r>
              <w:rPr>
                <w:iCs/>
                <w:szCs w:val="24"/>
                <w:lang w:val="lv-LV"/>
              </w:rPr>
              <w:t xml:space="preserve"> par </w:t>
            </w:r>
            <w:r w:rsidR="005F3ADF">
              <w:rPr>
                <w:iCs/>
                <w:szCs w:val="24"/>
                <w:lang w:val="lv-LV"/>
              </w:rPr>
              <w:t>0</w:t>
            </w:r>
            <w:r>
              <w:rPr>
                <w:iCs/>
                <w:szCs w:val="24"/>
                <w:lang w:val="lv-LV"/>
              </w:rPr>
              <w:t>,</w:t>
            </w:r>
            <w:r w:rsidR="005F3ADF">
              <w:rPr>
                <w:iCs/>
                <w:szCs w:val="24"/>
                <w:lang w:val="lv-LV"/>
              </w:rPr>
              <w:t>36</w:t>
            </w:r>
            <w:r>
              <w:rPr>
                <w:iCs/>
                <w:szCs w:val="24"/>
                <w:lang w:val="lv-LV"/>
              </w:rPr>
              <w:t xml:space="preserve"> </w:t>
            </w:r>
            <w:proofErr w:type="spellStart"/>
            <w:r>
              <w:rPr>
                <w:iCs/>
                <w:szCs w:val="24"/>
                <w:lang w:val="lv-LV"/>
              </w:rPr>
              <w:t>euro</w:t>
            </w:r>
            <w:proofErr w:type="spellEnd"/>
            <w:r w:rsidR="00916198">
              <w:rPr>
                <w:iCs/>
                <w:szCs w:val="24"/>
                <w:lang w:val="lv-LV"/>
              </w:rPr>
              <w:t xml:space="preserve">. Tādējādi grozījumam ir </w:t>
            </w:r>
            <w:r w:rsidR="00916198">
              <w:rPr>
                <w:iCs/>
                <w:szCs w:val="24"/>
                <w:lang w:val="lv-LV"/>
              </w:rPr>
              <w:lastRenderedPageBreak/>
              <w:t>labvēlīga ietekme uz nodokļu maksātāju.</w:t>
            </w:r>
          </w:p>
          <w:p w:rsidR="000C6DD5" w:rsidRPr="00A1367E" w:rsidRDefault="000C6DD5" w:rsidP="005F3ADF">
            <w:pPr>
              <w:pStyle w:val="Nobeigums"/>
              <w:jc w:val="both"/>
              <w:rPr>
                <w:lang w:val="lv-LV"/>
              </w:rPr>
            </w:pPr>
          </w:p>
        </w:tc>
      </w:tr>
      <w:tr w:rsidR="00262E2B" w:rsidRPr="007C0F2C" w:rsidTr="00AD104F">
        <w:trPr>
          <w:trHeight w:val="476"/>
        </w:trPr>
        <w:tc>
          <w:tcPr>
            <w:tcW w:w="550" w:type="dxa"/>
          </w:tcPr>
          <w:p w:rsidR="00262E2B" w:rsidRPr="00E253EB" w:rsidRDefault="00262E2B" w:rsidP="006C4607">
            <w:pPr>
              <w:pStyle w:val="naiskr"/>
              <w:spacing w:before="0" w:after="0"/>
            </w:pPr>
            <w:r w:rsidRPr="00E253EB">
              <w:lastRenderedPageBreak/>
              <w:t>5.</w:t>
            </w:r>
          </w:p>
        </w:tc>
        <w:tc>
          <w:tcPr>
            <w:tcW w:w="2149" w:type="dxa"/>
          </w:tcPr>
          <w:p w:rsidR="00262E2B" w:rsidRPr="00E253EB" w:rsidRDefault="001A4066" w:rsidP="006C4607">
            <w:pPr>
              <w:pStyle w:val="naiskr"/>
              <w:spacing w:before="0" w:after="0"/>
            </w:pPr>
            <w:r w:rsidRPr="00E253EB">
              <w:t>Projekta i</w:t>
            </w:r>
            <w:r w:rsidR="00262E2B" w:rsidRPr="00E253EB">
              <w:t>zstrād</w:t>
            </w:r>
            <w:r w:rsidR="00420870" w:rsidRPr="00E253EB">
              <w:t xml:space="preserve">ē </w:t>
            </w:r>
            <w:r w:rsidR="00262E2B" w:rsidRPr="00E253EB">
              <w:t>iesaistītās institūcijas</w:t>
            </w:r>
          </w:p>
        </w:tc>
        <w:tc>
          <w:tcPr>
            <w:tcW w:w="7026" w:type="dxa"/>
          </w:tcPr>
          <w:p w:rsidR="009C5659" w:rsidRPr="00E253EB" w:rsidRDefault="003A75C0" w:rsidP="003A75C0">
            <w:pPr>
              <w:pStyle w:val="naiskr"/>
              <w:spacing w:before="0" w:after="0"/>
              <w:contextualSpacing/>
              <w:jc w:val="both"/>
            </w:pPr>
            <w:r>
              <w:t>Finanšu ministrija</w:t>
            </w:r>
            <w:r w:rsidR="00015213" w:rsidRPr="007E46EB">
              <w:t>.</w:t>
            </w:r>
          </w:p>
        </w:tc>
      </w:tr>
      <w:tr w:rsidR="00262E2B" w:rsidRPr="007C0F2C" w:rsidTr="00AD104F">
        <w:trPr>
          <w:trHeight w:val="871"/>
        </w:trPr>
        <w:tc>
          <w:tcPr>
            <w:tcW w:w="550" w:type="dxa"/>
          </w:tcPr>
          <w:p w:rsidR="00262E2B" w:rsidRPr="00E253EB" w:rsidRDefault="00262E2B" w:rsidP="006C4607">
            <w:pPr>
              <w:pStyle w:val="naiskr"/>
              <w:spacing w:before="0" w:after="0"/>
            </w:pPr>
            <w:r w:rsidRPr="00E253EB">
              <w:t>6.</w:t>
            </w:r>
          </w:p>
        </w:tc>
        <w:tc>
          <w:tcPr>
            <w:tcW w:w="2149" w:type="dxa"/>
          </w:tcPr>
          <w:p w:rsidR="00262E2B" w:rsidRPr="00E253EB" w:rsidRDefault="00BB7C94" w:rsidP="006C4607">
            <w:pPr>
              <w:pStyle w:val="naiskr"/>
              <w:spacing w:before="0" w:after="0"/>
              <w:rPr>
                <w:i/>
                <w:highlight w:val="yellow"/>
              </w:rPr>
            </w:pPr>
            <w:r w:rsidRPr="00E253EB">
              <w:t xml:space="preserve">Iemesli, kādēļ netika nodrošināta </w:t>
            </w:r>
            <w:r w:rsidR="00262E2B" w:rsidRPr="00E253EB">
              <w:t xml:space="preserve">sabiedrības </w:t>
            </w:r>
            <w:r w:rsidRPr="00E253EB">
              <w:t>līdzdalība</w:t>
            </w:r>
          </w:p>
        </w:tc>
        <w:tc>
          <w:tcPr>
            <w:tcW w:w="7026" w:type="dxa"/>
          </w:tcPr>
          <w:p w:rsidR="00D20FF4" w:rsidRPr="00E253EB" w:rsidRDefault="00B61E4D" w:rsidP="00B61E4D">
            <w:pPr>
              <w:pStyle w:val="FootnoteText"/>
              <w:rPr>
                <w:sz w:val="24"/>
                <w:szCs w:val="24"/>
              </w:rPr>
            </w:pPr>
            <w:r>
              <w:rPr>
                <w:sz w:val="24"/>
                <w:szCs w:val="24"/>
              </w:rPr>
              <w:t xml:space="preserve">Sabiedrības līdzdalība netika nodrošināta, jo projekts ir tehniska rakstura un ietilpst vienotā </w:t>
            </w:r>
            <w:proofErr w:type="spellStart"/>
            <w:r w:rsidRPr="00B61E4D">
              <w:rPr>
                <w:i/>
                <w:sz w:val="24"/>
                <w:szCs w:val="24"/>
              </w:rPr>
              <w:t>euro</w:t>
            </w:r>
            <w:proofErr w:type="spellEnd"/>
            <w:r>
              <w:rPr>
                <w:sz w:val="24"/>
                <w:szCs w:val="24"/>
              </w:rPr>
              <w:t xml:space="preserve"> ieviešanas likumprojektu paketē.</w:t>
            </w:r>
          </w:p>
        </w:tc>
      </w:tr>
      <w:tr w:rsidR="00262E2B" w:rsidRPr="007C0F2C" w:rsidTr="00AD104F">
        <w:tc>
          <w:tcPr>
            <w:tcW w:w="550" w:type="dxa"/>
          </w:tcPr>
          <w:p w:rsidR="00262E2B" w:rsidRPr="00E253EB" w:rsidRDefault="00262E2B" w:rsidP="006C4607">
            <w:pPr>
              <w:pStyle w:val="naiskr"/>
              <w:spacing w:before="0" w:after="0"/>
            </w:pPr>
            <w:r w:rsidRPr="00E253EB">
              <w:t>7.</w:t>
            </w:r>
          </w:p>
        </w:tc>
        <w:tc>
          <w:tcPr>
            <w:tcW w:w="2149" w:type="dxa"/>
          </w:tcPr>
          <w:p w:rsidR="00262E2B" w:rsidRPr="00E253EB" w:rsidRDefault="00262E2B" w:rsidP="006C4607">
            <w:pPr>
              <w:pStyle w:val="naiskr"/>
              <w:spacing w:before="0" w:after="0"/>
            </w:pPr>
            <w:r w:rsidRPr="00E253EB">
              <w:t>Cita informācija</w:t>
            </w:r>
          </w:p>
        </w:tc>
        <w:tc>
          <w:tcPr>
            <w:tcW w:w="7026" w:type="dxa"/>
          </w:tcPr>
          <w:p w:rsidR="00262E2B" w:rsidRPr="00E253EB" w:rsidRDefault="00070D7A" w:rsidP="006C4607">
            <w:pPr>
              <w:pStyle w:val="naiskr"/>
              <w:spacing w:before="0" w:after="0"/>
            </w:pPr>
            <w:r w:rsidRPr="00E253EB">
              <w:t>Nav.</w:t>
            </w:r>
          </w:p>
        </w:tc>
      </w:tr>
    </w:tbl>
    <w:p w:rsidR="00852042" w:rsidRDefault="00852042" w:rsidP="006C4607">
      <w:pPr>
        <w:pStyle w:val="naisf"/>
        <w:spacing w:before="0" w:after="0"/>
      </w:pPr>
    </w:p>
    <w:p w:rsidR="00422593" w:rsidRDefault="00422593" w:rsidP="006C4607">
      <w:pPr>
        <w:pStyle w:val="naisf"/>
        <w:spacing w:before="0" w:after="0"/>
      </w:pPr>
    </w:p>
    <w:tbl>
      <w:tblPr>
        <w:tblStyle w:val="TableGrid"/>
        <w:tblW w:w="5320" w:type="pct"/>
        <w:tblInd w:w="-289" w:type="dxa"/>
        <w:tblLook w:val="04A0" w:firstRow="1" w:lastRow="0" w:firstColumn="1" w:lastColumn="0" w:noHBand="0" w:noVBand="1"/>
      </w:tblPr>
      <w:tblGrid>
        <w:gridCol w:w="1026"/>
        <w:gridCol w:w="6039"/>
        <w:gridCol w:w="2816"/>
      </w:tblGrid>
      <w:tr w:rsidR="00547B05" w:rsidRPr="00547B05" w:rsidTr="005F3ADF">
        <w:tc>
          <w:tcPr>
            <w:tcW w:w="5000" w:type="pct"/>
            <w:gridSpan w:val="3"/>
          </w:tcPr>
          <w:p w:rsidR="00547B05" w:rsidRPr="00547B05" w:rsidRDefault="00547B05" w:rsidP="00547B05">
            <w:pPr>
              <w:pStyle w:val="naisf"/>
              <w:rPr>
                <w:b/>
              </w:rPr>
            </w:pPr>
            <w:r w:rsidRPr="00547B05">
              <w:rPr>
                <w:b/>
              </w:rPr>
              <w:t>II. Tiesību akta projekta ietekme uz sabiedrību</w:t>
            </w:r>
          </w:p>
        </w:tc>
      </w:tr>
      <w:tr w:rsidR="00547B05" w:rsidRPr="00547B05" w:rsidTr="005F3ADF">
        <w:tc>
          <w:tcPr>
            <w:tcW w:w="519" w:type="pct"/>
          </w:tcPr>
          <w:p w:rsidR="00547B05" w:rsidRPr="00547B05" w:rsidRDefault="00547B05" w:rsidP="005F3ADF">
            <w:pPr>
              <w:pStyle w:val="naisf"/>
              <w:spacing w:before="0" w:after="0"/>
              <w:ind w:firstLine="0"/>
            </w:pPr>
            <w:r w:rsidRPr="00547B05">
              <w:t>1</w:t>
            </w:r>
          </w:p>
        </w:tc>
        <w:tc>
          <w:tcPr>
            <w:tcW w:w="3056" w:type="pct"/>
          </w:tcPr>
          <w:p w:rsidR="00547B05" w:rsidRPr="00547B05" w:rsidRDefault="00547B05" w:rsidP="005F3ADF">
            <w:pPr>
              <w:pStyle w:val="naisf"/>
              <w:spacing w:before="0" w:after="0"/>
              <w:ind w:firstLine="0"/>
            </w:pPr>
            <w:r w:rsidRPr="00547B05">
              <w:t xml:space="preserve">Sabiedrības </w:t>
            </w:r>
            <w:proofErr w:type="spellStart"/>
            <w:r w:rsidRPr="00547B05">
              <w:t>mērķgrupa</w:t>
            </w:r>
            <w:proofErr w:type="spellEnd"/>
          </w:p>
        </w:tc>
        <w:tc>
          <w:tcPr>
            <w:tcW w:w="1425" w:type="pct"/>
          </w:tcPr>
          <w:p w:rsidR="00547B05" w:rsidRPr="00547B05" w:rsidRDefault="00547B05" w:rsidP="005F3ADF">
            <w:pPr>
              <w:pStyle w:val="naisf"/>
              <w:spacing w:before="0" w:after="0"/>
              <w:ind w:firstLine="0"/>
            </w:pPr>
            <w:r w:rsidRPr="00547B05">
              <w:t>Nodokļu maksātāji.</w:t>
            </w:r>
          </w:p>
          <w:p w:rsidR="00547B05" w:rsidRPr="00547B05" w:rsidRDefault="00547B05" w:rsidP="005F3ADF">
            <w:pPr>
              <w:pStyle w:val="naisf"/>
              <w:spacing w:before="0" w:after="0"/>
              <w:ind w:firstLine="0"/>
            </w:pPr>
            <w:r w:rsidRPr="00547B05">
              <w:t>Šo personu skaits nav nosakāms</w:t>
            </w:r>
          </w:p>
        </w:tc>
      </w:tr>
      <w:tr w:rsidR="00547B05" w:rsidRPr="00547B05" w:rsidTr="005F3ADF">
        <w:tc>
          <w:tcPr>
            <w:tcW w:w="519" w:type="pct"/>
          </w:tcPr>
          <w:p w:rsidR="00547B05" w:rsidRPr="00547B05" w:rsidRDefault="00547B05" w:rsidP="005F3ADF">
            <w:pPr>
              <w:pStyle w:val="naisf"/>
              <w:spacing w:before="0" w:after="0"/>
              <w:ind w:firstLine="0"/>
            </w:pPr>
            <w:r w:rsidRPr="00547B05">
              <w:t>2</w:t>
            </w:r>
          </w:p>
        </w:tc>
        <w:tc>
          <w:tcPr>
            <w:tcW w:w="3056" w:type="pct"/>
          </w:tcPr>
          <w:p w:rsidR="00547B05" w:rsidRPr="00547B05" w:rsidRDefault="00547B05" w:rsidP="005F3ADF">
            <w:pPr>
              <w:pStyle w:val="naisf"/>
              <w:spacing w:before="0" w:after="0"/>
              <w:ind w:firstLine="0"/>
            </w:pPr>
            <w:r w:rsidRPr="00547B05">
              <w:t xml:space="preserve">Citas sabiedrības grupas (bez </w:t>
            </w:r>
            <w:proofErr w:type="spellStart"/>
            <w:r w:rsidRPr="00547B05">
              <w:t>mērķgrupas</w:t>
            </w:r>
            <w:proofErr w:type="spellEnd"/>
            <w:r w:rsidRPr="00547B05">
              <w:t>), kuras tiesiskais regulējums arī ietekmē vai varētu ietekmēt</w:t>
            </w:r>
          </w:p>
        </w:tc>
        <w:tc>
          <w:tcPr>
            <w:tcW w:w="1425" w:type="pct"/>
          </w:tcPr>
          <w:p w:rsidR="00547B05" w:rsidRPr="00547B05" w:rsidRDefault="00547B05" w:rsidP="005F3ADF">
            <w:pPr>
              <w:pStyle w:val="naisf"/>
              <w:spacing w:before="0" w:after="0"/>
              <w:ind w:firstLine="0"/>
            </w:pPr>
            <w:r w:rsidRPr="00547B05">
              <w:t>Projekts šo jomu neskar</w:t>
            </w:r>
          </w:p>
        </w:tc>
      </w:tr>
      <w:tr w:rsidR="00547B05" w:rsidRPr="00547B05" w:rsidTr="005F3ADF">
        <w:tc>
          <w:tcPr>
            <w:tcW w:w="519" w:type="pct"/>
          </w:tcPr>
          <w:p w:rsidR="00547B05" w:rsidRPr="00547B05" w:rsidRDefault="00547B05" w:rsidP="005F3ADF">
            <w:pPr>
              <w:pStyle w:val="naisf"/>
              <w:spacing w:before="0" w:after="0"/>
              <w:ind w:firstLine="0"/>
            </w:pPr>
            <w:r w:rsidRPr="00547B05">
              <w:t>3</w:t>
            </w:r>
          </w:p>
        </w:tc>
        <w:tc>
          <w:tcPr>
            <w:tcW w:w="3056" w:type="pct"/>
          </w:tcPr>
          <w:p w:rsidR="00547B05" w:rsidRPr="00547B05" w:rsidRDefault="00547B05" w:rsidP="005F3ADF">
            <w:pPr>
              <w:pStyle w:val="naisf"/>
              <w:spacing w:before="0" w:after="0"/>
              <w:ind w:firstLine="0"/>
            </w:pPr>
            <w:r w:rsidRPr="00547B05">
              <w:t>Tiesiskā regulējuma finansiālā ietekme</w:t>
            </w:r>
          </w:p>
        </w:tc>
        <w:tc>
          <w:tcPr>
            <w:tcW w:w="1425" w:type="pct"/>
          </w:tcPr>
          <w:p w:rsidR="00547B05" w:rsidRPr="00547B05" w:rsidRDefault="00547B05" w:rsidP="005F3ADF">
            <w:pPr>
              <w:pStyle w:val="naisf"/>
              <w:spacing w:before="0" w:after="0"/>
              <w:ind w:firstLine="0"/>
            </w:pPr>
            <w:r w:rsidRPr="00547B05">
              <w:t>Projekts šo jomu neskar</w:t>
            </w:r>
          </w:p>
        </w:tc>
      </w:tr>
      <w:tr w:rsidR="00547B05" w:rsidRPr="00547B05" w:rsidTr="005F3ADF">
        <w:tc>
          <w:tcPr>
            <w:tcW w:w="519" w:type="pct"/>
          </w:tcPr>
          <w:p w:rsidR="00547B05" w:rsidRPr="00547B05" w:rsidRDefault="00547B05" w:rsidP="005F3ADF">
            <w:pPr>
              <w:pStyle w:val="naisf"/>
              <w:spacing w:before="0" w:after="0"/>
              <w:ind w:firstLine="0"/>
            </w:pPr>
            <w:r w:rsidRPr="00547B05">
              <w:t>4</w:t>
            </w:r>
          </w:p>
        </w:tc>
        <w:tc>
          <w:tcPr>
            <w:tcW w:w="3056" w:type="pct"/>
          </w:tcPr>
          <w:p w:rsidR="00547B05" w:rsidRPr="00547B05" w:rsidRDefault="00547B05" w:rsidP="005F3ADF">
            <w:pPr>
              <w:pStyle w:val="naisf"/>
              <w:spacing w:before="0" w:after="0"/>
              <w:ind w:firstLine="0"/>
            </w:pPr>
            <w:r w:rsidRPr="00547B05">
              <w:t>Tiesiskā regulējuma nefinansiālā ietekme</w:t>
            </w:r>
          </w:p>
        </w:tc>
        <w:tc>
          <w:tcPr>
            <w:tcW w:w="1425" w:type="pct"/>
          </w:tcPr>
          <w:p w:rsidR="00547B05" w:rsidRPr="00547B05" w:rsidRDefault="00547B05" w:rsidP="005F3ADF">
            <w:pPr>
              <w:pStyle w:val="naisf"/>
              <w:spacing w:before="0" w:after="0"/>
              <w:ind w:firstLine="0"/>
            </w:pPr>
            <w:r w:rsidRPr="00547B05">
              <w:t>Projekts šo jomu neskar</w:t>
            </w:r>
          </w:p>
        </w:tc>
      </w:tr>
      <w:tr w:rsidR="00547B05" w:rsidRPr="00547B05" w:rsidTr="005F3ADF">
        <w:tc>
          <w:tcPr>
            <w:tcW w:w="519" w:type="pct"/>
          </w:tcPr>
          <w:p w:rsidR="00547B05" w:rsidRPr="00547B05" w:rsidRDefault="00547B05" w:rsidP="005F3ADF">
            <w:pPr>
              <w:pStyle w:val="naisf"/>
              <w:spacing w:before="0" w:after="0"/>
              <w:ind w:firstLine="0"/>
            </w:pPr>
            <w:r w:rsidRPr="00547B05">
              <w:t>5</w:t>
            </w:r>
          </w:p>
        </w:tc>
        <w:tc>
          <w:tcPr>
            <w:tcW w:w="3056" w:type="pct"/>
          </w:tcPr>
          <w:p w:rsidR="00547B05" w:rsidRPr="00547B05" w:rsidRDefault="00547B05" w:rsidP="005F3ADF">
            <w:pPr>
              <w:pStyle w:val="naisf"/>
              <w:spacing w:before="0" w:after="0"/>
              <w:ind w:firstLine="0"/>
            </w:pPr>
            <w:r w:rsidRPr="00547B05">
              <w:t>Administratīvās procedūras raksturojums</w:t>
            </w:r>
          </w:p>
        </w:tc>
        <w:tc>
          <w:tcPr>
            <w:tcW w:w="1425" w:type="pct"/>
          </w:tcPr>
          <w:p w:rsidR="00547B05" w:rsidRPr="00547B05" w:rsidRDefault="00547B05" w:rsidP="005F3ADF">
            <w:pPr>
              <w:pStyle w:val="naisf"/>
              <w:spacing w:before="0" w:after="0"/>
              <w:ind w:firstLine="0"/>
            </w:pPr>
            <w:r w:rsidRPr="00547B05">
              <w:t>Projekts šo jomu neskar</w:t>
            </w:r>
          </w:p>
        </w:tc>
      </w:tr>
      <w:tr w:rsidR="00547B05" w:rsidRPr="00547B05" w:rsidTr="005F3ADF">
        <w:tc>
          <w:tcPr>
            <w:tcW w:w="519" w:type="pct"/>
          </w:tcPr>
          <w:p w:rsidR="00547B05" w:rsidRPr="00547B05" w:rsidRDefault="00547B05" w:rsidP="005F3ADF">
            <w:pPr>
              <w:pStyle w:val="naisf"/>
              <w:spacing w:before="0" w:after="0"/>
              <w:ind w:firstLine="0"/>
            </w:pPr>
            <w:r w:rsidRPr="00547B05">
              <w:t>6</w:t>
            </w:r>
          </w:p>
        </w:tc>
        <w:tc>
          <w:tcPr>
            <w:tcW w:w="3056" w:type="pct"/>
          </w:tcPr>
          <w:p w:rsidR="00547B05" w:rsidRPr="00547B05" w:rsidRDefault="00547B05" w:rsidP="005F3ADF">
            <w:pPr>
              <w:pStyle w:val="naisf"/>
              <w:spacing w:before="0" w:after="0"/>
              <w:ind w:firstLine="0"/>
            </w:pPr>
            <w:r w:rsidRPr="00547B05">
              <w:t>Administratīvo izmaksu monetārs novērtējums</w:t>
            </w:r>
          </w:p>
        </w:tc>
        <w:tc>
          <w:tcPr>
            <w:tcW w:w="1425" w:type="pct"/>
          </w:tcPr>
          <w:p w:rsidR="00547B05" w:rsidRPr="00547B05" w:rsidRDefault="00547B05" w:rsidP="005F3ADF">
            <w:pPr>
              <w:pStyle w:val="naisf"/>
              <w:spacing w:before="0" w:after="0"/>
              <w:ind w:firstLine="0"/>
            </w:pPr>
            <w:r w:rsidRPr="00547B05">
              <w:t>Projekts šo jomu neskar</w:t>
            </w:r>
          </w:p>
        </w:tc>
      </w:tr>
      <w:tr w:rsidR="00547B05" w:rsidRPr="00547B05" w:rsidTr="005F3ADF">
        <w:tc>
          <w:tcPr>
            <w:tcW w:w="519" w:type="pct"/>
          </w:tcPr>
          <w:p w:rsidR="00547B05" w:rsidRPr="00547B05" w:rsidRDefault="00547B05" w:rsidP="005F3ADF">
            <w:pPr>
              <w:pStyle w:val="naisf"/>
              <w:spacing w:before="0" w:after="0"/>
              <w:ind w:firstLine="0"/>
            </w:pPr>
            <w:r w:rsidRPr="00547B05">
              <w:t>7</w:t>
            </w:r>
          </w:p>
        </w:tc>
        <w:tc>
          <w:tcPr>
            <w:tcW w:w="3056" w:type="pct"/>
          </w:tcPr>
          <w:p w:rsidR="00547B05" w:rsidRPr="00547B05" w:rsidRDefault="00547B05" w:rsidP="005F3ADF">
            <w:pPr>
              <w:pStyle w:val="naisf"/>
              <w:spacing w:before="0" w:after="0"/>
              <w:ind w:firstLine="0"/>
            </w:pPr>
            <w:r w:rsidRPr="00547B05">
              <w:t>Cita informācija</w:t>
            </w:r>
          </w:p>
        </w:tc>
        <w:tc>
          <w:tcPr>
            <w:tcW w:w="1425" w:type="pct"/>
          </w:tcPr>
          <w:p w:rsidR="00547B05" w:rsidRPr="00547B05" w:rsidRDefault="00547B05" w:rsidP="005F3ADF">
            <w:pPr>
              <w:pStyle w:val="naisf"/>
              <w:spacing w:before="0" w:after="0"/>
              <w:ind w:firstLine="0"/>
            </w:pPr>
            <w:r w:rsidRPr="00547B05">
              <w:t>Nav</w:t>
            </w:r>
          </w:p>
        </w:tc>
      </w:tr>
    </w:tbl>
    <w:p w:rsidR="00EA6362" w:rsidRDefault="00EA6362" w:rsidP="006C4607">
      <w:pPr>
        <w:pStyle w:val="naisf"/>
        <w:spacing w:before="0" w:after="0"/>
      </w:pPr>
    </w:p>
    <w:p w:rsidR="00EA6362" w:rsidRDefault="00EA6362" w:rsidP="006C4607">
      <w:pPr>
        <w:pStyle w:val="naisf"/>
        <w:spacing w:before="0" w:after="0"/>
      </w:pP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3"/>
      </w:tblGrid>
      <w:tr w:rsidR="002C10A7" w:rsidRPr="007C0F2C" w:rsidTr="003807FF">
        <w:trPr>
          <w:trHeight w:val="652"/>
          <w:jc w:val="center"/>
        </w:trPr>
        <w:tc>
          <w:tcPr>
            <w:tcW w:w="10023" w:type="dxa"/>
          </w:tcPr>
          <w:p w:rsidR="002C10A7" w:rsidRPr="007C0F2C" w:rsidRDefault="002C10A7" w:rsidP="00535E98">
            <w:pPr>
              <w:pStyle w:val="naisnod"/>
              <w:spacing w:before="0" w:after="0"/>
              <w:rPr>
                <w:i/>
                <w:sz w:val="22"/>
                <w:szCs w:val="22"/>
              </w:rPr>
            </w:pPr>
            <w:r w:rsidRPr="007C0F2C">
              <w:rPr>
                <w:sz w:val="22"/>
                <w:szCs w:val="22"/>
              </w:rPr>
              <w:br w:type="page"/>
            </w:r>
            <w:r w:rsidRPr="007C0F2C">
              <w:t>III. Tiesību akta projekta ietekme uz valsts budžetu un pašvaldību budžetiem</w:t>
            </w:r>
          </w:p>
        </w:tc>
      </w:tr>
      <w:tr w:rsidR="002C10A7" w:rsidRPr="007C0F2C" w:rsidTr="003807FF">
        <w:trPr>
          <w:trHeight w:val="508"/>
          <w:jc w:val="center"/>
        </w:trPr>
        <w:tc>
          <w:tcPr>
            <w:tcW w:w="10023" w:type="dxa"/>
            <w:tcBorders>
              <w:top w:val="single" w:sz="4" w:space="0" w:color="auto"/>
              <w:left w:val="single" w:sz="4" w:space="0" w:color="auto"/>
              <w:bottom w:val="single" w:sz="4" w:space="0" w:color="auto"/>
              <w:right w:val="single" w:sz="4" w:space="0" w:color="auto"/>
            </w:tcBorders>
          </w:tcPr>
          <w:p w:rsidR="002C10A7" w:rsidRPr="002C10A7" w:rsidRDefault="002C10A7" w:rsidP="002C10A7">
            <w:pPr>
              <w:pStyle w:val="naisnod"/>
              <w:spacing w:before="0" w:after="0"/>
              <w:rPr>
                <w:b w:val="0"/>
                <w:i/>
              </w:rPr>
            </w:pPr>
            <w:r w:rsidRPr="002C10A7">
              <w:rPr>
                <w:b w:val="0"/>
                <w:i/>
              </w:rPr>
              <w:t>Projekts šo jomu neskar</w:t>
            </w:r>
          </w:p>
        </w:tc>
      </w:tr>
    </w:tbl>
    <w:p w:rsidR="002C10A7" w:rsidRDefault="002C10A7" w:rsidP="006C4607">
      <w:pPr>
        <w:pStyle w:val="naisf"/>
        <w:spacing w:before="0" w:after="0"/>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2C10A7" w:rsidRPr="00711F59" w:rsidTr="00535E98">
        <w:trPr>
          <w:jc w:val="center"/>
        </w:trPr>
        <w:tc>
          <w:tcPr>
            <w:tcW w:w="10098" w:type="dxa"/>
            <w:gridSpan w:val="3"/>
          </w:tcPr>
          <w:p w:rsidR="002C10A7" w:rsidRPr="007C0F2C" w:rsidRDefault="002C10A7" w:rsidP="00535E98">
            <w:pPr>
              <w:pStyle w:val="naisnod"/>
              <w:spacing w:before="0" w:after="0"/>
            </w:pPr>
            <w:r w:rsidRPr="007C0F2C">
              <w:t>IV. Tiesību akta projekta ietekme uz spēkā esošo tiesību normu sistēmu</w:t>
            </w:r>
          </w:p>
        </w:tc>
      </w:tr>
      <w:tr w:rsidR="002C10A7" w:rsidRPr="00C46301" w:rsidTr="00535E98">
        <w:trPr>
          <w:jc w:val="center"/>
        </w:trPr>
        <w:tc>
          <w:tcPr>
            <w:tcW w:w="798" w:type="dxa"/>
          </w:tcPr>
          <w:p w:rsidR="002C10A7" w:rsidRPr="00994213" w:rsidRDefault="002C10A7" w:rsidP="00535E98">
            <w:pPr>
              <w:pStyle w:val="naiskr"/>
              <w:tabs>
                <w:tab w:val="left" w:pos="2628"/>
              </w:tabs>
              <w:spacing w:before="0" w:after="0"/>
              <w:jc w:val="both"/>
              <w:rPr>
                <w:iCs/>
              </w:rPr>
            </w:pPr>
            <w:r w:rsidRPr="00994213">
              <w:rPr>
                <w:iCs/>
              </w:rPr>
              <w:t>1.</w:t>
            </w:r>
          </w:p>
        </w:tc>
        <w:tc>
          <w:tcPr>
            <w:tcW w:w="3118" w:type="dxa"/>
          </w:tcPr>
          <w:p w:rsidR="002C10A7" w:rsidRPr="00994213" w:rsidRDefault="002C10A7" w:rsidP="00535E98">
            <w:pPr>
              <w:pStyle w:val="naiskr"/>
              <w:tabs>
                <w:tab w:val="left" w:pos="2628"/>
              </w:tabs>
              <w:spacing w:before="0" w:after="0"/>
              <w:jc w:val="both"/>
              <w:rPr>
                <w:iCs/>
              </w:rPr>
            </w:pPr>
            <w:r w:rsidRPr="00C46301">
              <w:t>Nepieciešamie saistītie tiesību aktu projekti</w:t>
            </w:r>
          </w:p>
        </w:tc>
        <w:tc>
          <w:tcPr>
            <w:tcW w:w="6182" w:type="dxa"/>
          </w:tcPr>
          <w:p w:rsidR="002C10A7" w:rsidRPr="001E3070" w:rsidRDefault="002C10A7" w:rsidP="00535E98">
            <w:pPr>
              <w:pStyle w:val="naiskr"/>
              <w:tabs>
                <w:tab w:val="left" w:pos="2628"/>
              </w:tabs>
              <w:spacing w:before="0" w:after="0"/>
              <w:jc w:val="both"/>
              <w:rPr>
                <w:iCs/>
              </w:rPr>
            </w:pPr>
            <w:r w:rsidRPr="001E3070">
              <w:rPr>
                <w:iCs/>
              </w:rPr>
              <w:t xml:space="preserve">Vienlaikus ar grozījumiem </w:t>
            </w:r>
            <w:r w:rsidR="005F3ADF">
              <w:t>16</w:t>
            </w:r>
            <w:r w:rsidR="00A07D42">
              <w:t>.noteikumos</w:t>
            </w:r>
            <w:r w:rsidR="006D7E24">
              <w:t xml:space="preserve"> Finanšu ministrija v</w:t>
            </w:r>
            <w:r w:rsidRPr="001E3070">
              <w:rPr>
                <w:iCs/>
              </w:rPr>
              <w:t>irz</w:t>
            </w:r>
            <w:r w:rsidR="006D7E24">
              <w:rPr>
                <w:iCs/>
              </w:rPr>
              <w:t xml:space="preserve">a </w:t>
            </w:r>
            <w:r w:rsidR="0029446D">
              <w:rPr>
                <w:iCs/>
              </w:rPr>
              <w:t>citus</w:t>
            </w:r>
            <w:r w:rsidR="006D7E24">
              <w:rPr>
                <w:iCs/>
              </w:rPr>
              <w:t xml:space="preserve"> saistītus</w:t>
            </w:r>
            <w:r w:rsidRPr="001E3070">
              <w:rPr>
                <w:iCs/>
              </w:rPr>
              <w:t xml:space="preserve"> grozījum</w:t>
            </w:r>
            <w:r w:rsidR="006D7E24">
              <w:rPr>
                <w:iCs/>
              </w:rPr>
              <w:t>us, kuru termiņi ir tādi paši, kā šim</w:t>
            </w:r>
            <w:r w:rsidR="005F3ADF">
              <w:rPr>
                <w:iCs/>
              </w:rPr>
              <w:t xml:space="preserve"> tiesību aktu projektam</w:t>
            </w:r>
            <w:r w:rsidR="0029446D">
              <w:rPr>
                <w:iCs/>
              </w:rPr>
              <w:t>.</w:t>
            </w:r>
          </w:p>
          <w:p w:rsidR="002C10A7" w:rsidRPr="00CD7117" w:rsidRDefault="002C10A7" w:rsidP="0029446D">
            <w:pPr>
              <w:pStyle w:val="naiskr"/>
              <w:tabs>
                <w:tab w:val="left" w:pos="2628"/>
              </w:tabs>
              <w:spacing w:before="0" w:after="0"/>
              <w:jc w:val="both"/>
              <w:rPr>
                <w:iCs/>
                <w:highlight w:val="yellow"/>
              </w:rPr>
            </w:pPr>
            <w:r w:rsidRPr="001E3070">
              <w:rPr>
                <w:iCs/>
              </w:rPr>
              <w:t xml:space="preserve">Visi </w:t>
            </w:r>
            <w:r w:rsidR="0029446D">
              <w:rPr>
                <w:iCs/>
              </w:rPr>
              <w:t>projekti</w:t>
            </w:r>
            <w:r w:rsidRPr="001E3070">
              <w:rPr>
                <w:iCs/>
              </w:rPr>
              <w:t xml:space="preserve"> ir savstarpēji </w:t>
            </w:r>
            <w:r>
              <w:rPr>
                <w:iCs/>
              </w:rPr>
              <w:t xml:space="preserve">cieši </w:t>
            </w:r>
            <w:r w:rsidRPr="001E3070">
              <w:rPr>
                <w:iCs/>
              </w:rPr>
              <w:t xml:space="preserve">saistīti un veido vienotu sistēmu, kas nodrošina </w:t>
            </w:r>
            <w:r w:rsidR="0029446D" w:rsidRPr="0029446D">
              <w:rPr>
                <w:iCs/>
              </w:rPr>
              <w:t xml:space="preserve">tiesību aktu pielāgošanu </w:t>
            </w:r>
            <w:proofErr w:type="spellStart"/>
            <w:r w:rsidR="0029446D" w:rsidRPr="0029446D">
              <w:rPr>
                <w:iCs/>
              </w:rPr>
              <w:t>euro</w:t>
            </w:r>
            <w:proofErr w:type="spellEnd"/>
            <w:r w:rsidR="0029446D" w:rsidRPr="0029446D">
              <w:rPr>
                <w:iCs/>
              </w:rPr>
              <w:t xml:space="preserve"> ieviešanai Latvijā</w:t>
            </w:r>
            <w:r w:rsidR="0029446D">
              <w:rPr>
                <w:iCs/>
              </w:rPr>
              <w:t>.</w:t>
            </w:r>
          </w:p>
        </w:tc>
      </w:tr>
      <w:tr w:rsidR="002C10A7" w:rsidRPr="00994213" w:rsidTr="00535E98">
        <w:trPr>
          <w:jc w:val="center"/>
        </w:trPr>
        <w:tc>
          <w:tcPr>
            <w:tcW w:w="798" w:type="dxa"/>
          </w:tcPr>
          <w:p w:rsidR="002C10A7" w:rsidRPr="00994213" w:rsidRDefault="002C10A7" w:rsidP="00535E98">
            <w:pPr>
              <w:pStyle w:val="naiskr"/>
              <w:tabs>
                <w:tab w:val="left" w:pos="2628"/>
              </w:tabs>
              <w:spacing w:before="0" w:after="0"/>
              <w:jc w:val="both"/>
              <w:rPr>
                <w:iCs/>
              </w:rPr>
            </w:pPr>
            <w:r w:rsidRPr="00994213">
              <w:rPr>
                <w:iCs/>
              </w:rPr>
              <w:t>2.</w:t>
            </w:r>
          </w:p>
        </w:tc>
        <w:tc>
          <w:tcPr>
            <w:tcW w:w="3118" w:type="dxa"/>
          </w:tcPr>
          <w:p w:rsidR="002C10A7" w:rsidRPr="00994213" w:rsidRDefault="002C10A7" w:rsidP="00535E98">
            <w:pPr>
              <w:pStyle w:val="naiskr"/>
              <w:tabs>
                <w:tab w:val="left" w:pos="2628"/>
              </w:tabs>
              <w:spacing w:before="0" w:after="0"/>
              <w:jc w:val="both"/>
              <w:rPr>
                <w:iCs/>
              </w:rPr>
            </w:pPr>
            <w:r w:rsidRPr="00C46301">
              <w:t>Cita informācija</w:t>
            </w:r>
          </w:p>
        </w:tc>
        <w:tc>
          <w:tcPr>
            <w:tcW w:w="6182" w:type="dxa"/>
          </w:tcPr>
          <w:p w:rsidR="002C10A7" w:rsidRPr="00994213" w:rsidRDefault="002C10A7" w:rsidP="00535E98">
            <w:pPr>
              <w:pStyle w:val="naiskr"/>
              <w:tabs>
                <w:tab w:val="left" w:pos="2628"/>
              </w:tabs>
              <w:spacing w:before="0" w:after="0"/>
              <w:jc w:val="both"/>
              <w:rPr>
                <w:iCs/>
              </w:rPr>
            </w:pPr>
            <w:r w:rsidRPr="00C46301">
              <w:t>Nav.</w:t>
            </w:r>
          </w:p>
        </w:tc>
      </w:tr>
    </w:tbl>
    <w:p w:rsidR="002C10A7" w:rsidRDefault="002C10A7" w:rsidP="006C4607">
      <w:pPr>
        <w:pStyle w:val="naisf"/>
        <w:spacing w:before="0" w:after="0"/>
      </w:pPr>
    </w:p>
    <w:p w:rsidR="00EA6362" w:rsidRDefault="00EA6362" w:rsidP="006C4607">
      <w:pPr>
        <w:pStyle w:val="naisf"/>
        <w:spacing w:before="0" w:after="0"/>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2C10A7" w:rsidRPr="00BA3C4F" w:rsidTr="00535E98">
        <w:tc>
          <w:tcPr>
            <w:tcW w:w="10206" w:type="dxa"/>
            <w:tcBorders>
              <w:top w:val="outset" w:sz="6" w:space="0" w:color="auto"/>
              <w:left w:val="outset" w:sz="6" w:space="0" w:color="auto"/>
              <w:bottom w:val="outset" w:sz="6" w:space="0" w:color="auto"/>
              <w:right w:val="outset" w:sz="6" w:space="0" w:color="auto"/>
            </w:tcBorders>
            <w:vAlign w:val="center"/>
          </w:tcPr>
          <w:p w:rsidR="002C10A7" w:rsidRPr="00BA3C4F" w:rsidRDefault="002C10A7" w:rsidP="00535E98">
            <w:pPr>
              <w:jc w:val="center"/>
              <w:rPr>
                <w:b/>
              </w:rPr>
            </w:pPr>
            <w:r w:rsidRPr="00BA3C4F">
              <w:rPr>
                <w:b/>
              </w:rPr>
              <w:t>V. Tiesību akta projekta atbilstība Latvijas Republikas starptautiskajām saistībām</w:t>
            </w:r>
          </w:p>
        </w:tc>
      </w:tr>
      <w:tr w:rsidR="002C10A7" w:rsidRPr="00BA3C4F" w:rsidTr="00535E98">
        <w:tc>
          <w:tcPr>
            <w:tcW w:w="10206" w:type="dxa"/>
            <w:tcBorders>
              <w:top w:val="outset" w:sz="6" w:space="0" w:color="auto"/>
              <w:left w:val="outset" w:sz="6" w:space="0" w:color="auto"/>
              <w:bottom w:val="outset" w:sz="6" w:space="0" w:color="auto"/>
              <w:right w:val="outset" w:sz="6" w:space="0" w:color="auto"/>
            </w:tcBorders>
            <w:vAlign w:val="center"/>
          </w:tcPr>
          <w:p w:rsidR="002C10A7" w:rsidRPr="002C10A7" w:rsidRDefault="002C10A7" w:rsidP="00535E98">
            <w:pPr>
              <w:jc w:val="center"/>
            </w:pPr>
            <w:r w:rsidRPr="002C10A7">
              <w:rPr>
                <w:i/>
              </w:rPr>
              <w:t>Projekts šo jomu neskar</w:t>
            </w:r>
          </w:p>
        </w:tc>
      </w:tr>
    </w:tbl>
    <w:p w:rsidR="002C10A7" w:rsidRDefault="002C10A7" w:rsidP="006C4607">
      <w:pPr>
        <w:pStyle w:val="naisf"/>
        <w:spacing w:before="0" w:after="0"/>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2C10A7" w:rsidRPr="007C0F2C" w:rsidTr="00535E98">
        <w:trPr>
          <w:jc w:val="center"/>
        </w:trPr>
        <w:tc>
          <w:tcPr>
            <w:tcW w:w="10256" w:type="dxa"/>
          </w:tcPr>
          <w:p w:rsidR="002C10A7" w:rsidRPr="007C0F2C" w:rsidRDefault="002C10A7" w:rsidP="00535E98">
            <w:pPr>
              <w:pStyle w:val="naisnod"/>
              <w:spacing w:before="0" w:after="0"/>
              <w:ind w:left="57" w:right="57"/>
            </w:pPr>
            <w:r w:rsidRPr="007C0F2C">
              <w:t>VI. Sabiedrības līdzdalība un šīs līdzdalības rezultāti</w:t>
            </w:r>
          </w:p>
        </w:tc>
      </w:tr>
      <w:tr w:rsidR="002C10A7" w:rsidRPr="007C0F2C" w:rsidTr="002C10A7">
        <w:trPr>
          <w:jc w:val="center"/>
        </w:trPr>
        <w:tc>
          <w:tcPr>
            <w:tcW w:w="10256" w:type="dxa"/>
            <w:tcBorders>
              <w:top w:val="single" w:sz="4" w:space="0" w:color="auto"/>
              <w:left w:val="single" w:sz="4" w:space="0" w:color="auto"/>
              <w:bottom w:val="single" w:sz="4" w:space="0" w:color="auto"/>
              <w:right w:val="single" w:sz="4" w:space="0" w:color="auto"/>
            </w:tcBorders>
          </w:tcPr>
          <w:p w:rsidR="002C10A7" w:rsidRPr="002C10A7" w:rsidRDefault="002C10A7" w:rsidP="00535E98">
            <w:pPr>
              <w:pStyle w:val="naisnod"/>
              <w:spacing w:before="0" w:after="0"/>
              <w:ind w:left="57" w:right="57"/>
              <w:rPr>
                <w:b w:val="0"/>
                <w:i/>
              </w:rPr>
            </w:pPr>
            <w:r w:rsidRPr="002C10A7">
              <w:rPr>
                <w:b w:val="0"/>
                <w:i/>
              </w:rPr>
              <w:t>Projekts šo jomu neskar</w:t>
            </w:r>
          </w:p>
        </w:tc>
      </w:tr>
    </w:tbl>
    <w:p w:rsidR="00924023" w:rsidRPr="007C0F2C" w:rsidRDefault="00924023" w:rsidP="006C4607">
      <w:pPr>
        <w:pStyle w:val="naiskr"/>
        <w:tabs>
          <w:tab w:val="left" w:pos="2628"/>
        </w:tabs>
        <w:spacing w:before="0" w:after="0"/>
        <w:rPr>
          <w:i/>
          <w:sz w:val="22"/>
          <w:szCs w:val="22"/>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5"/>
        <w:gridCol w:w="2410"/>
        <w:gridCol w:w="7429"/>
      </w:tblGrid>
      <w:tr w:rsidR="004C49D2" w:rsidRPr="00A457E1" w:rsidTr="004C49D2">
        <w:tc>
          <w:tcPr>
            <w:tcW w:w="10264" w:type="dxa"/>
            <w:gridSpan w:val="3"/>
            <w:tcBorders>
              <w:top w:val="single" w:sz="4" w:space="0" w:color="auto"/>
              <w:left w:val="single" w:sz="4" w:space="0" w:color="auto"/>
              <w:bottom w:val="single" w:sz="4" w:space="0" w:color="auto"/>
              <w:right w:val="single" w:sz="4" w:space="0" w:color="auto"/>
            </w:tcBorders>
          </w:tcPr>
          <w:p w:rsidR="004C49D2" w:rsidRPr="004C49D2" w:rsidRDefault="004C49D2" w:rsidP="004C49D2">
            <w:pPr>
              <w:pStyle w:val="naisnod"/>
              <w:ind w:left="57" w:right="57"/>
            </w:pPr>
            <w:r w:rsidRPr="004C49D2">
              <w:t>VII. Tiesību akta projekta izpildes nodrošināšana un tās ietekme uz institūcijām</w:t>
            </w:r>
          </w:p>
        </w:tc>
      </w:tr>
      <w:tr w:rsidR="004C49D2" w:rsidRPr="00A457E1" w:rsidTr="004C49D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1.</w:t>
            </w:r>
          </w:p>
        </w:tc>
        <w:tc>
          <w:tcPr>
            <w:tcW w:w="2410"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 xml:space="preserve">Projekta izpildē </w:t>
            </w:r>
            <w:r w:rsidRPr="00A457E1">
              <w:rPr>
                <w:rFonts w:ascii="Times New Roman" w:hAnsi="Times New Roman" w:cs="Times New Roman"/>
                <w:lang w:val="lv-LV"/>
              </w:rPr>
              <w:lastRenderedPageBreak/>
              <w:t>iesaistītās institūcijas</w:t>
            </w:r>
          </w:p>
        </w:tc>
        <w:tc>
          <w:tcPr>
            <w:tcW w:w="7429" w:type="dxa"/>
            <w:tcBorders>
              <w:top w:val="outset" w:sz="6" w:space="0" w:color="000000"/>
              <w:left w:val="outset" w:sz="6" w:space="0" w:color="000000"/>
              <w:bottom w:val="outset" w:sz="6" w:space="0" w:color="000000"/>
              <w:right w:val="outset" w:sz="6" w:space="0" w:color="000000"/>
            </w:tcBorders>
            <w:hideMark/>
          </w:tcPr>
          <w:p w:rsidR="004C49D2" w:rsidRPr="00A457E1" w:rsidRDefault="0029446D" w:rsidP="00DE2677">
            <w:pPr>
              <w:pStyle w:val="NormalWeb"/>
              <w:spacing w:before="0" w:beforeAutospacing="0" w:after="0" w:afterAutospacing="0"/>
              <w:jc w:val="both"/>
              <w:rPr>
                <w:rFonts w:ascii="Times New Roman" w:hAnsi="Times New Roman" w:cs="Times New Roman"/>
                <w:lang w:val="lv-LV"/>
              </w:rPr>
            </w:pPr>
            <w:r>
              <w:rPr>
                <w:rFonts w:ascii="Times New Roman" w:hAnsi="Times New Roman"/>
                <w:lang w:val="lv-LV"/>
              </w:rPr>
              <w:lastRenderedPageBreak/>
              <w:t>Valsts ieņēmumu dienests.</w:t>
            </w:r>
          </w:p>
          <w:p w:rsidR="004C49D2" w:rsidRPr="00A457E1" w:rsidRDefault="004C49D2" w:rsidP="00DE2677">
            <w:pPr>
              <w:pStyle w:val="NormalWeb"/>
              <w:spacing w:before="0" w:beforeAutospacing="0" w:after="0" w:afterAutospacing="0"/>
              <w:jc w:val="both"/>
              <w:rPr>
                <w:rFonts w:ascii="Times New Roman" w:hAnsi="Times New Roman" w:cs="Times New Roman"/>
                <w:lang w:val="lv-LV"/>
              </w:rPr>
            </w:pPr>
          </w:p>
        </w:tc>
      </w:tr>
      <w:tr w:rsidR="004C49D2" w:rsidRPr="00A457E1" w:rsidTr="004C49D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lastRenderedPageBreak/>
              <w:t>2.</w:t>
            </w:r>
          </w:p>
        </w:tc>
        <w:tc>
          <w:tcPr>
            <w:tcW w:w="2410"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izpildes ietekme uz pārvaldes funkcijām</w:t>
            </w:r>
          </w:p>
        </w:tc>
        <w:tc>
          <w:tcPr>
            <w:tcW w:w="7429"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aiskr"/>
              <w:spacing w:before="0" w:after="0"/>
              <w:jc w:val="both"/>
              <w:rPr>
                <w:iCs/>
              </w:rPr>
            </w:pPr>
            <w:r w:rsidRPr="00A457E1">
              <w:t>Projekts šo jomu neskar.</w:t>
            </w:r>
          </w:p>
        </w:tc>
      </w:tr>
      <w:tr w:rsidR="004C49D2" w:rsidRPr="00A457E1" w:rsidTr="004C49D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3.</w:t>
            </w:r>
          </w:p>
        </w:tc>
        <w:tc>
          <w:tcPr>
            <w:tcW w:w="2410"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izpildes ietekme uz pārvaldes institucionālo struktūru.</w:t>
            </w:r>
          </w:p>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Jaunu institūciju izveide</w:t>
            </w:r>
          </w:p>
        </w:tc>
        <w:tc>
          <w:tcPr>
            <w:tcW w:w="7429"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aiskr"/>
              <w:spacing w:before="0" w:after="0"/>
              <w:jc w:val="both"/>
              <w:rPr>
                <w:iCs/>
              </w:rPr>
            </w:pPr>
            <w:r w:rsidRPr="00A457E1">
              <w:t>Projekts šo jomu neskar.</w:t>
            </w:r>
          </w:p>
        </w:tc>
      </w:tr>
      <w:tr w:rsidR="004C49D2" w:rsidRPr="00A457E1" w:rsidTr="004C49D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4.</w:t>
            </w:r>
          </w:p>
        </w:tc>
        <w:tc>
          <w:tcPr>
            <w:tcW w:w="2410"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izpildes ietekme uz pārvaldes institucionālo struktūru.</w:t>
            </w:r>
          </w:p>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Esošu institūciju likvidācija</w:t>
            </w:r>
          </w:p>
        </w:tc>
        <w:tc>
          <w:tcPr>
            <w:tcW w:w="7429"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aiskr"/>
              <w:spacing w:before="0" w:after="0"/>
              <w:jc w:val="both"/>
              <w:rPr>
                <w:iCs/>
              </w:rPr>
            </w:pPr>
            <w:r w:rsidRPr="00A457E1">
              <w:t>Projekts šo jomu neskar.</w:t>
            </w:r>
          </w:p>
        </w:tc>
      </w:tr>
      <w:tr w:rsidR="004C49D2" w:rsidRPr="00A457E1" w:rsidTr="004C49D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5.</w:t>
            </w:r>
          </w:p>
        </w:tc>
        <w:tc>
          <w:tcPr>
            <w:tcW w:w="2410"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Projekta izpildes ietekme uz pārvaldes institucionālo struktūru.</w:t>
            </w:r>
          </w:p>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Esošu institūciju reorganizācija</w:t>
            </w:r>
          </w:p>
        </w:tc>
        <w:tc>
          <w:tcPr>
            <w:tcW w:w="7429"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aiskr"/>
              <w:spacing w:before="0" w:after="0"/>
              <w:jc w:val="both"/>
              <w:rPr>
                <w:iCs/>
              </w:rPr>
            </w:pPr>
            <w:r w:rsidRPr="00A457E1">
              <w:t>Projekts šo jomu neskar.</w:t>
            </w:r>
          </w:p>
        </w:tc>
      </w:tr>
      <w:tr w:rsidR="004C49D2" w:rsidRPr="00643536" w:rsidTr="004C49D2">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425"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jc w:val="center"/>
              <w:rPr>
                <w:rFonts w:ascii="Times New Roman" w:hAnsi="Times New Roman" w:cs="Times New Roman"/>
                <w:lang w:val="lv-LV"/>
              </w:rPr>
            </w:pPr>
            <w:r w:rsidRPr="00A457E1">
              <w:rPr>
                <w:rFonts w:ascii="Times New Roman" w:hAnsi="Times New Roman" w:cs="Times New Roman"/>
                <w:lang w:val="lv-LV"/>
              </w:rPr>
              <w:t>6.</w:t>
            </w:r>
          </w:p>
        </w:tc>
        <w:tc>
          <w:tcPr>
            <w:tcW w:w="2410" w:type="dxa"/>
            <w:tcBorders>
              <w:top w:val="outset" w:sz="6" w:space="0" w:color="000000"/>
              <w:left w:val="outset" w:sz="6" w:space="0" w:color="000000"/>
              <w:bottom w:val="outset" w:sz="6" w:space="0" w:color="000000"/>
              <w:right w:val="outset" w:sz="6" w:space="0" w:color="000000"/>
            </w:tcBorders>
            <w:hideMark/>
          </w:tcPr>
          <w:p w:rsidR="004C49D2" w:rsidRPr="00A457E1"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Cita informācija</w:t>
            </w:r>
          </w:p>
        </w:tc>
        <w:tc>
          <w:tcPr>
            <w:tcW w:w="7429" w:type="dxa"/>
            <w:tcBorders>
              <w:top w:val="outset" w:sz="6" w:space="0" w:color="000000"/>
              <w:left w:val="outset" w:sz="6" w:space="0" w:color="000000"/>
              <w:bottom w:val="outset" w:sz="6" w:space="0" w:color="000000"/>
              <w:right w:val="outset" w:sz="6" w:space="0" w:color="000000"/>
            </w:tcBorders>
            <w:hideMark/>
          </w:tcPr>
          <w:p w:rsidR="004C49D2" w:rsidRPr="00643536" w:rsidRDefault="004C49D2" w:rsidP="00DE2677">
            <w:pPr>
              <w:pStyle w:val="NormalWeb"/>
              <w:spacing w:before="0" w:beforeAutospacing="0" w:after="0" w:afterAutospacing="0"/>
              <w:rPr>
                <w:rFonts w:ascii="Times New Roman" w:hAnsi="Times New Roman" w:cs="Times New Roman"/>
                <w:lang w:val="lv-LV"/>
              </w:rPr>
            </w:pPr>
            <w:r w:rsidRPr="00A457E1">
              <w:rPr>
                <w:rFonts w:ascii="Times New Roman" w:hAnsi="Times New Roman" w:cs="Times New Roman"/>
                <w:lang w:val="lv-LV"/>
              </w:rPr>
              <w:t>Nav.</w:t>
            </w:r>
          </w:p>
        </w:tc>
      </w:tr>
    </w:tbl>
    <w:p w:rsidR="003040EA" w:rsidRDefault="003040EA" w:rsidP="003040EA">
      <w:pPr>
        <w:pStyle w:val="naisf"/>
        <w:tabs>
          <w:tab w:val="left" w:pos="6804"/>
        </w:tabs>
        <w:spacing w:before="0" w:after="0"/>
        <w:ind w:firstLine="0"/>
        <w:rPr>
          <w:sz w:val="28"/>
          <w:szCs w:val="28"/>
        </w:rPr>
      </w:pPr>
    </w:p>
    <w:p w:rsidR="003040EA" w:rsidRPr="004056ED" w:rsidRDefault="004056ED" w:rsidP="003040EA">
      <w:pPr>
        <w:pStyle w:val="naisf"/>
        <w:tabs>
          <w:tab w:val="left" w:pos="6804"/>
        </w:tabs>
        <w:spacing w:before="0" w:after="0"/>
        <w:ind w:firstLine="0"/>
      </w:pPr>
      <w:r w:rsidRPr="00977037">
        <w:t xml:space="preserve">Pielikums: Normatīvajos aktos ietverto skaitļu pārrēķins uz </w:t>
      </w:r>
      <w:proofErr w:type="spellStart"/>
      <w:r w:rsidRPr="00977037">
        <w:rPr>
          <w:i/>
        </w:rPr>
        <w:t>euro</w:t>
      </w:r>
      <w:proofErr w:type="spellEnd"/>
      <w:r w:rsidRPr="00977037">
        <w:t xml:space="preserve"> uz 1 lp.</w:t>
      </w:r>
    </w:p>
    <w:p w:rsidR="004056ED" w:rsidRDefault="004056ED" w:rsidP="003040EA">
      <w:pPr>
        <w:pStyle w:val="naisf"/>
        <w:tabs>
          <w:tab w:val="left" w:pos="6804"/>
        </w:tabs>
        <w:spacing w:before="0" w:after="0"/>
        <w:ind w:firstLine="0"/>
        <w:rPr>
          <w:sz w:val="28"/>
          <w:szCs w:val="28"/>
        </w:rPr>
      </w:pPr>
    </w:p>
    <w:p w:rsidR="0029446D" w:rsidRDefault="0029446D" w:rsidP="003040EA">
      <w:pPr>
        <w:pStyle w:val="naisf"/>
        <w:tabs>
          <w:tab w:val="left" w:pos="6804"/>
        </w:tabs>
        <w:spacing w:before="0" w:after="0"/>
        <w:ind w:firstLine="0"/>
        <w:rPr>
          <w:sz w:val="28"/>
          <w:szCs w:val="28"/>
        </w:rPr>
      </w:pPr>
    </w:p>
    <w:p w:rsidR="00B5383E" w:rsidRDefault="00B5383E" w:rsidP="00B5383E">
      <w:pPr>
        <w:pStyle w:val="Footer"/>
        <w:rPr>
          <w:sz w:val="28"/>
          <w:szCs w:val="28"/>
        </w:rPr>
      </w:pPr>
      <w:r>
        <w:rPr>
          <w:sz w:val="28"/>
          <w:szCs w:val="28"/>
        </w:rPr>
        <w:t xml:space="preserve">Finanšu ministra vietā – </w:t>
      </w:r>
    </w:p>
    <w:p w:rsidR="00B5383E" w:rsidRDefault="00B5383E" w:rsidP="00B5383E">
      <w:pPr>
        <w:pStyle w:val="Footer"/>
        <w:rPr>
          <w:sz w:val="28"/>
          <w:szCs w:val="28"/>
        </w:rPr>
      </w:pPr>
      <w:r>
        <w:rPr>
          <w:sz w:val="28"/>
          <w:szCs w:val="28"/>
        </w:rPr>
        <w:t>satiksmes ministrs</w:t>
      </w:r>
      <w:r>
        <w:rPr>
          <w:sz w:val="28"/>
          <w:szCs w:val="28"/>
        </w:rPr>
        <w:tab/>
      </w:r>
      <w:r>
        <w:rPr>
          <w:sz w:val="28"/>
          <w:szCs w:val="28"/>
        </w:rPr>
        <w:tab/>
        <w:t>A.Matīss</w:t>
      </w:r>
    </w:p>
    <w:p w:rsidR="003040EA" w:rsidRDefault="003040EA" w:rsidP="003040EA">
      <w:pPr>
        <w:pStyle w:val="naisf"/>
        <w:tabs>
          <w:tab w:val="left" w:pos="6804"/>
        </w:tabs>
        <w:spacing w:before="0" w:after="0"/>
        <w:ind w:firstLine="0"/>
        <w:rPr>
          <w:sz w:val="28"/>
          <w:szCs w:val="28"/>
        </w:rPr>
      </w:pPr>
    </w:p>
    <w:p w:rsidR="0029446D" w:rsidRDefault="0029446D" w:rsidP="003040EA">
      <w:pPr>
        <w:pStyle w:val="naisf"/>
        <w:tabs>
          <w:tab w:val="left" w:pos="6804"/>
        </w:tabs>
        <w:spacing w:before="0" w:after="0"/>
        <w:ind w:firstLine="0"/>
        <w:rPr>
          <w:sz w:val="28"/>
          <w:szCs w:val="28"/>
        </w:rPr>
      </w:pPr>
    </w:p>
    <w:p w:rsidR="0029446D" w:rsidRDefault="0029446D" w:rsidP="003040EA">
      <w:pPr>
        <w:pStyle w:val="naisf"/>
        <w:tabs>
          <w:tab w:val="left" w:pos="6804"/>
        </w:tabs>
        <w:spacing w:before="0" w:after="0"/>
        <w:ind w:firstLine="0"/>
        <w:rPr>
          <w:sz w:val="28"/>
          <w:szCs w:val="28"/>
        </w:rPr>
      </w:pPr>
    </w:p>
    <w:p w:rsidR="00AD104F" w:rsidRDefault="00AD104F" w:rsidP="003040EA">
      <w:pPr>
        <w:pStyle w:val="naisf"/>
        <w:tabs>
          <w:tab w:val="left" w:pos="6804"/>
        </w:tabs>
        <w:spacing w:before="0" w:after="0"/>
        <w:ind w:firstLine="0"/>
        <w:rPr>
          <w:sz w:val="28"/>
          <w:szCs w:val="28"/>
        </w:rPr>
      </w:pPr>
    </w:p>
    <w:p w:rsidR="00547B05" w:rsidRDefault="00547B05" w:rsidP="003040EA">
      <w:pPr>
        <w:pStyle w:val="naisf"/>
        <w:tabs>
          <w:tab w:val="left" w:pos="6804"/>
        </w:tabs>
        <w:spacing w:before="0" w:after="0"/>
        <w:ind w:firstLine="0"/>
        <w:rPr>
          <w:sz w:val="28"/>
          <w:szCs w:val="28"/>
        </w:rPr>
      </w:pPr>
    </w:p>
    <w:p w:rsidR="00547B05" w:rsidRDefault="00547B05" w:rsidP="003040EA">
      <w:pPr>
        <w:pStyle w:val="naisf"/>
        <w:tabs>
          <w:tab w:val="left" w:pos="6804"/>
        </w:tabs>
        <w:spacing w:before="0" w:after="0"/>
        <w:ind w:firstLine="0"/>
        <w:rPr>
          <w:sz w:val="28"/>
          <w:szCs w:val="28"/>
        </w:rPr>
      </w:pPr>
    </w:p>
    <w:p w:rsidR="00B5383E" w:rsidRDefault="00B5383E" w:rsidP="00FC5263">
      <w:pPr>
        <w:jc w:val="both"/>
        <w:rPr>
          <w:sz w:val="22"/>
          <w:szCs w:val="28"/>
        </w:rPr>
      </w:pPr>
      <w:r>
        <w:rPr>
          <w:sz w:val="22"/>
          <w:szCs w:val="28"/>
        </w:rPr>
        <w:t>17.07.2013 10:55</w:t>
      </w:r>
    </w:p>
    <w:p w:rsidR="00FC5263" w:rsidRPr="00C71E66" w:rsidRDefault="00C26E00" w:rsidP="00FC5263">
      <w:pPr>
        <w:jc w:val="both"/>
        <w:rPr>
          <w:sz w:val="22"/>
          <w:szCs w:val="28"/>
        </w:rPr>
      </w:pPr>
      <w:bookmarkStart w:id="0" w:name="_GoBack"/>
      <w:bookmarkEnd w:id="0"/>
      <w:r>
        <w:rPr>
          <w:sz w:val="22"/>
          <w:szCs w:val="28"/>
        </w:rPr>
        <w:t>699</w:t>
      </w:r>
    </w:p>
    <w:p w:rsidR="00FC5263" w:rsidRPr="00C71E66" w:rsidRDefault="00FC5263" w:rsidP="00FC5263">
      <w:pPr>
        <w:jc w:val="both"/>
        <w:rPr>
          <w:sz w:val="22"/>
          <w:szCs w:val="28"/>
          <w:lang w:val="x-none"/>
        </w:rPr>
      </w:pPr>
      <w:r w:rsidRPr="00C71E66">
        <w:rPr>
          <w:sz w:val="22"/>
          <w:szCs w:val="28"/>
          <w:lang w:val="x-none"/>
        </w:rPr>
        <w:t>Roberts Auziņš</w:t>
      </w:r>
    </w:p>
    <w:p w:rsidR="00FC5263" w:rsidRPr="00C71E66" w:rsidRDefault="00FC5263" w:rsidP="00FC5263">
      <w:pPr>
        <w:jc w:val="both"/>
        <w:rPr>
          <w:sz w:val="22"/>
          <w:szCs w:val="28"/>
          <w:lang w:val="x-none"/>
        </w:rPr>
      </w:pPr>
      <w:r w:rsidRPr="00C71E66">
        <w:rPr>
          <w:sz w:val="22"/>
          <w:szCs w:val="28"/>
          <w:lang w:val="x-none"/>
        </w:rPr>
        <w:t>Finanšu ministrijas</w:t>
      </w:r>
    </w:p>
    <w:p w:rsidR="00FC5263" w:rsidRPr="00C71E66" w:rsidRDefault="00FC5263" w:rsidP="00FC5263">
      <w:pPr>
        <w:jc w:val="both"/>
        <w:rPr>
          <w:sz w:val="22"/>
          <w:szCs w:val="28"/>
          <w:lang w:val="x-none"/>
        </w:rPr>
      </w:pPr>
      <w:r w:rsidRPr="00C71E66">
        <w:rPr>
          <w:sz w:val="22"/>
          <w:szCs w:val="28"/>
          <w:lang w:val="x-none"/>
        </w:rPr>
        <w:t>Nodokļu administrēšanas</w:t>
      </w:r>
    </w:p>
    <w:p w:rsidR="00FC5263" w:rsidRPr="00C71E66" w:rsidRDefault="00FC5263" w:rsidP="00FC5263">
      <w:pPr>
        <w:jc w:val="both"/>
        <w:rPr>
          <w:sz w:val="22"/>
          <w:szCs w:val="28"/>
          <w:lang w:val="x-none"/>
        </w:rPr>
      </w:pPr>
      <w:r w:rsidRPr="00C71E66">
        <w:rPr>
          <w:sz w:val="22"/>
          <w:szCs w:val="28"/>
          <w:lang w:val="x-none"/>
        </w:rPr>
        <w:t>un grāmatvedības politikas departamenta</w:t>
      </w:r>
    </w:p>
    <w:p w:rsidR="00FC5263" w:rsidRPr="00C71E66" w:rsidRDefault="00FC5263" w:rsidP="00FC5263">
      <w:pPr>
        <w:jc w:val="both"/>
        <w:rPr>
          <w:sz w:val="22"/>
          <w:szCs w:val="28"/>
        </w:rPr>
      </w:pPr>
      <w:r w:rsidRPr="00C71E66">
        <w:rPr>
          <w:sz w:val="22"/>
          <w:szCs w:val="28"/>
          <w:lang w:val="x-none"/>
        </w:rPr>
        <w:t>Nodokļu administrēšanas politikas</w:t>
      </w:r>
      <w:r>
        <w:rPr>
          <w:sz w:val="22"/>
          <w:szCs w:val="28"/>
        </w:rPr>
        <w:t xml:space="preserve"> nodaļas</w:t>
      </w:r>
    </w:p>
    <w:p w:rsidR="00FC5263" w:rsidRPr="00C71E66" w:rsidRDefault="00FC5263" w:rsidP="00FC5263">
      <w:pPr>
        <w:jc w:val="both"/>
        <w:rPr>
          <w:sz w:val="22"/>
          <w:szCs w:val="28"/>
          <w:lang w:val="x-none"/>
        </w:rPr>
      </w:pPr>
      <w:r>
        <w:rPr>
          <w:sz w:val="22"/>
          <w:szCs w:val="28"/>
        </w:rPr>
        <w:t>vadītāja vietnieks</w:t>
      </w:r>
      <w:r w:rsidRPr="00C71E66">
        <w:rPr>
          <w:sz w:val="22"/>
          <w:szCs w:val="28"/>
          <w:lang w:val="x-none"/>
        </w:rPr>
        <w:t xml:space="preserve"> </w:t>
      </w:r>
    </w:p>
    <w:p w:rsidR="00FC5263" w:rsidRPr="00C71E66" w:rsidRDefault="00FC5263" w:rsidP="00FC5263">
      <w:pPr>
        <w:jc w:val="both"/>
        <w:rPr>
          <w:sz w:val="22"/>
          <w:szCs w:val="28"/>
          <w:lang w:val="x-none"/>
        </w:rPr>
      </w:pPr>
      <w:r w:rsidRPr="00C71E66">
        <w:rPr>
          <w:sz w:val="22"/>
          <w:szCs w:val="28"/>
          <w:lang w:val="x-none"/>
        </w:rPr>
        <w:t>6</w:t>
      </w:r>
      <w:r>
        <w:rPr>
          <w:sz w:val="22"/>
          <w:szCs w:val="28"/>
        </w:rPr>
        <w:t>7083919</w:t>
      </w:r>
      <w:r w:rsidRPr="00C71E66">
        <w:rPr>
          <w:sz w:val="22"/>
          <w:szCs w:val="28"/>
          <w:lang w:val="x-none"/>
        </w:rPr>
        <w:t xml:space="preserve"> Roberts.Auzins@fm.gov.lv</w:t>
      </w:r>
    </w:p>
    <w:sectPr w:rsidR="00FC5263" w:rsidRPr="00C71E66" w:rsidSect="00F62F4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15D" w:rsidRDefault="00A1315D">
      <w:r>
        <w:separator/>
      </w:r>
    </w:p>
  </w:endnote>
  <w:endnote w:type="continuationSeparator" w:id="0">
    <w:p w:rsidR="00A1315D" w:rsidRDefault="00A1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FD" w:rsidRDefault="00563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198" w:rsidRDefault="001E2B69" w:rsidP="00EA6362">
    <w:pPr>
      <w:pStyle w:val="Footer"/>
      <w:jc w:val="both"/>
    </w:pPr>
    <w:r w:rsidRPr="001E2B69">
      <w:rPr>
        <w:sz w:val="20"/>
        <w:szCs w:val="20"/>
      </w:rPr>
      <w:t>FMAnot_200313_APA_EUR</w:t>
    </w:r>
    <w:r w:rsidR="00EB053D" w:rsidRPr="00FC5263">
      <w:rPr>
        <w:sz w:val="20"/>
        <w:szCs w:val="20"/>
      </w:rPr>
      <w:t xml:space="preserve">; </w:t>
    </w:r>
    <w:r w:rsidRPr="001E2B69">
      <w:rPr>
        <w:sz w:val="20"/>
        <w:szCs w:val="20"/>
      </w:rPr>
      <w:t>Noteikumu projekta "Grozījums Ministru kabineta 2013.gada 3.janvāra noteikumos Nr.16 "Kārtība, kādā noslēdzama nodokļu maksātāja un nodokļu administrācijas iepriekšēja vienošanās par tirgus cenas (vērtības) noteikšanu darījumam vai darījumu veidam""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3D" w:rsidRPr="0029446D" w:rsidRDefault="00FC5263" w:rsidP="0029446D">
    <w:pPr>
      <w:pStyle w:val="Footer"/>
      <w:jc w:val="both"/>
    </w:pPr>
    <w:r w:rsidRPr="00FC5263">
      <w:rPr>
        <w:sz w:val="20"/>
        <w:szCs w:val="20"/>
      </w:rPr>
      <w:t>FMAnot_200313_</w:t>
    </w:r>
    <w:r w:rsidR="00563DFD">
      <w:rPr>
        <w:sz w:val="20"/>
        <w:szCs w:val="20"/>
      </w:rPr>
      <w:t>APA</w:t>
    </w:r>
    <w:r w:rsidRPr="00FC5263">
      <w:rPr>
        <w:sz w:val="20"/>
        <w:szCs w:val="20"/>
      </w:rPr>
      <w:t>_euro</w:t>
    </w:r>
    <w:r w:rsidR="0029446D" w:rsidRPr="002A3E3E">
      <w:rPr>
        <w:sz w:val="20"/>
        <w:szCs w:val="20"/>
      </w:rPr>
      <w:t xml:space="preserve">; </w:t>
    </w:r>
    <w:r w:rsidR="001E2B69" w:rsidRPr="001E2B69">
      <w:rPr>
        <w:sz w:val="20"/>
        <w:szCs w:val="20"/>
      </w:rPr>
      <w:t>Noteikumu projekta "Grozījums Ministru kabineta 2013.gada 3.janvāra noteikumos Nr.16 "Kārtība, kādā noslēdzama nodokļu maksātāja un nodokļu administrācijas iepriekšēja vienošanās par tirgus cenas (vērtības) noteikšanu darījumam vai darījumu veidam"" sākotnējās ietekmes novērtējuma ziņojums (anotācija)</w:t>
    </w:r>
    <w:r w:rsidR="001E2B6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15D" w:rsidRDefault="00A1315D">
      <w:r>
        <w:separator/>
      </w:r>
    </w:p>
  </w:footnote>
  <w:footnote w:type="continuationSeparator" w:id="0">
    <w:p w:rsidR="00A1315D" w:rsidRDefault="00A13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3D" w:rsidRDefault="00EB053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053D" w:rsidRDefault="00EB0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53D" w:rsidRDefault="00EB053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83E">
      <w:rPr>
        <w:rStyle w:val="PageNumber"/>
        <w:noProof/>
      </w:rPr>
      <w:t>3</w:t>
    </w:r>
    <w:r>
      <w:rPr>
        <w:rStyle w:val="PageNumber"/>
      </w:rPr>
      <w:fldChar w:fldCharType="end"/>
    </w:r>
  </w:p>
  <w:p w:rsidR="00EB053D" w:rsidRDefault="00EB05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FD" w:rsidRDefault="00563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3"/>
  </w:num>
  <w:num w:numId="3">
    <w:abstractNumId w:val="4"/>
  </w:num>
  <w:num w:numId="4">
    <w:abstractNumId w:val="2"/>
  </w:num>
  <w:num w:numId="5">
    <w:abstractNumId w:val="1"/>
  </w:num>
  <w:num w:numId="6">
    <w:abstractNumId w:val="10"/>
  </w:num>
  <w:num w:numId="7">
    <w:abstractNumId w:val="14"/>
  </w:num>
  <w:num w:numId="8">
    <w:abstractNumId w:val="7"/>
  </w:num>
  <w:num w:numId="9">
    <w:abstractNumId w:val="3"/>
  </w:num>
  <w:num w:numId="10">
    <w:abstractNumId w:val="8"/>
  </w:num>
  <w:num w:numId="11">
    <w:abstractNumId w:val="9"/>
  </w:num>
  <w:num w:numId="12">
    <w:abstractNumId w:val="11"/>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308F"/>
    <w:rsid w:val="00003517"/>
    <w:rsid w:val="0000641C"/>
    <w:rsid w:val="00011C00"/>
    <w:rsid w:val="00011D24"/>
    <w:rsid w:val="00013FF4"/>
    <w:rsid w:val="00015213"/>
    <w:rsid w:val="00017EAF"/>
    <w:rsid w:val="00020FE1"/>
    <w:rsid w:val="00022E13"/>
    <w:rsid w:val="00027394"/>
    <w:rsid w:val="00032388"/>
    <w:rsid w:val="00035CE2"/>
    <w:rsid w:val="00035DDF"/>
    <w:rsid w:val="0005553B"/>
    <w:rsid w:val="000604D2"/>
    <w:rsid w:val="00061587"/>
    <w:rsid w:val="00070D7A"/>
    <w:rsid w:val="0009005E"/>
    <w:rsid w:val="00092367"/>
    <w:rsid w:val="000941C5"/>
    <w:rsid w:val="000A6451"/>
    <w:rsid w:val="000B064E"/>
    <w:rsid w:val="000B69CF"/>
    <w:rsid w:val="000B7357"/>
    <w:rsid w:val="000C1E30"/>
    <w:rsid w:val="000C5ECF"/>
    <w:rsid w:val="000C6DD5"/>
    <w:rsid w:val="000C790C"/>
    <w:rsid w:val="000D3AED"/>
    <w:rsid w:val="000D7C3C"/>
    <w:rsid w:val="000E1B69"/>
    <w:rsid w:val="000F061D"/>
    <w:rsid w:val="000F1982"/>
    <w:rsid w:val="000F4794"/>
    <w:rsid w:val="00100EF9"/>
    <w:rsid w:val="001010FC"/>
    <w:rsid w:val="00105059"/>
    <w:rsid w:val="00115838"/>
    <w:rsid w:val="00117E30"/>
    <w:rsid w:val="00124F12"/>
    <w:rsid w:val="001347F7"/>
    <w:rsid w:val="00141024"/>
    <w:rsid w:val="001417B4"/>
    <w:rsid w:val="00144E3A"/>
    <w:rsid w:val="0015060C"/>
    <w:rsid w:val="0016018A"/>
    <w:rsid w:val="00161F0E"/>
    <w:rsid w:val="00165B11"/>
    <w:rsid w:val="0016758D"/>
    <w:rsid w:val="00170E2A"/>
    <w:rsid w:val="00177394"/>
    <w:rsid w:val="00182C18"/>
    <w:rsid w:val="00183CC2"/>
    <w:rsid w:val="001900E4"/>
    <w:rsid w:val="00190F88"/>
    <w:rsid w:val="001A2E25"/>
    <w:rsid w:val="001A4066"/>
    <w:rsid w:val="001A6AE4"/>
    <w:rsid w:val="001A769D"/>
    <w:rsid w:val="001B01FD"/>
    <w:rsid w:val="001B4A71"/>
    <w:rsid w:val="001C5C2C"/>
    <w:rsid w:val="001D166B"/>
    <w:rsid w:val="001D1780"/>
    <w:rsid w:val="001D5B54"/>
    <w:rsid w:val="001E1DBF"/>
    <w:rsid w:val="001E2B69"/>
    <w:rsid w:val="001E3070"/>
    <w:rsid w:val="001E4639"/>
    <w:rsid w:val="001E4A7D"/>
    <w:rsid w:val="001F4209"/>
    <w:rsid w:val="001F43A8"/>
    <w:rsid w:val="001F5CD6"/>
    <w:rsid w:val="00210D0B"/>
    <w:rsid w:val="0021263D"/>
    <w:rsid w:val="00213F0C"/>
    <w:rsid w:val="00214094"/>
    <w:rsid w:val="0021592D"/>
    <w:rsid w:val="00217F1F"/>
    <w:rsid w:val="00222D76"/>
    <w:rsid w:val="00223EB1"/>
    <w:rsid w:val="002257D7"/>
    <w:rsid w:val="002259E6"/>
    <w:rsid w:val="00231344"/>
    <w:rsid w:val="0023436E"/>
    <w:rsid w:val="002347C0"/>
    <w:rsid w:val="00241A6C"/>
    <w:rsid w:val="00242D2B"/>
    <w:rsid w:val="00251ADB"/>
    <w:rsid w:val="00252AAD"/>
    <w:rsid w:val="00262E2B"/>
    <w:rsid w:val="002640EA"/>
    <w:rsid w:val="00270429"/>
    <w:rsid w:val="002723E9"/>
    <w:rsid w:val="00277929"/>
    <w:rsid w:val="00277C8D"/>
    <w:rsid w:val="002818DF"/>
    <w:rsid w:val="00283255"/>
    <w:rsid w:val="00283B82"/>
    <w:rsid w:val="002846E9"/>
    <w:rsid w:val="00284C34"/>
    <w:rsid w:val="0029066C"/>
    <w:rsid w:val="0029446D"/>
    <w:rsid w:val="00294B19"/>
    <w:rsid w:val="002A3E3E"/>
    <w:rsid w:val="002A50A8"/>
    <w:rsid w:val="002B0982"/>
    <w:rsid w:val="002B50DB"/>
    <w:rsid w:val="002C10A7"/>
    <w:rsid w:val="002C12AB"/>
    <w:rsid w:val="002C1663"/>
    <w:rsid w:val="002C5C60"/>
    <w:rsid w:val="002C7CAC"/>
    <w:rsid w:val="002D3306"/>
    <w:rsid w:val="002D48AA"/>
    <w:rsid w:val="002D7875"/>
    <w:rsid w:val="002D7BAA"/>
    <w:rsid w:val="002D7F54"/>
    <w:rsid w:val="002E3FF4"/>
    <w:rsid w:val="002E4126"/>
    <w:rsid w:val="002F759C"/>
    <w:rsid w:val="002F78C8"/>
    <w:rsid w:val="003006CA"/>
    <w:rsid w:val="00301CF3"/>
    <w:rsid w:val="003032C1"/>
    <w:rsid w:val="003040EA"/>
    <w:rsid w:val="00306656"/>
    <w:rsid w:val="00306A38"/>
    <w:rsid w:val="00321247"/>
    <w:rsid w:val="0032715C"/>
    <w:rsid w:val="00336B3B"/>
    <w:rsid w:val="00337CA5"/>
    <w:rsid w:val="0034270B"/>
    <w:rsid w:val="00362478"/>
    <w:rsid w:val="00375B25"/>
    <w:rsid w:val="003807FF"/>
    <w:rsid w:val="0038132C"/>
    <w:rsid w:val="00390D8B"/>
    <w:rsid w:val="00396542"/>
    <w:rsid w:val="0039685B"/>
    <w:rsid w:val="003A31A6"/>
    <w:rsid w:val="003A6A3C"/>
    <w:rsid w:val="003A75C0"/>
    <w:rsid w:val="003A7F0C"/>
    <w:rsid w:val="003A7F79"/>
    <w:rsid w:val="003B6404"/>
    <w:rsid w:val="003C35C6"/>
    <w:rsid w:val="003C449B"/>
    <w:rsid w:val="003C6409"/>
    <w:rsid w:val="003D21FF"/>
    <w:rsid w:val="003F0112"/>
    <w:rsid w:val="003F071A"/>
    <w:rsid w:val="003F160B"/>
    <w:rsid w:val="003F7754"/>
    <w:rsid w:val="00400032"/>
    <w:rsid w:val="00400B5B"/>
    <w:rsid w:val="00404C10"/>
    <w:rsid w:val="004056ED"/>
    <w:rsid w:val="00405A00"/>
    <w:rsid w:val="00410246"/>
    <w:rsid w:val="00420870"/>
    <w:rsid w:val="00422593"/>
    <w:rsid w:val="00427C10"/>
    <w:rsid w:val="00432D0C"/>
    <w:rsid w:val="0043791B"/>
    <w:rsid w:val="00441483"/>
    <w:rsid w:val="00441BCB"/>
    <w:rsid w:val="0045176A"/>
    <w:rsid w:val="0045202F"/>
    <w:rsid w:val="00456332"/>
    <w:rsid w:val="00456663"/>
    <w:rsid w:val="00461826"/>
    <w:rsid w:val="0047358D"/>
    <w:rsid w:val="00475011"/>
    <w:rsid w:val="004800F9"/>
    <w:rsid w:val="0048589E"/>
    <w:rsid w:val="0049134A"/>
    <w:rsid w:val="004918A5"/>
    <w:rsid w:val="00493EE7"/>
    <w:rsid w:val="004A58CB"/>
    <w:rsid w:val="004B1795"/>
    <w:rsid w:val="004B56DD"/>
    <w:rsid w:val="004B5B0C"/>
    <w:rsid w:val="004C020F"/>
    <w:rsid w:val="004C1AFD"/>
    <w:rsid w:val="004C49D2"/>
    <w:rsid w:val="004C558B"/>
    <w:rsid w:val="004D526B"/>
    <w:rsid w:val="004E2E8D"/>
    <w:rsid w:val="004F1F88"/>
    <w:rsid w:val="004F5F1B"/>
    <w:rsid w:val="00502374"/>
    <w:rsid w:val="005037C5"/>
    <w:rsid w:val="005060A1"/>
    <w:rsid w:val="0051501D"/>
    <w:rsid w:val="00516072"/>
    <w:rsid w:val="00531404"/>
    <w:rsid w:val="005332EC"/>
    <w:rsid w:val="00534418"/>
    <w:rsid w:val="005353AB"/>
    <w:rsid w:val="00535E98"/>
    <w:rsid w:val="00547B05"/>
    <w:rsid w:val="00555391"/>
    <w:rsid w:val="005560BC"/>
    <w:rsid w:val="005573BE"/>
    <w:rsid w:val="00562633"/>
    <w:rsid w:val="00563DFD"/>
    <w:rsid w:val="00572700"/>
    <w:rsid w:val="005739B0"/>
    <w:rsid w:val="00580468"/>
    <w:rsid w:val="00582231"/>
    <w:rsid w:val="00583F9F"/>
    <w:rsid w:val="0058603B"/>
    <w:rsid w:val="0059431B"/>
    <w:rsid w:val="005A39CC"/>
    <w:rsid w:val="005A6055"/>
    <w:rsid w:val="005B4730"/>
    <w:rsid w:val="005C05FD"/>
    <w:rsid w:val="005C1F07"/>
    <w:rsid w:val="005C4769"/>
    <w:rsid w:val="005E05D7"/>
    <w:rsid w:val="005E41E7"/>
    <w:rsid w:val="005E450F"/>
    <w:rsid w:val="005F3ADF"/>
    <w:rsid w:val="005F6D90"/>
    <w:rsid w:val="006135BC"/>
    <w:rsid w:val="0062298A"/>
    <w:rsid w:val="00622BB8"/>
    <w:rsid w:val="0062518B"/>
    <w:rsid w:val="00625C4A"/>
    <w:rsid w:val="00626514"/>
    <w:rsid w:val="00626589"/>
    <w:rsid w:val="00632064"/>
    <w:rsid w:val="006339A0"/>
    <w:rsid w:val="00640460"/>
    <w:rsid w:val="006413A8"/>
    <w:rsid w:val="00642E56"/>
    <w:rsid w:val="00644238"/>
    <w:rsid w:val="006447FA"/>
    <w:rsid w:val="00651E00"/>
    <w:rsid w:val="00674572"/>
    <w:rsid w:val="00687763"/>
    <w:rsid w:val="00692B0D"/>
    <w:rsid w:val="00693E0E"/>
    <w:rsid w:val="00695BB7"/>
    <w:rsid w:val="006A1AE3"/>
    <w:rsid w:val="006C30E1"/>
    <w:rsid w:val="006C4607"/>
    <w:rsid w:val="006D0440"/>
    <w:rsid w:val="006D48F1"/>
    <w:rsid w:val="006D7E24"/>
    <w:rsid w:val="006F45BE"/>
    <w:rsid w:val="007004FC"/>
    <w:rsid w:val="00706670"/>
    <w:rsid w:val="00711F59"/>
    <w:rsid w:val="0072417C"/>
    <w:rsid w:val="007319F1"/>
    <w:rsid w:val="00734450"/>
    <w:rsid w:val="00745F67"/>
    <w:rsid w:val="0075039E"/>
    <w:rsid w:val="00752D9D"/>
    <w:rsid w:val="00754784"/>
    <w:rsid w:val="00757C6E"/>
    <w:rsid w:val="00762BDA"/>
    <w:rsid w:val="0076498E"/>
    <w:rsid w:val="00765346"/>
    <w:rsid w:val="007736F1"/>
    <w:rsid w:val="007805FD"/>
    <w:rsid w:val="00784422"/>
    <w:rsid w:val="00793C37"/>
    <w:rsid w:val="007964D6"/>
    <w:rsid w:val="00796DA2"/>
    <w:rsid w:val="00797E15"/>
    <w:rsid w:val="007A28B9"/>
    <w:rsid w:val="007A3BCF"/>
    <w:rsid w:val="007B3B54"/>
    <w:rsid w:val="007B3FA0"/>
    <w:rsid w:val="007B4BC6"/>
    <w:rsid w:val="007C0A8F"/>
    <w:rsid w:val="007C0F2C"/>
    <w:rsid w:val="007C2BCC"/>
    <w:rsid w:val="007C35B2"/>
    <w:rsid w:val="007C4EF0"/>
    <w:rsid w:val="007D099D"/>
    <w:rsid w:val="007E2664"/>
    <w:rsid w:val="007E3ABF"/>
    <w:rsid w:val="007E44C5"/>
    <w:rsid w:val="007E4735"/>
    <w:rsid w:val="007E5BFA"/>
    <w:rsid w:val="007E6689"/>
    <w:rsid w:val="007E731C"/>
    <w:rsid w:val="007F0A03"/>
    <w:rsid w:val="007F7EAD"/>
    <w:rsid w:val="00810040"/>
    <w:rsid w:val="0081754E"/>
    <w:rsid w:val="008201D2"/>
    <w:rsid w:val="0082023A"/>
    <w:rsid w:val="00821A7A"/>
    <w:rsid w:val="008253F8"/>
    <w:rsid w:val="00826B74"/>
    <w:rsid w:val="00826C67"/>
    <w:rsid w:val="00826F98"/>
    <w:rsid w:val="008325E4"/>
    <w:rsid w:val="00832A2B"/>
    <w:rsid w:val="0083777F"/>
    <w:rsid w:val="008433E8"/>
    <w:rsid w:val="00843A2D"/>
    <w:rsid w:val="00845811"/>
    <w:rsid w:val="00846994"/>
    <w:rsid w:val="00850451"/>
    <w:rsid w:val="00852042"/>
    <w:rsid w:val="008534C9"/>
    <w:rsid w:val="0085599D"/>
    <w:rsid w:val="00855FF4"/>
    <w:rsid w:val="00870903"/>
    <w:rsid w:val="0087510C"/>
    <w:rsid w:val="00881B32"/>
    <w:rsid w:val="00890442"/>
    <w:rsid w:val="00893E73"/>
    <w:rsid w:val="008968D2"/>
    <w:rsid w:val="0089738E"/>
    <w:rsid w:val="008B5FDB"/>
    <w:rsid w:val="008C2F07"/>
    <w:rsid w:val="008C50F4"/>
    <w:rsid w:val="008C5649"/>
    <w:rsid w:val="008E44A2"/>
    <w:rsid w:val="008E697D"/>
    <w:rsid w:val="0090267E"/>
    <w:rsid w:val="00903263"/>
    <w:rsid w:val="009058E2"/>
    <w:rsid w:val="00906A21"/>
    <w:rsid w:val="009079C3"/>
    <w:rsid w:val="00910462"/>
    <w:rsid w:val="00915AB1"/>
    <w:rsid w:val="00916198"/>
    <w:rsid w:val="00917532"/>
    <w:rsid w:val="009202D1"/>
    <w:rsid w:val="009235BA"/>
    <w:rsid w:val="00924023"/>
    <w:rsid w:val="00924CE2"/>
    <w:rsid w:val="00925B9F"/>
    <w:rsid w:val="009309EB"/>
    <w:rsid w:val="00931AED"/>
    <w:rsid w:val="00945766"/>
    <w:rsid w:val="009476A3"/>
    <w:rsid w:val="0095334F"/>
    <w:rsid w:val="009639C2"/>
    <w:rsid w:val="00965897"/>
    <w:rsid w:val="009669C7"/>
    <w:rsid w:val="0096765C"/>
    <w:rsid w:val="009727E4"/>
    <w:rsid w:val="00977037"/>
    <w:rsid w:val="00987B16"/>
    <w:rsid w:val="00992E99"/>
    <w:rsid w:val="009934C5"/>
    <w:rsid w:val="00994C0F"/>
    <w:rsid w:val="00997F03"/>
    <w:rsid w:val="009B118C"/>
    <w:rsid w:val="009B22D7"/>
    <w:rsid w:val="009B2A92"/>
    <w:rsid w:val="009B4270"/>
    <w:rsid w:val="009B72ED"/>
    <w:rsid w:val="009C30E0"/>
    <w:rsid w:val="009C5659"/>
    <w:rsid w:val="009C6DEB"/>
    <w:rsid w:val="009D27A6"/>
    <w:rsid w:val="009D6504"/>
    <w:rsid w:val="009E12D7"/>
    <w:rsid w:val="009E661A"/>
    <w:rsid w:val="009F64D6"/>
    <w:rsid w:val="009F7D7D"/>
    <w:rsid w:val="00A05E77"/>
    <w:rsid w:val="00A06077"/>
    <w:rsid w:val="00A06781"/>
    <w:rsid w:val="00A074C3"/>
    <w:rsid w:val="00A07D42"/>
    <w:rsid w:val="00A100ED"/>
    <w:rsid w:val="00A1315D"/>
    <w:rsid w:val="00A1367E"/>
    <w:rsid w:val="00A1509C"/>
    <w:rsid w:val="00A249B9"/>
    <w:rsid w:val="00A26187"/>
    <w:rsid w:val="00A31F77"/>
    <w:rsid w:val="00A34260"/>
    <w:rsid w:val="00A513CA"/>
    <w:rsid w:val="00A523F9"/>
    <w:rsid w:val="00A6048E"/>
    <w:rsid w:val="00A648A4"/>
    <w:rsid w:val="00A70CFD"/>
    <w:rsid w:val="00A72A0B"/>
    <w:rsid w:val="00A72CAB"/>
    <w:rsid w:val="00A77110"/>
    <w:rsid w:val="00A81E42"/>
    <w:rsid w:val="00A82F8D"/>
    <w:rsid w:val="00A864FE"/>
    <w:rsid w:val="00A86F41"/>
    <w:rsid w:val="00A8776B"/>
    <w:rsid w:val="00A87D04"/>
    <w:rsid w:val="00A950C5"/>
    <w:rsid w:val="00AA1BF0"/>
    <w:rsid w:val="00AA1D25"/>
    <w:rsid w:val="00AA28BC"/>
    <w:rsid w:val="00AB2B1A"/>
    <w:rsid w:val="00AB397F"/>
    <w:rsid w:val="00AB5832"/>
    <w:rsid w:val="00AC51F2"/>
    <w:rsid w:val="00AD104F"/>
    <w:rsid w:val="00AD3269"/>
    <w:rsid w:val="00AD3936"/>
    <w:rsid w:val="00AD64BC"/>
    <w:rsid w:val="00AE0B4B"/>
    <w:rsid w:val="00AE5066"/>
    <w:rsid w:val="00AE5E24"/>
    <w:rsid w:val="00AE61B7"/>
    <w:rsid w:val="00AE6CBA"/>
    <w:rsid w:val="00AE79AD"/>
    <w:rsid w:val="00AF35E4"/>
    <w:rsid w:val="00AF5CDE"/>
    <w:rsid w:val="00AF6A09"/>
    <w:rsid w:val="00B11A57"/>
    <w:rsid w:val="00B211C3"/>
    <w:rsid w:val="00B25597"/>
    <w:rsid w:val="00B267B9"/>
    <w:rsid w:val="00B33E09"/>
    <w:rsid w:val="00B35966"/>
    <w:rsid w:val="00B40D37"/>
    <w:rsid w:val="00B4248B"/>
    <w:rsid w:val="00B462C3"/>
    <w:rsid w:val="00B50708"/>
    <w:rsid w:val="00B50C68"/>
    <w:rsid w:val="00B51293"/>
    <w:rsid w:val="00B52B1E"/>
    <w:rsid w:val="00B5383E"/>
    <w:rsid w:val="00B55481"/>
    <w:rsid w:val="00B56C32"/>
    <w:rsid w:val="00B56D61"/>
    <w:rsid w:val="00B57ACF"/>
    <w:rsid w:val="00B61E4D"/>
    <w:rsid w:val="00B64BB1"/>
    <w:rsid w:val="00B73166"/>
    <w:rsid w:val="00B73D56"/>
    <w:rsid w:val="00B8426C"/>
    <w:rsid w:val="00B86462"/>
    <w:rsid w:val="00B91B8D"/>
    <w:rsid w:val="00B94E90"/>
    <w:rsid w:val="00BA7CAD"/>
    <w:rsid w:val="00BB0A82"/>
    <w:rsid w:val="00BB54DC"/>
    <w:rsid w:val="00BB7C94"/>
    <w:rsid w:val="00BC0A9D"/>
    <w:rsid w:val="00BC4569"/>
    <w:rsid w:val="00BD0F53"/>
    <w:rsid w:val="00BD2987"/>
    <w:rsid w:val="00BD3D8C"/>
    <w:rsid w:val="00BD494D"/>
    <w:rsid w:val="00BD4D26"/>
    <w:rsid w:val="00BD5A4C"/>
    <w:rsid w:val="00BE1763"/>
    <w:rsid w:val="00BF40ED"/>
    <w:rsid w:val="00BF5BC2"/>
    <w:rsid w:val="00BF75BE"/>
    <w:rsid w:val="00C10939"/>
    <w:rsid w:val="00C109F4"/>
    <w:rsid w:val="00C10EA6"/>
    <w:rsid w:val="00C1133D"/>
    <w:rsid w:val="00C26E00"/>
    <w:rsid w:val="00C27A08"/>
    <w:rsid w:val="00C31312"/>
    <w:rsid w:val="00C31E36"/>
    <w:rsid w:val="00C326C6"/>
    <w:rsid w:val="00C35295"/>
    <w:rsid w:val="00C36ADD"/>
    <w:rsid w:val="00C36E74"/>
    <w:rsid w:val="00C40595"/>
    <w:rsid w:val="00C40D7B"/>
    <w:rsid w:val="00C41621"/>
    <w:rsid w:val="00C41B7C"/>
    <w:rsid w:val="00C449FA"/>
    <w:rsid w:val="00C5384F"/>
    <w:rsid w:val="00C56964"/>
    <w:rsid w:val="00C656D5"/>
    <w:rsid w:val="00C67103"/>
    <w:rsid w:val="00C71BB9"/>
    <w:rsid w:val="00C736FB"/>
    <w:rsid w:val="00C74DEE"/>
    <w:rsid w:val="00C82A12"/>
    <w:rsid w:val="00C94C28"/>
    <w:rsid w:val="00CA15AA"/>
    <w:rsid w:val="00CB0247"/>
    <w:rsid w:val="00CB0A64"/>
    <w:rsid w:val="00CB19F9"/>
    <w:rsid w:val="00CB3440"/>
    <w:rsid w:val="00CB3FC2"/>
    <w:rsid w:val="00CB4084"/>
    <w:rsid w:val="00CC1692"/>
    <w:rsid w:val="00CC7AC4"/>
    <w:rsid w:val="00CD138B"/>
    <w:rsid w:val="00CD3E31"/>
    <w:rsid w:val="00CD7117"/>
    <w:rsid w:val="00CD74A3"/>
    <w:rsid w:val="00CE0527"/>
    <w:rsid w:val="00CE1DEE"/>
    <w:rsid w:val="00CE30D0"/>
    <w:rsid w:val="00CE5B23"/>
    <w:rsid w:val="00CF573B"/>
    <w:rsid w:val="00CF70AD"/>
    <w:rsid w:val="00CF7729"/>
    <w:rsid w:val="00D00059"/>
    <w:rsid w:val="00D009CE"/>
    <w:rsid w:val="00D02F34"/>
    <w:rsid w:val="00D0487F"/>
    <w:rsid w:val="00D107FA"/>
    <w:rsid w:val="00D11555"/>
    <w:rsid w:val="00D12275"/>
    <w:rsid w:val="00D12766"/>
    <w:rsid w:val="00D20E4E"/>
    <w:rsid w:val="00D20FF4"/>
    <w:rsid w:val="00D22B0E"/>
    <w:rsid w:val="00D24D2C"/>
    <w:rsid w:val="00D34AA4"/>
    <w:rsid w:val="00D35881"/>
    <w:rsid w:val="00D442BD"/>
    <w:rsid w:val="00D44A23"/>
    <w:rsid w:val="00D479AF"/>
    <w:rsid w:val="00D55399"/>
    <w:rsid w:val="00D71E21"/>
    <w:rsid w:val="00D83E21"/>
    <w:rsid w:val="00DA664C"/>
    <w:rsid w:val="00DA78A7"/>
    <w:rsid w:val="00DA7DA5"/>
    <w:rsid w:val="00DB0440"/>
    <w:rsid w:val="00DB073B"/>
    <w:rsid w:val="00DB49BC"/>
    <w:rsid w:val="00DB7308"/>
    <w:rsid w:val="00DB78F0"/>
    <w:rsid w:val="00DC0CEA"/>
    <w:rsid w:val="00DC2E43"/>
    <w:rsid w:val="00DC34AC"/>
    <w:rsid w:val="00DD095C"/>
    <w:rsid w:val="00DD0A7A"/>
    <w:rsid w:val="00DD1020"/>
    <w:rsid w:val="00DD1330"/>
    <w:rsid w:val="00DD28E0"/>
    <w:rsid w:val="00DD3231"/>
    <w:rsid w:val="00DE0B83"/>
    <w:rsid w:val="00DE0D0F"/>
    <w:rsid w:val="00DE1A81"/>
    <w:rsid w:val="00DE1C13"/>
    <w:rsid w:val="00DE2677"/>
    <w:rsid w:val="00DE4D02"/>
    <w:rsid w:val="00DE4E10"/>
    <w:rsid w:val="00DE7083"/>
    <w:rsid w:val="00DF4689"/>
    <w:rsid w:val="00DF6797"/>
    <w:rsid w:val="00DF6A1A"/>
    <w:rsid w:val="00E007BC"/>
    <w:rsid w:val="00E02ABF"/>
    <w:rsid w:val="00E14995"/>
    <w:rsid w:val="00E1554D"/>
    <w:rsid w:val="00E166B0"/>
    <w:rsid w:val="00E179CD"/>
    <w:rsid w:val="00E22DBD"/>
    <w:rsid w:val="00E23250"/>
    <w:rsid w:val="00E23E8D"/>
    <w:rsid w:val="00E246E3"/>
    <w:rsid w:val="00E253EB"/>
    <w:rsid w:val="00E30E9F"/>
    <w:rsid w:val="00E311A3"/>
    <w:rsid w:val="00E37F98"/>
    <w:rsid w:val="00E40E32"/>
    <w:rsid w:val="00E46559"/>
    <w:rsid w:val="00E60101"/>
    <w:rsid w:val="00E6670C"/>
    <w:rsid w:val="00E71969"/>
    <w:rsid w:val="00E776E8"/>
    <w:rsid w:val="00E83AD7"/>
    <w:rsid w:val="00E92C1F"/>
    <w:rsid w:val="00E95D4B"/>
    <w:rsid w:val="00EA4F15"/>
    <w:rsid w:val="00EA5176"/>
    <w:rsid w:val="00EA6362"/>
    <w:rsid w:val="00EA6728"/>
    <w:rsid w:val="00EA76B8"/>
    <w:rsid w:val="00EB053D"/>
    <w:rsid w:val="00EB0D3C"/>
    <w:rsid w:val="00EB199F"/>
    <w:rsid w:val="00EC23F7"/>
    <w:rsid w:val="00EC4BD8"/>
    <w:rsid w:val="00EC63EB"/>
    <w:rsid w:val="00ED3684"/>
    <w:rsid w:val="00ED412F"/>
    <w:rsid w:val="00EF0186"/>
    <w:rsid w:val="00EF36B2"/>
    <w:rsid w:val="00F1231C"/>
    <w:rsid w:val="00F1246B"/>
    <w:rsid w:val="00F201EC"/>
    <w:rsid w:val="00F208A9"/>
    <w:rsid w:val="00F2102F"/>
    <w:rsid w:val="00F22CAF"/>
    <w:rsid w:val="00F23A5E"/>
    <w:rsid w:val="00F41D75"/>
    <w:rsid w:val="00F508C7"/>
    <w:rsid w:val="00F5139D"/>
    <w:rsid w:val="00F5498A"/>
    <w:rsid w:val="00F62F43"/>
    <w:rsid w:val="00F63DAC"/>
    <w:rsid w:val="00F71B07"/>
    <w:rsid w:val="00F7454F"/>
    <w:rsid w:val="00F77511"/>
    <w:rsid w:val="00F77988"/>
    <w:rsid w:val="00F77F48"/>
    <w:rsid w:val="00F82FD3"/>
    <w:rsid w:val="00FA0FD5"/>
    <w:rsid w:val="00FB30F1"/>
    <w:rsid w:val="00FB37FF"/>
    <w:rsid w:val="00FB53E7"/>
    <w:rsid w:val="00FB69DD"/>
    <w:rsid w:val="00FC5263"/>
    <w:rsid w:val="00FD2A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699</Words>
  <Characters>4731</Characters>
  <Application>Microsoft Office Word</Application>
  <DocSecurity>0</DocSecurity>
  <Lines>39</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projekts "Grozījums Ministru kabineta 2013.gada 3.janvāra noteikumos Nr.16 "Kārtība, kādā noslēdzama nodokļu maksātāja un nodokļu administrācijas iepriekšēja vienošanās par tirgus cenas (vērtības) noteikšanu darījumam vai darījumu veidam"" </vt:lpstr>
      <vt:lpstr>Likumprojekta „Grozījumi likumā „Par presi un citiem masu informācijas līdzekļiem”” sākotnējās ietekmes novērtējuma ziņojums (anotācija)</vt:lpstr>
    </vt:vector>
  </TitlesOfParts>
  <Company>Finanšu ministrija</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"Grozījums Ministru kabineta 2013.gada 3.janvāra noteikumos Nr.16 "Kārtība, kādā noslēdzama nodokļu maksātāja un nodokļu administrācijas iepriekšēja vienošanās par tirgus cenas (vērtības) noteikšanu darījumam vai darījumu veidam"" </dc:title>
  <dc:subject>Anotācija</dc:subject>
  <dc:creator>Auziņš</dc:creator>
  <cp:keywords/>
  <dc:description>R.Auziņš 67083919</dc:description>
  <cp:lastModifiedBy>Windows User</cp:lastModifiedBy>
  <cp:revision>9</cp:revision>
  <cp:lastPrinted>2013-07-12T14:30:00Z</cp:lastPrinted>
  <dcterms:created xsi:type="dcterms:W3CDTF">2013-03-21T13:02:00Z</dcterms:created>
  <dcterms:modified xsi:type="dcterms:W3CDTF">2013-07-17T07:55:00Z</dcterms:modified>
</cp:coreProperties>
</file>