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F1" w:rsidRDefault="006C4EB7" w:rsidP="00A7297A">
      <w:pPr>
        <w:jc w:val="center"/>
        <w:rPr>
          <w:b/>
        </w:rPr>
      </w:pPr>
      <w:bookmarkStart w:id="0" w:name="_GoBack"/>
      <w:bookmarkEnd w:id="0"/>
      <w:r w:rsidRPr="001910F3">
        <w:rPr>
          <w:b/>
        </w:rPr>
        <w:t xml:space="preserve">Ministru kabineta noteikumu projekta </w:t>
      </w:r>
      <w:r w:rsidR="00A7297A" w:rsidRPr="001910F3">
        <w:rPr>
          <w:b/>
        </w:rPr>
        <w:t>„Grozījumi Ministru kabineta 2012.gada 29.maija  noteikumos Nr.375 “Saimnieciskā gada pārskata sagatavošanas kārtība””</w:t>
      </w:r>
      <w:r w:rsidR="00C92DBC" w:rsidRPr="001910F3">
        <w:rPr>
          <w:b/>
        </w:rPr>
        <w:t xml:space="preserve"> </w:t>
      </w:r>
      <w:r w:rsidR="000F41F1" w:rsidRPr="001910F3">
        <w:rPr>
          <w:b/>
        </w:rPr>
        <w:t>sākotnējās ietekmes novērtējuma ziņojums (anotācija)</w:t>
      </w:r>
    </w:p>
    <w:p w:rsidR="001609FF" w:rsidRPr="001910F3" w:rsidRDefault="001609FF" w:rsidP="00A7297A">
      <w:pPr>
        <w:jc w:val="center"/>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2543"/>
        <w:gridCol w:w="6229"/>
      </w:tblGrid>
      <w:tr w:rsidR="006C4EB7" w:rsidRPr="001910F3" w:rsidTr="00A83BDB">
        <w:tc>
          <w:tcPr>
            <w:tcW w:w="9288" w:type="dxa"/>
            <w:gridSpan w:val="3"/>
            <w:shd w:val="clear" w:color="auto" w:fill="auto"/>
          </w:tcPr>
          <w:p w:rsidR="006C4EB7" w:rsidRPr="001910F3" w:rsidRDefault="006C4EB7" w:rsidP="001F20CA">
            <w:pPr>
              <w:pStyle w:val="NormalWeb"/>
            </w:pPr>
            <w:r w:rsidRPr="001910F3">
              <w:rPr>
                <w:b/>
                <w:bCs/>
              </w:rPr>
              <w:t>I. Tiesību akta projekta izstrādes nepieciešamība</w:t>
            </w:r>
          </w:p>
        </w:tc>
      </w:tr>
      <w:tr w:rsidR="0049512E" w:rsidRPr="001910F3" w:rsidTr="001609FF">
        <w:tc>
          <w:tcPr>
            <w:tcW w:w="516" w:type="dxa"/>
            <w:shd w:val="clear" w:color="auto" w:fill="auto"/>
          </w:tcPr>
          <w:p w:rsidR="0049512E" w:rsidRPr="001910F3" w:rsidRDefault="0049512E" w:rsidP="001F20CA">
            <w:pPr>
              <w:pStyle w:val="NormalWeb"/>
            </w:pPr>
            <w:r w:rsidRPr="001910F3">
              <w:t>1.</w:t>
            </w:r>
          </w:p>
        </w:tc>
        <w:tc>
          <w:tcPr>
            <w:tcW w:w="2543" w:type="dxa"/>
            <w:shd w:val="clear" w:color="auto" w:fill="auto"/>
          </w:tcPr>
          <w:p w:rsidR="0049512E" w:rsidRPr="001910F3" w:rsidRDefault="0049512E" w:rsidP="001F20CA">
            <w:pPr>
              <w:pStyle w:val="NormalWeb"/>
            </w:pPr>
            <w:r w:rsidRPr="001910F3">
              <w:t>Pamatojums</w:t>
            </w:r>
          </w:p>
        </w:tc>
        <w:tc>
          <w:tcPr>
            <w:tcW w:w="6229" w:type="dxa"/>
            <w:shd w:val="clear" w:color="auto" w:fill="auto"/>
          </w:tcPr>
          <w:p w:rsidR="00906FD1" w:rsidRPr="001910F3" w:rsidRDefault="00906FD1" w:rsidP="00B934F4">
            <w:pPr>
              <w:pStyle w:val="ListParagraph"/>
              <w:numPr>
                <w:ilvl w:val="0"/>
                <w:numId w:val="13"/>
              </w:numPr>
              <w:spacing w:after="60"/>
              <w:jc w:val="both"/>
              <w:rPr>
                <w:i/>
                <w:sz w:val="22"/>
                <w:szCs w:val="24"/>
                <w:lang w:val="lv-LV"/>
              </w:rPr>
            </w:pPr>
            <w:r w:rsidRPr="001910F3">
              <w:rPr>
                <w:sz w:val="24"/>
                <w:lang w:val="lv-LV"/>
              </w:rPr>
              <w:t>E</w:t>
            </w:r>
            <w:r w:rsidR="00EB75BB" w:rsidRPr="001910F3">
              <w:rPr>
                <w:sz w:val="24"/>
                <w:lang w:val="lv-LV"/>
              </w:rPr>
              <w:t>u</w:t>
            </w:r>
            <w:r w:rsidRPr="001910F3">
              <w:rPr>
                <w:sz w:val="24"/>
                <w:lang w:val="lv-LV"/>
              </w:rPr>
              <w:t>ro ieviešanas kārtības likuma 30. pants.</w:t>
            </w:r>
          </w:p>
          <w:p w:rsidR="006759C4" w:rsidRPr="001910F3" w:rsidRDefault="005F47AF" w:rsidP="00906FD1">
            <w:pPr>
              <w:spacing w:after="60"/>
              <w:ind w:left="-36" w:firstLine="450"/>
              <w:jc w:val="both"/>
            </w:pPr>
            <w:r w:rsidRPr="001910F3">
              <w:t>Ministru kabineta 2013.gada 4.aprīļa rīkojuma Nr.136 „Par Latvijas Nacionālo euro ieviešanas plānu” 1.pielikuma „Pasākumu plāns Eiropas vienotās valūtas ieviešanai Latvijā” Juridisko jautājumu sadaļā uzdotie uzdevumi, kas saistīti ar Ministru kabineta normatīvo aktu pielāgošanu euro</w:t>
            </w:r>
            <w:r w:rsidR="006759C4" w:rsidRPr="001910F3">
              <w:t>.</w:t>
            </w:r>
          </w:p>
          <w:p w:rsidR="006759C4" w:rsidRPr="001910F3" w:rsidRDefault="006759C4" w:rsidP="00F53EA5">
            <w:pPr>
              <w:pStyle w:val="BodyText"/>
              <w:tabs>
                <w:tab w:val="left" w:pos="1026"/>
              </w:tabs>
              <w:ind w:left="-11" w:firstLine="425"/>
            </w:pPr>
            <w:r w:rsidRPr="001910F3">
              <w:t>Ministru kabineta 2012.gada 27.jūnija rīkojuma Nr.282 „Par „Koncepciju par normatīvo aktu sakārtošanu saistībā ar eiro ieviešanu Latvijā”” 7.punkts.</w:t>
            </w:r>
          </w:p>
          <w:p w:rsidR="00B934F4" w:rsidRPr="001910F3" w:rsidRDefault="00B934F4" w:rsidP="00F53EA5">
            <w:pPr>
              <w:pStyle w:val="BodyText"/>
              <w:tabs>
                <w:tab w:val="left" w:pos="1026"/>
              </w:tabs>
              <w:ind w:left="-11" w:firstLine="425"/>
              <w:rPr>
                <w:lang w:eastAsia="en-US"/>
              </w:rPr>
            </w:pPr>
          </w:p>
          <w:p w:rsidR="00680DC2" w:rsidRPr="001910F3" w:rsidRDefault="00680DC2" w:rsidP="00680DC2">
            <w:pPr>
              <w:pStyle w:val="BodyTextIndent"/>
              <w:numPr>
                <w:ilvl w:val="0"/>
                <w:numId w:val="13"/>
              </w:numPr>
              <w:tabs>
                <w:tab w:val="left" w:pos="-36"/>
                <w:tab w:val="left" w:pos="0"/>
              </w:tabs>
              <w:spacing w:after="120"/>
              <w:ind w:left="0" w:firstLine="360"/>
              <w:jc w:val="both"/>
              <w:rPr>
                <w:sz w:val="24"/>
              </w:rPr>
            </w:pPr>
            <w:r w:rsidRPr="001910F3">
              <w:rPr>
                <w:sz w:val="24"/>
              </w:rPr>
              <w:t>Noteikumu projekts izstrādāts, jo nepieciešams papildināt pārskatu un to pielikumu</w:t>
            </w:r>
            <w:r w:rsidR="00445652">
              <w:rPr>
                <w:sz w:val="24"/>
              </w:rPr>
              <w:t>s</w:t>
            </w:r>
            <w:r w:rsidRPr="001910F3">
              <w:rPr>
                <w:sz w:val="24"/>
              </w:rPr>
              <w:t xml:space="preserve"> atbilstoši 2012.gada 11.decembra Ministru kabineta noteikumiem </w:t>
            </w:r>
            <w:r w:rsidRPr="00EF791C">
              <w:rPr>
                <w:sz w:val="24"/>
              </w:rPr>
              <w:t>Nr.85</w:t>
            </w:r>
            <w:r w:rsidR="00067ED5" w:rsidRPr="00EF791C">
              <w:rPr>
                <w:sz w:val="24"/>
              </w:rPr>
              <w:t>4</w:t>
            </w:r>
            <w:r w:rsidRPr="001910F3">
              <w:rPr>
                <w:sz w:val="24"/>
              </w:rPr>
              <w:t xml:space="preserve"> „Grozījumi Ministru kabineta 2005.gada 8.novembra noteikumos Nr.842 "</w:t>
            </w:r>
            <w:hyperlink r:id="rId8" w:tgtFrame="_blank" w:history="1">
              <w:r w:rsidRPr="001910F3">
                <w:rPr>
                  <w:sz w:val="24"/>
                </w:rPr>
                <w:t>Noteikumi par vispārējā valdības parāda klasifikāciju</w:t>
              </w:r>
            </w:hyperlink>
            <w:r w:rsidRPr="001910F3">
              <w:rPr>
                <w:sz w:val="24"/>
              </w:rPr>
              <w:t xml:space="preserve">" </w:t>
            </w:r>
            <w:r w:rsidRPr="001910F3">
              <w:rPr>
                <w:bCs/>
                <w:color w:val="000000"/>
                <w:sz w:val="24"/>
              </w:rPr>
              <w:t>(turpmāk</w:t>
            </w:r>
            <w:r w:rsidR="00445652">
              <w:rPr>
                <w:bCs/>
                <w:color w:val="000000"/>
                <w:sz w:val="24"/>
              </w:rPr>
              <w:t xml:space="preserve"> </w:t>
            </w:r>
            <w:r w:rsidRPr="001910F3">
              <w:rPr>
                <w:bCs/>
                <w:color w:val="000000"/>
                <w:sz w:val="24"/>
              </w:rPr>
              <w:t xml:space="preserve">- MK noteikumi Nr.842) </w:t>
            </w:r>
            <w:r w:rsidRPr="001910F3">
              <w:rPr>
                <w:sz w:val="24"/>
              </w:rPr>
              <w:t>un Ministru kabineta 2013.gada 15.oktobra noteikumiem Nr. 1115 „</w:t>
            </w:r>
            <w:r w:rsidRPr="001910F3">
              <w:rPr>
                <w:bCs/>
                <w:color w:val="000000"/>
                <w:sz w:val="24"/>
                <w:lang w:eastAsia="lv-LV"/>
              </w:rPr>
              <w:t>Gada pārskata sagatavošanas kārtība</w:t>
            </w:r>
            <w:r w:rsidRPr="001910F3">
              <w:rPr>
                <w:bCs/>
                <w:color w:val="000000"/>
                <w:sz w:val="24"/>
              </w:rPr>
              <w:t>” (turpmāk- MK noteikumi Nr.1115).</w:t>
            </w:r>
          </w:p>
          <w:p w:rsidR="00C9406F" w:rsidRPr="001910F3" w:rsidRDefault="00C9406F" w:rsidP="00B934F4">
            <w:pPr>
              <w:pStyle w:val="BodyText"/>
              <w:tabs>
                <w:tab w:val="left" w:pos="1026"/>
              </w:tabs>
              <w:ind w:left="360"/>
            </w:pPr>
          </w:p>
        </w:tc>
      </w:tr>
      <w:tr w:rsidR="0049512E" w:rsidRPr="001910F3" w:rsidTr="001609FF">
        <w:tc>
          <w:tcPr>
            <w:tcW w:w="516" w:type="dxa"/>
            <w:shd w:val="clear" w:color="auto" w:fill="auto"/>
          </w:tcPr>
          <w:p w:rsidR="0049512E" w:rsidRPr="001910F3" w:rsidRDefault="0049512E" w:rsidP="001F20CA">
            <w:pPr>
              <w:pStyle w:val="NormalWeb"/>
            </w:pPr>
            <w:r w:rsidRPr="001910F3">
              <w:t>2.</w:t>
            </w:r>
          </w:p>
        </w:tc>
        <w:tc>
          <w:tcPr>
            <w:tcW w:w="2543" w:type="dxa"/>
            <w:shd w:val="clear" w:color="auto" w:fill="auto"/>
          </w:tcPr>
          <w:p w:rsidR="0049512E" w:rsidRPr="001910F3" w:rsidRDefault="00C20814" w:rsidP="001F20CA">
            <w:pPr>
              <w:pStyle w:val="NormalWeb"/>
            </w:pPr>
            <w:r w:rsidRPr="00AD3EFF">
              <w:t xml:space="preserve"> Pašreizējā situācija un problēmas, kuru risināšanai tiesību akta projekts izstrādāts, tiesiskā regulējuma mērķis un būtība</w:t>
            </w:r>
          </w:p>
        </w:tc>
        <w:tc>
          <w:tcPr>
            <w:tcW w:w="6229" w:type="dxa"/>
            <w:shd w:val="clear" w:color="auto" w:fill="auto"/>
          </w:tcPr>
          <w:p w:rsidR="00C20814" w:rsidRDefault="00C20814" w:rsidP="001609FF">
            <w:pPr>
              <w:pStyle w:val="NormalWeb"/>
              <w:tabs>
                <w:tab w:val="left" w:pos="422"/>
              </w:tabs>
              <w:spacing w:before="0" w:beforeAutospacing="0" w:after="0" w:afterAutospacing="0"/>
              <w:ind w:left="915"/>
              <w:jc w:val="both"/>
              <w:rPr>
                <w:lang w:eastAsia="en-US"/>
              </w:rPr>
            </w:pPr>
            <w:r w:rsidRPr="00AD3EFF">
              <w:t>Pašreizējā situācija un problēmas</w:t>
            </w:r>
            <w:r>
              <w:t>:</w:t>
            </w:r>
          </w:p>
          <w:p w:rsidR="00BF3AF7" w:rsidRPr="00EF791C" w:rsidRDefault="00BF3AF7" w:rsidP="00C20814">
            <w:pPr>
              <w:pStyle w:val="NormalWeb"/>
              <w:numPr>
                <w:ilvl w:val="0"/>
                <w:numId w:val="16"/>
              </w:numPr>
              <w:tabs>
                <w:tab w:val="left" w:pos="422"/>
              </w:tabs>
              <w:spacing w:before="0" w:beforeAutospacing="0" w:after="0" w:afterAutospacing="0"/>
              <w:jc w:val="both"/>
              <w:rPr>
                <w:lang w:eastAsia="en-US"/>
              </w:rPr>
            </w:pPr>
            <w:r w:rsidRPr="001910F3">
              <w:rPr>
                <w:lang w:eastAsia="en-US"/>
              </w:rPr>
              <w:t xml:space="preserve">Pašreizējās normas nosaka, ka gada pārskatu sagatavo latos. </w:t>
            </w:r>
            <w:r w:rsidR="0040372C" w:rsidRPr="001910F3">
              <w:rPr>
                <w:lang w:eastAsia="en-US"/>
              </w:rPr>
              <w:t xml:space="preserve">Noteikumu projekts attiecas gan uz 2013.gada pārskata sagatavošanu, gan uz 2014.gada pārskata un turpmāko gada pārskatu sagatavošanu. </w:t>
            </w:r>
            <w:r w:rsidRPr="001910F3">
              <w:rPr>
                <w:lang w:eastAsia="en-US"/>
              </w:rPr>
              <w:t xml:space="preserve">Nepieciešams noteikt valūtu, kādā sagatavo gada pārskatu pēc </w:t>
            </w:r>
            <w:r w:rsidRPr="001910F3">
              <w:rPr>
                <w:i/>
                <w:lang w:eastAsia="en-US"/>
              </w:rPr>
              <w:t>euro</w:t>
            </w:r>
            <w:r w:rsidRPr="001910F3">
              <w:rPr>
                <w:lang w:eastAsia="en-US"/>
              </w:rPr>
              <w:t xml:space="preserve"> ieviešanas</w:t>
            </w:r>
            <w:r w:rsidR="00906FD1" w:rsidRPr="001910F3">
              <w:rPr>
                <w:lang w:eastAsia="en-US"/>
              </w:rPr>
              <w:t>,</w:t>
            </w:r>
            <w:r w:rsidR="00890134" w:rsidRPr="001910F3">
              <w:rPr>
                <w:lang w:eastAsia="en-US"/>
              </w:rPr>
              <w:t xml:space="preserve"> un 2014.gada pārskatā ietveramās informācijas apjomu</w:t>
            </w:r>
            <w:r w:rsidRPr="001910F3">
              <w:rPr>
                <w:lang w:eastAsia="en-US"/>
              </w:rPr>
              <w:t>.</w:t>
            </w:r>
          </w:p>
          <w:p w:rsidR="00F74FB2" w:rsidRPr="00EF791C" w:rsidRDefault="00F74FB2" w:rsidP="00C20814">
            <w:pPr>
              <w:pStyle w:val="NormalWeb"/>
              <w:numPr>
                <w:ilvl w:val="0"/>
                <w:numId w:val="16"/>
              </w:numPr>
              <w:tabs>
                <w:tab w:val="left" w:pos="422"/>
              </w:tabs>
              <w:spacing w:before="0" w:beforeAutospacing="0" w:after="0" w:afterAutospacing="0"/>
              <w:jc w:val="both"/>
              <w:rPr>
                <w:lang w:eastAsia="en-US"/>
              </w:rPr>
            </w:pPr>
            <w:r w:rsidRPr="00EF791C">
              <w:t>Nepieciešams precizēt Finanšu ministrijas sagatavotā konsolidētā valsts un pašvaldību budžetu saimnieciskā gada pārskat</w:t>
            </w:r>
            <w:r w:rsidR="00445652" w:rsidRPr="00EF791C">
              <w:t>u</w:t>
            </w:r>
            <w:r w:rsidRPr="00EF791C">
              <w:t xml:space="preserve"> posteņu nosaukumus, kā arī atklājamās informācijas klasificēšanu atbilstoši tās ekonomiskajai būtībai</w:t>
            </w:r>
            <w:r w:rsidR="00D639E5" w:rsidRPr="00EF791C">
              <w:t>, jo</w:t>
            </w:r>
            <w:r w:rsidRPr="00EF791C">
              <w:t>:</w:t>
            </w:r>
          </w:p>
          <w:p w:rsidR="00F74FB2" w:rsidRPr="00EF791C" w:rsidRDefault="00DF523D" w:rsidP="001609FF">
            <w:pPr>
              <w:pStyle w:val="ListParagraph"/>
              <w:numPr>
                <w:ilvl w:val="1"/>
                <w:numId w:val="16"/>
              </w:numPr>
              <w:ind w:left="1477" w:hanging="567"/>
              <w:jc w:val="both"/>
              <w:rPr>
                <w:sz w:val="24"/>
                <w:szCs w:val="24"/>
                <w:lang w:val="lv-LV"/>
              </w:rPr>
            </w:pPr>
            <w:r w:rsidRPr="00EF791C">
              <w:rPr>
                <w:sz w:val="24"/>
                <w:szCs w:val="24"/>
                <w:lang w:val="lv-LV"/>
              </w:rPr>
              <w:t xml:space="preserve"> </w:t>
            </w:r>
            <w:r w:rsidR="00D639E5" w:rsidRPr="00EF791C">
              <w:rPr>
                <w:bCs/>
                <w:color w:val="000000"/>
                <w:sz w:val="24"/>
                <w:szCs w:val="24"/>
                <w:lang w:val="lv-LV"/>
              </w:rPr>
              <w:t xml:space="preserve">MK noteikumu Nr. 375 noteiktā pārskatu struktūra neatbilst </w:t>
            </w:r>
            <w:r w:rsidR="00F80DAA" w:rsidRPr="00EF791C">
              <w:rPr>
                <w:bCs/>
                <w:color w:val="000000"/>
                <w:sz w:val="24"/>
                <w:szCs w:val="24"/>
                <w:lang w:val="lv-LV"/>
              </w:rPr>
              <w:t xml:space="preserve">MK </w:t>
            </w:r>
            <w:r w:rsidR="00D639E5" w:rsidRPr="00EF791C">
              <w:rPr>
                <w:bCs/>
                <w:color w:val="000000"/>
                <w:sz w:val="24"/>
                <w:szCs w:val="24"/>
                <w:lang w:val="lv-LV"/>
              </w:rPr>
              <w:t xml:space="preserve">noteikumos </w:t>
            </w:r>
            <w:r w:rsidR="00F80DAA" w:rsidRPr="00EF791C">
              <w:rPr>
                <w:bCs/>
                <w:color w:val="000000"/>
                <w:sz w:val="24"/>
                <w:szCs w:val="24"/>
                <w:lang w:val="lv-LV"/>
              </w:rPr>
              <w:t>Nr.1115</w:t>
            </w:r>
            <w:r w:rsidR="00445652" w:rsidRPr="00EF791C">
              <w:rPr>
                <w:bCs/>
                <w:color w:val="000000"/>
                <w:sz w:val="24"/>
                <w:szCs w:val="24"/>
                <w:lang w:val="lv-LV"/>
              </w:rPr>
              <w:t xml:space="preserve"> </w:t>
            </w:r>
            <w:r w:rsidR="00D639E5" w:rsidRPr="00EF791C">
              <w:rPr>
                <w:bCs/>
                <w:color w:val="000000"/>
                <w:sz w:val="24"/>
                <w:szCs w:val="24"/>
                <w:lang w:val="lv-LV"/>
              </w:rPr>
              <w:t xml:space="preserve">finanšu </w:t>
            </w:r>
            <w:r w:rsidR="00445652" w:rsidRPr="00EF791C">
              <w:rPr>
                <w:bCs/>
                <w:color w:val="000000"/>
                <w:sz w:val="24"/>
                <w:szCs w:val="24"/>
                <w:lang w:val="lv-LV"/>
              </w:rPr>
              <w:t>p</w:t>
            </w:r>
            <w:r w:rsidR="00D639E5" w:rsidRPr="00EF791C">
              <w:rPr>
                <w:bCs/>
                <w:color w:val="000000"/>
                <w:sz w:val="24"/>
                <w:szCs w:val="24"/>
                <w:lang w:val="lv-LV"/>
              </w:rPr>
              <w:t>ārskatiem</w:t>
            </w:r>
            <w:r w:rsidR="00445652" w:rsidRPr="00EF791C">
              <w:rPr>
                <w:bCs/>
                <w:color w:val="000000"/>
                <w:sz w:val="24"/>
                <w:szCs w:val="24"/>
                <w:lang w:val="lv-LV"/>
              </w:rPr>
              <w:t xml:space="preserve"> „</w:t>
            </w:r>
            <w:r w:rsidR="00D639E5" w:rsidRPr="00EF791C">
              <w:rPr>
                <w:bCs/>
                <w:color w:val="000000"/>
                <w:sz w:val="24"/>
                <w:szCs w:val="24"/>
                <w:lang w:val="lv-LV"/>
              </w:rPr>
              <w:t>N</w:t>
            </w:r>
            <w:r w:rsidR="00445652" w:rsidRPr="00EF791C">
              <w:rPr>
                <w:bCs/>
                <w:color w:val="000000"/>
                <w:sz w:val="24"/>
                <w:szCs w:val="24"/>
                <w:lang w:val="lv-LV"/>
              </w:rPr>
              <w:t xml:space="preserve">audas plūsmas pārskats” un „Pārskats par darbības finansiālajiem rezultātiem” </w:t>
            </w:r>
            <w:r w:rsidR="00D639E5" w:rsidRPr="00EF791C">
              <w:rPr>
                <w:bCs/>
                <w:color w:val="000000"/>
                <w:sz w:val="24"/>
                <w:szCs w:val="24"/>
                <w:lang w:val="lv-LV"/>
              </w:rPr>
              <w:t xml:space="preserve">noteiktajai </w:t>
            </w:r>
            <w:r w:rsidR="00445652" w:rsidRPr="00EF791C">
              <w:rPr>
                <w:bCs/>
                <w:color w:val="000000"/>
                <w:sz w:val="24"/>
                <w:szCs w:val="24"/>
                <w:lang w:val="lv-LV"/>
              </w:rPr>
              <w:t>struktūr</w:t>
            </w:r>
            <w:r w:rsidR="00D639E5" w:rsidRPr="00EF791C">
              <w:rPr>
                <w:bCs/>
                <w:color w:val="000000"/>
                <w:sz w:val="24"/>
                <w:szCs w:val="24"/>
                <w:lang w:val="lv-LV"/>
              </w:rPr>
              <w:t>ai;</w:t>
            </w:r>
            <w:r w:rsidR="00445652" w:rsidRPr="00EF791C">
              <w:rPr>
                <w:bCs/>
                <w:color w:val="000000"/>
                <w:sz w:val="24"/>
                <w:szCs w:val="24"/>
                <w:lang w:val="lv-LV"/>
              </w:rPr>
              <w:t xml:space="preserve"> </w:t>
            </w:r>
          </w:p>
          <w:p w:rsidR="00F74FB2" w:rsidRPr="00EF791C" w:rsidRDefault="00D639E5" w:rsidP="001609FF">
            <w:pPr>
              <w:pStyle w:val="ListParagraph"/>
              <w:numPr>
                <w:ilvl w:val="1"/>
                <w:numId w:val="16"/>
              </w:numPr>
              <w:ind w:left="1477" w:hanging="567"/>
              <w:jc w:val="both"/>
              <w:rPr>
                <w:sz w:val="24"/>
                <w:szCs w:val="24"/>
                <w:lang w:val="lv-LV"/>
              </w:rPr>
            </w:pPr>
            <w:r w:rsidRPr="00EF791C">
              <w:rPr>
                <w:bCs/>
                <w:color w:val="000000"/>
                <w:sz w:val="24"/>
                <w:szCs w:val="24"/>
                <w:lang w:val="lv-LV"/>
              </w:rPr>
              <w:t xml:space="preserve">MK noteikumu Nr. 375 noteiktās pārskatu pozīcijas neatbilst </w:t>
            </w:r>
            <w:r w:rsidR="00F74FB2" w:rsidRPr="00EF791C">
              <w:rPr>
                <w:sz w:val="24"/>
                <w:szCs w:val="24"/>
                <w:lang w:val="lv-LV"/>
              </w:rPr>
              <w:t>MK noteikumos Nr.842</w:t>
            </w:r>
            <w:r w:rsidRPr="00EF791C">
              <w:rPr>
                <w:sz w:val="24"/>
                <w:szCs w:val="24"/>
                <w:lang w:val="lv-LV"/>
              </w:rPr>
              <w:t xml:space="preserve"> </w:t>
            </w:r>
            <w:r w:rsidR="00F74FB2" w:rsidRPr="00EF791C">
              <w:rPr>
                <w:sz w:val="24"/>
                <w:szCs w:val="24"/>
                <w:lang w:val="lv-LV"/>
              </w:rPr>
              <w:t>iekļauta</w:t>
            </w:r>
            <w:r w:rsidRPr="00EF791C">
              <w:rPr>
                <w:sz w:val="24"/>
                <w:szCs w:val="24"/>
                <w:lang w:val="lv-LV"/>
              </w:rPr>
              <w:t>jām</w:t>
            </w:r>
            <w:r w:rsidR="00F74FB2" w:rsidRPr="00EF791C">
              <w:rPr>
                <w:sz w:val="24"/>
                <w:szCs w:val="24"/>
                <w:lang w:val="lv-LV"/>
              </w:rPr>
              <w:t xml:space="preserve"> vispārējā</w:t>
            </w:r>
            <w:r w:rsidRPr="00EF791C">
              <w:rPr>
                <w:sz w:val="24"/>
                <w:szCs w:val="24"/>
                <w:lang w:val="lv-LV"/>
              </w:rPr>
              <w:t>s</w:t>
            </w:r>
            <w:r w:rsidR="00F74FB2" w:rsidRPr="00EF791C">
              <w:rPr>
                <w:sz w:val="24"/>
                <w:szCs w:val="24"/>
                <w:lang w:val="lv-LV"/>
              </w:rPr>
              <w:t xml:space="preserve"> valdības parāda klasifikācijas kategorij</w:t>
            </w:r>
            <w:r w:rsidRPr="00EF791C">
              <w:rPr>
                <w:sz w:val="24"/>
                <w:szCs w:val="24"/>
                <w:lang w:val="lv-LV"/>
              </w:rPr>
              <w:t xml:space="preserve">ām. </w:t>
            </w:r>
          </w:p>
          <w:p w:rsidR="006E4E4B" w:rsidRPr="001910F3" w:rsidRDefault="00000CB4" w:rsidP="001609FF">
            <w:pPr>
              <w:pStyle w:val="NormalWeb"/>
              <w:numPr>
                <w:ilvl w:val="0"/>
                <w:numId w:val="16"/>
              </w:numPr>
              <w:tabs>
                <w:tab w:val="left" w:pos="408"/>
              </w:tabs>
              <w:spacing w:before="0" w:beforeAutospacing="0" w:after="0" w:afterAutospacing="0"/>
              <w:ind w:left="1477" w:hanging="567"/>
              <w:jc w:val="both"/>
              <w:rPr>
                <w:lang w:eastAsia="en-US"/>
              </w:rPr>
            </w:pPr>
            <w:r w:rsidRPr="001910F3">
              <w:rPr>
                <w:lang w:eastAsia="en-US"/>
              </w:rPr>
              <w:t>Lai uzlabotu datu kvalitāti un</w:t>
            </w:r>
            <w:r w:rsidR="00F80DAA" w:rsidRPr="001910F3">
              <w:t xml:space="preserve"> sniegtu publiski </w:t>
            </w:r>
            <w:r w:rsidR="00F80DAA" w:rsidRPr="001910F3">
              <w:lastRenderedPageBreak/>
              <w:t>saprotamāku un reprezentablāku informāciju</w:t>
            </w:r>
            <w:r w:rsidRPr="001910F3">
              <w:rPr>
                <w:lang w:eastAsia="en-US"/>
              </w:rPr>
              <w:t>, nepieciešam</w:t>
            </w:r>
            <w:r w:rsidR="006E4E4B" w:rsidRPr="001910F3">
              <w:rPr>
                <w:lang w:eastAsia="en-US"/>
              </w:rPr>
              <w:t>s:</w:t>
            </w:r>
          </w:p>
          <w:p w:rsidR="006E4E4B" w:rsidRPr="001910F3" w:rsidRDefault="00000CB4" w:rsidP="001609FF">
            <w:pPr>
              <w:pStyle w:val="NormalWeb"/>
              <w:numPr>
                <w:ilvl w:val="1"/>
                <w:numId w:val="16"/>
              </w:numPr>
              <w:tabs>
                <w:tab w:val="left" w:pos="395"/>
              </w:tabs>
              <w:spacing w:before="0" w:beforeAutospacing="0" w:after="0" w:afterAutospacing="0"/>
              <w:ind w:left="1477" w:hanging="567"/>
              <w:jc w:val="both"/>
              <w:rPr>
                <w:lang w:eastAsia="en-US"/>
              </w:rPr>
            </w:pPr>
            <w:r w:rsidRPr="001910F3">
              <w:rPr>
                <w:lang w:eastAsia="en-US"/>
              </w:rPr>
              <w:t>precizēt normas</w:t>
            </w:r>
            <w:r w:rsidR="003046B1" w:rsidRPr="001910F3">
              <w:rPr>
                <w:lang w:eastAsia="en-US"/>
              </w:rPr>
              <w:t xml:space="preserve"> par konsolidēto</w:t>
            </w:r>
            <w:r w:rsidRPr="001910F3">
              <w:rPr>
                <w:lang w:eastAsia="en-US"/>
              </w:rPr>
              <w:t xml:space="preserve"> pārskat</w:t>
            </w:r>
            <w:r w:rsidR="003046B1" w:rsidRPr="001910F3">
              <w:rPr>
                <w:lang w:eastAsia="en-US"/>
              </w:rPr>
              <w:t>u un to pielikumu sagatavošanu</w:t>
            </w:r>
            <w:r w:rsidR="0006367E" w:rsidRPr="001910F3">
              <w:rPr>
                <w:lang w:eastAsia="en-US"/>
              </w:rPr>
              <w:t>;</w:t>
            </w:r>
            <w:r w:rsidRPr="001910F3">
              <w:rPr>
                <w:lang w:eastAsia="en-US"/>
              </w:rPr>
              <w:t xml:space="preserve"> </w:t>
            </w:r>
          </w:p>
          <w:p w:rsidR="006E4E4B" w:rsidRPr="001910F3" w:rsidRDefault="003046B1" w:rsidP="001609FF">
            <w:pPr>
              <w:pStyle w:val="NormalWeb"/>
              <w:numPr>
                <w:ilvl w:val="1"/>
                <w:numId w:val="16"/>
              </w:numPr>
              <w:spacing w:before="0" w:beforeAutospacing="0" w:after="0" w:afterAutospacing="0"/>
              <w:ind w:left="1477" w:hanging="567"/>
              <w:jc w:val="both"/>
              <w:rPr>
                <w:lang w:eastAsia="en-US"/>
              </w:rPr>
            </w:pPr>
            <w:r w:rsidRPr="001910F3">
              <w:rPr>
                <w:lang w:eastAsia="en-US"/>
              </w:rPr>
              <w:t xml:space="preserve">precizēt konsolidēto pārskatu un to pielikumu </w:t>
            </w:r>
            <w:r w:rsidR="001A3BE7" w:rsidRPr="001910F3">
              <w:rPr>
                <w:lang w:eastAsia="en-US"/>
              </w:rPr>
              <w:t>veidlapas</w:t>
            </w:r>
            <w:r w:rsidR="00301879" w:rsidRPr="001910F3">
              <w:rPr>
                <w:lang w:eastAsia="en-US"/>
              </w:rPr>
              <w:t xml:space="preserve"> un to detalizācijas pakāpi</w:t>
            </w:r>
            <w:r w:rsidR="0006367E" w:rsidRPr="001910F3">
              <w:rPr>
                <w:lang w:eastAsia="en-US"/>
              </w:rPr>
              <w:t>;</w:t>
            </w:r>
          </w:p>
          <w:p w:rsidR="006E4E4B" w:rsidRPr="00CE3971" w:rsidRDefault="00170734" w:rsidP="001609FF">
            <w:pPr>
              <w:pStyle w:val="NormalWeb"/>
              <w:numPr>
                <w:ilvl w:val="1"/>
                <w:numId w:val="16"/>
              </w:numPr>
              <w:spacing w:before="0" w:beforeAutospacing="0" w:after="0" w:afterAutospacing="0"/>
              <w:ind w:left="1477" w:hanging="567"/>
              <w:jc w:val="both"/>
              <w:rPr>
                <w:lang w:eastAsia="en-US"/>
              </w:rPr>
            </w:pPr>
            <w:r w:rsidRPr="00EF791C">
              <w:rPr>
                <w:lang w:eastAsia="en-US"/>
              </w:rPr>
              <w:t>noteikt pārskata pielikum</w:t>
            </w:r>
            <w:r w:rsidR="00EF791C" w:rsidRPr="00EF791C">
              <w:rPr>
                <w:lang w:eastAsia="en-US"/>
              </w:rPr>
              <w:t>u</w:t>
            </w:r>
            <w:r w:rsidRPr="00EF791C">
              <w:rPr>
                <w:lang w:eastAsia="en-US"/>
              </w:rPr>
              <w:t xml:space="preserve"> </w:t>
            </w:r>
            <w:r w:rsidR="00D639E5" w:rsidRPr="00EF791C">
              <w:rPr>
                <w:lang w:eastAsia="en-US"/>
              </w:rPr>
              <w:t xml:space="preserve">struktūru atbilstoši </w:t>
            </w:r>
            <w:r w:rsidRPr="00EF791C">
              <w:rPr>
                <w:lang w:eastAsia="en-US"/>
              </w:rPr>
              <w:t xml:space="preserve">valsts budžeta likumā noteiktajām mērķdotācijām pašvaldībām un </w:t>
            </w:r>
            <w:r w:rsidR="00E2023A" w:rsidRPr="00CE3971">
              <w:rPr>
                <w:lang w:eastAsia="en-US"/>
              </w:rPr>
              <w:t xml:space="preserve">valsts budžeta likumā noteiktajiem </w:t>
            </w:r>
            <w:r w:rsidRPr="00CE3971">
              <w:rPr>
                <w:lang w:eastAsia="en-US"/>
              </w:rPr>
              <w:t>valsts izsnie</w:t>
            </w:r>
            <w:r w:rsidR="00E2023A" w:rsidRPr="00CE3971">
              <w:rPr>
                <w:lang w:eastAsia="en-US"/>
              </w:rPr>
              <w:t>gtajiem</w:t>
            </w:r>
            <w:r w:rsidR="00724727" w:rsidRPr="00EF791C">
              <w:rPr>
                <w:lang w:eastAsia="en-US"/>
              </w:rPr>
              <w:t xml:space="preserve"> </w:t>
            </w:r>
            <w:r w:rsidRPr="00E9388D">
              <w:rPr>
                <w:lang w:eastAsia="en-US"/>
              </w:rPr>
              <w:t>galvojumiem;</w:t>
            </w:r>
            <w:r w:rsidR="00000CB4" w:rsidRPr="00E9388D">
              <w:rPr>
                <w:lang w:eastAsia="en-US"/>
              </w:rPr>
              <w:t xml:space="preserve"> </w:t>
            </w:r>
          </w:p>
          <w:p w:rsidR="0006367E" w:rsidRPr="00EF791C" w:rsidRDefault="0006367E" w:rsidP="001609FF">
            <w:pPr>
              <w:pStyle w:val="NormalWeb"/>
              <w:numPr>
                <w:ilvl w:val="1"/>
                <w:numId w:val="16"/>
              </w:numPr>
              <w:spacing w:before="0" w:beforeAutospacing="0" w:after="0" w:afterAutospacing="0"/>
              <w:ind w:left="1477" w:hanging="567"/>
              <w:jc w:val="both"/>
              <w:rPr>
                <w:lang w:eastAsia="en-US"/>
              </w:rPr>
            </w:pPr>
            <w:r w:rsidRPr="00EF791C">
              <w:rPr>
                <w:lang w:eastAsia="en-US"/>
              </w:rPr>
              <w:t xml:space="preserve">grāmatvedības </w:t>
            </w:r>
            <w:r w:rsidR="00D639E5" w:rsidRPr="00EF791C">
              <w:rPr>
                <w:lang w:eastAsia="en-US"/>
              </w:rPr>
              <w:t xml:space="preserve">uzskaites </w:t>
            </w:r>
            <w:r w:rsidR="00EF791C" w:rsidRPr="00EF791C">
              <w:rPr>
                <w:lang w:eastAsia="en-US"/>
              </w:rPr>
              <w:t>pamatprincipu</w:t>
            </w:r>
            <w:r w:rsidR="00D639E5" w:rsidRPr="00EF791C">
              <w:rPr>
                <w:lang w:eastAsia="en-US"/>
              </w:rPr>
              <w:t xml:space="preserve"> </w:t>
            </w:r>
            <w:r w:rsidRPr="00EF791C">
              <w:rPr>
                <w:lang w:eastAsia="en-US"/>
              </w:rPr>
              <w:t xml:space="preserve">aprakstu </w:t>
            </w:r>
            <w:r w:rsidR="00D639E5" w:rsidRPr="00EF791C">
              <w:rPr>
                <w:lang w:eastAsia="en-US"/>
              </w:rPr>
              <w:t xml:space="preserve">sagatavot atsevišķi </w:t>
            </w:r>
            <w:r w:rsidRPr="00EF791C">
              <w:rPr>
                <w:lang w:eastAsia="en-US"/>
              </w:rPr>
              <w:t xml:space="preserve">no </w:t>
            </w:r>
            <w:r w:rsidR="00F47706" w:rsidRPr="00EF791C">
              <w:rPr>
                <w:lang w:eastAsia="en-US"/>
              </w:rPr>
              <w:t xml:space="preserve">bilances </w:t>
            </w:r>
            <w:r w:rsidR="00D639E5" w:rsidRPr="00EF791C">
              <w:rPr>
                <w:lang w:eastAsia="en-US"/>
              </w:rPr>
              <w:t xml:space="preserve">posteņu </w:t>
            </w:r>
            <w:r w:rsidR="00E25E8F" w:rsidRPr="00EF791C">
              <w:rPr>
                <w:lang w:eastAsia="en-US"/>
              </w:rPr>
              <w:t>skaidrojum</w:t>
            </w:r>
            <w:r w:rsidR="00D639E5" w:rsidRPr="00EF791C">
              <w:rPr>
                <w:lang w:eastAsia="en-US"/>
              </w:rPr>
              <w:t>a</w:t>
            </w:r>
            <w:r w:rsidRPr="00EF791C">
              <w:rPr>
                <w:lang w:eastAsia="en-US"/>
              </w:rPr>
              <w:t xml:space="preserve">; </w:t>
            </w:r>
          </w:p>
          <w:p w:rsidR="001D2503" w:rsidRPr="00EF791C" w:rsidRDefault="00170734" w:rsidP="001609FF">
            <w:pPr>
              <w:pStyle w:val="NormalWeb"/>
              <w:numPr>
                <w:ilvl w:val="1"/>
                <w:numId w:val="16"/>
              </w:numPr>
              <w:spacing w:before="0" w:beforeAutospacing="0" w:after="0" w:afterAutospacing="0"/>
              <w:ind w:left="1477" w:hanging="567"/>
              <w:jc w:val="both"/>
              <w:rPr>
                <w:lang w:eastAsia="en-US"/>
              </w:rPr>
            </w:pPr>
            <w:r w:rsidRPr="001910F3">
              <w:rPr>
                <w:lang w:eastAsia="en-US"/>
              </w:rPr>
              <w:t>samazināt sniedzamās informācijas apjomu saimnieciskā gada pārskatā</w:t>
            </w:r>
            <w:r w:rsidR="00AB2BC5">
              <w:rPr>
                <w:lang w:eastAsia="en-US"/>
              </w:rPr>
              <w:t>, kas tika veidota pa sektoriem (valsts, pašvaldības)</w:t>
            </w:r>
            <w:r w:rsidRPr="001910F3">
              <w:t>, vienlaikus nodrošinot pārskatu lietotājiem (analītiķiem) saimnieciskā gada pārskata analīzei detalizētāku papildus informāciju Valsts kases mājas lapā</w:t>
            </w:r>
            <w:r w:rsidR="00EF4286" w:rsidRPr="001910F3">
              <w:t xml:space="preserve">, jo </w:t>
            </w:r>
            <w:r w:rsidR="00EF4286" w:rsidRPr="001910F3">
              <w:rPr>
                <w:lang w:eastAsia="en-US"/>
              </w:rPr>
              <w:t>daļa no saimnieciskā gada pārskata atsevišķos pielikumos ietvertās informācijas jau ir sniegta citos finanšu pārskatu pielikumos un skaidrojumos, kas nevajadzīgi palielina saimnieciskā gada pārskata apjomu un padara to nepārskatāmu lietotājiem. Saimnieciskā gada pārskata apjoma optimizācijai un tā kvalitātes uzlabošanai nepieciešams izslēgt</w:t>
            </w:r>
            <w:r w:rsidR="00507157">
              <w:rPr>
                <w:lang w:eastAsia="en-US"/>
              </w:rPr>
              <w:t xml:space="preserve"> no MK. Noteikumiem Nr. 375</w:t>
            </w:r>
            <w:r w:rsidR="00EF4286" w:rsidRPr="001910F3">
              <w:rPr>
                <w:lang w:eastAsia="en-US"/>
              </w:rPr>
              <w:t xml:space="preserve"> atsevišķus pielikumus</w:t>
            </w:r>
            <w:r w:rsidR="00507157">
              <w:rPr>
                <w:lang w:eastAsia="en-US"/>
              </w:rPr>
              <w:t>,</w:t>
            </w:r>
            <w:r w:rsidR="00EF4286" w:rsidRPr="001910F3">
              <w:rPr>
                <w:lang w:eastAsia="en-US"/>
              </w:rPr>
              <w:t xml:space="preserve"> </w:t>
            </w:r>
            <w:r w:rsidR="00507157">
              <w:rPr>
                <w:lang w:eastAsia="en-US"/>
              </w:rPr>
              <w:t xml:space="preserve">nodrošinot informācijas sagatavošanu un </w:t>
            </w:r>
            <w:r w:rsidR="00EF4286" w:rsidRPr="001910F3">
              <w:rPr>
                <w:lang w:eastAsia="en-US"/>
              </w:rPr>
              <w:t>publicē</w:t>
            </w:r>
            <w:r w:rsidR="00507157">
              <w:rPr>
                <w:lang w:eastAsia="en-US"/>
              </w:rPr>
              <w:t>šanu</w:t>
            </w:r>
            <w:r w:rsidR="00EF791C">
              <w:rPr>
                <w:lang w:eastAsia="en-US"/>
              </w:rPr>
              <w:t xml:space="preserve"> Valsts kases mājas lapā</w:t>
            </w:r>
            <w:r w:rsidR="00724727">
              <w:rPr>
                <w:lang w:eastAsia="en-US"/>
              </w:rPr>
              <w:t>;</w:t>
            </w:r>
          </w:p>
          <w:p w:rsidR="00724727" w:rsidRPr="00EF791C" w:rsidRDefault="00724727" w:rsidP="001609FF">
            <w:pPr>
              <w:pStyle w:val="NormalWeb"/>
              <w:numPr>
                <w:ilvl w:val="1"/>
                <w:numId w:val="16"/>
              </w:numPr>
              <w:spacing w:before="0" w:beforeAutospacing="0" w:after="0" w:afterAutospacing="0"/>
              <w:ind w:left="1477" w:hanging="567"/>
              <w:jc w:val="both"/>
              <w:rPr>
                <w:lang w:eastAsia="en-US"/>
              </w:rPr>
            </w:pPr>
            <w:r w:rsidRPr="00CE3971">
              <w:rPr>
                <w:lang w:eastAsia="en-US"/>
              </w:rPr>
              <w:t>noteikt kritēriju</w:t>
            </w:r>
            <w:r w:rsidR="00507157" w:rsidRPr="00CE3971">
              <w:rPr>
                <w:lang w:eastAsia="en-US"/>
              </w:rPr>
              <w:t xml:space="preserve"> </w:t>
            </w:r>
            <w:r w:rsidR="00AC113F" w:rsidRPr="00CE3971">
              <w:rPr>
                <w:lang w:eastAsia="en-US"/>
              </w:rPr>
              <w:t>-</w:t>
            </w:r>
            <w:r w:rsidRPr="00CE3971">
              <w:rPr>
                <w:lang w:eastAsia="en-US"/>
              </w:rPr>
              <w:t xml:space="preserve"> </w:t>
            </w:r>
            <w:r w:rsidR="00AC113F" w:rsidRPr="00CE3971">
              <w:rPr>
                <w:lang w:eastAsia="en-US"/>
              </w:rPr>
              <w:t xml:space="preserve">naudas vienībās </w:t>
            </w:r>
            <w:r w:rsidRPr="00CE3971">
              <w:rPr>
                <w:lang w:eastAsia="en-US"/>
              </w:rPr>
              <w:t xml:space="preserve">lielāko nodokļu maksātāju parādnieku </w:t>
            </w:r>
            <w:r w:rsidR="004B03A6" w:rsidRPr="00CE3971">
              <w:rPr>
                <w:lang w:eastAsia="en-US"/>
              </w:rPr>
              <w:t xml:space="preserve">informācijas </w:t>
            </w:r>
            <w:r w:rsidRPr="00CE3971">
              <w:rPr>
                <w:lang w:eastAsia="en-US"/>
              </w:rPr>
              <w:t xml:space="preserve">iekļaušanai </w:t>
            </w:r>
            <w:r w:rsidR="004B03A6" w:rsidRPr="00CE3971">
              <w:rPr>
                <w:lang w:eastAsia="en-US"/>
              </w:rPr>
              <w:t>saimnieciskā gada pārskatā;</w:t>
            </w:r>
          </w:p>
          <w:p w:rsidR="003B17FF" w:rsidRPr="006936AA" w:rsidRDefault="00EB6720" w:rsidP="001609FF">
            <w:pPr>
              <w:pStyle w:val="NormalWeb"/>
              <w:numPr>
                <w:ilvl w:val="1"/>
                <w:numId w:val="16"/>
              </w:numPr>
              <w:spacing w:before="0" w:beforeAutospacing="0" w:after="0" w:afterAutospacing="0"/>
              <w:ind w:left="1477" w:hanging="567"/>
              <w:jc w:val="both"/>
              <w:rPr>
                <w:lang w:eastAsia="en-US"/>
              </w:rPr>
            </w:pPr>
            <w:r w:rsidRPr="00EF791C">
              <w:rPr>
                <w:lang w:eastAsia="en-US"/>
              </w:rPr>
              <w:t>konsolidēto finanšu pārskatu (</w:t>
            </w:r>
            <w:r w:rsidRPr="00EF791C">
              <w:t>Valsts konsolidētā grāmatvedības bilance saimnieciskā</w:t>
            </w:r>
            <w:r w:rsidR="00920006" w:rsidRPr="00EF791C">
              <w:t xml:space="preserve"> gad</w:t>
            </w:r>
            <w:r w:rsidR="00EB0F0E">
              <w:t>a 31.decembrī</w:t>
            </w:r>
            <w:r w:rsidRPr="00EF791C">
              <w:t>, Valsts konsolidētais finansiālās darbības pārskats</w:t>
            </w:r>
            <w:r w:rsidR="00920006" w:rsidRPr="00EF791C">
              <w:t xml:space="preserve"> saimnieciskā gadā</w:t>
            </w:r>
            <w:r w:rsidRPr="00EF791C">
              <w:t>, Valsts konsolidētais naudas plūsmas pārskats</w:t>
            </w:r>
            <w:r w:rsidR="00920006" w:rsidRPr="00EF791C">
              <w:t xml:space="preserve"> saimnieciskā gadā</w:t>
            </w:r>
            <w:r w:rsidRPr="00EF791C">
              <w:t>, Valsts konsolidētais parāds</w:t>
            </w:r>
            <w:r w:rsidR="00920006" w:rsidRPr="00EF791C">
              <w:t xml:space="preserve"> saimnieciskā gadā</w:t>
            </w:r>
            <w:r w:rsidRPr="00EF791C">
              <w:t>)</w:t>
            </w:r>
            <w:r w:rsidRPr="00EF791C">
              <w:rPr>
                <w:lang w:eastAsia="en-US"/>
              </w:rPr>
              <w:t xml:space="preserve"> </w:t>
            </w:r>
            <w:r w:rsidR="00920006" w:rsidRPr="00EF791C">
              <w:rPr>
                <w:lang w:eastAsia="en-US"/>
              </w:rPr>
              <w:t xml:space="preserve">skaitlisko </w:t>
            </w:r>
            <w:r w:rsidRPr="00EF791C">
              <w:rPr>
                <w:lang w:eastAsia="en-US"/>
              </w:rPr>
              <w:t>informāciju uzrādīt tūkstošos valūtas vienību, tādējādi nodrošinot vispārpieņemto</w:t>
            </w:r>
            <w:r w:rsidR="00920006" w:rsidRPr="00EF791C">
              <w:rPr>
                <w:lang w:eastAsia="en-US"/>
              </w:rPr>
              <w:t xml:space="preserve"> finanšu </w:t>
            </w:r>
            <w:r w:rsidRPr="00EF791C">
              <w:rPr>
                <w:lang w:eastAsia="en-US"/>
              </w:rPr>
              <w:t>informācijas atklāšanas praksi</w:t>
            </w:r>
            <w:r w:rsidR="00920006" w:rsidRPr="00EF791C">
              <w:rPr>
                <w:lang w:eastAsia="en-US"/>
              </w:rPr>
              <w:t>.</w:t>
            </w:r>
          </w:p>
          <w:p w:rsidR="003B17FF" w:rsidRDefault="003B17FF" w:rsidP="00C20814">
            <w:pPr>
              <w:pStyle w:val="NormalWeb"/>
              <w:numPr>
                <w:ilvl w:val="0"/>
                <w:numId w:val="16"/>
              </w:numPr>
              <w:spacing w:before="0" w:beforeAutospacing="0" w:after="0" w:afterAutospacing="0"/>
              <w:jc w:val="both"/>
              <w:rPr>
                <w:b/>
                <w:lang w:eastAsia="en-US"/>
              </w:rPr>
            </w:pPr>
            <w:r w:rsidRPr="002B08D3">
              <w:rPr>
                <w:lang w:eastAsia="en-US"/>
              </w:rPr>
              <w:t xml:space="preserve">Pašreizējās normas nosaka, ka </w:t>
            </w:r>
            <w:r w:rsidR="00182E92">
              <w:rPr>
                <w:lang w:eastAsia="en-US"/>
              </w:rPr>
              <w:t>f</w:t>
            </w:r>
            <w:r w:rsidRPr="002B08D3">
              <w:rPr>
                <w:lang w:eastAsia="en-US"/>
              </w:rPr>
              <w:t xml:space="preserve">inanšu ministrs un Valsts kases pārvaldnieks paraksta </w:t>
            </w:r>
            <w:r w:rsidR="001A7B4D" w:rsidRPr="002B08D3">
              <w:rPr>
                <w:lang w:eastAsia="en-US"/>
              </w:rPr>
              <w:t xml:space="preserve">vadības ziņojumu un </w:t>
            </w:r>
            <w:r w:rsidRPr="002B08D3">
              <w:t xml:space="preserve">pārskatu par konsolidētā kopbudžeta izpildi </w:t>
            </w:r>
            <w:r w:rsidRPr="002B08D3">
              <w:lastRenderedPageBreak/>
              <w:t>saimnieciskajā gadā</w:t>
            </w:r>
            <w:r w:rsidR="001A7B4D" w:rsidRPr="002B08D3">
              <w:t>, savukārt Valsts kases pārvaldnieks paraksta valsts budžeta finanšu bilanci</w:t>
            </w:r>
            <w:r w:rsidRPr="002B08D3">
              <w:t xml:space="preserve">. </w:t>
            </w:r>
            <w:r w:rsidR="001A7B4D" w:rsidRPr="002B08D3">
              <w:t xml:space="preserve">Lai nodrošinātu saimnieciskā gada pārskata satura tuvināšanu vispāratzītai pārskatu sagatavošanas praksei- Starptautiskajiem publiskā sektora grāmatvedības standartiem, kas paredz kā labāko praksi pārskatu jomā valstīm sagatavot </w:t>
            </w:r>
            <w:r w:rsidR="006936AA" w:rsidRPr="002B08D3">
              <w:t xml:space="preserve">sekojošus konsolidētos finanšu pārskatus- bilanci, finansiālās darbības pārskatu, naudas plūsmas pārskatu un pašu kapitāla (neto aktīvu) pārskatu, </w:t>
            </w:r>
            <w:r w:rsidR="003D0C91" w:rsidRPr="002B08D3">
              <w:t xml:space="preserve"> </w:t>
            </w:r>
            <w:r w:rsidR="00A20C07" w:rsidRPr="002B08D3">
              <w:t xml:space="preserve">jāparedz </w:t>
            </w:r>
            <w:r w:rsidR="006936AA" w:rsidRPr="002B08D3">
              <w:t>noteikumu projekt</w:t>
            </w:r>
            <w:r w:rsidR="00A20C07" w:rsidRPr="002B08D3">
              <w:t>ā</w:t>
            </w:r>
            <w:r w:rsidR="006936AA" w:rsidRPr="002B08D3">
              <w:t xml:space="preserve"> ietvert saimnieciskā gada pārskata </w:t>
            </w:r>
            <w:r w:rsidR="00C053A6" w:rsidRPr="002B08D3">
              <w:t xml:space="preserve">finanšu informācijas </w:t>
            </w:r>
            <w:r w:rsidR="006936AA" w:rsidRPr="002B08D3">
              <w:t>sastāvā tikai konsolidētos finanšu pārskatus</w:t>
            </w:r>
            <w:r w:rsidR="00C053A6" w:rsidRPr="002B08D3">
              <w:t>, nodalot atsevišķi budžeta izpildes pārskatus,</w:t>
            </w:r>
            <w:r w:rsidR="006936AA" w:rsidRPr="002B08D3">
              <w:t xml:space="preserve"> </w:t>
            </w:r>
            <w:r w:rsidR="001A7B4D" w:rsidRPr="002B08D3">
              <w:t xml:space="preserve">un </w:t>
            </w:r>
            <w:r w:rsidR="006936AA" w:rsidRPr="002B08D3">
              <w:t>parakstīt hiearhiski  augstākā līmeņa finanšu pārskatu</w:t>
            </w:r>
            <w:r w:rsidR="00C053A6" w:rsidRPr="002B08D3">
              <w:t>-</w:t>
            </w:r>
            <w:r w:rsidR="006936AA" w:rsidRPr="002B08D3">
              <w:t xml:space="preserve"> Valsts konsolidēto grāmatvedības bilanc</w:t>
            </w:r>
            <w:r w:rsidR="00C053A6" w:rsidRPr="002B08D3">
              <w:t>i</w:t>
            </w:r>
            <w:r w:rsidR="006936AA" w:rsidRPr="002B08D3">
              <w:t xml:space="preserve"> saimnieciskā gad</w:t>
            </w:r>
            <w:r w:rsidR="00EB0F0E" w:rsidRPr="002B08D3">
              <w:t>a 31.decembrī</w:t>
            </w:r>
            <w:r w:rsidR="006936AA" w:rsidRPr="002B08D3" w:rsidDel="006936AA">
              <w:rPr>
                <w:b/>
              </w:rPr>
              <w:t xml:space="preserve"> </w:t>
            </w:r>
            <w:r w:rsidR="006936AA" w:rsidRPr="002B08D3">
              <w:rPr>
                <w:b/>
              </w:rPr>
              <w:t>.</w:t>
            </w:r>
            <w:r w:rsidR="006936AA" w:rsidRPr="006936AA">
              <w:rPr>
                <w:b/>
              </w:rPr>
              <w:t xml:space="preserve"> </w:t>
            </w:r>
          </w:p>
          <w:p w:rsidR="00C20814" w:rsidRDefault="00C20814" w:rsidP="001609FF">
            <w:pPr>
              <w:pStyle w:val="NormalWeb"/>
              <w:spacing w:before="0" w:beforeAutospacing="0" w:after="0" w:afterAutospacing="0"/>
              <w:ind w:left="915"/>
              <w:jc w:val="both"/>
              <w:rPr>
                <w:b/>
                <w:lang w:eastAsia="en-US"/>
              </w:rPr>
            </w:pPr>
            <w:r>
              <w:t>T</w:t>
            </w:r>
            <w:r w:rsidRPr="00AD3EFF">
              <w:t>iesiskā regulējuma mērķis un būtība</w:t>
            </w:r>
          </w:p>
          <w:p w:rsidR="00C20814" w:rsidRPr="001910F3" w:rsidRDefault="00C20814" w:rsidP="001609FF">
            <w:pPr>
              <w:pStyle w:val="ListParagraph"/>
              <w:numPr>
                <w:ilvl w:val="0"/>
                <w:numId w:val="28"/>
              </w:numPr>
              <w:tabs>
                <w:tab w:val="left" w:pos="0"/>
              </w:tabs>
              <w:spacing w:after="60"/>
              <w:jc w:val="both"/>
              <w:rPr>
                <w:sz w:val="24"/>
                <w:szCs w:val="24"/>
                <w:lang w:val="lv-LV"/>
              </w:rPr>
            </w:pPr>
            <w:r w:rsidRPr="001910F3">
              <w:rPr>
                <w:sz w:val="24"/>
                <w:szCs w:val="24"/>
                <w:lang w:val="lv-LV"/>
              </w:rPr>
              <w:t xml:space="preserve">Noteikumu projekts paredz noteikt pielietojamo valūtu, kādā sagatavo gada pārskatu pēc </w:t>
            </w:r>
            <w:r w:rsidRPr="001910F3">
              <w:rPr>
                <w:i/>
                <w:sz w:val="24"/>
                <w:szCs w:val="24"/>
                <w:lang w:val="lv-LV"/>
              </w:rPr>
              <w:t>euro</w:t>
            </w:r>
            <w:r w:rsidRPr="001910F3">
              <w:rPr>
                <w:sz w:val="24"/>
                <w:szCs w:val="24"/>
                <w:lang w:val="lv-LV"/>
              </w:rPr>
              <w:t xml:space="preserve"> ieviešanas.  Pirmais gada pārskats atbilstoši noteikumu projektam jāsagatavo par 2013.gadu, kur uzskaites valūta ir lati. Pārejas noteikumi  nosaka valūtas vienības maiņu no latiem uz </w:t>
            </w:r>
            <w:r w:rsidRPr="001910F3">
              <w:rPr>
                <w:i/>
                <w:sz w:val="24"/>
                <w:szCs w:val="24"/>
                <w:lang w:val="lv-LV"/>
              </w:rPr>
              <w:t>euro</w:t>
            </w:r>
            <w:r w:rsidRPr="001910F3">
              <w:rPr>
                <w:sz w:val="24"/>
                <w:szCs w:val="24"/>
                <w:lang w:val="lv-LV"/>
              </w:rPr>
              <w:t xml:space="preserve"> gada pārskatiem, kurus sagatavo Finanšu ministrija (Valsts kase). Pirmais pārskats </w:t>
            </w:r>
            <w:r w:rsidRPr="001910F3">
              <w:rPr>
                <w:i/>
                <w:sz w:val="24"/>
                <w:szCs w:val="24"/>
                <w:lang w:val="lv-LV"/>
              </w:rPr>
              <w:t>euro</w:t>
            </w:r>
            <w:r w:rsidRPr="001910F3">
              <w:rPr>
                <w:sz w:val="24"/>
                <w:szCs w:val="24"/>
                <w:lang w:val="lv-LV"/>
              </w:rPr>
              <w:t xml:space="preserve"> jāsagatavo 2015.gadā par 2014.gadu. Noteikumu projektā paredzētas divas valūtas – lati un </w:t>
            </w:r>
            <w:r w:rsidRPr="001910F3">
              <w:rPr>
                <w:i/>
                <w:sz w:val="24"/>
                <w:szCs w:val="24"/>
                <w:lang w:val="lv-LV"/>
              </w:rPr>
              <w:t>euro</w:t>
            </w:r>
            <w:r w:rsidRPr="001910F3">
              <w:rPr>
                <w:sz w:val="24"/>
                <w:szCs w:val="24"/>
                <w:lang w:val="lv-LV"/>
              </w:rPr>
              <w:t xml:space="preserve">, jo tas attiecas uz diviem periodiem – 2013.gadu, kad pārskats jāsniedz latos, un 2014.gadu un turpmāk, kad pārskats jāsniedz </w:t>
            </w:r>
            <w:r w:rsidRPr="001910F3">
              <w:rPr>
                <w:i/>
                <w:sz w:val="24"/>
                <w:szCs w:val="24"/>
                <w:lang w:val="lv-LV"/>
              </w:rPr>
              <w:t xml:space="preserve">euro. </w:t>
            </w:r>
            <w:r w:rsidRPr="001910F3">
              <w:rPr>
                <w:sz w:val="24"/>
                <w:szCs w:val="24"/>
                <w:lang w:val="lv-LV"/>
              </w:rPr>
              <w:t xml:space="preserve">Pārejas noteikumos noteikts kuras normas attiecas uz 2013.gada pārskata sagatavošanu un kuras normas uz 2014.gada pārskata sagatavošanu. </w:t>
            </w:r>
          </w:p>
          <w:p w:rsidR="00C20814" w:rsidRPr="001910F3" w:rsidRDefault="00C20814" w:rsidP="001609FF">
            <w:pPr>
              <w:pStyle w:val="BodyText"/>
              <w:numPr>
                <w:ilvl w:val="0"/>
                <w:numId w:val="28"/>
              </w:numPr>
              <w:tabs>
                <w:tab w:val="left" w:pos="0"/>
              </w:tabs>
              <w:rPr>
                <w:lang w:eastAsia="en-US"/>
              </w:rPr>
            </w:pPr>
            <w:r w:rsidRPr="001910F3">
              <w:rPr>
                <w:lang w:eastAsia="en-US"/>
              </w:rPr>
              <w:t xml:space="preserve">Noteikumu projekts novērš neatbilstības, kas radušās, stājoties spēkā MK noteikumiem Nr.1115 un MK noteikumiem Nr.842 </w:t>
            </w:r>
            <w:r w:rsidRPr="001910F3">
              <w:t>saimnieciskā gada pārskata veidlapu posteņu nosaukumos, kā arī atklājamās informācijas klasificēšanā atbilstoši tās ekonomiskajai būtībai,</w:t>
            </w:r>
            <w:r w:rsidRPr="001910F3">
              <w:rPr>
                <w:lang w:eastAsia="en-US"/>
              </w:rPr>
              <w:t xml:space="preserve"> atbilstoši izmaiņām MK noteikumos Nr.1115 un MK noteikumos Nr.842.</w:t>
            </w:r>
          </w:p>
          <w:p w:rsidR="00C20814" w:rsidRPr="001910F3" w:rsidRDefault="00C20814" w:rsidP="001609FF">
            <w:pPr>
              <w:pStyle w:val="BodyText"/>
              <w:numPr>
                <w:ilvl w:val="0"/>
                <w:numId w:val="28"/>
              </w:numPr>
              <w:tabs>
                <w:tab w:val="left" w:pos="0"/>
              </w:tabs>
            </w:pPr>
            <w:r w:rsidRPr="001910F3">
              <w:rPr>
                <w:lang w:eastAsia="en-US"/>
              </w:rPr>
              <w:t>Lai uzlabotu datu kvalitāti un</w:t>
            </w:r>
            <w:r w:rsidRPr="001910F3">
              <w:t xml:space="preserve"> sniegtu publiski saprotamāku un reprezentablāku informāciju noteikumu projekts paredz</w:t>
            </w:r>
            <w:r w:rsidRPr="001910F3">
              <w:rPr>
                <w:lang w:eastAsia="en-US"/>
              </w:rPr>
              <w:t>:</w:t>
            </w:r>
          </w:p>
          <w:p w:rsidR="00C20814" w:rsidRPr="00E9388D" w:rsidRDefault="00C20814" w:rsidP="001609FF">
            <w:pPr>
              <w:pStyle w:val="NormalWeb"/>
              <w:numPr>
                <w:ilvl w:val="1"/>
                <w:numId w:val="28"/>
              </w:numPr>
              <w:tabs>
                <w:tab w:val="left" w:pos="0"/>
              </w:tabs>
              <w:spacing w:before="0" w:beforeAutospacing="0" w:after="0" w:afterAutospacing="0"/>
              <w:jc w:val="both"/>
              <w:rPr>
                <w:lang w:eastAsia="en-US"/>
              </w:rPr>
            </w:pPr>
            <w:r w:rsidRPr="001910F3">
              <w:rPr>
                <w:lang w:eastAsia="en-US"/>
              </w:rPr>
              <w:t>precizēt normas par konsolidēto pārskat</w:t>
            </w:r>
            <w:r>
              <w:rPr>
                <w:lang w:eastAsia="en-US"/>
              </w:rPr>
              <w:t>u un to pielikumu sagatavošanu;</w:t>
            </w:r>
          </w:p>
          <w:p w:rsidR="00C20814" w:rsidRPr="00E9388D" w:rsidRDefault="00C20814" w:rsidP="001609FF">
            <w:pPr>
              <w:pStyle w:val="NormalWeb"/>
              <w:numPr>
                <w:ilvl w:val="1"/>
                <w:numId w:val="28"/>
              </w:numPr>
              <w:tabs>
                <w:tab w:val="left" w:pos="0"/>
              </w:tabs>
              <w:spacing w:before="0" w:beforeAutospacing="0" w:after="0" w:afterAutospacing="0"/>
              <w:jc w:val="both"/>
              <w:rPr>
                <w:lang w:eastAsia="en-US"/>
              </w:rPr>
            </w:pPr>
            <w:r w:rsidRPr="00E9388D">
              <w:rPr>
                <w:lang w:eastAsia="en-US"/>
              </w:rPr>
              <w:t>precizēt konsolidēto pārskatu un to pielikumu struktūru un to detalizācijas pakāpi;</w:t>
            </w:r>
          </w:p>
          <w:p w:rsidR="00C20814" w:rsidRPr="00E9388D" w:rsidRDefault="00C20814" w:rsidP="001609FF">
            <w:pPr>
              <w:pStyle w:val="NormalWeb"/>
              <w:numPr>
                <w:ilvl w:val="1"/>
                <w:numId w:val="28"/>
              </w:numPr>
              <w:tabs>
                <w:tab w:val="left" w:pos="0"/>
              </w:tabs>
              <w:spacing w:before="0" w:beforeAutospacing="0" w:after="0" w:afterAutospacing="0"/>
              <w:jc w:val="both"/>
              <w:rPr>
                <w:lang w:eastAsia="en-US"/>
              </w:rPr>
            </w:pPr>
            <w:r w:rsidRPr="00CE3971">
              <w:rPr>
                <w:lang w:eastAsia="en-US"/>
              </w:rPr>
              <w:lastRenderedPageBreak/>
              <w:t>noteikt pārskata pielikumu struktūru valsts budžeta likumā noteiktajām mērķdotācijām pašvaldībām un valsts budžeta likumā noteiktajiem valsts izsniegtajiem</w:t>
            </w:r>
            <w:r w:rsidRPr="00E9388D">
              <w:rPr>
                <w:lang w:eastAsia="en-US"/>
              </w:rPr>
              <w:t xml:space="preserve"> galvojumiem; </w:t>
            </w:r>
          </w:p>
          <w:p w:rsidR="00C20814" w:rsidRPr="00CE3971" w:rsidRDefault="00C20814" w:rsidP="001609FF">
            <w:pPr>
              <w:pStyle w:val="NormalWeb"/>
              <w:numPr>
                <w:ilvl w:val="1"/>
                <w:numId w:val="28"/>
              </w:numPr>
              <w:tabs>
                <w:tab w:val="left" w:pos="0"/>
              </w:tabs>
              <w:spacing w:before="0" w:beforeAutospacing="0" w:after="0" w:afterAutospacing="0"/>
              <w:jc w:val="both"/>
              <w:rPr>
                <w:lang w:eastAsia="en-US"/>
              </w:rPr>
            </w:pPr>
            <w:r w:rsidRPr="00E9388D">
              <w:rPr>
                <w:lang w:eastAsia="en-US"/>
              </w:rPr>
              <w:t xml:space="preserve">grāmatvedības uzskaites </w:t>
            </w:r>
            <w:r w:rsidRPr="00CE3971">
              <w:rPr>
                <w:lang w:eastAsia="en-US"/>
              </w:rPr>
              <w:t>pamatprincipu apraksts tiks sagatavots atsevišķi no bilances posteņu skaidrojuma;</w:t>
            </w:r>
          </w:p>
          <w:p w:rsidR="00C20814" w:rsidRPr="00CE3971" w:rsidRDefault="00C20814" w:rsidP="001609FF">
            <w:pPr>
              <w:pStyle w:val="NormalWeb"/>
              <w:numPr>
                <w:ilvl w:val="1"/>
                <w:numId w:val="28"/>
              </w:numPr>
              <w:tabs>
                <w:tab w:val="left" w:pos="0"/>
              </w:tabs>
              <w:spacing w:before="0" w:beforeAutospacing="0" w:after="0" w:afterAutospacing="0"/>
              <w:jc w:val="both"/>
              <w:rPr>
                <w:lang w:eastAsia="en-US"/>
              </w:rPr>
            </w:pPr>
            <w:r w:rsidRPr="00CE3971">
              <w:rPr>
                <w:lang w:eastAsia="en-US"/>
              </w:rPr>
              <w:t>samazināt sniedzamās informācijas apjomu saimnieciskā gada pārskatā atsevišķi pa pārskatā konsolidētiem sektoru kopsavilkumiem</w:t>
            </w:r>
            <w:r w:rsidRPr="00CE3971">
              <w:t>, vienlaikus nodrošinot pārskatu lietotājiem (analītiķiem) saimnieciskā gada pārskata analīzei detalizētāku papildus informāciju Valsts kases mājas lapā;</w:t>
            </w:r>
          </w:p>
          <w:p w:rsidR="00C20814" w:rsidRPr="00E9388D" w:rsidRDefault="00C20814" w:rsidP="001609FF">
            <w:pPr>
              <w:pStyle w:val="NormalWeb"/>
              <w:numPr>
                <w:ilvl w:val="1"/>
                <w:numId w:val="28"/>
              </w:numPr>
              <w:tabs>
                <w:tab w:val="left" w:pos="0"/>
              </w:tabs>
              <w:spacing w:before="0" w:beforeAutospacing="0" w:after="0" w:afterAutospacing="0"/>
              <w:jc w:val="both"/>
              <w:rPr>
                <w:lang w:eastAsia="en-US"/>
              </w:rPr>
            </w:pPr>
            <w:r w:rsidRPr="00CE3971">
              <w:rPr>
                <w:lang w:eastAsia="en-US"/>
              </w:rPr>
              <w:t>noteikt kritēriju lielāko nodokļu maksātāju parādnieku informācijas iekļaušanai saimnieciskā gada pārskatā sākot no viena miljona valūtas vienību, tādējādi nodrošinot informācijas atklāšanu pēc finanšu kritērija naudas vienībā;</w:t>
            </w:r>
          </w:p>
          <w:p w:rsidR="00C20814" w:rsidRPr="00E9388D" w:rsidRDefault="00C20814" w:rsidP="001609FF">
            <w:pPr>
              <w:pStyle w:val="NormalWeb"/>
              <w:numPr>
                <w:ilvl w:val="1"/>
                <w:numId w:val="28"/>
              </w:numPr>
              <w:tabs>
                <w:tab w:val="left" w:pos="0"/>
              </w:tabs>
              <w:spacing w:before="0" w:beforeAutospacing="0" w:after="0" w:afterAutospacing="0"/>
              <w:jc w:val="both"/>
              <w:rPr>
                <w:lang w:eastAsia="en-US"/>
              </w:rPr>
            </w:pPr>
            <w:r w:rsidRPr="00CE3971">
              <w:rPr>
                <w:lang w:eastAsia="en-US"/>
              </w:rPr>
              <w:t>konsolidētajos finanšu pārskatu (</w:t>
            </w:r>
            <w:r w:rsidRPr="00CE3971">
              <w:t>Valsts konsolidētā grāmatvedības bilance saimnieciskā gad</w:t>
            </w:r>
            <w:r>
              <w:t>a 31.decembrī</w:t>
            </w:r>
            <w:r w:rsidRPr="00CE3971">
              <w:t>, Valsts konsolidētais finansiālās darbības pārskats saimnieciskā gadā, Valsts konsolidētais naudas plūsmas pārskats saimnieciskā gadā, Valsts konsolidētais parāds saimnieciskā gadā)</w:t>
            </w:r>
            <w:r w:rsidRPr="00CE3971">
              <w:rPr>
                <w:lang w:eastAsia="en-US"/>
              </w:rPr>
              <w:t xml:space="preserve"> skaitlisko informāciju uzrādīt tūkstošos valūtas vienību, tādējādi nodrošinot vispārpieņemto finanšu informācijas atklāšanas praksi pārskatu lietotājiem vieglāk uztveramā formā;</w:t>
            </w:r>
          </w:p>
          <w:p w:rsidR="00C20814" w:rsidRPr="00E9388D" w:rsidRDefault="00C20814" w:rsidP="001609FF">
            <w:pPr>
              <w:pStyle w:val="NormalWeb"/>
              <w:numPr>
                <w:ilvl w:val="1"/>
                <w:numId w:val="28"/>
              </w:numPr>
              <w:tabs>
                <w:tab w:val="left" w:pos="0"/>
              </w:tabs>
              <w:spacing w:before="0" w:beforeAutospacing="0" w:after="0" w:afterAutospacing="0"/>
              <w:jc w:val="both"/>
              <w:rPr>
                <w:lang w:eastAsia="en-US"/>
              </w:rPr>
            </w:pPr>
            <w:r w:rsidRPr="00CE3971">
              <w:t>izteikt noteikumu 12.pielikumu jaunā redakcijā atbilstoši grozījumiem MK noteikumos Nr.842, iekļaujot jaunās vispārējā valdības parāda klasifikācijas kategorijas- krājobligācijas un garantijas depozīti (pieņemtie), t.sk. detalizēti tās atspoguļojot pārskata par valsts parādu saimnieciskajā gadā izziņas sadaļā.</w:t>
            </w:r>
          </w:p>
          <w:p w:rsidR="00C20814" w:rsidRPr="00E9388D" w:rsidRDefault="00C20814" w:rsidP="00C20814">
            <w:pPr>
              <w:pStyle w:val="NormalWeb"/>
              <w:tabs>
                <w:tab w:val="left" w:pos="0"/>
              </w:tabs>
              <w:spacing w:before="0" w:beforeAutospacing="0" w:after="0" w:afterAutospacing="0"/>
              <w:jc w:val="both"/>
              <w:rPr>
                <w:lang w:eastAsia="en-US"/>
              </w:rPr>
            </w:pPr>
          </w:p>
          <w:p w:rsidR="00C20814" w:rsidRPr="007800C5" w:rsidRDefault="00C20814" w:rsidP="001609FF">
            <w:pPr>
              <w:pStyle w:val="NormalWeb"/>
              <w:numPr>
                <w:ilvl w:val="0"/>
                <w:numId w:val="28"/>
              </w:numPr>
              <w:spacing w:before="0" w:beforeAutospacing="0" w:after="0" w:afterAutospacing="0"/>
              <w:jc w:val="both"/>
              <w:rPr>
                <w:b/>
                <w:lang w:eastAsia="en-US"/>
              </w:rPr>
            </w:pPr>
            <w:r w:rsidRPr="002B08D3">
              <w:t xml:space="preserve">Nodrošināt saimnieciskā gada pārskata finanšu informācijas tuvināšanu vispāratzītai pārskatu sagatavošanas praksei- Starptautiskajiem publiskā sektora grāmatvedības standartiem, t.i. ietvert saimnieciskā gada pārskata finanšu informācijas </w:t>
            </w:r>
            <w:r w:rsidRPr="002B08D3">
              <w:lastRenderedPageBreak/>
              <w:t xml:space="preserve">sastāvā tikai konsolidētos finanšu pārskatus,  un </w:t>
            </w:r>
            <w:r>
              <w:t>f</w:t>
            </w:r>
            <w:r w:rsidRPr="002B08D3">
              <w:t>inanšu ministram un Valsts kases pārvaldniekam parakstīt arī hiearhiski  augstākā līmeņa finanšu pārskatu- Valsts konsolidēto grāmatvedības bilanci saimnieciskā gada 31.decembrī (jaunais regulējums) un pārskatu par konsolidētā kopbudžeta izpildi saimnieciskajā gadā un vadības ziņojumu (līdzšinējais regulējums)</w:t>
            </w:r>
            <w:r w:rsidRPr="002B08D3">
              <w:rPr>
                <w:b/>
              </w:rPr>
              <w:t>.</w:t>
            </w:r>
          </w:p>
        </w:tc>
      </w:tr>
      <w:tr w:rsidR="009D64B9" w:rsidRPr="001910F3" w:rsidTr="001609FF">
        <w:tc>
          <w:tcPr>
            <w:tcW w:w="516" w:type="dxa"/>
            <w:shd w:val="clear" w:color="auto" w:fill="auto"/>
          </w:tcPr>
          <w:p w:rsidR="009D64B9" w:rsidRPr="001910F3" w:rsidRDefault="00C20814" w:rsidP="001F20CA">
            <w:pPr>
              <w:pStyle w:val="NormalWeb"/>
            </w:pPr>
            <w:r>
              <w:lastRenderedPageBreak/>
              <w:t>3</w:t>
            </w:r>
            <w:r w:rsidR="009D64B9" w:rsidRPr="001910F3">
              <w:t>.</w:t>
            </w:r>
          </w:p>
        </w:tc>
        <w:tc>
          <w:tcPr>
            <w:tcW w:w="2543" w:type="dxa"/>
            <w:shd w:val="clear" w:color="auto" w:fill="auto"/>
          </w:tcPr>
          <w:p w:rsidR="009D64B9" w:rsidRPr="001910F3" w:rsidRDefault="009D64B9" w:rsidP="001F20CA">
            <w:pPr>
              <w:pStyle w:val="NormalWeb"/>
            </w:pPr>
            <w:r w:rsidRPr="001910F3">
              <w:t>Projekta izstrādē iesaistītās institūcijas</w:t>
            </w:r>
          </w:p>
        </w:tc>
        <w:tc>
          <w:tcPr>
            <w:tcW w:w="6229" w:type="dxa"/>
            <w:shd w:val="clear" w:color="auto" w:fill="auto"/>
          </w:tcPr>
          <w:p w:rsidR="009D64B9" w:rsidRPr="001910F3" w:rsidRDefault="00816723" w:rsidP="00845533">
            <w:pPr>
              <w:pStyle w:val="NormalWeb"/>
              <w:spacing w:before="0" w:beforeAutospacing="0" w:after="0" w:afterAutospacing="0"/>
              <w:jc w:val="both"/>
            </w:pPr>
            <w:r w:rsidRPr="001910F3">
              <w:t>Projekts šo jomu neskar</w:t>
            </w:r>
          </w:p>
        </w:tc>
      </w:tr>
      <w:tr w:rsidR="009D64B9" w:rsidRPr="001910F3" w:rsidTr="001609FF">
        <w:tc>
          <w:tcPr>
            <w:tcW w:w="516" w:type="dxa"/>
            <w:shd w:val="clear" w:color="auto" w:fill="auto"/>
          </w:tcPr>
          <w:p w:rsidR="009D64B9" w:rsidRPr="001910F3" w:rsidRDefault="00C20814" w:rsidP="00C20814">
            <w:pPr>
              <w:pStyle w:val="NormalWeb"/>
            </w:pPr>
            <w:r>
              <w:t>4</w:t>
            </w:r>
            <w:r w:rsidR="009D64B9" w:rsidRPr="001910F3">
              <w:t>.</w:t>
            </w:r>
          </w:p>
        </w:tc>
        <w:tc>
          <w:tcPr>
            <w:tcW w:w="2543" w:type="dxa"/>
            <w:shd w:val="clear" w:color="auto" w:fill="auto"/>
          </w:tcPr>
          <w:p w:rsidR="009D64B9" w:rsidRPr="001910F3" w:rsidRDefault="009D64B9" w:rsidP="001F20CA">
            <w:pPr>
              <w:pStyle w:val="NormalWeb"/>
            </w:pPr>
            <w:r w:rsidRPr="001910F3">
              <w:t>Cita informācija</w:t>
            </w:r>
          </w:p>
        </w:tc>
        <w:tc>
          <w:tcPr>
            <w:tcW w:w="6229" w:type="dxa"/>
            <w:shd w:val="clear" w:color="auto" w:fill="auto"/>
          </w:tcPr>
          <w:p w:rsidR="00AB5277" w:rsidRPr="001910F3" w:rsidRDefault="00BD695D" w:rsidP="00770C93">
            <w:pPr>
              <w:pStyle w:val="ListParagraph"/>
              <w:ind w:left="34"/>
              <w:jc w:val="both"/>
              <w:rPr>
                <w:sz w:val="24"/>
                <w:szCs w:val="24"/>
                <w:lang w:val="lv-LV"/>
              </w:rPr>
            </w:pPr>
            <w:r w:rsidRPr="001910F3">
              <w:rPr>
                <w:sz w:val="24"/>
                <w:szCs w:val="24"/>
                <w:lang w:val="lv-LV"/>
              </w:rPr>
              <w:t>Valsts kase</w:t>
            </w:r>
            <w:r w:rsidR="00445652">
              <w:rPr>
                <w:sz w:val="24"/>
                <w:szCs w:val="24"/>
                <w:lang w:val="lv-LV"/>
              </w:rPr>
              <w:t xml:space="preserve"> mājas lapā</w:t>
            </w:r>
            <w:r w:rsidRPr="001910F3">
              <w:rPr>
                <w:sz w:val="24"/>
                <w:szCs w:val="24"/>
                <w:lang w:val="lv-LV"/>
              </w:rPr>
              <w:t xml:space="preserve"> </w:t>
            </w:r>
            <w:r w:rsidR="00B84421" w:rsidRPr="001910F3">
              <w:rPr>
                <w:sz w:val="24"/>
                <w:szCs w:val="24"/>
                <w:lang w:val="lv-LV"/>
              </w:rPr>
              <w:t>internet</w:t>
            </w:r>
            <w:r w:rsidR="00445652">
              <w:rPr>
                <w:sz w:val="24"/>
                <w:szCs w:val="24"/>
                <w:lang w:val="lv-LV"/>
              </w:rPr>
              <w:t>ā</w:t>
            </w:r>
            <w:r w:rsidR="00B84421" w:rsidRPr="001910F3">
              <w:rPr>
                <w:sz w:val="24"/>
                <w:szCs w:val="24"/>
                <w:lang w:val="lv-LV"/>
              </w:rPr>
              <w:t xml:space="preserve"> publicē</w:t>
            </w:r>
            <w:r w:rsidRPr="001910F3">
              <w:rPr>
                <w:sz w:val="24"/>
                <w:szCs w:val="24"/>
                <w:lang w:val="lv-LV"/>
              </w:rPr>
              <w:t xml:space="preserve"> </w:t>
            </w:r>
            <w:r w:rsidR="00770C93" w:rsidRPr="001910F3">
              <w:rPr>
                <w:sz w:val="24"/>
                <w:szCs w:val="24"/>
                <w:lang w:val="lv-LV"/>
              </w:rPr>
              <w:t>saimnieciskā gada pārskatu</w:t>
            </w:r>
            <w:r w:rsidR="00AB5277" w:rsidRPr="001910F3">
              <w:rPr>
                <w:sz w:val="24"/>
                <w:szCs w:val="24"/>
                <w:lang w:val="lv-LV"/>
              </w:rPr>
              <w:t>, operatīvo gada pārskatu</w:t>
            </w:r>
            <w:r w:rsidR="00B47F5D" w:rsidRPr="001910F3">
              <w:rPr>
                <w:sz w:val="24"/>
                <w:szCs w:val="24"/>
                <w:lang w:val="lv-LV"/>
              </w:rPr>
              <w:t xml:space="preserve"> un papildus informāciju saimnieciskā gada pārskatam</w:t>
            </w:r>
            <w:r w:rsidR="00AB5277" w:rsidRPr="001910F3">
              <w:rPr>
                <w:sz w:val="24"/>
                <w:szCs w:val="24"/>
                <w:lang w:val="lv-LV"/>
              </w:rPr>
              <w:t xml:space="preserve">. </w:t>
            </w:r>
          </w:p>
          <w:p w:rsidR="00EF4286" w:rsidRPr="001910F3" w:rsidRDefault="00EF4286" w:rsidP="00EF4286">
            <w:pPr>
              <w:ind w:left="34"/>
              <w:jc w:val="both"/>
            </w:pPr>
            <w:r w:rsidRPr="001910F3">
              <w:t>Lai nodrošinātu pārskata lietotājus ar detalizētu informāciju par saimnieciskā gada pārskatā ietvertiem budžeta izpildes un finanšu rādītājiem, Valsts kase papildus saimnieciskā gada pārskatam sagatavos un publiskos šādu informāciju:</w:t>
            </w:r>
          </w:p>
          <w:p w:rsidR="00445652" w:rsidRDefault="00E9388D" w:rsidP="008D21F9">
            <w:pPr>
              <w:pStyle w:val="ListParagraph"/>
              <w:numPr>
                <w:ilvl w:val="0"/>
                <w:numId w:val="23"/>
              </w:numPr>
              <w:tabs>
                <w:tab w:val="left" w:pos="273"/>
              </w:tabs>
              <w:jc w:val="both"/>
              <w:rPr>
                <w:sz w:val="24"/>
                <w:szCs w:val="24"/>
                <w:lang w:val="lv-LV"/>
              </w:rPr>
            </w:pPr>
            <w:r>
              <w:rPr>
                <w:sz w:val="24"/>
                <w:szCs w:val="24"/>
                <w:lang w:val="lv-LV"/>
              </w:rPr>
              <w:t>o</w:t>
            </w:r>
            <w:r w:rsidR="00445652">
              <w:rPr>
                <w:sz w:val="24"/>
                <w:szCs w:val="24"/>
                <w:lang w:val="lv-LV"/>
              </w:rPr>
              <w:t>peratīv</w:t>
            </w:r>
            <w:r>
              <w:rPr>
                <w:sz w:val="24"/>
                <w:szCs w:val="24"/>
                <w:lang w:val="lv-LV"/>
              </w:rPr>
              <w:t>os</w:t>
            </w:r>
            <w:r w:rsidR="00445652">
              <w:rPr>
                <w:sz w:val="24"/>
                <w:szCs w:val="24"/>
                <w:lang w:val="lv-LV"/>
              </w:rPr>
              <w:t xml:space="preserve"> pārskat</w:t>
            </w:r>
            <w:r>
              <w:rPr>
                <w:sz w:val="24"/>
                <w:szCs w:val="24"/>
                <w:lang w:val="lv-LV"/>
              </w:rPr>
              <w:t>us</w:t>
            </w:r>
            <w:r w:rsidR="00445652">
              <w:rPr>
                <w:sz w:val="24"/>
                <w:szCs w:val="24"/>
                <w:lang w:val="lv-LV"/>
              </w:rPr>
              <w:t>:</w:t>
            </w:r>
          </w:p>
          <w:p w:rsidR="00EF4286" w:rsidRPr="001910F3" w:rsidRDefault="00EF4286" w:rsidP="00445652">
            <w:pPr>
              <w:pStyle w:val="ListParagraph"/>
              <w:numPr>
                <w:ilvl w:val="1"/>
                <w:numId w:val="26"/>
              </w:numPr>
              <w:tabs>
                <w:tab w:val="left" w:pos="273"/>
              </w:tabs>
              <w:jc w:val="both"/>
              <w:rPr>
                <w:sz w:val="24"/>
                <w:szCs w:val="24"/>
                <w:lang w:val="lv-LV"/>
              </w:rPr>
            </w:pPr>
            <w:r w:rsidRPr="001910F3">
              <w:rPr>
                <w:sz w:val="24"/>
                <w:szCs w:val="24"/>
                <w:lang w:val="lv-LV"/>
              </w:rPr>
              <w:t>konsolidētā kopbudžeta izpilde saimnieciskajā gadā  (ieskaitot ziedojumus un dāvinājumus);</w:t>
            </w:r>
          </w:p>
          <w:p w:rsidR="00EF4286" w:rsidRPr="001910F3" w:rsidRDefault="00EF4286" w:rsidP="00445652">
            <w:pPr>
              <w:pStyle w:val="ListParagraph"/>
              <w:numPr>
                <w:ilvl w:val="1"/>
                <w:numId w:val="26"/>
              </w:numPr>
              <w:tabs>
                <w:tab w:val="left" w:pos="408"/>
              </w:tabs>
              <w:jc w:val="both"/>
              <w:rPr>
                <w:sz w:val="24"/>
                <w:szCs w:val="24"/>
                <w:lang w:val="lv-LV"/>
              </w:rPr>
            </w:pPr>
            <w:r w:rsidRPr="001910F3">
              <w:rPr>
                <w:sz w:val="24"/>
                <w:szCs w:val="24"/>
                <w:lang w:val="lv-LV"/>
              </w:rPr>
              <w:t>valsts konsolidētā budžeta izpilde saimnieciskajā gadā (ieskaitot ziedojumus un dāvinājumus);</w:t>
            </w:r>
          </w:p>
          <w:p w:rsidR="00EF4286" w:rsidRPr="001910F3" w:rsidRDefault="00EF4286" w:rsidP="00445652">
            <w:pPr>
              <w:pStyle w:val="ListParagraph"/>
              <w:numPr>
                <w:ilvl w:val="1"/>
                <w:numId w:val="26"/>
              </w:numPr>
              <w:tabs>
                <w:tab w:val="left" w:pos="408"/>
              </w:tabs>
              <w:jc w:val="both"/>
              <w:rPr>
                <w:sz w:val="24"/>
                <w:szCs w:val="24"/>
                <w:lang w:val="lv-LV"/>
              </w:rPr>
            </w:pPr>
            <w:r w:rsidRPr="001910F3">
              <w:rPr>
                <w:sz w:val="24"/>
                <w:szCs w:val="24"/>
                <w:lang w:val="lv-LV"/>
              </w:rPr>
              <w:t>pašvaldību konsolidētā budžeta izpilde saimnieciskajā gadā (ieskaitot ziedojumus un dāvinājumus);</w:t>
            </w:r>
          </w:p>
          <w:p w:rsidR="00EF4286" w:rsidRPr="001910F3" w:rsidRDefault="00EF4286" w:rsidP="00445652">
            <w:pPr>
              <w:pStyle w:val="ListParagraph"/>
              <w:numPr>
                <w:ilvl w:val="1"/>
                <w:numId w:val="26"/>
              </w:numPr>
              <w:tabs>
                <w:tab w:val="left" w:pos="408"/>
              </w:tabs>
              <w:jc w:val="both"/>
              <w:rPr>
                <w:sz w:val="24"/>
                <w:szCs w:val="24"/>
                <w:lang w:val="lv-LV"/>
              </w:rPr>
            </w:pPr>
            <w:r w:rsidRPr="001910F3">
              <w:rPr>
                <w:sz w:val="24"/>
                <w:szCs w:val="24"/>
                <w:lang w:val="lv-LV"/>
              </w:rPr>
              <w:t>valsts budžeta aizdevumi un aizdevumu atmaksas saimnieciskajā gadā;</w:t>
            </w:r>
          </w:p>
          <w:p w:rsidR="00445652" w:rsidRDefault="00445652" w:rsidP="008D21F9">
            <w:pPr>
              <w:pStyle w:val="ListParagraph"/>
              <w:numPr>
                <w:ilvl w:val="0"/>
                <w:numId w:val="23"/>
              </w:numPr>
              <w:tabs>
                <w:tab w:val="left" w:pos="408"/>
              </w:tabs>
              <w:jc w:val="both"/>
              <w:rPr>
                <w:sz w:val="24"/>
                <w:szCs w:val="24"/>
                <w:lang w:val="lv-LV"/>
              </w:rPr>
            </w:pPr>
            <w:r>
              <w:rPr>
                <w:sz w:val="24"/>
                <w:szCs w:val="24"/>
                <w:lang w:val="lv-LV"/>
              </w:rPr>
              <w:t>papildinformāciju:</w:t>
            </w:r>
          </w:p>
          <w:p w:rsidR="00D14A4A" w:rsidRPr="00D14A4A" w:rsidRDefault="00D14A4A" w:rsidP="00D14A4A">
            <w:pPr>
              <w:pStyle w:val="ListParagraph"/>
              <w:numPr>
                <w:ilvl w:val="0"/>
                <w:numId w:val="27"/>
              </w:numPr>
              <w:tabs>
                <w:tab w:val="left" w:pos="408"/>
              </w:tabs>
              <w:jc w:val="both"/>
              <w:rPr>
                <w:vanish/>
                <w:sz w:val="24"/>
                <w:szCs w:val="24"/>
                <w:lang w:val="lv-LV"/>
              </w:rPr>
            </w:pPr>
          </w:p>
          <w:p w:rsidR="00D14A4A" w:rsidRPr="00D14A4A" w:rsidRDefault="00D14A4A" w:rsidP="00D14A4A">
            <w:pPr>
              <w:pStyle w:val="ListParagraph"/>
              <w:numPr>
                <w:ilvl w:val="0"/>
                <w:numId w:val="27"/>
              </w:numPr>
              <w:tabs>
                <w:tab w:val="left" w:pos="408"/>
              </w:tabs>
              <w:jc w:val="both"/>
              <w:rPr>
                <w:vanish/>
                <w:sz w:val="24"/>
                <w:szCs w:val="24"/>
                <w:lang w:val="lv-LV"/>
              </w:rPr>
            </w:pPr>
          </w:p>
          <w:p w:rsidR="00EF4286" w:rsidRPr="001910F3" w:rsidRDefault="00EF4286" w:rsidP="00D14A4A">
            <w:pPr>
              <w:pStyle w:val="ListParagraph"/>
              <w:numPr>
                <w:ilvl w:val="1"/>
                <w:numId w:val="27"/>
              </w:numPr>
              <w:tabs>
                <w:tab w:val="left" w:pos="408"/>
              </w:tabs>
              <w:jc w:val="both"/>
              <w:rPr>
                <w:sz w:val="24"/>
                <w:szCs w:val="24"/>
                <w:lang w:val="lv-LV"/>
              </w:rPr>
            </w:pPr>
            <w:r w:rsidRPr="001910F3">
              <w:rPr>
                <w:sz w:val="24"/>
                <w:szCs w:val="24"/>
                <w:lang w:val="lv-LV"/>
              </w:rPr>
              <w:t>kopsavilkums par ministriju un centrālo valsts iestāžu ilgtermiņa finanšu ieguldījumu kustību saimnieciskajā gadā;</w:t>
            </w:r>
          </w:p>
          <w:p w:rsidR="00EF4286" w:rsidRPr="001910F3" w:rsidRDefault="00EF4286" w:rsidP="00445652">
            <w:pPr>
              <w:pStyle w:val="ListParagraph"/>
              <w:numPr>
                <w:ilvl w:val="1"/>
                <w:numId w:val="27"/>
              </w:numPr>
              <w:tabs>
                <w:tab w:val="left" w:pos="408"/>
              </w:tabs>
              <w:jc w:val="both"/>
              <w:rPr>
                <w:sz w:val="24"/>
                <w:szCs w:val="24"/>
                <w:lang w:val="lv-LV"/>
              </w:rPr>
            </w:pPr>
            <w:r w:rsidRPr="001910F3">
              <w:rPr>
                <w:sz w:val="24"/>
                <w:szCs w:val="24"/>
                <w:lang w:val="lv-LV"/>
              </w:rPr>
              <w:t>kopsavilkums par ministriju un centrālo valsts iestāžu īstermiņa finanšu ieguldījumu kustību saimnieciskajā gadā;</w:t>
            </w:r>
          </w:p>
          <w:p w:rsidR="00EF4286" w:rsidRPr="001910F3" w:rsidRDefault="00EF4286" w:rsidP="00445652">
            <w:pPr>
              <w:pStyle w:val="ListParagraph"/>
              <w:numPr>
                <w:ilvl w:val="1"/>
                <w:numId w:val="27"/>
              </w:numPr>
              <w:tabs>
                <w:tab w:val="left" w:pos="408"/>
              </w:tabs>
              <w:jc w:val="both"/>
              <w:rPr>
                <w:sz w:val="24"/>
                <w:szCs w:val="24"/>
                <w:lang w:val="lv-LV"/>
              </w:rPr>
            </w:pPr>
            <w:r w:rsidRPr="001910F3">
              <w:rPr>
                <w:sz w:val="24"/>
                <w:szCs w:val="24"/>
                <w:lang w:val="lv-LV"/>
              </w:rPr>
              <w:t>kopsavilkums par pašvaldību budžeta iestāžu ilgtermiņa finanšu ieguldījumu kustību saimnieciskajā gadā;</w:t>
            </w:r>
          </w:p>
          <w:p w:rsidR="00EF4286" w:rsidRPr="001910F3" w:rsidRDefault="00EF4286" w:rsidP="00445652">
            <w:pPr>
              <w:pStyle w:val="ListParagraph"/>
              <w:numPr>
                <w:ilvl w:val="1"/>
                <w:numId w:val="27"/>
              </w:numPr>
              <w:tabs>
                <w:tab w:val="left" w:pos="408"/>
              </w:tabs>
              <w:jc w:val="both"/>
              <w:rPr>
                <w:sz w:val="24"/>
                <w:szCs w:val="24"/>
                <w:lang w:val="lv-LV"/>
              </w:rPr>
            </w:pPr>
            <w:r w:rsidRPr="001910F3">
              <w:rPr>
                <w:sz w:val="24"/>
                <w:szCs w:val="24"/>
                <w:lang w:val="lv-LV"/>
              </w:rPr>
              <w:t>kopsavilkums par pašvaldību budžeta iestāžu īstermiņa finanšu ieguldījumu kustību saimnieciskajā gadā;</w:t>
            </w:r>
          </w:p>
          <w:p w:rsidR="00EF4286" w:rsidRPr="001910F3" w:rsidRDefault="00EF4286" w:rsidP="00445652">
            <w:pPr>
              <w:pStyle w:val="ListParagraph"/>
              <w:numPr>
                <w:ilvl w:val="1"/>
                <w:numId w:val="27"/>
              </w:numPr>
              <w:tabs>
                <w:tab w:val="left" w:pos="408"/>
              </w:tabs>
              <w:jc w:val="both"/>
              <w:rPr>
                <w:sz w:val="24"/>
                <w:szCs w:val="24"/>
                <w:lang w:val="lv-LV"/>
              </w:rPr>
            </w:pPr>
            <w:r w:rsidRPr="001910F3">
              <w:rPr>
                <w:sz w:val="24"/>
                <w:szCs w:val="24"/>
                <w:lang w:val="lv-LV"/>
              </w:rPr>
              <w:t xml:space="preserve">kopsavilkums par valsts aizdevumiem saimnieciskā gada 31.decembrī; </w:t>
            </w:r>
          </w:p>
          <w:p w:rsidR="00EF4286" w:rsidRPr="001910F3" w:rsidRDefault="00EF4286" w:rsidP="00445652">
            <w:pPr>
              <w:pStyle w:val="ListParagraph"/>
              <w:numPr>
                <w:ilvl w:val="1"/>
                <w:numId w:val="27"/>
              </w:numPr>
              <w:tabs>
                <w:tab w:val="left" w:pos="408"/>
              </w:tabs>
              <w:jc w:val="both"/>
              <w:rPr>
                <w:sz w:val="24"/>
                <w:szCs w:val="24"/>
                <w:lang w:val="lv-LV"/>
              </w:rPr>
            </w:pPr>
            <w:r w:rsidRPr="001910F3">
              <w:rPr>
                <w:sz w:val="24"/>
                <w:szCs w:val="24"/>
                <w:lang w:val="lv-LV"/>
              </w:rPr>
              <w:t>kopsavilkums par ministriju un centrālo valsts iestāžu  naudas līdzekļu, to ekvivalentu un depozītu atlikumiem saimnieciskā gada 31.decembrī;</w:t>
            </w:r>
          </w:p>
          <w:p w:rsidR="00EF4286" w:rsidRPr="001910F3" w:rsidRDefault="00EF4286" w:rsidP="00445652">
            <w:pPr>
              <w:pStyle w:val="ListParagraph"/>
              <w:numPr>
                <w:ilvl w:val="1"/>
                <w:numId w:val="27"/>
              </w:numPr>
              <w:tabs>
                <w:tab w:val="left" w:pos="408"/>
              </w:tabs>
              <w:jc w:val="both"/>
              <w:rPr>
                <w:sz w:val="24"/>
                <w:szCs w:val="24"/>
                <w:lang w:val="lv-LV"/>
              </w:rPr>
            </w:pPr>
            <w:r w:rsidRPr="001910F3">
              <w:rPr>
                <w:sz w:val="24"/>
                <w:szCs w:val="24"/>
                <w:lang w:val="lv-LV"/>
              </w:rPr>
              <w:t>kopsavilkums par pašvaldību naudas līdzekļu, to ekvivalentu un depozītu atlikumiem saimnieciskā gada 31.decembrī;</w:t>
            </w:r>
          </w:p>
          <w:p w:rsidR="00EF4286" w:rsidRPr="001910F3" w:rsidRDefault="00EF4286" w:rsidP="00445652">
            <w:pPr>
              <w:pStyle w:val="ListParagraph"/>
              <w:numPr>
                <w:ilvl w:val="1"/>
                <w:numId w:val="27"/>
              </w:numPr>
              <w:tabs>
                <w:tab w:val="left" w:pos="408"/>
              </w:tabs>
              <w:jc w:val="both"/>
              <w:rPr>
                <w:sz w:val="24"/>
                <w:szCs w:val="24"/>
                <w:lang w:val="lv-LV"/>
              </w:rPr>
            </w:pPr>
            <w:r w:rsidRPr="001910F3">
              <w:rPr>
                <w:sz w:val="24"/>
                <w:szCs w:val="24"/>
                <w:lang w:val="lv-LV"/>
              </w:rPr>
              <w:t xml:space="preserve">izziņa par valsts budžeta līdzekļu atlikumiem </w:t>
            </w:r>
            <w:r w:rsidRPr="001910F3">
              <w:rPr>
                <w:sz w:val="24"/>
                <w:szCs w:val="24"/>
                <w:lang w:val="lv-LV"/>
              </w:rPr>
              <w:lastRenderedPageBreak/>
              <w:t>saimnieciskā gada 31.decembrī;</w:t>
            </w:r>
          </w:p>
          <w:p w:rsidR="00EF4286" w:rsidRPr="001910F3" w:rsidRDefault="00EF4286" w:rsidP="00445652">
            <w:pPr>
              <w:pStyle w:val="ListParagraph"/>
              <w:numPr>
                <w:ilvl w:val="1"/>
                <w:numId w:val="27"/>
              </w:numPr>
              <w:tabs>
                <w:tab w:val="left" w:pos="408"/>
              </w:tabs>
              <w:jc w:val="both"/>
              <w:rPr>
                <w:sz w:val="24"/>
                <w:szCs w:val="24"/>
                <w:lang w:val="lv-LV"/>
              </w:rPr>
            </w:pPr>
            <w:r w:rsidRPr="001910F3">
              <w:rPr>
                <w:sz w:val="24"/>
                <w:szCs w:val="24"/>
                <w:lang w:val="lv-LV"/>
              </w:rPr>
              <w:t>pašvaldību galvojumu saraksts saimnieciskā gada 31.decembrī (ar kopsavilkumu pa sektoriem un valūtām);</w:t>
            </w:r>
          </w:p>
          <w:p w:rsidR="00EF4286" w:rsidRPr="001910F3" w:rsidRDefault="00EF4286" w:rsidP="00445652">
            <w:pPr>
              <w:pStyle w:val="ListParagraph"/>
              <w:numPr>
                <w:ilvl w:val="1"/>
                <w:numId w:val="27"/>
              </w:numPr>
              <w:jc w:val="both"/>
              <w:rPr>
                <w:sz w:val="24"/>
                <w:szCs w:val="24"/>
                <w:lang w:val="lv-LV"/>
              </w:rPr>
            </w:pPr>
            <w:r w:rsidRPr="001910F3">
              <w:rPr>
                <w:sz w:val="24"/>
                <w:szCs w:val="24"/>
                <w:lang w:val="lv-LV"/>
              </w:rPr>
              <w:t>valsts izsniegt</w:t>
            </w:r>
            <w:r w:rsidR="00C15055" w:rsidRPr="001910F3">
              <w:rPr>
                <w:sz w:val="24"/>
                <w:szCs w:val="24"/>
                <w:lang w:val="lv-LV"/>
              </w:rPr>
              <w:t>ie</w:t>
            </w:r>
            <w:r w:rsidRPr="001910F3">
              <w:rPr>
                <w:sz w:val="24"/>
                <w:szCs w:val="24"/>
                <w:lang w:val="lv-LV"/>
              </w:rPr>
              <w:t xml:space="preserve"> galvojum</w:t>
            </w:r>
            <w:r w:rsidR="00C15055" w:rsidRPr="001910F3">
              <w:rPr>
                <w:sz w:val="24"/>
                <w:szCs w:val="24"/>
                <w:lang w:val="lv-LV"/>
              </w:rPr>
              <w:t>i</w:t>
            </w:r>
            <w:r w:rsidRPr="001910F3">
              <w:rPr>
                <w:sz w:val="24"/>
                <w:szCs w:val="24"/>
                <w:lang w:val="lv-LV"/>
              </w:rPr>
              <w:t xml:space="preserve"> </w:t>
            </w:r>
            <w:r w:rsidR="00816723" w:rsidRPr="001910F3">
              <w:rPr>
                <w:sz w:val="24"/>
                <w:szCs w:val="24"/>
                <w:lang w:val="lv-LV"/>
              </w:rPr>
              <w:t>saimnieciskā gada 31.decembrī;</w:t>
            </w:r>
          </w:p>
          <w:p w:rsidR="00772348" w:rsidRPr="001910F3" w:rsidRDefault="00772348" w:rsidP="00445652">
            <w:pPr>
              <w:pStyle w:val="ListParagraph"/>
              <w:numPr>
                <w:ilvl w:val="1"/>
                <w:numId w:val="27"/>
              </w:numPr>
              <w:tabs>
                <w:tab w:val="left" w:pos="408"/>
              </w:tabs>
              <w:jc w:val="both"/>
              <w:rPr>
                <w:sz w:val="24"/>
                <w:szCs w:val="24"/>
                <w:lang w:val="lv-LV"/>
              </w:rPr>
            </w:pPr>
            <w:r w:rsidRPr="001910F3">
              <w:rPr>
                <w:sz w:val="24"/>
                <w:szCs w:val="24"/>
                <w:lang w:val="lv-LV"/>
              </w:rPr>
              <w:t>ministriju un centr</w:t>
            </w:r>
            <w:r w:rsidR="00E2023A">
              <w:rPr>
                <w:sz w:val="24"/>
                <w:szCs w:val="24"/>
                <w:lang w:val="lv-LV"/>
              </w:rPr>
              <w:t>ā</w:t>
            </w:r>
            <w:r w:rsidRPr="001910F3">
              <w:rPr>
                <w:sz w:val="24"/>
                <w:szCs w:val="24"/>
                <w:lang w:val="lv-LV"/>
              </w:rPr>
              <w:t>l</w:t>
            </w:r>
            <w:r w:rsidR="001910F3" w:rsidRPr="001910F3">
              <w:rPr>
                <w:sz w:val="24"/>
                <w:szCs w:val="24"/>
                <w:lang w:val="lv-LV"/>
              </w:rPr>
              <w:t>o</w:t>
            </w:r>
            <w:r w:rsidRPr="001910F3">
              <w:rPr>
                <w:sz w:val="24"/>
                <w:szCs w:val="24"/>
                <w:lang w:val="lv-LV"/>
              </w:rPr>
              <w:t xml:space="preserve"> valsts iestāžu aizņēmumu saraksts (ar kopsavilkumu pa sektoriem, valūtām, procentu likmēm) saimniecisk</w:t>
            </w:r>
            <w:r w:rsidR="001910F3" w:rsidRPr="001910F3">
              <w:rPr>
                <w:sz w:val="24"/>
                <w:szCs w:val="24"/>
                <w:lang w:val="lv-LV"/>
              </w:rPr>
              <w:t>aj</w:t>
            </w:r>
            <w:r w:rsidRPr="001910F3">
              <w:rPr>
                <w:sz w:val="24"/>
                <w:szCs w:val="24"/>
                <w:lang w:val="lv-LV"/>
              </w:rPr>
              <w:t>ā gadā;</w:t>
            </w:r>
          </w:p>
          <w:p w:rsidR="00772348" w:rsidRPr="001910F3" w:rsidRDefault="00772348" w:rsidP="00445652">
            <w:pPr>
              <w:pStyle w:val="ListParagraph"/>
              <w:numPr>
                <w:ilvl w:val="1"/>
                <w:numId w:val="27"/>
              </w:numPr>
              <w:jc w:val="both"/>
              <w:rPr>
                <w:sz w:val="24"/>
                <w:szCs w:val="24"/>
                <w:lang w:val="lv-LV"/>
              </w:rPr>
            </w:pPr>
            <w:r w:rsidRPr="001910F3">
              <w:rPr>
                <w:sz w:val="24"/>
                <w:szCs w:val="24"/>
                <w:lang w:val="lv-LV"/>
              </w:rPr>
              <w:t>pašvaldību aizņēmumu saraksts saimnieciskā gada 31.decembrī;</w:t>
            </w:r>
          </w:p>
          <w:p w:rsidR="00070F19" w:rsidRPr="001910F3" w:rsidRDefault="00070F19" w:rsidP="00445652">
            <w:pPr>
              <w:pStyle w:val="ListParagraph"/>
              <w:numPr>
                <w:ilvl w:val="1"/>
                <w:numId w:val="27"/>
              </w:numPr>
              <w:jc w:val="both"/>
              <w:rPr>
                <w:sz w:val="24"/>
                <w:szCs w:val="24"/>
                <w:lang w:val="lv-LV"/>
              </w:rPr>
            </w:pPr>
            <w:r w:rsidRPr="001910F3">
              <w:rPr>
                <w:sz w:val="24"/>
                <w:szCs w:val="24"/>
                <w:lang w:val="lv-LV"/>
              </w:rPr>
              <w:t>valsts ārējā parāda pārskats saimnieciskajā gadā;</w:t>
            </w:r>
          </w:p>
          <w:p w:rsidR="00070F19" w:rsidRPr="001910F3" w:rsidRDefault="00070F19" w:rsidP="00445652">
            <w:pPr>
              <w:pStyle w:val="ListParagraph"/>
              <w:numPr>
                <w:ilvl w:val="1"/>
                <w:numId w:val="27"/>
              </w:numPr>
              <w:jc w:val="both"/>
              <w:rPr>
                <w:sz w:val="24"/>
                <w:szCs w:val="24"/>
                <w:lang w:val="lv-LV"/>
              </w:rPr>
            </w:pPr>
            <w:r w:rsidRPr="001910F3">
              <w:rPr>
                <w:sz w:val="24"/>
                <w:szCs w:val="24"/>
                <w:lang w:val="lv-LV"/>
              </w:rPr>
              <w:t>valsts iekšējā parāda pārskats saimnieciskajā gadā;</w:t>
            </w:r>
          </w:p>
          <w:p w:rsidR="00FF1802" w:rsidRPr="001910F3" w:rsidRDefault="00FF1802" w:rsidP="00445652">
            <w:pPr>
              <w:pStyle w:val="ListParagraph"/>
              <w:numPr>
                <w:ilvl w:val="1"/>
                <w:numId w:val="27"/>
              </w:numPr>
              <w:jc w:val="both"/>
              <w:rPr>
                <w:sz w:val="24"/>
                <w:szCs w:val="24"/>
                <w:lang w:val="lv-LV"/>
              </w:rPr>
            </w:pPr>
            <w:r w:rsidRPr="001910F3">
              <w:rPr>
                <w:sz w:val="24"/>
                <w:szCs w:val="24"/>
                <w:lang w:val="lv-LV"/>
              </w:rPr>
              <w:t>valsts pamatbudžeta ieņēmumi un izdevumi atbilstoši ekonomiskajām kategorijām saimnieciskajā gadā;</w:t>
            </w:r>
          </w:p>
          <w:p w:rsidR="001008CA" w:rsidRPr="001910F3" w:rsidRDefault="00FF1802" w:rsidP="00445652">
            <w:pPr>
              <w:pStyle w:val="tv213"/>
              <w:numPr>
                <w:ilvl w:val="1"/>
                <w:numId w:val="27"/>
              </w:numPr>
              <w:jc w:val="both"/>
              <w:rPr>
                <w:lang w:val="lv-LV"/>
              </w:rPr>
            </w:pPr>
            <w:r w:rsidRPr="001910F3">
              <w:rPr>
                <w:lang w:val="lv-LV"/>
              </w:rPr>
              <w:t>valsts pamatbudžeta izdevumi atbilstoši funkcionālajām kategorijām saimnieciskajā gadā;</w:t>
            </w:r>
          </w:p>
          <w:p w:rsidR="00FF1802" w:rsidRPr="001910F3" w:rsidRDefault="001008CA" w:rsidP="00445652">
            <w:pPr>
              <w:pStyle w:val="tv213"/>
              <w:numPr>
                <w:ilvl w:val="1"/>
                <w:numId w:val="27"/>
              </w:numPr>
              <w:jc w:val="both"/>
              <w:rPr>
                <w:lang w:val="lv-LV"/>
              </w:rPr>
            </w:pPr>
            <w:r w:rsidRPr="001910F3">
              <w:rPr>
                <w:lang w:val="lv-LV"/>
              </w:rPr>
              <w:t>v</w:t>
            </w:r>
            <w:r w:rsidR="00FF1802" w:rsidRPr="001910F3">
              <w:rPr>
                <w:lang w:val="lv-LV"/>
              </w:rPr>
              <w:t>alsts speciālā budžeta ieņēmumi un izdevumi atbilstoši ekonomiskajām kategorijām saimnieciskajā gadā;</w:t>
            </w:r>
          </w:p>
          <w:p w:rsidR="00FF1802" w:rsidRPr="001910F3" w:rsidRDefault="00FF1802" w:rsidP="00445652">
            <w:pPr>
              <w:pStyle w:val="tv213"/>
              <w:numPr>
                <w:ilvl w:val="1"/>
                <w:numId w:val="27"/>
              </w:numPr>
              <w:jc w:val="both"/>
              <w:rPr>
                <w:lang w:val="lv-LV"/>
              </w:rPr>
            </w:pPr>
            <w:r w:rsidRPr="001910F3">
              <w:rPr>
                <w:lang w:val="lv-LV"/>
              </w:rPr>
              <w:t>valsts speciālā budžeta izdevumi atbilstoši funkcionālajām kategorijām saimnieciskajā gadā;</w:t>
            </w:r>
          </w:p>
          <w:p w:rsidR="00FF1802" w:rsidRPr="001910F3" w:rsidRDefault="00FF1802" w:rsidP="00445652">
            <w:pPr>
              <w:pStyle w:val="tv213"/>
              <w:numPr>
                <w:ilvl w:val="1"/>
                <w:numId w:val="27"/>
              </w:numPr>
              <w:jc w:val="both"/>
              <w:rPr>
                <w:lang w:val="lv-LV"/>
              </w:rPr>
            </w:pPr>
            <w:r w:rsidRPr="001910F3">
              <w:rPr>
                <w:lang w:val="lv-LV"/>
              </w:rPr>
              <w:t>ministriju un centrālo valsts iestāžu grāmatvedības bilanču kopsavilkums saimnieciskā gada 31.decembrī ;</w:t>
            </w:r>
          </w:p>
          <w:p w:rsidR="00FF1802" w:rsidRPr="001910F3" w:rsidRDefault="00FF1802" w:rsidP="00445652">
            <w:pPr>
              <w:pStyle w:val="tv213"/>
              <w:numPr>
                <w:ilvl w:val="1"/>
                <w:numId w:val="27"/>
              </w:numPr>
              <w:jc w:val="both"/>
              <w:rPr>
                <w:lang w:val="lv-LV"/>
              </w:rPr>
            </w:pPr>
            <w:r w:rsidRPr="001910F3">
              <w:rPr>
                <w:lang w:val="lv-LV"/>
              </w:rPr>
              <w:t>pašvaldību budžeta iestāžu grāmatvedības bilanču kopsavilkums saimnieciskā gada 31.decembrī;</w:t>
            </w:r>
          </w:p>
          <w:p w:rsidR="00FF1802" w:rsidRPr="001910F3" w:rsidRDefault="00FF1802" w:rsidP="00445652">
            <w:pPr>
              <w:pStyle w:val="tv213"/>
              <w:numPr>
                <w:ilvl w:val="1"/>
                <w:numId w:val="27"/>
              </w:numPr>
              <w:jc w:val="both"/>
              <w:rPr>
                <w:lang w:val="lv-LV"/>
              </w:rPr>
            </w:pPr>
            <w:r w:rsidRPr="001910F3">
              <w:rPr>
                <w:lang w:val="lv-LV"/>
              </w:rPr>
              <w:t>valsts budžeta finanšu uzskaites bilance saimnieciskā gada 31.decembrī;</w:t>
            </w:r>
          </w:p>
          <w:p w:rsidR="00FF1802" w:rsidRPr="001910F3" w:rsidRDefault="00FF1802" w:rsidP="00445652">
            <w:pPr>
              <w:pStyle w:val="tv213"/>
              <w:numPr>
                <w:ilvl w:val="1"/>
                <w:numId w:val="27"/>
              </w:numPr>
              <w:jc w:val="both"/>
              <w:rPr>
                <w:lang w:val="lv-LV"/>
              </w:rPr>
            </w:pPr>
            <w:r w:rsidRPr="001910F3">
              <w:rPr>
                <w:lang w:val="lv-LV"/>
              </w:rPr>
              <w:t>ministriju un centrālo valsts iestāžu finansiālās darbības pārskats saimnieciskajā gadā;</w:t>
            </w:r>
          </w:p>
          <w:p w:rsidR="00FF1802" w:rsidRPr="001910F3" w:rsidRDefault="00FF1802" w:rsidP="00445652">
            <w:pPr>
              <w:pStyle w:val="tv213"/>
              <w:numPr>
                <w:ilvl w:val="1"/>
                <w:numId w:val="27"/>
              </w:numPr>
              <w:jc w:val="both"/>
              <w:rPr>
                <w:lang w:val="lv-LV"/>
              </w:rPr>
            </w:pPr>
            <w:r w:rsidRPr="001910F3">
              <w:rPr>
                <w:lang w:val="lv-LV"/>
              </w:rPr>
              <w:t>pašvaldību budžeta iestāžu finansiālās darbības pārskats saimnieciskajā gadā;</w:t>
            </w:r>
          </w:p>
          <w:p w:rsidR="00FF1802" w:rsidRPr="001910F3" w:rsidRDefault="00FF1802" w:rsidP="00445652">
            <w:pPr>
              <w:pStyle w:val="tv213"/>
              <w:numPr>
                <w:ilvl w:val="1"/>
                <w:numId w:val="27"/>
              </w:numPr>
              <w:jc w:val="both"/>
              <w:rPr>
                <w:lang w:val="lv-LV"/>
              </w:rPr>
            </w:pPr>
            <w:r w:rsidRPr="001910F3">
              <w:rPr>
                <w:lang w:val="lv-LV"/>
              </w:rPr>
              <w:t>valsts budžeta finanšu uzskaites finansiālās darbības pārskats saimnieciskajā gadā;</w:t>
            </w:r>
          </w:p>
          <w:p w:rsidR="00FF1802" w:rsidRPr="001910F3" w:rsidRDefault="00FF1802" w:rsidP="00445652">
            <w:pPr>
              <w:pStyle w:val="tv213"/>
              <w:numPr>
                <w:ilvl w:val="1"/>
                <w:numId w:val="27"/>
              </w:numPr>
              <w:jc w:val="both"/>
              <w:rPr>
                <w:lang w:val="lv-LV"/>
              </w:rPr>
            </w:pPr>
            <w:r w:rsidRPr="001910F3">
              <w:rPr>
                <w:lang w:val="lv-LV"/>
              </w:rPr>
              <w:t>ministriju un centrālo valsts iestāžu naudas plūsmas pārskats saimnieciskajā gadā;</w:t>
            </w:r>
          </w:p>
          <w:p w:rsidR="00FF1802" w:rsidRPr="001910F3" w:rsidRDefault="00FF1802" w:rsidP="00445652">
            <w:pPr>
              <w:pStyle w:val="tv213"/>
              <w:numPr>
                <w:ilvl w:val="1"/>
                <w:numId w:val="27"/>
              </w:numPr>
              <w:jc w:val="both"/>
              <w:rPr>
                <w:lang w:val="lv-LV"/>
              </w:rPr>
            </w:pPr>
            <w:r w:rsidRPr="001910F3">
              <w:rPr>
                <w:lang w:val="lv-LV"/>
              </w:rPr>
              <w:t>pašvaldību budžeta iestāžu naudas plūsmas pārskats saimnieciskajā gadā;</w:t>
            </w:r>
          </w:p>
          <w:p w:rsidR="00FF1802" w:rsidRPr="001910F3" w:rsidRDefault="00FF1802" w:rsidP="00445652">
            <w:pPr>
              <w:pStyle w:val="tv213"/>
              <w:numPr>
                <w:ilvl w:val="1"/>
                <w:numId w:val="27"/>
              </w:numPr>
              <w:jc w:val="both"/>
              <w:rPr>
                <w:lang w:val="lv-LV"/>
              </w:rPr>
            </w:pPr>
            <w:r w:rsidRPr="001910F3">
              <w:rPr>
                <w:lang w:val="lv-LV"/>
              </w:rPr>
              <w:t>valsts budžeta finanšu uzskaites naudas plūsmas pārskats saimnieciskajā gadā;</w:t>
            </w:r>
          </w:p>
          <w:p w:rsidR="00FF1802" w:rsidRPr="001910F3" w:rsidRDefault="00FF1802" w:rsidP="00445652">
            <w:pPr>
              <w:pStyle w:val="tv213"/>
              <w:numPr>
                <w:ilvl w:val="1"/>
                <w:numId w:val="27"/>
              </w:numPr>
              <w:jc w:val="both"/>
              <w:rPr>
                <w:lang w:val="lv-LV"/>
              </w:rPr>
            </w:pPr>
            <w:r w:rsidRPr="001910F3">
              <w:rPr>
                <w:lang w:val="lv-LV"/>
              </w:rPr>
              <w:t xml:space="preserve">ministriju un centrālo valsts iestāžu pašu kapitāla (neto aktīvu) izmaiņu pārskats saimnieciskajā gadā; </w:t>
            </w:r>
          </w:p>
          <w:p w:rsidR="00FF1802" w:rsidRPr="001910F3" w:rsidRDefault="00FF1802" w:rsidP="00445652">
            <w:pPr>
              <w:pStyle w:val="tv213"/>
              <w:numPr>
                <w:ilvl w:val="1"/>
                <w:numId w:val="27"/>
              </w:numPr>
              <w:jc w:val="both"/>
              <w:rPr>
                <w:b/>
                <w:lang w:val="lv-LV"/>
              </w:rPr>
            </w:pPr>
            <w:r w:rsidRPr="001910F3">
              <w:rPr>
                <w:lang w:val="lv-LV"/>
              </w:rPr>
              <w:lastRenderedPageBreak/>
              <w:t>pašvaldību budžeta iestāžu pašu kapitāla (neto aktīvu) izmaiņu pārskats saimnieciskajā gadā;</w:t>
            </w:r>
          </w:p>
          <w:p w:rsidR="000A5D04" w:rsidRPr="001910F3" w:rsidRDefault="00FF1802" w:rsidP="001609FF">
            <w:pPr>
              <w:pStyle w:val="tv213"/>
              <w:numPr>
                <w:ilvl w:val="1"/>
                <w:numId w:val="27"/>
              </w:numPr>
              <w:jc w:val="both"/>
              <w:rPr>
                <w:b/>
                <w:lang w:val="lv-LV"/>
              </w:rPr>
            </w:pPr>
            <w:r w:rsidRPr="001910F3">
              <w:rPr>
                <w:lang w:val="lv-LV"/>
              </w:rPr>
              <w:t>valsts budžeta finanšu uzskaites pašu kapitāla (neto aktīvu) izmai</w:t>
            </w:r>
            <w:r w:rsidR="008D21F9" w:rsidRPr="001910F3">
              <w:rPr>
                <w:lang w:val="lv-LV"/>
              </w:rPr>
              <w:t>ņu pārskats saimnieciskajā gadā</w:t>
            </w:r>
            <w:r w:rsidR="00224CAE" w:rsidRPr="001910F3">
              <w:rPr>
                <w:lang w:val="lv-LV"/>
              </w:rPr>
              <w:t>.</w:t>
            </w:r>
            <w:r w:rsidR="00AB5277" w:rsidRPr="001910F3">
              <w:rPr>
                <w:lang w:val="lv-LV"/>
              </w:rPr>
              <w:t xml:space="preserve"> </w:t>
            </w:r>
            <w:r w:rsidR="00770C93" w:rsidRPr="001910F3">
              <w:rPr>
                <w:lang w:val="lv-LV"/>
              </w:rPr>
              <w:t xml:space="preserve"> </w:t>
            </w:r>
          </w:p>
        </w:tc>
      </w:tr>
    </w:tbl>
    <w:p w:rsidR="000F41F1" w:rsidRPr="001910F3" w:rsidRDefault="000F41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1975"/>
        <w:gridCol w:w="6736"/>
      </w:tblGrid>
      <w:tr w:rsidR="006C4EB7" w:rsidRPr="001910F3" w:rsidTr="001609FF">
        <w:tc>
          <w:tcPr>
            <w:tcW w:w="9287" w:type="dxa"/>
            <w:gridSpan w:val="3"/>
            <w:shd w:val="clear" w:color="auto" w:fill="auto"/>
          </w:tcPr>
          <w:p w:rsidR="006C4EB7" w:rsidRPr="001910F3" w:rsidRDefault="006C4EB7" w:rsidP="00A83BDB">
            <w:pPr>
              <w:pStyle w:val="NormalWeb"/>
              <w:jc w:val="center"/>
            </w:pPr>
            <w:r w:rsidRPr="001910F3">
              <w:rPr>
                <w:b/>
                <w:bCs/>
              </w:rPr>
              <w:t>II. Tiesību akta projekta ietekme uz sabiedrību</w:t>
            </w:r>
            <w:r w:rsidR="00BA09FD" w:rsidRPr="00AD3EFF">
              <w:rPr>
                <w:b/>
                <w:bCs/>
              </w:rPr>
              <w:t>, tautsaimniecības attīstību un administratīvo slogu</w:t>
            </w:r>
          </w:p>
        </w:tc>
      </w:tr>
      <w:tr w:rsidR="006C4EB7" w:rsidRPr="001910F3" w:rsidTr="001609FF">
        <w:tc>
          <w:tcPr>
            <w:tcW w:w="576" w:type="dxa"/>
            <w:shd w:val="clear" w:color="auto" w:fill="auto"/>
          </w:tcPr>
          <w:p w:rsidR="006C4EB7" w:rsidRPr="001910F3" w:rsidRDefault="006C4EB7" w:rsidP="001F20CA">
            <w:pPr>
              <w:pStyle w:val="NormalWeb"/>
            </w:pPr>
            <w:r w:rsidRPr="001910F3">
              <w:t>1.</w:t>
            </w:r>
          </w:p>
        </w:tc>
        <w:tc>
          <w:tcPr>
            <w:tcW w:w="1975" w:type="dxa"/>
            <w:shd w:val="clear" w:color="auto" w:fill="auto"/>
          </w:tcPr>
          <w:p w:rsidR="006C4EB7" w:rsidRPr="001910F3" w:rsidRDefault="006C4EB7" w:rsidP="001F20CA">
            <w:pPr>
              <w:pStyle w:val="NormalWeb"/>
            </w:pPr>
            <w:r w:rsidRPr="001910F3">
              <w:t>Sabiedrības mērķgrupa</w:t>
            </w:r>
            <w:r w:rsidR="00BA09FD" w:rsidRPr="00AD3EFF">
              <w:t xml:space="preserve"> kuras tiesiskais regulējums ietekmē vai varētu ietekmēt</w:t>
            </w:r>
          </w:p>
        </w:tc>
        <w:tc>
          <w:tcPr>
            <w:tcW w:w="6736" w:type="dxa"/>
            <w:shd w:val="clear" w:color="auto" w:fill="auto"/>
          </w:tcPr>
          <w:p w:rsidR="006C4EB7" w:rsidRPr="001910F3" w:rsidRDefault="00816723" w:rsidP="0086687F">
            <w:pPr>
              <w:pStyle w:val="NormalWeb"/>
              <w:jc w:val="both"/>
            </w:pPr>
            <w:r w:rsidRPr="001910F3">
              <w:t>Projekts attiecināms uz Valsts kases darbiniekiem, kuri sagatavos saimnieciskā gada pārskatu – aptuveni 18 darbinieki.</w:t>
            </w:r>
          </w:p>
        </w:tc>
      </w:tr>
      <w:tr w:rsidR="006C4EB7" w:rsidRPr="001910F3" w:rsidTr="001609FF">
        <w:tc>
          <w:tcPr>
            <w:tcW w:w="576" w:type="dxa"/>
            <w:shd w:val="clear" w:color="auto" w:fill="auto"/>
          </w:tcPr>
          <w:p w:rsidR="006C4EB7" w:rsidRPr="001910F3" w:rsidRDefault="00BA09FD" w:rsidP="001F20CA">
            <w:pPr>
              <w:pStyle w:val="NormalWeb"/>
            </w:pPr>
            <w:r>
              <w:t>2.</w:t>
            </w:r>
            <w:r w:rsidR="006C4EB7" w:rsidRPr="001910F3">
              <w:t>.</w:t>
            </w:r>
          </w:p>
        </w:tc>
        <w:tc>
          <w:tcPr>
            <w:tcW w:w="1975" w:type="dxa"/>
            <w:shd w:val="clear" w:color="auto" w:fill="auto"/>
          </w:tcPr>
          <w:p w:rsidR="006C4EB7" w:rsidRPr="001910F3" w:rsidRDefault="00BA09FD" w:rsidP="001F20CA">
            <w:pPr>
              <w:pStyle w:val="NormalWeb"/>
            </w:pPr>
            <w:r>
              <w:t xml:space="preserve"> </w:t>
            </w:r>
            <w:r w:rsidRPr="00AD3EFF">
              <w:t>Tiesiskā regulējuma ietekme uz tautsaimniecību un administratīvo slogu</w:t>
            </w:r>
          </w:p>
        </w:tc>
        <w:tc>
          <w:tcPr>
            <w:tcW w:w="6736" w:type="dxa"/>
            <w:shd w:val="clear" w:color="auto" w:fill="auto"/>
          </w:tcPr>
          <w:p w:rsidR="00C07AF1" w:rsidRPr="001910F3" w:rsidRDefault="002363BE" w:rsidP="0086687F">
            <w:pPr>
              <w:pStyle w:val="NormalWeb"/>
              <w:spacing w:before="0" w:beforeAutospacing="0" w:after="0" w:afterAutospacing="0"/>
              <w:jc w:val="both"/>
            </w:pPr>
            <w:r w:rsidRPr="001910F3">
              <w:t>Noteikumu projekts paredz kārtību, k</w:t>
            </w:r>
            <w:r w:rsidR="0086687F">
              <w:t>a</w:t>
            </w:r>
            <w:r w:rsidRPr="001910F3">
              <w:t xml:space="preserve"> reizi gadā </w:t>
            </w:r>
            <w:r w:rsidR="00770C93" w:rsidRPr="001910F3">
              <w:t xml:space="preserve">Finanšu ministrija (Valsts kase) sagatavo saimnieciskā </w:t>
            </w:r>
            <w:r w:rsidRPr="001910F3">
              <w:t>gada pārskatu</w:t>
            </w:r>
            <w:r w:rsidR="00A72C5A" w:rsidRPr="001910F3">
              <w:t>.</w:t>
            </w:r>
            <w:r w:rsidRPr="001910F3">
              <w:t xml:space="preserve"> </w:t>
            </w:r>
          </w:p>
        </w:tc>
      </w:tr>
      <w:tr w:rsidR="006C4EB7" w:rsidRPr="001910F3" w:rsidTr="001609FF">
        <w:tc>
          <w:tcPr>
            <w:tcW w:w="576" w:type="dxa"/>
            <w:shd w:val="clear" w:color="auto" w:fill="auto"/>
          </w:tcPr>
          <w:p w:rsidR="006C4EB7" w:rsidRPr="001910F3" w:rsidRDefault="00BA09FD" w:rsidP="00BA09FD">
            <w:pPr>
              <w:pStyle w:val="NormalWeb"/>
            </w:pPr>
            <w:r>
              <w:t>3</w:t>
            </w:r>
            <w:r w:rsidR="006C4EB7" w:rsidRPr="001910F3">
              <w:t>.</w:t>
            </w:r>
          </w:p>
        </w:tc>
        <w:tc>
          <w:tcPr>
            <w:tcW w:w="1975" w:type="dxa"/>
            <w:shd w:val="clear" w:color="auto" w:fill="auto"/>
          </w:tcPr>
          <w:p w:rsidR="006C4EB7" w:rsidRPr="001910F3" w:rsidRDefault="006C4EB7" w:rsidP="001F20CA">
            <w:pPr>
              <w:pStyle w:val="NormalWeb"/>
            </w:pPr>
            <w:r w:rsidRPr="001910F3">
              <w:t>Administratīvo izmaksu monetārs novērtējums</w:t>
            </w:r>
          </w:p>
        </w:tc>
        <w:tc>
          <w:tcPr>
            <w:tcW w:w="6736" w:type="dxa"/>
            <w:shd w:val="clear" w:color="auto" w:fill="auto"/>
          </w:tcPr>
          <w:p w:rsidR="006C4EB7" w:rsidRPr="001910F3" w:rsidRDefault="00EA0CB5" w:rsidP="001F20CA">
            <w:pPr>
              <w:pStyle w:val="NormalWeb"/>
            </w:pPr>
            <w:r w:rsidRPr="001910F3">
              <w:t>Projekts šo jomu neskar</w:t>
            </w:r>
          </w:p>
        </w:tc>
      </w:tr>
      <w:tr w:rsidR="006C4EB7" w:rsidRPr="001910F3" w:rsidTr="001609FF">
        <w:tc>
          <w:tcPr>
            <w:tcW w:w="576" w:type="dxa"/>
            <w:shd w:val="clear" w:color="auto" w:fill="auto"/>
          </w:tcPr>
          <w:p w:rsidR="006C4EB7" w:rsidRPr="001910F3" w:rsidRDefault="00BA09FD" w:rsidP="001F20CA">
            <w:pPr>
              <w:pStyle w:val="NormalWeb"/>
            </w:pPr>
            <w:r>
              <w:t>4</w:t>
            </w:r>
            <w:r w:rsidR="006C4EB7" w:rsidRPr="001910F3">
              <w:t>.</w:t>
            </w:r>
          </w:p>
        </w:tc>
        <w:tc>
          <w:tcPr>
            <w:tcW w:w="1975" w:type="dxa"/>
            <w:shd w:val="clear" w:color="auto" w:fill="auto"/>
          </w:tcPr>
          <w:p w:rsidR="006C4EB7" w:rsidRPr="001910F3" w:rsidRDefault="006C4EB7" w:rsidP="001F20CA">
            <w:pPr>
              <w:pStyle w:val="NormalWeb"/>
            </w:pPr>
            <w:r w:rsidRPr="001910F3">
              <w:t>Cita informācija</w:t>
            </w:r>
          </w:p>
        </w:tc>
        <w:tc>
          <w:tcPr>
            <w:tcW w:w="6736" w:type="dxa"/>
            <w:shd w:val="clear" w:color="auto" w:fill="auto"/>
          </w:tcPr>
          <w:p w:rsidR="006C4EB7" w:rsidRPr="001910F3" w:rsidRDefault="00393820" w:rsidP="001F20CA">
            <w:pPr>
              <w:pStyle w:val="NormalWeb"/>
            </w:pPr>
            <w:r w:rsidRPr="001910F3">
              <w:t>Nav</w:t>
            </w:r>
          </w:p>
        </w:tc>
      </w:tr>
    </w:tbl>
    <w:p w:rsidR="006C4EB7" w:rsidRPr="001910F3" w:rsidRDefault="006C4EB7"/>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993"/>
        <w:gridCol w:w="1701"/>
        <w:gridCol w:w="1701"/>
        <w:gridCol w:w="1275"/>
        <w:gridCol w:w="1276"/>
      </w:tblGrid>
      <w:tr w:rsidR="009B7092" w:rsidRPr="001910F3" w:rsidTr="009B7092">
        <w:trPr>
          <w:trHeight w:val="413"/>
        </w:trPr>
        <w:tc>
          <w:tcPr>
            <w:tcW w:w="9356" w:type="dxa"/>
            <w:gridSpan w:val="6"/>
          </w:tcPr>
          <w:p w:rsidR="009B7092" w:rsidRPr="001910F3" w:rsidRDefault="009B7092" w:rsidP="008C6EF2">
            <w:pPr>
              <w:pStyle w:val="naisnod"/>
              <w:spacing w:before="0" w:after="0"/>
              <w:ind w:left="-18" w:firstLine="18"/>
              <w:rPr>
                <w:i/>
              </w:rPr>
            </w:pPr>
            <w:r w:rsidRPr="001910F3">
              <w:br w:type="page"/>
              <w:t>III. Tiesību akta projekta ietekme uz valsts budžetu un pašvaldību budžetiem</w:t>
            </w:r>
          </w:p>
        </w:tc>
      </w:tr>
      <w:tr w:rsidR="009B7092" w:rsidRPr="001910F3" w:rsidTr="009B7092">
        <w:tc>
          <w:tcPr>
            <w:tcW w:w="2410" w:type="dxa"/>
            <w:vMerge w:val="restart"/>
            <w:vAlign w:val="center"/>
          </w:tcPr>
          <w:p w:rsidR="009B7092" w:rsidRPr="001910F3" w:rsidRDefault="009B7092" w:rsidP="008C6EF2">
            <w:pPr>
              <w:pStyle w:val="naisf"/>
              <w:spacing w:before="0" w:after="0"/>
              <w:ind w:firstLine="0"/>
              <w:jc w:val="center"/>
              <w:rPr>
                <w:b/>
              </w:rPr>
            </w:pPr>
            <w:r w:rsidRPr="001910F3">
              <w:rPr>
                <w:b/>
              </w:rPr>
              <w:t>Rādītāji</w:t>
            </w:r>
          </w:p>
        </w:tc>
        <w:tc>
          <w:tcPr>
            <w:tcW w:w="2694" w:type="dxa"/>
            <w:gridSpan w:val="2"/>
            <w:vMerge w:val="restart"/>
            <w:vAlign w:val="center"/>
          </w:tcPr>
          <w:p w:rsidR="009B7092" w:rsidRPr="001910F3" w:rsidRDefault="009B7092" w:rsidP="001609FF">
            <w:pPr>
              <w:pStyle w:val="naisf"/>
              <w:spacing w:before="0" w:after="0"/>
              <w:ind w:firstLine="0"/>
              <w:jc w:val="center"/>
              <w:rPr>
                <w:b/>
              </w:rPr>
            </w:pPr>
            <w:r w:rsidRPr="001910F3">
              <w:rPr>
                <w:b/>
              </w:rPr>
              <w:t>201</w:t>
            </w:r>
            <w:r w:rsidR="001609FF">
              <w:rPr>
                <w:b/>
              </w:rPr>
              <w:t>4</w:t>
            </w:r>
            <w:r w:rsidRPr="001910F3">
              <w:rPr>
                <w:b/>
              </w:rPr>
              <w:t>. gads</w:t>
            </w:r>
          </w:p>
        </w:tc>
        <w:tc>
          <w:tcPr>
            <w:tcW w:w="4252" w:type="dxa"/>
            <w:gridSpan w:val="3"/>
            <w:vAlign w:val="center"/>
          </w:tcPr>
          <w:p w:rsidR="009B7092" w:rsidRPr="001910F3" w:rsidRDefault="009B7092" w:rsidP="008C6EF2">
            <w:pPr>
              <w:pStyle w:val="naisf"/>
              <w:spacing w:before="0" w:after="0"/>
              <w:ind w:firstLine="0"/>
              <w:jc w:val="center"/>
              <w:rPr>
                <w:b/>
                <w:i/>
              </w:rPr>
            </w:pPr>
            <w:r w:rsidRPr="001910F3">
              <w:t xml:space="preserve">Turpmākie trīs gadi (tūkst. </w:t>
            </w:r>
            <w:r w:rsidRPr="001910F3">
              <w:rPr>
                <w:i/>
              </w:rPr>
              <w:t>euro</w:t>
            </w:r>
            <w:r w:rsidRPr="001910F3">
              <w:t>)</w:t>
            </w:r>
          </w:p>
        </w:tc>
      </w:tr>
      <w:tr w:rsidR="009B7092" w:rsidRPr="001910F3" w:rsidTr="009B7092">
        <w:tc>
          <w:tcPr>
            <w:tcW w:w="2410" w:type="dxa"/>
            <w:vMerge/>
            <w:vAlign w:val="center"/>
          </w:tcPr>
          <w:p w:rsidR="009B7092" w:rsidRPr="001910F3" w:rsidRDefault="009B7092" w:rsidP="008C6EF2">
            <w:pPr>
              <w:pStyle w:val="naisf"/>
              <w:spacing w:before="0" w:after="0"/>
              <w:ind w:firstLine="0"/>
              <w:jc w:val="center"/>
              <w:rPr>
                <w:b/>
                <w:i/>
              </w:rPr>
            </w:pPr>
          </w:p>
        </w:tc>
        <w:tc>
          <w:tcPr>
            <w:tcW w:w="2694" w:type="dxa"/>
            <w:gridSpan w:val="2"/>
            <w:vMerge/>
            <w:vAlign w:val="center"/>
          </w:tcPr>
          <w:p w:rsidR="009B7092" w:rsidRPr="001910F3" w:rsidRDefault="009B7092" w:rsidP="008C6EF2">
            <w:pPr>
              <w:pStyle w:val="naisf"/>
              <w:spacing w:before="0" w:after="0"/>
              <w:ind w:firstLine="0"/>
              <w:jc w:val="center"/>
              <w:rPr>
                <w:b/>
                <w:i/>
              </w:rPr>
            </w:pPr>
          </w:p>
        </w:tc>
        <w:tc>
          <w:tcPr>
            <w:tcW w:w="1701" w:type="dxa"/>
            <w:vAlign w:val="center"/>
          </w:tcPr>
          <w:p w:rsidR="009B7092" w:rsidRPr="001910F3" w:rsidRDefault="009B7092" w:rsidP="001609FF">
            <w:pPr>
              <w:pStyle w:val="naisf"/>
              <w:spacing w:before="0" w:after="0"/>
              <w:ind w:firstLine="0"/>
              <w:jc w:val="center"/>
              <w:rPr>
                <w:b/>
                <w:i/>
              </w:rPr>
            </w:pPr>
            <w:r w:rsidRPr="001910F3">
              <w:rPr>
                <w:b/>
              </w:rPr>
              <w:t>201</w:t>
            </w:r>
            <w:r w:rsidR="001609FF">
              <w:rPr>
                <w:b/>
              </w:rPr>
              <w:t>5</w:t>
            </w:r>
            <w:r w:rsidRPr="001910F3">
              <w:rPr>
                <w:b/>
              </w:rPr>
              <w:t>. gads</w:t>
            </w:r>
          </w:p>
        </w:tc>
        <w:tc>
          <w:tcPr>
            <w:tcW w:w="1275" w:type="dxa"/>
            <w:vAlign w:val="center"/>
          </w:tcPr>
          <w:p w:rsidR="009B7092" w:rsidRPr="001910F3" w:rsidRDefault="009B7092" w:rsidP="001609FF">
            <w:pPr>
              <w:pStyle w:val="naisf"/>
              <w:spacing w:before="0" w:after="0"/>
              <w:ind w:firstLine="0"/>
              <w:jc w:val="center"/>
              <w:rPr>
                <w:b/>
                <w:i/>
              </w:rPr>
            </w:pPr>
            <w:r w:rsidRPr="001910F3">
              <w:rPr>
                <w:b/>
              </w:rPr>
              <w:t>201</w:t>
            </w:r>
            <w:r w:rsidR="001609FF">
              <w:rPr>
                <w:b/>
              </w:rPr>
              <w:t>6</w:t>
            </w:r>
            <w:r w:rsidRPr="001910F3">
              <w:rPr>
                <w:b/>
              </w:rPr>
              <w:t>. gads</w:t>
            </w:r>
          </w:p>
        </w:tc>
        <w:tc>
          <w:tcPr>
            <w:tcW w:w="1276" w:type="dxa"/>
            <w:vAlign w:val="center"/>
          </w:tcPr>
          <w:p w:rsidR="009B7092" w:rsidRPr="001910F3" w:rsidRDefault="009B7092" w:rsidP="001609FF">
            <w:pPr>
              <w:pStyle w:val="naisf"/>
              <w:spacing w:before="0" w:after="0"/>
              <w:ind w:firstLine="0"/>
              <w:jc w:val="center"/>
              <w:rPr>
                <w:b/>
                <w:i/>
              </w:rPr>
            </w:pPr>
            <w:r w:rsidRPr="001910F3">
              <w:rPr>
                <w:b/>
              </w:rPr>
              <w:t>201</w:t>
            </w:r>
            <w:r w:rsidR="001609FF">
              <w:rPr>
                <w:b/>
              </w:rPr>
              <w:t>7</w:t>
            </w:r>
            <w:r w:rsidRPr="001910F3">
              <w:rPr>
                <w:b/>
              </w:rPr>
              <w:t>. gads</w:t>
            </w:r>
          </w:p>
        </w:tc>
      </w:tr>
      <w:tr w:rsidR="009B7092" w:rsidRPr="001910F3" w:rsidTr="00182E92">
        <w:tc>
          <w:tcPr>
            <w:tcW w:w="2410" w:type="dxa"/>
            <w:vMerge/>
            <w:vAlign w:val="center"/>
          </w:tcPr>
          <w:p w:rsidR="009B7092" w:rsidRPr="001910F3" w:rsidRDefault="009B7092" w:rsidP="008C6EF2">
            <w:pPr>
              <w:pStyle w:val="naisf"/>
              <w:spacing w:before="0" w:after="0"/>
              <w:ind w:firstLine="0"/>
              <w:jc w:val="center"/>
              <w:rPr>
                <w:b/>
                <w:i/>
              </w:rPr>
            </w:pPr>
          </w:p>
        </w:tc>
        <w:tc>
          <w:tcPr>
            <w:tcW w:w="993" w:type="dxa"/>
            <w:vAlign w:val="center"/>
          </w:tcPr>
          <w:p w:rsidR="009B7092" w:rsidRPr="001910F3" w:rsidRDefault="009B7092" w:rsidP="008C6EF2">
            <w:pPr>
              <w:pStyle w:val="naisf"/>
              <w:spacing w:before="0" w:after="0"/>
              <w:ind w:firstLine="0"/>
              <w:jc w:val="center"/>
              <w:rPr>
                <w:b/>
                <w:i/>
                <w:sz w:val="20"/>
                <w:szCs w:val="20"/>
              </w:rPr>
            </w:pPr>
            <w:r w:rsidRPr="001910F3">
              <w:rPr>
                <w:sz w:val="20"/>
                <w:szCs w:val="20"/>
              </w:rPr>
              <w:t>Saskaņā ar valsts budžetu kārtējam gadam</w:t>
            </w:r>
          </w:p>
        </w:tc>
        <w:tc>
          <w:tcPr>
            <w:tcW w:w="1701" w:type="dxa"/>
            <w:vAlign w:val="center"/>
          </w:tcPr>
          <w:p w:rsidR="009B7092" w:rsidRPr="001910F3" w:rsidRDefault="009B7092" w:rsidP="008C6EF2">
            <w:pPr>
              <w:pStyle w:val="naisf"/>
              <w:spacing w:before="0" w:after="0"/>
              <w:ind w:firstLine="0"/>
              <w:jc w:val="center"/>
              <w:rPr>
                <w:b/>
                <w:i/>
                <w:sz w:val="20"/>
                <w:szCs w:val="20"/>
              </w:rPr>
            </w:pPr>
            <w:r w:rsidRPr="001910F3">
              <w:rPr>
                <w:sz w:val="20"/>
                <w:szCs w:val="20"/>
              </w:rPr>
              <w:t>Izmaiņas kārtējā gadā, salīdzinot ar budžetu kārtējam gadam</w:t>
            </w:r>
          </w:p>
        </w:tc>
        <w:tc>
          <w:tcPr>
            <w:tcW w:w="1701" w:type="dxa"/>
            <w:vAlign w:val="center"/>
          </w:tcPr>
          <w:p w:rsidR="009B7092" w:rsidRPr="001910F3" w:rsidRDefault="009B7092" w:rsidP="001609FF">
            <w:pPr>
              <w:pStyle w:val="naisf"/>
              <w:spacing w:before="0" w:after="0"/>
              <w:ind w:firstLine="0"/>
              <w:jc w:val="center"/>
              <w:rPr>
                <w:b/>
                <w:i/>
                <w:sz w:val="20"/>
                <w:szCs w:val="20"/>
              </w:rPr>
            </w:pPr>
            <w:r w:rsidRPr="001910F3">
              <w:rPr>
                <w:sz w:val="20"/>
                <w:szCs w:val="20"/>
              </w:rPr>
              <w:t>Izmaiņas, salīdzinot ar kārtējo 201</w:t>
            </w:r>
            <w:r w:rsidR="001609FF">
              <w:rPr>
                <w:sz w:val="20"/>
                <w:szCs w:val="20"/>
              </w:rPr>
              <w:t>4</w:t>
            </w:r>
            <w:r w:rsidRPr="001910F3">
              <w:rPr>
                <w:sz w:val="20"/>
                <w:szCs w:val="20"/>
              </w:rPr>
              <w:t>. gadu</w:t>
            </w:r>
          </w:p>
        </w:tc>
        <w:tc>
          <w:tcPr>
            <w:tcW w:w="1275" w:type="dxa"/>
            <w:vAlign w:val="center"/>
          </w:tcPr>
          <w:p w:rsidR="009B7092" w:rsidRPr="001910F3" w:rsidRDefault="009B7092" w:rsidP="001609FF">
            <w:pPr>
              <w:pStyle w:val="naisf"/>
              <w:spacing w:before="0" w:after="0"/>
              <w:ind w:firstLine="0"/>
              <w:jc w:val="center"/>
              <w:rPr>
                <w:b/>
                <w:i/>
                <w:sz w:val="20"/>
                <w:szCs w:val="20"/>
              </w:rPr>
            </w:pPr>
            <w:r w:rsidRPr="001910F3">
              <w:rPr>
                <w:sz w:val="20"/>
                <w:szCs w:val="20"/>
              </w:rPr>
              <w:t>Izmaiņas, salīdzinot ar kārtējo 201</w:t>
            </w:r>
            <w:r w:rsidR="001609FF">
              <w:rPr>
                <w:sz w:val="20"/>
                <w:szCs w:val="20"/>
              </w:rPr>
              <w:t>4</w:t>
            </w:r>
            <w:r w:rsidRPr="001910F3">
              <w:rPr>
                <w:sz w:val="20"/>
                <w:szCs w:val="20"/>
              </w:rPr>
              <w:t>. gadu</w:t>
            </w:r>
          </w:p>
        </w:tc>
        <w:tc>
          <w:tcPr>
            <w:tcW w:w="1276" w:type="dxa"/>
            <w:vAlign w:val="center"/>
          </w:tcPr>
          <w:p w:rsidR="009B7092" w:rsidRPr="001910F3" w:rsidRDefault="009B7092" w:rsidP="001609FF">
            <w:pPr>
              <w:pStyle w:val="naisf"/>
              <w:spacing w:before="0" w:after="0"/>
              <w:ind w:firstLine="0"/>
              <w:jc w:val="center"/>
              <w:rPr>
                <w:b/>
                <w:i/>
                <w:sz w:val="20"/>
                <w:szCs w:val="20"/>
              </w:rPr>
            </w:pPr>
            <w:r w:rsidRPr="001910F3">
              <w:rPr>
                <w:sz w:val="20"/>
                <w:szCs w:val="20"/>
              </w:rPr>
              <w:t>Izmaiņas, salīdzinot ar kārtējo 201</w:t>
            </w:r>
            <w:r w:rsidR="001609FF">
              <w:rPr>
                <w:sz w:val="20"/>
                <w:szCs w:val="20"/>
              </w:rPr>
              <w:t>4</w:t>
            </w:r>
            <w:r w:rsidRPr="001910F3">
              <w:rPr>
                <w:sz w:val="20"/>
                <w:szCs w:val="20"/>
              </w:rPr>
              <w:t>. gadu</w:t>
            </w:r>
          </w:p>
        </w:tc>
      </w:tr>
      <w:tr w:rsidR="009B7092" w:rsidRPr="001910F3" w:rsidTr="00182E92">
        <w:tc>
          <w:tcPr>
            <w:tcW w:w="2410" w:type="dxa"/>
            <w:vAlign w:val="center"/>
          </w:tcPr>
          <w:p w:rsidR="009B7092" w:rsidRPr="001910F3" w:rsidRDefault="009B7092" w:rsidP="008C6EF2">
            <w:pPr>
              <w:pStyle w:val="naisf"/>
              <w:spacing w:before="0" w:after="0"/>
              <w:ind w:firstLine="0"/>
              <w:jc w:val="center"/>
              <w:rPr>
                <w:bCs/>
              </w:rPr>
            </w:pPr>
            <w:r w:rsidRPr="001910F3">
              <w:rPr>
                <w:bCs/>
              </w:rPr>
              <w:t>1</w:t>
            </w:r>
          </w:p>
        </w:tc>
        <w:tc>
          <w:tcPr>
            <w:tcW w:w="993" w:type="dxa"/>
            <w:vAlign w:val="center"/>
          </w:tcPr>
          <w:p w:rsidR="009B7092" w:rsidRPr="001910F3" w:rsidRDefault="009B7092" w:rsidP="008C6EF2">
            <w:pPr>
              <w:pStyle w:val="naisf"/>
              <w:spacing w:before="0" w:after="0"/>
              <w:ind w:firstLine="0"/>
              <w:jc w:val="center"/>
              <w:rPr>
                <w:bCs/>
              </w:rPr>
            </w:pPr>
            <w:r w:rsidRPr="001910F3">
              <w:rPr>
                <w:bCs/>
              </w:rPr>
              <w:t>2</w:t>
            </w:r>
          </w:p>
        </w:tc>
        <w:tc>
          <w:tcPr>
            <w:tcW w:w="1701" w:type="dxa"/>
            <w:vAlign w:val="center"/>
          </w:tcPr>
          <w:p w:rsidR="009B7092" w:rsidRPr="001910F3" w:rsidRDefault="009B7092" w:rsidP="008C6EF2">
            <w:pPr>
              <w:pStyle w:val="naisf"/>
              <w:spacing w:before="0" w:after="0"/>
              <w:ind w:firstLine="0"/>
              <w:jc w:val="center"/>
              <w:rPr>
                <w:bCs/>
              </w:rPr>
            </w:pPr>
            <w:r w:rsidRPr="001910F3">
              <w:rPr>
                <w:bCs/>
              </w:rPr>
              <w:t>3</w:t>
            </w:r>
          </w:p>
        </w:tc>
        <w:tc>
          <w:tcPr>
            <w:tcW w:w="1701" w:type="dxa"/>
            <w:vAlign w:val="center"/>
          </w:tcPr>
          <w:p w:rsidR="009B7092" w:rsidRPr="001910F3" w:rsidRDefault="009B7092" w:rsidP="008C6EF2">
            <w:pPr>
              <w:pStyle w:val="naisf"/>
              <w:spacing w:before="0" w:after="0"/>
              <w:ind w:firstLine="0"/>
              <w:jc w:val="center"/>
              <w:rPr>
                <w:bCs/>
              </w:rPr>
            </w:pPr>
            <w:r w:rsidRPr="001910F3">
              <w:rPr>
                <w:bCs/>
              </w:rPr>
              <w:t>4</w:t>
            </w:r>
          </w:p>
        </w:tc>
        <w:tc>
          <w:tcPr>
            <w:tcW w:w="1275" w:type="dxa"/>
            <w:vAlign w:val="center"/>
          </w:tcPr>
          <w:p w:rsidR="009B7092" w:rsidRPr="001910F3" w:rsidRDefault="009B7092" w:rsidP="008C6EF2">
            <w:pPr>
              <w:pStyle w:val="naisf"/>
              <w:spacing w:before="0" w:after="0"/>
              <w:ind w:firstLine="0"/>
              <w:jc w:val="center"/>
              <w:rPr>
                <w:bCs/>
              </w:rPr>
            </w:pPr>
            <w:r w:rsidRPr="001910F3">
              <w:rPr>
                <w:bCs/>
              </w:rPr>
              <w:t>5</w:t>
            </w:r>
          </w:p>
        </w:tc>
        <w:tc>
          <w:tcPr>
            <w:tcW w:w="1276" w:type="dxa"/>
            <w:vAlign w:val="center"/>
          </w:tcPr>
          <w:p w:rsidR="009B7092" w:rsidRPr="001910F3" w:rsidRDefault="009B7092" w:rsidP="008C6EF2">
            <w:pPr>
              <w:pStyle w:val="naisf"/>
              <w:spacing w:before="0" w:after="0"/>
              <w:ind w:firstLine="0"/>
              <w:jc w:val="center"/>
              <w:rPr>
                <w:bCs/>
              </w:rPr>
            </w:pPr>
            <w:r w:rsidRPr="001910F3">
              <w:rPr>
                <w:bCs/>
              </w:rPr>
              <w:t>6</w:t>
            </w:r>
          </w:p>
        </w:tc>
      </w:tr>
      <w:tr w:rsidR="009B7092" w:rsidRPr="001910F3" w:rsidTr="00182E92">
        <w:tc>
          <w:tcPr>
            <w:tcW w:w="2410" w:type="dxa"/>
          </w:tcPr>
          <w:p w:rsidR="009B7092" w:rsidRPr="001910F3" w:rsidRDefault="009B7092" w:rsidP="008C6EF2">
            <w:pPr>
              <w:pStyle w:val="naisf"/>
              <w:spacing w:before="0" w:after="0"/>
              <w:ind w:firstLine="0"/>
              <w:rPr>
                <w:i/>
                <w:sz w:val="20"/>
                <w:szCs w:val="20"/>
              </w:rPr>
            </w:pPr>
            <w:r w:rsidRPr="001910F3">
              <w:rPr>
                <w:sz w:val="20"/>
                <w:szCs w:val="20"/>
              </w:rPr>
              <w:t>1. Budžeta ieņēmumi:</w:t>
            </w:r>
          </w:p>
        </w:tc>
        <w:tc>
          <w:tcPr>
            <w:tcW w:w="993" w:type="dxa"/>
          </w:tcPr>
          <w:p w:rsidR="009B7092" w:rsidRPr="001910F3" w:rsidRDefault="009B7092" w:rsidP="008C6EF2">
            <w:pPr>
              <w:pStyle w:val="naisf"/>
              <w:spacing w:before="0" w:after="0"/>
              <w:ind w:firstLine="0"/>
              <w:rPr>
                <w:b/>
                <w:i/>
              </w:rPr>
            </w:pPr>
          </w:p>
        </w:tc>
        <w:tc>
          <w:tcPr>
            <w:tcW w:w="1701" w:type="dxa"/>
          </w:tcPr>
          <w:p w:rsidR="009B7092" w:rsidRPr="001910F3" w:rsidRDefault="009B7092" w:rsidP="008C6EF2">
            <w:pPr>
              <w:pStyle w:val="naisf"/>
              <w:spacing w:before="0" w:after="0"/>
              <w:ind w:firstLine="0"/>
              <w:rPr>
                <w:b/>
                <w:i/>
              </w:rPr>
            </w:pPr>
          </w:p>
        </w:tc>
        <w:tc>
          <w:tcPr>
            <w:tcW w:w="1701" w:type="dxa"/>
          </w:tcPr>
          <w:p w:rsidR="009B7092" w:rsidRPr="001910F3" w:rsidRDefault="009B7092" w:rsidP="008C6EF2">
            <w:pPr>
              <w:pStyle w:val="naisf"/>
              <w:spacing w:before="0" w:after="0"/>
              <w:ind w:firstLine="0"/>
              <w:rPr>
                <w:b/>
                <w:i/>
              </w:rPr>
            </w:pPr>
          </w:p>
        </w:tc>
        <w:tc>
          <w:tcPr>
            <w:tcW w:w="1275" w:type="dxa"/>
          </w:tcPr>
          <w:p w:rsidR="009B7092" w:rsidRPr="001910F3" w:rsidRDefault="009B7092" w:rsidP="008C6EF2">
            <w:pPr>
              <w:pStyle w:val="naisf"/>
              <w:spacing w:before="0" w:after="0"/>
              <w:ind w:firstLine="0"/>
              <w:rPr>
                <w:b/>
                <w:i/>
              </w:rPr>
            </w:pPr>
          </w:p>
        </w:tc>
        <w:tc>
          <w:tcPr>
            <w:tcW w:w="1276" w:type="dxa"/>
          </w:tcPr>
          <w:p w:rsidR="009B7092" w:rsidRPr="001910F3" w:rsidRDefault="009B7092" w:rsidP="008C6EF2">
            <w:pPr>
              <w:pStyle w:val="naisf"/>
              <w:spacing w:before="0" w:after="0"/>
              <w:ind w:firstLine="0"/>
              <w:rPr>
                <w:b/>
                <w:i/>
              </w:rPr>
            </w:pPr>
          </w:p>
        </w:tc>
      </w:tr>
      <w:tr w:rsidR="009B7092" w:rsidRPr="001910F3" w:rsidTr="00182E92">
        <w:tc>
          <w:tcPr>
            <w:tcW w:w="2410" w:type="dxa"/>
          </w:tcPr>
          <w:p w:rsidR="009B7092" w:rsidRPr="001910F3" w:rsidRDefault="009B7092" w:rsidP="008C6EF2">
            <w:pPr>
              <w:pStyle w:val="naisf"/>
              <w:spacing w:before="0" w:after="0"/>
              <w:ind w:firstLine="0"/>
              <w:rPr>
                <w:i/>
                <w:sz w:val="20"/>
                <w:szCs w:val="20"/>
              </w:rPr>
            </w:pPr>
            <w:r w:rsidRPr="001910F3">
              <w:rPr>
                <w:sz w:val="20"/>
                <w:szCs w:val="20"/>
              </w:rPr>
              <w:t>1.1. valsts pamatbudžets, tai skaitā ieņēmumi no maksas pakalpojumiem un citi pašu ieņēmumi</w:t>
            </w:r>
          </w:p>
        </w:tc>
        <w:tc>
          <w:tcPr>
            <w:tcW w:w="993" w:type="dxa"/>
          </w:tcPr>
          <w:p w:rsidR="009B7092" w:rsidRPr="001910F3" w:rsidRDefault="009B7092" w:rsidP="008C6EF2">
            <w:pPr>
              <w:pStyle w:val="naisf"/>
              <w:spacing w:before="0" w:after="0"/>
              <w:ind w:firstLine="0"/>
              <w:rPr>
                <w:b/>
                <w:i/>
              </w:rPr>
            </w:pPr>
          </w:p>
        </w:tc>
        <w:tc>
          <w:tcPr>
            <w:tcW w:w="1701" w:type="dxa"/>
          </w:tcPr>
          <w:p w:rsidR="009B7092" w:rsidRPr="001910F3" w:rsidRDefault="009B7092" w:rsidP="008C6EF2">
            <w:pPr>
              <w:pStyle w:val="naisf"/>
              <w:spacing w:before="0" w:after="0"/>
              <w:ind w:firstLine="0"/>
              <w:rPr>
                <w:b/>
                <w:i/>
              </w:rPr>
            </w:pPr>
          </w:p>
        </w:tc>
        <w:tc>
          <w:tcPr>
            <w:tcW w:w="1701" w:type="dxa"/>
          </w:tcPr>
          <w:p w:rsidR="009B7092" w:rsidRPr="001910F3" w:rsidRDefault="009B7092" w:rsidP="008C6EF2">
            <w:pPr>
              <w:pStyle w:val="naisf"/>
              <w:spacing w:before="0" w:after="0"/>
              <w:ind w:firstLine="0"/>
              <w:rPr>
                <w:b/>
                <w:i/>
              </w:rPr>
            </w:pPr>
          </w:p>
        </w:tc>
        <w:tc>
          <w:tcPr>
            <w:tcW w:w="1275" w:type="dxa"/>
          </w:tcPr>
          <w:p w:rsidR="009B7092" w:rsidRPr="001910F3" w:rsidRDefault="009B7092" w:rsidP="008C6EF2">
            <w:pPr>
              <w:pStyle w:val="naisf"/>
              <w:spacing w:before="0" w:after="0"/>
              <w:ind w:firstLine="0"/>
              <w:rPr>
                <w:b/>
                <w:i/>
              </w:rPr>
            </w:pPr>
          </w:p>
        </w:tc>
        <w:tc>
          <w:tcPr>
            <w:tcW w:w="1276" w:type="dxa"/>
          </w:tcPr>
          <w:p w:rsidR="009B7092" w:rsidRPr="001910F3" w:rsidRDefault="009B7092" w:rsidP="008C6EF2">
            <w:pPr>
              <w:pStyle w:val="naisf"/>
              <w:spacing w:before="0" w:after="0"/>
              <w:ind w:firstLine="0"/>
              <w:rPr>
                <w:b/>
                <w:i/>
              </w:rPr>
            </w:pPr>
          </w:p>
        </w:tc>
      </w:tr>
      <w:tr w:rsidR="009B7092" w:rsidRPr="001910F3" w:rsidTr="00182E92">
        <w:tc>
          <w:tcPr>
            <w:tcW w:w="2410" w:type="dxa"/>
          </w:tcPr>
          <w:p w:rsidR="009B7092" w:rsidRPr="001910F3" w:rsidRDefault="009B7092" w:rsidP="008C6EF2">
            <w:pPr>
              <w:pStyle w:val="naisf"/>
              <w:spacing w:before="0" w:after="0"/>
              <w:ind w:firstLine="0"/>
              <w:rPr>
                <w:i/>
                <w:sz w:val="20"/>
                <w:szCs w:val="20"/>
              </w:rPr>
            </w:pPr>
            <w:r w:rsidRPr="001910F3">
              <w:rPr>
                <w:sz w:val="20"/>
                <w:szCs w:val="20"/>
              </w:rPr>
              <w:t>1.2. valsts speciālais budžets</w:t>
            </w:r>
          </w:p>
        </w:tc>
        <w:tc>
          <w:tcPr>
            <w:tcW w:w="993" w:type="dxa"/>
          </w:tcPr>
          <w:p w:rsidR="009B7092" w:rsidRPr="001910F3" w:rsidRDefault="009B7092" w:rsidP="008C6EF2">
            <w:pPr>
              <w:pStyle w:val="naisf"/>
              <w:spacing w:before="0" w:after="0"/>
              <w:ind w:firstLine="0"/>
              <w:rPr>
                <w:b/>
                <w:i/>
              </w:rPr>
            </w:pPr>
          </w:p>
        </w:tc>
        <w:tc>
          <w:tcPr>
            <w:tcW w:w="1701" w:type="dxa"/>
          </w:tcPr>
          <w:p w:rsidR="009B7092" w:rsidRPr="001910F3" w:rsidRDefault="009B7092" w:rsidP="008C6EF2">
            <w:pPr>
              <w:pStyle w:val="naisf"/>
              <w:spacing w:before="0" w:after="0"/>
              <w:ind w:firstLine="0"/>
              <w:rPr>
                <w:b/>
                <w:i/>
              </w:rPr>
            </w:pPr>
          </w:p>
        </w:tc>
        <w:tc>
          <w:tcPr>
            <w:tcW w:w="1701" w:type="dxa"/>
          </w:tcPr>
          <w:p w:rsidR="009B7092" w:rsidRPr="001910F3" w:rsidRDefault="009B7092" w:rsidP="008C6EF2">
            <w:pPr>
              <w:pStyle w:val="naisf"/>
              <w:spacing w:before="0" w:after="0"/>
              <w:ind w:firstLine="0"/>
              <w:rPr>
                <w:b/>
                <w:i/>
              </w:rPr>
            </w:pPr>
          </w:p>
        </w:tc>
        <w:tc>
          <w:tcPr>
            <w:tcW w:w="1275" w:type="dxa"/>
          </w:tcPr>
          <w:p w:rsidR="009B7092" w:rsidRPr="001910F3" w:rsidRDefault="009B7092" w:rsidP="008C6EF2">
            <w:pPr>
              <w:pStyle w:val="naisf"/>
              <w:spacing w:before="0" w:after="0"/>
              <w:ind w:firstLine="0"/>
              <w:rPr>
                <w:b/>
                <w:i/>
              </w:rPr>
            </w:pPr>
          </w:p>
        </w:tc>
        <w:tc>
          <w:tcPr>
            <w:tcW w:w="1276" w:type="dxa"/>
          </w:tcPr>
          <w:p w:rsidR="009B7092" w:rsidRPr="001910F3" w:rsidRDefault="009B7092" w:rsidP="008C6EF2">
            <w:pPr>
              <w:pStyle w:val="naisf"/>
              <w:spacing w:before="0" w:after="0"/>
              <w:ind w:firstLine="0"/>
              <w:rPr>
                <w:b/>
                <w:i/>
              </w:rPr>
            </w:pPr>
          </w:p>
        </w:tc>
      </w:tr>
      <w:tr w:rsidR="009B7092" w:rsidRPr="001910F3" w:rsidTr="00182E92">
        <w:tc>
          <w:tcPr>
            <w:tcW w:w="2410" w:type="dxa"/>
          </w:tcPr>
          <w:p w:rsidR="009B7092" w:rsidRPr="001910F3" w:rsidRDefault="009B7092" w:rsidP="008C6EF2">
            <w:pPr>
              <w:pStyle w:val="naisf"/>
              <w:spacing w:before="0" w:after="0"/>
              <w:ind w:firstLine="0"/>
              <w:rPr>
                <w:i/>
                <w:sz w:val="20"/>
                <w:szCs w:val="20"/>
              </w:rPr>
            </w:pPr>
            <w:r w:rsidRPr="001910F3">
              <w:rPr>
                <w:sz w:val="20"/>
                <w:szCs w:val="20"/>
              </w:rPr>
              <w:t>1.3. pašvaldību budžets</w:t>
            </w:r>
          </w:p>
        </w:tc>
        <w:tc>
          <w:tcPr>
            <w:tcW w:w="993" w:type="dxa"/>
          </w:tcPr>
          <w:p w:rsidR="009B7092" w:rsidRPr="001910F3" w:rsidRDefault="009B7092" w:rsidP="008C6EF2">
            <w:pPr>
              <w:pStyle w:val="naisf"/>
              <w:spacing w:before="0" w:after="0"/>
              <w:ind w:firstLine="0"/>
              <w:rPr>
                <w:b/>
                <w:i/>
              </w:rPr>
            </w:pPr>
          </w:p>
        </w:tc>
        <w:tc>
          <w:tcPr>
            <w:tcW w:w="1701" w:type="dxa"/>
          </w:tcPr>
          <w:p w:rsidR="009B7092" w:rsidRPr="001910F3" w:rsidRDefault="009B7092" w:rsidP="008C6EF2">
            <w:pPr>
              <w:pStyle w:val="naisf"/>
              <w:spacing w:before="0" w:after="0"/>
              <w:ind w:firstLine="0"/>
              <w:rPr>
                <w:b/>
                <w:i/>
              </w:rPr>
            </w:pPr>
          </w:p>
        </w:tc>
        <w:tc>
          <w:tcPr>
            <w:tcW w:w="1701" w:type="dxa"/>
          </w:tcPr>
          <w:p w:rsidR="009B7092" w:rsidRPr="001910F3" w:rsidRDefault="009B7092" w:rsidP="008C6EF2">
            <w:pPr>
              <w:pStyle w:val="naisf"/>
              <w:spacing w:before="0" w:after="0"/>
              <w:ind w:firstLine="0"/>
              <w:rPr>
                <w:b/>
                <w:i/>
              </w:rPr>
            </w:pPr>
          </w:p>
        </w:tc>
        <w:tc>
          <w:tcPr>
            <w:tcW w:w="1275" w:type="dxa"/>
          </w:tcPr>
          <w:p w:rsidR="009B7092" w:rsidRPr="001910F3" w:rsidRDefault="009B7092" w:rsidP="008C6EF2">
            <w:pPr>
              <w:pStyle w:val="naisf"/>
              <w:spacing w:before="0" w:after="0"/>
              <w:ind w:firstLine="0"/>
              <w:rPr>
                <w:b/>
                <w:i/>
              </w:rPr>
            </w:pPr>
          </w:p>
        </w:tc>
        <w:tc>
          <w:tcPr>
            <w:tcW w:w="1276" w:type="dxa"/>
          </w:tcPr>
          <w:p w:rsidR="009B7092" w:rsidRPr="001910F3" w:rsidRDefault="009B7092" w:rsidP="008C6EF2">
            <w:pPr>
              <w:pStyle w:val="naisf"/>
              <w:spacing w:before="0" w:after="0"/>
              <w:ind w:firstLine="0"/>
              <w:rPr>
                <w:b/>
                <w:i/>
              </w:rPr>
            </w:pPr>
          </w:p>
        </w:tc>
      </w:tr>
      <w:tr w:rsidR="009B7092" w:rsidRPr="001910F3" w:rsidTr="00182E92">
        <w:tc>
          <w:tcPr>
            <w:tcW w:w="2410" w:type="dxa"/>
          </w:tcPr>
          <w:p w:rsidR="009B7092" w:rsidRPr="001910F3" w:rsidRDefault="009B7092" w:rsidP="008C6EF2">
            <w:pPr>
              <w:jc w:val="both"/>
              <w:rPr>
                <w:sz w:val="20"/>
                <w:szCs w:val="20"/>
              </w:rPr>
            </w:pPr>
            <w:r w:rsidRPr="001910F3">
              <w:rPr>
                <w:sz w:val="20"/>
                <w:szCs w:val="20"/>
              </w:rPr>
              <w:t>2. Budžeta izdevumi:</w:t>
            </w:r>
          </w:p>
        </w:tc>
        <w:tc>
          <w:tcPr>
            <w:tcW w:w="993" w:type="dxa"/>
          </w:tcPr>
          <w:p w:rsidR="009B7092" w:rsidRPr="001910F3" w:rsidRDefault="009B7092" w:rsidP="008C6EF2">
            <w:pPr>
              <w:pStyle w:val="naisf"/>
              <w:spacing w:before="0" w:after="0"/>
              <w:ind w:firstLine="0"/>
              <w:rPr>
                <w:b/>
                <w:i/>
              </w:rPr>
            </w:pPr>
          </w:p>
        </w:tc>
        <w:tc>
          <w:tcPr>
            <w:tcW w:w="1701" w:type="dxa"/>
          </w:tcPr>
          <w:p w:rsidR="009B7092" w:rsidRPr="001910F3" w:rsidRDefault="009B7092" w:rsidP="008C6EF2">
            <w:pPr>
              <w:pStyle w:val="naisf"/>
              <w:spacing w:before="0" w:after="0"/>
              <w:ind w:firstLine="0"/>
              <w:rPr>
                <w:b/>
                <w:i/>
              </w:rPr>
            </w:pPr>
          </w:p>
        </w:tc>
        <w:tc>
          <w:tcPr>
            <w:tcW w:w="1701" w:type="dxa"/>
          </w:tcPr>
          <w:p w:rsidR="009B7092" w:rsidRPr="001910F3" w:rsidRDefault="009B7092" w:rsidP="008C6EF2">
            <w:pPr>
              <w:pStyle w:val="naisf"/>
              <w:spacing w:before="0" w:after="0"/>
              <w:ind w:firstLine="0"/>
              <w:rPr>
                <w:b/>
                <w:i/>
              </w:rPr>
            </w:pPr>
          </w:p>
        </w:tc>
        <w:tc>
          <w:tcPr>
            <w:tcW w:w="1275" w:type="dxa"/>
          </w:tcPr>
          <w:p w:rsidR="009B7092" w:rsidRPr="001910F3" w:rsidRDefault="009B7092" w:rsidP="008C6EF2">
            <w:pPr>
              <w:pStyle w:val="naisf"/>
              <w:spacing w:before="0" w:after="0"/>
              <w:ind w:firstLine="0"/>
              <w:rPr>
                <w:b/>
                <w:i/>
              </w:rPr>
            </w:pPr>
          </w:p>
        </w:tc>
        <w:tc>
          <w:tcPr>
            <w:tcW w:w="1276" w:type="dxa"/>
          </w:tcPr>
          <w:p w:rsidR="009B7092" w:rsidRPr="001910F3" w:rsidRDefault="009B7092" w:rsidP="008C6EF2">
            <w:pPr>
              <w:pStyle w:val="naisf"/>
              <w:spacing w:before="0" w:after="0"/>
              <w:ind w:firstLine="0"/>
              <w:rPr>
                <w:b/>
                <w:i/>
              </w:rPr>
            </w:pPr>
          </w:p>
        </w:tc>
      </w:tr>
      <w:tr w:rsidR="009B7092" w:rsidRPr="001910F3" w:rsidTr="00182E92">
        <w:tc>
          <w:tcPr>
            <w:tcW w:w="2410" w:type="dxa"/>
          </w:tcPr>
          <w:p w:rsidR="009B7092" w:rsidRPr="001910F3" w:rsidRDefault="009B7092" w:rsidP="008C6EF2">
            <w:pPr>
              <w:jc w:val="both"/>
              <w:rPr>
                <w:sz w:val="20"/>
                <w:szCs w:val="20"/>
              </w:rPr>
            </w:pPr>
            <w:r w:rsidRPr="001910F3">
              <w:rPr>
                <w:sz w:val="20"/>
                <w:szCs w:val="20"/>
              </w:rPr>
              <w:t>2.1. valsts pamatbudžets</w:t>
            </w:r>
          </w:p>
        </w:tc>
        <w:tc>
          <w:tcPr>
            <w:tcW w:w="993" w:type="dxa"/>
          </w:tcPr>
          <w:p w:rsidR="009B7092" w:rsidRPr="001910F3" w:rsidRDefault="009B7092" w:rsidP="008C6EF2">
            <w:pPr>
              <w:pStyle w:val="naisf"/>
              <w:spacing w:before="0" w:after="0"/>
              <w:ind w:firstLine="0"/>
              <w:jc w:val="left"/>
            </w:pPr>
          </w:p>
        </w:tc>
        <w:tc>
          <w:tcPr>
            <w:tcW w:w="1701" w:type="dxa"/>
          </w:tcPr>
          <w:p w:rsidR="009B7092" w:rsidRPr="001910F3" w:rsidRDefault="009B7092" w:rsidP="008C6EF2">
            <w:pPr>
              <w:pStyle w:val="naisf"/>
              <w:spacing w:before="0" w:after="0"/>
              <w:ind w:firstLine="0"/>
              <w:jc w:val="left"/>
            </w:pPr>
          </w:p>
        </w:tc>
        <w:tc>
          <w:tcPr>
            <w:tcW w:w="1701" w:type="dxa"/>
          </w:tcPr>
          <w:p w:rsidR="009B7092" w:rsidRPr="001910F3" w:rsidRDefault="009B7092" w:rsidP="008C6EF2">
            <w:pPr>
              <w:pStyle w:val="naisf"/>
              <w:spacing w:before="0" w:after="0"/>
              <w:ind w:firstLine="0"/>
              <w:jc w:val="left"/>
            </w:pPr>
          </w:p>
        </w:tc>
        <w:tc>
          <w:tcPr>
            <w:tcW w:w="1275" w:type="dxa"/>
          </w:tcPr>
          <w:p w:rsidR="009B7092" w:rsidRPr="001910F3" w:rsidRDefault="009B7092" w:rsidP="008C6EF2">
            <w:pPr>
              <w:pStyle w:val="naisf"/>
              <w:spacing w:before="0" w:after="0"/>
              <w:ind w:firstLine="0"/>
              <w:jc w:val="left"/>
            </w:pPr>
          </w:p>
        </w:tc>
        <w:tc>
          <w:tcPr>
            <w:tcW w:w="1276" w:type="dxa"/>
          </w:tcPr>
          <w:p w:rsidR="009B7092" w:rsidRPr="001910F3" w:rsidRDefault="009B7092" w:rsidP="008C6EF2">
            <w:pPr>
              <w:pStyle w:val="naisf"/>
              <w:spacing w:before="0" w:after="0"/>
              <w:ind w:firstLine="0"/>
              <w:jc w:val="left"/>
            </w:pPr>
          </w:p>
        </w:tc>
      </w:tr>
      <w:tr w:rsidR="009B7092" w:rsidRPr="001910F3" w:rsidTr="00182E92">
        <w:tc>
          <w:tcPr>
            <w:tcW w:w="2410" w:type="dxa"/>
          </w:tcPr>
          <w:p w:rsidR="009B7092" w:rsidRPr="001910F3" w:rsidRDefault="009B7092" w:rsidP="008C6EF2">
            <w:pPr>
              <w:jc w:val="both"/>
              <w:rPr>
                <w:sz w:val="20"/>
                <w:szCs w:val="20"/>
              </w:rPr>
            </w:pPr>
            <w:r w:rsidRPr="001910F3">
              <w:rPr>
                <w:sz w:val="20"/>
                <w:szCs w:val="20"/>
              </w:rPr>
              <w:t>2.2. valsts speciālais budžets</w:t>
            </w:r>
          </w:p>
        </w:tc>
        <w:tc>
          <w:tcPr>
            <w:tcW w:w="993" w:type="dxa"/>
          </w:tcPr>
          <w:p w:rsidR="009B7092" w:rsidRPr="001910F3" w:rsidRDefault="009B7092" w:rsidP="008C6EF2">
            <w:pPr>
              <w:pStyle w:val="naisf"/>
              <w:spacing w:before="0" w:after="0"/>
              <w:ind w:firstLine="0"/>
              <w:rPr>
                <w:b/>
                <w:i/>
              </w:rPr>
            </w:pPr>
          </w:p>
        </w:tc>
        <w:tc>
          <w:tcPr>
            <w:tcW w:w="1701" w:type="dxa"/>
          </w:tcPr>
          <w:p w:rsidR="009B7092" w:rsidRPr="001910F3" w:rsidRDefault="009B7092" w:rsidP="008C6EF2">
            <w:pPr>
              <w:pStyle w:val="naisf"/>
              <w:spacing w:before="0" w:after="0"/>
              <w:ind w:firstLine="0"/>
              <w:rPr>
                <w:b/>
                <w:i/>
              </w:rPr>
            </w:pPr>
          </w:p>
        </w:tc>
        <w:tc>
          <w:tcPr>
            <w:tcW w:w="1701" w:type="dxa"/>
          </w:tcPr>
          <w:p w:rsidR="009B7092" w:rsidRPr="001910F3" w:rsidRDefault="009B7092" w:rsidP="008C6EF2">
            <w:pPr>
              <w:pStyle w:val="naisf"/>
              <w:spacing w:before="0" w:after="0"/>
              <w:ind w:firstLine="0"/>
              <w:rPr>
                <w:b/>
                <w:i/>
              </w:rPr>
            </w:pPr>
          </w:p>
        </w:tc>
        <w:tc>
          <w:tcPr>
            <w:tcW w:w="1275" w:type="dxa"/>
          </w:tcPr>
          <w:p w:rsidR="009B7092" w:rsidRPr="001910F3" w:rsidRDefault="009B7092" w:rsidP="008C6EF2">
            <w:pPr>
              <w:pStyle w:val="naisf"/>
              <w:spacing w:before="0" w:after="0"/>
              <w:ind w:firstLine="0"/>
              <w:rPr>
                <w:b/>
                <w:i/>
              </w:rPr>
            </w:pPr>
          </w:p>
        </w:tc>
        <w:tc>
          <w:tcPr>
            <w:tcW w:w="1276" w:type="dxa"/>
          </w:tcPr>
          <w:p w:rsidR="009B7092" w:rsidRPr="001910F3" w:rsidRDefault="009B7092" w:rsidP="008C6EF2">
            <w:pPr>
              <w:pStyle w:val="naisf"/>
              <w:spacing w:before="0" w:after="0"/>
              <w:ind w:firstLine="0"/>
              <w:rPr>
                <w:b/>
                <w:i/>
              </w:rPr>
            </w:pPr>
          </w:p>
        </w:tc>
      </w:tr>
      <w:tr w:rsidR="009B7092" w:rsidRPr="001910F3" w:rsidTr="00182E92">
        <w:tc>
          <w:tcPr>
            <w:tcW w:w="2410" w:type="dxa"/>
          </w:tcPr>
          <w:p w:rsidR="009B7092" w:rsidRPr="001910F3" w:rsidRDefault="009B7092" w:rsidP="008C6EF2">
            <w:pPr>
              <w:jc w:val="both"/>
              <w:rPr>
                <w:sz w:val="20"/>
                <w:szCs w:val="20"/>
              </w:rPr>
            </w:pPr>
            <w:r w:rsidRPr="001910F3">
              <w:rPr>
                <w:sz w:val="20"/>
                <w:szCs w:val="20"/>
              </w:rPr>
              <w:t xml:space="preserve">2.3. pašvaldību budžets </w:t>
            </w:r>
          </w:p>
        </w:tc>
        <w:tc>
          <w:tcPr>
            <w:tcW w:w="993" w:type="dxa"/>
          </w:tcPr>
          <w:p w:rsidR="009B7092" w:rsidRPr="001910F3" w:rsidRDefault="009B7092" w:rsidP="008C6EF2">
            <w:pPr>
              <w:pStyle w:val="naisf"/>
              <w:spacing w:before="0" w:after="0"/>
              <w:ind w:firstLine="0"/>
              <w:rPr>
                <w:b/>
                <w:i/>
              </w:rPr>
            </w:pPr>
          </w:p>
        </w:tc>
        <w:tc>
          <w:tcPr>
            <w:tcW w:w="1701" w:type="dxa"/>
          </w:tcPr>
          <w:p w:rsidR="009B7092" w:rsidRPr="001910F3" w:rsidRDefault="009B7092" w:rsidP="008C6EF2">
            <w:pPr>
              <w:pStyle w:val="naisf"/>
              <w:spacing w:before="0" w:after="0"/>
              <w:ind w:firstLine="0"/>
              <w:rPr>
                <w:b/>
                <w:i/>
              </w:rPr>
            </w:pPr>
          </w:p>
        </w:tc>
        <w:tc>
          <w:tcPr>
            <w:tcW w:w="1701" w:type="dxa"/>
          </w:tcPr>
          <w:p w:rsidR="009B7092" w:rsidRPr="001910F3" w:rsidRDefault="009B7092" w:rsidP="008C6EF2">
            <w:pPr>
              <w:pStyle w:val="naisf"/>
              <w:spacing w:before="0" w:after="0"/>
              <w:ind w:firstLine="0"/>
              <w:rPr>
                <w:b/>
                <w:i/>
              </w:rPr>
            </w:pPr>
          </w:p>
        </w:tc>
        <w:tc>
          <w:tcPr>
            <w:tcW w:w="1275" w:type="dxa"/>
          </w:tcPr>
          <w:p w:rsidR="009B7092" w:rsidRPr="001910F3" w:rsidRDefault="009B7092" w:rsidP="008C6EF2">
            <w:pPr>
              <w:pStyle w:val="naisf"/>
              <w:spacing w:before="0" w:after="0"/>
              <w:ind w:firstLine="0"/>
              <w:rPr>
                <w:b/>
                <w:i/>
              </w:rPr>
            </w:pPr>
          </w:p>
        </w:tc>
        <w:tc>
          <w:tcPr>
            <w:tcW w:w="1276" w:type="dxa"/>
          </w:tcPr>
          <w:p w:rsidR="009B7092" w:rsidRPr="001910F3" w:rsidRDefault="009B7092" w:rsidP="008C6EF2">
            <w:pPr>
              <w:pStyle w:val="naisf"/>
              <w:spacing w:before="0" w:after="0"/>
              <w:ind w:firstLine="0"/>
              <w:rPr>
                <w:b/>
                <w:i/>
              </w:rPr>
            </w:pPr>
          </w:p>
        </w:tc>
      </w:tr>
      <w:tr w:rsidR="009B7092" w:rsidRPr="001910F3" w:rsidTr="00182E92">
        <w:tc>
          <w:tcPr>
            <w:tcW w:w="2410" w:type="dxa"/>
          </w:tcPr>
          <w:p w:rsidR="009B7092" w:rsidRPr="001910F3" w:rsidRDefault="009B7092" w:rsidP="008C6EF2">
            <w:pPr>
              <w:jc w:val="both"/>
              <w:rPr>
                <w:sz w:val="20"/>
                <w:szCs w:val="20"/>
              </w:rPr>
            </w:pPr>
            <w:r w:rsidRPr="001910F3">
              <w:rPr>
                <w:sz w:val="20"/>
                <w:szCs w:val="20"/>
              </w:rPr>
              <w:t>3. Finansiālā ietekme:</w:t>
            </w:r>
          </w:p>
        </w:tc>
        <w:tc>
          <w:tcPr>
            <w:tcW w:w="993" w:type="dxa"/>
            <w:shd w:val="clear" w:color="auto" w:fill="auto"/>
            <w:vAlign w:val="center"/>
          </w:tcPr>
          <w:p w:rsidR="009B7092" w:rsidRPr="001910F3" w:rsidRDefault="009B7092" w:rsidP="008C6EF2">
            <w:pPr>
              <w:pStyle w:val="naisf"/>
              <w:spacing w:before="0" w:after="0"/>
              <w:ind w:firstLine="0"/>
              <w:jc w:val="center"/>
            </w:pPr>
          </w:p>
        </w:tc>
        <w:tc>
          <w:tcPr>
            <w:tcW w:w="1701" w:type="dxa"/>
          </w:tcPr>
          <w:p w:rsidR="009B7092" w:rsidRPr="001910F3" w:rsidRDefault="009B7092" w:rsidP="008C6EF2">
            <w:pPr>
              <w:pStyle w:val="naisf"/>
              <w:spacing w:before="0" w:after="0"/>
              <w:ind w:firstLine="0"/>
              <w:rPr>
                <w:b/>
                <w:i/>
              </w:rPr>
            </w:pPr>
          </w:p>
        </w:tc>
        <w:tc>
          <w:tcPr>
            <w:tcW w:w="1701" w:type="dxa"/>
          </w:tcPr>
          <w:p w:rsidR="009B7092" w:rsidRPr="001910F3" w:rsidRDefault="009B7092" w:rsidP="008C6EF2">
            <w:pPr>
              <w:pStyle w:val="naisf"/>
              <w:spacing w:before="0" w:after="0"/>
              <w:ind w:firstLine="0"/>
              <w:rPr>
                <w:b/>
                <w:i/>
              </w:rPr>
            </w:pPr>
          </w:p>
        </w:tc>
        <w:tc>
          <w:tcPr>
            <w:tcW w:w="1275" w:type="dxa"/>
          </w:tcPr>
          <w:p w:rsidR="009B7092" w:rsidRPr="001910F3" w:rsidRDefault="009B7092" w:rsidP="008C6EF2">
            <w:pPr>
              <w:pStyle w:val="naisf"/>
              <w:spacing w:before="0" w:after="0"/>
              <w:ind w:firstLine="0"/>
              <w:rPr>
                <w:b/>
                <w:i/>
              </w:rPr>
            </w:pPr>
          </w:p>
        </w:tc>
        <w:tc>
          <w:tcPr>
            <w:tcW w:w="1276" w:type="dxa"/>
          </w:tcPr>
          <w:p w:rsidR="009B7092" w:rsidRPr="001910F3" w:rsidRDefault="009B7092" w:rsidP="008C6EF2">
            <w:pPr>
              <w:pStyle w:val="naisf"/>
              <w:spacing w:before="0" w:after="0"/>
              <w:ind w:firstLine="0"/>
              <w:rPr>
                <w:b/>
                <w:i/>
              </w:rPr>
            </w:pPr>
          </w:p>
        </w:tc>
      </w:tr>
      <w:tr w:rsidR="009B7092" w:rsidRPr="001910F3" w:rsidTr="00182E92">
        <w:tc>
          <w:tcPr>
            <w:tcW w:w="2410" w:type="dxa"/>
          </w:tcPr>
          <w:p w:rsidR="009B7092" w:rsidRPr="001910F3" w:rsidRDefault="009B7092" w:rsidP="008C6EF2">
            <w:pPr>
              <w:jc w:val="both"/>
              <w:rPr>
                <w:sz w:val="20"/>
                <w:szCs w:val="20"/>
              </w:rPr>
            </w:pPr>
            <w:r w:rsidRPr="001910F3">
              <w:rPr>
                <w:sz w:val="20"/>
                <w:szCs w:val="20"/>
              </w:rPr>
              <w:lastRenderedPageBreak/>
              <w:t>3.1. valsts pamatbudžets</w:t>
            </w:r>
          </w:p>
        </w:tc>
        <w:tc>
          <w:tcPr>
            <w:tcW w:w="993" w:type="dxa"/>
            <w:shd w:val="clear" w:color="auto" w:fill="auto"/>
          </w:tcPr>
          <w:p w:rsidR="009B7092" w:rsidRPr="001910F3" w:rsidRDefault="009B7092" w:rsidP="008C6EF2">
            <w:pPr>
              <w:pStyle w:val="naisf"/>
              <w:spacing w:before="0" w:after="0"/>
              <w:ind w:firstLine="0"/>
              <w:rPr>
                <w:i/>
              </w:rPr>
            </w:pPr>
          </w:p>
        </w:tc>
        <w:tc>
          <w:tcPr>
            <w:tcW w:w="1701" w:type="dxa"/>
          </w:tcPr>
          <w:p w:rsidR="009B7092" w:rsidRPr="001910F3" w:rsidRDefault="009B7092" w:rsidP="008C6EF2">
            <w:pPr>
              <w:pStyle w:val="naisf"/>
              <w:spacing w:before="0" w:after="0"/>
              <w:ind w:firstLine="0"/>
              <w:rPr>
                <w:b/>
                <w:i/>
              </w:rPr>
            </w:pPr>
          </w:p>
        </w:tc>
        <w:tc>
          <w:tcPr>
            <w:tcW w:w="1701" w:type="dxa"/>
          </w:tcPr>
          <w:p w:rsidR="009B7092" w:rsidRPr="001910F3" w:rsidRDefault="009B7092" w:rsidP="008C6EF2">
            <w:pPr>
              <w:pStyle w:val="naisf"/>
              <w:spacing w:before="0" w:after="0"/>
              <w:ind w:firstLine="0"/>
              <w:rPr>
                <w:b/>
                <w:i/>
              </w:rPr>
            </w:pPr>
          </w:p>
        </w:tc>
        <w:tc>
          <w:tcPr>
            <w:tcW w:w="1275" w:type="dxa"/>
          </w:tcPr>
          <w:p w:rsidR="009B7092" w:rsidRPr="001910F3" w:rsidRDefault="009B7092" w:rsidP="008C6EF2">
            <w:pPr>
              <w:pStyle w:val="naisf"/>
              <w:spacing w:before="0" w:after="0"/>
              <w:ind w:firstLine="0"/>
              <w:rPr>
                <w:b/>
                <w:i/>
              </w:rPr>
            </w:pPr>
          </w:p>
        </w:tc>
        <w:tc>
          <w:tcPr>
            <w:tcW w:w="1276" w:type="dxa"/>
          </w:tcPr>
          <w:p w:rsidR="009B7092" w:rsidRPr="001910F3" w:rsidRDefault="009B7092" w:rsidP="008C6EF2">
            <w:pPr>
              <w:pStyle w:val="naisf"/>
              <w:spacing w:before="0" w:after="0"/>
              <w:ind w:firstLine="0"/>
              <w:rPr>
                <w:b/>
                <w:i/>
              </w:rPr>
            </w:pPr>
          </w:p>
        </w:tc>
      </w:tr>
      <w:tr w:rsidR="009B7092" w:rsidRPr="001910F3" w:rsidTr="00182E92">
        <w:tc>
          <w:tcPr>
            <w:tcW w:w="2410" w:type="dxa"/>
          </w:tcPr>
          <w:p w:rsidR="009B7092" w:rsidRPr="001910F3" w:rsidRDefault="009B7092" w:rsidP="008C6EF2">
            <w:pPr>
              <w:jc w:val="both"/>
              <w:rPr>
                <w:sz w:val="20"/>
                <w:szCs w:val="20"/>
              </w:rPr>
            </w:pPr>
            <w:r w:rsidRPr="001910F3">
              <w:rPr>
                <w:sz w:val="20"/>
                <w:szCs w:val="20"/>
              </w:rPr>
              <w:t>3.2. speciālais budžets</w:t>
            </w:r>
          </w:p>
        </w:tc>
        <w:tc>
          <w:tcPr>
            <w:tcW w:w="993" w:type="dxa"/>
            <w:shd w:val="clear" w:color="auto" w:fill="auto"/>
          </w:tcPr>
          <w:p w:rsidR="009B7092" w:rsidRPr="001910F3" w:rsidRDefault="009B7092" w:rsidP="008C6EF2">
            <w:pPr>
              <w:pStyle w:val="naisf"/>
              <w:spacing w:before="0" w:after="0"/>
              <w:ind w:firstLine="0"/>
              <w:rPr>
                <w:i/>
              </w:rPr>
            </w:pPr>
          </w:p>
        </w:tc>
        <w:tc>
          <w:tcPr>
            <w:tcW w:w="1701" w:type="dxa"/>
          </w:tcPr>
          <w:p w:rsidR="009B7092" w:rsidRPr="001910F3" w:rsidRDefault="009B7092" w:rsidP="008C6EF2">
            <w:pPr>
              <w:pStyle w:val="naisf"/>
              <w:spacing w:before="0" w:after="0"/>
              <w:ind w:firstLine="0"/>
              <w:rPr>
                <w:b/>
                <w:i/>
              </w:rPr>
            </w:pPr>
          </w:p>
        </w:tc>
        <w:tc>
          <w:tcPr>
            <w:tcW w:w="1701" w:type="dxa"/>
          </w:tcPr>
          <w:p w:rsidR="009B7092" w:rsidRPr="001910F3" w:rsidRDefault="009B7092" w:rsidP="008C6EF2">
            <w:pPr>
              <w:pStyle w:val="naisf"/>
              <w:spacing w:before="0" w:after="0"/>
              <w:ind w:firstLine="0"/>
              <w:rPr>
                <w:b/>
                <w:i/>
              </w:rPr>
            </w:pPr>
          </w:p>
        </w:tc>
        <w:tc>
          <w:tcPr>
            <w:tcW w:w="1275" w:type="dxa"/>
          </w:tcPr>
          <w:p w:rsidR="009B7092" w:rsidRPr="001910F3" w:rsidRDefault="009B7092" w:rsidP="008C6EF2">
            <w:pPr>
              <w:pStyle w:val="naisf"/>
              <w:spacing w:before="0" w:after="0"/>
              <w:ind w:firstLine="0"/>
              <w:rPr>
                <w:b/>
                <w:i/>
              </w:rPr>
            </w:pPr>
          </w:p>
        </w:tc>
        <w:tc>
          <w:tcPr>
            <w:tcW w:w="1276" w:type="dxa"/>
          </w:tcPr>
          <w:p w:rsidR="009B7092" w:rsidRPr="001910F3" w:rsidRDefault="009B7092" w:rsidP="008C6EF2">
            <w:pPr>
              <w:pStyle w:val="naisf"/>
              <w:spacing w:before="0" w:after="0"/>
              <w:ind w:firstLine="0"/>
              <w:rPr>
                <w:b/>
                <w:i/>
              </w:rPr>
            </w:pPr>
          </w:p>
        </w:tc>
      </w:tr>
      <w:tr w:rsidR="009B7092" w:rsidRPr="001910F3" w:rsidTr="00182E92">
        <w:tc>
          <w:tcPr>
            <w:tcW w:w="2410" w:type="dxa"/>
          </w:tcPr>
          <w:p w:rsidR="009B7092" w:rsidRPr="001910F3" w:rsidRDefault="009B7092" w:rsidP="008C6EF2">
            <w:pPr>
              <w:jc w:val="both"/>
              <w:rPr>
                <w:sz w:val="20"/>
                <w:szCs w:val="20"/>
              </w:rPr>
            </w:pPr>
            <w:r w:rsidRPr="001910F3">
              <w:rPr>
                <w:sz w:val="20"/>
                <w:szCs w:val="20"/>
              </w:rPr>
              <w:t xml:space="preserve">3.3. pašvaldību budžets </w:t>
            </w:r>
          </w:p>
        </w:tc>
        <w:tc>
          <w:tcPr>
            <w:tcW w:w="993" w:type="dxa"/>
            <w:shd w:val="clear" w:color="auto" w:fill="auto"/>
          </w:tcPr>
          <w:p w:rsidR="009B7092" w:rsidRPr="001910F3" w:rsidRDefault="009B7092" w:rsidP="008C6EF2">
            <w:pPr>
              <w:pStyle w:val="naisf"/>
              <w:spacing w:before="0" w:after="0"/>
              <w:ind w:firstLine="0"/>
              <w:rPr>
                <w:i/>
              </w:rPr>
            </w:pPr>
          </w:p>
        </w:tc>
        <w:tc>
          <w:tcPr>
            <w:tcW w:w="1701" w:type="dxa"/>
          </w:tcPr>
          <w:p w:rsidR="009B7092" w:rsidRPr="001910F3" w:rsidRDefault="009B7092" w:rsidP="008C6EF2">
            <w:pPr>
              <w:pStyle w:val="naisf"/>
              <w:spacing w:before="0" w:after="0"/>
              <w:ind w:firstLine="0"/>
              <w:rPr>
                <w:b/>
                <w:i/>
              </w:rPr>
            </w:pPr>
          </w:p>
        </w:tc>
        <w:tc>
          <w:tcPr>
            <w:tcW w:w="1701" w:type="dxa"/>
          </w:tcPr>
          <w:p w:rsidR="009B7092" w:rsidRPr="001910F3" w:rsidRDefault="009B7092" w:rsidP="008C6EF2">
            <w:pPr>
              <w:pStyle w:val="naisf"/>
              <w:spacing w:before="0" w:after="0"/>
              <w:ind w:firstLine="0"/>
              <w:rPr>
                <w:b/>
                <w:i/>
              </w:rPr>
            </w:pPr>
          </w:p>
        </w:tc>
        <w:tc>
          <w:tcPr>
            <w:tcW w:w="1275" w:type="dxa"/>
          </w:tcPr>
          <w:p w:rsidR="009B7092" w:rsidRPr="001910F3" w:rsidRDefault="009B7092" w:rsidP="008C6EF2">
            <w:pPr>
              <w:pStyle w:val="naisf"/>
              <w:spacing w:before="0" w:after="0"/>
              <w:ind w:firstLine="0"/>
              <w:rPr>
                <w:b/>
                <w:i/>
              </w:rPr>
            </w:pPr>
          </w:p>
        </w:tc>
        <w:tc>
          <w:tcPr>
            <w:tcW w:w="1276" w:type="dxa"/>
          </w:tcPr>
          <w:p w:rsidR="009B7092" w:rsidRPr="001910F3" w:rsidRDefault="009B7092" w:rsidP="008C6EF2">
            <w:pPr>
              <w:pStyle w:val="naisf"/>
              <w:spacing w:before="0" w:after="0"/>
              <w:ind w:firstLine="0"/>
              <w:rPr>
                <w:b/>
                <w:i/>
              </w:rPr>
            </w:pPr>
          </w:p>
        </w:tc>
      </w:tr>
      <w:tr w:rsidR="009B7092" w:rsidRPr="001910F3" w:rsidTr="00182E92">
        <w:tc>
          <w:tcPr>
            <w:tcW w:w="2410" w:type="dxa"/>
            <w:vMerge w:val="restart"/>
          </w:tcPr>
          <w:p w:rsidR="009B7092" w:rsidRPr="001910F3" w:rsidRDefault="009B7092" w:rsidP="008C6EF2">
            <w:pPr>
              <w:jc w:val="both"/>
              <w:rPr>
                <w:sz w:val="20"/>
                <w:szCs w:val="20"/>
              </w:rPr>
            </w:pPr>
            <w:r w:rsidRPr="001910F3">
              <w:rPr>
                <w:sz w:val="20"/>
                <w:szCs w:val="20"/>
              </w:rPr>
              <w:t>4. Finanšu līdzekļi papildu izde</w:t>
            </w:r>
            <w:r w:rsidRPr="001910F3">
              <w:rPr>
                <w:sz w:val="20"/>
                <w:szCs w:val="20"/>
              </w:rPr>
              <w:softHyphen/>
              <w:t>vumu finansēšanai (kompensējošu izdevumu samazinājumu norāda ar "+" zīmi)</w:t>
            </w:r>
          </w:p>
        </w:tc>
        <w:tc>
          <w:tcPr>
            <w:tcW w:w="993" w:type="dxa"/>
            <w:vMerge w:val="restart"/>
          </w:tcPr>
          <w:p w:rsidR="009B7092" w:rsidRPr="001910F3" w:rsidRDefault="009B7092" w:rsidP="008C6EF2">
            <w:pPr>
              <w:pStyle w:val="naisf"/>
              <w:spacing w:before="0" w:after="0"/>
              <w:ind w:firstLine="0"/>
              <w:jc w:val="center"/>
              <w:rPr>
                <w:i/>
              </w:rPr>
            </w:pPr>
            <w:r w:rsidRPr="001910F3">
              <w:t>X</w:t>
            </w:r>
          </w:p>
        </w:tc>
        <w:tc>
          <w:tcPr>
            <w:tcW w:w="1701" w:type="dxa"/>
          </w:tcPr>
          <w:p w:rsidR="009B7092" w:rsidRPr="001910F3" w:rsidRDefault="009B7092" w:rsidP="008C6EF2">
            <w:pPr>
              <w:pStyle w:val="naisf"/>
              <w:spacing w:before="0" w:after="0"/>
              <w:ind w:firstLine="0"/>
              <w:jc w:val="left"/>
              <w:rPr>
                <w:b/>
                <w:i/>
              </w:rPr>
            </w:pPr>
          </w:p>
        </w:tc>
        <w:tc>
          <w:tcPr>
            <w:tcW w:w="1701" w:type="dxa"/>
          </w:tcPr>
          <w:p w:rsidR="009B7092" w:rsidRPr="001910F3" w:rsidRDefault="009B7092" w:rsidP="008C6EF2">
            <w:pPr>
              <w:pStyle w:val="naisf"/>
              <w:spacing w:before="0" w:after="0"/>
              <w:ind w:firstLine="0"/>
              <w:jc w:val="left"/>
              <w:rPr>
                <w:b/>
                <w:i/>
              </w:rPr>
            </w:pPr>
          </w:p>
        </w:tc>
        <w:tc>
          <w:tcPr>
            <w:tcW w:w="1275" w:type="dxa"/>
          </w:tcPr>
          <w:p w:rsidR="009B7092" w:rsidRPr="001910F3" w:rsidRDefault="009B7092" w:rsidP="008C6EF2">
            <w:pPr>
              <w:pStyle w:val="naisf"/>
              <w:spacing w:before="0" w:after="0"/>
              <w:ind w:firstLine="0"/>
              <w:jc w:val="left"/>
              <w:rPr>
                <w:b/>
                <w:i/>
              </w:rPr>
            </w:pPr>
          </w:p>
        </w:tc>
        <w:tc>
          <w:tcPr>
            <w:tcW w:w="1276" w:type="dxa"/>
          </w:tcPr>
          <w:p w:rsidR="009B7092" w:rsidRPr="001910F3" w:rsidRDefault="009B7092" w:rsidP="008C6EF2">
            <w:pPr>
              <w:pStyle w:val="naisf"/>
              <w:spacing w:before="0" w:after="0"/>
              <w:ind w:firstLine="0"/>
              <w:jc w:val="left"/>
              <w:rPr>
                <w:b/>
                <w:i/>
              </w:rPr>
            </w:pPr>
          </w:p>
        </w:tc>
      </w:tr>
      <w:tr w:rsidR="009B7092" w:rsidRPr="001910F3" w:rsidTr="00182E92">
        <w:tc>
          <w:tcPr>
            <w:tcW w:w="2410" w:type="dxa"/>
            <w:vMerge/>
          </w:tcPr>
          <w:p w:rsidR="009B7092" w:rsidRPr="001910F3" w:rsidRDefault="009B7092" w:rsidP="008C6EF2">
            <w:pPr>
              <w:jc w:val="both"/>
              <w:rPr>
                <w:sz w:val="20"/>
                <w:szCs w:val="20"/>
              </w:rPr>
            </w:pPr>
          </w:p>
        </w:tc>
        <w:tc>
          <w:tcPr>
            <w:tcW w:w="993" w:type="dxa"/>
            <w:vMerge/>
          </w:tcPr>
          <w:p w:rsidR="009B7092" w:rsidRPr="001910F3" w:rsidRDefault="009B7092" w:rsidP="008C6EF2">
            <w:pPr>
              <w:pStyle w:val="naisf"/>
              <w:spacing w:before="0" w:after="0"/>
              <w:ind w:firstLine="0"/>
              <w:jc w:val="center"/>
              <w:rPr>
                <w:i/>
              </w:rPr>
            </w:pPr>
          </w:p>
        </w:tc>
        <w:tc>
          <w:tcPr>
            <w:tcW w:w="1701" w:type="dxa"/>
          </w:tcPr>
          <w:p w:rsidR="009B7092" w:rsidRPr="001910F3" w:rsidRDefault="009B7092" w:rsidP="008C6EF2">
            <w:pPr>
              <w:pStyle w:val="naisf"/>
              <w:spacing w:before="0" w:after="0"/>
              <w:ind w:firstLine="0"/>
              <w:jc w:val="left"/>
              <w:rPr>
                <w:b/>
                <w:i/>
              </w:rPr>
            </w:pPr>
          </w:p>
        </w:tc>
        <w:tc>
          <w:tcPr>
            <w:tcW w:w="1701" w:type="dxa"/>
          </w:tcPr>
          <w:p w:rsidR="009B7092" w:rsidRPr="001910F3" w:rsidRDefault="009B7092" w:rsidP="008C6EF2">
            <w:pPr>
              <w:pStyle w:val="naisf"/>
              <w:spacing w:before="0" w:after="0"/>
              <w:ind w:firstLine="0"/>
              <w:jc w:val="left"/>
              <w:rPr>
                <w:b/>
                <w:i/>
              </w:rPr>
            </w:pPr>
          </w:p>
        </w:tc>
        <w:tc>
          <w:tcPr>
            <w:tcW w:w="1275" w:type="dxa"/>
          </w:tcPr>
          <w:p w:rsidR="009B7092" w:rsidRPr="001910F3" w:rsidRDefault="009B7092" w:rsidP="008C6EF2">
            <w:pPr>
              <w:pStyle w:val="naisf"/>
              <w:spacing w:before="0" w:after="0"/>
              <w:ind w:firstLine="0"/>
              <w:jc w:val="left"/>
              <w:rPr>
                <w:b/>
                <w:i/>
              </w:rPr>
            </w:pPr>
          </w:p>
        </w:tc>
        <w:tc>
          <w:tcPr>
            <w:tcW w:w="1276" w:type="dxa"/>
          </w:tcPr>
          <w:p w:rsidR="009B7092" w:rsidRPr="001910F3" w:rsidRDefault="009B7092" w:rsidP="008C6EF2">
            <w:pPr>
              <w:pStyle w:val="naisf"/>
              <w:spacing w:before="0" w:after="0"/>
              <w:ind w:firstLine="0"/>
              <w:jc w:val="left"/>
              <w:rPr>
                <w:b/>
                <w:i/>
              </w:rPr>
            </w:pPr>
          </w:p>
        </w:tc>
      </w:tr>
      <w:tr w:rsidR="009B7092" w:rsidRPr="001910F3" w:rsidTr="00182E92">
        <w:tc>
          <w:tcPr>
            <w:tcW w:w="2410" w:type="dxa"/>
            <w:vMerge/>
          </w:tcPr>
          <w:p w:rsidR="009B7092" w:rsidRPr="001910F3" w:rsidRDefault="009B7092" w:rsidP="008C6EF2">
            <w:pPr>
              <w:jc w:val="both"/>
              <w:rPr>
                <w:sz w:val="20"/>
                <w:szCs w:val="20"/>
              </w:rPr>
            </w:pPr>
          </w:p>
        </w:tc>
        <w:tc>
          <w:tcPr>
            <w:tcW w:w="993" w:type="dxa"/>
            <w:vMerge/>
          </w:tcPr>
          <w:p w:rsidR="009B7092" w:rsidRPr="001910F3" w:rsidRDefault="009B7092" w:rsidP="008C6EF2">
            <w:pPr>
              <w:pStyle w:val="naisf"/>
              <w:spacing w:before="0" w:after="0"/>
              <w:ind w:firstLine="0"/>
              <w:jc w:val="center"/>
              <w:rPr>
                <w:i/>
              </w:rPr>
            </w:pPr>
          </w:p>
        </w:tc>
        <w:tc>
          <w:tcPr>
            <w:tcW w:w="1701" w:type="dxa"/>
          </w:tcPr>
          <w:p w:rsidR="009B7092" w:rsidRPr="001910F3" w:rsidRDefault="009B7092" w:rsidP="008C6EF2">
            <w:pPr>
              <w:pStyle w:val="naisf"/>
              <w:spacing w:before="0" w:after="0"/>
              <w:ind w:firstLine="0"/>
              <w:jc w:val="left"/>
              <w:rPr>
                <w:b/>
                <w:i/>
              </w:rPr>
            </w:pPr>
          </w:p>
        </w:tc>
        <w:tc>
          <w:tcPr>
            <w:tcW w:w="1701" w:type="dxa"/>
          </w:tcPr>
          <w:p w:rsidR="009B7092" w:rsidRPr="001910F3" w:rsidRDefault="009B7092" w:rsidP="008C6EF2">
            <w:pPr>
              <w:pStyle w:val="naisf"/>
              <w:spacing w:before="0" w:after="0"/>
              <w:ind w:firstLine="0"/>
              <w:jc w:val="left"/>
              <w:rPr>
                <w:b/>
                <w:i/>
              </w:rPr>
            </w:pPr>
          </w:p>
        </w:tc>
        <w:tc>
          <w:tcPr>
            <w:tcW w:w="1275" w:type="dxa"/>
          </w:tcPr>
          <w:p w:rsidR="009B7092" w:rsidRPr="001910F3" w:rsidRDefault="009B7092" w:rsidP="008C6EF2">
            <w:pPr>
              <w:pStyle w:val="naisf"/>
              <w:spacing w:before="0" w:after="0"/>
              <w:ind w:firstLine="0"/>
              <w:jc w:val="left"/>
              <w:rPr>
                <w:b/>
                <w:i/>
              </w:rPr>
            </w:pPr>
          </w:p>
        </w:tc>
        <w:tc>
          <w:tcPr>
            <w:tcW w:w="1276" w:type="dxa"/>
          </w:tcPr>
          <w:p w:rsidR="009B7092" w:rsidRPr="001910F3" w:rsidRDefault="009B7092" w:rsidP="008C6EF2">
            <w:pPr>
              <w:pStyle w:val="naisf"/>
              <w:spacing w:before="0" w:after="0"/>
              <w:ind w:firstLine="0"/>
              <w:jc w:val="left"/>
              <w:rPr>
                <w:b/>
                <w:i/>
              </w:rPr>
            </w:pPr>
          </w:p>
        </w:tc>
      </w:tr>
      <w:tr w:rsidR="009B7092" w:rsidRPr="001910F3" w:rsidTr="00182E92">
        <w:tc>
          <w:tcPr>
            <w:tcW w:w="2410" w:type="dxa"/>
          </w:tcPr>
          <w:p w:rsidR="009B7092" w:rsidRPr="001910F3" w:rsidRDefault="009B7092" w:rsidP="008C6EF2">
            <w:pPr>
              <w:jc w:val="both"/>
              <w:rPr>
                <w:sz w:val="20"/>
                <w:szCs w:val="20"/>
              </w:rPr>
            </w:pPr>
            <w:r w:rsidRPr="001910F3">
              <w:rPr>
                <w:sz w:val="20"/>
                <w:szCs w:val="20"/>
              </w:rPr>
              <w:t>5. Precizēta finansiālā ietekme:</w:t>
            </w:r>
          </w:p>
        </w:tc>
        <w:tc>
          <w:tcPr>
            <w:tcW w:w="993" w:type="dxa"/>
            <w:vMerge w:val="restart"/>
          </w:tcPr>
          <w:p w:rsidR="009B7092" w:rsidRPr="001910F3" w:rsidRDefault="009B7092" w:rsidP="008C6EF2">
            <w:pPr>
              <w:pStyle w:val="naisf"/>
              <w:spacing w:before="0" w:after="0"/>
              <w:ind w:firstLine="0"/>
              <w:jc w:val="center"/>
              <w:rPr>
                <w:i/>
              </w:rPr>
            </w:pPr>
            <w:r w:rsidRPr="001910F3">
              <w:t>X</w:t>
            </w:r>
          </w:p>
        </w:tc>
        <w:tc>
          <w:tcPr>
            <w:tcW w:w="1701" w:type="dxa"/>
          </w:tcPr>
          <w:p w:rsidR="009B7092" w:rsidRPr="001910F3" w:rsidRDefault="009B7092" w:rsidP="008C6EF2">
            <w:pPr>
              <w:pStyle w:val="naisf"/>
              <w:spacing w:before="0" w:after="0"/>
              <w:ind w:firstLine="0"/>
              <w:rPr>
                <w:b/>
                <w:i/>
              </w:rPr>
            </w:pPr>
          </w:p>
        </w:tc>
        <w:tc>
          <w:tcPr>
            <w:tcW w:w="1701" w:type="dxa"/>
          </w:tcPr>
          <w:p w:rsidR="009B7092" w:rsidRPr="001910F3" w:rsidRDefault="009B7092" w:rsidP="008C6EF2">
            <w:pPr>
              <w:pStyle w:val="naisf"/>
              <w:spacing w:before="0" w:after="0"/>
              <w:ind w:firstLine="0"/>
              <w:rPr>
                <w:b/>
                <w:i/>
              </w:rPr>
            </w:pPr>
          </w:p>
        </w:tc>
        <w:tc>
          <w:tcPr>
            <w:tcW w:w="1275" w:type="dxa"/>
          </w:tcPr>
          <w:p w:rsidR="009B7092" w:rsidRPr="001910F3" w:rsidRDefault="009B7092" w:rsidP="008C6EF2">
            <w:pPr>
              <w:pStyle w:val="naisf"/>
              <w:spacing w:before="0" w:after="0"/>
              <w:ind w:firstLine="0"/>
              <w:rPr>
                <w:b/>
                <w:i/>
              </w:rPr>
            </w:pPr>
          </w:p>
        </w:tc>
        <w:tc>
          <w:tcPr>
            <w:tcW w:w="1276" w:type="dxa"/>
          </w:tcPr>
          <w:p w:rsidR="009B7092" w:rsidRPr="001910F3" w:rsidRDefault="009B7092" w:rsidP="008C6EF2">
            <w:pPr>
              <w:pStyle w:val="naisf"/>
              <w:spacing w:before="0" w:after="0"/>
              <w:ind w:firstLine="0"/>
              <w:rPr>
                <w:b/>
                <w:i/>
              </w:rPr>
            </w:pPr>
          </w:p>
        </w:tc>
      </w:tr>
      <w:tr w:rsidR="009B7092" w:rsidRPr="001910F3" w:rsidTr="00182E92">
        <w:tc>
          <w:tcPr>
            <w:tcW w:w="2410" w:type="dxa"/>
          </w:tcPr>
          <w:p w:rsidR="009B7092" w:rsidRPr="001910F3" w:rsidRDefault="009B7092" w:rsidP="008C6EF2">
            <w:pPr>
              <w:jc w:val="both"/>
              <w:rPr>
                <w:sz w:val="20"/>
                <w:szCs w:val="20"/>
              </w:rPr>
            </w:pPr>
            <w:r w:rsidRPr="001910F3">
              <w:rPr>
                <w:sz w:val="20"/>
                <w:szCs w:val="20"/>
              </w:rPr>
              <w:t>5.1. valsts pamatbudžets</w:t>
            </w:r>
          </w:p>
        </w:tc>
        <w:tc>
          <w:tcPr>
            <w:tcW w:w="993" w:type="dxa"/>
            <w:vMerge/>
            <w:vAlign w:val="center"/>
          </w:tcPr>
          <w:p w:rsidR="009B7092" w:rsidRPr="001910F3" w:rsidRDefault="009B7092" w:rsidP="008C6EF2">
            <w:pPr>
              <w:pStyle w:val="naisf"/>
              <w:spacing w:before="0" w:after="0"/>
              <w:ind w:firstLine="0"/>
              <w:jc w:val="center"/>
              <w:rPr>
                <w:i/>
              </w:rPr>
            </w:pPr>
          </w:p>
        </w:tc>
        <w:tc>
          <w:tcPr>
            <w:tcW w:w="1701" w:type="dxa"/>
          </w:tcPr>
          <w:p w:rsidR="009B7092" w:rsidRPr="001910F3" w:rsidRDefault="009B7092" w:rsidP="008C6EF2">
            <w:pPr>
              <w:pStyle w:val="naisf"/>
              <w:spacing w:before="0" w:after="0"/>
              <w:ind w:firstLine="0"/>
              <w:rPr>
                <w:b/>
                <w:i/>
              </w:rPr>
            </w:pPr>
            <w:r w:rsidRPr="001910F3">
              <w:rPr>
                <w:b/>
                <w:i/>
              </w:rPr>
              <w:t>0</w:t>
            </w:r>
          </w:p>
        </w:tc>
        <w:tc>
          <w:tcPr>
            <w:tcW w:w="1701" w:type="dxa"/>
          </w:tcPr>
          <w:p w:rsidR="009B7092" w:rsidRPr="001910F3" w:rsidRDefault="009B7092" w:rsidP="008C6EF2">
            <w:pPr>
              <w:pStyle w:val="naisf"/>
              <w:spacing w:before="0" w:after="0"/>
              <w:ind w:firstLine="0"/>
              <w:rPr>
                <w:b/>
                <w:i/>
              </w:rPr>
            </w:pPr>
            <w:r w:rsidRPr="001910F3">
              <w:rPr>
                <w:b/>
                <w:i/>
              </w:rPr>
              <w:t>0</w:t>
            </w:r>
          </w:p>
        </w:tc>
        <w:tc>
          <w:tcPr>
            <w:tcW w:w="1275" w:type="dxa"/>
          </w:tcPr>
          <w:p w:rsidR="009B7092" w:rsidRPr="001910F3" w:rsidRDefault="009B7092" w:rsidP="008C6EF2">
            <w:pPr>
              <w:pStyle w:val="naisf"/>
              <w:spacing w:before="0" w:after="0"/>
              <w:ind w:firstLine="0"/>
              <w:rPr>
                <w:b/>
                <w:i/>
              </w:rPr>
            </w:pPr>
            <w:r w:rsidRPr="001910F3">
              <w:rPr>
                <w:b/>
                <w:i/>
              </w:rPr>
              <w:t>0</w:t>
            </w:r>
          </w:p>
        </w:tc>
        <w:tc>
          <w:tcPr>
            <w:tcW w:w="1276" w:type="dxa"/>
          </w:tcPr>
          <w:p w:rsidR="009B7092" w:rsidRPr="001910F3" w:rsidRDefault="009B7092" w:rsidP="008C6EF2">
            <w:pPr>
              <w:pStyle w:val="naisf"/>
              <w:spacing w:before="0" w:after="0"/>
              <w:ind w:firstLine="0"/>
              <w:rPr>
                <w:b/>
                <w:i/>
              </w:rPr>
            </w:pPr>
            <w:r w:rsidRPr="001910F3">
              <w:rPr>
                <w:b/>
                <w:i/>
              </w:rPr>
              <w:t>0</w:t>
            </w:r>
          </w:p>
        </w:tc>
      </w:tr>
      <w:tr w:rsidR="009B7092" w:rsidRPr="001910F3" w:rsidTr="00182E92">
        <w:tc>
          <w:tcPr>
            <w:tcW w:w="2410" w:type="dxa"/>
          </w:tcPr>
          <w:p w:rsidR="009B7092" w:rsidRPr="001910F3" w:rsidRDefault="009B7092" w:rsidP="008C6EF2">
            <w:pPr>
              <w:jc w:val="both"/>
              <w:rPr>
                <w:sz w:val="20"/>
                <w:szCs w:val="20"/>
              </w:rPr>
            </w:pPr>
            <w:r w:rsidRPr="001910F3">
              <w:rPr>
                <w:sz w:val="20"/>
                <w:szCs w:val="20"/>
              </w:rPr>
              <w:t>5.2. speciālais budžets</w:t>
            </w:r>
          </w:p>
        </w:tc>
        <w:tc>
          <w:tcPr>
            <w:tcW w:w="993" w:type="dxa"/>
            <w:vMerge/>
            <w:vAlign w:val="center"/>
          </w:tcPr>
          <w:p w:rsidR="009B7092" w:rsidRPr="001910F3" w:rsidRDefault="009B7092" w:rsidP="008C6EF2">
            <w:pPr>
              <w:pStyle w:val="naisf"/>
              <w:spacing w:before="0" w:after="0"/>
              <w:ind w:firstLine="0"/>
              <w:jc w:val="center"/>
              <w:rPr>
                <w:i/>
              </w:rPr>
            </w:pPr>
          </w:p>
        </w:tc>
        <w:tc>
          <w:tcPr>
            <w:tcW w:w="1701" w:type="dxa"/>
          </w:tcPr>
          <w:p w:rsidR="009B7092" w:rsidRPr="001910F3" w:rsidRDefault="009B7092" w:rsidP="008C6EF2">
            <w:pPr>
              <w:pStyle w:val="naisf"/>
              <w:spacing w:before="0" w:after="0"/>
              <w:ind w:firstLine="0"/>
              <w:rPr>
                <w:b/>
                <w:i/>
              </w:rPr>
            </w:pPr>
            <w:r w:rsidRPr="001910F3">
              <w:rPr>
                <w:b/>
                <w:i/>
              </w:rPr>
              <w:t>0</w:t>
            </w:r>
          </w:p>
        </w:tc>
        <w:tc>
          <w:tcPr>
            <w:tcW w:w="1701" w:type="dxa"/>
          </w:tcPr>
          <w:p w:rsidR="009B7092" w:rsidRPr="001910F3" w:rsidRDefault="009B7092" w:rsidP="008C6EF2">
            <w:pPr>
              <w:pStyle w:val="naisf"/>
              <w:spacing w:before="0" w:after="0"/>
              <w:ind w:firstLine="0"/>
              <w:rPr>
                <w:b/>
                <w:i/>
              </w:rPr>
            </w:pPr>
            <w:r w:rsidRPr="001910F3">
              <w:rPr>
                <w:b/>
                <w:i/>
              </w:rPr>
              <w:t>0</w:t>
            </w:r>
          </w:p>
        </w:tc>
        <w:tc>
          <w:tcPr>
            <w:tcW w:w="1275" w:type="dxa"/>
          </w:tcPr>
          <w:p w:rsidR="009B7092" w:rsidRPr="001910F3" w:rsidRDefault="009B7092" w:rsidP="008C6EF2">
            <w:pPr>
              <w:pStyle w:val="naisf"/>
              <w:spacing w:before="0" w:after="0"/>
              <w:ind w:firstLine="0"/>
              <w:rPr>
                <w:b/>
                <w:i/>
              </w:rPr>
            </w:pPr>
            <w:r w:rsidRPr="001910F3">
              <w:rPr>
                <w:b/>
                <w:i/>
              </w:rPr>
              <w:t>0</w:t>
            </w:r>
          </w:p>
        </w:tc>
        <w:tc>
          <w:tcPr>
            <w:tcW w:w="1276" w:type="dxa"/>
          </w:tcPr>
          <w:p w:rsidR="009B7092" w:rsidRPr="001910F3" w:rsidRDefault="009B7092" w:rsidP="008C6EF2">
            <w:pPr>
              <w:pStyle w:val="naisf"/>
              <w:spacing w:before="0" w:after="0"/>
              <w:ind w:firstLine="0"/>
              <w:rPr>
                <w:b/>
                <w:i/>
              </w:rPr>
            </w:pPr>
            <w:r w:rsidRPr="001910F3">
              <w:rPr>
                <w:b/>
                <w:i/>
              </w:rPr>
              <w:t>0</w:t>
            </w:r>
          </w:p>
        </w:tc>
      </w:tr>
      <w:tr w:rsidR="009B7092" w:rsidRPr="001910F3" w:rsidTr="00182E92">
        <w:tc>
          <w:tcPr>
            <w:tcW w:w="2410" w:type="dxa"/>
          </w:tcPr>
          <w:p w:rsidR="009B7092" w:rsidRPr="001910F3" w:rsidRDefault="009B7092" w:rsidP="008C6EF2">
            <w:pPr>
              <w:jc w:val="both"/>
              <w:rPr>
                <w:sz w:val="20"/>
                <w:szCs w:val="20"/>
              </w:rPr>
            </w:pPr>
            <w:r w:rsidRPr="001910F3">
              <w:rPr>
                <w:sz w:val="20"/>
                <w:szCs w:val="20"/>
              </w:rPr>
              <w:t xml:space="preserve">5.3. pašvaldību budžets </w:t>
            </w:r>
          </w:p>
        </w:tc>
        <w:tc>
          <w:tcPr>
            <w:tcW w:w="993" w:type="dxa"/>
            <w:vMerge/>
            <w:vAlign w:val="center"/>
          </w:tcPr>
          <w:p w:rsidR="009B7092" w:rsidRPr="001910F3" w:rsidRDefault="009B7092" w:rsidP="008C6EF2">
            <w:pPr>
              <w:pStyle w:val="naisf"/>
              <w:spacing w:before="0" w:after="0"/>
              <w:ind w:firstLine="0"/>
              <w:jc w:val="center"/>
              <w:rPr>
                <w:i/>
              </w:rPr>
            </w:pPr>
          </w:p>
        </w:tc>
        <w:tc>
          <w:tcPr>
            <w:tcW w:w="1701" w:type="dxa"/>
          </w:tcPr>
          <w:p w:rsidR="009B7092" w:rsidRPr="001910F3" w:rsidRDefault="009B7092" w:rsidP="008C6EF2">
            <w:pPr>
              <w:pStyle w:val="naisf"/>
              <w:spacing w:before="0" w:after="0"/>
              <w:ind w:firstLine="0"/>
              <w:rPr>
                <w:b/>
                <w:i/>
              </w:rPr>
            </w:pPr>
            <w:r w:rsidRPr="001910F3">
              <w:rPr>
                <w:b/>
                <w:i/>
              </w:rPr>
              <w:t>0</w:t>
            </w:r>
          </w:p>
        </w:tc>
        <w:tc>
          <w:tcPr>
            <w:tcW w:w="1701" w:type="dxa"/>
          </w:tcPr>
          <w:p w:rsidR="009B7092" w:rsidRPr="001910F3" w:rsidRDefault="009B7092" w:rsidP="008C6EF2">
            <w:pPr>
              <w:pStyle w:val="naisf"/>
              <w:spacing w:before="0" w:after="0"/>
              <w:ind w:firstLine="0"/>
              <w:rPr>
                <w:b/>
                <w:i/>
              </w:rPr>
            </w:pPr>
            <w:r w:rsidRPr="001910F3">
              <w:rPr>
                <w:b/>
                <w:i/>
              </w:rPr>
              <w:t>0</w:t>
            </w:r>
          </w:p>
        </w:tc>
        <w:tc>
          <w:tcPr>
            <w:tcW w:w="1275" w:type="dxa"/>
          </w:tcPr>
          <w:p w:rsidR="009B7092" w:rsidRPr="001910F3" w:rsidRDefault="009B7092" w:rsidP="008C6EF2">
            <w:pPr>
              <w:pStyle w:val="naisf"/>
              <w:spacing w:before="0" w:after="0"/>
              <w:ind w:firstLine="0"/>
              <w:rPr>
                <w:b/>
                <w:i/>
              </w:rPr>
            </w:pPr>
            <w:r w:rsidRPr="001910F3">
              <w:rPr>
                <w:b/>
                <w:i/>
              </w:rPr>
              <w:t>0</w:t>
            </w:r>
          </w:p>
        </w:tc>
        <w:tc>
          <w:tcPr>
            <w:tcW w:w="1276" w:type="dxa"/>
          </w:tcPr>
          <w:p w:rsidR="009B7092" w:rsidRPr="001910F3" w:rsidRDefault="009B7092" w:rsidP="008C6EF2">
            <w:pPr>
              <w:pStyle w:val="naisf"/>
              <w:spacing w:before="0" w:after="0"/>
              <w:ind w:firstLine="0"/>
              <w:rPr>
                <w:b/>
                <w:i/>
              </w:rPr>
            </w:pPr>
            <w:r w:rsidRPr="001910F3">
              <w:rPr>
                <w:b/>
                <w:i/>
              </w:rPr>
              <w:t>0</w:t>
            </w:r>
          </w:p>
        </w:tc>
      </w:tr>
      <w:tr w:rsidR="009B7092" w:rsidRPr="001910F3" w:rsidTr="009B7092">
        <w:tc>
          <w:tcPr>
            <w:tcW w:w="2410" w:type="dxa"/>
          </w:tcPr>
          <w:p w:rsidR="009B7092" w:rsidRPr="001910F3" w:rsidRDefault="009B7092" w:rsidP="008C6EF2">
            <w:pPr>
              <w:jc w:val="both"/>
              <w:rPr>
                <w:sz w:val="20"/>
                <w:szCs w:val="20"/>
              </w:rPr>
            </w:pPr>
            <w:r w:rsidRPr="001910F3">
              <w:rPr>
                <w:sz w:val="20"/>
                <w:szCs w:val="20"/>
              </w:rPr>
              <w:t>6. Detalizēts ieņēmumu un izdevu</w:t>
            </w:r>
            <w:r w:rsidRPr="001910F3">
              <w:rPr>
                <w:sz w:val="20"/>
                <w:szCs w:val="20"/>
              </w:rPr>
              <w:softHyphen/>
              <w:t>mu aprēķins (ja nepieciešams, detalizētu ieņēmumu un izdevumu aprēķinu var pievienot anotācijas pielikumā):</w:t>
            </w:r>
          </w:p>
        </w:tc>
        <w:tc>
          <w:tcPr>
            <w:tcW w:w="6946" w:type="dxa"/>
            <w:gridSpan w:val="5"/>
            <w:vMerge w:val="restart"/>
          </w:tcPr>
          <w:p w:rsidR="009B7092" w:rsidRPr="001910F3" w:rsidRDefault="009B7092" w:rsidP="008C6EF2">
            <w:pPr>
              <w:pStyle w:val="naisf"/>
              <w:spacing w:before="0" w:after="0"/>
              <w:ind w:firstLine="0"/>
            </w:pPr>
          </w:p>
          <w:p w:rsidR="009B7092" w:rsidRPr="001910F3" w:rsidRDefault="009B7092" w:rsidP="008C6EF2">
            <w:pPr>
              <w:pStyle w:val="naisf"/>
              <w:spacing w:before="0" w:after="0"/>
              <w:ind w:firstLine="452"/>
            </w:pPr>
          </w:p>
        </w:tc>
      </w:tr>
      <w:tr w:rsidR="009B7092" w:rsidRPr="001910F3" w:rsidTr="009B7092">
        <w:tc>
          <w:tcPr>
            <w:tcW w:w="2410" w:type="dxa"/>
          </w:tcPr>
          <w:p w:rsidR="009B7092" w:rsidRPr="001910F3" w:rsidRDefault="009B7092" w:rsidP="008C6EF2">
            <w:pPr>
              <w:jc w:val="both"/>
              <w:rPr>
                <w:sz w:val="20"/>
                <w:szCs w:val="20"/>
              </w:rPr>
            </w:pPr>
            <w:r w:rsidRPr="001910F3">
              <w:rPr>
                <w:sz w:val="20"/>
                <w:szCs w:val="20"/>
              </w:rPr>
              <w:t>6.1. detalizēts ieņēmumu aprēķins</w:t>
            </w:r>
          </w:p>
        </w:tc>
        <w:tc>
          <w:tcPr>
            <w:tcW w:w="6946" w:type="dxa"/>
            <w:gridSpan w:val="5"/>
            <w:vMerge/>
          </w:tcPr>
          <w:p w:rsidR="009B7092" w:rsidRPr="001910F3" w:rsidRDefault="009B7092" w:rsidP="008C6EF2">
            <w:pPr>
              <w:pStyle w:val="naisf"/>
              <w:spacing w:before="0" w:after="0"/>
              <w:ind w:firstLine="0"/>
              <w:rPr>
                <w:b/>
                <w:i/>
              </w:rPr>
            </w:pPr>
          </w:p>
        </w:tc>
      </w:tr>
      <w:tr w:rsidR="009B7092" w:rsidRPr="001910F3" w:rsidTr="009B7092">
        <w:tc>
          <w:tcPr>
            <w:tcW w:w="2410" w:type="dxa"/>
          </w:tcPr>
          <w:p w:rsidR="009B7092" w:rsidRPr="001910F3" w:rsidRDefault="009B7092" w:rsidP="008C6EF2">
            <w:pPr>
              <w:jc w:val="both"/>
              <w:rPr>
                <w:sz w:val="20"/>
                <w:szCs w:val="20"/>
              </w:rPr>
            </w:pPr>
            <w:r w:rsidRPr="001910F3">
              <w:rPr>
                <w:sz w:val="20"/>
                <w:szCs w:val="20"/>
              </w:rPr>
              <w:t>6.2. detalizēts izdevumu aprēķins</w:t>
            </w:r>
          </w:p>
        </w:tc>
        <w:tc>
          <w:tcPr>
            <w:tcW w:w="6946" w:type="dxa"/>
            <w:gridSpan w:val="5"/>
            <w:vMerge/>
          </w:tcPr>
          <w:p w:rsidR="009B7092" w:rsidRPr="001910F3" w:rsidRDefault="009B7092" w:rsidP="008C6EF2">
            <w:pPr>
              <w:pStyle w:val="naisf"/>
              <w:spacing w:before="0" w:after="0"/>
              <w:ind w:firstLine="0"/>
              <w:rPr>
                <w:b/>
                <w:i/>
              </w:rPr>
            </w:pPr>
          </w:p>
        </w:tc>
      </w:tr>
      <w:tr w:rsidR="009B7092" w:rsidRPr="001910F3" w:rsidTr="009B7092">
        <w:tc>
          <w:tcPr>
            <w:tcW w:w="2410" w:type="dxa"/>
          </w:tcPr>
          <w:p w:rsidR="002A3037" w:rsidRDefault="002A3037" w:rsidP="008C6EF2">
            <w:pPr>
              <w:jc w:val="both"/>
              <w:rPr>
                <w:sz w:val="20"/>
                <w:szCs w:val="20"/>
              </w:rPr>
            </w:pPr>
          </w:p>
          <w:p w:rsidR="009B7092" w:rsidRPr="001910F3" w:rsidRDefault="009B7092" w:rsidP="008C6EF2">
            <w:pPr>
              <w:jc w:val="both"/>
              <w:rPr>
                <w:sz w:val="20"/>
                <w:szCs w:val="20"/>
              </w:rPr>
            </w:pPr>
            <w:r w:rsidRPr="001910F3">
              <w:rPr>
                <w:sz w:val="20"/>
                <w:szCs w:val="20"/>
              </w:rPr>
              <w:t>7. Cita informācija</w:t>
            </w:r>
          </w:p>
        </w:tc>
        <w:tc>
          <w:tcPr>
            <w:tcW w:w="6946" w:type="dxa"/>
            <w:gridSpan w:val="5"/>
          </w:tcPr>
          <w:p w:rsidR="002A3037" w:rsidRDefault="002A3037" w:rsidP="008C6EF2">
            <w:pPr>
              <w:pStyle w:val="naisf"/>
              <w:spacing w:before="0" w:after="0"/>
              <w:ind w:firstLine="0"/>
            </w:pPr>
          </w:p>
          <w:p w:rsidR="009B7092" w:rsidRPr="001910F3" w:rsidRDefault="009B7092" w:rsidP="008C6EF2">
            <w:pPr>
              <w:pStyle w:val="naisf"/>
              <w:spacing w:before="0" w:after="0"/>
              <w:ind w:firstLine="0"/>
              <w:rPr>
                <w:highlight w:val="yellow"/>
              </w:rPr>
            </w:pPr>
            <w:r w:rsidRPr="001910F3">
              <w:t>Grozījumu ietekmi (iespējamo ieņēmumu samazinājumu vai izdevumu palielinājumu) iespējams segt, nemainot attiecīgajās budžeta programmās vai apakšprogrammās finansējuma sadalījumu pa ieņēmumu, izdevumu vai finansēšanas klasifikācijas kodiem.</w:t>
            </w:r>
          </w:p>
        </w:tc>
      </w:tr>
    </w:tbl>
    <w:p w:rsidR="001609FF" w:rsidRDefault="001609FF" w:rsidP="00574FB0">
      <w:pPr>
        <w:rPr>
          <w:b/>
        </w:rPr>
      </w:pPr>
    </w:p>
    <w:p w:rsidR="00574FB0" w:rsidRDefault="00574FB0" w:rsidP="00574FB0">
      <w:pPr>
        <w:rPr>
          <w:b/>
        </w:rPr>
      </w:pPr>
      <w:r w:rsidRPr="001910F3">
        <w:rPr>
          <w:b/>
        </w:rPr>
        <w:t xml:space="preserve">Anotācijas </w:t>
      </w:r>
      <w:r w:rsidR="00146CB3" w:rsidRPr="001910F3">
        <w:rPr>
          <w:b/>
          <w:bCs/>
        </w:rPr>
        <w:t>IV,</w:t>
      </w:r>
      <w:r w:rsidRPr="001910F3">
        <w:rPr>
          <w:b/>
        </w:rPr>
        <w:t>V</w:t>
      </w:r>
      <w:r w:rsidR="00146CB3" w:rsidRPr="001910F3">
        <w:rPr>
          <w:b/>
        </w:rPr>
        <w:t>,</w:t>
      </w:r>
      <w:r w:rsidRPr="001910F3">
        <w:rPr>
          <w:b/>
        </w:rPr>
        <w:t xml:space="preserve"> un VI sadaļa – projekts šo jomu neskar.</w:t>
      </w:r>
    </w:p>
    <w:p w:rsidR="000F41F1" w:rsidRPr="001910F3" w:rsidRDefault="000F41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2880"/>
        <w:gridCol w:w="5939"/>
      </w:tblGrid>
      <w:tr w:rsidR="001F20CA" w:rsidRPr="001910F3" w:rsidTr="001609FF">
        <w:tc>
          <w:tcPr>
            <w:tcW w:w="9287" w:type="dxa"/>
            <w:gridSpan w:val="3"/>
            <w:shd w:val="clear" w:color="auto" w:fill="auto"/>
          </w:tcPr>
          <w:p w:rsidR="001F20CA" w:rsidRPr="001910F3" w:rsidRDefault="001F20CA" w:rsidP="00A83BDB">
            <w:pPr>
              <w:jc w:val="center"/>
            </w:pPr>
            <w:r w:rsidRPr="001910F3">
              <w:rPr>
                <w:b/>
                <w:bCs/>
              </w:rPr>
              <w:t>VII. Tiesību akta projekta izpildes nodrošināšana un tās ietekme uz institūcijām</w:t>
            </w:r>
          </w:p>
        </w:tc>
      </w:tr>
      <w:tr w:rsidR="001F20CA" w:rsidRPr="001910F3" w:rsidTr="001609FF">
        <w:tc>
          <w:tcPr>
            <w:tcW w:w="468" w:type="dxa"/>
            <w:shd w:val="clear" w:color="auto" w:fill="auto"/>
          </w:tcPr>
          <w:p w:rsidR="001F20CA" w:rsidRPr="001910F3" w:rsidRDefault="001F20CA" w:rsidP="001F20CA">
            <w:pPr>
              <w:pStyle w:val="NormalWeb"/>
            </w:pPr>
            <w:r w:rsidRPr="001910F3">
              <w:t>1.</w:t>
            </w:r>
          </w:p>
        </w:tc>
        <w:tc>
          <w:tcPr>
            <w:tcW w:w="2880" w:type="dxa"/>
            <w:shd w:val="clear" w:color="auto" w:fill="auto"/>
          </w:tcPr>
          <w:p w:rsidR="001F20CA" w:rsidRPr="001910F3" w:rsidRDefault="001F20CA" w:rsidP="001F20CA">
            <w:pPr>
              <w:pStyle w:val="NormalWeb"/>
            </w:pPr>
            <w:r w:rsidRPr="001910F3">
              <w:t>Projekta izpildē iesaistītās institūcijas</w:t>
            </w:r>
          </w:p>
        </w:tc>
        <w:tc>
          <w:tcPr>
            <w:tcW w:w="5939" w:type="dxa"/>
            <w:shd w:val="clear" w:color="auto" w:fill="auto"/>
          </w:tcPr>
          <w:p w:rsidR="001F20CA" w:rsidRPr="001910F3" w:rsidRDefault="00D92CE5" w:rsidP="00A83BDB">
            <w:pPr>
              <w:pStyle w:val="NormalWeb"/>
              <w:jc w:val="both"/>
            </w:pPr>
            <w:r w:rsidRPr="001910F3">
              <w:t>Finanšu ministrija</w:t>
            </w:r>
            <w:r w:rsidR="0086687F">
              <w:t>,</w:t>
            </w:r>
            <w:r w:rsidR="0086687F" w:rsidRPr="001910F3">
              <w:t xml:space="preserve"> Valsts kase un</w:t>
            </w:r>
            <w:r w:rsidR="0086687F">
              <w:t xml:space="preserve"> Valsts ieņēmumu dienests</w:t>
            </w:r>
          </w:p>
        </w:tc>
      </w:tr>
      <w:tr w:rsidR="001F20CA" w:rsidRPr="001910F3" w:rsidTr="001609FF">
        <w:tc>
          <w:tcPr>
            <w:tcW w:w="468" w:type="dxa"/>
            <w:shd w:val="clear" w:color="auto" w:fill="auto"/>
          </w:tcPr>
          <w:p w:rsidR="001F20CA" w:rsidRPr="001910F3" w:rsidRDefault="001F20CA" w:rsidP="001F20CA">
            <w:pPr>
              <w:pStyle w:val="NormalWeb"/>
            </w:pPr>
            <w:r w:rsidRPr="001910F3">
              <w:t>2.</w:t>
            </w:r>
          </w:p>
        </w:tc>
        <w:tc>
          <w:tcPr>
            <w:tcW w:w="2880" w:type="dxa"/>
            <w:shd w:val="clear" w:color="auto" w:fill="auto"/>
          </w:tcPr>
          <w:p w:rsidR="001F20CA" w:rsidRPr="001910F3" w:rsidRDefault="001F20CA" w:rsidP="001609FF">
            <w:r w:rsidRPr="001910F3">
              <w:t>Projekta izpildes ietekme uz pārvaldes funkcijām</w:t>
            </w:r>
            <w:r w:rsidR="00BA09FD">
              <w:t xml:space="preserve"> </w:t>
            </w:r>
            <w:r w:rsidR="00BA09FD" w:rsidRPr="00AD3EFF">
              <w:t>un institucionālo struktūru. Jaunu institūciju izveide, esošu institūciju likvidācija vai reorganizācija, to ietekme uz institūcijas cilvēkresursiem</w:t>
            </w:r>
          </w:p>
        </w:tc>
        <w:tc>
          <w:tcPr>
            <w:tcW w:w="5939" w:type="dxa"/>
            <w:shd w:val="clear" w:color="auto" w:fill="auto"/>
          </w:tcPr>
          <w:p w:rsidR="001F20CA" w:rsidRPr="001910F3" w:rsidRDefault="00EA0CB5" w:rsidP="001F20CA">
            <w:pPr>
              <w:pStyle w:val="NormalWeb"/>
            </w:pPr>
            <w:r w:rsidRPr="001910F3">
              <w:t>Projekts šo jomu neskar</w:t>
            </w:r>
          </w:p>
        </w:tc>
      </w:tr>
      <w:tr w:rsidR="001F20CA" w:rsidRPr="001910F3" w:rsidTr="001609FF">
        <w:tc>
          <w:tcPr>
            <w:tcW w:w="468" w:type="dxa"/>
            <w:shd w:val="clear" w:color="auto" w:fill="auto"/>
          </w:tcPr>
          <w:p w:rsidR="001F20CA" w:rsidRPr="001910F3" w:rsidRDefault="00BA09FD" w:rsidP="001F20CA">
            <w:pPr>
              <w:pStyle w:val="NormalWeb"/>
            </w:pPr>
            <w:r>
              <w:t>3</w:t>
            </w:r>
            <w:r w:rsidR="001F20CA" w:rsidRPr="001910F3">
              <w:t>.</w:t>
            </w:r>
          </w:p>
        </w:tc>
        <w:tc>
          <w:tcPr>
            <w:tcW w:w="2880" w:type="dxa"/>
            <w:shd w:val="clear" w:color="auto" w:fill="auto"/>
          </w:tcPr>
          <w:p w:rsidR="001F20CA" w:rsidRPr="001910F3" w:rsidRDefault="001F20CA" w:rsidP="00A83BDB">
            <w:pPr>
              <w:pStyle w:val="NormalWeb"/>
              <w:spacing w:before="0" w:beforeAutospacing="0" w:after="0" w:afterAutospacing="0"/>
            </w:pPr>
            <w:r w:rsidRPr="001910F3">
              <w:t>Cita informācija</w:t>
            </w:r>
          </w:p>
        </w:tc>
        <w:tc>
          <w:tcPr>
            <w:tcW w:w="5939" w:type="dxa"/>
            <w:shd w:val="clear" w:color="auto" w:fill="auto"/>
          </w:tcPr>
          <w:p w:rsidR="001F20CA" w:rsidRPr="001910F3" w:rsidRDefault="00FA2831" w:rsidP="001F20CA">
            <w:pPr>
              <w:pStyle w:val="NormalWeb"/>
            </w:pPr>
            <w:r w:rsidRPr="001910F3">
              <w:t>Nav</w:t>
            </w:r>
          </w:p>
        </w:tc>
      </w:tr>
    </w:tbl>
    <w:p w:rsidR="001F20CA" w:rsidRPr="001910F3" w:rsidRDefault="001F20CA"/>
    <w:p w:rsidR="002615B9" w:rsidRPr="001910F3" w:rsidRDefault="002615B9" w:rsidP="002615B9">
      <w:pPr>
        <w:rPr>
          <w:sz w:val="28"/>
          <w:szCs w:val="28"/>
        </w:rPr>
      </w:pPr>
      <w:r w:rsidRPr="001910F3">
        <w:rPr>
          <w:sz w:val="28"/>
          <w:szCs w:val="28"/>
        </w:rPr>
        <w:t>Finanšu ministrs</w:t>
      </w:r>
      <w:r w:rsidRPr="001910F3">
        <w:rPr>
          <w:sz w:val="28"/>
          <w:szCs w:val="28"/>
        </w:rPr>
        <w:tab/>
      </w:r>
      <w:r w:rsidRPr="001910F3">
        <w:rPr>
          <w:sz w:val="28"/>
          <w:szCs w:val="28"/>
        </w:rPr>
        <w:tab/>
      </w:r>
      <w:r w:rsidRPr="001910F3">
        <w:rPr>
          <w:sz w:val="28"/>
          <w:szCs w:val="28"/>
        </w:rPr>
        <w:tab/>
      </w:r>
      <w:r w:rsidRPr="001910F3">
        <w:rPr>
          <w:sz w:val="28"/>
          <w:szCs w:val="28"/>
        </w:rPr>
        <w:tab/>
      </w:r>
      <w:r w:rsidRPr="001910F3">
        <w:rPr>
          <w:sz w:val="28"/>
          <w:szCs w:val="28"/>
        </w:rPr>
        <w:tab/>
      </w:r>
      <w:r w:rsidRPr="001910F3">
        <w:rPr>
          <w:sz w:val="28"/>
          <w:szCs w:val="28"/>
        </w:rPr>
        <w:tab/>
      </w:r>
      <w:r w:rsidRPr="001910F3">
        <w:rPr>
          <w:sz w:val="28"/>
          <w:szCs w:val="28"/>
        </w:rPr>
        <w:tab/>
      </w:r>
      <w:r w:rsidR="00490C73" w:rsidRPr="001910F3">
        <w:rPr>
          <w:sz w:val="28"/>
          <w:szCs w:val="28"/>
        </w:rPr>
        <w:t>A.Vilks</w:t>
      </w:r>
    </w:p>
    <w:p w:rsidR="006604A2" w:rsidRPr="001910F3" w:rsidRDefault="006604A2" w:rsidP="0016226E">
      <w:pPr>
        <w:rPr>
          <w:sz w:val="20"/>
          <w:szCs w:val="20"/>
        </w:rPr>
      </w:pPr>
    </w:p>
    <w:p w:rsidR="001910F3" w:rsidRPr="00DB1D3A" w:rsidRDefault="00294883" w:rsidP="001910F3">
      <w:pPr>
        <w:jc w:val="both"/>
        <w:rPr>
          <w:sz w:val="22"/>
          <w:szCs w:val="22"/>
        </w:rPr>
      </w:pPr>
      <w:r w:rsidRPr="00294883">
        <w:rPr>
          <w:sz w:val="22"/>
          <w:szCs w:val="22"/>
        </w:rPr>
        <w:t>21.01.2014 13:37</w:t>
      </w:r>
    </w:p>
    <w:p w:rsidR="001910F3" w:rsidRPr="00E26327" w:rsidRDefault="001910F3" w:rsidP="001910F3">
      <w:pPr>
        <w:jc w:val="both"/>
        <w:rPr>
          <w:sz w:val="22"/>
          <w:szCs w:val="22"/>
        </w:rPr>
      </w:pPr>
      <w:r w:rsidRPr="00DB1D3A">
        <w:rPr>
          <w:sz w:val="22"/>
          <w:szCs w:val="22"/>
        </w:rPr>
        <w:fldChar w:fldCharType="begin"/>
      </w:r>
      <w:r w:rsidRPr="00DB1D3A">
        <w:rPr>
          <w:sz w:val="22"/>
          <w:szCs w:val="22"/>
        </w:rPr>
        <w:instrText xml:space="preserve"> NUMWORDS  \* MERGEFORMAT </w:instrText>
      </w:r>
      <w:r w:rsidRPr="00DB1D3A">
        <w:rPr>
          <w:sz w:val="22"/>
          <w:szCs w:val="22"/>
        </w:rPr>
        <w:fldChar w:fldCharType="separate"/>
      </w:r>
      <w:r w:rsidR="001609FF">
        <w:rPr>
          <w:noProof/>
          <w:sz w:val="22"/>
          <w:szCs w:val="22"/>
        </w:rPr>
        <w:t>1793</w:t>
      </w:r>
      <w:r w:rsidRPr="00DB1D3A">
        <w:rPr>
          <w:noProof/>
          <w:sz w:val="22"/>
          <w:szCs w:val="22"/>
        </w:rPr>
        <w:fldChar w:fldCharType="end"/>
      </w:r>
    </w:p>
    <w:p w:rsidR="00A72C5A" w:rsidRPr="001910F3" w:rsidRDefault="00A72C5A">
      <w:pPr>
        <w:rPr>
          <w:sz w:val="22"/>
          <w:szCs w:val="22"/>
          <w:lang w:eastAsia="en-US"/>
        </w:rPr>
      </w:pPr>
      <w:r w:rsidRPr="001910F3">
        <w:rPr>
          <w:sz w:val="22"/>
          <w:szCs w:val="22"/>
          <w:lang w:eastAsia="en-US"/>
        </w:rPr>
        <w:t>Šuksta</w:t>
      </w:r>
    </w:p>
    <w:p w:rsidR="001F20CA" w:rsidRPr="001910F3" w:rsidRDefault="006604A2">
      <w:r w:rsidRPr="001910F3">
        <w:rPr>
          <w:sz w:val="22"/>
          <w:szCs w:val="22"/>
          <w:lang w:eastAsia="en-US"/>
        </w:rPr>
        <w:t>670942</w:t>
      </w:r>
      <w:r w:rsidR="00A72C5A" w:rsidRPr="001910F3">
        <w:rPr>
          <w:sz w:val="22"/>
          <w:szCs w:val="22"/>
          <w:lang w:eastAsia="en-US"/>
        </w:rPr>
        <w:t>10</w:t>
      </w:r>
      <w:r w:rsidRPr="001910F3">
        <w:rPr>
          <w:sz w:val="22"/>
          <w:szCs w:val="22"/>
          <w:lang w:eastAsia="en-US"/>
        </w:rPr>
        <w:t xml:space="preserve">, </w:t>
      </w:r>
      <w:r w:rsidR="00A72C5A" w:rsidRPr="001910F3">
        <w:rPr>
          <w:sz w:val="22"/>
          <w:szCs w:val="22"/>
          <w:lang w:eastAsia="en-US"/>
        </w:rPr>
        <w:t>irena.suksta</w:t>
      </w:r>
      <w:r w:rsidRPr="001910F3">
        <w:rPr>
          <w:sz w:val="22"/>
          <w:szCs w:val="22"/>
          <w:lang w:eastAsia="en-US"/>
        </w:rPr>
        <w:t>@kase.gov.lv</w:t>
      </w:r>
    </w:p>
    <w:sectPr w:rsidR="001F20CA" w:rsidRPr="001910F3" w:rsidSect="0078029C">
      <w:headerReference w:type="default" r:id="rId9"/>
      <w:footerReference w:type="default" r:id="rId10"/>
      <w:headerReference w:type="first" r:id="rId11"/>
      <w:footerReference w:type="first" r:id="rId12"/>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4BD" w:rsidRDefault="008664BD">
      <w:r>
        <w:separator/>
      </w:r>
    </w:p>
  </w:endnote>
  <w:endnote w:type="continuationSeparator" w:id="0">
    <w:p w:rsidR="008664BD" w:rsidRDefault="0086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58" w:rsidRPr="00E6248E" w:rsidRDefault="00D70B7F" w:rsidP="00E6248E">
    <w:pPr>
      <w:pStyle w:val="Heading4"/>
      <w:jc w:val="both"/>
      <w:rPr>
        <w:b w:val="0"/>
      </w:rPr>
    </w:pPr>
    <w:r w:rsidRPr="00E6248E">
      <w:rPr>
        <w:b w:val="0"/>
      </w:rPr>
      <w:fldChar w:fldCharType="begin"/>
    </w:r>
    <w:r w:rsidR="006B7A58" w:rsidRPr="00E6248E">
      <w:rPr>
        <w:b w:val="0"/>
      </w:rPr>
      <w:instrText xml:space="preserve"> FILENAME </w:instrText>
    </w:r>
    <w:r w:rsidRPr="00E6248E">
      <w:rPr>
        <w:b w:val="0"/>
      </w:rPr>
      <w:fldChar w:fldCharType="separate"/>
    </w:r>
    <w:r w:rsidR="001609FF">
      <w:rPr>
        <w:b w:val="0"/>
        <w:noProof/>
      </w:rPr>
      <w:t>FMAnot_210012014_groz_375.docx</w:t>
    </w:r>
    <w:r w:rsidRPr="00E6248E">
      <w:rPr>
        <w:b w:val="0"/>
      </w:rPr>
      <w:fldChar w:fldCharType="end"/>
    </w:r>
    <w:r w:rsidR="006B7A58" w:rsidRPr="00E6248E">
      <w:rPr>
        <w:b w:val="0"/>
      </w:rPr>
      <w:t>;</w:t>
    </w:r>
    <w:r w:rsidR="009B3FCD">
      <w:rPr>
        <w:b w:val="0"/>
      </w:rPr>
      <w:t xml:space="preserve"> </w:t>
    </w:r>
    <w:r w:rsidR="006B7A58" w:rsidRPr="00E6248E">
      <w:rPr>
        <w:b w:val="0"/>
      </w:rPr>
      <w:t>Ministru kabineta noteikumu projekta „</w:t>
    </w:r>
    <w:r w:rsidR="006462BA" w:rsidRPr="00A7297A">
      <w:rPr>
        <w:b w:val="0"/>
      </w:rPr>
      <w:t>Grozījumi Ministru kabineta 2012.gada 29.maija  noteikumos Nr.375 “Saimnieciskā gada pārskata sagatavošanas kārtība”</w:t>
    </w:r>
    <w:r w:rsidR="006B7A58">
      <w:rPr>
        <w:b w:val="0"/>
      </w:rPr>
      <w:t>”</w:t>
    </w:r>
    <w:r w:rsidR="006B7A58" w:rsidRPr="00E6248E">
      <w:rPr>
        <w:b w:val="0"/>
      </w:rPr>
      <w:t xml:space="preserve"> sākotnējās ietekmes novērtējuma ziņojums (anotācija)</w:t>
    </w:r>
  </w:p>
  <w:p w:rsidR="006B7A58" w:rsidRDefault="006B7A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58" w:rsidRDefault="00D70B7F" w:rsidP="00B647B8">
    <w:pPr>
      <w:pStyle w:val="Heading4"/>
      <w:jc w:val="both"/>
    </w:pPr>
    <w:r w:rsidRPr="00E6248E">
      <w:rPr>
        <w:b w:val="0"/>
      </w:rPr>
      <w:fldChar w:fldCharType="begin"/>
    </w:r>
    <w:r w:rsidR="006B7A58" w:rsidRPr="00E6248E">
      <w:rPr>
        <w:b w:val="0"/>
      </w:rPr>
      <w:instrText xml:space="preserve"> FILENAME </w:instrText>
    </w:r>
    <w:r w:rsidRPr="00E6248E">
      <w:rPr>
        <w:b w:val="0"/>
      </w:rPr>
      <w:fldChar w:fldCharType="separate"/>
    </w:r>
    <w:r w:rsidR="001609FF">
      <w:rPr>
        <w:b w:val="0"/>
        <w:noProof/>
      </w:rPr>
      <w:t>FMAnot_210012014_groz_375.docx</w:t>
    </w:r>
    <w:r w:rsidRPr="00E6248E">
      <w:rPr>
        <w:b w:val="0"/>
      </w:rPr>
      <w:fldChar w:fldCharType="end"/>
    </w:r>
    <w:r w:rsidR="006B7A58" w:rsidRPr="00E6248E">
      <w:rPr>
        <w:b w:val="0"/>
      </w:rPr>
      <w:t>;</w:t>
    </w:r>
    <w:r w:rsidR="009B3FCD">
      <w:rPr>
        <w:b w:val="0"/>
      </w:rPr>
      <w:t xml:space="preserve"> </w:t>
    </w:r>
    <w:r w:rsidR="006B7A58" w:rsidRPr="00E6248E">
      <w:rPr>
        <w:b w:val="0"/>
      </w:rPr>
      <w:t>Ministru kabineta noteikumu projekta „</w:t>
    </w:r>
    <w:r w:rsidR="00065100" w:rsidRPr="00A7297A">
      <w:rPr>
        <w:b w:val="0"/>
      </w:rPr>
      <w:t>Grozījumi Ministru kabineta 2012.gada 29.maija  noteikumos Nr.375 “Saimnieciskā gada pārskata sagatavošanas kārtība”</w:t>
    </w:r>
    <w:r w:rsidR="006B7A58">
      <w:rPr>
        <w:b w:val="0"/>
      </w:rPr>
      <w:t>”</w:t>
    </w:r>
    <w:r w:rsidR="006B7A58" w:rsidRPr="00E6248E">
      <w:rPr>
        <w:b w:val="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4BD" w:rsidRDefault="008664BD">
      <w:r>
        <w:separator/>
      </w:r>
    </w:p>
  </w:footnote>
  <w:footnote w:type="continuationSeparator" w:id="0">
    <w:p w:rsidR="008664BD" w:rsidRDefault="00866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58" w:rsidRDefault="00D70B7F">
    <w:pPr>
      <w:pStyle w:val="Header"/>
      <w:jc w:val="center"/>
    </w:pPr>
    <w:r>
      <w:fldChar w:fldCharType="begin"/>
    </w:r>
    <w:r w:rsidR="006B7A58">
      <w:instrText xml:space="preserve"> PAGE   \* MERGEFORMAT </w:instrText>
    </w:r>
    <w:r>
      <w:fldChar w:fldCharType="separate"/>
    </w:r>
    <w:r w:rsidR="00742C41">
      <w:rPr>
        <w:noProof/>
      </w:rPr>
      <w:t>7</w:t>
    </w:r>
    <w:r>
      <w:rPr>
        <w:noProof/>
      </w:rPr>
      <w:fldChar w:fldCharType="end"/>
    </w:r>
  </w:p>
  <w:p w:rsidR="006B7A58" w:rsidRDefault="006B7A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58" w:rsidRDefault="006B7A58" w:rsidP="0099512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B1C"/>
    <w:multiLevelType w:val="hybridMultilevel"/>
    <w:tmpl w:val="A896F144"/>
    <w:lvl w:ilvl="0" w:tplc="7040B28A">
      <w:start w:val="1"/>
      <w:numFmt w:val="decimal"/>
      <w:lvlText w:val="%1."/>
      <w:lvlJc w:val="left"/>
      <w:pPr>
        <w:ind w:left="720" w:hanging="360"/>
      </w:pPr>
      <w:rPr>
        <w:b w:val="0"/>
      </w:rPr>
    </w:lvl>
    <w:lvl w:ilvl="1" w:tplc="04090019">
      <w:start w:val="1"/>
      <w:numFmt w:val="lowerLetter"/>
      <w:lvlText w:val="%2."/>
      <w:lvlJc w:val="left"/>
      <w:pPr>
        <w:ind w:left="64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96BDF"/>
    <w:multiLevelType w:val="hybridMultilevel"/>
    <w:tmpl w:val="E7064D88"/>
    <w:lvl w:ilvl="0" w:tplc="09FEC7AE">
      <w:start w:val="1"/>
      <w:numFmt w:val="bullet"/>
      <w:lvlText w:val="-"/>
      <w:lvlJc w:val="left"/>
      <w:pPr>
        <w:tabs>
          <w:tab w:val="num" w:pos="780"/>
        </w:tabs>
        <w:ind w:left="780" w:hanging="360"/>
      </w:pPr>
      <w:rPr>
        <w:rFonts w:hAnsi="Courier New"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
    <w:nsid w:val="12C71B1E"/>
    <w:multiLevelType w:val="hybridMultilevel"/>
    <w:tmpl w:val="A770DDC0"/>
    <w:lvl w:ilvl="0" w:tplc="F776107C">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3">
    <w:nsid w:val="16C52B22"/>
    <w:multiLevelType w:val="hybridMultilevel"/>
    <w:tmpl w:val="EDE02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47C30"/>
    <w:multiLevelType w:val="hybridMultilevel"/>
    <w:tmpl w:val="4FA272D6"/>
    <w:lvl w:ilvl="0" w:tplc="0426000F">
      <w:start w:val="1"/>
      <w:numFmt w:val="decimal"/>
      <w:lvlText w:val="%1."/>
      <w:lvlJc w:val="left"/>
      <w:pPr>
        <w:ind w:left="2204" w:hanging="360"/>
      </w:pPr>
      <w:rPr>
        <w:rFonts w:hint="default"/>
      </w:r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5">
    <w:nsid w:val="194C3039"/>
    <w:multiLevelType w:val="multilevel"/>
    <w:tmpl w:val="70421C6E"/>
    <w:lvl w:ilvl="0">
      <w:start w:val="1"/>
      <w:numFmt w:val="decimal"/>
      <w:lvlText w:val="%1."/>
      <w:lvlJc w:val="left"/>
      <w:pPr>
        <w:ind w:left="915" w:hanging="615"/>
      </w:pPr>
      <w:rPr>
        <w:rFonts w:hint="default"/>
        <w:b w:val="0"/>
      </w:rPr>
    </w:lvl>
    <w:lvl w:ilvl="1">
      <w:start w:val="1"/>
      <w:numFmt w:val="decimal"/>
      <w:isLgl/>
      <w:lvlText w:val="%1.%2."/>
      <w:lvlJc w:val="left"/>
      <w:pPr>
        <w:ind w:left="1854" w:hanging="720"/>
      </w:pPr>
      <w:rPr>
        <w:rFonts w:hint="default"/>
        <w:b w:val="0"/>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6">
    <w:nsid w:val="21E44EB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D535D2"/>
    <w:multiLevelType w:val="hybridMultilevel"/>
    <w:tmpl w:val="92761FC0"/>
    <w:lvl w:ilvl="0" w:tplc="5D1216C6">
      <w:start w:val="1"/>
      <w:numFmt w:val="decimal"/>
      <w:lvlText w:val="%1)"/>
      <w:lvlJc w:val="left"/>
      <w:pPr>
        <w:ind w:left="644" w:hanging="360"/>
      </w:pPr>
      <w:rPr>
        <w:rFonts w:ascii="Times New Roman" w:eastAsia="Times New Roman" w:hAnsi="Times New Roman" w:cs="Times New Roman"/>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nsid w:val="2EFB1C97"/>
    <w:multiLevelType w:val="hybridMultilevel"/>
    <w:tmpl w:val="AD96D03A"/>
    <w:lvl w:ilvl="0" w:tplc="0409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nsid w:val="31A13441"/>
    <w:multiLevelType w:val="multilevel"/>
    <w:tmpl w:val="0F30290E"/>
    <w:lvl w:ilvl="0">
      <w:start w:val="1"/>
      <w:numFmt w:val="decimal"/>
      <w:lvlText w:val="%1."/>
      <w:lvlJc w:val="left"/>
      <w:pPr>
        <w:ind w:left="720" w:hanging="360"/>
      </w:pPr>
      <w:rPr>
        <w:rFonts w:hint="default"/>
        <w:i w:val="0"/>
      </w:rPr>
    </w:lvl>
    <w:lvl w:ilvl="1">
      <w:start w:val="2"/>
      <w:numFmt w:val="decimal"/>
      <w:isLgl/>
      <w:lvlText w:val="%1.%2."/>
      <w:lvlJc w:val="left"/>
      <w:pPr>
        <w:ind w:left="1434" w:hanging="1020"/>
      </w:pPr>
      <w:rPr>
        <w:rFonts w:hint="default"/>
      </w:rPr>
    </w:lvl>
    <w:lvl w:ilvl="2">
      <w:start w:val="1"/>
      <w:numFmt w:val="decimal"/>
      <w:isLgl/>
      <w:lvlText w:val="%1.%2.%3."/>
      <w:lvlJc w:val="left"/>
      <w:pPr>
        <w:ind w:left="1488" w:hanging="1020"/>
      </w:pPr>
      <w:rPr>
        <w:rFonts w:hint="default"/>
      </w:rPr>
    </w:lvl>
    <w:lvl w:ilvl="3">
      <w:start w:val="1"/>
      <w:numFmt w:val="decimal"/>
      <w:isLgl/>
      <w:lvlText w:val="%1.%2.%3.%4."/>
      <w:lvlJc w:val="left"/>
      <w:pPr>
        <w:ind w:left="1542" w:hanging="10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124" w:hanging="1440"/>
      </w:pPr>
      <w:rPr>
        <w:rFonts w:hint="default"/>
      </w:rPr>
    </w:lvl>
    <w:lvl w:ilvl="7">
      <w:start w:val="1"/>
      <w:numFmt w:val="decimal"/>
      <w:isLgl/>
      <w:lvlText w:val="%1.%2.%3.%4.%5.%6.%7.%8."/>
      <w:lvlJc w:val="left"/>
      <w:pPr>
        <w:ind w:left="2178" w:hanging="1440"/>
      </w:pPr>
      <w:rPr>
        <w:rFonts w:hint="default"/>
      </w:rPr>
    </w:lvl>
    <w:lvl w:ilvl="8">
      <w:start w:val="1"/>
      <w:numFmt w:val="decimal"/>
      <w:isLgl/>
      <w:lvlText w:val="%1.%2.%3.%4.%5.%6.%7.%8.%9."/>
      <w:lvlJc w:val="left"/>
      <w:pPr>
        <w:ind w:left="2592" w:hanging="1800"/>
      </w:pPr>
      <w:rPr>
        <w:rFonts w:hint="default"/>
      </w:rPr>
    </w:lvl>
  </w:abstractNum>
  <w:abstractNum w:abstractNumId="10">
    <w:nsid w:val="334E626D"/>
    <w:multiLevelType w:val="hybridMultilevel"/>
    <w:tmpl w:val="EC727EA2"/>
    <w:lvl w:ilvl="0" w:tplc="AF4459C2">
      <w:start w:val="2009"/>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382809D6"/>
    <w:multiLevelType w:val="hybridMultilevel"/>
    <w:tmpl w:val="2E3866CE"/>
    <w:lvl w:ilvl="0" w:tplc="05340E5C">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2">
    <w:nsid w:val="3C234EF0"/>
    <w:multiLevelType w:val="multilevel"/>
    <w:tmpl w:val="1F52DD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795B06"/>
    <w:multiLevelType w:val="hybridMultilevel"/>
    <w:tmpl w:val="8D28B00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nsid w:val="448975FD"/>
    <w:multiLevelType w:val="multilevel"/>
    <w:tmpl w:val="3BA6A3D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57D0A65"/>
    <w:multiLevelType w:val="multilevel"/>
    <w:tmpl w:val="586A6A48"/>
    <w:lvl w:ilvl="0">
      <w:start w:val="1"/>
      <w:numFmt w:val="decimal"/>
      <w:lvlText w:val="%1."/>
      <w:lvlJc w:val="left"/>
      <w:pPr>
        <w:ind w:left="915" w:hanging="615"/>
      </w:pPr>
      <w:rPr>
        <w:rFonts w:hint="default"/>
      </w:rPr>
    </w:lvl>
    <w:lvl w:ilvl="1">
      <w:start w:val="1"/>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16">
    <w:nsid w:val="47CD5622"/>
    <w:multiLevelType w:val="hybridMultilevel"/>
    <w:tmpl w:val="6CAEDEFC"/>
    <w:lvl w:ilvl="0" w:tplc="332C873C">
      <w:start w:val="1"/>
      <w:numFmt w:val="decimal"/>
      <w:lvlText w:val="%1."/>
      <w:lvlJc w:val="left"/>
      <w:pPr>
        <w:ind w:left="324" w:hanging="360"/>
      </w:pPr>
      <w:rPr>
        <w:rFonts w:hint="default"/>
      </w:rPr>
    </w:lvl>
    <w:lvl w:ilvl="1" w:tplc="04260019" w:tentative="1">
      <w:start w:val="1"/>
      <w:numFmt w:val="lowerLetter"/>
      <w:lvlText w:val="%2."/>
      <w:lvlJc w:val="left"/>
      <w:pPr>
        <w:ind w:left="1044" w:hanging="360"/>
      </w:pPr>
    </w:lvl>
    <w:lvl w:ilvl="2" w:tplc="0426001B" w:tentative="1">
      <w:start w:val="1"/>
      <w:numFmt w:val="lowerRoman"/>
      <w:lvlText w:val="%3."/>
      <w:lvlJc w:val="right"/>
      <w:pPr>
        <w:ind w:left="1764" w:hanging="180"/>
      </w:pPr>
    </w:lvl>
    <w:lvl w:ilvl="3" w:tplc="0426000F" w:tentative="1">
      <w:start w:val="1"/>
      <w:numFmt w:val="decimal"/>
      <w:lvlText w:val="%4."/>
      <w:lvlJc w:val="left"/>
      <w:pPr>
        <w:ind w:left="2484" w:hanging="360"/>
      </w:pPr>
    </w:lvl>
    <w:lvl w:ilvl="4" w:tplc="04260019" w:tentative="1">
      <w:start w:val="1"/>
      <w:numFmt w:val="lowerLetter"/>
      <w:lvlText w:val="%5."/>
      <w:lvlJc w:val="left"/>
      <w:pPr>
        <w:ind w:left="3204" w:hanging="360"/>
      </w:pPr>
    </w:lvl>
    <w:lvl w:ilvl="5" w:tplc="0426001B" w:tentative="1">
      <w:start w:val="1"/>
      <w:numFmt w:val="lowerRoman"/>
      <w:lvlText w:val="%6."/>
      <w:lvlJc w:val="right"/>
      <w:pPr>
        <w:ind w:left="3924" w:hanging="180"/>
      </w:pPr>
    </w:lvl>
    <w:lvl w:ilvl="6" w:tplc="0426000F" w:tentative="1">
      <w:start w:val="1"/>
      <w:numFmt w:val="decimal"/>
      <w:lvlText w:val="%7."/>
      <w:lvlJc w:val="left"/>
      <w:pPr>
        <w:ind w:left="4644" w:hanging="360"/>
      </w:pPr>
    </w:lvl>
    <w:lvl w:ilvl="7" w:tplc="04260019" w:tentative="1">
      <w:start w:val="1"/>
      <w:numFmt w:val="lowerLetter"/>
      <w:lvlText w:val="%8."/>
      <w:lvlJc w:val="left"/>
      <w:pPr>
        <w:ind w:left="5364" w:hanging="360"/>
      </w:pPr>
    </w:lvl>
    <w:lvl w:ilvl="8" w:tplc="0426001B" w:tentative="1">
      <w:start w:val="1"/>
      <w:numFmt w:val="lowerRoman"/>
      <w:lvlText w:val="%9."/>
      <w:lvlJc w:val="right"/>
      <w:pPr>
        <w:ind w:left="6084" w:hanging="180"/>
      </w:pPr>
    </w:lvl>
  </w:abstractNum>
  <w:abstractNum w:abstractNumId="17">
    <w:nsid w:val="4F610505"/>
    <w:multiLevelType w:val="hybridMultilevel"/>
    <w:tmpl w:val="27B22070"/>
    <w:lvl w:ilvl="0" w:tplc="907E97D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8">
    <w:nsid w:val="51A90F3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89A5178"/>
    <w:multiLevelType w:val="hybridMultilevel"/>
    <w:tmpl w:val="401A9238"/>
    <w:lvl w:ilvl="0" w:tplc="D990FF06">
      <w:start w:val="1"/>
      <w:numFmt w:val="decimal"/>
      <w:lvlText w:val="%1."/>
      <w:lvlJc w:val="left"/>
      <w:pPr>
        <w:ind w:left="720" w:hanging="360"/>
      </w:pPr>
      <w:rPr>
        <w:rFonts w:hint="default"/>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ACB6DF6"/>
    <w:multiLevelType w:val="multilevel"/>
    <w:tmpl w:val="586A6A48"/>
    <w:lvl w:ilvl="0">
      <w:start w:val="1"/>
      <w:numFmt w:val="decimal"/>
      <w:lvlText w:val="%1."/>
      <w:lvlJc w:val="left"/>
      <w:pPr>
        <w:ind w:left="915" w:hanging="615"/>
      </w:pPr>
      <w:rPr>
        <w:rFonts w:hint="default"/>
      </w:rPr>
    </w:lvl>
    <w:lvl w:ilvl="1">
      <w:start w:val="1"/>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21">
    <w:nsid w:val="65C20301"/>
    <w:multiLevelType w:val="hybridMultilevel"/>
    <w:tmpl w:val="D5CC8444"/>
    <w:lvl w:ilvl="0" w:tplc="04260001">
      <w:start w:val="1"/>
      <w:numFmt w:val="bullet"/>
      <w:lvlText w:val=""/>
      <w:lvlJc w:val="left"/>
      <w:pPr>
        <w:ind w:left="788" w:hanging="360"/>
      </w:pPr>
      <w:rPr>
        <w:rFonts w:ascii="Symbol" w:hAnsi="Symbol"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22">
    <w:nsid w:val="6AFC1D27"/>
    <w:multiLevelType w:val="hybridMultilevel"/>
    <w:tmpl w:val="481CD87E"/>
    <w:lvl w:ilvl="0" w:tplc="09FEC7AE">
      <w:start w:val="1"/>
      <w:numFmt w:val="bullet"/>
      <w:lvlText w:val="-"/>
      <w:lvlJc w:val="left"/>
      <w:pPr>
        <w:tabs>
          <w:tab w:val="num" w:pos="780"/>
        </w:tabs>
        <w:ind w:left="780" w:hanging="360"/>
      </w:pPr>
      <w:rPr>
        <w:rFonts w:hAnsi="Courier New"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3">
    <w:nsid w:val="72ED353C"/>
    <w:multiLevelType w:val="hybridMultilevel"/>
    <w:tmpl w:val="164CE260"/>
    <w:lvl w:ilvl="0" w:tplc="37D8A39C">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4">
    <w:nsid w:val="7663759D"/>
    <w:multiLevelType w:val="multilevel"/>
    <w:tmpl w:val="E29E433E"/>
    <w:lvl w:ilvl="0">
      <w:start w:val="1"/>
      <w:numFmt w:val="decimal"/>
      <w:lvlText w:val="%1."/>
      <w:lvlJc w:val="left"/>
      <w:pPr>
        <w:ind w:left="360" w:hanging="360"/>
      </w:pPr>
      <w:rPr>
        <w:rFonts w:ascii="Times New Roman" w:eastAsia="Calibri" w:hAnsi="Times New Roman" w:cs="Times New Roman"/>
        <w:b w:val="0"/>
      </w:rPr>
    </w:lvl>
    <w:lvl w:ilvl="1">
      <w:start w:val="1"/>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25">
    <w:nsid w:val="770007A7"/>
    <w:multiLevelType w:val="hybridMultilevel"/>
    <w:tmpl w:val="97E492EC"/>
    <w:lvl w:ilvl="0" w:tplc="A94A029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6">
    <w:nsid w:val="7D046843"/>
    <w:multiLevelType w:val="multilevel"/>
    <w:tmpl w:val="20606E9E"/>
    <w:lvl w:ilvl="0">
      <w:start w:val="2"/>
      <w:numFmt w:val="decimal"/>
      <w:lvlText w:val="%1."/>
      <w:lvlJc w:val="left"/>
      <w:pPr>
        <w:ind w:left="360" w:hanging="360"/>
      </w:pPr>
      <w:rPr>
        <w:rFonts w:hint="default"/>
      </w:rPr>
    </w:lvl>
    <w:lvl w:ilvl="1">
      <w:start w:val="1"/>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27">
    <w:nsid w:val="7FF76E43"/>
    <w:multiLevelType w:val="multilevel"/>
    <w:tmpl w:val="B76C4466"/>
    <w:lvl w:ilvl="0">
      <w:start w:val="1"/>
      <w:numFmt w:val="decimal"/>
      <w:lvlText w:val="%1."/>
      <w:lvlJc w:val="left"/>
      <w:pPr>
        <w:ind w:left="915" w:hanging="615"/>
      </w:pPr>
      <w:rPr>
        <w:rFonts w:hint="default"/>
        <w:b w:val="0"/>
      </w:rPr>
    </w:lvl>
    <w:lvl w:ilvl="1">
      <w:start w:val="1"/>
      <w:numFmt w:val="decimal"/>
      <w:isLgl/>
      <w:lvlText w:val="%1.%2."/>
      <w:lvlJc w:val="left"/>
      <w:pPr>
        <w:ind w:left="1854" w:hanging="720"/>
      </w:pPr>
      <w:rPr>
        <w:rFonts w:hint="default"/>
        <w:b w:val="0"/>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num w:numId="1">
    <w:abstractNumId w:val="12"/>
  </w:num>
  <w:num w:numId="2">
    <w:abstractNumId w:val="10"/>
  </w:num>
  <w:num w:numId="3">
    <w:abstractNumId w:val="1"/>
  </w:num>
  <w:num w:numId="4">
    <w:abstractNumId w:val="8"/>
  </w:num>
  <w:num w:numId="5">
    <w:abstractNumId w:val="22"/>
  </w:num>
  <w:num w:numId="6">
    <w:abstractNumId w:val="23"/>
  </w:num>
  <w:num w:numId="7">
    <w:abstractNumId w:val="7"/>
  </w:num>
  <w:num w:numId="8">
    <w:abstractNumId w:val="18"/>
  </w:num>
  <w:num w:numId="9">
    <w:abstractNumId w:val="2"/>
  </w:num>
  <w:num w:numId="10">
    <w:abstractNumId w:val="11"/>
  </w:num>
  <w:num w:numId="11">
    <w:abstractNumId w:val="13"/>
  </w:num>
  <w:num w:numId="12">
    <w:abstractNumId w:val="21"/>
  </w:num>
  <w:num w:numId="13">
    <w:abstractNumId w:val="9"/>
  </w:num>
  <w:num w:numId="14">
    <w:abstractNumId w:val="24"/>
  </w:num>
  <w:num w:numId="15">
    <w:abstractNumId w:val="26"/>
  </w:num>
  <w:num w:numId="16">
    <w:abstractNumId w:val="27"/>
  </w:num>
  <w:num w:numId="17">
    <w:abstractNumId w:val="4"/>
  </w:num>
  <w:num w:numId="18">
    <w:abstractNumId w:val="20"/>
  </w:num>
  <w:num w:numId="19">
    <w:abstractNumId w:val="15"/>
  </w:num>
  <w:num w:numId="20">
    <w:abstractNumId w:val="25"/>
  </w:num>
  <w:num w:numId="21">
    <w:abstractNumId w:val="16"/>
  </w:num>
  <w:num w:numId="22">
    <w:abstractNumId w:val="3"/>
  </w:num>
  <w:num w:numId="23">
    <w:abstractNumId w:val="0"/>
  </w:num>
  <w:num w:numId="24">
    <w:abstractNumId w:val="17"/>
  </w:num>
  <w:num w:numId="25">
    <w:abstractNumId w:val="19"/>
  </w:num>
  <w:num w:numId="26">
    <w:abstractNumId w:val="6"/>
  </w:num>
  <w:num w:numId="27">
    <w:abstractNumId w:val="1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1F1"/>
    <w:rsid w:val="00000CB4"/>
    <w:rsid w:val="00002897"/>
    <w:rsid w:val="00005FAB"/>
    <w:rsid w:val="000107F7"/>
    <w:rsid w:val="00014EE3"/>
    <w:rsid w:val="00021EE3"/>
    <w:rsid w:val="0002233E"/>
    <w:rsid w:val="00027279"/>
    <w:rsid w:val="00032F9E"/>
    <w:rsid w:val="0003577D"/>
    <w:rsid w:val="00036CBB"/>
    <w:rsid w:val="0006367E"/>
    <w:rsid w:val="00065100"/>
    <w:rsid w:val="000659C0"/>
    <w:rsid w:val="00066545"/>
    <w:rsid w:val="00067ED5"/>
    <w:rsid w:val="00070F19"/>
    <w:rsid w:val="00072910"/>
    <w:rsid w:val="00080DD8"/>
    <w:rsid w:val="00081D23"/>
    <w:rsid w:val="000849E6"/>
    <w:rsid w:val="00087E32"/>
    <w:rsid w:val="000A11E4"/>
    <w:rsid w:val="000A350E"/>
    <w:rsid w:val="000A5D04"/>
    <w:rsid w:val="000A6F07"/>
    <w:rsid w:val="000B0B9D"/>
    <w:rsid w:val="000B5327"/>
    <w:rsid w:val="000B7D60"/>
    <w:rsid w:val="000C03B9"/>
    <w:rsid w:val="000D0790"/>
    <w:rsid w:val="000D7DC7"/>
    <w:rsid w:val="000E29DC"/>
    <w:rsid w:val="000E3632"/>
    <w:rsid w:val="000E7315"/>
    <w:rsid w:val="000F41F1"/>
    <w:rsid w:val="000F7AB7"/>
    <w:rsid w:val="001008CA"/>
    <w:rsid w:val="00105B37"/>
    <w:rsid w:val="00125C74"/>
    <w:rsid w:val="00142349"/>
    <w:rsid w:val="0014438A"/>
    <w:rsid w:val="001454EA"/>
    <w:rsid w:val="00146CB3"/>
    <w:rsid w:val="0015231A"/>
    <w:rsid w:val="001609FF"/>
    <w:rsid w:val="0016166B"/>
    <w:rsid w:val="0016226E"/>
    <w:rsid w:val="001654D7"/>
    <w:rsid w:val="00167AA7"/>
    <w:rsid w:val="00170734"/>
    <w:rsid w:val="00181B0B"/>
    <w:rsid w:val="00182E92"/>
    <w:rsid w:val="00183FB0"/>
    <w:rsid w:val="001910F3"/>
    <w:rsid w:val="001974B4"/>
    <w:rsid w:val="001A1572"/>
    <w:rsid w:val="001A3BE7"/>
    <w:rsid w:val="001A44A1"/>
    <w:rsid w:val="001A7B4D"/>
    <w:rsid w:val="001B2882"/>
    <w:rsid w:val="001B5664"/>
    <w:rsid w:val="001D044F"/>
    <w:rsid w:val="001D2503"/>
    <w:rsid w:val="001D29DF"/>
    <w:rsid w:val="001E2463"/>
    <w:rsid w:val="001E7075"/>
    <w:rsid w:val="001F11CE"/>
    <w:rsid w:val="001F20CA"/>
    <w:rsid w:val="00200022"/>
    <w:rsid w:val="0020242D"/>
    <w:rsid w:val="00204E3B"/>
    <w:rsid w:val="00224CAE"/>
    <w:rsid w:val="002260A9"/>
    <w:rsid w:val="002262E6"/>
    <w:rsid w:val="002363BE"/>
    <w:rsid w:val="002372C0"/>
    <w:rsid w:val="0023783C"/>
    <w:rsid w:val="002401F6"/>
    <w:rsid w:val="00241B7D"/>
    <w:rsid w:val="00251597"/>
    <w:rsid w:val="00260E09"/>
    <w:rsid w:val="002615B9"/>
    <w:rsid w:val="002655FF"/>
    <w:rsid w:val="0028562E"/>
    <w:rsid w:val="0029070D"/>
    <w:rsid w:val="00291EB5"/>
    <w:rsid w:val="00294883"/>
    <w:rsid w:val="0029702C"/>
    <w:rsid w:val="002A063E"/>
    <w:rsid w:val="002A3037"/>
    <w:rsid w:val="002B08D3"/>
    <w:rsid w:val="002B292D"/>
    <w:rsid w:val="002C3C1C"/>
    <w:rsid w:val="002C3DBD"/>
    <w:rsid w:val="002D2AE4"/>
    <w:rsid w:val="002D5C82"/>
    <w:rsid w:val="002E15E6"/>
    <w:rsid w:val="002E7F01"/>
    <w:rsid w:val="002F4193"/>
    <w:rsid w:val="00301879"/>
    <w:rsid w:val="0030193E"/>
    <w:rsid w:val="003046B1"/>
    <w:rsid w:val="003216A5"/>
    <w:rsid w:val="00322047"/>
    <w:rsid w:val="003264CC"/>
    <w:rsid w:val="00342934"/>
    <w:rsid w:val="00351A19"/>
    <w:rsid w:val="003528A5"/>
    <w:rsid w:val="00363B84"/>
    <w:rsid w:val="003775AA"/>
    <w:rsid w:val="003861A7"/>
    <w:rsid w:val="00393820"/>
    <w:rsid w:val="00397982"/>
    <w:rsid w:val="003A0DF9"/>
    <w:rsid w:val="003A1038"/>
    <w:rsid w:val="003A77D3"/>
    <w:rsid w:val="003B17FF"/>
    <w:rsid w:val="003B1F05"/>
    <w:rsid w:val="003C467E"/>
    <w:rsid w:val="003D0C91"/>
    <w:rsid w:val="003D5F7F"/>
    <w:rsid w:val="003E12AA"/>
    <w:rsid w:val="003E2868"/>
    <w:rsid w:val="003F1668"/>
    <w:rsid w:val="003F2F32"/>
    <w:rsid w:val="003F7F27"/>
    <w:rsid w:val="00400C92"/>
    <w:rsid w:val="0040372C"/>
    <w:rsid w:val="00404EC8"/>
    <w:rsid w:val="0040769D"/>
    <w:rsid w:val="00412614"/>
    <w:rsid w:val="00427D02"/>
    <w:rsid w:val="00435F83"/>
    <w:rsid w:val="0043641D"/>
    <w:rsid w:val="00445652"/>
    <w:rsid w:val="0044608F"/>
    <w:rsid w:val="004505CC"/>
    <w:rsid w:val="00460402"/>
    <w:rsid w:val="0046789E"/>
    <w:rsid w:val="00470FD8"/>
    <w:rsid w:val="004715E3"/>
    <w:rsid w:val="00472BB8"/>
    <w:rsid w:val="0048581B"/>
    <w:rsid w:val="00486E33"/>
    <w:rsid w:val="00490C73"/>
    <w:rsid w:val="00493DAF"/>
    <w:rsid w:val="0049512E"/>
    <w:rsid w:val="004A51B6"/>
    <w:rsid w:val="004A6300"/>
    <w:rsid w:val="004B03A6"/>
    <w:rsid w:val="004B326F"/>
    <w:rsid w:val="004B3386"/>
    <w:rsid w:val="004B4278"/>
    <w:rsid w:val="004B7281"/>
    <w:rsid w:val="004C06AC"/>
    <w:rsid w:val="004C58E5"/>
    <w:rsid w:val="004C5F7E"/>
    <w:rsid w:val="004C7A53"/>
    <w:rsid w:val="004D62D7"/>
    <w:rsid w:val="004E3E7C"/>
    <w:rsid w:val="004E7916"/>
    <w:rsid w:val="004F3D84"/>
    <w:rsid w:val="00507157"/>
    <w:rsid w:val="00507951"/>
    <w:rsid w:val="00510C9C"/>
    <w:rsid w:val="00510DCB"/>
    <w:rsid w:val="00510E72"/>
    <w:rsid w:val="005114B6"/>
    <w:rsid w:val="005142CA"/>
    <w:rsid w:val="00517225"/>
    <w:rsid w:val="005206B8"/>
    <w:rsid w:val="005272F5"/>
    <w:rsid w:val="00530F55"/>
    <w:rsid w:val="00531706"/>
    <w:rsid w:val="005327C9"/>
    <w:rsid w:val="00536B16"/>
    <w:rsid w:val="005375C1"/>
    <w:rsid w:val="005451EC"/>
    <w:rsid w:val="00547988"/>
    <w:rsid w:val="00550066"/>
    <w:rsid w:val="005504A6"/>
    <w:rsid w:val="00567244"/>
    <w:rsid w:val="00572D49"/>
    <w:rsid w:val="00574FB0"/>
    <w:rsid w:val="005975A6"/>
    <w:rsid w:val="00597C7D"/>
    <w:rsid w:val="005A2AA1"/>
    <w:rsid w:val="005A37AE"/>
    <w:rsid w:val="005B3DC6"/>
    <w:rsid w:val="005B3EE5"/>
    <w:rsid w:val="005B4610"/>
    <w:rsid w:val="005C16A3"/>
    <w:rsid w:val="005C25E1"/>
    <w:rsid w:val="005D3322"/>
    <w:rsid w:val="005D39F1"/>
    <w:rsid w:val="005D3DF0"/>
    <w:rsid w:val="005F47AF"/>
    <w:rsid w:val="00604B95"/>
    <w:rsid w:val="00626858"/>
    <w:rsid w:val="006359F8"/>
    <w:rsid w:val="00642EC3"/>
    <w:rsid w:val="006458AF"/>
    <w:rsid w:val="006462BA"/>
    <w:rsid w:val="00647B63"/>
    <w:rsid w:val="006604A2"/>
    <w:rsid w:val="00666F32"/>
    <w:rsid w:val="00673DAD"/>
    <w:rsid w:val="006759C4"/>
    <w:rsid w:val="006769C6"/>
    <w:rsid w:val="00680DC2"/>
    <w:rsid w:val="006853AF"/>
    <w:rsid w:val="006936AA"/>
    <w:rsid w:val="00693998"/>
    <w:rsid w:val="006B50FC"/>
    <w:rsid w:val="006B715D"/>
    <w:rsid w:val="006B7A58"/>
    <w:rsid w:val="006B7B6A"/>
    <w:rsid w:val="006C4EB7"/>
    <w:rsid w:val="006C7277"/>
    <w:rsid w:val="006E4E4B"/>
    <w:rsid w:val="007001A8"/>
    <w:rsid w:val="007137D1"/>
    <w:rsid w:val="00714B7B"/>
    <w:rsid w:val="00715B9E"/>
    <w:rsid w:val="00724727"/>
    <w:rsid w:val="00725923"/>
    <w:rsid w:val="00740252"/>
    <w:rsid w:val="007409A9"/>
    <w:rsid w:val="00742C41"/>
    <w:rsid w:val="00742CAE"/>
    <w:rsid w:val="007469E9"/>
    <w:rsid w:val="00747976"/>
    <w:rsid w:val="007552E1"/>
    <w:rsid w:val="00764DBF"/>
    <w:rsid w:val="00770C93"/>
    <w:rsid w:val="007719FF"/>
    <w:rsid w:val="00772348"/>
    <w:rsid w:val="00773FCD"/>
    <w:rsid w:val="007800C5"/>
    <w:rsid w:val="0078029C"/>
    <w:rsid w:val="0078155A"/>
    <w:rsid w:val="00782263"/>
    <w:rsid w:val="00785F18"/>
    <w:rsid w:val="00792AC2"/>
    <w:rsid w:val="007937BB"/>
    <w:rsid w:val="00797C5D"/>
    <w:rsid w:val="007A0BB1"/>
    <w:rsid w:val="007A1D05"/>
    <w:rsid w:val="007A793E"/>
    <w:rsid w:val="007B18F2"/>
    <w:rsid w:val="007B1B13"/>
    <w:rsid w:val="007B27DD"/>
    <w:rsid w:val="007B7093"/>
    <w:rsid w:val="007C0A0B"/>
    <w:rsid w:val="007C1BC8"/>
    <w:rsid w:val="007D5F51"/>
    <w:rsid w:val="007D7CBA"/>
    <w:rsid w:val="007E2279"/>
    <w:rsid w:val="007E4632"/>
    <w:rsid w:val="007E5EEE"/>
    <w:rsid w:val="007F2FE1"/>
    <w:rsid w:val="007F6937"/>
    <w:rsid w:val="00801999"/>
    <w:rsid w:val="00802F19"/>
    <w:rsid w:val="008108BF"/>
    <w:rsid w:val="0081231A"/>
    <w:rsid w:val="0081558E"/>
    <w:rsid w:val="00816723"/>
    <w:rsid w:val="008302F5"/>
    <w:rsid w:val="00830346"/>
    <w:rsid w:val="00830625"/>
    <w:rsid w:val="00832D84"/>
    <w:rsid w:val="00840A49"/>
    <w:rsid w:val="00845533"/>
    <w:rsid w:val="0085084B"/>
    <w:rsid w:val="0085566B"/>
    <w:rsid w:val="008664BD"/>
    <w:rsid w:val="0086687F"/>
    <w:rsid w:val="00870A87"/>
    <w:rsid w:val="00874824"/>
    <w:rsid w:val="00876F3B"/>
    <w:rsid w:val="0088049F"/>
    <w:rsid w:val="00882EA4"/>
    <w:rsid w:val="00883283"/>
    <w:rsid w:val="00885901"/>
    <w:rsid w:val="00885A69"/>
    <w:rsid w:val="00890134"/>
    <w:rsid w:val="00891890"/>
    <w:rsid w:val="008939FB"/>
    <w:rsid w:val="00894AA5"/>
    <w:rsid w:val="008C56D1"/>
    <w:rsid w:val="008C7E21"/>
    <w:rsid w:val="008D21F9"/>
    <w:rsid w:val="008E0BF1"/>
    <w:rsid w:val="008E52AF"/>
    <w:rsid w:val="008E62FB"/>
    <w:rsid w:val="008F23E1"/>
    <w:rsid w:val="00906FD1"/>
    <w:rsid w:val="00912DAB"/>
    <w:rsid w:val="00920006"/>
    <w:rsid w:val="00930645"/>
    <w:rsid w:val="00936117"/>
    <w:rsid w:val="009376EA"/>
    <w:rsid w:val="009453D3"/>
    <w:rsid w:val="00947179"/>
    <w:rsid w:val="00951AD3"/>
    <w:rsid w:val="009527AB"/>
    <w:rsid w:val="009534F9"/>
    <w:rsid w:val="009605AE"/>
    <w:rsid w:val="0096136B"/>
    <w:rsid w:val="0096473B"/>
    <w:rsid w:val="00964CD1"/>
    <w:rsid w:val="00976627"/>
    <w:rsid w:val="00987A61"/>
    <w:rsid w:val="009917D0"/>
    <w:rsid w:val="0099512E"/>
    <w:rsid w:val="009A0134"/>
    <w:rsid w:val="009A09EB"/>
    <w:rsid w:val="009A1A8F"/>
    <w:rsid w:val="009A57D4"/>
    <w:rsid w:val="009B3BAC"/>
    <w:rsid w:val="009B3FCD"/>
    <w:rsid w:val="009B7092"/>
    <w:rsid w:val="009C5883"/>
    <w:rsid w:val="009D64B9"/>
    <w:rsid w:val="009D71FA"/>
    <w:rsid w:val="009E024C"/>
    <w:rsid w:val="009E1FF0"/>
    <w:rsid w:val="009F02E0"/>
    <w:rsid w:val="009F091F"/>
    <w:rsid w:val="009F14B5"/>
    <w:rsid w:val="009F6CF0"/>
    <w:rsid w:val="009F790B"/>
    <w:rsid w:val="00A03741"/>
    <w:rsid w:val="00A06BB9"/>
    <w:rsid w:val="00A11519"/>
    <w:rsid w:val="00A154D3"/>
    <w:rsid w:val="00A20C07"/>
    <w:rsid w:val="00A30504"/>
    <w:rsid w:val="00A501FF"/>
    <w:rsid w:val="00A525E5"/>
    <w:rsid w:val="00A60BC4"/>
    <w:rsid w:val="00A61BE6"/>
    <w:rsid w:val="00A61FC9"/>
    <w:rsid w:val="00A719DD"/>
    <w:rsid w:val="00A7297A"/>
    <w:rsid w:val="00A72C5A"/>
    <w:rsid w:val="00A75F6A"/>
    <w:rsid w:val="00A83BDB"/>
    <w:rsid w:val="00A973DE"/>
    <w:rsid w:val="00AA46F7"/>
    <w:rsid w:val="00AB2BC5"/>
    <w:rsid w:val="00AB4D6E"/>
    <w:rsid w:val="00AB5277"/>
    <w:rsid w:val="00AC113F"/>
    <w:rsid w:val="00AC2198"/>
    <w:rsid w:val="00AC6FF8"/>
    <w:rsid w:val="00AC7B4E"/>
    <w:rsid w:val="00AD26B5"/>
    <w:rsid w:val="00AD334B"/>
    <w:rsid w:val="00AD385A"/>
    <w:rsid w:val="00AE375A"/>
    <w:rsid w:val="00AE638F"/>
    <w:rsid w:val="00AF363B"/>
    <w:rsid w:val="00B03C9B"/>
    <w:rsid w:val="00B05332"/>
    <w:rsid w:val="00B0703D"/>
    <w:rsid w:val="00B25CA3"/>
    <w:rsid w:val="00B31430"/>
    <w:rsid w:val="00B31CF9"/>
    <w:rsid w:val="00B35FBE"/>
    <w:rsid w:val="00B472E3"/>
    <w:rsid w:val="00B47991"/>
    <w:rsid w:val="00B47F5D"/>
    <w:rsid w:val="00B52870"/>
    <w:rsid w:val="00B54F0D"/>
    <w:rsid w:val="00B55FA0"/>
    <w:rsid w:val="00B6462A"/>
    <w:rsid w:val="00B647B8"/>
    <w:rsid w:val="00B64AE6"/>
    <w:rsid w:val="00B64C8F"/>
    <w:rsid w:val="00B64E2F"/>
    <w:rsid w:val="00B732EE"/>
    <w:rsid w:val="00B77FA1"/>
    <w:rsid w:val="00B80393"/>
    <w:rsid w:val="00B84421"/>
    <w:rsid w:val="00B934F4"/>
    <w:rsid w:val="00B95C9E"/>
    <w:rsid w:val="00BA0887"/>
    <w:rsid w:val="00BA09FD"/>
    <w:rsid w:val="00BA7299"/>
    <w:rsid w:val="00BB6DD2"/>
    <w:rsid w:val="00BC1FF0"/>
    <w:rsid w:val="00BC481A"/>
    <w:rsid w:val="00BD3BBB"/>
    <w:rsid w:val="00BD54E6"/>
    <w:rsid w:val="00BD695D"/>
    <w:rsid w:val="00BE3564"/>
    <w:rsid w:val="00BE394D"/>
    <w:rsid w:val="00BE5934"/>
    <w:rsid w:val="00BF3AF7"/>
    <w:rsid w:val="00BF644F"/>
    <w:rsid w:val="00C053A6"/>
    <w:rsid w:val="00C07AF1"/>
    <w:rsid w:val="00C11354"/>
    <w:rsid w:val="00C1447D"/>
    <w:rsid w:val="00C15055"/>
    <w:rsid w:val="00C1566C"/>
    <w:rsid w:val="00C20814"/>
    <w:rsid w:val="00C232A2"/>
    <w:rsid w:val="00C26AD4"/>
    <w:rsid w:val="00C3201F"/>
    <w:rsid w:val="00C46972"/>
    <w:rsid w:val="00C554CF"/>
    <w:rsid w:val="00C57654"/>
    <w:rsid w:val="00C82F86"/>
    <w:rsid w:val="00C85C47"/>
    <w:rsid w:val="00C8737E"/>
    <w:rsid w:val="00C9099C"/>
    <w:rsid w:val="00C92DBC"/>
    <w:rsid w:val="00C9406F"/>
    <w:rsid w:val="00C97068"/>
    <w:rsid w:val="00CA2446"/>
    <w:rsid w:val="00CA61EB"/>
    <w:rsid w:val="00CB2CFD"/>
    <w:rsid w:val="00CB64BC"/>
    <w:rsid w:val="00CC119A"/>
    <w:rsid w:val="00CC132B"/>
    <w:rsid w:val="00CC1DDB"/>
    <w:rsid w:val="00CC63BB"/>
    <w:rsid w:val="00CC7273"/>
    <w:rsid w:val="00CC7CB9"/>
    <w:rsid w:val="00CD4B15"/>
    <w:rsid w:val="00CE04CB"/>
    <w:rsid w:val="00CE3971"/>
    <w:rsid w:val="00D01454"/>
    <w:rsid w:val="00D02C6A"/>
    <w:rsid w:val="00D036CC"/>
    <w:rsid w:val="00D1250A"/>
    <w:rsid w:val="00D13AE5"/>
    <w:rsid w:val="00D145D1"/>
    <w:rsid w:val="00D14A4A"/>
    <w:rsid w:val="00D16713"/>
    <w:rsid w:val="00D171D2"/>
    <w:rsid w:val="00D21781"/>
    <w:rsid w:val="00D26DE3"/>
    <w:rsid w:val="00D303AF"/>
    <w:rsid w:val="00D35FB5"/>
    <w:rsid w:val="00D46EA7"/>
    <w:rsid w:val="00D522E3"/>
    <w:rsid w:val="00D56597"/>
    <w:rsid w:val="00D604A9"/>
    <w:rsid w:val="00D61B93"/>
    <w:rsid w:val="00D639E5"/>
    <w:rsid w:val="00D6469B"/>
    <w:rsid w:val="00D66D88"/>
    <w:rsid w:val="00D70B7F"/>
    <w:rsid w:val="00D77D4E"/>
    <w:rsid w:val="00D91908"/>
    <w:rsid w:val="00D92CE5"/>
    <w:rsid w:val="00D97B37"/>
    <w:rsid w:val="00DA07A4"/>
    <w:rsid w:val="00DB1158"/>
    <w:rsid w:val="00DB1D3A"/>
    <w:rsid w:val="00DC490F"/>
    <w:rsid w:val="00DC4C9B"/>
    <w:rsid w:val="00DE7C23"/>
    <w:rsid w:val="00DF204D"/>
    <w:rsid w:val="00DF523D"/>
    <w:rsid w:val="00E05912"/>
    <w:rsid w:val="00E107A6"/>
    <w:rsid w:val="00E13838"/>
    <w:rsid w:val="00E1789B"/>
    <w:rsid w:val="00E2023A"/>
    <w:rsid w:val="00E227B4"/>
    <w:rsid w:val="00E247AC"/>
    <w:rsid w:val="00E25E8F"/>
    <w:rsid w:val="00E3194F"/>
    <w:rsid w:val="00E333AB"/>
    <w:rsid w:val="00E3493D"/>
    <w:rsid w:val="00E349A2"/>
    <w:rsid w:val="00E40D86"/>
    <w:rsid w:val="00E44C52"/>
    <w:rsid w:val="00E45EFB"/>
    <w:rsid w:val="00E6248E"/>
    <w:rsid w:val="00E64C93"/>
    <w:rsid w:val="00E67AE1"/>
    <w:rsid w:val="00E703A1"/>
    <w:rsid w:val="00E70800"/>
    <w:rsid w:val="00E81E66"/>
    <w:rsid w:val="00E85D02"/>
    <w:rsid w:val="00E909A9"/>
    <w:rsid w:val="00E9388D"/>
    <w:rsid w:val="00E94C97"/>
    <w:rsid w:val="00EA0CB5"/>
    <w:rsid w:val="00EA7EC9"/>
    <w:rsid w:val="00EB0F0E"/>
    <w:rsid w:val="00EB1A3D"/>
    <w:rsid w:val="00EB54D1"/>
    <w:rsid w:val="00EB6720"/>
    <w:rsid w:val="00EB689A"/>
    <w:rsid w:val="00EB75BB"/>
    <w:rsid w:val="00ED0A6B"/>
    <w:rsid w:val="00ED456E"/>
    <w:rsid w:val="00EE0677"/>
    <w:rsid w:val="00EF172F"/>
    <w:rsid w:val="00EF3CB7"/>
    <w:rsid w:val="00EF4286"/>
    <w:rsid w:val="00EF791C"/>
    <w:rsid w:val="00F0243C"/>
    <w:rsid w:val="00F04297"/>
    <w:rsid w:val="00F04594"/>
    <w:rsid w:val="00F06589"/>
    <w:rsid w:val="00F10DC0"/>
    <w:rsid w:val="00F14086"/>
    <w:rsid w:val="00F17E9B"/>
    <w:rsid w:val="00F36922"/>
    <w:rsid w:val="00F43492"/>
    <w:rsid w:val="00F4429D"/>
    <w:rsid w:val="00F4438F"/>
    <w:rsid w:val="00F446DE"/>
    <w:rsid w:val="00F44ABD"/>
    <w:rsid w:val="00F47706"/>
    <w:rsid w:val="00F53EA5"/>
    <w:rsid w:val="00F72DC5"/>
    <w:rsid w:val="00F7412E"/>
    <w:rsid w:val="00F74FB2"/>
    <w:rsid w:val="00F778B2"/>
    <w:rsid w:val="00F80DAA"/>
    <w:rsid w:val="00F86A3C"/>
    <w:rsid w:val="00F87AFE"/>
    <w:rsid w:val="00F96B4D"/>
    <w:rsid w:val="00FA2831"/>
    <w:rsid w:val="00FA7716"/>
    <w:rsid w:val="00FB0185"/>
    <w:rsid w:val="00FD1B17"/>
    <w:rsid w:val="00FE061B"/>
    <w:rsid w:val="00FE273D"/>
    <w:rsid w:val="00FE5796"/>
    <w:rsid w:val="00FF180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F4F203-F262-45A2-B63C-ED486539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qFormat/>
    <w:rsid w:val="000F41F1"/>
    <w:pPr>
      <w:spacing w:before="100" w:beforeAutospacing="1" w:after="100" w:afterAutospacing="1"/>
      <w:outlineLvl w:val="2"/>
    </w:pPr>
    <w:rPr>
      <w:b/>
      <w:bCs/>
      <w:sz w:val="27"/>
      <w:szCs w:val="27"/>
    </w:rPr>
  </w:style>
  <w:style w:type="paragraph" w:styleId="Heading4">
    <w:name w:val="heading 4"/>
    <w:basedOn w:val="Normal"/>
    <w:link w:val="Heading4Char"/>
    <w:qFormat/>
    <w:rsid w:val="000F41F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41F1"/>
    <w:rPr>
      <w:color w:val="0000FF"/>
      <w:u w:val="single"/>
    </w:rPr>
  </w:style>
  <w:style w:type="paragraph" w:styleId="NormalWeb">
    <w:name w:val="Normal (Web)"/>
    <w:basedOn w:val="Normal"/>
    <w:rsid w:val="000F41F1"/>
    <w:pPr>
      <w:spacing w:before="100" w:beforeAutospacing="1" w:after="100" w:afterAutospacing="1"/>
    </w:pPr>
  </w:style>
  <w:style w:type="table" w:styleId="TableGrid">
    <w:name w:val="Table Grid"/>
    <w:basedOn w:val="TableNormal"/>
    <w:rsid w:val="006C4E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E85D02"/>
    <w:pPr>
      <w:ind w:firstLine="720"/>
    </w:pPr>
    <w:rPr>
      <w:sz w:val="28"/>
      <w:lang w:eastAsia="en-US"/>
    </w:rPr>
  </w:style>
  <w:style w:type="character" w:styleId="CommentReference">
    <w:name w:val="annotation reference"/>
    <w:semiHidden/>
    <w:rsid w:val="00D02C6A"/>
    <w:rPr>
      <w:sz w:val="16"/>
      <w:szCs w:val="16"/>
    </w:rPr>
  </w:style>
  <w:style w:type="paragraph" w:styleId="CommentText">
    <w:name w:val="annotation text"/>
    <w:basedOn w:val="Normal"/>
    <w:link w:val="CommentTextChar"/>
    <w:semiHidden/>
    <w:rsid w:val="00D02C6A"/>
    <w:rPr>
      <w:sz w:val="20"/>
      <w:szCs w:val="20"/>
    </w:rPr>
  </w:style>
  <w:style w:type="paragraph" w:styleId="BalloonText">
    <w:name w:val="Balloon Text"/>
    <w:basedOn w:val="Normal"/>
    <w:link w:val="BalloonTextChar"/>
    <w:uiPriority w:val="99"/>
    <w:semiHidden/>
    <w:rsid w:val="00D02C6A"/>
    <w:rPr>
      <w:rFonts w:ascii="Tahoma" w:hAnsi="Tahoma" w:cs="Tahoma"/>
      <w:sz w:val="16"/>
      <w:szCs w:val="16"/>
    </w:rPr>
  </w:style>
  <w:style w:type="paragraph" w:styleId="Header">
    <w:name w:val="header"/>
    <w:basedOn w:val="Normal"/>
    <w:link w:val="HeaderChar"/>
    <w:uiPriority w:val="99"/>
    <w:rsid w:val="00E6248E"/>
    <w:pPr>
      <w:tabs>
        <w:tab w:val="center" w:pos="4153"/>
        <w:tab w:val="right" w:pos="8306"/>
      </w:tabs>
    </w:pPr>
  </w:style>
  <w:style w:type="paragraph" w:styleId="Footer">
    <w:name w:val="footer"/>
    <w:basedOn w:val="Normal"/>
    <w:rsid w:val="00E6248E"/>
    <w:pPr>
      <w:tabs>
        <w:tab w:val="center" w:pos="4153"/>
        <w:tab w:val="right" w:pos="8306"/>
      </w:tabs>
    </w:pPr>
  </w:style>
  <w:style w:type="paragraph" w:customStyle="1" w:styleId="xl36">
    <w:name w:val="xl36"/>
    <w:basedOn w:val="Normal"/>
    <w:rsid w:val="002615B9"/>
    <w:pPr>
      <w:spacing w:before="100" w:beforeAutospacing="1" w:after="100" w:afterAutospacing="1"/>
      <w:jc w:val="both"/>
    </w:pPr>
    <w:rPr>
      <w:rFonts w:eastAsia="Arial Unicode MS"/>
      <w:lang w:val="en-GB" w:eastAsia="en-US"/>
    </w:rPr>
  </w:style>
  <w:style w:type="paragraph" w:styleId="CommentSubject">
    <w:name w:val="annotation subject"/>
    <w:basedOn w:val="CommentText"/>
    <w:next w:val="CommentText"/>
    <w:link w:val="CommentSubjectChar"/>
    <w:rsid w:val="00AA46F7"/>
    <w:rPr>
      <w:b/>
      <w:bCs/>
    </w:rPr>
  </w:style>
  <w:style w:type="character" w:customStyle="1" w:styleId="CommentTextChar">
    <w:name w:val="Comment Text Char"/>
    <w:basedOn w:val="DefaultParagraphFont"/>
    <w:link w:val="CommentText"/>
    <w:semiHidden/>
    <w:rsid w:val="00AA46F7"/>
  </w:style>
  <w:style w:type="character" w:customStyle="1" w:styleId="CommentSubjectChar">
    <w:name w:val="Comment Subject Char"/>
    <w:link w:val="CommentSubject"/>
    <w:rsid w:val="00AA46F7"/>
    <w:rPr>
      <w:b/>
      <w:bCs/>
    </w:rPr>
  </w:style>
  <w:style w:type="character" w:customStyle="1" w:styleId="HeaderChar">
    <w:name w:val="Header Char"/>
    <w:link w:val="Header"/>
    <w:uiPriority w:val="99"/>
    <w:rsid w:val="00EA0CB5"/>
    <w:rPr>
      <w:sz w:val="24"/>
      <w:szCs w:val="24"/>
    </w:rPr>
  </w:style>
  <w:style w:type="paragraph" w:styleId="BodyText">
    <w:name w:val="Body Text"/>
    <w:basedOn w:val="Normal"/>
    <w:link w:val="BodyTextChar"/>
    <w:rsid w:val="0049512E"/>
    <w:pPr>
      <w:jc w:val="both"/>
    </w:pPr>
    <w:rPr>
      <w:iCs/>
    </w:rPr>
  </w:style>
  <w:style w:type="character" w:customStyle="1" w:styleId="BodyTextChar">
    <w:name w:val="Body Text Char"/>
    <w:basedOn w:val="DefaultParagraphFont"/>
    <w:link w:val="BodyText"/>
    <w:rsid w:val="0049512E"/>
    <w:rPr>
      <w:iCs/>
      <w:sz w:val="24"/>
      <w:szCs w:val="24"/>
    </w:rPr>
  </w:style>
  <w:style w:type="character" w:customStyle="1" w:styleId="Heading4Char">
    <w:name w:val="Heading 4 Char"/>
    <w:link w:val="Heading4"/>
    <w:rsid w:val="005375C1"/>
    <w:rPr>
      <w:b/>
      <w:bCs/>
      <w:sz w:val="24"/>
      <w:szCs w:val="24"/>
    </w:rPr>
  </w:style>
  <w:style w:type="paragraph" w:customStyle="1" w:styleId="naisf">
    <w:name w:val="naisf"/>
    <w:basedOn w:val="Normal"/>
    <w:rsid w:val="00DC490F"/>
    <w:pPr>
      <w:spacing w:before="75" w:after="75"/>
      <w:ind w:firstLine="375"/>
      <w:jc w:val="both"/>
    </w:pPr>
  </w:style>
  <w:style w:type="paragraph" w:styleId="ListParagraph">
    <w:name w:val="List Paragraph"/>
    <w:basedOn w:val="Normal"/>
    <w:uiPriority w:val="34"/>
    <w:qFormat/>
    <w:rsid w:val="00EB54D1"/>
    <w:pPr>
      <w:ind w:left="720"/>
      <w:contextualSpacing/>
    </w:pPr>
    <w:rPr>
      <w:rFonts w:eastAsia="Calibri"/>
      <w:sz w:val="28"/>
      <w:szCs w:val="28"/>
      <w:lang w:val="en-GB" w:eastAsia="en-US"/>
    </w:rPr>
  </w:style>
  <w:style w:type="character" w:customStyle="1" w:styleId="BalloonTextChar">
    <w:name w:val="Balloon Text Char"/>
    <w:link w:val="BalloonText"/>
    <w:uiPriority w:val="99"/>
    <w:semiHidden/>
    <w:rsid w:val="00EB54D1"/>
    <w:rPr>
      <w:rFonts w:ascii="Tahoma" w:hAnsi="Tahoma" w:cs="Tahoma"/>
      <w:sz w:val="16"/>
      <w:szCs w:val="16"/>
    </w:rPr>
  </w:style>
  <w:style w:type="paragraph" w:customStyle="1" w:styleId="naisnod">
    <w:name w:val="naisnod"/>
    <w:basedOn w:val="Normal"/>
    <w:rsid w:val="009B7092"/>
    <w:pPr>
      <w:spacing w:before="150" w:after="150"/>
      <w:jc w:val="center"/>
    </w:pPr>
    <w:rPr>
      <w:b/>
      <w:bCs/>
    </w:rPr>
  </w:style>
  <w:style w:type="paragraph" w:customStyle="1" w:styleId="tv213">
    <w:name w:val="tv213"/>
    <w:basedOn w:val="Normal"/>
    <w:rsid w:val="00FF1802"/>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798480">
      <w:bodyDiv w:val="1"/>
      <w:marLeft w:val="0"/>
      <w:marRight w:val="0"/>
      <w:marTop w:val="0"/>
      <w:marBottom w:val="0"/>
      <w:divBdr>
        <w:top w:val="none" w:sz="0" w:space="0" w:color="auto"/>
        <w:left w:val="none" w:sz="0" w:space="0" w:color="auto"/>
        <w:bottom w:val="none" w:sz="0" w:space="0" w:color="auto"/>
        <w:right w:val="none" w:sz="0" w:space="0" w:color="auto"/>
      </w:divBdr>
    </w:div>
    <w:div w:id="679434839">
      <w:bodyDiv w:val="1"/>
      <w:marLeft w:val="0"/>
      <w:marRight w:val="0"/>
      <w:marTop w:val="0"/>
      <w:marBottom w:val="0"/>
      <w:divBdr>
        <w:top w:val="none" w:sz="0" w:space="0" w:color="auto"/>
        <w:left w:val="none" w:sz="0" w:space="0" w:color="auto"/>
        <w:bottom w:val="none" w:sz="0" w:space="0" w:color="auto"/>
        <w:right w:val="none" w:sz="0" w:space="0" w:color="auto"/>
      </w:divBdr>
      <w:divsChild>
        <w:div w:id="7292053">
          <w:marLeft w:val="0"/>
          <w:marRight w:val="0"/>
          <w:marTop w:val="0"/>
          <w:marBottom w:val="0"/>
          <w:divBdr>
            <w:top w:val="none" w:sz="0" w:space="0" w:color="auto"/>
            <w:left w:val="none" w:sz="0" w:space="0" w:color="auto"/>
            <w:bottom w:val="none" w:sz="0" w:space="0" w:color="auto"/>
            <w:right w:val="none" w:sz="0" w:space="0" w:color="auto"/>
          </w:divBdr>
        </w:div>
        <w:div w:id="102655223">
          <w:marLeft w:val="0"/>
          <w:marRight w:val="0"/>
          <w:marTop w:val="0"/>
          <w:marBottom w:val="0"/>
          <w:divBdr>
            <w:top w:val="none" w:sz="0" w:space="0" w:color="auto"/>
            <w:left w:val="none" w:sz="0" w:space="0" w:color="auto"/>
            <w:bottom w:val="none" w:sz="0" w:space="0" w:color="auto"/>
            <w:right w:val="none" w:sz="0" w:space="0" w:color="auto"/>
          </w:divBdr>
        </w:div>
        <w:div w:id="191767022">
          <w:marLeft w:val="0"/>
          <w:marRight w:val="0"/>
          <w:marTop w:val="0"/>
          <w:marBottom w:val="0"/>
          <w:divBdr>
            <w:top w:val="none" w:sz="0" w:space="0" w:color="auto"/>
            <w:left w:val="none" w:sz="0" w:space="0" w:color="auto"/>
            <w:bottom w:val="none" w:sz="0" w:space="0" w:color="auto"/>
            <w:right w:val="none" w:sz="0" w:space="0" w:color="auto"/>
          </w:divBdr>
        </w:div>
        <w:div w:id="306202789">
          <w:marLeft w:val="0"/>
          <w:marRight w:val="0"/>
          <w:marTop w:val="0"/>
          <w:marBottom w:val="0"/>
          <w:divBdr>
            <w:top w:val="none" w:sz="0" w:space="0" w:color="auto"/>
            <w:left w:val="none" w:sz="0" w:space="0" w:color="auto"/>
            <w:bottom w:val="none" w:sz="0" w:space="0" w:color="auto"/>
            <w:right w:val="none" w:sz="0" w:space="0" w:color="auto"/>
          </w:divBdr>
        </w:div>
        <w:div w:id="388648313">
          <w:marLeft w:val="0"/>
          <w:marRight w:val="0"/>
          <w:marTop w:val="0"/>
          <w:marBottom w:val="0"/>
          <w:divBdr>
            <w:top w:val="none" w:sz="0" w:space="0" w:color="auto"/>
            <w:left w:val="none" w:sz="0" w:space="0" w:color="auto"/>
            <w:bottom w:val="none" w:sz="0" w:space="0" w:color="auto"/>
            <w:right w:val="none" w:sz="0" w:space="0" w:color="auto"/>
          </w:divBdr>
        </w:div>
        <w:div w:id="461265460">
          <w:marLeft w:val="0"/>
          <w:marRight w:val="0"/>
          <w:marTop w:val="0"/>
          <w:marBottom w:val="0"/>
          <w:divBdr>
            <w:top w:val="none" w:sz="0" w:space="0" w:color="auto"/>
            <w:left w:val="none" w:sz="0" w:space="0" w:color="auto"/>
            <w:bottom w:val="none" w:sz="0" w:space="0" w:color="auto"/>
            <w:right w:val="none" w:sz="0" w:space="0" w:color="auto"/>
          </w:divBdr>
        </w:div>
        <w:div w:id="920217380">
          <w:marLeft w:val="0"/>
          <w:marRight w:val="0"/>
          <w:marTop w:val="0"/>
          <w:marBottom w:val="0"/>
          <w:divBdr>
            <w:top w:val="none" w:sz="0" w:space="0" w:color="auto"/>
            <w:left w:val="none" w:sz="0" w:space="0" w:color="auto"/>
            <w:bottom w:val="none" w:sz="0" w:space="0" w:color="auto"/>
            <w:right w:val="none" w:sz="0" w:space="0" w:color="auto"/>
          </w:divBdr>
        </w:div>
        <w:div w:id="1225995426">
          <w:marLeft w:val="0"/>
          <w:marRight w:val="0"/>
          <w:marTop w:val="0"/>
          <w:marBottom w:val="0"/>
          <w:divBdr>
            <w:top w:val="none" w:sz="0" w:space="0" w:color="auto"/>
            <w:left w:val="none" w:sz="0" w:space="0" w:color="auto"/>
            <w:bottom w:val="none" w:sz="0" w:space="0" w:color="auto"/>
            <w:right w:val="none" w:sz="0" w:space="0" w:color="auto"/>
          </w:divBdr>
        </w:div>
        <w:div w:id="1238250724">
          <w:marLeft w:val="0"/>
          <w:marRight w:val="0"/>
          <w:marTop w:val="0"/>
          <w:marBottom w:val="0"/>
          <w:divBdr>
            <w:top w:val="none" w:sz="0" w:space="0" w:color="auto"/>
            <w:left w:val="none" w:sz="0" w:space="0" w:color="auto"/>
            <w:bottom w:val="none" w:sz="0" w:space="0" w:color="auto"/>
            <w:right w:val="none" w:sz="0" w:space="0" w:color="auto"/>
          </w:divBdr>
        </w:div>
        <w:div w:id="1256859203">
          <w:marLeft w:val="0"/>
          <w:marRight w:val="0"/>
          <w:marTop w:val="0"/>
          <w:marBottom w:val="0"/>
          <w:divBdr>
            <w:top w:val="none" w:sz="0" w:space="0" w:color="auto"/>
            <w:left w:val="none" w:sz="0" w:space="0" w:color="auto"/>
            <w:bottom w:val="none" w:sz="0" w:space="0" w:color="auto"/>
            <w:right w:val="none" w:sz="0" w:space="0" w:color="auto"/>
          </w:divBdr>
        </w:div>
        <w:div w:id="1597597003">
          <w:marLeft w:val="0"/>
          <w:marRight w:val="0"/>
          <w:marTop w:val="0"/>
          <w:marBottom w:val="0"/>
          <w:divBdr>
            <w:top w:val="none" w:sz="0" w:space="0" w:color="auto"/>
            <w:left w:val="none" w:sz="0" w:space="0" w:color="auto"/>
            <w:bottom w:val="none" w:sz="0" w:space="0" w:color="auto"/>
            <w:right w:val="none" w:sz="0" w:space="0" w:color="auto"/>
          </w:divBdr>
        </w:div>
        <w:div w:id="1740864766">
          <w:marLeft w:val="0"/>
          <w:marRight w:val="0"/>
          <w:marTop w:val="0"/>
          <w:marBottom w:val="0"/>
          <w:divBdr>
            <w:top w:val="none" w:sz="0" w:space="0" w:color="auto"/>
            <w:left w:val="none" w:sz="0" w:space="0" w:color="auto"/>
            <w:bottom w:val="none" w:sz="0" w:space="0" w:color="auto"/>
            <w:right w:val="none" w:sz="0" w:space="0" w:color="auto"/>
          </w:divBdr>
        </w:div>
        <w:div w:id="1756046883">
          <w:marLeft w:val="0"/>
          <w:marRight w:val="0"/>
          <w:marTop w:val="0"/>
          <w:marBottom w:val="0"/>
          <w:divBdr>
            <w:top w:val="none" w:sz="0" w:space="0" w:color="auto"/>
            <w:left w:val="none" w:sz="0" w:space="0" w:color="auto"/>
            <w:bottom w:val="none" w:sz="0" w:space="0" w:color="auto"/>
            <w:right w:val="none" w:sz="0" w:space="0" w:color="auto"/>
          </w:divBdr>
        </w:div>
        <w:div w:id="1912496825">
          <w:marLeft w:val="0"/>
          <w:marRight w:val="0"/>
          <w:marTop w:val="0"/>
          <w:marBottom w:val="0"/>
          <w:divBdr>
            <w:top w:val="none" w:sz="0" w:space="0" w:color="auto"/>
            <w:left w:val="none" w:sz="0" w:space="0" w:color="auto"/>
            <w:bottom w:val="none" w:sz="0" w:space="0" w:color="auto"/>
            <w:right w:val="none" w:sz="0" w:space="0" w:color="auto"/>
          </w:divBdr>
        </w:div>
        <w:div w:id="2146465532">
          <w:marLeft w:val="0"/>
          <w:marRight w:val="0"/>
          <w:marTop w:val="0"/>
          <w:marBottom w:val="0"/>
          <w:divBdr>
            <w:top w:val="none" w:sz="0" w:space="0" w:color="auto"/>
            <w:left w:val="none" w:sz="0" w:space="0" w:color="auto"/>
            <w:bottom w:val="none" w:sz="0" w:space="0" w:color="auto"/>
            <w:right w:val="none" w:sz="0" w:space="0" w:color="auto"/>
          </w:divBdr>
        </w:div>
      </w:divsChild>
    </w:div>
    <w:div w:id="1741174734">
      <w:bodyDiv w:val="1"/>
      <w:marLeft w:val="0"/>
      <w:marRight w:val="0"/>
      <w:marTop w:val="0"/>
      <w:marBottom w:val="0"/>
      <w:divBdr>
        <w:top w:val="none" w:sz="0" w:space="0" w:color="auto"/>
        <w:left w:val="none" w:sz="0" w:space="0" w:color="auto"/>
        <w:bottom w:val="none" w:sz="0" w:space="0" w:color="auto"/>
        <w:right w:val="none" w:sz="0" w:space="0" w:color="auto"/>
      </w:divBdr>
      <w:divsChild>
        <w:div w:id="132605084">
          <w:marLeft w:val="0"/>
          <w:marRight w:val="0"/>
          <w:marTop w:val="0"/>
          <w:marBottom w:val="0"/>
          <w:divBdr>
            <w:top w:val="none" w:sz="0" w:space="0" w:color="auto"/>
            <w:left w:val="none" w:sz="0" w:space="0" w:color="auto"/>
            <w:bottom w:val="none" w:sz="0" w:space="0" w:color="auto"/>
            <w:right w:val="none" w:sz="0" w:space="0" w:color="auto"/>
          </w:divBdr>
          <w:divsChild>
            <w:div w:id="390544028">
              <w:marLeft w:val="0"/>
              <w:marRight w:val="0"/>
              <w:marTop w:val="0"/>
              <w:marBottom w:val="0"/>
              <w:divBdr>
                <w:top w:val="none" w:sz="0" w:space="0" w:color="auto"/>
                <w:left w:val="none" w:sz="0" w:space="0" w:color="auto"/>
                <w:bottom w:val="none" w:sz="0" w:space="0" w:color="auto"/>
                <w:right w:val="none" w:sz="0" w:space="0" w:color="auto"/>
              </w:divBdr>
              <w:divsChild>
                <w:div w:id="1860001666">
                  <w:marLeft w:val="0"/>
                  <w:marRight w:val="0"/>
                  <w:marTop w:val="0"/>
                  <w:marBottom w:val="0"/>
                  <w:divBdr>
                    <w:top w:val="none" w:sz="0" w:space="0" w:color="auto"/>
                    <w:left w:val="none" w:sz="0" w:space="0" w:color="auto"/>
                    <w:bottom w:val="none" w:sz="0" w:space="0" w:color="auto"/>
                    <w:right w:val="none" w:sz="0" w:space="0" w:color="auto"/>
                  </w:divBdr>
                  <w:divsChild>
                    <w:div w:id="482282470">
                      <w:marLeft w:val="0"/>
                      <w:marRight w:val="0"/>
                      <w:marTop w:val="0"/>
                      <w:marBottom w:val="0"/>
                      <w:divBdr>
                        <w:top w:val="none" w:sz="0" w:space="0" w:color="auto"/>
                        <w:left w:val="none" w:sz="0" w:space="0" w:color="auto"/>
                        <w:bottom w:val="none" w:sz="0" w:space="0" w:color="auto"/>
                        <w:right w:val="none" w:sz="0" w:space="0" w:color="auto"/>
                      </w:divBdr>
                      <w:divsChild>
                        <w:div w:id="1304194395">
                          <w:marLeft w:val="0"/>
                          <w:marRight w:val="0"/>
                          <w:marTop w:val="300"/>
                          <w:marBottom w:val="0"/>
                          <w:divBdr>
                            <w:top w:val="none" w:sz="0" w:space="0" w:color="auto"/>
                            <w:left w:val="none" w:sz="0" w:space="0" w:color="auto"/>
                            <w:bottom w:val="none" w:sz="0" w:space="0" w:color="auto"/>
                            <w:right w:val="none" w:sz="0" w:space="0" w:color="auto"/>
                          </w:divBdr>
                          <w:divsChild>
                            <w:div w:id="198773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2109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9AD95-2924-4AC8-9647-B4926A29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9591</Words>
  <Characters>5467</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MK noteikumu projekta "Grozījumi ministru kabineta 2012.gada 29.maija noteikumos Nr.375 "Saimnieciskā gada pārskata sagatvošanas kārtība"" sākotnējās ietekmes novērtējuma ziņojums (anotācija)</vt:lpstr>
    </vt:vector>
  </TitlesOfParts>
  <Manager>Ligita.Agleniece@kase.gov.lv</Manager>
  <Company>Valsts kase</Company>
  <LinksUpToDate>false</LinksUpToDate>
  <CharactersWithSpaces>15028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2012.gada 29.maija noteikumos Nr.375 "Saimnieciskā gada pārskata sagatvošanas kārtība"" sākotnējās ietekmes novērtējuma ziņojums (anotācija)</dc:title>
  <dc:subject>Anotācija</dc:subject>
  <dc:creator>Irena.Suksta@kase.gov.lv</dc:creator>
  <dc:description>Pārskatu departament direktora vietniece, Irēna Šuksta, 67094210;
irena.suksta@kase.gov.lv</dc:description>
  <cp:lastModifiedBy>Lagzdiņa Lelde</cp:lastModifiedBy>
  <cp:revision>7</cp:revision>
  <cp:lastPrinted>2014-01-21T09:23:00Z</cp:lastPrinted>
  <dcterms:created xsi:type="dcterms:W3CDTF">2014-01-20T15:02:00Z</dcterms:created>
  <dcterms:modified xsi:type="dcterms:W3CDTF">2014-01-30T08:48:00Z</dcterms:modified>
</cp:coreProperties>
</file>