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5" w:rsidRPr="00391E8A" w:rsidRDefault="00371D35" w:rsidP="00371D35">
      <w:pPr>
        <w:pStyle w:val="Footer"/>
        <w:jc w:val="center"/>
        <w:rPr>
          <w:b/>
          <w:sz w:val="28"/>
          <w:szCs w:val="28"/>
        </w:rPr>
      </w:pPr>
      <w:r w:rsidRPr="00391E8A">
        <w:rPr>
          <w:b/>
          <w:sz w:val="28"/>
          <w:szCs w:val="28"/>
        </w:rPr>
        <w:t xml:space="preserve">Likumprojekta </w:t>
      </w:r>
    </w:p>
    <w:p w:rsidR="00371D35" w:rsidRPr="00391E8A" w:rsidRDefault="00371D35" w:rsidP="00371D35">
      <w:pPr>
        <w:jc w:val="center"/>
        <w:rPr>
          <w:color w:val="000000"/>
          <w:sz w:val="28"/>
          <w:szCs w:val="28"/>
          <w:lang w:eastAsia="lv-LV"/>
        </w:rPr>
      </w:pPr>
      <w:r w:rsidRPr="00391E8A">
        <w:rPr>
          <w:b/>
          <w:sz w:val="28"/>
          <w:szCs w:val="28"/>
        </w:rPr>
        <w:t xml:space="preserve">"Grozījumi Maksājumu pakalpojumu un elektroniskās naudas likumā " </w:t>
      </w:r>
    </w:p>
    <w:p w:rsidR="00371D35" w:rsidRPr="00391E8A" w:rsidRDefault="00371D35" w:rsidP="00371D35">
      <w:pPr>
        <w:pStyle w:val="Footer"/>
        <w:jc w:val="center"/>
        <w:rPr>
          <w:b/>
          <w:bCs/>
          <w:sz w:val="28"/>
          <w:szCs w:val="28"/>
        </w:rPr>
      </w:pPr>
      <w:r w:rsidRPr="00391E8A">
        <w:rPr>
          <w:b/>
          <w:bCs/>
          <w:sz w:val="28"/>
          <w:szCs w:val="28"/>
        </w:rPr>
        <w:t>sākotnējās ietekmes novērtējuma ziņojums</w:t>
      </w:r>
    </w:p>
    <w:p w:rsidR="00371D35" w:rsidRPr="00391E8A" w:rsidRDefault="00371D35" w:rsidP="00371D35">
      <w:pPr>
        <w:pStyle w:val="Footer"/>
        <w:jc w:val="center"/>
        <w:rPr>
          <w:b/>
          <w:bCs/>
          <w:sz w:val="28"/>
          <w:szCs w:val="28"/>
        </w:rPr>
      </w:pPr>
      <w:r w:rsidRPr="00391E8A">
        <w:rPr>
          <w:b/>
          <w:bCs/>
          <w:sz w:val="28"/>
          <w:szCs w:val="28"/>
        </w:rPr>
        <w:t>(anotācija)</w:t>
      </w:r>
    </w:p>
    <w:p w:rsidR="00371D35" w:rsidRPr="00391E8A" w:rsidRDefault="00371D35" w:rsidP="00371D35">
      <w:pPr>
        <w:pStyle w:val="Footer"/>
        <w:jc w:val="center"/>
        <w:rPr>
          <w:b/>
        </w:rPr>
      </w:pPr>
    </w:p>
    <w:tbl>
      <w:tblPr>
        <w:tblW w:w="960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1887"/>
        <w:gridCol w:w="7376"/>
      </w:tblGrid>
      <w:tr w:rsidR="00371D35" w:rsidRPr="00391E8A" w:rsidTr="001F1F16">
        <w:trPr>
          <w:trHeight w:val="144"/>
        </w:trPr>
        <w:tc>
          <w:tcPr>
            <w:tcW w:w="9603" w:type="dxa"/>
            <w:gridSpan w:val="3"/>
            <w:vAlign w:val="center"/>
          </w:tcPr>
          <w:p w:rsidR="00371D35" w:rsidRPr="00391E8A" w:rsidRDefault="00371D35" w:rsidP="00A1007E">
            <w:pPr>
              <w:snapToGrid w:val="0"/>
              <w:rPr>
                <w:b/>
                <w:bCs/>
                <w:color w:val="000000"/>
              </w:rPr>
            </w:pPr>
            <w:r w:rsidRPr="00391E8A">
              <w:rPr>
                <w:b/>
                <w:bCs/>
                <w:color w:val="000000"/>
              </w:rPr>
              <w:t>Tiesību akta projekta izstrādes nepieciešamība</w:t>
            </w:r>
          </w:p>
        </w:tc>
      </w:tr>
      <w:tr w:rsidR="00371D35" w:rsidRPr="00391E8A" w:rsidTr="00503EE8">
        <w:trPr>
          <w:trHeight w:val="2335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1.</w:t>
            </w:r>
          </w:p>
        </w:tc>
        <w:tc>
          <w:tcPr>
            <w:tcW w:w="1887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Pamatojums</w:t>
            </w:r>
          </w:p>
        </w:tc>
        <w:tc>
          <w:tcPr>
            <w:tcW w:w="7376" w:type="dxa"/>
          </w:tcPr>
          <w:p w:rsidR="00371D35" w:rsidRPr="00391E8A" w:rsidRDefault="00371D35" w:rsidP="003B4524">
            <w:pPr>
              <w:jc w:val="both"/>
            </w:pPr>
            <w:r w:rsidRPr="00391E8A">
              <w:t xml:space="preserve">Finanšu un kapitāla tirgus komisija 2013.gadā pārņem </w:t>
            </w:r>
            <w:r w:rsidR="002D6C2C" w:rsidRPr="00391E8A">
              <w:t xml:space="preserve">uzraudzību pār </w:t>
            </w:r>
            <w:r w:rsidRPr="00391E8A">
              <w:t xml:space="preserve">visu maksājumu pakalpojumu sniedzēju un maksājumu sistēmu </w:t>
            </w:r>
            <w:r w:rsidR="002D6C2C" w:rsidRPr="00391E8A">
              <w:t xml:space="preserve">darbības </w:t>
            </w:r>
            <w:r w:rsidRPr="00391E8A">
              <w:t xml:space="preserve">atbilstību Maksājumu pakalpojumu un elektroniskās naudas likuma (turpmāk tekstā – Likums) prasībām, kā arī </w:t>
            </w:r>
            <w:r w:rsidR="002D6C2C" w:rsidRPr="00391E8A">
              <w:t xml:space="preserve">šajā </w:t>
            </w:r>
            <w:r w:rsidRPr="00391E8A">
              <w:t>jom</w:t>
            </w:r>
            <w:r w:rsidR="002D6C2C" w:rsidRPr="00391E8A">
              <w:t>ā izdoto</w:t>
            </w:r>
            <w:r w:rsidRPr="00391E8A">
              <w:t xml:space="preserve"> ES tieši piemērojamo tiesību aktu prasību ievērošanas uzraudzību.</w:t>
            </w:r>
            <w:r w:rsidR="002C288E" w:rsidRPr="00391E8A">
              <w:t xml:space="preserve"> </w:t>
            </w:r>
            <w:r w:rsidR="007051E0" w:rsidRPr="00391E8A">
              <w:t xml:space="preserve">Minētā ietvaros tiek veikti </w:t>
            </w:r>
            <w:r w:rsidRPr="00391E8A">
              <w:t>grozījumi Likumā noteikt</w:t>
            </w:r>
            <w:r w:rsidR="002D6C2C" w:rsidRPr="00391E8A">
              <w:t>aj</w:t>
            </w:r>
            <w:r w:rsidRPr="00391E8A">
              <w:t xml:space="preserve">ā deleģējumā, kā arī </w:t>
            </w:r>
            <w:r w:rsidR="002D6C2C" w:rsidRPr="00391E8A">
              <w:t xml:space="preserve">tiek </w:t>
            </w:r>
            <w:r w:rsidRPr="00391E8A">
              <w:t>nodrošin</w:t>
            </w:r>
            <w:r w:rsidR="002D6C2C" w:rsidRPr="00391E8A">
              <w:t>āta</w:t>
            </w:r>
            <w:r w:rsidRPr="00391E8A">
              <w:t xml:space="preserve"> nacionālā regulējuma atbilstība Regulas (ES) 260/2012 ar ko nosaka tehniskās un darbības prasības kredīta pārvedumiem un tiešā debeta maksājumiem </w:t>
            </w:r>
            <w:r w:rsidRPr="00391E8A">
              <w:rPr>
                <w:i/>
              </w:rPr>
              <w:t>euro</w:t>
            </w:r>
            <w:r w:rsidRPr="00391E8A">
              <w:t xml:space="preserve"> un groza Regulu (EK) 924/2009</w:t>
            </w:r>
            <w:r w:rsidR="00933809" w:rsidRPr="00391E8A">
              <w:t xml:space="preserve"> (turpmāk tekstā – Regula (ES) 260/2012)</w:t>
            </w:r>
            <w:r w:rsidRPr="00391E8A">
              <w:t xml:space="preserve"> prasībām.</w:t>
            </w:r>
          </w:p>
        </w:tc>
      </w:tr>
      <w:tr w:rsidR="00371D35" w:rsidRPr="00391E8A" w:rsidTr="00503EE8">
        <w:trPr>
          <w:trHeight w:val="938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2.</w:t>
            </w:r>
          </w:p>
        </w:tc>
        <w:tc>
          <w:tcPr>
            <w:tcW w:w="1887" w:type="dxa"/>
          </w:tcPr>
          <w:p w:rsidR="00371D35" w:rsidRPr="00391E8A" w:rsidRDefault="00371D35" w:rsidP="00FF223C">
            <w:pPr>
              <w:snapToGrid w:val="0"/>
              <w:rPr>
                <w:color w:val="000000"/>
              </w:rPr>
            </w:pPr>
            <w:r w:rsidRPr="00391E8A">
              <w:rPr>
                <w:color w:val="000000"/>
              </w:rPr>
              <w:t>Pašreizējā situācija un problēmas</w:t>
            </w:r>
          </w:p>
        </w:tc>
        <w:tc>
          <w:tcPr>
            <w:tcW w:w="7376" w:type="dxa"/>
          </w:tcPr>
          <w:p w:rsidR="00371D35" w:rsidRPr="00391E8A" w:rsidRDefault="00371D35" w:rsidP="00B35584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Atbilstoši spēkā esošai Likuma redakcijai Komisijai nav tiesīb</w:t>
            </w:r>
            <w:r w:rsidR="002D6C2C" w:rsidRPr="00391E8A">
              <w:rPr>
                <w:color w:val="000000"/>
              </w:rPr>
              <w:t>u</w:t>
            </w:r>
            <w:r w:rsidRPr="00391E8A">
              <w:rPr>
                <w:color w:val="000000"/>
              </w:rPr>
              <w:t xml:space="preserve"> veikt </w:t>
            </w:r>
            <w:r w:rsidR="002D6C2C" w:rsidRPr="00391E8A">
              <w:rPr>
                <w:color w:val="000000"/>
              </w:rPr>
              <w:t xml:space="preserve">visu </w:t>
            </w:r>
            <w:r w:rsidRPr="00391E8A">
              <w:rPr>
                <w:color w:val="000000"/>
              </w:rPr>
              <w:t>maksājumu pakalpojumu sniedzēj</w:t>
            </w:r>
            <w:r w:rsidR="002D6C2C" w:rsidRPr="00391E8A">
              <w:rPr>
                <w:color w:val="000000"/>
              </w:rPr>
              <w:t>u</w:t>
            </w:r>
            <w:r w:rsidRPr="00391E8A">
              <w:rPr>
                <w:color w:val="000000"/>
              </w:rPr>
              <w:t xml:space="preserve"> un maksājumu sistēm</w:t>
            </w:r>
            <w:r w:rsidR="002D6C2C" w:rsidRPr="00391E8A">
              <w:rPr>
                <w:color w:val="000000"/>
              </w:rPr>
              <w:t>u uzraudzību</w:t>
            </w:r>
            <w:r w:rsidRPr="00391E8A">
              <w:rPr>
                <w:color w:val="000000"/>
              </w:rPr>
              <w:t>, kā arī</w:t>
            </w:r>
            <w:r w:rsidRPr="00391E8A">
              <w:t xml:space="preserve"> š</w:t>
            </w:r>
            <w:r w:rsidR="002D6C2C" w:rsidRPr="00391E8A">
              <w:t>ajā</w:t>
            </w:r>
            <w:r w:rsidRPr="00391E8A">
              <w:t xml:space="preserve"> jom</w:t>
            </w:r>
            <w:r w:rsidR="002D6C2C" w:rsidRPr="00391E8A">
              <w:t>ā</w:t>
            </w:r>
            <w:r w:rsidRPr="00391E8A">
              <w:t xml:space="preserve"> ES tieši piemērojamo tiesību aktu prasību ievērošanas uzraudzību.</w:t>
            </w:r>
          </w:p>
        </w:tc>
      </w:tr>
      <w:tr w:rsidR="00371D35" w:rsidRPr="00391E8A" w:rsidTr="00503EE8">
        <w:trPr>
          <w:trHeight w:val="1160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3.</w:t>
            </w:r>
          </w:p>
        </w:tc>
        <w:tc>
          <w:tcPr>
            <w:tcW w:w="1887" w:type="dxa"/>
          </w:tcPr>
          <w:p w:rsidR="00371D35" w:rsidRPr="00391E8A" w:rsidRDefault="00371D35" w:rsidP="00FB6635">
            <w:pPr>
              <w:snapToGrid w:val="0"/>
              <w:rPr>
                <w:color w:val="000000"/>
              </w:rPr>
            </w:pPr>
            <w:r w:rsidRPr="00391E8A">
              <w:rPr>
                <w:color w:val="000000"/>
              </w:rPr>
              <w:t>Saistītie politikas ietekmes</w:t>
            </w:r>
            <w:r w:rsidR="00FB6635" w:rsidRPr="00391E8A">
              <w:rPr>
                <w:color w:val="000000"/>
              </w:rPr>
              <w:t xml:space="preserve"> </w:t>
            </w:r>
            <w:r w:rsidRPr="00391E8A">
              <w:rPr>
                <w:color w:val="000000"/>
              </w:rPr>
              <w:t>novērtējumi un pētījumi</w:t>
            </w:r>
          </w:p>
        </w:tc>
        <w:tc>
          <w:tcPr>
            <w:tcW w:w="7376" w:type="dxa"/>
          </w:tcPr>
          <w:p w:rsidR="00371D35" w:rsidRPr="00391E8A" w:rsidRDefault="00371D35" w:rsidP="00FF223C">
            <w:pPr>
              <w:snapToGrid w:val="0"/>
              <w:jc w:val="both"/>
            </w:pPr>
            <w:r w:rsidRPr="00391E8A">
              <w:rPr>
                <w:color w:val="000000"/>
                <w:lang w:eastAsia="lv-LV"/>
              </w:rPr>
              <w:t>Projekts šo jomu neskar</w:t>
            </w:r>
            <w:r w:rsidRPr="00391E8A">
              <w:rPr>
                <w:color w:val="000000"/>
              </w:rPr>
              <w:t>.</w:t>
            </w:r>
          </w:p>
        </w:tc>
      </w:tr>
      <w:tr w:rsidR="00371D35" w:rsidRPr="00391E8A" w:rsidTr="00503EE8">
        <w:trPr>
          <w:trHeight w:val="1395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4.</w:t>
            </w:r>
          </w:p>
        </w:tc>
        <w:tc>
          <w:tcPr>
            <w:tcW w:w="1887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Tiesiskā regulējuma mērķis un būtība</w:t>
            </w:r>
          </w:p>
        </w:tc>
        <w:tc>
          <w:tcPr>
            <w:tcW w:w="7376" w:type="dxa"/>
          </w:tcPr>
          <w:p w:rsidR="00371D35" w:rsidRPr="00391E8A" w:rsidRDefault="003B4524" w:rsidP="00933809">
            <w:pPr>
              <w:jc w:val="both"/>
            </w:pPr>
            <w:r w:rsidRPr="00391E8A">
              <w:t>Likumprojekts izstrādāts, lai ievērotu Regulas (ES) 260/2012 prasības.</w:t>
            </w:r>
            <w:r w:rsidRPr="00391E8A">
              <w:rPr>
                <w:bCs/>
              </w:rPr>
              <w:t xml:space="preserve"> Precizējumi </w:t>
            </w:r>
            <w:r w:rsidRPr="00391E8A">
              <w:t xml:space="preserve">paplašina Komisijai noteikto deleģējumu visu maksājumu pakalpojumu sniedzēju un maksājumu sistēmu uzraudzībai atbilstoši Likumam un ES tieši piemērojamo tiesību aktu prasībām. </w:t>
            </w:r>
            <w:r w:rsidR="00371D35" w:rsidRPr="00391E8A">
              <w:t>Likumprojektā tiek precizēts Likuma</w:t>
            </w:r>
            <w:r w:rsidR="003476E4" w:rsidRPr="00391E8A">
              <w:t xml:space="preserve"> 41.pants, 48.pants, </w:t>
            </w:r>
            <w:r w:rsidR="003476E4" w:rsidRPr="00391E8A">
              <w:rPr>
                <w:bCs/>
              </w:rPr>
              <w:t>105.pants,</w:t>
            </w:r>
            <w:r w:rsidR="003476E4" w:rsidRPr="00391E8A">
              <w:t xml:space="preserve"> </w:t>
            </w:r>
            <w:r w:rsidR="003476E4" w:rsidRPr="00391E8A">
              <w:rPr>
                <w:bCs/>
              </w:rPr>
              <w:t>106.pants,</w:t>
            </w:r>
            <w:r w:rsidR="003476E4" w:rsidRPr="00391E8A">
              <w:t xml:space="preserve"> </w:t>
            </w:r>
            <w:r w:rsidR="003476E4" w:rsidRPr="00391E8A">
              <w:rPr>
                <w:bCs/>
              </w:rPr>
              <w:t>107.pants, V un VI nodaļas nosaukumi</w:t>
            </w:r>
            <w:r w:rsidR="007051E0" w:rsidRPr="00391E8A">
              <w:rPr>
                <w:bCs/>
              </w:rPr>
              <w:t>.</w:t>
            </w:r>
            <w:r w:rsidR="002D6C2C" w:rsidRPr="00391E8A">
              <w:rPr>
                <w:bCs/>
              </w:rPr>
              <w:t xml:space="preserve"> Likums tiek papildināts ar </w:t>
            </w:r>
            <w:r w:rsidR="002D6C2C" w:rsidRPr="00391E8A">
              <w:t>56.</w:t>
            </w:r>
            <w:r w:rsidR="002D6C2C" w:rsidRPr="00391E8A">
              <w:rPr>
                <w:vertAlign w:val="superscript"/>
              </w:rPr>
              <w:t xml:space="preserve">1 </w:t>
            </w:r>
            <w:r w:rsidR="002D6C2C" w:rsidRPr="00391E8A">
              <w:rPr>
                <w:bCs/>
              </w:rPr>
              <w:t>pantu.</w:t>
            </w:r>
            <w:r w:rsidR="007051E0" w:rsidRPr="00391E8A">
              <w:rPr>
                <w:bCs/>
              </w:rPr>
              <w:t xml:space="preserve"> </w:t>
            </w:r>
          </w:p>
        </w:tc>
      </w:tr>
      <w:tr w:rsidR="00371D35" w:rsidRPr="00391E8A" w:rsidTr="00503EE8">
        <w:trPr>
          <w:trHeight w:val="144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5.</w:t>
            </w:r>
          </w:p>
        </w:tc>
        <w:tc>
          <w:tcPr>
            <w:tcW w:w="1887" w:type="dxa"/>
          </w:tcPr>
          <w:p w:rsidR="00371D35" w:rsidRPr="00391E8A" w:rsidRDefault="00371D35" w:rsidP="002B5E19">
            <w:pPr>
              <w:snapToGrid w:val="0"/>
              <w:rPr>
                <w:color w:val="000000"/>
              </w:rPr>
            </w:pPr>
            <w:r w:rsidRPr="00391E8A">
              <w:rPr>
                <w:color w:val="000000"/>
              </w:rPr>
              <w:t>Projekta izstrādē iesaistītās institūcijas</w:t>
            </w:r>
          </w:p>
        </w:tc>
        <w:tc>
          <w:tcPr>
            <w:tcW w:w="7376" w:type="dxa"/>
          </w:tcPr>
          <w:p w:rsidR="00371D35" w:rsidRPr="00391E8A" w:rsidRDefault="00371D35" w:rsidP="00295993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Finanšu ministrija</w:t>
            </w:r>
            <w:r w:rsidR="007051E0" w:rsidRPr="00391E8A">
              <w:rPr>
                <w:color w:val="000000"/>
              </w:rPr>
              <w:t xml:space="preserve">, </w:t>
            </w:r>
            <w:r w:rsidR="00FF223C" w:rsidRPr="00391E8A">
              <w:rPr>
                <w:color w:val="000000"/>
              </w:rPr>
              <w:t>Latvijas Banka</w:t>
            </w:r>
            <w:r w:rsidRPr="00391E8A">
              <w:rPr>
                <w:color w:val="000000"/>
              </w:rPr>
              <w:t xml:space="preserve"> un </w:t>
            </w:r>
            <w:r w:rsidR="00295993" w:rsidRPr="00391E8A">
              <w:t xml:space="preserve">Finanšu un kapitāla tirgus </w:t>
            </w:r>
            <w:r w:rsidR="00295993" w:rsidRPr="00391E8A">
              <w:rPr>
                <w:color w:val="000000"/>
              </w:rPr>
              <w:t>k</w:t>
            </w:r>
            <w:r w:rsidRPr="00391E8A">
              <w:rPr>
                <w:color w:val="000000"/>
              </w:rPr>
              <w:t>omisija.</w:t>
            </w:r>
          </w:p>
        </w:tc>
      </w:tr>
      <w:tr w:rsidR="00371D35" w:rsidRPr="00391E8A" w:rsidTr="00503EE8">
        <w:trPr>
          <w:trHeight w:val="144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6.</w:t>
            </w:r>
          </w:p>
        </w:tc>
        <w:tc>
          <w:tcPr>
            <w:tcW w:w="1887" w:type="dxa"/>
          </w:tcPr>
          <w:p w:rsidR="00371D35" w:rsidRPr="00391E8A" w:rsidRDefault="00371D35" w:rsidP="002B5E19">
            <w:pPr>
              <w:snapToGrid w:val="0"/>
              <w:rPr>
                <w:color w:val="000000"/>
              </w:rPr>
            </w:pPr>
            <w:r w:rsidRPr="00391E8A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7376" w:type="dxa"/>
          </w:tcPr>
          <w:p w:rsidR="000D27C9" w:rsidRPr="00391E8A" w:rsidRDefault="00E811F3" w:rsidP="00295993">
            <w:pPr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 xml:space="preserve">Likumprojekts </w:t>
            </w:r>
            <w:r w:rsidR="00295993" w:rsidRPr="00391E8A">
              <w:rPr>
                <w:color w:val="000000"/>
              </w:rPr>
              <w:t xml:space="preserve">ir saskaņots ar </w:t>
            </w:r>
            <w:r w:rsidRPr="00391E8A">
              <w:rPr>
                <w:color w:val="000000"/>
              </w:rPr>
              <w:t xml:space="preserve">attiecīgā </w:t>
            </w:r>
            <w:r w:rsidR="004559A4" w:rsidRPr="00391E8A">
              <w:rPr>
                <w:color w:val="000000"/>
              </w:rPr>
              <w:t>tirgus dalībniek</w:t>
            </w:r>
            <w:r w:rsidRPr="00391E8A">
              <w:rPr>
                <w:color w:val="000000"/>
              </w:rPr>
              <w:t>iem</w:t>
            </w:r>
            <w:r w:rsidR="00433C2C" w:rsidRPr="00391E8A">
              <w:rPr>
                <w:color w:val="000000"/>
              </w:rPr>
              <w:t>.</w:t>
            </w:r>
          </w:p>
        </w:tc>
      </w:tr>
      <w:tr w:rsidR="00371D35" w:rsidRPr="00391E8A" w:rsidTr="00503EE8">
        <w:trPr>
          <w:trHeight w:val="144"/>
        </w:trPr>
        <w:tc>
          <w:tcPr>
            <w:tcW w:w="340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7.</w:t>
            </w:r>
          </w:p>
        </w:tc>
        <w:tc>
          <w:tcPr>
            <w:tcW w:w="1887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Cita informācija</w:t>
            </w:r>
          </w:p>
        </w:tc>
        <w:tc>
          <w:tcPr>
            <w:tcW w:w="7376" w:type="dxa"/>
          </w:tcPr>
          <w:p w:rsidR="00371D35" w:rsidRPr="00391E8A" w:rsidRDefault="00371D35" w:rsidP="00FF223C">
            <w:pPr>
              <w:snapToGrid w:val="0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Nav.</w:t>
            </w:r>
          </w:p>
        </w:tc>
      </w:tr>
    </w:tbl>
    <w:p w:rsidR="00781FAD" w:rsidRPr="00391E8A" w:rsidRDefault="00781FAD"/>
    <w:tbl>
      <w:tblPr>
        <w:tblW w:w="9586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100"/>
        <w:gridCol w:w="5815"/>
      </w:tblGrid>
      <w:tr w:rsidR="00B35584" w:rsidRPr="00391E8A" w:rsidTr="00775782">
        <w:trPr>
          <w:jc w:val="center"/>
        </w:trPr>
        <w:tc>
          <w:tcPr>
            <w:tcW w:w="9586" w:type="dxa"/>
            <w:gridSpan w:val="3"/>
            <w:vAlign w:val="center"/>
          </w:tcPr>
          <w:p w:rsidR="00B35584" w:rsidRPr="00391E8A" w:rsidRDefault="00B35584" w:rsidP="003B4524">
            <w:pPr>
              <w:pStyle w:val="naisnod"/>
              <w:spacing w:before="0" w:after="120"/>
              <w:rPr>
                <w:highlight w:val="yellow"/>
              </w:rPr>
            </w:pPr>
            <w:r w:rsidRPr="00391E8A">
              <w:t>II. Tiesību akta projekta ietekme uz sabiedrību</w:t>
            </w:r>
          </w:p>
        </w:tc>
      </w:tr>
      <w:tr w:rsidR="00B35584" w:rsidRPr="00391E8A" w:rsidTr="00775782">
        <w:trPr>
          <w:trHeight w:val="38"/>
          <w:jc w:val="center"/>
        </w:trPr>
        <w:tc>
          <w:tcPr>
            <w:tcW w:w="671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t>1.</w:t>
            </w:r>
          </w:p>
        </w:tc>
        <w:tc>
          <w:tcPr>
            <w:tcW w:w="3100" w:type="dxa"/>
            <w:vAlign w:val="center"/>
          </w:tcPr>
          <w:p w:rsidR="00B35584" w:rsidRPr="00391E8A" w:rsidRDefault="00B35584" w:rsidP="003B4524">
            <w:pPr>
              <w:spacing w:before="100" w:beforeAutospacing="1" w:after="100" w:afterAutospacing="1"/>
            </w:pPr>
            <w:r w:rsidRPr="00391E8A">
              <w:t>Sabiedrības mērķgrupa</w:t>
            </w:r>
          </w:p>
          <w:p w:rsidR="00B35584" w:rsidRPr="00391E8A" w:rsidRDefault="00B35584" w:rsidP="003B452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815" w:type="dxa"/>
            <w:vAlign w:val="center"/>
          </w:tcPr>
          <w:p w:rsidR="005948EB" w:rsidRPr="00391E8A" w:rsidRDefault="00B35584" w:rsidP="00295993">
            <w:pPr>
              <w:pStyle w:val="naisnod"/>
              <w:spacing w:before="0" w:after="120"/>
              <w:jc w:val="both"/>
              <w:rPr>
                <w:b w:val="0"/>
              </w:rPr>
            </w:pPr>
            <w:r w:rsidRPr="00391E8A">
              <w:rPr>
                <w:b w:val="0"/>
              </w:rPr>
              <w:t xml:space="preserve">Likumprojekta tiesiskais regulējums attiecas uz </w:t>
            </w:r>
            <w:r w:rsidR="005948EB" w:rsidRPr="00391E8A">
              <w:rPr>
                <w:b w:val="0"/>
              </w:rPr>
              <w:t>maksājumu pakalpojumu sniedzējiem.</w:t>
            </w:r>
          </w:p>
        </w:tc>
      </w:tr>
      <w:tr w:rsidR="00B35584" w:rsidRPr="00391E8A" w:rsidTr="00775782">
        <w:trPr>
          <w:trHeight w:val="38"/>
          <w:jc w:val="center"/>
        </w:trPr>
        <w:tc>
          <w:tcPr>
            <w:tcW w:w="671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lastRenderedPageBreak/>
              <w:t>2.</w:t>
            </w:r>
          </w:p>
        </w:tc>
        <w:tc>
          <w:tcPr>
            <w:tcW w:w="3100" w:type="dxa"/>
            <w:vAlign w:val="center"/>
          </w:tcPr>
          <w:p w:rsidR="00B35584" w:rsidRPr="00391E8A" w:rsidRDefault="00B35584" w:rsidP="003B4524">
            <w:pPr>
              <w:spacing w:before="100" w:beforeAutospacing="1" w:after="100" w:afterAutospacing="1"/>
              <w:ind w:left="43"/>
            </w:pPr>
            <w:r w:rsidRPr="00391E8A">
              <w:t>Citas sabiedrības grupas (bez mērķgrupas), kuras tiesiskais regulējums arī ietekmē vai varētu ietekmēt</w:t>
            </w:r>
          </w:p>
        </w:tc>
        <w:tc>
          <w:tcPr>
            <w:tcW w:w="5815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120"/>
              <w:jc w:val="both"/>
              <w:rPr>
                <w:b w:val="0"/>
              </w:rPr>
            </w:pPr>
            <w:r w:rsidRPr="00391E8A">
              <w:rPr>
                <w:b w:val="0"/>
                <w:i/>
              </w:rPr>
              <w:t>Projekts šo jomu neskar.</w:t>
            </w:r>
          </w:p>
        </w:tc>
      </w:tr>
      <w:tr w:rsidR="00B35584" w:rsidRPr="00391E8A" w:rsidTr="00775782">
        <w:trPr>
          <w:trHeight w:val="34"/>
          <w:jc w:val="center"/>
        </w:trPr>
        <w:tc>
          <w:tcPr>
            <w:tcW w:w="671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t>3.</w:t>
            </w:r>
          </w:p>
        </w:tc>
        <w:tc>
          <w:tcPr>
            <w:tcW w:w="3100" w:type="dxa"/>
            <w:vAlign w:val="center"/>
          </w:tcPr>
          <w:p w:rsidR="00B35584" w:rsidRPr="00391E8A" w:rsidRDefault="00B35584" w:rsidP="003B4524">
            <w:pPr>
              <w:spacing w:before="100" w:beforeAutospacing="1" w:after="100" w:afterAutospacing="1"/>
              <w:rPr>
                <w:b/>
              </w:rPr>
            </w:pPr>
            <w:r w:rsidRPr="00391E8A">
              <w:t>Tiesiskā regulējuma finansiālā ietekme</w:t>
            </w:r>
          </w:p>
        </w:tc>
        <w:tc>
          <w:tcPr>
            <w:tcW w:w="5815" w:type="dxa"/>
            <w:vAlign w:val="center"/>
          </w:tcPr>
          <w:p w:rsidR="00B35584" w:rsidRPr="00391E8A" w:rsidRDefault="00B35584" w:rsidP="003B4524">
            <w:pPr>
              <w:spacing w:after="120"/>
              <w:jc w:val="both"/>
            </w:pPr>
            <w:r w:rsidRPr="00391E8A">
              <w:rPr>
                <w:i/>
              </w:rPr>
              <w:t>Projekts šo jomu neskar.</w:t>
            </w:r>
          </w:p>
        </w:tc>
      </w:tr>
      <w:tr w:rsidR="00B35584" w:rsidRPr="00391E8A" w:rsidTr="00775782">
        <w:trPr>
          <w:trHeight w:val="34"/>
          <w:jc w:val="center"/>
        </w:trPr>
        <w:tc>
          <w:tcPr>
            <w:tcW w:w="671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t>4.</w:t>
            </w:r>
          </w:p>
        </w:tc>
        <w:tc>
          <w:tcPr>
            <w:tcW w:w="3100" w:type="dxa"/>
            <w:vAlign w:val="center"/>
          </w:tcPr>
          <w:p w:rsidR="00B35584" w:rsidRPr="00391E8A" w:rsidRDefault="00B35584" w:rsidP="003B4524">
            <w:pPr>
              <w:spacing w:before="100" w:beforeAutospacing="1" w:after="100" w:afterAutospacing="1"/>
              <w:rPr>
                <w:b/>
              </w:rPr>
            </w:pPr>
            <w:r w:rsidRPr="00391E8A">
              <w:t>Tiesiskā regulējuma nefinansiālā ietekme</w:t>
            </w:r>
          </w:p>
        </w:tc>
        <w:tc>
          <w:tcPr>
            <w:tcW w:w="5815" w:type="dxa"/>
            <w:vAlign w:val="center"/>
          </w:tcPr>
          <w:p w:rsidR="00B35584" w:rsidRPr="00391E8A" w:rsidRDefault="00B35584" w:rsidP="003B4524">
            <w:pPr>
              <w:pStyle w:val="naiskr"/>
              <w:spacing w:before="0" w:after="120"/>
              <w:jc w:val="both"/>
              <w:rPr>
                <w:b/>
              </w:rPr>
            </w:pPr>
            <w:r w:rsidRPr="00391E8A">
              <w:rPr>
                <w:i/>
              </w:rPr>
              <w:t>Projekts šo jomu neskar.</w:t>
            </w:r>
          </w:p>
        </w:tc>
      </w:tr>
      <w:tr w:rsidR="002C52FC" w:rsidRPr="00391E8A" w:rsidTr="00775782">
        <w:trPr>
          <w:trHeight w:val="34"/>
          <w:jc w:val="center"/>
        </w:trPr>
        <w:tc>
          <w:tcPr>
            <w:tcW w:w="671" w:type="dxa"/>
            <w:vAlign w:val="center"/>
          </w:tcPr>
          <w:p w:rsidR="002C52FC" w:rsidRPr="00391E8A" w:rsidRDefault="002C52FC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t>5.</w:t>
            </w:r>
          </w:p>
        </w:tc>
        <w:tc>
          <w:tcPr>
            <w:tcW w:w="3100" w:type="dxa"/>
            <w:vAlign w:val="center"/>
          </w:tcPr>
          <w:p w:rsidR="002C52FC" w:rsidRPr="00391E8A" w:rsidRDefault="002C52FC" w:rsidP="003B4524">
            <w:pPr>
              <w:spacing w:before="100" w:beforeAutospacing="1" w:after="100" w:afterAutospacing="1"/>
              <w:rPr>
                <w:b/>
              </w:rPr>
            </w:pPr>
            <w:r w:rsidRPr="00391E8A">
              <w:t>Administratīvās procedūras raksturojums</w:t>
            </w:r>
          </w:p>
        </w:tc>
        <w:tc>
          <w:tcPr>
            <w:tcW w:w="5815" w:type="dxa"/>
            <w:vAlign w:val="center"/>
          </w:tcPr>
          <w:p w:rsidR="002C52FC" w:rsidRPr="00391E8A" w:rsidRDefault="008215D9" w:rsidP="00295993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391E8A">
              <w:rPr>
                <w:b w:val="0"/>
              </w:rPr>
              <w:t>Administratīvās procedūras attieksies uz visiem maksājumu pakalpojumu sniedzējiem.</w:t>
            </w:r>
          </w:p>
        </w:tc>
      </w:tr>
      <w:tr w:rsidR="00B35584" w:rsidRPr="00391E8A" w:rsidTr="00775782">
        <w:trPr>
          <w:trHeight w:val="34"/>
          <w:jc w:val="center"/>
        </w:trPr>
        <w:tc>
          <w:tcPr>
            <w:tcW w:w="671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t>6.</w:t>
            </w:r>
          </w:p>
        </w:tc>
        <w:tc>
          <w:tcPr>
            <w:tcW w:w="3100" w:type="dxa"/>
            <w:vAlign w:val="center"/>
          </w:tcPr>
          <w:p w:rsidR="00B35584" w:rsidRPr="00391E8A" w:rsidRDefault="00B35584" w:rsidP="003B4524">
            <w:pPr>
              <w:spacing w:before="100" w:beforeAutospacing="1" w:after="100" w:afterAutospacing="1"/>
              <w:rPr>
                <w:b/>
              </w:rPr>
            </w:pPr>
            <w:r w:rsidRPr="00391E8A">
              <w:t>Administratīvo izmaksu monetārs novērtējums</w:t>
            </w:r>
          </w:p>
        </w:tc>
        <w:tc>
          <w:tcPr>
            <w:tcW w:w="5815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391E8A">
              <w:rPr>
                <w:b w:val="0"/>
                <w:i/>
              </w:rPr>
              <w:t>Projekts šo jomu neskar.</w:t>
            </w:r>
          </w:p>
        </w:tc>
      </w:tr>
      <w:tr w:rsidR="00B35584" w:rsidRPr="00391E8A" w:rsidTr="00775782">
        <w:trPr>
          <w:trHeight w:val="34"/>
          <w:jc w:val="center"/>
        </w:trPr>
        <w:tc>
          <w:tcPr>
            <w:tcW w:w="671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</w:rPr>
              <w:t>7.</w:t>
            </w:r>
          </w:p>
        </w:tc>
        <w:tc>
          <w:tcPr>
            <w:tcW w:w="3100" w:type="dxa"/>
            <w:vAlign w:val="center"/>
          </w:tcPr>
          <w:p w:rsidR="00B35584" w:rsidRPr="00391E8A" w:rsidRDefault="00B35584" w:rsidP="003B4524">
            <w:pPr>
              <w:pStyle w:val="naisc"/>
              <w:spacing w:before="100" w:beforeAutospacing="1" w:after="100" w:afterAutospacing="1"/>
              <w:jc w:val="left"/>
              <w:rPr>
                <w:b/>
              </w:rPr>
            </w:pPr>
            <w:r w:rsidRPr="00391E8A">
              <w:t>Cita informācija</w:t>
            </w:r>
          </w:p>
        </w:tc>
        <w:tc>
          <w:tcPr>
            <w:tcW w:w="5815" w:type="dxa"/>
            <w:vAlign w:val="center"/>
          </w:tcPr>
          <w:p w:rsidR="00B35584" w:rsidRPr="00391E8A" w:rsidRDefault="00B35584" w:rsidP="003B452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391E8A">
              <w:rPr>
                <w:b w:val="0"/>
              </w:rPr>
              <w:t>Nav.</w:t>
            </w:r>
          </w:p>
        </w:tc>
      </w:tr>
    </w:tbl>
    <w:p w:rsidR="00B35584" w:rsidRPr="00391E8A" w:rsidRDefault="00B355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B4524" w:rsidRPr="00391E8A" w:rsidTr="00503EE8">
        <w:tc>
          <w:tcPr>
            <w:tcW w:w="9606" w:type="dxa"/>
          </w:tcPr>
          <w:p w:rsidR="003B4524" w:rsidRPr="00391E8A" w:rsidRDefault="003B4524" w:rsidP="003B452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391E8A">
              <w:rPr>
                <w:b/>
              </w:rPr>
              <w:t>III. Tiesību akta projekta ietekme uz valsts budžetu un pašvaldību budžetiem</w:t>
            </w:r>
          </w:p>
        </w:tc>
      </w:tr>
      <w:tr w:rsidR="003B4524" w:rsidRPr="00391E8A" w:rsidTr="00503EE8">
        <w:tc>
          <w:tcPr>
            <w:tcW w:w="9606" w:type="dxa"/>
          </w:tcPr>
          <w:p w:rsidR="003B4524" w:rsidRPr="00391E8A" w:rsidRDefault="003B4524" w:rsidP="003B4524">
            <w:pPr>
              <w:pStyle w:val="naisf"/>
              <w:spacing w:before="0" w:after="0"/>
              <w:ind w:firstLine="0"/>
              <w:jc w:val="center"/>
            </w:pPr>
            <w:r w:rsidRPr="00391E8A">
              <w:rPr>
                <w:i/>
              </w:rPr>
              <w:t>Projekts šo jomu neskar.</w:t>
            </w:r>
          </w:p>
        </w:tc>
      </w:tr>
    </w:tbl>
    <w:p w:rsidR="003B4524" w:rsidRPr="00391E8A" w:rsidRDefault="003B4524"/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7088"/>
      </w:tblGrid>
      <w:tr w:rsidR="003B4524" w:rsidRPr="00391E8A" w:rsidTr="00503EE8">
        <w:tc>
          <w:tcPr>
            <w:tcW w:w="9640" w:type="dxa"/>
            <w:gridSpan w:val="3"/>
          </w:tcPr>
          <w:p w:rsidR="003B4524" w:rsidRPr="00391E8A" w:rsidRDefault="003B4524" w:rsidP="003B4524">
            <w:pPr>
              <w:jc w:val="center"/>
              <w:rPr>
                <w:b/>
              </w:rPr>
            </w:pPr>
            <w:r w:rsidRPr="00391E8A">
              <w:rPr>
                <w:b/>
              </w:rPr>
              <w:t> IV. Tiesību akta projekta ietekme uz spēkā esošo tiesību normu sistēmu</w:t>
            </w:r>
          </w:p>
          <w:p w:rsidR="003B4524" w:rsidRPr="00391E8A" w:rsidRDefault="003B4524" w:rsidP="003B4524">
            <w:pPr>
              <w:jc w:val="center"/>
            </w:pPr>
          </w:p>
        </w:tc>
      </w:tr>
      <w:tr w:rsidR="003B4524" w:rsidRPr="00391E8A" w:rsidTr="00503EE8">
        <w:tc>
          <w:tcPr>
            <w:tcW w:w="426" w:type="dxa"/>
          </w:tcPr>
          <w:p w:rsidR="003B4524" w:rsidRPr="00391E8A" w:rsidRDefault="003B4524" w:rsidP="003B4524">
            <w:pPr>
              <w:ind w:right="-57"/>
            </w:pPr>
            <w:r w:rsidRPr="00391E8A">
              <w:t>1.</w:t>
            </w:r>
          </w:p>
        </w:tc>
        <w:tc>
          <w:tcPr>
            <w:tcW w:w="2126" w:type="dxa"/>
          </w:tcPr>
          <w:p w:rsidR="003B4524" w:rsidRPr="00391E8A" w:rsidRDefault="003B4524" w:rsidP="003B4524">
            <w:pPr>
              <w:ind w:right="-57"/>
            </w:pPr>
            <w:r w:rsidRPr="00391E8A">
              <w:t>Nepieciešamie saistītie tiesību aktu projekti</w:t>
            </w:r>
          </w:p>
          <w:p w:rsidR="003B4524" w:rsidRPr="00391E8A" w:rsidRDefault="003B4524" w:rsidP="003B4524">
            <w:pPr>
              <w:ind w:right="-57"/>
            </w:pPr>
          </w:p>
          <w:p w:rsidR="003B4524" w:rsidRPr="00391E8A" w:rsidRDefault="003B4524" w:rsidP="003B4524">
            <w:pPr>
              <w:ind w:right="-57"/>
            </w:pPr>
          </w:p>
        </w:tc>
        <w:tc>
          <w:tcPr>
            <w:tcW w:w="7088" w:type="dxa"/>
          </w:tcPr>
          <w:p w:rsidR="003B4524" w:rsidRPr="00391E8A" w:rsidRDefault="003B4524" w:rsidP="003B4524">
            <w:pPr>
              <w:snapToGrid w:val="0"/>
              <w:ind w:right="172"/>
              <w:jc w:val="both"/>
            </w:pPr>
            <w:r w:rsidRPr="00391E8A">
              <w:t>Pēc likumprojekta pieņemšanas un deleģējuma piešķiršanas Finanšu un kapitāla tirgus komisija izstrādās</w:t>
            </w:r>
            <w:r w:rsidR="00AA2F6D" w:rsidRPr="00391E8A">
              <w:t xml:space="preserve"> </w:t>
            </w:r>
            <w:r w:rsidRPr="00391E8A">
              <w:t>noteikumus "IBAN lietošanas noteikumi"</w:t>
            </w:r>
            <w:r w:rsidRPr="00391E8A">
              <w:rPr>
                <w:bCs/>
                <w:color w:val="000000"/>
              </w:rPr>
              <w:t>.</w:t>
            </w:r>
          </w:p>
          <w:p w:rsidR="003B4524" w:rsidRPr="00391E8A" w:rsidRDefault="003B4524" w:rsidP="00F10635">
            <w:pPr>
              <w:pStyle w:val="Footer"/>
              <w:tabs>
                <w:tab w:val="clear" w:pos="4153"/>
                <w:tab w:val="clear" w:pos="8306"/>
                <w:tab w:val="left" w:pos="3150"/>
              </w:tabs>
              <w:jc w:val="both"/>
            </w:pPr>
            <w:r w:rsidRPr="00391E8A">
              <w:t>Pašreizēj</w:t>
            </w:r>
            <w:r w:rsidR="00F10635" w:rsidRPr="00391E8A">
              <w:t>ie</w:t>
            </w:r>
            <w:r w:rsidRPr="00391E8A">
              <w:t xml:space="preserve"> Latvijas Bankas 2010. </w:t>
            </w:r>
            <w:r w:rsidR="00F10635" w:rsidRPr="00391E8A">
              <w:t>g</w:t>
            </w:r>
            <w:r w:rsidRPr="00391E8A">
              <w:t xml:space="preserve">ada 13. </w:t>
            </w:r>
            <w:r w:rsidR="00F10635" w:rsidRPr="00391E8A">
              <w:t>m</w:t>
            </w:r>
            <w:r w:rsidRPr="00391E8A">
              <w:t>aija noteikumi Nr.58 "IBAN lietošanas noteikumi" spēku zaudēs ar 2014. gada 01. janvāri.</w:t>
            </w:r>
          </w:p>
        </w:tc>
      </w:tr>
      <w:tr w:rsidR="003B4524" w:rsidRPr="00391E8A" w:rsidTr="00503EE8">
        <w:tc>
          <w:tcPr>
            <w:tcW w:w="426" w:type="dxa"/>
          </w:tcPr>
          <w:p w:rsidR="003B4524" w:rsidRPr="00391E8A" w:rsidRDefault="003B4524" w:rsidP="003B4524">
            <w:r w:rsidRPr="00391E8A">
              <w:t>2</w:t>
            </w:r>
          </w:p>
        </w:tc>
        <w:tc>
          <w:tcPr>
            <w:tcW w:w="2126" w:type="dxa"/>
          </w:tcPr>
          <w:p w:rsidR="003B4524" w:rsidRPr="00391E8A" w:rsidRDefault="003B4524" w:rsidP="003B4524">
            <w:r w:rsidRPr="00391E8A">
              <w:t xml:space="preserve">Cita informācija </w:t>
            </w:r>
          </w:p>
        </w:tc>
        <w:tc>
          <w:tcPr>
            <w:tcW w:w="7088" w:type="dxa"/>
          </w:tcPr>
          <w:p w:rsidR="003B4524" w:rsidRPr="00391E8A" w:rsidRDefault="003B4524" w:rsidP="003B4524">
            <w:pPr>
              <w:ind w:firstLine="34"/>
              <w:jc w:val="both"/>
            </w:pPr>
            <w:r w:rsidRPr="00391E8A">
              <w:t>Nav.</w:t>
            </w:r>
          </w:p>
        </w:tc>
      </w:tr>
    </w:tbl>
    <w:p w:rsidR="003B4524" w:rsidRPr="00391E8A" w:rsidRDefault="003B4524"/>
    <w:tbl>
      <w:tblPr>
        <w:tblW w:w="9559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71"/>
        <w:gridCol w:w="6371"/>
      </w:tblGrid>
      <w:tr w:rsidR="00835D65" w:rsidRPr="00391E8A" w:rsidTr="00503EE8">
        <w:trPr>
          <w:jc w:val="center"/>
        </w:trPr>
        <w:tc>
          <w:tcPr>
            <w:tcW w:w="9559" w:type="dxa"/>
            <w:gridSpan w:val="3"/>
          </w:tcPr>
          <w:p w:rsidR="00835D65" w:rsidRPr="00391E8A" w:rsidRDefault="00835D65" w:rsidP="00432D57">
            <w:pPr>
              <w:pStyle w:val="naisnod"/>
              <w:spacing w:before="0" w:after="0"/>
              <w:jc w:val="both"/>
            </w:pPr>
            <w:r w:rsidRPr="00391E8A">
              <w:t>V. Tiesību akta projekta atbilstība Latvijas Republikas starptautiskajām saistībām</w:t>
            </w:r>
          </w:p>
        </w:tc>
      </w:tr>
      <w:tr w:rsidR="00835D65" w:rsidRPr="00391E8A" w:rsidTr="00503EE8">
        <w:trPr>
          <w:jc w:val="center"/>
        </w:trPr>
        <w:tc>
          <w:tcPr>
            <w:tcW w:w="417" w:type="dxa"/>
          </w:tcPr>
          <w:p w:rsidR="00835D65" w:rsidRPr="00391E8A" w:rsidRDefault="00835D65" w:rsidP="00432D57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391E8A">
              <w:rPr>
                <w:iCs/>
              </w:rPr>
              <w:t>1.</w:t>
            </w:r>
          </w:p>
        </w:tc>
        <w:tc>
          <w:tcPr>
            <w:tcW w:w="2771" w:type="dxa"/>
          </w:tcPr>
          <w:p w:rsidR="00835D65" w:rsidRPr="00391E8A" w:rsidRDefault="00835D65" w:rsidP="00432D5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1E8A">
              <w:t>Saistības pret Eiropas Savienību</w:t>
            </w:r>
          </w:p>
        </w:tc>
        <w:tc>
          <w:tcPr>
            <w:tcW w:w="6371" w:type="dxa"/>
          </w:tcPr>
          <w:p w:rsidR="00835D65" w:rsidRPr="00391E8A" w:rsidRDefault="00835D65" w:rsidP="008507BB">
            <w:pPr>
              <w:spacing w:after="120"/>
              <w:jc w:val="both"/>
            </w:pPr>
            <w:r w:rsidRPr="00391E8A">
              <w:t xml:space="preserve">Regulas (ES) 260/2012 nosaka dalībvalstīm veicamos pasākumus, lai nacionālais regulējums atbilstu regulā </w:t>
            </w:r>
            <w:r w:rsidR="008507BB" w:rsidRPr="00391E8A">
              <w:t>noteiktajam</w:t>
            </w:r>
            <w:r w:rsidRPr="00391E8A">
              <w:t xml:space="preserve"> attiecībā par maksājumu pakalpojumu sniedzēju uzraudzību</w:t>
            </w:r>
            <w:r w:rsidR="004B6EEF" w:rsidRPr="00391E8A">
              <w:t>, sankciju piemērošanu</w:t>
            </w:r>
            <w:r w:rsidR="008507BB" w:rsidRPr="00391E8A">
              <w:t>,</w:t>
            </w:r>
            <w:r w:rsidR="004B6EEF" w:rsidRPr="00391E8A">
              <w:t xml:space="preserve"> ārpustiesas sūdzību </w:t>
            </w:r>
            <w:r w:rsidR="008507BB" w:rsidRPr="00391E8A">
              <w:t>izskatīšanu</w:t>
            </w:r>
            <w:r w:rsidRPr="00391E8A">
              <w:t>.</w:t>
            </w:r>
          </w:p>
        </w:tc>
      </w:tr>
      <w:tr w:rsidR="00835D65" w:rsidRPr="00391E8A" w:rsidTr="00503EE8">
        <w:trPr>
          <w:jc w:val="center"/>
        </w:trPr>
        <w:tc>
          <w:tcPr>
            <w:tcW w:w="417" w:type="dxa"/>
          </w:tcPr>
          <w:p w:rsidR="00835D65" w:rsidRPr="00391E8A" w:rsidRDefault="00835D65" w:rsidP="00432D57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391E8A">
              <w:rPr>
                <w:iCs/>
              </w:rPr>
              <w:t>2.</w:t>
            </w:r>
          </w:p>
        </w:tc>
        <w:tc>
          <w:tcPr>
            <w:tcW w:w="2771" w:type="dxa"/>
          </w:tcPr>
          <w:p w:rsidR="00835D65" w:rsidRPr="00391E8A" w:rsidRDefault="00835D65" w:rsidP="00432D5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1E8A">
              <w:t>Citas starptautiskās saistības</w:t>
            </w:r>
          </w:p>
        </w:tc>
        <w:tc>
          <w:tcPr>
            <w:tcW w:w="6371" w:type="dxa"/>
          </w:tcPr>
          <w:p w:rsidR="00835D65" w:rsidRPr="00391E8A" w:rsidRDefault="00835D65" w:rsidP="00432D57">
            <w:pPr>
              <w:rPr>
                <w:iCs/>
              </w:rPr>
            </w:pPr>
            <w:r w:rsidRPr="00391E8A">
              <w:rPr>
                <w:i/>
              </w:rPr>
              <w:t>Projekts šo jomu neskar.</w:t>
            </w:r>
            <w:r w:rsidRPr="00391E8A">
              <w:rPr>
                <w:iCs/>
              </w:rPr>
              <w:t xml:space="preserve"> </w:t>
            </w:r>
          </w:p>
        </w:tc>
      </w:tr>
      <w:tr w:rsidR="00835D65" w:rsidRPr="00391E8A" w:rsidTr="00503EE8">
        <w:trPr>
          <w:jc w:val="center"/>
        </w:trPr>
        <w:tc>
          <w:tcPr>
            <w:tcW w:w="417" w:type="dxa"/>
          </w:tcPr>
          <w:p w:rsidR="00835D65" w:rsidRPr="00391E8A" w:rsidRDefault="00835D65" w:rsidP="00432D57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391E8A">
              <w:rPr>
                <w:iCs/>
              </w:rPr>
              <w:t>3.</w:t>
            </w:r>
          </w:p>
        </w:tc>
        <w:tc>
          <w:tcPr>
            <w:tcW w:w="2771" w:type="dxa"/>
          </w:tcPr>
          <w:p w:rsidR="00835D65" w:rsidRPr="00391E8A" w:rsidRDefault="00835D65" w:rsidP="00432D57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391E8A">
              <w:t>Cita informācija</w:t>
            </w:r>
          </w:p>
        </w:tc>
        <w:tc>
          <w:tcPr>
            <w:tcW w:w="6371" w:type="dxa"/>
          </w:tcPr>
          <w:p w:rsidR="00835D65" w:rsidRPr="00391E8A" w:rsidRDefault="00835D65" w:rsidP="00432D57">
            <w:pPr>
              <w:autoSpaceDE w:val="0"/>
              <w:autoSpaceDN w:val="0"/>
              <w:adjustRightInd w:val="0"/>
              <w:rPr>
                <w:iCs/>
              </w:rPr>
            </w:pPr>
            <w:r w:rsidRPr="00391E8A">
              <w:rPr>
                <w:iCs/>
              </w:rPr>
              <w:t>Nav.</w:t>
            </w:r>
          </w:p>
        </w:tc>
      </w:tr>
    </w:tbl>
    <w:p w:rsidR="00835D65" w:rsidRPr="00391E8A" w:rsidRDefault="00835D65"/>
    <w:tbl>
      <w:tblPr>
        <w:tblW w:w="9641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3047"/>
        <w:gridCol w:w="2783"/>
        <w:gridCol w:w="1759"/>
      </w:tblGrid>
      <w:tr w:rsidR="00432D57" w:rsidRPr="00391E8A" w:rsidTr="00FB7BC4">
        <w:trPr>
          <w:trHeight w:val="523"/>
          <w:jc w:val="center"/>
        </w:trPr>
        <w:tc>
          <w:tcPr>
            <w:tcW w:w="9641" w:type="dxa"/>
            <w:gridSpan w:val="4"/>
            <w:vAlign w:val="center"/>
          </w:tcPr>
          <w:p w:rsidR="00432D57" w:rsidRPr="00391E8A" w:rsidRDefault="00432D57" w:rsidP="00432D57">
            <w:pPr>
              <w:pStyle w:val="naisnod"/>
              <w:spacing w:before="0" w:after="0"/>
            </w:pPr>
            <w:r w:rsidRPr="00391E8A">
              <w:t xml:space="preserve">1.tabula </w:t>
            </w:r>
          </w:p>
          <w:p w:rsidR="00432D57" w:rsidRPr="00391E8A" w:rsidRDefault="00432D57" w:rsidP="00432D57">
            <w:pPr>
              <w:pStyle w:val="naisnod"/>
              <w:spacing w:before="0" w:after="0"/>
              <w:rPr>
                <w:i/>
              </w:rPr>
            </w:pPr>
            <w:r w:rsidRPr="00391E8A">
              <w:t>Tiesību akta projekta atbilstība ES tiesību aktiem</w:t>
            </w:r>
          </w:p>
        </w:tc>
      </w:tr>
      <w:tr w:rsidR="00432D57" w:rsidRPr="00391E8A" w:rsidTr="00FB7BC4">
        <w:trPr>
          <w:trHeight w:val="1058"/>
          <w:jc w:val="center"/>
        </w:trPr>
        <w:tc>
          <w:tcPr>
            <w:tcW w:w="2052" w:type="dxa"/>
            <w:vAlign w:val="center"/>
          </w:tcPr>
          <w:p w:rsidR="004A447A" w:rsidRPr="00391E8A" w:rsidRDefault="004A447A" w:rsidP="00432D57">
            <w:pPr>
              <w:pStyle w:val="naiskr"/>
              <w:spacing w:before="0" w:after="0"/>
              <w:ind w:hanging="10"/>
              <w:jc w:val="center"/>
            </w:pPr>
            <w:r w:rsidRPr="00391E8A">
              <w:t>Regula</w:t>
            </w:r>
            <w:r w:rsidR="00432D57" w:rsidRPr="00391E8A">
              <w:t xml:space="preserve"> </w:t>
            </w:r>
          </w:p>
          <w:p w:rsidR="00432D57" w:rsidRPr="00391E8A" w:rsidRDefault="004A447A" w:rsidP="00432D57">
            <w:pPr>
              <w:pStyle w:val="naiskr"/>
              <w:spacing w:before="0" w:after="0"/>
              <w:ind w:hanging="10"/>
              <w:jc w:val="center"/>
            </w:pPr>
            <w:r w:rsidRPr="00391E8A">
              <w:t>(ES) 260/2012</w:t>
            </w:r>
          </w:p>
        </w:tc>
        <w:tc>
          <w:tcPr>
            <w:tcW w:w="7589" w:type="dxa"/>
            <w:gridSpan w:val="3"/>
            <w:vAlign w:val="center"/>
          </w:tcPr>
          <w:p w:rsidR="00432D57" w:rsidRPr="00391E8A" w:rsidRDefault="00432D57" w:rsidP="00432D57">
            <w:pPr>
              <w:pStyle w:val="naiskr"/>
              <w:spacing w:before="0" w:after="0"/>
              <w:jc w:val="center"/>
            </w:pPr>
            <w:r w:rsidRPr="00391E8A">
              <w:t>Aizpilda, ja ar projektu tiek pārņemts vai ieviests vairāk nekā viens ES tiesību akts – jānorāda tā pati informācija, kas prasīta instrukcijas 55.1.apakšpunktā un jau tikusi norādīta arī V sadaļas 1.punkta ietvaros</w:t>
            </w:r>
          </w:p>
        </w:tc>
      </w:tr>
      <w:tr w:rsidR="00432D57" w:rsidRPr="00391E8A" w:rsidTr="00FB7BC4">
        <w:trPr>
          <w:trHeight w:val="165"/>
          <w:jc w:val="center"/>
        </w:trPr>
        <w:tc>
          <w:tcPr>
            <w:tcW w:w="2052" w:type="dxa"/>
            <w:vAlign w:val="center"/>
          </w:tcPr>
          <w:p w:rsidR="00432D57" w:rsidRPr="00391E8A" w:rsidRDefault="00432D57" w:rsidP="00432D57">
            <w:pPr>
              <w:pStyle w:val="naiskr"/>
              <w:spacing w:before="0" w:after="0"/>
              <w:jc w:val="both"/>
            </w:pPr>
            <w:r w:rsidRPr="00391E8A">
              <w:t>A</w:t>
            </w:r>
          </w:p>
        </w:tc>
        <w:tc>
          <w:tcPr>
            <w:tcW w:w="3047" w:type="dxa"/>
            <w:vAlign w:val="center"/>
          </w:tcPr>
          <w:p w:rsidR="00432D57" w:rsidRPr="00391E8A" w:rsidRDefault="00432D57" w:rsidP="00432D57">
            <w:pPr>
              <w:pStyle w:val="naiskr"/>
              <w:spacing w:before="0" w:after="0"/>
              <w:jc w:val="center"/>
            </w:pPr>
            <w:r w:rsidRPr="00391E8A">
              <w:t>B</w:t>
            </w:r>
          </w:p>
        </w:tc>
        <w:tc>
          <w:tcPr>
            <w:tcW w:w="2783" w:type="dxa"/>
            <w:vAlign w:val="center"/>
          </w:tcPr>
          <w:p w:rsidR="00432D57" w:rsidRPr="00391E8A" w:rsidRDefault="00432D57" w:rsidP="00432D57">
            <w:pPr>
              <w:pStyle w:val="naiskr"/>
              <w:spacing w:before="0" w:after="0"/>
              <w:jc w:val="center"/>
            </w:pPr>
            <w:r w:rsidRPr="00391E8A">
              <w:t>C</w:t>
            </w:r>
          </w:p>
        </w:tc>
        <w:tc>
          <w:tcPr>
            <w:tcW w:w="1759" w:type="dxa"/>
            <w:vAlign w:val="center"/>
          </w:tcPr>
          <w:p w:rsidR="00432D57" w:rsidRPr="00391E8A" w:rsidRDefault="00432D57" w:rsidP="00432D57">
            <w:pPr>
              <w:pStyle w:val="naiskr"/>
              <w:spacing w:before="0" w:after="0"/>
              <w:jc w:val="center"/>
            </w:pPr>
            <w:r w:rsidRPr="00391E8A">
              <w:t>D</w:t>
            </w:r>
          </w:p>
        </w:tc>
      </w:tr>
      <w:tr w:rsidR="00432D57" w:rsidRPr="00391E8A" w:rsidTr="00FB7BC4">
        <w:trPr>
          <w:trHeight w:val="4708"/>
          <w:jc w:val="center"/>
        </w:trPr>
        <w:tc>
          <w:tcPr>
            <w:tcW w:w="2052" w:type="dxa"/>
          </w:tcPr>
          <w:p w:rsidR="00432D57" w:rsidRPr="00391E8A" w:rsidRDefault="00432D57" w:rsidP="00432D57">
            <w:pPr>
              <w:pStyle w:val="naiskr"/>
              <w:spacing w:before="0" w:after="0"/>
              <w:jc w:val="both"/>
            </w:pPr>
            <w:r w:rsidRPr="00391E8A">
              <w:rPr>
                <w:color w:val="000000"/>
              </w:rPr>
              <w:lastRenderedPageBreak/>
              <w:t>Attiecīgā ES tiesību akta panta numurs (uzskaitot katru tiesību akta</w:t>
            </w:r>
            <w:r w:rsidRPr="00391E8A">
              <w:rPr>
                <w:color w:val="000000"/>
              </w:rPr>
              <w:br/>
              <w:t>vienību - pantu, daļu, punktu, apakšpunktu)</w:t>
            </w:r>
          </w:p>
        </w:tc>
        <w:tc>
          <w:tcPr>
            <w:tcW w:w="3047" w:type="dxa"/>
          </w:tcPr>
          <w:p w:rsidR="00432D57" w:rsidRPr="00391E8A" w:rsidRDefault="00432D57" w:rsidP="00432D57">
            <w:pPr>
              <w:pStyle w:val="naiskr"/>
              <w:spacing w:before="0" w:after="0"/>
              <w:jc w:val="both"/>
            </w:pPr>
            <w:r w:rsidRPr="00391E8A">
              <w:rPr>
                <w:color w:val="000000"/>
              </w:rPr>
              <w:t>Projekta vienība, kas pārņem vai ievieš katru šīs tabulas A ailē minēto ES tiesību akta vienību</w:t>
            </w:r>
          </w:p>
        </w:tc>
        <w:tc>
          <w:tcPr>
            <w:tcW w:w="2783" w:type="dxa"/>
          </w:tcPr>
          <w:p w:rsidR="00432D57" w:rsidRPr="00391E8A" w:rsidRDefault="00432D57" w:rsidP="00432D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Informācija par to, vai šīs tabulas A ailē minētās ES tiesību akta vienības tiek pārņemtas vai ieviestas pilnībā vai daļēji.</w:t>
            </w:r>
          </w:p>
          <w:p w:rsidR="00432D57" w:rsidRPr="00391E8A" w:rsidRDefault="00432D57" w:rsidP="00432D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:rsidR="00432D57" w:rsidRPr="00391E8A" w:rsidRDefault="00432D57" w:rsidP="00432D57">
            <w:pPr>
              <w:pStyle w:val="naiskr"/>
              <w:spacing w:before="0" w:after="0"/>
              <w:jc w:val="both"/>
            </w:pPr>
            <w:r w:rsidRPr="00391E8A">
              <w:rPr>
                <w:color w:val="000000"/>
              </w:rPr>
              <w:t>Norāda institūciju, kas ir atbildīga par šo saistību izpildi pilnībā</w:t>
            </w:r>
          </w:p>
        </w:tc>
        <w:tc>
          <w:tcPr>
            <w:tcW w:w="1759" w:type="dxa"/>
          </w:tcPr>
          <w:p w:rsidR="00432D57" w:rsidRPr="00391E8A" w:rsidRDefault="00432D57" w:rsidP="00432D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Informācija par to, vai šīs tabulas B ailē minētās projekta vienības paredz stingrākas prasības nekā šīs tabulas A ailē minētās ES tiesību akta vienības.</w:t>
            </w:r>
          </w:p>
          <w:p w:rsidR="00432D57" w:rsidRPr="00391E8A" w:rsidRDefault="00432D57" w:rsidP="00432D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1E8A">
              <w:rPr>
                <w:color w:val="000000"/>
              </w:rPr>
              <w:t>Ja projekts satur stingrākas prasības nekā attiecīgais ES tiesību akts, - norāda pamatojumu un samērīgumu.</w:t>
            </w:r>
          </w:p>
          <w:p w:rsidR="00432D57" w:rsidRPr="00391E8A" w:rsidRDefault="00432D57" w:rsidP="00432D57">
            <w:pPr>
              <w:pStyle w:val="naiskr"/>
              <w:spacing w:before="0" w:after="0"/>
              <w:jc w:val="both"/>
            </w:pPr>
            <w:r w:rsidRPr="00391E8A">
              <w:rPr>
                <w:color w:val="000000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432D57" w:rsidRPr="00391E8A" w:rsidTr="00FB7BC4">
        <w:trPr>
          <w:trHeight w:val="289"/>
          <w:jc w:val="center"/>
        </w:trPr>
        <w:tc>
          <w:tcPr>
            <w:tcW w:w="2052" w:type="dxa"/>
          </w:tcPr>
          <w:p w:rsidR="004A447A" w:rsidRPr="00391E8A" w:rsidRDefault="004A447A" w:rsidP="004A447A">
            <w:pPr>
              <w:pStyle w:val="naiskr"/>
              <w:spacing w:before="0" w:after="0"/>
              <w:ind w:hanging="10"/>
              <w:jc w:val="center"/>
            </w:pPr>
            <w:r w:rsidRPr="00391E8A">
              <w:t>Regula (ES)</w:t>
            </w:r>
            <w:r w:rsidR="004E705D">
              <w:t xml:space="preserve"> </w:t>
            </w:r>
            <w:r w:rsidRPr="00391E8A">
              <w:t>260/2012</w:t>
            </w:r>
          </w:p>
          <w:p w:rsidR="002754B8" w:rsidRPr="00391E8A" w:rsidRDefault="004A447A" w:rsidP="004A447A">
            <w:pPr>
              <w:pStyle w:val="naiskr"/>
              <w:spacing w:before="0" w:after="0"/>
              <w:ind w:hanging="10"/>
              <w:jc w:val="center"/>
            </w:pPr>
            <w:r w:rsidRPr="00391E8A">
              <w:t>11</w:t>
            </w:r>
            <w:r w:rsidR="00432D57" w:rsidRPr="00391E8A">
              <w:t>.</w:t>
            </w:r>
            <w:r w:rsidRPr="00391E8A">
              <w:t xml:space="preserve"> pants</w:t>
            </w:r>
            <w:r w:rsidR="00085D42" w:rsidRPr="00391E8A">
              <w:t>;</w:t>
            </w:r>
          </w:p>
          <w:p w:rsidR="00085D42" w:rsidRPr="00391E8A" w:rsidRDefault="00085D42" w:rsidP="004A447A">
            <w:pPr>
              <w:pStyle w:val="naiskr"/>
              <w:spacing w:before="0" w:after="0"/>
              <w:ind w:hanging="10"/>
              <w:jc w:val="center"/>
            </w:pPr>
          </w:p>
          <w:p w:rsidR="00085D42" w:rsidRPr="00391E8A" w:rsidRDefault="00085D42" w:rsidP="004A447A">
            <w:pPr>
              <w:pStyle w:val="naiskr"/>
              <w:spacing w:before="0" w:after="0"/>
              <w:ind w:hanging="10"/>
              <w:jc w:val="center"/>
            </w:pPr>
          </w:p>
          <w:p w:rsidR="00432D57" w:rsidRPr="00391E8A" w:rsidRDefault="004A447A" w:rsidP="0009507D">
            <w:pPr>
              <w:pStyle w:val="naiskr"/>
              <w:spacing w:before="0" w:after="0"/>
              <w:ind w:hanging="10"/>
              <w:jc w:val="center"/>
            </w:pPr>
            <w:r w:rsidRPr="00391E8A">
              <w:t>12.</w:t>
            </w:r>
            <w:r w:rsidR="00432D57" w:rsidRPr="00391E8A">
              <w:t> </w:t>
            </w:r>
            <w:r w:rsidRPr="00391E8A">
              <w:t>p</w:t>
            </w:r>
            <w:r w:rsidR="00432D57" w:rsidRPr="00391E8A">
              <w:t>ant</w:t>
            </w:r>
            <w:r w:rsidRPr="00391E8A">
              <w:t xml:space="preserve">a 1., </w:t>
            </w:r>
            <w:r w:rsidR="00921FBB" w:rsidRPr="00391E8A">
              <w:t xml:space="preserve"> 3.</w:t>
            </w:r>
            <w:r w:rsidRPr="00391E8A">
              <w:t xml:space="preserve"> punkts.</w:t>
            </w:r>
          </w:p>
        </w:tc>
        <w:tc>
          <w:tcPr>
            <w:tcW w:w="3047" w:type="dxa"/>
          </w:tcPr>
          <w:p w:rsidR="00021B81" w:rsidRPr="00391E8A" w:rsidRDefault="00C66FC7" w:rsidP="00085D42">
            <w:pPr>
              <w:pStyle w:val="naiskr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Likumprojekta</w:t>
            </w:r>
          </w:p>
          <w:p w:rsidR="00085D42" w:rsidRPr="00391E8A" w:rsidRDefault="00085D42" w:rsidP="00085D42">
            <w:pPr>
              <w:ind w:firstLine="720"/>
              <w:jc w:val="both"/>
            </w:pPr>
            <w:r w:rsidRPr="00391E8A">
              <w:rPr>
                <w:bCs/>
              </w:rPr>
              <w:t>48.panta otrā daļa;</w:t>
            </w:r>
          </w:p>
          <w:p w:rsidR="00085D42" w:rsidRDefault="00085D42" w:rsidP="00085D42">
            <w:pPr>
              <w:pStyle w:val="naiskr"/>
              <w:spacing w:before="0" w:after="0"/>
              <w:jc w:val="center"/>
            </w:pPr>
            <w:r w:rsidRPr="00391E8A">
              <w:t>56. pants</w:t>
            </w:r>
          </w:p>
          <w:p w:rsidR="00C66FC7" w:rsidRPr="00391E8A" w:rsidRDefault="00E5159B" w:rsidP="00085D42">
            <w:pPr>
              <w:pStyle w:val="naiskr"/>
              <w:spacing w:before="0" w:after="0"/>
              <w:jc w:val="center"/>
            </w:pPr>
            <w:r>
              <w:t>Likumprojekta</w:t>
            </w:r>
          </w:p>
          <w:p w:rsidR="00085D42" w:rsidRPr="00391E8A" w:rsidRDefault="00085D42" w:rsidP="00085D42">
            <w:pPr>
              <w:pStyle w:val="naiskr"/>
              <w:spacing w:before="0" w:after="0"/>
              <w:jc w:val="center"/>
              <w:rPr>
                <w:bCs/>
              </w:rPr>
            </w:pPr>
            <w:r w:rsidRPr="00391E8A">
              <w:rPr>
                <w:bCs/>
              </w:rPr>
              <w:t xml:space="preserve">105. pants 1., 2., 4., 5. </w:t>
            </w:r>
            <w:r w:rsidR="001B6136" w:rsidRPr="00391E8A">
              <w:rPr>
                <w:bCs/>
              </w:rPr>
              <w:t>d</w:t>
            </w:r>
            <w:r w:rsidRPr="00391E8A">
              <w:rPr>
                <w:bCs/>
              </w:rPr>
              <w:t>aļa</w:t>
            </w:r>
          </w:p>
          <w:p w:rsidR="00085D42" w:rsidRPr="00391E8A" w:rsidRDefault="00085D42" w:rsidP="00085D42">
            <w:pPr>
              <w:pStyle w:val="naiskr"/>
              <w:spacing w:before="0" w:after="0"/>
              <w:jc w:val="center"/>
              <w:rPr>
                <w:bCs/>
              </w:rPr>
            </w:pPr>
            <w:r w:rsidRPr="00391E8A">
              <w:rPr>
                <w:bCs/>
              </w:rPr>
              <w:t>106. pants pirmā daļa</w:t>
            </w:r>
            <w:r w:rsidR="001B6136" w:rsidRPr="00391E8A">
              <w:rPr>
                <w:bCs/>
              </w:rPr>
              <w:t>;</w:t>
            </w:r>
          </w:p>
          <w:p w:rsidR="00085D42" w:rsidRPr="00391E8A" w:rsidRDefault="00085D42" w:rsidP="00085D42">
            <w:pPr>
              <w:pStyle w:val="naiskr"/>
              <w:spacing w:before="0" w:after="0"/>
              <w:jc w:val="center"/>
              <w:rPr>
                <w:bCs/>
              </w:rPr>
            </w:pPr>
            <w:r w:rsidRPr="00391E8A">
              <w:rPr>
                <w:bCs/>
              </w:rPr>
              <w:t>107. pants</w:t>
            </w:r>
            <w:r w:rsidR="001B6136" w:rsidRPr="00391E8A">
              <w:rPr>
                <w:bCs/>
              </w:rPr>
              <w:t>.</w:t>
            </w:r>
          </w:p>
          <w:p w:rsidR="00085D42" w:rsidRPr="00391E8A" w:rsidRDefault="00085D42" w:rsidP="00432D57">
            <w:pPr>
              <w:pStyle w:val="naiskr"/>
              <w:spacing w:before="0" w:after="0"/>
              <w:jc w:val="center"/>
            </w:pPr>
          </w:p>
        </w:tc>
        <w:tc>
          <w:tcPr>
            <w:tcW w:w="2783" w:type="dxa"/>
          </w:tcPr>
          <w:p w:rsidR="00F10635" w:rsidRPr="00391E8A" w:rsidRDefault="00F10635" w:rsidP="00432D57">
            <w:pPr>
              <w:pStyle w:val="naiskr"/>
              <w:spacing w:before="0" w:after="0"/>
              <w:jc w:val="center"/>
            </w:pPr>
          </w:p>
          <w:p w:rsidR="00F10635" w:rsidRPr="00391E8A" w:rsidRDefault="00F10635" w:rsidP="00432D57">
            <w:pPr>
              <w:pStyle w:val="naiskr"/>
              <w:spacing w:before="0" w:after="0"/>
              <w:jc w:val="center"/>
            </w:pPr>
          </w:p>
          <w:p w:rsidR="00F10635" w:rsidRPr="00391E8A" w:rsidRDefault="00F10635" w:rsidP="00432D57">
            <w:pPr>
              <w:pStyle w:val="naiskr"/>
              <w:spacing w:before="0" w:after="0"/>
              <w:jc w:val="center"/>
            </w:pPr>
          </w:p>
          <w:p w:rsidR="00F10635" w:rsidRPr="00391E8A" w:rsidRDefault="00F10635" w:rsidP="00432D57">
            <w:pPr>
              <w:pStyle w:val="naiskr"/>
              <w:spacing w:before="0" w:after="0"/>
              <w:jc w:val="center"/>
            </w:pPr>
          </w:p>
          <w:p w:rsidR="00432D57" w:rsidRPr="00391E8A" w:rsidRDefault="00432D57" w:rsidP="00432D57">
            <w:pPr>
              <w:pStyle w:val="naiskr"/>
              <w:spacing w:before="0" w:after="0"/>
              <w:jc w:val="center"/>
            </w:pPr>
            <w:r w:rsidRPr="00391E8A">
              <w:t>Atbilst</w:t>
            </w:r>
          </w:p>
        </w:tc>
        <w:tc>
          <w:tcPr>
            <w:tcW w:w="1759" w:type="dxa"/>
          </w:tcPr>
          <w:p w:rsidR="00432D57" w:rsidRPr="00391E8A" w:rsidRDefault="00432D57" w:rsidP="00432D57">
            <w:pPr>
              <w:pStyle w:val="naiskr"/>
              <w:spacing w:before="0" w:after="0"/>
              <w:jc w:val="center"/>
            </w:pPr>
            <w:r w:rsidRPr="00391E8A">
              <w:t>-</w:t>
            </w:r>
          </w:p>
        </w:tc>
      </w:tr>
      <w:tr w:rsidR="00C66FC7" w:rsidRPr="00391E8A" w:rsidTr="00C66FC7">
        <w:trPr>
          <w:trHeight w:val="281"/>
          <w:jc w:val="center"/>
        </w:trPr>
        <w:tc>
          <w:tcPr>
            <w:tcW w:w="2052" w:type="dxa"/>
            <w:vAlign w:val="center"/>
          </w:tcPr>
          <w:p w:rsidR="00C66FC7" w:rsidRPr="00391E8A" w:rsidRDefault="00C66FC7" w:rsidP="00432D57">
            <w:pPr>
              <w:pStyle w:val="naiskr"/>
              <w:spacing w:before="0" w:after="0"/>
            </w:pPr>
            <w:r w:rsidRPr="00391E8A">
              <w:t xml:space="preserve">Kā ir izmantota ES tiesību aktā paredzētā rīcības </w:t>
            </w:r>
            <w:r w:rsidRPr="00391E8A">
              <w:lastRenderedPageBreak/>
              <w:t>brīvība dalībvalstij pārņemt vai ieviest noteiktas ES tiesību akta normas.</w:t>
            </w:r>
          </w:p>
          <w:p w:rsidR="00C66FC7" w:rsidRPr="00391E8A" w:rsidRDefault="00C66FC7" w:rsidP="00432D57">
            <w:pPr>
              <w:pStyle w:val="naiskr"/>
              <w:spacing w:before="0" w:after="0"/>
            </w:pPr>
            <w:r w:rsidRPr="00391E8A">
              <w:t>Kādēļ?</w:t>
            </w:r>
          </w:p>
        </w:tc>
        <w:tc>
          <w:tcPr>
            <w:tcW w:w="7589" w:type="dxa"/>
            <w:gridSpan w:val="3"/>
            <w:vAlign w:val="center"/>
          </w:tcPr>
          <w:p w:rsidR="00C66FC7" w:rsidRPr="00050DCC" w:rsidRDefault="00ED1069" w:rsidP="004E4D98">
            <w:pPr>
              <w:pStyle w:val="CM1"/>
              <w:spacing w:before="200" w:after="200"/>
              <w:jc w:val="both"/>
              <w:rPr>
                <w:rFonts w:ascii="Times New Roman" w:hAnsi="Times New Roman" w:cs="Times New Roman"/>
                <w:lang w:val="lv-LV"/>
              </w:rPr>
            </w:pPr>
            <w:r w:rsidRPr="00050DCC">
              <w:rPr>
                <w:rFonts w:ascii="Times New Roman" w:hAnsi="Times New Roman" w:cs="Times New Roman"/>
                <w:lang w:val="lv-LV"/>
              </w:rPr>
              <w:lastRenderedPageBreak/>
              <w:t>I</w:t>
            </w:r>
            <w:r w:rsidR="00C66FC7" w:rsidRPr="00050DCC">
              <w:rPr>
                <w:rFonts w:ascii="Times New Roman" w:hAnsi="Times New Roman" w:cs="Times New Roman"/>
                <w:lang w:val="lv-LV"/>
              </w:rPr>
              <w:t xml:space="preserve">r izmantota </w:t>
            </w:r>
            <w:r w:rsidR="00C66FC7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Regulas </w:t>
            </w:r>
            <w:r w:rsidR="00C66FC7" w:rsidRPr="00050DCC">
              <w:rPr>
                <w:rFonts w:ascii="Times New Roman" w:hAnsi="Times New Roman" w:cs="Times New Roman"/>
                <w:lang w:val="lv-LV"/>
              </w:rPr>
              <w:t>(ES)</w:t>
            </w:r>
            <w:r w:rsidR="003D4385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C66FC7" w:rsidRPr="00050DCC">
              <w:rPr>
                <w:rFonts w:ascii="Times New Roman" w:hAnsi="Times New Roman" w:cs="Times New Roman"/>
                <w:lang w:val="lv-LV"/>
              </w:rPr>
              <w:t>260/2012</w:t>
            </w:r>
            <w:r w:rsidR="00C66FC7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 </w:t>
            </w:r>
            <w:r w:rsidR="00E5159B" w:rsidRPr="00050DCC">
              <w:rPr>
                <w:rFonts w:ascii="Times New Roman" w:hAnsi="Times New Roman" w:cs="Times New Roman"/>
                <w:spacing w:val="-2"/>
                <w:lang w:val="lv-LV"/>
              </w:rPr>
              <w:t>12.pant</w:t>
            </w:r>
            <w:r w:rsidR="00050DCC">
              <w:rPr>
                <w:rFonts w:ascii="Times New Roman" w:hAnsi="Times New Roman" w:cs="Times New Roman"/>
                <w:spacing w:val="-2"/>
                <w:lang w:val="lv-LV"/>
              </w:rPr>
              <w:t>a</w:t>
            </w:r>
            <w:r w:rsidR="00122193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 3.punktā</w:t>
            </w:r>
            <w:r w:rsidR="00E5159B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 </w:t>
            </w:r>
            <w:r w:rsidR="00C66FC7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paredzētā rīcības brīvība dalībvalstij pārņemt tiesību normu, </w:t>
            </w:r>
            <w:r w:rsidR="00122193" w:rsidRPr="00050DCC">
              <w:rPr>
                <w:rFonts w:ascii="Times New Roman" w:hAnsi="Times New Roman" w:cs="Times New Roman"/>
                <w:spacing w:val="-2"/>
                <w:lang w:val="lv-LV"/>
              </w:rPr>
              <w:t>attiecinot</w:t>
            </w:r>
            <w:r w:rsidR="00C66FC7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 </w:t>
            </w:r>
            <w:r w:rsidR="00E5159B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ārpustiesas sūdzību un </w:t>
            </w:r>
            <w:r w:rsidR="00E5159B" w:rsidRPr="00050DCC">
              <w:rPr>
                <w:rFonts w:ascii="Times New Roman" w:hAnsi="Times New Roman" w:cs="Times New Roman"/>
                <w:color w:val="000000"/>
                <w:lang w:val="lv-LV"/>
              </w:rPr>
              <w:lastRenderedPageBreak/>
              <w:t>tiesību aizsardzības procedūras</w:t>
            </w:r>
            <w:r w:rsidR="00122193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 uz</w:t>
            </w:r>
            <w:r w:rsidR="00E5159B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  <w:r w:rsidR="00F40F15" w:rsidRPr="00050DCC">
              <w:rPr>
                <w:rFonts w:ascii="Times New Roman" w:hAnsi="Times New Roman" w:cs="Times New Roman"/>
                <w:color w:val="000000"/>
                <w:lang w:val="lv-LV"/>
              </w:rPr>
              <w:t>patērētājiem</w:t>
            </w:r>
            <w:r w:rsidR="00E5159B" w:rsidRPr="00050DCC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675604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 Attiecīgais </w:t>
            </w:r>
            <w:r w:rsidR="00050DCC" w:rsidRPr="00050DCC">
              <w:rPr>
                <w:rFonts w:ascii="Times New Roman" w:hAnsi="Times New Roman" w:cs="Times New Roman"/>
                <w:color w:val="000000"/>
                <w:lang w:val="lv-LV"/>
              </w:rPr>
              <w:t>regulējums</w:t>
            </w:r>
            <w:r w:rsidR="00675604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 arī pašlaik </w:t>
            </w:r>
            <w:r w:rsidR="00204500" w:rsidRPr="00050DCC">
              <w:rPr>
                <w:rFonts w:ascii="Times New Roman" w:hAnsi="Times New Roman" w:cs="Times New Roman"/>
                <w:color w:val="000000"/>
                <w:lang w:val="lv-LV"/>
              </w:rPr>
              <w:t>noteikts Likumā</w:t>
            </w:r>
            <w:r w:rsidR="00050DCC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. </w:t>
            </w:r>
            <w:r w:rsidR="00287C50">
              <w:rPr>
                <w:rFonts w:ascii="Times New Roman" w:hAnsi="Times New Roman" w:cs="Times New Roman"/>
                <w:color w:val="000000"/>
                <w:lang w:val="lv-LV"/>
              </w:rPr>
              <w:t>Regulas</w:t>
            </w:r>
            <w:r w:rsidR="005B5F2D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  <w:r w:rsidR="005B5F2D" w:rsidRPr="00050DCC">
              <w:rPr>
                <w:rFonts w:ascii="Times New Roman" w:hAnsi="Times New Roman" w:cs="Times New Roman"/>
                <w:lang w:val="lv-LV"/>
              </w:rPr>
              <w:t>(ES)</w:t>
            </w:r>
            <w:r w:rsidR="003D4385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B5F2D" w:rsidRPr="00050DCC">
              <w:rPr>
                <w:rFonts w:ascii="Times New Roman" w:hAnsi="Times New Roman" w:cs="Times New Roman"/>
                <w:lang w:val="lv-LV"/>
              </w:rPr>
              <w:t>260/2012</w:t>
            </w:r>
            <w:r w:rsidR="005B5F2D" w:rsidRPr="00050DCC">
              <w:rPr>
                <w:rFonts w:ascii="Times New Roman" w:hAnsi="Times New Roman" w:cs="Times New Roman"/>
                <w:spacing w:val="-2"/>
                <w:lang w:val="lv-LV"/>
              </w:rPr>
              <w:t xml:space="preserve"> </w:t>
            </w:r>
            <w:r w:rsidR="00287C50">
              <w:rPr>
                <w:rFonts w:ascii="Times New Roman" w:hAnsi="Times New Roman" w:cs="Times New Roman"/>
                <w:color w:val="000000"/>
                <w:lang w:val="lv-LV"/>
              </w:rPr>
              <w:t>ieviešanas</w:t>
            </w:r>
            <w:r w:rsidR="00050DCC" w:rsidRPr="00050DCC">
              <w:rPr>
                <w:rFonts w:ascii="Times New Roman" w:hAnsi="Times New Roman" w:cs="Times New Roman"/>
                <w:color w:val="000000"/>
                <w:lang w:val="lv-LV"/>
              </w:rPr>
              <w:t xml:space="preserve"> nolūkā norīkotas jau esošās </w:t>
            </w:r>
            <w:r w:rsidR="004E4D98">
              <w:rPr>
                <w:rFonts w:ascii="Times New Roman" w:hAnsi="Times New Roman" w:cs="Times New Roman"/>
                <w:color w:val="000000"/>
                <w:lang w:val="lv-LV"/>
              </w:rPr>
              <w:t>iestādes</w:t>
            </w:r>
            <w:r w:rsidR="00050DCC" w:rsidRPr="00050DCC">
              <w:rPr>
                <w:rFonts w:ascii="Times New Roman" w:hAnsi="Times New Roman" w:cs="Times New Roman"/>
                <w:color w:val="000000"/>
                <w:lang w:val="lv-LV"/>
              </w:rPr>
              <w:t>, kas paredzētas Likumā.</w:t>
            </w:r>
          </w:p>
        </w:tc>
      </w:tr>
      <w:tr w:rsidR="00C66FC7" w:rsidRPr="00391E8A" w:rsidTr="00FB7BC4">
        <w:trPr>
          <w:trHeight w:val="913"/>
          <w:jc w:val="center"/>
        </w:trPr>
        <w:tc>
          <w:tcPr>
            <w:tcW w:w="2052" w:type="dxa"/>
            <w:vAlign w:val="center"/>
          </w:tcPr>
          <w:p w:rsidR="00C66FC7" w:rsidRPr="00391E8A" w:rsidRDefault="00C66FC7" w:rsidP="00432D57">
            <w:pPr>
              <w:pStyle w:val="naiskr"/>
              <w:spacing w:before="0" w:after="0"/>
              <w:rPr>
                <w:i/>
              </w:rPr>
            </w:pPr>
            <w:r w:rsidRPr="00391E8A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589" w:type="dxa"/>
            <w:gridSpan w:val="3"/>
          </w:tcPr>
          <w:p w:rsidR="00C66FC7" w:rsidRPr="00391E8A" w:rsidRDefault="00C66FC7" w:rsidP="00432D57">
            <w:pPr>
              <w:pStyle w:val="naiskr"/>
              <w:spacing w:before="0" w:after="0"/>
            </w:pPr>
            <w:r w:rsidRPr="00391E8A">
              <w:rPr>
                <w:i/>
              </w:rPr>
              <w:t>Projekts šo jomu neskar.</w:t>
            </w:r>
          </w:p>
        </w:tc>
      </w:tr>
      <w:tr w:rsidR="00C66FC7" w:rsidRPr="00391E8A" w:rsidTr="00FB7BC4">
        <w:trPr>
          <w:trHeight w:val="579"/>
          <w:jc w:val="center"/>
        </w:trPr>
        <w:tc>
          <w:tcPr>
            <w:tcW w:w="2052" w:type="dxa"/>
          </w:tcPr>
          <w:p w:rsidR="00C66FC7" w:rsidRPr="00391E8A" w:rsidRDefault="00C66FC7" w:rsidP="00432D57">
            <w:pPr>
              <w:pStyle w:val="naiskr"/>
              <w:spacing w:before="0" w:after="0"/>
            </w:pPr>
            <w:r w:rsidRPr="00391E8A">
              <w:t>Cita informācija</w:t>
            </w:r>
          </w:p>
        </w:tc>
        <w:tc>
          <w:tcPr>
            <w:tcW w:w="7589" w:type="dxa"/>
            <w:gridSpan w:val="3"/>
          </w:tcPr>
          <w:p w:rsidR="00C66FC7" w:rsidRPr="00391E8A" w:rsidRDefault="00C66FC7" w:rsidP="00432D57">
            <w:pPr>
              <w:pStyle w:val="naiskr"/>
              <w:spacing w:before="0" w:after="0"/>
            </w:pPr>
            <w:r w:rsidRPr="00391E8A">
              <w:t>Nav.</w:t>
            </w:r>
          </w:p>
        </w:tc>
      </w:tr>
    </w:tbl>
    <w:p w:rsidR="00432D57" w:rsidRPr="00391E8A" w:rsidRDefault="00432D57"/>
    <w:tbl>
      <w:tblPr>
        <w:tblW w:w="9695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1B6136" w:rsidRPr="00391E8A" w:rsidTr="00503EE8">
        <w:trPr>
          <w:trHeight w:val="792"/>
          <w:jc w:val="center"/>
        </w:trPr>
        <w:tc>
          <w:tcPr>
            <w:tcW w:w="9695" w:type="dxa"/>
            <w:vAlign w:val="center"/>
          </w:tcPr>
          <w:p w:rsidR="001B6136" w:rsidRPr="00391E8A" w:rsidRDefault="001B6136" w:rsidP="001B6136">
            <w:pPr>
              <w:pStyle w:val="naisnod"/>
              <w:spacing w:before="0" w:after="0"/>
            </w:pPr>
            <w:r w:rsidRPr="00391E8A">
              <w:t xml:space="preserve">2.tabula </w:t>
            </w:r>
          </w:p>
          <w:p w:rsidR="001B6136" w:rsidRPr="00391E8A" w:rsidRDefault="001B6136" w:rsidP="001B6136">
            <w:pPr>
              <w:pStyle w:val="naisnod"/>
              <w:spacing w:before="0" w:after="0"/>
            </w:pPr>
            <w:r w:rsidRPr="00391E8A">
              <w:t>Ar tiesību akta projektu uzņemtās saistības, kas izriet no starptautiskajiem tiesību aktiem vai starptautiskas institūcijas vai organizācijas dokumentiem</w:t>
            </w:r>
          </w:p>
          <w:p w:rsidR="001B6136" w:rsidRPr="00391E8A" w:rsidRDefault="001B6136" w:rsidP="001B6136">
            <w:pPr>
              <w:pStyle w:val="naisnod"/>
              <w:spacing w:before="0" w:after="0"/>
            </w:pPr>
            <w:r w:rsidRPr="00391E8A">
              <w:t>Pasākumi šo saistību izpildei</w:t>
            </w:r>
          </w:p>
        </w:tc>
      </w:tr>
      <w:tr w:rsidR="001B6136" w:rsidRPr="00391E8A" w:rsidTr="00503EE8">
        <w:trPr>
          <w:trHeight w:val="543"/>
          <w:jc w:val="center"/>
        </w:trPr>
        <w:tc>
          <w:tcPr>
            <w:tcW w:w="9695" w:type="dxa"/>
            <w:vAlign w:val="center"/>
          </w:tcPr>
          <w:p w:rsidR="001B6136" w:rsidRPr="00391E8A" w:rsidRDefault="001B6136" w:rsidP="001B6136">
            <w:pPr>
              <w:pStyle w:val="naisnod"/>
              <w:spacing w:before="0" w:after="0"/>
              <w:rPr>
                <w:b w:val="0"/>
              </w:rPr>
            </w:pPr>
            <w:r w:rsidRPr="00391E8A">
              <w:rPr>
                <w:b w:val="0"/>
                <w:i/>
              </w:rPr>
              <w:t>Projekts šo jomu neskar.</w:t>
            </w:r>
          </w:p>
        </w:tc>
      </w:tr>
    </w:tbl>
    <w:p w:rsidR="001B6136" w:rsidRPr="00391E8A" w:rsidRDefault="001B6136"/>
    <w:tbl>
      <w:tblPr>
        <w:tblW w:w="9718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180"/>
        <w:gridCol w:w="6094"/>
      </w:tblGrid>
      <w:tr w:rsidR="001B6136" w:rsidRPr="00391E8A" w:rsidTr="00503EE8">
        <w:trPr>
          <w:jc w:val="center"/>
        </w:trPr>
        <w:tc>
          <w:tcPr>
            <w:tcW w:w="9718" w:type="dxa"/>
            <w:gridSpan w:val="3"/>
          </w:tcPr>
          <w:p w:rsidR="001B6136" w:rsidRPr="00391E8A" w:rsidRDefault="001B6136" w:rsidP="001B6136">
            <w:pPr>
              <w:pStyle w:val="naisnod"/>
              <w:spacing w:before="0" w:after="0"/>
              <w:ind w:left="57" w:right="57"/>
            </w:pPr>
            <w:r w:rsidRPr="00391E8A">
              <w:t>VI. Sabiedrības līdzdalība un šīs līdzdalības rezultāti</w:t>
            </w:r>
          </w:p>
        </w:tc>
      </w:tr>
      <w:tr w:rsidR="001B6136" w:rsidRPr="00391E8A" w:rsidTr="00503EE8">
        <w:trPr>
          <w:trHeight w:val="375"/>
          <w:jc w:val="center"/>
        </w:trPr>
        <w:tc>
          <w:tcPr>
            <w:tcW w:w="444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91E8A">
              <w:rPr>
                <w:bCs/>
              </w:rPr>
              <w:t>1.</w:t>
            </w:r>
          </w:p>
        </w:tc>
        <w:tc>
          <w:tcPr>
            <w:tcW w:w="3180" w:type="dxa"/>
          </w:tcPr>
          <w:p w:rsidR="001B6136" w:rsidRPr="00391E8A" w:rsidRDefault="001B6136" w:rsidP="001B613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391E8A">
              <w:t>Sabiedrības informēšana par projekta izstrādes uzsākšanu</w:t>
            </w:r>
          </w:p>
        </w:tc>
        <w:tc>
          <w:tcPr>
            <w:tcW w:w="6094" w:type="dxa"/>
          </w:tcPr>
          <w:p w:rsidR="001B6136" w:rsidRPr="00391E8A" w:rsidRDefault="00322208" w:rsidP="00F31593">
            <w:pPr>
              <w:keepLines/>
              <w:autoSpaceDE w:val="0"/>
              <w:autoSpaceDN w:val="0"/>
              <w:adjustRightInd w:val="0"/>
            </w:pPr>
            <w:r w:rsidRPr="00391E8A">
              <w:t>Nav.</w:t>
            </w:r>
          </w:p>
        </w:tc>
      </w:tr>
      <w:tr w:rsidR="001B6136" w:rsidRPr="00391E8A" w:rsidTr="00503EE8">
        <w:trPr>
          <w:trHeight w:val="375"/>
          <w:jc w:val="center"/>
        </w:trPr>
        <w:tc>
          <w:tcPr>
            <w:tcW w:w="444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91E8A">
              <w:rPr>
                <w:bCs/>
              </w:rPr>
              <w:t>2.</w:t>
            </w:r>
          </w:p>
        </w:tc>
        <w:tc>
          <w:tcPr>
            <w:tcW w:w="3180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</w:pPr>
            <w:r w:rsidRPr="00391E8A">
              <w:t xml:space="preserve">Sabiedrības līdzdalība projekta izstrādē </w:t>
            </w:r>
          </w:p>
        </w:tc>
        <w:tc>
          <w:tcPr>
            <w:tcW w:w="6094" w:type="dxa"/>
          </w:tcPr>
          <w:p w:rsidR="00E52D5D" w:rsidRPr="00391E8A" w:rsidRDefault="001B6136" w:rsidP="007C107F">
            <w:pPr>
              <w:pStyle w:val="naiskr"/>
              <w:spacing w:before="0" w:after="0"/>
              <w:ind w:left="57" w:right="57"/>
              <w:jc w:val="both"/>
            </w:pPr>
            <w:r w:rsidRPr="00391E8A">
              <w:t>Likumprojekts tik</w:t>
            </w:r>
            <w:r w:rsidR="002A2A06" w:rsidRPr="00391E8A">
              <w:t>a</w:t>
            </w:r>
            <w:r w:rsidRPr="00391E8A">
              <w:t xml:space="preserve"> nosūtīts </w:t>
            </w:r>
            <w:r w:rsidR="00E52D5D" w:rsidRPr="00391E8A">
              <w:rPr>
                <w:bCs/>
                <w:color w:val="000000"/>
              </w:rPr>
              <w:t xml:space="preserve">visām </w:t>
            </w:r>
            <w:r w:rsidRPr="00391E8A">
              <w:rPr>
                <w:bCs/>
                <w:color w:val="000000"/>
              </w:rPr>
              <w:t xml:space="preserve">maksājumu </w:t>
            </w:r>
            <w:r w:rsidR="00E52D5D" w:rsidRPr="00391E8A">
              <w:rPr>
                <w:bCs/>
                <w:color w:val="000000"/>
              </w:rPr>
              <w:t>pakalpojumu un</w:t>
            </w:r>
            <w:r w:rsidRPr="00391E8A">
              <w:rPr>
                <w:bCs/>
                <w:color w:val="000000"/>
              </w:rPr>
              <w:t xml:space="preserve"> e</w:t>
            </w:r>
            <w:r w:rsidR="00E52D5D" w:rsidRPr="00391E8A">
              <w:rPr>
                <w:bCs/>
                <w:color w:val="000000"/>
              </w:rPr>
              <w:t xml:space="preserve">lektroniskās </w:t>
            </w:r>
            <w:r w:rsidRPr="00391E8A">
              <w:rPr>
                <w:bCs/>
                <w:color w:val="000000"/>
              </w:rPr>
              <w:t>naudas iestādēm</w:t>
            </w:r>
            <w:r w:rsidR="00E52D5D" w:rsidRPr="00391E8A">
              <w:rPr>
                <w:bCs/>
                <w:color w:val="000000"/>
              </w:rPr>
              <w:t xml:space="preserve">, Latvijas Komercbanku </w:t>
            </w:r>
            <w:r w:rsidR="007C107F" w:rsidRPr="00391E8A">
              <w:rPr>
                <w:bCs/>
                <w:color w:val="000000"/>
              </w:rPr>
              <w:t>a</w:t>
            </w:r>
            <w:r w:rsidR="00E52D5D" w:rsidRPr="00391E8A">
              <w:rPr>
                <w:bCs/>
                <w:color w:val="000000"/>
              </w:rPr>
              <w:t>sociācijai</w:t>
            </w:r>
            <w:r w:rsidR="007C107F" w:rsidRPr="00391E8A">
              <w:rPr>
                <w:bCs/>
                <w:color w:val="000000"/>
              </w:rPr>
              <w:t xml:space="preserve"> un Patērētāju tiesību aizsardzības centram</w:t>
            </w:r>
            <w:r w:rsidRPr="00391E8A">
              <w:rPr>
                <w:color w:val="000000"/>
              </w:rPr>
              <w:t>,</w:t>
            </w:r>
            <w:r w:rsidRPr="00391E8A">
              <w:t xml:space="preserve"> lai nepieciešamības gadījumā likumprojekta izstrādes gaitā ņemtu vērā to pausto viedokli.</w:t>
            </w:r>
          </w:p>
        </w:tc>
      </w:tr>
      <w:tr w:rsidR="001B6136" w:rsidRPr="00391E8A" w:rsidTr="00503EE8">
        <w:trPr>
          <w:trHeight w:val="375"/>
          <w:jc w:val="center"/>
        </w:trPr>
        <w:tc>
          <w:tcPr>
            <w:tcW w:w="444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91E8A">
              <w:rPr>
                <w:bCs/>
              </w:rPr>
              <w:t>3.</w:t>
            </w:r>
          </w:p>
        </w:tc>
        <w:tc>
          <w:tcPr>
            <w:tcW w:w="3180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</w:pPr>
            <w:r w:rsidRPr="00391E8A">
              <w:t xml:space="preserve">Sabiedrības līdzdalības rezultāti </w:t>
            </w:r>
          </w:p>
        </w:tc>
        <w:tc>
          <w:tcPr>
            <w:tcW w:w="6094" w:type="dxa"/>
          </w:tcPr>
          <w:p w:rsidR="001B6136" w:rsidRPr="00391E8A" w:rsidRDefault="001B6136" w:rsidP="002A2A06">
            <w:pPr>
              <w:pStyle w:val="naiskr"/>
              <w:spacing w:before="0" w:after="0"/>
              <w:ind w:right="57"/>
              <w:jc w:val="both"/>
            </w:pPr>
            <w:r w:rsidRPr="00391E8A">
              <w:t xml:space="preserve">No viena tirgus dalībnieka tika </w:t>
            </w:r>
            <w:r w:rsidR="007C107F" w:rsidRPr="00391E8A">
              <w:t xml:space="preserve">saņemts </w:t>
            </w:r>
            <w:r w:rsidRPr="00391E8A">
              <w:t>priekšlikums, kas netika ņemts vērā, jo priekšlikums jau ir iestrādāts Administratīvajā procesa likumā, kā arī Finanšu un kapitāla tirgus komisijas likumā.</w:t>
            </w:r>
          </w:p>
          <w:p w:rsidR="000E1E66" w:rsidRPr="00391E8A" w:rsidRDefault="000E1E66" w:rsidP="001C441A">
            <w:pPr>
              <w:pStyle w:val="naiskr"/>
              <w:spacing w:before="0" w:after="0"/>
              <w:ind w:right="57"/>
              <w:jc w:val="both"/>
              <w:rPr>
                <w:bCs/>
                <w:color w:val="000000"/>
              </w:rPr>
            </w:pPr>
            <w:r w:rsidRPr="00391E8A">
              <w:rPr>
                <w:bCs/>
                <w:color w:val="000000"/>
              </w:rPr>
              <w:t xml:space="preserve">No Latvijas Komercbanku Asociācija tika saņemti priekšlikumi, </w:t>
            </w:r>
            <w:r w:rsidR="000C7E8E" w:rsidRPr="00391E8A">
              <w:rPr>
                <w:bCs/>
                <w:color w:val="000000"/>
              </w:rPr>
              <w:t>kur</w:t>
            </w:r>
            <w:r w:rsidR="0091140F" w:rsidRPr="00391E8A">
              <w:rPr>
                <w:bCs/>
                <w:color w:val="000000"/>
              </w:rPr>
              <w:t>i</w:t>
            </w:r>
            <w:r w:rsidR="000C7E8E" w:rsidRPr="00391E8A">
              <w:rPr>
                <w:bCs/>
                <w:color w:val="000000"/>
              </w:rPr>
              <w:t xml:space="preserve"> </w:t>
            </w:r>
            <w:r w:rsidRPr="00391E8A">
              <w:rPr>
                <w:bCs/>
                <w:color w:val="000000"/>
              </w:rPr>
              <w:t xml:space="preserve">netika </w:t>
            </w:r>
            <w:r w:rsidR="00E814AD">
              <w:rPr>
                <w:bCs/>
                <w:color w:val="000000"/>
              </w:rPr>
              <w:t>iekļauti likumprojektā</w:t>
            </w:r>
            <w:r w:rsidRPr="00391E8A">
              <w:rPr>
                <w:bCs/>
                <w:color w:val="000000"/>
              </w:rPr>
              <w:t>, jo</w:t>
            </w:r>
            <w:r w:rsidR="00616BCF">
              <w:rPr>
                <w:bCs/>
                <w:color w:val="000000"/>
              </w:rPr>
              <w:t xml:space="preserve"> viens no </w:t>
            </w:r>
            <w:r w:rsidR="00616BCF">
              <w:rPr>
                <w:bCs/>
                <w:color w:val="000000"/>
              </w:rPr>
              <w:lastRenderedPageBreak/>
              <w:t>tiem</w:t>
            </w:r>
            <w:r w:rsidRPr="00391E8A">
              <w:rPr>
                <w:bCs/>
                <w:color w:val="000000"/>
              </w:rPr>
              <w:t xml:space="preserve"> </w:t>
            </w:r>
            <w:r w:rsidR="00616BCF">
              <w:rPr>
                <w:bCs/>
                <w:color w:val="000000"/>
              </w:rPr>
              <w:t xml:space="preserve">ir </w:t>
            </w:r>
            <w:r w:rsidR="00616BCF" w:rsidRPr="00391E8A">
              <w:t>jau iestrādāts Administratīvajā procesa likumā</w:t>
            </w:r>
            <w:r w:rsidR="00616BCF">
              <w:t>, viens ir tehniskais grozījums, kas</w:t>
            </w:r>
            <w:r w:rsidR="00E814AD">
              <w:t xml:space="preserve"> jau</w:t>
            </w:r>
            <w:r w:rsidR="00616BCF">
              <w:t xml:space="preserve"> izriet no Likuma, bet pārējie divi</w:t>
            </w:r>
            <w:r w:rsidR="00E814AD">
              <w:t xml:space="preserve"> </w:t>
            </w:r>
            <w:r w:rsidR="00616BCF">
              <w:t xml:space="preserve"> nav saistīti ar </w:t>
            </w:r>
            <w:r w:rsidR="00616BCF" w:rsidRPr="00391E8A">
              <w:t xml:space="preserve">Regulas (ES) 260/2012 </w:t>
            </w:r>
            <w:r w:rsidR="00616BCF">
              <w:t>ieviešanu</w:t>
            </w:r>
            <w:r w:rsidR="00A56546" w:rsidRPr="00391E8A">
              <w:rPr>
                <w:bCs/>
                <w:color w:val="000000"/>
              </w:rPr>
              <w:t>.</w:t>
            </w:r>
          </w:p>
          <w:p w:rsidR="00CE73F5" w:rsidRPr="00391E8A" w:rsidRDefault="00CE73F5" w:rsidP="001C441A">
            <w:pPr>
              <w:pStyle w:val="naiskr"/>
              <w:spacing w:before="0" w:after="0"/>
              <w:ind w:right="57"/>
              <w:jc w:val="both"/>
            </w:pPr>
            <w:r w:rsidRPr="00391E8A">
              <w:rPr>
                <w:bCs/>
                <w:color w:val="000000"/>
              </w:rPr>
              <w:t xml:space="preserve">Patērētāju tiesību aizsardzības centrs </w:t>
            </w:r>
            <w:r w:rsidR="001C441A" w:rsidRPr="00391E8A">
              <w:rPr>
                <w:bCs/>
                <w:color w:val="000000"/>
              </w:rPr>
              <w:t>izteicis</w:t>
            </w:r>
            <w:r w:rsidRPr="00391E8A">
              <w:rPr>
                <w:bCs/>
                <w:color w:val="000000"/>
              </w:rPr>
              <w:t xml:space="preserve"> piekrišanu izstrādātam </w:t>
            </w:r>
            <w:r w:rsidR="001C441A" w:rsidRPr="00391E8A">
              <w:rPr>
                <w:bCs/>
                <w:color w:val="000000"/>
              </w:rPr>
              <w:t xml:space="preserve">likumprojektam un norādījis, ka </w:t>
            </w:r>
            <w:r w:rsidR="001C441A" w:rsidRPr="00391E8A">
              <w:t>tā ieskatā Likumprojekts atbilst Regulas (ES) 260/2012 prasībām.</w:t>
            </w:r>
          </w:p>
        </w:tc>
      </w:tr>
      <w:tr w:rsidR="001B6136" w:rsidRPr="00391E8A" w:rsidTr="00503EE8">
        <w:trPr>
          <w:trHeight w:val="397"/>
          <w:jc w:val="center"/>
        </w:trPr>
        <w:tc>
          <w:tcPr>
            <w:tcW w:w="444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91E8A">
              <w:rPr>
                <w:bCs/>
              </w:rPr>
              <w:lastRenderedPageBreak/>
              <w:t>4.</w:t>
            </w:r>
          </w:p>
        </w:tc>
        <w:tc>
          <w:tcPr>
            <w:tcW w:w="3180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</w:pPr>
            <w:r w:rsidRPr="00391E8A">
              <w:t>Saeimas un ekspertu līdzdalība</w:t>
            </w:r>
          </w:p>
        </w:tc>
        <w:tc>
          <w:tcPr>
            <w:tcW w:w="6094" w:type="dxa"/>
          </w:tcPr>
          <w:p w:rsidR="001B6136" w:rsidRPr="00391E8A" w:rsidRDefault="001B6136" w:rsidP="001B6136">
            <w:pPr>
              <w:jc w:val="both"/>
            </w:pPr>
            <w:r w:rsidRPr="00391E8A">
              <w:t>Saeimas un ekspertu līdzdalība nav notikusi.</w:t>
            </w:r>
          </w:p>
        </w:tc>
      </w:tr>
      <w:tr w:rsidR="001B6136" w:rsidRPr="00391E8A" w:rsidTr="00503EE8">
        <w:trPr>
          <w:trHeight w:val="476"/>
          <w:jc w:val="center"/>
        </w:trPr>
        <w:tc>
          <w:tcPr>
            <w:tcW w:w="444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91E8A">
              <w:rPr>
                <w:bCs/>
              </w:rPr>
              <w:t>5.</w:t>
            </w:r>
          </w:p>
        </w:tc>
        <w:tc>
          <w:tcPr>
            <w:tcW w:w="3180" w:type="dxa"/>
          </w:tcPr>
          <w:p w:rsidR="001B6136" w:rsidRPr="00391E8A" w:rsidRDefault="001B6136" w:rsidP="001B6136">
            <w:pPr>
              <w:pStyle w:val="naiskr"/>
              <w:spacing w:before="0" w:after="0"/>
              <w:ind w:left="57" w:right="57"/>
            </w:pPr>
            <w:r w:rsidRPr="00391E8A">
              <w:t>Cita informācija</w:t>
            </w:r>
          </w:p>
          <w:p w:rsidR="001B6136" w:rsidRPr="00391E8A" w:rsidRDefault="001B6136" w:rsidP="001B6136">
            <w:pPr>
              <w:pStyle w:val="naiskr"/>
              <w:spacing w:before="0" w:after="0"/>
              <w:ind w:left="57" w:right="57"/>
            </w:pPr>
          </w:p>
        </w:tc>
        <w:tc>
          <w:tcPr>
            <w:tcW w:w="6094" w:type="dxa"/>
          </w:tcPr>
          <w:p w:rsidR="001B6136" w:rsidRPr="00391E8A" w:rsidRDefault="001B6136" w:rsidP="001B6136">
            <w:pPr>
              <w:spacing w:after="120"/>
              <w:jc w:val="both"/>
            </w:pPr>
            <w:r w:rsidRPr="00391E8A">
              <w:t xml:space="preserve">Sabiedrība pēc normatīvā akta pieņemšanas tiks informēta ar publikāciju laikrakstā "Latvijas Vēstnesis" un bezmaksas normatīvo aktu datu bāzē </w:t>
            </w:r>
            <w:r w:rsidRPr="00391E8A">
              <w:rPr>
                <w:rFonts w:eastAsia="Calibri"/>
              </w:rPr>
              <w:t>www.likumi.lv</w:t>
            </w:r>
            <w:r w:rsidRPr="00391E8A">
              <w:t>.</w:t>
            </w:r>
          </w:p>
          <w:p w:rsidR="001B6136" w:rsidRPr="00391E8A" w:rsidRDefault="007C107F" w:rsidP="007C107F">
            <w:pPr>
              <w:pStyle w:val="naiskr"/>
              <w:spacing w:before="0" w:after="0"/>
              <w:ind w:right="57"/>
              <w:jc w:val="both"/>
            </w:pPr>
            <w:r w:rsidRPr="00391E8A">
              <w:t xml:space="preserve">Informācija par normatīvā akta pieņemšanu, kā arī Likums tiks ievietots </w:t>
            </w:r>
            <w:r w:rsidR="001B6136" w:rsidRPr="00391E8A">
              <w:t>Finanšu un kapitāla tirgus komisijas mājas lapā internetā.</w:t>
            </w:r>
          </w:p>
        </w:tc>
      </w:tr>
    </w:tbl>
    <w:p w:rsidR="001B6136" w:rsidRPr="00391E8A" w:rsidRDefault="001B6136"/>
    <w:tbl>
      <w:tblPr>
        <w:tblW w:w="969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982"/>
        <w:gridCol w:w="5358"/>
      </w:tblGrid>
      <w:tr w:rsidR="00032971" w:rsidRPr="00391E8A" w:rsidTr="00503EE8">
        <w:tc>
          <w:tcPr>
            <w:tcW w:w="9691" w:type="dxa"/>
            <w:gridSpan w:val="3"/>
            <w:tcBorders>
              <w:top w:val="single" w:sz="4" w:space="0" w:color="auto"/>
            </w:tcBorders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</w:pPr>
            <w:r w:rsidRPr="00391E8A">
              <w:t>VII. Tiesību akta projekta izpildes nodrošināšana un tās ietekme uz institūcijām</w:t>
            </w:r>
          </w:p>
        </w:tc>
      </w:tr>
      <w:tr w:rsidR="00032971" w:rsidRPr="00391E8A" w:rsidTr="00503EE8">
        <w:trPr>
          <w:trHeight w:val="427"/>
        </w:trPr>
        <w:tc>
          <w:tcPr>
            <w:tcW w:w="351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</w:rPr>
              <w:t>1.</w:t>
            </w:r>
          </w:p>
        </w:tc>
        <w:tc>
          <w:tcPr>
            <w:tcW w:w="3982" w:type="dxa"/>
          </w:tcPr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 xml:space="preserve">Projekta izpildē iesaistītās institūcijas </w:t>
            </w:r>
          </w:p>
        </w:tc>
        <w:tc>
          <w:tcPr>
            <w:tcW w:w="5358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</w:rPr>
              <w:t>Likumprojekta prasību izpildi nodrošinās Finanšu un kapitāla tirgus komisija.</w:t>
            </w:r>
          </w:p>
        </w:tc>
      </w:tr>
      <w:tr w:rsidR="00032971" w:rsidRPr="00391E8A" w:rsidTr="00503EE8">
        <w:trPr>
          <w:trHeight w:val="463"/>
        </w:trPr>
        <w:tc>
          <w:tcPr>
            <w:tcW w:w="351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</w:rPr>
              <w:t>2.</w:t>
            </w:r>
          </w:p>
        </w:tc>
        <w:tc>
          <w:tcPr>
            <w:tcW w:w="3982" w:type="dxa"/>
          </w:tcPr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 xml:space="preserve">Projekta izpildes ietekme uz pārvaldes funkcijām </w:t>
            </w:r>
          </w:p>
        </w:tc>
        <w:tc>
          <w:tcPr>
            <w:tcW w:w="5358" w:type="dxa"/>
          </w:tcPr>
          <w:p w:rsidR="00032971" w:rsidRPr="00391E8A" w:rsidRDefault="00032971" w:rsidP="007C107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391E8A">
              <w:rPr>
                <w:b w:val="0"/>
                <w:color w:val="000000"/>
              </w:rPr>
              <w:t>Projekts maina iesaistītās institūcijas kompetenci un funkcijas, kā rezultātā tiks veikt</w:t>
            </w:r>
            <w:r w:rsidR="007C107F" w:rsidRPr="00391E8A">
              <w:rPr>
                <w:b w:val="0"/>
                <w:color w:val="000000"/>
              </w:rPr>
              <w:t>a</w:t>
            </w:r>
            <w:r w:rsidRPr="00391E8A">
              <w:rPr>
                <w:b w:val="0"/>
                <w:color w:val="000000"/>
              </w:rPr>
              <w:t xml:space="preserve"> uzraudzība pār </w:t>
            </w:r>
            <w:r w:rsidRPr="00391E8A">
              <w:rPr>
                <w:b w:val="0"/>
                <w:bCs w:val="0"/>
                <w:color w:val="000000"/>
              </w:rPr>
              <w:t>visām maksājumu iestādēm un visām e-naudas iestādēm atbilstoši nacionāl</w:t>
            </w:r>
            <w:r w:rsidR="007C107F" w:rsidRPr="00391E8A">
              <w:rPr>
                <w:b w:val="0"/>
                <w:bCs w:val="0"/>
                <w:color w:val="000000"/>
              </w:rPr>
              <w:t>o</w:t>
            </w:r>
            <w:r w:rsidRPr="00391E8A">
              <w:rPr>
                <w:b w:val="0"/>
                <w:bCs w:val="0"/>
                <w:color w:val="000000"/>
              </w:rPr>
              <w:t xml:space="preserve"> un</w:t>
            </w:r>
            <w:r w:rsidRPr="00391E8A">
              <w:rPr>
                <w:b w:val="0"/>
              </w:rPr>
              <w:t xml:space="preserve"> Eiropas Savienības institūciju izdoto tieši piemērojamo tiesību aktu prasībām.</w:t>
            </w:r>
          </w:p>
        </w:tc>
      </w:tr>
      <w:tr w:rsidR="00032971" w:rsidRPr="00391E8A" w:rsidTr="00503EE8">
        <w:trPr>
          <w:trHeight w:val="725"/>
        </w:trPr>
        <w:tc>
          <w:tcPr>
            <w:tcW w:w="351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</w:rPr>
              <w:t>3.</w:t>
            </w:r>
          </w:p>
        </w:tc>
        <w:tc>
          <w:tcPr>
            <w:tcW w:w="3982" w:type="dxa"/>
          </w:tcPr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>Projekta izpildes ietekme uz pārvaldes institucionālo struktūru.</w:t>
            </w:r>
          </w:p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>Jaunu institūciju izveide</w:t>
            </w:r>
          </w:p>
        </w:tc>
        <w:tc>
          <w:tcPr>
            <w:tcW w:w="5358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  <w:color w:val="000000"/>
              </w:rPr>
            </w:pPr>
            <w:r w:rsidRPr="00391E8A">
              <w:rPr>
                <w:b w:val="0"/>
                <w:color w:val="000000"/>
              </w:rPr>
              <w:t xml:space="preserve">Nav ietekmes. </w:t>
            </w:r>
          </w:p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  <w:color w:val="000000"/>
              </w:rPr>
              <w:t xml:space="preserve">Jaunu institūciju izveide netiek paredzēta. </w:t>
            </w:r>
          </w:p>
        </w:tc>
      </w:tr>
      <w:tr w:rsidR="00032971" w:rsidRPr="00391E8A" w:rsidTr="00503EE8">
        <w:trPr>
          <w:trHeight w:val="780"/>
        </w:trPr>
        <w:tc>
          <w:tcPr>
            <w:tcW w:w="351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</w:rPr>
              <w:t>4.</w:t>
            </w:r>
          </w:p>
        </w:tc>
        <w:tc>
          <w:tcPr>
            <w:tcW w:w="3982" w:type="dxa"/>
          </w:tcPr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>Projekta izpildes ietekme uz pārvaldes institucionālo struktūru.</w:t>
            </w:r>
          </w:p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>Esošu institūciju likvidācija</w:t>
            </w:r>
          </w:p>
        </w:tc>
        <w:tc>
          <w:tcPr>
            <w:tcW w:w="5358" w:type="dxa"/>
          </w:tcPr>
          <w:p w:rsidR="00032971" w:rsidRPr="00391E8A" w:rsidRDefault="00032971" w:rsidP="00CE73F5">
            <w:pPr>
              <w:rPr>
                <w:color w:val="000000"/>
              </w:rPr>
            </w:pPr>
            <w:r w:rsidRPr="00391E8A">
              <w:rPr>
                <w:color w:val="000000"/>
              </w:rPr>
              <w:t>Nav ietekmes.</w:t>
            </w:r>
          </w:p>
          <w:p w:rsidR="00032971" w:rsidRPr="00391E8A" w:rsidRDefault="00032971" w:rsidP="00CE73F5">
            <w:pPr>
              <w:rPr>
                <w:b/>
              </w:rPr>
            </w:pPr>
            <w:r w:rsidRPr="00391E8A">
              <w:rPr>
                <w:color w:val="000000"/>
              </w:rPr>
              <w:t>Institūcijas netiek likvidētas.</w:t>
            </w:r>
          </w:p>
        </w:tc>
      </w:tr>
      <w:tr w:rsidR="00032971" w:rsidRPr="00391E8A" w:rsidTr="00503EE8">
        <w:trPr>
          <w:trHeight w:val="703"/>
        </w:trPr>
        <w:tc>
          <w:tcPr>
            <w:tcW w:w="351" w:type="dxa"/>
          </w:tcPr>
          <w:p w:rsidR="00032971" w:rsidRPr="00391E8A" w:rsidRDefault="00032971" w:rsidP="00CE73F5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391E8A">
              <w:rPr>
                <w:b w:val="0"/>
              </w:rPr>
              <w:t>5.</w:t>
            </w:r>
          </w:p>
        </w:tc>
        <w:tc>
          <w:tcPr>
            <w:tcW w:w="3982" w:type="dxa"/>
          </w:tcPr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>Projekta izpildes ietekme uz pārvaldes institucionālo struktūru.</w:t>
            </w:r>
          </w:p>
          <w:p w:rsidR="00032971" w:rsidRPr="00391E8A" w:rsidRDefault="00032971" w:rsidP="00CE73F5">
            <w:pPr>
              <w:pStyle w:val="naisf"/>
              <w:spacing w:before="0" w:after="0"/>
              <w:ind w:left="57" w:right="57" w:firstLine="0"/>
              <w:jc w:val="left"/>
            </w:pPr>
            <w:r w:rsidRPr="00391E8A">
              <w:t>Esošu institūciju reorganizācija</w:t>
            </w:r>
          </w:p>
        </w:tc>
        <w:tc>
          <w:tcPr>
            <w:tcW w:w="5358" w:type="dxa"/>
          </w:tcPr>
          <w:p w:rsidR="00032971" w:rsidRPr="00391E8A" w:rsidRDefault="00032971" w:rsidP="00CE73F5">
            <w:pPr>
              <w:rPr>
                <w:color w:val="000000"/>
              </w:rPr>
            </w:pPr>
            <w:r w:rsidRPr="00391E8A">
              <w:rPr>
                <w:color w:val="000000"/>
              </w:rPr>
              <w:t>Nav ietekmes.</w:t>
            </w:r>
          </w:p>
          <w:p w:rsidR="00032971" w:rsidRPr="00391E8A" w:rsidRDefault="00032971" w:rsidP="00CE73F5">
            <w:pPr>
              <w:rPr>
                <w:color w:val="000000"/>
              </w:rPr>
            </w:pPr>
            <w:r w:rsidRPr="00391E8A">
              <w:rPr>
                <w:color w:val="000000"/>
              </w:rPr>
              <w:t>Institūcijas netiek reorganizētas.</w:t>
            </w:r>
          </w:p>
        </w:tc>
      </w:tr>
      <w:tr w:rsidR="00032971" w:rsidRPr="00391E8A" w:rsidTr="00503EE8">
        <w:trPr>
          <w:trHeight w:val="476"/>
        </w:trPr>
        <w:tc>
          <w:tcPr>
            <w:tcW w:w="351" w:type="dxa"/>
          </w:tcPr>
          <w:p w:rsidR="00032971" w:rsidRPr="00391E8A" w:rsidRDefault="00032971" w:rsidP="00CE73F5">
            <w:pPr>
              <w:pStyle w:val="naiskr"/>
              <w:spacing w:before="0" w:after="0"/>
              <w:ind w:left="57" w:right="57"/>
            </w:pPr>
            <w:r w:rsidRPr="00391E8A">
              <w:t>6.</w:t>
            </w:r>
          </w:p>
        </w:tc>
        <w:tc>
          <w:tcPr>
            <w:tcW w:w="3982" w:type="dxa"/>
          </w:tcPr>
          <w:p w:rsidR="00032971" w:rsidRPr="00391E8A" w:rsidRDefault="00032971" w:rsidP="00CE73F5">
            <w:pPr>
              <w:pStyle w:val="naiskr"/>
              <w:spacing w:before="0" w:after="0"/>
              <w:ind w:left="57" w:right="57"/>
            </w:pPr>
            <w:r w:rsidRPr="00391E8A">
              <w:t>Cita informācija</w:t>
            </w:r>
          </w:p>
        </w:tc>
        <w:tc>
          <w:tcPr>
            <w:tcW w:w="5358" w:type="dxa"/>
          </w:tcPr>
          <w:p w:rsidR="00032971" w:rsidRPr="00391E8A" w:rsidRDefault="00032971" w:rsidP="00CE73F5">
            <w:pPr>
              <w:pStyle w:val="naiskr"/>
              <w:spacing w:before="0" w:after="0"/>
              <w:ind w:left="57" w:right="57"/>
            </w:pPr>
            <w:r w:rsidRPr="00391E8A">
              <w:t>Nav.</w:t>
            </w:r>
          </w:p>
        </w:tc>
      </w:tr>
    </w:tbl>
    <w:p w:rsidR="00032971" w:rsidRDefault="00032971"/>
    <w:p w:rsidR="004E705D" w:rsidRPr="00391E8A" w:rsidRDefault="004E705D"/>
    <w:p w:rsidR="004E705D" w:rsidRPr="004E705D" w:rsidRDefault="004E705D" w:rsidP="004E705D">
      <w:pPr>
        <w:pStyle w:val="NoSpacing"/>
      </w:pPr>
      <w:r w:rsidRPr="004E705D">
        <w:t>Finanšu ministra vietā</w:t>
      </w:r>
    </w:p>
    <w:p w:rsidR="004E705D" w:rsidRPr="004E705D" w:rsidRDefault="004E705D" w:rsidP="004E705D">
      <w:pPr>
        <w:pStyle w:val="NoSpacing"/>
      </w:pPr>
      <w:r w:rsidRPr="004E705D">
        <w:t xml:space="preserve">zemkopības ministre </w:t>
      </w:r>
      <w:r w:rsidRPr="004E705D">
        <w:tab/>
      </w:r>
      <w:r w:rsidRPr="004E705D">
        <w:tab/>
      </w:r>
      <w:r w:rsidRPr="004E705D">
        <w:tab/>
      </w:r>
      <w:r w:rsidRPr="004E705D">
        <w:tab/>
      </w:r>
      <w:r w:rsidRPr="004E705D">
        <w:tab/>
      </w:r>
      <w:r w:rsidRPr="004E705D">
        <w:tab/>
      </w:r>
      <w:r w:rsidRPr="004E705D">
        <w:tab/>
        <w:t>L. Straujuma</w:t>
      </w:r>
    </w:p>
    <w:p w:rsidR="00616BCF" w:rsidRDefault="00616BCF" w:rsidP="00032971">
      <w:pPr>
        <w:ind w:left="540"/>
      </w:pPr>
    </w:p>
    <w:p w:rsidR="00032971" w:rsidRDefault="00032971" w:rsidP="004E705D">
      <w:r>
        <w:t>Vizē</w:t>
      </w:r>
      <w:r w:rsidRPr="00D42DD4">
        <w:t>:</w:t>
      </w:r>
      <w:r>
        <w:t xml:space="preserve"> valsts sekretāre                   </w:t>
      </w:r>
      <w:r>
        <w:tab/>
      </w:r>
      <w:r>
        <w:tab/>
      </w:r>
      <w:r>
        <w:tab/>
      </w:r>
      <w:r>
        <w:tab/>
      </w:r>
      <w:r w:rsidR="004E705D">
        <w:tab/>
      </w:r>
      <w:r>
        <w:t>S. Bajāre</w:t>
      </w:r>
    </w:p>
    <w:p w:rsidR="00032971" w:rsidRDefault="00032971" w:rsidP="00032971">
      <w:pPr>
        <w:ind w:firstLine="720"/>
      </w:pPr>
    </w:p>
    <w:p w:rsidR="00391E8A" w:rsidRPr="000B4551" w:rsidRDefault="004E705D" w:rsidP="00391E8A">
      <w:pPr>
        <w:rPr>
          <w:sz w:val="20"/>
          <w:szCs w:val="20"/>
        </w:rPr>
      </w:pPr>
      <w:r>
        <w:rPr>
          <w:sz w:val="20"/>
          <w:szCs w:val="20"/>
        </w:rPr>
        <w:t>02</w:t>
      </w:r>
      <w:r w:rsidR="00391E8A" w:rsidRPr="000B4551">
        <w:rPr>
          <w:sz w:val="20"/>
          <w:szCs w:val="20"/>
        </w:rPr>
        <w:t>.</w:t>
      </w:r>
      <w:r w:rsidR="00391E8A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391E8A" w:rsidRPr="000B4551">
        <w:rPr>
          <w:sz w:val="20"/>
          <w:szCs w:val="20"/>
        </w:rPr>
        <w:t>.201</w:t>
      </w:r>
      <w:r w:rsidR="00616BCF">
        <w:rPr>
          <w:sz w:val="20"/>
          <w:szCs w:val="20"/>
        </w:rPr>
        <w:t>3</w:t>
      </w:r>
      <w:r w:rsidR="00391E8A" w:rsidRPr="000B4551">
        <w:rPr>
          <w:sz w:val="20"/>
          <w:szCs w:val="20"/>
        </w:rPr>
        <w:t xml:space="preserve"> </w:t>
      </w:r>
      <w:r w:rsidR="00391E8A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391E8A" w:rsidRPr="000B4551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EE781F">
        <w:rPr>
          <w:sz w:val="20"/>
          <w:szCs w:val="20"/>
        </w:rPr>
        <w:t>0</w:t>
      </w:r>
    </w:p>
    <w:p w:rsidR="00CC6A04" w:rsidRPr="000B4551" w:rsidRDefault="00CC6A04" w:rsidP="00391E8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D4385">
        <w:rPr>
          <w:sz w:val="20"/>
          <w:szCs w:val="20"/>
        </w:rPr>
        <w:t>126</w:t>
      </w:r>
      <w:bookmarkStart w:id="0" w:name="_GoBack"/>
      <w:bookmarkEnd w:id="0"/>
    </w:p>
    <w:p w:rsidR="00032971" w:rsidRDefault="00032971" w:rsidP="00032971">
      <w:pPr>
        <w:rPr>
          <w:sz w:val="16"/>
        </w:rPr>
      </w:pPr>
      <w:r>
        <w:rPr>
          <w:sz w:val="16"/>
        </w:rPr>
        <w:t xml:space="preserve">I. Valtiņš </w:t>
      </w:r>
    </w:p>
    <w:p w:rsidR="00032971" w:rsidRPr="00CC6A04" w:rsidRDefault="00032971">
      <w:r>
        <w:rPr>
          <w:sz w:val="16"/>
        </w:rPr>
        <w:t>6</w:t>
      </w:r>
      <w:r w:rsidRPr="004E705D">
        <w:rPr>
          <w:rFonts w:eastAsia="Calibri"/>
          <w:color w:val="000000"/>
          <w:sz w:val="16"/>
          <w:szCs w:val="16"/>
        </w:rPr>
        <w:t>7774925,</w:t>
      </w:r>
      <w:r w:rsidR="00CC6A04" w:rsidRPr="004E705D">
        <w:rPr>
          <w:rFonts w:eastAsia="Calibri"/>
          <w:color w:val="000000"/>
          <w:sz w:val="16"/>
          <w:szCs w:val="16"/>
        </w:rPr>
        <w:t xml:space="preserve"> </w:t>
      </w:r>
      <w:hyperlink r:id="rId8" w:history="1">
        <w:r w:rsidR="004E705D" w:rsidRPr="006664E9">
          <w:rPr>
            <w:rStyle w:val="Hyperlink"/>
            <w:sz w:val="16"/>
          </w:rPr>
          <w:t>ingus.valtins@fktk.lv</w:t>
        </w:r>
      </w:hyperlink>
      <w:r w:rsidR="004E705D">
        <w:rPr>
          <w:sz w:val="16"/>
        </w:rPr>
        <w:t xml:space="preserve"> </w:t>
      </w:r>
    </w:p>
    <w:sectPr w:rsidR="00032971" w:rsidRPr="00CC6A04" w:rsidSect="00781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43" w:rsidRDefault="00A61B43" w:rsidP="00C5135C">
      <w:r>
        <w:separator/>
      </w:r>
    </w:p>
  </w:endnote>
  <w:endnote w:type="continuationSeparator" w:id="0">
    <w:p w:rsidR="00A61B43" w:rsidRDefault="00A61B43" w:rsidP="00C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">
    <w:altName w:val="EU Albertina"/>
    <w:charset w:val="00"/>
    <w:family w:val="roman"/>
    <w:pitch w:val="default"/>
    <w:sig w:usb0="00000007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C" w:rsidRDefault="00C51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C" w:rsidRPr="00C5135C" w:rsidRDefault="00C5135C" w:rsidP="00C5135C">
    <w:pPr>
      <w:pStyle w:val="Footer"/>
      <w:jc w:val="both"/>
      <w:rPr>
        <w:sz w:val="20"/>
        <w:szCs w:val="20"/>
      </w:rPr>
    </w:pPr>
    <w:r w:rsidRPr="00C5135C">
      <w:rPr>
        <w:sz w:val="20"/>
        <w:szCs w:val="20"/>
      </w:rPr>
      <w:t>FMAnot_</w:t>
    </w:r>
    <w:r>
      <w:rPr>
        <w:sz w:val="20"/>
        <w:szCs w:val="20"/>
      </w:rPr>
      <w:t>220313</w:t>
    </w:r>
    <w:r w:rsidRPr="00C5135C">
      <w:rPr>
        <w:sz w:val="20"/>
        <w:szCs w:val="20"/>
      </w:rPr>
      <w:t>_</w:t>
    </w:r>
    <w:r>
      <w:rPr>
        <w:sz w:val="20"/>
        <w:szCs w:val="20"/>
      </w:rPr>
      <w:t>SEPA;</w:t>
    </w:r>
    <w:r w:rsidRPr="00C5135C">
      <w:rPr>
        <w:sz w:val="20"/>
        <w:szCs w:val="20"/>
      </w:rPr>
      <w:t xml:space="preserve"> Likumprojekta "Grozījumi Maksājumu pakalpojumu un elektroniskās naudas likumā"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C" w:rsidRDefault="00C51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43" w:rsidRDefault="00A61B43" w:rsidP="00C5135C">
      <w:r>
        <w:separator/>
      </w:r>
    </w:p>
  </w:footnote>
  <w:footnote w:type="continuationSeparator" w:id="0">
    <w:p w:rsidR="00A61B43" w:rsidRDefault="00A61B43" w:rsidP="00C5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C" w:rsidRDefault="00C51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C" w:rsidRDefault="00C51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C" w:rsidRDefault="00C51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5"/>
    <w:rsid w:val="00021B81"/>
    <w:rsid w:val="00032971"/>
    <w:rsid w:val="00032AF1"/>
    <w:rsid w:val="00050DCC"/>
    <w:rsid w:val="00066453"/>
    <w:rsid w:val="00085D42"/>
    <w:rsid w:val="0009507D"/>
    <w:rsid w:val="000B1450"/>
    <w:rsid w:val="000B57C6"/>
    <w:rsid w:val="000C17E3"/>
    <w:rsid w:val="000C7E8E"/>
    <w:rsid w:val="000D27C9"/>
    <w:rsid w:val="000E1E66"/>
    <w:rsid w:val="00122193"/>
    <w:rsid w:val="001451D3"/>
    <w:rsid w:val="001A3847"/>
    <w:rsid w:val="001A6AD8"/>
    <w:rsid w:val="001B6136"/>
    <w:rsid w:val="001C441A"/>
    <w:rsid w:val="001F1F16"/>
    <w:rsid w:val="00204500"/>
    <w:rsid w:val="0024008E"/>
    <w:rsid w:val="002754B8"/>
    <w:rsid w:val="00281CB6"/>
    <w:rsid w:val="00287C50"/>
    <w:rsid w:val="00295993"/>
    <w:rsid w:val="002A2A06"/>
    <w:rsid w:val="002B5B09"/>
    <w:rsid w:val="002B5E19"/>
    <w:rsid w:val="002C288E"/>
    <w:rsid w:val="002C52FC"/>
    <w:rsid w:val="002D6C2C"/>
    <w:rsid w:val="00322208"/>
    <w:rsid w:val="00334A98"/>
    <w:rsid w:val="0034543D"/>
    <w:rsid w:val="003476E4"/>
    <w:rsid w:val="00371D35"/>
    <w:rsid w:val="003800AE"/>
    <w:rsid w:val="00387F12"/>
    <w:rsid w:val="00391E8A"/>
    <w:rsid w:val="003A26E2"/>
    <w:rsid w:val="003B4524"/>
    <w:rsid w:val="003D4385"/>
    <w:rsid w:val="0040602C"/>
    <w:rsid w:val="00432D57"/>
    <w:rsid w:val="00433C2C"/>
    <w:rsid w:val="004559A4"/>
    <w:rsid w:val="00472293"/>
    <w:rsid w:val="004809DB"/>
    <w:rsid w:val="004A447A"/>
    <w:rsid w:val="004B6EEF"/>
    <w:rsid w:val="004C6384"/>
    <w:rsid w:val="004E4D98"/>
    <w:rsid w:val="004E705D"/>
    <w:rsid w:val="00503EE8"/>
    <w:rsid w:val="00581210"/>
    <w:rsid w:val="005948EB"/>
    <w:rsid w:val="005B5F2D"/>
    <w:rsid w:val="005D691F"/>
    <w:rsid w:val="005F2678"/>
    <w:rsid w:val="0060117C"/>
    <w:rsid w:val="00616BCF"/>
    <w:rsid w:val="00622B5E"/>
    <w:rsid w:val="00645619"/>
    <w:rsid w:val="006604C2"/>
    <w:rsid w:val="00675604"/>
    <w:rsid w:val="00676D26"/>
    <w:rsid w:val="006B20AE"/>
    <w:rsid w:val="006C53E2"/>
    <w:rsid w:val="006C7C77"/>
    <w:rsid w:val="006E574F"/>
    <w:rsid w:val="007051E0"/>
    <w:rsid w:val="00775782"/>
    <w:rsid w:val="00781FAD"/>
    <w:rsid w:val="007C107F"/>
    <w:rsid w:val="007E3DA7"/>
    <w:rsid w:val="007F1908"/>
    <w:rsid w:val="008215D9"/>
    <w:rsid w:val="00835D65"/>
    <w:rsid w:val="008507BB"/>
    <w:rsid w:val="008B5DB1"/>
    <w:rsid w:val="008B78B0"/>
    <w:rsid w:val="008B7902"/>
    <w:rsid w:val="0091140F"/>
    <w:rsid w:val="00921FBB"/>
    <w:rsid w:val="00933809"/>
    <w:rsid w:val="00933DDC"/>
    <w:rsid w:val="009427DC"/>
    <w:rsid w:val="00945629"/>
    <w:rsid w:val="009D40C3"/>
    <w:rsid w:val="00A1007E"/>
    <w:rsid w:val="00A43F42"/>
    <w:rsid w:val="00A56546"/>
    <w:rsid w:val="00A604FA"/>
    <w:rsid w:val="00A61B43"/>
    <w:rsid w:val="00AA2F6D"/>
    <w:rsid w:val="00AA5C18"/>
    <w:rsid w:val="00AC638C"/>
    <w:rsid w:val="00B207E5"/>
    <w:rsid w:val="00B35584"/>
    <w:rsid w:val="00B57C87"/>
    <w:rsid w:val="00B752C0"/>
    <w:rsid w:val="00B82197"/>
    <w:rsid w:val="00C0647E"/>
    <w:rsid w:val="00C10B23"/>
    <w:rsid w:val="00C24FB0"/>
    <w:rsid w:val="00C324F8"/>
    <w:rsid w:val="00C5135C"/>
    <w:rsid w:val="00C66FC7"/>
    <w:rsid w:val="00C9533C"/>
    <w:rsid w:val="00CB61B0"/>
    <w:rsid w:val="00CC6A04"/>
    <w:rsid w:val="00CD33C6"/>
    <w:rsid w:val="00CE6097"/>
    <w:rsid w:val="00CE73F5"/>
    <w:rsid w:val="00D159A2"/>
    <w:rsid w:val="00D4064F"/>
    <w:rsid w:val="00D43F45"/>
    <w:rsid w:val="00E17EDC"/>
    <w:rsid w:val="00E20BE9"/>
    <w:rsid w:val="00E30910"/>
    <w:rsid w:val="00E5159B"/>
    <w:rsid w:val="00E52D5D"/>
    <w:rsid w:val="00E811F3"/>
    <w:rsid w:val="00E814AD"/>
    <w:rsid w:val="00ED1069"/>
    <w:rsid w:val="00EE781F"/>
    <w:rsid w:val="00F10635"/>
    <w:rsid w:val="00F161FC"/>
    <w:rsid w:val="00F31593"/>
    <w:rsid w:val="00F40F15"/>
    <w:rsid w:val="00FA6FD9"/>
    <w:rsid w:val="00FB6635"/>
    <w:rsid w:val="00FB7BC4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1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1D35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naiskr">
    <w:name w:val="naiskr"/>
    <w:basedOn w:val="Normal"/>
    <w:rsid w:val="00371D35"/>
    <w:pPr>
      <w:suppressAutoHyphens w:val="0"/>
      <w:spacing w:before="75" w:after="75"/>
    </w:pPr>
    <w:rPr>
      <w:lang w:eastAsia="lv-LV"/>
    </w:rPr>
  </w:style>
  <w:style w:type="paragraph" w:customStyle="1" w:styleId="Default">
    <w:name w:val="Default"/>
    <w:uiPriority w:val="99"/>
    <w:rsid w:val="00347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C6"/>
    <w:rPr>
      <w:rFonts w:ascii="Tahoma" w:eastAsia="Times New Roman" w:hAnsi="Tahoma" w:cs="Tahoma"/>
      <w:sz w:val="16"/>
      <w:szCs w:val="16"/>
      <w:lang w:val="lv-LV" w:eastAsia="ar-SA"/>
    </w:rPr>
  </w:style>
  <w:style w:type="paragraph" w:customStyle="1" w:styleId="naisnod">
    <w:name w:val="naisnod"/>
    <w:basedOn w:val="Normal"/>
    <w:rsid w:val="00B3558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customStyle="1" w:styleId="naisc">
    <w:name w:val="naisc"/>
    <w:basedOn w:val="Normal"/>
    <w:rsid w:val="00B35584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f">
    <w:name w:val="naisf"/>
    <w:basedOn w:val="Normal"/>
    <w:rsid w:val="003B452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NormalWeb">
    <w:name w:val="Normal (Web)"/>
    <w:basedOn w:val="Normal"/>
    <w:semiHidden/>
    <w:rsid w:val="00032971"/>
    <w:pPr>
      <w:suppressAutoHyphens w:val="0"/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BB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BB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7C107F"/>
    <w:rPr>
      <w:color w:val="0000FF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E5159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5159B"/>
    <w:rPr>
      <w:rFonts w:ascii="EUAlbertina" w:eastAsiaTheme="minorHAnsi" w:hAnsi="EUAlberti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5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5C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4E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1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1D35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naiskr">
    <w:name w:val="naiskr"/>
    <w:basedOn w:val="Normal"/>
    <w:rsid w:val="00371D35"/>
    <w:pPr>
      <w:suppressAutoHyphens w:val="0"/>
      <w:spacing w:before="75" w:after="75"/>
    </w:pPr>
    <w:rPr>
      <w:lang w:eastAsia="lv-LV"/>
    </w:rPr>
  </w:style>
  <w:style w:type="paragraph" w:customStyle="1" w:styleId="Default">
    <w:name w:val="Default"/>
    <w:uiPriority w:val="99"/>
    <w:rsid w:val="00347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C6"/>
    <w:rPr>
      <w:rFonts w:ascii="Tahoma" w:eastAsia="Times New Roman" w:hAnsi="Tahoma" w:cs="Tahoma"/>
      <w:sz w:val="16"/>
      <w:szCs w:val="16"/>
      <w:lang w:val="lv-LV" w:eastAsia="ar-SA"/>
    </w:rPr>
  </w:style>
  <w:style w:type="paragraph" w:customStyle="1" w:styleId="naisnod">
    <w:name w:val="naisnod"/>
    <w:basedOn w:val="Normal"/>
    <w:rsid w:val="00B3558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customStyle="1" w:styleId="naisc">
    <w:name w:val="naisc"/>
    <w:basedOn w:val="Normal"/>
    <w:rsid w:val="00B35584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f">
    <w:name w:val="naisf"/>
    <w:basedOn w:val="Normal"/>
    <w:rsid w:val="003B452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NormalWeb">
    <w:name w:val="Normal (Web)"/>
    <w:basedOn w:val="Normal"/>
    <w:semiHidden/>
    <w:rsid w:val="00032971"/>
    <w:pPr>
      <w:suppressAutoHyphens w:val="0"/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BB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BB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7C107F"/>
    <w:rPr>
      <w:color w:val="0000FF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E5159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5159B"/>
    <w:rPr>
      <w:rFonts w:ascii="EUAlbertina" w:eastAsiaTheme="minorHAnsi" w:hAnsi="EUAlberti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5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5C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4E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s.valtins@fktk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35799-9670-4C1B-A811-D739B95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5658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Maksājumu pakalpojumu un elektroniskās naudas likumā" sākotnējās ietekmes novērtējuma ziņojums (anotācija)</vt:lpstr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Maksājumu pakalpojumu un elektroniskās naudas likumā" sākotnējās ietekmes novērtējuma ziņojums (anotācija)</dc:title>
  <dc:subject>Anotācija</dc:subject>
  <dc:creator>Ingus Valtiņš</dc:creator>
  <cp:keywords/>
  <dc:description>ingus.valtins@fktk.lv, 67 774 925</dc:description>
  <cp:lastModifiedBy>Finanšu Ministrija</cp:lastModifiedBy>
  <cp:revision>3</cp:revision>
  <dcterms:created xsi:type="dcterms:W3CDTF">2013-05-02T13:00:00Z</dcterms:created>
  <dcterms:modified xsi:type="dcterms:W3CDTF">2013-05-03T08:36:00Z</dcterms:modified>
</cp:coreProperties>
</file>