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3A" w:rsidRPr="006E1E2D" w:rsidRDefault="00107913" w:rsidP="00DC2145">
      <w:pPr>
        <w:spacing w:before="75" w:after="75"/>
        <w:ind w:firstLine="375"/>
        <w:jc w:val="center"/>
        <w:rPr>
          <w:b/>
          <w:szCs w:val="28"/>
        </w:rPr>
      </w:pPr>
      <w:r w:rsidRPr="006E1E2D">
        <w:rPr>
          <w:b/>
          <w:bCs/>
          <w:szCs w:val="28"/>
        </w:rPr>
        <w:t xml:space="preserve">Ministru kabineta </w:t>
      </w:r>
      <w:r w:rsidRPr="006E1E2D">
        <w:rPr>
          <w:b/>
          <w:szCs w:val="28"/>
        </w:rPr>
        <w:t xml:space="preserve"> </w:t>
      </w:r>
      <w:r w:rsidRPr="006E1E2D">
        <w:rPr>
          <w:b/>
          <w:bCs/>
          <w:szCs w:val="28"/>
        </w:rPr>
        <w:t>noteikumu „</w:t>
      </w:r>
      <w:r w:rsidR="00DC2145" w:rsidRPr="006E1E2D">
        <w:rPr>
          <w:rFonts w:eastAsia="Times New Roman"/>
          <w:b/>
          <w:bCs/>
          <w:szCs w:val="28"/>
          <w:lang w:eastAsia="lv-LV"/>
        </w:rPr>
        <w:t>Noteikumi par papildu atlīdzības noteikšanu amatpersonām (darbiniekiem), kuras ir iesaistītas Latvijas prezidentūras Eiropas Savienības Padomē 2015.gadā sagatavošanā un norisē</w:t>
      </w:r>
      <w:r w:rsidRPr="006E1E2D">
        <w:rPr>
          <w:b/>
          <w:szCs w:val="28"/>
        </w:rPr>
        <w:t xml:space="preserve">” </w:t>
      </w:r>
      <w:r w:rsidR="002F0760" w:rsidRPr="006E1E2D">
        <w:rPr>
          <w:b/>
          <w:szCs w:val="28"/>
        </w:rPr>
        <w:t xml:space="preserve">projekta </w:t>
      </w:r>
      <w:r w:rsidR="0055133A" w:rsidRPr="006E1E2D">
        <w:rPr>
          <w:b/>
          <w:bCs/>
          <w:szCs w:val="28"/>
        </w:rPr>
        <w:t>sākotnējās ietekmes novērtējuma ziņojums (anotācija)</w:t>
      </w:r>
    </w:p>
    <w:p w:rsidR="00EB331A" w:rsidRPr="006E1E2D" w:rsidRDefault="00EB331A" w:rsidP="00EB331A">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109"/>
      </w:tblGrid>
      <w:tr w:rsidR="00EB331A" w:rsidRPr="006E1E2D" w:rsidTr="0028017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EB331A" w:rsidRPr="006E1E2D" w:rsidRDefault="00EB331A" w:rsidP="00273938">
            <w:pPr>
              <w:pStyle w:val="ListParagraph"/>
              <w:numPr>
                <w:ilvl w:val="0"/>
                <w:numId w:val="2"/>
              </w:numPr>
              <w:rPr>
                <w:rFonts w:eastAsia="Times New Roman" w:cs="Times New Roman"/>
                <w:b/>
                <w:bCs/>
                <w:sz w:val="26"/>
                <w:szCs w:val="26"/>
                <w:lang w:eastAsia="lv-LV"/>
              </w:rPr>
            </w:pPr>
            <w:r w:rsidRPr="006E1E2D">
              <w:rPr>
                <w:rFonts w:eastAsia="Times New Roman" w:cs="Times New Roman"/>
                <w:b/>
                <w:bCs/>
                <w:sz w:val="26"/>
                <w:szCs w:val="26"/>
                <w:lang w:eastAsia="lv-LV"/>
              </w:rPr>
              <w:t>Tiesību akta projekta izstrādes nepieciešamība</w:t>
            </w:r>
          </w:p>
        </w:tc>
      </w:tr>
      <w:tr w:rsidR="00EB331A" w:rsidRPr="006E1E2D" w:rsidTr="00280176">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jc w:val="both"/>
              <w:rPr>
                <w:rFonts w:eastAsia="Times New Roman"/>
                <w:sz w:val="26"/>
                <w:szCs w:val="26"/>
                <w:lang w:eastAsia="lv-LV"/>
              </w:rPr>
            </w:pPr>
            <w:r w:rsidRPr="006E1E2D">
              <w:rPr>
                <w:rFonts w:eastAsia="Times New Roman"/>
                <w:sz w:val="26"/>
                <w:szCs w:val="26"/>
                <w:lang w:eastAsia="lv-LV"/>
              </w:rPr>
              <w:t>Valsts un pašvaldību institūciju amatpersonu un darbinieku atlīdzības likuma (2012.gada 13.decembra likuma "Grozījumi Valsts un pašvaldību institūciju amatpersonu un darbinieku atlīdzības likumā" redakcijā) pārejas noteikumu 8.</w:t>
            </w:r>
            <w:r w:rsidRPr="006E1E2D">
              <w:rPr>
                <w:rFonts w:eastAsia="Times New Roman"/>
                <w:sz w:val="26"/>
                <w:szCs w:val="26"/>
                <w:vertAlign w:val="superscript"/>
                <w:lang w:eastAsia="lv-LV"/>
              </w:rPr>
              <w:t>14</w:t>
            </w:r>
            <w:r w:rsidRPr="006E1E2D">
              <w:rPr>
                <w:rFonts w:eastAsia="Times New Roman"/>
                <w:sz w:val="26"/>
                <w:szCs w:val="26"/>
                <w:lang w:eastAsia="lv-LV"/>
              </w:rPr>
              <w:t xml:space="preserve"> punktā Ministru kabinetam dotais uzdevums.</w:t>
            </w:r>
          </w:p>
        </w:tc>
      </w:tr>
      <w:tr w:rsidR="00EB331A" w:rsidRPr="006E1E2D" w:rsidTr="00280176">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rsidR="00EB331A" w:rsidRPr="006E1E2D" w:rsidRDefault="00EB331A" w:rsidP="00280176">
            <w:pPr>
              <w:pStyle w:val="naisf"/>
              <w:spacing w:before="0" w:beforeAutospacing="0" w:after="0" w:afterAutospacing="0"/>
              <w:jc w:val="both"/>
              <w:rPr>
                <w:sz w:val="26"/>
                <w:szCs w:val="26"/>
              </w:rPr>
            </w:pPr>
            <w:r w:rsidRPr="006E1E2D">
              <w:rPr>
                <w:sz w:val="26"/>
                <w:szCs w:val="26"/>
              </w:rPr>
              <w:t xml:space="preserve"> Latvijas sniegums prezidentūras Eiropas Savienības Padomē 2015.gadā nodrošināšanā būs atkarīgs no amatpersonu un darbinieku profesionalitātes un sagatavotības līmeņa. Lai piesaistītu kvalificētus speciālistus darbam Latvijas prezidentūras Eiropas Savienības Padomē,  kā vienu no motivācijas instrumentiem nepieciešams noteikt papildu darba samaksu un sociālās garantijas.</w:t>
            </w:r>
          </w:p>
        </w:tc>
      </w:tr>
      <w:tr w:rsidR="00EB331A" w:rsidRPr="006E1E2D" w:rsidTr="00280176">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3.</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Projekts šo jomu neskar.</w:t>
            </w:r>
          </w:p>
        </w:tc>
      </w:tr>
      <w:tr w:rsidR="00EB331A" w:rsidRPr="006E1E2D" w:rsidTr="00280176">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rsidR="00064855" w:rsidRPr="006E1E2D" w:rsidRDefault="00EB331A" w:rsidP="00064855">
            <w:pPr>
              <w:pStyle w:val="naisf"/>
              <w:spacing w:before="0" w:beforeAutospacing="0" w:after="0" w:afterAutospacing="0"/>
              <w:jc w:val="both"/>
              <w:rPr>
                <w:sz w:val="26"/>
                <w:szCs w:val="26"/>
              </w:rPr>
            </w:pPr>
            <w:r w:rsidRPr="006E1E2D">
              <w:rPr>
                <w:sz w:val="26"/>
                <w:szCs w:val="26"/>
              </w:rPr>
              <w:t>Noteikum</w:t>
            </w:r>
            <w:r w:rsidR="002B4CA5" w:rsidRPr="006E1E2D">
              <w:rPr>
                <w:sz w:val="26"/>
                <w:szCs w:val="26"/>
              </w:rPr>
              <w:t>u projekts</w:t>
            </w:r>
            <w:r w:rsidRPr="006E1E2D">
              <w:rPr>
                <w:sz w:val="26"/>
                <w:szCs w:val="26"/>
              </w:rPr>
              <w:t xml:space="preserve"> nosaka Latvijas prezidentūras Eiropas Savienības Padomē 2015.gadā sagatavošanā un norisē iesaistīto amatpersonu (darbinieku) piemaksu un prēmiju apmēru, to piešķiršanas kritērijus, piešķiršanas un izmaksas kārtību, kā arī darba intensitātei Latvijas prezidentūras laikā atbilstošu papildatvaļinājuma ilgumu.</w:t>
            </w:r>
            <w:r w:rsidR="00064855" w:rsidRPr="006E1E2D">
              <w:rPr>
                <w:sz w:val="26"/>
                <w:szCs w:val="26"/>
              </w:rPr>
              <w:t xml:space="preserve"> </w:t>
            </w:r>
          </w:p>
          <w:p w:rsidR="00F97453" w:rsidRPr="006E1E2D" w:rsidRDefault="00064855" w:rsidP="00F97453">
            <w:pPr>
              <w:pStyle w:val="naisf"/>
              <w:spacing w:before="0" w:beforeAutospacing="0" w:after="0" w:afterAutospacing="0"/>
              <w:jc w:val="both"/>
              <w:rPr>
                <w:sz w:val="26"/>
                <w:szCs w:val="26"/>
              </w:rPr>
            </w:pPr>
            <w:r w:rsidRPr="006E1E2D">
              <w:rPr>
                <w:sz w:val="26"/>
                <w:szCs w:val="26"/>
              </w:rPr>
              <w:t xml:space="preserve">Noteikumu projekts paredz sākotnēji piemaksas apmēru noteikt atbilstoši darba intensitātes pakāpei – </w:t>
            </w:r>
            <w:proofErr w:type="spellStart"/>
            <w:r w:rsidRPr="006E1E2D">
              <w:rPr>
                <w:sz w:val="26"/>
                <w:szCs w:val="26"/>
              </w:rPr>
              <w:t>pamatintensitāte</w:t>
            </w:r>
            <w:proofErr w:type="spellEnd"/>
            <w:r w:rsidRPr="006E1E2D">
              <w:rPr>
                <w:sz w:val="26"/>
                <w:szCs w:val="26"/>
              </w:rPr>
              <w:t xml:space="preserve">. </w:t>
            </w:r>
            <w:r w:rsidR="00F97453" w:rsidRPr="006E1E2D">
              <w:rPr>
                <w:sz w:val="26"/>
                <w:szCs w:val="26"/>
              </w:rPr>
              <w:t>Savukārt pēc 2015.gada 30.jūnija, pamatojoties uz  amatpersonas (darbinieka) iesaisti Prezidentūras norisē (katras  darba grupas sanāksmju skaits un tajā izskatīto tiesību aktu projektu skaits) ir paredzēts, ka piemaksas apmērs tiks pārskatīts.</w:t>
            </w:r>
          </w:p>
          <w:p w:rsidR="001514D3" w:rsidRPr="006E1E2D" w:rsidRDefault="001514D3" w:rsidP="00064855">
            <w:pPr>
              <w:pStyle w:val="naisf"/>
              <w:spacing w:before="0" w:beforeAutospacing="0" w:after="0" w:afterAutospacing="0"/>
              <w:jc w:val="both"/>
              <w:rPr>
                <w:sz w:val="26"/>
                <w:szCs w:val="26"/>
              </w:rPr>
            </w:pPr>
            <w:r w:rsidRPr="006E1E2D">
              <w:rPr>
                <w:sz w:val="26"/>
                <w:szCs w:val="26"/>
              </w:rPr>
              <w:t xml:space="preserve">Eiropas Savienības jautājumu koordinatoram un nozares speciālistam komunikācijas jautājumos noteiktais piemaksu apmērs ir paredzēts konstants lielums, kas ir lielāks par piemaksas apmēru darba grupas vadītāja vietniekam un ekspertam nozares jautājumos, kuram ir </w:t>
            </w:r>
            <w:proofErr w:type="spellStart"/>
            <w:r w:rsidRPr="006E1E2D">
              <w:rPr>
                <w:sz w:val="26"/>
                <w:szCs w:val="26"/>
              </w:rPr>
              <w:t>pamatintensitāte</w:t>
            </w:r>
            <w:proofErr w:type="spellEnd"/>
            <w:r w:rsidRPr="006E1E2D">
              <w:rPr>
                <w:sz w:val="26"/>
                <w:szCs w:val="26"/>
              </w:rPr>
              <w:t>, kā arī tāds pats kā ekspertam nozares jautājumos, kuram ir vidēja intensitāte. Šāds piemaksu apmērs ir pamatots ar to, ka pamatā šo darbinieku pienākumu apjoms būs ievērojams visa perioda griezumā, kā arī problemātiski noteikt izmērāmus kritērijus šo piemaksu gradēšanai.</w:t>
            </w:r>
          </w:p>
          <w:p w:rsidR="00E41C93" w:rsidRPr="006E1E2D" w:rsidRDefault="00E41C93" w:rsidP="00064855">
            <w:pPr>
              <w:pStyle w:val="naisf"/>
              <w:spacing w:before="0" w:beforeAutospacing="0" w:after="0" w:afterAutospacing="0"/>
              <w:jc w:val="both"/>
              <w:rPr>
                <w:sz w:val="26"/>
                <w:szCs w:val="26"/>
              </w:rPr>
            </w:pPr>
            <w:r w:rsidRPr="006E1E2D">
              <w:rPr>
                <w:sz w:val="26"/>
                <w:szCs w:val="26"/>
              </w:rPr>
              <w:lastRenderedPageBreak/>
              <w:t>Gadījumos, ja amatpersonas (darbinieki) ir iesaistītas prezidentūras nodrošināšanā tikai uz laiku un ar 2015.gada 30. jūniju pārtrauc darbu attiecīgajā institūcijā, tad izbeidzot ar šo amatpersonu (darbinieku) amata (darba) tiesiskās attiecības</w:t>
            </w:r>
            <w:r w:rsidR="00D57A94" w:rsidRPr="006E1E2D">
              <w:rPr>
                <w:sz w:val="26"/>
                <w:szCs w:val="26"/>
              </w:rPr>
              <w:t>,</w:t>
            </w:r>
            <w:r w:rsidRPr="006E1E2D">
              <w:rPr>
                <w:sz w:val="26"/>
                <w:szCs w:val="26"/>
              </w:rPr>
              <w:t xml:space="preserve"> ar viņu ir jānorēķinās pēdējā viņa darba dienā, attiecīgi </w:t>
            </w:r>
            <w:r w:rsidR="00F97453" w:rsidRPr="006E1E2D">
              <w:rPr>
                <w:sz w:val="26"/>
                <w:szCs w:val="26"/>
              </w:rPr>
              <w:t xml:space="preserve">veicot </w:t>
            </w:r>
            <w:r w:rsidRPr="006E1E2D">
              <w:rPr>
                <w:sz w:val="26"/>
                <w:szCs w:val="26"/>
              </w:rPr>
              <w:t xml:space="preserve">intensitātes pārrēķinu. Ja amatpersonas (darbinieki) kuras ir iesaistītas prezidentūras nodrošināšanā pārtrauc darbu attiecīgajā institūcijā pirms 2015.gada 30. </w:t>
            </w:r>
            <w:r w:rsidR="00D57A94" w:rsidRPr="006E1E2D">
              <w:rPr>
                <w:sz w:val="26"/>
                <w:szCs w:val="26"/>
              </w:rPr>
              <w:t>j</w:t>
            </w:r>
            <w:r w:rsidRPr="006E1E2D">
              <w:rPr>
                <w:sz w:val="26"/>
                <w:szCs w:val="26"/>
              </w:rPr>
              <w:t>ūnija</w:t>
            </w:r>
            <w:r w:rsidR="00D57A94" w:rsidRPr="006E1E2D">
              <w:rPr>
                <w:sz w:val="26"/>
                <w:szCs w:val="26"/>
              </w:rPr>
              <w:t>,</w:t>
            </w:r>
            <w:r w:rsidRPr="006E1E2D">
              <w:rPr>
                <w:sz w:val="26"/>
                <w:szCs w:val="26"/>
              </w:rPr>
              <w:t xml:space="preserve"> intensitātes pārrēķins netiek veikts.</w:t>
            </w:r>
            <w:r w:rsidR="00B9208D" w:rsidRPr="006E1E2D">
              <w:rPr>
                <w:sz w:val="26"/>
                <w:szCs w:val="26"/>
              </w:rPr>
              <w:t xml:space="preserve"> Tādējādi tiks vecināta amatpersonu (darbinieku) piesaiste darbam </w:t>
            </w:r>
            <w:r w:rsidR="00334A25" w:rsidRPr="006E1E2D">
              <w:rPr>
                <w:sz w:val="26"/>
                <w:szCs w:val="26"/>
              </w:rPr>
              <w:t>Prezidentūrā līdz Prezidentūras beigām.</w:t>
            </w:r>
          </w:p>
          <w:p w:rsidR="00064855" w:rsidRPr="006E1E2D" w:rsidRDefault="00064855" w:rsidP="00064855">
            <w:pPr>
              <w:pStyle w:val="naisf"/>
              <w:spacing w:before="0" w:beforeAutospacing="0" w:after="0" w:afterAutospacing="0"/>
              <w:jc w:val="both"/>
              <w:rPr>
                <w:sz w:val="26"/>
                <w:szCs w:val="26"/>
              </w:rPr>
            </w:pPr>
            <w:r w:rsidRPr="006E1E2D">
              <w:rPr>
                <w:sz w:val="26"/>
                <w:szCs w:val="26"/>
              </w:rPr>
              <w:t xml:space="preserve"> Noteikumu projekts neparedz vienotu atskaites formu, kādā </w:t>
            </w:r>
            <w:r w:rsidR="00EA3591" w:rsidRPr="006E1E2D">
              <w:rPr>
                <w:sz w:val="26"/>
                <w:szCs w:val="26"/>
              </w:rPr>
              <w:t xml:space="preserve">amatpersonai (darbiniekam) </w:t>
            </w:r>
            <w:r w:rsidRPr="006E1E2D">
              <w:rPr>
                <w:sz w:val="26"/>
                <w:szCs w:val="26"/>
              </w:rPr>
              <w:t>jāatskaitās par paveikto, līdz ar to tā ir katras institūcijas kompetence.</w:t>
            </w:r>
            <w:r w:rsidR="007F1320" w:rsidRPr="006E1E2D">
              <w:t xml:space="preserve"> </w:t>
            </w:r>
          </w:p>
          <w:p w:rsidR="007F1320" w:rsidRPr="006E1E2D" w:rsidRDefault="007F1320" w:rsidP="00064855">
            <w:pPr>
              <w:pStyle w:val="naisf"/>
              <w:spacing w:before="0" w:beforeAutospacing="0" w:after="0" w:afterAutospacing="0"/>
              <w:jc w:val="both"/>
              <w:rPr>
                <w:sz w:val="26"/>
                <w:szCs w:val="26"/>
              </w:rPr>
            </w:pPr>
            <w:r w:rsidRPr="006E1E2D">
              <w:rPr>
                <w:sz w:val="26"/>
                <w:szCs w:val="26"/>
              </w:rPr>
              <w:t>Pēc Prezidentūras beigām no 2015.gada 1.jūlija līdz 2015.gada 31.decembrim darba grupas vadītājam, viņa vietniekam un ekspertam nozares jautājumos, ņemot vērā viņa ieguldījumu Prezidentūras sagatavošanā un norisē un novērtējot darba grupai izvirzīto mērķu sasniegšanu, var izmaksāt vienreizēju prēmiju.</w:t>
            </w:r>
            <w:r w:rsidR="003418DE" w:rsidRPr="006E1E2D">
              <w:t xml:space="preserve"> </w:t>
            </w:r>
            <w:r w:rsidR="003418DE" w:rsidRPr="006E1E2D">
              <w:rPr>
                <w:sz w:val="26"/>
                <w:szCs w:val="26"/>
              </w:rPr>
              <w:t>Ieguldījuma un izvirzīto mērķu sasniegšanas novērtēšanas kārtības noteikšana ir katras institūcijas kompetence.</w:t>
            </w:r>
          </w:p>
          <w:p w:rsidR="007F1320" w:rsidRPr="006E1E2D" w:rsidRDefault="007F1320" w:rsidP="00064855">
            <w:pPr>
              <w:pStyle w:val="naisf"/>
              <w:spacing w:before="0" w:beforeAutospacing="0" w:after="0" w:afterAutospacing="0"/>
              <w:jc w:val="both"/>
              <w:rPr>
                <w:sz w:val="26"/>
                <w:szCs w:val="26"/>
              </w:rPr>
            </w:pPr>
            <w:r w:rsidRPr="006E1E2D">
              <w:rPr>
                <w:sz w:val="26"/>
                <w:szCs w:val="26"/>
              </w:rPr>
              <w:t xml:space="preserve">Atbilstoši Ministru kabinetā 2012.gada 24.aprīlī (protokols Nr.22 53.§) akceptētajam informatīvajam ziņojumam „Par personāla piesaisti un motivēšanu Latvijas prezidentūras Eiropas </w:t>
            </w:r>
            <w:r w:rsidR="00C10D5D">
              <w:rPr>
                <w:sz w:val="26"/>
                <w:szCs w:val="26"/>
              </w:rPr>
              <w:t>S</w:t>
            </w:r>
            <w:r w:rsidRPr="006E1E2D">
              <w:rPr>
                <w:sz w:val="26"/>
                <w:szCs w:val="26"/>
              </w:rPr>
              <w:t>avienības Padomē nodrošināšanai” 2.1.3. sadaļai - Papildu sociālās garantijas, kā sociālā garantija šī ziņojuma un noteikumu projekta izpratnē tiek piešķirts apmaksāts papildatvaļinājums.</w:t>
            </w:r>
          </w:p>
          <w:p w:rsidR="00EB331A" w:rsidRPr="006A1CC2" w:rsidRDefault="00EB331A" w:rsidP="00280176">
            <w:pPr>
              <w:pStyle w:val="naisf"/>
              <w:spacing w:before="0" w:beforeAutospacing="0" w:after="0" w:afterAutospacing="0"/>
              <w:jc w:val="both"/>
              <w:rPr>
                <w:sz w:val="26"/>
                <w:szCs w:val="26"/>
              </w:rPr>
            </w:pPr>
            <w:r w:rsidRPr="006E1E2D">
              <w:rPr>
                <w:sz w:val="26"/>
                <w:szCs w:val="26"/>
              </w:rPr>
              <w:t xml:space="preserve"> </w:t>
            </w:r>
            <w:r w:rsidRPr="006A1CC2">
              <w:rPr>
                <w:sz w:val="26"/>
                <w:szCs w:val="26"/>
              </w:rPr>
              <w:t>Noteikumu projekts paredz, ka arī tām amatpersonām (darbiniekiem), kuras nav tieši iesaistīta darba grupās</w:t>
            </w:r>
            <w:r w:rsidR="003B296E" w:rsidRPr="006A1CC2">
              <w:rPr>
                <w:sz w:val="26"/>
                <w:szCs w:val="26"/>
              </w:rPr>
              <w:t xml:space="preserve"> institūcija</w:t>
            </w:r>
            <w:r w:rsidR="00A2677B" w:rsidRPr="006A1CC2">
              <w:rPr>
                <w:sz w:val="26"/>
                <w:szCs w:val="26"/>
              </w:rPr>
              <w:t xml:space="preserve">s atlīdzības fonda </w:t>
            </w:r>
            <w:r w:rsidR="003B296E" w:rsidRPr="006A1CC2">
              <w:rPr>
                <w:sz w:val="26"/>
                <w:szCs w:val="26"/>
              </w:rPr>
              <w:t>ietvaros</w:t>
            </w:r>
            <w:r w:rsidRPr="006A1CC2">
              <w:rPr>
                <w:sz w:val="26"/>
                <w:szCs w:val="26"/>
              </w:rPr>
              <w:t>, var noteikt piemaksu par papildu pienākumu veikšanu Prez</w:t>
            </w:r>
            <w:bookmarkStart w:id="0" w:name="_GoBack"/>
            <w:bookmarkEnd w:id="0"/>
            <w:r w:rsidRPr="006A1CC2">
              <w:rPr>
                <w:sz w:val="26"/>
                <w:szCs w:val="26"/>
              </w:rPr>
              <w:t>identūras sagatavošanā un norisē saskaņā ar Valsts un pašvaldību institūciju amatpersonu un darbinieku atlīdzības likuma 14.panta pirmo daļu.</w:t>
            </w:r>
            <w:r w:rsidR="003B296E" w:rsidRPr="006A1CC2">
              <w:rPr>
                <w:sz w:val="26"/>
                <w:szCs w:val="26"/>
              </w:rPr>
              <w:t xml:space="preserve"> Noteikumu projektam ir pievienots </w:t>
            </w:r>
            <w:proofErr w:type="spellStart"/>
            <w:r w:rsidR="003B296E" w:rsidRPr="006A1CC2">
              <w:rPr>
                <w:sz w:val="26"/>
                <w:szCs w:val="26"/>
              </w:rPr>
              <w:t>protokollēmuma</w:t>
            </w:r>
            <w:proofErr w:type="spellEnd"/>
            <w:r w:rsidR="003B296E" w:rsidRPr="006A1CC2">
              <w:rPr>
                <w:sz w:val="26"/>
                <w:szCs w:val="26"/>
              </w:rPr>
              <w:t xml:space="preserve"> projekts, kas paredz, ka,</w:t>
            </w:r>
            <w:r w:rsidRPr="006A1CC2">
              <w:rPr>
                <w:sz w:val="26"/>
                <w:szCs w:val="26"/>
              </w:rPr>
              <w:t xml:space="preserve"> </w:t>
            </w:r>
            <w:r w:rsidR="003B296E" w:rsidRPr="006A1CC2">
              <w:rPr>
                <w:sz w:val="26"/>
                <w:szCs w:val="26"/>
              </w:rPr>
              <w:t>lai aprēķinātu finansējumā apjomu  šo</w:t>
            </w:r>
            <w:r w:rsidRPr="006A1CC2">
              <w:rPr>
                <w:sz w:val="26"/>
                <w:szCs w:val="26"/>
              </w:rPr>
              <w:t xml:space="preserve"> piemaksu izmaksai </w:t>
            </w:r>
            <w:r w:rsidR="003B296E" w:rsidRPr="006A1CC2">
              <w:rPr>
                <w:sz w:val="26"/>
                <w:szCs w:val="26"/>
              </w:rPr>
              <w:t xml:space="preserve">ievēro nosacījumu, ka šim mērķim </w:t>
            </w:r>
            <w:r w:rsidR="001B07B1" w:rsidRPr="005C1FDA">
              <w:rPr>
                <w:sz w:val="26"/>
                <w:szCs w:val="26"/>
              </w:rPr>
              <w:t>piešķir</w:t>
            </w:r>
            <w:r w:rsidRPr="006A1CC2">
              <w:rPr>
                <w:sz w:val="26"/>
                <w:szCs w:val="26"/>
              </w:rPr>
              <w:t xml:space="preserve"> ne vairāk kā 30% no tām amatpersonām (darbiniekiem), kuras ir tieši iesaistītas darba grupās un  amatpersonām (darbiniekiem), kuras veic nozares koordinatora vai nozares speciālista komunikācijas jautājumos pienākumus saistībā ar  darba grupām, piemaksām paredzētā finansējuma apjoma konkrētajam gadam. </w:t>
            </w:r>
            <w:r w:rsidR="00C10D5D" w:rsidRPr="006A1CC2">
              <w:rPr>
                <w:sz w:val="26"/>
                <w:szCs w:val="26"/>
              </w:rPr>
              <w:t xml:space="preserve">Vienlaikus atzīmējam, ka lai </w:t>
            </w:r>
            <w:r w:rsidR="00C10D5D" w:rsidRPr="006A1CC2">
              <w:rPr>
                <w:sz w:val="26"/>
                <w:szCs w:val="26"/>
              </w:rPr>
              <w:lastRenderedPageBreak/>
              <w:t>nodrošinātu racionālu, lietderīgu un ekonomisku budžeta līdzekļu izlietošanu Latvijas prezidentūras Eiropas Savienības Padomē laikā, ministrijām nepieciešams izvērtēt esošās darbības prioritātes.</w:t>
            </w:r>
          </w:p>
          <w:p w:rsidR="00146B13" w:rsidRPr="006E1E2D" w:rsidRDefault="00146B13" w:rsidP="00146B13">
            <w:pPr>
              <w:jc w:val="both"/>
              <w:rPr>
                <w:rFonts w:cs="Times New Roman"/>
                <w:sz w:val="26"/>
                <w:szCs w:val="26"/>
              </w:rPr>
            </w:pPr>
            <w:r w:rsidRPr="006E1E2D">
              <w:rPr>
                <w:rFonts w:cs="Times New Roman"/>
                <w:sz w:val="26"/>
                <w:szCs w:val="26"/>
              </w:rPr>
              <w:t>Šo noteikumu izpratnē darba grupa ir visi turpmāk minētie darba formāti, kurus vada vai kuriem saturisku ieguldījumu dod prezidentūra:</w:t>
            </w:r>
          </w:p>
          <w:p w:rsidR="00146B13" w:rsidRPr="006E1E2D" w:rsidRDefault="00146B13" w:rsidP="00146B13">
            <w:pPr>
              <w:pStyle w:val="ListParagraph"/>
              <w:numPr>
                <w:ilvl w:val="0"/>
                <w:numId w:val="6"/>
              </w:numPr>
              <w:ind w:left="127" w:firstLine="0"/>
              <w:jc w:val="both"/>
              <w:rPr>
                <w:rFonts w:cs="Times New Roman"/>
                <w:i/>
                <w:sz w:val="26"/>
                <w:szCs w:val="26"/>
              </w:rPr>
            </w:pPr>
            <w:r w:rsidRPr="006E1E2D">
              <w:rPr>
                <w:rFonts w:cs="Times New Roman"/>
                <w:sz w:val="26"/>
                <w:szCs w:val="26"/>
              </w:rPr>
              <w:t xml:space="preserve">formālās un neformālās sanāksmes atbilstoši aktuālajam „Padomes darba sagatavošanas struktūru sarakstam” („List </w:t>
            </w:r>
            <w:proofErr w:type="spellStart"/>
            <w:r w:rsidRPr="006E1E2D">
              <w:rPr>
                <w:rFonts w:cs="Times New Roman"/>
                <w:sz w:val="26"/>
                <w:szCs w:val="26"/>
              </w:rPr>
              <w:t>of</w:t>
            </w:r>
            <w:proofErr w:type="spellEnd"/>
            <w:r w:rsidRPr="006E1E2D">
              <w:rPr>
                <w:rFonts w:cs="Times New Roman"/>
                <w:sz w:val="26"/>
                <w:szCs w:val="26"/>
              </w:rPr>
              <w:t xml:space="preserve"> </w:t>
            </w:r>
            <w:proofErr w:type="spellStart"/>
            <w:r w:rsidRPr="006E1E2D">
              <w:rPr>
                <w:rFonts w:cs="Times New Roman"/>
                <w:sz w:val="26"/>
                <w:szCs w:val="26"/>
              </w:rPr>
              <w:t>Council</w:t>
            </w:r>
            <w:proofErr w:type="spellEnd"/>
            <w:r w:rsidRPr="006E1E2D">
              <w:rPr>
                <w:rFonts w:cs="Times New Roman"/>
                <w:sz w:val="26"/>
                <w:szCs w:val="26"/>
              </w:rPr>
              <w:t xml:space="preserve"> </w:t>
            </w:r>
            <w:proofErr w:type="spellStart"/>
            <w:r w:rsidRPr="006E1E2D">
              <w:rPr>
                <w:rFonts w:cs="Times New Roman"/>
                <w:sz w:val="26"/>
                <w:szCs w:val="26"/>
              </w:rPr>
              <w:t>preparotary</w:t>
            </w:r>
            <w:proofErr w:type="spellEnd"/>
            <w:r w:rsidRPr="006E1E2D">
              <w:rPr>
                <w:rFonts w:cs="Times New Roman"/>
                <w:sz w:val="26"/>
                <w:szCs w:val="26"/>
              </w:rPr>
              <w:t xml:space="preserve"> </w:t>
            </w:r>
            <w:proofErr w:type="spellStart"/>
            <w:r w:rsidRPr="006E1E2D">
              <w:rPr>
                <w:rFonts w:cs="Times New Roman"/>
                <w:sz w:val="26"/>
                <w:szCs w:val="26"/>
              </w:rPr>
              <w:t>bodies</w:t>
            </w:r>
            <w:proofErr w:type="spellEnd"/>
            <w:r w:rsidRPr="006E1E2D">
              <w:rPr>
                <w:rFonts w:cs="Times New Roman"/>
                <w:sz w:val="26"/>
                <w:szCs w:val="26"/>
              </w:rPr>
              <w:t>”), kā arī šo sanāksmju sagatavošanas sanāksmes;</w:t>
            </w:r>
          </w:p>
          <w:p w:rsidR="00146B13" w:rsidRPr="006E1E2D" w:rsidRDefault="00146B13" w:rsidP="00146B13">
            <w:pPr>
              <w:pStyle w:val="ListParagraph"/>
              <w:numPr>
                <w:ilvl w:val="0"/>
                <w:numId w:val="6"/>
              </w:numPr>
              <w:ind w:left="127" w:firstLine="0"/>
              <w:jc w:val="both"/>
              <w:rPr>
                <w:rFonts w:cs="Times New Roman"/>
                <w:sz w:val="26"/>
                <w:szCs w:val="26"/>
              </w:rPr>
            </w:pPr>
            <w:r w:rsidRPr="006E1E2D">
              <w:rPr>
                <w:rFonts w:cs="Times New Roman"/>
                <w:sz w:val="26"/>
                <w:szCs w:val="26"/>
              </w:rPr>
              <w:t>sadarbība ar Eiropas Parlamentu visās parastās un īpašās likumdošanas procedūras stadijās (gan neformālajās, gan formālajās);</w:t>
            </w:r>
          </w:p>
          <w:p w:rsidR="00146B13" w:rsidRPr="006E1E2D" w:rsidRDefault="00146B13" w:rsidP="00146B13">
            <w:pPr>
              <w:pStyle w:val="ListParagraph"/>
              <w:numPr>
                <w:ilvl w:val="0"/>
                <w:numId w:val="6"/>
              </w:numPr>
              <w:ind w:left="127" w:firstLine="0"/>
              <w:jc w:val="both"/>
              <w:rPr>
                <w:rFonts w:cs="Times New Roman"/>
                <w:sz w:val="26"/>
                <w:szCs w:val="26"/>
              </w:rPr>
            </w:pPr>
            <w:r w:rsidRPr="006E1E2D">
              <w:rPr>
                <w:rFonts w:cs="Times New Roman"/>
                <w:sz w:val="26"/>
                <w:szCs w:val="26"/>
              </w:rPr>
              <w:t>formālās un neformālās Ministru padomju sanāksmes;</w:t>
            </w:r>
          </w:p>
          <w:p w:rsidR="00146B13" w:rsidRPr="006E1E2D" w:rsidRDefault="00146B13" w:rsidP="00146B13">
            <w:pPr>
              <w:pStyle w:val="ListParagraph"/>
              <w:numPr>
                <w:ilvl w:val="0"/>
                <w:numId w:val="6"/>
              </w:numPr>
              <w:ind w:left="127" w:firstLine="0"/>
              <w:jc w:val="both"/>
              <w:rPr>
                <w:rFonts w:cs="Times New Roman"/>
                <w:sz w:val="26"/>
                <w:szCs w:val="26"/>
              </w:rPr>
            </w:pPr>
            <w:r w:rsidRPr="006E1E2D">
              <w:rPr>
                <w:rFonts w:cs="Times New Roman"/>
                <w:sz w:val="26"/>
                <w:szCs w:val="26"/>
              </w:rPr>
              <w:t>starptautisko organizāciju sanāksmes, kurās prezidentūra veic konkrētus pienākumus un dod saturisku ieguldījumu;</w:t>
            </w:r>
          </w:p>
          <w:p w:rsidR="00146B13" w:rsidRPr="006E1E2D" w:rsidRDefault="00146B13" w:rsidP="00146B13">
            <w:pPr>
              <w:pStyle w:val="ListParagraph"/>
              <w:numPr>
                <w:ilvl w:val="0"/>
                <w:numId w:val="6"/>
              </w:numPr>
              <w:ind w:left="127" w:firstLine="0"/>
              <w:jc w:val="both"/>
              <w:rPr>
                <w:rFonts w:cs="Times New Roman"/>
                <w:sz w:val="26"/>
                <w:szCs w:val="26"/>
              </w:rPr>
            </w:pPr>
            <w:r w:rsidRPr="006E1E2D">
              <w:rPr>
                <w:rFonts w:cs="Times New Roman"/>
                <w:sz w:val="26"/>
                <w:szCs w:val="26"/>
              </w:rPr>
              <w:t>aktivitātes ar kurām īsteno kopīgo triju  valstu 18 mēnešu darba programmu un prezidentūras sešu mēnešu darba programmas prioritātes.</w:t>
            </w:r>
          </w:p>
          <w:p w:rsidR="00051C33" w:rsidRPr="006E1E2D" w:rsidRDefault="00051C33" w:rsidP="00E047FC">
            <w:pPr>
              <w:pStyle w:val="ListParagraph"/>
              <w:ind w:left="0"/>
              <w:jc w:val="both"/>
              <w:rPr>
                <w:rFonts w:cs="Times New Roman"/>
                <w:sz w:val="26"/>
                <w:szCs w:val="26"/>
              </w:rPr>
            </w:pPr>
            <w:r w:rsidRPr="006E1E2D">
              <w:rPr>
                <w:rFonts w:cs="Times New Roman"/>
                <w:sz w:val="26"/>
                <w:szCs w:val="26"/>
              </w:rPr>
              <w:t>Darba grupas ir ne tikai ES padomes, bet arī citas ES formāta darba grupas, kas nav tieši saistītas ar ES padomi.</w:t>
            </w:r>
          </w:p>
          <w:p w:rsidR="00146B13" w:rsidRPr="006E1E2D" w:rsidRDefault="00146B13" w:rsidP="00146B13">
            <w:pPr>
              <w:jc w:val="both"/>
              <w:rPr>
                <w:rFonts w:cs="Times New Roman"/>
                <w:sz w:val="26"/>
                <w:szCs w:val="26"/>
              </w:rPr>
            </w:pPr>
            <w:r w:rsidRPr="006E1E2D">
              <w:rPr>
                <w:rFonts w:cs="Times New Roman"/>
                <w:sz w:val="26"/>
                <w:szCs w:val="26"/>
              </w:rPr>
              <w:t>Minētā uzskaitījuma ietvaros var tikt veikta darba grupu (sanāksmju) pielīdzināšana.</w:t>
            </w:r>
          </w:p>
          <w:p w:rsidR="00C10D5D" w:rsidRDefault="00B46691" w:rsidP="00C10D5D">
            <w:pPr>
              <w:rPr>
                <w:rFonts w:cs="Times New Roman"/>
                <w:sz w:val="26"/>
                <w:szCs w:val="26"/>
              </w:rPr>
            </w:pPr>
            <w:r w:rsidRPr="006E1E2D">
              <w:rPr>
                <w:rFonts w:cs="Times New Roman"/>
                <w:sz w:val="26"/>
                <w:szCs w:val="26"/>
              </w:rPr>
              <w:t xml:space="preserve">Noteikumu projekts paredz, ka ministrijām un citām centrālajām valsts iestādēm šajos noteikumos paredzēto amatpersonu (darbinieku) piemaksu, prēmiju un papildatvaļinājumu izmaksas </w:t>
            </w:r>
            <w:r w:rsidR="00784011" w:rsidRPr="006E1E2D">
              <w:rPr>
                <w:rFonts w:cs="Times New Roman"/>
                <w:sz w:val="26"/>
                <w:szCs w:val="26"/>
              </w:rPr>
              <w:t xml:space="preserve">tiks </w:t>
            </w:r>
            <w:r w:rsidRPr="006E1E2D">
              <w:rPr>
                <w:rFonts w:cs="Times New Roman"/>
                <w:sz w:val="26"/>
                <w:szCs w:val="26"/>
              </w:rPr>
              <w:t>nodrošināt</w:t>
            </w:r>
            <w:r w:rsidR="00784011" w:rsidRPr="006E1E2D">
              <w:rPr>
                <w:rFonts w:cs="Times New Roman"/>
                <w:sz w:val="26"/>
                <w:szCs w:val="26"/>
              </w:rPr>
              <w:t>as</w:t>
            </w:r>
            <w:r w:rsidRPr="006E1E2D">
              <w:rPr>
                <w:rFonts w:cs="Times New Roman"/>
                <w:sz w:val="26"/>
                <w:szCs w:val="26"/>
              </w:rPr>
              <w:t xml:space="preserve"> ministrijām un citām centrālajām valsts iestādēm šim mērķim piešķirto valsts budžeta līdzekļu ietvaros, kas tiek plānoti budžeta programmā   „96.00.00 „ Latvijas prezidentūras Eiropas Savienības Padomē nodrošināšanai”.</w:t>
            </w:r>
            <w:r w:rsidR="00C10D5D">
              <w:rPr>
                <w:rFonts w:cs="Times New Roman"/>
                <w:sz w:val="26"/>
                <w:szCs w:val="26"/>
              </w:rPr>
              <w:t xml:space="preserve"> </w:t>
            </w:r>
          </w:p>
          <w:p w:rsidR="0038623D" w:rsidRDefault="003A3952" w:rsidP="003A3952">
            <w:pPr>
              <w:pStyle w:val="naisc"/>
              <w:spacing w:before="0" w:beforeAutospacing="0" w:after="0" w:afterAutospacing="0"/>
              <w:jc w:val="both"/>
              <w:rPr>
                <w:sz w:val="26"/>
                <w:szCs w:val="26"/>
              </w:rPr>
            </w:pPr>
            <w:r w:rsidRPr="006E1E2D">
              <w:rPr>
                <w:sz w:val="26"/>
                <w:szCs w:val="26"/>
              </w:rPr>
              <w:t>Atlīdzības likuma pārejas noteikumu 8.</w:t>
            </w:r>
            <w:r w:rsidRPr="006E1E2D">
              <w:rPr>
                <w:sz w:val="26"/>
                <w:szCs w:val="26"/>
                <w:vertAlign w:val="superscript"/>
              </w:rPr>
              <w:t>12</w:t>
            </w:r>
            <w:r w:rsidRPr="006E1E2D">
              <w:rPr>
                <w:sz w:val="26"/>
                <w:szCs w:val="26"/>
              </w:rPr>
              <w:t xml:space="preserve"> punkts nosaka laika periodu, kurā Latvijas prezidentūras Eiropas Savienības Padomē 2015.gadā sagatavošanā un norisē iesaistītajām amatpersonām un darbiniekiem  papildatvaļinājums ir piešķirams un izmantojams - no 2015.gada 1.jūlija līdz 2015.gada 31.decembrim. Šim mērķim finansējums tiek plānots un piešķirts līdz 2015.gada beigām. Ņemot vērā, ka šim papildatvaļinājuma veidam atlīdzības likumā ir iekļauts speciāls regulējums, tad attiecībā uz šo papildatvaļinājumu nav attiecināms nosacījums, ka to var izmantot tikai pēc pilna ikgadējā apmaksātā atvaļinājuma </w:t>
            </w:r>
            <w:r w:rsidRPr="006E1E2D">
              <w:rPr>
                <w:sz w:val="26"/>
                <w:szCs w:val="26"/>
              </w:rPr>
              <w:lastRenderedPageBreak/>
              <w:t>izmantošanas.</w:t>
            </w:r>
          </w:p>
          <w:p w:rsidR="00C10D5D" w:rsidRPr="006E1E2D" w:rsidRDefault="00C10D5D" w:rsidP="003A3952">
            <w:pPr>
              <w:pStyle w:val="naisc"/>
              <w:spacing w:before="0" w:beforeAutospacing="0" w:after="0" w:afterAutospacing="0"/>
              <w:jc w:val="both"/>
              <w:rPr>
                <w:sz w:val="26"/>
                <w:szCs w:val="26"/>
              </w:rPr>
            </w:pPr>
          </w:p>
        </w:tc>
      </w:tr>
      <w:tr w:rsidR="00EB331A" w:rsidRPr="006E1E2D" w:rsidTr="00280176">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lastRenderedPageBreak/>
              <w:t> 5.</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w:t>
            </w:r>
            <w:r w:rsidRPr="006E1E2D">
              <w:rPr>
                <w:sz w:val="26"/>
                <w:szCs w:val="26"/>
              </w:rPr>
              <w:t>Projekts šo jomu neskar.</w:t>
            </w:r>
          </w:p>
        </w:tc>
      </w:tr>
      <w:tr w:rsidR="00EB331A" w:rsidRPr="006E1E2D" w:rsidTr="00280176">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jc w:val="both"/>
              <w:rPr>
                <w:rFonts w:eastAsia="Times New Roman" w:cs="Times New Roman"/>
                <w:i/>
                <w:sz w:val="26"/>
                <w:szCs w:val="26"/>
                <w:lang w:eastAsia="lv-LV"/>
              </w:rPr>
            </w:pPr>
            <w:r w:rsidRPr="006E1E2D">
              <w:rPr>
                <w:rFonts w:eastAsia="Times New Roman" w:cs="Times New Roman"/>
                <w:sz w:val="26"/>
                <w:szCs w:val="26"/>
                <w:lang w:eastAsia="lv-LV"/>
              </w:rPr>
              <w:t>Noteikumu projekts attiecas tikai uz valsts institūciju amatpersonām un darbiniekiem, tādēļ sabiedrības līdzdalība noteikumu projekta izstrādē nebija nepieciešama.</w:t>
            </w:r>
          </w:p>
        </w:tc>
      </w:tr>
      <w:tr w:rsidR="00EB331A" w:rsidRPr="006E1E2D" w:rsidTr="00280176">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Nav</w:t>
            </w:r>
          </w:p>
        </w:tc>
      </w:tr>
    </w:tbl>
    <w:p w:rsidR="00EB331A" w:rsidRPr="006E1E2D" w:rsidRDefault="00EB331A" w:rsidP="00EB331A">
      <w:pPr>
        <w:rPr>
          <w:rFonts w:eastAsia="Times New Roman" w:cs="Times New Roman"/>
          <w:sz w:val="26"/>
          <w:szCs w:val="26"/>
          <w:lang w:eastAsia="lv-LV"/>
        </w:rPr>
      </w:pPr>
      <w:r w:rsidRPr="006E1E2D">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2747"/>
        <w:gridCol w:w="5789"/>
      </w:tblGrid>
      <w:tr w:rsidR="00EB331A" w:rsidRPr="006E1E2D" w:rsidTr="00280176">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EB331A" w:rsidRPr="006E1E2D" w:rsidRDefault="00EB331A" w:rsidP="00280176">
            <w:pPr>
              <w:spacing w:before="100" w:beforeAutospacing="1" w:after="100" w:afterAutospacing="1"/>
              <w:rPr>
                <w:rFonts w:eastAsia="Times New Roman" w:cs="Times New Roman"/>
                <w:b/>
                <w:sz w:val="26"/>
                <w:szCs w:val="26"/>
                <w:lang w:eastAsia="lv-LV"/>
              </w:rPr>
            </w:pPr>
            <w:r w:rsidRPr="006E1E2D">
              <w:rPr>
                <w:rFonts w:eastAsia="Times New Roman" w:cs="Times New Roman"/>
                <w:b/>
                <w:sz w:val="26"/>
                <w:szCs w:val="26"/>
                <w:lang w:eastAsia="lv-LV"/>
              </w:rPr>
              <w:t> II. Tiesību akta projekta ietekme uz sabiedrību</w:t>
            </w:r>
          </w:p>
        </w:tc>
      </w:tr>
      <w:tr w:rsidR="00EB331A" w:rsidRPr="006E1E2D" w:rsidTr="00280176">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1.</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xml:space="preserve"> Sabiedrības </w:t>
            </w:r>
            <w:proofErr w:type="spellStart"/>
            <w:r w:rsidRPr="006E1E2D">
              <w:rPr>
                <w:rFonts w:eastAsia="Times New Roman" w:cs="Times New Roman"/>
                <w:sz w:val="26"/>
                <w:szCs w:val="26"/>
                <w:lang w:eastAsia="lv-LV"/>
              </w:rPr>
              <w:t>mērķgrupa</w:t>
            </w:r>
            <w:proofErr w:type="spellEnd"/>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 Valsts institūciju amatpersonas un darbinieki.</w:t>
            </w:r>
          </w:p>
        </w:tc>
      </w:tr>
      <w:tr w:rsidR="00EB331A" w:rsidRPr="006E1E2D" w:rsidTr="00280176">
        <w:trPr>
          <w:trHeight w:val="523"/>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2.</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xml:space="preserve"> Citas sabiedrības grupas (bez </w:t>
            </w:r>
            <w:proofErr w:type="spellStart"/>
            <w:r w:rsidRPr="006E1E2D">
              <w:rPr>
                <w:rFonts w:eastAsia="Times New Roman" w:cs="Times New Roman"/>
                <w:sz w:val="26"/>
                <w:szCs w:val="26"/>
                <w:lang w:eastAsia="lv-LV"/>
              </w:rPr>
              <w:t>mērķgrupas</w:t>
            </w:r>
            <w:proofErr w:type="spellEnd"/>
            <w:r w:rsidRPr="006E1E2D">
              <w:rPr>
                <w:rFonts w:eastAsia="Times New Roman" w:cs="Times New Roman"/>
                <w:sz w:val="26"/>
                <w:szCs w:val="26"/>
                <w:lang w:eastAsia="lv-LV"/>
              </w:rPr>
              <w:t>), kuras tiesiskais regulējums arī ietekmē vai varētu ietekmēt</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Projekts šo jomu neskar.</w:t>
            </w:r>
          </w:p>
        </w:tc>
      </w:tr>
      <w:tr w:rsidR="00EB331A" w:rsidRPr="006E1E2D" w:rsidTr="0028017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3.</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Tiesiskā regulējuma finansiālā ietekme</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jc w:val="both"/>
              <w:rPr>
                <w:rFonts w:eastAsia="Times New Roman" w:cs="Times New Roman"/>
                <w:sz w:val="26"/>
                <w:szCs w:val="26"/>
                <w:lang w:eastAsia="lv-LV"/>
              </w:rPr>
            </w:pPr>
            <w:r w:rsidRPr="006E1E2D">
              <w:rPr>
                <w:rFonts w:eastAsia="Times New Roman" w:cs="Times New Roman"/>
                <w:sz w:val="26"/>
                <w:szCs w:val="26"/>
                <w:lang w:eastAsia="lv-LV"/>
              </w:rPr>
              <w:t>Projekts šo jomu neskar.</w:t>
            </w:r>
          </w:p>
        </w:tc>
      </w:tr>
      <w:tr w:rsidR="00EB331A" w:rsidRPr="006E1E2D" w:rsidTr="0028017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4.</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Tiesiskā regulējuma nefinansiālā ietekme</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Projekts šo jomu neskar.</w:t>
            </w:r>
          </w:p>
        </w:tc>
      </w:tr>
      <w:tr w:rsidR="00EB331A" w:rsidRPr="006E1E2D" w:rsidTr="00280176">
        <w:trPr>
          <w:trHeight w:val="531"/>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5.</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Administratīvās procedūras raksturojums</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Projekts šo jomu neskar.</w:t>
            </w:r>
          </w:p>
        </w:tc>
      </w:tr>
      <w:tr w:rsidR="00EB331A" w:rsidRPr="006E1E2D" w:rsidTr="00280176">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6.</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Administratīvo izmaksu monetārs novērtējums</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 Projekts šo jomu neskar.</w:t>
            </w:r>
          </w:p>
        </w:tc>
      </w:tr>
      <w:tr w:rsidR="00EB331A" w:rsidRPr="006E1E2D" w:rsidTr="00280176">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7.</w:t>
            </w:r>
          </w:p>
        </w:tc>
        <w:tc>
          <w:tcPr>
            <w:tcW w:w="2747"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Cita informācija</w:t>
            </w:r>
          </w:p>
        </w:tc>
        <w:tc>
          <w:tcPr>
            <w:tcW w:w="5789" w:type="dxa"/>
            <w:tcBorders>
              <w:top w:val="outset" w:sz="6" w:space="0" w:color="auto"/>
              <w:left w:val="outset" w:sz="6" w:space="0" w:color="auto"/>
              <w:bottom w:val="outset" w:sz="6" w:space="0" w:color="auto"/>
              <w:right w:val="outset" w:sz="6" w:space="0" w:color="auto"/>
            </w:tcBorders>
            <w:hideMark/>
          </w:tcPr>
          <w:p w:rsidR="00EB331A" w:rsidRPr="006E1E2D" w:rsidRDefault="00EB331A" w:rsidP="00280176">
            <w:pPr>
              <w:rPr>
                <w:rFonts w:eastAsia="Times New Roman" w:cs="Times New Roman"/>
                <w:sz w:val="26"/>
                <w:szCs w:val="26"/>
                <w:lang w:eastAsia="lv-LV"/>
              </w:rPr>
            </w:pPr>
            <w:r w:rsidRPr="006E1E2D">
              <w:rPr>
                <w:rFonts w:eastAsia="Times New Roman" w:cs="Times New Roman"/>
                <w:sz w:val="26"/>
                <w:szCs w:val="26"/>
                <w:lang w:eastAsia="lv-LV"/>
              </w:rPr>
              <w:t> Nav</w:t>
            </w:r>
          </w:p>
        </w:tc>
      </w:tr>
    </w:tbl>
    <w:p w:rsidR="00EB331A" w:rsidRPr="006E1E2D" w:rsidRDefault="00EB331A" w:rsidP="00EB331A">
      <w:pPr>
        <w:ind w:firstLine="375"/>
        <w:jc w:val="both"/>
        <w:rPr>
          <w:rFonts w:eastAsia="Times New Roman" w:cs="Times New Roman"/>
          <w:szCs w:val="28"/>
          <w:lang w:eastAsia="lv-LV"/>
        </w:rPr>
      </w:pPr>
    </w:p>
    <w:tbl>
      <w:tblPr>
        <w:tblW w:w="9328" w:type="dxa"/>
        <w:jc w:val="center"/>
        <w:tblLayout w:type="fixed"/>
        <w:tblLook w:val="01E0" w:firstRow="1" w:lastRow="1" w:firstColumn="1" w:lastColumn="1" w:noHBand="0" w:noVBand="0"/>
      </w:tblPr>
      <w:tblGrid>
        <w:gridCol w:w="77"/>
        <w:gridCol w:w="1269"/>
        <w:gridCol w:w="807"/>
        <w:gridCol w:w="1371"/>
        <w:gridCol w:w="1470"/>
        <w:gridCol w:w="1672"/>
        <w:gridCol w:w="1672"/>
        <w:gridCol w:w="966"/>
        <w:gridCol w:w="24"/>
      </w:tblGrid>
      <w:tr w:rsidR="00EB331A" w:rsidRPr="006E1E2D" w:rsidTr="00A0021F">
        <w:trPr>
          <w:gridBefore w:val="1"/>
          <w:gridAfter w:val="1"/>
          <w:wBefore w:w="77" w:type="dxa"/>
          <w:wAfter w:w="24" w:type="dxa"/>
          <w:trHeight w:val="295"/>
          <w:jc w:val="center"/>
        </w:trPr>
        <w:tc>
          <w:tcPr>
            <w:tcW w:w="9227" w:type="dxa"/>
            <w:gridSpan w:val="7"/>
            <w:tcBorders>
              <w:top w:val="single" w:sz="4" w:space="0" w:color="auto"/>
              <w:left w:val="single" w:sz="4" w:space="0" w:color="auto"/>
              <w:bottom w:val="single" w:sz="4" w:space="0" w:color="auto"/>
              <w:right w:val="single" w:sz="4" w:space="0" w:color="auto"/>
            </w:tcBorders>
          </w:tcPr>
          <w:p w:rsidR="00EB331A" w:rsidRPr="006E1E2D" w:rsidRDefault="00EB331A" w:rsidP="00280176">
            <w:pPr>
              <w:jc w:val="center"/>
              <w:rPr>
                <w:rFonts w:eastAsia="Times New Roman" w:cs="Times New Roman"/>
                <w:b/>
                <w:bCs/>
                <w:i/>
                <w:sz w:val="26"/>
                <w:szCs w:val="26"/>
                <w:lang w:eastAsia="lv-LV"/>
              </w:rPr>
            </w:pPr>
            <w:r w:rsidRPr="006E1E2D">
              <w:rPr>
                <w:rFonts w:eastAsia="Times New Roman" w:cs="Times New Roman"/>
                <w:b/>
                <w:bCs/>
                <w:sz w:val="26"/>
                <w:szCs w:val="26"/>
                <w:lang w:eastAsia="lv-LV"/>
              </w:rPr>
              <w:br w:type="page"/>
              <w:t>III. Tiesību akta projekta ietekme uz valsts budžetu un pašvaldību budžetiem</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b/>
                <w:bCs/>
                <w:sz w:val="24"/>
                <w:szCs w:val="24"/>
                <w:lang w:eastAsia="lv-LV"/>
              </w:rPr>
            </w:pPr>
            <w:r w:rsidRPr="00A0021F">
              <w:rPr>
                <w:rFonts w:eastAsia="Times New Roman" w:cs="Times New Roman"/>
                <w:b/>
                <w:bCs/>
                <w:sz w:val="24"/>
                <w:szCs w:val="24"/>
                <w:lang w:eastAsia="lv-LV"/>
              </w:rPr>
              <w:t>Rādītāji</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b/>
                <w:bCs/>
                <w:sz w:val="24"/>
                <w:szCs w:val="24"/>
                <w:lang w:eastAsia="lv-LV"/>
              </w:rPr>
            </w:pPr>
            <w:r w:rsidRPr="00A0021F">
              <w:rPr>
                <w:rFonts w:eastAsia="Times New Roman" w:cs="Times New Roman"/>
                <w:b/>
                <w:bCs/>
                <w:sz w:val="24"/>
                <w:szCs w:val="24"/>
                <w:lang w:eastAsia="lv-LV"/>
              </w:rPr>
              <w:t>2013. gads</w:t>
            </w:r>
          </w:p>
        </w:tc>
        <w:tc>
          <w:tcPr>
            <w:tcW w:w="4334" w:type="dxa"/>
            <w:gridSpan w:val="4"/>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A0021F">
                <w:rPr>
                  <w:rFonts w:eastAsia="Times New Roman" w:cs="Times New Roman"/>
                  <w:sz w:val="24"/>
                  <w:szCs w:val="24"/>
                  <w:lang w:eastAsia="lv-LV"/>
                </w:rPr>
                <w:t>. latu</w:t>
              </w:r>
            </w:smartTag>
            <w:r w:rsidRPr="00A0021F">
              <w:rPr>
                <w:rFonts w:eastAsia="Times New Roman" w:cs="Times New Roman"/>
                <w:sz w:val="24"/>
                <w:szCs w:val="24"/>
                <w:lang w:eastAsia="lv-LV"/>
              </w:rPr>
              <w:t>)</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b/>
                <w:bCs/>
                <w:sz w:val="24"/>
                <w:szCs w:val="24"/>
                <w:lang w:eastAsia="lv-LV"/>
              </w:rPr>
            </w:pP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b/>
                <w:bCs/>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b/>
                <w:bCs/>
                <w:sz w:val="24"/>
                <w:szCs w:val="24"/>
                <w:lang w:eastAsia="lv-LV"/>
              </w:rPr>
            </w:pPr>
            <w:r w:rsidRPr="00A0021F">
              <w:rPr>
                <w:rFonts w:eastAsia="Times New Roman" w:cs="Times New Roman"/>
                <w:b/>
                <w:bCs/>
                <w:sz w:val="24"/>
                <w:szCs w:val="24"/>
                <w:lang w:eastAsia="lv-LV"/>
              </w:rPr>
              <w:t>2014</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b/>
                <w:bCs/>
                <w:sz w:val="24"/>
                <w:szCs w:val="24"/>
                <w:lang w:eastAsia="lv-LV"/>
              </w:rPr>
            </w:pPr>
            <w:r w:rsidRPr="00A0021F">
              <w:rPr>
                <w:rFonts w:eastAsia="Times New Roman" w:cs="Times New Roman"/>
                <w:b/>
                <w:bCs/>
                <w:sz w:val="24"/>
                <w:szCs w:val="24"/>
                <w:lang w:eastAsia="lv-LV"/>
              </w:rPr>
              <w:t>2015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b/>
                <w:bCs/>
                <w:sz w:val="24"/>
                <w:szCs w:val="24"/>
                <w:lang w:eastAsia="lv-LV"/>
              </w:rPr>
            </w:pPr>
            <w:r w:rsidRPr="00A0021F">
              <w:rPr>
                <w:rFonts w:eastAsia="Times New Roman" w:cs="Times New Roman"/>
                <w:b/>
                <w:bCs/>
                <w:sz w:val="24"/>
                <w:szCs w:val="24"/>
                <w:lang w:eastAsia="lv-LV"/>
              </w:rPr>
              <w:t>2016</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b/>
                <w:bCs/>
                <w:sz w:val="24"/>
                <w:szCs w:val="24"/>
                <w:lang w:eastAsia="lv-LV"/>
              </w:rPr>
            </w:pPr>
          </w:p>
        </w:tc>
        <w:tc>
          <w:tcPr>
            <w:tcW w:w="1371"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Saskaņā ar valsts budžetu kārtējam gadam</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Izmaiņas kārtējā gadā, salīdzinot ar budžetu kārtējam gadam</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Izmaiņas, salīdzinot ar kārtējo (2013) gadu</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Izmaiņas, salīdzinot ar kārtējo (2013) gadu</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Izmaiņas, salīdzinot ar kārtējo (2013) gadu</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1</w:t>
            </w:r>
          </w:p>
        </w:tc>
        <w:tc>
          <w:tcPr>
            <w:tcW w:w="1371"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2</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3</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4</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6</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1. Budžeta ieņēmumi:</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 xml:space="preserve">1.1. valsts pamatbudžets, tai skaitā ieņēmumi no maksas </w:t>
            </w:r>
            <w:r w:rsidRPr="00A0021F">
              <w:rPr>
                <w:rFonts w:eastAsia="Times New Roman" w:cs="Times New Roman"/>
                <w:sz w:val="24"/>
                <w:szCs w:val="24"/>
                <w:lang w:eastAsia="lv-LV"/>
              </w:rPr>
              <w:lastRenderedPageBreak/>
              <w:t>pakalpojumiem un citi pašu ieņēmumi</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lastRenderedPageBreak/>
              <w:t>0</w:t>
            </w: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lastRenderedPageBreak/>
              <w:t>1.2. valsts speciālais budžets</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1.3. pašvaldību budžets</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8256DF">
            <w:pPr>
              <w:rPr>
                <w:rFonts w:eastAsia="Times New Roman" w:cs="Times New Roman"/>
                <w:i/>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2. Budžeta izdevumi:</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E722FF">
            <w:pPr>
              <w:jc w:val="center"/>
              <w:rPr>
                <w:rFonts w:eastAsia="Times New Roman" w:cs="Times New Roman"/>
                <w:i/>
                <w:sz w:val="24"/>
                <w:szCs w:val="24"/>
                <w:lang w:eastAsia="lv-LV"/>
              </w:rPr>
            </w:pPr>
            <w:r w:rsidRPr="00A0021F">
              <w:rPr>
                <w:rFonts w:eastAsia="Times New Roman" w:cs="Times New Roman"/>
                <w:i/>
                <w:sz w:val="24"/>
                <w:szCs w:val="24"/>
                <w:lang w:eastAsia="lv-LV"/>
              </w:rPr>
              <w:t>+1 7</w:t>
            </w:r>
            <w:r w:rsidR="00E722FF" w:rsidRPr="00A0021F">
              <w:rPr>
                <w:rFonts w:eastAsia="Times New Roman" w:cs="Times New Roman"/>
                <w:i/>
                <w:sz w:val="24"/>
                <w:szCs w:val="24"/>
                <w:lang w:eastAsia="lv-LV"/>
              </w:rPr>
              <w:t>6</w:t>
            </w:r>
            <w:r w:rsidRPr="00A0021F">
              <w:rPr>
                <w:rFonts w:eastAsia="Times New Roman" w:cs="Times New Roman"/>
                <w:i/>
                <w:sz w:val="24"/>
                <w:szCs w:val="24"/>
                <w:lang w:eastAsia="lv-LV"/>
              </w:rPr>
              <w:t>3,</w:t>
            </w:r>
            <w:r w:rsidR="00E722FF" w:rsidRPr="00A0021F">
              <w:rPr>
                <w:rFonts w:eastAsia="Times New Roman" w:cs="Times New Roman"/>
                <w:i/>
                <w:sz w:val="24"/>
                <w:szCs w:val="24"/>
                <w:lang w:eastAsia="lv-LV"/>
              </w:rPr>
              <w:t>3</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1913B5">
            <w:pPr>
              <w:jc w:val="center"/>
              <w:rPr>
                <w:rFonts w:eastAsia="Times New Roman" w:cs="Times New Roman"/>
                <w:i/>
                <w:sz w:val="24"/>
                <w:szCs w:val="24"/>
                <w:lang w:eastAsia="lv-LV"/>
              </w:rPr>
            </w:pPr>
            <w:r w:rsidRPr="00A0021F">
              <w:rPr>
                <w:rFonts w:eastAsia="Times New Roman" w:cs="Times New Roman"/>
                <w:i/>
                <w:sz w:val="24"/>
                <w:szCs w:val="24"/>
                <w:lang w:eastAsia="lv-LV"/>
              </w:rPr>
              <w:t>+</w:t>
            </w:r>
            <w:r w:rsidR="001913B5" w:rsidRPr="00A0021F">
              <w:rPr>
                <w:rFonts w:eastAsia="Times New Roman" w:cs="Times New Roman"/>
                <w:i/>
                <w:sz w:val="24"/>
                <w:szCs w:val="24"/>
                <w:lang w:eastAsia="lv-LV"/>
              </w:rPr>
              <w:t>7 113</w:t>
            </w:r>
            <w:r w:rsidR="008256DF" w:rsidRPr="00A0021F">
              <w:rPr>
                <w:rFonts w:eastAsia="Times New Roman" w:cs="Times New Roman"/>
                <w:i/>
                <w:sz w:val="24"/>
                <w:szCs w:val="24"/>
                <w:lang w:eastAsia="lv-LV"/>
              </w:rPr>
              <w:t>,</w:t>
            </w:r>
            <w:r w:rsidR="001913B5" w:rsidRPr="00A0021F">
              <w:rPr>
                <w:rFonts w:eastAsia="Times New Roman" w:cs="Times New Roman"/>
                <w:i/>
                <w:sz w:val="24"/>
                <w:szCs w:val="24"/>
                <w:lang w:eastAsia="lv-LV"/>
              </w:rPr>
              <w:t>1</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2.1. valsts pamatbudžets</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E722FF">
            <w:pPr>
              <w:jc w:val="center"/>
              <w:rPr>
                <w:rFonts w:eastAsia="Times New Roman" w:cs="Times New Roman"/>
                <w:i/>
                <w:sz w:val="24"/>
                <w:szCs w:val="24"/>
                <w:lang w:eastAsia="lv-LV"/>
              </w:rPr>
            </w:pPr>
            <w:r w:rsidRPr="00A0021F">
              <w:rPr>
                <w:rFonts w:eastAsia="Times New Roman" w:cs="Times New Roman"/>
                <w:i/>
                <w:sz w:val="24"/>
                <w:szCs w:val="24"/>
                <w:lang w:eastAsia="lv-LV"/>
              </w:rPr>
              <w:t>+1 7</w:t>
            </w:r>
            <w:r w:rsidR="00E722FF" w:rsidRPr="00A0021F">
              <w:rPr>
                <w:rFonts w:eastAsia="Times New Roman" w:cs="Times New Roman"/>
                <w:i/>
                <w:sz w:val="24"/>
                <w:szCs w:val="24"/>
                <w:lang w:eastAsia="lv-LV"/>
              </w:rPr>
              <w:t>6</w:t>
            </w:r>
            <w:r w:rsidRPr="00A0021F">
              <w:rPr>
                <w:rFonts w:eastAsia="Times New Roman" w:cs="Times New Roman"/>
                <w:i/>
                <w:sz w:val="24"/>
                <w:szCs w:val="24"/>
                <w:lang w:eastAsia="lv-LV"/>
              </w:rPr>
              <w:t>3,</w:t>
            </w:r>
            <w:r w:rsidR="00E722FF" w:rsidRPr="00A0021F">
              <w:rPr>
                <w:rFonts w:eastAsia="Times New Roman" w:cs="Times New Roman"/>
                <w:i/>
                <w:sz w:val="24"/>
                <w:szCs w:val="24"/>
                <w:lang w:eastAsia="lv-LV"/>
              </w:rPr>
              <w:t>3</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1913B5"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+7 113,1</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2.2. valsts speciālais budžets</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1913B5">
            <w:pPr>
              <w:rPr>
                <w:rFonts w:eastAsia="Times New Roman" w:cs="Times New Roman"/>
                <w:i/>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2.3. pašvaldību budžets</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3. Finansiālā ietekme:</w:t>
            </w:r>
          </w:p>
        </w:tc>
        <w:tc>
          <w:tcPr>
            <w:tcW w:w="1371"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E722FF">
            <w:pPr>
              <w:jc w:val="center"/>
              <w:rPr>
                <w:rFonts w:eastAsia="Times New Roman" w:cs="Times New Roman"/>
                <w:i/>
                <w:sz w:val="24"/>
                <w:szCs w:val="24"/>
                <w:lang w:eastAsia="lv-LV"/>
              </w:rPr>
            </w:pPr>
            <w:r w:rsidRPr="00A0021F">
              <w:rPr>
                <w:rFonts w:eastAsia="Times New Roman" w:cs="Times New Roman"/>
                <w:i/>
                <w:sz w:val="24"/>
                <w:szCs w:val="24"/>
                <w:lang w:eastAsia="lv-LV"/>
              </w:rPr>
              <w:t>-1 7</w:t>
            </w:r>
            <w:r w:rsidR="00E722FF" w:rsidRPr="00A0021F">
              <w:rPr>
                <w:rFonts w:eastAsia="Times New Roman" w:cs="Times New Roman"/>
                <w:i/>
                <w:sz w:val="24"/>
                <w:szCs w:val="24"/>
                <w:lang w:eastAsia="lv-LV"/>
              </w:rPr>
              <w:t>6</w:t>
            </w:r>
            <w:r w:rsidRPr="00A0021F">
              <w:rPr>
                <w:rFonts w:eastAsia="Times New Roman" w:cs="Times New Roman"/>
                <w:i/>
                <w:sz w:val="24"/>
                <w:szCs w:val="24"/>
                <w:lang w:eastAsia="lv-LV"/>
              </w:rPr>
              <w:t>3,</w:t>
            </w:r>
            <w:r w:rsidR="00E722FF" w:rsidRPr="00A0021F">
              <w:rPr>
                <w:rFonts w:eastAsia="Times New Roman" w:cs="Times New Roman"/>
                <w:i/>
                <w:sz w:val="24"/>
                <w:szCs w:val="24"/>
                <w:lang w:eastAsia="lv-LV"/>
              </w:rPr>
              <w:t>3</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w:t>
            </w:r>
            <w:r w:rsidR="001913B5" w:rsidRPr="00A0021F">
              <w:rPr>
                <w:rFonts w:eastAsia="Times New Roman" w:cs="Times New Roman"/>
                <w:i/>
                <w:sz w:val="24"/>
                <w:szCs w:val="24"/>
                <w:lang w:eastAsia="lv-LV"/>
              </w:rPr>
              <w:t>7 113,1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3.1. valsts pamatbudžets</w:t>
            </w:r>
          </w:p>
        </w:tc>
        <w:tc>
          <w:tcPr>
            <w:tcW w:w="1371"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E722FF">
            <w:pPr>
              <w:jc w:val="center"/>
              <w:rPr>
                <w:rFonts w:eastAsia="Times New Roman" w:cs="Times New Roman"/>
                <w:i/>
                <w:sz w:val="24"/>
                <w:szCs w:val="24"/>
                <w:lang w:eastAsia="lv-LV"/>
              </w:rPr>
            </w:pPr>
            <w:r w:rsidRPr="00A0021F">
              <w:rPr>
                <w:rFonts w:eastAsia="Times New Roman" w:cs="Times New Roman"/>
                <w:i/>
                <w:sz w:val="24"/>
                <w:szCs w:val="24"/>
                <w:lang w:eastAsia="lv-LV"/>
              </w:rPr>
              <w:t>-1 7</w:t>
            </w:r>
            <w:r w:rsidR="00E722FF" w:rsidRPr="00A0021F">
              <w:rPr>
                <w:rFonts w:eastAsia="Times New Roman" w:cs="Times New Roman"/>
                <w:i/>
                <w:sz w:val="24"/>
                <w:szCs w:val="24"/>
                <w:lang w:eastAsia="lv-LV"/>
              </w:rPr>
              <w:t>6</w:t>
            </w:r>
            <w:r w:rsidRPr="00A0021F">
              <w:rPr>
                <w:rFonts w:eastAsia="Times New Roman" w:cs="Times New Roman"/>
                <w:i/>
                <w:sz w:val="24"/>
                <w:szCs w:val="24"/>
                <w:lang w:eastAsia="lv-LV"/>
              </w:rPr>
              <w:t>3,</w:t>
            </w:r>
            <w:r w:rsidR="00E722FF" w:rsidRPr="00A0021F">
              <w:rPr>
                <w:rFonts w:eastAsia="Times New Roman" w:cs="Times New Roman"/>
                <w:i/>
                <w:sz w:val="24"/>
                <w:szCs w:val="24"/>
                <w:lang w:eastAsia="lv-LV"/>
              </w:rPr>
              <w:t>3</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w:t>
            </w:r>
            <w:r w:rsidR="001913B5" w:rsidRPr="00A0021F">
              <w:rPr>
                <w:rFonts w:eastAsia="Times New Roman" w:cs="Times New Roman"/>
                <w:i/>
                <w:sz w:val="24"/>
                <w:szCs w:val="24"/>
                <w:lang w:eastAsia="lv-LV"/>
              </w:rPr>
              <w:t>7 113,1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3.2. speciālais budžets</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3.3. pašvaldību budžets</w:t>
            </w:r>
          </w:p>
        </w:tc>
        <w:tc>
          <w:tcPr>
            <w:tcW w:w="1371"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val="restart"/>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4. Finanšu līdzekļi papildu izdevumu finansēšanai (kompensējošu izdevumu samazinājumu norāda ar "+" zīmi)</w:t>
            </w:r>
          </w:p>
        </w:tc>
        <w:tc>
          <w:tcPr>
            <w:tcW w:w="1371" w:type="dxa"/>
            <w:vMerge w:val="restart"/>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X</w:t>
            </w: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sz w:val="24"/>
                <w:szCs w:val="24"/>
                <w:lang w:eastAsia="lv-LV"/>
              </w:rPr>
            </w:pPr>
            <w:r w:rsidRPr="00A0021F">
              <w:rPr>
                <w:rFonts w:eastAsia="Times New Roman" w:cs="Times New Roman"/>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E722FF">
            <w:pPr>
              <w:jc w:val="center"/>
              <w:rPr>
                <w:rFonts w:eastAsia="Times New Roman" w:cs="Times New Roman"/>
                <w:sz w:val="24"/>
                <w:szCs w:val="24"/>
                <w:lang w:eastAsia="lv-LV"/>
              </w:rPr>
            </w:pPr>
            <w:r w:rsidRPr="00A0021F">
              <w:rPr>
                <w:rFonts w:eastAsia="Times New Roman" w:cs="Times New Roman"/>
                <w:sz w:val="24"/>
                <w:szCs w:val="24"/>
                <w:lang w:eastAsia="lv-LV"/>
              </w:rPr>
              <w:t>1 7</w:t>
            </w:r>
            <w:r w:rsidR="00E722FF" w:rsidRPr="00A0021F">
              <w:rPr>
                <w:rFonts w:eastAsia="Times New Roman" w:cs="Times New Roman"/>
                <w:sz w:val="24"/>
                <w:szCs w:val="24"/>
                <w:lang w:eastAsia="lv-LV"/>
              </w:rPr>
              <w:t>6</w:t>
            </w:r>
            <w:r w:rsidRPr="00A0021F">
              <w:rPr>
                <w:rFonts w:eastAsia="Times New Roman" w:cs="Times New Roman"/>
                <w:sz w:val="24"/>
                <w:szCs w:val="24"/>
                <w:lang w:eastAsia="lv-LV"/>
              </w:rPr>
              <w:t>3,</w:t>
            </w:r>
            <w:r w:rsidR="00E722FF" w:rsidRPr="00A0021F">
              <w:rPr>
                <w:rFonts w:eastAsia="Times New Roman" w:cs="Times New Roman"/>
                <w:sz w:val="24"/>
                <w:szCs w:val="24"/>
                <w:lang w:eastAsia="lv-LV"/>
              </w:rPr>
              <w:t>3</w:t>
            </w: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1913B5" w:rsidP="00280176">
            <w:pPr>
              <w:jc w:val="center"/>
              <w:rPr>
                <w:rFonts w:eastAsia="Times New Roman" w:cs="Times New Roman"/>
                <w:sz w:val="24"/>
                <w:szCs w:val="24"/>
                <w:lang w:eastAsia="lv-LV"/>
              </w:rPr>
            </w:pPr>
            <w:r w:rsidRPr="00A0021F">
              <w:rPr>
                <w:rFonts w:eastAsia="Times New Roman" w:cs="Times New Roman"/>
                <w:sz w:val="24"/>
                <w:szCs w:val="24"/>
                <w:lang w:eastAsia="lv-LV"/>
              </w:rPr>
              <w:t>7 113,1</w:t>
            </w: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jc w:val="center"/>
              <w:rPr>
                <w:rFonts w:eastAsia="Times New Roman" w:cs="Times New Roman"/>
                <w:sz w:val="24"/>
                <w:szCs w:val="24"/>
                <w:lang w:eastAsia="lv-LV"/>
              </w:rPr>
            </w:pPr>
            <w:r w:rsidRPr="00A0021F">
              <w:rPr>
                <w:rFonts w:eastAsia="Times New Roman" w:cs="Times New Roman"/>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sz w:val="24"/>
                <w:szCs w:val="24"/>
                <w:lang w:eastAsia="lv-LV"/>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sz w:val="24"/>
                <w:szCs w:val="24"/>
                <w:lang w:eastAsia="lv-LV"/>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5. Precizēta finansiālā ietekme:</w:t>
            </w:r>
          </w:p>
        </w:tc>
        <w:tc>
          <w:tcPr>
            <w:tcW w:w="1371" w:type="dxa"/>
            <w:vMerge w:val="restart"/>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jc w:val="center"/>
              <w:rPr>
                <w:rFonts w:eastAsia="Times New Roman" w:cs="Times New Roman"/>
                <w:sz w:val="24"/>
                <w:szCs w:val="24"/>
                <w:lang w:eastAsia="lv-LV"/>
              </w:rPr>
            </w:pPr>
            <w:r w:rsidRPr="00A0021F">
              <w:rPr>
                <w:rFonts w:eastAsia="Times New Roman" w:cs="Times New Roman"/>
                <w:sz w:val="24"/>
                <w:szCs w:val="24"/>
                <w:lang w:eastAsia="lv-LV"/>
              </w:rPr>
              <w:t>X</w:t>
            </w: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5.1. valsts pamatbudžets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1672" w:type="dxa"/>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jc w:val="center"/>
              <w:rPr>
                <w:rFonts w:eastAsia="Times New Roman" w:cs="Times New Roman"/>
                <w:i/>
                <w:sz w:val="24"/>
                <w:szCs w:val="24"/>
                <w:lang w:eastAsia="lv-LV"/>
              </w:rPr>
            </w:pPr>
            <w:r w:rsidRPr="00A0021F">
              <w:rPr>
                <w:rFonts w:eastAsia="Times New Roman" w:cs="Times New Roman"/>
                <w:i/>
                <w:sz w:val="24"/>
                <w:szCs w:val="24"/>
                <w:lang w:eastAsia="lv-LV"/>
              </w:rPr>
              <w:t>0</w:t>
            </w: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rPr>
                <w:rFonts w:eastAsia="Times New Roman" w:cs="Times New Roman"/>
                <w:sz w:val="24"/>
                <w:szCs w:val="24"/>
                <w:lang w:eastAsia="lv-LV"/>
              </w:rPr>
            </w:pPr>
            <w:r w:rsidRPr="00A0021F">
              <w:rPr>
                <w:rFonts w:eastAsia="Times New Roman" w:cs="Times New Roman"/>
                <w:sz w:val="24"/>
                <w:szCs w:val="24"/>
                <w:lang w:eastAsia="lv-LV"/>
              </w:rPr>
              <w:t>5.2. speciālais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rPr>
                <w:rFonts w:eastAsia="Times New Roman" w:cs="Times New Roman"/>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rPr>
                <w:rFonts w:eastAsia="Times New Roman" w:cs="Times New Roman"/>
                <w:i/>
                <w:sz w:val="24"/>
                <w:szCs w:val="24"/>
                <w:lang w:eastAsia="lv-LV"/>
              </w:rPr>
            </w:pPr>
          </w:p>
        </w:tc>
      </w:tr>
      <w:tr w:rsidR="00EB331A" w:rsidRPr="00A0021F" w:rsidTr="00A0021F">
        <w:tblPrEx>
          <w:jc w:val="left"/>
          <w:tblCellSpacing w:w="15" w:type="dxa"/>
          <w:tblCellMar>
            <w:top w:w="30" w:type="dxa"/>
            <w:left w:w="30" w:type="dxa"/>
            <w:bottom w:w="30" w:type="dxa"/>
            <w:right w:w="30" w:type="dxa"/>
          </w:tblCellMar>
          <w:tblLook w:val="0000" w:firstRow="0" w:lastRow="0" w:firstColumn="0" w:lastColumn="0" w:noHBand="0" w:noVBand="0"/>
        </w:tblPrEx>
        <w:trPr>
          <w:tblCellSpacing w:w="15" w:type="dxa"/>
        </w:trPr>
        <w:tc>
          <w:tcPr>
            <w:tcW w:w="2153" w:type="dxa"/>
            <w:gridSpan w:val="3"/>
            <w:tcBorders>
              <w:top w:val="single" w:sz="4" w:space="0" w:color="auto"/>
              <w:left w:val="single" w:sz="4" w:space="0" w:color="auto"/>
              <w:bottom w:val="single" w:sz="4" w:space="0" w:color="auto"/>
              <w:right w:val="single" w:sz="4" w:space="0" w:color="auto"/>
            </w:tcBorders>
          </w:tcPr>
          <w:p w:rsidR="00EB331A" w:rsidRPr="00A0021F" w:rsidRDefault="00EB331A" w:rsidP="00280176">
            <w:pPr>
              <w:spacing w:before="100" w:beforeAutospacing="1" w:after="100" w:afterAutospacing="1"/>
              <w:ind w:right="-109"/>
              <w:rPr>
                <w:rFonts w:eastAsia="Times New Roman" w:cs="Times New Roman"/>
                <w:sz w:val="24"/>
                <w:szCs w:val="24"/>
                <w:lang w:eastAsia="lv-LV"/>
              </w:rPr>
            </w:pPr>
            <w:r w:rsidRPr="00A0021F">
              <w:rPr>
                <w:rFonts w:eastAsia="Times New Roman" w:cs="Times New Roman"/>
                <w:sz w:val="24"/>
                <w:szCs w:val="24"/>
                <w:lang w:eastAsia="lv-LV"/>
              </w:rPr>
              <w:t>5.3. pašvaldību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EB331A" w:rsidRPr="00A0021F" w:rsidRDefault="00EB331A" w:rsidP="00280176">
            <w:pPr>
              <w:ind w:right="-109"/>
              <w:rPr>
                <w:rFonts w:eastAsia="Times New Roman" w:cs="Times New Roman"/>
                <w:sz w:val="24"/>
                <w:szCs w:val="24"/>
                <w:lang w:eastAsia="lv-LV"/>
              </w:rPr>
            </w:pPr>
          </w:p>
        </w:tc>
        <w:tc>
          <w:tcPr>
            <w:tcW w:w="1470"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ind w:right="-109"/>
              <w:rPr>
                <w:rFonts w:eastAsia="Times New Roman" w:cs="Times New Roman"/>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ind w:right="-109"/>
              <w:rPr>
                <w:rFonts w:eastAsia="Times New Roman" w:cs="Times New Roman"/>
                <w:sz w:val="24"/>
                <w:szCs w:val="24"/>
                <w:lang w:eastAsia="lv-LV"/>
              </w:rPr>
            </w:pPr>
          </w:p>
        </w:tc>
        <w:tc>
          <w:tcPr>
            <w:tcW w:w="1672" w:type="dxa"/>
            <w:tcBorders>
              <w:top w:val="single" w:sz="4" w:space="0" w:color="auto"/>
              <w:left w:val="single" w:sz="4" w:space="0" w:color="auto"/>
              <w:bottom w:val="single" w:sz="4" w:space="0" w:color="auto"/>
              <w:right w:val="single" w:sz="4" w:space="0" w:color="auto"/>
            </w:tcBorders>
          </w:tcPr>
          <w:p w:rsidR="00EB331A" w:rsidRPr="00A0021F" w:rsidRDefault="00EB331A" w:rsidP="00280176">
            <w:pPr>
              <w:ind w:right="-109"/>
              <w:rPr>
                <w:rFonts w:eastAsia="Times New Roman" w:cs="Times New Roman"/>
                <w:sz w:val="24"/>
                <w:szCs w:val="24"/>
                <w:lang w:eastAsia="lv-LV"/>
              </w:rPr>
            </w:pPr>
          </w:p>
        </w:tc>
        <w:tc>
          <w:tcPr>
            <w:tcW w:w="990" w:type="dxa"/>
            <w:gridSpan w:val="2"/>
            <w:tcBorders>
              <w:top w:val="single" w:sz="4" w:space="0" w:color="auto"/>
              <w:left w:val="single" w:sz="4" w:space="0" w:color="auto"/>
              <w:bottom w:val="single" w:sz="4" w:space="0" w:color="auto"/>
              <w:right w:val="single" w:sz="4" w:space="0" w:color="auto"/>
            </w:tcBorders>
          </w:tcPr>
          <w:p w:rsidR="00EB331A" w:rsidRPr="00A0021F" w:rsidRDefault="00EB331A" w:rsidP="00280176">
            <w:pPr>
              <w:ind w:right="-109"/>
              <w:rPr>
                <w:rFonts w:eastAsia="Times New Roman" w:cs="Times New Roman"/>
                <w:sz w:val="24"/>
                <w:szCs w:val="24"/>
                <w:lang w:eastAsia="lv-LV"/>
              </w:rPr>
            </w:pPr>
          </w:p>
        </w:tc>
      </w:tr>
      <w:tr w:rsidR="00EB331A" w:rsidRPr="006E1E2D" w:rsidTr="00A0021F">
        <w:tblPrEx>
          <w:jc w:val="left"/>
          <w:tblCellSpacing w:w="15" w:type="dxa"/>
          <w:tblCellMar>
            <w:top w:w="30" w:type="dxa"/>
            <w:left w:w="30" w:type="dxa"/>
            <w:bottom w:w="30" w:type="dxa"/>
            <w:right w:w="30" w:type="dxa"/>
          </w:tblCellMar>
          <w:tblLook w:val="0000" w:firstRow="0" w:lastRow="0" w:firstColumn="0" w:lastColumn="0" w:noHBand="0" w:noVBand="0"/>
        </w:tblPrEx>
        <w:trPr>
          <w:trHeight w:val="142"/>
          <w:tblCellSpacing w:w="15" w:type="dxa"/>
        </w:trPr>
        <w:tc>
          <w:tcPr>
            <w:tcW w:w="9328" w:type="dxa"/>
            <w:gridSpan w:val="9"/>
            <w:tcBorders>
              <w:top w:val="single" w:sz="4" w:space="0" w:color="auto"/>
              <w:left w:val="single" w:sz="4" w:space="0" w:color="auto"/>
              <w:bottom w:val="single" w:sz="4" w:space="0" w:color="auto"/>
              <w:right w:val="single" w:sz="4" w:space="0" w:color="auto"/>
            </w:tcBorders>
          </w:tcPr>
          <w:p w:rsidR="00EB331A" w:rsidRPr="006E1E2D" w:rsidRDefault="00EB331A" w:rsidP="00280176">
            <w:pPr>
              <w:ind w:right="-109"/>
              <w:rPr>
                <w:rFonts w:eastAsia="Times New Roman" w:cs="Times New Roman"/>
                <w:sz w:val="26"/>
                <w:szCs w:val="26"/>
                <w:lang w:eastAsia="lv-LV"/>
              </w:rPr>
            </w:pPr>
            <w:r w:rsidRPr="006E1E2D">
              <w:rPr>
                <w:rFonts w:eastAsia="Times New Roman" w:cs="Times New Roman"/>
                <w:sz w:val="26"/>
                <w:szCs w:val="26"/>
                <w:lang w:eastAsia="lv-LV"/>
              </w:rPr>
              <w:t>6. Detalizēts ieņēmumu un izdevumu aprēķins (ja nepieciešams, detalizētu ieņēmumu un izdevumu aprēķinu var pievienot anotācijas pielikumā):</w:t>
            </w:r>
          </w:p>
        </w:tc>
      </w:tr>
      <w:tr w:rsidR="00EB331A" w:rsidRPr="006E1E2D" w:rsidTr="00A0021F">
        <w:tblPrEx>
          <w:jc w:val="left"/>
          <w:tblCellSpacing w:w="15" w:type="dxa"/>
          <w:tblCellMar>
            <w:top w:w="30" w:type="dxa"/>
            <w:left w:w="30" w:type="dxa"/>
            <w:bottom w:w="30" w:type="dxa"/>
            <w:right w:w="30" w:type="dxa"/>
          </w:tblCellMar>
          <w:tblLook w:val="0000" w:firstRow="0" w:lastRow="0" w:firstColumn="0" w:lastColumn="0" w:noHBand="0" w:noVBand="0"/>
        </w:tblPrEx>
        <w:trPr>
          <w:trHeight w:val="583"/>
          <w:tblCellSpacing w:w="15" w:type="dxa"/>
        </w:trPr>
        <w:tc>
          <w:tcPr>
            <w:tcW w:w="1346"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6.1. detalizēts ieņēmumu aprēķins</w:t>
            </w:r>
          </w:p>
        </w:tc>
        <w:tc>
          <w:tcPr>
            <w:tcW w:w="79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31A" w:rsidRPr="006E1E2D" w:rsidRDefault="00EB331A" w:rsidP="00280176">
            <w:pPr>
              <w:rPr>
                <w:rFonts w:eastAsia="Times New Roman" w:cs="Times New Roman"/>
                <w:sz w:val="26"/>
                <w:szCs w:val="26"/>
                <w:lang w:eastAsia="lv-LV"/>
              </w:rPr>
            </w:pPr>
          </w:p>
          <w:p w:rsidR="00EB331A" w:rsidRPr="006E1E2D" w:rsidRDefault="00EB331A" w:rsidP="00280176">
            <w:pPr>
              <w:rPr>
                <w:rFonts w:eastAsia="Times New Roman" w:cs="Times New Roman"/>
                <w:sz w:val="26"/>
                <w:szCs w:val="26"/>
                <w:lang w:eastAsia="lv-LV"/>
              </w:rPr>
            </w:pPr>
          </w:p>
        </w:tc>
      </w:tr>
      <w:tr w:rsidR="00EB331A" w:rsidRPr="006E1E2D" w:rsidTr="00A0021F">
        <w:tblPrEx>
          <w:jc w:val="left"/>
          <w:tblCellSpacing w:w="15" w:type="dxa"/>
          <w:tblCellMar>
            <w:top w:w="30" w:type="dxa"/>
            <w:left w:w="30" w:type="dxa"/>
            <w:bottom w:w="30" w:type="dxa"/>
            <w:right w:w="30" w:type="dxa"/>
          </w:tblCellMar>
          <w:tblLook w:val="0000" w:firstRow="0" w:lastRow="0" w:firstColumn="0" w:lastColumn="0" w:noHBand="0" w:noVBand="0"/>
        </w:tblPrEx>
        <w:trPr>
          <w:trHeight w:val="1093"/>
          <w:tblCellSpacing w:w="15" w:type="dxa"/>
        </w:trPr>
        <w:tc>
          <w:tcPr>
            <w:tcW w:w="1346"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lastRenderedPageBreak/>
              <w:t>6.2. detalizēts izdevumu aprēķins</w:t>
            </w:r>
          </w:p>
        </w:tc>
        <w:tc>
          <w:tcPr>
            <w:tcW w:w="7982" w:type="dxa"/>
            <w:gridSpan w:val="7"/>
            <w:tcBorders>
              <w:top w:val="single" w:sz="4" w:space="0" w:color="auto"/>
              <w:left w:val="single" w:sz="4" w:space="0" w:color="auto"/>
              <w:bottom w:val="single" w:sz="4" w:space="0" w:color="auto"/>
              <w:right w:val="single" w:sz="4" w:space="0" w:color="auto"/>
            </w:tcBorders>
            <w:shd w:val="clear" w:color="auto" w:fill="auto"/>
          </w:tcPr>
          <w:p w:rsidR="00EB331A" w:rsidRPr="006E1E2D" w:rsidRDefault="00EB331A" w:rsidP="00280176">
            <w:pPr>
              <w:rPr>
                <w:rFonts w:eastAsia="Times New Roman" w:cs="Times New Roman"/>
                <w:b/>
                <w:sz w:val="26"/>
                <w:szCs w:val="26"/>
                <w:lang w:eastAsia="lv-LV"/>
              </w:rPr>
            </w:pPr>
            <w:r w:rsidRPr="006E1E2D">
              <w:rPr>
                <w:rFonts w:eastAsia="Times New Roman" w:cs="Times New Roman"/>
                <w:b/>
                <w:sz w:val="26"/>
                <w:szCs w:val="26"/>
                <w:lang w:eastAsia="lv-LV"/>
              </w:rPr>
              <w:t>2014.gadam:</w:t>
            </w:r>
          </w:p>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Darba grupas vadītājiem, darba grupas vadītāja vietniekiem, ekspertiem nozares jautājumos, nozares komunikatoriem, nozares koordinatoriem (kopā 112</w:t>
            </w:r>
            <w:r w:rsidR="00E13255" w:rsidRPr="006E1E2D">
              <w:rPr>
                <w:rFonts w:eastAsia="Times New Roman" w:cs="Times New Roman"/>
                <w:sz w:val="26"/>
                <w:szCs w:val="26"/>
                <w:lang w:eastAsia="lv-LV"/>
              </w:rPr>
              <w:t>0</w:t>
            </w:r>
            <w:r w:rsidRPr="006E1E2D">
              <w:rPr>
                <w:rFonts w:eastAsia="Times New Roman" w:cs="Times New Roman"/>
                <w:sz w:val="26"/>
                <w:szCs w:val="26"/>
                <w:lang w:eastAsia="lv-LV"/>
              </w:rPr>
              <w:t xml:space="preserve"> amatpersonas (darbinieki)) atalgojumam plānotais finansējuma apjoms – </w:t>
            </w:r>
            <w:r w:rsidRPr="006E1E2D">
              <w:rPr>
                <w:rFonts w:eastAsia="Times New Roman" w:cs="Times New Roman"/>
                <w:b/>
                <w:sz w:val="26"/>
                <w:szCs w:val="26"/>
                <w:lang w:eastAsia="lv-LV"/>
              </w:rPr>
              <w:t>1,1milj Ls</w:t>
            </w:r>
            <w:r w:rsidRPr="006E1E2D">
              <w:rPr>
                <w:rFonts w:eastAsia="Times New Roman" w:cs="Times New Roman"/>
                <w:sz w:val="26"/>
                <w:szCs w:val="26"/>
                <w:lang w:eastAsia="lv-LV"/>
              </w:rPr>
              <w:t>.</w:t>
            </w:r>
          </w:p>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Tiek plānoti:</w:t>
            </w:r>
          </w:p>
          <w:p w:rsidR="00EB331A" w:rsidRPr="006E1E2D" w:rsidRDefault="00EB331A" w:rsidP="00280176">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darba grupas vadītāji – 2</w:t>
            </w:r>
            <w:r w:rsidR="00E13255" w:rsidRPr="006E1E2D">
              <w:rPr>
                <w:rFonts w:eastAsia="Times New Roman" w:cs="Times New Roman"/>
                <w:sz w:val="26"/>
                <w:szCs w:val="26"/>
                <w:lang w:eastAsia="lv-LV"/>
              </w:rPr>
              <w:t>49</w:t>
            </w:r>
            <w:r w:rsidRPr="006E1E2D">
              <w:rPr>
                <w:rFonts w:eastAsia="Times New Roman" w:cs="Times New Roman"/>
                <w:sz w:val="26"/>
                <w:szCs w:val="26"/>
                <w:lang w:eastAsia="lv-LV"/>
              </w:rPr>
              <w:t xml:space="preserve"> amatpersonas (darbinieki);</w:t>
            </w:r>
          </w:p>
          <w:p w:rsidR="00EB331A" w:rsidRPr="006E1E2D" w:rsidRDefault="00EB331A" w:rsidP="00280176">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darba grupas vadītāja vietnieki – 18</w:t>
            </w:r>
            <w:r w:rsidR="00E13255" w:rsidRPr="006E1E2D">
              <w:rPr>
                <w:rFonts w:eastAsia="Times New Roman" w:cs="Times New Roman"/>
                <w:sz w:val="26"/>
                <w:szCs w:val="26"/>
                <w:lang w:eastAsia="lv-LV"/>
              </w:rPr>
              <w:t>6</w:t>
            </w:r>
            <w:r w:rsidRPr="006E1E2D">
              <w:rPr>
                <w:rFonts w:eastAsia="Times New Roman" w:cs="Times New Roman"/>
                <w:sz w:val="26"/>
                <w:szCs w:val="26"/>
                <w:lang w:eastAsia="lv-LV"/>
              </w:rPr>
              <w:t xml:space="preserve"> amatpersonas (darbinieki);</w:t>
            </w:r>
          </w:p>
          <w:p w:rsidR="00EB331A" w:rsidRPr="006E1E2D" w:rsidRDefault="00EB331A" w:rsidP="00280176">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eksperti nozares jautājumos – 57</w:t>
            </w:r>
            <w:r w:rsidR="00E13255" w:rsidRPr="006E1E2D">
              <w:rPr>
                <w:rFonts w:eastAsia="Times New Roman" w:cs="Times New Roman"/>
                <w:sz w:val="26"/>
                <w:szCs w:val="26"/>
                <w:lang w:eastAsia="lv-LV"/>
              </w:rPr>
              <w:t>4</w:t>
            </w:r>
            <w:r w:rsidRPr="006E1E2D">
              <w:rPr>
                <w:rFonts w:eastAsia="Times New Roman" w:cs="Times New Roman"/>
                <w:sz w:val="26"/>
                <w:szCs w:val="26"/>
                <w:lang w:eastAsia="lv-LV"/>
              </w:rPr>
              <w:t xml:space="preserve"> amatpersonas (darbinieki);</w:t>
            </w:r>
          </w:p>
          <w:p w:rsidR="00EB331A" w:rsidRPr="006E1E2D" w:rsidRDefault="00EB331A" w:rsidP="00280176">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 xml:space="preserve">nozares komunikatori – </w:t>
            </w:r>
            <w:r w:rsidR="00E13255" w:rsidRPr="006E1E2D">
              <w:rPr>
                <w:rFonts w:eastAsia="Times New Roman" w:cs="Times New Roman"/>
                <w:sz w:val="26"/>
                <w:szCs w:val="26"/>
                <w:lang w:eastAsia="lv-LV"/>
              </w:rPr>
              <w:t>39</w:t>
            </w:r>
            <w:r w:rsidRPr="006E1E2D">
              <w:rPr>
                <w:rFonts w:eastAsia="Times New Roman" w:cs="Times New Roman"/>
                <w:sz w:val="26"/>
                <w:szCs w:val="26"/>
                <w:lang w:eastAsia="lv-LV"/>
              </w:rPr>
              <w:t xml:space="preserve"> amatpersonas (darbinieki);</w:t>
            </w:r>
          </w:p>
          <w:p w:rsidR="00EB331A" w:rsidRPr="006E1E2D" w:rsidRDefault="000765D2" w:rsidP="000765D2">
            <w:pPr>
              <w:pStyle w:val="ListParagraph"/>
              <w:numPr>
                <w:ilvl w:val="0"/>
                <w:numId w:val="5"/>
              </w:numPr>
              <w:jc w:val="both"/>
              <w:rPr>
                <w:rFonts w:eastAsia="Times New Roman" w:cs="Times New Roman"/>
                <w:sz w:val="26"/>
                <w:szCs w:val="26"/>
                <w:lang w:eastAsia="lv-LV"/>
              </w:rPr>
            </w:pPr>
            <w:r w:rsidRPr="006E1E2D">
              <w:rPr>
                <w:rFonts w:eastAsia="Times New Roman" w:cs="Times New Roman"/>
                <w:sz w:val="26"/>
                <w:szCs w:val="26"/>
                <w:lang w:eastAsia="lv-LV"/>
              </w:rPr>
              <w:t xml:space="preserve">Eiropas Savienības jautājumu koordinatori </w:t>
            </w:r>
            <w:r w:rsidR="00EB331A" w:rsidRPr="006E1E2D">
              <w:rPr>
                <w:rFonts w:eastAsia="Times New Roman" w:cs="Times New Roman"/>
                <w:sz w:val="26"/>
                <w:szCs w:val="26"/>
                <w:lang w:eastAsia="lv-LV"/>
              </w:rPr>
              <w:t>– 7</w:t>
            </w:r>
            <w:r w:rsidR="00E13255" w:rsidRPr="006E1E2D">
              <w:rPr>
                <w:rFonts w:eastAsia="Times New Roman" w:cs="Times New Roman"/>
                <w:sz w:val="26"/>
                <w:szCs w:val="26"/>
                <w:lang w:eastAsia="lv-LV"/>
              </w:rPr>
              <w:t>2</w:t>
            </w:r>
            <w:r w:rsidR="00EB331A" w:rsidRPr="006E1E2D">
              <w:rPr>
                <w:rFonts w:eastAsia="Times New Roman" w:cs="Times New Roman"/>
                <w:sz w:val="26"/>
                <w:szCs w:val="26"/>
                <w:lang w:eastAsia="lv-LV"/>
              </w:rPr>
              <w:t xml:space="preserve"> amatpersonas (darbinieki).</w:t>
            </w:r>
          </w:p>
          <w:p w:rsidR="00EB331A" w:rsidRPr="006E1E2D" w:rsidRDefault="00EB331A" w:rsidP="00280176">
            <w:pPr>
              <w:jc w:val="both"/>
              <w:rPr>
                <w:rFonts w:eastAsia="Times New Roman" w:cs="Times New Roman"/>
                <w:b/>
                <w:sz w:val="26"/>
                <w:szCs w:val="26"/>
                <w:lang w:eastAsia="lv-LV"/>
              </w:rPr>
            </w:pPr>
            <w:r w:rsidRPr="006E1E2D">
              <w:rPr>
                <w:rFonts w:eastAsia="Times New Roman" w:cs="Times New Roman"/>
                <w:sz w:val="26"/>
                <w:szCs w:val="26"/>
                <w:lang w:eastAsia="lv-LV"/>
              </w:rPr>
              <w:t xml:space="preserve">Prezidentūras sagatavošanā un norisē iesaistītajām amatpersonām (darbiniekiem), kuras nav tieši iesaistītas darba grupās atalgojumam plānotais finansējuma apjoms – </w:t>
            </w:r>
            <w:r w:rsidRPr="006E1E2D">
              <w:rPr>
                <w:rFonts w:eastAsia="Times New Roman" w:cs="Times New Roman"/>
                <w:b/>
                <w:sz w:val="26"/>
                <w:szCs w:val="26"/>
                <w:lang w:eastAsia="lv-LV"/>
              </w:rPr>
              <w:t xml:space="preserve">0,33 </w:t>
            </w:r>
            <w:proofErr w:type="spellStart"/>
            <w:r w:rsidRPr="006E1E2D">
              <w:rPr>
                <w:rFonts w:eastAsia="Times New Roman" w:cs="Times New Roman"/>
                <w:b/>
                <w:sz w:val="26"/>
                <w:szCs w:val="26"/>
                <w:lang w:eastAsia="lv-LV"/>
              </w:rPr>
              <w:t>milj</w:t>
            </w:r>
            <w:proofErr w:type="spellEnd"/>
            <w:r w:rsidRPr="006E1E2D">
              <w:rPr>
                <w:rFonts w:eastAsia="Times New Roman" w:cs="Times New Roman"/>
                <w:b/>
                <w:sz w:val="26"/>
                <w:szCs w:val="26"/>
                <w:lang w:eastAsia="lv-LV"/>
              </w:rPr>
              <w:t xml:space="preserve"> Ls.</w:t>
            </w:r>
          </w:p>
          <w:p w:rsidR="00EB331A" w:rsidRPr="006E1E2D" w:rsidRDefault="00EB331A" w:rsidP="00280176">
            <w:pPr>
              <w:jc w:val="both"/>
              <w:rPr>
                <w:rFonts w:eastAsia="Times New Roman" w:cs="Times New Roman"/>
                <w:b/>
                <w:sz w:val="26"/>
                <w:szCs w:val="26"/>
                <w:lang w:eastAsia="lv-LV"/>
              </w:rPr>
            </w:pPr>
            <w:r w:rsidRPr="006E1E2D">
              <w:rPr>
                <w:rFonts w:eastAsia="Times New Roman" w:cs="Times New Roman"/>
                <w:b/>
                <w:sz w:val="26"/>
                <w:szCs w:val="26"/>
                <w:lang w:eastAsia="lv-LV"/>
              </w:rPr>
              <w:t>Kopā atlīdzībai (t.sk. darba devēja valsts sociālās apdrošināšanas obligātās iemaksas) – 1.7</w:t>
            </w:r>
            <w:r w:rsidR="00826236" w:rsidRPr="006E1E2D">
              <w:rPr>
                <w:rFonts w:eastAsia="Times New Roman" w:cs="Times New Roman"/>
                <w:b/>
                <w:sz w:val="26"/>
                <w:szCs w:val="26"/>
                <w:lang w:eastAsia="lv-LV"/>
              </w:rPr>
              <w:t>6</w:t>
            </w:r>
            <w:r w:rsidRPr="006E1E2D">
              <w:rPr>
                <w:rFonts w:eastAsia="Times New Roman" w:cs="Times New Roman"/>
                <w:b/>
                <w:sz w:val="26"/>
                <w:szCs w:val="26"/>
                <w:lang w:eastAsia="lv-LV"/>
              </w:rPr>
              <w:t xml:space="preserve"> milj. Ls = pieaugums pret 2013.gadu.</w:t>
            </w:r>
          </w:p>
          <w:p w:rsidR="00EB331A" w:rsidRPr="006E1E2D" w:rsidRDefault="00EB331A" w:rsidP="00280176">
            <w:pPr>
              <w:jc w:val="both"/>
              <w:rPr>
                <w:rFonts w:eastAsia="Times New Roman" w:cs="Times New Roman"/>
                <w:b/>
                <w:sz w:val="26"/>
                <w:szCs w:val="26"/>
                <w:lang w:eastAsia="lv-LV"/>
              </w:rPr>
            </w:pPr>
            <w:r w:rsidRPr="006E1E2D">
              <w:rPr>
                <w:rFonts w:eastAsia="Times New Roman" w:cs="Times New Roman"/>
                <w:b/>
                <w:sz w:val="26"/>
                <w:szCs w:val="26"/>
                <w:lang w:eastAsia="lv-LV"/>
              </w:rPr>
              <w:t>2015.gadam:</w:t>
            </w:r>
          </w:p>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Darba grupas vadītājiem, darba grupas vadītāja vietniekiem, ekspertiem nozares jautājumos, nozares komunikatoriem, nozares koordinatoriem (</w:t>
            </w:r>
            <w:r w:rsidR="001D56F7" w:rsidRPr="006E1E2D">
              <w:rPr>
                <w:rFonts w:eastAsia="Times New Roman" w:cs="Times New Roman"/>
                <w:sz w:val="26"/>
                <w:szCs w:val="26"/>
                <w:lang w:eastAsia="lv-LV"/>
              </w:rPr>
              <w:t>112</w:t>
            </w:r>
            <w:r w:rsidR="00826236" w:rsidRPr="006E1E2D">
              <w:rPr>
                <w:rFonts w:eastAsia="Times New Roman" w:cs="Times New Roman"/>
                <w:sz w:val="26"/>
                <w:szCs w:val="26"/>
                <w:lang w:eastAsia="lv-LV"/>
              </w:rPr>
              <w:t>0</w:t>
            </w:r>
            <w:r w:rsidR="001D56F7" w:rsidRPr="006E1E2D">
              <w:rPr>
                <w:rFonts w:eastAsia="Times New Roman" w:cs="Times New Roman"/>
                <w:sz w:val="26"/>
                <w:szCs w:val="26"/>
                <w:lang w:eastAsia="lv-LV"/>
              </w:rPr>
              <w:t xml:space="preserve"> </w:t>
            </w:r>
            <w:r w:rsidRPr="006E1E2D">
              <w:rPr>
                <w:rFonts w:eastAsia="Times New Roman" w:cs="Times New Roman"/>
                <w:sz w:val="26"/>
                <w:szCs w:val="26"/>
                <w:lang w:eastAsia="lv-LV"/>
              </w:rPr>
              <w:t xml:space="preserve">amatpersonas (darbinieki)) atalgojumam plānotais finansējuma apjoms – </w:t>
            </w:r>
            <w:r w:rsidRPr="006E1E2D">
              <w:rPr>
                <w:rFonts w:eastAsia="Times New Roman" w:cs="Times New Roman"/>
                <w:b/>
                <w:sz w:val="26"/>
                <w:szCs w:val="26"/>
                <w:lang w:eastAsia="lv-LV"/>
              </w:rPr>
              <w:t>4,</w:t>
            </w:r>
            <w:r w:rsidR="001913B5" w:rsidRPr="006E1E2D">
              <w:rPr>
                <w:rFonts w:eastAsia="Times New Roman" w:cs="Times New Roman"/>
                <w:b/>
                <w:sz w:val="26"/>
                <w:szCs w:val="26"/>
                <w:lang w:eastAsia="lv-LV"/>
              </w:rPr>
              <w:t>4</w:t>
            </w:r>
            <w:r w:rsidRPr="006E1E2D">
              <w:rPr>
                <w:rFonts w:eastAsia="Times New Roman" w:cs="Times New Roman"/>
                <w:b/>
                <w:sz w:val="26"/>
                <w:szCs w:val="26"/>
                <w:lang w:eastAsia="lv-LV"/>
              </w:rPr>
              <w:t xml:space="preserve"> </w:t>
            </w:r>
            <w:proofErr w:type="spellStart"/>
            <w:r w:rsidRPr="006E1E2D">
              <w:rPr>
                <w:rFonts w:eastAsia="Times New Roman" w:cs="Times New Roman"/>
                <w:b/>
                <w:sz w:val="26"/>
                <w:szCs w:val="26"/>
                <w:lang w:eastAsia="lv-LV"/>
              </w:rPr>
              <w:t>milj</w:t>
            </w:r>
            <w:proofErr w:type="spellEnd"/>
            <w:r w:rsidRPr="006E1E2D">
              <w:rPr>
                <w:rFonts w:eastAsia="Times New Roman" w:cs="Times New Roman"/>
                <w:b/>
                <w:sz w:val="26"/>
                <w:szCs w:val="26"/>
                <w:lang w:eastAsia="lv-LV"/>
              </w:rPr>
              <w:t xml:space="preserve"> Ls.</w:t>
            </w:r>
          </w:p>
          <w:p w:rsidR="00EB331A" w:rsidRPr="006E1E2D" w:rsidRDefault="00EB331A" w:rsidP="00280176">
            <w:pPr>
              <w:jc w:val="both"/>
              <w:rPr>
                <w:rFonts w:eastAsia="Times New Roman" w:cs="Times New Roman"/>
                <w:sz w:val="26"/>
                <w:szCs w:val="26"/>
                <w:lang w:eastAsia="lv-LV"/>
              </w:rPr>
            </w:pPr>
            <w:r w:rsidRPr="006E1E2D">
              <w:rPr>
                <w:rFonts w:eastAsia="Times New Roman" w:cs="Times New Roman"/>
                <w:sz w:val="26"/>
                <w:szCs w:val="26"/>
                <w:lang w:eastAsia="lv-LV"/>
              </w:rPr>
              <w:t xml:space="preserve">Prezidentūras sagatavošanā un norisē iesaistītajām amatpersonām (darbiniekiem), kuras nav tieši iesaistītas atalgojumam plānotais finansējuma apjoms – </w:t>
            </w:r>
            <w:r w:rsidRPr="006E1E2D">
              <w:rPr>
                <w:rFonts w:eastAsia="Times New Roman" w:cs="Times New Roman"/>
                <w:b/>
                <w:sz w:val="26"/>
                <w:szCs w:val="26"/>
                <w:lang w:eastAsia="lv-LV"/>
              </w:rPr>
              <w:t>1.</w:t>
            </w:r>
            <w:r w:rsidR="001913B5" w:rsidRPr="006E1E2D">
              <w:rPr>
                <w:rFonts w:eastAsia="Times New Roman" w:cs="Times New Roman"/>
                <w:b/>
                <w:sz w:val="26"/>
                <w:szCs w:val="26"/>
                <w:lang w:eastAsia="lv-LV"/>
              </w:rPr>
              <w:t>3</w:t>
            </w:r>
            <w:r w:rsidRPr="006E1E2D">
              <w:rPr>
                <w:rFonts w:eastAsia="Times New Roman" w:cs="Times New Roman"/>
                <w:b/>
                <w:sz w:val="26"/>
                <w:szCs w:val="26"/>
                <w:lang w:eastAsia="lv-LV"/>
              </w:rPr>
              <w:t xml:space="preserve">2 </w:t>
            </w:r>
            <w:proofErr w:type="spellStart"/>
            <w:r w:rsidRPr="006E1E2D">
              <w:rPr>
                <w:rFonts w:eastAsia="Times New Roman" w:cs="Times New Roman"/>
                <w:b/>
                <w:sz w:val="26"/>
                <w:szCs w:val="26"/>
                <w:lang w:eastAsia="lv-LV"/>
              </w:rPr>
              <w:t>milj</w:t>
            </w:r>
            <w:proofErr w:type="spellEnd"/>
            <w:r w:rsidRPr="006E1E2D">
              <w:rPr>
                <w:rFonts w:eastAsia="Times New Roman" w:cs="Times New Roman"/>
                <w:b/>
                <w:sz w:val="26"/>
                <w:szCs w:val="26"/>
                <w:lang w:eastAsia="lv-LV"/>
              </w:rPr>
              <w:t xml:space="preserve"> Ls.</w:t>
            </w:r>
          </w:p>
          <w:p w:rsidR="00EB331A" w:rsidRPr="006E1E2D" w:rsidRDefault="00EB331A" w:rsidP="00280176">
            <w:pPr>
              <w:jc w:val="both"/>
              <w:rPr>
                <w:rFonts w:eastAsia="Times New Roman" w:cs="Times New Roman"/>
                <w:b/>
                <w:sz w:val="26"/>
                <w:szCs w:val="26"/>
                <w:lang w:eastAsia="lv-LV"/>
              </w:rPr>
            </w:pPr>
            <w:r w:rsidRPr="006E1E2D">
              <w:rPr>
                <w:rFonts w:eastAsia="Times New Roman" w:cs="Times New Roman"/>
                <w:b/>
                <w:sz w:val="26"/>
                <w:szCs w:val="26"/>
                <w:lang w:eastAsia="lv-LV"/>
              </w:rPr>
              <w:t xml:space="preserve">Kopā atlīdzībai (t.sk. darba devēja valsts sociālās apdrošināšanas obligātās iemaksas) – </w:t>
            </w:r>
            <w:r w:rsidR="00826236" w:rsidRPr="006E1E2D">
              <w:rPr>
                <w:rFonts w:eastAsia="Times New Roman" w:cs="Times New Roman"/>
                <w:b/>
                <w:sz w:val="26"/>
                <w:szCs w:val="26"/>
                <w:lang w:eastAsia="lv-LV"/>
              </w:rPr>
              <w:t>7</w:t>
            </w:r>
            <w:r w:rsidR="001913B5" w:rsidRPr="006E1E2D">
              <w:rPr>
                <w:rFonts w:eastAsia="Times New Roman" w:cs="Times New Roman"/>
                <w:b/>
                <w:sz w:val="26"/>
                <w:szCs w:val="26"/>
                <w:lang w:eastAsia="lv-LV"/>
              </w:rPr>
              <w:t>.1</w:t>
            </w:r>
            <w:r w:rsidR="007520E4" w:rsidRPr="006E1E2D">
              <w:rPr>
                <w:rFonts w:eastAsia="Times New Roman" w:cs="Times New Roman"/>
                <w:b/>
                <w:sz w:val="26"/>
                <w:szCs w:val="26"/>
                <w:lang w:eastAsia="lv-LV"/>
              </w:rPr>
              <w:t>1</w:t>
            </w:r>
            <w:r w:rsidRPr="006E1E2D">
              <w:rPr>
                <w:rFonts w:eastAsia="Times New Roman" w:cs="Times New Roman"/>
                <w:b/>
                <w:sz w:val="26"/>
                <w:szCs w:val="26"/>
                <w:lang w:eastAsia="lv-LV"/>
              </w:rPr>
              <w:t xml:space="preserve"> milj. Ls.</w:t>
            </w:r>
          </w:p>
          <w:p w:rsidR="00EB331A" w:rsidRPr="006E1E2D" w:rsidRDefault="00EB331A" w:rsidP="007520E4">
            <w:pPr>
              <w:jc w:val="both"/>
              <w:rPr>
                <w:rFonts w:eastAsia="Times New Roman" w:cs="Times New Roman"/>
                <w:b/>
                <w:sz w:val="26"/>
                <w:szCs w:val="26"/>
                <w:lang w:eastAsia="lv-LV"/>
              </w:rPr>
            </w:pPr>
            <w:r w:rsidRPr="006E1E2D">
              <w:rPr>
                <w:rFonts w:eastAsia="Times New Roman" w:cs="Times New Roman"/>
                <w:b/>
                <w:sz w:val="26"/>
                <w:szCs w:val="26"/>
                <w:lang w:eastAsia="lv-LV"/>
              </w:rPr>
              <w:t>Pieaugums pret 2013.gadu = 1.7</w:t>
            </w:r>
            <w:r w:rsidR="00826236" w:rsidRPr="006E1E2D">
              <w:rPr>
                <w:rFonts w:eastAsia="Times New Roman" w:cs="Times New Roman"/>
                <w:b/>
                <w:sz w:val="26"/>
                <w:szCs w:val="26"/>
                <w:lang w:eastAsia="lv-LV"/>
              </w:rPr>
              <w:t>6</w:t>
            </w:r>
            <w:r w:rsidR="001913B5" w:rsidRPr="006E1E2D">
              <w:rPr>
                <w:rFonts w:eastAsia="Times New Roman" w:cs="Times New Roman"/>
                <w:b/>
                <w:sz w:val="26"/>
                <w:szCs w:val="26"/>
                <w:lang w:eastAsia="lv-LV"/>
              </w:rPr>
              <w:t>+</w:t>
            </w:r>
            <w:r w:rsidR="00826236" w:rsidRPr="006E1E2D">
              <w:rPr>
                <w:rFonts w:eastAsia="Times New Roman" w:cs="Times New Roman"/>
                <w:b/>
                <w:sz w:val="26"/>
                <w:szCs w:val="26"/>
                <w:lang w:eastAsia="lv-LV"/>
              </w:rPr>
              <w:t>7</w:t>
            </w:r>
            <w:r w:rsidR="001913B5" w:rsidRPr="006E1E2D">
              <w:rPr>
                <w:rFonts w:eastAsia="Times New Roman" w:cs="Times New Roman"/>
                <w:b/>
                <w:sz w:val="26"/>
                <w:szCs w:val="26"/>
                <w:lang w:eastAsia="lv-LV"/>
              </w:rPr>
              <w:t>.1</w:t>
            </w:r>
            <w:r w:rsidR="007520E4" w:rsidRPr="006E1E2D">
              <w:rPr>
                <w:rFonts w:eastAsia="Times New Roman" w:cs="Times New Roman"/>
                <w:b/>
                <w:sz w:val="26"/>
                <w:szCs w:val="26"/>
                <w:lang w:eastAsia="lv-LV"/>
              </w:rPr>
              <w:t>1</w:t>
            </w:r>
            <w:r w:rsidRPr="006E1E2D">
              <w:rPr>
                <w:rFonts w:eastAsia="Times New Roman" w:cs="Times New Roman"/>
                <w:b/>
                <w:sz w:val="26"/>
                <w:szCs w:val="26"/>
                <w:lang w:eastAsia="lv-LV"/>
              </w:rPr>
              <w:t>=8.</w:t>
            </w:r>
            <w:r w:rsidR="001913B5" w:rsidRPr="006E1E2D">
              <w:rPr>
                <w:rFonts w:eastAsia="Times New Roman" w:cs="Times New Roman"/>
                <w:b/>
                <w:sz w:val="26"/>
                <w:szCs w:val="26"/>
                <w:lang w:eastAsia="lv-LV"/>
              </w:rPr>
              <w:t>8</w:t>
            </w:r>
            <w:r w:rsidR="007520E4" w:rsidRPr="006E1E2D">
              <w:rPr>
                <w:rFonts w:eastAsia="Times New Roman" w:cs="Times New Roman"/>
                <w:b/>
                <w:sz w:val="26"/>
                <w:szCs w:val="26"/>
                <w:lang w:eastAsia="lv-LV"/>
              </w:rPr>
              <w:t>7</w:t>
            </w:r>
            <w:r w:rsidRPr="006E1E2D">
              <w:rPr>
                <w:rFonts w:eastAsia="Times New Roman" w:cs="Times New Roman"/>
                <w:b/>
                <w:sz w:val="26"/>
                <w:szCs w:val="26"/>
                <w:lang w:eastAsia="lv-LV"/>
              </w:rPr>
              <w:t xml:space="preserve"> </w:t>
            </w:r>
            <w:proofErr w:type="spellStart"/>
            <w:r w:rsidRPr="006E1E2D">
              <w:rPr>
                <w:rFonts w:eastAsia="Times New Roman" w:cs="Times New Roman"/>
                <w:b/>
                <w:sz w:val="26"/>
                <w:szCs w:val="26"/>
                <w:lang w:eastAsia="lv-LV"/>
              </w:rPr>
              <w:t>milj.Ls</w:t>
            </w:r>
            <w:proofErr w:type="spellEnd"/>
            <w:r w:rsidRPr="006E1E2D">
              <w:rPr>
                <w:rFonts w:eastAsia="Times New Roman" w:cs="Times New Roman"/>
                <w:b/>
                <w:sz w:val="26"/>
                <w:szCs w:val="26"/>
                <w:lang w:eastAsia="lv-LV"/>
              </w:rPr>
              <w:t>.</w:t>
            </w:r>
          </w:p>
        </w:tc>
      </w:tr>
      <w:tr w:rsidR="00EB331A" w:rsidRPr="006E1E2D" w:rsidTr="00A0021F">
        <w:tblPrEx>
          <w:jc w:val="left"/>
          <w:tblCellSpacing w:w="15" w:type="dxa"/>
          <w:tblCellMar>
            <w:top w:w="30" w:type="dxa"/>
            <w:left w:w="30" w:type="dxa"/>
            <w:bottom w:w="30" w:type="dxa"/>
            <w:right w:w="30" w:type="dxa"/>
          </w:tblCellMar>
          <w:tblLook w:val="0000" w:firstRow="0" w:lastRow="0" w:firstColumn="0" w:lastColumn="0" w:noHBand="0" w:noVBand="0"/>
        </w:tblPrEx>
        <w:trPr>
          <w:trHeight w:val="547"/>
          <w:tblCellSpacing w:w="15" w:type="dxa"/>
        </w:trPr>
        <w:tc>
          <w:tcPr>
            <w:tcW w:w="1346" w:type="dxa"/>
            <w:gridSpan w:val="2"/>
            <w:tcBorders>
              <w:top w:val="single" w:sz="4" w:space="0" w:color="auto"/>
              <w:left w:val="single" w:sz="4" w:space="0" w:color="auto"/>
              <w:bottom w:val="single" w:sz="4" w:space="0" w:color="auto"/>
              <w:right w:val="single" w:sz="4" w:space="0" w:color="auto"/>
            </w:tcBorders>
          </w:tcPr>
          <w:p w:rsidR="00EB331A" w:rsidRPr="006E1E2D" w:rsidRDefault="00EB331A" w:rsidP="00280176">
            <w:pPr>
              <w:spacing w:before="100" w:beforeAutospacing="1" w:after="100" w:afterAutospacing="1"/>
              <w:rPr>
                <w:rFonts w:eastAsia="Times New Roman" w:cs="Times New Roman"/>
                <w:sz w:val="26"/>
                <w:szCs w:val="26"/>
                <w:lang w:eastAsia="lv-LV"/>
              </w:rPr>
            </w:pPr>
            <w:r w:rsidRPr="006E1E2D">
              <w:rPr>
                <w:rFonts w:eastAsia="Times New Roman" w:cs="Times New Roman"/>
                <w:sz w:val="26"/>
                <w:szCs w:val="26"/>
                <w:lang w:eastAsia="lv-LV"/>
              </w:rPr>
              <w:t>7. Cita informācija</w:t>
            </w:r>
          </w:p>
        </w:tc>
        <w:tc>
          <w:tcPr>
            <w:tcW w:w="7982" w:type="dxa"/>
            <w:gridSpan w:val="7"/>
            <w:tcBorders>
              <w:top w:val="single" w:sz="4" w:space="0" w:color="auto"/>
              <w:left w:val="single" w:sz="4" w:space="0" w:color="auto"/>
              <w:bottom w:val="single" w:sz="4" w:space="0" w:color="auto"/>
              <w:right w:val="single" w:sz="4" w:space="0" w:color="auto"/>
            </w:tcBorders>
          </w:tcPr>
          <w:p w:rsidR="00EB331A" w:rsidRPr="006E1E2D" w:rsidRDefault="00EB331A" w:rsidP="00906327">
            <w:pPr>
              <w:ind w:firstLine="191"/>
              <w:jc w:val="both"/>
              <w:rPr>
                <w:rFonts w:eastAsia="Times New Roman" w:cs="Times New Roman"/>
                <w:sz w:val="26"/>
                <w:szCs w:val="26"/>
                <w:lang w:eastAsia="lv-LV"/>
              </w:rPr>
            </w:pPr>
            <w:r w:rsidRPr="006E1E2D">
              <w:rPr>
                <w:rFonts w:eastAsia="Times New Roman" w:cs="Times New Roman"/>
                <w:sz w:val="26"/>
                <w:szCs w:val="26"/>
                <w:lang w:eastAsia="lv-LV"/>
              </w:rPr>
              <w:t xml:space="preserve">2014. un 2015.gadam papildu nepieciešamais finansējums </w:t>
            </w:r>
            <w:r w:rsidR="00906327" w:rsidRPr="006E1E2D">
              <w:rPr>
                <w:rFonts w:eastAsia="Times New Roman" w:cs="Times New Roman"/>
                <w:sz w:val="26"/>
                <w:szCs w:val="26"/>
                <w:lang w:eastAsia="lv-LV"/>
              </w:rPr>
              <w:t xml:space="preserve"> pamatojoties uz ministriju sniegtajiem aprēķiniem </w:t>
            </w:r>
            <w:r w:rsidRPr="006E1E2D">
              <w:rPr>
                <w:rFonts w:eastAsia="Times New Roman" w:cs="Times New Roman"/>
                <w:sz w:val="26"/>
                <w:szCs w:val="26"/>
                <w:lang w:eastAsia="lv-LV"/>
              </w:rPr>
              <w:t>tiks pārdalīts no 74.resora budžeta programmas 04.00.00 „Latvijas prezidentūras Eiropas Savienības Padomē nodrošināšanai 2015.gadā” paredzētā finansējuma</w:t>
            </w:r>
            <w:r w:rsidR="00906327" w:rsidRPr="006E1E2D">
              <w:rPr>
                <w:rFonts w:eastAsia="Times New Roman" w:cs="Times New Roman"/>
                <w:sz w:val="26"/>
                <w:szCs w:val="26"/>
                <w:lang w:eastAsia="lv-LV"/>
              </w:rPr>
              <w:t xml:space="preserve"> uz attiecīgās ministrijas budžeta programmu 96.00</w:t>
            </w:r>
            <w:r w:rsidRPr="006E1E2D">
              <w:rPr>
                <w:rFonts w:eastAsia="Times New Roman" w:cs="Times New Roman"/>
                <w:sz w:val="26"/>
                <w:szCs w:val="26"/>
                <w:lang w:eastAsia="lv-LV"/>
              </w:rPr>
              <w:t>.</w:t>
            </w:r>
            <w:r w:rsidR="00906327" w:rsidRPr="006E1E2D">
              <w:rPr>
                <w:rFonts w:eastAsia="Times New Roman" w:cs="Times New Roman"/>
                <w:sz w:val="26"/>
                <w:szCs w:val="26"/>
                <w:lang w:eastAsia="lv-LV"/>
              </w:rPr>
              <w:t>00 „Latvijas prezidentūras Eiropas Savienības Padomē nodrošināšana 2015.gadā”.</w:t>
            </w:r>
          </w:p>
        </w:tc>
      </w:tr>
    </w:tbl>
    <w:p w:rsidR="00EB331A" w:rsidRPr="006E1E2D" w:rsidRDefault="00EB331A" w:rsidP="00EB331A">
      <w:pPr>
        <w:rPr>
          <w:rFonts w:eastAsia="Times New Roman" w:cs="Times New Roman"/>
          <w:sz w:val="26"/>
          <w:szCs w:val="26"/>
          <w:lang w:eastAsia="lv-LV"/>
        </w:rPr>
      </w:pPr>
      <w:r w:rsidRPr="006E1E2D">
        <w:rPr>
          <w:rFonts w:eastAsia="Times New Roman" w:cs="Times New Roman"/>
          <w:i/>
          <w:iCs/>
          <w:sz w:val="26"/>
          <w:szCs w:val="26"/>
          <w:lang w:eastAsia="lv-LV"/>
        </w:rPr>
        <w:t xml:space="preserve">Anotācijas, IV, V, VI, VII sadaļa -  </w:t>
      </w:r>
      <w:r w:rsidRPr="006E1E2D">
        <w:rPr>
          <w:rFonts w:eastAsia="Times New Roman" w:cs="Times New Roman"/>
          <w:i/>
          <w:sz w:val="26"/>
          <w:szCs w:val="26"/>
          <w:lang w:eastAsia="lv-LV"/>
        </w:rPr>
        <w:t>projekts šo jomu neskar.</w:t>
      </w:r>
    </w:p>
    <w:p w:rsidR="00EB331A" w:rsidRPr="006E1E2D" w:rsidRDefault="00EB331A" w:rsidP="00EB331A">
      <w:pPr>
        <w:rPr>
          <w:rFonts w:eastAsia="Times New Roman" w:cs="Times New Roman"/>
          <w:sz w:val="26"/>
          <w:szCs w:val="26"/>
          <w:lang w:eastAsia="lv-LV"/>
        </w:rPr>
      </w:pPr>
    </w:p>
    <w:p w:rsidR="004716DA" w:rsidRDefault="00830F38" w:rsidP="00830F38">
      <w:pPr>
        <w:spacing w:before="75" w:after="75"/>
        <w:ind w:firstLine="720"/>
        <w:jc w:val="both"/>
        <w:rPr>
          <w:rFonts w:eastAsia="Times New Roman"/>
          <w:sz w:val="26"/>
          <w:szCs w:val="26"/>
          <w:lang w:eastAsia="lv-LV"/>
        </w:rPr>
      </w:pPr>
      <w:r w:rsidRPr="003957CA">
        <w:rPr>
          <w:rFonts w:eastAsia="Times New Roman"/>
          <w:sz w:val="26"/>
          <w:szCs w:val="26"/>
          <w:lang w:eastAsia="lv-LV"/>
        </w:rPr>
        <w:t xml:space="preserve">Finanšu </w:t>
      </w:r>
      <w:r w:rsidRPr="009870D1">
        <w:rPr>
          <w:rFonts w:eastAsia="Times New Roman"/>
          <w:sz w:val="26"/>
          <w:szCs w:val="26"/>
          <w:lang w:eastAsia="lv-LV"/>
        </w:rPr>
        <w:t>ministr</w:t>
      </w:r>
      <w:r w:rsidR="004716DA">
        <w:rPr>
          <w:rFonts w:eastAsia="Times New Roman"/>
          <w:sz w:val="26"/>
          <w:szCs w:val="26"/>
          <w:lang w:eastAsia="lv-LV"/>
        </w:rPr>
        <w:t>a vietā –</w:t>
      </w:r>
    </w:p>
    <w:p w:rsidR="00830F38" w:rsidRDefault="004716DA" w:rsidP="00830F38">
      <w:pPr>
        <w:spacing w:before="75" w:after="75"/>
        <w:ind w:firstLine="720"/>
        <w:jc w:val="both"/>
        <w:rPr>
          <w:rFonts w:eastAsia="Times New Roman"/>
          <w:sz w:val="26"/>
          <w:szCs w:val="26"/>
          <w:lang w:eastAsia="lv-LV"/>
        </w:rPr>
      </w:pPr>
      <w:r>
        <w:rPr>
          <w:rFonts w:eastAsia="Times New Roman"/>
          <w:sz w:val="26"/>
          <w:szCs w:val="26"/>
          <w:lang w:eastAsia="lv-LV"/>
        </w:rPr>
        <w:t>zemkopības ministre</w:t>
      </w:r>
      <w:r w:rsidR="00830F38">
        <w:rPr>
          <w:rFonts w:eastAsia="Times New Roman"/>
          <w:sz w:val="26"/>
          <w:szCs w:val="26"/>
          <w:lang w:eastAsia="lv-LV"/>
        </w:rPr>
        <w:tab/>
      </w:r>
      <w:r w:rsidR="00830F38">
        <w:rPr>
          <w:rFonts w:eastAsia="Times New Roman"/>
          <w:sz w:val="26"/>
          <w:szCs w:val="26"/>
          <w:lang w:eastAsia="lv-LV"/>
        </w:rPr>
        <w:tab/>
      </w:r>
      <w:r w:rsidR="00830F38">
        <w:rPr>
          <w:rFonts w:eastAsia="Times New Roman"/>
          <w:sz w:val="26"/>
          <w:szCs w:val="26"/>
          <w:lang w:eastAsia="lv-LV"/>
        </w:rPr>
        <w:tab/>
      </w:r>
      <w:r w:rsidR="00830F38">
        <w:rPr>
          <w:rFonts w:eastAsia="Times New Roman"/>
          <w:sz w:val="26"/>
          <w:szCs w:val="26"/>
          <w:lang w:eastAsia="lv-LV"/>
        </w:rPr>
        <w:tab/>
      </w:r>
      <w:r w:rsidR="00830F38">
        <w:rPr>
          <w:rFonts w:eastAsia="Times New Roman"/>
          <w:sz w:val="26"/>
          <w:szCs w:val="26"/>
          <w:lang w:eastAsia="lv-LV"/>
        </w:rPr>
        <w:tab/>
      </w:r>
      <w:r w:rsidR="00830F38">
        <w:rPr>
          <w:rFonts w:eastAsia="Times New Roman"/>
          <w:sz w:val="26"/>
          <w:szCs w:val="26"/>
          <w:lang w:eastAsia="lv-LV"/>
        </w:rPr>
        <w:tab/>
      </w:r>
      <w:proofErr w:type="spellStart"/>
      <w:r>
        <w:rPr>
          <w:rFonts w:eastAsia="Times New Roman"/>
          <w:sz w:val="26"/>
          <w:szCs w:val="26"/>
          <w:lang w:eastAsia="lv-LV"/>
        </w:rPr>
        <w:t>L.Straujuma</w:t>
      </w:r>
      <w:proofErr w:type="spellEnd"/>
    </w:p>
    <w:p w:rsidR="00CC4D82" w:rsidRDefault="00CC4D82" w:rsidP="00830F38">
      <w:pPr>
        <w:spacing w:before="75" w:after="75"/>
        <w:ind w:firstLine="720"/>
        <w:jc w:val="both"/>
        <w:rPr>
          <w:rFonts w:eastAsia="Times New Roman"/>
          <w:sz w:val="26"/>
          <w:szCs w:val="26"/>
          <w:lang w:eastAsia="lv-LV"/>
        </w:rPr>
      </w:pPr>
    </w:p>
    <w:p w:rsidR="00CC4D82" w:rsidRPr="003957CA" w:rsidRDefault="00CC4D82" w:rsidP="00830F38">
      <w:pPr>
        <w:spacing w:before="75" w:after="75"/>
        <w:ind w:firstLine="720"/>
        <w:jc w:val="both"/>
        <w:rPr>
          <w:rFonts w:eastAsia="Times New Roman"/>
          <w:sz w:val="26"/>
          <w:szCs w:val="26"/>
          <w:lang w:eastAsia="lv-LV"/>
        </w:rPr>
      </w:pPr>
    </w:p>
    <w:p w:rsidR="00A0021F" w:rsidRDefault="00A0021F" w:rsidP="004C266E">
      <w:pPr>
        <w:rPr>
          <w:rFonts w:eastAsia="Times New Roman" w:cs="Times New Roman"/>
          <w:sz w:val="20"/>
          <w:szCs w:val="20"/>
          <w:lang w:eastAsia="lv-LV"/>
        </w:rPr>
      </w:pPr>
      <w:r>
        <w:rPr>
          <w:rFonts w:eastAsia="Times New Roman" w:cs="Times New Roman"/>
          <w:sz w:val="20"/>
          <w:szCs w:val="20"/>
          <w:lang w:eastAsia="lv-LV"/>
        </w:rPr>
        <w:t>22.07.2013 10:59</w:t>
      </w:r>
    </w:p>
    <w:p w:rsidR="004C266E" w:rsidRPr="006E1E2D" w:rsidRDefault="004C266E" w:rsidP="004C266E">
      <w:pPr>
        <w:rPr>
          <w:rFonts w:eastAsia="Times New Roman" w:cs="Times New Roman"/>
          <w:sz w:val="20"/>
          <w:szCs w:val="20"/>
          <w:lang w:eastAsia="lv-LV"/>
        </w:rPr>
      </w:pPr>
      <w:r w:rsidRPr="006E1E2D">
        <w:rPr>
          <w:rFonts w:eastAsia="Times New Roman" w:cs="Times New Roman"/>
          <w:sz w:val="20"/>
          <w:szCs w:val="20"/>
          <w:lang w:eastAsia="lv-LV"/>
        </w:rPr>
        <w:fldChar w:fldCharType="begin"/>
      </w:r>
      <w:r w:rsidRPr="006E1E2D">
        <w:rPr>
          <w:rFonts w:eastAsia="Times New Roman" w:cs="Times New Roman"/>
          <w:sz w:val="20"/>
          <w:szCs w:val="20"/>
          <w:lang w:eastAsia="lv-LV"/>
        </w:rPr>
        <w:instrText xml:space="preserve"> NUMWORDS   \* MERGEFORMAT </w:instrText>
      </w:r>
      <w:r w:rsidRPr="006E1E2D">
        <w:rPr>
          <w:rFonts w:eastAsia="Times New Roman" w:cs="Times New Roman"/>
          <w:sz w:val="20"/>
          <w:szCs w:val="20"/>
          <w:lang w:eastAsia="lv-LV"/>
        </w:rPr>
        <w:fldChar w:fldCharType="separate"/>
      </w:r>
      <w:r w:rsidR="004716DA">
        <w:rPr>
          <w:rFonts w:eastAsia="Times New Roman" w:cs="Times New Roman"/>
          <w:noProof/>
          <w:sz w:val="20"/>
          <w:szCs w:val="20"/>
          <w:lang w:eastAsia="lv-LV"/>
        </w:rPr>
        <w:t>1389</w:t>
      </w:r>
      <w:r w:rsidRPr="006E1E2D">
        <w:rPr>
          <w:rFonts w:eastAsia="Times New Roman" w:cs="Times New Roman"/>
          <w:sz w:val="20"/>
          <w:szCs w:val="20"/>
          <w:lang w:eastAsia="lv-LV"/>
        </w:rPr>
        <w:fldChar w:fldCharType="end"/>
      </w:r>
    </w:p>
    <w:p w:rsidR="00814309" w:rsidRPr="006E1E2D" w:rsidRDefault="00814309" w:rsidP="00814309">
      <w:pPr>
        <w:rPr>
          <w:rFonts w:eastAsia="Times New Roman" w:cs="Times New Roman"/>
          <w:sz w:val="20"/>
          <w:szCs w:val="20"/>
          <w:lang w:eastAsia="lv-LV"/>
        </w:rPr>
      </w:pPr>
      <w:proofErr w:type="spellStart"/>
      <w:r w:rsidRPr="006E1E2D">
        <w:rPr>
          <w:rFonts w:eastAsia="Times New Roman" w:cs="Times New Roman"/>
          <w:sz w:val="20"/>
          <w:szCs w:val="20"/>
          <w:lang w:eastAsia="lv-LV"/>
        </w:rPr>
        <w:t>I.Artemjeva</w:t>
      </w:r>
      <w:proofErr w:type="spellEnd"/>
    </w:p>
    <w:p w:rsidR="004C266E" w:rsidRPr="006E1E2D" w:rsidRDefault="004C266E" w:rsidP="004C266E">
      <w:pPr>
        <w:rPr>
          <w:rFonts w:eastAsia="Times New Roman" w:cs="Times New Roman"/>
          <w:sz w:val="20"/>
          <w:szCs w:val="20"/>
          <w:lang w:eastAsia="lv-LV"/>
        </w:rPr>
      </w:pPr>
      <w:r w:rsidRPr="006E1E2D">
        <w:rPr>
          <w:rFonts w:eastAsia="Times New Roman" w:cs="Times New Roman"/>
          <w:sz w:val="20"/>
          <w:szCs w:val="20"/>
          <w:lang w:eastAsia="lv-LV"/>
        </w:rPr>
        <w:t>67095</w:t>
      </w:r>
      <w:r w:rsidR="00980821" w:rsidRPr="006E1E2D">
        <w:rPr>
          <w:rFonts w:eastAsia="Times New Roman" w:cs="Times New Roman"/>
          <w:sz w:val="20"/>
          <w:szCs w:val="20"/>
          <w:lang w:eastAsia="lv-LV"/>
        </w:rPr>
        <w:t>599</w:t>
      </w:r>
      <w:r w:rsidRPr="006E1E2D">
        <w:rPr>
          <w:rFonts w:eastAsia="Times New Roman" w:cs="Times New Roman"/>
          <w:sz w:val="20"/>
          <w:szCs w:val="20"/>
          <w:lang w:eastAsia="lv-LV"/>
        </w:rPr>
        <w:t xml:space="preserve">; fakss 67095541; </w:t>
      </w:r>
    </w:p>
    <w:p w:rsidR="00B253BC" w:rsidRPr="00C9669F" w:rsidRDefault="00980821" w:rsidP="00907D50">
      <w:pPr>
        <w:rPr>
          <w:sz w:val="20"/>
          <w:szCs w:val="20"/>
        </w:rPr>
      </w:pPr>
      <w:r w:rsidRPr="006E1E2D">
        <w:rPr>
          <w:rFonts w:eastAsia="Times New Roman" w:cs="Times New Roman"/>
          <w:sz w:val="20"/>
          <w:szCs w:val="20"/>
          <w:lang w:eastAsia="lv-LV"/>
        </w:rPr>
        <w:t>Ineta.Artemjeva</w:t>
      </w:r>
      <w:r w:rsidR="004C266E" w:rsidRPr="006E1E2D">
        <w:rPr>
          <w:rFonts w:eastAsia="Times New Roman" w:cs="Times New Roman"/>
          <w:sz w:val="20"/>
          <w:szCs w:val="20"/>
          <w:lang w:eastAsia="lv-LV"/>
        </w:rPr>
        <w:t>@fm.gov.lv</w:t>
      </w:r>
    </w:p>
    <w:sectPr w:rsidR="00B253BC" w:rsidRPr="00C9669F" w:rsidSect="004159A5">
      <w:headerReference w:type="default" r:id="rId8"/>
      <w:footerReference w:type="default" r:id="rId9"/>
      <w:footerReference w:type="first" r:id="rId10"/>
      <w:pgSz w:w="11906" w:h="16838"/>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A4" w:rsidRDefault="00DE37A4" w:rsidP="007740F2">
      <w:r>
        <w:separator/>
      </w:r>
    </w:p>
  </w:endnote>
  <w:endnote w:type="continuationSeparator" w:id="0">
    <w:p w:rsidR="00DE37A4" w:rsidRDefault="00DE37A4"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3" w:rsidRPr="00CA723C" w:rsidRDefault="00CA723C" w:rsidP="00CA723C">
    <w:pPr>
      <w:pStyle w:val="Footer"/>
    </w:pPr>
    <w:r w:rsidRPr="00CA723C">
      <w:rPr>
        <w:rFonts w:eastAsia="Times New Roman" w:cs="Times New Roman"/>
        <w:sz w:val="18"/>
        <w:szCs w:val="18"/>
        <w:lang w:eastAsia="lv-LV"/>
      </w:rPr>
      <w:t>FMAnot_</w:t>
    </w:r>
    <w:r w:rsidR="00561379">
      <w:rPr>
        <w:rFonts w:eastAsia="Times New Roman" w:cs="Times New Roman"/>
        <w:sz w:val="18"/>
        <w:szCs w:val="18"/>
        <w:lang w:eastAsia="lv-LV"/>
      </w:rPr>
      <w:t>22</w:t>
    </w:r>
    <w:r w:rsidR="00A0534D">
      <w:rPr>
        <w:rFonts w:eastAsia="Times New Roman" w:cs="Times New Roman"/>
        <w:sz w:val="18"/>
        <w:szCs w:val="18"/>
        <w:lang w:eastAsia="lv-LV"/>
      </w:rPr>
      <w:t>07</w:t>
    </w:r>
    <w:r w:rsidRPr="00CA723C">
      <w:rPr>
        <w:rFonts w:eastAsia="Times New Roman" w:cs="Times New Roman"/>
        <w:sz w:val="18"/>
        <w:szCs w:val="18"/>
        <w:lang w:eastAsia="lv-LV"/>
      </w:rPr>
      <w:t>13; Anotācija Ministru kabineta  noteikumu „Noteikumi par papildu atlīdzības noteikšanu amatpersonām (darbiniekiem), kuras ir iesaistītas Latvijas prezidentūras Eiropas Savienības Padomē 2015.gadā sagatavošanā un norisē”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3" w:rsidRPr="006F48E7" w:rsidRDefault="007636B7" w:rsidP="006F48E7">
    <w:pPr>
      <w:pStyle w:val="Footer"/>
      <w:jc w:val="both"/>
      <w:rPr>
        <w:sz w:val="18"/>
        <w:szCs w:val="18"/>
      </w:rPr>
    </w:pPr>
    <w:r>
      <w:rPr>
        <w:sz w:val="18"/>
        <w:szCs w:val="18"/>
      </w:rPr>
      <w:t>FMAnot_</w:t>
    </w:r>
    <w:r w:rsidR="00561379">
      <w:rPr>
        <w:sz w:val="18"/>
        <w:szCs w:val="18"/>
      </w:rPr>
      <w:t>22</w:t>
    </w:r>
    <w:r w:rsidR="00A0534D">
      <w:rPr>
        <w:sz w:val="18"/>
        <w:szCs w:val="18"/>
      </w:rPr>
      <w:t>07</w:t>
    </w:r>
    <w:r w:rsidR="00251E6E" w:rsidRPr="00251E6E">
      <w:rPr>
        <w:sz w:val="18"/>
        <w:szCs w:val="18"/>
      </w:rPr>
      <w:t xml:space="preserve">13; Anotācija </w:t>
    </w:r>
    <w:r w:rsidR="006F48E7" w:rsidRPr="006F48E7">
      <w:rPr>
        <w:sz w:val="18"/>
        <w:szCs w:val="18"/>
      </w:rPr>
      <w:t>Ministru kabineta  noteikumu „</w:t>
    </w:r>
    <w:r w:rsidR="00CA723C" w:rsidRPr="00CA723C">
      <w:rPr>
        <w:sz w:val="18"/>
        <w:szCs w:val="18"/>
      </w:rPr>
      <w:t>Noteikumi par papildu atlīdzības noteikšanu amatpersonām (darbiniekiem), kuras ir iesaistītas Latvijas prezidentūras Eiropas Savienības Padomē 2015.gadā sagatavošanā un norisē</w:t>
    </w:r>
    <w:r w:rsidR="006F48E7" w:rsidRPr="006F48E7">
      <w:rPr>
        <w:sz w:val="18"/>
        <w:szCs w:val="18"/>
      </w:rPr>
      <w:t>” projekta</w:t>
    </w:r>
    <w:r>
      <w:rPr>
        <w:sz w:val="18"/>
        <w:szCs w:val="18"/>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A4" w:rsidRDefault="00DE37A4" w:rsidP="007740F2">
      <w:r>
        <w:separator/>
      </w:r>
    </w:p>
  </w:footnote>
  <w:footnote w:type="continuationSeparator" w:id="0">
    <w:p w:rsidR="00DE37A4" w:rsidRDefault="00DE37A4"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631528"/>
      <w:docPartObj>
        <w:docPartGallery w:val="Page Numbers (Top of Page)"/>
        <w:docPartUnique/>
      </w:docPartObj>
    </w:sdtPr>
    <w:sdtEndPr>
      <w:rPr>
        <w:noProof/>
      </w:rPr>
    </w:sdtEndPr>
    <w:sdtContent>
      <w:p w:rsidR="009A5FD3" w:rsidRDefault="009A5FD3">
        <w:pPr>
          <w:pStyle w:val="Header"/>
          <w:jc w:val="center"/>
        </w:pPr>
        <w:r>
          <w:fldChar w:fldCharType="begin"/>
        </w:r>
        <w:r>
          <w:instrText xml:space="preserve"> PAGE   \* MERGEFORMAT </w:instrText>
        </w:r>
        <w:r>
          <w:fldChar w:fldCharType="separate"/>
        </w:r>
        <w:r w:rsidR="005C1FDA">
          <w:rPr>
            <w:noProof/>
          </w:rPr>
          <w:t>6</w:t>
        </w:r>
        <w:r>
          <w:rPr>
            <w:noProof/>
          </w:rPr>
          <w:fldChar w:fldCharType="end"/>
        </w:r>
      </w:p>
    </w:sdtContent>
  </w:sdt>
  <w:p w:rsidR="009A5FD3" w:rsidRDefault="009A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041"/>
    <w:multiLevelType w:val="hybridMultilevel"/>
    <w:tmpl w:val="696A83C8"/>
    <w:lvl w:ilvl="0" w:tplc="3E70C8F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5">
    <w:nsid w:val="6E7D08AA"/>
    <w:multiLevelType w:val="hybridMultilevel"/>
    <w:tmpl w:val="FF226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17E1C"/>
    <w:rsid w:val="000204F9"/>
    <w:rsid w:val="00026F6C"/>
    <w:rsid w:val="00030942"/>
    <w:rsid w:val="00041BC5"/>
    <w:rsid w:val="00044D88"/>
    <w:rsid w:val="000461D8"/>
    <w:rsid w:val="00051A8F"/>
    <w:rsid w:val="00051C33"/>
    <w:rsid w:val="000520FB"/>
    <w:rsid w:val="000608D1"/>
    <w:rsid w:val="0006168D"/>
    <w:rsid w:val="00062334"/>
    <w:rsid w:val="00064855"/>
    <w:rsid w:val="000726C0"/>
    <w:rsid w:val="000765D2"/>
    <w:rsid w:val="00084A17"/>
    <w:rsid w:val="000A3048"/>
    <w:rsid w:val="000A6BB5"/>
    <w:rsid w:val="000B1D1D"/>
    <w:rsid w:val="000B439D"/>
    <w:rsid w:val="000C0DAA"/>
    <w:rsid w:val="000C4DF9"/>
    <w:rsid w:val="000C54DC"/>
    <w:rsid w:val="000C6947"/>
    <w:rsid w:val="000E2542"/>
    <w:rsid w:val="000F2A5F"/>
    <w:rsid w:val="000F66B5"/>
    <w:rsid w:val="00100D1F"/>
    <w:rsid w:val="00107913"/>
    <w:rsid w:val="00115E82"/>
    <w:rsid w:val="0012014A"/>
    <w:rsid w:val="00120262"/>
    <w:rsid w:val="00120BB1"/>
    <w:rsid w:val="001215EA"/>
    <w:rsid w:val="00122717"/>
    <w:rsid w:val="0012536F"/>
    <w:rsid w:val="00131852"/>
    <w:rsid w:val="00133FC3"/>
    <w:rsid w:val="0013757A"/>
    <w:rsid w:val="001411E1"/>
    <w:rsid w:val="0014131D"/>
    <w:rsid w:val="00142743"/>
    <w:rsid w:val="0014438B"/>
    <w:rsid w:val="00146B13"/>
    <w:rsid w:val="001514D3"/>
    <w:rsid w:val="00151874"/>
    <w:rsid w:val="00152376"/>
    <w:rsid w:val="001544B1"/>
    <w:rsid w:val="00161AF0"/>
    <w:rsid w:val="00161D6A"/>
    <w:rsid w:val="00182716"/>
    <w:rsid w:val="0018679A"/>
    <w:rsid w:val="00187691"/>
    <w:rsid w:val="0019027E"/>
    <w:rsid w:val="001913B5"/>
    <w:rsid w:val="00192B03"/>
    <w:rsid w:val="001952CE"/>
    <w:rsid w:val="001A0D1C"/>
    <w:rsid w:val="001A22F1"/>
    <w:rsid w:val="001A37AC"/>
    <w:rsid w:val="001A5D75"/>
    <w:rsid w:val="001A7971"/>
    <w:rsid w:val="001B07B1"/>
    <w:rsid w:val="001B1E3E"/>
    <w:rsid w:val="001B4200"/>
    <w:rsid w:val="001C2CD5"/>
    <w:rsid w:val="001C6D54"/>
    <w:rsid w:val="001D2BF2"/>
    <w:rsid w:val="001D56F7"/>
    <w:rsid w:val="001D7B24"/>
    <w:rsid w:val="001F4F5C"/>
    <w:rsid w:val="00200731"/>
    <w:rsid w:val="00202195"/>
    <w:rsid w:val="00203A4A"/>
    <w:rsid w:val="00211EE2"/>
    <w:rsid w:val="00216F53"/>
    <w:rsid w:val="002176AD"/>
    <w:rsid w:val="00227194"/>
    <w:rsid w:val="00230D49"/>
    <w:rsid w:val="00242456"/>
    <w:rsid w:val="0024678C"/>
    <w:rsid w:val="00250856"/>
    <w:rsid w:val="00251E6E"/>
    <w:rsid w:val="00256ACC"/>
    <w:rsid w:val="0026115F"/>
    <w:rsid w:val="00271F71"/>
    <w:rsid w:val="002721A1"/>
    <w:rsid w:val="0027277F"/>
    <w:rsid w:val="00273938"/>
    <w:rsid w:val="002842DF"/>
    <w:rsid w:val="00285BE4"/>
    <w:rsid w:val="002A3DAE"/>
    <w:rsid w:val="002A429F"/>
    <w:rsid w:val="002B33E3"/>
    <w:rsid w:val="002B4CA5"/>
    <w:rsid w:val="002B5BA9"/>
    <w:rsid w:val="002D0201"/>
    <w:rsid w:val="002E02E9"/>
    <w:rsid w:val="002E080B"/>
    <w:rsid w:val="002E69E7"/>
    <w:rsid w:val="002F0760"/>
    <w:rsid w:val="002F14AD"/>
    <w:rsid w:val="002F3858"/>
    <w:rsid w:val="0030223A"/>
    <w:rsid w:val="00317A5C"/>
    <w:rsid w:val="00323114"/>
    <w:rsid w:val="003243DA"/>
    <w:rsid w:val="00324680"/>
    <w:rsid w:val="00325216"/>
    <w:rsid w:val="003338AE"/>
    <w:rsid w:val="00334A25"/>
    <w:rsid w:val="003418DE"/>
    <w:rsid w:val="003426A8"/>
    <w:rsid w:val="0035017E"/>
    <w:rsid w:val="003539EF"/>
    <w:rsid w:val="003608AD"/>
    <w:rsid w:val="0036096D"/>
    <w:rsid w:val="003718BB"/>
    <w:rsid w:val="00377F94"/>
    <w:rsid w:val="00385736"/>
    <w:rsid w:val="0038623D"/>
    <w:rsid w:val="003A020A"/>
    <w:rsid w:val="003A3952"/>
    <w:rsid w:val="003A6BB3"/>
    <w:rsid w:val="003A6C4D"/>
    <w:rsid w:val="003B296E"/>
    <w:rsid w:val="003B544A"/>
    <w:rsid w:val="003B7D1C"/>
    <w:rsid w:val="003D3104"/>
    <w:rsid w:val="003D47B9"/>
    <w:rsid w:val="003D5034"/>
    <w:rsid w:val="003E312E"/>
    <w:rsid w:val="003E333B"/>
    <w:rsid w:val="003E67CA"/>
    <w:rsid w:val="00406416"/>
    <w:rsid w:val="00406D73"/>
    <w:rsid w:val="004124FD"/>
    <w:rsid w:val="004125EE"/>
    <w:rsid w:val="004159A5"/>
    <w:rsid w:val="00422671"/>
    <w:rsid w:val="00430A2B"/>
    <w:rsid w:val="00431480"/>
    <w:rsid w:val="00434867"/>
    <w:rsid w:val="00442121"/>
    <w:rsid w:val="004427A4"/>
    <w:rsid w:val="00444C23"/>
    <w:rsid w:val="00452360"/>
    <w:rsid w:val="00453F7A"/>
    <w:rsid w:val="00457159"/>
    <w:rsid w:val="004629E6"/>
    <w:rsid w:val="0046430C"/>
    <w:rsid w:val="004704D8"/>
    <w:rsid w:val="004716DA"/>
    <w:rsid w:val="00473FED"/>
    <w:rsid w:val="004807EA"/>
    <w:rsid w:val="0049019A"/>
    <w:rsid w:val="004C0984"/>
    <w:rsid w:val="004C266E"/>
    <w:rsid w:val="004C2B4F"/>
    <w:rsid w:val="004C7763"/>
    <w:rsid w:val="004D0194"/>
    <w:rsid w:val="004D38F2"/>
    <w:rsid w:val="004E2368"/>
    <w:rsid w:val="004E63DA"/>
    <w:rsid w:val="004F4590"/>
    <w:rsid w:val="004F6E25"/>
    <w:rsid w:val="00501105"/>
    <w:rsid w:val="00522703"/>
    <w:rsid w:val="00523728"/>
    <w:rsid w:val="00527A7F"/>
    <w:rsid w:val="00530E60"/>
    <w:rsid w:val="0053287D"/>
    <w:rsid w:val="00534B24"/>
    <w:rsid w:val="005356E5"/>
    <w:rsid w:val="005500B1"/>
    <w:rsid w:val="0055133A"/>
    <w:rsid w:val="00554BF5"/>
    <w:rsid w:val="00557D79"/>
    <w:rsid w:val="0056019C"/>
    <w:rsid w:val="00561379"/>
    <w:rsid w:val="00562AC0"/>
    <w:rsid w:val="005631DF"/>
    <w:rsid w:val="005657D6"/>
    <w:rsid w:val="00565E76"/>
    <w:rsid w:val="005668B0"/>
    <w:rsid w:val="00570E1F"/>
    <w:rsid w:val="00574AB3"/>
    <w:rsid w:val="00585F3A"/>
    <w:rsid w:val="005912E0"/>
    <w:rsid w:val="00595AFA"/>
    <w:rsid w:val="005A4B3E"/>
    <w:rsid w:val="005A6A6A"/>
    <w:rsid w:val="005A74FF"/>
    <w:rsid w:val="005B61EB"/>
    <w:rsid w:val="005B7B1F"/>
    <w:rsid w:val="005C1FDA"/>
    <w:rsid w:val="005C37C2"/>
    <w:rsid w:val="005D466E"/>
    <w:rsid w:val="005D695A"/>
    <w:rsid w:val="005E039A"/>
    <w:rsid w:val="005E10A5"/>
    <w:rsid w:val="005E7B75"/>
    <w:rsid w:val="005F2843"/>
    <w:rsid w:val="005F5C6F"/>
    <w:rsid w:val="006029D8"/>
    <w:rsid w:val="00604481"/>
    <w:rsid w:val="00605A33"/>
    <w:rsid w:val="00606A4B"/>
    <w:rsid w:val="00610153"/>
    <w:rsid w:val="00613BF4"/>
    <w:rsid w:val="0061541F"/>
    <w:rsid w:val="00615C74"/>
    <w:rsid w:val="00635413"/>
    <w:rsid w:val="0064010D"/>
    <w:rsid w:val="00640759"/>
    <w:rsid w:val="00640BB4"/>
    <w:rsid w:val="00645E21"/>
    <w:rsid w:val="00647EB0"/>
    <w:rsid w:val="00653D0C"/>
    <w:rsid w:val="00670389"/>
    <w:rsid w:val="00672F87"/>
    <w:rsid w:val="00684105"/>
    <w:rsid w:val="00685142"/>
    <w:rsid w:val="0069205F"/>
    <w:rsid w:val="006A1CC2"/>
    <w:rsid w:val="006A35E8"/>
    <w:rsid w:val="006A7F64"/>
    <w:rsid w:val="006B2952"/>
    <w:rsid w:val="006B3E2A"/>
    <w:rsid w:val="006B723F"/>
    <w:rsid w:val="006B7A79"/>
    <w:rsid w:val="006C0E9A"/>
    <w:rsid w:val="006C1B3A"/>
    <w:rsid w:val="006C60FA"/>
    <w:rsid w:val="006D00D1"/>
    <w:rsid w:val="006D3764"/>
    <w:rsid w:val="006E0584"/>
    <w:rsid w:val="006E0C4B"/>
    <w:rsid w:val="006E101C"/>
    <w:rsid w:val="006E1E2D"/>
    <w:rsid w:val="006F0FA6"/>
    <w:rsid w:val="006F48E7"/>
    <w:rsid w:val="006F5348"/>
    <w:rsid w:val="007022B9"/>
    <w:rsid w:val="0070526D"/>
    <w:rsid w:val="00714227"/>
    <w:rsid w:val="00735342"/>
    <w:rsid w:val="00735475"/>
    <w:rsid w:val="0073757A"/>
    <w:rsid w:val="007520E4"/>
    <w:rsid w:val="00752BA2"/>
    <w:rsid w:val="00760C6B"/>
    <w:rsid w:val="007636B7"/>
    <w:rsid w:val="00763759"/>
    <w:rsid w:val="00765FFD"/>
    <w:rsid w:val="00773525"/>
    <w:rsid w:val="007740F2"/>
    <w:rsid w:val="007745A6"/>
    <w:rsid w:val="00774DC7"/>
    <w:rsid w:val="00776CCD"/>
    <w:rsid w:val="0078004D"/>
    <w:rsid w:val="0078057E"/>
    <w:rsid w:val="00780CAF"/>
    <w:rsid w:val="00781424"/>
    <w:rsid w:val="00784011"/>
    <w:rsid w:val="00786DCE"/>
    <w:rsid w:val="007903C2"/>
    <w:rsid w:val="00791A4B"/>
    <w:rsid w:val="00794CE5"/>
    <w:rsid w:val="007959DE"/>
    <w:rsid w:val="00795C4D"/>
    <w:rsid w:val="00796CCD"/>
    <w:rsid w:val="007A0077"/>
    <w:rsid w:val="007A4F44"/>
    <w:rsid w:val="007B5773"/>
    <w:rsid w:val="007B5ACE"/>
    <w:rsid w:val="007D5B1F"/>
    <w:rsid w:val="007D791F"/>
    <w:rsid w:val="007D7971"/>
    <w:rsid w:val="007E6B54"/>
    <w:rsid w:val="007F1320"/>
    <w:rsid w:val="007F1998"/>
    <w:rsid w:val="007F1CFD"/>
    <w:rsid w:val="00803914"/>
    <w:rsid w:val="00806B92"/>
    <w:rsid w:val="00812BA6"/>
    <w:rsid w:val="00814309"/>
    <w:rsid w:val="00814D08"/>
    <w:rsid w:val="00822C6D"/>
    <w:rsid w:val="008256DF"/>
    <w:rsid w:val="00826236"/>
    <w:rsid w:val="00826821"/>
    <w:rsid w:val="00830F38"/>
    <w:rsid w:val="00831D6C"/>
    <w:rsid w:val="00835068"/>
    <w:rsid w:val="008442FB"/>
    <w:rsid w:val="00851D90"/>
    <w:rsid w:val="00856879"/>
    <w:rsid w:val="00857024"/>
    <w:rsid w:val="00861512"/>
    <w:rsid w:val="00862EB1"/>
    <w:rsid w:val="00863C1E"/>
    <w:rsid w:val="00864869"/>
    <w:rsid w:val="00870A1E"/>
    <w:rsid w:val="00880D2A"/>
    <w:rsid w:val="00894033"/>
    <w:rsid w:val="00896087"/>
    <w:rsid w:val="0089697E"/>
    <w:rsid w:val="0089703C"/>
    <w:rsid w:val="00897222"/>
    <w:rsid w:val="008A1796"/>
    <w:rsid w:val="008A59AE"/>
    <w:rsid w:val="008B1C9F"/>
    <w:rsid w:val="008B2519"/>
    <w:rsid w:val="008C046F"/>
    <w:rsid w:val="008C1223"/>
    <w:rsid w:val="008C13EF"/>
    <w:rsid w:val="008C14A5"/>
    <w:rsid w:val="008C2E53"/>
    <w:rsid w:val="008C4091"/>
    <w:rsid w:val="008C6C7D"/>
    <w:rsid w:val="008D01F8"/>
    <w:rsid w:val="008D11BA"/>
    <w:rsid w:val="008D33D9"/>
    <w:rsid w:val="008D3851"/>
    <w:rsid w:val="008D5368"/>
    <w:rsid w:val="008E6AFB"/>
    <w:rsid w:val="008F054C"/>
    <w:rsid w:val="00902C5B"/>
    <w:rsid w:val="00902FFE"/>
    <w:rsid w:val="00906327"/>
    <w:rsid w:val="00907D50"/>
    <w:rsid w:val="00921B9C"/>
    <w:rsid w:val="00923883"/>
    <w:rsid w:val="009267DF"/>
    <w:rsid w:val="0093094C"/>
    <w:rsid w:val="0093409E"/>
    <w:rsid w:val="00935378"/>
    <w:rsid w:val="009451ED"/>
    <w:rsid w:val="00955248"/>
    <w:rsid w:val="00961041"/>
    <w:rsid w:val="0096338F"/>
    <w:rsid w:val="00966DD4"/>
    <w:rsid w:val="00967079"/>
    <w:rsid w:val="00980215"/>
    <w:rsid w:val="00980821"/>
    <w:rsid w:val="009809A3"/>
    <w:rsid w:val="0099229E"/>
    <w:rsid w:val="009A5FD3"/>
    <w:rsid w:val="009B236A"/>
    <w:rsid w:val="009B4C0B"/>
    <w:rsid w:val="009B6CFA"/>
    <w:rsid w:val="009C5A19"/>
    <w:rsid w:val="009C6BC3"/>
    <w:rsid w:val="009C7CB7"/>
    <w:rsid w:val="009D02ED"/>
    <w:rsid w:val="009D6228"/>
    <w:rsid w:val="009D6B6F"/>
    <w:rsid w:val="009E423D"/>
    <w:rsid w:val="009E5290"/>
    <w:rsid w:val="009F1C8A"/>
    <w:rsid w:val="009F450F"/>
    <w:rsid w:val="009F49A6"/>
    <w:rsid w:val="009F502C"/>
    <w:rsid w:val="009F71E7"/>
    <w:rsid w:val="00A0021F"/>
    <w:rsid w:val="00A0534D"/>
    <w:rsid w:val="00A1143E"/>
    <w:rsid w:val="00A11AA6"/>
    <w:rsid w:val="00A157D4"/>
    <w:rsid w:val="00A16F91"/>
    <w:rsid w:val="00A2399D"/>
    <w:rsid w:val="00A2677B"/>
    <w:rsid w:val="00A56FD2"/>
    <w:rsid w:val="00A57A47"/>
    <w:rsid w:val="00A66438"/>
    <w:rsid w:val="00A74BC9"/>
    <w:rsid w:val="00A923DC"/>
    <w:rsid w:val="00A9576B"/>
    <w:rsid w:val="00A976A4"/>
    <w:rsid w:val="00AA2299"/>
    <w:rsid w:val="00AB20BE"/>
    <w:rsid w:val="00AB22D7"/>
    <w:rsid w:val="00AB2AB2"/>
    <w:rsid w:val="00AB63DE"/>
    <w:rsid w:val="00AB7A60"/>
    <w:rsid w:val="00AC702C"/>
    <w:rsid w:val="00AD1C05"/>
    <w:rsid w:val="00AD3610"/>
    <w:rsid w:val="00AD5C69"/>
    <w:rsid w:val="00AE3020"/>
    <w:rsid w:val="00AE5A6F"/>
    <w:rsid w:val="00AF079B"/>
    <w:rsid w:val="00AF3164"/>
    <w:rsid w:val="00B14926"/>
    <w:rsid w:val="00B253BC"/>
    <w:rsid w:val="00B254E1"/>
    <w:rsid w:val="00B26D41"/>
    <w:rsid w:val="00B26E00"/>
    <w:rsid w:val="00B30D51"/>
    <w:rsid w:val="00B40370"/>
    <w:rsid w:val="00B4369B"/>
    <w:rsid w:val="00B4486A"/>
    <w:rsid w:val="00B46691"/>
    <w:rsid w:val="00B52B42"/>
    <w:rsid w:val="00B600C3"/>
    <w:rsid w:val="00B605EC"/>
    <w:rsid w:val="00B670AB"/>
    <w:rsid w:val="00B71B92"/>
    <w:rsid w:val="00B73B49"/>
    <w:rsid w:val="00B7762B"/>
    <w:rsid w:val="00B807F7"/>
    <w:rsid w:val="00B9208D"/>
    <w:rsid w:val="00B93AD7"/>
    <w:rsid w:val="00BA0537"/>
    <w:rsid w:val="00BA1E74"/>
    <w:rsid w:val="00BA20D0"/>
    <w:rsid w:val="00BA2654"/>
    <w:rsid w:val="00BA5C0C"/>
    <w:rsid w:val="00BB0DE7"/>
    <w:rsid w:val="00BB7856"/>
    <w:rsid w:val="00BD7AF4"/>
    <w:rsid w:val="00BE46E4"/>
    <w:rsid w:val="00C030E6"/>
    <w:rsid w:val="00C04576"/>
    <w:rsid w:val="00C10D5D"/>
    <w:rsid w:val="00C11128"/>
    <w:rsid w:val="00C27314"/>
    <w:rsid w:val="00C328CF"/>
    <w:rsid w:val="00C40810"/>
    <w:rsid w:val="00C40C34"/>
    <w:rsid w:val="00C40E8F"/>
    <w:rsid w:val="00C41080"/>
    <w:rsid w:val="00C56ED0"/>
    <w:rsid w:val="00C60184"/>
    <w:rsid w:val="00C60F8C"/>
    <w:rsid w:val="00C674C2"/>
    <w:rsid w:val="00C728BB"/>
    <w:rsid w:val="00C7539C"/>
    <w:rsid w:val="00C76D46"/>
    <w:rsid w:val="00C80A73"/>
    <w:rsid w:val="00C82D4E"/>
    <w:rsid w:val="00C84F1F"/>
    <w:rsid w:val="00C92A5F"/>
    <w:rsid w:val="00C9669F"/>
    <w:rsid w:val="00CA529E"/>
    <w:rsid w:val="00CA6E79"/>
    <w:rsid w:val="00CA723C"/>
    <w:rsid w:val="00CB589D"/>
    <w:rsid w:val="00CB5A4A"/>
    <w:rsid w:val="00CB67AC"/>
    <w:rsid w:val="00CC1392"/>
    <w:rsid w:val="00CC35D2"/>
    <w:rsid w:val="00CC4D82"/>
    <w:rsid w:val="00CD0DDE"/>
    <w:rsid w:val="00CD76A1"/>
    <w:rsid w:val="00CE2D10"/>
    <w:rsid w:val="00CE30D1"/>
    <w:rsid w:val="00CE4104"/>
    <w:rsid w:val="00CE7A8D"/>
    <w:rsid w:val="00CF742B"/>
    <w:rsid w:val="00D07C37"/>
    <w:rsid w:val="00D10388"/>
    <w:rsid w:val="00D12E4C"/>
    <w:rsid w:val="00D237F7"/>
    <w:rsid w:val="00D32388"/>
    <w:rsid w:val="00D35312"/>
    <w:rsid w:val="00D36A65"/>
    <w:rsid w:val="00D37D0A"/>
    <w:rsid w:val="00D478F4"/>
    <w:rsid w:val="00D55B4D"/>
    <w:rsid w:val="00D57A94"/>
    <w:rsid w:val="00D57E12"/>
    <w:rsid w:val="00D64500"/>
    <w:rsid w:val="00D659ED"/>
    <w:rsid w:val="00D752AF"/>
    <w:rsid w:val="00D76AD0"/>
    <w:rsid w:val="00D81CB1"/>
    <w:rsid w:val="00D82F5F"/>
    <w:rsid w:val="00D8541C"/>
    <w:rsid w:val="00D86844"/>
    <w:rsid w:val="00D90AC4"/>
    <w:rsid w:val="00D93F45"/>
    <w:rsid w:val="00D9437D"/>
    <w:rsid w:val="00DA1516"/>
    <w:rsid w:val="00DA2445"/>
    <w:rsid w:val="00DB2E0E"/>
    <w:rsid w:val="00DC2145"/>
    <w:rsid w:val="00DC29FB"/>
    <w:rsid w:val="00DD561C"/>
    <w:rsid w:val="00DD773D"/>
    <w:rsid w:val="00DE37A4"/>
    <w:rsid w:val="00DF219A"/>
    <w:rsid w:val="00DF2257"/>
    <w:rsid w:val="00DF4B58"/>
    <w:rsid w:val="00DF56E7"/>
    <w:rsid w:val="00E02CB0"/>
    <w:rsid w:val="00E040B8"/>
    <w:rsid w:val="00E047FC"/>
    <w:rsid w:val="00E13255"/>
    <w:rsid w:val="00E16B00"/>
    <w:rsid w:val="00E17245"/>
    <w:rsid w:val="00E20D5A"/>
    <w:rsid w:val="00E222EA"/>
    <w:rsid w:val="00E24549"/>
    <w:rsid w:val="00E25652"/>
    <w:rsid w:val="00E30C8C"/>
    <w:rsid w:val="00E34609"/>
    <w:rsid w:val="00E414CA"/>
    <w:rsid w:val="00E4178A"/>
    <w:rsid w:val="00E41C93"/>
    <w:rsid w:val="00E4629A"/>
    <w:rsid w:val="00E50405"/>
    <w:rsid w:val="00E5075C"/>
    <w:rsid w:val="00E528B3"/>
    <w:rsid w:val="00E64F08"/>
    <w:rsid w:val="00E722FF"/>
    <w:rsid w:val="00E77C7F"/>
    <w:rsid w:val="00E833C2"/>
    <w:rsid w:val="00EA3591"/>
    <w:rsid w:val="00EA7AB6"/>
    <w:rsid w:val="00EB0AD9"/>
    <w:rsid w:val="00EB2C1E"/>
    <w:rsid w:val="00EB331A"/>
    <w:rsid w:val="00EB39A0"/>
    <w:rsid w:val="00ED34A0"/>
    <w:rsid w:val="00EF3296"/>
    <w:rsid w:val="00F01922"/>
    <w:rsid w:val="00F020D9"/>
    <w:rsid w:val="00F025CE"/>
    <w:rsid w:val="00F0470B"/>
    <w:rsid w:val="00F152C2"/>
    <w:rsid w:val="00F16110"/>
    <w:rsid w:val="00F3457C"/>
    <w:rsid w:val="00F4097F"/>
    <w:rsid w:val="00F4712B"/>
    <w:rsid w:val="00F47558"/>
    <w:rsid w:val="00F535B4"/>
    <w:rsid w:val="00F60CA6"/>
    <w:rsid w:val="00F6337C"/>
    <w:rsid w:val="00F640D0"/>
    <w:rsid w:val="00F65F65"/>
    <w:rsid w:val="00F6632C"/>
    <w:rsid w:val="00F708BC"/>
    <w:rsid w:val="00F74864"/>
    <w:rsid w:val="00F76776"/>
    <w:rsid w:val="00F8684A"/>
    <w:rsid w:val="00F93423"/>
    <w:rsid w:val="00F94342"/>
    <w:rsid w:val="00F96BD4"/>
    <w:rsid w:val="00F97453"/>
    <w:rsid w:val="00FA16D0"/>
    <w:rsid w:val="00FA241A"/>
    <w:rsid w:val="00FA2FDC"/>
    <w:rsid w:val="00FA61A6"/>
    <w:rsid w:val="00FB01E2"/>
    <w:rsid w:val="00FB1F36"/>
    <w:rsid w:val="00FB3ED1"/>
    <w:rsid w:val="00FB5B96"/>
    <w:rsid w:val="00FD3453"/>
    <w:rsid w:val="00FE5D02"/>
    <w:rsid w:val="00FF3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61DAB9F8-CC65-4127-B2DF-5F70E4E6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14309"/>
    <w:rPr>
      <w:sz w:val="16"/>
      <w:szCs w:val="16"/>
    </w:rPr>
  </w:style>
  <w:style w:type="paragraph" w:styleId="CommentText">
    <w:name w:val="annotation text"/>
    <w:basedOn w:val="Normal"/>
    <w:link w:val="CommentTextChar"/>
    <w:uiPriority w:val="99"/>
    <w:semiHidden/>
    <w:unhideWhenUsed/>
    <w:rsid w:val="00814309"/>
    <w:rPr>
      <w:sz w:val="20"/>
      <w:szCs w:val="20"/>
    </w:rPr>
  </w:style>
  <w:style w:type="character" w:customStyle="1" w:styleId="CommentTextChar">
    <w:name w:val="Comment Text Char"/>
    <w:basedOn w:val="DefaultParagraphFont"/>
    <w:link w:val="CommentText"/>
    <w:uiPriority w:val="99"/>
    <w:semiHidden/>
    <w:rsid w:val="00814309"/>
    <w:rPr>
      <w:sz w:val="20"/>
      <w:szCs w:val="20"/>
    </w:rPr>
  </w:style>
  <w:style w:type="paragraph" w:styleId="CommentSubject">
    <w:name w:val="annotation subject"/>
    <w:basedOn w:val="CommentText"/>
    <w:next w:val="CommentText"/>
    <w:link w:val="CommentSubjectChar"/>
    <w:uiPriority w:val="99"/>
    <w:semiHidden/>
    <w:unhideWhenUsed/>
    <w:rsid w:val="00814309"/>
    <w:rPr>
      <w:b/>
      <w:bCs/>
    </w:rPr>
  </w:style>
  <w:style w:type="character" w:customStyle="1" w:styleId="CommentSubjectChar">
    <w:name w:val="Comment Subject Char"/>
    <w:basedOn w:val="CommentTextChar"/>
    <w:link w:val="CommentSubject"/>
    <w:uiPriority w:val="99"/>
    <w:semiHidden/>
    <w:rsid w:val="00814309"/>
    <w:rPr>
      <w:b/>
      <w:bCs/>
      <w:sz w:val="20"/>
      <w:szCs w:val="20"/>
    </w:rPr>
  </w:style>
  <w:style w:type="character" w:styleId="PlaceholderText">
    <w:name w:val="Placeholder Text"/>
    <w:basedOn w:val="DefaultParagraphFont"/>
    <w:uiPriority w:val="99"/>
    <w:semiHidden/>
    <w:rsid w:val="00D55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7726">
      <w:bodyDiv w:val="1"/>
      <w:marLeft w:val="0"/>
      <w:marRight w:val="0"/>
      <w:marTop w:val="0"/>
      <w:marBottom w:val="0"/>
      <w:divBdr>
        <w:top w:val="none" w:sz="0" w:space="0" w:color="auto"/>
        <w:left w:val="none" w:sz="0" w:space="0" w:color="auto"/>
        <w:bottom w:val="none" w:sz="0" w:space="0" w:color="auto"/>
        <w:right w:val="none" w:sz="0" w:space="0" w:color="auto"/>
      </w:divBdr>
    </w:div>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AEA4-39DB-4A22-8A42-6CFF2370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1308</Words>
  <Characters>10102</Characters>
  <Application>Microsoft Office Word</Application>
  <DocSecurity>0</DocSecurity>
  <Lines>459</Lines>
  <Paragraphs>223</Paragraphs>
  <ScaleCrop>false</ScaleCrop>
  <HeadingPairs>
    <vt:vector size="2" baseType="variant">
      <vt:variant>
        <vt:lpstr>Title</vt:lpstr>
      </vt:variant>
      <vt:variant>
        <vt:i4>1</vt:i4>
      </vt:variant>
    </vt:vector>
  </HeadingPairs>
  <TitlesOfParts>
    <vt:vector size="1" baseType="lpstr">
      <vt:lpstr>Anotācija Ministru kabineta noteikumu „Noteikumi par papildu atlīdzības noteikšanu amatpersonām (darbiniekiem), kuras ir iesaistītas Latvijas prezidentūras Eiropas Savienības Padomē 2015.gadā sagatavošanā un norisē" projektam</vt:lpstr>
    </vt:vector>
  </TitlesOfParts>
  <Company>fm</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„Noteikumi par papildu atlīdzības noteikšanu amatpersonām (darbiniekiem), kuras ir iesaistītas Latvijas prezidentūras Eiropas Savienības Padomē 2015.gadā sagatavošanā un norisē" projektam</dc:title>
  <dc:subject>Anotācija</dc:subject>
  <dc:creator>I.Artemjeva</dc:creator>
  <cp:keywords/>
  <dc:description>t. 67095599
Ineta.Artemjeva@fm.gov.lv</dc:description>
  <cp:lastModifiedBy>Artemjeva Ineta</cp:lastModifiedBy>
  <cp:revision>30</cp:revision>
  <cp:lastPrinted>2013-03-15T14:27:00Z</cp:lastPrinted>
  <dcterms:created xsi:type="dcterms:W3CDTF">2013-07-02T11:55:00Z</dcterms:created>
  <dcterms:modified xsi:type="dcterms:W3CDTF">2013-07-23T13:10:00Z</dcterms:modified>
</cp:coreProperties>
</file>