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F2" w:rsidRDefault="00AF5AA2" w:rsidP="008C0DC4">
      <w:pPr>
        <w:pStyle w:val="BodyText"/>
        <w:ind w:left="-567" w:right="-1333"/>
      </w:pPr>
      <w:bookmarkStart w:id="0" w:name="_GoBack"/>
      <w:bookmarkEnd w:id="0"/>
      <w:r>
        <w:t>Ministru kabineta noteikumu projekta „Grozījumi Ministru kabineta 2009. gada 15. decembra noteikumos Nr. 1486 “Kārtība, kādā budžeta iestādes kārto grāmatvedības uzskaiti”” sākotnējās ietekmes novērtējuma ziņojums (anotācija)</w:t>
      </w:r>
    </w:p>
    <w:p w:rsidR="008766F2" w:rsidRDefault="008766F2" w:rsidP="008C0DC4">
      <w:pPr>
        <w:ind w:right="-1333"/>
        <w:jc w:val="center"/>
        <w:rPr>
          <w:b/>
          <w:bCs/>
          <w:lang w:val="lv-LV"/>
        </w:rPr>
      </w:pPr>
    </w:p>
    <w:tbl>
      <w:tblPr>
        <w:tblW w:w="10206" w:type="dxa"/>
        <w:tblInd w:w="-4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687"/>
        <w:gridCol w:w="6979"/>
      </w:tblGrid>
      <w:tr w:rsidR="008766F2" w:rsidRPr="00A21F1F" w:rsidTr="008C0DC4">
        <w:trPr>
          <w:cantSplit/>
        </w:trPr>
        <w:tc>
          <w:tcPr>
            <w:tcW w:w="10206" w:type="dxa"/>
            <w:gridSpan w:val="3"/>
            <w:tcBorders>
              <w:top w:val="single" w:sz="6" w:space="0" w:color="auto"/>
              <w:left w:val="single" w:sz="6" w:space="0" w:color="auto"/>
              <w:bottom w:val="single" w:sz="6" w:space="0" w:color="auto"/>
              <w:right w:val="single" w:sz="6" w:space="0" w:color="auto"/>
            </w:tcBorders>
          </w:tcPr>
          <w:p w:rsidR="008766F2" w:rsidRDefault="00AF5AA2" w:rsidP="008C0DC4">
            <w:pPr>
              <w:pStyle w:val="BodyTextIndent"/>
              <w:tabs>
                <w:tab w:val="left" w:pos="9504"/>
              </w:tabs>
              <w:jc w:val="center"/>
            </w:pPr>
            <w:r>
              <w:t>I. Kādēļ normatīvais akts ir vajadzīgs</w:t>
            </w:r>
          </w:p>
        </w:tc>
      </w:tr>
      <w:tr w:rsidR="008766F2" w:rsidRPr="00A72207" w:rsidTr="008C0DC4">
        <w:tc>
          <w:tcPr>
            <w:tcW w:w="540" w:type="dxa"/>
            <w:tcBorders>
              <w:top w:val="single" w:sz="6" w:space="0" w:color="auto"/>
              <w:left w:val="single" w:sz="6" w:space="0" w:color="auto"/>
              <w:bottom w:val="single" w:sz="6" w:space="0" w:color="auto"/>
              <w:right w:val="single" w:sz="6" w:space="0" w:color="auto"/>
            </w:tcBorders>
          </w:tcPr>
          <w:p w:rsidR="008766F2" w:rsidRDefault="00AF5AA2">
            <w:pPr>
              <w:pStyle w:val="BodyText"/>
              <w:jc w:val="both"/>
              <w:rPr>
                <w:b w:val="0"/>
                <w:bCs w:val="0"/>
                <w:sz w:val="24"/>
                <w:szCs w:val="24"/>
              </w:rPr>
            </w:pPr>
            <w:r>
              <w:rPr>
                <w:b w:val="0"/>
                <w:bCs w:val="0"/>
                <w:sz w:val="24"/>
                <w:szCs w:val="24"/>
              </w:rPr>
              <w:t xml:space="preserve">1. </w:t>
            </w:r>
          </w:p>
        </w:tc>
        <w:tc>
          <w:tcPr>
            <w:tcW w:w="2687" w:type="dxa"/>
            <w:tcBorders>
              <w:top w:val="single" w:sz="6" w:space="0" w:color="auto"/>
              <w:left w:val="single" w:sz="6" w:space="0" w:color="auto"/>
              <w:bottom w:val="single" w:sz="6" w:space="0" w:color="auto"/>
              <w:right w:val="single" w:sz="6" w:space="0" w:color="auto"/>
            </w:tcBorders>
          </w:tcPr>
          <w:p w:rsidR="008766F2" w:rsidRDefault="00AF5AA2" w:rsidP="00995238">
            <w:pPr>
              <w:pStyle w:val="BodyTextIndent"/>
              <w:spacing w:after="0"/>
              <w:rPr>
                <w:b w:val="0"/>
                <w:bCs w:val="0"/>
              </w:rPr>
            </w:pPr>
            <w:r>
              <w:rPr>
                <w:b w:val="0"/>
                <w:bCs w:val="0"/>
              </w:rPr>
              <w:t>Pamatojums</w:t>
            </w:r>
          </w:p>
        </w:tc>
        <w:tc>
          <w:tcPr>
            <w:tcW w:w="6979" w:type="dxa"/>
            <w:tcBorders>
              <w:top w:val="single" w:sz="6" w:space="0" w:color="auto"/>
              <w:left w:val="single" w:sz="6" w:space="0" w:color="auto"/>
              <w:bottom w:val="single" w:sz="6" w:space="0" w:color="auto"/>
              <w:right w:val="single" w:sz="6" w:space="0" w:color="auto"/>
            </w:tcBorders>
          </w:tcPr>
          <w:p w:rsidR="008766F2" w:rsidRDefault="00A72207" w:rsidP="00995238">
            <w:pPr>
              <w:pStyle w:val="BodyTextIndent"/>
              <w:spacing w:after="0"/>
              <w:rPr>
                <w:b w:val="0"/>
                <w:bCs w:val="0"/>
              </w:rPr>
            </w:pPr>
            <w:r>
              <w:rPr>
                <w:b w:val="0"/>
                <w:bCs w:val="0"/>
              </w:rPr>
              <w:t>Nav attiecināms</w:t>
            </w:r>
          </w:p>
        </w:tc>
      </w:tr>
      <w:tr w:rsidR="008766F2" w:rsidRPr="00A21F1F" w:rsidTr="008C0DC4">
        <w:tc>
          <w:tcPr>
            <w:tcW w:w="540" w:type="dxa"/>
            <w:tcBorders>
              <w:top w:val="single" w:sz="6" w:space="0" w:color="auto"/>
              <w:left w:val="single" w:sz="6" w:space="0" w:color="auto"/>
              <w:bottom w:val="single" w:sz="6" w:space="0" w:color="auto"/>
              <w:right w:val="single" w:sz="6" w:space="0" w:color="auto"/>
            </w:tcBorders>
          </w:tcPr>
          <w:p w:rsidR="008766F2" w:rsidRDefault="00AF5AA2">
            <w:pPr>
              <w:pStyle w:val="BodyText"/>
              <w:jc w:val="both"/>
              <w:rPr>
                <w:b w:val="0"/>
                <w:bCs w:val="0"/>
                <w:sz w:val="24"/>
                <w:szCs w:val="24"/>
              </w:rPr>
            </w:pPr>
            <w:r>
              <w:rPr>
                <w:b w:val="0"/>
                <w:bCs w:val="0"/>
                <w:sz w:val="24"/>
                <w:szCs w:val="24"/>
              </w:rPr>
              <w:t>2.</w:t>
            </w:r>
          </w:p>
        </w:tc>
        <w:tc>
          <w:tcPr>
            <w:tcW w:w="2687" w:type="dxa"/>
            <w:tcBorders>
              <w:top w:val="single" w:sz="6" w:space="0" w:color="auto"/>
              <w:left w:val="single" w:sz="6" w:space="0" w:color="auto"/>
              <w:bottom w:val="single" w:sz="6" w:space="0" w:color="auto"/>
              <w:right w:val="single" w:sz="6" w:space="0" w:color="auto"/>
            </w:tcBorders>
          </w:tcPr>
          <w:p w:rsidR="008766F2" w:rsidRDefault="00AF5AA2">
            <w:pPr>
              <w:jc w:val="both"/>
              <w:rPr>
                <w:lang w:val="lv-LV"/>
              </w:rPr>
            </w:pPr>
            <w:r>
              <w:rPr>
                <w:lang w:val="lv-LV"/>
              </w:rPr>
              <w:t>Pašreizējā situācija un problēmas</w:t>
            </w:r>
          </w:p>
        </w:tc>
        <w:tc>
          <w:tcPr>
            <w:tcW w:w="6979" w:type="dxa"/>
            <w:tcBorders>
              <w:top w:val="single" w:sz="6" w:space="0" w:color="auto"/>
              <w:left w:val="single" w:sz="6" w:space="0" w:color="auto"/>
              <w:bottom w:val="single" w:sz="6" w:space="0" w:color="auto"/>
              <w:right w:val="single" w:sz="6" w:space="0" w:color="auto"/>
            </w:tcBorders>
          </w:tcPr>
          <w:p w:rsidR="008766F2" w:rsidRPr="007A2705" w:rsidRDefault="002E2C3D" w:rsidP="00655870">
            <w:pPr>
              <w:pStyle w:val="BodyTextIndent2"/>
              <w:spacing w:after="0"/>
              <w:ind w:firstLine="175"/>
            </w:pPr>
            <w:r>
              <w:t>Ministru kabineta 2009.gada 15.</w:t>
            </w:r>
            <w:r w:rsidR="00AF5AA2" w:rsidRPr="007A2705">
              <w:t xml:space="preserve">decembra noteikumi Nr.1486 “Kārtība, kādā budžeta iestādes kārto grāmatvedības uzskaiti” (turpmāk </w:t>
            </w:r>
            <w:r>
              <w:t>– noteikumi Nr.</w:t>
            </w:r>
            <w:r w:rsidR="00AF5AA2" w:rsidRPr="007A2705">
              <w:t>1486) nosaka kārtību, kādā valsts un pašvaldību budžeta iestādes kārto grāmatvedības uzskaiti, paredzot vienotu uzskaites pamatprincipu un grāmatvedības kontu plāna lietošanu.</w:t>
            </w:r>
            <w:r>
              <w:t xml:space="preserve"> Noteikumos Nr.1486 nepieciešams izdarīt grozījumus, jo:</w:t>
            </w:r>
          </w:p>
          <w:p w:rsidR="00984493" w:rsidRPr="00D73DD9" w:rsidRDefault="002E2C3D" w:rsidP="00655870">
            <w:pPr>
              <w:pStyle w:val="BodyTextIndent2"/>
              <w:spacing w:after="0"/>
              <w:ind w:firstLine="175"/>
              <w:rPr>
                <w:b/>
              </w:rPr>
            </w:pPr>
            <w:r>
              <w:t>1. p</w:t>
            </w:r>
            <w:r w:rsidR="00AF5AA2" w:rsidRPr="007A2705">
              <w:t>ēc noteikumu Nr.1486 stāšanās spēkā no ministrijām un pašvaldībām saņemti vairāki priekšlikumi un ieteikumi par nepieciešamām izmaiņām un papil</w:t>
            </w:r>
            <w:r w:rsidR="00984493">
              <w:t>dinājumiem esošajos noteikumos</w:t>
            </w:r>
            <w:r w:rsidR="00033E33">
              <w:t xml:space="preserve"> </w:t>
            </w:r>
            <w:r w:rsidR="00D73DD9" w:rsidRPr="00D73DD9">
              <w:rPr>
                <w:b/>
              </w:rPr>
              <w:t>par</w:t>
            </w:r>
            <w:r w:rsidR="00984493" w:rsidRPr="00D73DD9">
              <w:rPr>
                <w:b/>
              </w:rPr>
              <w:t>:</w:t>
            </w:r>
          </w:p>
          <w:p w:rsidR="00984493" w:rsidRPr="004D3C6B" w:rsidRDefault="00984493" w:rsidP="00984493">
            <w:pPr>
              <w:pStyle w:val="BodyTextIndent2"/>
              <w:numPr>
                <w:ilvl w:val="0"/>
                <w:numId w:val="2"/>
              </w:numPr>
              <w:spacing w:after="0"/>
              <w:ind w:left="176" w:hanging="176"/>
              <w:rPr>
                <w:b/>
              </w:rPr>
            </w:pPr>
            <w:r w:rsidRPr="004D3C6B">
              <w:rPr>
                <w:b/>
              </w:rPr>
              <w:t>turējumā kapitālsabiedrībām nodoto kusta</w:t>
            </w:r>
            <w:r w:rsidR="00033E33">
              <w:rPr>
                <w:b/>
              </w:rPr>
              <w:t>mo īpašumu un inventāra uzskaiti</w:t>
            </w:r>
            <w:r w:rsidR="0021346B">
              <w:rPr>
                <w:b/>
              </w:rPr>
              <w:t xml:space="preserve">. Praksē budžeta iestādes kapitālsabiedrībām nodod turējumā ne tikai nekustamo īpašumu, bet arī citus pamatlīdzekļus un inventāru. </w:t>
            </w:r>
            <w:r w:rsidR="00E66B0F">
              <w:rPr>
                <w:b/>
              </w:rPr>
              <w:t>P</w:t>
            </w:r>
            <w:r w:rsidR="00E66B0F" w:rsidRPr="00E66B0F">
              <w:rPr>
                <w:b/>
              </w:rPr>
              <w:t>ašvaldība</w:t>
            </w:r>
            <w:r w:rsidR="00E66B0F">
              <w:rPr>
                <w:b/>
              </w:rPr>
              <w:t>s</w:t>
            </w:r>
            <w:r w:rsidR="00E66B0F" w:rsidRPr="00E66B0F">
              <w:rPr>
                <w:b/>
              </w:rPr>
              <w:t xml:space="preserve"> var nodot turējumā īpašumus arī</w:t>
            </w:r>
            <w:r w:rsidR="00E66B0F">
              <w:rPr>
                <w:b/>
              </w:rPr>
              <w:t>,</w:t>
            </w:r>
            <w:r w:rsidR="00E66B0F" w:rsidRPr="00E66B0F">
              <w:rPr>
                <w:b/>
              </w:rPr>
              <w:t xml:space="preserve"> piemēram, Ventspils Augstskolai vai Valsts ieņēmumu dienestam</w:t>
            </w:r>
            <w:r w:rsidR="00E66B0F">
              <w:rPr>
                <w:b/>
              </w:rPr>
              <w:t>.</w:t>
            </w:r>
            <w:r w:rsidR="00E66B0F" w:rsidRPr="00E66B0F">
              <w:rPr>
                <w:b/>
              </w:rPr>
              <w:t xml:space="preserve"> </w:t>
            </w:r>
            <w:r w:rsidR="0021346B">
              <w:rPr>
                <w:b/>
              </w:rPr>
              <w:t xml:space="preserve">Lai gada pārskatā sniegtu pilnīgu informāciju, budžeta iestādēm nepieciešams nodalīt turējumā nodotos īpašumus. Šobrīd Noteikumos Nr.1486 paredzēti atsevišķi konti tikai </w:t>
            </w:r>
            <w:r w:rsidR="00E66B0F">
              <w:rPr>
                <w:b/>
              </w:rPr>
              <w:t xml:space="preserve">kapitālsabiedrībām turējumā nodoto </w:t>
            </w:r>
            <w:r w:rsidR="0021346B">
              <w:rPr>
                <w:b/>
              </w:rPr>
              <w:t>nekustamā īpašuma uzskaitei</w:t>
            </w:r>
            <w:r w:rsidR="007D1685">
              <w:rPr>
                <w:b/>
              </w:rPr>
              <w:t xml:space="preserve">, tāpēc Noteikumus Nr.1486 nepieciešams papildināt ar attiecīgiem grāmatvedības kontiem, kā arī paredzēt pārejas periodu uzskaites datu </w:t>
            </w:r>
            <w:proofErr w:type="spellStart"/>
            <w:r w:rsidR="007D1685">
              <w:rPr>
                <w:b/>
              </w:rPr>
              <w:t>pārklasifikācijai</w:t>
            </w:r>
            <w:proofErr w:type="spellEnd"/>
            <w:r w:rsidRPr="004D3C6B">
              <w:rPr>
                <w:b/>
              </w:rPr>
              <w:t>;</w:t>
            </w:r>
          </w:p>
          <w:p w:rsidR="00984493" w:rsidRPr="004D3C6B" w:rsidRDefault="00984493" w:rsidP="00984493">
            <w:pPr>
              <w:pStyle w:val="BodyTextIndent2"/>
              <w:numPr>
                <w:ilvl w:val="0"/>
                <w:numId w:val="2"/>
              </w:numPr>
              <w:spacing w:after="0"/>
              <w:ind w:left="176" w:hanging="176"/>
              <w:rPr>
                <w:b/>
              </w:rPr>
            </w:pPr>
            <w:r w:rsidRPr="004D3C6B">
              <w:rPr>
                <w:b/>
              </w:rPr>
              <w:t>mežaudžu sākotnējās uzskaites nosacījum</w:t>
            </w:r>
            <w:r w:rsidR="00033E33">
              <w:rPr>
                <w:b/>
              </w:rPr>
              <w:t>iem</w:t>
            </w:r>
            <w:r w:rsidR="0021346B">
              <w:rPr>
                <w:b/>
              </w:rPr>
              <w:t>. Piemērojot spēkā esošās Noteikumu Nr.1486 normas, radušās dažādas interpretācijas par mežaudžu vērtības noteikšanu, to sākotnēji atzīstot uzskaitē</w:t>
            </w:r>
            <w:r w:rsidRPr="004D3C6B">
              <w:rPr>
                <w:b/>
              </w:rPr>
              <w:t>;</w:t>
            </w:r>
          </w:p>
          <w:p w:rsidR="00033E33" w:rsidRDefault="00033E33" w:rsidP="00984493">
            <w:pPr>
              <w:pStyle w:val="BodyTextIndent2"/>
              <w:numPr>
                <w:ilvl w:val="0"/>
                <w:numId w:val="2"/>
              </w:numPr>
              <w:spacing w:after="0"/>
              <w:ind w:left="176" w:hanging="176"/>
              <w:rPr>
                <w:b/>
              </w:rPr>
            </w:pPr>
            <w:r>
              <w:rPr>
                <w:b/>
              </w:rPr>
              <w:t>ilgtermiņa ieguldījumu un inventāra</w:t>
            </w:r>
            <w:r w:rsidR="007D1685">
              <w:rPr>
                <w:b/>
              </w:rPr>
              <w:t xml:space="preserve"> vērtības samazinājuma uzskaiti. Šobrīd radušās neskaidrības par budžeta iestādes rīcību gadījumos, kad ilgtermiņa ieguldījuma </w:t>
            </w:r>
            <w:r w:rsidR="007D1685" w:rsidRPr="007D1685">
              <w:rPr>
                <w:b/>
              </w:rPr>
              <w:t>nav iespējams noteikt atgūstamo vērtību</w:t>
            </w:r>
            <w:r w:rsidR="007D1685">
              <w:rPr>
                <w:b/>
              </w:rPr>
              <w:t>, bet inventāram – patieso vērtību;</w:t>
            </w:r>
            <w:r w:rsidR="007D1685" w:rsidRPr="007D1685">
              <w:rPr>
                <w:b/>
              </w:rPr>
              <w:t xml:space="preserve"> </w:t>
            </w:r>
          </w:p>
          <w:p w:rsidR="00033E33" w:rsidRDefault="00033E33" w:rsidP="00984493">
            <w:pPr>
              <w:pStyle w:val="BodyTextIndent2"/>
              <w:numPr>
                <w:ilvl w:val="0"/>
                <w:numId w:val="2"/>
              </w:numPr>
              <w:spacing w:after="0"/>
              <w:ind w:left="176" w:hanging="176"/>
              <w:rPr>
                <w:b/>
              </w:rPr>
            </w:pPr>
            <w:r>
              <w:rPr>
                <w:b/>
              </w:rPr>
              <w:t>finanšu ieguldījumu uzskaiti</w:t>
            </w:r>
            <w:r w:rsidR="004A7D68">
              <w:rPr>
                <w:b/>
              </w:rPr>
              <w:t>. Praksē finanšu ieguldījumu veikšanu kapitālsabiedrībā paredz Ministru kabineta lēmumi, nosakot vienai budžeta iestādei veikt ieguldījumu kapitālsabiedrībā, kuras kapitāla daļu turētāja ir cita budžeta iestāde. Noteikumos Nr.1486 nav paredzēta šādu darījumu uzskaite, tāpēc šobrīd budžeta iestādes pielieto atšķirīgas uzskaites metodes, lai šādus darījumu uzrādītu pārskatos</w:t>
            </w:r>
            <w:r>
              <w:rPr>
                <w:b/>
              </w:rPr>
              <w:t>;</w:t>
            </w:r>
          </w:p>
          <w:p w:rsidR="00237471" w:rsidRPr="008D1D6C" w:rsidRDefault="00237471" w:rsidP="00984493">
            <w:pPr>
              <w:pStyle w:val="BodyTextIndent2"/>
              <w:numPr>
                <w:ilvl w:val="0"/>
                <w:numId w:val="2"/>
              </w:numPr>
              <w:spacing w:after="0"/>
              <w:ind w:left="176" w:hanging="176"/>
              <w:rPr>
                <w:b/>
              </w:rPr>
            </w:pPr>
            <w:r w:rsidRPr="008D1D6C">
              <w:rPr>
                <w:b/>
              </w:rPr>
              <w:t>līgumsodu uzskaiti.</w:t>
            </w:r>
            <w:r w:rsidR="004A7D68" w:rsidRPr="008D1D6C">
              <w:rPr>
                <w:b/>
              </w:rPr>
              <w:t xml:space="preserve"> Noteikumos Nr.1486 šobrīd līgumsodu un procentu </w:t>
            </w:r>
            <w:r w:rsidR="00C34230" w:rsidRPr="008D1D6C">
              <w:rPr>
                <w:b/>
              </w:rPr>
              <w:t xml:space="preserve">maksājumu </w:t>
            </w:r>
            <w:r w:rsidR="004A7D68" w:rsidRPr="008D1D6C">
              <w:rPr>
                <w:b/>
              </w:rPr>
              <w:t xml:space="preserve">par saistību neizpildi nosacījumos lietoti termini „naudas sods”  un „soda nauda”, taču </w:t>
            </w:r>
            <w:r w:rsidR="00995238" w:rsidRPr="008D1D6C">
              <w:rPr>
                <w:b/>
              </w:rPr>
              <w:t xml:space="preserve">tie </w:t>
            </w:r>
            <w:r w:rsidR="003F5459" w:rsidRPr="008D1D6C">
              <w:rPr>
                <w:b/>
              </w:rPr>
              <w:t xml:space="preserve">neatbilst normas būtībai. </w:t>
            </w:r>
          </w:p>
          <w:p w:rsidR="008766F2" w:rsidRPr="007A2705" w:rsidRDefault="00B407C8" w:rsidP="00655870">
            <w:pPr>
              <w:ind w:firstLine="175"/>
              <w:jc w:val="both"/>
              <w:rPr>
                <w:bCs/>
                <w:lang w:val="lv-LV"/>
              </w:rPr>
            </w:pPr>
            <w:r w:rsidRPr="007A2705">
              <w:rPr>
                <w:bCs/>
                <w:lang w:val="lv-LV"/>
              </w:rPr>
              <w:t xml:space="preserve">2.Valsts kontrole, veicot Latvijas Republikas 2010.gada pārskatu </w:t>
            </w:r>
            <w:r w:rsidRPr="007A2705">
              <w:rPr>
                <w:bCs/>
                <w:lang w:val="lv-LV"/>
              </w:rPr>
              <w:lastRenderedPageBreak/>
              <w:t xml:space="preserve">par valsts budžeta izpildi un par pašvaldību budžetiem revīziju </w:t>
            </w:r>
            <w:proofErr w:type="spellStart"/>
            <w:r w:rsidRPr="007A2705">
              <w:rPr>
                <w:bCs/>
                <w:lang w:val="lv-LV"/>
              </w:rPr>
              <w:t>Nr</w:t>
            </w:r>
            <w:proofErr w:type="spellEnd"/>
            <w:r w:rsidRPr="007A2705">
              <w:rPr>
                <w:bCs/>
                <w:lang w:val="lv-LV"/>
              </w:rPr>
              <w:t>.</w:t>
            </w:r>
            <w:r w:rsidRPr="007A2705">
              <w:rPr>
                <w:b/>
                <w:bCs/>
                <w:lang w:val="lv-LV" w:eastAsia="lv-LV"/>
              </w:rPr>
              <w:t xml:space="preserve"> </w:t>
            </w:r>
            <w:r w:rsidRPr="007A2705">
              <w:rPr>
                <w:bCs/>
                <w:lang w:val="lv-LV"/>
              </w:rPr>
              <w:t>5.1-2-23/2010, sniedza ieteikumu:</w:t>
            </w:r>
          </w:p>
          <w:p w:rsidR="00966E68" w:rsidRPr="00F50640" w:rsidRDefault="00B407C8" w:rsidP="00966E68">
            <w:pPr>
              <w:jc w:val="both"/>
              <w:rPr>
                <w:b/>
                <w:lang w:val="lv-LV"/>
              </w:rPr>
            </w:pPr>
            <w:r w:rsidRPr="007A2705">
              <w:rPr>
                <w:lang w:val="lv-LV"/>
              </w:rPr>
              <w:t xml:space="preserve">“7.Lai nodrošinātu, ka subsīdijas, dotācijas un transferti tiek uzskaitīti izmantojot vienotu pieeju un uzrādot visas prasības un saistības par piešķirtajām un neizlietotajām subsīdijām, dotācijām un transfertiem, Finanšu ministrijai </w:t>
            </w:r>
            <w:r w:rsidRPr="007A2705">
              <w:rPr>
                <w:rFonts w:ascii="TimesNewRomanPS-BoldMT" w:hAnsi="TimesNewRomanPS-BoldMT" w:cs="TimesNewRomanPS-BoldMT"/>
                <w:bCs/>
                <w:lang w:val="lv-LV"/>
              </w:rPr>
              <w:t xml:space="preserve">sadarbībā ar ministrijām </w:t>
            </w:r>
            <w:r w:rsidRPr="007A2705">
              <w:rPr>
                <w:lang w:val="lv-LV"/>
              </w:rPr>
              <w:t>pilnveidot normatīvos aktus un kontroles procedūras budžeta plānošanas un izpildes procesa nodrošināšanai atbilstoši starptautiskajiem publiskā sektora grāmatvedības standartiem.”.</w:t>
            </w:r>
            <w:r w:rsidR="00F50640">
              <w:rPr>
                <w:lang w:val="lv-LV"/>
              </w:rPr>
              <w:t xml:space="preserve"> </w:t>
            </w:r>
            <w:r w:rsidR="00F50640" w:rsidRPr="00F50640">
              <w:rPr>
                <w:b/>
                <w:lang w:val="lv-LV"/>
              </w:rPr>
              <w:t>Ieteikuma ieviešana paredzēta līdz 2015.gadam, jo transfertu uzskaites kārtības maiņa būtiski ietekmē uzskaites un informācijas apmaiņas procesu organizāciju budžeta iestādēs.</w:t>
            </w:r>
          </w:p>
          <w:p w:rsidR="0021346B" w:rsidRPr="0021346B" w:rsidRDefault="0021346B" w:rsidP="0021346B">
            <w:pPr>
              <w:ind w:firstLine="459"/>
              <w:jc w:val="both"/>
              <w:rPr>
                <w:b/>
                <w:lang w:val="lv-LV"/>
              </w:rPr>
            </w:pPr>
            <w:r w:rsidRPr="0021346B">
              <w:rPr>
                <w:b/>
                <w:lang w:val="lv-LV"/>
              </w:rPr>
              <w:t>3.Valsts kase konstatējusi nepieciešamību precizēt atsevišķas Noteikumu Nr.1486 normas:</w:t>
            </w:r>
          </w:p>
          <w:p w:rsidR="0021346B" w:rsidRPr="0021346B" w:rsidRDefault="0021346B" w:rsidP="0021346B">
            <w:pPr>
              <w:pStyle w:val="ListParagraph"/>
              <w:numPr>
                <w:ilvl w:val="0"/>
                <w:numId w:val="3"/>
              </w:numPr>
              <w:ind w:left="176" w:hanging="142"/>
              <w:jc w:val="both"/>
              <w:rPr>
                <w:b/>
                <w:lang w:val="lv-LV"/>
              </w:rPr>
            </w:pPr>
            <w:r w:rsidRPr="0021346B">
              <w:rPr>
                <w:b/>
                <w:lang w:val="lv-LV"/>
              </w:rPr>
              <w:t>53.punkts dublē 56.punktu;</w:t>
            </w:r>
          </w:p>
          <w:p w:rsidR="0021346B" w:rsidRPr="0021346B" w:rsidRDefault="0021346B" w:rsidP="0021346B">
            <w:pPr>
              <w:pStyle w:val="ListParagraph"/>
              <w:numPr>
                <w:ilvl w:val="0"/>
                <w:numId w:val="3"/>
              </w:numPr>
              <w:ind w:left="176" w:hanging="142"/>
              <w:jc w:val="both"/>
              <w:rPr>
                <w:lang w:val="lv-LV"/>
              </w:rPr>
            </w:pPr>
            <w:r w:rsidRPr="0021346B">
              <w:rPr>
                <w:b/>
                <w:lang w:val="lv-LV"/>
              </w:rPr>
              <w:t>57.punkts dublē 82.</w:t>
            </w:r>
            <w:r w:rsidRPr="0021346B">
              <w:rPr>
                <w:b/>
                <w:vertAlign w:val="superscript"/>
                <w:lang w:val="lv-LV"/>
              </w:rPr>
              <w:t>10 </w:t>
            </w:r>
            <w:r w:rsidRPr="0021346B">
              <w:rPr>
                <w:b/>
                <w:lang w:val="lv-LV"/>
              </w:rPr>
              <w:t>punktu</w:t>
            </w:r>
            <w:r>
              <w:rPr>
                <w:b/>
                <w:lang w:val="lv-LV"/>
              </w:rPr>
              <w:t>;</w:t>
            </w:r>
          </w:p>
          <w:p w:rsidR="0021346B" w:rsidRPr="0021346B" w:rsidRDefault="0021346B" w:rsidP="0021346B">
            <w:pPr>
              <w:pStyle w:val="ListParagraph"/>
              <w:numPr>
                <w:ilvl w:val="0"/>
                <w:numId w:val="3"/>
              </w:numPr>
              <w:ind w:left="176" w:hanging="142"/>
              <w:jc w:val="both"/>
              <w:rPr>
                <w:b/>
                <w:lang w:val="lv-LV"/>
              </w:rPr>
            </w:pPr>
            <w:r w:rsidRPr="0021346B">
              <w:rPr>
                <w:b/>
                <w:lang w:val="lv-LV"/>
              </w:rPr>
              <w:t>82.</w:t>
            </w:r>
            <w:r w:rsidRPr="0021346B">
              <w:rPr>
                <w:b/>
                <w:vertAlign w:val="superscript"/>
                <w:lang w:val="lv-LV"/>
              </w:rPr>
              <w:t xml:space="preserve">2 </w:t>
            </w:r>
            <w:r w:rsidRPr="0021346B">
              <w:rPr>
                <w:b/>
                <w:lang w:val="lv-LV"/>
              </w:rPr>
              <w:t>punkts pieļauj dažādas interpretācijas, nosakot kultūras pieminekļus, kam nerēķina nolietojumu;</w:t>
            </w:r>
          </w:p>
          <w:p w:rsidR="0021346B" w:rsidRPr="007D1685" w:rsidRDefault="0021346B" w:rsidP="0021346B">
            <w:pPr>
              <w:pStyle w:val="ListParagraph"/>
              <w:numPr>
                <w:ilvl w:val="0"/>
                <w:numId w:val="3"/>
              </w:numPr>
              <w:ind w:left="176" w:hanging="142"/>
              <w:jc w:val="both"/>
              <w:rPr>
                <w:b/>
                <w:lang w:val="lv-LV"/>
              </w:rPr>
            </w:pPr>
            <w:r w:rsidRPr="007D1685">
              <w:rPr>
                <w:b/>
                <w:lang w:val="lv-LV"/>
              </w:rPr>
              <w:t>konsolidācijas procedūru veikšanai nepieciešams noteikt, ka budžeta iestādes, saņemot vērtības bezatlīdzības ceļā no citām iestādēm, sākotnēji tās atzīst tajā pašā grāmatvedības kontā, no kura to izslēgusi iepriekšējā budžeta iestāde;</w:t>
            </w:r>
          </w:p>
          <w:p w:rsidR="0021346B" w:rsidRPr="007D1685" w:rsidRDefault="007D1685" w:rsidP="007D1685">
            <w:pPr>
              <w:pStyle w:val="ListParagraph"/>
              <w:numPr>
                <w:ilvl w:val="0"/>
                <w:numId w:val="3"/>
              </w:numPr>
              <w:ind w:left="176" w:hanging="142"/>
              <w:jc w:val="both"/>
              <w:rPr>
                <w:b/>
                <w:lang w:val="lv-LV"/>
              </w:rPr>
            </w:pPr>
            <w:r w:rsidRPr="007D1685">
              <w:rPr>
                <w:b/>
                <w:lang w:val="lv-LV"/>
              </w:rPr>
              <w:t xml:space="preserve">noteikumu projektu papildinot ar transfertu uzskaites nosacījumiem atbilstoši uzkrāšanas principam, radusies nepieciešamība </w:t>
            </w:r>
            <w:r w:rsidR="003F5459">
              <w:rPr>
                <w:b/>
                <w:lang w:val="lv-LV"/>
              </w:rPr>
              <w:t>papildināt</w:t>
            </w:r>
            <w:r w:rsidRPr="007D1685">
              <w:rPr>
                <w:b/>
                <w:lang w:val="lv-LV"/>
              </w:rPr>
              <w:t xml:space="preserve"> Noteikumos Nr.1486 paredzēto saistību klasifikāciju. </w:t>
            </w:r>
            <w:r w:rsidR="003F5459">
              <w:rPr>
                <w:b/>
                <w:lang w:val="lv-LV"/>
              </w:rPr>
              <w:t>A</w:t>
            </w:r>
            <w:r w:rsidRPr="007D1685">
              <w:rPr>
                <w:b/>
                <w:lang w:val="lv-LV"/>
              </w:rPr>
              <w:t>tsevišķu saistību kontu definīcijas nepieciešams precizēt un apvienot, lai neradītu dažādas interpretācijas iespējas;</w:t>
            </w:r>
          </w:p>
          <w:p w:rsidR="007D1685" w:rsidRPr="00CD5927" w:rsidRDefault="00F50640" w:rsidP="003F5459">
            <w:pPr>
              <w:pStyle w:val="ListParagraph"/>
              <w:numPr>
                <w:ilvl w:val="0"/>
                <w:numId w:val="3"/>
              </w:numPr>
              <w:ind w:left="176" w:hanging="142"/>
              <w:jc w:val="both"/>
              <w:rPr>
                <w:b/>
                <w:lang w:val="lv-LV"/>
              </w:rPr>
            </w:pPr>
            <w:r w:rsidRPr="00CD5927">
              <w:rPr>
                <w:b/>
                <w:lang w:val="lv-LV"/>
              </w:rPr>
              <w:t xml:space="preserve">iepriekšējo gadu ilgtermiņa ieguldījumu pārvērtēšanas rezerves </w:t>
            </w:r>
            <w:r w:rsidR="00F67003" w:rsidRPr="00CD5927">
              <w:rPr>
                <w:b/>
                <w:lang w:val="lv-LV"/>
              </w:rPr>
              <w:t>uzskaite nav lietderīga un rada kļūdas, izslēdzot ilgtermiņa ieguldījumus no uzskaites.</w:t>
            </w:r>
            <w:r w:rsidR="00A84322" w:rsidRPr="00CD5927">
              <w:rPr>
                <w:b/>
                <w:lang w:val="lv-LV"/>
              </w:rPr>
              <w:t xml:space="preserve"> Š</w:t>
            </w:r>
            <w:r w:rsidR="00F67003" w:rsidRPr="00CD5927">
              <w:rPr>
                <w:b/>
                <w:lang w:val="lv-LV"/>
              </w:rPr>
              <w:t>obrīd ilgtermiņa ieguldījumu vērtību iespējams palielināt tikai kapitālo ieguldījumu veikšanas rezultātā vai mežaudzēm – aktualizējot vērt</w:t>
            </w:r>
            <w:r w:rsidR="003F5459" w:rsidRPr="00CD5927">
              <w:rPr>
                <w:b/>
                <w:lang w:val="lv-LV"/>
              </w:rPr>
              <w:t>ību. Šo vērtības palielinājumu neattiecina uz pārvērtēšanas rezervi.</w:t>
            </w:r>
          </w:p>
          <w:p w:rsidR="003F5459" w:rsidRPr="003F5459" w:rsidRDefault="003F5459" w:rsidP="00655870">
            <w:pPr>
              <w:ind w:left="34" w:firstLine="141"/>
              <w:jc w:val="both"/>
              <w:rPr>
                <w:lang w:val="lv-LV"/>
              </w:rPr>
            </w:pPr>
            <w:r w:rsidRPr="003F5459">
              <w:rPr>
                <w:lang w:val="lv-LV"/>
              </w:rPr>
              <w:t>Pamatojoties uz izteiktajiem priekšlikumiem un ieteikumiem, Valsts kase ir izstrādājusi Ministru kabineta noteikumu projektu “Gr</w:t>
            </w:r>
            <w:r w:rsidR="00F73E0E">
              <w:rPr>
                <w:lang w:val="lv-LV"/>
              </w:rPr>
              <w:t>ozījumi Ministru kabineta 2009.gada 15.</w:t>
            </w:r>
            <w:r w:rsidRPr="003F5459">
              <w:rPr>
                <w:lang w:val="lv-LV"/>
              </w:rPr>
              <w:t>decembra not</w:t>
            </w:r>
            <w:r w:rsidR="00F73E0E">
              <w:rPr>
                <w:lang w:val="lv-LV"/>
              </w:rPr>
              <w:t>eikumos Nr.</w:t>
            </w:r>
            <w:r w:rsidRPr="003F5459">
              <w:rPr>
                <w:lang w:val="lv-LV"/>
              </w:rPr>
              <w:t>1486 “Kārtība, kādā budžeta iestādes kārto grāmatvedības uzskaiti” (turpmāk – noteikumu projekts).</w:t>
            </w:r>
          </w:p>
        </w:tc>
      </w:tr>
      <w:tr w:rsidR="008766F2" w:rsidTr="008C0DC4">
        <w:tc>
          <w:tcPr>
            <w:tcW w:w="540" w:type="dxa"/>
            <w:tcBorders>
              <w:top w:val="single" w:sz="6" w:space="0" w:color="auto"/>
              <w:left w:val="single" w:sz="6" w:space="0" w:color="auto"/>
              <w:bottom w:val="single" w:sz="6" w:space="0" w:color="auto"/>
              <w:right w:val="single" w:sz="6" w:space="0" w:color="auto"/>
            </w:tcBorders>
          </w:tcPr>
          <w:p w:rsidR="008766F2" w:rsidRDefault="00AF5AA2">
            <w:pPr>
              <w:pStyle w:val="BodyText"/>
              <w:jc w:val="both"/>
              <w:rPr>
                <w:b w:val="0"/>
                <w:bCs w:val="0"/>
                <w:sz w:val="24"/>
                <w:szCs w:val="24"/>
              </w:rPr>
            </w:pPr>
            <w:r>
              <w:rPr>
                <w:b w:val="0"/>
                <w:bCs w:val="0"/>
                <w:sz w:val="24"/>
                <w:szCs w:val="24"/>
              </w:rPr>
              <w:lastRenderedPageBreak/>
              <w:t xml:space="preserve">3. </w:t>
            </w:r>
          </w:p>
        </w:tc>
        <w:tc>
          <w:tcPr>
            <w:tcW w:w="2687" w:type="dxa"/>
            <w:tcBorders>
              <w:top w:val="single" w:sz="6" w:space="0" w:color="auto"/>
              <w:left w:val="single" w:sz="6" w:space="0" w:color="auto"/>
              <w:bottom w:val="single" w:sz="6" w:space="0" w:color="auto"/>
              <w:right w:val="single" w:sz="6" w:space="0" w:color="auto"/>
            </w:tcBorders>
          </w:tcPr>
          <w:p w:rsidR="008766F2" w:rsidRDefault="00AF5AA2" w:rsidP="00995238">
            <w:pPr>
              <w:pStyle w:val="BodyTextIndent"/>
              <w:spacing w:after="0"/>
              <w:rPr>
                <w:b w:val="0"/>
                <w:bCs w:val="0"/>
              </w:rPr>
            </w:pPr>
            <w:r>
              <w:rPr>
                <w:b w:val="0"/>
                <w:bCs w:val="0"/>
              </w:rPr>
              <w:t>Saistītie politikas ietekmes novērtējumi un pētījumi</w:t>
            </w:r>
          </w:p>
        </w:tc>
        <w:tc>
          <w:tcPr>
            <w:tcW w:w="6979" w:type="dxa"/>
            <w:tcBorders>
              <w:top w:val="single" w:sz="6" w:space="0" w:color="auto"/>
              <w:left w:val="single" w:sz="6" w:space="0" w:color="auto"/>
              <w:bottom w:val="single" w:sz="6" w:space="0" w:color="auto"/>
              <w:right w:val="single" w:sz="6" w:space="0" w:color="auto"/>
            </w:tcBorders>
          </w:tcPr>
          <w:p w:rsidR="008766F2" w:rsidRDefault="00AF5AA2">
            <w:pPr>
              <w:pStyle w:val="BodyTextIndent"/>
              <w:rPr>
                <w:b w:val="0"/>
                <w:bCs w:val="0"/>
              </w:rPr>
            </w:pPr>
            <w:r>
              <w:rPr>
                <w:b w:val="0"/>
                <w:bCs w:val="0"/>
              </w:rPr>
              <w:t>Nav veikti.</w:t>
            </w:r>
          </w:p>
        </w:tc>
      </w:tr>
      <w:tr w:rsidR="008766F2" w:rsidRPr="00A21F1F" w:rsidTr="008C0DC4">
        <w:tc>
          <w:tcPr>
            <w:tcW w:w="540" w:type="dxa"/>
            <w:tcBorders>
              <w:top w:val="single" w:sz="6" w:space="0" w:color="auto"/>
              <w:left w:val="single" w:sz="6" w:space="0" w:color="auto"/>
              <w:bottom w:val="single" w:sz="6" w:space="0" w:color="auto"/>
              <w:right w:val="single" w:sz="6" w:space="0" w:color="auto"/>
            </w:tcBorders>
          </w:tcPr>
          <w:p w:rsidR="008766F2" w:rsidRDefault="00AF5AA2">
            <w:pPr>
              <w:pStyle w:val="BodyText"/>
              <w:jc w:val="both"/>
              <w:rPr>
                <w:b w:val="0"/>
                <w:bCs w:val="0"/>
                <w:sz w:val="24"/>
                <w:szCs w:val="24"/>
              </w:rPr>
            </w:pPr>
            <w:r>
              <w:rPr>
                <w:b w:val="0"/>
                <w:bCs w:val="0"/>
                <w:sz w:val="24"/>
                <w:szCs w:val="24"/>
              </w:rPr>
              <w:t xml:space="preserve">4. </w:t>
            </w:r>
          </w:p>
        </w:tc>
        <w:tc>
          <w:tcPr>
            <w:tcW w:w="2687" w:type="dxa"/>
            <w:tcBorders>
              <w:top w:val="single" w:sz="6" w:space="0" w:color="auto"/>
              <w:left w:val="single" w:sz="6" w:space="0" w:color="auto"/>
              <w:bottom w:val="single" w:sz="6" w:space="0" w:color="auto"/>
              <w:right w:val="single" w:sz="6" w:space="0" w:color="auto"/>
            </w:tcBorders>
          </w:tcPr>
          <w:p w:rsidR="008766F2" w:rsidRDefault="00AF5AA2">
            <w:pPr>
              <w:pStyle w:val="BodyTextIndent"/>
              <w:spacing w:after="0"/>
              <w:rPr>
                <w:b w:val="0"/>
                <w:bCs w:val="0"/>
              </w:rPr>
            </w:pPr>
            <w:r>
              <w:rPr>
                <w:b w:val="0"/>
                <w:bCs w:val="0"/>
              </w:rPr>
              <w:t>Tiesiskā regulējuma mērķis un būtība</w:t>
            </w:r>
          </w:p>
        </w:tc>
        <w:tc>
          <w:tcPr>
            <w:tcW w:w="6979" w:type="dxa"/>
            <w:tcBorders>
              <w:top w:val="single" w:sz="6" w:space="0" w:color="auto"/>
              <w:left w:val="single" w:sz="6" w:space="0" w:color="auto"/>
              <w:bottom w:val="single" w:sz="6" w:space="0" w:color="auto"/>
              <w:right w:val="single" w:sz="6" w:space="0" w:color="auto"/>
            </w:tcBorders>
          </w:tcPr>
          <w:p w:rsidR="008766F2" w:rsidRDefault="00AF5AA2">
            <w:pPr>
              <w:pStyle w:val="BodyTextIndent"/>
              <w:spacing w:after="0"/>
              <w:rPr>
                <w:b w:val="0"/>
                <w:bCs w:val="0"/>
              </w:rPr>
            </w:pPr>
            <w:r>
              <w:rPr>
                <w:b w:val="0"/>
                <w:bCs w:val="0"/>
              </w:rPr>
              <w:t>Izstrādājot noteikumu projektu, Valsts kase veikusi šādus precizējumus:</w:t>
            </w:r>
          </w:p>
          <w:p w:rsidR="002E2C3D" w:rsidRDefault="002E2C3D" w:rsidP="004D4A04">
            <w:pPr>
              <w:pStyle w:val="BodyTextIndent"/>
              <w:numPr>
                <w:ilvl w:val="0"/>
                <w:numId w:val="1"/>
              </w:numPr>
              <w:spacing w:after="0"/>
              <w:ind w:left="228" w:hanging="228"/>
              <w:rPr>
                <w:b w:val="0"/>
                <w:bCs w:val="0"/>
              </w:rPr>
            </w:pPr>
            <w:r>
              <w:rPr>
                <w:b w:val="0"/>
                <w:bCs w:val="0"/>
              </w:rPr>
              <w:t>papildināts budžeta iestāžu grāmatvedības uzskaites kārtībā iekļaujamo jautājumu loks;</w:t>
            </w:r>
          </w:p>
          <w:p w:rsidR="008766F2" w:rsidRDefault="00B407C8" w:rsidP="004D4A04">
            <w:pPr>
              <w:pStyle w:val="BodyTextIndent"/>
              <w:numPr>
                <w:ilvl w:val="0"/>
                <w:numId w:val="1"/>
              </w:numPr>
              <w:spacing w:after="0"/>
              <w:ind w:left="228" w:hanging="228"/>
              <w:rPr>
                <w:b w:val="0"/>
                <w:bCs w:val="0"/>
              </w:rPr>
            </w:pPr>
            <w:r>
              <w:rPr>
                <w:b w:val="0"/>
                <w:bCs w:val="0"/>
              </w:rPr>
              <w:t>precizēta mežaudžu novē</w:t>
            </w:r>
            <w:r w:rsidR="004D4A04">
              <w:rPr>
                <w:b w:val="0"/>
                <w:bCs w:val="0"/>
              </w:rPr>
              <w:t>rtēšana, tās sākotnēji atzīstot uzskaitē</w:t>
            </w:r>
            <w:r w:rsidR="00AF5AA2" w:rsidRPr="00AF5AA2">
              <w:rPr>
                <w:b w:val="0"/>
                <w:bCs w:val="0"/>
              </w:rPr>
              <w:t>;</w:t>
            </w:r>
          </w:p>
          <w:p w:rsidR="004D4A04" w:rsidRDefault="004D4A04" w:rsidP="004D4A04">
            <w:pPr>
              <w:pStyle w:val="BodyTextIndent"/>
              <w:numPr>
                <w:ilvl w:val="0"/>
                <w:numId w:val="1"/>
              </w:numPr>
              <w:spacing w:after="0"/>
              <w:ind w:left="228" w:hanging="228"/>
              <w:rPr>
                <w:b w:val="0"/>
                <w:bCs w:val="0"/>
              </w:rPr>
            </w:pPr>
            <w:r>
              <w:rPr>
                <w:b w:val="0"/>
                <w:bCs w:val="0"/>
              </w:rPr>
              <w:t>precizēti uzskaites noteikumi vērtību saņemšanai un nodošanai bez atlīdzības citām budžeta iestādēm;</w:t>
            </w:r>
          </w:p>
          <w:p w:rsidR="002E2C3D" w:rsidRPr="002E2C3D" w:rsidRDefault="002E2C3D" w:rsidP="004D4A04">
            <w:pPr>
              <w:pStyle w:val="BodyTextIndent"/>
              <w:numPr>
                <w:ilvl w:val="0"/>
                <w:numId w:val="1"/>
              </w:numPr>
              <w:spacing w:after="0"/>
              <w:ind w:left="228" w:hanging="228"/>
              <w:rPr>
                <w:b w:val="0"/>
                <w:bCs w:val="0"/>
              </w:rPr>
            </w:pPr>
            <w:r w:rsidRPr="004D4A04">
              <w:rPr>
                <w:b w:val="0"/>
              </w:rPr>
              <w:lastRenderedPageBreak/>
              <w:t>precizē</w:t>
            </w:r>
            <w:r>
              <w:rPr>
                <w:b w:val="0"/>
              </w:rPr>
              <w:t>ta</w:t>
            </w:r>
            <w:r w:rsidRPr="004D4A04">
              <w:rPr>
                <w:b w:val="0"/>
              </w:rPr>
              <w:t xml:space="preserve"> ilgtermiņa ieguldījumu </w:t>
            </w:r>
            <w:r>
              <w:rPr>
                <w:b w:val="0"/>
              </w:rPr>
              <w:t xml:space="preserve">un krājumu </w:t>
            </w:r>
            <w:r w:rsidRPr="004D4A04">
              <w:rPr>
                <w:b w:val="0"/>
              </w:rPr>
              <w:t>vērtības samazinājuma noteikšan</w:t>
            </w:r>
            <w:r>
              <w:rPr>
                <w:b w:val="0"/>
              </w:rPr>
              <w:t>a;</w:t>
            </w:r>
          </w:p>
          <w:p w:rsidR="002E2C3D" w:rsidRDefault="002E2C3D" w:rsidP="002E2C3D">
            <w:pPr>
              <w:pStyle w:val="BodyTextIndent"/>
              <w:numPr>
                <w:ilvl w:val="0"/>
                <w:numId w:val="1"/>
              </w:numPr>
              <w:spacing w:after="0"/>
              <w:ind w:left="228" w:hanging="228"/>
              <w:rPr>
                <w:b w:val="0"/>
              </w:rPr>
            </w:pPr>
            <w:r>
              <w:rPr>
                <w:b w:val="0"/>
              </w:rPr>
              <w:t>precizēti kritēriji</w:t>
            </w:r>
            <w:r w:rsidR="00CD5927">
              <w:rPr>
                <w:b w:val="0"/>
              </w:rPr>
              <w:t xml:space="preserve"> ilgtermiņa ieguldījuma </w:t>
            </w:r>
            <w:r w:rsidR="00CD5927" w:rsidRPr="00CD5927">
              <w:t xml:space="preserve">klasificēšanai </w:t>
            </w:r>
            <w:r w:rsidR="00CD5927">
              <w:t>par</w:t>
            </w:r>
            <w:r w:rsidR="00CD5927" w:rsidRPr="00CD5927">
              <w:t xml:space="preserve"> atsavināšanai paredzētu</w:t>
            </w:r>
            <w:r w:rsidR="00CD0F64">
              <w:rPr>
                <w:b w:val="0"/>
              </w:rPr>
              <w:t>, kā arī ilg</w:t>
            </w:r>
            <w:r w:rsidR="00CD5927">
              <w:rPr>
                <w:b w:val="0"/>
              </w:rPr>
              <w:t>termiņa ieguldījumu atsavināšanas</w:t>
            </w:r>
            <w:r w:rsidR="00CD0F64">
              <w:rPr>
                <w:b w:val="0"/>
              </w:rPr>
              <w:t xml:space="preserve"> ieņēmumu un izdevumu atzīšana</w:t>
            </w:r>
            <w:r>
              <w:rPr>
                <w:b w:val="0"/>
              </w:rPr>
              <w:t>;</w:t>
            </w:r>
            <w:r w:rsidRPr="004D4A04">
              <w:rPr>
                <w:b w:val="0"/>
              </w:rPr>
              <w:t xml:space="preserve"> </w:t>
            </w:r>
          </w:p>
          <w:p w:rsidR="002E2C3D" w:rsidRPr="002E2C3D" w:rsidRDefault="002E2C3D" w:rsidP="004D4A04">
            <w:pPr>
              <w:pStyle w:val="BodyTextIndent"/>
              <w:numPr>
                <w:ilvl w:val="0"/>
                <w:numId w:val="1"/>
              </w:numPr>
              <w:spacing w:after="0"/>
              <w:ind w:left="228" w:hanging="228"/>
              <w:rPr>
                <w:b w:val="0"/>
                <w:bCs w:val="0"/>
              </w:rPr>
            </w:pPr>
            <w:r w:rsidRPr="00272183">
              <w:rPr>
                <w:b w:val="0"/>
                <w:bCs w:val="0"/>
              </w:rPr>
              <w:t>noteikumi papildināti ar nosacījumiem operatīvās nomas ietvaros iegūto ilgtermiņa ieguldījumu novērtēšanai</w:t>
            </w:r>
            <w:r w:rsidRPr="00272183">
              <w:rPr>
                <w:b w:val="0"/>
              </w:rPr>
              <w:t>;</w:t>
            </w:r>
          </w:p>
          <w:p w:rsidR="004D4A04" w:rsidRDefault="00AF5AA2" w:rsidP="004D4A04">
            <w:pPr>
              <w:pStyle w:val="BodyTextIndent"/>
              <w:numPr>
                <w:ilvl w:val="0"/>
                <w:numId w:val="1"/>
              </w:numPr>
              <w:spacing w:after="0"/>
              <w:ind w:left="228" w:hanging="228"/>
              <w:rPr>
                <w:b w:val="0"/>
                <w:bCs w:val="0"/>
              </w:rPr>
            </w:pPr>
            <w:r w:rsidRPr="004D4A04">
              <w:rPr>
                <w:b w:val="0"/>
              </w:rPr>
              <w:t xml:space="preserve">precizēta normu redakcija par ilgtermiņa finanšu ieguldījumu uzskaiti pēc </w:t>
            </w:r>
            <w:r w:rsidR="00272183">
              <w:rPr>
                <w:b w:val="0"/>
              </w:rPr>
              <w:t>izmaksu</w:t>
            </w:r>
            <w:r w:rsidRPr="004D4A04">
              <w:rPr>
                <w:b w:val="0"/>
              </w:rPr>
              <w:t xml:space="preserve"> metodes</w:t>
            </w:r>
            <w:r w:rsidRPr="004D4A04">
              <w:rPr>
                <w:b w:val="0"/>
                <w:bCs w:val="0"/>
              </w:rPr>
              <w:t>;</w:t>
            </w:r>
          </w:p>
          <w:p w:rsidR="00FD28BF" w:rsidRDefault="002E2C3D" w:rsidP="00272183">
            <w:pPr>
              <w:pStyle w:val="BodyTextIndent"/>
              <w:numPr>
                <w:ilvl w:val="0"/>
                <w:numId w:val="1"/>
              </w:numPr>
              <w:spacing w:after="0"/>
              <w:ind w:left="228" w:hanging="228"/>
              <w:rPr>
                <w:b w:val="0"/>
              </w:rPr>
            </w:pPr>
            <w:r>
              <w:rPr>
                <w:b w:val="0"/>
              </w:rPr>
              <w:t>precizētas ilgtermiņa ieguldījumu grupas, kurām neaprēķina nolietojumu;</w:t>
            </w:r>
          </w:p>
          <w:p w:rsidR="00FD28BF" w:rsidRPr="00CD0F64" w:rsidRDefault="00FD28BF" w:rsidP="00FD28BF">
            <w:pPr>
              <w:pStyle w:val="BodyTextIndent"/>
              <w:numPr>
                <w:ilvl w:val="0"/>
                <w:numId w:val="1"/>
              </w:numPr>
              <w:spacing w:after="0"/>
              <w:ind w:left="228" w:hanging="228"/>
              <w:rPr>
                <w:b w:val="0"/>
              </w:rPr>
            </w:pPr>
            <w:r>
              <w:rPr>
                <w:b w:val="0"/>
                <w:bCs w:val="0"/>
              </w:rPr>
              <w:t>noteikumi</w:t>
            </w:r>
            <w:r w:rsidR="00CD5927">
              <w:rPr>
                <w:b w:val="0"/>
                <w:bCs w:val="0"/>
              </w:rPr>
              <w:t xml:space="preserve"> papildināti</w:t>
            </w:r>
            <w:r w:rsidRPr="004D4A04">
              <w:rPr>
                <w:b w:val="0"/>
                <w:bCs w:val="0"/>
              </w:rPr>
              <w:t xml:space="preserve"> ar prasību turējumā </w:t>
            </w:r>
            <w:r w:rsidRPr="00537286">
              <w:rPr>
                <w:b w:val="0"/>
                <w:bCs w:val="0"/>
              </w:rPr>
              <w:t>valsts vai pašvaldību kapitālsabiedrībām</w:t>
            </w:r>
            <w:r w:rsidR="00CD5927">
              <w:rPr>
                <w:b w:val="0"/>
                <w:bCs w:val="0"/>
              </w:rPr>
              <w:t>,</w:t>
            </w:r>
            <w:r w:rsidRPr="00537286">
              <w:rPr>
                <w:b w:val="0"/>
                <w:bCs w:val="0"/>
              </w:rPr>
              <w:t xml:space="preserve"> ostu pārvaldēm</w:t>
            </w:r>
            <w:r w:rsidRPr="00537286">
              <w:t xml:space="preserve"> </w:t>
            </w:r>
            <w:r w:rsidR="00CD5927" w:rsidRPr="00CD5927">
              <w:rPr>
                <w:bCs w:val="0"/>
              </w:rPr>
              <w:t>vai publiski atvasinātām personām</w:t>
            </w:r>
            <w:r w:rsidR="00CD5927" w:rsidRPr="00537286">
              <w:rPr>
                <w:b w:val="0"/>
                <w:bCs w:val="0"/>
              </w:rPr>
              <w:t xml:space="preserve"> </w:t>
            </w:r>
            <w:r w:rsidRPr="00537286">
              <w:rPr>
                <w:b w:val="0"/>
                <w:bCs w:val="0"/>
              </w:rPr>
              <w:t>nodotos krājumus uzskaitīt atsevišķā kontā;</w:t>
            </w:r>
          </w:p>
          <w:p w:rsidR="00CD0F64" w:rsidRPr="00537286" w:rsidRDefault="00CD0F64" w:rsidP="00995238">
            <w:pPr>
              <w:pStyle w:val="BodyTextIndent"/>
              <w:numPr>
                <w:ilvl w:val="0"/>
                <w:numId w:val="1"/>
              </w:numPr>
              <w:tabs>
                <w:tab w:val="left" w:pos="318"/>
              </w:tabs>
              <w:spacing w:after="0"/>
              <w:ind w:left="176" w:hanging="176"/>
              <w:rPr>
                <w:b w:val="0"/>
              </w:rPr>
            </w:pPr>
            <w:r>
              <w:rPr>
                <w:b w:val="0"/>
                <w:bCs w:val="0"/>
              </w:rPr>
              <w:t>precizēti nākamo periodu ieņēmumu un saņemto avansu uzskaites konti;</w:t>
            </w:r>
          </w:p>
          <w:p w:rsidR="00CD0F64" w:rsidRPr="00F50640" w:rsidRDefault="00CD0F64" w:rsidP="00995238">
            <w:pPr>
              <w:pStyle w:val="BodyTextIndent"/>
              <w:numPr>
                <w:ilvl w:val="0"/>
                <w:numId w:val="1"/>
              </w:numPr>
              <w:tabs>
                <w:tab w:val="left" w:pos="318"/>
              </w:tabs>
              <w:spacing w:after="0"/>
              <w:ind w:left="176" w:hanging="176"/>
            </w:pPr>
            <w:r w:rsidRPr="00537286">
              <w:rPr>
                <w:b w:val="0"/>
              </w:rPr>
              <w:t xml:space="preserve">precizēta normu redakcija </w:t>
            </w:r>
            <w:r>
              <w:rPr>
                <w:b w:val="0"/>
              </w:rPr>
              <w:t xml:space="preserve">un grāmatvedības uzskaites konti </w:t>
            </w:r>
            <w:r w:rsidRPr="00537286">
              <w:rPr>
                <w:b w:val="0"/>
              </w:rPr>
              <w:t>ārvalstu finanšu palīdzības un zi</w:t>
            </w:r>
            <w:r w:rsidR="00F50640">
              <w:rPr>
                <w:b w:val="0"/>
              </w:rPr>
              <w:t xml:space="preserve">edojumu un dāvinājumu uzskaitei. </w:t>
            </w:r>
            <w:r w:rsidR="00F50640" w:rsidRPr="00F50640">
              <w:t>Normu ieviešana paredzēta līdz 201</w:t>
            </w:r>
            <w:r w:rsidR="00F50640">
              <w:t>3</w:t>
            </w:r>
            <w:r w:rsidR="00F50640" w:rsidRPr="00F50640">
              <w:t>.gada</w:t>
            </w:r>
            <w:r w:rsidR="00F50640">
              <w:t xml:space="preserve"> beigām</w:t>
            </w:r>
            <w:r w:rsidR="00F50640" w:rsidRPr="00F50640">
              <w:t xml:space="preserve">, jo </w:t>
            </w:r>
            <w:r w:rsidR="00F50640">
              <w:t xml:space="preserve">nepieciešams veikt liela apjoma </w:t>
            </w:r>
            <w:r w:rsidR="00F50640" w:rsidRPr="00F50640">
              <w:t xml:space="preserve">uzskaites </w:t>
            </w:r>
            <w:r w:rsidR="00F50640">
              <w:t xml:space="preserve">datu </w:t>
            </w:r>
            <w:proofErr w:type="spellStart"/>
            <w:r w:rsidR="00F50640">
              <w:t>pārklasifikāciju</w:t>
            </w:r>
            <w:proofErr w:type="spellEnd"/>
            <w:r w:rsidR="00F50640" w:rsidRPr="00F50640">
              <w:t>;</w:t>
            </w:r>
          </w:p>
          <w:p w:rsidR="00FD28BF" w:rsidRPr="008D1D6C" w:rsidRDefault="00FD28BF" w:rsidP="00995238">
            <w:pPr>
              <w:pStyle w:val="BodyTextIndent"/>
              <w:numPr>
                <w:ilvl w:val="0"/>
                <w:numId w:val="1"/>
              </w:numPr>
              <w:tabs>
                <w:tab w:val="left" w:pos="318"/>
              </w:tabs>
              <w:spacing w:after="0"/>
              <w:ind w:left="176" w:hanging="176"/>
              <w:rPr>
                <w:b w:val="0"/>
              </w:rPr>
            </w:pPr>
            <w:r w:rsidRPr="008D1D6C">
              <w:rPr>
                <w:b w:val="0"/>
              </w:rPr>
              <w:t>noteikumi papildināti ar nosacījumiem transfertā saņemto un pārskatīto</w:t>
            </w:r>
            <w:r w:rsidR="00537286" w:rsidRPr="008D1D6C">
              <w:rPr>
                <w:b w:val="0"/>
              </w:rPr>
              <w:t xml:space="preserve"> finanšu līdzekļu uzskaitei</w:t>
            </w:r>
            <w:r w:rsidRPr="008D1D6C">
              <w:rPr>
                <w:b w:val="0"/>
              </w:rPr>
              <w:t xml:space="preserve">, paredzot </w:t>
            </w:r>
            <w:r w:rsidR="00537286" w:rsidRPr="008D1D6C">
              <w:rPr>
                <w:b w:val="0"/>
              </w:rPr>
              <w:t>atsevišķus kontu</w:t>
            </w:r>
            <w:r w:rsidRPr="008D1D6C">
              <w:rPr>
                <w:b w:val="0"/>
              </w:rPr>
              <w:t>s prasību un saistību uzskaitei</w:t>
            </w:r>
            <w:r w:rsidR="00F50640" w:rsidRPr="008D1D6C">
              <w:rPr>
                <w:b w:val="0"/>
              </w:rPr>
              <w:t>;</w:t>
            </w:r>
          </w:p>
          <w:p w:rsidR="00FD28BF" w:rsidRDefault="00FD28BF" w:rsidP="00537286">
            <w:pPr>
              <w:pStyle w:val="BodyTextIndent"/>
              <w:numPr>
                <w:ilvl w:val="0"/>
                <w:numId w:val="1"/>
              </w:numPr>
              <w:tabs>
                <w:tab w:val="left" w:pos="375"/>
              </w:tabs>
              <w:spacing w:after="0"/>
              <w:ind w:left="228" w:hanging="228"/>
              <w:rPr>
                <w:b w:val="0"/>
              </w:rPr>
            </w:pPr>
            <w:r w:rsidRPr="00537286">
              <w:rPr>
                <w:b w:val="0"/>
              </w:rPr>
              <w:t>noteikumi papildināti ar nosacījumiem subsīdiju un dotāciju komersantiem</w:t>
            </w:r>
            <w:r w:rsidR="00537286" w:rsidRPr="00537286">
              <w:rPr>
                <w:b w:val="0"/>
              </w:rPr>
              <w:t>,</w:t>
            </w:r>
            <w:r w:rsidRPr="00537286">
              <w:rPr>
                <w:b w:val="0"/>
              </w:rPr>
              <w:t xml:space="preserve"> </w:t>
            </w:r>
            <w:r w:rsidR="00537286" w:rsidRPr="00537286">
              <w:rPr>
                <w:b w:val="0"/>
              </w:rPr>
              <w:t xml:space="preserve">biedrībām un nodibinājumiem </w:t>
            </w:r>
            <w:r w:rsidRPr="00537286">
              <w:rPr>
                <w:b w:val="0"/>
              </w:rPr>
              <w:t>uzskaitei;</w:t>
            </w:r>
          </w:p>
          <w:p w:rsidR="00CD0F64" w:rsidRPr="00537286" w:rsidRDefault="00CD0F64" w:rsidP="00537286">
            <w:pPr>
              <w:pStyle w:val="BodyTextIndent"/>
              <w:numPr>
                <w:ilvl w:val="0"/>
                <w:numId w:val="1"/>
              </w:numPr>
              <w:tabs>
                <w:tab w:val="left" w:pos="375"/>
              </w:tabs>
              <w:spacing w:after="0"/>
              <w:ind w:left="228" w:hanging="228"/>
              <w:rPr>
                <w:b w:val="0"/>
              </w:rPr>
            </w:pPr>
            <w:r>
              <w:rPr>
                <w:b w:val="0"/>
              </w:rPr>
              <w:t>noteikts termiņš ilgtermiņa ieguldījumu pārvērtēšanas rezerves atzīšanai ieņēmumos;</w:t>
            </w:r>
          </w:p>
          <w:p w:rsidR="00966E68" w:rsidRPr="00DA1D1D" w:rsidRDefault="00CD0F64" w:rsidP="00966E68">
            <w:pPr>
              <w:pStyle w:val="BodyTextIndent"/>
              <w:numPr>
                <w:ilvl w:val="0"/>
                <w:numId w:val="1"/>
              </w:numPr>
              <w:tabs>
                <w:tab w:val="left" w:pos="375"/>
              </w:tabs>
              <w:spacing w:after="0"/>
              <w:ind w:left="228" w:hanging="228"/>
              <w:rPr>
                <w:b w:val="0"/>
              </w:rPr>
            </w:pPr>
            <w:r>
              <w:rPr>
                <w:b w:val="0"/>
              </w:rPr>
              <w:t>noteikumu tekstā vārds „rēķins” aizstāts ar vārdiem „attaisnojuma dokuments”.</w:t>
            </w:r>
          </w:p>
        </w:tc>
      </w:tr>
      <w:tr w:rsidR="008766F2" w:rsidRPr="00A72207" w:rsidTr="008C0DC4">
        <w:tc>
          <w:tcPr>
            <w:tcW w:w="540" w:type="dxa"/>
            <w:tcBorders>
              <w:top w:val="single" w:sz="6" w:space="0" w:color="auto"/>
              <w:left w:val="single" w:sz="6" w:space="0" w:color="auto"/>
              <w:bottom w:val="single" w:sz="6" w:space="0" w:color="auto"/>
              <w:right w:val="single" w:sz="6" w:space="0" w:color="auto"/>
            </w:tcBorders>
          </w:tcPr>
          <w:p w:rsidR="008766F2" w:rsidRDefault="00AF5AA2">
            <w:pPr>
              <w:pStyle w:val="BodyText"/>
              <w:jc w:val="both"/>
              <w:rPr>
                <w:b w:val="0"/>
                <w:bCs w:val="0"/>
                <w:sz w:val="24"/>
                <w:szCs w:val="24"/>
              </w:rPr>
            </w:pPr>
            <w:r>
              <w:rPr>
                <w:b w:val="0"/>
                <w:bCs w:val="0"/>
                <w:sz w:val="24"/>
                <w:szCs w:val="24"/>
              </w:rPr>
              <w:lastRenderedPageBreak/>
              <w:t xml:space="preserve">5. </w:t>
            </w:r>
          </w:p>
        </w:tc>
        <w:tc>
          <w:tcPr>
            <w:tcW w:w="2687" w:type="dxa"/>
            <w:tcBorders>
              <w:top w:val="single" w:sz="6" w:space="0" w:color="auto"/>
              <w:left w:val="single" w:sz="6" w:space="0" w:color="auto"/>
              <w:bottom w:val="single" w:sz="6" w:space="0" w:color="auto"/>
              <w:right w:val="single" w:sz="6" w:space="0" w:color="auto"/>
            </w:tcBorders>
          </w:tcPr>
          <w:p w:rsidR="008766F2" w:rsidRDefault="00AF5AA2">
            <w:pPr>
              <w:pStyle w:val="BodyTextIndent"/>
              <w:rPr>
                <w:b w:val="0"/>
                <w:bCs w:val="0"/>
              </w:rPr>
            </w:pPr>
            <w:r>
              <w:rPr>
                <w:b w:val="0"/>
                <w:bCs w:val="0"/>
              </w:rPr>
              <w:t>Projekta izstrādē iesaistītās institūcijas</w:t>
            </w:r>
          </w:p>
        </w:tc>
        <w:tc>
          <w:tcPr>
            <w:tcW w:w="6979" w:type="dxa"/>
            <w:tcBorders>
              <w:top w:val="single" w:sz="6" w:space="0" w:color="auto"/>
              <w:left w:val="single" w:sz="6" w:space="0" w:color="auto"/>
              <w:bottom w:val="single" w:sz="6" w:space="0" w:color="auto"/>
              <w:right w:val="single" w:sz="6" w:space="0" w:color="auto"/>
            </w:tcBorders>
          </w:tcPr>
          <w:p w:rsidR="008766F2" w:rsidRDefault="00063831" w:rsidP="00995238">
            <w:pPr>
              <w:pStyle w:val="BodyTextIndent"/>
              <w:spacing w:after="0"/>
              <w:rPr>
                <w:b w:val="0"/>
                <w:bCs w:val="0"/>
              </w:rPr>
            </w:pPr>
            <w:r>
              <w:rPr>
                <w:b w:val="0"/>
                <w:bCs w:val="0"/>
              </w:rPr>
              <w:t xml:space="preserve">Finanšu ministrija, izstrādājot noteikumu projektu, </w:t>
            </w:r>
            <w:r w:rsidR="00A72207">
              <w:rPr>
                <w:b w:val="0"/>
                <w:bCs w:val="0"/>
              </w:rPr>
              <w:t xml:space="preserve">konsultējās ar </w:t>
            </w:r>
            <w:r>
              <w:rPr>
                <w:b w:val="0"/>
                <w:bCs w:val="0"/>
              </w:rPr>
              <w:t>vis</w:t>
            </w:r>
            <w:r w:rsidR="00A72207">
              <w:rPr>
                <w:b w:val="0"/>
                <w:bCs w:val="0"/>
              </w:rPr>
              <w:t>u</w:t>
            </w:r>
            <w:r>
              <w:rPr>
                <w:b w:val="0"/>
                <w:bCs w:val="0"/>
              </w:rPr>
              <w:t xml:space="preserve"> ministrij</w:t>
            </w:r>
            <w:r w:rsidR="00A72207">
              <w:rPr>
                <w:b w:val="0"/>
                <w:bCs w:val="0"/>
              </w:rPr>
              <w:t>u</w:t>
            </w:r>
            <w:r>
              <w:rPr>
                <w:b w:val="0"/>
                <w:bCs w:val="0"/>
              </w:rPr>
              <w:t xml:space="preserve">, Ventspils pilsētas domes, Rīgas domes, Salacgrīvas novada domes, Valmieras pilsētas pašvaldības, </w:t>
            </w:r>
            <w:proofErr w:type="spellStart"/>
            <w:r>
              <w:rPr>
                <w:b w:val="0"/>
                <w:bCs w:val="0"/>
              </w:rPr>
              <w:t>Amatas</w:t>
            </w:r>
            <w:proofErr w:type="spellEnd"/>
            <w:r>
              <w:rPr>
                <w:b w:val="0"/>
                <w:bCs w:val="0"/>
              </w:rPr>
              <w:t xml:space="preserve"> novada pašvaldības un Latvijas zvērinātu revidentu asociācijas</w:t>
            </w:r>
            <w:r w:rsidR="00A72207">
              <w:rPr>
                <w:b w:val="0"/>
                <w:bCs w:val="0"/>
              </w:rPr>
              <w:t xml:space="preserve"> pārstāvjiem</w:t>
            </w:r>
            <w:r>
              <w:rPr>
                <w:b w:val="0"/>
                <w:bCs w:val="0"/>
              </w:rPr>
              <w:t xml:space="preserve">. </w:t>
            </w:r>
            <w:r w:rsidR="00A72207">
              <w:rPr>
                <w:b w:val="0"/>
                <w:bCs w:val="0"/>
              </w:rPr>
              <w:t>B</w:t>
            </w:r>
            <w:r>
              <w:rPr>
                <w:b w:val="0"/>
                <w:bCs w:val="0"/>
              </w:rPr>
              <w:t>ūtisk</w:t>
            </w:r>
            <w:r w:rsidR="008A1D11">
              <w:rPr>
                <w:b w:val="0"/>
                <w:bCs w:val="0"/>
              </w:rPr>
              <w:t>i</w:t>
            </w:r>
            <w:r>
              <w:rPr>
                <w:b w:val="0"/>
                <w:bCs w:val="0"/>
              </w:rPr>
              <w:t xml:space="preserve"> iebildum</w:t>
            </w:r>
            <w:r w:rsidR="00A72207">
              <w:rPr>
                <w:b w:val="0"/>
                <w:bCs w:val="0"/>
              </w:rPr>
              <w:t>i</w:t>
            </w:r>
            <w:r>
              <w:rPr>
                <w:b w:val="0"/>
                <w:bCs w:val="0"/>
              </w:rPr>
              <w:t xml:space="preserve"> pret noteikumu projektu</w:t>
            </w:r>
            <w:r w:rsidR="00A72207">
              <w:rPr>
                <w:b w:val="0"/>
                <w:bCs w:val="0"/>
              </w:rPr>
              <w:t xml:space="preserve"> nav saņemti</w:t>
            </w:r>
            <w:r>
              <w:rPr>
                <w:b w:val="0"/>
                <w:bCs w:val="0"/>
              </w:rPr>
              <w:t>.</w:t>
            </w:r>
          </w:p>
        </w:tc>
      </w:tr>
      <w:tr w:rsidR="008766F2" w:rsidRPr="00A21F1F" w:rsidTr="008C0DC4">
        <w:tc>
          <w:tcPr>
            <w:tcW w:w="540" w:type="dxa"/>
            <w:tcBorders>
              <w:top w:val="single" w:sz="6" w:space="0" w:color="auto"/>
              <w:left w:val="single" w:sz="6" w:space="0" w:color="auto"/>
              <w:bottom w:val="single" w:sz="6" w:space="0" w:color="auto"/>
              <w:right w:val="single" w:sz="6" w:space="0" w:color="auto"/>
            </w:tcBorders>
          </w:tcPr>
          <w:p w:rsidR="008766F2" w:rsidRDefault="00AF5AA2">
            <w:pPr>
              <w:pStyle w:val="BodyText"/>
              <w:jc w:val="both"/>
              <w:rPr>
                <w:b w:val="0"/>
                <w:bCs w:val="0"/>
                <w:sz w:val="24"/>
                <w:szCs w:val="24"/>
              </w:rPr>
            </w:pPr>
            <w:r>
              <w:rPr>
                <w:b w:val="0"/>
                <w:bCs w:val="0"/>
                <w:sz w:val="24"/>
                <w:szCs w:val="24"/>
              </w:rPr>
              <w:t xml:space="preserve">6. </w:t>
            </w:r>
          </w:p>
        </w:tc>
        <w:tc>
          <w:tcPr>
            <w:tcW w:w="2687" w:type="dxa"/>
            <w:tcBorders>
              <w:top w:val="single" w:sz="6" w:space="0" w:color="auto"/>
              <w:left w:val="single" w:sz="6" w:space="0" w:color="auto"/>
              <w:bottom w:val="single" w:sz="6" w:space="0" w:color="auto"/>
              <w:right w:val="single" w:sz="6" w:space="0" w:color="auto"/>
            </w:tcBorders>
          </w:tcPr>
          <w:p w:rsidR="008766F2" w:rsidRDefault="00AF5AA2">
            <w:pPr>
              <w:jc w:val="both"/>
              <w:rPr>
                <w:lang w:val="lv-LV"/>
              </w:rPr>
            </w:pPr>
            <w:r>
              <w:rPr>
                <w:lang w:val="lv-LV"/>
              </w:rPr>
              <w:t>Iemesli, kādēļ netika nodrošināta sabiedrības līdzdalība</w:t>
            </w:r>
          </w:p>
        </w:tc>
        <w:tc>
          <w:tcPr>
            <w:tcW w:w="6979" w:type="dxa"/>
            <w:tcBorders>
              <w:top w:val="single" w:sz="6" w:space="0" w:color="auto"/>
              <w:left w:val="single" w:sz="6" w:space="0" w:color="auto"/>
              <w:bottom w:val="single" w:sz="6" w:space="0" w:color="auto"/>
              <w:right w:val="single" w:sz="6" w:space="0" w:color="auto"/>
            </w:tcBorders>
          </w:tcPr>
          <w:p w:rsidR="008766F2" w:rsidRDefault="00AF5AA2" w:rsidP="00995238">
            <w:pPr>
              <w:jc w:val="both"/>
              <w:rPr>
                <w:lang w:val="lv-LV"/>
              </w:rPr>
            </w:pPr>
            <w:r>
              <w:rPr>
                <w:lang w:val="lv-LV"/>
              </w:rPr>
              <w:t>Konsultācijas nav notikušas, jo noteikumu projekts nekādā veidā neierobežo un nesašaurina nevienas personu grupas vai indivīda tiesības.</w:t>
            </w:r>
          </w:p>
        </w:tc>
      </w:tr>
      <w:tr w:rsidR="008766F2" w:rsidRPr="00170C92" w:rsidTr="008C0DC4">
        <w:tc>
          <w:tcPr>
            <w:tcW w:w="540" w:type="dxa"/>
            <w:tcBorders>
              <w:top w:val="single" w:sz="6" w:space="0" w:color="auto"/>
              <w:left w:val="single" w:sz="6" w:space="0" w:color="auto"/>
              <w:bottom w:val="single" w:sz="6" w:space="0" w:color="auto"/>
              <w:right w:val="single" w:sz="6" w:space="0" w:color="auto"/>
            </w:tcBorders>
          </w:tcPr>
          <w:p w:rsidR="008766F2" w:rsidRDefault="00AF5AA2">
            <w:pPr>
              <w:pStyle w:val="BodyText"/>
              <w:jc w:val="both"/>
              <w:rPr>
                <w:b w:val="0"/>
                <w:bCs w:val="0"/>
                <w:sz w:val="24"/>
                <w:szCs w:val="24"/>
              </w:rPr>
            </w:pPr>
            <w:r>
              <w:rPr>
                <w:b w:val="0"/>
                <w:bCs w:val="0"/>
                <w:sz w:val="24"/>
                <w:szCs w:val="24"/>
              </w:rPr>
              <w:t xml:space="preserve">7. </w:t>
            </w:r>
          </w:p>
        </w:tc>
        <w:tc>
          <w:tcPr>
            <w:tcW w:w="2687" w:type="dxa"/>
            <w:tcBorders>
              <w:top w:val="single" w:sz="6" w:space="0" w:color="auto"/>
              <w:left w:val="single" w:sz="6" w:space="0" w:color="auto"/>
              <w:bottom w:val="single" w:sz="6" w:space="0" w:color="auto"/>
              <w:right w:val="single" w:sz="6" w:space="0" w:color="auto"/>
            </w:tcBorders>
          </w:tcPr>
          <w:p w:rsidR="008766F2" w:rsidRDefault="00AF5AA2" w:rsidP="00995238">
            <w:pPr>
              <w:jc w:val="both"/>
              <w:rPr>
                <w:lang w:val="lv-LV"/>
              </w:rPr>
            </w:pPr>
            <w:r>
              <w:rPr>
                <w:lang w:val="lv-LV"/>
              </w:rPr>
              <w:t>Cita informācija</w:t>
            </w:r>
          </w:p>
        </w:tc>
        <w:tc>
          <w:tcPr>
            <w:tcW w:w="6979" w:type="dxa"/>
            <w:tcBorders>
              <w:top w:val="single" w:sz="6" w:space="0" w:color="auto"/>
              <w:left w:val="single" w:sz="6" w:space="0" w:color="auto"/>
              <w:bottom w:val="single" w:sz="6" w:space="0" w:color="auto"/>
              <w:right w:val="single" w:sz="6" w:space="0" w:color="auto"/>
            </w:tcBorders>
          </w:tcPr>
          <w:p w:rsidR="008766F2" w:rsidRPr="00AF5AA2" w:rsidRDefault="00AC46E2" w:rsidP="00995238">
            <w:pPr>
              <w:jc w:val="both"/>
              <w:rPr>
                <w:lang w:val="lv-LV"/>
              </w:rPr>
            </w:pPr>
            <w:r>
              <w:rPr>
                <w:lang w:val="lv-LV"/>
              </w:rPr>
              <w:t>Nav</w:t>
            </w:r>
          </w:p>
        </w:tc>
      </w:tr>
    </w:tbl>
    <w:p w:rsidR="008766F2" w:rsidRDefault="008766F2">
      <w:pPr>
        <w:rPr>
          <w:b/>
          <w:bCs/>
          <w:i/>
          <w:iCs/>
          <w:lang w:val="lv-LV"/>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2769"/>
        <w:gridCol w:w="6979"/>
      </w:tblGrid>
      <w:tr w:rsidR="00063831" w:rsidRPr="00A21F1F" w:rsidTr="008C0DC4">
        <w:tc>
          <w:tcPr>
            <w:tcW w:w="10206" w:type="dxa"/>
            <w:gridSpan w:val="3"/>
            <w:shd w:val="clear" w:color="auto" w:fill="auto"/>
          </w:tcPr>
          <w:p w:rsidR="00063831" w:rsidRPr="00063831" w:rsidRDefault="00063831" w:rsidP="00063831">
            <w:pPr>
              <w:pStyle w:val="NormalWeb"/>
              <w:jc w:val="center"/>
              <w:rPr>
                <w:lang w:val="lv-LV"/>
              </w:rPr>
            </w:pPr>
            <w:r w:rsidRPr="00063831">
              <w:rPr>
                <w:b/>
                <w:bCs/>
                <w:lang w:val="lv-LV"/>
              </w:rPr>
              <w:t>II. Tiesību akta projekta ietekme uz sabiedrību</w:t>
            </w:r>
          </w:p>
        </w:tc>
      </w:tr>
      <w:tr w:rsidR="00063831" w:rsidRPr="00A21F1F" w:rsidTr="008C0DC4">
        <w:tc>
          <w:tcPr>
            <w:tcW w:w="458" w:type="dxa"/>
            <w:shd w:val="clear" w:color="auto" w:fill="auto"/>
          </w:tcPr>
          <w:p w:rsidR="00063831" w:rsidRPr="00063831" w:rsidRDefault="00063831" w:rsidP="00063831">
            <w:pPr>
              <w:pStyle w:val="NormalWeb"/>
              <w:rPr>
                <w:lang w:val="lv-LV"/>
              </w:rPr>
            </w:pPr>
            <w:r w:rsidRPr="00063831">
              <w:rPr>
                <w:lang w:val="lv-LV"/>
              </w:rPr>
              <w:t>1.</w:t>
            </w:r>
          </w:p>
        </w:tc>
        <w:tc>
          <w:tcPr>
            <w:tcW w:w="2769" w:type="dxa"/>
            <w:shd w:val="clear" w:color="auto" w:fill="auto"/>
          </w:tcPr>
          <w:p w:rsidR="00063831" w:rsidRPr="00063831" w:rsidRDefault="00063831" w:rsidP="00063831">
            <w:pPr>
              <w:pStyle w:val="NormalWeb"/>
              <w:rPr>
                <w:lang w:val="lv-LV"/>
              </w:rPr>
            </w:pPr>
            <w:r w:rsidRPr="00063831">
              <w:rPr>
                <w:lang w:val="lv-LV"/>
              </w:rPr>
              <w:t xml:space="preserve">Sabiedrības </w:t>
            </w:r>
            <w:proofErr w:type="spellStart"/>
            <w:r w:rsidRPr="00063831">
              <w:rPr>
                <w:lang w:val="lv-LV"/>
              </w:rPr>
              <w:t>mērķgrupa</w:t>
            </w:r>
            <w:proofErr w:type="spellEnd"/>
          </w:p>
        </w:tc>
        <w:tc>
          <w:tcPr>
            <w:tcW w:w="6979" w:type="dxa"/>
            <w:shd w:val="clear" w:color="auto" w:fill="auto"/>
          </w:tcPr>
          <w:p w:rsidR="00063831" w:rsidRPr="00063831" w:rsidRDefault="00063831" w:rsidP="00FC7A54">
            <w:pPr>
              <w:pStyle w:val="NormalWeb"/>
              <w:jc w:val="both"/>
              <w:rPr>
                <w:lang w:val="lv-LV"/>
              </w:rPr>
            </w:pPr>
            <w:r w:rsidRPr="00063831">
              <w:rPr>
                <w:lang w:val="lv-LV"/>
              </w:rPr>
              <w:t xml:space="preserve">Noteikumu projekts attiecas uz budžeta iestāžu, no budžeta daļēji finansētu atvasinātu publisku personu un budžeta nefinansētu iestāžu – kopā 2334 – </w:t>
            </w:r>
            <w:r w:rsidR="00FC7A54">
              <w:rPr>
                <w:lang w:val="lv-LV"/>
              </w:rPr>
              <w:t>grāmatvedības uzskaitē</w:t>
            </w:r>
            <w:r w:rsidRPr="00063831">
              <w:rPr>
                <w:lang w:val="lv-LV"/>
              </w:rPr>
              <w:t xml:space="preserve"> iesaistītajiem darbiniekiem.</w:t>
            </w:r>
          </w:p>
        </w:tc>
      </w:tr>
      <w:tr w:rsidR="00063831" w:rsidRPr="00063831" w:rsidTr="008C0DC4">
        <w:tc>
          <w:tcPr>
            <w:tcW w:w="458" w:type="dxa"/>
            <w:shd w:val="clear" w:color="auto" w:fill="auto"/>
          </w:tcPr>
          <w:p w:rsidR="00063831" w:rsidRPr="00063831" w:rsidRDefault="00063831" w:rsidP="00063831">
            <w:pPr>
              <w:pStyle w:val="NormalWeb"/>
              <w:rPr>
                <w:lang w:val="lv-LV"/>
              </w:rPr>
            </w:pPr>
            <w:r w:rsidRPr="00063831">
              <w:rPr>
                <w:lang w:val="lv-LV"/>
              </w:rPr>
              <w:t>2.</w:t>
            </w:r>
          </w:p>
        </w:tc>
        <w:tc>
          <w:tcPr>
            <w:tcW w:w="2769" w:type="dxa"/>
            <w:shd w:val="clear" w:color="auto" w:fill="auto"/>
          </w:tcPr>
          <w:p w:rsidR="00063831" w:rsidRPr="00063831" w:rsidRDefault="00063831" w:rsidP="00063831">
            <w:pPr>
              <w:pStyle w:val="NormalWeb"/>
              <w:rPr>
                <w:lang w:val="lv-LV"/>
              </w:rPr>
            </w:pPr>
            <w:r w:rsidRPr="00063831">
              <w:rPr>
                <w:lang w:val="lv-LV"/>
              </w:rPr>
              <w:t xml:space="preserve">Citas sabiedrības grupas (bez </w:t>
            </w:r>
            <w:proofErr w:type="spellStart"/>
            <w:r w:rsidRPr="00063831">
              <w:rPr>
                <w:lang w:val="lv-LV"/>
              </w:rPr>
              <w:t>mērķgrupas</w:t>
            </w:r>
            <w:proofErr w:type="spellEnd"/>
            <w:r w:rsidRPr="00063831">
              <w:rPr>
                <w:lang w:val="lv-LV"/>
              </w:rPr>
              <w:t>), kuras tiesiskais regulējums arī ietekmē vai varētu ietekmēt</w:t>
            </w:r>
          </w:p>
        </w:tc>
        <w:tc>
          <w:tcPr>
            <w:tcW w:w="6979" w:type="dxa"/>
            <w:shd w:val="clear" w:color="auto" w:fill="auto"/>
          </w:tcPr>
          <w:p w:rsidR="00063831" w:rsidRPr="00063831" w:rsidRDefault="00063831" w:rsidP="00063831">
            <w:pPr>
              <w:pStyle w:val="NormalWeb"/>
              <w:jc w:val="both"/>
              <w:rPr>
                <w:lang w:val="lv-LV"/>
              </w:rPr>
            </w:pPr>
            <w:r w:rsidRPr="00063831">
              <w:rPr>
                <w:lang w:val="lv-LV"/>
              </w:rPr>
              <w:t>Zvērināti revidenti, kas sniedz ziņojumu par  gada pārskata sagatavošanas pareizību.  Skaitlisko lielumu nevar noteikt, jo nav zināms, cik katrs zvērināts revidents ir noslēdzis līgumus ar pašvaldībām un no valsts budžeta daļēji finansētām atvasinātām publiskām personām. Maksimālais s</w:t>
            </w:r>
            <w:r w:rsidR="00FC7A54">
              <w:rPr>
                <w:lang w:val="lv-LV"/>
              </w:rPr>
              <w:t>kaits var sasniegt</w:t>
            </w:r>
            <w:r w:rsidRPr="00063831">
              <w:rPr>
                <w:lang w:val="lv-LV"/>
              </w:rPr>
              <w:t xml:space="preserve"> ~ 120.</w:t>
            </w:r>
          </w:p>
        </w:tc>
      </w:tr>
      <w:tr w:rsidR="00063831" w:rsidRPr="00063831" w:rsidTr="008C0DC4">
        <w:tc>
          <w:tcPr>
            <w:tcW w:w="458" w:type="dxa"/>
            <w:shd w:val="clear" w:color="auto" w:fill="auto"/>
          </w:tcPr>
          <w:p w:rsidR="00063831" w:rsidRPr="00063831" w:rsidRDefault="00063831" w:rsidP="00063831">
            <w:pPr>
              <w:pStyle w:val="NormalWeb"/>
              <w:rPr>
                <w:lang w:val="lv-LV"/>
              </w:rPr>
            </w:pPr>
            <w:r w:rsidRPr="00063831">
              <w:rPr>
                <w:lang w:val="lv-LV"/>
              </w:rPr>
              <w:t>3.</w:t>
            </w:r>
          </w:p>
        </w:tc>
        <w:tc>
          <w:tcPr>
            <w:tcW w:w="2769" w:type="dxa"/>
            <w:shd w:val="clear" w:color="auto" w:fill="auto"/>
          </w:tcPr>
          <w:p w:rsidR="00063831" w:rsidRPr="00063831" w:rsidRDefault="00063831" w:rsidP="00063831">
            <w:pPr>
              <w:pStyle w:val="NormalWeb"/>
              <w:rPr>
                <w:lang w:val="lv-LV"/>
              </w:rPr>
            </w:pPr>
            <w:r w:rsidRPr="00063831">
              <w:rPr>
                <w:lang w:val="lv-LV"/>
              </w:rPr>
              <w:t xml:space="preserve">Tiesiskā regulējuma </w:t>
            </w:r>
            <w:r w:rsidRPr="00063831">
              <w:rPr>
                <w:lang w:val="lv-LV"/>
              </w:rPr>
              <w:lastRenderedPageBreak/>
              <w:t>finansiālā ietekme</w:t>
            </w:r>
          </w:p>
        </w:tc>
        <w:tc>
          <w:tcPr>
            <w:tcW w:w="6979" w:type="dxa"/>
            <w:shd w:val="clear" w:color="auto" w:fill="auto"/>
          </w:tcPr>
          <w:p w:rsidR="00063831" w:rsidRPr="00063831" w:rsidRDefault="00063831" w:rsidP="00063831">
            <w:pPr>
              <w:pStyle w:val="NormalWeb"/>
              <w:rPr>
                <w:lang w:val="lv-LV"/>
              </w:rPr>
            </w:pPr>
            <w:r w:rsidRPr="00063831">
              <w:rPr>
                <w:lang w:val="lv-LV"/>
              </w:rPr>
              <w:lastRenderedPageBreak/>
              <w:t>Projekts šo jomu neskar</w:t>
            </w:r>
          </w:p>
        </w:tc>
      </w:tr>
      <w:tr w:rsidR="00063831" w:rsidRPr="00A21F1F" w:rsidTr="008C0DC4">
        <w:trPr>
          <w:trHeight w:val="736"/>
        </w:trPr>
        <w:tc>
          <w:tcPr>
            <w:tcW w:w="458" w:type="dxa"/>
            <w:shd w:val="clear" w:color="auto" w:fill="auto"/>
          </w:tcPr>
          <w:p w:rsidR="00063831" w:rsidRPr="00063831" w:rsidRDefault="00063831" w:rsidP="00063831">
            <w:pPr>
              <w:pStyle w:val="NormalWeb"/>
              <w:rPr>
                <w:lang w:val="lv-LV"/>
              </w:rPr>
            </w:pPr>
            <w:r w:rsidRPr="00063831">
              <w:rPr>
                <w:lang w:val="lv-LV"/>
              </w:rPr>
              <w:lastRenderedPageBreak/>
              <w:t>4.</w:t>
            </w:r>
          </w:p>
        </w:tc>
        <w:tc>
          <w:tcPr>
            <w:tcW w:w="2769" w:type="dxa"/>
            <w:shd w:val="clear" w:color="auto" w:fill="auto"/>
          </w:tcPr>
          <w:p w:rsidR="00063831" w:rsidRPr="00063831" w:rsidRDefault="00063831" w:rsidP="00063831">
            <w:pPr>
              <w:pStyle w:val="NormalWeb"/>
              <w:rPr>
                <w:lang w:val="lv-LV"/>
              </w:rPr>
            </w:pPr>
            <w:r w:rsidRPr="00063831">
              <w:rPr>
                <w:lang w:val="lv-LV"/>
              </w:rPr>
              <w:t>Tiesiskā regulējuma nefinansiālā ietekme</w:t>
            </w:r>
          </w:p>
        </w:tc>
        <w:tc>
          <w:tcPr>
            <w:tcW w:w="6979" w:type="dxa"/>
            <w:shd w:val="clear" w:color="auto" w:fill="auto"/>
          </w:tcPr>
          <w:p w:rsidR="00063831" w:rsidRPr="00984493" w:rsidRDefault="00AC46E2" w:rsidP="00063831">
            <w:pPr>
              <w:pStyle w:val="NormalWeb"/>
              <w:jc w:val="both"/>
              <w:rPr>
                <w:b/>
                <w:lang w:val="lv-LV"/>
              </w:rPr>
            </w:pPr>
            <w:r w:rsidRPr="00984493">
              <w:rPr>
                <w:b/>
                <w:lang w:val="lv-LV"/>
              </w:rPr>
              <w:t>Normatīvais akts ietekmē budžeta iestāžu grāmatvedības uzskaiti, uzlabojot finanšu pārskatu ticamību un pilnīgumu, kā rezultātā paaugstināsies finanšu informācijas kvalitāte.</w:t>
            </w:r>
          </w:p>
        </w:tc>
      </w:tr>
      <w:tr w:rsidR="00063831" w:rsidRPr="00063831" w:rsidTr="008C0DC4">
        <w:tc>
          <w:tcPr>
            <w:tcW w:w="458" w:type="dxa"/>
            <w:shd w:val="clear" w:color="auto" w:fill="auto"/>
          </w:tcPr>
          <w:p w:rsidR="00063831" w:rsidRPr="00063831" w:rsidRDefault="00063831" w:rsidP="00063831">
            <w:pPr>
              <w:pStyle w:val="NormalWeb"/>
              <w:rPr>
                <w:lang w:val="lv-LV"/>
              </w:rPr>
            </w:pPr>
            <w:r w:rsidRPr="00063831">
              <w:rPr>
                <w:lang w:val="lv-LV"/>
              </w:rPr>
              <w:t>5.</w:t>
            </w:r>
          </w:p>
        </w:tc>
        <w:tc>
          <w:tcPr>
            <w:tcW w:w="2769" w:type="dxa"/>
            <w:shd w:val="clear" w:color="auto" w:fill="auto"/>
          </w:tcPr>
          <w:p w:rsidR="00063831" w:rsidRPr="008D1D6C" w:rsidRDefault="00063831" w:rsidP="00063831">
            <w:pPr>
              <w:pStyle w:val="NormalWeb"/>
              <w:rPr>
                <w:lang w:val="lv-LV"/>
              </w:rPr>
            </w:pPr>
            <w:r w:rsidRPr="008D1D6C">
              <w:rPr>
                <w:lang w:val="lv-LV"/>
              </w:rPr>
              <w:t>Administratīvās procedūras raksturojums</w:t>
            </w:r>
          </w:p>
        </w:tc>
        <w:tc>
          <w:tcPr>
            <w:tcW w:w="6979" w:type="dxa"/>
            <w:shd w:val="clear" w:color="auto" w:fill="auto"/>
          </w:tcPr>
          <w:p w:rsidR="00063831" w:rsidRPr="008D1D6C" w:rsidRDefault="00063831" w:rsidP="00063831">
            <w:pPr>
              <w:pStyle w:val="NormalWeb"/>
              <w:spacing w:before="0" w:beforeAutospacing="0" w:after="0" w:afterAutospacing="0"/>
              <w:jc w:val="both"/>
              <w:rPr>
                <w:lang w:val="lv-LV"/>
              </w:rPr>
            </w:pPr>
            <w:r w:rsidRPr="008D1D6C">
              <w:rPr>
                <w:lang w:val="lv-LV"/>
              </w:rPr>
              <w:t>Projekts šo jomu neskar</w:t>
            </w:r>
          </w:p>
        </w:tc>
      </w:tr>
      <w:tr w:rsidR="00063831" w:rsidRPr="00063831" w:rsidTr="008C0DC4">
        <w:tc>
          <w:tcPr>
            <w:tcW w:w="458" w:type="dxa"/>
            <w:shd w:val="clear" w:color="auto" w:fill="auto"/>
          </w:tcPr>
          <w:p w:rsidR="00063831" w:rsidRPr="00063831" w:rsidRDefault="00063831" w:rsidP="00063831">
            <w:pPr>
              <w:pStyle w:val="NormalWeb"/>
              <w:rPr>
                <w:lang w:val="lv-LV"/>
              </w:rPr>
            </w:pPr>
            <w:r w:rsidRPr="00063831">
              <w:rPr>
                <w:lang w:val="lv-LV"/>
              </w:rPr>
              <w:t>6.</w:t>
            </w:r>
          </w:p>
        </w:tc>
        <w:tc>
          <w:tcPr>
            <w:tcW w:w="2769" w:type="dxa"/>
            <w:shd w:val="clear" w:color="auto" w:fill="auto"/>
          </w:tcPr>
          <w:p w:rsidR="00063831" w:rsidRPr="00063831" w:rsidRDefault="00063831" w:rsidP="00063831">
            <w:pPr>
              <w:pStyle w:val="NormalWeb"/>
              <w:rPr>
                <w:lang w:val="lv-LV"/>
              </w:rPr>
            </w:pPr>
            <w:r w:rsidRPr="00063831">
              <w:rPr>
                <w:lang w:val="lv-LV"/>
              </w:rPr>
              <w:t>Administratīvo izmaksu monetārs novērtējums</w:t>
            </w:r>
          </w:p>
        </w:tc>
        <w:tc>
          <w:tcPr>
            <w:tcW w:w="6979" w:type="dxa"/>
            <w:shd w:val="clear" w:color="auto" w:fill="auto"/>
          </w:tcPr>
          <w:p w:rsidR="00063831" w:rsidRPr="00063831" w:rsidRDefault="00063831" w:rsidP="00063831">
            <w:pPr>
              <w:pStyle w:val="NormalWeb"/>
              <w:rPr>
                <w:lang w:val="lv-LV"/>
              </w:rPr>
            </w:pPr>
            <w:r w:rsidRPr="00063831">
              <w:rPr>
                <w:lang w:val="lv-LV"/>
              </w:rPr>
              <w:t>Projekts šo jomu neskar</w:t>
            </w:r>
          </w:p>
        </w:tc>
      </w:tr>
      <w:tr w:rsidR="00063831" w:rsidRPr="00063831" w:rsidTr="008C0DC4">
        <w:tc>
          <w:tcPr>
            <w:tcW w:w="458" w:type="dxa"/>
            <w:shd w:val="clear" w:color="auto" w:fill="auto"/>
          </w:tcPr>
          <w:p w:rsidR="00063831" w:rsidRPr="00063831" w:rsidRDefault="00063831" w:rsidP="00063831">
            <w:pPr>
              <w:pStyle w:val="NormalWeb"/>
              <w:rPr>
                <w:lang w:val="lv-LV"/>
              </w:rPr>
            </w:pPr>
            <w:r w:rsidRPr="00063831">
              <w:rPr>
                <w:lang w:val="lv-LV"/>
              </w:rPr>
              <w:t>7.</w:t>
            </w:r>
          </w:p>
        </w:tc>
        <w:tc>
          <w:tcPr>
            <w:tcW w:w="2769" w:type="dxa"/>
            <w:shd w:val="clear" w:color="auto" w:fill="auto"/>
          </w:tcPr>
          <w:p w:rsidR="00063831" w:rsidRPr="00063831" w:rsidRDefault="00063831" w:rsidP="00063831">
            <w:pPr>
              <w:pStyle w:val="NormalWeb"/>
              <w:rPr>
                <w:lang w:val="lv-LV"/>
              </w:rPr>
            </w:pPr>
            <w:r w:rsidRPr="00063831">
              <w:rPr>
                <w:lang w:val="lv-LV"/>
              </w:rPr>
              <w:t>Cita informācija</w:t>
            </w:r>
          </w:p>
        </w:tc>
        <w:tc>
          <w:tcPr>
            <w:tcW w:w="6979" w:type="dxa"/>
            <w:shd w:val="clear" w:color="auto" w:fill="auto"/>
          </w:tcPr>
          <w:p w:rsidR="00063831" w:rsidRPr="00063831" w:rsidRDefault="00063831" w:rsidP="00063831">
            <w:pPr>
              <w:pStyle w:val="NormalWeb"/>
              <w:rPr>
                <w:lang w:val="lv-LV"/>
              </w:rPr>
            </w:pPr>
            <w:r w:rsidRPr="00063831">
              <w:rPr>
                <w:lang w:val="lv-LV"/>
              </w:rPr>
              <w:t>Nav</w:t>
            </w:r>
          </w:p>
        </w:tc>
      </w:tr>
    </w:tbl>
    <w:p w:rsidR="00063831" w:rsidRPr="00995238" w:rsidRDefault="00063831">
      <w:pPr>
        <w:rPr>
          <w:b/>
          <w:bCs/>
          <w:i/>
          <w:iCs/>
          <w:sz w:val="16"/>
          <w:szCs w:val="16"/>
          <w:lang w:val="lv-LV"/>
        </w:rPr>
      </w:pPr>
    </w:p>
    <w:p w:rsidR="008766F2" w:rsidRDefault="00AF5AA2" w:rsidP="00995238">
      <w:pPr>
        <w:rPr>
          <w:b/>
          <w:bCs/>
          <w:i/>
          <w:iCs/>
          <w:lang w:val="lv-LV"/>
        </w:rPr>
      </w:pPr>
      <w:r>
        <w:rPr>
          <w:b/>
          <w:bCs/>
          <w:i/>
          <w:iCs/>
          <w:lang w:val="lv-LV"/>
        </w:rPr>
        <w:t xml:space="preserve">Anotācijas  III,  </w:t>
      </w:r>
      <w:r w:rsidR="00537286">
        <w:rPr>
          <w:b/>
          <w:bCs/>
          <w:i/>
          <w:iCs/>
          <w:lang w:val="lv-LV"/>
        </w:rPr>
        <w:t xml:space="preserve">IV, </w:t>
      </w:r>
      <w:r>
        <w:rPr>
          <w:b/>
          <w:bCs/>
          <w:i/>
          <w:iCs/>
          <w:lang w:val="lv-LV"/>
        </w:rPr>
        <w:t>V un VI  sadaļa – nav attiecinām</w:t>
      </w:r>
      <w:r w:rsidR="00C84625">
        <w:rPr>
          <w:b/>
          <w:bCs/>
          <w:i/>
          <w:iCs/>
          <w:lang w:val="lv-LV"/>
        </w:rPr>
        <w:t>a</w:t>
      </w:r>
      <w:r>
        <w:rPr>
          <w:b/>
          <w:bCs/>
          <w:i/>
          <w:iCs/>
          <w:lang w:val="lv-LV"/>
        </w:rPr>
        <w:t>.</w:t>
      </w:r>
    </w:p>
    <w:p w:rsidR="008766F2" w:rsidRPr="00995238" w:rsidRDefault="008766F2">
      <w:pPr>
        <w:rPr>
          <w:b/>
          <w:bCs/>
          <w:i/>
          <w:iCs/>
          <w:sz w:val="16"/>
          <w:szCs w:val="16"/>
          <w:lang w:val="lv-LV"/>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2865"/>
        <w:gridCol w:w="6945"/>
      </w:tblGrid>
      <w:tr w:rsidR="008766F2" w:rsidRPr="00A21F1F" w:rsidTr="008C0DC4">
        <w:tc>
          <w:tcPr>
            <w:tcW w:w="10206" w:type="dxa"/>
            <w:gridSpan w:val="3"/>
            <w:tcBorders>
              <w:top w:val="single" w:sz="4" w:space="0" w:color="auto"/>
              <w:left w:val="single" w:sz="4" w:space="0" w:color="auto"/>
              <w:bottom w:val="single" w:sz="4" w:space="0" w:color="auto"/>
              <w:right w:val="single" w:sz="4" w:space="0" w:color="auto"/>
            </w:tcBorders>
          </w:tcPr>
          <w:p w:rsidR="008766F2" w:rsidRDefault="00AF5AA2">
            <w:pPr>
              <w:jc w:val="center"/>
              <w:rPr>
                <w:lang w:val="lv-LV"/>
              </w:rPr>
            </w:pPr>
            <w:r>
              <w:rPr>
                <w:b/>
                <w:bCs/>
                <w:lang w:val="lv-LV"/>
              </w:rPr>
              <w:t>VII. Tiesību akta projekta izpildes nodrošināšana un tās ietekme uz institūcijām</w:t>
            </w:r>
          </w:p>
        </w:tc>
      </w:tr>
      <w:tr w:rsidR="008766F2" w:rsidRPr="00A21F1F" w:rsidTr="008C0DC4">
        <w:tc>
          <w:tcPr>
            <w:tcW w:w="396" w:type="dxa"/>
            <w:tcBorders>
              <w:top w:val="single" w:sz="4" w:space="0" w:color="auto"/>
              <w:left w:val="single" w:sz="4" w:space="0" w:color="auto"/>
              <w:bottom w:val="single" w:sz="4" w:space="0" w:color="auto"/>
              <w:right w:val="single" w:sz="4" w:space="0" w:color="auto"/>
            </w:tcBorders>
          </w:tcPr>
          <w:p w:rsidR="008766F2" w:rsidRDefault="00AF5AA2">
            <w:pPr>
              <w:pStyle w:val="NormalWeb"/>
              <w:rPr>
                <w:lang w:val="lv-LV"/>
              </w:rPr>
            </w:pPr>
            <w:r>
              <w:rPr>
                <w:lang w:val="lv-LV"/>
              </w:rPr>
              <w:t>1.</w:t>
            </w:r>
          </w:p>
        </w:tc>
        <w:tc>
          <w:tcPr>
            <w:tcW w:w="2865" w:type="dxa"/>
            <w:tcBorders>
              <w:top w:val="single" w:sz="4" w:space="0" w:color="auto"/>
              <w:left w:val="single" w:sz="4" w:space="0" w:color="auto"/>
              <w:bottom w:val="single" w:sz="4" w:space="0" w:color="auto"/>
              <w:right w:val="single" w:sz="4" w:space="0" w:color="auto"/>
            </w:tcBorders>
          </w:tcPr>
          <w:p w:rsidR="008766F2" w:rsidRDefault="00AF5AA2">
            <w:pPr>
              <w:pStyle w:val="NormalWeb"/>
              <w:rPr>
                <w:lang w:val="lv-LV"/>
              </w:rPr>
            </w:pPr>
            <w:r>
              <w:rPr>
                <w:lang w:val="lv-LV"/>
              </w:rPr>
              <w:t>Projekta izpildē iesaistītās institūcijas</w:t>
            </w:r>
          </w:p>
        </w:tc>
        <w:tc>
          <w:tcPr>
            <w:tcW w:w="6945" w:type="dxa"/>
            <w:tcBorders>
              <w:top w:val="single" w:sz="4" w:space="0" w:color="auto"/>
              <w:left w:val="single" w:sz="4" w:space="0" w:color="auto"/>
              <w:bottom w:val="single" w:sz="4" w:space="0" w:color="auto"/>
              <w:right w:val="single" w:sz="4" w:space="0" w:color="auto"/>
            </w:tcBorders>
          </w:tcPr>
          <w:p w:rsidR="008766F2" w:rsidRDefault="007A2705" w:rsidP="00995238">
            <w:pPr>
              <w:pStyle w:val="NormalWeb"/>
              <w:spacing w:before="0" w:beforeAutospacing="0" w:after="0" w:afterAutospacing="0"/>
              <w:jc w:val="both"/>
              <w:rPr>
                <w:lang w:val="lv-LV"/>
              </w:rPr>
            </w:pPr>
            <w:r w:rsidRPr="007A2705">
              <w:rPr>
                <w:lang w:val="lv-LV"/>
              </w:rPr>
              <w:t>Ministrijas, centrālās valsts iestādes, pašvaldības, budžeta iestādes, no budžeta daļēji finansētas atvasinātas publiskas personas un budžeta nefinansētas iestādes</w:t>
            </w:r>
            <w:r w:rsidR="00AF5AA2">
              <w:rPr>
                <w:lang w:val="lv-LV"/>
              </w:rPr>
              <w:t>.</w:t>
            </w:r>
          </w:p>
        </w:tc>
      </w:tr>
      <w:tr w:rsidR="008766F2" w:rsidTr="008C0DC4">
        <w:tc>
          <w:tcPr>
            <w:tcW w:w="396" w:type="dxa"/>
            <w:tcBorders>
              <w:top w:val="single" w:sz="4" w:space="0" w:color="auto"/>
              <w:left w:val="single" w:sz="4" w:space="0" w:color="auto"/>
              <w:bottom w:val="single" w:sz="4" w:space="0" w:color="auto"/>
              <w:right w:val="single" w:sz="4" w:space="0" w:color="auto"/>
            </w:tcBorders>
          </w:tcPr>
          <w:p w:rsidR="008766F2" w:rsidRDefault="00AF5AA2">
            <w:pPr>
              <w:pStyle w:val="NormalWeb"/>
              <w:rPr>
                <w:lang w:val="lv-LV"/>
              </w:rPr>
            </w:pPr>
            <w:r>
              <w:rPr>
                <w:lang w:val="lv-LV"/>
              </w:rPr>
              <w:t>2.</w:t>
            </w:r>
          </w:p>
        </w:tc>
        <w:tc>
          <w:tcPr>
            <w:tcW w:w="2865" w:type="dxa"/>
            <w:tcBorders>
              <w:top w:val="single" w:sz="4" w:space="0" w:color="auto"/>
              <w:left w:val="single" w:sz="4" w:space="0" w:color="auto"/>
              <w:bottom w:val="single" w:sz="4" w:space="0" w:color="auto"/>
              <w:right w:val="single" w:sz="4" w:space="0" w:color="auto"/>
            </w:tcBorders>
          </w:tcPr>
          <w:p w:rsidR="008766F2" w:rsidRDefault="00AF5AA2">
            <w:pPr>
              <w:pStyle w:val="NormalWeb"/>
              <w:rPr>
                <w:lang w:val="lv-LV"/>
              </w:rPr>
            </w:pPr>
            <w:r>
              <w:rPr>
                <w:lang w:val="lv-LV"/>
              </w:rPr>
              <w:t>Projekta izpildes ietekme uz pārvaldes funkcijām</w:t>
            </w:r>
          </w:p>
        </w:tc>
        <w:tc>
          <w:tcPr>
            <w:tcW w:w="6945" w:type="dxa"/>
            <w:tcBorders>
              <w:top w:val="single" w:sz="4" w:space="0" w:color="auto"/>
              <w:left w:val="single" w:sz="4" w:space="0" w:color="auto"/>
              <w:bottom w:val="single" w:sz="4" w:space="0" w:color="auto"/>
              <w:right w:val="single" w:sz="4" w:space="0" w:color="auto"/>
            </w:tcBorders>
          </w:tcPr>
          <w:p w:rsidR="008766F2" w:rsidRDefault="00AF5AA2">
            <w:pPr>
              <w:pStyle w:val="NormalWeb"/>
              <w:rPr>
                <w:lang w:val="lv-LV"/>
              </w:rPr>
            </w:pPr>
            <w:r>
              <w:rPr>
                <w:lang w:val="lv-LV"/>
              </w:rPr>
              <w:t>Nav attiecināms</w:t>
            </w:r>
          </w:p>
        </w:tc>
      </w:tr>
      <w:tr w:rsidR="008766F2" w:rsidTr="008C0DC4">
        <w:tc>
          <w:tcPr>
            <w:tcW w:w="396" w:type="dxa"/>
            <w:tcBorders>
              <w:top w:val="single" w:sz="4" w:space="0" w:color="auto"/>
              <w:left w:val="single" w:sz="4" w:space="0" w:color="auto"/>
              <w:bottom w:val="single" w:sz="4" w:space="0" w:color="auto"/>
              <w:right w:val="single" w:sz="4" w:space="0" w:color="auto"/>
            </w:tcBorders>
          </w:tcPr>
          <w:p w:rsidR="008766F2" w:rsidRDefault="00AF5AA2">
            <w:pPr>
              <w:pStyle w:val="NormalWeb"/>
              <w:rPr>
                <w:lang w:val="lv-LV"/>
              </w:rPr>
            </w:pPr>
            <w:r>
              <w:rPr>
                <w:lang w:val="lv-LV"/>
              </w:rPr>
              <w:t>3.</w:t>
            </w:r>
          </w:p>
        </w:tc>
        <w:tc>
          <w:tcPr>
            <w:tcW w:w="2865" w:type="dxa"/>
            <w:tcBorders>
              <w:top w:val="single" w:sz="4" w:space="0" w:color="auto"/>
              <w:left w:val="single" w:sz="4" w:space="0" w:color="auto"/>
              <w:bottom w:val="single" w:sz="4" w:space="0" w:color="auto"/>
              <w:right w:val="single" w:sz="4" w:space="0" w:color="auto"/>
            </w:tcBorders>
          </w:tcPr>
          <w:p w:rsidR="008766F2" w:rsidRDefault="00AF5AA2">
            <w:pPr>
              <w:pStyle w:val="NormalWeb"/>
              <w:spacing w:before="0" w:beforeAutospacing="0" w:after="0" w:afterAutospacing="0"/>
              <w:rPr>
                <w:lang w:val="lv-LV"/>
              </w:rPr>
            </w:pPr>
            <w:r>
              <w:rPr>
                <w:lang w:val="lv-LV"/>
              </w:rPr>
              <w:t>Projekta izpildes ietekme uz pārvaldes institucionālo struktūru.</w:t>
            </w:r>
          </w:p>
          <w:p w:rsidR="008766F2" w:rsidRDefault="00AF5AA2">
            <w:pPr>
              <w:pStyle w:val="NormalWeb"/>
              <w:spacing w:before="0" w:beforeAutospacing="0" w:after="0" w:afterAutospacing="0"/>
              <w:rPr>
                <w:lang w:val="lv-LV"/>
              </w:rPr>
            </w:pPr>
            <w:r>
              <w:rPr>
                <w:lang w:val="lv-LV"/>
              </w:rPr>
              <w:t>Jaunu institūciju izveide</w:t>
            </w:r>
          </w:p>
        </w:tc>
        <w:tc>
          <w:tcPr>
            <w:tcW w:w="6945" w:type="dxa"/>
            <w:tcBorders>
              <w:top w:val="single" w:sz="4" w:space="0" w:color="auto"/>
              <w:left w:val="single" w:sz="4" w:space="0" w:color="auto"/>
              <w:bottom w:val="single" w:sz="4" w:space="0" w:color="auto"/>
              <w:right w:val="single" w:sz="4" w:space="0" w:color="auto"/>
            </w:tcBorders>
          </w:tcPr>
          <w:p w:rsidR="008766F2" w:rsidRDefault="00AF5AA2">
            <w:pPr>
              <w:pStyle w:val="NormalWeb"/>
              <w:rPr>
                <w:lang w:val="lv-LV"/>
              </w:rPr>
            </w:pPr>
            <w:r>
              <w:rPr>
                <w:lang w:val="lv-LV"/>
              </w:rPr>
              <w:t>Nav attiecināms</w:t>
            </w:r>
          </w:p>
        </w:tc>
      </w:tr>
      <w:tr w:rsidR="008766F2" w:rsidTr="008C0DC4">
        <w:tc>
          <w:tcPr>
            <w:tcW w:w="396" w:type="dxa"/>
            <w:tcBorders>
              <w:top w:val="single" w:sz="4" w:space="0" w:color="auto"/>
              <w:left w:val="single" w:sz="4" w:space="0" w:color="auto"/>
              <w:bottom w:val="single" w:sz="4" w:space="0" w:color="auto"/>
              <w:right w:val="single" w:sz="4" w:space="0" w:color="auto"/>
            </w:tcBorders>
          </w:tcPr>
          <w:p w:rsidR="008766F2" w:rsidRDefault="00AF5AA2">
            <w:pPr>
              <w:pStyle w:val="NormalWeb"/>
              <w:rPr>
                <w:lang w:val="lv-LV"/>
              </w:rPr>
            </w:pPr>
            <w:r>
              <w:rPr>
                <w:lang w:val="lv-LV"/>
              </w:rPr>
              <w:t>4.</w:t>
            </w:r>
          </w:p>
        </w:tc>
        <w:tc>
          <w:tcPr>
            <w:tcW w:w="2865" w:type="dxa"/>
            <w:tcBorders>
              <w:top w:val="single" w:sz="4" w:space="0" w:color="auto"/>
              <w:left w:val="single" w:sz="4" w:space="0" w:color="auto"/>
              <w:bottom w:val="single" w:sz="4" w:space="0" w:color="auto"/>
              <w:right w:val="single" w:sz="4" w:space="0" w:color="auto"/>
            </w:tcBorders>
          </w:tcPr>
          <w:p w:rsidR="008766F2" w:rsidRDefault="00AF5AA2">
            <w:pPr>
              <w:pStyle w:val="NormalWeb"/>
              <w:spacing w:before="0" w:beforeAutospacing="0" w:after="0" w:afterAutospacing="0"/>
              <w:rPr>
                <w:lang w:val="lv-LV"/>
              </w:rPr>
            </w:pPr>
            <w:r>
              <w:rPr>
                <w:lang w:val="lv-LV"/>
              </w:rPr>
              <w:t>Projekta izpildes ietekme uz pārvaldes institucionālo struktūru.</w:t>
            </w:r>
          </w:p>
          <w:p w:rsidR="008766F2" w:rsidRDefault="00AF5AA2">
            <w:pPr>
              <w:pStyle w:val="NormalWeb"/>
              <w:spacing w:before="0" w:beforeAutospacing="0" w:after="0" w:afterAutospacing="0"/>
              <w:rPr>
                <w:lang w:val="lv-LV"/>
              </w:rPr>
            </w:pPr>
            <w:r>
              <w:rPr>
                <w:lang w:val="lv-LV"/>
              </w:rPr>
              <w:t>Esošu institūciju likvidācija</w:t>
            </w:r>
          </w:p>
        </w:tc>
        <w:tc>
          <w:tcPr>
            <w:tcW w:w="6945" w:type="dxa"/>
            <w:tcBorders>
              <w:top w:val="single" w:sz="4" w:space="0" w:color="auto"/>
              <w:left w:val="single" w:sz="4" w:space="0" w:color="auto"/>
              <w:bottom w:val="single" w:sz="4" w:space="0" w:color="auto"/>
              <w:right w:val="single" w:sz="4" w:space="0" w:color="auto"/>
            </w:tcBorders>
          </w:tcPr>
          <w:p w:rsidR="008766F2" w:rsidRDefault="00AF5AA2">
            <w:pPr>
              <w:pStyle w:val="NormalWeb"/>
              <w:rPr>
                <w:lang w:val="lv-LV"/>
              </w:rPr>
            </w:pPr>
            <w:r>
              <w:rPr>
                <w:lang w:val="lv-LV"/>
              </w:rPr>
              <w:t>Nav attiecināms</w:t>
            </w:r>
          </w:p>
        </w:tc>
      </w:tr>
      <w:tr w:rsidR="008766F2" w:rsidTr="008C0DC4">
        <w:tc>
          <w:tcPr>
            <w:tcW w:w="396" w:type="dxa"/>
            <w:tcBorders>
              <w:top w:val="single" w:sz="4" w:space="0" w:color="auto"/>
              <w:left w:val="single" w:sz="4" w:space="0" w:color="auto"/>
              <w:bottom w:val="single" w:sz="4" w:space="0" w:color="auto"/>
              <w:right w:val="single" w:sz="4" w:space="0" w:color="auto"/>
            </w:tcBorders>
          </w:tcPr>
          <w:p w:rsidR="008766F2" w:rsidRDefault="00AF5AA2">
            <w:pPr>
              <w:pStyle w:val="NormalWeb"/>
              <w:rPr>
                <w:lang w:val="lv-LV"/>
              </w:rPr>
            </w:pPr>
            <w:r>
              <w:rPr>
                <w:lang w:val="lv-LV"/>
              </w:rPr>
              <w:t>5.</w:t>
            </w:r>
          </w:p>
        </w:tc>
        <w:tc>
          <w:tcPr>
            <w:tcW w:w="2865" w:type="dxa"/>
            <w:tcBorders>
              <w:top w:val="single" w:sz="4" w:space="0" w:color="auto"/>
              <w:left w:val="single" w:sz="4" w:space="0" w:color="auto"/>
              <w:bottom w:val="single" w:sz="4" w:space="0" w:color="auto"/>
              <w:right w:val="single" w:sz="4" w:space="0" w:color="auto"/>
            </w:tcBorders>
          </w:tcPr>
          <w:p w:rsidR="008766F2" w:rsidRDefault="00AF5AA2">
            <w:pPr>
              <w:pStyle w:val="NormalWeb"/>
              <w:spacing w:before="0" w:beforeAutospacing="0" w:after="0" w:afterAutospacing="0"/>
              <w:rPr>
                <w:lang w:val="lv-LV"/>
              </w:rPr>
            </w:pPr>
            <w:r>
              <w:rPr>
                <w:lang w:val="lv-LV"/>
              </w:rPr>
              <w:t>Projekta izpildes ietekme uz pārvaldes institucionālo struktūru.</w:t>
            </w:r>
          </w:p>
          <w:p w:rsidR="008766F2" w:rsidRDefault="00AF5AA2">
            <w:pPr>
              <w:pStyle w:val="NormalWeb"/>
              <w:spacing w:before="0" w:beforeAutospacing="0" w:after="0" w:afterAutospacing="0"/>
              <w:rPr>
                <w:lang w:val="lv-LV"/>
              </w:rPr>
            </w:pPr>
            <w:r>
              <w:rPr>
                <w:lang w:val="lv-LV"/>
              </w:rPr>
              <w:t>Esošu institūciju reorganizācija</w:t>
            </w:r>
          </w:p>
        </w:tc>
        <w:tc>
          <w:tcPr>
            <w:tcW w:w="6945" w:type="dxa"/>
            <w:tcBorders>
              <w:top w:val="single" w:sz="4" w:space="0" w:color="auto"/>
              <w:left w:val="single" w:sz="4" w:space="0" w:color="auto"/>
              <w:bottom w:val="single" w:sz="4" w:space="0" w:color="auto"/>
              <w:right w:val="single" w:sz="4" w:space="0" w:color="auto"/>
            </w:tcBorders>
          </w:tcPr>
          <w:p w:rsidR="008766F2" w:rsidRDefault="00AF5AA2">
            <w:pPr>
              <w:pStyle w:val="NormalWeb"/>
              <w:rPr>
                <w:lang w:val="lv-LV"/>
              </w:rPr>
            </w:pPr>
            <w:r>
              <w:rPr>
                <w:lang w:val="lv-LV"/>
              </w:rPr>
              <w:t>Nav attiecināms</w:t>
            </w:r>
          </w:p>
        </w:tc>
      </w:tr>
      <w:tr w:rsidR="008766F2" w:rsidTr="008C0DC4">
        <w:tc>
          <w:tcPr>
            <w:tcW w:w="396" w:type="dxa"/>
            <w:tcBorders>
              <w:top w:val="single" w:sz="4" w:space="0" w:color="auto"/>
              <w:left w:val="single" w:sz="4" w:space="0" w:color="auto"/>
              <w:bottom w:val="single" w:sz="4" w:space="0" w:color="auto"/>
              <w:right w:val="single" w:sz="4" w:space="0" w:color="auto"/>
            </w:tcBorders>
          </w:tcPr>
          <w:p w:rsidR="008766F2" w:rsidRDefault="00AF5AA2">
            <w:pPr>
              <w:pStyle w:val="NormalWeb"/>
              <w:rPr>
                <w:lang w:val="lv-LV"/>
              </w:rPr>
            </w:pPr>
            <w:r>
              <w:rPr>
                <w:lang w:val="lv-LV"/>
              </w:rPr>
              <w:t>6.</w:t>
            </w:r>
          </w:p>
        </w:tc>
        <w:tc>
          <w:tcPr>
            <w:tcW w:w="2865" w:type="dxa"/>
            <w:tcBorders>
              <w:top w:val="single" w:sz="4" w:space="0" w:color="auto"/>
              <w:left w:val="single" w:sz="4" w:space="0" w:color="auto"/>
              <w:bottom w:val="single" w:sz="4" w:space="0" w:color="auto"/>
              <w:right w:val="single" w:sz="4" w:space="0" w:color="auto"/>
            </w:tcBorders>
          </w:tcPr>
          <w:p w:rsidR="008766F2" w:rsidRDefault="00AF5AA2">
            <w:pPr>
              <w:pStyle w:val="NormalWeb"/>
              <w:spacing w:before="0" w:beforeAutospacing="0" w:after="0" w:afterAutospacing="0"/>
              <w:rPr>
                <w:lang w:val="lv-LV"/>
              </w:rPr>
            </w:pPr>
            <w:r>
              <w:rPr>
                <w:lang w:val="lv-LV"/>
              </w:rPr>
              <w:t>Cita informācija</w:t>
            </w:r>
          </w:p>
        </w:tc>
        <w:tc>
          <w:tcPr>
            <w:tcW w:w="6945" w:type="dxa"/>
            <w:tcBorders>
              <w:top w:val="single" w:sz="4" w:space="0" w:color="auto"/>
              <w:left w:val="single" w:sz="4" w:space="0" w:color="auto"/>
              <w:bottom w:val="single" w:sz="4" w:space="0" w:color="auto"/>
              <w:right w:val="single" w:sz="4" w:space="0" w:color="auto"/>
            </w:tcBorders>
          </w:tcPr>
          <w:p w:rsidR="008766F2" w:rsidRDefault="00AF5AA2">
            <w:pPr>
              <w:pStyle w:val="NormalWeb"/>
              <w:rPr>
                <w:lang w:val="lv-LV"/>
              </w:rPr>
            </w:pPr>
            <w:r>
              <w:rPr>
                <w:lang w:val="lv-LV"/>
              </w:rPr>
              <w:t>Nav</w:t>
            </w:r>
          </w:p>
        </w:tc>
      </w:tr>
    </w:tbl>
    <w:p w:rsidR="008766F2" w:rsidRDefault="008766F2">
      <w:pPr>
        <w:pStyle w:val="NormalWeb"/>
        <w:spacing w:before="0" w:beforeAutospacing="0" w:after="0" w:afterAutospacing="0"/>
        <w:rPr>
          <w:sz w:val="28"/>
          <w:szCs w:val="28"/>
          <w:lang w:val="lv-LV"/>
        </w:rPr>
      </w:pPr>
    </w:p>
    <w:p w:rsidR="008C0DC4" w:rsidRDefault="008C0DC4">
      <w:pPr>
        <w:pStyle w:val="BodyText2"/>
      </w:pPr>
    </w:p>
    <w:p w:rsidR="008766F2" w:rsidRPr="00AF5AA2" w:rsidRDefault="00AF5AA2">
      <w:pPr>
        <w:pStyle w:val="BodyText2"/>
      </w:pPr>
      <w:proofErr w:type="spellStart"/>
      <w:r>
        <w:t>Finanšu</w:t>
      </w:r>
      <w:proofErr w:type="spellEnd"/>
      <w:r>
        <w:t xml:space="preserve"> </w:t>
      </w:r>
      <w:proofErr w:type="spellStart"/>
      <w:r>
        <w:t>ministrs</w:t>
      </w:r>
      <w:proofErr w:type="spellEnd"/>
      <w:r>
        <w:tab/>
      </w:r>
      <w:r>
        <w:tab/>
      </w:r>
      <w:r>
        <w:tab/>
      </w:r>
      <w:r>
        <w:tab/>
      </w:r>
      <w:r>
        <w:tab/>
      </w:r>
      <w:r>
        <w:tab/>
      </w:r>
      <w:r w:rsidR="00CD5927">
        <w:tab/>
      </w:r>
      <w:r w:rsidR="00CD5927">
        <w:tab/>
      </w:r>
      <w:r>
        <w:tab/>
      </w:r>
      <w:proofErr w:type="spellStart"/>
      <w:r>
        <w:t>A.Vilks</w:t>
      </w:r>
      <w:proofErr w:type="spellEnd"/>
    </w:p>
    <w:p w:rsidR="00CD5927" w:rsidRDefault="00CD5927" w:rsidP="00CD5927">
      <w:pPr>
        <w:jc w:val="both"/>
        <w:rPr>
          <w:sz w:val="22"/>
          <w:szCs w:val="20"/>
          <w:lang w:val="lv-LV"/>
        </w:rPr>
      </w:pPr>
    </w:p>
    <w:p w:rsidR="008D1D6C" w:rsidRDefault="008D1D6C" w:rsidP="00CD5927">
      <w:pPr>
        <w:jc w:val="both"/>
        <w:rPr>
          <w:sz w:val="22"/>
          <w:szCs w:val="20"/>
          <w:lang w:val="lv-LV"/>
        </w:rPr>
      </w:pPr>
    </w:p>
    <w:p w:rsidR="008C0DC4" w:rsidRDefault="008C0DC4" w:rsidP="00CD5927">
      <w:pPr>
        <w:jc w:val="both"/>
        <w:rPr>
          <w:sz w:val="22"/>
          <w:szCs w:val="20"/>
          <w:lang w:val="lv-LV"/>
        </w:rPr>
      </w:pPr>
    </w:p>
    <w:p w:rsidR="008C0DC4" w:rsidRDefault="008C0DC4" w:rsidP="00CD5927">
      <w:pPr>
        <w:jc w:val="both"/>
        <w:rPr>
          <w:sz w:val="22"/>
          <w:szCs w:val="20"/>
          <w:lang w:val="lv-LV"/>
        </w:rPr>
      </w:pPr>
    </w:p>
    <w:p w:rsidR="008C0DC4" w:rsidRDefault="008C0DC4" w:rsidP="00CD5927">
      <w:pPr>
        <w:jc w:val="both"/>
        <w:rPr>
          <w:sz w:val="22"/>
          <w:szCs w:val="20"/>
          <w:lang w:val="lv-LV"/>
        </w:rPr>
      </w:pPr>
    </w:p>
    <w:p w:rsidR="008C0DC4" w:rsidRDefault="008C0DC4" w:rsidP="00CD5927">
      <w:pPr>
        <w:jc w:val="both"/>
        <w:rPr>
          <w:sz w:val="22"/>
          <w:szCs w:val="20"/>
          <w:lang w:val="lv-LV"/>
        </w:rPr>
      </w:pPr>
    </w:p>
    <w:p w:rsidR="008C0DC4" w:rsidRDefault="008C0DC4" w:rsidP="00CD5927">
      <w:pPr>
        <w:jc w:val="both"/>
        <w:rPr>
          <w:sz w:val="22"/>
          <w:szCs w:val="20"/>
          <w:lang w:val="lv-LV"/>
        </w:rPr>
      </w:pPr>
    </w:p>
    <w:p w:rsidR="008D1D6C" w:rsidRDefault="008D1D6C" w:rsidP="00CD5927">
      <w:pPr>
        <w:jc w:val="both"/>
        <w:rPr>
          <w:sz w:val="22"/>
          <w:szCs w:val="20"/>
          <w:lang w:val="lv-LV"/>
        </w:rPr>
      </w:pPr>
    </w:p>
    <w:p w:rsidR="008D1D6C" w:rsidRDefault="008D1D6C" w:rsidP="00CD5927">
      <w:pPr>
        <w:jc w:val="both"/>
        <w:rPr>
          <w:sz w:val="22"/>
          <w:szCs w:val="20"/>
          <w:lang w:val="lv-LV"/>
        </w:rPr>
      </w:pPr>
    </w:p>
    <w:p w:rsidR="00BE143A" w:rsidRDefault="00AC7B9C" w:rsidP="00CD5927">
      <w:pPr>
        <w:jc w:val="both"/>
        <w:rPr>
          <w:sz w:val="22"/>
          <w:szCs w:val="20"/>
          <w:lang w:val="lv-LV"/>
        </w:rPr>
      </w:pPr>
      <w:r>
        <w:rPr>
          <w:sz w:val="22"/>
          <w:szCs w:val="20"/>
          <w:lang w:val="lv-LV"/>
        </w:rPr>
        <w:t>22.08</w:t>
      </w:r>
      <w:r w:rsidR="00BE143A">
        <w:rPr>
          <w:sz w:val="22"/>
          <w:szCs w:val="20"/>
          <w:lang w:val="lv-LV"/>
        </w:rPr>
        <w:t xml:space="preserve">.2012  </w:t>
      </w:r>
      <w:r>
        <w:rPr>
          <w:sz w:val="22"/>
          <w:szCs w:val="20"/>
          <w:lang w:val="lv-LV"/>
        </w:rPr>
        <w:t>1</w:t>
      </w:r>
      <w:r w:rsidR="00A21F1F">
        <w:rPr>
          <w:sz w:val="22"/>
          <w:szCs w:val="20"/>
          <w:lang w:val="lv-LV"/>
        </w:rPr>
        <w:t>3</w:t>
      </w:r>
      <w:r w:rsidR="00BE143A">
        <w:rPr>
          <w:sz w:val="22"/>
          <w:szCs w:val="20"/>
          <w:lang w:val="lv-LV"/>
        </w:rPr>
        <w:t>:</w:t>
      </w:r>
      <w:r w:rsidR="00A21F1F">
        <w:rPr>
          <w:sz w:val="22"/>
          <w:szCs w:val="20"/>
          <w:lang w:val="lv-LV"/>
        </w:rPr>
        <w:t>29</w:t>
      </w:r>
    </w:p>
    <w:p w:rsidR="008766F2" w:rsidRDefault="00AF5AA2" w:rsidP="00CD5927">
      <w:pPr>
        <w:jc w:val="both"/>
        <w:rPr>
          <w:sz w:val="22"/>
          <w:szCs w:val="20"/>
          <w:lang w:val="lv-LV"/>
        </w:rPr>
      </w:pPr>
      <w:r>
        <w:rPr>
          <w:sz w:val="22"/>
        </w:rPr>
        <w:fldChar w:fldCharType="begin"/>
      </w:r>
      <w:r w:rsidRPr="00AC7B9C">
        <w:rPr>
          <w:sz w:val="22"/>
          <w:lang w:val="fr-FR"/>
        </w:rPr>
        <w:instrText xml:space="preserve"> NUMWORDS  \* MERGEFORMAT </w:instrText>
      </w:r>
      <w:r>
        <w:rPr>
          <w:sz w:val="22"/>
        </w:rPr>
        <w:fldChar w:fldCharType="separate"/>
      </w:r>
      <w:r w:rsidR="00BE143A" w:rsidRPr="00BE143A">
        <w:rPr>
          <w:noProof/>
          <w:sz w:val="22"/>
          <w:szCs w:val="20"/>
          <w:lang w:val="lv-LV"/>
        </w:rPr>
        <w:t>1092</w:t>
      </w:r>
      <w:r>
        <w:rPr>
          <w:sz w:val="22"/>
        </w:rPr>
        <w:fldChar w:fldCharType="end"/>
      </w:r>
    </w:p>
    <w:p w:rsidR="008766F2" w:rsidRDefault="00AF5AA2" w:rsidP="00CD5927">
      <w:pPr>
        <w:jc w:val="both"/>
        <w:rPr>
          <w:sz w:val="22"/>
          <w:szCs w:val="20"/>
          <w:lang w:val="lv-LV"/>
        </w:rPr>
      </w:pPr>
      <w:r>
        <w:rPr>
          <w:sz w:val="22"/>
          <w:szCs w:val="20"/>
          <w:lang w:val="lv-LV"/>
        </w:rPr>
        <w:t>I.Sirbu</w:t>
      </w:r>
    </w:p>
    <w:p w:rsidR="008766F2" w:rsidRDefault="00AF5AA2" w:rsidP="00CD5927">
      <w:pPr>
        <w:pStyle w:val="BodyText"/>
        <w:jc w:val="left"/>
        <w:rPr>
          <w:b w:val="0"/>
          <w:bCs w:val="0"/>
          <w:sz w:val="22"/>
        </w:rPr>
      </w:pPr>
      <w:r>
        <w:rPr>
          <w:b w:val="0"/>
          <w:bCs w:val="0"/>
          <w:sz w:val="22"/>
        </w:rPr>
        <w:t>67094257; inese.sirbu@kase.gov.lv</w:t>
      </w:r>
    </w:p>
    <w:sectPr w:rsidR="008766F2">
      <w:headerReference w:type="default" r:id="rId8"/>
      <w:footerReference w:type="default" r:id="rId9"/>
      <w:footerReference w:type="first" r:id="rId10"/>
      <w:pgSz w:w="11906" w:h="16838"/>
      <w:pgMar w:top="1438" w:right="1800" w:bottom="107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A84" w:rsidRDefault="00520A84">
      <w:r>
        <w:separator/>
      </w:r>
    </w:p>
  </w:endnote>
  <w:endnote w:type="continuationSeparator" w:id="0">
    <w:p w:rsidR="00520A84" w:rsidRDefault="0052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27" w:rsidRDefault="00CD5927" w:rsidP="00091BAE">
    <w:pPr>
      <w:spacing w:before="60" w:after="60"/>
      <w:ind w:right="-1333"/>
      <w:jc w:val="both"/>
      <w:rPr>
        <w:sz w:val="22"/>
        <w:szCs w:val="22"/>
        <w:lang w:val="lv-LV"/>
      </w:rPr>
    </w:pPr>
    <w:r>
      <w:rPr>
        <w:sz w:val="22"/>
        <w:szCs w:val="22"/>
      </w:rPr>
      <w:fldChar w:fldCharType="begin"/>
    </w:r>
    <w:r>
      <w:rPr>
        <w:sz w:val="22"/>
        <w:szCs w:val="22"/>
      </w:rPr>
      <w:instrText xml:space="preserve"> FILENAME </w:instrText>
    </w:r>
    <w:r>
      <w:rPr>
        <w:sz w:val="22"/>
        <w:szCs w:val="22"/>
      </w:rPr>
      <w:fldChar w:fldCharType="separate"/>
    </w:r>
    <w:r w:rsidR="00A21F1F">
      <w:rPr>
        <w:noProof/>
        <w:sz w:val="22"/>
        <w:szCs w:val="22"/>
      </w:rPr>
      <w:t>FMAnot_220812_uzskaite.docx</w:t>
    </w:r>
    <w:r>
      <w:rPr>
        <w:sz w:val="22"/>
        <w:szCs w:val="22"/>
      </w:rPr>
      <w:fldChar w:fldCharType="end"/>
    </w:r>
    <w:r>
      <w:rPr>
        <w:sz w:val="22"/>
        <w:szCs w:val="22"/>
      </w:rPr>
      <w:t xml:space="preserve">; </w:t>
    </w:r>
    <w:r>
      <w:rPr>
        <w:sz w:val="22"/>
        <w:szCs w:val="22"/>
        <w:lang w:val="lv-LV"/>
      </w:rPr>
      <w:t>Ministru kabineta noteikumu projekta “Grozījumi Ministru kabineta 2009. gada 15. decembra noteikumos Nr. 1486 “Kārtība, kādā budžeta iestādes kārto grāmatvedības uzskaiti””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27" w:rsidRDefault="00CD5927" w:rsidP="00091BAE">
    <w:pPr>
      <w:spacing w:before="60" w:after="60"/>
      <w:ind w:right="-1333"/>
      <w:jc w:val="both"/>
      <w:rPr>
        <w:sz w:val="22"/>
        <w:szCs w:val="22"/>
        <w:lang w:val="lv-LV"/>
      </w:rPr>
    </w:pPr>
    <w:r>
      <w:rPr>
        <w:sz w:val="22"/>
        <w:szCs w:val="22"/>
      </w:rPr>
      <w:fldChar w:fldCharType="begin"/>
    </w:r>
    <w:r>
      <w:rPr>
        <w:sz w:val="22"/>
        <w:szCs w:val="22"/>
      </w:rPr>
      <w:instrText xml:space="preserve"> FILENAME </w:instrText>
    </w:r>
    <w:r>
      <w:rPr>
        <w:sz w:val="22"/>
        <w:szCs w:val="22"/>
      </w:rPr>
      <w:fldChar w:fldCharType="separate"/>
    </w:r>
    <w:r w:rsidR="00A21F1F">
      <w:rPr>
        <w:noProof/>
        <w:sz w:val="22"/>
        <w:szCs w:val="22"/>
      </w:rPr>
      <w:t>FMAnot_220812_uzskaite.docx</w:t>
    </w:r>
    <w:r>
      <w:rPr>
        <w:sz w:val="22"/>
        <w:szCs w:val="22"/>
      </w:rPr>
      <w:fldChar w:fldCharType="end"/>
    </w:r>
    <w:r>
      <w:rPr>
        <w:sz w:val="22"/>
        <w:szCs w:val="22"/>
      </w:rPr>
      <w:t xml:space="preserve">; </w:t>
    </w:r>
    <w:r>
      <w:rPr>
        <w:sz w:val="22"/>
        <w:szCs w:val="22"/>
        <w:lang w:val="lv-LV"/>
      </w:rPr>
      <w:t>Ministru kabineta noteikumu projekta “Grozījumi Ministru kabineta 2009. gada 15. decembra noteikumos Nr. 1486 “Kārtība, kādā budžeta iestādes kārto grāmatvedības uzskaiti””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A84" w:rsidRDefault="00520A84">
      <w:r>
        <w:separator/>
      </w:r>
    </w:p>
  </w:footnote>
  <w:footnote w:type="continuationSeparator" w:id="0">
    <w:p w:rsidR="00520A84" w:rsidRDefault="00520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27" w:rsidRDefault="00CD592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22AF">
      <w:rPr>
        <w:rStyle w:val="PageNumber"/>
        <w:noProof/>
      </w:rPr>
      <w:t>4</w:t>
    </w:r>
    <w:r>
      <w:rPr>
        <w:rStyle w:val="PageNumber"/>
      </w:rPr>
      <w:fldChar w:fldCharType="end"/>
    </w:r>
  </w:p>
  <w:p w:rsidR="00CD5927" w:rsidRDefault="00CD5927">
    <w:pPr>
      <w:pStyle w:val="Header"/>
    </w:pPr>
  </w:p>
  <w:p w:rsidR="00CD5927" w:rsidRDefault="00CD5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6555C"/>
    <w:multiLevelType w:val="hybridMultilevel"/>
    <w:tmpl w:val="573AA8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F551704"/>
    <w:multiLevelType w:val="hybridMultilevel"/>
    <w:tmpl w:val="5BD8C3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3E15D53"/>
    <w:multiLevelType w:val="hybridMultilevel"/>
    <w:tmpl w:val="F6326354"/>
    <w:lvl w:ilvl="0" w:tplc="04260001">
      <w:start w:val="1"/>
      <w:numFmt w:val="bullet"/>
      <w:lvlText w:val=""/>
      <w:lvlJc w:val="left"/>
      <w:pPr>
        <w:ind w:left="1151" w:hanging="360"/>
      </w:pPr>
      <w:rPr>
        <w:rFonts w:ascii="Symbol" w:hAnsi="Symbol" w:hint="default"/>
      </w:rPr>
    </w:lvl>
    <w:lvl w:ilvl="1" w:tplc="04260003" w:tentative="1">
      <w:start w:val="1"/>
      <w:numFmt w:val="bullet"/>
      <w:lvlText w:val="o"/>
      <w:lvlJc w:val="left"/>
      <w:pPr>
        <w:ind w:left="1871" w:hanging="360"/>
      </w:pPr>
      <w:rPr>
        <w:rFonts w:ascii="Courier New" w:hAnsi="Courier New" w:cs="Courier New" w:hint="default"/>
      </w:rPr>
    </w:lvl>
    <w:lvl w:ilvl="2" w:tplc="04260005" w:tentative="1">
      <w:start w:val="1"/>
      <w:numFmt w:val="bullet"/>
      <w:lvlText w:val=""/>
      <w:lvlJc w:val="left"/>
      <w:pPr>
        <w:ind w:left="2591" w:hanging="360"/>
      </w:pPr>
      <w:rPr>
        <w:rFonts w:ascii="Wingdings" w:hAnsi="Wingdings" w:hint="default"/>
      </w:rPr>
    </w:lvl>
    <w:lvl w:ilvl="3" w:tplc="04260001" w:tentative="1">
      <w:start w:val="1"/>
      <w:numFmt w:val="bullet"/>
      <w:lvlText w:val=""/>
      <w:lvlJc w:val="left"/>
      <w:pPr>
        <w:ind w:left="3311" w:hanging="360"/>
      </w:pPr>
      <w:rPr>
        <w:rFonts w:ascii="Symbol" w:hAnsi="Symbol" w:hint="default"/>
      </w:rPr>
    </w:lvl>
    <w:lvl w:ilvl="4" w:tplc="04260003" w:tentative="1">
      <w:start w:val="1"/>
      <w:numFmt w:val="bullet"/>
      <w:lvlText w:val="o"/>
      <w:lvlJc w:val="left"/>
      <w:pPr>
        <w:ind w:left="4031" w:hanging="360"/>
      </w:pPr>
      <w:rPr>
        <w:rFonts w:ascii="Courier New" w:hAnsi="Courier New" w:cs="Courier New" w:hint="default"/>
      </w:rPr>
    </w:lvl>
    <w:lvl w:ilvl="5" w:tplc="04260005" w:tentative="1">
      <w:start w:val="1"/>
      <w:numFmt w:val="bullet"/>
      <w:lvlText w:val=""/>
      <w:lvlJc w:val="left"/>
      <w:pPr>
        <w:ind w:left="4751" w:hanging="360"/>
      </w:pPr>
      <w:rPr>
        <w:rFonts w:ascii="Wingdings" w:hAnsi="Wingdings" w:hint="default"/>
      </w:rPr>
    </w:lvl>
    <w:lvl w:ilvl="6" w:tplc="04260001" w:tentative="1">
      <w:start w:val="1"/>
      <w:numFmt w:val="bullet"/>
      <w:lvlText w:val=""/>
      <w:lvlJc w:val="left"/>
      <w:pPr>
        <w:ind w:left="5471" w:hanging="360"/>
      </w:pPr>
      <w:rPr>
        <w:rFonts w:ascii="Symbol" w:hAnsi="Symbol" w:hint="default"/>
      </w:rPr>
    </w:lvl>
    <w:lvl w:ilvl="7" w:tplc="04260003" w:tentative="1">
      <w:start w:val="1"/>
      <w:numFmt w:val="bullet"/>
      <w:lvlText w:val="o"/>
      <w:lvlJc w:val="left"/>
      <w:pPr>
        <w:ind w:left="6191" w:hanging="360"/>
      </w:pPr>
      <w:rPr>
        <w:rFonts w:ascii="Courier New" w:hAnsi="Courier New" w:cs="Courier New" w:hint="default"/>
      </w:rPr>
    </w:lvl>
    <w:lvl w:ilvl="8" w:tplc="04260005" w:tentative="1">
      <w:start w:val="1"/>
      <w:numFmt w:val="bullet"/>
      <w:lvlText w:val=""/>
      <w:lvlJc w:val="left"/>
      <w:pPr>
        <w:ind w:left="691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F7E"/>
    <w:rsid w:val="00033E33"/>
    <w:rsid w:val="00063831"/>
    <w:rsid w:val="00091BAE"/>
    <w:rsid w:val="00170C92"/>
    <w:rsid w:val="0021346B"/>
    <w:rsid w:val="00237471"/>
    <w:rsid w:val="00271B8A"/>
    <w:rsid w:val="00272183"/>
    <w:rsid w:val="002A22AF"/>
    <w:rsid w:val="002A39D1"/>
    <w:rsid w:val="002E2C3D"/>
    <w:rsid w:val="002E2ECD"/>
    <w:rsid w:val="0031212A"/>
    <w:rsid w:val="003F5459"/>
    <w:rsid w:val="004A23F7"/>
    <w:rsid w:val="004A7D68"/>
    <w:rsid w:val="004D3C6B"/>
    <w:rsid w:val="004D4A04"/>
    <w:rsid w:val="004F3ED1"/>
    <w:rsid w:val="00520A84"/>
    <w:rsid w:val="00533F7E"/>
    <w:rsid w:val="00537286"/>
    <w:rsid w:val="006513BD"/>
    <w:rsid w:val="00655870"/>
    <w:rsid w:val="006853DE"/>
    <w:rsid w:val="006E777E"/>
    <w:rsid w:val="007A2705"/>
    <w:rsid w:val="007A4291"/>
    <w:rsid w:val="007D1685"/>
    <w:rsid w:val="00802BF4"/>
    <w:rsid w:val="00847452"/>
    <w:rsid w:val="008557A9"/>
    <w:rsid w:val="008766F2"/>
    <w:rsid w:val="008A1D11"/>
    <w:rsid w:val="008C0DC4"/>
    <w:rsid w:val="008D1D6C"/>
    <w:rsid w:val="008E0217"/>
    <w:rsid w:val="00966E68"/>
    <w:rsid w:val="00984493"/>
    <w:rsid w:val="00995238"/>
    <w:rsid w:val="00A21F1F"/>
    <w:rsid w:val="00A57658"/>
    <w:rsid w:val="00A72207"/>
    <w:rsid w:val="00A76D60"/>
    <w:rsid w:val="00A84322"/>
    <w:rsid w:val="00AB7890"/>
    <w:rsid w:val="00AC46E2"/>
    <w:rsid w:val="00AC7B9C"/>
    <w:rsid w:val="00AF13A9"/>
    <w:rsid w:val="00AF5AA2"/>
    <w:rsid w:val="00B407C8"/>
    <w:rsid w:val="00BB70ED"/>
    <w:rsid w:val="00BE143A"/>
    <w:rsid w:val="00C34230"/>
    <w:rsid w:val="00C84625"/>
    <w:rsid w:val="00CD0F64"/>
    <w:rsid w:val="00CD5927"/>
    <w:rsid w:val="00CF5F2D"/>
    <w:rsid w:val="00D73DD9"/>
    <w:rsid w:val="00DA1D1D"/>
    <w:rsid w:val="00DD54D9"/>
    <w:rsid w:val="00E66B0F"/>
    <w:rsid w:val="00F50640"/>
    <w:rsid w:val="00F62FCF"/>
    <w:rsid w:val="00F67003"/>
    <w:rsid w:val="00F72056"/>
    <w:rsid w:val="00F73E0E"/>
    <w:rsid w:val="00FC7A54"/>
    <w:rsid w:val="00FD28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40"/>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75" w:after="75"/>
      <w:ind w:firstLine="375"/>
      <w:jc w:val="both"/>
    </w:pPr>
    <w:rPr>
      <w:lang w:val="en-US"/>
    </w:rPr>
  </w:style>
  <w:style w:type="paragraph" w:styleId="BodyText">
    <w:name w:val="Body Text"/>
    <w:basedOn w:val="Normal"/>
    <w:semiHidden/>
    <w:pPr>
      <w:jc w:val="center"/>
    </w:pPr>
    <w:rPr>
      <w:b/>
      <w:bCs/>
      <w:sz w:val="28"/>
      <w:szCs w:val="28"/>
      <w:lang w:val="lv-LV"/>
    </w:rPr>
  </w:style>
  <w:style w:type="paragraph" w:styleId="BodyTextIndent">
    <w:name w:val="Body Text Indent"/>
    <w:basedOn w:val="Normal"/>
    <w:semiHidden/>
    <w:pPr>
      <w:spacing w:after="120"/>
      <w:jc w:val="both"/>
    </w:pPr>
    <w:rPr>
      <w:b/>
      <w:bCs/>
      <w:lang w:val="lv-LV"/>
    </w:rPr>
  </w:style>
  <w:style w:type="paragraph" w:styleId="NormalWeb">
    <w:name w:val="Normal (Web)"/>
    <w:basedOn w:val="Normal"/>
    <w:pPr>
      <w:spacing w:before="100" w:beforeAutospacing="1" w:after="100" w:afterAutospacing="1"/>
    </w:pPr>
    <w:rPr>
      <w:lang w:val="en-US"/>
    </w:rPr>
  </w:style>
  <w:style w:type="character" w:styleId="PageNumber">
    <w:name w:val="page number"/>
    <w:basedOn w:val="DefaultParagraphFont"/>
    <w:semiHidden/>
    <w:rPr>
      <w:rFonts w:ascii="Times New Roman" w:hAnsi="Times New Roman" w:cs="Times New Roman"/>
    </w:rPr>
  </w:style>
  <w:style w:type="paragraph" w:styleId="Header">
    <w:name w:val="header"/>
    <w:basedOn w:val="Normal"/>
    <w:semiHidden/>
    <w:pPr>
      <w:tabs>
        <w:tab w:val="center" w:pos="4153"/>
        <w:tab w:val="right" w:pos="8306"/>
      </w:tabs>
    </w:pPr>
    <w:rPr>
      <w:lang w:val="lv-LV"/>
    </w:rPr>
  </w:style>
  <w:style w:type="paragraph" w:styleId="BodyTextIndent2">
    <w:name w:val="Body Text Indent 2"/>
    <w:basedOn w:val="Normal"/>
    <w:semiHidden/>
    <w:pPr>
      <w:spacing w:after="120"/>
      <w:ind w:firstLine="431"/>
      <w:jc w:val="both"/>
    </w:pPr>
    <w:rPr>
      <w:lang w:val="lv-LV"/>
    </w:rPr>
  </w:style>
  <w:style w:type="paragraph" w:styleId="BodyTextIndent3">
    <w:name w:val="Body Text Indent 3"/>
    <w:basedOn w:val="Normal"/>
    <w:semiHidden/>
    <w:pPr>
      <w:spacing w:after="120"/>
      <w:ind w:firstLine="431"/>
      <w:jc w:val="both"/>
    </w:pPr>
    <w:rPr>
      <w:b/>
      <w:bCs/>
      <w:lang w:val="lv-LV"/>
    </w:rPr>
  </w:style>
  <w:style w:type="paragraph" w:styleId="Footer">
    <w:name w:val="footer"/>
    <w:basedOn w:val="Normal"/>
    <w:semiHidden/>
    <w:pPr>
      <w:tabs>
        <w:tab w:val="center" w:pos="4153"/>
        <w:tab w:val="right" w:pos="8306"/>
      </w:tabs>
    </w:pPr>
  </w:style>
  <w:style w:type="paragraph" w:styleId="BodyText2">
    <w:name w:val="Body Text 2"/>
    <w:basedOn w:val="Normal"/>
    <w:semiHidden/>
    <w:pPr>
      <w:ind w:right="-857"/>
    </w:pPr>
    <w:rPr>
      <w:sz w:val="28"/>
      <w:szCs w:val="16"/>
    </w:rPr>
  </w:style>
  <w:style w:type="paragraph" w:styleId="BalloonText">
    <w:name w:val="Balloon Text"/>
    <w:basedOn w:val="Normal"/>
    <w:link w:val="BalloonTextChar"/>
    <w:uiPriority w:val="99"/>
    <w:semiHidden/>
    <w:unhideWhenUsed/>
    <w:rsid w:val="007A2705"/>
    <w:rPr>
      <w:rFonts w:ascii="Tahoma" w:hAnsi="Tahoma" w:cs="Tahoma"/>
      <w:sz w:val="16"/>
      <w:szCs w:val="16"/>
    </w:rPr>
  </w:style>
  <w:style w:type="character" w:customStyle="1" w:styleId="BalloonTextChar">
    <w:name w:val="Balloon Text Char"/>
    <w:basedOn w:val="DefaultParagraphFont"/>
    <w:link w:val="BalloonText"/>
    <w:uiPriority w:val="99"/>
    <w:semiHidden/>
    <w:rsid w:val="007A2705"/>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F62FCF"/>
    <w:rPr>
      <w:sz w:val="16"/>
      <w:szCs w:val="16"/>
    </w:rPr>
  </w:style>
  <w:style w:type="paragraph" w:styleId="CommentText">
    <w:name w:val="annotation text"/>
    <w:basedOn w:val="Normal"/>
    <w:link w:val="CommentTextChar"/>
    <w:uiPriority w:val="99"/>
    <w:semiHidden/>
    <w:unhideWhenUsed/>
    <w:rsid w:val="00F62FCF"/>
    <w:rPr>
      <w:sz w:val="20"/>
      <w:szCs w:val="20"/>
    </w:rPr>
  </w:style>
  <w:style w:type="character" w:customStyle="1" w:styleId="CommentTextChar">
    <w:name w:val="Comment Text Char"/>
    <w:basedOn w:val="DefaultParagraphFont"/>
    <w:link w:val="CommentText"/>
    <w:uiPriority w:val="99"/>
    <w:semiHidden/>
    <w:rsid w:val="00F62FCF"/>
    <w:rPr>
      <w:lang w:val="en-GB" w:eastAsia="en-US"/>
    </w:rPr>
  </w:style>
  <w:style w:type="paragraph" w:styleId="CommentSubject">
    <w:name w:val="annotation subject"/>
    <w:basedOn w:val="CommentText"/>
    <w:next w:val="CommentText"/>
    <w:link w:val="CommentSubjectChar"/>
    <w:uiPriority w:val="99"/>
    <w:semiHidden/>
    <w:unhideWhenUsed/>
    <w:rsid w:val="00F62FCF"/>
    <w:rPr>
      <w:b/>
      <w:bCs/>
    </w:rPr>
  </w:style>
  <w:style w:type="character" w:customStyle="1" w:styleId="CommentSubjectChar">
    <w:name w:val="Comment Subject Char"/>
    <w:basedOn w:val="CommentTextChar"/>
    <w:link w:val="CommentSubject"/>
    <w:uiPriority w:val="99"/>
    <w:semiHidden/>
    <w:rsid w:val="00F62FCF"/>
    <w:rPr>
      <w:b/>
      <w:bCs/>
      <w:lang w:val="en-GB" w:eastAsia="en-US"/>
    </w:rPr>
  </w:style>
  <w:style w:type="paragraph" w:styleId="ListParagraph">
    <w:name w:val="List Paragraph"/>
    <w:basedOn w:val="Normal"/>
    <w:uiPriority w:val="34"/>
    <w:qFormat/>
    <w:rsid w:val="002134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40"/>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75" w:after="75"/>
      <w:ind w:firstLine="375"/>
      <w:jc w:val="both"/>
    </w:pPr>
    <w:rPr>
      <w:lang w:val="en-US"/>
    </w:rPr>
  </w:style>
  <w:style w:type="paragraph" w:styleId="BodyText">
    <w:name w:val="Body Text"/>
    <w:basedOn w:val="Normal"/>
    <w:semiHidden/>
    <w:pPr>
      <w:jc w:val="center"/>
    </w:pPr>
    <w:rPr>
      <w:b/>
      <w:bCs/>
      <w:sz w:val="28"/>
      <w:szCs w:val="28"/>
      <w:lang w:val="lv-LV"/>
    </w:rPr>
  </w:style>
  <w:style w:type="paragraph" w:styleId="BodyTextIndent">
    <w:name w:val="Body Text Indent"/>
    <w:basedOn w:val="Normal"/>
    <w:semiHidden/>
    <w:pPr>
      <w:spacing w:after="120"/>
      <w:jc w:val="both"/>
    </w:pPr>
    <w:rPr>
      <w:b/>
      <w:bCs/>
      <w:lang w:val="lv-LV"/>
    </w:rPr>
  </w:style>
  <w:style w:type="paragraph" w:styleId="NormalWeb">
    <w:name w:val="Normal (Web)"/>
    <w:basedOn w:val="Normal"/>
    <w:pPr>
      <w:spacing w:before="100" w:beforeAutospacing="1" w:after="100" w:afterAutospacing="1"/>
    </w:pPr>
    <w:rPr>
      <w:lang w:val="en-US"/>
    </w:rPr>
  </w:style>
  <w:style w:type="character" w:styleId="PageNumber">
    <w:name w:val="page number"/>
    <w:basedOn w:val="DefaultParagraphFont"/>
    <w:semiHidden/>
    <w:rPr>
      <w:rFonts w:ascii="Times New Roman" w:hAnsi="Times New Roman" w:cs="Times New Roman"/>
    </w:rPr>
  </w:style>
  <w:style w:type="paragraph" w:styleId="Header">
    <w:name w:val="header"/>
    <w:basedOn w:val="Normal"/>
    <w:semiHidden/>
    <w:pPr>
      <w:tabs>
        <w:tab w:val="center" w:pos="4153"/>
        <w:tab w:val="right" w:pos="8306"/>
      </w:tabs>
    </w:pPr>
    <w:rPr>
      <w:lang w:val="lv-LV"/>
    </w:rPr>
  </w:style>
  <w:style w:type="paragraph" w:styleId="BodyTextIndent2">
    <w:name w:val="Body Text Indent 2"/>
    <w:basedOn w:val="Normal"/>
    <w:semiHidden/>
    <w:pPr>
      <w:spacing w:after="120"/>
      <w:ind w:firstLine="431"/>
      <w:jc w:val="both"/>
    </w:pPr>
    <w:rPr>
      <w:lang w:val="lv-LV"/>
    </w:rPr>
  </w:style>
  <w:style w:type="paragraph" w:styleId="BodyTextIndent3">
    <w:name w:val="Body Text Indent 3"/>
    <w:basedOn w:val="Normal"/>
    <w:semiHidden/>
    <w:pPr>
      <w:spacing w:after="120"/>
      <w:ind w:firstLine="431"/>
      <w:jc w:val="both"/>
    </w:pPr>
    <w:rPr>
      <w:b/>
      <w:bCs/>
      <w:lang w:val="lv-LV"/>
    </w:rPr>
  </w:style>
  <w:style w:type="paragraph" w:styleId="Footer">
    <w:name w:val="footer"/>
    <w:basedOn w:val="Normal"/>
    <w:semiHidden/>
    <w:pPr>
      <w:tabs>
        <w:tab w:val="center" w:pos="4153"/>
        <w:tab w:val="right" w:pos="8306"/>
      </w:tabs>
    </w:pPr>
  </w:style>
  <w:style w:type="paragraph" w:styleId="BodyText2">
    <w:name w:val="Body Text 2"/>
    <w:basedOn w:val="Normal"/>
    <w:semiHidden/>
    <w:pPr>
      <w:ind w:right="-857"/>
    </w:pPr>
    <w:rPr>
      <w:sz w:val="28"/>
      <w:szCs w:val="16"/>
    </w:rPr>
  </w:style>
  <w:style w:type="paragraph" w:styleId="BalloonText">
    <w:name w:val="Balloon Text"/>
    <w:basedOn w:val="Normal"/>
    <w:link w:val="BalloonTextChar"/>
    <w:uiPriority w:val="99"/>
    <w:semiHidden/>
    <w:unhideWhenUsed/>
    <w:rsid w:val="007A2705"/>
    <w:rPr>
      <w:rFonts w:ascii="Tahoma" w:hAnsi="Tahoma" w:cs="Tahoma"/>
      <w:sz w:val="16"/>
      <w:szCs w:val="16"/>
    </w:rPr>
  </w:style>
  <w:style w:type="character" w:customStyle="1" w:styleId="BalloonTextChar">
    <w:name w:val="Balloon Text Char"/>
    <w:basedOn w:val="DefaultParagraphFont"/>
    <w:link w:val="BalloonText"/>
    <w:uiPriority w:val="99"/>
    <w:semiHidden/>
    <w:rsid w:val="007A2705"/>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F62FCF"/>
    <w:rPr>
      <w:sz w:val="16"/>
      <w:szCs w:val="16"/>
    </w:rPr>
  </w:style>
  <w:style w:type="paragraph" w:styleId="CommentText">
    <w:name w:val="annotation text"/>
    <w:basedOn w:val="Normal"/>
    <w:link w:val="CommentTextChar"/>
    <w:uiPriority w:val="99"/>
    <w:semiHidden/>
    <w:unhideWhenUsed/>
    <w:rsid w:val="00F62FCF"/>
    <w:rPr>
      <w:sz w:val="20"/>
      <w:szCs w:val="20"/>
    </w:rPr>
  </w:style>
  <w:style w:type="character" w:customStyle="1" w:styleId="CommentTextChar">
    <w:name w:val="Comment Text Char"/>
    <w:basedOn w:val="DefaultParagraphFont"/>
    <w:link w:val="CommentText"/>
    <w:uiPriority w:val="99"/>
    <w:semiHidden/>
    <w:rsid w:val="00F62FCF"/>
    <w:rPr>
      <w:lang w:val="en-GB" w:eastAsia="en-US"/>
    </w:rPr>
  </w:style>
  <w:style w:type="paragraph" w:styleId="CommentSubject">
    <w:name w:val="annotation subject"/>
    <w:basedOn w:val="CommentText"/>
    <w:next w:val="CommentText"/>
    <w:link w:val="CommentSubjectChar"/>
    <w:uiPriority w:val="99"/>
    <w:semiHidden/>
    <w:unhideWhenUsed/>
    <w:rsid w:val="00F62FCF"/>
    <w:rPr>
      <w:b/>
      <w:bCs/>
    </w:rPr>
  </w:style>
  <w:style w:type="character" w:customStyle="1" w:styleId="CommentSubjectChar">
    <w:name w:val="Comment Subject Char"/>
    <w:basedOn w:val="CommentTextChar"/>
    <w:link w:val="CommentSubject"/>
    <w:uiPriority w:val="99"/>
    <w:semiHidden/>
    <w:rsid w:val="00F62FCF"/>
    <w:rPr>
      <w:b/>
      <w:bCs/>
      <w:lang w:val="en-GB" w:eastAsia="en-US"/>
    </w:rPr>
  </w:style>
  <w:style w:type="paragraph" w:styleId="ListParagraph">
    <w:name w:val="List Paragraph"/>
    <w:basedOn w:val="Normal"/>
    <w:uiPriority w:val="34"/>
    <w:qFormat/>
    <w:rsid w:val="00213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5975</Words>
  <Characters>3406</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 gada 15. decembra noteikumos Nr. 1486 “Kārtība, kādā budžeta iestādes kārto grāmatvedības uzskaiti”” sākotnējās ietekmes novērtējuma ziņojums (anotācija)</vt:lpstr>
    </vt:vector>
  </TitlesOfParts>
  <Manager>Valsts kases Pārskatu departamenta direktore Ligita Agleniece</Manager>
  <Company>Valsts kase</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15. decembra noteikumos Nr. 1486 “Kārtība, kādā budžeta iestādes kārto grāmatvedības uzskaiti”” sākotnējās ietekmes novērtējuma ziņojums (anotācija)</dc:title>
  <dc:subject>Anotācija</dc:subject>
  <dc:creator>Valsts kases Pārskatu departamenta vecākā eksperte Inese Sirbu</dc:creator>
  <cp:keywords/>
  <dc:description>67094257; inese.sirbu@kase.gov.lv</dc:description>
  <cp:lastModifiedBy>Windows User</cp:lastModifiedBy>
  <cp:revision>7</cp:revision>
  <cp:lastPrinted>2012-05-14T11:38:00Z</cp:lastPrinted>
  <dcterms:created xsi:type="dcterms:W3CDTF">2012-07-06T08:22:00Z</dcterms:created>
  <dcterms:modified xsi:type="dcterms:W3CDTF">2012-08-31T12:05:00Z</dcterms:modified>
</cp:coreProperties>
</file>