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59" w:rsidRPr="00391E8A" w:rsidRDefault="00622F59" w:rsidP="00E44645">
      <w:pPr>
        <w:pStyle w:val="Footer"/>
        <w:jc w:val="center"/>
        <w:rPr>
          <w:b/>
          <w:sz w:val="28"/>
          <w:szCs w:val="28"/>
        </w:rPr>
      </w:pPr>
      <w:r w:rsidRPr="00391E8A">
        <w:rPr>
          <w:b/>
          <w:sz w:val="28"/>
          <w:szCs w:val="28"/>
        </w:rPr>
        <w:t xml:space="preserve">Likumprojekta </w:t>
      </w:r>
    </w:p>
    <w:p w:rsidR="00622F59" w:rsidRPr="00391E8A" w:rsidRDefault="00622F59" w:rsidP="00E44645">
      <w:pPr>
        <w:jc w:val="center"/>
        <w:rPr>
          <w:color w:val="000000"/>
          <w:sz w:val="28"/>
          <w:szCs w:val="28"/>
          <w:lang w:eastAsia="lv-LV"/>
        </w:rPr>
      </w:pPr>
      <w:r w:rsidRPr="00391E8A">
        <w:rPr>
          <w:b/>
          <w:sz w:val="28"/>
          <w:szCs w:val="28"/>
        </w:rPr>
        <w:t xml:space="preserve">"Grozījumi Maksājumu pakalpojumu un elektroniskās naudas likumā" </w:t>
      </w:r>
    </w:p>
    <w:p w:rsidR="00622F59" w:rsidRPr="00391E8A" w:rsidRDefault="00622F59" w:rsidP="00E44645">
      <w:pPr>
        <w:pStyle w:val="Footer"/>
        <w:jc w:val="center"/>
        <w:rPr>
          <w:b/>
          <w:bCs/>
          <w:sz w:val="28"/>
          <w:szCs w:val="28"/>
        </w:rPr>
      </w:pPr>
      <w:r w:rsidRPr="00391E8A">
        <w:rPr>
          <w:b/>
          <w:bCs/>
          <w:sz w:val="28"/>
          <w:szCs w:val="28"/>
        </w:rPr>
        <w:t>sākotnējās ietekmes novērtējuma ziņojums</w:t>
      </w:r>
    </w:p>
    <w:p w:rsidR="00622F59" w:rsidRPr="00391E8A" w:rsidRDefault="00622F59" w:rsidP="00E44645">
      <w:pPr>
        <w:pStyle w:val="Footer"/>
        <w:jc w:val="center"/>
        <w:rPr>
          <w:b/>
          <w:bCs/>
          <w:sz w:val="28"/>
          <w:szCs w:val="28"/>
        </w:rPr>
      </w:pPr>
      <w:r w:rsidRPr="00391E8A">
        <w:rPr>
          <w:b/>
          <w:bCs/>
          <w:sz w:val="28"/>
          <w:szCs w:val="28"/>
        </w:rPr>
        <w:t>(anotācija)</w:t>
      </w:r>
    </w:p>
    <w:p w:rsidR="00622F59" w:rsidRPr="00391E8A" w:rsidRDefault="00622F59" w:rsidP="00E44645">
      <w:pPr>
        <w:pStyle w:val="Footer"/>
        <w:jc w:val="center"/>
        <w:rPr>
          <w:b/>
        </w:rPr>
      </w:pPr>
    </w:p>
    <w:tbl>
      <w:tblPr>
        <w:tblW w:w="960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40"/>
        <w:gridCol w:w="1887"/>
        <w:gridCol w:w="7376"/>
      </w:tblGrid>
      <w:tr w:rsidR="00622F59" w:rsidRPr="00391E8A" w:rsidTr="001F1F16">
        <w:trPr>
          <w:trHeight w:val="144"/>
        </w:trPr>
        <w:tc>
          <w:tcPr>
            <w:tcW w:w="9603" w:type="dxa"/>
            <w:gridSpan w:val="3"/>
            <w:vAlign w:val="center"/>
          </w:tcPr>
          <w:p w:rsidR="00622F59" w:rsidRPr="00391E8A" w:rsidRDefault="00622F59" w:rsidP="00E44645">
            <w:pPr>
              <w:snapToGrid w:val="0"/>
              <w:jc w:val="center"/>
              <w:rPr>
                <w:b/>
                <w:bCs/>
                <w:color w:val="000000"/>
              </w:rPr>
            </w:pPr>
            <w:r>
              <w:rPr>
                <w:b/>
                <w:bCs/>
                <w:color w:val="000000"/>
              </w:rPr>
              <w:t xml:space="preserve">I. </w:t>
            </w:r>
            <w:r w:rsidRPr="00391E8A">
              <w:rPr>
                <w:b/>
                <w:bCs/>
                <w:color w:val="000000"/>
              </w:rPr>
              <w:t>Tiesību akta projekta izstrādes nepieciešamība</w:t>
            </w:r>
          </w:p>
        </w:tc>
      </w:tr>
      <w:tr w:rsidR="00622F59" w:rsidRPr="00391E8A" w:rsidTr="00FA5912">
        <w:trPr>
          <w:trHeight w:val="1596"/>
        </w:trPr>
        <w:tc>
          <w:tcPr>
            <w:tcW w:w="340" w:type="dxa"/>
          </w:tcPr>
          <w:p w:rsidR="00622F59" w:rsidRPr="00391E8A" w:rsidRDefault="00622F59" w:rsidP="00E44645">
            <w:pPr>
              <w:snapToGrid w:val="0"/>
              <w:jc w:val="both"/>
              <w:rPr>
                <w:color w:val="000000"/>
              </w:rPr>
            </w:pPr>
            <w:r w:rsidRPr="00391E8A">
              <w:rPr>
                <w:color w:val="000000"/>
              </w:rPr>
              <w:t>1.</w:t>
            </w:r>
          </w:p>
        </w:tc>
        <w:tc>
          <w:tcPr>
            <w:tcW w:w="1887" w:type="dxa"/>
          </w:tcPr>
          <w:p w:rsidR="00622F59" w:rsidRPr="00391E8A" w:rsidRDefault="00622F59" w:rsidP="00E44645">
            <w:pPr>
              <w:snapToGrid w:val="0"/>
              <w:jc w:val="both"/>
              <w:rPr>
                <w:color w:val="000000"/>
              </w:rPr>
            </w:pPr>
            <w:r w:rsidRPr="000125A9">
              <w:rPr>
                <w:color w:val="000000"/>
              </w:rPr>
              <w:t>Pamatojums</w:t>
            </w:r>
          </w:p>
        </w:tc>
        <w:tc>
          <w:tcPr>
            <w:tcW w:w="7376" w:type="dxa"/>
          </w:tcPr>
          <w:p w:rsidR="00622F59" w:rsidRPr="000125A9" w:rsidRDefault="00622F59" w:rsidP="00D60A6A">
            <w:pPr>
              <w:autoSpaceDE w:val="0"/>
              <w:autoSpaceDN w:val="0"/>
              <w:adjustRightInd w:val="0"/>
              <w:jc w:val="both"/>
            </w:pPr>
            <w:r>
              <w:t xml:space="preserve">Ņemot vērā līdzšinējo maksājumu pakalpojumu un elektroniskās naudas iestādes </w:t>
            </w:r>
            <w:r w:rsidR="00253C1D">
              <w:t>praktisko darbību</w:t>
            </w:r>
            <w:r>
              <w:t>, kā arī uzraudzības procesā</w:t>
            </w:r>
            <w:r w:rsidR="00253C1D">
              <w:t xml:space="preserve"> konstatētās nepilnības</w:t>
            </w:r>
            <w:r>
              <w:t>,</w:t>
            </w:r>
            <w:r w:rsidRPr="003E1A08">
              <w:t xml:space="preserve"> ir </w:t>
            </w:r>
            <w:r>
              <w:t>jā</w:t>
            </w:r>
            <w:r w:rsidRPr="003E1A08">
              <w:t>vei</w:t>
            </w:r>
            <w:r>
              <w:t>c</w:t>
            </w:r>
            <w:r w:rsidRPr="003E1A08">
              <w:t xml:space="preserve"> grozījum</w:t>
            </w:r>
            <w:r>
              <w:t>i</w:t>
            </w:r>
            <w:r w:rsidRPr="003E1A08">
              <w:t xml:space="preserve"> Maksājumu pakalpojumu un elektroniskās naudas likum</w:t>
            </w:r>
            <w:r>
              <w:t>ā</w:t>
            </w:r>
            <w:r w:rsidRPr="003E1A08">
              <w:t xml:space="preserve"> (turpmāk</w:t>
            </w:r>
            <w:r>
              <w:t xml:space="preserve"> </w:t>
            </w:r>
            <w:r w:rsidRPr="003E1A08">
              <w:t>– Likums), l</w:t>
            </w:r>
            <w:r w:rsidRPr="003E1A08">
              <w:rPr>
                <w:color w:val="000000"/>
              </w:rPr>
              <w:t>ai pilnveidotu un uzlabotu uzraudzības prasības</w:t>
            </w:r>
            <w:r w:rsidRPr="003E1A08">
              <w:rPr>
                <w:bCs/>
                <w:color w:val="000000"/>
                <w:lang w:eastAsia="en-US"/>
              </w:rPr>
              <w:t>, kā arī l</w:t>
            </w:r>
            <w:r w:rsidRPr="003E1A08">
              <w:t xml:space="preserve">ikumprojektā </w:t>
            </w:r>
            <w:r>
              <w:t>jā</w:t>
            </w:r>
            <w:r w:rsidRPr="003E1A08">
              <w:t>izstrādā prasības</w:t>
            </w:r>
            <w:r w:rsidR="001411F9">
              <w:t xml:space="preserve"> par pašu kapitāla aprēķināšanu</w:t>
            </w:r>
            <w:r w:rsidRPr="003E1A08">
              <w:t xml:space="preserve">, kas izriet no </w:t>
            </w:r>
            <w:r w:rsidRPr="003E1A08">
              <w:rPr>
                <w:rStyle w:val="Strong"/>
                <w:b w:val="0"/>
                <w:color w:val="000000"/>
                <w:shd w:val="clear" w:color="auto" w:fill="FFFFFF"/>
              </w:rPr>
              <w:t xml:space="preserve">Eiropas Parlamenta un Padomes Direktīvas 2007/64/EK par maksājumu pakalpojumiem iekšējā tirgū, ar ko groza Direktīvas 97/7/EK, 2002/65/EK, 2005/60/EK un 2006/48/EK un atceļ Direktīvu 97/5/EK </w:t>
            </w:r>
            <w:r>
              <w:rPr>
                <w:rStyle w:val="Strong"/>
                <w:b w:val="0"/>
                <w:color w:val="000000"/>
                <w:shd w:val="clear" w:color="auto" w:fill="FFFFFF"/>
              </w:rPr>
              <w:t>– d</w:t>
            </w:r>
            <w:r w:rsidRPr="003E1A08">
              <w:rPr>
                <w:rStyle w:val="Strong"/>
                <w:b w:val="0"/>
                <w:color w:val="000000"/>
                <w:shd w:val="clear" w:color="auto" w:fill="FFFFFF"/>
              </w:rPr>
              <w:t xml:space="preserve">okuments attiecas uz EEZ (turpmāk – Direktīva 2007/64/EK) un </w:t>
            </w:r>
            <w:r w:rsidR="00BB0A2F">
              <w:rPr>
                <w:color w:val="000000"/>
              </w:rPr>
              <w:t>Likuma</w:t>
            </w:r>
            <w:r w:rsidRPr="003E1A08">
              <w:rPr>
                <w:color w:val="000000"/>
              </w:rPr>
              <w:t xml:space="preserve"> regulējuma pielāgošan</w:t>
            </w:r>
            <w:r>
              <w:rPr>
                <w:color w:val="000000"/>
              </w:rPr>
              <w:t>u</w:t>
            </w:r>
            <w:r w:rsidR="00BB0A2F">
              <w:rPr>
                <w:color w:val="000000"/>
              </w:rPr>
              <w:t xml:space="preserve"> </w:t>
            </w:r>
            <w:r w:rsidR="00D60A6A">
              <w:rPr>
                <w:color w:val="000000"/>
              </w:rPr>
              <w:t>saistībā ar</w:t>
            </w:r>
            <w:r w:rsidR="00BB0A2F">
              <w:rPr>
                <w:color w:val="000000"/>
              </w:rPr>
              <w:t xml:space="preserve"> licencētas</w:t>
            </w:r>
            <w:r w:rsidR="00BB0A2F" w:rsidRPr="00373EBD">
              <w:rPr>
                <w:color w:val="000000"/>
              </w:rPr>
              <w:t xml:space="preserve"> </w:t>
            </w:r>
            <w:r w:rsidR="00BB0A2F">
              <w:rPr>
                <w:color w:val="000000"/>
              </w:rPr>
              <w:t>iestādes sākotnēj</w:t>
            </w:r>
            <w:r w:rsidR="00D60A6A">
              <w:rPr>
                <w:color w:val="000000"/>
              </w:rPr>
              <w:t>o</w:t>
            </w:r>
            <w:r w:rsidR="00BB0A2F" w:rsidRPr="00373EBD">
              <w:rPr>
                <w:color w:val="000000"/>
              </w:rPr>
              <w:t xml:space="preserve"> kapitālu</w:t>
            </w:r>
            <w:r w:rsidR="00D60A6A">
              <w:rPr>
                <w:color w:val="000000"/>
              </w:rPr>
              <w:t>,</w:t>
            </w:r>
            <w:r w:rsidR="00BB0A2F" w:rsidRPr="00373EBD">
              <w:rPr>
                <w:color w:val="000000"/>
              </w:rPr>
              <w:t xml:space="preserve"> pašu kapitāl</w:t>
            </w:r>
            <w:r w:rsidR="00D60A6A">
              <w:rPr>
                <w:color w:val="000000"/>
              </w:rPr>
              <w:t>u</w:t>
            </w:r>
            <w:r w:rsidR="00BB0A2F">
              <w:rPr>
                <w:color w:val="000000"/>
              </w:rPr>
              <w:t xml:space="preserve"> un tā aprēķināšanas kārtību, ko turpmāk noteiks</w:t>
            </w:r>
            <w:r w:rsidRPr="003E1A08">
              <w:rPr>
                <w:color w:val="000000"/>
              </w:rPr>
              <w:t xml:space="preserve"> </w:t>
            </w:r>
            <w:r w:rsidRPr="003E1A08">
              <w:rPr>
                <w:bCs/>
                <w:color w:val="000000"/>
              </w:rPr>
              <w:t xml:space="preserve">Eiropas Parlamenta un Padomes 2013. gada 26. jūnija Regula (ES) Nr. 575/2013 par </w:t>
            </w:r>
            <w:proofErr w:type="spellStart"/>
            <w:r w:rsidRPr="003E1A08">
              <w:rPr>
                <w:bCs/>
                <w:color w:val="000000"/>
              </w:rPr>
              <w:t>prudenciālajām</w:t>
            </w:r>
            <w:proofErr w:type="spellEnd"/>
            <w:r w:rsidRPr="003E1A08">
              <w:rPr>
                <w:bCs/>
                <w:color w:val="000000"/>
              </w:rPr>
              <w:t xml:space="preserve"> prasībām attiecībā uz kredītiestādēm un ieguldījumu brokeru sabiedrībām</w:t>
            </w:r>
            <w:r>
              <w:rPr>
                <w:bCs/>
                <w:color w:val="000000"/>
              </w:rPr>
              <w:t xml:space="preserve"> </w:t>
            </w:r>
            <w:r>
              <w:rPr>
                <w:bCs/>
                <w:color w:val="000000"/>
              </w:rPr>
              <w:softHyphen/>
              <w:t>–</w:t>
            </w:r>
            <w:r w:rsidRPr="003E1A08">
              <w:rPr>
                <w:bCs/>
                <w:color w:val="000000"/>
              </w:rPr>
              <w:t xml:space="preserve"> un ar ko groza Regulu (ES) Nr. 648/2012</w:t>
            </w:r>
            <w:r>
              <w:rPr>
                <w:bCs/>
                <w:color w:val="000000"/>
              </w:rPr>
              <w:t xml:space="preserve"> (turpmāk – </w:t>
            </w:r>
            <w:r w:rsidRPr="003E1A08">
              <w:rPr>
                <w:bCs/>
                <w:color w:val="000000"/>
              </w:rPr>
              <w:t>Regula</w:t>
            </w:r>
            <w:r>
              <w:rPr>
                <w:bCs/>
                <w:color w:val="000000"/>
              </w:rPr>
              <w:t xml:space="preserve"> </w:t>
            </w:r>
            <w:r w:rsidRPr="003E1A08">
              <w:rPr>
                <w:bCs/>
                <w:color w:val="000000"/>
              </w:rPr>
              <w:t>Nr. 575/2013</w:t>
            </w:r>
            <w:r>
              <w:rPr>
                <w:bCs/>
                <w:color w:val="000000"/>
              </w:rPr>
              <w:t>)</w:t>
            </w:r>
            <w:r w:rsidRPr="003E1A08">
              <w:rPr>
                <w:bCs/>
                <w:color w:val="000000"/>
              </w:rPr>
              <w:t>.</w:t>
            </w:r>
          </w:p>
        </w:tc>
      </w:tr>
      <w:tr w:rsidR="00622F59" w:rsidRPr="00391E8A" w:rsidTr="00503EE8">
        <w:trPr>
          <w:trHeight w:val="938"/>
        </w:trPr>
        <w:tc>
          <w:tcPr>
            <w:tcW w:w="340" w:type="dxa"/>
          </w:tcPr>
          <w:p w:rsidR="00622F59" w:rsidRPr="00391E8A" w:rsidRDefault="00622F59" w:rsidP="00E44645">
            <w:pPr>
              <w:snapToGrid w:val="0"/>
              <w:jc w:val="both"/>
              <w:rPr>
                <w:color w:val="000000"/>
              </w:rPr>
            </w:pPr>
            <w:r w:rsidRPr="00391E8A">
              <w:rPr>
                <w:color w:val="000000"/>
              </w:rPr>
              <w:t>2.</w:t>
            </w:r>
          </w:p>
        </w:tc>
        <w:tc>
          <w:tcPr>
            <w:tcW w:w="1887" w:type="dxa"/>
          </w:tcPr>
          <w:p w:rsidR="00622F59" w:rsidRPr="005205DC" w:rsidRDefault="00622F59" w:rsidP="00E44645">
            <w:pPr>
              <w:snapToGrid w:val="0"/>
              <w:rPr>
                <w:color w:val="000000"/>
                <w:highlight w:val="yellow"/>
              </w:rPr>
            </w:pPr>
            <w:r w:rsidRPr="000125A9">
              <w:rPr>
                <w:color w:val="000000"/>
              </w:rPr>
              <w:t>Pašreizējā situācija un problēmas</w:t>
            </w:r>
          </w:p>
        </w:tc>
        <w:tc>
          <w:tcPr>
            <w:tcW w:w="7376" w:type="dxa"/>
          </w:tcPr>
          <w:p w:rsidR="00622F59" w:rsidRDefault="00622F59" w:rsidP="00080B83">
            <w:pPr>
              <w:suppressAutoHyphens w:val="0"/>
              <w:autoSpaceDE w:val="0"/>
              <w:autoSpaceDN w:val="0"/>
              <w:adjustRightInd w:val="0"/>
              <w:jc w:val="both"/>
              <w:rPr>
                <w:color w:val="000000"/>
                <w:lang w:eastAsia="en-US"/>
              </w:rPr>
            </w:pPr>
            <w:r w:rsidRPr="002C0523">
              <w:rPr>
                <w:color w:val="000000"/>
                <w:lang w:eastAsia="en-US"/>
              </w:rPr>
              <w:t xml:space="preserve">Maksājumu pakalpojumu un elektroniskās naudas iestādēm, kurām nav nepieciešama licence </w:t>
            </w:r>
            <w:r w:rsidR="00BC71C7">
              <w:rPr>
                <w:color w:val="000000"/>
                <w:lang w:eastAsia="en-US"/>
              </w:rPr>
              <w:t>un kura savu darbību ir tiesīga uzsākt pēc reģistrācijas Komisija uzturētā reģistrā</w:t>
            </w:r>
            <w:r w:rsidRPr="002C0523">
              <w:rPr>
                <w:color w:val="000000"/>
                <w:lang w:eastAsia="en-US"/>
              </w:rPr>
              <w:t>, Likums paredz atvieglotu reģistrācij</w:t>
            </w:r>
            <w:r>
              <w:rPr>
                <w:color w:val="000000"/>
                <w:lang w:eastAsia="en-US"/>
              </w:rPr>
              <w:t>as</w:t>
            </w:r>
            <w:r w:rsidRPr="002C0523">
              <w:rPr>
                <w:color w:val="000000"/>
                <w:lang w:eastAsia="en-US"/>
              </w:rPr>
              <w:t xml:space="preserve"> un uzraudzīb</w:t>
            </w:r>
            <w:r>
              <w:rPr>
                <w:color w:val="000000"/>
                <w:lang w:eastAsia="en-US"/>
              </w:rPr>
              <w:t>as kārtību, taču, ņ</w:t>
            </w:r>
            <w:r w:rsidRPr="002C0523">
              <w:rPr>
                <w:color w:val="000000"/>
                <w:lang w:eastAsia="en-US"/>
              </w:rPr>
              <w:t>emot vērā</w:t>
            </w:r>
            <w:r>
              <w:rPr>
                <w:color w:val="000000"/>
                <w:lang w:eastAsia="en-US"/>
              </w:rPr>
              <w:t xml:space="preserve"> maksājumu pakalpojumu un elektroniskās naudas iestāžu </w:t>
            </w:r>
            <w:r w:rsidRPr="002C0523">
              <w:rPr>
                <w:color w:val="000000"/>
                <w:lang w:eastAsia="en-US"/>
              </w:rPr>
              <w:t>darbības riska līmeņu atšķirību un dažādu sarežģītības pakāpju pakalpojumu</w:t>
            </w:r>
            <w:r>
              <w:rPr>
                <w:color w:val="000000"/>
                <w:lang w:eastAsia="en-US"/>
              </w:rPr>
              <w:t xml:space="preserve"> </w:t>
            </w:r>
            <w:r w:rsidRPr="002C0523">
              <w:rPr>
                <w:color w:val="000000"/>
                <w:lang w:eastAsia="en-US"/>
              </w:rPr>
              <w:t>klāstu</w:t>
            </w:r>
            <w:r w:rsidR="0064346F">
              <w:rPr>
                <w:color w:val="000000"/>
                <w:lang w:eastAsia="en-US"/>
              </w:rPr>
              <w:t xml:space="preserve"> </w:t>
            </w:r>
            <w:r w:rsidR="00AA1EBD">
              <w:rPr>
                <w:color w:val="000000"/>
                <w:lang w:eastAsia="en-US"/>
              </w:rPr>
              <w:t>ir</w:t>
            </w:r>
            <w:r w:rsidR="0064346F">
              <w:rPr>
                <w:color w:val="000000"/>
                <w:lang w:eastAsia="en-US"/>
              </w:rPr>
              <w:t xml:space="preserve"> nepieciešams</w:t>
            </w:r>
            <w:r w:rsidRPr="002C0523">
              <w:rPr>
                <w:color w:val="000000"/>
                <w:lang w:eastAsia="en-US"/>
              </w:rPr>
              <w:t xml:space="preserve"> uzlabot iestāžu uzraudzības prasības</w:t>
            </w:r>
            <w:r w:rsidR="00BC71C7">
              <w:rPr>
                <w:color w:val="000000"/>
                <w:lang w:eastAsia="en-US"/>
              </w:rPr>
              <w:t xml:space="preserve"> un</w:t>
            </w:r>
            <w:r w:rsidR="0064346F">
              <w:rPr>
                <w:color w:val="000000"/>
                <w:lang w:eastAsia="en-US"/>
              </w:rPr>
              <w:t xml:space="preserve"> precizēt prasības,</w:t>
            </w:r>
            <w:r w:rsidRPr="002C0523">
              <w:rPr>
                <w:color w:val="000000"/>
                <w:lang w:eastAsia="en-US"/>
              </w:rPr>
              <w:t xml:space="preserve"> lai pilnvērtīg</w:t>
            </w:r>
            <w:r w:rsidR="00AA1EBD">
              <w:rPr>
                <w:color w:val="000000"/>
                <w:lang w:eastAsia="en-US"/>
              </w:rPr>
              <w:t>āk</w:t>
            </w:r>
            <w:r w:rsidRPr="002C0523">
              <w:rPr>
                <w:color w:val="000000"/>
                <w:lang w:eastAsia="en-US"/>
              </w:rPr>
              <w:t xml:space="preserve"> izvērtētu pakalpojuma sniedzēju darbību atbilstību Likumam</w:t>
            </w:r>
            <w:r w:rsidR="0064346F">
              <w:rPr>
                <w:color w:val="000000"/>
                <w:lang w:eastAsia="en-US"/>
              </w:rPr>
              <w:t xml:space="preserve">. </w:t>
            </w:r>
          </w:p>
          <w:p w:rsidR="0064346F" w:rsidRDefault="0064346F" w:rsidP="0064346F">
            <w:pPr>
              <w:suppressAutoHyphens w:val="0"/>
              <w:autoSpaceDE w:val="0"/>
              <w:autoSpaceDN w:val="0"/>
              <w:adjustRightInd w:val="0"/>
              <w:jc w:val="both"/>
              <w:rPr>
                <w:color w:val="000000"/>
              </w:rPr>
            </w:pPr>
            <w:r>
              <w:rPr>
                <w:color w:val="000000"/>
              </w:rPr>
              <w:t xml:space="preserve">Attiecīgi, lai uzlabotu iestāžu </w:t>
            </w:r>
            <w:r w:rsidRPr="000D7323">
              <w:rPr>
                <w:color w:val="000000"/>
              </w:rPr>
              <w:t xml:space="preserve">uzraudzības procesu un </w:t>
            </w:r>
            <w:r>
              <w:rPr>
                <w:color w:val="000000"/>
              </w:rPr>
              <w:t>sa</w:t>
            </w:r>
            <w:r w:rsidRPr="000D7323">
              <w:rPr>
                <w:color w:val="000000"/>
              </w:rPr>
              <w:t>mazinātu</w:t>
            </w:r>
            <w:r>
              <w:rPr>
                <w:color w:val="000000"/>
              </w:rPr>
              <w:t xml:space="preserve"> to darbības riskus, ar grozījumiem</w:t>
            </w:r>
            <w:r w:rsidRPr="004B6651">
              <w:rPr>
                <w:color w:val="000000"/>
              </w:rPr>
              <w:t xml:space="preserve"> </w:t>
            </w:r>
            <w:r>
              <w:rPr>
                <w:color w:val="000000"/>
              </w:rPr>
              <w:t>būtu</w:t>
            </w:r>
            <w:r w:rsidRPr="004B6651">
              <w:rPr>
                <w:color w:val="000000"/>
              </w:rPr>
              <w:t xml:space="preserve"> </w:t>
            </w:r>
            <w:r w:rsidR="005205DC">
              <w:rPr>
                <w:color w:val="000000"/>
              </w:rPr>
              <w:t>jāsa</w:t>
            </w:r>
            <w:r w:rsidR="005205DC" w:rsidRPr="004B6651">
              <w:rPr>
                <w:color w:val="000000"/>
              </w:rPr>
              <w:t>m</w:t>
            </w:r>
            <w:r w:rsidR="005205DC">
              <w:rPr>
                <w:color w:val="000000"/>
              </w:rPr>
              <w:t>azina iestādēm</w:t>
            </w:r>
            <w:r w:rsidRPr="004B6651">
              <w:rPr>
                <w:color w:val="000000"/>
              </w:rPr>
              <w:t xml:space="preserve"> </w:t>
            </w:r>
            <w:r>
              <w:rPr>
                <w:color w:val="000000"/>
              </w:rPr>
              <w:t>noteiktie</w:t>
            </w:r>
            <w:r w:rsidR="005205DC">
              <w:rPr>
                <w:color w:val="000000"/>
              </w:rPr>
              <w:t xml:space="preserve"> veikto maksājumu un elektroniskās naudas emisijas apgrozījuma vidējais apmērs</w:t>
            </w:r>
            <w:r w:rsidRPr="004B6651">
              <w:rPr>
                <w:color w:val="000000"/>
              </w:rPr>
              <w:t>,</w:t>
            </w:r>
            <w:r w:rsidR="005205DC">
              <w:rPr>
                <w:color w:val="000000"/>
              </w:rPr>
              <w:t xml:space="preserve"> pēc kura</w:t>
            </w:r>
            <w:r>
              <w:rPr>
                <w:color w:val="000000"/>
              </w:rPr>
              <w:t xml:space="preserve"> pārsnie</w:t>
            </w:r>
            <w:r w:rsidR="005205DC">
              <w:rPr>
                <w:color w:val="000000"/>
              </w:rPr>
              <w:t>gšanas</w:t>
            </w:r>
            <w:r w:rsidRPr="004B6651">
              <w:rPr>
                <w:color w:val="000000"/>
              </w:rPr>
              <w:t xml:space="preserve"> iestādei </w:t>
            </w:r>
            <w:r>
              <w:rPr>
                <w:color w:val="000000"/>
              </w:rPr>
              <w:t>jāsaņem</w:t>
            </w:r>
            <w:r w:rsidRPr="004B6651">
              <w:rPr>
                <w:color w:val="000000"/>
              </w:rPr>
              <w:t xml:space="preserve"> licence</w:t>
            </w:r>
            <w:r w:rsidR="00AA1EBD">
              <w:rPr>
                <w:color w:val="000000"/>
              </w:rPr>
              <w:t>, tādējādi mazinot iestāžu darbības riskus</w:t>
            </w:r>
            <w:r>
              <w:rPr>
                <w:color w:val="000000"/>
              </w:rPr>
              <w:t xml:space="preserve">. </w:t>
            </w:r>
          </w:p>
          <w:p w:rsidR="0064346F" w:rsidRDefault="0064346F" w:rsidP="0064346F">
            <w:pPr>
              <w:suppressAutoHyphens w:val="0"/>
              <w:autoSpaceDE w:val="0"/>
              <w:autoSpaceDN w:val="0"/>
              <w:adjustRightInd w:val="0"/>
              <w:jc w:val="both"/>
              <w:rPr>
                <w:color w:val="000000"/>
              </w:rPr>
            </w:pPr>
            <w:r w:rsidRPr="009032A3">
              <w:t>P</w:t>
            </w:r>
            <w:r w:rsidRPr="009032A3">
              <w:rPr>
                <w:color w:val="000000"/>
              </w:rPr>
              <w:t>alielinoties</w:t>
            </w:r>
            <w:r w:rsidRPr="003F7FF2">
              <w:rPr>
                <w:color w:val="000000"/>
              </w:rPr>
              <w:t xml:space="preserve"> tirgus dalībnieku skaitam</w:t>
            </w:r>
            <w:r>
              <w:rPr>
                <w:color w:val="000000"/>
              </w:rPr>
              <w:t>,</w:t>
            </w:r>
            <w:r w:rsidR="009032A3">
              <w:rPr>
                <w:color w:val="000000"/>
              </w:rPr>
              <w:t xml:space="preserve"> kā arī izvērtējamās informācijas apjomam</w:t>
            </w:r>
            <w:r w:rsidR="00D60A6A">
              <w:rPr>
                <w:color w:val="000000"/>
              </w:rPr>
              <w:t>,</w:t>
            </w:r>
            <w:r w:rsidRPr="003F7FF2">
              <w:rPr>
                <w:color w:val="000000"/>
              </w:rPr>
              <w:t xml:space="preserve"> </w:t>
            </w:r>
            <w:r>
              <w:rPr>
                <w:color w:val="000000"/>
              </w:rPr>
              <w:t>Likumā</w:t>
            </w:r>
            <w:r w:rsidRPr="003F7FF2">
              <w:t xml:space="preserve"> </w:t>
            </w:r>
            <w:r w:rsidR="009032A3">
              <w:t>jā</w:t>
            </w:r>
            <w:r w:rsidR="009032A3" w:rsidRPr="003F7FF2">
              <w:rPr>
                <w:color w:val="000000"/>
              </w:rPr>
              <w:t>pagarina</w:t>
            </w:r>
            <w:r w:rsidRPr="003F7FF2">
              <w:rPr>
                <w:color w:val="000000"/>
              </w:rPr>
              <w:t xml:space="preserve"> </w:t>
            </w:r>
            <w:r w:rsidR="003617B4">
              <w:rPr>
                <w:color w:val="000000"/>
              </w:rPr>
              <w:t xml:space="preserve">iesnieguma par maksājumu un elektroniskās naudas iestādes reģistrāciju </w:t>
            </w:r>
            <w:r w:rsidRPr="003F7FF2">
              <w:rPr>
                <w:color w:val="000000"/>
              </w:rPr>
              <w:t>izskatīšanas termiņ</w:t>
            </w:r>
            <w:r w:rsidR="003617B4">
              <w:rPr>
                <w:color w:val="000000"/>
              </w:rPr>
              <w:t>š, kas pašlaik ir</w:t>
            </w:r>
            <w:r w:rsidR="00AA1EBD">
              <w:rPr>
                <w:color w:val="000000"/>
              </w:rPr>
              <w:t xml:space="preserve"> tikai</w:t>
            </w:r>
            <w:r w:rsidR="003617B4">
              <w:rPr>
                <w:color w:val="000000"/>
              </w:rPr>
              <w:t xml:space="preserve"> desmit darba dienas</w:t>
            </w:r>
            <w:r w:rsidR="009032A3">
              <w:rPr>
                <w:color w:val="000000"/>
              </w:rPr>
              <w:t>.</w:t>
            </w:r>
          </w:p>
          <w:p w:rsidR="0064346F" w:rsidRDefault="009032A3" w:rsidP="0064346F">
            <w:pPr>
              <w:suppressAutoHyphens w:val="0"/>
              <w:autoSpaceDE w:val="0"/>
              <w:autoSpaceDN w:val="0"/>
              <w:adjustRightInd w:val="0"/>
              <w:jc w:val="both"/>
              <w:rPr>
                <w:color w:val="000000"/>
              </w:rPr>
            </w:pPr>
            <w:r>
              <w:rPr>
                <w:color w:val="000000"/>
              </w:rPr>
              <w:t xml:space="preserve">Ņemot vērā, ka arī </w:t>
            </w:r>
            <w:proofErr w:type="spellStart"/>
            <w:r>
              <w:rPr>
                <w:color w:val="000000"/>
              </w:rPr>
              <w:t>krājaizdevu</w:t>
            </w:r>
            <w:proofErr w:type="spellEnd"/>
            <w:r>
              <w:rPr>
                <w:color w:val="000000"/>
              </w:rPr>
              <w:t xml:space="preserve"> sabiedrības</w:t>
            </w:r>
            <w:r w:rsidR="00BC71C7">
              <w:rPr>
                <w:color w:val="000000"/>
              </w:rPr>
              <w:t xml:space="preserve"> ir tiesīgas</w:t>
            </w:r>
            <w:r>
              <w:rPr>
                <w:color w:val="000000"/>
              </w:rPr>
              <w:t xml:space="preserve"> nodarbo</w:t>
            </w:r>
            <w:r w:rsidR="00BC71C7">
              <w:rPr>
                <w:color w:val="000000"/>
              </w:rPr>
              <w:t>ties</w:t>
            </w:r>
            <w:r>
              <w:rPr>
                <w:color w:val="000000"/>
              </w:rPr>
              <w:t xml:space="preserve"> ar maksājumu pakalpojumu sniegšanu, Likumā būtu jā</w:t>
            </w:r>
            <w:r w:rsidRPr="003F7FF2">
              <w:rPr>
                <w:color w:val="000000"/>
              </w:rPr>
              <w:t>paplašin</w:t>
            </w:r>
            <w:r>
              <w:rPr>
                <w:color w:val="000000"/>
              </w:rPr>
              <w:t>a</w:t>
            </w:r>
            <w:r w:rsidR="0064346F" w:rsidRPr="003F7FF2">
              <w:rPr>
                <w:color w:val="000000"/>
              </w:rPr>
              <w:t xml:space="preserve"> personu loks</w:t>
            </w:r>
            <w:r w:rsidR="0064346F">
              <w:rPr>
                <w:color w:val="000000"/>
              </w:rPr>
              <w:t>, kas ir tiesīgas sniegt maksājumu pakalpojumus.</w:t>
            </w:r>
          </w:p>
          <w:p w:rsidR="0064346F" w:rsidRDefault="0064346F" w:rsidP="008B57A4">
            <w:pPr>
              <w:suppressAutoHyphens w:val="0"/>
              <w:autoSpaceDE w:val="0"/>
              <w:autoSpaceDN w:val="0"/>
              <w:adjustRightInd w:val="0"/>
              <w:spacing w:before="120"/>
              <w:jc w:val="both"/>
              <w:rPr>
                <w:color w:val="000000"/>
              </w:rPr>
            </w:pPr>
            <w:r>
              <w:rPr>
                <w:color w:val="000000"/>
              </w:rPr>
              <w:t>L</w:t>
            </w:r>
            <w:r w:rsidRPr="00FE3634">
              <w:rPr>
                <w:color w:val="000000"/>
              </w:rPr>
              <w:t xml:space="preserve">ai </w:t>
            </w:r>
            <w:r>
              <w:rPr>
                <w:color w:val="000000"/>
              </w:rPr>
              <w:t>pilnveidotu</w:t>
            </w:r>
            <w:r w:rsidRPr="00FE3634">
              <w:rPr>
                <w:color w:val="000000"/>
              </w:rPr>
              <w:t xml:space="preserve"> licencēto maksājumu iestāžu uzraudzīb</w:t>
            </w:r>
            <w:r>
              <w:rPr>
                <w:color w:val="000000"/>
              </w:rPr>
              <w:t>u</w:t>
            </w:r>
            <w:r w:rsidRPr="00FE3634">
              <w:rPr>
                <w:color w:val="000000"/>
              </w:rPr>
              <w:t xml:space="preserve"> un nodrošinātu</w:t>
            </w:r>
            <w:r w:rsidR="00A37281">
              <w:rPr>
                <w:color w:val="000000"/>
              </w:rPr>
              <w:t>, ka</w:t>
            </w:r>
            <w:r w:rsidRPr="00FE3634">
              <w:rPr>
                <w:color w:val="000000"/>
              </w:rPr>
              <w:t xml:space="preserve"> </w:t>
            </w:r>
            <w:r w:rsidR="00A37281">
              <w:t>paralēli minimālai sākotnējā kapitāla nodrošināšanas prasībai otram kritērijam pašu kapitāla prasība ir samērojama ar veikto maksājumu apmēru, nevis ar pastāvīgo izmaksu kopsummu, kas ir nosacīti neliela</w:t>
            </w:r>
            <w:r w:rsidR="008B57A4">
              <w:rPr>
                <w:color w:val="000000"/>
              </w:rPr>
              <w:t xml:space="preserve">, </w:t>
            </w:r>
            <w:r w:rsidRPr="00FE3634">
              <w:rPr>
                <w:color w:val="000000"/>
              </w:rPr>
              <w:t xml:space="preserve">ir </w:t>
            </w:r>
            <w:r w:rsidRPr="00FE3634">
              <w:rPr>
                <w:color w:val="000000"/>
              </w:rPr>
              <w:lastRenderedPageBreak/>
              <w:t xml:space="preserve">nepieciešama </w:t>
            </w:r>
            <w:r w:rsidR="00E03CE9">
              <w:rPr>
                <w:color w:val="000000"/>
              </w:rPr>
              <w:t xml:space="preserve">minimālās </w:t>
            </w:r>
            <w:r w:rsidRPr="00CD0C4D">
              <w:rPr>
                <w:color w:val="000000"/>
              </w:rPr>
              <w:t>pašu kapitāla prasības aprēķina maiņa</w:t>
            </w:r>
            <w:r w:rsidR="007914CA">
              <w:rPr>
                <w:color w:val="000000"/>
              </w:rPr>
              <w:t xml:space="preserve">, </w:t>
            </w:r>
            <w:r w:rsidR="008B57A4">
              <w:rPr>
                <w:color w:val="000000"/>
              </w:rPr>
              <w:t xml:space="preserve">aizstājot </w:t>
            </w:r>
            <w:r w:rsidR="00DA6693">
              <w:rPr>
                <w:color w:val="000000"/>
              </w:rPr>
              <w:t xml:space="preserve">esošo metodi </w:t>
            </w:r>
            <w:r w:rsidR="007914CA">
              <w:rPr>
                <w:color w:val="000000"/>
              </w:rPr>
              <w:t>ar</w:t>
            </w:r>
            <w:r w:rsidR="007914CA" w:rsidRPr="003E1A08">
              <w:rPr>
                <w:rStyle w:val="Strong"/>
                <w:b w:val="0"/>
                <w:color w:val="000000"/>
                <w:shd w:val="clear" w:color="auto" w:fill="FFFFFF"/>
              </w:rPr>
              <w:t xml:space="preserve"> Direktīv</w:t>
            </w:r>
            <w:r w:rsidR="00DA6693">
              <w:rPr>
                <w:rStyle w:val="Strong"/>
                <w:b w:val="0"/>
                <w:color w:val="000000"/>
                <w:shd w:val="clear" w:color="auto" w:fill="FFFFFF"/>
              </w:rPr>
              <w:t>ā</w:t>
            </w:r>
            <w:r w:rsidR="007914CA" w:rsidRPr="003E1A08">
              <w:rPr>
                <w:rStyle w:val="Strong"/>
                <w:b w:val="0"/>
                <w:color w:val="000000"/>
                <w:shd w:val="clear" w:color="auto" w:fill="FFFFFF"/>
              </w:rPr>
              <w:t xml:space="preserve"> 2007/64/EK</w:t>
            </w:r>
            <w:r w:rsidR="00DA6693">
              <w:rPr>
                <w:color w:val="000000"/>
              </w:rPr>
              <w:t xml:space="preserve"> minēto metodi B</w:t>
            </w:r>
            <w:r w:rsidRPr="00FE3634">
              <w:rPr>
                <w:color w:val="000000"/>
              </w:rPr>
              <w:t xml:space="preserve">. </w:t>
            </w:r>
          </w:p>
          <w:p w:rsidR="0064346F" w:rsidRDefault="00DA6693" w:rsidP="0064346F">
            <w:pPr>
              <w:suppressAutoHyphens w:val="0"/>
              <w:autoSpaceDE w:val="0"/>
              <w:autoSpaceDN w:val="0"/>
              <w:adjustRightInd w:val="0"/>
              <w:jc w:val="both"/>
              <w:rPr>
                <w:iCs/>
                <w:color w:val="000000"/>
              </w:rPr>
            </w:pPr>
            <w:r>
              <w:rPr>
                <w:color w:val="000000"/>
              </w:rPr>
              <w:t>N</w:t>
            </w:r>
            <w:r w:rsidR="00AA1EBD">
              <w:rPr>
                <w:color w:val="000000"/>
              </w:rPr>
              <w:t>epieciešams</w:t>
            </w:r>
            <w:r w:rsidR="003617B4">
              <w:rPr>
                <w:color w:val="000000"/>
              </w:rPr>
              <w:t xml:space="preserve"> vei</w:t>
            </w:r>
            <w:r w:rsidR="00AA1EBD">
              <w:rPr>
                <w:color w:val="000000"/>
              </w:rPr>
              <w:t>kt</w:t>
            </w:r>
            <w:r w:rsidR="003617B4">
              <w:rPr>
                <w:color w:val="000000"/>
              </w:rPr>
              <w:t xml:space="preserve"> g</w:t>
            </w:r>
            <w:r w:rsidR="0064346F" w:rsidRPr="00373EBD">
              <w:rPr>
                <w:color w:val="000000"/>
              </w:rPr>
              <w:t>rozījum</w:t>
            </w:r>
            <w:r w:rsidR="00AA1EBD">
              <w:rPr>
                <w:color w:val="000000"/>
              </w:rPr>
              <w:t>us</w:t>
            </w:r>
            <w:r w:rsidR="0064346F" w:rsidRPr="00373EBD">
              <w:rPr>
                <w:color w:val="000000"/>
              </w:rPr>
              <w:t xml:space="preserve"> iestādes sākotnēj</w:t>
            </w:r>
            <w:r w:rsidR="00A37281">
              <w:rPr>
                <w:color w:val="000000"/>
              </w:rPr>
              <w:t>ā</w:t>
            </w:r>
            <w:r w:rsidR="0064346F" w:rsidRPr="00373EBD">
              <w:rPr>
                <w:color w:val="000000"/>
              </w:rPr>
              <w:t xml:space="preserve"> kapitāl</w:t>
            </w:r>
            <w:r w:rsidR="00A37281">
              <w:rPr>
                <w:color w:val="000000"/>
              </w:rPr>
              <w:t>a</w:t>
            </w:r>
            <w:r w:rsidR="0064346F" w:rsidRPr="00373EBD">
              <w:rPr>
                <w:color w:val="000000"/>
              </w:rPr>
              <w:t xml:space="preserve"> un pašu </w:t>
            </w:r>
            <w:r w:rsidR="00A37281" w:rsidRPr="00373EBD">
              <w:rPr>
                <w:color w:val="000000"/>
              </w:rPr>
              <w:t>kapitāl</w:t>
            </w:r>
            <w:r w:rsidR="00A37281">
              <w:rPr>
                <w:color w:val="000000"/>
              </w:rPr>
              <w:t>a aprēķināšanai</w:t>
            </w:r>
            <w:r w:rsidR="003617B4">
              <w:rPr>
                <w:bCs/>
                <w:color w:val="000000"/>
              </w:rPr>
              <w:t>, jo</w:t>
            </w:r>
            <w:r w:rsidR="00AA1EBD">
              <w:rPr>
                <w:bCs/>
                <w:color w:val="000000"/>
              </w:rPr>
              <w:t xml:space="preserve"> </w:t>
            </w:r>
            <w:r w:rsidR="00ED0409">
              <w:rPr>
                <w:bCs/>
                <w:color w:val="000000"/>
              </w:rPr>
              <w:t>stājoties spēkā</w:t>
            </w:r>
            <w:r w:rsidR="00AA1EBD" w:rsidRPr="00373EBD">
              <w:rPr>
                <w:color w:val="000000"/>
              </w:rPr>
              <w:t xml:space="preserve"> </w:t>
            </w:r>
            <w:r w:rsidR="00AA1EBD" w:rsidRPr="003E1A08">
              <w:rPr>
                <w:bCs/>
                <w:color w:val="000000"/>
              </w:rPr>
              <w:t>Regul</w:t>
            </w:r>
            <w:r w:rsidR="00AA1EBD">
              <w:rPr>
                <w:bCs/>
                <w:color w:val="000000"/>
              </w:rPr>
              <w:t>a</w:t>
            </w:r>
            <w:r w:rsidR="00ED0409">
              <w:rPr>
                <w:bCs/>
                <w:color w:val="000000"/>
              </w:rPr>
              <w:t>i</w:t>
            </w:r>
            <w:r w:rsidR="00AA1EBD">
              <w:rPr>
                <w:bCs/>
                <w:color w:val="000000"/>
              </w:rPr>
              <w:t xml:space="preserve"> </w:t>
            </w:r>
            <w:r w:rsidR="00AA1EBD" w:rsidRPr="003E1A08">
              <w:rPr>
                <w:bCs/>
                <w:color w:val="000000"/>
              </w:rPr>
              <w:t>Nr. 575/2013</w:t>
            </w:r>
            <w:r w:rsidR="003617B4">
              <w:rPr>
                <w:bCs/>
                <w:color w:val="000000"/>
              </w:rPr>
              <w:t xml:space="preserve"> </w:t>
            </w:r>
            <w:r w:rsidR="0064346F">
              <w:rPr>
                <w:color w:val="000000"/>
              </w:rPr>
              <w:t>spēku zaudē</w:t>
            </w:r>
            <w:r w:rsidR="0064346F" w:rsidRPr="00373EBD">
              <w:rPr>
                <w:color w:val="000000"/>
              </w:rPr>
              <w:t xml:space="preserve"> </w:t>
            </w:r>
            <w:r w:rsidR="0064346F" w:rsidRPr="00373EBD">
              <w:rPr>
                <w:iCs/>
                <w:color w:val="000000"/>
              </w:rPr>
              <w:t>Eiropas Parlamenta un Padomes 2006. gada 14. jūnija Direktīva Nr. 2006/48/EK par kredītiestāžu darbības sākšanu un veikšanu</w:t>
            </w:r>
            <w:r w:rsidR="0064346F" w:rsidRPr="00373EBD">
              <w:rPr>
                <w:color w:val="000000"/>
              </w:rPr>
              <w:t xml:space="preserve">, kura līdz šim noteica maksājumu pakalpojumu un elektroniskās naudas iestādes sākotnējo kapitālu un pašu kapitālu, un tā aprēķināšanu </w:t>
            </w:r>
            <w:r w:rsidR="0064346F">
              <w:rPr>
                <w:color w:val="000000"/>
              </w:rPr>
              <w:t>un uz kuru atsaucās</w:t>
            </w:r>
            <w:r w:rsidR="0064346F" w:rsidRPr="00373EBD">
              <w:rPr>
                <w:color w:val="000000"/>
              </w:rPr>
              <w:t xml:space="preserve"> </w:t>
            </w:r>
            <w:r w:rsidR="0064346F" w:rsidRPr="00373EBD">
              <w:rPr>
                <w:iCs/>
                <w:color w:val="000000"/>
              </w:rPr>
              <w:t>Direktīv</w:t>
            </w:r>
            <w:r w:rsidR="0064346F">
              <w:rPr>
                <w:iCs/>
                <w:color w:val="000000"/>
              </w:rPr>
              <w:t>a</w:t>
            </w:r>
            <w:r w:rsidR="0064346F" w:rsidRPr="00373EBD">
              <w:rPr>
                <w:iCs/>
                <w:color w:val="000000"/>
              </w:rPr>
              <w:t xml:space="preserve"> 2007/64/EK un Padomes 2009. gada 16. septembra Direktīv</w:t>
            </w:r>
            <w:r w:rsidR="0064346F">
              <w:rPr>
                <w:iCs/>
                <w:color w:val="000000"/>
              </w:rPr>
              <w:t>a</w:t>
            </w:r>
            <w:r w:rsidR="003617B4">
              <w:rPr>
                <w:iCs/>
                <w:color w:val="000000"/>
              </w:rPr>
              <w:t xml:space="preserve"> </w:t>
            </w:r>
            <w:r w:rsidR="0064346F" w:rsidRPr="00373EBD">
              <w:rPr>
                <w:iCs/>
                <w:color w:val="000000"/>
              </w:rPr>
              <w:t xml:space="preserve">Nr. </w:t>
            </w:r>
            <w:hyperlink r:id="rId8" w:history="1">
              <w:r w:rsidR="0064346F" w:rsidRPr="00373EBD">
                <w:rPr>
                  <w:iCs/>
                  <w:color w:val="000000"/>
                </w:rPr>
                <w:t>2009/110/EK</w:t>
              </w:r>
            </w:hyperlink>
            <w:r w:rsidR="0064346F" w:rsidRPr="00373EBD">
              <w:rPr>
                <w:iCs/>
                <w:color w:val="000000"/>
              </w:rPr>
              <w:t xml:space="preserve"> par elektroniskās naudas iestāžu darbības sākšanu, veikšanu un konsultatīvu uzraudzību, par grozījumiem Direktīvā </w:t>
            </w:r>
            <w:hyperlink r:id="rId9" w:history="1">
              <w:r w:rsidR="0064346F" w:rsidRPr="00373EBD">
                <w:rPr>
                  <w:iCs/>
                  <w:color w:val="000000"/>
                </w:rPr>
                <w:t>2005/60/EK</w:t>
              </w:r>
            </w:hyperlink>
            <w:r w:rsidR="0064346F" w:rsidRPr="00373EBD">
              <w:rPr>
                <w:iCs/>
                <w:color w:val="000000"/>
              </w:rPr>
              <w:t xml:space="preserve"> un Direktīvā </w:t>
            </w:r>
            <w:hyperlink r:id="rId10" w:history="1">
              <w:r w:rsidR="0064346F" w:rsidRPr="00373EBD">
                <w:rPr>
                  <w:iCs/>
                  <w:color w:val="000000"/>
                </w:rPr>
                <w:t>2006/48/EK</w:t>
              </w:r>
            </w:hyperlink>
            <w:r w:rsidR="0064346F" w:rsidRPr="00373EBD">
              <w:rPr>
                <w:iCs/>
                <w:color w:val="000000"/>
              </w:rPr>
              <w:t xml:space="preserve"> un par Direktīvas </w:t>
            </w:r>
            <w:hyperlink r:id="rId11" w:history="1">
              <w:r w:rsidR="0064346F" w:rsidRPr="00373EBD">
                <w:rPr>
                  <w:iCs/>
                  <w:color w:val="000000"/>
                </w:rPr>
                <w:t>2000/46/EK</w:t>
              </w:r>
            </w:hyperlink>
            <w:r w:rsidR="0064346F" w:rsidRPr="00373EBD">
              <w:rPr>
                <w:iCs/>
                <w:color w:val="000000"/>
              </w:rPr>
              <w:t xml:space="preserve"> atcelšanu</w:t>
            </w:r>
            <w:r w:rsidR="00AA1EBD">
              <w:rPr>
                <w:iCs/>
                <w:color w:val="000000"/>
              </w:rPr>
              <w:t>.</w:t>
            </w:r>
            <w:r w:rsidR="00A37281">
              <w:rPr>
                <w:iCs/>
                <w:color w:val="000000"/>
              </w:rPr>
              <w:t xml:space="preserve"> Turpmāk </w:t>
            </w:r>
            <w:r w:rsidR="00A37281" w:rsidRPr="00373EBD">
              <w:rPr>
                <w:color w:val="000000"/>
              </w:rPr>
              <w:t>iestādes sākotnēj</w:t>
            </w:r>
            <w:r w:rsidR="00A37281">
              <w:rPr>
                <w:color w:val="000000"/>
              </w:rPr>
              <w:t>ā</w:t>
            </w:r>
            <w:r w:rsidR="00A37281" w:rsidRPr="00373EBD">
              <w:rPr>
                <w:color w:val="000000"/>
              </w:rPr>
              <w:t xml:space="preserve"> kapitāl</w:t>
            </w:r>
            <w:r w:rsidR="00A37281">
              <w:rPr>
                <w:color w:val="000000"/>
              </w:rPr>
              <w:t>a</w:t>
            </w:r>
            <w:r w:rsidR="00A37281" w:rsidRPr="00373EBD">
              <w:rPr>
                <w:color w:val="000000"/>
              </w:rPr>
              <w:t xml:space="preserve"> un pašu kapitāl</w:t>
            </w:r>
            <w:r w:rsidR="00A37281">
              <w:rPr>
                <w:color w:val="000000"/>
              </w:rPr>
              <w:t>a definīcija un aprēķināšan</w:t>
            </w:r>
            <w:r w:rsidR="00942ACF">
              <w:rPr>
                <w:color w:val="000000"/>
              </w:rPr>
              <w:t>as kārtību</w:t>
            </w:r>
            <w:r w:rsidR="00A37281">
              <w:rPr>
                <w:color w:val="000000"/>
              </w:rPr>
              <w:t xml:space="preserve"> noteik</w:t>
            </w:r>
            <w:r w:rsidR="00942ACF">
              <w:rPr>
                <w:color w:val="000000"/>
              </w:rPr>
              <w:t>s</w:t>
            </w:r>
            <w:r w:rsidR="00A37281" w:rsidRPr="003E1A08">
              <w:rPr>
                <w:bCs/>
                <w:color w:val="000000"/>
              </w:rPr>
              <w:t xml:space="preserve"> Regul</w:t>
            </w:r>
            <w:r w:rsidR="00A53DBE">
              <w:rPr>
                <w:bCs/>
                <w:color w:val="000000"/>
              </w:rPr>
              <w:t>a</w:t>
            </w:r>
            <w:r w:rsidR="00A37281">
              <w:rPr>
                <w:bCs/>
                <w:color w:val="000000"/>
              </w:rPr>
              <w:t xml:space="preserve"> </w:t>
            </w:r>
            <w:r w:rsidR="00A37281" w:rsidRPr="003E1A08">
              <w:rPr>
                <w:bCs/>
                <w:color w:val="000000"/>
              </w:rPr>
              <w:t>Nr. 575/2013</w:t>
            </w:r>
            <w:r w:rsidR="00942ACF">
              <w:rPr>
                <w:bCs/>
                <w:color w:val="000000"/>
              </w:rPr>
              <w:t>, nevis šis Likums</w:t>
            </w:r>
            <w:r w:rsidR="00A37281">
              <w:rPr>
                <w:bCs/>
                <w:color w:val="000000"/>
              </w:rPr>
              <w:t>.</w:t>
            </w:r>
          </w:p>
          <w:p w:rsidR="00173560" w:rsidRDefault="00BC71C7" w:rsidP="00BC71C7">
            <w:pPr>
              <w:suppressAutoHyphens w:val="0"/>
              <w:autoSpaceDE w:val="0"/>
              <w:autoSpaceDN w:val="0"/>
              <w:adjustRightInd w:val="0"/>
              <w:jc w:val="both"/>
              <w:rPr>
                <w:color w:val="000000"/>
                <w:lang w:eastAsia="en-US"/>
              </w:rPr>
            </w:pPr>
            <w:r>
              <w:rPr>
                <w:color w:val="000000"/>
                <w:lang w:eastAsia="en-US"/>
              </w:rPr>
              <w:t xml:space="preserve">Vienlaikus </w:t>
            </w:r>
            <w:r w:rsidRPr="002C0523">
              <w:rPr>
                <w:color w:val="000000"/>
                <w:lang w:eastAsia="en-US"/>
              </w:rPr>
              <w:t>no</w:t>
            </w:r>
            <w:r>
              <w:rPr>
                <w:color w:val="000000"/>
                <w:lang w:eastAsia="en-US"/>
              </w:rPr>
              <w:t>sakāma vienota pieeja</w:t>
            </w:r>
            <w:r w:rsidRPr="002C0523">
              <w:rPr>
                <w:color w:val="000000"/>
                <w:lang w:eastAsia="en-US"/>
              </w:rPr>
              <w:t xml:space="preserve"> Finanšu</w:t>
            </w:r>
            <w:r w:rsidRPr="003E1A08">
              <w:t xml:space="preserve"> un kapitāla tirgus komisija</w:t>
            </w:r>
            <w:r>
              <w:t>s</w:t>
            </w:r>
            <w:r w:rsidRPr="003E1A08">
              <w:t xml:space="preserve"> (turpmāk – Komisija)</w:t>
            </w:r>
            <w:r>
              <w:t xml:space="preserve"> </w:t>
            </w:r>
            <w:r w:rsidRPr="002C0523">
              <w:rPr>
                <w:color w:val="000000"/>
                <w:lang w:eastAsia="en-US"/>
              </w:rPr>
              <w:t>finansēšanas maks</w:t>
            </w:r>
            <w:r>
              <w:rPr>
                <w:color w:val="000000"/>
                <w:lang w:eastAsia="en-US"/>
              </w:rPr>
              <w:t>a</w:t>
            </w:r>
            <w:r w:rsidR="00526A47">
              <w:rPr>
                <w:color w:val="000000"/>
                <w:lang w:eastAsia="en-US"/>
              </w:rPr>
              <w:t>s noteikšanai</w:t>
            </w:r>
            <w:r>
              <w:rPr>
                <w:color w:val="000000"/>
                <w:lang w:eastAsia="en-US"/>
              </w:rPr>
              <w:t>,</w:t>
            </w:r>
            <w:r w:rsidR="00E26518">
              <w:rPr>
                <w:color w:val="000000"/>
                <w:lang w:eastAsia="en-US"/>
              </w:rPr>
              <w:t xml:space="preserve"> jo pašlaik tikai licencētām iestādēm ir noteikta diferencēta </w:t>
            </w:r>
            <w:r w:rsidR="00526A47">
              <w:rPr>
                <w:color w:val="000000"/>
                <w:lang w:eastAsia="en-US"/>
              </w:rPr>
              <w:t>Komisijas finansēšana</w:t>
            </w:r>
            <w:r w:rsidR="008806E9">
              <w:rPr>
                <w:color w:val="000000"/>
                <w:lang w:eastAsia="en-US"/>
              </w:rPr>
              <w:t>s maksa</w:t>
            </w:r>
            <w:r w:rsidR="00E26518">
              <w:rPr>
                <w:color w:val="000000"/>
                <w:lang w:eastAsia="en-US"/>
              </w:rPr>
              <w:t xml:space="preserve">, </w:t>
            </w:r>
            <w:r w:rsidR="00526A47">
              <w:rPr>
                <w:color w:val="000000"/>
                <w:lang w:eastAsia="en-US"/>
              </w:rPr>
              <w:t xml:space="preserve">kas atkarīga no iestādes veikto maksājumu kopsummas. </w:t>
            </w:r>
            <w:r w:rsidR="00173560">
              <w:rPr>
                <w:color w:val="000000"/>
                <w:lang w:eastAsia="en-US"/>
              </w:rPr>
              <w:t>Pašlaik</w:t>
            </w:r>
            <w:r w:rsidR="00526A47">
              <w:rPr>
                <w:color w:val="000000"/>
                <w:lang w:eastAsia="en-US"/>
              </w:rPr>
              <w:t xml:space="preserve"> iestādēm, kurām </w:t>
            </w:r>
            <w:r w:rsidR="00E26518" w:rsidRPr="002C0523">
              <w:rPr>
                <w:color w:val="000000"/>
                <w:lang w:eastAsia="en-US"/>
              </w:rPr>
              <w:t>nav nepieciešama licence</w:t>
            </w:r>
            <w:r w:rsidR="00526A47">
              <w:rPr>
                <w:color w:val="000000"/>
                <w:lang w:eastAsia="en-US"/>
              </w:rPr>
              <w:t xml:space="preserve">, </w:t>
            </w:r>
            <w:r w:rsidR="00910608">
              <w:rPr>
                <w:color w:val="000000"/>
                <w:lang w:eastAsia="en-US"/>
              </w:rPr>
              <w:t xml:space="preserve">Komisijas </w:t>
            </w:r>
            <w:r w:rsidR="00526A47" w:rsidRPr="002C0523">
              <w:rPr>
                <w:color w:val="000000"/>
                <w:lang w:eastAsia="en-US"/>
              </w:rPr>
              <w:t>finansēšanas maks</w:t>
            </w:r>
            <w:r w:rsidR="00526A47">
              <w:rPr>
                <w:color w:val="000000"/>
                <w:lang w:eastAsia="en-US"/>
              </w:rPr>
              <w:t xml:space="preserve">u </w:t>
            </w:r>
            <w:r w:rsidR="00173560">
              <w:rPr>
                <w:color w:val="000000"/>
                <w:lang w:eastAsia="en-US"/>
              </w:rPr>
              <w:t xml:space="preserve">nosaka </w:t>
            </w:r>
            <w:r w:rsidR="00526A47">
              <w:rPr>
                <w:color w:val="000000"/>
                <w:lang w:eastAsia="en-US"/>
              </w:rPr>
              <w:t>neatkarīgi no to veikto maksājumu kopsummas</w:t>
            </w:r>
            <w:r w:rsidR="00E8391E">
              <w:rPr>
                <w:color w:val="000000"/>
                <w:lang w:eastAsia="en-US"/>
              </w:rPr>
              <w:t>, tādejādi, lai</w:t>
            </w:r>
            <w:r w:rsidR="00910608">
              <w:rPr>
                <w:color w:val="000000"/>
                <w:lang w:eastAsia="en-US"/>
              </w:rPr>
              <w:t xml:space="preserve"> arī šim iestādēm noteiktu</w:t>
            </w:r>
            <w:r w:rsidR="00173560">
              <w:rPr>
                <w:color w:val="000000"/>
                <w:lang w:eastAsia="en-US"/>
              </w:rPr>
              <w:t xml:space="preserve"> samērīg</w:t>
            </w:r>
            <w:r w:rsidR="00910608">
              <w:rPr>
                <w:color w:val="000000"/>
                <w:lang w:eastAsia="en-US"/>
              </w:rPr>
              <w:t>u</w:t>
            </w:r>
            <w:r w:rsidR="00173560">
              <w:rPr>
                <w:color w:val="000000"/>
                <w:lang w:eastAsia="en-US"/>
              </w:rPr>
              <w:t xml:space="preserve"> un atkarībā no</w:t>
            </w:r>
            <w:r w:rsidR="00910608">
              <w:rPr>
                <w:color w:val="000000"/>
                <w:lang w:eastAsia="en-US"/>
              </w:rPr>
              <w:t xml:space="preserve"> tās</w:t>
            </w:r>
            <w:r w:rsidR="00173560">
              <w:rPr>
                <w:color w:val="000000"/>
                <w:lang w:eastAsia="en-US"/>
              </w:rPr>
              <w:t xml:space="preserve"> veikto maksājumu kopsummas</w:t>
            </w:r>
            <w:r w:rsidR="00910608">
              <w:rPr>
                <w:color w:val="000000"/>
                <w:lang w:eastAsia="en-US"/>
              </w:rPr>
              <w:t xml:space="preserve"> vai atpirktās elektroniskās naudas ceturksnī,</w:t>
            </w:r>
            <w:r w:rsidR="00173560">
              <w:rPr>
                <w:color w:val="000000"/>
                <w:lang w:eastAsia="en-US"/>
              </w:rPr>
              <w:t xml:space="preserve"> maks</w:t>
            </w:r>
            <w:r w:rsidR="00910608">
              <w:rPr>
                <w:color w:val="000000"/>
                <w:lang w:eastAsia="en-US"/>
              </w:rPr>
              <w:t xml:space="preserve">a </w:t>
            </w:r>
            <w:r w:rsidR="00173560">
              <w:rPr>
                <w:color w:val="000000"/>
                <w:lang w:eastAsia="en-US"/>
              </w:rPr>
              <w:t>nosakāma diferencēta.</w:t>
            </w:r>
          </w:p>
          <w:p w:rsidR="00A32FFA" w:rsidRPr="00A32FFA" w:rsidRDefault="00A32FFA" w:rsidP="00A32FFA">
            <w:pPr>
              <w:pStyle w:val="naiskr"/>
              <w:spacing w:before="0" w:after="0"/>
              <w:jc w:val="both"/>
              <w:rPr>
                <w:color w:val="000000"/>
              </w:rPr>
            </w:pPr>
            <w:r w:rsidRPr="00A32FFA">
              <w:rPr>
                <w:color w:val="000000"/>
              </w:rPr>
              <w:t xml:space="preserve">Atbilstoši spēkā esošai Likuma redakcijai iestādēm, kuru darbībai nav nepieciešama Komisijas licence, nav noteikta kārtība tās pārstāvju piesaistei, kā arī šīm iestādēm nav saistoša ārpakalpojuma piesaiste kārtība tās darbības nodrošināšanai, lai gan ārpakalpojuma, piemēram, </w:t>
            </w:r>
            <w:r w:rsidRPr="00A32FFA">
              <w:rPr>
                <w:shd w:val="clear" w:color="auto" w:fill="FFFFFF"/>
              </w:rPr>
              <w:t>grāmatvedības kārtošana, informācijas tehnoloģiju pārvalde,</w:t>
            </w:r>
            <w:r w:rsidRPr="00A32FFA">
              <w:rPr>
                <w:color w:val="000000"/>
              </w:rPr>
              <w:t xml:space="preserve"> </w:t>
            </w:r>
            <w:r w:rsidRPr="00A32FFA">
              <w:rPr>
                <w:shd w:val="clear" w:color="auto" w:fill="FFFFFF"/>
              </w:rPr>
              <w:t>atsevišķos gadījumos iestādes</w:t>
            </w:r>
            <w:r w:rsidRPr="00A32FFA">
              <w:rPr>
                <w:color w:val="000000"/>
              </w:rPr>
              <w:t xml:space="preserve"> piesaistīta arī pašlaik. </w:t>
            </w:r>
          </w:p>
          <w:p w:rsidR="00A32FFA" w:rsidRPr="00A32FFA" w:rsidRDefault="00A32FFA" w:rsidP="00A32FFA">
            <w:pPr>
              <w:pStyle w:val="naiskr"/>
              <w:spacing w:before="0" w:after="0"/>
              <w:jc w:val="both"/>
              <w:rPr>
                <w:shd w:val="clear" w:color="auto" w:fill="FFFFFF"/>
              </w:rPr>
            </w:pPr>
            <w:r w:rsidRPr="00A32FFA">
              <w:rPr>
                <w:color w:val="000000"/>
              </w:rPr>
              <w:t xml:space="preserve">Tādējādi, lai nodrošinātu kvalificētu un pieredzējušu pārstāvju un ārpakalpojuma sniedzēju piesaisti un veiktu uzraudzību atbilstoši Likuma prasībām, jāparedz kārtība iestādes pārstāvju piesaistei un informācijas iesniegšanai Komisijā, kā arī kārtība ārpakalpojuma, </w:t>
            </w:r>
            <w:r w:rsidRPr="00A32FFA">
              <w:rPr>
                <w:shd w:val="clear" w:color="auto" w:fill="FFFFFF"/>
              </w:rPr>
              <w:t>tas ir, grāmatvedības kārtošanas, informācijas tehnoloģiju vai sistēmu pārvaldības vai attīstīšanas, iekšējā audita dienesta pienākumu veikšanas,</w:t>
            </w:r>
            <w:r w:rsidRPr="00A32FFA">
              <w:rPr>
                <w:color w:val="000000"/>
              </w:rPr>
              <w:t xml:space="preserve"> nodošanai un informācijas iesniegšanai Komisijā.</w:t>
            </w:r>
            <w:r w:rsidRPr="00A32FFA">
              <w:rPr>
                <w:shd w:val="clear" w:color="auto" w:fill="FFFFFF"/>
              </w:rPr>
              <w:t xml:space="preserve"> </w:t>
            </w:r>
          </w:p>
          <w:p w:rsidR="00A32FFA" w:rsidRDefault="00A32FFA" w:rsidP="00A32FFA">
            <w:pPr>
              <w:suppressAutoHyphens w:val="0"/>
              <w:autoSpaceDE w:val="0"/>
              <w:autoSpaceDN w:val="0"/>
              <w:adjustRightInd w:val="0"/>
              <w:jc w:val="both"/>
              <w:rPr>
                <w:color w:val="000000"/>
                <w:lang w:eastAsia="en-US"/>
              </w:rPr>
            </w:pPr>
            <w:r w:rsidRPr="00A32FFA">
              <w:t xml:space="preserve">Ievērojot minēto, ir izstrādāts likumprojekts "Grozījumi </w:t>
            </w:r>
            <w:r w:rsidRPr="00A32FFA">
              <w:rPr>
                <w:color w:val="000000"/>
              </w:rPr>
              <w:t>Maksājumu pakalpojumu un elektroniskās naudas likumā</w:t>
            </w:r>
            <w:r w:rsidRPr="00A32FFA">
              <w:t>" (tālāk tekstā – likumprojekts).</w:t>
            </w:r>
            <w:r>
              <w:rPr>
                <w:color w:val="000000"/>
                <w:lang w:eastAsia="en-US"/>
              </w:rPr>
              <w:t xml:space="preserve"> </w:t>
            </w:r>
          </w:p>
          <w:p w:rsidR="00A32FFA" w:rsidRPr="00D6476F" w:rsidRDefault="00A32FFA" w:rsidP="00B65F87">
            <w:pPr>
              <w:suppressAutoHyphens w:val="0"/>
              <w:autoSpaceDE w:val="0"/>
              <w:autoSpaceDN w:val="0"/>
              <w:adjustRightInd w:val="0"/>
              <w:jc w:val="both"/>
              <w:rPr>
                <w:color w:val="000000"/>
                <w:lang w:eastAsia="en-US"/>
              </w:rPr>
            </w:pPr>
            <w:r>
              <w:rPr>
                <w:color w:val="000000"/>
                <w:lang w:eastAsia="en-US"/>
              </w:rPr>
              <w:t>Vienlaikus Likumā veicami tehniskie grozījumi.</w:t>
            </w:r>
          </w:p>
        </w:tc>
      </w:tr>
      <w:tr w:rsidR="00622F59" w:rsidRPr="00391E8A" w:rsidTr="00503EE8">
        <w:trPr>
          <w:trHeight w:val="1160"/>
        </w:trPr>
        <w:tc>
          <w:tcPr>
            <w:tcW w:w="340" w:type="dxa"/>
          </w:tcPr>
          <w:p w:rsidR="00622F59" w:rsidRPr="00391E8A" w:rsidRDefault="00622F59" w:rsidP="00E44645">
            <w:pPr>
              <w:snapToGrid w:val="0"/>
              <w:jc w:val="both"/>
              <w:rPr>
                <w:color w:val="000000"/>
              </w:rPr>
            </w:pPr>
            <w:r w:rsidRPr="00391E8A">
              <w:rPr>
                <w:color w:val="000000"/>
              </w:rPr>
              <w:lastRenderedPageBreak/>
              <w:t>3.</w:t>
            </w:r>
          </w:p>
        </w:tc>
        <w:tc>
          <w:tcPr>
            <w:tcW w:w="1887" w:type="dxa"/>
          </w:tcPr>
          <w:p w:rsidR="00622F59" w:rsidRPr="00391E8A" w:rsidRDefault="00622F59" w:rsidP="00E44645">
            <w:pPr>
              <w:snapToGrid w:val="0"/>
              <w:rPr>
                <w:color w:val="000000"/>
              </w:rPr>
            </w:pPr>
            <w:r w:rsidRPr="00391E8A">
              <w:rPr>
                <w:color w:val="000000"/>
              </w:rPr>
              <w:t>Saistītie politikas ietekmes novērtējumi un pētījumi</w:t>
            </w:r>
          </w:p>
        </w:tc>
        <w:tc>
          <w:tcPr>
            <w:tcW w:w="7376" w:type="dxa"/>
          </w:tcPr>
          <w:p w:rsidR="00622F59" w:rsidRPr="00391E8A" w:rsidRDefault="00622F59" w:rsidP="00E44645">
            <w:pPr>
              <w:snapToGrid w:val="0"/>
              <w:jc w:val="both"/>
            </w:pPr>
            <w:r w:rsidRPr="00391E8A">
              <w:rPr>
                <w:color w:val="000000"/>
                <w:lang w:eastAsia="lv-LV"/>
              </w:rPr>
              <w:t>Projekts šo jomu neskar</w:t>
            </w:r>
            <w:r w:rsidRPr="00391E8A">
              <w:rPr>
                <w:color w:val="000000"/>
              </w:rPr>
              <w:t>.</w:t>
            </w:r>
          </w:p>
        </w:tc>
      </w:tr>
      <w:tr w:rsidR="00622F59" w:rsidRPr="00391E8A" w:rsidTr="00503EE8">
        <w:trPr>
          <w:trHeight w:val="1395"/>
        </w:trPr>
        <w:tc>
          <w:tcPr>
            <w:tcW w:w="340" w:type="dxa"/>
          </w:tcPr>
          <w:p w:rsidR="00622F59" w:rsidRPr="00391E8A" w:rsidRDefault="00622F59" w:rsidP="00E44645">
            <w:pPr>
              <w:snapToGrid w:val="0"/>
              <w:jc w:val="both"/>
              <w:rPr>
                <w:color w:val="000000"/>
              </w:rPr>
            </w:pPr>
            <w:r w:rsidRPr="00391E8A">
              <w:rPr>
                <w:color w:val="000000"/>
              </w:rPr>
              <w:lastRenderedPageBreak/>
              <w:t>4.</w:t>
            </w:r>
          </w:p>
        </w:tc>
        <w:tc>
          <w:tcPr>
            <w:tcW w:w="1887" w:type="dxa"/>
          </w:tcPr>
          <w:p w:rsidR="00622F59" w:rsidRPr="00391E8A" w:rsidRDefault="00622F59" w:rsidP="00E44645">
            <w:pPr>
              <w:snapToGrid w:val="0"/>
              <w:jc w:val="both"/>
              <w:rPr>
                <w:color w:val="000000"/>
              </w:rPr>
            </w:pPr>
            <w:r w:rsidRPr="00391E8A">
              <w:rPr>
                <w:color w:val="000000"/>
              </w:rPr>
              <w:t xml:space="preserve">Tiesiskā </w:t>
            </w:r>
            <w:r w:rsidRPr="000125A9">
              <w:rPr>
                <w:color w:val="000000"/>
              </w:rPr>
              <w:t>regulējuma mērķis un būtība</w:t>
            </w:r>
          </w:p>
        </w:tc>
        <w:tc>
          <w:tcPr>
            <w:tcW w:w="7376" w:type="dxa"/>
          </w:tcPr>
          <w:p w:rsidR="00AA1EBD" w:rsidRDefault="00435034" w:rsidP="00CC1E6D">
            <w:pPr>
              <w:suppressAutoHyphens w:val="0"/>
              <w:autoSpaceDE w:val="0"/>
              <w:autoSpaceDN w:val="0"/>
              <w:adjustRightInd w:val="0"/>
              <w:jc w:val="both"/>
              <w:rPr>
                <w:color w:val="000000"/>
              </w:rPr>
            </w:pPr>
            <w:r>
              <w:t>L</w:t>
            </w:r>
            <w:r w:rsidR="00622F59" w:rsidRPr="004B6651">
              <w:t>ikumprojekt</w:t>
            </w:r>
            <w:r>
              <w:t>s izstrādāts ar mērķi</w:t>
            </w:r>
            <w:r w:rsidR="00CC1E6D">
              <w:rPr>
                <w:color w:val="000000"/>
              </w:rPr>
              <w:t xml:space="preserve"> uzlabot iestāžu </w:t>
            </w:r>
            <w:r w:rsidR="00CC1E6D" w:rsidRPr="000D7323">
              <w:rPr>
                <w:color w:val="000000"/>
              </w:rPr>
              <w:t xml:space="preserve">uzraudzības procesu un </w:t>
            </w:r>
            <w:r w:rsidR="00CC1E6D">
              <w:rPr>
                <w:color w:val="000000"/>
              </w:rPr>
              <w:t>sa</w:t>
            </w:r>
            <w:r w:rsidR="00CC1E6D" w:rsidRPr="000D7323">
              <w:rPr>
                <w:color w:val="000000"/>
              </w:rPr>
              <w:t>mazināt</w:t>
            </w:r>
            <w:r w:rsidR="00CC1E6D">
              <w:rPr>
                <w:color w:val="000000"/>
              </w:rPr>
              <w:t xml:space="preserve"> to darbības riskus</w:t>
            </w:r>
            <w:r w:rsidR="00AA1EBD">
              <w:rPr>
                <w:color w:val="000000"/>
              </w:rPr>
              <w:t>.</w:t>
            </w:r>
          </w:p>
          <w:p w:rsidR="00D823BB" w:rsidRDefault="00AA1EBD" w:rsidP="00FF7423">
            <w:pPr>
              <w:suppressAutoHyphens w:val="0"/>
              <w:autoSpaceDE w:val="0"/>
              <w:autoSpaceDN w:val="0"/>
              <w:adjustRightInd w:val="0"/>
              <w:spacing w:before="120"/>
              <w:jc w:val="both"/>
              <w:rPr>
                <w:color w:val="000000"/>
              </w:rPr>
            </w:pPr>
            <w:r>
              <w:rPr>
                <w:color w:val="000000"/>
              </w:rPr>
              <w:t>V</w:t>
            </w:r>
            <w:r w:rsidR="00435034">
              <w:rPr>
                <w:color w:val="000000"/>
              </w:rPr>
              <w:t>eicot grozījumus Likumā</w:t>
            </w:r>
            <w:r w:rsidR="00CC1E6D">
              <w:rPr>
                <w:color w:val="000000"/>
              </w:rPr>
              <w:t xml:space="preserve"> </w:t>
            </w:r>
            <w:r w:rsidR="00435034">
              <w:rPr>
                <w:color w:val="000000"/>
              </w:rPr>
              <w:t xml:space="preserve">tiek </w:t>
            </w:r>
            <w:r w:rsidR="00CC1E6D">
              <w:rPr>
                <w:color w:val="000000"/>
              </w:rPr>
              <w:t>pilnveidotas</w:t>
            </w:r>
            <w:r w:rsidR="00CC1E6D" w:rsidRPr="004B6651">
              <w:rPr>
                <w:color w:val="000000"/>
              </w:rPr>
              <w:t xml:space="preserve"> uzraudzības prasības un pazemināti</w:t>
            </w:r>
            <w:r w:rsidR="00435034">
              <w:rPr>
                <w:color w:val="000000"/>
              </w:rPr>
              <w:t xml:space="preserve"> veikto maksājumu, kā arī apgrozībā esošo naudas apmērs</w:t>
            </w:r>
            <w:r w:rsidR="00CC1E6D" w:rsidRPr="004B6651">
              <w:rPr>
                <w:color w:val="000000"/>
              </w:rPr>
              <w:t xml:space="preserve"> iestā</w:t>
            </w:r>
            <w:r w:rsidR="00CC1E6D">
              <w:rPr>
                <w:color w:val="000000"/>
              </w:rPr>
              <w:t>dēm</w:t>
            </w:r>
            <w:r w:rsidR="00435034">
              <w:rPr>
                <w:color w:val="000000"/>
              </w:rPr>
              <w:t>, pēc kura pārsniegšanas tai būtu jāsaņem Komisijas licence.</w:t>
            </w:r>
            <w:r w:rsidR="00070BF4">
              <w:rPr>
                <w:color w:val="000000"/>
              </w:rPr>
              <w:t xml:space="preserve"> </w:t>
            </w:r>
          </w:p>
          <w:p w:rsidR="00CC1E6D" w:rsidRDefault="00CC1E6D" w:rsidP="00AA1EBD">
            <w:pPr>
              <w:suppressAutoHyphens w:val="0"/>
              <w:autoSpaceDE w:val="0"/>
              <w:autoSpaceDN w:val="0"/>
              <w:adjustRightInd w:val="0"/>
              <w:spacing w:before="120"/>
              <w:jc w:val="both"/>
              <w:rPr>
                <w:color w:val="000000"/>
              </w:rPr>
            </w:pPr>
            <w:r>
              <w:rPr>
                <w:color w:val="000000"/>
              </w:rPr>
              <w:t>Likumā</w:t>
            </w:r>
            <w:r w:rsidR="00584885">
              <w:rPr>
                <w:color w:val="000000"/>
              </w:rPr>
              <w:t xml:space="preserve"> tiek</w:t>
            </w:r>
            <w:r w:rsidRPr="003F7FF2">
              <w:t xml:space="preserve"> </w:t>
            </w:r>
            <w:r w:rsidRPr="003F7FF2">
              <w:rPr>
                <w:color w:val="000000"/>
              </w:rPr>
              <w:t>pagarināt</w:t>
            </w:r>
            <w:r w:rsidR="00D823BB">
              <w:rPr>
                <w:color w:val="000000"/>
              </w:rPr>
              <w:t>s</w:t>
            </w:r>
            <w:r w:rsidRPr="003F7FF2">
              <w:rPr>
                <w:color w:val="000000"/>
              </w:rPr>
              <w:t xml:space="preserve"> </w:t>
            </w:r>
            <w:r w:rsidRPr="000D7323">
              <w:rPr>
                <w:color w:val="000000"/>
              </w:rPr>
              <w:t>iesniegumu</w:t>
            </w:r>
            <w:r w:rsidRPr="003F7FF2">
              <w:rPr>
                <w:color w:val="000000"/>
              </w:rPr>
              <w:t xml:space="preserve"> izskatīšanas termiņ</w:t>
            </w:r>
            <w:r w:rsidR="00D823BB">
              <w:rPr>
                <w:color w:val="000000"/>
              </w:rPr>
              <w:t>š</w:t>
            </w:r>
            <w:r>
              <w:rPr>
                <w:color w:val="000000"/>
              </w:rPr>
              <w:t xml:space="preserve"> iestādes reģistrācijai maksājumu iestāžu vai elektroniskās naudas iestāžu reģistrā</w:t>
            </w:r>
            <w:r w:rsidR="00946E1D">
              <w:rPr>
                <w:color w:val="000000"/>
              </w:rPr>
              <w:t>, tādejādi nodrošinot saņemto iesniegumu samērīgu izskatīšanas periodu.</w:t>
            </w:r>
          </w:p>
          <w:p w:rsidR="00CC1E6D" w:rsidRDefault="00CC1E6D" w:rsidP="00AA1EBD">
            <w:pPr>
              <w:suppressAutoHyphens w:val="0"/>
              <w:autoSpaceDE w:val="0"/>
              <w:autoSpaceDN w:val="0"/>
              <w:adjustRightInd w:val="0"/>
              <w:spacing w:before="120"/>
              <w:jc w:val="both"/>
              <w:rPr>
                <w:color w:val="000000"/>
              </w:rPr>
            </w:pPr>
            <w:r>
              <w:rPr>
                <w:color w:val="000000"/>
              </w:rPr>
              <w:t>T</w:t>
            </w:r>
            <w:r w:rsidRPr="003F7FF2">
              <w:rPr>
                <w:color w:val="000000"/>
              </w:rPr>
              <w:t>iek paplašināts personu loks</w:t>
            </w:r>
            <w:r>
              <w:rPr>
                <w:color w:val="000000"/>
              </w:rPr>
              <w:t xml:space="preserve">, kas ir tiesīgas sniegt maksājumu pakalpojumus, iekļaujot tajā </w:t>
            </w:r>
            <w:proofErr w:type="spellStart"/>
            <w:r>
              <w:rPr>
                <w:color w:val="000000"/>
              </w:rPr>
              <w:t>krājaizdevu</w:t>
            </w:r>
            <w:proofErr w:type="spellEnd"/>
            <w:r>
              <w:rPr>
                <w:color w:val="000000"/>
              </w:rPr>
              <w:t xml:space="preserve"> sabiedrības</w:t>
            </w:r>
            <w:r w:rsidR="00946E1D">
              <w:rPr>
                <w:color w:val="000000"/>
              </w:rPr>
              <w:t>, tādejādi nodrošinot, ka arī kredītiestādes, kas ir tiesīgas sniegt maksājumu pakalpojumus tiek pieskaitītas pie maksājumu pakalpojumu sniedzējiem Likuma izpratnē</w:t>
            </w:r>
            <w:r>
              <w:rPr>
                <w:color w:val="000000"/>
              </w:rPr>
              <w:t>.</w:t>
            </w:r>
          </w:p>
          <w:p w:rsidR="00CC1E6D" w:rsidRDefault="00584885" w:rsidP="00AA1EBD">
            <w:pPr>
              <w:suppressAutoHyphens w:val="0"/>
              <w:autoSpaceDE w:val="0"/>
              <w:autoSpaceDN w:val="0"/>
              <w:adjustRightInd w:val="0"/>
              <w:spacing w:before="120"/>
              <w:jc w:val="both"/>
              <w:rPr>
                <w:color w:val="000000"/>
              </w:rPr>
            </w:pPr>
            <w:r>
              <w:rPr>
                <w:color w:val="000000"/>
              </w:rPr>
              <w:t>Tiek veikta</w:t>
            </w:r>
            <w:r w:rsidRPr="00FE3634">
              <w:rPr>
                <w:color w:val="000000"/>
              </w:rPr>
              <w:t xml:space="preserve"> </w:t>
            </w:r>
            <w:r w:rsidRPr="00CD0C4D">
              <w:rPr>
                <w:color w:val="000000"/>
              </w:rPr>
              <w:t xml:space="preserve">pašu kapitāla prasības aprēķina maiņa, pamatojoties </w:t>
            </w:r>
            <w:r w:rsidRPr="009B4F65">
              <w:rPr>
                <w:color w:val="000000"/>
              </w:rPr>
              <w:t>uz</w:t>
            </w:r>
            <w:r>
              <w:rPr>
                <w:color w:val="000000"/>
              </w:rPr>
              <w:t xml:space="preserve"> </w:t>
            </w:r>
            <w:r>
              <w:rPr>
                <w:rStyle w:val="Strong"/>
                <w:b w:val="0"/>
                <w:color w:val="000000"/>
                <w:shd w:val="clear" w:color="auto" w:fill="FFFFFF"/>
              </w:rPr>
              <w:t>Direktīvas 2007/64/EK</w:t>
            </w:r>
            <w:r w:rsidRPr="00FE3634">
              <w:rPr>
                <w:color w:val="000000"/>
              </w:rPr>
              <w:t xml:space="preserve"> 8. pantā minēt</w:t>
            </w:r>
            <w:r>
              <w:rPr>
                <w:color w:val="000000"/>
              </w:rPr>
              <w:t>o</w:t>
            </w:r>
            <w:r w:rsidRPr="00FE3634">
              <w:rPr>
                <w:color w:val="000000"/>
              </w:rPr>
              <w:t xml:space="preserve"> B metod</w:t>
            </w:r>
            <w:r>
              <w:rPr>
                <w:color w:val="000000"/>
              </w:rPr>
              <w:t>i, tādejādi</w:t>
            </w:r>
            <w:r w:rsidR="00CC1E6D" w:rsidRPr="00FE3634">
              <w:rPr>
                <w:color w:val="000000"/>
              </w:rPr>
              <w:t xml:space="preserve"> </w:t>
            </w:r>
            <w:r w:rsidR="00CC1E6D">
              <w:rPr>
                <w:color w:val="000000"/>
              </w:rPr>
              <w:t>pilnveido</w:t>
            </w:r>
            <w:r>
              <w:rPr>
                <w:color w:val="000000"/>
              </w:rPr>
              <w:t>jot</w:t>
            </w:r>
            <w:r w:rsidR="00CC1E6D" w:rsidRPr="00FE3634">
              <w:rPr>
                <w:color w:val="000000"/>
              </w:rPr>
              <w:t xml:space="preserve"> licencēto maksājumu iestāžu uzraudzīb</w:t>
            </w:r>
            <w:r w:rsidR="00CC1E6D">
              <w:rPr>
                <w:color w:val="000000"/>
              </w:rPr>
              <w:t>u</w:t>
            </w:r>
            <w:r w:rsidR="00CC1E6D" w:rsidRPr="00FE3634">
              <w:rPr>
                <w:color w:val="000000"/>
              </w:rPr>
              <w:t xml:space="preserve"> un nodrošinātu </w:t>
            </w:r>
            <w:r w:rsidR="008B57A4">
              <w:rPr>
                <w:color w:val="000000"/>
              </w:rPr>
              <w:t>samērīgas</w:t>
            </w:r>
            <w:r w:rsidR="008B57A4" w:rsidRPr="00FE3634">
              <w:rPr>
                <w:color w:val="000000"/>
              </w:rPr>
              <w:t xml:space="preserve"> </w:t>
            </w:r>
            <w:r w:rsidR="00CC1E6D" w:rsidRPr="00FE3634">
              <w:rPr>
                <w:color w:val="000000"/>
              </w:rPr>
              <w:t xml:space="preserve">prasības </w:t>
            </w:r>
            <w:r w:rsidR="00CC1E6D">
              <w:rPr>
                <w:color w:val="000000"/>
              </w:rPr>
              <w:t xml:space="preserve">nepieciešamajam </w:t>
            </w:r>
            <w:r w:rsidR="00CC1E6D" w:rsidRPr="00FE3634">
              <w:rPr>
                <w:color w:val="000000"/>
              </w:rPr>
              <w:t>pašu kapitāla</w:t>
            </w:r>
            <w:r w:rsidR="00CC1E6D">
              <w:rPr>
                <w:color w:val="000000"/>
              </w:rPr>
              <w:t xml:space="preserve"> apmēram, ņ</w:t>
            </w:r>
            <w:r w:rsidR="00CC1E6D" w:rsidRPr="00FE3634">
              <w:rPr>
                <w:color w:val="000000"/>
              </w:rPr>
              <w:t>emot vērā maksājumu iestā</w:t>
            </w:r>
            <w:r w:rsidR="00CC1E6D">
              <w:rPr>
                <w:color w:val="000000"/>
              </w:rPr>
              <w:t>des</w:t>
            </w:r>
            <w:r w:rsidR="00CC1E6D" w:rsidRPr="00FE3634">
              <w:rPr>
                <w:color w:val="000000"/>
              </w:rPr>
              <w:t xml:space="preserve"> faktisk</w:t>
            </w:r>
            <w:r w:rsidR="00CC1E6D">
              <w:rPr>
                <w:color w:val="000000"/>
              </w:rPr>
              <w:t xml:space="preserve">i sniegto maksājumu pakalpojumu apmēru </w:t>
            </w:r>
            <w:r w:rsidR="00CC1E6D" w:rsidRPr="00FE3634">
              <w:rPr>
                <w:color w:val="000000"/>
              </w:rPr>
              <w:t>un veidu</w:t>
            </w:r>
            <w:r>
              <w:rPr>
                <w:color w:val="000000"/>
              </w:rPr>
              <w:t>.</w:t>
            </w:r>
            <w:r w:rsidR="00CC1E6D" w:rsidRPr="00FE3634">
              <w:rPr>
                <w:color w:val="000000"/>
              </w:rPr>
              <w:t xml:space="preserve"> </w:t>
            </w:r>
          </w:p>
          <w:p w:rsidR="00CC1E6D" w:rsidRDefault="00946E1D" w:rsidP="00AA1EBD">
            <w:pPr>
              <w:suppressAutoHyphens w:val="0"/>
              <w:autoSpaceDE w:val="0"/>
              <w:autoSpaceDN w:val="0"/>
              <w:adjustRightInd w:val="0"/>
              <w:spacing w:before="120"/>
              <w:jc w:val="both"/>
            </w:pPr>
            <w:r>
              <w:rPr>
                <w:color w:val="000000"/>
              </w:rPr>
              <w:t xml:space="preserve">Veikti </w:t>
            </w:r>
            <w:r w:rsidR="00FB696F">
              <w:rPr>
                <w:color w:val="000000"/>
              </w:rPr>
              <w:t>Likuma grozījumi</w:t>
            </w:r>
            <w:r w:rsidR="00CC1E6D" w:rsidRPr="00373EBD">
              <w:rPr>
                <w:color w:val="000000"/>
              </w:rPr>
              <w:t xml:space="preserve"> par iestādes sākotnējo kapitālu un pašu kapitālu</w:t>
            </w:r>
            <w:r w:rsidR="00330621">
              <w:rPr>
                <w:color w:val="000000"/>
              </w:rPr>
              <w:t xml:space="preserve"> un tā </w:t>
            </w:r>
            <w:r w:rsidR="00CC1E6D" w:rsidRPr="00373EBD">
              <w:rPr>
                <w:color w:val="000000"/>
              </w:rPr>
              <w:t>aprēķin</w:t>
            </w:r>
            <w:r w:rsidR="00330621">
              <w:rPr>
                <w:color w:val="000000"/>
              </w:rPr>
              <w:t>āšanas kārtību</w:t>
            </w:r>
            <w:r w:rsidR="00CC1E6D" w:rsidRPr="00373EBD">
              <w:rPr>
                <w:color w:val="000000"/>
              </w:rPr>
              <w:t>,</w:t>
            </w:r>
            <w:r w:rsidR="00FB696F">
              <w:rPr>
                <w:color w:val="000000"/>
              </w:rPr>
              <w:t xml:space="preserve"> lai nodrošinātu regulas Nr.575/2013 nosacījumu izpildi,</w:t>
            </w:r>
            <w:r w:rsidR="00CC1E6D" w:rsidRPr="00373EBD">
              <w:rPr>
                <w:color w:val="000000"/>
              </w:rPr>
              <w:t xml:space="preserve"> jo ar </w:t>
            </w:r>
            <w:r w:rsidR="00CC1E6D" w:rsidRPr="003E1A08">
              <w:rPr>
                <w:bCs/>
                <w:color w:val="000000"/>
              </w:rPr>
              <w:t>Regul</w:t>
            </w:r>
            <w:r w:rsidR="00FB696F">
              <w:rPr>
                <w:bCs/>
                <w:color w:val="000000"/>
              </w:rPr>
              <w:t>as</w:t>
            </w:r>
            <w:r w:rsidR="00CC1E6D">
              <w:rPr>
                <w:bCs/>
                <w:color w:val="000000"/>
              </w:rPr>
              <w:t xml:space="preserve"> </w:t>
            </w:r>
            <w:r w:rsidR="00CC1E6D" w:rsidRPr="003E1A08">
              <w:rPr>
                <w:bCs/>
                <w:color w:val="000000"/>
              </w:rPr>
              <w:t>Nr. 575/2013</w:t>
            </w:r>
            <w:r w:rsidR="00CC1E6D" w:rsidRPr="00373EBD">
              <w:rPr>
                <w:color w:val="000000"/>
              </w:rPr>
              <w:t xml:space="preserve"> ieviešanu </w:t>
            </w:r>
            <w:r w:rsidR="00CC1E6D">
              <w:rPr>
                <w:color w:val="000000"/>
              </w:rPr>
              <w:t>spēku zaudē</w:t>
            </w:r>
            <w:r w:rsidR="00CC1E6D" w:rsidRPr="00373EBD">
              <w:rPr>
                <w:color w:val="000000"/>
              </w:rPr>
              <w:t xml:space="preserve"> </w:t>
            </w:r>
            <w:r w:rsidR="00CC1E6D" w:rsidRPr="00373EBD">
              <w:rPr>
                <w:iCs/>
                <w:color w:val="000000"/>
              </w:rPr>
              <w:t>Eiropas Parlamenta un Padomes 2006. gada 14. jūnija Direktīva Nr. 2006/48/EK par kredītiestāžu darbības sākšanu un veikšanu</w:t>
            </w:r>
            <w:r w:rsidR="00CC1E6D" w:rsidRPr="00373EBD">
              <w:rPr>
                <w:color w:val="000000"/>
              </w:rPr>
              <w:t>, kura līdz šim noteica</w:t>
            </w:r>
            <w:r w:rsidR="00BB0A2F">
              <w:rPr>
                <w:color w:val="000000"/>
              </w:rPr>
              <w:t xml:space="preserve"> licencētas</w:t>
            </w:r>
            <w:r w:rsidR="00CC1E6D" w:rsidRPr="00373EBD">
              <w:rPr>
                <w:color w:val="000000"/>
              </w:rPr>
              <w:t xml:space="preserve"> maksājumu pakalpojumu un elektroniskās naudas iestādes sākotnēj</w:t>
            </w:r>
            <w:r w:rsidR="00E03CE9">
              <w:rPr>
                <w:color w:val="000000"/>
              </w:rPr>
              <w:t>ā</w:t>
            </w:r>
            <w:r w:rsidR="00CC1E6D" w:rsidRPr="00373EBD">
              <w:rPr>
                <w:color w:val="000000"/>
              </w:rPr>
              <w:t xml:space="preserve"> kapitāl</w:t>
            </w:r>
            <w:r w:rsidR="00E03CE9">
              <w:rPr>
                <w:color w:val="000000"/>
              </w:rPr>
              <w:t>a</w:t>
            </w:r>
            <w:r w:rsidR="00CC1E6D" w:rsidRPr="00373EBD">
              <w:rPr>
                <w:color w:val="000000"/>
              </w:rPr>
              <w:t xml:space="preserve"> un pašu kapitāl</w:t>
            </w:r>
            <w:r w:rsidR="00E03CE9">
              <w:rPr>
                <w:color w:val="000000"/>
              </w:rPr>
              <w:t>a</w:t>
            </w:r>
            <w:r w:rsidR="00CC1E6D" w:rsidRPr="00373EBD">
              <w:rPr>
                <w:color w:val="000000"/>
              </w:rPr>
              <w:t xml:space="preserve"> aprēķinu </w:t>
            </w:r>
            <w:r w:rsidR="00CC1E6D">
              <w:rPr>
                <w:color w:val="000000"/>
              </w:rPr>
              <w:t>un uz kuru atsaucās</w:t>
            </w:r>
            <w:r w:rsidR="00CC1E6D" w:rsidRPr="00373EBD">
              <w:rPr>
                <w:color w:val="000000"/>
              </w:rPr>
              <w:t xml:space="preserve"> </w:t>
            </w:r>
            <w:r w:rsidR="00CC1E6D" w:rsidRPr="00373EBD">
              <w:rPr>
                <w:iCs/>
                <w:color w:val="000000"/>
              </w:rPr>
              <w:t>Direktīv</w:t>
            </w:r>
            <w:r w:rsidR="00CC1E6D">
              <w:rPr>
                <w:iCs/>
                <w:color w:val="000000"/>
              </w:rPr>
              <w:t>a</w:t>
            </w:r>
            <w:r w:rsidR="00CC1E6D" w:rsidRPr="00373EBD">
              <w:rPr>
                <w:iCs/>
                <w:color w:val="000000"/>
              </w:rPr>
              <w:t xml:space="preserve"> 2007/64/EK un Padomes 2009. gada 16. septembra Direktīv</w:t>
            </w:r>
            <w:r w:rsidR="00CC1E6D">
              <w:rPr>
                <w:iCs/>
                <w:color w:val="000000"/>
              </w:rPr>
              <w:t>a</w:t>
            </w:r>
            <w:r w:rsidR="00CC1E6D" w:rsidRPr="00373EBD">
              <w:rPr>
                <w:iCs/>
                <w:color w:val="000000"/>
              </w:rPr>
              <w:t xml:space="preserve"> Nr. </w:t>
            </w:r>
            <w:hyperlink r:id="rId12" w:history="1">
              <w:r w:rsidR="00CC1E6D" w:rsidRPr="00373EBD">
                <w:rPr>
                  <w:iCs/>
                  <w:color w:val="000000"/>
                </w:rPr>
                <w:t>2009/110/EK</w:t>
              </w:r>
            </w:hyperlink>
            <w:r w:rsidR="00CC1E6D" w:rsidRPr="00373EBD">
              <w:rPr>
                <w:iCs/>
                <w:color w:val="000000"/>
              </w:rPr>
              <w:t xml:space="preserve"> par elektroniskās naudas iestāžu darbības sākšanu, veikšanu un konsultatīvu uzraudzību, par grozījumiem Direktīvā </w:t>
            </w:r>
            <w:hyperlink r:id="rId13" w:history="1">
              <w:r w:rsidR="00CC1E6D" w:rsidRPr="00373EBD">
                <w:rPr>
                  <w:iCs/>
                  <w:color w:val="000000"/>
                </w:rPr>
                <w:t>2005/60/EK</w:t>
              </w:r>
            </w:hyperlink>
            <w:r w:rsidR="00CC1E6D" w:rsidRPr="00373EBD">
              <w:rPr>
                <w:iCs/>
                <w:color w:val="000000"/>
              </w:rPr>
              <w:t xml:space="preserve"> un Direktīvā </w:t>
            </w:r>
            <w:hyperlink r:id="rId14" w:history="1">
              <w:r w:rsidR="00CC1E6D" w:rsidRPr="00373EBD">
                <w:rPr>
                  <w:iCs/>
                  <w:color w:val="000000"/>
                </w:rPr>
                <w:t>2006/48/EK</w:t>
              </w:r>
            </w:hyperlink>
            <w:r w:rsidR="00CC1E6D" w:rsidRPr="00373EBD">
              <w:rPr>
                <w:iCs/>
                <w:color w:val="000000"/>
              </w:rPr>
              <w:t xml:space="preserve"> un par Direktīvas </w:t>
            </w:r>
            <w:hyperlink r:id="rId15" w:history="1">
              <w:r w:rsidR="00CC1E6D" w:rsidRPr="00373EBD">
                <w:rPr>
                  <w:iCs/>
                  <w:color w:val="000000"/>
                </w:rPr>
                <w:t>2000/46/EK</w:t>
              </w:r>
            </w:hyperlink>
            <w:r w:rsidR="00CC1E6D" w:rsidRPr="00373EBD">
              <w:rPr>
                <w:iCs/>
                <w:color w:val="000000"/>
              </w:rPr>
              <w:t xml:space="preserve"> atcelšanu.</w:t>
            </w:r>
          </w:p>
          <w:p w:rsidR="00584885" w:rsidRDefault="00584885" w:rsidP="00AA1EBD">
            <w:pPr>
              <w:suppressAutoHyphens w:val="0"/>
              <w:autoSpaceDE w:val="0"/>
              <w:autoSpaceDN w:val="0"/>
              <w:adjustRightInd w:val="0"/>
              <w:spacing w:before="120"/>
              <w:jc w:val="both"/>
            </w:pPr>
            <w:r>
              <w:rPr>
                <w:color w:val="000000"/>
              </w:rPr>
              <w:t>Ar grozījumiem</w:t>
            </w:r>
            <w:r w:rsidRPr="003F7FF2">
              <w:rPr>
                <w:color w:val="000000"/>
              </w:rPr>
              <w:t xml:space="preserve"> t</w:t>
            </w:r>
            <w:r w:rsidRPr="003F7FF2">
              <w:t>iek veiktas</w:t>
            </w:r>
            <w:r w:rsidR="00FB696F">
              <w:t xml:space="preserve"> izmaiņas attiecībā uz maksu Komisijas  darbības finansēšanai</w:t>
            </w:r>
            <w:r>
              <w:t>,</w:t>
            </w:r>
            <w:r w:rsidR="00E346BE">
              <w:t xml:space="preserve"> tādejādi paredzot diferencētu maksu</w:t>
            </w:r>
            <w:r w:rsidR="00FB696F">
              <w:t xml:space="preserve"> tirgus dalībnieki</w:t>
            </w:r>
            <w:r w:rsidR="00E346BE">
              <w:t>em</w:t>
            </w:r>
            <w:r w:rsidR="00FB696F">
              <w:t>,</w:t>
            </w:r>
            <w:r>
              <w:t xml:space="preserve"> </w:t>
            </w:r>
            <w:r w:rsidR="00FB696F">
              <w:t>kas atkarīga no veikto maksājumu kopsummas vai</w:t>
            </w:r>
            <w:r>
              <w:t xml:space="preserve"> </w:t>
            </w:r>
            <w:r w:rsidR="00FB696F">
              <w:t>atpirktās elektroniskās naudas kopsummas.</w:t>
            </w:r>
          </w:p>
          <w:p w:rsidR="00573F29" w:rsidRDefault="00FB696F" w:rsidP="00BE6835">
            <w:pPr>
              <w:suppressAutoHyphens w:val="0"/>
              <w:autoSpaceDE w:val="0"/>
              <w:autoSpaceDN w:val="0"/>
              <w:adjustRightInd w:val="0"/>
              <w:spacing w:before="120"/>
              <w:jc w:val="both"/>
            </w:pPr>
            <w:r>
              <w:t>Lai nodrošinātu tiesiskā regulējuma ieviešanu Likumā tiek veikti grozījumi šādos</w:t>
            </w:r>
            <w:r w:rsidR="0086309F">
              <w:t xml:space="preserve"> Likuma</w:t>
            </w:r>
            <w:r>
              <w:t xml:space="preserve"> pantos</w:t>
            </w:r>
            <w:r w:rsidR="00622F59" w:rsidRPr="004B6651">
              <w:t xml:space="preserve"> 1.</w:t>
            </w:r>
            <w:r w:rsidR="00622F59">
              <w:t xml:space="preserve"> </w:t>
            </w:r>
            <w:r w:rsidR="00622F59" w:rsidRPr="004B6651">
              <w:t>p.</w:t>
            </w:r>
            <w:r w:rsidR="00622F59">
              <w:t xml:space="preserve"> </w:t>
            </w:r>
            <w:r w:rsidR="00622F59" w:rsidRPr="004B6651">
              <w:t>1.,</w:t>
            </w:r>
            <w:r w:rsidR="00622F59">
              <w:t xml:space="preserve"> </w:t>
            </w:r>
            <w:r w:rsidR="00622F59" w:rsidRPr="004B6651">
              <w:t>21.,</w:t>
            </w:r>
            <w:r w:rsidR="00622F59">
              <w:t xml:space="preserve"> </w:t>
            </w:r>
            <w:r w:rsidR="00622F59" w:rsidRPr="004B6651">
              <w:t>22.</w:t>
            </w:r>
            <w:r w:rsidR="00622F59">
              <w:t xml:space="preserve"> </w:t>
            </w:r>
            <w:proofErr w:type="spellStart"/>
            <w:r w:rsidR="00622F59" w:rsidRPr="004B6651">
              <w:t>pk</w:t>
            </w:r>
            <w:proofErr w:type="spellEnd"/>
            <w:r w:rsidR="00622F59" w:rsidRPr="004B6651">
              <w:t>.; 2.</w:t>
            </w:r>
            <w:r w:rsidR="00622F59">
              <w:t xml:space="preserve"> </w:t>
            </w:r>
            <w:r w:rsidR="00622F59" w:rsidRPr="004B6651">
              <w:t>p. 2.</w:t>
            </w:r>
            <w:r w:rsidR="00622F59" w:rsidRPr="004B6651">
              <w:rPr>
                <w:vertAlign w:val="superscript"/>
              </w:rPr>
              <w:t>1</w:t>
            </w:r>
            <w:r w:rsidR="00622F59">
              <w:rPr>
                <w:vertAlign w:val="superscript"/>
              </w:rPr>
              <w:t> </w:t>
            </w:r>
            <w:r w:rsidR="00622F59" w:rsidRPr="004B6651">
              <w:t>d.</w:t>
            </w:r>
            <w:r w:rsidR="00622F59">
              <w:t xml:space="preserve"> </w:t>
            </w:r>
            <w:r w:rsidR="00622F59" w:rsidRPr="004B6651">
              <w:t>7.</w:t>
            </w:r>
            <w:r w:rsidR="00622F59">
              <w:t xml:space="preserve"> </w:t>
            </w:r>
            <w:proofErr w:type="spellStart"/>
            <w:r w:rsidR="00622F59" w:rsidRPr="004B6651">
              <w:t>pk</w:t>
            </w:r>
            <w:proofErr w:type="spellEnd"/>
            <w:r w:rsidR="00622F59" w:rsidRPr="004B6651">
              <w:t>.; 2.</w:t>
            </w:r>
            <w:r w:rsidR="00622F59">
              <w:t xml:space="preserve"> </w:t>
            </w:r>
            <w:r w:rsidR="00622F59" w:rsidRPr="004B6651">
              <w:t>p</w:t>
            </w:r>
            <w:r w:rsidR="00622F59">
              <w:t>.</w:t>
            </w:r>
            <w:r w:rsidR="00622F59" w:rsidRPr="004B6651">
              <w:t xml:space="preserve"> 2., 8.</w:t>
            </w:r>
            <w:r w:rsidR="00622F59">
              <w:t xml:space="preserve"> </w:t>
            </w:r>
            <w:proofErr w:type="spellStart"/>
            <w:r w:rsidR="00622F59" w:rsidRPr="004B6651">
              <w:t>pk</w:t>
            </w:r>
            <w:proofErr w:type="spellEnd"/>
            <w:r w:rsidR="00622F59" w:rsidRPr="004B6651">
              <w:t>.; 4.</w:t>
            </w:r>
            <w:r w:rsidR="00622F59">
              <w:t xml:space="preserve"> </w:t>
            </w:r>
            <w:r w:rsidR="00622F59" w:rsidRPr="004B6651">
              <w:t>p.</w:t>
            </w:r>
            <w:r w:rsidR="00622F59">
              <w:t xml:space="preserve"> </w:t>
            </w:r>
            <w:r w:rsidR="00622F59" w:rsidRPr="004B6651">
              <w:t>1.,</w:t>
            </w:r>
            <w:r w:rsidR="00622F59">
              <w:t xml:space="preserve"> </w:t>
            </w:r>
            <w:r w:rsidR="00622F59" w:rsidRPr="004B6651">
              <w:t>2.,</w:t>
            </w:r>
            <w:r w:rsidR="00622F59" w:rsidRPr="004B6651">
              <w:rPr>
                <w:bCs/>
              </w:rPr>
              <w:t xml:space="preserve"> 2.</w:t>
            </w:r>
            <w:r w:rsidR="00622F59" w:rsidRPr="004B6651">
              <w:rPr>
                <w:bCs/>
                <w:vertAlign w:val="superscript"/>
              </w:rPr>
              <w:t>1</w:t>
            </w:r>
            <w:r w:rsidR="00622F59">
              <w:rPr>
                <w:bCs/>
                <w:vertAlign w:val="superscript"/>
              </w:rPr>
              <w:t xml:space="preserve"> </w:t>
            </w:r>
            <w:r w:rsidR="00622F59" w:rsidRPr="004B6651">
              <w:t>d</w:t>
            </w:r>
            <w:r w:rsidR="00622F59">
              <w:t>.;</w:t>
            </w:r>
            <w:r w:rsidR="00622F59" w:rsidRPr="004B6651">
              <w:t xml:space="preserve"> 5.</w:t>
            </w:r>
            <w:r w:rsidR="00622F59">
              <w:t xml:space="preserve"> </w:t>
            </w:r>
            <w:r w:rsidR="00622F59" w:rsidRPr="004B6651">
              <w:t>p.</w:t>
            </w:r>
            <w:r w:rsidR="00622F59">
              <w:t xml:space="preserve"> </w:t>
            </w:r>
            <w:r w:rsidR="00622F59" w:rsidRPr="004B6651">
              <w:t>1.,</w:t>
            </w:r>
            <w:r w:rsidR="00622F59">
              <w:t xml:space="preserve"> </w:t>
            </w:r>
            <w:r w:rsidR="00622F59" w:rsidRPr="004B6651">
              <w:t>2.</w:t>
            </w:r>
            <w:r w:rsidR="00622F59">
              <w:t xml:space="preserve">, </w:t>
            </w:r>
            <w:r w:rsidR="00622F59" w:rsidRPr="004B6651">
              <w:t>3.</w:t>
            </w:r>
            <w:r w:rsidR="00622F59">
              <w:t xml:space="preserve"> </w:t>
            </w:r>
            <w:r w:rsidR="00622F59" w:rsidRPr="004B6651">
              <w:t>d</w:t>
            </w:r>
            <w:r w:rsidR="00622F59">
              <w:t>.</w:t>
            </w:r>
            <w:r w:rsidR="00622F59" w:rsidRPr="004B6651">
              <w:t>;</w:t>
            </w:r>
            <w:r w:rsidR="0086309F">
              <w:t xml:space="preserve"> </w:t>
            </w:r>
            <w:r w:rsidR="00622F59" w:rsidRPr="004B6651">
              <w:rPr>
                <w:bCs/>
              </w:rPr>
              <w:t>5.</w:t>
            </w:r>
            <w:r w:rsidR="00622F59" w:rsidRPr="004B6651">
              <w:rPr>
                <w:bCs/>
                <w:vertAlign w:val="superscript"/>
              </w:rPr>
              <w:t>1</w:t>
            </w:r>
            <w:r w:rsidR="00622F59">
              <w:rPr>
                <w:bCs/>
                <w:vertAlign w:val="superscript"/>
              </w:rPr>
              <w:t xml:space="preserve"> </w:t>
            </w:r>
            <w:r w:rsidR="00622F59" w:rsidRPr="004B6651">
              <w:t>p.</w:t>
            </w:r>
            <w:r w:rsidR="00622F59">
              <w:t xml:space="preserve"> </w:t>
            </w:r>
            <w:r w:rsidR="00622F59" w:rsidRPr="004B6651">
              <w:t>1.,</w:t>
            </w:r>
            <w:r w:rsidR="00622F59">
              <w:t xml:space="preserve"> </w:t>
            </w:r>
            <w:r w:rsidR="00622F59" w:rsidRPr="004B6651">
              <w:t>2.,</w:t>
            </w:r>
            <w:r w:rsidR="00622F59">
              <w:t xml:space="preserve"> </w:t>
            </w:r>
            <w:r w:rsidR="00622F59" w:rsidRPr="004B6651">
              <w:t>3.,</w:t>
            </w:r>
            <w:r w:rsidR="00622F59">
              <w:t xml:space="preserve"> </w:t>
            </w:r>
            <w:r w:rsidR="00622F59" w:rsidRPr="004B6651">
              <w:t>4.</w:t>
            </w:r>
            <w:r w:rsidR="00622F59">
              <w:t xml:space="preserve"> </w:t>
            </w:r>
            <w:r w:rsidR="00622F59" w:rsidRPr="004B6651">
              <w:t>d</w:t>
            </w:r>
            <w:r w:rsidR="00622F59">
              <w:t>.</w:t>
            </w:r>
            <w:r w:rsidR="00622F59" w:rsidRPr="004B6651">
              <w:t xml:space="preserve">; </w:t>
            </w:r>
            <w:r w:rsidR="00622F59" w:rsidRPr="004B6651">
              <w:rPr>
                <w:bCs/>
              </w:rPr>
              <w:t>5.</w:t>
            </w:r>
            <w:r w:rsidR="00622F59" w:rsidRPr="004B6651">
              <w:rPr>
                <w:bCs/>
                <w:vertAlign w:val="superscript"/>
              </w:rPr>
              <w:t>2</w:t>
            </w:r>
            <w:r w:rsidR="00622F59">
              <w:rPr>
                <w:bCs/>
                <w:vertAlign w:val="superscript"/>
              </w:rPr>
              <w:t> </w:t>
            </w:r>
            <w:r w:rsidR="00622F59" w:rsidRPr="004B6651">
              <w:t>p.</w:t>
            </w:r>
            <w:r w:rsidR="00622F59">
              <w:t> </w:t>
            </w:r>
            <w:r w:rsidR="00622F59" w:rsidRPr="004B6651">
              <w:t>1.,</w:t>
            </w:r>
            <w:r w:rsidR="00622F59">
              <w:t xml:space="preserve"> </w:t>
            </w:r>
            <w:r w:rsidR="00622F59" w:rsidRPr="004B6651">
              <w:t>2.</w:t>
            </w:r>
            <w:r w:rsidR="00622F59">
              <w:t xml:space="preserve"> </w:t>
            </w:r>
            <w:r w:rsidR="00622F59" w:rsidRPr="004B6651">
              <w:t>d</w:t>
            </w:r>
            <w:r w:rsidR="00622F59">
              <w:t>.</w:t>
            </w:r>
            <w:r w:rsidR="00622F59" w:rsidRPr="004B6651">
              <w:t>;</w:t>
            </w:r>
            <w:r w:rsidR="00622F59" w:rsidRPr="004B6651">
              <w:rPr>
                <w:bCs/>
              </w:rPr>
              <w:t xml:space="preserve"> 5.</w:t>
            </w:r>
            <w:r w:rsidR="00622F59" w:rsidRPr="004B6651">
              <w:rPr>
                <w:bCs/>
                <w:vertAlign w:val="superscript"/>
              </w:rPr>
              <w:t>3</w:t>
            </w:r>
            <w:r w:rsidR="00622F59">
              <w:rPr>
                <w:bCs/>
                <w:vertAlign w:val="superscript"/>
              </w:rPr>
              <w:t xml:space="preserve"> </w:t>
            </w:r>
            <w:r w:rsidR="00622F59" w:rsidRPr="004B6651">
              <w:t>p.; 8.</w:t>
            </w:r>
            <w:r w:rsidR="00622F59">
              <w:t xml:space="preserve"> </w:t>
            </w:r>
            <w:r w:rsidR="00622F59" w:rsidRPr="004B6651">
              <w:t>p.; 9.</w:t>
            </w:r>
            <w:r w:rsidR="00622F59">
              <w:t xml:space="preserve"> </w:t>
            </w:r>
            <w:r w:rsidR="00622F59" w:rsidRPr="004B6651">
              <w:t>p.; 11.</w:t>
            </w:r>
            <w:r w:rsidR="00622F59">
              <w:t xml:space="preserve"> </w:t>
            </w:r>
            <w:r w:rsidR="00622F59" w:rsidRPr="004B6651">
              <w:t>p.</w:t>
            </w:r>
            <w:r w:rsidR="00622F59">
              <w:t xml:space="preserve"> </w:t>
            </w:r>
            <w:r w:rsidR="00622F59" w:rsidRPr="004B6651">
              <w:t>1.</w:t>
            </w:r>
            <w:r w:rsidR="00622F59">
              <w:t xml:space="preserve"> </w:t>
            </w:r>
            <w:r w:rsidR="00622F59" w:rsidRPr="004B6651">
              <w:t>d.</w:t>
            </w:r>
            <w:r w:rsidR="00622F59">
              <w:t xml:space="preserve"> </w:t>
            </w:r>
            <w:r w:rsidR="00622F59" w:rsidRPr="004B6651">
              <w:t>2.,</w:t>
            </w:r>
            <w:r w:rsidR="00622F59">
              <w:t xml:space="preserve"> </w:t>
            </w:r>
            <w:r w:rsidR="00622F59" w:rsidRPr="004B6651">
              <w:t>4.,</w:t>
            </w:r>
            <w:r w:rsidR="00622F59">
              <w:t xml:space="preserve"> </w:t>
            </w:r>
            <w:r w:rsidR="00622F59" w:rsidRPr="004B6651">
              <w:t>6.,</w:t>
            </w:r>
            <w:r w:rsidR="00622F59">
              <w:t xml:space="preserve"> </w:t>
            </w:r>
            <w:r w:rsidR="00622F59" w:rsidRPr="004B6651">
              <w:t>11.,</w:t>
            </w:r>
            <w:r w:rsidR="00622F59">
              <w:t xml:space="preserve"> </w:t>
            </w:r>
            <w:r w:rsidR="00622F59" w:rsidRPr="004B6651">
              <w:t>13.</w:t>
            </w:r>
            <w:r w:rsidR="00622F59">
              <w:t xml:space="preserve"> </w:t>
            </w:r>
            <w:proofErr w:type="spellStart"/>
            <w:r w:rsidR="00622F59" w:rsidRPr="004B6651">
              <w:t>pk</w:t>
            </w:r>
            <w:proofErr w:type="spellEnd"/>
            <w:r w:rsidR="00622F59" w:rsidRPr="004B6651">
              <w:t>.; 12.</w:t>
            </w:r>
            <w:r w:rsidR="00622F59">
              <w:t xml:space="preserve"> </w:t>
            </w:r>
            <w:r w:rsidR="00622F59" w:rsidRPr="004B6651">
              <w:t>p.</w:t>
            </w:r>
            <w:r w:rsidR="00622F59">
              <w:t xml:space="preserve"> </w:t>
            </w:r>
            <w:r w:rsidR="00622F59" w:rsidRPr="004B6651">
              <w:t>3.</w:t>
            </w:r>
            <w:r w:rsidR="00622F59">
              <w:t xml:space="preserve"> </w:t>
            </w:r>
            <w:r w:rsidR="00622F59" w:rsidRPr="004B6651">
              <w:t>d</w:t>
            </w:r>
            <w:r w:rsidR="00622F59">
              <w:t>.</w:t>
            </w:r>
            <w:r w:rsidR="00622F59" w:rsidRPr="004B6651">
              <w:t>; 18.</w:t>
            </w:r>
            <w:r w:rsidR="00622F59">
              <w:t xml:space="preserve"> </w:t>
            </w:r>
            <w:r w:rsidR="00622F59" w:rsidRPr="004B6651">
              <w:t>p.; 25.</w:t>
            </w:r>
            <w:r w:rsidR="00622F59">
              <w:t xml:space="preserve"> </w:t>
            </w:r>
            <w:r w:rsidR="00622F59" w:rsidRPr="004B6651">
              <w:t>p.</w:t>
            </w:r>
            <w:r w:rsidR="00622F59">
              <w:t xml:space="preserve"> </w:t>
            </w:r>
            <w:r w:rsidR="00622F59" w:rsidRPr="004B6651">
              <w:t>1.</w:t>
            </w:r>
            <w:r w:rsidR="00622F59">
              <w:t xml:space="preserve"> </w:t>
            </w:r>
            <w:r w:rsidR="00622F59" w:rsidRPr="004B6651">
              <w:t>d. 6., 7., 9.</w:t>
            </w:r>
            <w:r w:rsidR="00622F59">
              <w:t xml:space="preserve"> </w:t>
            </w:r>
            <w:proofErr w:type="spellStart"/>
            <w:r w:rsidR="00622F59" w:rsidRPr="004B6651">
              <w:t>pk</w:t>
            </w:r>
            <w:proofErr w:type="spellEnd"/>
            <w:r w:rsidR="00622F59" w:rsidRPr="004B6651">
              <w:t>.; 2</w:t>
            </w:r>
            <w:r w:rsidR="00622F59" w:rsidRPr="004B6651">
              <w:rPr>
                <w:bCs/>
              </w:rPr>
              <w:t>5.</w:t>
            </w:r>
            <w:r w:rsidR="00622F59" w:rsidRPr="004B6651">
              <w:rPr>
                <w:bCs/>
                <w:vertAlign w:val="superscript"/>
              </w:rPr>
              <w:t>1</w:t>
            </w:r>
            <w:r w:rsidR="00622F59">
              <w:rPr>
                <w:bCs/>
                <w:vertAlign w:val="superscript"/>
              </w:rPr>
              <w:t xml:space="preserve"> </w:t>
            </w:r>
            <w:r w:rsidR="00622F59" w:rsidRPr="004B6651">
              <w:t xml:space="preserve">p.; </w:t>
            </w:r>
            <w:r w:rsidR="00622F59">
              <w:t>31. p. 1. d. 1. p. 2., 3. d.;</w:t>
            </w:r>
            <w:r w:rsidR="00622F59" w:rsidRPr="004B6651">
              <w:t xml:space="preserve"> 32.</w:t>
            </w:r>
            <w:r w:rsidR="00622F59">
              <w:t xml:space="preserve"> </w:t>
            </w:r>
            <w:r w:rsidR="00622F59" w:rsidRPr="004B6651">
              <w:t>p.</w:t>
            </w:r>
            <w:r w:rsidR="00622F59">
              <w:t xml:space="preserve"> </w:t>
            </w:r>
            <w:r w:rsidR="00622F59" w:rsidRPr="004B6651">
              <w:t>1.,</w:t>
            </w:r>
            <w:r w:rsidR="00622F59">
              <w:t xml:space="preserve"> </w:t>
            </w:r>
            <w:r w:rsidR="00622F59" w:rsidRPr="004B6651">
              <w:t>2.</w:t>
            </w:r>
            <w:r w:rsidR="00622F59">
              <w:t xml:space="preserve"> </w:t>
            </w:r>
            <w:r w:rsidR="00622F59" w:rsidRPr="004B6651">
              <w:t>d.; 34.</w:t>
            </w:r>
            <w:r w:rsidR="00622F59">
              <w:t xml:space="preserve"> </w:t>
            </w:r>
            <w:r w:rsidR="00622F59" w:rsidRPr="004B6651">
              <w:t>p. 2.</w:t>
            </w:r>
            <w:r w:rsidR="00622F59">
              <w:t> </w:t>
            </w:r>
            <w:r w:rsidR="00622F59" w:rsidRPr="004B6651">
              <w:t>d</w:t>
            </w:r>
            <w:r w:rsidR="00622F59">
              <w:t>.</w:t>
            </w:r>
            <w:r w:rsidR="00622F59" w:rsidRPr="004B6651">
              <w:t>; 35.</w:t>
            </w:r>
            <w:r w:rsidR="00622F59">
              <w:t xml:space="preserve"> </w:t>
            </w:r>
            <w:r w:rsidR="00622F59" w:rsidRPr="004B6651">
              <w:t>p. 1., 2.</w:t>
            </w:r>
            <w:r w:rsidR="00622F59">
              <w:t xml:space="preserve"> </w:t>
            </w:r>
            <w:r w:rsidR="00622F59" w:rsidRPr="004B6651">
              <w:t>d.; 37.</w:t>
            </w:r>
            <w:r w:rsidR="00622F59">
              <w:t xml:space="preserve"> </w:t>
            </w:r>
            <w:r w:rsidR="00622F59" w:rsidRPr="004B6651">
              <w:t>p.; 38.</w:t>
            </w:r>
            <w:r w:rsidR="00622F59">
              <w:t xml:space="preserve"> </w:t>
            </w:r>
            <w:r w:rsidR="00622F59" w:rsidRPr="004B6651">
              <w:t>p.</w:t>
            </w:r>
            <w:r w:rsidR="00622F59">
              <w:t xml:space="preserve"> </w:t>
            </w:r>
            <w:r w:rsidR="00622F59" w:rsidRPr="004B6651">
              <w:t>1.,</w:t>
            </w:r>
            <w:r w:rsidR="00622F59">
              <w:t xml:space="preserve"> </w:t>
            </w:r>
            <w:r w:rsidR="00622F59" w:rsidRPr="004B6651">
              <w:t>4.</w:t>
            </w:r>
            <w:r w:rsidR="00622F59">
              <w:t xml:space="preserve"> </w:t>
            </w:r>
            <w:r w:rsidR="00622F59" w:rsidRPr="004B6651">
              <w:t xml:space="preserve">d.; </w:t>
            </w:r>
            <w:r w:rsidR="00622F59" w:rsidRPr="004B6651">
              <w:rPr>
                <w:bCs/>
              </w:rPr>
              <w:t>38.</w:t>
            </w:r>
            <w:r w:rsidR="00622F59" w:rsidRPr="004B6651">
              <w:rPr>
                <w:bCs/>
                <w:vertAlign w:val="superscript"/>
              </w:rPr>
              <w:t>1</w:t>
            </w:r>
            <w:r w:rsidR="00622F59" w:rsidRPr="004B6651">
              <w:t>p.; 40.</w:t>
            </w:r>
            <w:r w:rsidR="00622F59">
              <w:t xml:space="preserve"> </w:t>
            </w:r>
            <w:r w:rsidR="00622F59" w:rsidRPr="004B6651">
              <w:t>p. 1</w:t>
            </w:r>
            <w:r w:rsidR="00622F59">
              <w:t>.</w:t>
            </w:r>
            <w:r w:rsidR="00622F59" w:rsidRPr="004B6651">
              <w:rPr>
                <w:vertAlign w:val="superscript"/>
              </w:rPr>
              <w:t>1</w:t>
            </w:r>
            <w:r w:rsidR="00622F59" w:rsidRPr="004B6651">
              <w:t>, 1.</w:t>
            </w:r>
            <w:r w:rsidR="00622F59" w:rsidRPr="004B6651">
              <w:rPr>
                <w:vertAlign w:val="superscript"/>
              </w:rPr>
              <w:t>2</w:t>
            </w:r>
            <w:r w:rsidR="00622F59" w:rsidRPr="004B6651">
              <w:t>, 2., 3.</w:t>
            </w:r>
            <w:r w:rsidR="00622F59">
              <w:t xml:space="preserve"> </w:t>
            </w:r>
            <w:r w:rsidR="00622F59" w:rsidRPr="004B6651">
              <w:t xml:space="preserve">d.; </w:t>
            </w:r>
            <w:r w:rsidR="00622F59" w:rsidRPr="004B6651">
              <w:rPr>
                <w:bCs/>
              </w:rPr>
              <w:t>40.</w:t>
            </w:r>
            <w:r w:rsidR="00622F59" w:rsidRPr="004B6651">
              <w:rPr>
                <w:bCs/>
                <w:vertAlign w:val="superscript"/>
              </w:rPr>
              <w:t>1</w:t>
            </w:r>
            <w:r w:rsidR="00622F59">
              <w:rPr>
                <w:bCs/>
                <w:vertAlign w:val="superscript"/>
              </w:rPr>
              <w:t> </w:t>
            </w:r>
            <w:r w:rsidR="00622F59" w:rsidRPr="004B6651">
              <w:t>p.; 45.</w:t>
            </w:r>
            <w:r w:rsidR="00622F59">
              <w:t xml:space="preserve"> </w:t>
            </w:r>
            <w:r w:rsidR="00622F59" w:rsidRPr="004B6651">
              <w:t>p.; 46.</w:t>
            </w:r>
            <w:r w:rsidR="00622F59">
              <w:t xml:space="preserve"> </w:t>
            </w:r>
            <w:r w:rsidR="00622F59" w:rsidRPr="004B6651">
              <w:t>p.</w:t>
            </w:r>
            <w:r w:rsidR="00622F59">
              <w:t xml:space="preserve"> </w:t>
            </w:r>
            <w:r w:rsidR="00622F59" w:rsidRPr="004B6651">
              <w:t>2.,</w:t>
            </w:r>
            <w:r w:rsidR="00622F59">
              <w:t xml:space="preserve"> </w:t>
            </w:r>
            <w:r w:rsidR="00622F59" w:rsidRPr="004B6651">
              <w:rPr>
                <w:bCs/>
              </w:rPr>
              <w:t>2</w:t>
            </w:r>
            <w:r w:rsidR="00622F59">
              <w:rPr>
                <w:bCs/>
              </w:rPr>
              <w:t>.</w:t>
            </w:r>
            <w:r w:rsidR="00622F59" w:rsidRPr="004B6651">
              <w:rPr>
                <w:bCs/>
                <w:vertAlign w:val="superscript"/>
              </w:rPr>
              <w:t>1</w:t>
            </w:r>
            <w:r w:rsidR="00622F59">
              <w:rPr>
                <w:bCs/>
                <w:vertAlign w:val="superscript"/>
              </w:rPr>
              <w:t xml:space="preserve"> </w:t>
            </w:r>
            <w:r w:rsidR="00622F59" w:rsidRPr="004B6651">
              <w:t>d.; 51.</w:t>
            </w:r>
            <w:r w:rsidR="00622F59">
              <w:t xml:space="preserve"> </w:t>
            </w:r>
            <w:r w:rsidR="00622F59" w:rsidRPr="004B6651">
              <w:t>p. 1.,</w:t>
            </w:r>
            <w:r w:rsidR="00622F59">
              <w:t xml:space="preserve"> </w:t>
            </w:r>
            <w:r w:rsidR="00622F59" w:rsidRPr="004B6651">
              <w:t>2.,</w:t>
            </w:r>
            <w:r w:rsidR="00622F59">
              <w:t xml:space="preserve"> </w:t>
            </w:r>
            <w:r w:rsidR="00622F59" w:rsidRPr="004B6651">
              <w:t>3.</w:t>
            </w:r>
            <w:r w:rsidR="00622F59">
              <w:t xml:space="preserve"> </w:t>
            </w:r>
            <w:r w:rsidR="00622F59" w:rsidRPr="004B6651">
              <w:t>d.;</w:t>
            </w:r>
            <w:r w:rsidR="00622F59">
              <w:t xml:space="preserve"> </w:t>
            </w:r>
            <w:r w:rsidR="00622F59" w:rsidRPr="004B6651">
              <w:t>78.</w:t>
            </w:r>
            <w:r w:rsidR="00622F59">
              <w:t xml:space="preserve"> </w:t>
            </w:r>
            <w:r w:rsidR="00622F59" w:rsidRPr="004B6651">
              <w:t>p.</w:t>
            </w:r>
            <w:r w:rsidR="00622F59">
              <w:t xml:space="preserve"> </w:t>
            </w:r>
            <w:r w:rsidR="00622F59" w:rsidRPr="004B6651">
              <w:t>1.,</w:t>
            </w:r>
            <w:r w:rsidR="00622F59">
              <w:t xml:space="preserve"> </w:t>
            </w:r>
            <w:r w:rsidR="00622F59" w:rsidRPr="004B6651">
              <w:t>2.</w:t>
            </w:r>
            <w:r w:rsidR="00622F59">
              <w:t xml:space="preserve"> </w:t>
            </w:r>
            <w:r w:rsidR="00622F59" w:rsidRPr="004B6651">
              <w:t>d.; 103.</w:t>
            </w:r>
            <w:r w:rsidR="00622F59">
              <w:t xml:space="preserve"> </w:t>
            </w:r>
            <w:r w:rsidR="00622F59" w:rsidRPr="004B6651">
              <w:t>p.; pārejas noteikumu 13., 14., 15., 16., 17.</w:t>
            </w:r>
            <w:r w:rsidR="00622F59">
              <w:t xml:space="preserve"> </w:t>
            </w:r>
            <w:r w:rsidR="00622F59" w:rsidRPr="004B6651">
              <w:t xml:space="preserve">p. </w:t>
            </w:r>
          </w:p>
          <w:p w:rsidR="00EB7CF8" w:rsidRPr="00BE6835" w:rsidRDefault="00EB7CF8" w:rsidP="00BE6835">
            <w:pPr>
              <w:suppressAutoHyphens w:val="0"/>
              <w:autoSpaceDE w:val="0"/>
              <w:autoSpaceDN w:val="0"/>
              <w:adjustRightInd w:val="0"/>
              <w:spacing w:before="120"/>
              <w:jc w:val="both"/>
            </w:pPr>
            <w:r>
              <w:t xml:space="preserve">Ar likumprojekta 9.pants piešķir Komisijai tiesības pieprasīt papildus </w:t>
            </w:r>
            <w:r w:rsidRPr="00EB7CF8">
              <w:t>informāciju un dokumentus</w:t>
            </w:r>
            <w:r>
              <w:t xml:space="preserve">, pie jau iesniegtiem dokumentiem, lai gadījumā, </w:t>
            </w:r>
            <w:r>
              <w:lastRenderedPageBreak/>
              <w:t>ja iesniegtie dokumenti nerada skaidru priekšstatu, varētu izvērtēt iestādes darbības atbilstību Likuma un Komisijas</w:t>
            </w:r>
            <w:r w:rsidRPr="00492F4D">
              <w:t xml:space="preserve"> izdoto normatīvo noteikumu prasībām</w:t>
            </w:r>
            <w:r>
              <w:t xml:space="preserve">. </w:t>
            </w:r>
            <w:r w:rsidRPr="00432D65">
              <w:t>Iesniedzamās informācijas un dokumentu apjoms, kā arī prasības, kas iestādei jāizpilda ir norādīts Likuma 5. un 5.</w:t>
            </w:r>
            <w:r w:rsidRPr="00432D65">
              <w:rPr>
                <w:vertAlign w:val="superscript"/>
              </w:rPr>
              <w:t>1</w:t>
            </w:r>
            <w:r w:rsidRPr="00432D65">
              <w:t xml:space="preserve"> pantā.</w:t>
            </w:r>
            <w:r>
              <w:t xml:space="preserve"> Attiecībā uz licencētā iestādēm Komisijai ir tiesības pieprasīt papildus informāciju un dokumentus, saskaņā ar Likuma 11. panta trešo daļu, attiecīgas tiesības nosakāmas arī attiecībā uz iestādēm, kur darbībai nav nepieciešama Komisijas licence, bet, kas savu darbību ir tiesīgas uzsākt pēc reģistrācijas Komisijas uzturētā reģistrā</w:t>
            </w:r>
            <w:r w:rsidR="00805938">
              <w:t>.</w:t>
            </w:r>
            <w:bookmarkStart w:id="0" w:name="_GoBack"/>
            <w:bookmarkEnd w:id="0"/>
          </w:p>
          <w:p w:rsidR="00573F29" w:rsidRDefault="00573F29" w:rsidP="00BE6835">
            <w:pPr>
              <w:tabs>
                <w:tab w:val="left" w:pos="993"/>
              </w:tabs>
              <w:autoSpaceDE w:val="0"/>
              <w:autoSpaceDN w:val="0"/>
              <w:adjustRightInd w:val="0"/>
              <w:spacing w:before="120"/>
              <w:jc w:val="both"/>
              <w:rPr>
                <w:rStyle w:val="Strong"/>
                <w:b w:val="0"/>
                <w:bCs w:val="0"/>
              </w:rPr>
            </w:pPr>
            <w:r>
              <w:rPr>
                <w:rStyle w:val="Strong"/>
                <w:b w:val="0"/>
                <w:bCs w:val="0"/>
              </w:rPr>
              <w:t xml:space="preserve">Likumprojekta 20. pantā izteiktā Likuma 35. panta otrā daļa atbilst Direktīvas - 2008/64/EK 8. panta prasībām, jo 35. panta otrā daļā principā noteikts periods, no kura tiek noteikta veikto </w:t>
            </w:r>
            <w:r w:rsidRPr="00492F4D">
              <w:t>maksājumu vidējo aritmētisko vērtīb</w:t>
            </w:r>
            <w:r>
              <w:t xml:space="preserve">a, ja iestāde nav darbojusies pilnus 12 kalendāros mēnešus. </w:t>
            </w:r>
            <w:r>
              <w:rPr>
                <w:rStyle w:val="Strong"/>
                <w:b w:val="0"/>
                <w:bCs w:val="0"/>
              </w:rPr>
              <w:t>Direktīvas - 2008/64/EK 8. pants nav precīzi noteicis aprēķināšanas kārtību, ja iestādes uzsākusi darbību un</w:t>
            </w:r>
            <w:r w:rsidRPr="00DE59D7">
              <w:t xml:space="preserve"> </w:t>
            </w:r>
            <w:r w:rsidRPr="00492F4D">
              <w:t>nav darbojusies pilnus 12 kalendāra mēnešus</w:t>
            </w:r>
            <w:r>
              <w:rPr>
                <w:rStyle w:val="Strong"/>
                <w:b w:val="0"/>
                <w:bCs w:val="0"/>
              </w:rPr>
              <w:t xml:space="preserve"> iepriekš gadā. </w:t>
            </w:r>
            <w:r>
              <w:t>Šis precizējums nepieciešams, lai iestāde precīzi spētu aprēķināt tās veikto maksājumu kopsummu (</w:t>
            </w:r>
            <w:proofErr w:type="spellStart"/>
            <w:r w:rsidRPr="007967F6">
              <w:rPr>
                <w:i/>
              </w:rPr>
              <w:t>ks</w:t>
            </w:r>
            <w:proofErr w:type="spellEnd"/>
            <w:r>
              <w:t xml:space="preserve">) periodā no kura tā uzsākusi darbību, kas nav 12 kalendāro mēnešu periods. Attiecīgs nosacījums pēc būtības ir noteikts arī Likuma pašreizējās redakcijas </w:t>
            </w:r>
            <w:r>
              <w:rPr>
                <w:rStyle w:val="Strong"/>
                <w:b w:val="0"/>
                <w:bCs w:val="0"/>
              </w:rPr>
              <w:t>35. panta otrā daļā, kas pielāgots Direktīvas - 2008/64/EK 8. pantā minētai pašu kapitāla aprēķināšanas B metodei;</w:t>
            </w:r>
          </w:p>
          <w:p w:rsidR="00573F29" w:rsidRDefault="00573F29" w:rsidP="00573F29">
            <w:pPr>
              <w:tabs>
                <w:tab w:val="left" w:pos="993"/>
              </w:tabs>
              <w:autoSpaceDE w:val="0"/>
              <w:autoSpaceDN w:val="0"/>
              <w:adjustRightInd w:val="0"/>
              <w:jc w:val="both"/>
              <w:rPr>
                <w:rStyle w:val="Strong"/>
                <w:b w:val="0"/>
                <w:bCs w:val="0"/>
              </w:rPr>
            </w:pPr>
            <w:r>
              <w:rPr>
                <w:rStyle w:val="Strong"/>
                <w:b w:val="0"/>
                <w:bCs w:val="0"/>
              </w:rPr>
              <w:t>Likumprojekta 30. pantā pārejas noteikumu 17. punktā ietvertais regulējums par pašu kapitāla noteikšanu atbilst</w:t>
            </w:r>
            <w:r w:rsidRPr="00653D12">
              <w:rPr>
                <w:rStyle w:val="Strong"/>
                <w:b w:val="0"/>
                <w:bCs w:val="0"/>
              </w:rPr>
              <w:t xml:space="preserve"> </w:t>
            </w:r>
            <w:r>
              <w:rPr>
                <w:rStyle w:val="Strong"/>
                <w:b w:val="0"/>
                <w:bCs w:val="0"/>
              </w:rPr>
              <w:t>Direktīvas - 2008/64/EK 8. panta prasībām, jo nosaka kā aprēķināt iestādes pašu kapitālu pārejas periodā.</w:t>
            </w:r>
            <w:r>
              <w:t xml:space="preserve"> No 01.01.2014.</w:t>
            </w:r>
            <w:r w:rsidRPr="00E35547">
              <w:t xml:space="preserve"> iestādes pašu kapitāla aprēķin</w:t>
            </w:r>
            <w:r>
              <w:t>u</w:t>
            </w:r>
            <w:r w:rsidRPr="00E35547">
              <w:t xml:space="preserve"> noteik</w:t>
            </w:r>
            <w:r>
              <w:t>s Regula</w:t>
            </w:r>
            <w:r w:rsidRPr="00E35547">
              <w:t xml:space="preserve"> Nr. 575/2013.</w:t>
            </w:r>
            <w:r>
              <w:t xml:space="preserve"> Stājoties spēkā</w:t>
            </w:r>
            <w:r w:rsidRPr="00242F25">
              <w:t xml:space="preserve"> Regula</w:t>
            </w:r>
            <w:r>
              <w:t>i</w:t>
            </w:r>
            <w:r w:rsidRPr="00242F25">
              <w:t xml:space="preserve"> Nr. 575/2013 spēku zaudē Eiropas Parlamenta un Padomes 2006. gada 14. jūnija Direktīva Nr. 2006/48/EK par kredītiestāžu darbības sākšanu un veikšanu</w:t>
            </w:r>
            <w:r>
              <w:t>, uz kuru bija atsauce</w:t>
            </w:r>
            <w:r w:rsidRPr="00242F25" w:rsidDel="00E35547">
              <w:t xml:space="preserve"> </w:t>
            </w:r>
            <w:r>
              <w:rPr>
                <w:rStyle w:val="Strong"/>
                <w:b w:val="0"/>
                <w:bCs w:val="0"/>
              </w:rPr>
              <w:t>Direktīvā 2008/64/EK saistībā ar</w:t>
            </w:r>
            <w:r w:rsidRPr="00242F25">
              <w:t xml:space="preserve"> </w:t>
            </w:r>
            <w:r w:rsidRPr="00E35547">
              <w:t xml:space="preserve">pašu kapitāla </w:t>
            </w:r>
            <w:r>
              <w:t xml:space="preserve">un aprēķinu. </w:t>
            </w:r>
            <w:r>
              <w:rPr>
                <w:rStyle w:val="Strong"/>
                <w:b w:val="0"/>
                <w:bCs w:val="0"/>
              </w:rPr>
              <w:t>T</w:t>
            </w:r>
            <w:r w:rsidRPr="00E27C4C">
              <w:t>ermin</w:t>
            </w:r>
            <w:r>
              <w:t>s</w:t>
            </w:r>
            <w:r w:rsidRPr="00E27C4C">
              <w:t xml:space="preserve"> </w:t>
            </w:r>
            <w:r>
              <w:rPr>
                <w:i/>
              </w:rPr>
              <w:t>pašu kapitāls</w:t>
            </w:r>
            <w:r>
              <w:t xml:space="preserve"> varētu palikt nedefinēts, ja tas </w:t>
            </w:r>
            <w:r w:rsidRPr="00E27C4C">
              <w:t>tiek</w:t>
            </w:r>
            <w:r>
              <w:t>u</w:t>
            </w:r>
            <w:r w:rsidRPr="00E27C4C">
              <w:t xml:space="preserve"> izslēgts no Likuma </w:t>
            </w:r>
            <w:r>
              <w:t>un likumprojekts stātos spēkā pirms 01.01.2014.</w:t>
            </w:r>
            <w:r w:rsidRPr="00E27C4C">
              <w:t xml:space="preserve"> </w:t>
            </w:r>
            <w:r>
              <w:t>L</w:t>
            </w:r>
            <w:r w:rsidRPr="00E27C4C">
              <w:t>īdzīgs regulējuma formulējums</w:t>
            </w:r>
            <w:r>
              <w:t xml:space="preserve"> attiecībā uz nacionālā regulējuma piemērošanu</w:t>
            </w:r>
            <w:r w:rsidRPr="00E27C4C">
              <w:t xml:space="preserve"> ir </w:t>
            </w:r>
            <w:r>
              <w:t>noteikts</w:t>
            </w:r>
            <w:r w:rsidRPr="00E27C4C">
              <w:t xml:space="preserve"> arī </w:t>
            </w:r>
            <w:r>
              <w:t>p</w:t>
            </w:r>
            <w:r>
              <w:rPr>
                <w:bCs/>
                <w:shd w:val="clear" w:color="auto" w:fill="FFFFFF"/>
              </w:rPr>
              <w:t>ārejas noteikumos</w:t>
            </w:r>
            <w:r w:rsidRPr="00E27C4C">
              <w:rPr>
                <w:bCs/>
                <w:shd w:val="clear" w:color="auto" w:fill="FFFFFF"/>
              </w:rPr>
              <w:t xml:space="preserve"> Ieguldījumu pārvaldes sabiedrību likum</w:t>
            </w:r>
            <w:r>
              <w:rPr>
                <w:bCs/>
                <w:shd w:val="clear" w:color="auto" w:fill="FFFFFF"/>
              </w:rPr>
              <w:t>ā</w:t>
            </w:r>
            <w:r w:rsidRPr="00E27C4C">
              <w:t>, kura grozījumi stājušies spēkā 09.07.2013.</w:t>
            </w:r>
            <w:r>
              <w:t xml:space="preserve"> </w:t>
            </w:r>
            <w:r>
              <w:rPr>
                <w:rStyle w:val="Strong"/>
                <w:b w:val="0"/>
                <w:bCs w:val="0"/>
              </w:rPr>
              <w:t>Būtu jāņem vērā, ka Likumā noteiktā pašu kapitāla aprēķināšanas kārtība attiecās uz licencētām iestādēm, bet pašlaik nav neviena iestāde, kas būtu saņēmusi licenci saskaņā ar Likuma prasībām;</w:t>
            </w:r>
          </w:p>
          <w:p w:rsidR="00622F59" w:rsidRDefault="00573F29" w:rsidP="00573F29">
            <w:pPr>
              <w:tabs>
                <w:tab w:val="left" w:pos="993"/>
              </w:tabs>
              <w:autoSpaceDE w:val="0"/>
              <w:autoSpaceDN w:val="0"/>
              <w:adjustRightInd w:val="0"/>
              <w:jc w:val="both"/>
              <w:rPr>
                <w:rStyle w:val="Strong"/>
                <w:b w:val="0"/>
                <w:bCs w:val="0"/>
              </w:rPr>
            </w:pPr>
            <w:r>
              <w:rPr>
                <w:rStyle w:val="Strong"/>
                <w:b w:val="0"/>
                <w:bCs w:val="0"/>
              </w:rPr>
              <w:t>Ieviešot Likumprojekta 20. pantā izteikto Likuma 35. panta pirmo un otro daļu, kā arī</w:t>
            </w:r>
            <w:r w:rsidRPr="007622FD">
              <w:rPr>
                <w:rStyle w:val="Strong"/>
                <w:b w:val="0"/>
                <w:bCs w:val="0"/>
              </w:rPr>
              <w:t xml:space="preserve"> </w:t>
            </w:r>
            <w:r>
              <w:rPr>
                <w:rStyle w:val="Strong"/>
                <w:b w:val="0"/>
                <w:bCs w:val="0"/>
              </w:rPr>
              <w:t>Likumprojekta 30. pantā izteikto noslēgumu jautājumu 17. punktu tiks nodrošināta maksājumu iestāžu tiesiskā paļāvība, jo minētais regulējums attiecas tikai uz licencētām iestādēm, bet pašlaik neviens tirgus dalībnieks nav saņēmis attiecīgu licenci, saskaņā ar Likuma prasībām. Vienlaikus pirms attiecīgā regulējuma izstrādes par regulējuma ieviešanu tika informēti tirgus dalībnieki, kas bija tiesīgi izteikt savus komentārus, iebildumus un priekšlikumus par regulējumu, par ko no tirgus dalībnieku puses netika celti iebildumi vai izteikti priekšlikumi. Tādejādi,</w:t>
            </w:r>
            <w:r w:rsidRPr="00F637EC">
              <w:rPr>
                <w:rStyle w:val="Strong"/>
                <w:b w:val="0"/>
                <w:bCs w:val="0"/>
              </w:rPr>
              <w:t xml:space="preserve"> </w:t>
            </w:r>
            <w:r>
              <w:rPr>
                <w:rStyle w:val="Strong"/>
                <w:b w:val="0"/>
                <w:bCs w:val="0"/>
              </w:rPr>
              <w:t xml:space="preserve">ja kāda </w:t>
            </w:r>
            <w:r>
              <w:rPr>
                <w:rStyle w:val="Strong"/>
                <w:b w:val="0"/>
                <w:bCs w:val="0"/>
              </w:rPr>
              <w:lastRenderedPageBreak/>
              <w:t>iestāde pieņemtu lēmumu iesniegt dokumentāciju licences saņemšanai līdz 01.01.2014, uzskatām, ka iestādes ir informētas par Likuma prasībām attiecībā uz pašu kapitāla aprēķināšanas kārtību, kas Likumā tiks ieviestas ar 01.01.2014.</w:t>
            </w:r>
          </w:p>
          <w:p w:rsidR="00BE6835" w:rsidRDefault="00BE6835" w:rsidP="00BE6835">
            <w:pPr>
              <w:tabs>
                <w:tab w:val="left" w:pos="993"/>
              </w:tabs>
              <w:autoSpaceDE w:val="0"/>
              <w:autoSpaceDN w:val="0"/>
              <w:adjustRightInd w:val="0"/>
              <w:jc w:val="both"/>
            </w:pPr>
            <w:r>
              <w:t>L</w:t>
            </w:r>
            <w:r>
              <w:rPr>
                <w:rStyle w:val="Strong"/>
                <w:b w:val="0"/>
                <w:bCs w:val="0"/>
              </w:rPr>
              <w:t xml:space="preserve">ikumprojekta 13. un 19. pantā izteikto grozījumu nepieciešamība saistīta ar norādi uz </w:t>
            </w:r>
            <w:r>
              <w:rPr>
                <w:color w:val="000000"/>
              </w:rPr>
              <w:t>sākotnējā kapitāla un</w:t>
            </w:r>
            <w:r w:rsidRPr="006F575A">
              <w:t xml:space="preserve"> </w:t>
            </w:r>
            <w:r>
              <w:t>pašu kapitāla aprēķināšanas kārtību, jo no 01.01.2014.</w:t>
            </w:r>
            <w:r w:rsidRPr="00E35547">
              <w:t xml:space="preserve"> iestādes sākotnējā kapitāla un pašu kapitāla aprēķin</w:t>
            </w:r>
            <w:r>
              <w:t>u</w:t>
            </w:r>
            <w:r w:rsidRPr="00E35547">
              <w:t xml:space="preserve"> noteik</w:t>
            </w:r>
            <w:r>
              <w:t>s</w:t>
            </w:r>
            <w:r w:rsidRPr="00E35547">
              <w:t xml:space="preserve"> Regul</w:t>
            </w:r>
            <w:r>
              <w:t>a</w:t>
            </w:r>
            <w:r w:rsidRPr="00E35547">
              <w:t xml:space="preserve"> Nr. 575/2013.</w:t>
            </w:r>
            <w:r>
              <w:t xml:space="preserve"> Stājoties spēkā</w:t>
            </w:r>
            <w:r w:rsidRPr="00242F25">
              <w:t xml:space="preserve"> Regula</w:t>
            </w:r>
            <w:r>
              <w:t>i</w:t>
            </w:r>
            <w:r w:rsidRPr="00242F25">
              <w:t xml:space="preserve"> Nr. 575/2013</w:t>
            </w:r>
            <w:r>
              <w:t>,</w:t>
            </w:r>
            <w:r w:rsidRPr="00242F25">
              <w:t xml:space="preserve"> spēku zaudē Eiropas Parlamenta un Padomes 2006. gada 14. jūnija Direktīva Nr. 2006/48/EK par kredītiestāžu darbības sākšanu un veikšanu</w:t>
            </w:r>
            <w:r>
              <w:t xml:space="preserve"> ar, uz kuru bija atsauce</w:t>
            </w:r>
            <w:r w:rsidRPr="00242F25" w:rsidDel="00E35547">
              <w:t xml:space="preserve"> </w:t>
            </w:r>
            <w:r>
              <w:rPr>
                <w:rStyle w:val="Strong"/>
                <w:b w:val="0"/>
                <w:bCs w:val="0"/>
              </w:rPr>
              <w:t xml:space="preserve">Direktīvā 2008/64/EK saistībā </w:t>
            </w:r>
            <w:r w:rsidRPr="00421943">
              <w:rPr>
                <w:rStyle w:val="Strong"/>
                <w:b w:val="0"/>
                <w:bCs w:val="0"/>
              </w:rPr>
              <w:t>ar</w:t>
            </w:r>
            <w:r w:rsidRPr="00421943">
              <w:t xml:space="preserve"> sākotnējā kapitāla un pašu kapitāla aprēķinu. Turpmāk iestādes sākotnējā kapitāla un pašu kapitāla definīcija un aprēķināšanas kārtība būs noteikta Regulā Nr. 575/2013, nevis šajā Likumā. Tāpēc nepieciešams izslēgt 1. panta 21. un 22. punktu</w:t>
            </w:r>
            <w:r>
              <w:t>,</w:t>
            </w:r>
            <w:r w:rsidRPr="00686E4C">
              <w:t xml:space="preserve"> </w:t>
            </w:r>
            <w:r>
              <w:t xml:space="preserve">papildināt Likuma 12. pantu ar trešo daļu un precizēt Likuma 34. panta otro daļu, kurā ir norāde uz subjektu, kas nosaka attiecīgo kārtību. </w:t>
            </w:r>
          </w:p>
          <w:p w:rsidR="00BE6835" w:rsidRPr="00BE6835" w:rsidRDefault="00BE6835" w:rsidP="00BE6835">
            <w:pPr>
              <w:tabs>
                <w:tab w:val="left" w:pos="993"/>
              </w:tabs>
              <w:autoSpaceDE w:val="0"/>
              <w:autoSpaceDN w:val="0"/>
              <w:adjustRightInd w:val="0"/>
              <w:jc w:val="both"/>
              <w:rPr>
                <w:rStyle w:val="Strong"/>
                <w:b w:val="0"/>
                <w:bCs w:val="0"/>
              </w:rPr>
            </w:pPr>
            <w:r w:rsidRPr="00E27C4C">
              <w:rPr>
                <w:rStyle w:val="Strong"/>
                <w:b w:val="0"/>
                <w:bCs w:val="0"/>
              </w:rPr>
              <w:t>Likumprojekta 30. pantā izteiktais noslēgum</w:t>
            </w:r>
            <w:r>
              <w:rPr>
                <w:rStyle w:val="Strong"/>
                <w:b w:val="0"/>
                <w:bCs w:val="0"/>
              </w:rPr>
              <w:t>a</w:t>
            </w:r>
            <w:r w:rsidRPr="00E27C4C">
              <w:rPr>
                <w:rStyle w:val="Strong"/>
                <w:b w:val="0"/>
                <w:bCs w:val="0"/>
              </w:rPr>
              <w:t xml:space="preserve"> jautājumu 16. punkts </w:t>
            </w:r>
            <w:r w:rsidRPr="00E27C4C">
              <w:t xml:space="preserve">nosaka terminu </w:t>
            </w:r>
            <w:r w:rsidRPr="00E27C4C">
              <w:rPr>
                <w:i/>
              </w:rPr>
              <w:t>sākotnēj</w:t>
            </w:r>
            <w:r>
              <w:rPr>
                <w:i/>
              </w:rPr>
              <w:t>ais</w:t>
            </w:r>
            <w:r w:rsidRPr="00E27C4C">
              <w:rPr>
                <w:i/>
              </w:rPr>
              <w:t xml:space="preserve"> kapitāls</w:t>
            </w:r>
            <w:r w:rsidRPr="00E27C4C">
              <w:t xml:space="preserve">, </w:t>
            </w:r>
            <w:r>
              <w:t xml:space="preserve">kurš varētu palikt nedefinēts, ja tas </w:t>
            </w:r>
            <w:r w:rsidRPr="00E27C4C">
              <w:t xml:space="preserve">tiek izslēgts no Likuma </w:t>
            </w:r>
            <w:r>
              <w:t>un likumprojekts stātos spēkā pirms 01.01.2014.</w:t>
            </w:r>
            <w:r w:rsidRPr="00E27C4C">
              <w:t xml:space="preserve"> </w:t>
            </w:r>
            <w:r>
              <w:t>L</w:t>
            </w:r>
            <w:r w:rsidRPr="00E27C4C">
              <w:t>īdzīgs regulējuma formulējums</w:t>
            </w:r>
            <w:r>
              <w:t xml:space="preserve"> attiecībā uz nacionālā regulējuma piemērošanu</w:t>
            </w:r>
            <w:r w:rsidRPr="00E27C4C">
              <w:t xml:space="preserve"> ir </w:t>
            </w:r>
            <w:r>
              <w:t>noteikts</w:t>
            </w:r>
            <w:r w:rsidRPr="00E27C4C">
              <w:t xml:space="preserve"> arī </w:t>
            </w:r>
            <w:r>
              <w:rPr>
                <w:bCs/>
                <w:shd w:val="clear" w:color="auto" w:fill="FFFFFF"/>
              </w:rPr>
              <w:t>Pārejas noteikumos</w:t>
            </w:r>
            <w:r w:rsidRPr="00E27C4C">
              <w:rPr>
                <w:bCs/>
                <w:shd w:val="clear" w:color="auto" w:fill="FFFFFF"/>
              </w:rPr>
              <w:t xml:space="preserve"> Ieguldījumu pārvaldes sabiedrību likum</w:t>
            </w:r>
            <w:r>
              <w:rPr>
                <w:bCs/>
                <w:shd w:val="clear" w:color="auto" w:fill="FFFFFF"/>
              </w:rPr>
              <w:t>ā</w:t>
            </w:r>
            <w:r w:rsidRPr="00E27C4C">
              <w:t>, kura grozījumi stājušies spēkā 09.07.2013.</w:t>
            </w:r>
          </w:p>
          <w:p w:rsidR="004F1EC7" w:rsidRDefault="004F1EC7" w:rsidP="00573F29">
            <w:pPr>
              <w:tabs>
                <w:tab w:val="left" w:pos="993"/>
              </w:tabs>
              <w:autoSpaceDE w:val="0"/>
              <w:autoSpaceDN w:val="0"/>
              <w:adjustRightInd w:val="0"/>
              <w:jc w:val="both"/>
              <w:rPr>
                <w:color w:val="000000"/>
              </w:rPr>
            </w:pPr>
            <w:r w:rsidRPr="004F1EC7">
              <w:t xml:space="preserve">Likumprojektā tiek precizēts Likuma 27.panta ceturtās daļas 4. punkts un desmitā daļa, kā arī 29. panta pirmā un trešā daļa. </w:t>
            </w:r>
            <w:r w:rsidRPr="004F1EC7">
              <w:rPr>
                <w:bCs/>
              </w:rPr>
              <w:t>Precizējumi nosaka</w:t>
            </w:r>
            <w:r w:rsidRPr="004F1EC7">
              <w:rPr>
                <w:color w:val="000000"/>
              </w:rPr>
              <w:t xml:space="preserve"> pārstāvju piesaistes un ārpakalpojumu izmantošanas kārtību</w:t>
            </w:r>
            <w:r w:rsidRPr="004F1EC7">
              <w:rPr>
                <w:bCs/>
              </w:rPr>
              <w:t xml:space="preserve"> </w:t>
            </w:r>
            <w:r w:rsidRPr="004F1EC7">
              <w:rPr>
                <w:color w:val="000000"/>
              </w:rPr>
              <w:t>iestādēm, kurām nav nepieciešama Komisijas licence darbībai Latvijā.</w:t>
            </w:r>
          </w:p>
          <w:p w:rsidR="004F1EC7" w:rsidRDefault="004F1EC7" w:rsidP="00573F29">
            <w:pPr>
              <w:tabs>
                <w:tab w:val="left" w:pos="993"/>
              </w:tabs>
              <w:autoSpaceDE w:val="0"/>
              <w:autoSpaceDN w:val="0"/>
              <w:adjustRightInd w:val="0"/>
              <w:jc w:val="both"/>
              <w:rPr>
                <w:color w:val="000000"/>
              </w:rPr>
            </w:pPr>
          </w:p>
          <w:p w:rsidR="004F1EC7" w:rsidRDefault="004F1EC7" w:rsidP="004F1EC7">
            <w:pPr>
              <w:ind w:right="-1"/>
              <w:jc w:val="both"/>
            </w:pPr>
            <w:r>
              <w:t xml:space="preserve">Ņemot vērā to, ka Finanšu un kapitāla tirgus komisija ir noteikta kā kompetentā iestāde, kura uzrauga neliela apjoma maksājumu sistēmas un to darbības atbilstību Eiropas Parlamenta un Padomes regulas Nr. 260/2012, ar ko nosaka </w:t>
            </w:r>
            <w:r w:rsidRPr="008F2D1A">
              <w:t xml:space="preserve">tehniskās un darbības prasības kredīta pārvedumiem un tiešā debeta maksājumiem </w:t>
            </w:r>
            <w:proofErr w:type="spellStart"/>
            <w:r w:rsidRPr="00FA3188">
              <w:rPr>
                <w:i/>
              </w:rPr>
              <w:t>euro</w:t>
            </w:r>
            <w:proofErr w:type="spellEnd"/>
            <w:r w:rsidRPr="008F2D1A">
              <w:t xml:space="preserve"> un groza Regulu Nr. 924/2009</w:t>
            </w:r>
            <w:r>
              <w:t>, prasībām, likumprojekts paredz neliela apjoma maksājumu sistēmu reģistrēšanas kārtību, tajā skaitā nosakot pārejas periodu reģistrācijas veikšanai esošajām neliela apjoma maksājumu sistēmām. Vienlaikus likumprojekts nosaka to, ka Komisija izdod</w:t>
            </w:r>
            <w:r w:rsidRPr="00891DF8">
              <w:t xml:space="preserve"> kārtību, kādā reģistrējama neliela apjoma maksājumu sistēma un sniedzama informācija, kā arī iesniedzamos dokumentus, būs nepieciešams izdot Komisijas normatīvos noteikumus. </w:t>
            </w:r>
          </w:p>
          <w:p w:rsidR="004F1EC7" w:rsidRDefault="004F1EC7" w:rsidP="004F1EC7">
            <w:pPr>
              <w:ind w:right="-1"/>
              <w:jc w:val="both"/>
            </w:pPr>
          </w:p>
          <w:p w:rsidR="004F1EC7" w:rsidRPr="00573F29" w:rsidRDefault="004F1EC7" w:rsidP="004F1EC7">
            <w:pPr>
              <w:tabs>
                <w:tab w:val="left" w:pos="993"/>
              </w:tabs>
              <w:autoSpaceDE w:val="0"/>
              <w:autoSpaceDN w:val="0"/>
              <w:adjustRightInd w:val="0"/>
              <w:jc w:val="both"/>
            </w:pPr>
            <w:r>
              <w:t xml:space="preserve">Papildus likumprojekts paredz, ka </w:t>
            </w:r>
            <w:r w:rsidRPr="0000219C">
              <w:t>Finanšu un kapitāla tirgus komisija</w:t>
            </w:r>
            <w:r>
              <w:t xml:space="preserve"> ir tiesīga pieprasīt nepieciešamo informāciju un veikt pārbaudes maksājumu sistēmām, kā arī noteikta to uzraudzības maksa. Papildus tiek paredzēts, ka informācija par maksājumu sistēmām ir ierobežotas pieejamības, vienlaikus Maksājumu pakalpojumu un elektroniskās naudas likumā noteiktajos gadījumos Komisija ir tiesīga ar minēto informāciju apmainīties ar citām </w:t>
            </w:r>
            <w:r>
              <w:lastRenderedPageBreak/>
              <w:t>starptautiskajām uzraudzības iestādēm uzraudzības funkciju veikšanas ietvaros.</w:t>
            </w:r>
          </w:p>
        </w:tc>
      </w:tr>
      <w:tr w:rsidR="00622F59" w:rsidRPr="00391E8A" w:rsidTr="00503EE8">
        <w:trPr>
          <w:trHeight w:val="144"/>
        </w:trPr>
        <w:tc>
          <w:tcPr>
            <w:tcW w:w="340" w:type="dxa"/>
          </w:tcPr>
          <w:p w:rsidR="00622F59" w:rsidRPr="00391E8A" w:rsidRDefault="00622F59" w:rsidP="00E44645">
            <w:pPr>
              <w:snapToGrid w:val="0"/>
              <w:jc w:val="both"/>
              <w:rPr>
                <w:color w:val="000000"/>
              </w:rPr>
            </w:pPr>
            <w:r w:rsidRPr="00391E8A">
              <w:rPr>
                <w:color w:val="000000"/>
              </w:rPr>
              <w:lastRenderedPageBreak/>
              <w:t>5.</w:t>
            </w:r>
          </w:p>
        </w:tc>
        <w:tc>
          <w:tcPr>
            <w:tcW w:w="1887" w:type="dxa"/>
          </w:tcPr>
          <w:p w:rsidR="00622F59" w:rsidRPr="00391E8A" w:rsidRDefault="00622F59" w:rsidP="00E44645">
            <w:pPr>
              <w:snapToGrid w:val="0"/>
              <w:rPr>
                <w:color w:val="000000"/>
              </w:rPr>
            </w:pPr>
            <w:r w:rsidRPr="00391E8A">
              <w:rPr>
                <w:color w:val="000000"/>
              </w:rPr>
              <w:t>Projekta izstrādē iesaistītās institūcijas</w:t>
            </w:r>
          </w:p>
        </w:tc>
        <w:tc>
          <w:tcPr>
            <w:tcW w:w="7376" w:type="dxa"/>
          </w:tcPr>
          <w:p w:rsidR="00622F59" w:rsidRPr="00391E8A" w:rsidRDefault="00622F59" w:rsidP="00BD283A">
            <w:pPr>
              <w:snapToGrid w:val="0"/>
              <w:jc w:val="both"/>
              <w:rPr>
                <w:color w:val="000000"/>
              </w:rPr>
            </w:pPr>
            <w:r w:rsidRPr="00391E8A">
              <w:rPr>
                <w:color w:val="000000"/>
              </w:rPr>
              <w:t>Finanšu ministrija, Latvijas Banka</w:t>
            </w:r>
            <w:r>
              <w:rPr>
                <w:color w:val="000000"/>
              </w:rPr>
              <w:t>, Patērētāju tiesību aizsardzības centrs</w:t>
            </w:r>
            <w:r w:rsidRPr="00391E8A">
              <w:rPr>
                <w:color w:val="000000"/>
              </w:rPr>
              <w:t xml:space="preserve"> un </w:t>
            </w:r>
            <w:r w:rsidRPr="00391E8A">
              <w:t xml:space="preserve">Finanšu un kapitāla tirgus </w:t>
            </w:r>
            <w:r w:rsidRPr="00391E8A">
              <w:rPr>
                <w:color w:val="000000"/>
              </w:rPr>
              <w:t>komisija.</w:t>
            </w:r>
          </w:p>
        </w:tc>
      </w:tr>
      <w:tr w:rsidR="00622F59" w:rsidRPr="00391E8A" w:rsidTr="00503EE8">
        <w:trPr>
          <w:trHeight w:val="144"/>
        </w:trPr>
        <w:tc>
          <w:tcPr>
            <w:tcW w:w="340" w:type="dxa"/>
          </w:tcPr>
          <w:p w:rsidR="00622F59" w:rsidRPr="00391E8A" w:rsidRDefault="00622F59" w:rsidP="00E44645">
            <w:pPr>
              <w:snapToGrid w:val="0"/>
              <w:jc w:val="both"/>
              <w:rPr>
                <w:color w:val="000000"/>
              </w:rPr>
            </w:pPr>
            <w:r w:rsidRPr="00391E8A">
              <w:rPr>
                <w:color w:val="000000"/>
              </w:rPr>
              <w:t>6.</w:t>
            </w:r>
          </w:p>
        </w:tc>
        <w:tc>
          <w:tcPr>
            <w:tcW w:w="1887" w:type="dxa"/>
          </w:tcPr>
          <w:p w:rsidR="00622F59" w:rsidRPr="00391E8A" w:rsidRDefault="00622F59" w:rsidP="00E44645">
            <w:pPr>
              <w:snapToGrid w:val="0"/>
              <w:rPr>
                <w:color w:val="000000"/>
              </w:rPr>
            </w:pPr>
            <w:r w:rsidRPr="00391E8A">
              <w:rPr>
                <w:color w:val="000000"/>
              </w:rPr>
              <w:t>Iemesli, kādēļ netika nodrošināta sabiedrības līdzdalība</w:t>
            </w:r>
          </w:p>
        </w:tc>
        <w:tc>
          <w:tcPr>
            <w:tcW w:w="7376" w:type="dxa"/>
          </w:tcPr>
          <w:p w:rsidR="00622F59" w:rsidRPr="00391E8A" w:rsidRDefault="00622F59" w:rsidP="00E44645">
            <w:pPr>
              <w:jc w:val="both"/>
              <w:rPr>
                <w:color w:val="000000"/>
              </w:rPr>
            </w:pPr>
            <w:r w:rsidRPr="00391E8A">
              <w:rPr>
                <w:color w:val="000000"/>
              </w:rPr>
              <w:t>Likumprojekts ir saskaņots ar attiecīgā tirgus dalībniekiem.</w:t>
            </w:r>
          </w:p>
        </w:tc>
      </w:tr>
      <w:tr w:rsidR="00622F59" w:rsidRPr="00391E8A" w:rsidTr="00503EE8">
        <w:trPr>
          <w:trHeight w:val="144"/>
        </w:trPr>
        <w:tc>
          <w:tcPr>
            <w:tcW w:w="340" w:type="dxa"/>
          </w:tcPr>
          <w:p w:rsidR="00622F59" w:rsidRPr="00391E8A" w:rsidRDefault="00622F59" w:rsidP="00E44645">
            <w:pPr>
              <w:snapToGrid w:val="0"/>
              <w:jc w:val="both"/>
              <w:rPr>
                <w:color w:val="000000"/>
              </w:rPr>
            </w:pPr>
            <w:r w:rsidRPr="00391E8A">
              <w:rPr>
                <w:color w:val="000000"/>
              </w:rPr>
              <w:t>7.</w:t>
            </w:r>
          </w:p>
        </w:tc>
        <w:tc>
          <w:tcPr>
            <w:tcW w:w="1887" w:type="dxa"/>
          </w:tcPr>
          <w:p w:rsidR="00622F59" w:rsidRPr="00391E8A" w:rsidRDefault="00622F59" w:rsidP="00E44645">
            <w:pPr>
              <w:snapToGrid w:val="0"/>
              <w:jc w:val="both"/>
              <w:rPr>
                <w:color w:val="000000"/>
              </w:rPr>
            </w:pPr>
            <w:r w:rsidRPr="00391E8A">
              <w:rPr>
                <w:color w:val="000000"/>
              </w:rPr>
              <w:t>Cita informācija</w:t>
            </w:r>
          </w:p>
        </w:tc>
        <w:tc>
          <w:tcPr>
            <w:tcW w:w="7376" w:type="dxa"/>
          </w:tcPr>
          <w:p w:rsidR="00622F59" w:rsidRPr="00391E8A" w:rsidRDefault="00622F59" w:rsidP="00E44645">
            <w:pPr>
              <w:snapToGrid w:val="0"/>
              <w:jc w:val="both"/>
              <w:rPr>
                <w:color w:val="000000"/>
              </w:rPr>
            </w:pPr>
            <w:r w:rsidRPr="00391E8A">
              <w:rPr>
                <w:color w:val="000000"/>
              </w:rPr>
              <w:t>Nav.</w:t>
            </w:r>
          </w:p>
        </w:tc>
      </w:tr>
    </w:tbl>
    <w:p w:rsidR="00622F59" w:rsidRPr="00E44645" w:rsidRDefault="00622F59" w:rsidP="00E44645">
      <w:pPr>
        <w:rPr>
          <w:sz w:val="32"/>
          <w:szCs w:val="32"/>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
        <w:gridCol w:w="3100"/>
        <w:gridCol w:w="5815"/>
      </w:tblGrid>
      <w:tr w:rsidR="00622F59" w:rsidRPr="00391E8A" w:rsidTr="00775782">
        <w:trPr>
          <w:jc w:val="center"/>
        </w:trPr>
        <w:tc>
          <w:tcPr>
            <w:tcW w:w="9586" w:type="dxa"/>
            <w:gridSpan w:val="3"/>
            <w:vAlign w:val="center"/>
          </w:tcPr>
          <w:p w:rsidR="00622F59" w:rsidRPr="00391E8A" w:rsidRDefault="00622F59" w:rsidP="00E44645">
            <w:pPr>
              <w:pStyle w:val="naisnod"/>
              <w:spacing w:before="0" w:after="0"/>
              <w:rPr>
                <w:highlight w:val="yellow"/>
              </w:rPr>
            </w:pPr>
            <w:r w:rsidRPr="00391E8A">
              <w:t>II. Tiesību akta projekta ietekme uz sabiedrību</w:t>
            </w:r>
          </w:p>
        </w:tc>
      </w:tr>
      <w:tr w:rsidR="00622F59" w:rsidRPr="00391E8A" w:rsidTr="00775782">
        <w:trPr>
          <w:trHeight w:val="38"/>
          <w:jc w:val="center"/>
        </w:trPr>
        <w:tc>
          <w:tcPr>
            <w:tcW w:w="671" w:type="dxa"/>
            <w:vAlign w:val="center"/>
          </w:tcPr>
          <w:p w:rsidR="00622F59" w:rsidRPr="00391E8A" w:rsidRDefault="00622F59" w:rsidP="00E44645">
            <w:pPr>
              <w:pStyle w:val="naisnod"/>
              <w:spacing w:before="0" w:after="0"/>
              <w:rPr>
                <w:b w:val="0"/>
              </w:rPr>
            </w:pPr>
            <w:r w:rsidRPr="00391E8A">
              <w:rPr>
                <w:b w:val="0"/>
              </w:rPr>
              <w:t>1.</w:t>
            </w:r>
          </w:p>
        </w:tc>
        <w:tc>
          <w:tcPr>
            <w:tcW w:w="3100" w:type="dxa"/>
            <w:vAlign w:val="center"/>
          </w:tcPr>
          <w:p w:rsidR="00622F59" w:rsidRPr="00391E8A" w:rsidRDefault="00622F59" w:rsidP="00E44645">
            <w:r w:rsidRPr="00391E8A">
              <w:t xml:space="preserve">Sabiedrības </w:t>
            </w:r>
            <w:proofErr w:type="spellStart"/>
            <w:r w:rsidRPr="00391E8A">
              <w:t>mērķgrupa</w:t>
            </w:r>
            <w:proofErr w:type="spellEnd"/>
          </w:p>
          <w:p w:rsidR="00622F59" w:rsidRPr="00391E8A" w:rsidRDefault="00622F59" w:rsidP="00E44645">
            <w:pPr>
              <w:rPr>
                <w:b/>
              </w:rPr>
            </w:pPr>
          </w:p>
        </w:tc>
        <w:tc>
          <w:tcPr>
            <w:tcW w:w="5815" w:type="dxa"/>
            <w:vAlign w:val="center"/>
          </w:tcPr>
          <w:p w:rsidR="00622F59" w:rsidRPr="00391E8A" w:rsidRDefault="00622F59" w:rsidP="00E44645">
            <w:pPr>
              <w:pStyle w:val="naisnod"/>
              <w:spacing w:before="0" w:after="0"/>
              <w:jc w:val="both"/>
              <w:rPr>
                <w:b w:val="0"/>
              </w:rPr>
            </w:pPr>
            <w:r w:rsidRPr="00391E8A">
              <w:rPr>
                <w:b w:val="0"/>
              </w:rPr>
              <w:t>Likumprojekta tiesiskais regulējums attiecas uz maksājumu pakalpojumu sniedzējiem</w:t>
            </w:r>
            <w:r>
              <w:rPr>
                <w:b w:val="0"/>
              </w:rPr>
              <w:t xml:space="preserve"> un elektroniskās naudas iestādēm</w:t>
            </w:r>
            <w:r w:rsidRPr="00391E8A">
              <w:rPr>
                <w:b w:val="0"/>
              </w:rPr>
              <w:t>.</w:t>
            </w:r>
          </w:p>
        </w:tc>
      </w:tr>
      <w:tr w:rsidR="00622F59" w:rsidRPr="00391E8A" w:rsidTr="00775782">
        <w:trPr>
          <w:trHeight w:val="38"/>
          <w:jc w:val="center"/>
        </w:trPr>
        <w:tc>
          <w:tcPr>
            <w:tcW w:w="671" w:type="dxa"/>
            <w:vAlign w:val="center"/>
          </w:tcPr>
          <w:p w:rsidR="00622F59" w:rsidRPr="00391E8A" w:rsidRDefault="00622F59" w:rsidP="00E44645">
            <w:pPr>
              <w:pStyle w:val="naisnod"/>
              <w:spacing w:before="0" w:after="0"/>
              <w:rPr>
                <w:b w:val="0"/>
              </w:rPr>
            </w:pPr>
            <w:r w:rsidRPr="00391E8A">
              <w:rPr>
                <w:b w:val="0"/>
              </w:rPr>
              <w:t>2.</w:t>
            </w:r>
          </w:p>
        </w:tc>
        <w:tc>
          <w:tcPr>
            <w:tcW w:w="3100" w:type="dxa"/>
            <w:vAlign w:val="center"/>
          </w:tcPr>
          <w:p w:rsidR="00622F59" w:rsidRPr="00391E8A" w:rsidRDefault="00622F59" w:rsidP="00E44645">
            <w:pPr>
              <w:ind w:left="43"/>
            </w:pPr>
            <w:r w:rsidRPr="00391E8A">
              <w:t xml:space="preserve">Citas sabiedrības grupas (bez </w:t>
            </w:r>
            <w:proofErr w:type="spellStart"/>
            <w:r w:rsidRPr="00391E8A">
              <w:t>mērķgrupas</w:t>
            </w:r>
            <w:proofErr w:type="spellEnd"/>
            <w:r w:rsidRPr="00391E8A">
              <w:t>), kuras tiesiskais regulējums arī ietekmē vai varētu ietekmēt</w:t>
            </w:r>
          </w:p>
        </w:tc>
        <w:tc>
          <w:tcPr>
            <w:tcW w:w="5815" w:type="dxa"/>
            <w:vAlign w:val="center"/>
          </w:tcPr>
          <w:p w:rsidR="00622F59" w:rsidRPr="00391E8A" w:rsidRDefault="00622F59" w:rsidP="00E44645">
            <w:pPr>
              <w:pStyle w:val="naisnod"/>
              <w:spacing w:before="0" w:after="0"/>
              <w:jc w:val="both"/>
              <w:rPr>
                <w:b w:val="0"/>
              </w:rPr>
            </w:pPr>
            <w:r w:rsidRPr="00391E8A">
              <w:rPr>
                <w:b w:val="0"/>
                <w:i/>
              </w:rPr>
              <w:t>Projekts šo jomu neskar.</w:t>
            </w:r>
          </w:p>
        </w:tc>
      </w:tr>
      <w:tr w:rsidR="00622F59" w:rsidRPr="00391E8A" w:rsidTr="00775782">
        <w:trPr>
          <w:trHeight w:val="34"/>
          <w:jc w:val="center"/>
        </w:trPr>
        <w:tc>
          <w:tcPr>
            <w:tcW w:w="671" w:type="dxa"/>
            <w:vAlign w:val="center"/>
          </w:tcPr>
          <w:p w:rsidR="00622F59" w:rsidRPr="00391E8A" w:rsidRDefault="00622F59" w:rsidP="00E44645">
            <w:pPr>
              <w:pStyle w:val="naisnod"/>
              <w:spacing w:before="0" w:after="0"/>
              <w:rPr>
                <w:b w:val="0"/>
              </w:rPr>
            </w:pPr>
            <w:r w:rsidRPr="00391E8A">
              <w:rPr>
                <w:b w:val="0"/>
              </w:rPr>
              <w:t>3.</w:t>
            </w:r>
          </w:p>
        </w:tc>
        <w:tc>
          <w:tcPr>
            <w:tcW w:w="3100" w:type="dxa"/>
            <w:vAlign w:val="center"/>
          </w:tcPr>
          <w:p w:rsidR="00622F59" w:rsidRPr="00391E8A" w:rsidRDefault="00622F59" w:rsidP="00E44645">
            <w:pPr>
              <w:rPr>
                <w:b/>
              </w:rPr>
            </w:pPr>
            <w:r w:rsidRPr="00391E8A">
              <w:t>Tiesiskā regulējuma finansiālā ietekme</w:t>
            </w:r>
          </w:p>
        </w:tc>
        <w:tc>
          <w:tcPr>
            <w:tcW w:w="5815" w:type="dxa"/>
            <w:vAlign w:val="center"/>
          </w:tcPr>
          <w:p w:rsidR="00622F59" w:rsidRPr="00902084" w:rsidRDefault="00622F59" w:rsidP="00840CE3">
            <w:pPr>
              <w:jc w:val="both"/>
            </w:pPr>
            <w:r w:rsidRPr="00902084">
              <w:t>Paredzēts palielināt Komisijas finansēšanai</w:t>
            </w:r>
            <w:r>
              <w:t xml:space="preserve"> </w:t>
            </w:r>
            <w:r w:rsidRPr="00902084">
              <w:t>paredz</w:t>
            </w:r>
            <w:r>
              <w:t>ē</w:t>
            </w:r>
            <w:r w:rsidRPr="00902084">
              <w:t>t</w:t>
            </w:r>
            <w:r>
              <w:t>o</w:t>
            </w:r>
            <w:r w:rsidRPr="00902084">
              <w:t xml:space="preserve"> maksu</w:t>
            </w:r>
            <w:r>
              <w:t xml:space="preserve"> no attiecīgā tirgus dalībnieku maksājumiem</w:t>
            </w:r>
            <w:r w:rsidRPr="00902084">
              <w:t>.</w:t>
            </w:r>
            <w:r>
              <w:t xml:space="preserve"> Tiek diferencēta Komisijas finansēšanas maksa reģistrētiem maksājumu pakalpojumu sniedzējiem un elektroniskās naudas iestādēm.</w:t>
            </w:r>
          </w:p>
        </w:tc>
      </w:tr>
      <w:tr w:rsidR="00622F59" w:rsidRPr="00391E8A" w:rsidTr="00775782">
        <w:trPr>
          <w:trHeight w:val="34"/>
          <w:jc w:val="center"/>
        </w:trPr>
        <w:tc>
          <w:tcPr>
            <w:tcW w:w="671" w:type="dxa"/>
            <w:vAlign w:val="center"/>
          </w:tcPr>
          <w:p w:rsidR="00622F59" w:rsidRPr="00391E8A" w:rsidRDefault="00622F59" w:rsidP="00E44645">
            <w:pPr>
              <w:pStyle w:val="naisnod"/>
              <w:spacing w:before="0" w:after="0"/>
              <w:rPr>
                <w:b w:val="0"/>
              </w:rPr>
            </w:pPr>
            <w:r w:rsidRPr="00391E8A">
              <w:rPr>
                <w:b w:val="0"/>
              </w:rPr>
              <w:t>4.</w:t>
            </w:r>
          </w:p>
        </w:tc>
        <w:tc>
          <w:tcPr>
            <w:tcW w:w="3100" w:type="dxa"/>
            <w:vAlign w:val="center"/>
          </w:tcPr>
          <w:p w:rsidR="00622F59" w:rsidRPr="00391E8A" w:rsidRDefault="00622F59" w:rsidP="00E44645">
            <w:pPr>
              <w:rPr>
                <w:b/>
              </w:rPr>
            </w:pPr>
            <w:r w:rsidRPr="00391E8A">
              <w:t>Tiesiskā regulējuma nefinansiālā ietekme</w:t>
            </w:r>
          </w:p>
        </w:tc>
        <w:tc>
          <w:tcPr>
            <w:tcW w:w="5815" w:type="dxa"/>
            <w:vAlign w:val="center"/>
          </w:tcPr>
          <w:p w:rsidR="00622F59" w:rsidRPr="00391E8A" w:rsidRDefault="00622F59" w:rsidP="00E44645">
            <w:pPr>
              <w:pStyle w:val="naiskr"/>
              <w:spacing w:before="0" w:after="0"/>
              <w:jc w:val="both"/>
              <w:rPr>
                <w:b/>
              </w:rPr>
            </w:pPr>
            <w:r w:rsidRPr="00391E8A">
              <w:rPr>
                <w:i/>
              </w:rPr>
              <w:t>Projekts šo jomu neskar.</w:t>
            </w:r>
          </w:p>
        </w:tc>
      </w:tr>
      <w:tr w:rsidR="00622F59" w:rsidRPr="00391E8A" w:rsidTr="00775782">
        <w:trPr>
          <w:trHeight w:val="34"/>
          <w:jc w:val="center"/>
        </w:trPr>
        <w:tc>
          <w:tcPr>
            <w:tcW w:w="671" w:type="dxa"/>
            <w:vAlign w:val="center"/>
          </w:tcPr>
          <w:p w:rsidR="00622F59" w:rsidRPr="00391E8A" w:rsidRDefault="00622F59" w:rsidP="00E44645">
            <w:pPr>
              <w:pStyle w:val="naisnod"/>
              <w:spacing w:before="0" w:after="0"/>
              <w:rPr>
                <w:b w:val="0"/>
              </w:rPr>
            </w:pPr>
            <w:r w:rsidRPr="00391E8A">
              <w:rPr>
                <w:b w:val="0"/>
              </w:rPr>
              <w:t>5.</w:t>
            </w:r>
          </w:p>
        </w:tc>
        <w:tc>
          <w:tcPr>
            <w:tcW w:w="3100" w:type="dxa"/>
            <w:vAlign w:val="center"/>
          </w:tcPr>
          <w:p w:rsidR="00622F59" w:rsidRPr="00391E8A" w:rsidRDefault="00622F59" w:rsidP="00E44645">
            <w:pPr>
              <w:rPr>
                <w:b/>
              </w:rPr>
            </w:pPr>
            <w:r w:rsidRPr="00391E8A">
              <w:t>Administratīvās procedūras raksturojums</w:t>
            </w:r>
          </w:p>
        </w:tc>
        <w:tc>
          <w:tcPr>
            <w:tcW w:w="5815" w:type="dxa"/>
            <w:vAlign w:val="center"/>
          </w:tcPr>
          <w:p w:rsidR="00622F59" w:rsidRPr="00391E8A" w:rsidRDefault="00622F59" w:rsidP="00E44645">
            <w:pPr>
              <w:pStyle w:val="naisnod"/>
              <w:spacing w:before="0" w:after="0"/>
              <w:jc w:val="both"/>
              <w:rPr>
                <w:b w:val="0"/>
              </w:rPr>
            </w:pPr>
            <w:r w:rsidRPr="00391E8A">
              <w:rPr>
                <w:b w:val="0"/>
              </w:rPr>
              <w:t>Administratīvās procedūras attieksies uz visiem maksājumu pakalpojumu sniedzējiem</w:t>
            </w:r>
            <w:r>
              <w:rPr>
                <w:b w:val="0"/>
              </w:rPr>
              <w:t xml:space="preserve"> un elektroniskās naudas iestādēm</w:t>
            </w:r>
            <w:r w:rsidRPr="00391E8A">
              <w:rPr>
                <w:b w:val="0"/>
              </w:rPr>
              <w:t>.</w:t>
            </w:r>
          </w:p>
        </w:tc>
      </w:tr>
      <w:tr w:rsidR="00622F59" w:rsidRPr="00391E8A" w:rsidTr="00775782">
        <w:trPr>
          <w:trHeight w:val="34"/>
          <w:jc w:val="center"/>
        </w:trPr>
        <w:tc>
          <w:tcPr>
            <w:tcW w:w="671" w:type="dxa"/>
            <w:vAlign w:val="center"/>
          </w:tcPr>
          <w:p w:rsidR="00622F59" w:rsidRPr="00391E8A" w:rsidRDefault="00622F59" w:rsidP="00E44645">
            <w:pPr>
              <w:pStyle w:val="naisnod"/>
              <w:spacing w:before="0" w:after="0"/>
              <w:rPr>
                <w:b w:val="0"/>
              </w:rPr>
            </w:pPr>
            <w:r w:rsidRPr="00391E8A">
              <w:rPr>
                <w:b w:val="0"/>
              </w:rPr>
              <w:t>6.</w:t>
            </w:r>
          </w:p>
        </w:tc>
        <w:tc>
          <w:tcPr>
            <w:tcW w:w="3100" w:type="dxa"/>
            <w:vAlign w:val="center"/>
          </w:tcPr>
          <w:p w:rsidR="00622F59" w:rsidRPr="00391E8A" w:rsidRDefault="00622F59" w:rsidP="00E44645">
            <w:pPr>
              <w:rPr>
                <w:b/>
              </w:rPr>
            </w:pPr>
            <w:r w:rsidRPr="00391E8A">
              <w:t>Administratīvo izmaksu monetārs novērtējums</w:t>
            </w:r>
          </w:p>
        </w:tc>
        <w:tc>
          <w:tcPr>
            <w:tcW w:w="5815" w:type="dxa"/>
            <w:vAlign w:val="center"/>
          </w:tcPr>
          <w:p w:rsidR="00622F59" w:rsidRPr="00391E8A" w:rsidRDefault="00622F59" w:rsidP="00E44645">
            <w:pPr>
              <w:pStyle w:val="naisnod"/>
              <w:spacing w:before="0" w:after="0"/>
              <w:jc w:val="both"/>
              <w:rPr>
                <w:b w:val="0"/>
              </w:rPr>
            </w:pPr>
            <w:r w:rsidRPr="00391E8A">
              <w:rPr>
                <w:b w:val="0"/>
                <w:i/>
              </w:rPr>
              <w:t>Projekts šo jomu neskar.</w:t>
            </w:r>
          </w:p>
        </w:tc>
      </w:tr>
      <w:tr w:rsidR="00622F59" w:rsidRPr="00391E8A" w:rsidTr="00775782">
        <w:trPr>
          <w:trHeight w:val="34"/>
          <w:jc w:val="center"/>
        </w:trPr>
        <w:tc>
          <w:tcPr>
            <w:tcW w:w="671" w:type="dxa"/>
            <w:vAlign w:val="center"/>
          </w:tcPr>
          <w:p w:rsidR="00622F59" w:rsidRPr="00391E8A" w:rsidRDefault="00622F59" w:rsidP="00E44645">
            <w:pPr>
              <w:pStyle w:val="naisnod"/>
              <w:spacing w:before="0" w:after="0"/>
              <w:rPr>
                <w:b w:val="0"/>
              </w:rPr>
            </w:pPr>
            <w:r w:rsidRPr="00391E8A">
              <w:rPr>
                <w:b w:val="0"/>
              </w:rPr>
              <w:t>7.</w:t>
            </w:r>
          </w:p>
        </w:tc>
        <w:tc>
          <w:tcPr>
            <w:tcW w:w="3100" w:type="dxa"/>
            <w:vAlign w:val="center"/>
          </w:tcPr>
          <w:p w:rsidR="00622F59" w:rsidRPr="00391E8A" w:rsidRDefault="00622F59" w:rsidP="00E44645">
            <w:pPr>
              <w:pStyle w:val="naisc"/>
              <w:spacing w:before="0" w:after="0"/>
              <w:jc w:val="left"/>
              <w:rPr>
                <w:b/>
              </w:rPr>
            </w:pPr>
            <w:r w:rsidRPr="00391E8A">
              <w:t>Cita informācija</w:t>
            </w:r>
          </w:p>
        </w:tc>
        <w:tc>
          <w:tcPr>
            <w:tcW w:w="5815" w:type="dxa"/>
            <w:vAlign w:val="center"/>
          </w:tcPr>
          <w:p w:rsidR="00622F59" w:rsidRPr="00391E8A" w:rsidRDefault="00622F59" w:rsidP="00E44645">
            <w:pPr>
              <w:pStyle w:val="naisnod"/>
              <w:spacing w:before="0" w:after="0"/>
              <w:jc w:val="left"/>
              <w:rPr>
                <w:b w:val="0"/>
              </w:rPr>
            </w:pPr>
            <w:r w:rsidRPr="00391E8A">
              <w:rPr>
                <w:b w:val="0"/>
              </w:rPr>
              <w:t>Nav.</w:t>
            </w:r>
          </w:p>
        </w:tc>
      </w:tr>
    </w:tbl>
    <w:p w:rsidR="00622F59" w:rsidRPr="00391E8A" w:rsidRDefault="00622F59" w:rsidP="00E446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22F59" w:rsidRPr="00391E8A" w:rsidTr="00503EE8">
        <w:tc>
          <w:tcPr>
            <w:tcW w:w="9606" w:type="dxa"/>
          </w:tcPr>
          <w:p w:rsidR="00622F59" w:rsidRPr="00391E8A" w:rsidRDefault="00622F59" w:rsidP="00E44645">
            <w:pPr>
              <w:pStyle w:val="naisf"/>
              <w:spacing w:before="0" w:after="0"/>
              <w:ind w:firstLine="0"/>
              <w:jc w:val="center"/>
              <w:rPr>
                <w:b/>
              </w:rPr>
            </w:pPr>
            <w:r w:rsidRPr="00391E8A">
              <w:rPr>
                <w:b/>
              </w:rPr>
              <w:t>III. Tiesību akta projekta ietekme uz valsts budžetu un pašvaldību budžetiem</w:t>
            </w:r>
          </w:p>
        </w:tc>
      </w:tr>
      <w:tr w:rsidR="00622F59" w:rsidRPr="00391E8A" w:rsidTr="00503EE8">
        <w:tc>
          <w:tcPr>
            <w:tcW w:w="9606" w:type="dxa"/>
          </w:tcPr>
          <w:p w:rsidR="00622F59" w:rsidRPr="00391E8A" w:rsidRDefault="00622F59" w:rsidP="00E44645">
            <w:pPr>
              <w:pStyle w:val="naisf"/>
              <w:spacing w:before="0" w:after="0"/>
              <w:ind w:firstLine="0"/>
              <w:jc w:val="center"/>
            </w:pPr>
            <w:r w:rsidRPr="00391E8A">
              <w:rPr>
                <w:i/>
              </w:rPr>
              <w:t>Projekts šo jomu neskar.</w:t>
            </w:r>
          </w:p>
        </w:tc>
      </w:tr>
    </w:tbl>
    <w:p w:rsidR="00622F59" w:rsidRPr="00391E8A" w:rsidRDefault="00622F59" w:rsidP="00E44645"/>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126"/>
        <w:gridCol w:w="7088"/>
      </w:tblGrid>
      <w:tr w:rsidR="00622F59" w:rsidRPr="00391E8A" w:rsidTr="00503EE8">
        <w:tc>
          <w:tcPr>
            <w:tcW w:w="9640" w:type="dxa"/>
            <w:gridSpan w:val="3"/>
          </w:tcPr>
          <w:p w:rsidR="00622F59" w:rsidRPr="00391E8A" w:rsidRDefault="00622F59" w:rsidP="00E44645">
            <w:pPr>
              <w:jc w:val="center"/>
            </w:pPr>
            <w:r w:rsidRPr="00391E8A">
              <w:rPr>
                <w:b/>
              </w:rPr>
              <w:t> IV. Tiesību akta projekta ietekme uz spēkā esošo tiesību normu sistēmu</w:t>
            </w:r>
          </w:p>
        </w:tc>
      </w:tr>
      <w:tr w:rsidR="00622F59" w:rsidRPr="00391E8A" w:rsidTr="00503EE8">
        <w:tc>
          <w:tcPr>
            <w:tcW w:w="426" w:type="dxa"/>
          </w:tcPr>
          <w:p w:rsidR="00622F59" w:rsidRPr="00391E8A" w:rsidRDefault="00622F59" w:rsidP="00E44645">
            <w:pPr>
              <w:ind w:right="-57"/>
            </w:pPr>
            <w:r w:rsidRPr="00391E8A">
              <w:t>1.</w:t>
            </w:r>
          </w:p>
        </w:tc>
        <w:tc>
          <w:tcPr>
            <w:tcW w:w="2126" w:type="dxa"/>
          </w:tcPr>
          <w:p w:rsidR="00622F59" w:rsidRPr="00391E8A" w:rsidRDefault="00622F59" w:rsidP="00E44645">
            <w:pPr>
              <w:ind w:right="-57"/>
            </w:pPr>
            <w:r w:rsidRPr="00391E8A">
              <w:t>Nepieciešamie saistītie tiesību aktu projekti</w:t>
            </w:r>
          </w:p>
          <w:p w:rsidR="00622F59" w:rsidRPr="00391E8A" w:rsidRDefault="00622F59" w:rsidP="00E44645">
            <w:pPr>
              <w:ind w:right="-57"/>
            </w:pPr>
          </w:p>
          <w:p w:rsidR="00622F59" w:rsidRPr="00391E8A" w:rsidRDefault="00622F59" w:rsidP="00E44645">
            <w:pPr>
              <w:ind w:right="-57"/>
            </w:pPr>
          </w:p>
        </w:tc>
        <w:tc>
          <w:tcPr>
            <w:tcW w:w="7088" w:type="dxa"/>
          </w:tcPr>
          <w:p w:rsidR="00622F59" w:rsidRPr="00DB6C31" w:rsidRDefault="00622F59" w:rsidP="00E30C6B">
            <w:pPr>
              <w:suppressAutoHyphens w:val="0"/>
              <w:autoSpaceDE w:val="0"/>
              <w:autoSpaceDN w:val="0"/>
              <w:adjustRightInd w:val="0"/>
              <w:jc w:val="both"/>
              <w:rPr>
                <w:bCs/>
              </w:rPr>
            </w:pPr>
            <w:r w:rsidRPr="00DB6C31">
              <w:t>Pēc likumprojekta pieņemšanas Komisija veiks grozījumus Komisijas 15.04.2011.   noteikum</w:t>
            </w:r>
            <w:r>
              <w:t>o</w:t>
            </w:r>
            <w:r w:rsidRPr="00DB6C31">
              <w:t xml:space="preserve">s </w:t>
            </w:r>
            <w:r>
              <w:t>N</w:t>
            </w:r>
            <w:r w:rsidRPr="00DB6C31">
              <w:t>r.</w:t>
            </w:r>
            <w:r>
              <w:t xml:space="preserve"> </w:t>
            </w:r>
            <w:r w:rsidRPr="00DB6C31">
              <w:t>63 "</w:t>
            </w:r>
            <w:r w:rsidRPr="00DB6C31">
              <w:rPr>
                <w:rStyle w:val="Strong"/>
                <w:b w:val="0"/>
              </w:rPr>
              <w:t xml:space="preserve">Maksājumu iestādes un elektroniskās naudas iestādes darbību regulējošo prasību un pārskatu sagatavošanas normatīvie noteikumi" un Komisijas 15.04.2013. noteikumos </w:t>
            </w:r>
            <w:r>
              <w:rPr>
                <w:rStyle w:val="Strong"/>
                <w:b w:val="0"/>
              </w:rPr>
              <w:t>N</w:t>
            </w:r>
            <w:r w:rsidRPr="00DB6C31">
              <w:rPr>
                <w:rStyle w:val="Strong"/>
                <w:b w:val="0"/>
              </w:rPr>
              <w:t>r.</w:t>
            </w:r>
            <w:r>
              <w:rPr>
                <w:rStyle w:val="Strong"/>
                <w:b w:val="0"/>
              </w:rPr>
              <w:t> </w:t>
            </w:r>
            <w:r w:rsidRPr="00DB6C31">
              <w:rPr>
                <w:rStyle w:val="Strong"/>
                <w:b w:val="0"/>
              </w:rPr>
              <w:t xml:space="preserve">64 </w:t>
            </w:r>
            <w:r w:rsidR="00DA52E5" w:rsidRPr="00DA52E5">
              <w:rPr>
                <w:rStyle w:val="Strong"/>
                <w:b w:val="0"/>
              </w:rPr>
              <w:t>"</w:t>
            </w:r>
            <w:r w:rsidRPr="00DB6C31">
              <w:rPr>
                <w:bCs/>
                <w:lang w:eastAsia="en-US"/>
              </w:rPr>
              <w:t xml:space="preserve">Licenču maksājumu iestādes un elektroniskās naudas iestādes darbībai izsniegšanas, maksājumu iestādes un elektroniskās naudas iestādes reģistrācijas, iesniedzamo dokumentu un informācijas sniegšanas </w:t>
            </w:r>
            <w:r w:rsidRPr="00DB6C31">
              <w:rPr>
                <w:bCs/>
                <w:lang w:eastAsia="en-US"/>
              </w:rPr>
              <w:lastRenderedPageBreak/>
              <w:t>normatīvie noteikumi</w:t>
            </w:r>
            <w:r>
              <w:rPr>
                <w:bCs/>
                <w:lang w:eastAsia="en-US"/>
              </w:rPr>
              <w:t>"</w:t>
            </w:r>
            <w:r w:rsidRPr="004900B2">
              <w:rPr>
                <w:bCs/>
                <w:lang w:eastAsia="en-US"/>
              </w:rPr>
              <w:t xml:space="preserve">, kā arī tiks izstrādāti Komisijas </w:t>
            </w:r>
            <w:r>
              <w:rPr>
                <w:bCs/>
                <w:lang w:eastAsia="en-US"/>
              </w:rPr>
              <w:t>n</w:t>
            </w:r>
            <w:r w:rsidRPr="004900B2">
              <w:rPr>
                <w:rFonts w:eastAsia="TimesNewRoman"/>
                <w:lang w:eastAsia="en-US"/>
              </w:rPr>
              <w:t xml:space="preserve">ormatīvie noteikumi par </w:t>
            </w:r>
            <w:r>
              <w:rPr>
                <w:rFonts w:eastAsia="TimesNewRoman"/>
                <w:lang w:eastAsia="en-US"/>
              </w:rPr>
              <w:t>f</w:t>
            </w:r>
            <w:r w:rsidRPr="004900B2">
              <w:rPr>
                <w:rFonts w:eastAsia="TimesNewRoman"/>
                <w:lang w:eastAsia="en-US"/>
              </w:rPr>
              <w:t>inanšu un kapitāla tirgus dalībnieku maksājumu apmēra Finanšu un kapitāla tirgus komisijas finansēšanai 2014. gadā noteikšan</w:t>
            </w:r>
            <w:r>
              <w:rPr>
                <w:rFonts w:eastAsia="TimesNewRoman"/>
                <w:lang w:eastAsia="en-US"/>
              </w:rPr>
              <w:t>u</w:t>
            </w:r>
            <w:r w:rsidRPr="004900B2">
              <w:rPr>
                <w:rFonts w:eastAsia="TimesNewRoman"/>
                <w:lang w:eastAsia="en-US"/>
              </w:rPr>
              <w:t xml:space="preserve"> un pārskatu iesniegšan</w:t>
            </w:r>
            <w:r>
              <w:rPr>
                <w:rFonts w:eastAsia="TimesNewRoman"/>
                <w:lang w:eastAsia="en-US"/>
              </w:rPr>
              <w:t>u.</w:t>
            </w:r>
          </w:p>
        </w:tc>
      </w:tr>
      <w:tr w:rsidR="00622F59" w:rsidRPr="00391E8A" w:rsidTr="00503EE8">
        <w:tc>
          <w:tcPr>
            <w:tcW w:w="426" w:type="dxa"/>
          </w:tcPr>
          <w:p w:rsidR="00622F59" w:rsidRPr="00391E8A" w:rsidRDefault="00622F59" w:rsidP="00E44645">
            <w:r w:rsidRPr="00391E8A">
              <w:lastRenderedPageBreak/>
              <w:t>2</w:t>
            </w:r>
          </w:p>
        </w:tc>
        <w:tc>
          <w:tcPr>
            <w:tcW w:w="2126" w:type="dxa"/>
          </w:tcPr>
          <w:p w:rsidR="00622F59" w:rsidRPr="00391E8A" w:rsidRDefault="00622F59" w:rsidP="00E44645">
            <w:r w:rsidRPr="00391E8A">
              <w:t xml:space="preserve">Cita informācija </w:t>
            </w:r>
          </w:p>
        </w:tc>
        <w:tc>
          <w:tcPr>
            <w:tcW w:w="7088" w:type="dxa"/>
          </w:tcPr>
          <w:p w:rsidR="00622F59" w:rsidRPr="00391E8A" w:rsidRDefault="00622F59" w:rsidP="00E44645">
            <w:pPr>
              <w:ind w:firstLine="34"/>
              <w:jc w:val="both"/>
            </w:pPr>
            <w:r w:rsidRPr="00391E8A">
              <w:t>Nav.</w:t>
            </w:r>
          </w:p>
        </w:tc>
      </w:tr>
    </w:tbl>
    <w:p w:rsidR="00622F59" w:rsidRPr="00391E8A" w:rsidRDefault="00622F59" w:rsidP="00E44645"/>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371"/>
      </w:tblGrid>
      <w:tr w:rsidR="00622F59" w:rsidRPr="00391E8A" w:rsidTr="00503EE8">
        <w:trPr>
          <w:jc w:val="center"/>
        </w:trPr>
        <w:tc>
          <w:tcPr>
            <w:tcW w:w="9559" w:type="dxa"/>
            <w:gridSpan w:val="3"/>
          </w:tcPr>
          <w:p w:rsidR="00622F59" w:rsidRPr="00391E8A" w:rsidRDefault="00622F59" w:rsidP="00E44645">
            <w:pPr>
              <w:pStyle w:val="naisnod"/>
              <w:spacing w:before="0" w:after="0"/>
              <w:jc w:val="both"/>
            </w:pPr>
            <w:r w:rsidRPr="00391E8A">
              <w:t>V. Tiesību akta projekta atbilstība Latvijas Republikas starptautiskajām saistībām</w:t>
            </w:r>
          </w:p>
        </w:tc>
      </w:tr>
      <w:tr w:rsidR="00622F59" w:rsidRPr="00391E8A" w:rsidTr="00503EE8">
        <w:trPr>
          <w:jc w:val="center"/>
        </w:trPr>
        <w:tc>
          <w:tcPr>
            <w:tcW w:w="417" w:type="dxa"/>
          </w:tcPr>
          <w:p w:rsidR="00622F59" w:rsidRPr="00391E8A" w:rsidRDefault="00622F59" w:rsidP="00E44645">
            <w:pPr>
              <w:pStyle w:val="naiskr"/>
              <w:tabs>
                <w:tab w:val="left" w:pos="2628"/>
              </w:tabs>
              <w:spacing w:before="0" w:after="0"/>
              <w:jc w:val="center"/>
              <w:rPr>
                <w:iCs/>
              </w:rPr>
            </w:pPr>
            <w:r w:rsidRPr="00391E8A">
              <w:rPr>
                <w:iCs/>
              </w:rPr>
              <w:t>1.</w:t>
            </w:r>
          </w:p>
        </w:tc>
        <w:tc>
          <w:tcPr>
            <w:tcW w:w="2771" w:type="dxa"/>
          </w:tcPr>
          <w:p w:rsidR="00622F59" w:rsidRPr="00391E8A" w:rsidRDefault="00622F59" w:rsidP="00E44645">
            <w:pPr>
              <w:pStyle w:val="naiskr"/>
              <w:tabs>
                <w:tab w:val="left" w:pos="2628"/>
              </w:tabs>
              <w:spacing w:before="0" w:after="0"/>
              <w:jc w:val="both"/>
              <w:rPr>
                <w:iCs/>
              </w:rPr>
            </w:pPr>
            <w:r w:rsidRPr="00391E8A">
              <w:t>Saistības pret Eiropas Savienību</w:t>
            </w:r>
          </w:p>
        </w:tc>
        <w:tc>
          <w:tcPr>
            <w:tcW w:w="6371" w:type="dxa"/>
          </w:tcPr>
          <w:p w:rsidR="00622F59" w:rsidRDefault="001F6012" w:rsidP="00B503B5">
            <w:pPr>
              <w:jc w:val="both"/>
            </w:pPr>
            <w:r>
              <w:t>N</w:t>
            </w:r>
            <w:r w:rsidR="00D56E6B">
              <w:t>o 01.01.2014.</w:t>
            </w:r>
            <w:r w:rsidR="00D56E6B" w:rsidRPr="00E35547">
              <w:t xml:space="preserve"> </w:t>
            </w:r>
            <w:r w:rsidR="00622F59">
              <w:t>R</w:t>
            </w:r>
            <w:r w:rsidR="00622F59" w:rsidRPr="001A3A83">
              <w:t>egul</w:t>
            </w:r>
            <w:r w:rsidR="00622F59">
              <w:t>a</w:t>
            </w:r>
            <w:r w:rsidR="00622F59" w:rsidRPr="001A3A83">
              <w:t xml:space="preserve"> </w:t>
            </w:r>
            <w:r w:rsidR="00622F59" w:rsidRPr="002F4E77">
              <w:t>Nr. 575/2013</w:t>
            </w:r>
            <w:r w:rsidR="00622F59">
              <w:t xml:space="preserve"> </w:t>
            </w:r>
            <w:r w:rsidR="00622F59" w:rsidRPr="00391E8A">
              <w:t xml:space="preserve">nosaka </w:t>
            </w:r>
            <w:r>
              <w:t>sākotnējā kapitāla un pašu kapitāla definīciju un aprēķināšanas kārtību, kas jāievēro licencētai</w:t>
            </w:r>
            <w:r w:rsidR="00622F59">
              <w:t xml:space="preserve"> maksājumu pakalpojumu un elektroniskās naudas </w:t>
            </w:r>
            <w:r>
              <w:t>iestādei</w:t>
            </w:r>
            <w:r w:rsidR="00622F59" w:rsidRPr="00391E8A">
              <w:t>.</w:t>
            </w:r>
          </w:p>
          <w:p w:rsidR="00622F59" w:rsidRPr="00230BEB" w:rsidRDefault="00622F59" w:rsidP="00B503B5">
            <w:pPr>
              <w:jc w:val="both"/>
            </w:pPr>
            <w:r w:rsidRPr="00230BEB">
              <w:rPr>
                <w:rStyle w:val="Strong"/>
                <w:b w:val="0"/>
                <w:color w:val="000000"/>
                <w:shd w:val="clear" w:color="auto" w:fill="FFFFFF"/>
              </w:rPr>
              <w:t xml:space="preserve">Direktīva 2007/64/EK nosaka </w:t>
            </w:r>
            <w:r w:rsidRPr="00230BEB">
              <w:rPr>
                <w:color w:val="000000"/>
                <w:lang w:eastAsia="en-US"/>
              </w:rPr>
              <w:t>licencētas iestādes p</w:t>
            </w:r>
            <w:r w:rsidRPr="00230BEB">
              <w:rPr>
                <w:color w:val="000000"/>
              </w:rPr>
              <w:t>ašu kapitāla prasības aprēķināšanas metodiku.</w:t>
            </w:r>
          </w:p>
        </w:tc>
      </w:tr>
      <w:tr w:rsidR="00622F59" w:rsidRPr="00391E8A" w:rsidTr="00503EE8">
        <w:trPr>
          <w:jc w:val="center"/>
        </w:trPr>
        <w:tc>
          <w:tcPr>
            <w:tcW w:w="417" w:type="dxa"/>
          </w:tcPr>
          <w:p w:rsidR="00622F59" w:rsidRPr="00391E8A" w:rsidRDefault="00622F59" w:rsidP="00E44645">
            <w:pPr>
              <w:pStyle w:val="naiskr"/>
              <w:tabs>
                <w:tab w:val="left" w:pos="2628"/>
              </w:tabs>
              <w:spacing w:before="0" w:after="0"/>
              <w:jc w:val="center"/>
              <w:rPr>
                <w:iCs/>
              </w:rPr>
            </w:pPr>
            <w:r w:rsidRPr="00391E8A">
              <w:rPr>
                <w:iCs/>
              </w:rPr>
              <w:t>2.</w:t>
            </w:r>
          </w:p>
        </w:tc>
        <w:tc>
          <w:tcPr>
            <w:tcW w:w="2771" w:type="dxa"/>
          </w:tcPr>
          <w:p w:rsidR="00622F59" w:rsidRPr="00391E8A" w:rsidRDefault="00622F59" w:rsidP="00E44645">
            <w:pPr>
              <w:pStyle w:val="naiskr"/>
              <w:tabs>
                <w:tab w:val="left" w:pos="2628"/>
              </w:tabs>
              <w:spacing w:before="0" w:after="0"/>
              <w:jc w:val="both"/>
              <w:rPr>
                <w:iCs/>
              </w:rPr>
            </w:pPr>
            <w:r w:rsidRPr="00391E8A">
              <w:t>Citas starptautiskās saistības</w:t>
            </w:r>
          </w:p>
        </w:tc>
        <w:tc>
          <w:tcPr>
            <w:tcW w:w="6371" w:type="dxa"/>
          </w:tcPr>
          <w:p w:rsidR="00622F59" w:rsidRPr="00391E8A" w:rsidRDefault="00622F59" w:rsidP="00E44645">
            <w:pPr>
              <w:rPr>
                <w:iCs/>
              </w:rPr>
            </w:pPr>
            <w:r w:rsidRPr="00391E8A">
              <w:rPr>
                <w:i/>
              </w:rPr>
              <w:t>Projekts šo jomu neskar.</w:t>
            </w:r>
            <w:r w:rsidRPr="00391E8A">
              <w:rPr>
                <w:iCs/>
              </w:rPr>
              <w:t xml:space="preserve"> </w:t>
            </w:r>
          </w:p>
        </w:tc>
      </w:tr>
      <w:tr w:rsidR="00622F59" w:rsidRPr="00391E8A" w:rsidTr="00503EE8">
        <w:trPr>
          <w:jc w:val="center"/>
        </w:trPr>
        <w:tc>
          <w:tcPr>
            <w:tcW w:w="417" w:type="dxa"/>
          </w:tcPr>
          <w:p w:rsidR="00622F59" w:rsidRPr="00391E8A" w:rsidRDefault="00622F59" w:rsidP="00E44645">
            <w:pPr>
              <w:pStyle w:val="naiskr"/>
              <w:tabs>
                <w:tab w:val="left" w:pos="2628"/>
              </w:tabs>
              <w:spacing w:before="0" w:after="0"/>
              <w:jc w:val="center"/>
              <w:rPr>
                <w:iCs/>
              </w:rPr>
            </w:pPr>
            <w:r w:rsidRPr="00391E8A">
              <w:rPr>
                <w:iCs/>
              </w:rPr>
              <w:t>3.</w:t>
            </w:r>
          </w:p>
        </w:tc>
        <w:tc>
          <w:tcPr>
            <w:tcW w:w="2771" w:type="dxa"/>
          </w:tcPr>
          <w:p w:rsidR="00622F59" w:rsidRPr="0026534F" w:rsidRDefault="00622F59" w:rsidP="00E44645">
            <w:pPr>
              <w:pStyle w:val="naiskr"/>
              <w:tabs>
                <w:tab w:val="left" w:pos="2628"/>
              </w:tabs>
              <w:spacing w:before="0" w:after="0"/>
              <w:jc w:val="both"/>
            </w:pPr>
            <w:r w:rsidRPr="0026534F">
              <w:t>Cita informācija</w:t>
            </w:r>
          </w:p>
        </w:tc>
        <w:tc>
          <w:tcPr>
            <w:tcW w:w="6371" w:type="dxa"/>
          </w:tcPr>
          <w:p w:rsidR="00D868E4" w:rsidRPr="0026534F" w:rsidRDefault="009434C8" w:rsidP="00205781">
            <w:pPr>
              <w:autoSpaceDE w:val="0"/>
              <w:autoSpaceDN w:val="0"/>
              <w:adjustRightInd w:val="0"/>
              <w:jc w:val="both"/>
            </w:pPr>
            <w:r w:rsidRPr="0026534F">
              <w:rPr>
                <w:iCs/>
              </w:rPr>
              <w:t>Lai nodrošinātu</w:t>
            </w:r>
            <w:r w:rsidR="007F3531" w:rsidRPr="0026534F">
              <w:rPr>
                <w:iCs/>
              </w:rPr>
              <w:t xml:space="preserve"> likumprojekta atbilstību </w:t>
            </w:r>
            <w:r w:rsidR="007F3531" w:rsidRPr="0026534F">
              <w:t>Regulai Nr. 575/2013, Likumā</w:t>
            </w:r>
            <w:r w:rsidR="00D868E4" w:rsidRPr="0026534F">
              <w:t xml:space="preserve"> </w:t>
            </w:r>
            <w:r w:rsidR="006D428B" w:rsidRPr="0026534F">
              <w:t>netiek</w:t>
            </w:r>
            <w:r w:rsidRPr="0026534F">
              <w:t xml:space="preserve"> pārrakstīt</w:t>
            </w:r>
            <w:r w:rsidR="006D428B" w:rsidRPr="0026534F">
              <w:t>as vai interpretētas</w:t>
            </w:r>
            <w:r w:rsidRPr="0026534F">
              <w:t xml:space="preserve"> </w:t>
            </w:r>
            <w:r w:rsidR="00D868E4" w:rsidRPr="0026534F">
              <w:t xml:space="preserve">Regulā Nr. 575/2013 </w:t>
            </w:r>
            <w:r w:rsidRPr="0026534F">
              <w:t xml:space="preserve">noteiktās normas. Regula Nr. 575/2013 ir </w:t>
            </w:r>
            <w:r w:rsidR="00D868E4" w:rsidRPr="0026534F">
              <w:t>tieši piemērojam</w:t>
            </w:r>
            <w:r w:rsidRPr="0026534F">
              <w:t>s</w:t>
            </w:r>
            <w:r w:rsidR="00D868E4" w:rsidRPr="0026534F">
              <w:t xml:space="preserve"> normatīv</w:t>
            </w:r>
            <w:r w:rsidRPr="0026534F">
              <w:t>ais</w:t>
            </w:r>
            <w:r w:rsidR="00D868E4" w:rsidRPr="0026534F">
              <w:t xml:space="preserve"> akt</w:t>
            </w:r>
            <w:r w:rsidRPr="0026534F">
              <w:t>s, kurš nosaka</w:t>
            </w:r>
            <w:r w:rsidR="00D868E4" w:rsidRPr="0026534F">
              <w:t xml:space="preserve"> licencēt</w:t>
            </w:r>
            <w:r w:rsidRPr="0026534F">
              <w:t>as</w:t>
            </w:r>
            <w:r w:rsidR="00D868E4" w:rsidRPr="0026534F">
              <w:t xml:space="preserve"> maksājumu pakalpojumu un elektroniskās naudas iestā</w:t>
            </w:r>
            <w:r w:rsidRPr="0026534F">
              <w:t>des</w:t>
            </w:r>
            <w:r w:rsidR="00D868E4" w:rsidRPr="0026534F">
              <w:t xml:space="preserve"> sākotnējā kapitāla definīcij</w:t>
            </w:r>
            <w:r w:rsidRPr="0026534F">
              <w:t>u</w:t>
            </w:r>
            <w:r w:rsidR="00D868E4" w:rsidRPr="0026534F">
              <w:t>, kā arī pašu kapitāla definīcij</w:t>
            </w:r>
            <w:r w:rsidRPr="0026534F">
              <w:t>u</w:t>
            </w:r>
            <w:r w:rsidR="00D868E4" w:rsidRPr="0026534F">
              <w:t xml:space="preserve"> un aprēķināšanas kārtīb</w:t>
            </w:r>
            <w:r w:rsidR="006D428B" w:rsidRPr="0026534F">
              <w:t>u</w:t>
            </w:r>
            <w:r w:rsidR="00D868E4" w:rsidRPr="0026534F">
              <w:t>. Likum</w:t>
            </w:r>
            <w:r w:rsidR="006D428B" w:rsidRPr="0026534F">
              <w:t>ā</w:t>
            </w:r>
            <w:r w:rsidR="00D868E4" w:rsidRPr="0026534F">
              <w:t xml:space="preserve"> </w:t>
            </w:r>
            <w:r w:rsidR="006D428B" w:rsidRPr="0026534F">
              <w:t xml:space="preserve">šīs </w:t>
            </w:r>
            <w:r w:rsidR="00D868E4" w:rsidRPr="0026534F">
              <w:t xml:space="preserve">prasības </w:t>
            </w:r>
            <w:r w:rsidR="006D428B" w:rsidRPr="0026534F">
              <w:t>vairs nebūs noteiktas.</w:t>
            </w:r>
            <w:r w:rsidR="007F3531" w:rsidRPr="0026534F">
              <w:rPr>
                <w:iCs/>
              </w:rPr>
              <w:t xml:space="preserve"> </w:t>
            </w:r>
            <w:r w:rsidR="006D428B" w:rsidRPr="0026534F">
              <w:rPr>
                <w:iCs/>
              </w:rPr>
              <w:t>N</w:t>
            </w:r>
            <w:r w:rsidR="007F3531" w:rsidRPr="0026534F">
              <w:rPr>
                <w:iCs/>
              </w:rPr>
              <w:t>av iespējams norādīt</w:t>
            </w:r>
            <w:r w:rsidR="00D868E4" w:rsidRPr="0026534F">
              <w:rPr>
                <w:iCs/>
              </w:rPr>
              <w:t xml:space="preserve"> atsevišķus</w:t>
            </w:r>
            <w:r w:rsidR="007F3531" w:rsidRPr="0026534F">
              <w:rPr>
                <w:iCs/>
              </w:rPr>
              <w:t xml:space="preserve"> </w:t>
            </w:r>
            <w:r w:rsidR="00D868E4" w:rsidRPr="0026534F">
              <w:t>Regulas Nr. 575/2013</w:t>
            </w:r>
            <w:r w:rsidR="007F3531" w:rsidRPr="0026534F">
              <w:t xml:space="preserve"> pant</w:t>
            </w:r>
            <w:r w:rsidR="00D868E4" w:rsidRPr="0026534F">
              <w:t>us, kas ar likumprojektu tiktu pārņemti vai ieviesti, jo Regul</w:t>
            </w:r>
            <w:r w:rsidR="006D428B" w:rsidRPr="0026534F">
              <w:t>a</w:t>
            </w:r>
            <w:r w:rsidR="00D868E4" w:rsidRPr="0026534F">
              <w:t xml:space="preserve"> Nr. 575/2013 kopumā</w:t>
            </w:r>
            <w:r w:rsidR="000609B2" w:rsidRPr="0026534F">
              <w:t xml:space="preserve"> un tieši</w:t>
            </w:r>
            <w:r w:rsidR="00D868E4" w:rsidRPr="0026534F">
              <w:t xml:space="preserve"> nosaka piemērojamās prasības, kas nav atsevišķi izdalāmas.</w:t>
            </w:r>
          </w:p>
          <w:p w:rsidR="0026534F" w:rsidRDefault="0026534F" w:rsidP="0026534F"/>
          <w:p w:rsidR="0026534F" w:rsidRPr="0026534F" w:rsidRDefault="0026534F" w:rsidP="0026534F">
            <w:pPr>
              <w:jc w:val="both"/>
            </w:pPr>
            <w:r w:rsidRPr="0026534F">
              <w:t>Iestādes sākotnējā kapitāla un pašu kapitāla definīcija un</w:t>
            </w:r>
            <w:r>
              <w:t xml:space="preserve"> </w:t>
            </w:r>
            <w:r w:rsidRPr="0026534F">
              <w:t>aprēķināšanas kārtību</w:t>
            </w:r>
            <w:r>
              <w:t xml:space="preserve"> turpmāk</w:t>
            </w:r>
            <w:r w:rsidRPr="0026534F">
              <w:t xml:space="preserve"> noteiks Regula Nr. 575/2013, nevis Likums</w:t>
            </w:r>
            <w:r>
              <w:t>,</w:t>
            </w:r>
            <w:r w:rsidRPr="0026534F">
              <w:t xml:space="preserve"> </w:t>
            </w:r>
            <w:r>
              <w:t>t</w:t>
            </w:r>
            <w:r w:rsidRPr="0026534F">
              <w:t>āpēc nepieciešams izslēgt Likuma 1. panta 21. un 22. punktu, papildināt Likuma 12. pantu ar trešo daļu un precizēt Likuma 34. panta otro daļu, kurā ir norāde uz subjektu, kas nosaka attiecīgo kārtību.</w:t>
            </w:r>
          </w:p>
          <w:p w:rsidR="0026534F" w:rsidRPr="0026534F" w:rsidRDefault="0026534F" w:rsidP="00205781">
            <w:pPr>
              <w:autoSpaceDE w:val="0"/>
              <w:autoSpaceDN w:val="0"/>
              <w:adjustRightInd w:val="0"/>
              <w:jc w:val="both"/>
              <w:rPr>
                <w:iCs/>
              </w:rPr>
            </w:pPr>
          </w:p>
        </w:tc>
      </w:tr>
    </w:tbl>
    <w:p w:rsidR="00622F59" w:rsidRDefault="00622F59" w:rsidP="00E44645"/>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03"/>
        <w:gridCol w:w="2996"/>
        <w:gridCol w:w="2555"/>
        <w:gridCol w:w="1987"/>
      </w:tblGrid>
      <w:tr w:rsidR="00622F59" w:rsidRPr="00391E8A" w:rsidTr="00FB7BC4">
        <w:trPr>
          <w:trHeight w:val="523"/>
          <w:jc w:val="center"/>
        </w:trPr>
        <w:tc>
          <w:tcPr>
            <w:tcW w:w="9641" w:type="dxa"/>
            <w:gridSpan w:val="4"/>
            <w:vAlign w:val="center"/>
          </w:tcPr>
          <w:p w:rsidR="00622F59" w:rsidRPr="00391E8A" w:rsidRDefault="00622F59" w:rsidP="00E44645">
            <w:pPr>
              <w:pStyle w:val="naisnod"/>
              <w:spacing w:before="0" w:after="0"/>
            </w:pPr>
            <w:r>
              <w:br w:type="page"/>
            </w:r>
            <w:r w:rsidRPr="00391E8A">
              <w:t>1.</w:t>
            </w:r>
            <w:r>
              <w:t xml:space="preserve"> </w:t>
            </w:r>
            <w:r w:rsidRPr="00391E8A">
              <w:t xml:space="preserve">tabula </w:t>
            </w:r>
          </w:p>
          <w:p w:rsidR="00622F59" w:rsidRPr="00391E8A" w:rsidRDefault="00622F59" w:rsidP="00E44645">
            <w:pPr>
              <w:pStyle w:val="naisnod"/>
              <w:spacing w:before="0" w:after="0"/>
              <w:rPr>
                <w:i/>
              </w:rPr>
            </w:pPr>
            <w:r w:rsidRPr="00391E8A">
              <w:t>Tiesību akta projekta atbilstība ES tiesību aktiem</w:t>
            </w:r>
          </w:p>
        </w:tc>
      </w:tr>
      <w:tr w:rsidR="00622F59" w:rsidRPr="00391E8A" w:rsidTr="00DE4024">
        <w:trPr>
          <w:trHeight w:val="1058"/>
          <w:jc w:val="center"/>
        </w:trPr>
        <w:tc>
          <w:tcPr>
            <w:tcW w:w="2103" w:type="dxa"/>
            <w:vAlign w:val="center"/>
          </w:tcPr>
          <w:p w:rsidR="005C5C88" w:rsidRPr="00B33E89" w:rsidRDefault="00622F59" w:rsidP="00B33E89">
            <w:pPr>
              <w:pStyle w:val="naiskr"/>
              <w:spacing w:before="0" w:after="0"/>
              <w:ind w:hanging="10"/>
              <w:jc w:val="center"/>
              <w:rPr>
                <w:bCs/>
                <w:color w:val="000000"/>
                <w:shd w:val="clear" w:color="auto" w:fill="FFFFFF"/>
              </w:rPr>
            </w:pPr>
            <w:r>
              <w:rPr>
                <w:rStyle w:val="Strong"/>
                <w:b w:val="0"/>
                <w:color w:val="000000"/>
                <w:shd w:val="clear" w:color="auto" w:fill="FFFFFF"/>
              </w:rPr>
              <w:t>Direktīva 2007/64/EK</w:t>
            </w:r>
          </w:p>
        </w:tc>
        <w:tc>
          <w:tcPr>
            <w:tcW w:w="7538" w:type="dxa"/>
            <w:gridSpan w:val="3"/>
            <w:vAlign w:val="center"/>
          </w:tcPr>
          <w:p w:rsidR="00622F59" w:rsidRPr="00391E8A" w:rsidRDefault="00622F59" w:rsidP="00E44645">
            <w:pPr>
              <w:pStyle w:val="naiskr"/>
              <w:spacing w:before="0" w:after="0"/>
              <w:jc w:val="center"/>
            </w:pPr>
            <w:r w:rsidRPr="00391E8A">
              <w:t>Aizpilda, ja ar projektu tiek pārņemts vai ieviests vairāk nekā viens ES tiesību akts</w:t>
            </w:r>
            <w:r>
              <w:t>,</w:t>
            </w:r>
            <w:r w:rsidRPr="00391E8A">
              <w:t xml:space="preserve"> – jānorāda tā pati informācija, kas prasīta instrukcijas 55.1.</w:t>
            </w:r>
            <w:r>
              <w:t> </w:t>
            </w:r>
            <w:r w:rsidRPr="00391E8A">
              <w:t xml:space="preserve">apakšpunktā un jau </w:t>
            </w:r>
            <w:r>
              <w:t xml:space="preserve">ir </w:t>
            </w:r>
            <w:r w:rsidRPr="00391E8A">
              <w:t>norādīta arī V</w:t>
            </w:r>
            <w:r>
              <w:t>.</w:t>
            </w:r>
            <w:r w:rsidRPr="00391E8A">
              <w:t> sadaļas 1.</w:t>
            </w:r>
            <w:r>
              <w:t xml:space="preserve"> </w:t>
            </w:r>
            <w:r w:rsidRPr="00391E8A">
              <w:t>punkta ietvaros</w:t>
            </w:r>
            <w:r>
              <w:t>.</w:t>
            </w:r>
          </w:p>
        </w:tc>
      </w:tr>
      <w:tr w:rsidR="00622F59" w:rsidRPr="00391E8A" w:rsidTr="00DE4024">
        <w:trPr>
          <w:trHeight w:val="165"/>
          <w:jc w:val="center"/>
        </w:trPr>
        <w:tc>
          <w:tcPr>
            <w:tcW w:w="2103" w:type="dxa"/>
            <w:vAlign w:val="center"/>
          </w:tcPr>
          <w:p w:rsidR="00622F59" w:rsidRPr="00391E8A" w:rsidRDefault="00622F59" w:rsidP="00E44645">
            <w:pPr>
              <w:pStyle w:val="naiskr"/>
              <w:spacing w:before="0" w:after="0"/>
              <w:jc w:val="both"/>
            </w:pPr>
            <w:r w:rsidRPr="00391E8A">
              <w:t>A</w:t>
            </w:r>
          </w:p>
        </w:tc>
        <w:tc>
          <w:tcPr>
            <w:tcW w:w="2996" w:type="dxa"/>
            <w:vAlign w:val="center"/>
          </w:tcPr>
          <w:p w:rsidR="00622F59" w:rsidRPr="00391E8A" w:rsidRDefault="00622F59" w:rsidP="00E44645">
            <w:pPr>
              <w:pStyle w:val="naiskr"/>
              <w:spacing w:before="0" w:after="0"/>
              <w:jc w:val="center"/>
            </w:pPr>
            <w:r w:rsidRPr="00391E8A">
              <w:t>B</w:t>
            </w:r>
          </w:p>
        </w:tc>
        <w:tc>
          <w:tcPr>
            <w:tcW w:w="2555" w:type="dxa"/>
            <w:vAlign w:val="center"/>
          </w:tcPr>
          <w:p w:rsidR="00622F59" w:rsidRPr="00391E8A" w:rsidRDefault="00622F59" w:rsidP="00E44645">
            <w:pPr>
              <w:pStyle w:val="naiskr"/>
              <w:spacing w:before="0" w:after="0"/>
              <w:jc w:val="center"/>
            </w:pPr>
            <w:r w:rsidRPr="00391E8A">
              <w:t>C</w:t>
            </w:r>
          </w:p>
        </w:tc>
        <w:tc>
          <w:tcPr>
            <w:tcW w:w="1987" w:type="dxa"/>
            <w:vAlign w:val="center"/>
          </w:tcPr>
          <w:p w:rsidR="00622F59" w:rsidRPr="00391E8A" w:rsidRDefault="00622F59" w:rsidP="00E44645">
            <w:pPr>
              <w:pStyle w:val="naiskr"/>
              <w:spacing w:before="0" w:after="0"/>
              <w:jc w:val="center"/>
            </w:pPr>
            <w:r w:rsidRPr="00391E8A">
              <w:t>D</w:t>
            </w:r>
          </w:p>
        </w:tc>
      </w:tr>
      <w:tr w:rsidR="00622F59" w:rsidRPr="00391E8A" w:rsidTr="00DE4024">
        <w:trPr>
          <w:trHeight w:val="4708"/>
          <w:jc w:val="center"/>
        </w:trPr>
        <w:tc>
          <w:tcPr>
            <w:tcW w:w="2103" w:type="dxa"/>
          </w:tcPr>
          <w:p w:rsidR="00622F59" w:rsidRPr="00391E8A" w:rsidRDefault="00622F59" w:rsidP="00E44645">
            <w:pPr>
              <w:pStyle w:val="naiskr"/>
              <w:spacing w:before="0" w:after="0"/>
              <w:jc w:val="both"/>
            </w:pPr>
            <w:r w:rsidRPr="00391E8A">
              <w:rPr>
                <w:color w:val="000000"/>
              </w:rPr>
              <w:lastRenderedPageBreak/>
              <w:t>Attiecīgā ES tiesību akta panta numurs (uzskaitot katru tiesību akta</w:t>
            </w:r>
            <w:r w:rsidRPr="00391E8A">
              <w:rPr>
                <w:color w:val="000000"/>
              </w:rPr>
              <w:br/>
              <w:t xml:space="preserve">vienību </w:t>
            </w:r>
            <w:r>
              <w:rPr>
                <w:color w:val="000000"/>
              </w:rPr>
              <w:t>–</w:t>
            </w:r>
            <w:r w:rsidRPr="00391E8A">
              <w:rPr>
                <w:color w:val="000000"/>
              </w:rPr>
              <w:t xml:space="preserve"> pantu, daļu, punktu, apakšpunktu)</w:t>
            </w:r>
            <w:r>
              <w:rPr>
                <w:color w:val="000000"/>
              </w:rPr>
              <w:t>.</w:t>
            </w:r>
          </w:p>
        </w:tc>
        <w:tc>
          <w:tcPr>
            <w:tcW w:w="2996" w:type="dxa"/>
          </w:tcPr>
          <w:p w:rsidR="00622F59" w:rsidRPr="00391E8A" w:rsidRDefault="00622F59" w:rsidP="00E44645">
            <w:pPr>
              <w:pStyle w:val="naiskr"/>
              <w:spacing w:before="0" w:after="0"/>
              <w:jc w:val="both"/>
            </w:pPr>
            <w:r w:rsidRPr="00391E8A">
              <w:rPr>
                <w:color w:val="000000"/>
              </w:rPr>
              <w:t>Projekta vienība, kas pārņem vai ievieš katru šīs tabulas A ailē minēto ES tiesību akta vienību</w:t>
            </w:r>
            <w:r>
              <w:rPr>
                <w:color w:val="000000"/>
              </w:rPr>
              <w:t>.</w:t>
            </w:r>
          </w:p>
        </w:tc>
        <w:tc>
          <w:tcPr>
            <w:tcW w:w="2555" w:type="dxa"/>
          </w:tcPr>
          <w:p w:rsidR="00622F59" w:rsidRPr="00391E8A" w:rsidRDefault="00622F59" w:rsidP="00E44645">
            <w:pPr>
              <w:jc w:val="both"/>
              <w:rPr>
                <w:color w:val="000000"/>
              </w:rPr>
            </w:pPr>
            <w:r w:rsidRPr="00391E8A">
              <w:rPr>
                <w:color w:val="000000"/>
              </w:rPr>
              <w:t>Informācija, vai šīs tabulas A ailē minētās ES tiesību akta vienības tiek pārņemtas vai ieviestas pilnībā vai daļēji.</w:t>
            </w:r>
          </w:p>
          <w:p w:rsidR="00622F59" w:rsidRPr="00391E8A" w:rsidRDefault="00622F59" w:rsidP="00E44645">
            <w:pPr>
              <w:jc w:val="both"/>
              <w:rPr>
                <w:color w:val="000000"/>
              </w:rPr>
            </w:pPr>
            <w:r w:rsidRPr="00391E8A">
              <w:rPr>
                <w:color w:val="000000"/>
              </w:rPr>
              <w:t>Ja attiecīgā ES tiesību akta vienība tiek pārņemta vai ieviesta daļēji</w:t>
            </w:r>
            <w:r>
              <w:rPr>
                <w:color w:val="000000"/>
              </w:rPr>
              <w:t>,</w:t>
            </w:r>
            <w:r w:rsidRPr="00391E8A">
              <w:rPr>
                <w:color w:val="000000"/>
              </w:rPr>
              <w:t xml:space="preserve"> sniedz attiecīgu </w:t>
            </w:r>
            <w:r>
              <w:rPr>
                <w:color w:val="000000"/>
              </w:rPr>
              <w:t>pa</w:t>
            </w:r>
            <w:r w:rsidRPr="00391E8A">
              <w:rPr>
                <w:color w:val="000000"/>
              </w:rPr>
              <w:t>skaidrojumu, kā arī precīzi norāda, kad un kā ES tiesību akta vienība tiks pārņemta vai ieviesta pilnībā.</w:t>
            </w:r>
          </w:p>
          <w:p w:rsidR="00622F59" w:rsidRPr="00391E8A" w:rsidRDefault="00622F59" w:rsidP="00E44645">
            <w:pPr>
              <w:pStyle w:val="naiskr"/>
              <w:spacing w:before="0" w:after="0"/>
              <w:jc w:val="both"/>
            </w:pPr>
            <w:r w:rsidRPr="00391E8A">
              <w:rPr>
                <w:color w:val="000000"/>
              </w:rPr>
              <w:t>Norāda institūciju, kas ir atbildīga par šo saistību izpildi pilnībā</w:t>
            </w:r>
            <w:r>
              <w:rPr>
                <w:color w:val="000000"/>
              </w:rPr>
              <w:t>.</w:t>
            </w:r>
          </w:p>
        </w:tc>
        <w:tc>
          <w:tcPr>
            <w:tcW w:w="1987" w:type="dxa"/>
          </w:tcPr>
          <w:p w:rsidR="00622F59" w:rsidRPr="00391E8A" w:rsidRDefault="00622F59" w:rsidP="00E44645">
            <w:pPr>
              <w:jc w:val="both"/>
              <w:rPr>
                <w:color w:val="000000"/>
              </w:rPr>
            </w:pPr>
            <w:r w:rsidRPr="00391E8A">
              <w:rPr>
                <w:color w:val="000000"/>
              </w:rPr>
              <w:t>Informācija, vai šīs tabulas B ailē minētās projekta vienības paredz stingrākas prasības nekā šīs tabulas A ailē minētās ES tiesību akta vienības.</w:t>
            </w:r>
          </w:p>
          <w:p w:rsidR="00622F59" w:rsidRPr="00391E8A" w:rsidRDefault="00622F59" w:rsidP="00E44645">
            <w:pPr>
              <w:jc w:val="both"/>
              <w:rPr>
                <w:color w:val="000000"/>
              </w:rPr>
            </w:pPr>
            <w:r w:rsidRPr="00391E8A">
              <w:rPr>
                <w:color w:val="000000"/>
              </w:rPr>
              <w:t>Ja projekts satur stingrākas prasības nekā attiecīgais ES tiesību akts, norāda pamatojumu un samērīgumu.</w:t>
            </w:r>
          </w:p>
          <w:p w:rsidR="00622F59" w:rsidRPr="00391E8A" w:rsidRDefault="00622F59" w:rsidP="00E44645">
            <w:pPr>
              <w:pStyle w:val="naiskr"/>
              <w:spacing w:before="0" w:after="0"/>
              <w:jc w:val="both"/>
            </w:pPr>
            <w:r w:rsidRPr="00391E8A">
              <w:rPr>
                <w:color w:val="000000"/>
              </w:rPr>
              <w:t>Norāda iespējamās alternatīvas (</w:t>
            </w:r>
            <w:r>
              <w:rPr>
                <w:color w:val="000000"/>
              </w:rPr>
              <w:t xml:space="preserve">tostarp </w:t>
            </w:r>
            <w:r w:rsidRPr="00391E8A">
              <w:rPr>
                <w:color w:val="000000"/>
              </w:rPr>
              <w:t xml:space="preserve"> alternatīvas, kas neparedz tiesiskā regulējuma izstrādi) </w:t>
            </w:r>
            <w:r>
              <w:rPr>
                <w:color w:val="000000"/>
              </w:rPr>
              <w:t>–</w:t>
            </w:r>
            <w:r w:rsidRPr="00391E8A">
              <w:rPr>
                <w:color w:val="000000"/>
              </w:rPr>
              <w:t xml:space="preserve"> kādos gadījumos būtu iespējams izvairīties no stingrāku prasību noteikšanas, nekā paredzēts attiecīgajos ES tiesību aktos</w:t>
            </w:r>
            <w:r>
              <w:rPr>
                <w:color w:val="000000"/>
              </w:rPr>
              <w:t>.</w:t>
            </w:r>
          </w:p>
        </w:tc>
      </w:tr>
      <w:tr w:rsidR="00622F59" w:rsidRPr="00391E8A" w:rsidTr="00DE4024">
        <w:trPr>
          <w:trHeight w:val="289"/>
          <w:jc w:val="center"/>
        </w:trPr>
        <w:tc>
          <w:tcPr>
            <w:tcW w:w="2103" w:type="dxa"/>
          </w:tcPr>
          <w:p w:rsidR="00622F59" w:rsidRDefault="00622F59" w:rsidP="00B73BA8">
            <w:pPr>
              <w:pStyle w:val="naiskr"/>
              <w:spacing w:before="0" w:after="0"/>
              <w:ind w:hanging="10"/>
              <w:jc w:val="center"/>
              <w:rPr>
                <w:color w:val="000000"/>
              </w:rPr>
            </w:pPr>
            <w:r>
              <w:rPr>
                <w:rStyle w:val="Strong"/>
                <w:b w:val="0"/>
                <w:color w:val="000000"/>
                <w:shd w:val="clear" w:color="auto" w:fill="FFFFFF"/>
              </w:rPr>
              <w:t>Direktīva Nr. 2007/64/EK</w:t>
            </w:r>
            <w:r w:rsidRPr="00FE3634">
              <w:rPr>
                <w:color w:val="000000"/>
              </w:rPr>
              <w:t xml:space="preserve"> </w:t>
            </w:r>
          </w:p>
          <w:p w:rsidR="005C5C88" w:rsidRDefault="00622F59" w:rsidP="00B33E89">
            <w:pPr>
              <w:pStyle w:val="naiskr"/>
              <w:spacing w:before="0" w:after="0"/>
              <w:ind w:hanging="10"/>
              <w:jc w:val="center"/>
              <w:rPr>
                <w:color w:val="000000"/>
              </w:rPr>
            </w:pPr>
            <w:r w:rsidRPr="00FE3634">
              <w:rPr>
                <w:color w:val="000000"/>
              </w:rPr>
              <w:t>8. pant</w:t>
            </w:r>
            <w:r>
              <w:rPr>
                <w:color w:val="000000"/>
              </w:rPr>
              <w:t>a</w:t>
            </w:r>
            <w:r w:rsidRPr="00FE3634">
              <w:rPr>
                <w:color w:val="000000"/>
              </w:rPr>
              <w:t xml:space="preserve"> B metode.</w:t>
            </w:r>
          </w:p>
          <w:p w:rsidR="005C5C88" w:rsidRPr="00950539" w:rsidRDefault="005C5C88" w:rsidP="00B33E89">
            <w:pPr>
              <w:pStyle w:val="naiskr"/>
              <w:spacing w:before="0" w:after="0"/>
              <w:ind w:hanging="10"/>
              <w:jc w:val="center"/>
              <w:rPr>
                <w:b/>
              </w:rPr>
            </w:pPr>
          </w:p>
        </w:tc>
        <w:tc>
          <w:tcPr>
            <w:tcW w:w="2996" w:type="dxa"/>
          </w:tcPr>
          <w:p w:rsidR="00622F59" w:rsidRDefault="00622F59" w:rsidP="00E44645">
            <w:pPr>
              <w:pStyle w:val="naiskr"/>
              <w:spacing w:before="0" w:after="0"/>
              <w:jc w:val="center"/>
              <w:rPr>
                <w:bCs/>
              </w:rPr>
            </w:pPr>
          </w:p>
          <w:p w:rsidR="00622F59" w:rsidRDefault="00622F59" w:rsidP="00E44645">
            <w:pPr>
              <w:pStyle w:val="naiskr"/>
              <w:spacing w:before="0" w:after="0"/>
              <w:jc w:val="center"/>
              <w:rPr>
                <w:bCs/>
              </w:rPr>
            </w:pPr>
            <w:r>
              <w:rPr>
                <w:bCs/>
              </w:rPr>
              <w:t>35. panta pirmā un otrā daļa.</w:t>
            </w:r>
          </w:p>
          <w:p w:rsidR="00CD47C8" w:rsidRPr="00391E8A" w:rsidRDefault="00CD47C8" w:rsidP="001F3F0C">
            <w:pPr>
              <w:pStyle w:val="naiskr"/>
              <w:spacing w:before="0" w:after="0"/>
            </w:pPr>
          </w:p>
        </w:tc>
        <w:tc>
          <w:tcPr>
            <w:tcW w:w="2555" w:type="dxa"/>
          </w:tcPr>
          <w:p w:rsidR="00622F59" w:rsidRPr="00391E8A" w:rsidRDefault="00622F59" w:rsidP="00E44645">
            <w:pPr>
              <w:pStyle w:val="naiskr"/>
              <w:spacing w:before="0" w:after="0"/>
              <w:jc w:val="center"/>
            </w:pPr>
          </w:p>
          <w:p w:rsidR="00622F59" w:rsidRPr="00391E8A" w:rsidRDefault="00622F59" w:rsidP="00E44645">
            <w:pPr>
              <w:pStyle w:val="naiskr"/>
              <w:spacing w:before="0" w:after="0"/>
              <w:jc w:val="center"/>
            </w:pPr>
            <w:r>
              <w:rPr>
                <w:color w:val="000000"/>
              </w:rPr>
              <w:t>Izvēlētā ES tiesību akta vienība tiek ieviesta pilnībā.</w:t>
            </w:r>
          </w:p>
        </w:tc>
        <w:tc>
          <w:tcPr>
            <w:tcW w:w="1987" w:type="dxa"/>
          </w:tcPr>
          <w:p w:rsidR="00622F59" w:rsidRPr="00391E8A" w:rsidRDefault="00622F59" w:rsidP="00E44645">
            <w:pPr>
              <w:pStyle w:val="naiskr"/>
              <w:spacing w:before="0" w:after="0"/>
              <w:jc w:val="center"/>
            </w:pPr>
            <w:r w:rsidRPr="00391E8A">
              <w:t>-</w:t>
            </w:r>
          </w:p>
        </w:tc>
      </w:tr>
      <w:tr w:rsidR="00622F59" w:rsidRPr="00391E8A" w:rsidTr="00DE4024">
        <w:trPr>
          <w:trHeight w:val="281"/>
          <w:jc w:val="center"/>
        </w:trPr>
        <w:tc>
          <w:tcPr>
            <w:tcW w:w="2103" w:type="dxa"/>
            <w:vAlign w:val="center"/>
          </w:tcPr>
          <w:p w:rsidR="00622F59" w:rsidRPr="00391E8A" w:rsidRDefault="00622F59" w:rsidP="00E44645">
            <w:pPr>
              <w:pStyle w:val="naiskr"/>
              <w:spacing w:before="0" w:after="0"/>
            </w:pPr>
            <w:r w:rsidRPr="00391E8A">
              <w:t>Kā ir izmantota ES tiesību aktā paredzētā rīcības brīvība dalībvalstij pārņemt vai ieviest noteiktas ES tiesību akta normas.</w:t>
            </w:r>
          </w:p>
          <w:p w:rsidR="00622F59" w:rsidRPr="00391E8A" w:rsidRDefault="00622F59" w:rsidP="00E44645">
            <w:pPr>
              <w:pStyle w:val="naiskr"/>
              <w:spacing w:before="0" w:after="0"/>
            </w:pPr>
            <w:r w:rsidRPr="00391E8A">
              <w:t>Kādēļ?</w:t>
            </w:r>
          </w:p>
        </w:tc>
        <w:tc>
          <w:tcPr>
            <w:tcW w:w="7538" w:type="dxa"/>
            <w:gridSpan w:val="3"/>
            <w:vAlign w:val="center"/>
          </w:tcPr>
          <w:p w:rsidR="00622F59" w:rsidRPr="006A18C7" w:rsidRDefault="00622F59" w:rsidP="004F6A0D">
            <w:pPr>
              <w:autoSpaceDE w:val="0"/>
              <w:autoSpaceDN w:val="0"/>
              <w:adjustRightInd w:val="0"/>
              <w:spacing w:before="120"/>
              <w:jc w:val="both"/>
            </w:pPr>
            <w:r w:rsidRPr="00391E8A">
              <w:rPr>
                <w:i/>
              </w:rPr>
              <w:t>Projekts šo jomu neskar.</w:t>
            </w:r>
          </w:p>
        </w:tc>
      </w:tr>
      <w:tr w:rsidR="00622F59" w:rsidRPr="00391E8A" w:rsidTr="00DE4024">
        <w:trPr>
          <w:trHeight w:val="913"/>
          <w:jc w:val="center"/>
        </w:trPr>
        <w:tc>
          <w:tcPr>
            <w:tcW w:w="2103" w:type="dxa"/>
            <w:vAlign w:val="center"/>
          </w:tcPr>
          <w:p w:rsidR="00622F59" w:rsidRPr="00391E8A" w:rsidRDefault="00622F59" w:rsidP="00E44645">
            <w:pPr>
              <w:pStyle w:val="naiskr"/>
              <w:spacing w:before="0" w:after="0"/>
              <w:rPr>
                <w:i/>
              </w:rPr>
            </w:pPr>
            <w:r w:rsidRPr="00391E8A">
              <w:t xml:space="preserve">Saistības sniegt paziņojumu ES institūcijām un ES dalībvalstīm atbilstoši </w:t>
            </w:r>
            <w:r w:rsidRPr="00391E8A">
              <w:lastRenderedPageBreak/>
              <w:t>normatīvajiem aktiem, kas regulē informācijas sniegšanu par tehnisko noteikumu, valsts atbalsta piešķiršanas un finanšu noteikumu (attiecībā uz monetāro politiku) projektiem</w:t>
            </w:r>
          </w:p>
        </w:tc>
        <w:tc>
          <w:tcPr>
            <w:tcW w:w="7538" w:type="dxa"/>
            <w:gridSpan w:val="3"/>
          </w:tcPr>
          <w:p w:rsidR="00622F59" w:rsidRPr="00391E8A" w:rsidRDefault="00622F59" w:rsidP="00E44645">
            <w:pPr>
              <w:pStyle w:val="naiskr"/>
              <w:spacing w:before="0" w:after="0"/>
            </w:pPr>
            <w:r w:rsidRPr="00391E8A">
              <w:rPr>
                <w:i/>
              </w:rPr>
              <w:lastRenderedPageBreak/>
              <w:t>Projekts šo jomu neskar.</w:t>
            </w:r>
          </w:p>
        </w:tc>
      </w:tr>
      <w:tr w:rsidR="00622F59" w:rsidRPr="00391E8A" w:rsidTr="00DE4024">
        <w:trPr>
          <w:trHeight w:val="295"/>
          <w:jc w:val="center"/>
        </w:trPr>
        <w:tc>
          <w:tcPr>
            <w:tcW w:w="2103" w:type="dxa"/>
          </w:tcPr>
          <w:p w:rsidR="00622F59" w:rsidRPr="00391E8A" w:rsidRDefault="00622F59" w:rsidP="00E44645">
            <w:pPr>
              <w:pStyle w:val="naiskr"/>
              <w:spacing w:before="0" w:after="0"/>
            </w:pPr>
            <w:r w:rsidRPr="00391E8A">
              <w:lastRenderedPageBreak/>
              <w:t>Cita informācija</w:t>
            </w:r>
          </w:p>
        </w:tc>
        <w:tc>
          <w:tcPr>
            <w:tcW w:w="7538" w:type="dxa"/>
            <w:gridSpan w:val="3"/>
          </w:tcPr>
          <w:p w:rsidR="00622F59" w:rsidRPr="00391E8A" w:rsidRDefault="00622F59" w:rsidP="00E44645">
            <w:pPr>
              <w:pStyle w:val="naiskr"/>
              <w:spacing w:before="0" w:after="0"/>
            </w:pPr>
            <w:r w:rsidRPr="00391E8A">
              <w:t>Nav.</w:t>
            </w:r>
          </w:p>
        </w:tc>
      </w:tr>
    </w:tbl>
    <w:p w:rsidR="00622F59" w:rsidRPr="00391E8A" w:rsidRDefault="00622F59" w:rsidP="00E44645"/>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5"/>
      </w:tblGrid>
      <w:tr w:rsidR="00622F59" w:rsidRPr="00391E8A" w:rsidTr="00503EE8">
        <w:trPr>
          <w:trHeight w:val="792"/>
          <w:jc w:val="center"/>
        </w:trPr>
        <w:tc>
          <w:tcPr>
            <w:tcW w:w="9695" w:type="dxa"/>
            <w:vAlign w:val="center"/>
          </w:tcPr>
          <w:p w:rsidR="00622F59" w:rsidRPr="00391E8A" w:rsidRDefault="00622F59" w:rsidP="00E44645">
            <w:pPr>
              <w:pStyle w:val="naisnod"/>
              <w:spacing w:before="0" w:after="0"/>
            </w:pPr>
            <w:r w:rsidRPr="00391E8A">
              <w:t>2.</w:t>
            </w:r>
            <w:r>
              <w:t xml:space="preserve"> </w:t>
            </w:r>
            <w:r w:rsidRPr="00391E8A">
              <w:t xml:space="preserve">tabula </w:t>
            </w:r>
          </w:p>
          <w:p w:rsidR="00622F59" w:rsidRPr="00391E8A" w:rsidRDefault="00622F59" w:rsidP="00E44645">
            <w:pPr>
              <w:pStyle w:val="naisnod"/>
              <w:spacing w:before="0" w:after="0"/>
            </w:pPr>
            <w:r w:rsidRPr="00391E8A">
              <w:t>Ar tiesību akta projektu uzņemtās saistības, kas izriet no starptautiskajiem tiesību aktiem vai starptautiskas institūcijas vai organizācijas dokumentiem</w:t>
            </w:r>
            <w:r>
              <w:t>.</w:t>
            </w:r>
          </w:p>
          <w:p w:rsidR="00622F59" w:rsidRPr="00391E8A" w:rsidRDefault="00622F59" w:rsidP="00E44645">
            <w:pPr>
              <w:pStyle w:val="naisnod"/>
              <w:spacing w:before="0" w:after="0"/>
            </w:pPr>
            <w:r w:rsidRPr="00391E8A">
              <w:t>Pasākumi šo saistību izpildei</w:t>
            </w:r>
          </w:p>
        </w:tc>
      </w:tr>
      <w:tr w:rsidR="00622F59" w:rsidRPr="00391E8A" w:rsidTr="00730D28">
        <w:trPr>
          <w:trHeight w:val="277"/>
          <w:jc w:val="center"/>
        </w:trPr>
        <w:tc>
          <w:tcPr>
            <w:tcW w:w="9695" w:type="dxa"/>
            <w:vAlign w:val="center"/>
          </w:tcPr>
          <w:p w:rsidR="00622F59" w:rsidRPr="00391E8A" w:rsidRDefault="00622F59" w:rsidP="00E44645">
            <w:pPr>
              <w:pStyle w:val="naisnod"/>
              <w:spacing w:before="0" w:after="0"/>
              <w:rPr>
                <w:b w:val="0"/>
              </w:rPr>
            </w:pPr>
            <w:r w:rsidRPr="00391E8A">
              <w:rPr>
                <w:b w:val="0"/>
                <w:i/>
              </w:rPr>
              <w:t>Projekts šo jomu neskar.</w:t>
            </w:r>
          </w:p>
        </w:tc>
      </w:tr>
    </w:tbl>
    <w:p w:rsidR="00622F59" w:rsidRPr="00391E8A" w:rsidRDefault="00622F59" w:rsidP="00E44645"/>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3180"/>
        <w:gridCol w:w="6094"/>
      </w:tblGrid>
      <w:tr w:rsidR="00622F59" w:rsidRPr="00391E8A" w:rsidTr="00503EE8">
        <w:trPr>
          <w:jc w:val="center"/>
        </w:trPr>
        <w:tc>
          <w:tcPr>
            <w:tcW w:w="9718" w:type="dxa"/>
            <w:gridSpan w:val="3"/>
          </w:tcPr>
          <w:p w:rsidR="00622F59" w:rsidRPr="00391E8A" w:rsidRDefault="00622F59" w:rsidP="00E44645">
            <w:pPr>
              <w:pStyle w:val="naisnod"/>
              <w:spacing w:before="0" w:after="0"/>
              <w:ind w:left="57" w:right="57"/>
            </w:pPr>
            <w:r w:rsidRPr="00391E8A">
              <w:t>VI. Sabiedrības līdzdalība un šīs līdzdalības rezultāti</w:t>
            </w:r>
          </w:p>
        </w:tc>
      </w:tr>
      <w:tr w:rsidR="00622F59" w:rsidRPr="00391E8A" w:rsidTr="00503EE8">
        <w:trPr>
          <w:trHeight w:val="375"/>
          <w:jc w:val="center"/>
        </w:trPr>
        <w:tc>
          <w:tcPr>
            <w:tcW w:w="444" w:type="dxa"/>
          </w:tcPr>
          <w:p w:rsidR="00622F59" w:rsidRPr="00391E8A" w:rsidRDefault="00622F59" w:rsidP="00E44645">
            <w:pPr>
              <w:pStyle w:val="naiskr"/>
              <w:spacing w:before="0" w:after="0"/>
              <w:ind w:left="57" w:right="57"/>
              <w:rPr>
                <w:bCs/>
              </w:rPr>
            </w:pPr>
            <w:r w:rsidRPr="00391E8A">
              <w:rPr>
                <w:bCs/>
              </w:rPr>
              <w:t>1.</w:t>
            </w:r>
          </w:p>
        </w:tc>
        <w:tc>
          <w:tcPr>
            <w:tcW w:w="3180" w:type="dxa"/>
          </w:tcPr>
          <w:p w:rsidR="00622F59" w:rsidRPr="00391E8A" w:rsidRDefault="00622F59" w:rsidP="00E44645">
            <w:pPr>
              <w:pStyle w:val="naiskr"/>
              <w:tabs>
                <w:tab w:val="left" w:pos="170"/>
              </w:tabs>
              <w:spacing w:before="0" w:after="0"/>
              <w:ind w:left="57" w:right="57"/>
            </w:pPr>
            <w:r w:rsidRPr="00391E8A">
              <w:t>Sabiedrības informēšana par projekta izstrādes sākšanu</w:t>
            </w:r>
          </w:p>
        </w:tc>
        <w:tc>
          <w:tcPr>
            <w:tcW w:w="6094" w:type="dxa"/>
          </w:tcPr>
          <w:p w:rsidR="00622F59" w:rsidRPr="00391E8A" w:rsidRDefault="00622F59" w:rsidP="00E44645">
            <w:pPr>
              <w:keepLines/>
              <w:autoSpaceDE w:val="0"/>
              <w:autoSpaceDN w:val="0"/>
              <w:adjustRightInd w:val="0"/>
            </w:pPr>
            <w:r w:rsidRPr="00391E8A">
              <w:t>Nav.</w:t>
            </w:r>
          </w:p>
        </w:tc>
      </w:tr>
      <w:tr w:rsidR="00622F59" w:rsidRPr="00391E8A" w:rsidTr="00503EE8">
        <w:trPr>
          <w:trHeight w:val="375"/>
          <w:jc w:val="center"/>
        </w:trPr>
        <w:tc>
          <w:tcPr>
            <w:tcW w:w="444" w:type="dxa"/>
          </w:tcPr>
          <w:p w:rsidR="00622F59" w:rsidRPr="00391E8A" w:rsidRDefault="00622F59" w:rsidP="00E44645">
            <w:pPr>
              <w:pStyle w:val="naiskr"/>
              <w:spacing w:before="0" w:after="0"/>
              <w:ind w:left="57" w:right="57"/>
              <w:rPr>
                <w:bCs/>
              </w:rPr>
            </w:pPr>
            <w:r w:rsidRPr="00391E8A">
              <w:rPr>
                <w:bCs/>
              </w:rPr>
              <w:t>2.</w:t>
            </w:r>
          </w:p>
        </w:tc>
        <w:tc>
          <w:tcPr>
            <w:tcW w:w="3180" w:type="dxa"/>
          </w:tcPr>
          <w:p w:rsidR="00622F59" w:rsidRPr="00391E8A" w:rsidRDefault="00622F59" w:rsidP="00E44645">
            <w:pPr>
              <w:pStyle w:val="naiskr"/>
              <w:spacing w:before="0" w:after="0"/>
              <w:ind w:left="57" w:right="57"/>
            </w:pPr>
            <w:r w:rsidRPr="00391E8A">
              <w:t xml:space="preserve">Sabiedrības līdzdalība projekta izstrādē </w:t>
            </w:r>
          </w:p>
        </w:tc>
        <w:tc>
          <w:tcPr>
            <w:tcW w:w="6094" w:type="dxa"/>
          </w:tcPr>
          <w:p w:rsidR="00622F59" w:rsidRPr="00391E8A" w:rsidRDefault="00622F59" w:rsidP="00E44645">
            <w:pPr>
              <w:pStyle w:val="naiskr"/>
              <w:spacing w:before="0" w:after="0"/>
              <w:ind w:left="57" w:right="57"/>
              <w:jc w:val="both"/>
            </w:pPr>
            <w:r w:rsidRPr="00391E8A">
              <w:t>Likumprojekts tika nosūtīts</w:t>
            </w:r>
            <w:r>
              <w:t xml:space="preserve"> saskaņošanai</w:t>
            </w:r>
            <w:r w:rsidRPr="00391E8A">
              <w:t xml:space="preserve"> </w:t>
            </w:r>
            <w:r w:rsidRPr="00391E8A">
              <w:rPr>
                <w:bCs/>
                <w:color w:val="000000"/>
              </w:rPr>
              <w:t>visām maksājumu pakalpojumu un elektroniskās naudas iestādēm, Latvijas Komercbanku asociācijai un Patērētāju tiesību aizsardzības centram</w:t>
            </w:r>
            <w:r w:rsidRPr="00391E8A">
              <w:rPr>
                <w:color w:val="000000"/>
              </w:rPr>
              <w:t>,</w:t>
            </w:r>
            <w:r w:rsidRPr="00391E8A">
              <w:t xml:space="preserve"> lai nepieciešamības gadījumā likumprojekta izstrādes gaitā ņemtu vērā to pausto viedokli.</w:t>
            </w:r>
          </w:p>
        </w:tc>
      </w:tr>
      <w:tr w:rsidR="00622F59" w:rsidRPr="00391E8A" w:rsidTr="00503EE8">
        <w:trPr>
          <w:trHeight w:val="375"/>
          <w:jc w:val="center"/>
        </w:trPr>
        <w:tc>
          <w:tcPr>
            <w:tcW w:w="444" w:type="dxa"/>
          </w:tcPr>
          <w:p w:rsidR="00622F59" w:rsidRPr="00391E8A" w:rsidRDefault="00622F59" w:rsidP="00E44645">
            <w:pPr>
              <w:pStyle w:val="naiskr"/>
              <w:spacing w:before="0" w:after="0"/>
              <w:ind w:left="57" w:right="57"/>
              <w:rPr>
                <w:bCs/>
              </w:rPr>
            </w:pPr>
            <w:r w:rsidRPr="00391E8A">
              <w:rPr>
                <w:bCs/>
              </w:rPr>
              <w:t>3.</w:t>
            </w:r>
          </w:p>
        </w:tc>
        <w:tc>
          <w:tcPr>
            <w:tcW w:w="3180" w:type="dxa"/>
          </w:tcPr>
          <w:p w:rsidR="00622F59" w:rsidRPr="00391E8A" w:rsidRDefault="00622F59" w:rsidP="00E44645">
            <w:pPr>
              <w:pStyle w:val="naiskr"/>
              <w:spacing w:before="0" w:after="0"/>
              <w:ind w:left="57" w:right="57"/>
            </w:pPr>
            <w:r w:rsidRPr="00391E8A">
              <w:t xml:space="preserve">Sabiedrības līdzdalības rezultāti </w:t>
            </w:r>
          </w:p>
        </w:tc>
        <w:tc>
          <w:tcPr>
            <w:tcW w:w="6094" w:type="dxa"/>
          </w:tcPr>
          <w:p w:rsidR="00622F59" w:rsidRPr="000C2D0D" w:rsidRDefault="00622F59" w:rsidP="00E44645">
            <w:pPr>
              <w:pStyle w:val="naiskr"/>
              <w:spacing w:before="0" w:after="0"/>
              <w:ind w:right="57"/>
              <w:jc w:val="both"/>
            </w:pPr>
            <w:r w:rsidRPr="009A201D">
              <w:t xml:space="preserve">Notikusi tikšanās ar </w:t>
            </w:r>
            <w:r>
              <w:t>tirgus dalībnieku</w:t>
            </w:r>
            <w:r w:rsidRPr="009A201D">
              <w:rPr>
                <w:color w:val="000000"/>
              </w:rPr>
              <w:t xml:space="preserve"> pārstāvjiem ar viedokļu apmaiņu par likumprojektu un ar to saistītajiem grozījumiem.</w:t>
            </w:r>
            <w:r>
              <w:rPr>
                <w:color w:val="000000"/>
              </w:rPr>
              <w:t xml:space="preserve"> </w:t>
            </w:r>
            <w:r>
              <w:t>T</w:t>
            </w:r>
            <w:r w:rsidRPr="000C2D0D">
              <w:t>irgus dalībniek</w:t>
            </w:r>
            <w:r>
              <w:t>u jautājumi tika izskaidroti un</w:t>
            </w:r>
            <w:r w:rsidRPr="000C2D0D">
              <w:t xml:space="preserve"> priekšlikumi</w:t>
            </w:r>
            <w:r>
              <w:t>, kas tika saskaņoti, iekļauti likumprojektā.</w:t>
            </w:r>
          </w:p>
          <w:p w:rsidR="00622F59" w:rsidRPr="00391E8A" w:rsidRDefault="00622F59" w:rsidP="0068459A">
            <w:pPr>
              <w:pStyle w:val="naiskr"/>
              <w:spacing w:before="0" w:after="0"/>
              <w:ind w:right="57"/>
              <w:jc w:val="both"/>
            </w:pPr>
            <w:r w:rsidRPr="0068459A">
              <w:rPr>
                <w:bCs/>
                <w:color w:val="000000"/>
              </w:rPr>
              <w:t xml:space="preserve">Latvijas Komercbanku </w:t>
            </w:r>
            <w:r>
              <w:rPr>
                <w:bCs/>
                <w:color w:val="000000"/>
              </w:rPr>
              <w:t>a</w:t>
            </w:r>
            <w:r w:rsidRPr="0068459A">
              <w:rPr>
                <w:bCs/>
                <w:color w:val="000000"/>
              </w:rPr>
              <w:t>sociācija, Latvijas Banka un Patērētāju tiesību aizsardzības centr</w:t>
            </w:r>
            <w:r>
              <w:rPr>
                <w:bCs/>
                <w:color w:val="000000"/>
              </w:rPr>
              <w:t>s</w:t>
            </w:r>
            <w:r w:rsidRPr="0068459A">
              <w:rPr>
                <w:bCs/>
                <w:color w:val="000000"/>
              </w:rPr>
              <w:t xml:space="preserve"> norādīj</w:t>
            </w:r>
            <w:r>
              <w:rPr>
                <w:bCs/>
                <w:color w:val="000000"/>
              </w:rPr>
              <w:t>uši, ka</w:t>
            </w:r>
            <w:r w:rsidRPr="0068459A">
              <w:rPr>
                <w:bCs/>
                <w:color w:val="000000"/>
              </w:rPr>
              <w:t xml:space="preserve"> t</w:t>
            </w:r>
            <w:r>
              <w:rPr>
                <w:bCs/>
                <w:color w:val="000000"/>
              </w:rPr>
              <w:t>ie</w:t>
            </w:r>
            <w:r w:rsidRPr="0068459A">
              <w:rPr>
                <w:bCs/>
                <w:color w:val="000000"/>
              </w:rPr>
              <w:t>m nav pretenziju pret izstrādāto likumprojektu un tas atbilst</w:t>
            </w:r>
            <w:r w:rsidRPr="0068459A">
              <w:t xml:space="preserve"> prasībām.</w:t>
            </w:r>
          </w:p>
        </w:tc>
      </w:tr>
      <w:tr w:rsidR="00622F59" w:rsidRPr="00391E8A" w:rsidTr="00503EE8">
        <w:trPr>
          <w:trHeight w:val="397"/>
          <w:jc w:val="center"/>
        </w:trPr>
        <w:tc>
          <w:tcPr>
            <w:tcW w:w="444" w:type="dxa"/>
          </w:tcPr>
          <w:p w:rsidR="00622F59" w:rsidRPr="00391E8A" w:rsidRDefault="00622F59" w:rsidP="00E44645">
            <w:pPr>
              <w:pStyle w:val="naiskr"/>
              <w:spacing w:before="0" w:after="0"/>
              <w:ind w:left="57" w:right="57"/>
              <w:rPr>
                <w:bCs/>
              </w:rPr>
            </w:pPr>
            <w:r w:rsidRPr="00391E8A">
              <w:rPr>
                <w:bCs/>
              </w:rPr>
              <w:t>4.</w:t>
            </w:r>
          </w:p>
        </w:tc>
        <w:tc>
          <w:tcPr>
            <w:tcW w:w="3180" w:type="dxa"/>
          </w:tcPr>
          <w:p w:rsidR="00622F59" w:rsidRPr="00391E8A" w:rsidRDefault="00622F59" w:rsidP="00E44645">
            <w:pPr>
              <w:pStyle w:val="naiskr"/>
              <w:spacing w:before="0" w:after="0"/>
              <w:ind w:left="57" w:right="57"/>
            </w:pPr>
            <w:r w:rsidRPr="00391E8A">
              <w:t>Saeimas un ekspertu līdzdalība</w:t>
            </w:r>
          </w:p>
        </w:tc>
        <w:tc>
          <w:tcPr>
            <w:tcW w:w="6094" w:type="dxa"/>
          </w:tcPr>
          <w:p w:rsidR="00622F59" w:rsidRPr="00391E8A" w:rsidRDefault="00622F59" w:rsidP="00E44645">
            <w:pPr>
              <w:jc w:val="both"/>
            </w:pPr>
            <w:r w:rsidRPr="00391E8A">
              <w:t>Saeimas un ekspertu līdzdalība nav notikusi.</w:t>
            </w:r>
          </w:p>
        </w:tc>
      </w:tr>
      <w:tr w:rsidR="00622F59" w:rsidRPr="00391E8A" w:rsidTr="00503EE8">
        <w:trPr>
          <w:trHeight w:val="476"/>
          <w:jc w:val="center"/>
        </w:trPr>
        <w:tc>
          <w:tcPr>
            <w:tcW w:w="444" w:type="dxa"/>
          </w:tcPr>
          <w:p w:rsidR="00622F59" w:rsidRPr="00391E8A" w:rsidRDefault="00622F59" w:rsidP="00E44645">
            <w:pPr>
              <w:pStyle w:val="naiskr"/>
              <w:spacing w:before="0" w:after="0"/>
              <w:ind w:left="57" w:right="57"/>
              <w:rPr>
                <w:bCs/>
              </w:rPr>
            </w:pPr>
            <w:r w:rsidRPr="00391E8A">
              <w:rPr>
                <w:bCs/>
              </w:rPr>
              <w:t>5.</w:t>
            </w:r>
          </w:p>
        </w:tc>
        <w:tc>
          <w:tcPr>
            <w:tcW w:w="3180" w:type="dxa"/>
          </w:tcPr>
          <w:p w:rsidR="00622F59" w:rsidRPr="00391E8A" w:rsidRDefault="00622F59" w:rsidP="00E44645">
            <w:pPr>
              <w:pStyle w:val="naiskr"/>
              <w:spacing w:before="0" w:after="0"/>
              <w:ind w:left="57" w:right="57"/>
            </w:pPr>
            <w:r w:rsidRPr="00391E8A">
              <w:t>Cita informācija</w:t>
            </w:r>
          </w:p>
          <w:p w:rsidR="00622F59" w:rsidRPr="00391E8A" w:rsidRDefault="00622F59" w:rsidP="00E44645">
            <w:pPr>
              <w:pStyle w:val="naiskr"/>
              <w:spacing w:before="0" w:after="0"/>
              <w:ind w:left="57" w:right="57"/>
            </w:pPr>
          </w:p>
        </w:tc>
        <w:tc>
          <w:tcPr>
            <w:tcW w:w="6094" w:type="dxa"/>
          </w:tcPr>
          <w:p w:rsidR="00622F59" w:rsidRPr="00391E8A" w:rsidRDefault="00622F59" w:rsidP="00E44645">
            <w:pPr>
              <w:jc w:val="both"/>
            </w:pPr>
            <w:r w:rsidRPr="00391E8A">
              <w:t xml:space="preserve">Sabiedrība pēc normatīvā akta pieņemšanas tiks informēta ar publikāciju </w:t>
            </w:r>
            <w:r>
              <w:t>oficiālajā izdevumā</w:t>
            </w:r>
            <w:r w:rsidRPr="00391E8A">
              <w:t xml:space="preserve"> "Latvijas Vēstnesis" un bezmaksas normatīvo aktu datu bāzē </w:t>
            </w:r>
            <w:r w:rsidR="00DA52E5" w:rsidRPr="00DA52E5">
              <w:rPr>
                <w:i/>
              </w:rPr>
              <w:t>www.likumi.lv</w:t>
            </w:r>
            <w:r w:rsidRPr="00391E8A">
              <w:t>.</w:t>
            </w:r>
          </w:p>
          <w:p w:rsidR="00622F59" w:rsidRPr="00391E8A" w:rsidRDefault="00622F59" w:rsidP="00E44645">
            <w:pPr>
              <w:pStyle w:val="naiskr"/>
              <w:spacing w:before="0" w:after="0"/>
              <w:ind w:right="57"/>
              <w:jc w:val="both"/>
            </w:pPr>
            <w:r w:rsidRPr="00391E8A">
              <w:t>Informācija par normatīvā akta pieņemšanu, kā arī Likums tiks ievietots Finanšu un kapitāla tirgus komisijas mājas lapā internetā.</w:t>
            </w:r>
          </w:p>
        </w:tc>
      </w:tr>
    </w:tbl>
    <w:p w:rsidR="00622F59" w:rsidRPr="00391E8A" w:rsidRDefault="00622F59" w:rsidP="00E44645"/>
    <w:tbl>
      <w:tblPr>
        <w:tblW w:w="96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3982"/>
        <w:gridCol w:w="5358"/>
      </w:tblGrid>
      <w:tr w:rsidR="00622F59" w:rsidRPr="00391E8A" w:rsidTr="00503EE8">
        <w:tc>
          <w:tcPr>
            <w:tcW w:w="9691" w:type="dxa"/>
            <w:gridSpan w:val="3"/>
          </w:tcPr>
          <w:p w:rsidR="00622F59" w:rsidRPr="00391E8A" w:rsidRDefault="00622F59" w:rsidP="00E44645">
            <w:pPr>
              <w:pStyle w:val="naisnod"/>
              <w:spacing w:before="0" w:after="0"/>
              <w:ind w:left="57" w:right="57"/>
            </w:pPr>
            <w:r w:rsidRPr="00391E8A">
              <w:t>VII. Tiesību akta projekta izpildes nodrošināšana un tās ietekme uz institūcijām</w:t>
            </w:r>
          </w:p>
        </w:tc>
      </w:tr>
      <w:tr w:rsidR="00622F59" w:rsidRPr="00391E8A" w:rsidTr="00503EE8">
        <w:trPr>
          <w:trHeight w:val="427"/>
        </w:trPr>
        <w:tc>
          <w:tcPr>
            <w:tcW w:w="351" w:type="dxa"/>
          </w:tcPr>
          <w:p w:rsidR="00622F59" w:rsidRPr="00391E8A" w:rsidRDefault="00622F59" w:rsidP="00E44645">
            <w:pPr>
              <w:pStyle w:val="naisnod"/>
              <w:spacing w:before="0" w:after="0"/>
              <w:ind w:left="57" w:right="57"/>
              <w:jc w:val="left"/>
              <w:rPr>
                <w:b w:val="0"/>
              </w:rPr>
            </w:pPr>
            <w:r w:rsidRPr="00391E8A">
              <w:rPr>
                <w:b w:val="0"/>
              </w:rPr>
              <w:lastRenderedPageBreak/>
              <w:t>1.</w:t>
            </w:r>
          </w:p>
        </w:tc>
        <w:tc>
          <w:tcPr>
            <w:tcW w:w="3982" w:type="dxa"/>
          </w:tcPr>
          <w:p w:rsidR="00622F59" w:rsidRPr="00391E8A" w:rsidRDefault="00622F59" w:rsidP="00E44645">
            <w:pPr>
              <w:pStyle w:val="naisf"/>
              <w:spacing w:before="0" w:after="0"/>
              <w:ind w:left="57" w:right="57" w:firstLine="0"/>
              <w:jc w:val="left"/>
            </w:pPr>
            <w:r w:rsidRPr="00391E8A">
              <w:t xml:space="preserve">Projekta izpildē iesaistītās institūcijas </w:t>
            </w:r>
          </w:p>
        </w:tc>
        <w:tc>
          <w:tcPr>
            <w:tcW w:w="5358" w:type="dxa"/>
          </w:tcPr>
          <w:p w:rsidR="00622F59" w:rsidRPr="00391E8A" w:rsidRDefault="00622F59" w:rsidP="00E44645">
            <w:pPr>
              <w:pStyle w:val="naisnod"/>
              <w:spacing w:before="0" w:after="0"/>
              <w:ind w:left="57" w:right="57"/>
              <w:jc w:val="left"/>
              <w:rPr>
                <w:b w:val="0"/>
              </w:rPr>
            </w:pPr>
            <w:r w:rsidRPr="00391E8A">
              <w:rPr>
                <w:b w:val="0"/>
              </w:rPr>
              <w:t>Likumprojekta prasību izpildi nodrošinās Finanšu un kapitāla tirgus komisija.</w:t>
            </w:r>
          </w:p>
        </w:tc>
      </w:tr>
      <w:tr w:rsidR="00622F59" w:rsidRPr="00391E8A" w:rsidTr="00503EE8">
        <w:trPr>
          <w:trHeight w:val="463"/>
        </w:trPr>
        <w:tc>
          <w:tcPr>
            <w:tcW w:w="351" w:type="dxa"/>
          </w:tcPr>
          <w:p w:rsidR="00622F59" w:rsidRPr="00391E8A" w:rsidRDefault="00622F59" w:rsidP="00E44645">
            <w:pPr>
              <w:pStyle w:val="naisnod"/>
              <w:spacing w:before="0" w:after="0"/>
              <w:ind w:left="57" w:right="57"/>
              <w:jc w:val="left"/>
              <w:rPr>
                <w:b w:val="0"/>
              </w:rPr>
            </w:pPr>
            <w:r w:rsidRPr="00391E8A">
              <w:rPr>
                <w:b w:val="0"/>
              </w:rPr>
              <w:t>2.</w:t>
            </w:r>
          </w:p>
        </w:tc>
        <w:tc>
          <w:tcPr>
            <w:tcW w:w="3982" w:type="dxa"/>
          </w:tcPr>
          <w:p w:rsidR="00622F59" w:rsidRPr="00391E8A" w:rsidRDefault="00622F59" w:rsidP="00E44645">
            <w:pPr>
              <w:pStyle w:val="naisf"/>
              <w:spacing w:before="0" w:after="0"/>
              <w:ind w:left="57" w:right="57" w:firstLine="0"/>
              <w:jc w:val="left"/>
            </w:pPr>
            <w:r w:rsidRPr="00391E8A">
              <w:t xml:space="preserve">Projekta izpildes ietekme uz pārvaldes funkcijām </w:t>
            </w:r>
          </w:p>
        </w:tc>
        <w:tc>
          <w:tcPr>
            <w:tcW w:w="5358" w:type="dxa"/>
          </w:tcPr>
          <w:p w:rsidR="00622F59" w:rsidRPr="007D5566" w:rsidRDefault="00622F59" w:rsidP="00847E90">
            <w:pPr>
              <w:pStyle w:val="naisnod"/>
              <w:spacing w:before="0" w:after="0"/>
              <w:ind w:left="57" w:right="57"/>
              <w:jc w:val="both"/>
              <w:rPr>
                <w:b w:val="0"/>
              </w:rPr>
            </w:pPr>
            <w:r w:rsidRPr="007D5566">
              <w:rPr>
                <w:b w:val="0"/>
                <w:color w:val="000000"/>
              </w:rPr>
              <w:t xml:space="preserve">Projekts nemaina iesaistīto institūciju kompetenci un funkcijas.  </w:t>
            </w:r>
          </w:p>
        </w:tc>
      </w:tr>
      <w:tr w:rsidR="00622F59" w:rsidRPr="00391E8A" w:rsidTr="00503EE8">
        <w:trPr>
          <w:trHeight w:val="725"/>
        </w:trPr>
        <w:tc>
          <w:tcPr>
            <w:tcW w:w="351" w:type="dxa"/>
          </w:tcPr>
          <w:p w:rsidR="00622F59" w:rsidRPr="00391E8A" w:rsidRDefault="00622F59" w:rsidP="00E44645">
            <w:pPr>
              <w:pStyle w:val="naisnod"/>
              <w:spacing w:before="0" w:after="0"/>
              <w:ind w:left="57" w:right="57"/>
              <w:jc w:val="left"/>
              <w:rPr>
                <w:b w:val="0"/>
              </w:rPr>
            </w:pPr>
            <w:r w:rsidRPr="00391E8A">
              <w:rPr>
                <w:b w:val="0"/>
              </w:rPr>
              <w:t>3.</w:t>
            </w:r>
          </w:p>
        </w:tc>
        <w:tc>
          <w:tcPr>
            <w:tcW w:w="3982" w:type="dxa"/>
          </w:tcPr>
          <w:p w:rsidR="00622F59" w:rsidRPr="00391E8A" w:rsidRDefault="00622F59" w:rsidP="00E44645">
            <w:pPr>
              <w:pStyle w:val="naisf"/>
              <w:spacing w:before="0" w:after="0"/>
              <w:ind w:left="57" w:right="57" w:firstLine="0"/>
              <w:jc w:val="left"/>
            </w:pPr>
            <w:r w:rsidRPr="00391E8A">
              <w:t>Projekta izpildes ietekme uz pārvaldes institucionālo struktūru.</w:t>
            </w:r>
          </w:p>
          <w:p w:rsidR="00622F59" w:rsidRPr="00391E8A" w:rsidRDefault="00622F59" w:rsidP="00E44645">
            <w:pPr>
              <w:pStyle w:val="naisf"/>
              <w:spacing w:before="0" w:after="0"/>
              <w:ind w:left="57" w:right="57" w:firstLine="0"/>
              <w:jc w:val="left"/>
            </w:pPr>
            <w:r w:rsidRPr="00391E8A">
              <w:t>Jaunu institūciju izveide</w:t>
            </w:r>
          </w:p>
        </w:tc>
        <w:tc>
          <w:tcPr>
            <w:tcW w:w="5358" w:type="dxa"/>
          </w:tcPr>
          <w:p w:rsidR="00622F59" w:rsidRPr="00391E8A" w:rsidRDefault="00622F59" w:rsidP="00E44645">
            <w:pPr>
              <w:pStyle w:val="naisnod"/>
              <w:spacing w:before="0" w:after="0"/>
              <w:ind w:left="57" w:right="57"/>
              <w:jc w:val="left"/>
              <w:rPr>
                <w:b w:val="0"/>
                <w:color w:val="000000"/>
              </w:rPr>
            </w:pPr>
            <w:r w:rsidRPr="00391E8A">
              <w:rPr>
                <w:b w:val="0"/>
                <w:color w:val="000000"/>
              </w:rPr>
              <w:t xml:space="preserve">Nav ietekmes. </w:t>
            </w:r>
          </w:p>
          <w:p w:rsidR="00622F59" w:rsidRPr="00391E8A" w:rsidRDefault="00622F59" w:rsidP="00E44645">
            <w:pPr>
              <w:pStyle w:val="naisnod"/>
              <w:spacing w:before="0" w:after="0"/>
              <w:ind w:left="57" w:right="57"/>
              <w:jc w:val="left"/>
              <w:rPr>
                <w:b w:val="0"/>
              </w:rPr>
            </w:pPr>
            <w:r w:rsidRPr="00391E8A">
              <w:rPr>
                <w:b w:val="0"/>
                <w:color w:val="000000"/>
              </w:rPr>
              <w:t xml:space="preserve">Jaunu institūciju izveide netiek paredzēta. </w:t>
            </w:r>
          </w:p>
        </w:tc>
      </w:tr>
      <w:tr w:rsidR="00622F59" w:rsidRPr="00391E8A" w:rsidTr="00503EE8">
        <w:trPr>
          <w:trHeight w:val="780"/>
        </w:trPr>
        <w:tc>
          <w:tcPr>
            <w:tcW w:w="351" w:type="dxa"/>
          </w:tcPr>
          <w:p w:rsidR="00622F59" w:rsidRPr="00391E8A" w:rsidRDefault="00622F59" w:rsidP="00E44645">
            <w:pPr>
              <w:pStyle w:val="naisnod"/>
              <w:spacing w:before="0" w:after="0"/>
              <w:ind w:left="57" w:right="57"/>
              <w:jc w:val="left"/>
              <w:rPr>
                <w:b w:val="0"/>
              </w:rPr>
            </w:pPr>
            <w:r w:rsidRPr="00391E8A">
              <w:rPr>
                <w:b w:val="0"/>
              </w:rPr>
              <w:t>4.</w:t>
            </w:r>
          </w:p>
        </w:tc>
        <w:tc>
          <w:tcPr>
            <w:tcW w:w="3982" w:type="dxa"/>
          </w:tcPr>
          <w:p w:rsidR="00622F59" w:rsidRPr="00391E8A" w:rsidRDefault="00622F59" w:rsidP="00E44645">
            <w:pPr>
              <w:pStyle w:val="naisf"/>
              <w:spacing w:before="0" w:after="0"/>
              <w:ind w:left="57" w:right="57" w:firstLine="0"/>
              <w:jc w:val="left"/>
            </w:pPr>
            <w:r w:rsidRPr="00391E8A">
              <w:t>Projekta izpildes ietekme uz pārvaldes institucionālo struktūru.</w:t>
            </w:r>
          </w:p>
          <w:p w:rsidR="00622F59" w:rsidRPr="00391E8A" w:rsidRDefault="00622F59" w:rsidP="00E44645">
            <w:pPr>
              <w:pStyle w:val="naisf"/>
              <w:spacing w:before="0" w:after="0"/>
              <w:ind w:left="57" w:right="57" w:firstLine="0"/>
              <w:jc w:val="left"/>
            </w:pPr>
            <w:r w:rsidRPr="00391E8A">
              <w:t>Esošu institūciju likvidācija</w:t>
            </w:r>
          </w:p>
        </w:tc>
        <w:tc>
          <w:tcPr>
            <w:tcW w:w="5358" w:type="dxa"/>
          </w:tcPr>
          <w:p w:rsidR="00622F59" w:rsidRPr="00391E8A" w:rsidRDefault="00622F59" w:rsidP="00E44645">
            <w:pPr>
              <w:rPr>
                <w:color w:val="000000"/>
              </w:rPr>
            </w:pPr>
            <w:r w:rsidRPr="00391E8A">
              <w:rPr>
                <w:color w:val="000000"/>
              </w:rPr>
              <w:t>Nav ietekmes.</w:t>
            </w:r>
          </w:p>
          <w:p w:rsidR="00622F59" w:rsidRPr="00391E8A" w:rsidRDefault="00622F59" w:rsidP="00E44645">
            <w:pPr>
              <w:rPr>
                <w:b/>
              </w:rPr>
            </w:pPr>
            <w:r w:rsidRPr="00391E8A">
              <w:rPr>
                <w:color w:val="000000"/>
              </w:rPr>
              <w:t>Institūcijas netiek likvidētas.</w:t>
            </w:r>
          </w:p>
        </w:tc>
      </w:tr>
      <w:tr w:rsidR="00622F59" w:rsidRPr="00391E8A" w:rsidTr="00503EE8">
        <w:trPr>
          <w:trHeight w:val="703"/>
        </w:trPr>
        <w:tc>
          <w:tcPr>
            <w:tcW w:w="351" w:type="dxa"/>
          </w:tcPr>
          <w:p w:rsidR="00622F59" w:rsidRPr="00391E8A" w:rsidRDefault="00622F59" w:rsidP="00E44645">
            <w:pPr>
              <w:pStyle w:val="naisnod"/>
              <w:spacing w:before="0" w:after="0"/>
              <w:ind w:left="57" w:right="57"/>
              <w:jc w:val="left"/>
              <w:rPr>
                <w:b w:val="0"/>
              </w:rPr>
            </w:pPr>
            <w:r w:rsidRPr="00391E8A">
              <w:rPr>
                <w:b w:val="0"/>
              </w:rPr>
              <w:t>5.</w:t>
            </w:r>
          </w:p>
        </w:tc>
        <w:tc>
          <w:tcPr>
            <w:tcW w:w="3982" w:type="dxa"/>
          </w:tcPr>
          <w:p w:rsidR="00622F59" w:rsidRPr="00391E8A" w:rsidRDefault="00622F59" w:rsidP="00E44645">
            <w:pPr>
              <w:pStyle w:val="naisf"/>
              <w:spacing w:before="0" w:after="0"/>
              <w:ind w:left="57" w:right="57" w:firstLine="0"/>
              <w:jc w:val="left"/>
            </w:pPr>
            <w:r w:rsidRPr="00391E8A">
              <w:t>Projekta izpildes ietekme uz pārvaldes institucionālo struktūru.</w:t>
            </w:r>
          </w:p>
          <w:p w:rsidR="00622F59" w:rsidRPr="00391E8A" w:rsidRDefault="00622F59" w:rsidP="00E44645">
            <w:pPr>
              <w:pStyle w:val="naisf"/>
              <w:spacing w:before="0" w:after="0"/>
              <w:ind w:left="57" w:right="57" w:firstLine="0"/>
              <w:jc w:val="left"/>
            </w:pPr>
            <w:r w:rsidRPr="00391E8A">
              <w:t>Esošu institūciju reorganizācija</w:t>
            </w:r>
          </w:p>
        </w:tc>
        <w:tc>
          <w:tcPr>
            <w:tcW w:w="5358" w:type="dxa"/>
          </w:tcPr>
          <w:p w:rsidR="00622F59" w:rsidRPr="00391E8A" w:rsidRDefault="00622F59" w:rsidP="00E44645">
            <w:pPr>
              <w:rPr>
                <w:color w:val="000000"/>
              </w:rPr>
            </w:pPr>
            <w:r w:rsidRPr="00391E8A">
              <w:rPr>
                <w:color w:val="000000"/>
              </w:rPr>
              <w:t>Nav ietekmes.</w:t>
            </w:r>
          </w:p>
          <w:p w:rsidR="00622F59" w:rsidRPr="00391E8A" w:rsidRDefault="00622F59" w:rsidP="00E44645">
            <w:pPr>
              <w:rPr>
                <w:color w:val="000000"/>
              </w:rPr>
            </w:pPr>
            <w:r w:rsidRPr="00391E8A">
              <w:rPr>
                <w:color w:val="000000"/>
              </w:rPr>
              <w:t>Institūcijas netiek reorganizētas.</w:t>
            </w:r>
          </w:p>
        </w:tc>
      </w:tr>
      <w:tr w:rsidR="00622F59" w:rsidRPr="00391E8A" w:rsidTr="00503EE8">
        <w:trPr>
          <w:trHeight w:val="476"/>
        </w:trPr>
        <w:tc>
          <w:tcPr>
            <w:tcW w:w="351" w:type="dxa"/>
          </w:tcPr>
          <w:p w:rsidR="00622F59" w:rsidRPr="00391E8A" w:rsidRDefault="00622F59" w:rsidP="00E44645">
            <w:pPr>
              <w:pStyle w:val="naiskr"/>
              <w:spacing w:before="0" w:after="0"/>
              <w:ind w:left="57" w:right="57"/>
            </w:pPr>
            <w:r w:rsidRPr="00391E8A">
              <w:t>6.</w:t>
            </w:r>
          </w:p>
        </w:tc>
        <w:tc>
          <w:tcPr>
            <w:tcW w:w="3982" w:type="dxa"/>
          </w:tcPr>
          <w:p w:rsidR="00622F59" w:rsidRPr="00391E8A" w:rsidRDefault="00622F59" w:rsidP="00E44645">
            <w:pPr>
              <w:pStyle w:val="naiskr"/>
              <w:spacing w:before="0" w:after="0"/>
              <w:ind w:left="57" w:right="57"/>
            </w:pPr>
            <w:r w:rsidRPr="00391E8A">
              <w:t>Cita informācija</w:t>
            </w:r>
          </w:p>
        </w:tc>
        <w:tc>
          <w:tcPr>
            <w:tcW w:w="5358" w:type="dxa"/>
          </w:tcPr>
          <w:p w:rsidR="00622F59" w:rsidRPr="00391E8A" w:rsidRDefault="00622F59" w:rsidP="00E44645">
            <w:pPr>
              <w:pStyle w:val="naiskr"/>
              <w:spacing w:before="0" w:after="0"/>
              <w:ind w:left="57" w:right="57"/>
            </w:pPr>
            <w:r w:rsidRPr="00391E8A">
              <w:t>Nav.</w:t>
            </w:r>
          </w:p>
        </w:tc>
      </w:tr>
    </w:tbl>
    <w:p w:rsidR="00622F59" w:rsidRDefault="00622F59" w:rsidP="00E44645"/>
    <w:p w:rsidR="00A17B23" w:rsidRDefault="00A17B23" w:rsidP="00E44645"/>
    <w:p w:rsidR="00622F59" w:rsidRPr="00AF206F" w:rsidRDefault="00622F59" w:rsidP="00E44645">
      <w:pPr>
        <w:pStyle w:val="NoSpacing"/>
        <w:tabs>
          <w:tab w:val="left" w:pos="6804"/>
        </w:tabs>
        <w:jc w:val="center"/>
        <w:rPr>
          <w:sz w:val="28"/>
          <w:szCs w:val="28"/>
        </w:rPr>
      </w:pPr>
      <w:r w:rsidRPr="00AF206F">
        <w:rPr>
          <w:sz w:val="28"/>
          <w:szCs w:val="28"/>
        </w:rPr>
        <w:t>Finanšu ministrs</w:t>
      </w:r>
      <w:r w:rsidRPr="00AF206F">
        <w:rPr>
          <w:sz w:val="28"/>
          <w:szCs w:val="28"/>
        </w:rPr>
        <w:tab/>
        <w:t>A.</w:t>
      </w:r>
      <w:r>
        <w:rPr>
          <w:sz w:val="28"/>
          <w:szCs w:val="28"/>
        </w:rPr>
        <w:t xml:space="preserve"> </w:t>
      </w:r>
      <w:r w:rsidRPr="00AF206F">
        <w:rPr>
          <w:sz w:val="28"/>
          <w:szCs w:val="28"/>
        </w:rPr>
        <w:t>Vilks</w:t>
      </w:r>
    </w:p>
    <w:p w:rsidR="00622F59" w:rsidRDefault="00622F59" w:rsidP="00E44645">
      <w:pPr>
        <w:ind w:left="540"/>
      </w:pPr>
    </w:p>
    <w:p w:rsidR="00622F59" w:rsidRDefault="00622F5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0125A9" w:rsidRDefault="000125A9" w:rsidP="000125A9"/>
    <w:p w:rsidR="00622F59" w:rsidRPr="000B4551" w:rsidRDefault="009D490A" w:rsidP="00E44645">
      <w:pPr>
        <w:rPr>
          <w:sz w:val="20"/>
          <w:szCs w:val="20"/>
        </w:rPr>
      </w:pPr>
      <w:r>
        <w:rPr>
          <w:sz w:val="20"/>
          <w:szCs w:val="20"/>
        </w:rPr>
        <w:t>22</w:t>
      </w:r>
      <w:r w:rsidR="00622F59" w:rsidRPr="000B4551">
        <w:rPr>
          <w:sz w:val="20"/>
          <w:szCs w:val="20"/>
        </w:rPr>
        <w:t>.</w:t>
      </w:r>
      <w:r w:rsidR="008F30C2">
        <w:rPr>
          <w:sz w:val="20"/>
          <w:szCs w:val="20"/>
        </w:rPr>
        <w:t>11</w:t>
      </w:r>
      <w:r w:rsidR="00622F59" w:rsidRPr="000B4551">
        <w:rPr>
          <w:sz w:val="20"/>
          <w:szCs w:val="20"/>
        </w:rPr>
        <w:t>.201</w:t>
      </w:r>
      <w:r w:rsidR="00622F59">
        <w:rPr>
          <w:sz w:val="20"/>
          <w:szCs w:val="20"/>
        </w:rPr>
        <w:t>3.</w:t>
      </w:r>
      <w:r w:rsidR="00622F59" w:rsidRPr="000B4551">
        <w:rPr>
          <w:sz w:val="20"/>
          <w:szCs w:val="20"/>
        </w:rPr>
        <w:t xml:space="preserve"> </w:t>
      </w:r>
      <w:r w:rsidR="0026534F">
        <w:rPr>
          <w:sz w:val="20"/>
          <w:szCs w:val="20"/>
        </w:rPr>
        <w:t>11</w:t>
      </w:r>
      <w:r w:rsidR="00622F59">
        <w:rPr>
          <w:sz w:val="20"/>
          <w:szCs w:val="20"/>
        </w:rPr>
        <w:t>.</w:t>
      </w:r>
      <w:r w:rsidR="0026534F">
        <w:rPr>
          <w:sz w:val="20"/>
          <w:szCs w:val="20"/>
        </w:rPr>
        <w:t>11</w:t>
      </w:r>
    </w:p>
    <w:p w:rsidR="000125A9" w:rsidRPr="00D860B9" w:rsidRDefault="008F30C2" w:rsidP="000125A9">
      <w:pPr>
        <w:rPr>
          <w:sz w:val="18"/>
          <w:szCs w:val="18"/>
        </w:rPr>
      </w:pPr>
      <w:r>
        <w:rPr>
          <w:sz w:val="18"/>
          <w:szCs w:val="18"/>
        </w:rPr>
        <w:t>2</w:t>
      </w:r>
      <w:r w:rsidR="0026534F">
        <w:rPr>
          <w:sz w:val="18"/>
          <w:szCs w:val="18"/>
        </w:rPr>
        <w:t>945</w:t>
      </w:r>
    </w:p>
    <w:p w:rsidR="000125A9" w:rsidRPr="00D860B9" w:rsidRDefault="000125A9" w:rsidP="000125A9">
      <w:pPr>
        <w:rPr>
          <w:sz w:val="18"/>
          <w:szCs w:val="18"/>
        </w:rPr>
      </w:pPr>
      <w:r w:rsidRPr="00D860B9">
        <w:rPr>
          <w:sz w:val="18"/>
          <w:szCs w:val="18"/>
        </w:rPr>
        <w:t xml:space="preserve">I. Valtiņš </w:t>
      </w:r>
    </w:p>
    <w:p w:rsidR="000125A9" w:rsidRPr="00D860B9" w:rsidRDefault="000125A9" w:rsidP="000125A9">
      <w:pPr>
        <w:rPr>
          <w:color w:val="000000"/>
          <w:sz w:val="18"/>
          <w:szCs w:val="18"/>
        </w:rPr>
      </w:pPr>
      <w:r w:rsidRPr="00D860B9">
        <w:rPr>
          <w:sz w:val="18"/>
          <w:szCs w:val="18"/>
        </w:rPr>
        <w:t>6</w:t>
      </w:r>
      <w:r w:rsidRPr="00D860B9">
        <w:rPr>
          <w:color w:val="000000"/>
          <w:sz w:val="18"/>
          <w:szCs w:val="18"/>
        </w:rPr>
        <w:t xml:space="preserve">777 4925 </w:t>
      </w:r>
    </w:p>
    <w:p w:rsidR="00622F59" w:rsidRPr="000125A9" w:rsidRDefault="00DA52E5" w:rsidP="00E44645">
      <w:pPr>
        <w:rPr>
          <w:sz w:val="16"/>
        </w:rPr>
      </w:pPr>
      <w:r w:rsidRPr="00DA52E5">
        <w:rPr>
          <w:sz w:val="16"/>
        </w:rPr>
        <w:t>ingus.valtins@fktk.lv</w:t>
      </w:r>
      <w:r w:rsidR="00622F59">
        <w:rPr>
          <w:sz w:val="16"/>
        </w:rPr>
        <w:t xml:space="preserve"> </w:t>
      </w:r>
    </w:p>
    <w:sectPr w:rsidR="00622F59" w:rsidRPr="000125A9" w:rsidSect="008E667D">
      <w:headerReference w:type="default" r:id="rId16"/>
      <w:footerReference w:type="default" r:id="rId17"/>
      <w:footerReference w:type="first" r:id="rId18"/>
      <w:pgSz w:w="12240" w:h="15840" w:code="1"/>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7" w:rsidRDefault="006F0417" w:rsidP="00C5135C">
      <w:r>
        <w:separator/>
      </w:r>
    </w:p>
  </w:endnote>
  <w:endnote w:type="continuationSeparator" w:id="0">
    <w:p w:rsidR="006F0417" w:rsidRDefault="006F0417" w:rsidP="00C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E4" w:rsidRPr="00A17B23" w:rsidRDefault="00AA201D" w:rsidP="00A17B23">
    <w:pPr>
      <w:pStyle w:val="Footer"/>
      <w:jc w:val="both"/>
      <w:rPr>
        <w:sz w:val="16"/>
        <w:szCs w:val="16"/>
      </w:rPr>
    </w:pPr>
    <w:r>
      <w:fldChar w:fldCharType="begin"/>
    </w:r>
    <w:r>
      <w:instrText xml:space="preserve"> FILENAME   \* MERGEFORMAT </w:instrText>
    </w:r>
    <w:r>
      <w:fldChar w:fldCharType="separate"/>
    </w:r>
    <w:r w:rsidR="00805938">
      <w:rPr>
        <w:noProof/>
        <w:sz w:val="16"/>
        <w:szCs w:val="16"/>
      </w:rPr>
      <w:t>FMAnot_221113_MPE</w:t>
    </w:r>
    <w:r w:rsidR="00D868E4">
      <w:rPr>
        <w:noProof/>
        <w:sz w:val="16"/>
        <w:szCs w:val="16"/>
      </w:rPr>
      <w:t>NL</w:t>
    </w:r>
    <w:r>
      <w:rPr>
        <w:noProof/>
        <w:sz w:val="16"/>
        <w:szCs w:val="16"/>
      </w:rPr>
      <w:fldChar w:fldCharType="end"/>
    </w:r>
    <w:r w:rsidR="00D868E4" w:rsidRPr="00164545">
      <w:rPr>
        <w:sz w:val="16"/>
        <w:szCs w:val="16"/>
      </w:rPr>
      <w:t xml:space="preserve">; Likumprojekta "Grozījumi Maksājumu pakalpojumu un elektroniskās naudas likumā"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E4" w:rsidRPr="00E44645" w:rsidRDefault="00AA201D" w:rsidP="00E44645">
    <w:pPr>
      <w:pStyle w:val="Footer"/>
      <w:jc w:val="both"/>
      <w:rPr>
        <w:sz w:val="16"/>
        <w:szCs w:val="16"/>
      </w:rPr>
    </w:pPr>
    <w:r>
      <w:fldChar w:fldCharType="begin"/>
    </w:r>
    <w:r>
      <w:instrText xml:space="preserve"> FILENAME   \* MERGEFORMAT </w:instrText>
    </w:r>
    <w:r>
      <w:fldChar w:fldCharType="separate"/>
    </w:r>
    <w:r w:rsidR="00805938">
      <w:rPr>
        <w:noProof/>
        <w:sz w:val="16"/>
        <w:szCs w:val="16"/>
      </w:rPr>
      <w:t>FMAnot_221113_MPE</w:t>
    </w:r>
    <w:r w:rsidR="00D868E4">
      <w:rPr>
        <w:noProof/>
        <w:sz w:val="16"/>
        <w:szCs w:val="16"/>
      </w:rPr>
      <w:t>NL</w:t>
    </w:r>
    <w:r>
      <w:rPr>
        <w:noProof/>
        <w:sz w:val="16"/>
        <w:szCs w:val="16"/>
      </w:rPr>
      <w:fldChar w:fldCharType="end"/>
    </w:r>
    <w:r w:rsidR="00D868E4" w:rsidRPr="00164545">
      <w:rPr>
        <w:sz w:val="16"/>
        <w:szCs w:val="16"/>
      </w:rPr>
      <w:t xml:space="preserve">; Likumprojekta "Grozījumi Maksājumu pakalpojumu un elektroniskās naudas likumā"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7" w:rsidRDefault="006F0417" w:rsidP="00C5135C">
      <w:r>
        <w:separator/>
      </w:r>
    </w:p>
  </w:footnote>
  <w:footnote w:type="continuationSeparator" w:id="0">
    <w:p w:rsidR="006F0417" w:rsidRDefault="006F0417" w:rsidP="00C5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E4" w:rsidRDefault="00AA201D">
    <w:pPr>
      <w:pStyle w:val="Header"/>
      <w:jc w:val="center"/>
    </w:pPr>
    <w:r>
      <w:fldChar w:fldCharType="begin"/>
    </w:r>
    <w:r>
      <w:instrText xml:space="preserve"> PAGE   \* MERGEFORMAT </w:instrText>
    </w:r>
    <w:r>
      <w:fldChar w:fldCharType="separate"/>
    </w:r>
    <w:r w:rsidR="00805938">
      <w:rPr>
        <w:noProof/>
      </w:rPr>
      <w:t>10</w:t>
    </w:r>
    <w:r>
      <w:rPr>
        <w:noProof/>
      </w:rPr>
      <w:fldChar w:fldCharType="end"/>
    </w:r>
  </w:p>
  <w:p w:rsidR="00D868E4" w:rsidRDefault="00D86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C6324"/>
    <w:multiLevelType w:val="hybridMultilevel"/>
    <w:tmpl w:val="6D6E8BA4"/>
    <w:lvl w:ilvl="0" w:tplc="1E8C304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35"/>
    <w:rsid w:val="00002320"/>
    <w:rsid w:val="0000360E"/>
    <w:rsid w:val="000125A9"/>
    <w:rsid w:val="00021B81"/>
    <w:rsid w:val="00032971"/>
    <w:rsid w:val="00032AF1"/>
    <w:rsid w:val="00032E2C"/>
    <w:rsid w:val="00050DCC"/>
    <w:rsid w:val="000609B2"/>
    <w:rsid w:val="00066453"/>
    <w:rsid w:val="00070BF4"/>
    <w:rsid w:val="00080B83"/>
    <w:rsid w:val="00085D42"/>
    <w:rsid w:val="0009507D"/>
    <w:rsid w:val="000A5437"/>
    <w:rsid w:val="000B1450"/>
    <w:rsid w:val="000B4551"/>
    <w:rsid w:val="000B57C6"/>
    <w:rsid w:val="000C17E3"/>
    <w:rsid w:val="000C2D0D"/>
    <w:rsid w:val="000C5D48"/>
    <w:rsid w:val="000C7E8E"/>
    <w:rsid w:val="000D27C9"/>
    <w:rsid w:val="000D7323"/>
    <w:rsid w:val="000E1E66"/>
    <w:rsid w:val="000F2D73"/>
    <w:rsid w:val="00107BEA"/>
    <w:rsid w:val="00115853"/>
    <w:rsid w:val="00122193"/>
    <w:rsid w:val="00123AA1"/>
    <w:rsid w:val="00126BCF"/>
    <w:rsid w:val="001334BB"/>
    <w:rsid w:val="001400AE"/>
    <w:rsid w:val="00140E8B"/>
    <w:rsid w:val="001411F9"/>
    <w:rsid w:val="001451D3"/>
    <w:rsid w:val="001619C1"/>
    <w:rsid w:val="00164545"/>
    <w:rsid w:val="00165CBC"/>
    <w:rsid w:val="001707B1"/>
    <w:rsid w:val="00171F0C"/>
    <w:rsid w:val="00173560"/>
    <w:rsid w:val="00182FCE"/>
    <w:rsid w:val="001A3847"/>
    <w:rsid w:val="001A3A83"/>
    <w:rsid w:val="001A63C8"/>
    <w:rsid w:val="001A6713"/>
    <w:rsid w:val="001A6AD8"/>
    <w:rsid w:val="001A6D0C"/>
    <w:rsid w:val="001B6136"/>
    <w:rsid w:val="001C441A"/>
    <w:rsid w:val="001C4E33"/>
    <w:rsid w:val="001C6167"/>
    <w:rsid w:val="001C7BE2"/>
    <w:rsid w:val="001D40BF"/>
    <w:rsid w:val="001D5ADB"/>
    <w:rsid w:val="001E0E51"/>
    <w:rsid w:val="001E210F"/>
    <w:rsid w:val="001F1F16"/>
    <w:rsid w:val="001F3F0C"/>
    <w:rsid w:val="001F424C"/>
    <w:rsid w:val="001F6012"/>
    <w:rsid w:val="00204500"/>
    <w:rsid w:val="00205781"/>
    <w:rsid w:val="00213C9D"/>
    <w:rsid w:val="00215B20"/>
    <w:rsid w:val="00221545"/>
    <w:rsid w:val="00221B83"/>
    <w:rsid w:val="00230BEB"/>
    <w:rsid w:val="002346C5"/>
    <w:rsid w:val="00235B4A"/>
    <w:rsid w:val="0024008E"/>
    <w:rsid w:val="00253C1D"/>
    <w:rsid w:val="00261913"/>
    <w:rsid w:val="0026534F"/>
    <w:rsid w:val="002754B8"/>
    <w:rsid w:val="00276F79"/>
    <w:rsid w:val="00281CB6"/>
    <w:rsid w:val="00282417"/>
    <w:rsid w:val="00287C50"/>
    <w:rsid w:val="002926A3"/>
    <w:rsid w:val="00295993"/>
    <w:rsid w:val="002A0303"/>
    <w:rsid w:val="002A2A06"/>
    <w:rsid w:val="002A41BC"/>
    <w:rsid w:val="002B0150"/>
    <w:rsid w:val="002B5B09"/>
    <w:rsid w:val="002B5E19"/>
    <w:rsid w:val="002C0523"/>
    <w:rsid w:val="002C288E"/>
    <w:rsid w:val="002C52FC"/>
    <w:rsid w:val="002D3D42"/>
    <w:rsid w:val="002D65A1"/>
    <w:rsid w:val="002D6C2C"/>
    <w:rsid w:val="002E0D11"/>
    <w:rsid w:val="002E7850"/>
    <w:rsid w:val="002F4E77"/>
    <w:rsid w:val="00301397"/>
    <w:rsid w:val="0030315E"/>
    <w:rsid w:val="003051CB"/>
    <w:rsid w:val="00316034"/>
    <w:rsid w:val="0031750C"/>
    <w:rsid w:val="003176B1"/>
    <w:rsid w:val="00322208"/>
    <w:rsid w:val="00330621"/>
    <w:rsid w:val="00334A98"/>
    <w:rsid w:val="0034543D"/>
    <w:rsid w:val="003476E4"/>
    <w:rsid w:val="003617B4"/>
    <w:rsid w:val="00371A7C"/>
    <w:rsid w:val="00371D35"/>
    <w:rsid w:val="00373EBD"/>
    <w:rsid w:val="00375F63"/>
    <w:rsid w:val="00376628"/>
    <w:rsid w:val="003800AE"/>
    <w:rsid w:val="00381429"/>
    <w:rsid w:val="00387F12"/>
    <w:rsid w:val="00391E8A"/>
    <w:rsid w:val="00392578"/>
    <w:rsid w:val="003A22D6"/>
    <w:rsid w:val="003A26E2"/>
    <w:rsid w:val="003A32A7"/>
    <w:rsid w:val="003B07CA"/>
    <w:rsid w:val="003B26DF"/>
    <w:rsid w:val="003B4524"/>
    <w:rsid w:val="003D4385"/>
    <w:rsid w:val="003D449C"/>
    <w:rsid w:val="003E1A08"/>
    <w:rsid w:val="003F1248"/>
    <w:rsid w:val="003F1FB0"/>
    <w:rsid w:val="003F7FF2"/>
    <w:rsid w:val="0040602C"/>
    <w:rsid w:val="0040754B"/>
    <w:rsid w:val="00412321"/>
    <w:rsid w:val="00421943"/>
    <w:rsid w:val="00432D4D"/>
    <w:rsid w:val="00432D57"/>
    <w:rsid w:val="00433C2C"/>
    <w:rsid w:val="00435034"/>
    <w:rsid w:val="004559A4"/>
    <w:rsid w:val="004574CB"/>
    <w:rsid w:val="00457A78"/>
    <w:rsid w:val="00472293"/>
    <w:rsid w:val="00480537"/>
    <w:rsid w:val="004809DB"/>
    <w:rsid w:val="004855AB"/>
    <w:rsid w:val="00486124"/>
    <w:rsid w:val="004900B2"/>
    <w:rsid w:val="004957F3"/>
    <w:rsid w:val="004A3ED4"/>
    <w:rsid w:val="004A447A"/>
    <w:rsid w:val="004B3759"/>
    <w:rsid w:val="004B5B8B"/>
    <w:rsid w:val="004B64E6"/>
    <w:rsid w:val="004B6651"/>
    <w:rsid w:val="004B6EEF"/>
    <w:rsid w:val="004C35F3"/>
    <w:rsid w:val="004C6384"/>
    <w:rsid w:val="004D18B0"/>
    <w:rsid w:val="004E4D98"/>
    <w:rsid w:val="004E705D"/>
    <w:rsid w:val="004F1EC7"/>
    <w:rsid w:val="004F2962"/>
    <w:rsid w:val="004F6A0D"/>
    <w:rsid w:val="004F7EA9"/>
    <w:rsid w:val="00502DF4"/>
    <w:rsid w:val="00503EE8"/>
    <w:rsid w:val="005063FE"/>
    <w:rsid w:val="005205DC"/>
    <w:rsid w:val="00522823"/>
    <w:rsid w:val="00526899"/>
    <w:rsid w:val="00526A47"/>
    <w:rsid w:val="005415EA"/>
    <w:rsid w:val="00546126"/>
    <w:rsid w:val="00546A28"/>
    <w:rsid w:val="005662C6"/>
    <w:rsid w:val="005723FA"/>
    <w:rsid w:val="00573F29"/>
    <w:rsid w:val="00581210"/>
    <w:rsid w:val="00584885"/>
    <w:rsid w:val="0058559F"/>
    <w:rsid w:val="005916A2"/>
    <w:rsid w:val="005948EB"/>
    <w:rsid w:val="005969AC"/>
    <w:rsid w:val="005A602B"/>
    <w:rsid w:val="005B2C87"/>
    <w:rsid w:val="005B5F2D"/>
    <w:rsid w:val="005C5925"/>
    <w:rsid w:val="005C5C88"/>
    <w:rsid w:val="005D2F93"/>
    <w:rsid w:val="005D63B7"/>
    <w:rsid w:val="005D691F"/>
    <w:rsid w:val="005E7B76"/>
    <w:rsid w:val="005F2678"/>
    <w:rsid w:val="005F7056"/>
    <w:rsid w:val="0060117C"/>
    <w:rsid w:val="006020DB"/>
    <w:rsid w:val="00610E15"/>
    <w:rsid w:val="00610E84"/>
    <w:rsid w:val="00616BCF"/>
    <w:rsid w:val="00622B5E"/>
    <w:rsid w:val="00622F59"/>
    <w:rsid w:val="006234BF"/>
    <w:rsid w:val="0064346F"/>
    <w:rsid w:val="00645619"/>
    <w:rsid w:val="00647B8B"/>
    <w:rsid w:val="006545D8"/>
    <w:rsid w:val="00657E77"/>
    <w:rsid w:val="006604C2"/>
    <w:rsid w:val="006664E9"/>
    <w:rsid w:val="006735CE"/>
    <w:rsid w:val="00675604"/>
    <w:rsid w:val="00676691"/>
    <w:rsid w:val="00676D26"/>
    <w:rsid w:val="00681D6E"/>
    <w:rsid w:val="0068459A"/>
    <w:rsid w:val="006A18C7"/>
    <w:rsid w:val="006A411F"/>
    <w:rsid w:val="006B20AE"/>
    <w:rsid w:val="006B5EC3"/>
    <w:rsid w:val="006B73C5"/>
    <w:rsid w:val="006C53E2"/>
    <w:rsid w:val="006C7C77"/>
    <w:rsid w:val="006D428B"/>
    <w:rsid w:val="006D545A"/>
    <w:rsid w:val="006E0F23"/>
    <w:rsid w:val="006E574F"/>
    <w:rsid w:val="006F0417"/>
    <w:rsid w:val="007051E0"/>
    <w:rsid w:val="00706736"/>
    <w:rsid w:val="00723F01"/>
    <w:rsid w:val="007241AB"/>
    <w:rsid w:val="00730D28"/>
    <w:rsid w:val="007370B9"/>
    <w:rsid w:val="007409F2"/>
    <w:rsid w:val="0074609D"/>
    <w:rsid w:val="00766292"/>
    <w:rsid w:val="00771301"/>
    <w:rsid w:val="00773AC1"/>
    <w:rsid w:val="00775782"/>
    <w:rsid w:val="00781121"/>
    <w:rsid w:val="00781FAD"/>
    <w:rsid w:val="007914CA"/>
    <w:rsid w:val="007B0BE4"/>
    <w:rsid w:val="007C107F"/>
    <w:rsid w:val="007C2DD5"/>
    <w:rsid w:val="007D5566"/>
    <w:rsid w:val="007D6E71"/>
    <w:rsid w:val="007E3DA7"/>
    <w:rsid w:val="007F0DB2"/>
    <w:rsid w:val="007F1908"/>
    <w:rsid w:val="007F3531"/>
    <w:rsid w:val="00805938"/>
    <w:rsid w:val="00811696"/>
    <w:rsid w:val="00815F6A"/>
    <w:rsid w:val="008215D9"/>
    <w:rsid w:val="00832AB4"/>
    <w:rsid w:val="00835D65"/>
    <w:rsid w:val="00840CE3"/>
    <w:rsid w:val="00847E90"/>
    <w:rsid w:val="00847F2C"/>
    <w:rsid w:val="008507BB"/>
    <w:rsid w:val="0085223D"/>
    <w:rsid w:val="00853400"/>
    <w:rsid w:val="00855F5F"/>
    <w:rsid w:val="0086025B"/>
    <w:rsid w:val="0086309F"/>
    <w:rsid w:val="008743BB"/>
    <w:rsid w:val="008806E9"/>
    <w:rsid w:val="008A4B67"/>
    <w:rsid w:val="008B21A7"/>
    <w:rsid w:val="008B57A4"/>
    <w:rsid w:val="008B5DB1"/>
    <w:rsid w:val="008B63EE"/>
    <w:rsid w:val="008B78B0"/>
    <w:rsid w:val="008B7902"/>
    <w:rsid w:val="008D1ED4"/>
    <w:rsid w:val="008E667D"/>
    <w:rsid w:val="008F30C2"/>
    <w:rsid w:val="00902084"/>
    <w:rsid w:val="009032A3"/>
    <w:rsid w:val="00910608"/>
    <w:rsid w:val="0091140F"/>
    <w:rsid w:val="00921FBB"/>
    <w:rsid w:val="00926AF9"/>
    <w:rsid w:val="00933809"/>
    <w:rsid w:val="00933DDC"/>
    <w:rsid w:val="009427DC"/>
    <w:rsid w:val="00942ACF"/>
    <w:rsid w:val="009434C8"/>
    <w:rsid w:val="00945629"/>
    <w:rsid w:val="00946E1D"/>
    <w:rsid w:val="00950539"/>
    <w:rsid w:val="00971A52"/>
    <w:rsid w:val="00992E60"/>
    <w:rsid w:val="009A201D"/>
    <w:rsid w:val="009B084E"/>
    <w:rsid w:val="009B4F65"/>
    <w:rsid w:val="009D283E"/>
    <w:rsid w:val="009D40C3"/>
    <w:rsid w:val="009D490A"/>
    <w:rsid w:val="00A1007E"/>
    <w:rsid w:val="00A1510E"/>
    <w:rsid w:val="00A17B23"/>
    <w:rsid w:val="00A22B28"/>
    <w:rsid w:val="00A32FFA"/>
    <w:rsid w:val="00A37281"/>
    <w:rsid w:val="00A4155A"/>
    <w:rsid w:val="00A43F42"/>
    <w:rsid w:val="00A53DBE"/>
    <w:rsid w:val="00A5593A"/>
    <w:rsid w:val="00A56546"/>
    <w:rsid w:val="00A604FA"/>
    <w:rsid w:val="00A61B43"/>
    <w:rsid w:val="00A62678"/>
    <w:rsid w:val="00A6634C"/>
    <w:rsid w:val="00A74BB2"/>
    <w:rsid w:val="00A80966"/>
    <w:rsid w:val="00A810B2"/>
    <w:rsid w:val="00A87297"/>
    <w:rsid w:val="00A91E3F"/>
    <w:rsid w:val="00AA1EBD"/>
    <w:rsid w:val="00AA201D"/>
    <w:rsid w:val="00AA2F6D"/>
    <w:rsid w:val="00AA5C18"/>
    <w:rsid w:val="00AA61B5"/>
    <w:rsid w:val="00AC3C36"/>
    <w:rsid w:val="00AC4C8F"/>
    <w:rsid w:val="00AC638C"/>
    <w:rsid w:val="00AE6F29"/>
    <w:rsid w:val="00AF08B4"/>
    <w:rsid w:val="00AF0E92"/>
    <w:rsid w:val="00AF206F"/>
    <w:rsid w:val="00B207E5"/>
    <w:rsid w:val="00B24152"/>
    <w:rsid w:val="00B3024B"/>
    <w:rsid w:val="00B31234"/>
    <w:rsid w:val="00B33E89"/>
    <w:rsid w:val="00B353BA"/>
    <w:rsid w:val="00B35584"/>
    <w:rsid w:val="00B448C0"/>
    <w:rsid w:val="00B503B5"/>
    <w:rsid w:val="00B57C87"/>
    <w:rsid w:val="00B65F87"/>
    <w:rsid w:val="00B73BA8"/>
    <w:rsid w:val="00B752C0"/>
    <w:rsid w:val="00B81D0B"/>
    <w:rsid w:val="00B82197"/>
    <w:rsid w:val="00BB0A2F"/>
    <w:rsid w:val="00BB2F75"/>
    <w:rsid w:val="00BC097D"/>
    <w:rsid w:val="00BC2305"/>
    <w:rsid w:val="00BC71C7"/>
    <w:rsid w:val="00BD283A"/>
    <w:rsid w:val="00BD570E"/>
    <w:rsid w:val="00BE6835"/>
    <w:rsid w:val="00BE6A06"/>
    <w:rsid w:val="00C0319D"/>
    <w:rsid w:val="00C0647E"/>
    <w:rsid w:val="00C10B23"/>
    <w:rsid w:val="00C14E6D"/>
    <w:rsid w:val="00C24FB0"/>
    <w:rsid w:val="00C324F8"/>
    <w:rsid w:val="00C344C9"/>
    <w:rsid w:val="00C45F4B"/>
    <w:rsid w:val="00C50485"/>
    <w:rsid w:val="00C5135C"/>
    <w:rsid w:val="00C549C1"/>
    <w:rsid w:val="00C66FC7"/>
    <w:rsid w:val="00C67833"/>
    <w:rsid w:val="00C67FD9"/>
    <w:rsid w:val="00C7148B"/>
    <w:rsid w:val="00C714EA"/>
    <w:rsid w:val="00C90AD5"/>
    <w:rsid w:val="00C9533C"/>
    <w:rsid w:val="00CA5439"/>
    <w:rsid w:val="00CA7F78"/>
    <w:rsid w:val="00CB0AE3"/>
    <w:rsid w:val="00CB61B0"/>
    <w:rsid w:val="00CC1E6D"/>
    <w:rsid w:val="00CC6A04"/>
    <w:rsid w:val="00CD08C1"/>
    <w:rsid w:val="00CD0C4D"/>
    <w:rsid w:val="00CD33C6"/>
    <w:rsid w:val="00CD47C8"/>
    <w:rsid w:val="00CE6097"/>
    <w:rsid w:val="00CE73F5"/>
    <w:rsid w:val="00D05933"/>
    <w:rsid w:val="00D120D4"/>
    <w:rsid w:val="00D154B5"/>
    <w:rsid w:val="00D159A2"/>
    <w:rsid w:val="00D17EB1"/>
    <w:rsid w:val="00D24A6D"/>
    <w:rsid w:val="00D2680E"/>
    <w:rsid w:val="00D27660"/>
    <w:rsid w:val="00D4064F"/>
    <w:rsid w:val="00D42A9C"/>
    <w:rsid w:val="00D43265"/>
    <w:rsid w:val="00D43F45"/>
    <w:rsid w:val="00D56E6B"/>
    <w:rsid w:val="00D60A6A"/>
    <w:rsid w:val="00D6476F"/>
    <w:rsid w:val="00D66207"/>
    <w:rsid w:val="00D823BB"/>
    <w:rsid w:val="00D85F67"/>
    <w:rsid w:val="00D868E4"/>
    <w:rsid w:val="00D91C7A"/>
    <w:rsid w:val="00D92CDF"/>
    <w:rsid w:val="00DA2E04"/>
    <w:rsid w:val="00DA52E5"/>
    <w:rsid w:val="00DA6693"/>
    <w:rsid w:val="00DB22D2"/>
    <w:rsid w:val="00DB6C31"/>
    <w:rsid w:val="00DD4009"/>
    <w:rsid w:val="00DE4024"/>
    <w:rsid w:val="00DE46E0"/>
    <w:rsid w:val="00E03CE9"/>
    <w:rsid w:val="00E04360"/>
    <w:rsid w:val="00E110F4"/>
    <w:rsid w:val="00E17EDC"/>
    <w:rsid w:val="00E20BE9"/>
    <w:rsid w:val="00E26518"/>
    <w:rsid w:val="00E30910"/>
    <w:rsid w:val="00E30C6B"/>
    <w:rsid w:val="00E32F25"/>
    <w:rsid w:val="00E346BE"/>
    <w:rsid w:val="00E44645"/>
    <w:rsid w:val="00E5159B"/>
    <w:rsid w:val="00E52D5D"/>
    <w:rsid w:val="00E811F3"/>
    <w:rsid w:val="00E814AD"/>
    <w:rsid w:val="00E8391E"/>
    <w:rsid w:val="00E9691A"/>
    <w:rsid w:val="00EA798F"/>
    <w:rsid w:val="00EB7CF8"/>
    <w:rsid w:val="00EC4BF8"/>
    <w:rsid w:val="00ED0409"/>
    <w:rsid w:val="00ED1069"/>
    <w:rsid w:val="00EE635D"/>
    <w:rsid w:val="00EE781F"/>
    <w:rsid w:val="00F05F79"/>
    <w:rsid w:val="00F10635"/>
    <w:rsid w:val="00F127BB"/>
    <w:rsid w:val="00F161FC"/>
    <w:rsid w:val="00F23C3A"/>
    <w:rsid w:val="00F25C12"/>
    <w:rsid w:val="00F31593"/>
    <w:rsid w:val="00F37BEA"/>
    <w:rsid w:val="00F40F15"/>
    <w:rsid w:val="00F41CCE"/>
    <w:rsid w:val="00FA5912"/>
    <w:rsid w:val="00FA6FD9"/>
    <w:rsid w:val="00FB432A"/>
    <w:rsid w:val="00FB6635"/>
    <w:rsid w:val="00FB696F"/>
    <w:rsid w:val="00FB7BC4"/>
    <w:rsid w:val="00FD25C8"/>
    <w:rsid w:val="00FD5CC1"/>
    <w:rsid w:val="00FE3634"/>
    <w:rsid w:val="00FE7FE2"/>
    <w:rsid w:val="00FF223C"/>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EC0E7D-1BDB-45CE-A843-4A68D2B2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3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D35"/>
    <w:pPr>
      <w:tabs>
        <w:tab w:val="center" w:pos="4153"/>
        <w:tab w:val="right" w:pos="8306"/>
      </w:tabs>
    </w:pPr>
  </w:style>
  <w:style w:type="character" w:customStyle="1" w:styleId="FooterChar">
    <w:name w:val="Footer Char"/>
    <w:basedOn w:val="DefaultParagraphFont"/>
    <w:link w:val="Footer"/>
    <w:uiPriority w:val="99"/>
    <w:locked/>
    <w:rsid w:val="00371D35"/>
    <w:rPr>
      <w:rFonts w:ascii="Times New Roman" w:hAnsi="Times New Roman" w:cs="Times New Roman"/>
      <w:sz w:val="24"/>
      <w:szCs w:val="24"/>
      <w:lang w:val="lv-LV" w:eastAsia="ar-SA" w:bidi="ar-SA"/>
    </w:rPr>
  </w:style>
  <w:style w:type="paragraph" w:customStyle="1" w:styleId="naiskr">
    <w:name w:val="naiskr"/>
    <w:basedOn w:val="Normal"/>
    <w:uiPriority w:val="99"/>
    <w:rsid w:val="00371D35"/>
    <w:pPr>
      <w:suppressAutoHyphens w:val="0"/>
      <w:spacing w:before="75" w:after="75"/>
    </w:pPr>
    <w:rPr>
      <w:lang w:eastAsia="lv-LV"/>
    </w:rPr>
  </w:style>
  <w:style w:type="paragraph" w:customStyle="1" w:styleId="Default">
    <w:name w:val="Default"/>
    <w:uiPriority w:val="99"/>
    <w:rsid w:val="003476E4"/>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rsid w:val="000B57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7C6"/>
    <w:rPr>
      <w:rFonts w:ascii="Tahoma" w:hAnsi="Tahoma" w:cs="Tahoma"/>
      <w:sz w:val="16"/>
      <w:szCs w:val="16"/>
      <w:lang w:val="lv-LV" w:eastAsia="ar-SA" w:bidi="ar-SA"/>
    </w:rPr>
  </w:style>
  <w:style w:type="paragraph" w:customStyle="1" w:styleId="naisnod">
    <w:name w:val="naisnod"/>
    <w:basedOn w:val="Normal"/>
    <w:uiPriority w:val="99"/>
    <w:rsid w:val="00B35584"/>
    <w:pPr>
      <w:suppressAutoHyphens w:val="0"/>
      <w:spacing w:before="150" w:after="150"/>
      <w:jc w:val="center"/>
    </w:pPr>
    <w:rPr>
      <w:b/>
      <w:bCs/>
      <w:lang w:eastAsia="lv-LV"/>
    </w:rPr>
  </w:style>
  <w:style w:type="paragraph" w:customStyle="1" w:styleId="naisc">
    <w:name w:val="naisc"/>
    <w:basedOn w:val="Normal"/>
    <w:uiPriority w:val="99"/>
    <w:rsid w:val="00B35584"/>
    <w:pPr>
      <w:suppressAutoHyphens w:val="0"/>
      <w:spacing w:before="75" w:after="75"/>
      <w:jc w:val="center"/>
    </w:pPr>
    <w:rPr>
      <w:lang w:eastAsia="lv-LV"/>
    </w:rPr>
  </w:style>
  <w:style w:type="paragraph" w:customStyle="1" w:styleId="naisf">
    <w:name w:val="naisf"/>
    <w:basedOn w:val="Normal"/>
    <w:uiPriority w:val="99"/>
    <w:rsid w:val="003B4524"/>
    <w:pPr>
      <w:suppressAutoHyphens w:val="0"/>
      <w:spacing w:before="75" w:after="75"/>
      <w:ind w:firstLine="375"/>
      <w:jc w:val="both"/>
    </w:pPr>
    <w:rPr>
      <w:lang w:eastAsia="lv-LV"/>
    </w:rPr>
  </w:style>
  <w:style w:type="paragraph" w:styleId="NormalWeb">
    <w:name w:val="Normal (Web)"/>
    <w:basedOn w:val="Normal"/>
    <w:uiPriority w:val="99"/>
    <w:semiHidden/>
    <w:rsid w:val="00032971"/>
    <w:pPr>
      <w:suppressAutoHyphens w:val="0"/>
      <w:spacing w:before="100" w:beforeAutospacing="1" w:after="100" w:afterAutospacing="1"/>
    </w:pPr>
    <w:rPr>
      <w:lang w:eastAsia="lv-LV"/>
    </w:rPr>
  </w:style>
  <w:style w:type="character" w:styleId="CommentReference">
    <w:name w:val="annotation reference"/>
    <w:basedOn w:val="DefaultParagraphFont"/>
    <w:uiPriority w:val="99"/>
    <w:semiHidden/>
    <w:rsid w:val="008507BB"/>
    <w:rPr>
      <w:rFonts w:cs="Times New Roman"/>
      <w:sz w:val="16"/>
      <w:szCs w:val="16"/>
    </w:rPr>
  </w:style>
  <w:style w:type="paragraph" w:styleId="CommentText">
    <w:name w:val="annotation text"/>
    <w:basedOn w:val="Normal"/>
    <w:link w:val="CommentTextChar"/>
    <w:uiPriority w:val="99"/>
    <w:semiHidden/>
    <w:rsid w:val="008507BB"/>
    <w:rPr>
      <w:sz w:val="20"/>
      <w:szCs w:val="20"/>
    </w:rPr>
  </w:style>
  <w:style w:type="character" w:customStyle="1" w:styleId="CommentTextChar">
    <w:name w:val="Comment Text Char"/>
    <w:basedOn w:val="DefaultParagraphFont"/>
    <w:link w:val="CommentText"/>
    <w:uiPriority w:val="99"/>
    <w:semiHidden/>
    <w:locked/>
    <w:rsid w:val="008507BB"/>
    <w:rPr>
      <w:rFonts w:ascii="Times New Roman" w:hAnsi="Times New Roman" w:cs="Times New Roman"/>
      <w:sz w:val="20"/>
      <w:szCs w:val="20"/>
      <w:lang w:val="lv-LV" w:eastAsia="ar-SA" w:bidi="ar-SA"/>
    </w:rPr>
  </w:style>
  <w:style w:type="paragraph" w:styleId="CommentSubject">
    <w:name w:val="annotation subject"/>
    <w:basedOn w:val="CommentText"/>
    <w:next w:val="CommentText"/>
    <w:link w:val="CommentSubjectChar"/>
    <w:uiPriority w:val="99"/>
    <w:semiHidden/>
    <w:rsid w:val="008507BB"/>
    <w:rPr>
      <w:b/>
      <w:bCs/>
    </w:rPr>
  </w:style>
  <w:style w:type="character" w:customStyle="1" w:styleId="CommentSubjectChar">
    <w:name w:val="Comment Subject Char"/>
    <w:basedOn w:val="CommentTextChar"/>
    <w:link w:val="CommentSubject"/>
    <w:uiPriority w:val="99"/>
    <w:semiHidden/>
    <w:locked/>
    <w:rsid w:val="008507BB"/>
    <w:rPr>
      <w:rFonts w:ascii="Times New Roman" w:hAnsi="Times New Roman" w:cs="Times New Roman"/>
      <w:b/>
      <w:bCs/>
      <w:sz w:val="20"/>
      <w:szCs w:val="20"/>
      <w:lang w:val="lv-LV" w:eastAsia="ar-SA" w:bidi="ar-SA"/>
    </w:rPr>
  </w:style>
  <w:style w:type="character" w:styleId="Hyperlink">
    <w:name w:val="Hyperlink"/>
    <w:basedOn w:val="DefaultParagraphFont"/>
    <w:uiPriority w:val="99"/>
    <w:rsid w:val="007C107F"/>
    <w:rPr>
      <w:rFonts w:cs="Times New Roman"/>
      <w:color w:val="0000FF"/>
      <w:u w:val="single"/>
    </w:rPr>
  </w:style>
  <w:style w:type="paragraph" w:customStyle="1" w:styleId="CM1">
    <w:name w:val="CM1"/>
    <w:basedOn w:val="Default"/>
    <w:next w:val="Default"/>
    <w:uiPriority w:val="99"/>
    <w:rsid w:val="00E5159B"/>
    <w:rPr>
      <w:rFonts w:ascii="EUAlbertina" w:hAnsi="EUAlbertina"/>
      <w:color w:val="auto"/>
    </w:rPr>
  </w:style>
  <w:style w:type="paragraph" w:customStyle="1" w:styleId="CM3">
    <w:name w:val="CM3"/>
    <w:basedOn w:val="Default"/>
    <w:next w:val="Default"/>
    <w:uiPriority w:val="99"/>
    <w:rsid w:val="00E5159B"/>
    <w:rPr>
      <w:rFonts w:ascii="EUAlbertina" w:hAnsi="EUAlbertina"/>
      <w:color w:val="auto"/>
    </w:rPr>
  </w:style>
  <w:style w:type="paragraph" w:styleId="Header">
    <w:name w:val="header"/>
    <w:basedOn w:val="Normal"/>
    <w:link w:val="HeaderChar"/>
    <w:uiPriority w:val="99"/>
    <w:rsid w:val="00C5135C"/>
    <w:pPr>
      <w:tabs>
        <w:tab w:val="center" w:pos="4153"/>
        <w:tab w:val="right" w:pos="8306"/>
      </w:tabs>
    </w:pPr>
  </w:style>
  <w:style w:type="character" w:customStyle="1" w:styleId="HeaderChar">
    <w:name w:val="Header Char"/>
    <w:basedOn w:val="DefaultParagraphFont"/>
    <w:link w:val="Header"/>
    <w:uiPriority w:val="99"/>
    <w:locked/>
    <w:rsid w:val="00C5135C"/>
    <w:rPr>
      <w:rFonts w:ascii="Times New Roman" w:hAnsi="Times New Roman" w:cs="Times New Roman"/>
      <w:sz w:val="24"/>
      <w:szCs w:val="24"/>
      <w:lang w:val="lv-LV" w:eastAsia="ar-SA" w:bidi="ar-SA"/>
    </w:rPr>
  </w:style>
  <w:style w:type="paragraph" w:styleId="NoSpacing">
    <w:name w:val="No Spacing"/>
    <w:uiPriority w:val="99"/>
    <w:qFormat/>
    <w:rsid w:val="004E705D"/>
    <w:pPr>
      <w:suppressAutoHyphens/>
    </w:pPr>
    <w:rPr>
      <w:rFonts w:ascii="Times New Roman" w:eastAsia="Times New Roman" w:hAnsi="Times New Roman"/>
      <w:sz w:val="24"/>
      <w:szCs w:val="24"/>
      <w:lang w:eastAsia="ar-SA"/>
    </w:rPr>
  </w:style>
  <w:style w:type="character" w:styleId="Strong">
    <w:name w:val="Strong"/>
    <w:basedOn w:val="DefaultParagraphFont"/>
    <w:uiPriority w:val="99"/>
    <w:qFormat/>
    <w:rsid w:val="00DB6C31"/>
    <w:rPr>
      <w:rFonts w:cs="Times New Roman"/>
      <w:b/>
      <w:bCs/>
    </w:rPr>
  </w:style>
  <w:style w:type="paragraph" w:styleId="ListParagraph">
    <w:name w:val="List Paragraph"/>
    <w:basedOn w:val="Normal"/>
    <w:uiPriority w:val="34"/>
    <w:qFormat/>
    <w:rsid w:val="0026534F"/>
    <w:pPr>
      <w:suppressAutoHyphens w:val="0"/>
      <w:ind w:left="7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267:0007:01:LV:HTML_blank" TargetMode="External"/><Relationship Id="rId13" Type="http://schemas.openxmlformats.org/officeDocument/2006/relationships/hyperlink" Target="http://eur-lex.europa.eu/LexUriServ/LexUriServ.do?uri=CONSLEG:2005L0060:20091030:LV:HTML_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9:267:0007:01:LV:HTML_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0:275:0039:01:LV:HTML_blank"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0:275:0039:01:LV:HTML_blank" TargetMode="External"/><Relationship Id="rId10" Type="http://schemas.openxmlformats.org/officeDocument/2006/relationships/hyperlink" Target="http://eur-lex.europa.eu/LexUriServ/LexUriServ.do?uri=CONSLEG:2006L0048:20091030:LV:HTML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5L0060:20091030:LV:HTML_blank" TargetMode="External"/><Relationship Id="rId14" Type="http://schemas.openxmlformats.org/officeDocument/2006/relationships/hyperlink" Target="http://eur-lex.europa.eu/LexUriServ/LexUriServ.do?uri=CONSLEG:2006L0048:20091030:LV:HTML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F992D-59CC-4C42-9390-04E6FF91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15000</Words>
  <Characters>8551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Likumprojekta "Grozījumi Maksājumu pakalpojumu un elektroniskās naudas likumā" sākotnējās ietekmes novērtējuma ziņojums (anotācija)</vt:lpstr>
    </vt:vector>
  </TitlesOfParts>
  <Company>Finanšu ministrija</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Maksājumu pakalpojumu un elektroniskās naudas likumā" sākotnējās ietekmes novērtējuma ziņojums (anotācija)</dc:title>
  <dc:subject>Anotācija</dc:subject>
  <dc:creator>Ingus Valtiņš</dc:creator>
  <dc:description>ingus.valtins@fktk.lv, 67 774 925</dc:description>
  <cp:lastModifiedBy>Liene Rācene</cp:lastModifiedBy>
  <cp:revision>3</cp:revision>
  <cp:lastPrinted>2013-08-01T07:21:00Z</cp:lastPrinted>
  <dcterms:created xsi:type="dcterms:W3CDTF">2013-11-22T13:05:00Z</dcterms:created>
  <dcterms:modified xsi:type="dcterms:W3CDTF">2013-11-22T13:13:00Z</dcterms:modified>
</cp:coreProperties>
</file>