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758" w:rsidRPr="00C2362F" w:rsidRDefault="00437F48" w:rsidP="00D40CD7">
      <w:pPr>
        <w:pStyle w:val="naisvisr"/>
        <w:spacing w:before="0" w:after="0" w:line="20" w:lineRule="atLeast"/>
        <w:rPr>
          <w:sz w:val="24"/>
          <w:szCs w:val="24"/>
        </w:rPr>
      </w:pPr>
      <w:bookmarkStart w:id="0" w:name="OLE_LINK3"/>
      <w:bookmarkStart w:id="1" w:name="OLE_LINK4"/>
      <w:bookmarkStart w:id="2" w:name="OLE_LINK6"/>
      <w:bookmarkStart w:id="3" w:name="OLE_LINK7"/>
      <w:bookmarkStart w:id="4" w:name="OLE_LINK1"/>
      <w:bookmarkStart w:id="5" w:name="OLE_LINK2"/>
      <w:bookmarkStart w:id="6" w:name="OLE_LINK16"/>
      <w:bookmarkStart w:id="7" w:name="OLE_LINK17"/>
      <w:bookmarkStart w:id="8" w:name="OLE_LINK9"/>
      <w:r w:rsidRPr="00C2362F">
        <w:rPr>
          <w:sz w:val="24"/>
          <w:szCs w:val="24"/>
        </w:rPr>
        <w:t>Ministru kabineta rīkojuma projekta „Grozījum</w:t>
      </w:r>
      <w:r w:rsidR="005F35C6" w:rsidRPr="00C2362F">
        <w:rPr>
          <w:sz w:val="24"/>
          <w:szCs w:val="24"/>
        </w:rPr>
        <w:t>i</w:t>
      </w:r>
      <w:r w:rsidRPr="00C2362F">
        <w:rPr>
          <w:sz w:val="24"/>
          <w:szCs w:val="24"/>
        </w:rPr>
        <w:t xml:space="preserve"> Ministru kabineta 2013.gada 18.jūnija rīkojumā Nr.251 „</w:t>
      </w:r>
      <w:r w:rsidRPr="00C2362F">
        <w:rPr>
          <w:rFonts w:eastAsia="Calibri"/>
          <w:sz w:val="24"/>
          <w:szCs w:val="24"/>
          <w:lang w:eastAsia="en-US"/>
        </w:rPr>
        <w:t>Par finansējuma piešķiršanu ēkas Miera ielā 58A, Rīgā, būvniecības projekta un nomas maksas izdevumu segšanai un ēkas Lāčplēša ielā 25, Rīgā, rekonstrukcijas ietvaros veicamo pārcelšanās un aprīkojuma iegādes izdevumu segšanai</w:t>
      </w:r>
      <w:r w:rsidRPr="00C2362F">
        <w:rPr>
          <w:sz w:val="24"/>
          <w:szCs w:val="24"/>
          <w:lang w:eastAsia="en-US"/>
        </w:rPr>
        <w:t xml:space="preserve">”” </w:t>
      </w:r>
      <w:r w:rsidR="001744C8" w:rsidRPr="00C2362F">
        <w:rPr>
          <w:bCs w:val="0"/>
          <w:sz w:val="24"/>
          <w:szCs w:val="24"/>
        </w:rPr>
        <w:t xml:space="preserve">sākotnējās ietekmes novērtējuma </w:t>
      </w:r>
      <w:smartTag w:uri="schemas-tilde-lv/tildestengine" w:element="veidnes">
        <w:smartTagPr>
          <w:attr w:name="id" w:val="-1"/>
          <w:attr w:name="baseform" w:val="ziņojums"/>
          <w:attr w:name="text" w:val="ziņojums"/>
        </w:smartTagPr>
        <w:r w:rsidR="001744C8" w:rsidRPr="00C2362F">
          <w:rPr>
            <w:bCs w:val="0"/>
            <w:sz w:val="24"/>
            <w:szCs w:val="24"/>
          </w:rPr>
          <w:t>ziņojums</w:t>
        </w:r>
      </w:smartTag>
      <w:r w:rsidR="001744C8" w:rsidRPr="00C2362F">
        <w:rPr>
          <w:bCs w:val="0"/>
          <w:sz w:val="24"/>
          <w:szCs w:val="24"/>
        </w:rPr>
        <w:t xml:space="preserve"> (anotācija</w:t>
      </w:r>
      <w:bookmarkEnd w:id="0"/>
      <w:bookmarkEnd w:id="1"/>
      <w:r w:rsidR="001744C8" w:rsidRPr="00C2362F">
        <w:rPr>
          <w:bCs w:val="0"/>
          <w:sz w:val="24"/>
          <w:szCs w:val="24"/>
        </w:rPr>
        <w:t>)</w:t>
      </w:r>
      <w:bookmarkEnd w:id="2"/>
      <w:bookmarkEnd w:id="3"/>
      <w:bookmarkEnd w:id="4"/>
      <w:bookmarkEnd w:id="5"/>
    </w:p>
    <w:tbl>
      <w:tblPr>
        <w:tblpPr w:leftFromText="180" w:rightFromText="180" w:vertAnchor="text" w:horzAnchor="margin" w:tblpXSpec="center" w:tblpY="149"/>
        <w:tblW w:w="5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1985"/>
        <w:gridCol w:w="7372"/>
      </w:tblGrid>
      <w:tr w:rsidR="00B43844" w:rsidRPr="00C2362F" w:rsidTr="00F32638">
        <w:tc>
          <w:tcPr>
            <w:tcW w:w="5000" w:type="pct"/>
            <w:gridSpan w:val="3"/>
            <w:vAlign w:val="center"/>
          </w:tcPr>
          <w:bookmarkEnd w:id="6"/>
          <w:bookmarkEnd w:id="7"/>
          <w:bookmarkEnd w:id="8"/>
          <w:p w:rsidR="00B43844" w:rsidRPr="00C2362F" w:rsidRDefault="00B43844" w:rsidP="00DD6DEC">
            <w:pPr>
              <w:pStyle w:val="naisnod"/>
              <w:spacing w:before="120" w:beforeAutospacing="0" w:after="120" w:afterAutospacing="0"/>
              <w:jc w:val="center"/>
              <w:rPr>
                <w:b/>
              </w:rPr>
            </w:pPr>
            <w:r w:rsidRPr="00C2362F">
              <w:rPr>
                <w:b/>
              </w:rPr>
              <w:t>I. Tiesību akta projekta izstrādes nepieciešamība</w:t>
            </w:r>
          </w:p>
        </w:tc>
      </w:tr>
      <w:tr w:rsidR="00B43844" w:rsidRPr="00C2362F" w:rsidTr="00F32638">
        <w:trPr>
          <w:trHeight w:val="630"/>
        </w:trPr>
        <w:tc>
          <w:tcPr>
            <w:tcW w:w="286" w:type="pct"/>
          </w:tcPr>
          <w:p w:rsidR="00B43844" w:rsidRPr="00C2362F" w:rsidRDefault="00B43844" w:rsidP="00353E8B">
            <w:pPr>
              <w:pStyle w:val="naiskr"/>
              <w:spacing w:before="0" w:after="0"/>
            </w:pPr>
            <w:r w:rsidRPr="00C2362F">
              <w:t>1.</w:t>
            </w:r>
          </w:p>
        </w:tc>
        <w:tc>
          <w:tcPr>
            <w:tcW w:w="1000" w:type="pct"/>
          </w:tcPr>
          <w:p w:rsidR="00B43844" w:rsidRPr="00C2362F" w:rsidRDefault="00B43844" w:rsidP="00353E8B">
            <w:pPr>
              <w:pStyle w:val="naiskr"/>
              <w:spacing w:before="0" w:after="0"/>
              <w:ind w:hanging="10"/>
            </w:pPr>
            <w:r w:rsidRPr="00C2362F">
              <w:t>Pamatojums</w:t>
            </w:r>
          </w:p>
        </w:tc>
        <w:tc>
          <w:tcPr>
            <w:tcW w:w="3714" w:type="pct"/>
          </w:tcPr>
          <w:p w:rsidR="007E6A68" w:rsidRPr="00C2362F" w:rsidRDefault="00A54DFF" w:rsidP="000D1348">
            <w:pPr>
              <w:spacing w:after="120" w:line="240" w:lineRule="auto"/>
              <w:ind w:left="57" w:right="159" w:firstLine="11"/>
              <w:jc w:val="both"/>
              <w:rPr>
                <w:rFonts w:ascii="Times New Roman" w:hAnsi="Times New Roman"/>
                <w:sz w:val="24"/>
                <w:szCs w:val="24"/>
              </w:rPr>
            </w:pPr>
            <w:r w:rsidRPr="00C2362F">
              <w:rPr>
                <w:rFonts w:ascii="Times New Roman" w:hAnsi="Times New Roman"/>
                <w:sz w:val="24"/>
                <w:szCs w:val="24"/>
              </w:rPr>
              <w:t>Ministru kabineta r</w:t>
            </w:r>
            <w:r w:rsidR="00BE0410" w:rsidRPr="00C2362F">
              <w:rPr>
                <w:rFonts w:ascii="Times New Roman" w:hAnsi="Times New Roman"/>
                <w:sz w:val="24"/>
                <w:szCs w:val="24"/>
              </w:rPr>
              <w:t>īkojuma projekts „Grozījum</w:t>
            </w:r>
            <w:r w:rsidR="000D1348" w:rsidRPr="00C2362F">
              <w:rPr>
                <w:rFonts w:ascii="Times New Roman" w:hAnsi="Times New Roman"/>
                <w:sz w:val="24"/>
                <w:szCs w:val="24"/>
              </w:rPr>
              <w:t>i</w:t>
            </w:r>
            <w:r w:rsidR="00BE0410" w:rsidRPr="00C2362F">
              <w:rPr>
                <w:rFonts w:ascii="Times New Roman" w:hAnsi="Times New Roman"/>
                <w:sz w:val="24"/>
                <w:szCs w:val="24"/>
              </w:rPr>
              <w:t xml:space="preserve"> </w:t>
            </w:r>
            <w:r w:rsidR="00437F48" w:rsidRPr="00C2362F">
              <w:rPr>
                <w:rFonts w:ascii="Times New Roman" w:hAnsi="Times New Roman"/>
                <w:sz w:val="24"/>
                <w:szCs w:val="24"/>
              </w:rPr>
              <w:t xml:space="preserve"> Ministru kabineta 2013.gada 18.jūnija rīkojumā Nr.251 „Par finansējuma piešķiršanu ēkas Miera ielā 58A, Rīgā, būvniecības projekta un nomas maksas izdevumu segšanai un ēkas Lāčplēša ielā 25, Rīgā, rekonstrukcijas ietvaros veicamo pārcelšanās un aprīkojuma iegādes izdevumu segšanai</w:t>
            </w:r>
            <w:r w:rsidR="00BE0410" w:rsidRPr="00C2362F">
              <w:rPr>
                <w:rFonts w:ascii="Times New Roman" w:hAnsi="Times New Roman"/>
                <w:sz w:val="24"/>
                <w:szCs w:val="24"/>
              </w:rPr>
              <w:t>”</w:t>
            </w:r>
            <w:r w:rsidR="00643E10" w:rsidRPr="00C2362F">
              <w:rPr>
                <w:rFonts w:ascii="Times New Roman" w:hAnsi="Times New Roman"/>
                <w:sz w:val="24"/>
                <w:szCs w:val="24"/>
              </w:rPr>
              <w:t xml:space="preserve">” </w:t>
            </w:r>
            <w:r w:rsidRPr="00C2362F">
              <w:rPr>
                <w:rFonts w:ascii="Times New Roman" w:hAnsi="Times New Roman"/>
                <w:sz w:val="24"/>
                <w:szCs w:val="24"/>
              </w:rPr>
              <w:t>(turpmāk – Ministru kabineta rīkojuma projekts)</w:t>
            </w:r>
            <w:r w:rsidR="00801585" w:rsidRPr="00C2362F">
              <w:rPr>
                <w:rFonts w:ascii="Times New Roman" w:hAnsi="Times New Roman"/>
                <w:sz w:val="24"/>
                <w:szCs w:val="24"/>
              </w:rPr>
              <w:t xml:space="preserve"> sagatavots</w:t>
            </w:r>
            <w:r w:rsidR="003425E4" w:rsidRPr="00C2362F">
              <w:rPr>
                <w:rFonts w:ascii="Times New Roman" w:hAnsi="Times New Roman"/>
                <w:sz w:val="24"/>
                <w:szCs w:val="24"/>
              </w:rPr>
              <w:t>, lai precizētu Ministru kabineta 2013.gada 18.jūnija rīkojumā Nr.251 „Par finansējuma piešķiršanu ēkas Miera ielā 58A, Rīgā, būvniecības projekta un nomas maksas izdevumu segšanai un ēkas Lāčplēša ielā 25, Rīgā, rekonstrukcijas ietvaros veicamo pārcelšanās un aprīkojuma iegādes izdevumu segšanai” noteikto  ilgtermiņa saistību apmēru  Jaunajam Rīgas teātrim ēkas Miera ielā 58A, Rīgā nomas maksas un apkures izdevumu segšanai.</w:t>
            </w:r>
          </w:p>
        </w:tc>
      </w:tr>
      <w:tr w:rsidR="00B43844" w:rsidRPr="00C2362F" w:rsidTr="00F32638">
        <w:trPr>
          <w:trHeight w:val="472"/>
        </w:trPr>
        <w:tc>
          <w:tcPr>
            <w:tcW w:w="286" w:type="pct"/>
          </w:tcPr>
          <w:p w:rsidR="00B43844" w:rsidRPr="00C2362F" w:rsidRDefault="00B43844" w:rsidP="00353E8B">
            <w:pPr>
              <w:pStyle w:val="naiskr"/>
              <w:spacing w:before="0" w:after="0"/>
            </w:pPr>
            <w:r w:rsidRPr="00C2362F">
              <w:t>2.</w:t>
            </w:r>
          </w:p>
        </w:tc>
        <w:tc>
          <w:tcPr>
            <w:tcW w:w="1000" w:type="pct"/>
          </w:tcPr>
          <w:p w:rsidR="00B43844" w:rsidRPr="00C2362F" w:rsidRDefault="00A762A6" w:rsidP="00353E8B">
            <w:pPr>
              <w:pStyle w:val="naiskr"/>
              <w:tabs>
                <w:tab w:val="left" w:pos="170"/>
              </w:tabs>
              <w:spacing w:before="0" w:after="0"/>
            </w:pPr>
            <w:r w:rsidRPr="00C2362F">
              <w:t>Pašreizējā situācija un problēmas</w:t>
            </w:r>
          </w:p>
        </w:tc>
        <w:tc>
          <w:tcPr>
            <w:tcW w:w="3714" w:type="pct"/>
          </w:tcPr>
          <w:p w:rsidR="006B74B3" w:rsidRPr="00C2362F" w:rsidRDefault="006B74B3" w:rsidP="006B74B3">
            <w:pPr>
              <w:spacing w:after="120" w:line="240" w:lineRule="auto"/>
              <w:ind w:left="57" w:right="159" w:firstLine="11"/>
              <w:jc w:val="both"/>
              <w:rPr>
                <w:rFonts w:ascii="Times New Roman" w:hAnsi="Times New Roman"/>
                <w:sz w:val="24"/>
                <w:szCs w:val="24"/>
              </w:rPr>
            </w:pPr>
            <w:r w:rsidRPr="00C2362F">
              <w:rPr>
                <w:rFonts w:ascii="Times New Roman" w:hAnsi="Times New Roman"/>
                <w:sz w:val="24"/>
                <w:szCs w:val="24"/>
              </w:rPr>
              <w:t xml:space="preserve">Pamatojoties uz </w:t>
            </w:r>
            <w:r w:rsidR="005B3374" w:rsidRPr="00C2362F">
              <w:rPr>
                <w:rFonts w:ascii="Times New Roman" w:hAnsi="Times New Roman"/>
                <w:sz w:val="24"/>
                <w:szCs w:val="24"/>
              </w:rPr>
              <w:t>Ministru kabineta 2013.gada 18.jūnija rīkojum</w:t>
            </w:r>
            <w:r w:rsidR="00741108" w:rsidRPr="00C2362F">
              <w:rPr>
                <w:rFonts w:ascii="Times New Roman" w:hAnsi="Times New Roman"/>
                <w:sz w:val="24"/>
                <w:szCs w:val="24"/>
              </w:rPr>
              <w:t>a</w:t>
            </w:r>
            <w:r w:rsidR="005B3374" w:rsidRPr="00C2362F">
              <w:rPr>
                <w:rFonts w:ascii="Times New Roman" w:hAnsi="Times New Roman"/>
                <w:sz w:val="24"/>
                <w:szCs w:val="24"/>
              </w:rPr>
              <w:t xml:space="preserve"> Nr.251 „Par finansējuma piešķiršanu ēkas Miera ielā 58A, Rīgā, būvniecības projekta un nomas maksas izdevumu segšanai un ēkas Lāčplēša ielā 25, Rīgā, rekonstrukcijas ietvaros veicamo pārcelšanās un aprīkojuma iegādes izdevumu segšanai” </w:t>
            </w:r>
            <w:r w:rsidR="0088001E" w:rsidRPr="00C2362F">
              <w:rPr>
                <w:rFonts w:ascii="Times New Roman" w:hAnsi="Times New Roman"/>
                <w:iCs/>
                <w:sz w:val="24"/>
                <w:szCs w:val="24"/>
                <w:lang w:eastAsia="lv-LV"/>
              </w:rPr>
              <w:t xml:space="preserve">(turpmāk – </w:t>
            </w:r>
            <w:r w:rsidRPr="00C2362F">
              <w:rPr>
                <w:rFonts w:ascii="Times New Roman" w:hAnsi="Times New Roman"/>
                <w:sz w:val="24"/>
                <w:szCs w:val="24"/>
              </w:rPr>
              <w:t>Ministru kabineta rīkojum</w:t>
            </w:r>
            <w:r w:rsidR="0088001E" w:rsidRPr="00C2362F">
              <w:rPr>
                <w:rFonts w:ascii="Times New Roman" w:hAnsi="Times New Roman"/>
                <w:sz w:val="24"/>
                <w:szCs w:val="24"/>
              </w:rPr>
              <w:t>s</w:t>
            </w:r>
            <w:r w:rsidRPr="00C2362F">
              <w:rPr>
                <w:rFonts w:ascii="Times New Roman" w:hAnsi="Times New Roman"/>
                <w:sz w:val="24"/>
                <w:szCs w:val="24"/>
              </w:rPr>
              <w:t xml:space="preserve"> Nr.</w:t>
            </w:r>
            <w:r w:rsidR="005B3374" w:rsidRPr="00C2362F">
              <w:rPr>
                <w:rFonts w:ascii="Times New Roman" w:hAnsi="Times New Roman"/>
                <w:sz w:val="24"/>
                <w:szCs w:val="24"/>
              </w:rPr>
              <w:t>251</w:t>
            </w:r>
            <w:r w:rsidR="0088001E" w:rsidRPr="00C2362F">
              <w:rPr>
                <w:rFonts w:ascii="Times New Roman" w:hAnsi="Times New Roman"/>
                <w:sz w:val="24"/>
                <w:szCs w:val="24"/>
              </w:rPr>
              <w:t>)</w:t>
            </w:r>
            <w:r w:rsidRPr="00C2362F">
              <w:rPr>
                <w:rFonts w:ascii="Times New Roman" w:hAnsi="Times New Roman"/>
                <w:sz w:val="24"/>
                <w:szCs w:val="24"/>
              </w:rPr>
              <w:t>:</w:t>
            </w:r>
          </w:p>
          <w:p w:rsidR="00286546" w:rsidRPr="00C2362F" w:rsidRDefault="00741108" w:rsidP="00286546">
            <w:pPr>
              <w:spacing w:after="120" w:line="240" w:lineRule="auto"/>
              <w:ind w:left="57" w:right="159" w:firstLine="11"/>
              <w:jc w:val="both"/>
              <w:rPr>
                <w:rFonts w:ascii="Times New Roman" w:hAnsi="Times New Roman"/>
                <w:sz w:val="24"/>
                <w:szCs w:val="24"/>
              </w:rPr>
            </w:pPr>
            <w:r w:rsidRPr="00C2362F">
              <w:t xml:space="preserve">– </w:t>
            </w:r>
            <w:r w:rsidRPr="00C2362F">
              <w:rPr>
                <w:rFonts w:ascii="Times New Roman" w:hAnsi="Times New Roman"/>
                <w:sz w:val="24"/>
                <w:szCs w:val="24"/>
              </w:rPr>
              <w:t xml:space="preserve">1.punktu, </w:t>
            </w:r>
            <w:r w:rsidR="005B3374" w:rsidRPr="00C2362F">
              <w:rPr>
                <w:rFonts w:ascii="Times New Roman" w:hAnsi="Times New Roman"/>
                <w:sz w:val="24"/>
                <w:szCs w:val="24"/>
              </w:rPr>
              <w:t>Finanšu ministrijai</w:t>
            </w:r>
            <w:r w:rsidR="00842DBA" w:rsidRPr="00C2362F">
              <w:rPr>
                <w:rFonts w:ascii="Times New Roman" w:hAnsi="Times New Roman"/>
                <w:sz w:val="24"/>
                <w:szCs w:val="24"/>
              </w:rPr>
              <w:t xml:space="preserve"> tika dots uzdevums</w:t>
            </w:r>
            <w:r w:rsidR="005B3374" w:rsidRPr="00C2362F">
              <w:rPr>
                <w:rFonts w:ascii="Times New Roman" w:hAnsi="Times New Roman"/>
                <w:sz w:val="24"/>
                <w:szCs w:val="24"/>
              </w:rPr>
              <w:t xml:space="preserve">, sagatavojot priekšlikumus likumprojektam par valsts budžetu 2014.gadam, </w:t>
            </w:r>
            <w:r w:rsidR="00842DBA" w:rsidRPr="00C2362F">
              <w:rPr>
                <w:rFonts w:ascii="Times New Roman" w:hAnsi="Times New Roman"/>
                <w:sz w:val="24"/>
                <w:szCs w:val="24"/>
              </w:rPr>
              <w:t xml:space="preserve">paredzēt </w:t>
            </w:r>
            <w:r w:rsidR="005B3374" w:rsidRPr="00C2362F">
              <w:rPr>
                <w:rFonts w:ascii="Times New Roman" w:hAnsi="Times New Roman"/>
                <w:sz w:val="24"/>
                <w:szCs w:val="24"/>
              </w:rPr>
              <w:t xml:space="preserve">ilgtermiņa saistības valsts akciju sabiedrībai "Valsts nekustamie īpašumi" </w:t>
            </w:r>
            <w:r w:rsidR="00286546" w:rsidRPr="00C2362F">
              <w:rPr>
                <w:rFonts w:ascii="Times New Roman" w:hAnsi="Times New Roman"/>
                <w:sz w:val="24"/>
                <w:szCs w:val="24"/>
              </w:rPr>
              <w:t xml:space="preserve">(turpmāk – VNI) </w:t>
            </w:r>
            <w:r w:rsidR="005B3374" w:rsidRPr="00C2362F">
              <w:rPr>
                <w:rFonts w:ascii="Times New Roman" w:hAnsi="Times New Roman"/>
                <w:sz w:val="24"/>
                <w:szCs w:val="24"/>
              </w:rPr>
              <w:t>ēkas Miera ielā 58A, Rīgā, būvniecības projekta izdevumu segšanai 2014.gadā 1 981 120 latu apmērā</w:t>
            </w:r>
            <w:r w:rsidR="00286546" w:rsidRPr="00C2362F">
              <w:rPr>
                <w:rFonts w:ascii="Times New Roman" w:hAnsi="Times New Roman"/>
                <w:sz w:val="24"/>
                <w:szCs w:val="24"/>
              </w:rPr>
              <w:t>;</w:t>
            </w:r>
          </w:p>
          <w:p w:rsidR="005B3374" w:rsidRPr="00C2362F" w:rsidRDefault="00286546" w:rsidP="00286546">
            <w:pPr>
              <w:spacing w:after="120" w:line="240" w:lineRule="auto"/>
              <w:ind w:left="57" w:right="159" w:firstLine="11"/>
              <w:jc w:val="both"/>
              <w:rPr>
                <w:rFonts w:ascii="Times New Roman" w:hAnsi="Times New Roman"/>
                <w:sz w:val="24"/>
                <w:szCs w:val="24"/>
              </w:rPr>
            </w:pPr>
            <w:r w:rsidRPr="00C2362F">
              <w:rPr>
                <w:rFonts w:ascii="Times New Roman" w:hAnsi="Times New Roman"/>
                <w:sz w:val="24"/>
                <w:szCs w:val="24"/>
              </w:rPr>
              <w:t>– 2.punktu, Kultūras ministrijai tika dots uzdevums</w:t>
            </w:r>
            <w:r w:rsidR="000471FB" w:rsidRPr="00C2362F">
              <w:rPr>
                <w:rFonts w:ascii="Times New Roman" w:hAnsi="Times New Roman"/>
                <w:sz w:val="24"/>
                <w:szCs w:val="24"/>
              </w:rPr>
              <w:t>,</w:t>
            </w:r>
            <w:r w:rsidRPr="00C2362F">
              <w:rPr>
                <w:rFonts w:ascii="Times New Roman" w:hAnsi="Times New Roman"/>
                <w:sz w:val="24"/>
                <w:szCs w:val="24"/>
              </w:rPr>
              <w:t xml:space="preserve"> </w:t>
            </w:r>
            <w:r w:rsidR="005B3374" w:rsidRPr="00C2362F">
              <w:rPr>
                <w:rFonts w:ascii="Times New Roman" w:hAnsi="Times New Roman"/>
                <w:sz w:val="24"/>
                <w:szCs w:val="24"/>
              </w:rPr>
              <w:t>sagatavojot un iesniedzot Finanšu ministrijā priekšlikumus likumprojektam par valsts budžetu 2014.gadam, paredzēt ilgtermiņa saistības:</w:t>
            </w:r>
          </w:p>
          <w:p w:rsidR="005B3374" w:rsidRPr="00C2362F" w:rsidRDefault="003F0079" w:rsidP="003F0079">
            <w:pPr>
              <w:spacing w:after="120" w:line="240" w:lineRule="auto"/>
              <w:ind w:left="284" w:right="159" w:firstLine="11"/>
              <w:jc w:val="both"/>
              <w:rPr>
                <w:rFonts w:ascii="Times New Roman" w:hAnsi="Times New Roman"/>
                <w:sz w:val="24"/>
                <w:szCs w:val="24"/>
              </w:rPr>
            </w:pPr>
            <w:r w:rsidRPr="00C2362F">
              <w:rPr>
                <w:rFonts w:ascii="Times New Roman" w:hAnsi="Times New Roman"/>
                <w:sz w:val="24"/>
                <w:szCs w:val="24"/>
              </w:rPr>
              <w:t xml:space="preserve"> – </w:t>
            </w:r>
            <w:r w:rsidR="005B3374" w:rsidRPr="00C2362F">
              <w:rPr>
                <w:rFonts w:ascii="Times New Roman" w:hAnsi="Times New Roman"/>
                <w:sz w:val="24"/>
                <w:szCs w:val="24"/>
              </w:rPr>
              <w:t xml:space="preserve">ēkas Miera ielā 58A, Rīgā, nomas maksas izdevumu segšanai </w:t>
            </w:r>
            <w:r w:rsidRPr="00C2362F">
              <w:rPr>
                <w:rFonts w:ascii="Times New Roman" w:hAnsi="Times New Roman"/>
                <w:sz w:val="24"/>
                <w:szCs w:val="24"/>
              </w:rPr>
              <w:t xml:space="preserve">VNĪ </w:t>
            </w:r>
            <w:r w:rsidR="005B3374" w:rsidRPr="00C2362F">
              <w:rPr>
                <w:rFonts w:ascii="Times New Roman" w:hAnsi="Times New Roman"/>
                <w:sz w:val="24"/>
                <w:szCs w:val="24"/>
              </w:rPr>
              <w:t>2014.gadā 25 486 latus, 2015.gadā 152 918 latu un 2016.gadā 76 459 latus un apkures izdevumu segšanai 2014.gadā 23 614 latu, 2015.gadā 79 357 latus un 2016.gadā 45 292 latus;</w:t>
            </w:r>
          </w:p>
          <w:p w:rsidR="005B3374" w:rsidRPr="00C2362F" w:rsidRDefault="003F0079" w:rsidP="003F0079">
            <w:pPr>
              <w:spacing w:after="120" w:line="240" w:lineRule="auto"/>
              <w:ind w:left="284" w:right="159" w:firstLine="11"/>
              <w:jc w:val="both"/>
              <w:rPr>
                <w:rFonts w:ascii="Times New Roman" w:hAnsi="Times New Roman"/>
                <w:sz w:val="24"/>
                <w:szCs w:val="24"/>
              </w:rPr>
            </w:pPr>
            <w:r w:rsidRPr="00C2362F">
              <w:rPr>
                <w:rFonts w:ascii="Times New Roman" w:hAnsi="Times New Roman"/>
                <w:sz w:val="24"/>
                <w:szCs w:val="24"/>
              </w:rPr>
              <w:t xml:space="preserve">– </w:t>
            </w:r>
            <w:r w:rsidR="005B3374" w:rsidRPr="00C2362F">
              <w:rPr>
                <w:rFonts w:ascii="Times New Roman" w:hAnsi="Times New Roman"/>
                <w:sz w:val="24"/>
                <w:szCs w:val="24"/>
              </w:rPr>
              <w:t>pārcelšanās (no Lāčplēša ielas 25, Rīgā, uz Miera ielu 58A, Rīgā) izdevumu un aprīkojuma (Miera ielā 58A, Rīgā) iegādes izdevumu segšanai valsts sabiedrībai ar ierobežotu atbildību "Jaunais Rīg</w:t>
            </w:r>
            <w:r w:rsidRPr="00C2362F">
              <w:rPr>
                <w:rFonts w:ascii="Times New Roman" w:hAnsi="Times New Roman"/>
                <w:sz w:val="24"/>
                <w:szCs w:val="24"/>
              </w:rPr>
              <w:t xml:space="preserve">as teātris", tai skaitā </w:t>
            </w:r>
            <w:r w:rsidR="005B3374" w:rsidRPr="00C2362F">
              <w:rPr>
                <w:rFonts w:ascii="Times New Roman" w:hAnsi="Times New Roman"/>
                <w:sz w:val="24"/>
                <w:szCs w:val="24"/>
              </w:rPr>
              <w:t>pārcelšanās izdevumu segšanai 2014.gadā 21 472 latus un 2016.gadā 21 472 latus</w:t>
            </w:r>
            <w:r w:rsidRPr="00C2362F">
              <w:rPr>
                <w:rFonts w:ascii="Times New Roman" w:hAnsi="Times New Roman"/>
                <w:sz w:val="24"/>
                <w:szCs w:val="24"/>
              </w:rPr>
              <w:t xml:space="preserve">, un </w:t>
            </w:r>
            <w:r w:rsidR="005B3374" w:rsidRPr="00C2362F">
              <w:rPr>
                <w:rFonts w:ascii="Times New Roman" w:hAnsi="Times New Roman"/>
                <w:sz w:val="24"/>
                <w:szCs w:val="24"/>
              </w:rPr>
              <w:t>aprīkojuma iegādes izdevumu segšanai 2014.gadā 173 411 latu</w:t>
            </w:r>
            <w:r w:rsidRPr="00C2362F">
              <w:rPr>
                <w:rFonts w:ascii="Times New Roman" w:hAnsi="Times New Roman"/>
                <w:sz w:val="24"/>
                <w:szCs w:val="24"/>
              </w:rPr>
              <w:t>;</w:t>
            </w:r>
          </w:p>
          <w:p w:rsidR="005B3374" w:rsidRPr="00C2362F" w:rsidRDefault="003F0079" w:rsidP="003F0079">
            <w:pPr>
              <w:spacing w:after="120" w:line="240" w:lineRule="auto"/>
              <w:ind w:left="142" w:right="159" w:firstLine="11"/>
              <w:jc w:val="both"/>
              <w:rPr>
                <w:rFonts w:ascii="Times New Roman" w:hAnsi="Times New Roman"/>
                <w:sz w:val="24"/>
                <w:szCs w:val="24"/>
              </w:rPr>
            </w:pPr>
            <w:r w:rsidRPr="00C2362F">
              <w:rPr>
                <w:rFonts w:ascii="Times New Roman" w:hAnsi="Times New Roman"/>
                <w:sz w:val="24"/>
                <w:szCs w:val="24"/>
              </w:rPr>
              <w:t xml:space="preserve">– 3.punktu, Finanšu ministrijai (VNĪ) tika dots uzdevums nodrošināt </w:t>
            </w:r>
            <w:r w:rsidR="005B3374" w:rsidRPr="00C2362F">
              <w:rPr>
                <w:rFonts w:ascii="Times New Roman" w:hAnsi="Times New Roman"/>
                <w:sz w:val="24"/>
                <w:szCs w:val="24"/>
              </w:rPr>
              <w:t xml:space="preserve">ēkas Miera ielā 58A, Rīgā, būvniecības darbu pabeigšanu līdz 2014.gada </w:t>
            </w:r>
            <w:r w:rsidR="005B3374" w:rsidRPr="00C2362F">
              <w:rPr>
                <w:rFonts w:ascii="Times New Roman" w:hAnsi="Times New Roman"/>
                <w:sz w:val="24"/>
                <w:szCs w:val="24"/>
              </w:rPr>
              <w:lastRenderedPageBreak/>
              <w:t>31.oktobrim, nosakot, ka plānotais ēku nomas līguma sākuma termiņš ir 2014.gada 1.novembris</w:t>
            </w:r>
            <w:r w:rsidR="000471FB" w:rsidRPr="00C2362F">
              <w:rPr>
                <w:rFonts w:ascii="Times New Roman" w:hAnsi="Times New Roman"/>
                <w:sz w:val="24"/>
                <w:szCs w:val="24"/>
              </w:rPr>
              <w:t>.</w:t>
            </w:r>
          </w:p>
          <w:p w:rsidR="00333126" w:rsidRPr="00C2362F" w:rsidRDefault="00333126" w:rsidP="00333126">
            <w:pPr>
              <w:spacing w:after="120" w:line="240" w:lineRule="auto"/>
              <w:ind w:left="57" w:right="159" w:firstLine="11"/>
              <w:jc w:val="both"/>
              <w:rPr>
                <w:rFonts w:ascii="Times New Roman" w:hAnsi="Times New Roman"/>
                <w:sz w:val="24"/>
                <w:szCs w:val="24"/>
              </w:rPr>
            </w:pPr>
            <w:r w:rsidRPr="00C2362F">
              <w:rPr>
                <w:rFonts w:ascii="Times New Roman" w:hAnsi="Times New Roman"/>
                <w:sz w:val="24"/>
                <w:szCs w:val="24"/>
              </w:rPr>
              <w:t xml:space="preserve">Lai </w:t>
            </w:r>
            <w:r w:rsidR="00F22DA3" w:rsidRPr="00C2362F">
              <w:rPr>
                <w:rFonts w:ascii="Times New Roman" w:hAnsi="Times New Roman"/>
                <w:sz w:val="24"/>
                <w:szCs w:val="24"/>
              </w:rPr>
              <w:t>valsts sabiedrība ar ierobežotu atbildību „</w:t>
            </w:r>
            <w:r w:rsidRPr="00C2362F">
              <w:rPr>
                <w:rFonts w:ascii="Times New Roman" w:hAnsi="Times New Roman"/>
                <w:sz w:val="24"/>
                <w:szCs w:val="24"/>
              </w:rPr>
              <w:t>Jaunais Rīgas teātris</w:t>
            </w:r>
            <w:r w:rsidR="00F22DA3" w:rsidRPr="00C2362F">
              <w:rPr>
                <w:rFonts w:ascii="Times New Roman" w:hAnsi="Times New Roman"/>
                <w:sz w:val="24"/>
                <w:szCs w:val="24"/>
              </w:rPr>
              <w:t xml:space="preserve">” </w:t>
            </w:r>
            <w:r w:rsidRPr="00C2362F">
              <w:rPr>
                <w:rFonts w:ascii="Times New Roman" w:hAnsi="Times New Roman"/>
                <w:sz w:val="24"/>
                <w:szCs w:val="24"/>
              </w:rPr>
              <w:t>nepārtrauktu kultūras pakalpojumu sniegšanu un pieejamību ēk</w:t>
            </w:r>
            <w:r w:rsidR="00F22DA3" w:rsidRPr="00C2362F">
              <w:rPr>
                <w:rFonts w:ascii="Times New Roman" w:hAnsi="Times New Roman"/>
                <w:sz w:val="24"/>
                <w:szCs w:val="24"/>
              </w:rPr>
              <w:t>u</w:t>
            </w:r>
            <w:r w:rsidRPr="00C2362F">
              <w:rPr>
                <w:rFonts w:ascii="Times New Roman" w:hAnsi="Times New Roman"/>
                <w:sz w:val="24"/>
                <w:szCs w:val="24"/>
              </w:rPr>
              <w:t xml:space="preserve"> Lāčplēša ielā 25, Rīgā, būvniecības darbu laikā, saskaņā ar Ministru kabineta rīkojumu Nr.251 tika pieņemts lēmums par būvniecības projekta „Ēkas Miera ielā 58A, Rīgā, rekonstrukcija” īstenošanu. Saskaņā ar Ministru kabineta rīkojuma Nr.251 3.punktu tiek plānots, ka rekonstrukcijas darbi </w:t>
            </w:r>
            <w:r w:rsidR="00F22DA3" w:rsidRPr="00C2362F">
              <w:rPr>
                <w:rFonts w:ascii="Times New Roman" w:hAnsi="Times New Roman"/>
                <w:sz w:val="24"/>
                <w:szCs w:val="24"/>
              </w:rPr>
              <w:t>minētajā ēkā</w:t>
            </w:r>
            <w:r w:rsidRPr="00C2362F">
              <w:rPr>
                <w:rFonts w:ascii="Times New Roman" w:hAnsi="Times New Roman"/>
                <w:sz w:val="24"/>
                <w:szCs w:val="24"/>
              </w:rPr>
              <w:t xml:space="preserve"> tiks pabeigti līdz 2014.gada 31.oktobrim un </w:t>
            </w:r>
            <w:r w:rsidR="00F22DA3" w:rsidRPr="00C2362F">
              <w:rPr>
                <w:rFonts w:ascii="Times New Roman" w:hAnsi="Times New Roman"/>
                <w:sz w:val="24"/>
                <w:szCs w:val="24"/>
              </w:rPr>
              <w:t>valsts sabiedrība ar ierobežotu atbildību „</w:t>
            </w:r>
            <w:r w:rsidRPr="00C2362F">
              <w:rPr>
                <w:rFonts w:ascii="Times New Roman" w:hAnsi="Times New Roman"/>
                <w:sz w:val="24"/>
                <w:szCs w:val="24"/>
              </w:rPr>
              <w:t>Jaunais Rīgas teātris</w:t>
            </w:r>
            <w:r w:rsidR="00F22DA3" w:rsidRPr="00C2362F">
              <w:rPr>
                <w:rFonts w:ascii="Times New Roman" w:hAnsi="Times New Roman"/>
                <w:sz w:val="24"/>
                <w:szCs w:val="24"/>
              </w:rPr>
              <w:t>”</w:t>
            </w:r>
            <w:r w:rsidRPr="00C2362F">
              <w:rPr>
                <w:rFonts w:ascii="Times New Roman" w:hAnsi="Times New Roman"/>
                <w:sz w:val="24"/>
                <w:szCs w:val="24"/>
              </w:rPr>
              <w:t xml:space="preserve"> </w:t>
            </w:r>
            <w:r w:rsidR="00F22DA3" w:rsidRPr="00C2362F">
              <w:rPr>
                <w:rFonts w:ascii="Times New Roman" w:hAnsi="Times New Roman"/>
                <w:sz w:val="24"/>
                <w:szCs w:val="24"/>
              </w:rPr>
              <w:t>nekustamā īpašuma</w:t>
            </w:r>
            <w:r w:rsidRPr="00C2362F">
              <w:rPr>
                <w:rFonts w:ascii="Times New Roman" w:hAnsi="Times New Roman"/>
                <w:sz w:val="24"/>
                <w:szCs w:val="24"/>
              </w:rPr>
              <w:t xml:space="preserve"> Miera ielā 58A, Rīgā</w:t>
            </w:r>
            <w:r w:rsidR="00F22DA3" w:rsidRPr="00C2362F">
              <w:rPr>
                <w:rFonts w:ascii="Times New Roman" w:hAnsi="Times New Roman"/>
                <w:sz w:val="24"/>
                <w:szCs w:val="24"/>
              </w:rPr>
              <w:t>, daļu</w:t>
            </w:r>
            <w:r w:rsidRPr="00C2362F">
              <w:rPr>
                <w:rFonts w:ascii="Times New Roman" w:hAnsi="Times New Roman"/>
                <w:sz w:val="24"/>
                <w:szCs w:val="24"/>
              </w:rPr>
              <w:t xml:space="preserve"> nomās no 2014.gada 1.novembra līdz 2016.gada 30.jūnijam, kas vienlaikus ir ar Ministru kabineta 2012.gada 28.augusta rīkojumu Nr.412 „Par finansējuma piešķiršanu Jaunā Rīgas teātra ēkas Lāčplēša ielā 25, Rīgā, būvniecības projekta izdevumu segšanai” (turpmāk – Ministru kabineta rīkojums Nr.412) noteiktais Jaunā Rīgas teātra ēk</w:t>
            </w:r>
            <w:r w:rsidR="00F22DA3" w:rsidRPr="00C2362F">
              <w:rPr>
                <w:rFonts w:ascii="Times New Roman" w:hAnsi="Times New Roman"/>
                <w:sz w:val="24"/>
                <w:szCs w:val="24"/>
              </w:rPr>
              <w:t>u</w:t>
            </w:r>
            <w:r w:rsidRPr="00C2362F">
              <w:rPr>
                <w:rFonts w:ascii="Times New Roman" w:hAnsi="Times New Roman"/>
                <w:sz w:val="24"/>
                <w:szCs w:val="24"/>
              </w:rPr>
              <w:t xml:space="preserve"> Lāčplēša ielā 25, Rīgā, rekonstrukcijas darbu pabeigšanas termiņš.</w:t>
            </w:r>
          </w:p>
          <w:p w:rsidR="00333126" w:rsidRPr="00C2362F" w:rsidRDefault="00333126" w:rsidP="00333126">
            <w:pPr>
              <w:spacing w:after="120" w:line="240" w:lineRule="auto"/>
              <w:ind w:left="57" w:right="159" w:firstLine="11"/>
              <w:jc w:val="both"/>
              <w:rPr>
                <w:rFonts w:ascii="Times New Roman" w:hAnsi="Times New Roman"/>
                <w:sz w:val="24"/>
                <w:szCs w:val="24"/>
              </w:rPr>
            </w:pPr>
            <w:r w:rsidRPr="00C2362F">
              <w:rPr>
                <w:rFonts w:ascii="Times New Roman" w:hAnsi="Times New Roman"/>
                <w:sz w:val="24"/>
                <w:szCs w:val="24"/>
              </w:rPr>
              <w:t xml:space="preserve">Līdz ar to Ministru kabineta rīkojumā Nr.251 izdevumi nomas maksas izdevumu segšanai 2016.gadā tika paredzēti 6 mēnešiem (janvāris – jūnijs) un apkures izdevumu segšanai 2016.gadā tika paredzēti 4 mēnešiem (janvāris – aprīlis). </w:t>
            </w:r>
          </w:p>
          <w:p w:rsidR="00333126" w:rsidRPr="00C2362F" w:rsidRDefault="00333126" w:rsidP="00333126">
            <w:pPr>
              <w:spacing w:after="120" w:line="240" w:lineRule="auto"/>
              <w:ind w:left="57" w:right="159" w:firstLine="11"/>
              <w:jc w:val="both"/>
              <w:rPr>
                <w:rFonts w:ascii="Times New Roman" w:hAnsi="Times New Roman"/>
                <w:sz w:val="24"/>
                <w:szCs w:val="24"/>
              </w:rPr>
            </w:pPr>
            <w:r w:rsidRPr="00C2362F">
              <w:rPr>
                <w:rFonts w:ascii="Times New Roman" w:hAnsi="Times New Roman"/>
                <w:sz w:val="24"/>
                <w:szCs w:val="24"/>
              </w:rPr>
              <w:t xml:space="preserve">Ņemot vērā to, ka atbilstoši precizētajam būvniecības darbu izpildes laika grafikam, tiek gatavoti grozījumi Ministru kabineta rīkojumā Nr.412, lai pagarinātu (aktualizētu) rekonstrukcijas darbu pabeigšanas termiņu no sākotnēji plānotā 2016.gada 30.jūnija līdz 2016.gada 31.decembrim, Ministru kabineta rīkojumā Nr.251 nepieciešami grozījumi, lai precizētu ilgtermiņa saistības </w:t>
            </w:r>
            <w:r w:rsidR="00F22DA3" w:rsidRPr="00C2362F">
              <w:rPr>
                <w:rFonts w:ascii="Times New Roman" w:hAnsi="Times New Roman"/>
                <w:sz w:val="24"/>
                <w:szCs w:val="24"/>
              </w:rPr>
              <w:t>nekustamā īpašuma</w:t>
            </w:r>
            <w:r w:rsidRPr="00C2362F">
              <w:rPr>
                <w:rFonts w:ascii="Times New Roman" w:hAnsi="Times New Roman"/>
                <w:sz w:val="24"/>
                <w:szCs w:val="24"/>
              </w:rPr>
              <w:t xml:space="preserve"> Miera ielā 58A, Rīgā</w:t>
            </w:r>
            <w:r w:rsidR="00F22DA3" w:rsidRPr="00C2362F">
              <w:rPr>
                <w:rFonts w:ascii="Times New Roman" w:hAnsi="Times New Roman"/>
                <w:sz w:val="24"/>
                <w:szCs w:val="24"/>
              </w:rPr>
              <w:t>, daļas</w:t>
            </w:r>
            <w:r w:rsidRPr="00C2362F">
              <w:rPr>
                <w:rFonts w:ascii="Times New Roman" w:hAnsi="Times New Roman"/>
                <w:sz w:val="24"/>
                <w:szCs w:val="24"/>
              </w:rPr>
              <w:t xml:space="preserve"> nomas maksas un apkures izdevumu segšanai, paredzot tos līdz 2016.gada beigām (jūlijs – decembris). </w:t>
            </w:r>
          </w:p>
          <w:p w:rsidR="000A28CB" w:rsidRPr="00C2362F" w:rsidRDefault="00333126" w:rsidP="00333126">
            <w:pPr>
              <w:spacing w:after="120" w:line="240" w:lineRule="auto"/>
              <w:ind w:left="57" w:right="159" w:firstLine="11"/>
              <w:jc w:val="both"/>
              <w:rPr>
                <w:rFonts w:ascii="Times New Roman" w:hAnsi="Times New Roman"/>
                <w:iCs/>
                <w:sz w:val="24"/>
                <w:szCs w:val="24"/>
                <w:lang w:eastAsia="lv-LV"/>
              </w:rPr>
            </w:pPr>
            <w:r w:rsidRPr="00C2362F">
              <w:rPr>
                <w:rFonts w:ascii="Times New Roman" w:hAnsi="Times New Roman"/>
                <w:sz w:val="24"/>
                <w:szCs w:val="24"/>
              </w:rPr>
              <w:t>Atbilstoši Ministru kabineta 2009.gada 7.aprīļa noteikumu Nr.300 „Ministru kabineta kārtības rullis” 3.pielikumā ietvertajai politikas jomu klasifikācijai Ministru kabineta rīkojuma projekts atbilst budžeta un finanšu politikas jomai.</w:t>
            </w:r>
          </w:p>
        </w:tc>
      </w:tr>
      <w:tr w:rsidR="00B43844" w:rsidRPr="00C2362F" w:rsidTr="00F32638">
        <w:trPr>
          <w:trHeight w:val="1071"/>
        </w:trPr>
        <w:tc>
          <w:tcPr>
            <w:tcW w:w="286" w:type="pct"/>
          </w:tcPr>
          <w:p w:rsidR="00B43844" w:rsidRPr="00C2362F" w:rsidRDefault="00B43844" w:rsidP="00353E8B">
            <w:pPr>
              <w:pStyle w:val="naiskr"/>
              <w:spacing w:before="0" w:after="0"/>
            </w:pPr>
            <w:r w:rsidRPr="00C2362F">
              <w:lastRenderedPageBreak/>
              <w:t>3.</w:t>
            </w:r>
          </w:p>
        </w:tc>
        <w:tc>
          <w:tcPr>
            <w:tcW w:w="1000" w:type="pct"/>
          </w:tcPr>
          <w:p w:rsidR="00B43844" w:rsidRPr="00C2362F" w:rsidRDefault="00B43844" w:rsidP="00353E8B">
            <w:pPr>
              <w:pStyle w:val="naiskr"/>
              <w:spacing w:before="0" w:after="0"/>
            </w:pPr>
            <w:r w:rsidRPr="00C2362F">
              <w:t>Saistītie politikas ietekmes novērtējumi un pētījumi</w:t>
            </w:r>
          </w:p>
        </w:tc>
        <w:tc>
          <w:tcPr>
            <w:tcW w:w="3714" w:type="pct"/>
          </w:tcPr>
          <w:p w:rsidR="00B43844" w:rsidRPr="00C2362F" w:rsidRDefault="00A54DFF" w:rsidP="00A54DFF">
            <w:pPr>
              <w:pStyle w:val="FootnoteText"/>
              <w:ind w:left="44" w:right="145"/>
              <w:rPr>
                <w:sz w:val="24"/>
                <w:szCs w:val="24"/>
                <w:lang w:eastAsia="lv-LV"/>
              </w:rPr>
            </w:pPr>
            <w:r w:rsidRPr="00C2362F">
              <w:rPr>
                <w:bCs/>
                <w:sz w:val="24"/>
                <w:szCs w:val="24"/>
              </w:rPr>
              <w:t>Ministru kabineta rīkojuma  p</w:t>
            </w:r>
            <w:r w:rsidR="005C4541" w:rsidRPr="00C2362F">
              <w:rPr>
                <w:sz w:val="24"/>
                <w:szCs w:val="24"/>
                <w:lang w:eastAsia="lv-LV"/>
              </w:rPr>
              <w:t>rojekts šo jomu neskar.</w:t>
            </w:r>
          </w:p>
        </w:tc>
      </w:tr>
      <w:tr w:rsidR="00B43844" w:rsidRPr="00C2362F" w:rsidTr="00F32638">
        <w:trPr>
          <w:trHeight w:val="705"/>
        </w:trPr>
        <w:tc>
          <w:tcPr>
            <w:tcW w:w="286" w:type="pct"/>
            <w:shd w:val="clear" w:color="auto" w:fill="auto"/>
          </w:tcPr>
          <w:p w:rsidR="00B43844" w:rsidRPr="00C2362F" w:rsidRDefault="00B43844" w:rsidP="00353E8B">
            <w:pPr>
              <w:pStyle w:val="naiskr"/>
              <w:spacing w:before="0" w:after="0"/>
            </w:pPr>
            <w:r w:rsidRPr="00C2362F">
              <w:t>4.</w:t>
            </w:r>
          </w:p>
        </w:tc>
        <w:tc>
          <w:tcPr>
            <w:tcW w:w="1000" w:type="pct"/>
            <w:shd w:val="clear" w:color="auto" w:fill="auto"/>
          </w:tcPr>
          <w:p w:rsidR="00B43844" w:rsidRPr="00C2362F" w:rsidRDefault="00B43844" w:rsidP="00353E8B">
            <w:pPr>
              <w:pStyle w:val="naiskr"/>
              <w:spacing w:before="0" w:after="0"/>
            </w:pPr>
            <w:r w:rsidRPr="00C2362F">
              <w:t>Tiesiskā regulējuma mērķis un būtība</w:t>
            </w:r>
          </w:p>
        </w:tc>
        <w:tc>
          <w:tcPr>
            <w:tcW w:w="3714" w:type="pct"/>
            <w:shd w:val="clear" w:color="auto" w:fill="auto"/>
          </w:tcPr>
          <w:p w:rsidR="009A0861" w:rsidRPr="00C2362F" w:rsidRDefault="009A0861" w:rsidP="001B48D5">
            <w:pPr>
              <w:pStyle w:val="naiskr"/>
              <w:tabs>
                <w:tab w:val="left" w:pos="142"/>
                <w:tab w:val="left" w:pos="284"/>
              </w:tabs>
              <w:spacing w:before="0" w:after="60"/>
              <w:ind w:left="142" w:right="158"/>
              <w:jc w:val="both"/>
              <w:rPr>
                <w:bCs/>
              </w:rPr>
            </w:pPr>
            <w:r w:rsidRPr="00C2362F">
              <w:rPr>
                <w:bCs/>
              </w:rPr>
              <w:t>Ministru kabineta rīkojuma projekta tiesiskā regulējuma mērķis ir Ministru kabineta rīkojuma Nr.</w:t>
            </w:r>
            <w:r w:rsidR="00316C74" w:rsidRPr="00C2362F">
              <w:rPr>
                <w:bCs/>
              </w:rPr>
              <w:t>251</w:t>
            </w:r>
            <w:r w:rsidRPr="00C2362F">
              <w:rPr>
                <w:bCs/>
              </w:rPr>
              <w:t xml:space="preserve"> </w:t>
            </w:r>
            <w:r w:rsidR="001B48D5" w:rsidRPr="00C2362F">
              <w:rPr>
                <w:bCs/>
              </w:rPr>
              <w:t xml:space="preserve">2.1.apakšpunktā Kultūras ministrijai </w:t>
            </w:r>
            <w:r w:rsidR="00AE4D58" w:rsidRPr="00C2362F">
              <w:rPr>
                <w:bCs/>
              </w:rPr>
              <w:t xml:space="preserve">paredzēto </w:t>
            </w:r>
            <w:r w:rsidRPr="00C2362F">
              <w:rPr>
                <w:bCs/>
              </w:rPr>
              <w:t>ilgtermiņ</w:t>
            </w:r>
            <w:r w:rsidR="00CD6957" w:rsidRPr="00C2362F">
              <w:rPr>
                <w:bCs/>
              </w:rPr>
              <w:t>a</w:t>
            </w:r>
            <w:r w:rsidRPr="00C2362F">
              <w:rPr>
                <w:bCs/>
              </w:rPr>
              <w:t xml:space="preserve"> saistību </w:t>
            </w:r>
            <w:r w:rsidR="001B48D5" w:rsidRPr="00C2362F">
              <w:rPr>
                <w:bCs/>
              </w:rPr>
              <w:t xml:space="preserve">nomas un apkures izdevumu segšanai </w:t>
            </w:r>
            <w:r w:rsidRPr="00C2362F">
              <w:rPr>
                <w:bCs/>
              </w:rPr>
              <w:t>precizēšana</w:t>
            </w:r>
            <w:r w:rsidR="00F65750" w:rsidRPr="00C2362F">
              <w:rPr>
                <w:bCs/>
              </w:rPr>
              <w:t>.</w:t>
            </w:r>
            <w:r w:rsidR="00984D29" w:rsidRPr="00C2362F">
              <w:rPr>
                <w:bCs/>
              </w:rPr>
              <w:t xml:space="preserve">  </w:t>
            </w:r>
          </w:p>
          <w:p w:rsidR="001B48D5" w:rsidRPr="00C2362F" w:rsidRDefault="00CD6957" w:rsidP="003E7FB5">
            <w:pPr>
              <w:pStyle w:val="naiskr"/>
              <w:tabs>
                <w:tab w:val="left" w:pos="142"/>
                <w:tab w:val="left" w:pos="284"/>
              </w:tabs>
              <w:spacing w:before="0" w:after="60"/>
              <w:ind w:left="142" w:right="158"/>
              <w:jc w:val="both"/>
              <w:rPr>
                <w:bCs/>
              </w:rPr>
            </w:pPr>
            <w:r w:rsidRPr="00C2362F">
              <w:rPr>
                <w:bCs/>
              </w:rPr>
              <w:t>Tā ietvaros</w:t>
            </w:r>
            <w:r w:rsidR="003E7FB5" w:rsidRPr="00C2362F">
              <w:rPr>
                <w:bCs/>
              </w:rPr>
              <w:t xml:space="preserve"> </w:t>
            </w:r>
            <w:r w:rsidR="00AE4D58" w:rsidRPr="00C2362F">
              <w:rPr>
                <w:bCs/>
              </w:rPr>
              <w:t xml:space="preserve">Kultūras ministrijas budžetā </w:t>
            </w:r>
            <w:r w:rsidR="00F22DA3" w:rsidRPr="00C2362F">
              <w:rPr>
                <w:bCs/>
              </w:rPr>
              <w:t>nekustamā īpašuma</w:t>
            </w:r>
            <w:r w:rsidR="001B48D5" w:rsidRPr="00C2362F">
              <w:rPr>
                <w:bCs/>
              </w:rPr>
              <w:t xml:space="preserve"> Miera ielā 58A, Rīgā, </w:t>
            </w:r>
            <w:r w:rsidR="00F22DA3" w:rsidRPr="00C2362F">
              <w:rPr>
                <w:bCs/>
              </w:rPr>
              <w:t xml:space="preserve">daļas </w:t>
            </w:r>
            <w:r w:rsidR="001B48D5" w:rsidRPr="00C2362F">
              <w:rPr>
                <w:bCs/>
              </w:rPr>
              <w:t xml:space="preserve">nomas maksas izdevumu segšanai VNĪ </w:t>
            </w:r>
            <w:r w:rsidR="00AE4D58" w:rsidRPr="00C2362F">
              <w:rPr>
                <w:bCs/>
              </w:rPr>
              <w:t xml:space="preserve">jāparedz </w:t>
            </w:r>
            <w:r w:rsidR="001B48D5" w:rsidRPr="00C2362F">
              <w:rPr>
                <w:bCs/>
              </w:rPr>
              <w:t xml:space="preserve">2014.gadā </w:t>
            </w:r>
            <w:r w:rsidR="005F35C6" w:rsidRPr="00C2362F">
              <w:rPr>
                <w:i/>
                <w:color w:val="000000"/>
              </w:rPr>
              <w:t>36 263</w:t>
            </w:r>
            <w:r w:rsidR="005F35C6" w:rsidRPr="00C2362F">
              <w:rPr>
                <w:color w:val="000000"/>
              </w:rPr>
              <w:t xml:space="preserve"> </w:t>
            </w:r>
            <w:r w:rsidR="005F35C6" w:rsidRPr="00C2362F">
              <w:rPr>
                <w:i/>
              </w:rPr>
              <w:t>euro (25 486 latus)</w:t>
            </w:r>
            <w:r w:rsidR="005F35C6" w:rsidRPr="00C2362F">
              <w:t xml:space="preserve">, 2015. un 2016.gadā katru gadu </w:t>
            </w:r>
            <w:r w:rsidR="005F35C6" w:rsidRPr="00C2362F">
              <w:rPr>
                <w:i/>
                <w:color w:val="000000"/>
              </w:rPr>
              <w:t>217 583</w:t>
            </w:r>
            <w:r w:rsidR="005F35C6" w:rsidRPr="00C2362F">
              <w:rPr>
                <w:color w:val="000000"/>
              </w:rPr>
              <w:t xml:space="preserve"> </w:t>
            </w:r>
            <w:r w:rsidR="005F35C6" w:rsidRPr="00C2362F">
              <w:rPr>
                <w:i/>
              </w:rPr>
              <w:t>euro (152 918 latus)</w:t>
            </w:r>
            <w:r w:rsidR="005F35C6" w:rsidRPr="00C2362F">
              <w:t xml:space="preserve"> un apkures izdevumu segšanai 2014.gadā </w:t>
            </w:r>
            <w:r w:rsidR="005F35C6" w:rsidRPr="00C2362F">
              <w:rPr>
                <w:i/>
                <w:color w:val="000000"/>
              </w:rPr>
              <w:t xml:space="preserve">33 600 </w:t>
            </w:r>
            <w:r w:rsidR="005F35C6" w:rsidRPr="00C2362F">
              <w:rPr>
                <w:i/>
              </w:rPr>
              <w:t>euro (23 614 latus)</w:t>
            </w:r>
            <w:r w:rsidR="005F35C6" w:rsidRPr="00C2362F">
              <w:t xml:space="preserve">, 2015. un 2016.gadā katru gadu </w:t>
            </w:r>
            <w:r w:rsidR="005F35C6" w:rsidRPr="00C2362F">
              <w:rPr>
                <w:i/>
                <w:color w:val="000000"/>
              </w:rPr>
              <w:t xml:space="preserve">112 915 </w:t>
            </w:r>
            <w:r w:rsidR="005F35C6" w:rsidRPr="00C2362F">
              <w:rPr>
                <w:i/>
              </w:rPr>
              <w:t>euro</w:t>
            </w:r>
            <w:r w:rsidR="005F35C6" w:rsidRPr="00C2362F">
              <w:t xml:space="preserve"> </w:t>
            </w:r>
            <w:r w:rsidR="005F35C6" w:rsidRPr="00C2362F">
              <w:rPr>
                <w:i/>
              </w:rPr>
              <w:t>(79 357 latus)</w:t>
            </w:r>
            <w:r w:rsidR="005F35C6" w:rsidRPr="00C2362F">
              <w:t xml:space="preserve">. Vienlaikus veikti arī tehniski grozījumi, lai rīkojuma </w:t>
            </w:r>
            <w:r w:rsidR="005F35C6" w:rsidRPr="00C2362F">
              <w:lastRenderedPageBreak/>
              <w:t>projektā paredzētās summas latos, kuru ap</w:t>
            </w:r>
            <w:r w:rsidR="00566ADE" w:rsidRPr="00C2362F">
              <w:t xml:space="preserve">mēru šobrīd nav nepieciešams precizēt </w:t>
            </w:r>
            <w:r w:rsidR="005F35C6" w:rsidRPr="00C2362F">
              <w:t xml:space="preserve">un kuras attiecas uz laika periodu no 2014.gada, atspoguļotu </w:t>
            </w:r>
            <w:r w:rsidR="005F35C6" w:rsidRPr="00C2362F">
              <w:rPr>
                <w:i/>
              </w:rPr>
              <w:t>euro</w:t>
            </w:r>
            <w:r w:rsidR="005F35C6" w:rsidRPr="00C2362F">
              <w:t xml:space="preserve"> valūtā</w:t>
            </w:r>
            <w:r w:rsidR="00566ADE" w:rsidRPr="00C2362F">
              <w:t xml:space="preserve">, t.i., tiesību normā tiek veikta latos izteikto skaitlisko vērtību konvertācija uz </w:t>
            </w:r>
            <w:r w:rsidR="00566ADE" w:rsidRPr="00C2362F">
              <w:rPr>
                <w:i/>
                <w:iCs/>
              </w:rPr>
              <w:t>euro</w:t>
            </w:r>
            <w:r w:rsidR="00566ADE" w:rsidRPr="00C2362F">
              <w:t xml:space="preserve"> </w:t>
            </w:r>
            <w:r w:rsidR="005F35C6" w:rsidRPr="00C2362F">
              <w:t xml:space="preserve"> atbilstoši Euro ieviešanas kārtības likuma 32.panta otrajai daļai.</w:t>
            </w:r>
          </w:p>
          <w:p w:rsidR="00A42ADA" w:rsidRPr="00C2362F" w:rsidRDefault="009A0861" w:rsidP="00AE4D58">
            <w:pPr>
              <w:pStyle w:val="naiskr"/>
              <w:tabs>
                <w:tab w:val="left" w:pos="142"/>
                <w:tab w:val="left" w:pos="284"/>
              </w:tabs>
              <w:spacing w:before="0" w:after="60"/>
              <w:ind w:left="142" w:right="158"/>
              <w:jc w:val="both"/>
              <w:rPr>
                <w:bCs/>
              </w:rPr>
            </w:pPr>
            <w:r w:rsidRPr="00C2362F">
              <w:rPr>
                <w:bCs/>
              </w:rPr>
              <w:t xml:space="preserve">Ministru kabineta rīkojuma projekts pilnībā atrisina </w:t>
            </w:r>
            <w:r w:rsidR="00566ADE" w:rsidRPr="00C2362F">
              <w:rPr>
                <w:bCs/>
              </w:rPr>
              <w:t xml:space="preserve">anotācijas I. sadaļas </w:t>
            </w:r>
            <w:r w:rsidRPr="00C2362F">
              <w:rPr>
                <w:bCs/>
              </w:rPr>
              <w:t>2.punktā minētās problēmas.</w:t>
            </w:r>
          </w:p>
        </w:tc>
      </w:tr>
      <w:tr w:rsidR="00B43844" w:rsidRPr="00C2362F" w:rsidTr="00F32638">
        <w:trPr>
          <w:trHeight w:val="476"/>
        </w:trPr>
        <w:tc>
          <w:tcPr>
            <w:tcW w:w="286" w:type="pct"/>
          </w:tcPr>
          <w:p w:rsidR="00B43844" w:rsidRPr="00C2362F" w:rsidRDefault="00B43844" w:rsidP="00353E8B">
            <w:pPr>
              <w:pStyle w:val="naiskr"/>
              <w:spacing w:before="0" w:after="0"/>
            </w:pPr>
            <w:r w:rsidRPr="00C2362F">
              <w:lastRenderedPageBreak/>
              <w:t>5.</w:t>
            </w:r>
          </w:p>
        </w:tc>
        <w:tc>
          <w:tcPr>
            <w:tcW w:w="1000" w:type="pct"/>
          </w:tcPr>
          <w:p w:rsidR="00B43844" w:rsidRPr="00C2362F" w:rsidRDefault="00B43844" w:rsidP="00353E8B">
            <w:pPr>
              <w:pStyle w:val="naiskr"/>
              <w:spacing w:before="0" w:after="0"/>
            </w:pPr>
            <w:r w:rsidRPr="00C2362F">
              <w:t>Projekta izstrādē iesaistītās institūcijas</w:t>
            </w:r>
          </w:p>
        </w:tc>
        <w:tc>
          <w:tcPr>
            <w:tcW w:w="3714" w:type="pct"/>
          </w:tcPr>
          <w:p w:rsidR="00B43844" w:rsidRPr="00C2362F" w:rsidRDefault="00AE2A48" w:rsidP="00675538">
            <w:pPr>
              <w:spacing w:line="240" w:lineRule="auto"/>
              <w:ind w:left="44" w:right="145"/>
              <w:jc w:val="both"/>
              <w:rPr>
                <w:rFonts w:ascii="Times New Roman" w:hAnsi="Times New Roman"/>
                <w:sz w:val="24"/>
                <w:szCs w:val="24"/>
              </w:rPr>
            </w:pPr>
            <w:r w:rsidRPr="00C2362F">
              <w:rPr>
                <w:rFonts w:ascii="Times New Roman" w:hAnsi="Times New Roman"/>
                <w:bCs/>
                <w:sz w:val="24"/>
                <w:szCs w:val="24"/>
              </w:rPr>
              <w:t>Finanšu ministrija</w:t>
            </w:r>
            <w:r w:rsidR="00D3484D" w:rsidRPr="00C2362F">
              <w:rPr>
                <w:rFonts w:ascii="Times New Roman" w:hAnsi="Times New Roman"/>
                <w:bCs/>
                <w:sz w:val="24"/>
                <w:szCs w:val="24"/>
              </w:rPr>
              <w:t xml:space="preserve"> (</w:t>
            </w:r>
            <w:r w:rsidR="00A54DFF" w:rsidRPr="00C2362F">
              <w:rPr>
                <w:rFonts w:ascii="Times New Roman" w:hAnsi="Times New Roman"/>
                <w:bCs/>
                <w:sz w:val="24"/>
                <w:szCs w:val="24"/>
              </w:rPr>
              <w:t>VNĪ</w:t>
            </w:r>
            <w:r w:rsidR="00D3484D" w:rsidRPr="00C2362F">
              <w:rPr>
                <w:rFonts w:ascii="Times New Roman" w:hAnsi="Times New Roman"/>
                <w:bCs/>
                <w:sz w:val="24"/>
                <w:szCs w:val="24"/>
              </w:rPr>
              <w:t>)</w:t>
            </w:r>
            <w:r w:rsidR="006F7569" w:rsidRPr="00C2362F">
              <w:rPr>
                <w:rFonts w:ascii="Times New Roman" w:hAnsi="Times New Roman"/>
                <w:bCs/>
                <w:sz w:val="24"/>
                <w:szCs w:val="24"/>
              </w:rPr>
              <w:t>.</w:t>
            </w:r>
          </w:p>
        </w:tc>
      </w:tr>
      <w:tr w:rsidR="00B43844" w:rsidRPr="00C2362F" w:rsidTr="00F32638">
        <w:trPr>
          <w:trHeight w:val="416"/>
        </w:trPr>
        <w:tc>
          <w:tcPr>
            <w:tcW w:w="286" w:type="pct"/>
          </w:tcPr>
          <w:p w:rsidR="00B43844" w:rsidRPr="00C2362F" w:rsidRDefault="00B43844" w:rsidP="00353E8B">
            <w:pPr>
              <w:pStyle w:val="naiskr"/>
              <w:spacing w:before="0" w:after="0"/>
            </w:pPr>
            <w:r w:rsidRPr="00C2362F">
              <w:t>6.</w:t>
            </w:r>
          </w:p>
        </w:tc>
        <w:tc>
          <w:tcPr>
            <w:tcW w:w="1000" w:type="pct"/>
          </w:tcPr>
          <w:p w:rsidR="00B43844" w:rsidRPr="00C2362F" w:rsidRDefault="00B43844" w:rsidP="00353E8B">
            <w:pPr>
              <w:pStyle w:val="naiskr"/>
              <w:spacing w:before="0" w:after="0"/>
              <w:rPr>
                <w:i/>
              </w:rPr>
            </w:pPr>
            <w:r w:rsidRPr="00C2362F">
              <w:t>Iemesli, kādēļ netika nodrošināta sabiedrības līdzdalība</w:t>
            </w:r>
          </w:p>
        </w:tc>
        <w:tc>
          <w:tcPr>
            <w:tcW w:w="3714" w:type="pct"/>
          </w:tcPr>
          <w:p w:rsidR="00B43844" w:rsidRPr="00C2362F" w:rsidRDefault="00A54DFF" w:rsidP="000430CC">
            <w:pPr>
              <w:spacing w:line="240" w:lineRule="auto"/>
              <w:ind w:left="44" w:right="145"/>
              <w:jc w:val="both"/>
              <w:rPr>
                <w:sz w:val="24"/>
                <w:szCs w:val="24"/>
                <w:lang w:eastAsia="lv-LV"/>
              </w:rPr>
            </w:pPr>
            <w:r w:rsidRPr="00C2362F">
              <w:rPr>
                <w:rFonts w:ascii="Times New Roman" w:hAnsi="Times New Roman"/>
                <w:bCs/>
                <w:sz w:val="24"/>
                <w:szCs w:val="24"/>
              </w:rPr>
              <w:t>Ministru kabineta rīkojuma</w:t>
            </w:r>
            <w:r w:rsidR="000430CC" w:rsidRPr="00C2362F">
              <w:rPr>
                <w:rFonts w:ascii="Times New Roman" w:hAnsi="Times New Roman"/>
                <w:bCs/>
                <w:sz w:val="24"/>
                <w:szCs w:val="24"/>
              </w:rPr>
              <w:t xml:space="preserve"> </w:t>
            </w:r>
            <w:r w:rsidRPr="00C2362F">
              <w:rPr>
                <w:rFonts w:ascii="Times New Roman" w:hAnsi="Times New Roman"/>
                <w:bCs/>
                <w:sz w:val="24"/>
                <w:szCs w:val="24"/>
              </w:rPr>
              <w:t>projekts šo jomu neskar.</w:t>
            </w:r>
          </w:p>
        </w:tc>
      </w:tr>
      <w:tr w:rsidR="00B43844" w:rsidRPr="00C2362F" w:rsidTr="00F32638">
        <w:trPr>
          <w:trHeight w:val="208"/>
        </w:trPr>
        <w:tc>
          <w:tcPr>
            <w:tcW w:w="286" w:type="pct"/>
          </w:tcPr>
          <w:p w:rsidR="00B43844" w:rsidRPr="00C2362F" w:rsidRDefault="00B43844" w:rsidP="00353E8B">
            <w:pPr>
              <w:pStyle w:val="naiskr"/>
              <w:spacing w:before="0" w:after="0"/>
            </w:pPr>
            <w:r w:rsidRPr="00C2362F">
              <w:t>7.</w:t>
            </w:r>
          </w:p>
        </w:tc>
        <w:tc>
          <w:tcPr>
            <w:tcW w:w="1000" w:type="pct"/>
          </w:tcPr>
          <w:p w:rsidR="00B43844" w:rsidRPr="00C2362F" w:rsidRDefault="00B43844" w:rsidP="00353E8B">
            <w:pPr>
              <w:pStyle w:val="naiskr"/>
              <w:spacing w:before="0" w:after="0"/>
            </w:pPr>
            <w:r w:rsidRPr="00C2362F">
              <w:t>Cita informācija</w:t>
            </w:r>
          </w:p>
        </w:tc>
        <w:tc>
          <w:tcPr>
            <w:tcW w:w="3714" w:type="pct"/>
          </w:tcPr>
          <w:p w:rsidR="00B43844" w:rsidRPr="00C2362F" w:rsidRDefault="006E6289" w:rsidP="006E6289">
            <w:pPr>
              <w:spacing w:line="240" w:lineRule="auto"/>
              <w:ind w:left="44" w:right="145"/>
              <w:jc w:val="both"/>
              <w:rPr>
                <w:rFonts w:ascii="Times New Roman" w:hAnsi="Times New Roman"/>
                <w:sz w:val="24"/>
                <w:szCs w:val="24"/>
              </w:rPr>
            </w:pPr>
            <w:r w:rsidRPr="00C2362F">
              <w:rPr>
                <w:rFonts w:ascii="Times New Roman" w:hAnsi="Times New Roman"/>
                <w:sz w:val="24"/>
                <w:szCs w:val="24"/>
              </w:rPr>
              <w:t>Ministru kabineta rīkojuma projekts skatāms vienlaikus ar  Ministru kabineta rīkojuma projektu „Grozījumi Ministru kabineta 2012.gada 28.augusta rīkojumā Nr.412 „</w:t>
            </w:r>
            <w:r w:rsidRPr="00C2362F">
              <w:rPr>
                <w:rFonts w:ascii="Times New Roman" w:hAnsi="Times New Roman"/>
                <w:iCs/>
                <w:sz w:val="24"/>
                <w:szCs w:val="24"/>
                <w:lang w:eastAsia="lv-LV"/>
              </w:rPr>
              <w:t>Par finansējuma piešķiršanu Jaunā Rīgas teātra ēkas Lāčplēša ielā 25, Rīgā, būvniecības projekta izdevumu segšanai””.</w:t>
            </w:r>
          </w:p>
        </w:tc>
      </w:tr>
    </w:tbl>
    <w:p w:rsidR="009D4758" w:rsidRPr="00C2362F" w:rsidRDefault="009D4758" w:rsidP="007A0272">
      <w:pPr>
        <w:pStyle w:val="naisf"/>
        <w:spacing w:before="0" w:after="0"/>
        <w:ind w:firstLine="0"/>
      </w:pPr>
    </w:p>
    <w:tbl>
      <w:tblPr>
        <w:tblW w:w="5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6"/>
        <w:gridCol w:w="993"/>
        <w:gridCol w:w="1276"/>
        <w:gridCol w:w="1242"/>
        <w:gridCol w:w="1306"/>
        <w:gridCol w:w="1624"/>
      </w:tblGrid>
      <w:tr w:rsidR="00973D4C" w:rsidRPr="00C2362F" w:rsidTr="00F32638">
        <w:trPr>
          <w:trHeight w:val="290"/>
          <w:jc w:val="center"/>
        </w:trPr>
        <w:tc>
          <w:tcPr>
            <w:tcW w:w="5000" w:type="pct"/>
            <w:gridSpan w:val="6"/>
          </w:tcPr>
          <w:p w:rsidR="00973D4C" w:rsidRPr="00C2362F" w:rsidRDefault="00973D4C" w:rsidP="00972823">
            <w:pPr>
              <w:pStyle w:val="naisnod"/>
              <w:spacing w:before="0" w:after="0"/>
              <w:jc w:val="center"/>
              <w:rPr>
                <w:b/>
                <w:i/>
              </w:rPr>
            </w:pPr>
            <w:r w:rsidRPr="00C2362F">
              <w:rPr>
                <w:b/>
              </w:rPr>
              <w:br w:type="page"/>
              <w:t>III. Tiesību akta projekta ietekme uz valsts budžetu un pašvaldību budžetiem</w:t>
            </w:r>
          </w:p>
        </w:tc>
      </w:tr>
      <w:tr w:rsidR="00973D4C" w:rsidRPr="00C2362F" w:rsidTr="00F22DA3">
        <w:trPr>
          <w:jc w:val="center"/>
        </w:trPr>
        <w:tc>
          <w:tcPr>
            <w:tcW w:w="1795" w:type="pct"/>
            <w:vMerge w:val="restart"/>
            <w:vAlign w:val="center"/>
          </w:tcPr>
          <w:p w:rsidR="00973D4C" w:rsidRPr="00C2362F" w:rsidRDefault="00973D4C" w:rsidP="00536B44">
            <w:pPr>
              <w:pStyle w:val="naisf"/>
              <w:spacing w:before="0" w:after="0"/>
              <w:ind w:firstLine="0"/>
              <w:jc w:val="center"/>
            </w:pPr>
            <w:r w:rsidRPr="00C2362F">
              <w:t>Rādītāji</w:t>
            </w:r>
          </w:p>
        </w:tc>
        <w:tc>
          <w:tcPr>
            <w:tcW w:w="1129" w:type="pct"/>
            <w:gridSpan w:val="2"/>
            <w:vMerge w:val="restart"/>
            <w:vAlign w:val="center"/>
          </w:tcPr>
          <w:p w:rsidR="00973D4C" w:rsidRPr="00C2362F" w:rsidRDefault="00973D4C" w:rsidP="00836237">
            <w:pPr>
              <w:pStyle w:val="naisf"/>
              <w:spacing w:before="0" w:after="0"/>
              <w:ind w:firstLine="0"/>
              <w:jc w:val="center"/>
            </w:pPr>
            <w:r w:rsidRPr="00C2362F">
              <w:t>201</w:t>
            </w:r>
            <w:r w:rsidR="00836237" w:rsidRPr="00C2362F">
              <w:t>3</w:t>
            </w:r>
            <w:r w:rsidRPr="00C2362F">
              <w:t>.gads</w:t>
            </w:r>
          </w:p>
        </w:tc>
        <w:tc>
          <w:tcPr>
            <w:tcW w:w="2076" w:type="pct"/>
            <w:gridSpan w:val="3"/>
            <w:vAlign w:val="center"/>
          </w:tcPr>
          <w:p w:rsidR="00973D4C" w:rsidRPr="00C2362F" w:rsidRDefault="00973D4C" w:rsidP="00536B44">
            <w:pPr>
              <w:pStyle w:val="naisf"/>
              <w:spacing w:before="0" w:after="0"/>
              <w:ind w:firstLine="0"/>
              <w:jc w:val="center"/>
              <w:rPr>
                <w:i/>
              </w:rPr>
            </w:pPr>
            <w:r w:rsidRPr="00C2362F">
              <w:t>Turpmākie trīs gadi (tūkst</w:t>
            </w:r>
            <w:smartTag w:uri="schemas-tilde-lv/tildestengine" w:element="currency2">
              <w:smartTagPr>
                <w:attr w:name="currency_text" w:val="latu"/>
                <w:attr w:name="currency_value" w:val="."/>
                <w:attr w:name="currency_key" w:val="LVL"/>
                <w:attr w:name="currency_id" w:val="48"/>
              </w:smartTagPr>
              <w:r w:rsidRPr="00C2362F">
                <w:t>. latu</w:t>
              </w:r>
            </w:smartTag>
            <w:r w:rsidRPr="00C2362F">
              <w:t>)</w:t>
            </w:r>
          </w:p>
        </w:tc>
      </w:tr>
      <w:tr w:rsidR="00973D4C" w:rsidRPr="00C2362F" w:rsidTr="00F22DA3">
        <w:trPr>
          <w:jc w:val="center"/>
        </w:trPr>
        <w:tc>
          <w:tcPr>
            <w:tcW w:w="1795" w:type="pct"/>
            <w:vMerge/>
            <w:vAlign w:val="center"/>
          </w:tcPr>
          <w:p w:rsidR="00973D4C" w:rsidRPr="00C2362F" w:rsidRDefault="00973D4C" w:rsidP="00536B44">
            <w:pPr>
              <w:pStyle w:val="naisf"/>
              <w:spacing w:before="0" w:after="0"/>
              <w:ind w:firstLine="0"/>
              <w:jc w:val="left"/>
              <w:rPr>
                <w:i/>
              </w:rPr>
            </w:pPr>
          </w:p>
        </w:tc>
        <w:tc>
          <w:tcPr>
            <w:tcW w:w="1129" w:type="pct"/>
            <w:gridSpan w:val="2"/>
            <w:vMerge/>
            <w:vAlign w:val="center"/>
          </w:tcPr>
          <w:p w:rsidR="00973D4C" w:rsidRPr="00C2362F" w:rsidRDefault="00973D4C" w:rsidP="00536B44">
            <w:pPr>
              <w:pStyle w:val="naisf"/>
              <w:spacing w:before="0" w:after="0"/>
              <w:ind w:firstLine="0"/>
              <w:jc w:val="center"/>
              <w:rPr>
                <w:i/>
              </w:rPr>
            </w:pPr>
          </w:p>
        </w:tc>
        <w:tc>
          <w:tcPr>
            <w:tcW w:w="618" w:type="pct"/>
            <w:vAlign w:val="center"/>
          </w:tcPr>
          <w:p w:rsidR="00973D4C" w:rsidRPr="00C2362F" w:rsidRDefault="00973D4C" w:rsidP="00836237">
            <w:pPr>
              <w:pStyle w:val="naisf"/>
              <w:spacing w:before="0" w:after="0"/>
              <w:ind w:firstLine="0"/>
              <w:jc w:val="center"/>
              <w:rPr>
                <w:i/>
              </w:rPr>
            </w:pPr>
            <w:r w:rsidRPr="00C2362F">
              <w:rPr>
                <w:bCs/>
              </w:rPr>
              <w:t>201</w:t>
            </w:r>
            <w:r w:rsidR="00836237" w:rsidRPr="00C2362F">
              <w:rPr>
                <w:bCs/>
              </w:rPr>
              <w:t>4</w:t>
            </w:r>
            <w:r w:rsidRPr="00C2362F">
              <w:rPr>
                <w:bCs/>
              </w:rPr>
              <w:t>.g.</w:t>
            </w:r>
          </w:p>
        </w:tc>
        <w:tc>
          <w:tcPr>
            <w:tcW w:w="650" w:type="pct"/>
            <w:vAlign w:val="center"/>
          </w:tcPr>
          <w:p w:rsidR="00973D4C" w:rsidRPr="00C2362F" w:rsidRDefault="00973D4C" w:rsidP="00836237">
            <w:pPr>
              <w:pStyle w:val="naisf"/>
              <w:spacing w:before="0" w:after="0"/>
              <w:ind w:firstLine="0"/>
              <w:jc w:val="center"/>
              <w:rPr>
                <w:i/>
              </w:rPr>
            </w:pPr>
            <w:r w:rsidRPr="00C2362F">
              <w:rPr>
                <w:bCs/>
              </w:rPr>
              <w:t>201</w:t>
            </w:r>
            <w:r w:rsidR="00836237" w:rsidRPr="00C2362F">
              <w:rPr>
                <w:bCs/>
              </w:rPr>
              <w:t>5</w:t>
            </w:r>
            <w:r w:rsidRPr="00C2362F">
              <w:rPr>
                <w:bCs/>
              </w:rPr>
              <w:t>.g.</w:t>
            </w:r>
          </w:p>
        </w:tc>
        <w:tc>
          <w:tcPr>
            <w:tcW w:w="808" w:type="pct"/>
            <w:vAlign w:val="center"/>
          </w:tcPr>
          <w:p w:rsidR="00973D4C" w:rsidRPr="00C2362F" w:rsidRDefault="00973D4C" w:rsidP="00836237">
            <w:pPr>
              <w:pStyle w:val="naisf"/>
              <w:spacing w:before="0" w:after="0"/>
              <w:ind w:firstLine="0"/>
              <w:jc w:val="center"/>
              <w:rPr>
                <w:i/>
              </w:rPr>
            </w:pPr>
            <w:r w:rsidRPr="00C2362F">
              <w:rPr>
                <w:bCs/>
              </w:rPr>
              <w:t>201</w:t>
            </w:r>
            <w:r w:rsidR="00836237" w:rsidRPr="00C2362F">
              <w:rPr>
                <w:bCs/>
              </w:rPr>
              <w:t>6</w:t>
            </w:r>
            <w:r w:rsidRPr="00C2362F">
              <w:rPr>
                <w:bCs/>
              </w:rPr>
              <w:t>.g.</w:t>
            </w:r>
          </w:p>
        </w:tc>
      </w:tr>
      <w:tr w:rsidR="00973D4C" w:rsidRPr="00C2362F" w:rsidTr="00F22DA3">
        <w:trPr>
          <w:jc w:val="center"/>
        </w:trPr>
        <w:tc>
          <w:tcPr>
            <w:tcW w:w="1795" w:type="pct"/>
            <w:vMerge/>
            <w:vAlign w:val="center"/>
          </w:tcPr>
          <w:p w:rsidR="00973D4C" w:rsidRPr="00C2362F" w:rsidRDefault="00973D4C" w:rsidP="00536B44">
            <w:pPr>
              <w:pStyle w:val="naisf"/>
              <w:spacing w:before="0" w:after="0"/>
              <w:ind w:firstLine="0"/>
              <w:jc w:val="left"/>
              <w:rPr>
                <w:i/>
              </w:rPr>
            </w:pPr>
          </w:p>
        </w:tc>
        <w:tc>
          <w:tcPr>
            <w:tcW w:w="494" w:type="pct"/>
            <w:vAlign w:val="center"/>
          </w:tcPr>
          <w:p w:rsidR="00973D4C" w:rsidRPr="00C2362F" w:rsidRDefault="00973D4C" w:rsidP="00536B44">
            <w:pPr>
              <w:pStyle w:val="naisf"/>
              <w:spacing w:before="0" w:after="0"/>
              <w:ind w:firstLine="0"/>
              <w:jc w:val="center"/>
              <w:rPr>
                <w:i/>
              </w:rPr>
            </w:pPr>
            <w:r w:rsidRPr="00C2362F">
              <w:t>Saskaņā ar valsts budžetu kārtējam gadam</w:t>
            </w:r>
          </w:p>
        </w:tc>
        <w:tc>
          <w:tcPr>
            <w:tcW w:w="635" w:type="pct"/>
            <w:vAlign w:val="center"/>
          </w:tcPr>
          <w:p w:rsidR="00973D4C" w:rsidRPr="00C2362F" w:rsidRDefault="00973D4C" w:rsidP="00536B44">
            <w:pPr>
              <w:pStyle w:val="naisf"/>
              <w:spacing w:before="0" w:after="0"/>
              <w:ind w:firstLine="0"/>
              <w:jc w:val="center"/>
              <w:rPr>
                <w:i/>
              </w:rPr>
            </w:pPr>
            <w:r w:rsidRPr="00C2362F">
              <w:t>Izmaiņas kārtējā gadā, salīdzinot ar budžetu kārtējam gadam</w:t>
            </w:r>
          </w:p>
        </w:tc>
        <w:tc>
          <w:tcPr>
            <w:tcW w:w="618" w:type="pct"/>
            <w:vAlign w:val="center"/>
          </w:tcPr>
          <w:p w:rsidR="00973D4C" w:rsidRPr="00C2362F" w:rsidRDefault="00973D4C" w:rsidP="00616AF9">
            <w:pPr>
              <w:pStyle w:val="naisf"/>
              <w:spacing w:before="0" w:after="0"/>
              <w:ind w:firstLine="0"/>
              <w:jc w:val="center"/>
              <w:rPr>
                <w:i/>
              </w:rPr>
            </w:pPr>
            <w:r w:rsidRPr="00C2362F">
              <w:t>Izmaiņas, salīdzinot ar kārtējo gadu</w:t>
            </w:r>
          </w:p>
        </w:tc>
        <w:tc>
          <w:tcPr>
            <w:tcW w:w="650" w:type="pct"/>
            <w:vAlign w:val="center"/>
          </w:tcPr>
          <w:p w:rsidR="00973D4C" w:rsidRPr="00C2362F" w:rsidRDefault="00973D4C" w:rsidP="00616AF9">
            <w:pPr>
              <w:pStyle w:val="naisf"/>
              <w:spacing w:before="0" w:after="0"/>
              <w:ind w:firstLine="0"/>
              <w:jc w:val="center"/>
              <w:rPr>
                <w:i/>
              </w:rPr>
            </w:pPr>
            <w:r w:rsidRPr="00C2362F">
              <w:t>Izmaiņas, salīdzinot ar kārtējo gadu</w:t>
            </w:r>
          </w:p>
        </w:tc>
        <w:tc>
          <w:tcPr>
            <w:tcW w:w="808" w:type="pct"/>
            <w:vAlign w:val="center"/>
          </w:tcPr>
          <w:p w:rsidR="00973D4C" w:rsidRPr="00C2362F" w:rsidRDefault="00973D4C" w:rsidP="00616AF9">
            <w:pPr>
              <w:pStyle w:val="naisf"/>
              <w:spacing w:before="0" w:after="0"/>
              <w:ind w:firstLine="0"/>
              <w:jc w:val="center"/>
              <w:rPr>
                <w:i/>
              </w:rPr>
            </w:pPr>
            <w:r w:rsidRPr="00C2362F">
              <w:t>Izmai</w:t>
            </w:r>
            <w:r w:rsidR="00816F44" w:rsidRPr="00C2362F">
              <w:t xml:space="preserve">ņas, salīdzinot ar kārtējo </w:t>
            </w:r>
            <w:r w:rsidRPr="00C2362F">
              <w:t>gadu</w:t>
            </w:r>
          </w:p>
        </w:tc>
      </w:tr>
      <w:tr w:rsidR="00973D4C" w:rsidRPr="00C2362F" w:rsidTr="00F22DA3">
        <w:trPr>
          <w:jc w:val="center"/>
        </w:trPr>
        <w:tc>
          <w:tcPr>
            <w:tcW w:w="1795" w:type="pct"/>
            <w:vAlign w:val="center"/>
          </w:tcPr>
          <w:p w:rsidR="00973D4C" w:rsidRPr="00C2362F" w:rsidRDefault="00973D4C" w:rsidP="00536B44">
            <w:pPr>
              <w:pStyle w:val="naisf"/>
              <w:spacing w:before="0" w:after="0"/>
              <w:ind w:firstLine="0"/>
              <w:jc w:val="center"/>
              <w:rPr>
                <w:bCs/>
              </w:rPr>
            </w:pPr>
            <w:r w:rsidRPr="00C2362F">
              <w:rPr>
                <w:bCs/>
              </w:rPr>
              <w:t>1</w:t>
            </w:r>
          </w:p>
        </w:tc>
        <w:tc>
          <w:tcPr>
            <w:tcW w:w="494" w:type="pct"/>
            <w:vAlign w:val="center"/>
          </w:tcPr>
          <w:p w:rsidR="00973D4C" w:rsidRPr="00C2362F" w:rsidRDefault="00973D4C" w:rsidP="00536B44">
            <w:pPr>
              <w:pStyle w:val="naisf"/>
              <w:spacing w:before="0" w:after="0"/>
              <w:ind w:firstLine="0"/>
              <w:jc w:val="center"/>
              <w:rPr>
                <w:bCs/>
              </w:rPr>
            </w:pPr>
            <w:r w:rsidRPr="00C2362F">
              <w:rPr>
                <w:bCs/>
              </w:rPr>
              <w:t>2</w:t>
            </w:r>
          </w:p>
        </w:tc>
        <w:tc>
          <w:tcPr>
            <w:tcW w:w="635" w:type="pct"/>
            <w:vAlign w:val="center"/>
          </w:tcPr>
          <w:p w:rsidR="00973D4C" w:rsidRPr="00C2362F" w:rsidRDefault="00973D4C" w:rsidP="00536B44">
            <w:pPr>
              <w:pStyle w:val="naisf"/>
              <w:spacing w:before="0" w:after="0"/>
              <w:ind w:firstLine="0"/>
              <w:jc w:val="center"/>
              <w:rPr>
                <w:bCs/>
              </w:rPr>
            </w:pPr>
            <w:r w:rsidRPr="00C2362F">
              <w:rPr>
                <w:bCs/>
              </w:rPr>
              <w:t>3</w:t>
            </w:r>
          </w:p>
        </w:tc>
        <w:tc>
          <w:tcPr>
            <w:tcW w:w="618" w:type="pct"/>
            <w:vAlign w:val="center"/>
          </w:tcPr>
          <w:p w:rsidR="00973D4C" w:rsidRPr="00C2362F" w:rsidRDefault="00973D4C" w:rsidP="00536B44">
            <w:pPr>
              <w:pStyle w:val="naisf"/>
              <w:spacing w:before="0" w:after="0"/>
              <w:ind w:firstLine="0"/>
              <w:jc w:val="center"/>
              <w:rPr>
                <w:bCs/>
              </w:rPr>
            </w:pPr>
            <w:r w:rsidRPr="00C2362F">
              <w:rPr>
                <w:bCs/>
              </w:rPr>
              <w:t>4</w:t>
            </w:r>
          </w:p>
        </w:tc>
        <w:tc>
          <w:tcPr>
            <w:tcW w:w="650" w:type="pct"/>
            <w:vAlign w:val="center"/>
          </w:tcPr>
          <w:p w:rsidR="00973D4C" w:rsidRPr="00C2362F" w:rsidRDefault="00973D4C" w:rsidP="00536B44">
            <w:pPr>
              <w:pStyle w:val="naisf"/>
              <w:spacing w:before="0" w:after="0"/>
              <w:ind w:firstLine="0"/>
              <w:jc w:val="center"/>
              <w:rPr>
                <w:bCs/>
              </w:rPr>
            </w:pPr>
            <w:r w:rsidRPr="00C2362F">
              <w:rPr>
                <w:bCs/>
              </w:rPr>
              <w:t>5</w:t>
            </w:r>
          </w:p>
        </w:tc>
        <w:tc>
          <w:tcPr>
            <w:tcW w:w="808" w:type="pct"/>
            <w:vAlign w:val="center"/>
          </w:tcPr>
          <w:p w:rsidR="00973D4C" w:rsidRPr="00C2362F" w:rsidRDefault="00973D4C" w:rsidP="00536B44">
            <w:pPr>
              <w:pStyle w:val="naisf"/>
              <w:spacing w:before="0" w:after="0"/>
              <w:ind w:firstLine="0"/>
              <w:jc w:val="center"/>
              <w:rPr>
                <w:bCs/>
              </w:rPr>
            </w:pPr>
            <w:r w:rsidRPr="00C2362F">
              <w:rPr>
                <w:bCs/>
              </w:rPr>
              <w:t>6</w:t>
            </w:r>
          </w:p>
        </w:tc>
      </w:tr>
      <w:tr w:rsidR="001B48D5" w:rsidRPr="00C2362F" w:rsidTr="00F22DA3">
        <w:trPr>
          <w:jc w:val="center"/>
        </w:trPr>
        <w:tc>
          <w:tcPr>
            <w:tcW w:w="1795" w:type="pct"/>
          </w:tcPr>
          <w:p w:rsidR="001B48D5" w:rsidRPr="00C2362F" w:rsidRDefault="001B48D5" w:rsidP="00A54DFF">
            <w:pPr>
              <w:pStyle w:val="naiskr"/>
              <w:spacing w:before="0" w:after="0"/>
            </w:pPr>
            <w:r w:rsidRPr="00C2362F">
              <w:t>1. Budžeta ieņēmumi:</w:t>
            </w:r>
          </w:p>
        </w:tc>
        <w:tc>
          <w:tcPr>
            <w:tcW w:w="494" w:type="pct"/>
          </w:tcPr>
          <w:p w:rsidR="001B48D5" w:rsidRPr="00C2362F" w:rsidRDefault="001B48D5" w:rsidP="001B48D5">
            <w:pPr>
              <w:pStyle w:val="naiskr"/>
              <w:spacing w:before="0" w:after="0"/>
              <w:jc w:val="center"/>
            </w:pPr>
            <w:r w:rsidRPr="00C2362F">
              <w:t>0</w:t>
            </w:r>
          </w:p>
        </w:tc>
        <w:tc>
          <w:tcPr>
            <w:tcW w:w="635" w:type="pct"/>
          </w:tcPr>
          <w:p w:rsidR="001B48D5" w:rsidRPr="00C2362F" w:rsidRDefault="001B48D5" w:rsidP="001B48D5">
            <w:pPr>
              <w:pStyle w:val="naiskr"/>
              <w:spacing w:before="0" w:after="0"/>
              <w:jc w:val="center"/>
            </w:pPr>
            <w:r w:rsidRPr="00C2362F">
              <w:t>0</w:t>
            </w:r>
          </w:p>
        </w:tc>
        <w:tc>
          <w:tcPr>
            <w:tcW w:w="618" w:type="pct"/>
          </w:tcPr>
          <w:p w:rsidR="001B48D5" w:rsidRPr="00C2362F" w:rsidRDefault="001B48D5" w:rsidP="001B48D5">
            <w:pPr>
              <w:pStyle w:val="naiskr"/>
              <w:spacing w:before="0" w:after="0"/>
              <w:jc w:val="center"/>
            </w:pPr>
            <w:r w:rsidRPr="00C2362F">
              <w:t>0</w:t>
            </w:r>
          </w:p>
        </w:tc>
        <w:tc>
          <w:tcPr>
            <w:tcW w:w="650" w:type="pct"/>
          </w:tcPr>
          <w:p w:rsidR="001B48D5" w:rsidRPr="00C2362F" w:rsidRDefault="001B48D5" w:rsidP="001B48D5">
            <w:pPr>
              <w:pStyle w:val="naiskr"/>
              <w:spacing w:before="0" w:after="0"/>
              <w:jc w:val="center"/>
            </w:pPr>
            <w:r w:rsidRPr="00C2362F">
              <w:t>0</w:t>
            </w:r>
          </w:p>
        </w:tc>
        <w:tc>
          <w:tcPr>
            <w:tcW w:w="808" w:type="pct"/>
          </w:tcPr>
          <w:p w:rsidR="001B48D5" w:rsidRPr="00C2362F" w:rsidRDefault="00480B62" w:rsidP="00D7748F">
            <w:pPr>
              <w:pStyle w:val="naiskr"/>
              <w:spacing w:before="0" w:after="0"/>
              <w:jc w:val="center"/>
            </w:pPr>
            <w:r w:rsidRPr="00C2362F">
              <w:t>0</w:t>
            </w:r>
          </w:p>
        </w:tc>
      </w:tr>
      <w:tr w:rsidR="001B48D5" w:rsidRPr="00C2362F" w:rsidTr="00F22DA3">
        <w:trPr>
          <w:jc w:val="center"/>
        </w:trPr>
        <w:tc>
          <w:tcPr>
            <w:tcW w:w="1795" w:type="pct"/>
          </w:tcPr>
          <w:p w:rsidR="001B48D5" w:rsidRPr="00C2362F" w:rsidRDefault="001B48D5" w:rsidP="00C85EDE">
            <w:pPr>
              <w:pStyle w:val="naiskr"/>
              <w:spacing w:before="0" w:after="0"/>
            </w:pPr>
            <w:r w:rsidRPr="00C2362F">
              <w:t>1.1. valsts pamatbudžets, tai skaitā ieņēmumi no maksas pakalpojumiem un citi pašu ieņēmumi</w:t>
            </w:r>
          </w:p>
        </w:tc>
        <w:tc>
          <w:tcPr>
            <w:tcW w:w="494" w:type="pct"/>
          </w:tcPr>
          <w:p w:rsidR="001B48D5" w:rsidRPr="00C2362F" w:rsidRDefault="001B48D5" w:rsidP="001B48D5">
            <w:pPr>
              <w:pStyle w:val="naiskr"/>
              <w:spacing w:before="0" w:after="0"/>
              <w:jc w:val="center"/>
            </w:pPr>
            <w:r w:rsidRPr="00C2362F">
              <w:t>0</w:t>
            </w:r>
          </w:p>
        </w:tc>
        <w:tc>
          <w:tcPr>
            <w:tcW w:w="635" w:type="pct"/>
          </w:tcPr>
          <w:p w:rsidR="001B48D5" w:rsidRPr="00C2362F" w:rsidRDefault="001B48D5" w:rsidP="001B48D5">
            <w:pPr>
              <w:pStyle w:val="naiskr"/>
              <w:spacing w:before="0" w:after="0"/>
              <w:jc w:val="center"/>
            </w:pPr>
            <w:r w:rsidRPr="00C2362F">
              <w:t>0</w:t>
            </w:r>
          </w:p>
        </w:tc>
        <w:tc>
          <w:tcPr>
            <w:tcW w:w="618" w:type="pct"/>
            <w:vAlign w:val="center"/>
          </w:tcPr>
          <w:p w:rsidR="001B48D5" w:rsidRPr="00C2362F" w:rsidRDefault="001B48D5" w:rsidP="001B48D5">
            <w:pPr>
              <w:pStyle w:val="naiskr"/>
              <w:spacing w:before="0" w:after="0"/>
              <w:jc w:val="center"/>
            </w:pPr>
            <w:r w:rsidRPr="00C2362F">
              <w:t>0</w:t>
            </w:r>
          </w:p>
        </w:tc>
        <w:tc>
          <w:tcPr>
            <w:tcW w:w="650" w:type="pct"/>
            <w:vAlign w:val="center"/>
          </w:tcPr>
          <w:p w:rsidR="001B48D5" w:rsidRPr="00C2362F" w:rsidRDefault="001B48D5" w:rsidP="001B48D5">
            <w:pPr>
              <w:pStyle w:val="naiskr"/>
              <w:spacing w:before="0" w:after="0"/>
              <w:jc w:val="center"/>
            </w:pPr>
            <w:r w:rsidRPr="00C2362F">
              <w:t>0</w:t>
            </w:r>
          </w:p>
        </w:tc>
        <w:tc>
          <w:tcPr>
            <w:tcW w:w="808" w:type="pct"/>
            <w:vAlign w:val="center"/>
          </w:tcPr>
          <w:p w:rsidR="001B48D5" w:rsidRPr="00C2362F" w:rsidRDefault="00480B62" w:rsidP="00D7748F">
            <w:pPr>
              <w:pStyle w:val="naiskr"/>
              <w:spacing w:before="0" w:after="0"/>
              <w:jc w:val="center"/>
            </w:pPr>
            <w:r w:rsidRPr="00C2362F">
              <w:t>0</w:t>
            </w:r>
          </w:p>
        </w:tc>
      </w:tr>
      <w:tr w:rsidR="001B48D5" w:rsidRPr="00C2362F" w:rsidTr="00F22DA3">
        <w:trPr>
          <w:trHeight w:val="445"/>
          <w:jc w:val="center"/>
        </w:trPr>
        <w:tc>
          <w:tcPr>
            <w:tcW w:w="1795" w:type="pct"/>
          </w:tcPr>
          <w:p w:rsidR="001B48D5" w:rsidRPr="00C2362F" w:rsidRDefault="001B48D5" w:rsidP="00A54DFF">
            <w:pPr>
              <w:pStyle w:val="naiskr"/>
              <w:spacing w:before="0" w:after="0"/>
            </w:pPr>
            <w:r w:rsidRPr="00C2362F">
              <w:t>1.2. valsts speciālais budžets</w:t>
            </w:r>
          </w:p>
        </w:tc>
        <w:tc>
          <w:tcPr>
            <w:tcW w:w="494" w:type="pct"/>
          </w:tcPr>
          <w:p w:rsidR="001B48D5" w:rsidRPr="00C2362F" w:rsidRDefault="001B48D5" w:rsidP="001B48D5">
            <w:pPr>
              <w:pStyle w:val="naiskr"/>
              <w:spacing w:before="0" w:after="0"/>
              <w:jc w:val="center"/>
            </w:pPr>
            <w:r w:rsidRPr="00C2362F">
              <w:t>0</w:t>
            </w:r>
          </w:p>
        </w:tc>
        <w:tc>
          <w:tcPr>
            <w:tcW w:w="635" w:type="pct"/>
          </w:tcPr>
          <w:p w:rsidR="001B48D5" w:rsidRPr="00C2362F" w:rsidRDefault="001B48D5" w:rsidP="001B48D5">
            <w:pPr>
              <w:pStyle w:val="naiskr"/>
              <w:spacing w:before="0" w:after="0"/>
              <w:jc w:val="center"/>
            </w:pPr>
            <w:r w:rsidRPr="00C2362F">
              <w:t>0</w:t>
            </w:r>
          </w:p>
        </w:tc>
        <w:tc>
          <w:tcPr>
            <w:tcW w:w="618" w:type="pct"/>
            <w:vAlign w:val="center"/>
          </w:tcPr>
          <w:p w:rsidR="001B48D5" w:rsidRPr="00C2362F" w:rsidRDefault="001B48D5" w:rsidP="001B48D5">
            <w:pPr>
              <w:pStyle w:val="naiskr"/>
              <w:spacing w:before="0" w:after="0"/>
              <w:jc w:val="center"/>
            </w:pPr>
            <w:r w:rsidRPr="00C2362F">
              <w:t>0</w:t>
            </w:r>
          </w:p>
        </w:tc>
        <w:tc>
          <w:tcPr>
            <w:tcW w:w="650" w:type="pct"/>
            <w:vAlign w:val="center"/>
          </w:tcPr>
          <w:p w:rsidR="001B48D5" w:rsidRPr="00C2362F" w:rsidRDefault="001B48D5" w:rsidP="001B48D5">
            <w:pPr>
              <w:pStyle w:val="naiskr"/>
              <w:spacing w:before="0" w:after="0"/>
              <w:jc w:val="center"/>
            </w:pPr>
            <w:r w:rsidRPr="00C2362F">
              <w:t>0</w:t>
            </w:r>
          </w:p>
        </w:tc>
        <w:tc>
          <w:tcPr>
            <w:tcW w:w="808" w:type="pct"/>
            <w:vAlign w:val="center"/>
          </w:tcPr>
          <w:p w:rsidR="001B48D5" w:rsidRPr="00C2362F" w:rsidRDefault="001B48D5" w:rsidP="00D7748F">
            <w:pPr>
              <w:pStyle w:val="naiskr"/>
              <w:spacing w:before="0" w:after="0"/>
              <w:jc w:val="center"/>
            </w:pPr>
            <w:r w:rsidRPr="00C2362F">
              <w:t>0</w:t>
            </w:r>
          </w:p>
        </w:tc>
      </w:tr>
      <w:tr w:rsidR="001B48D5" w:rsidRPr="00C2362F" w:rsidTr="00F22DA3">
        <w:trPr>
          <w:jc w:val="center"/>
        </w:trPr>
        <w:tc>
          <w:tcPr>
            <w:tcW w:w="1795" w:type="pct"/>
          </w:tcPr>
          <w:p w:rsidR="001B48D5" w:rsidRPr="00C2362F" w:rsidRDefault="001B48D5" w:rsidP="00A54DFF">
            <w:pPr>
              <w:pStyle w:val="naiskr"/>
              <w:spacing w:before="0" w:after="0"/>
            </w:pPr>
            <w:r w:rsidRPr="00C2362F">
              <w:t>1.3. pašvaldību budžets</w:t>
            </w:r>
          </w:p>
        </w:tc>
        <w:tc>
          <w:tcPr>
            <w:tcW w:w="494" w:type="pct"/>
          </w:tcPr>
          <w:p w:rsidR="001B48D5" w:rsidRPr="00C2362F" w:rsidRDefault="001B48D5" w:rsidP="001B48D5">
            <w:pPr>
              <w:pStyle w:val="naiskr"/>
              <w:spacing w:before="0" w:after="0"/>
              <w:jc w:val="center"/>
            </w:pPr>
            <w:r w:rsidRPr="00C2362F">
              <w:t>0</w:t>
            </w:r>
          </w:p>
        </w:tc>
        <w:tc>
          <w:tcPr>
            <w:tcW w:w="635" w:type="pct"/>
          </w:tcPr>
          <w:p w:rsidR="001B48D5" w:rsidRPr="00C2362F" w:rsidRDefault="001B48D5" w:rsidP="001B48D5">
            <w:pPr>
              <w:pStyle w:val="naiskr"/>
              <w:spacing w:before="0" w:after="0"/>
              <w:jc w:val="center"/>
            </w:pPr>
            <w:r w:rsidRPr="00C2362F">
              <w:t>0</w:t>
            </w:r>
          </w:p>
        </w:tc>
        <w:tc>
          <w:tcPr>
            <w:tcW w:w="618" w:type="pct"/>
            <w:vAlign w:val="center"/>
          </w:tcPr>
          <w:p w:rsidR="001B48D5" w:rsidRPr="00C2362F" w:rsidRDefault="001B48D5" w:rsidP="001B48D5">
            <w:pPr>
              <w:pStyle w:val="naiskr"/>
              <w:spacing w:before="0" w:after="0"/>
              <w:jc w:val="center"/>
            </w:pPr>
            <w:r w:rsidRPr="00C2362F">
              <w:t>0</w:t>
            </w:r>
          </w:p>
        </w:tc>
        <w:tc>
          <w:tcPr>
            <w:tcW w:w="650" w:type="pct"/>
            <w:vAlign w:val="center"/>
          </w:tcPr>
          <w:p w:rsidR="001B48D5" w:rsidRPr="00C2362F" w:rsidRDefault="001B48D5" w:rsidP="001B48D5">
            <w:pPr>
              <w:pStyle w:val="naiskr"/>
              <w:spacing w:before="0" w:after="0"/>
              <w:jc w:val="center"/>
            </w:pPr>
            <w:r w:rsidRPr="00C2362F">
              <w:t>0</w:t>
            </w:r>
          </w:p>
        </w:tc>
        <w:tc>
          <w:tcPr>
            <w:tcW w:w="808" w:type="pct"/>
            <w:vAlign w:val="center"/>
          </w:tcPr>
          <w:p w:rsidR="001B48D5" w:rsidRPr="00C2362F" w:rsidRDefault="001B48D5" w:rsidP="00D7748F">
            <w:pPr>
              <w:pStyle w:val="naiskr"/>
              <w:spacing w:before="0" w:after="0"/>
              <w:jc w:val="center"/>
            </w:pPr>
            <w:r w:rsidRPr="00C2362F">
              <w:t>0</w:t>
            </w:r>
          </w:p>
        </w:tc>
      </w:tr>
      <w:tr w:rsidR="00B051E9" w:rsidRPr="00C2362F" w:rsidTr="00F22DA3">
        <w:trPr>
          <w:jc w:val="center"/>
        </w:trPr>
        <w:tc>
          <w:tcPr>
            <w:tcW w:w="1795" w:type="pct"/>
          </w:tcPr>
          <w:p w:rsidR="00B051E9" w:rsidRPr="00C2362F" w:rsidRDefault="00B051E9" w:rsidP="00A54DFF">
            <w:pPr>
              <w:pStyle w:val="naiskr"/>
              <w:spacing w:before="0" w:after="0"/>
            </w:pPr>
            <w:r w:rsidRPr="00C2362F">
              <w:t>2. Budžeta izdevumi:</w:t>
            </w:r>
          </w:p>
        </w:tc>
        <w:tc>
          <w:tcPr>
            <w:tcW w:w="494" w:type="pct"/>
          </w:tcPr>
          <w:p w:rsidR="00B051E9" w:rsidRPr="00C2362F" w:rsidRDefault="00B051E9" w:rsidP="001B48D5">
            <w:pPr>
              <w:pStyle w:val="naiskr"/>
              <w:spacing w:before="0" w:after="0"/>
              <w:jc w:val="center"/>
            </w:pPr>
            <w:r w:rsidRPr="00C2362F">
              <w:t>0</w:t>
            </w:r>
          </w:p>
        </w:tc>
        <w:tc>
          <w:tcPr>
            <w:tcW w:w="635" w:type="pct"/>
          </w:tcPr>
          <w:p w:rsidR="00B051E9" w:rsidRPr="00C2362F" w:rsidRDefault="00B051E9" w:rsidP="001B48D5">
            <w:pPr>
              <w:pStyle w:val="naiskr"/>
              <w:spacing w:before="0" w:after="0"/>
              <w:jc w:val="center"/>
            </w:pPr>
            <w:r w:rsidRPr="00C2362F">
              <w:t>0</w:t>
            </w:r>
          </w:p>
        </w:tc>
        <w:tc>
          <w:tcPr>
            <w:tcW w:w="618" w:type="pct"/>
          </w:tcPr>
          <w:p w:rsidR="00B051E9" w:rsidRPr="00C2362F" w:rsidRDefault="006A2A0A" w:rsidP="000363FB">
            <w:pPr>
              <w:pStyle w:val="naiskr"/>
              <w:spacing w:before="0" w:after="0"/>
              <w:jc w:val="center"/>
            </w:pPr>
            <w:r w:rsidRPr="00C2362F">
              <w:t>0</w:t>
            </w:r>
          </w:p>
        </w:tc>
        <w:tc>
          <w:tcPr>
            <w:tcW w:w="650" w:type="pct"/>
          </w:tcPr>
          <w:p w:rsidR="00B051E9" w:rsidRPr="00C2362F" w:rsidRDefault="006A2A0A" w:rsidP="000363FB">
            <w:pPr>
              <w:pStyle w:val="naiskr"/>
              <w:spacing w:before="0" w:after="0"/>
              <w:jc w:val="center"/>
            </w:pPr>
            <w:r w:rsidRPr="00C2362F">
              <w:t>0</w:t>
            </w:r>
          </w:p>
        </w:tc>
        <w:tc>
          <w:tcPr>
            <w:tcW w:w="808" w:type="pct"/>
          </w:tcPr>
          <w:p w:rsidR="00B051E9" w:rsidRPr="00C2362F" w:rsidRDefault="006A2A0A" w:rsidP="000363FB">
            <w:pPr>
              <w:pStyle w:val="naiskr"/>
              <w:spacing w:before="0" w:after="0"/>
              <w:jc w:val="center"/>
            </w:pPr>
            <w:r w:rsidRPr="00C2362F">
              <w:t>110,5</w:t>
            </w:r>
          </w:p>
        </w:tc>
      </w:tr>
      <w:tr w:rsidR="00B051E9" w:rsidRPr="00C2362F" w:rsidTr="00F22DA3">
        <w:trPr>
          <w:trHeight w:val="195"/>
          <w:jc w:val="center"/>
        </w:trPr>
        <w:tc>
          <w:tcPr>
            <w:tcW w:w="1795" w:type="pct"/>
          </w:tcPr>
          <w:p w:rsidR="00B051E9" w:rsidRPr="00C2362F" w:rsidRDefault="00B051E9" w:rsidP="00A54DFF">
            <w:pPr>
              <w:pStyle w:val="naiskr"/>
              <w:spacing w:before="0" w:after="0"/>
            </w:pPr>
            <w:r w:rsidRPr="00C2362F">
              <w:t>2.1. valsts pamatbudžets</w:t>
            </w:r>
          </w:p>
        </w:tc>
        <w:tc>
          <w:tcPr>
            <w:tcW w:w="494" w:type="pct"/>
          </w:tcPr>
          <w:p w:rsidR="00B051E9" w:rsidRPr="00C2362F" w:rsidRDefault="00B051E9" w:rsidP="001B48D5">
            <w:pPr>
              <w:pStyle w:val="naiskr"/>
              <w:spacing w:before="0" w:after="0"/>
              <w:jc w:val="center"/>
            </w:pPr>
            <w:r w:rsidRPr="00C2362F">
              <w:t>0</w:t>
            </w:r>
          </w:p>
        </w:tc>
        <w:tc>
          <w:tcPr>
            <w:tcW w:w="635" w:type="pct"/>
          </w:tcPr>
          <w:p w:rsidR="00B051E9" w:rsidRPr="00C2362F" w:rsidRDefault="00B051E9" w:rsidP="001B48D5">
            <w:pPr>
              <w:pStyle w:val="naiskr"/>
              <w:spacing w:before="0" w:after="0"/>
              <w:jc w:val="center"/>
            </w:pPr>
            <w:r w:rsidRPr="00C2362F">
              <w:t>0</w:t>
            </w:r>
          </w:p>
        </w:tc>
        <w:tc>
          <w:tcPr>
            <w:tcW w:w="618" w:type="pct"/>
          </w:tcPr>
          <w:p w:rsidR="00B051E9" w:rsidRPr="00C2362F" w:rsidRDefault="006A2A0A" w:rsidP="000363FB">
            <w:pPr>
              <w:pStyle w:val="naiskr"/>
              <w:spacing w:before="0" w:after="0"/>
              <w:jc w:val="center"/>
            </w:pPr>
            <w:r w:rsidRPr="00C2362F">
              <w:t>0</w:t>
            </w:r>
          </w:p>
        </w:tc>
        <w:tc>
          <w:tcPr>
            <w:tcW w:w="650" w:type="pct"/>
          </w:tcPr>
          <w:p w:rsidR="00B051E9" w:rsidRPr="00C2362F" w:rsidRDefault="006A2A0A" w:rsidP="000363FB">
            <w:pPr>
              <w:pStyle w:val="naiskr"/>
              <w:spacing w:before="0" w:after="0"/>
              <w:jc w:val="center"/>
            </w:pPr>
            <w:r w:rsidRPr="00C2362F">
              <w:t>0</w:t>
            </w:r>
          </w:p>
        </w:tc>
        <w:tc>
          <w:tcPr>
            <w:tcW w:w="808" w:type="pct"/>
          </w:tcPr>
          <w:p w:rsidR="00B051E9" w:rsidRPr="00C2362F" w:rsidRDefault="006A2A0A" w:rsidP="000363FB">
            <w:pPr>
              <w:pStyle w:val="naiskr"/>
              <w:spacing w:before="0" w:after="0"/>
              <w:jc w:val="center"/>
            </w:pPr>
            <w:r w:rsidRPr="00C2362F">
              <w:t>110,5</w:t>
            </w:r>
          </w:p>
        </w:tc>
      </w:tr>
      <w:tr w:rsidR="00973D4C" w:rsidRPr="00C2362F" w:rsidTr="00F22DA3">
        <w:trPr>
          <w:jc w:val="center"/>
        </w:trPr>
        <w:tc>
          <w:tcPr>
            <w:tcW w:w="1795" w:type="pct"/>
          </w:tcPr>
          <w:p w:rsidR="00973D4C" w:rsidRPr="00C2362F" w:rsidRDefault="00973D4C" w:rsidP="00A54DFF">
            <w:pPr>
              <w:pStyle w:val="naiskr"/>
              <w:spacing w:before="0" w:after="0"/>
            </w:pPr>
            <w:r w:rsidRPr="00C2362F">
              <w:t>2.2. valsts speciālais budžets</w:t>
            </w:r>
          </w:p>
        </w:tc>
        <w:tc>
          <w:tcPr>
            <w:tcW w:w="494" w:type="pct"/>
            <w:vAlign w:val="center"/>
          </w:tcPr>
          <w:p w:rsidR="00973D4C" w:rsidRPr="00C2362F" w:rsidRDefault="00973D4C" w:rsidP="001B48D5">
            <w:pPr>
              <w:pStyle w:val="naiskr"/>
              <w:spacing w:before="0" w:after="0"/>
              <w:jc w:val="center"/>
            </w:pPr>
            <w:r w:rsidRPr="00C2362F">
              <w:t>0</w:t>
            </w:r>
          </w:p>
        </w:tc>
        <w:tc>
          <w:tcPr>
            <w:tcW w:w="635" w:type="pct"/>
            <w:vAlign w:val="center"/>
          </w:tcPr>
          <w:p w:rsidR="00973D4C" w:rsidRPr="00C2362F" w:rsidRDefault="00973D4C" w:rsidP="001B48D5">
            <w:pPr>
              <w:pStyle w:val="naiskr"/>
              <w:spacing w:before="0" w:after="0"/>
              <w:jc w:val="center"/>
            </w:pPr>
            <w:r w:rsidRPr="00C2362F">
              <w:t>0</w:t>
            </w:r>
          </w:p>
        </w:tc>
        <w:tc>
          <w:tcPr>
            <w:tcW w:w="618" w:type="pct"/>
            <w:vAlign w:val="center"/>
          </w:tcPr>
          <w:p w:rsidR="00973D4C" w:rsidRPr="00C2362F" w:rsidRDefault="00973D4C" w:rsidP="001B48D5">
            <w:pPr>
              <w:pStyle w:val="naiskr"/>
              <w:spacing w:before="0" w:after="0"/>
              <w:jc w:val="center"/>
            </w:pPr>
            <w:r w:rsidRPr="00C2362F">
              <w:t>0</w:t>
            </w:r>
          </w:p>
        </w:tc>
        <w:tc>
          <w:tcPr>
            <w:tcW w:w="650" w:type="pct"/>
            <w:vAlign w:val="center"/>
          </w:tcPr>
          <w:p w:rsidR="00973D4C" w:rsidRPr="00C2362F" w:rsidRDefault="00973D4C" w:rsidP="00D7748F">
            <w:pPr>
              <w:pStyle w:val="naiskr"/>
              <w:spacing w:before="0" w:after="0"/>
              <w:jc w:val="center"/>
            </w:pPr>
            <w:r w:rsidRPr="00C2362F">
              <w:t>0</w:t>
            </w:r>
          </w:p>
        </w:tc>
        <w:tc>
          <w:tcPr>
            <w:tcW w:w="808" w:type="pct"/>
            <w:vAlign w:val="center"/>
          </w:tcPr>
          <w:p w:rsidR="00973D4C" w:rsidRPr="00C2362F" w:rsidRDefault="00973D4C" w:rsidP="00D7748F">
            <w:pPr>
              <w:pStyle w:val="naiskr"/>
              <w:spacing w:before="0" w:after="0"/>
              <w:jc w:val="center"/>
            </w:pPr>
            <w:r w:rsidRPr="00C2362F">
              <w:t>0</w:t>
            </w:r>
          </w:p>
        </w:tc>
      </w:tr>
      <w:tr w:rsidR="00973D4C" w:rsidRPr="00C2362F" w:rsidTr="00F22DA3">
        <w:trPr>
          <w:jc w:val="center"/>
        </w:trPr>
        <w:tc>
          <w:tcPr>
            <w:tcW w:w="1795" w:type="pct"/>
          </w:tcPr>
          <w:p w:rsidR="00973D4C" w:rsidRPr="00C2362F" w:rsidRDefault="00973D4C" w:rsidP="00A54DFF">
            <w:pPr>
              <w:pStyle w:val="naiskr"/>
              <w:spacing w:before="0" w:after="0"/>
            </w:pPr>
            <w:r w:rsidRPr="00C2362F">
              <w:t xml:space="preserve">2.3. pašvaldību budžets </w:t>
            </w:r>
          </w:p>
        </w:tc>
        <w:tc>
          <w:tcPr>
            <w:tcW w:w="494" w:type="pct"/>
            <w:vAlign w:val="center"/>
          </w:tcPr>
          <w:p w:rsidR="00973D4C" w:rsidRPr="00C2362F" w:rsidRDefault="00973D4C" w:rsidP="00536B44">
            <w:pPr>
              <w:pStyle w:val="naisf"/>
              <w:spacing w:before="0" w:after="0"/>
              <w:ind w:firstLine="0"/>
              <w:jc w:val="center"/>
              <w:rPr>
                <w:b/>
              </w:rPr>
            </w:pPr>
            <w:r w:rsidRPr="00C2362F">
              <w:t>0</w:t>
            </w:r>
          </w:p>
        </w:tc>
        <w:tc>
          <w:tcPr>
            <w:tcW w:w="635" w:type="pct"/>
            <w:vAlign w:val="center"/>
          </w:tcPr>
          <w:p w:rsidR="00973D4C" w:rsidRPr="00C2362F" w:rsidRDefault="00973D4C" w:rsidP="00536B44">
            <w:pPr>
              <w:pStyle w:val="naisf"/>
              <w:spacing w:before="0" w:after="0"/>
              <w:ind w:firstLine="0"/>
              <w:jc w:val="center"/>
              <w:rPr>
                <w:b/>
              </w:rPr>
            </w:pPr>
            <w:r w:rsidRPr="00C2362F">
              <w:t>0</w:t>
            </w:r>
          </w:p>
        </w:tc>
        <w:tc>
          <w:tcPr>
            <w:tcW w:w="618" w:type="pct"/>
            <w:vAlign w:val="center"/>
          </w:tcPr>
          <w:p w:rsidR="00973D4C" w:rsidRPr="00C2362F" w:rsidRDefault="00973D4C" w:rsidP="00536B44">
            <w:pPr>
              <w:pStyle w:val="naisf"/>
              <w:spacing w:before="0" w:after="0"/>
              <w:ind w:firstLine="0"/>
              <w:jc w:val="center"/>
              <w:rPr>
                <w:b/>
              </w:rPr>
            </w:pPr>
            <w:r w:rsidRPr="00C2362F">
              <w:t>0</w:t>
            </w:r>
          </w:p>
        </w:tc>
        <w:tc>
          <w:tcPr>
            <w:tcW w:w="650" w:type="pct"/>
            <w:vAlign w:val="center"/>
          </w:tcPr>
          <w:p w:rsidR="00973D4C" w:rsidRPr="00C2362F" w:rsidRDefault="00973D4C" w:rsidP="00536B44">
            <w:pPr>
              <w:pStyle w:val="naisf"/>
              <w:spacing w:before="0" w:after="0"/>
              <w:ind w:firstLine="0"/>
              <w:jc w:val="center"/>
              <w:rPr>
                <w:b/>
              </w:rPr>
            </w:pPr>
            <w:r w:rsidRPr="00C2362F">
              <w:t>0</w:t>
            </w:r>
          </w:p>
        </w:tc>
        <w:tc>
          <w:tcPr>
            <w:tcW w:w="808" w:type="pct"/>
            <w:vAlign w:val="center"/>
          </w:tcPr>
          <w:p w:rsidR="00973D4C" w:rsidRPr="00C2362F" w:rsidRDefault="00973D4C" w:rsidP="00536B44">
            <w:pPr>
              <w:pStyle w:val="naisf"/>
              <w:spacing w:before="0" w:after="0"/>
              <w:ind w:firstLine="0"/>
              <w:jc w:val="center"/>
              <w:rPr>
                <w:b/>
              </w:rPr>
            </w:pPr>
            <w:r w:rsidRPr="00C2362F">
              <w:t>0</w:t>
            </w:r>
          </w:p>
        </w:tc>
      </w:tr>
      <w:tr w:rsidR="00D60657" w:rsidRPr="00C2362F" w:rsidTr="00F22DA3">
        <w:trPr>
          <w:jc w:val="center"/>
        </w:trPr>
        <w:tc>
          <w:tcPr>
            <w:tcW w:w="1795" w:type="pct"/>
          </w:tcPr>
          <w:p w:rsidR="00D60657" w:rsidRPr="00C2362F" w:rsidRDefault="00D60657" w:rsidP="00A54DFF">
            <w:pPr>
              <w:pStyle w:val="naiskr"/>
              <w:spacing w:before="0" w:after="0"/>
            </w:pPr>
            <w:r w:rsidRPr="00C2362F">
              <w:t>3. Finansiālā ietekme:</w:t>
            </w:r>
          </w:p>
        </w:tc>
        <w:tc>
          <w:tcPr>
            <w:tcW w:w="494" w:type="pct"/>
            <w:shd w:val="clear" w:color="auto" w:fill="auto"/>
            <w:vAlign w:val="center"/>
          </w:tcPr>
          <w:p w:rsidR="00D60657" w:rsidRPr="00C2362F" w:rsidRDefault="00D60657" w:rsidP="00536B44">
            <w:pPr>
              <w:pStyle w:val="naisf"/>
              <w:spacing w:before="0" w:after="0"/>
              <w:ind w:firstLine="0"/>
              <w:jc w:val="center"/>
            </w:pPr>
            <w:r w:rsidRPr="00C2362F">
              <w:t>0</w:t>
            </w:r>
          </w:p>
        </w:tc>
        <w:tc>
          <w:tcPr>
            <w:tcW w:w="635" w:type="pct"/>
            <w:vAlign w:val="center"/>
          </w:tcPr>
          <w:p w:rsidR="00D60657" w:rsidRPr="00C2362F" w:rsidRDefault="00D60657" w:rsidP="00CB166B">
            <w:pPr>
              <w:pStyle w:val="naisf"/>
              <w:spacing w:before="0" w:after="0"/>
              <w:ind w:firstLine="0"/>
              <w:jc w:val="center"/>
            </w:pPr>
            <w:r w:rsidRPr="00C2362F">
              <w:t>0</w:t>
            </w:r>
          </w:p>
        </w:tc>
        <w:tc>
          <w:tcPr>
            <w:tcW w:w="618" w:type="pct"/>
            <w:vAlign w:val="center"/>
          </w:tcPr>
          <w:p w:rsidR="00D60657" w:rsidRPr="00C2362F" w:rsidRDefault="006A2A0A" w:rsidP="000363FB">
            <w:pPr>
              <w:pStyle w:val="naisf"/>
              <w:spacing w:before="0" w:after="0"/>
              <w:ind w:firstLine="0"/>
              <w:jc w:val="center"/>
            </w:pPr>
            <w:r w:rsidRPr="00C2362F">
              <w:t>0</w:t>
            </w:r>
          </w:p>
        </w:tc>
        <w:tc>
          <w:tcPr>
            <w:tcW w:w="650" w:type="pct"/>
            <w:vAlign w:val="center"/>
          </w:tcPr>
          <w:p w:rsidR="00D60657" w:rsidRPr="00C2362F" w:rsidRDefault="006A2A0A" w:rsidP="000363FB">
            <w:pPr>
              <w:pStyle w:val="naisf"/>
              <w:spacing w:before="0" w:after="0"/>
              <w:ind w:firstLine="0"/>
              <w:jc w:val="center"/>
            </w:pPr>
            <w:r w:rsidRPr="00C2362F">
              <w:t>0</w:t>
            </w:r>
          </w:p>
        </w:tc>
        <w:tc>
          <w:tcPr>
            <w:tcW w:w="808" w:type="pct"/>
            <w:vAlign w:val="center"/>
          </w:tcPr>
          <w:p w:rsidR="00D60657" w:rsidRPr="00C2362F" w:rsidRDefault="00D60657" w:rsidP="006A2A0A">
            <w:pPr>
              <w:pStyle w:val="naisf"/>
              <w:spacing w:before="0" w:after="0"/>
              <w:ind w:firstLine="0"/>
              <w:jc w:val="center"/>
            </w:pPr>
            <w:r w:rsidRPr="00C2362F">
              <w:t>-</w:t>
            </w:r>
            <w:r w:rsidR="006A2A0A" w:rsidRPr="00C2362F">
              <w:t>110,5</w:t>
            </w:r>
          </w:p>
        </w:tc>
      </w:tr>
      <w:tr w:rsidR="00D60657" w:rsidRPr="00C2362F" w:rsidTr="00F22DA3">
        <w:trPr>
          <w:jc w:val="center"/>
        </w:trPr>
        <w:tc>
          <w:tcPr>
            <w:tcW w:w="1795" w:type="pct"/>
          </w:tcPr>
          <w:p w:rsidR="00D60657" w:rsidRPr="00C2362F" w:rsidRDefault="00D60657" w:rsidP="00A54DFF">
            <w:pPr>
              <w:pStyle w:val="naiskr"/>
              <w:spacing w:before="0" w:after="0"/>
            </w:pPr>
            <w:r w:rsidRPr="00C2362F">
              <w:t>3.1. valsts pamatbudžets</w:t>
            </w:r>
          </w:p>
        </w:tc>
        <w:tc>
          <w:tcPr>
            <w:tcW w:w="494" w:type="pct"/>
            <w:shd w:val="clear" w:color="auto" w:fill="auto"/>
            <w:vAlign w:val="center"/>
          </w:tcPr>
          <w:p w:rsidR="00D60657" w:rsidRPr="00C2362F" w:rsidRDefault="00D60657" w:rsidP="00536B44">
            <w:pPr>
              <w:pStyle w:val="naisf"/>
              <w:spacing w:before="0" w:after="0"/>
              <w:ind w:firstLine="0"/>
              <w:jc w:val="center"/>
            </w:pPr>
            <w:r w:rsidRPr="00C2362F">
              <w:t>0</w:t>
            </w:r>
          </w:p>
        </w:tc>
        <w:tc>
          <w:tcPr>
            <w:tcW w:w="635" w:type="pct"/>
            <w:vAlign w:val="center"/>
          </w:tcPr>
          <w:p w:rsidR="00D60657" w:rsidRPr="00C2362F" w:rsidRDefault="00D60657" w:rsidP="00536B44">
            <w:pPr>
              <w:pStyle w:val="naisf"/>
              <w:spacing w:before="0" w:after="0"/>
              <w:ind w:firstLine="0"/>
              <w:jc w:val="center"/>
            </w:pPr>
            <w:r w:rsidRPr="00C2362F">
              <w:t>0</w:t>
            </w:r>
          </w:p>
        </w:tc>
        <w:tc>
          <w:tcPr>
            <w:tcW w:w="618" w:type="pct"/>
            <w:vAlign w:val="center"/>
          </w:tcPr>
          <w:p w:rsidR="00D60657" w:rsidRPr="00C2362F" w:rsidRDefault="006A2A0A" w:rsidP="000363FB">
            <w:pPr>
              <w:pStyle w:val="naisf"/>
              <w:spacing w:before="0" w:after="0"/>
              <w:ind w:firstLine="0"/>
              <w:jc w:val="center"/>
            </w:pPr>
            <w:r w:rsidRPr="00C2362F">
              <w:t>0</w:t>
            </w:r>
          </w:p>
        </w:tc>
        <w:tc>
          <w:tcPr>
            <w:tcW w:w="650" w:type="pct"/>
            <w:vAlign w:val="center"/>
          </w:tcPr>
          <w:p w:rsidR="00D60657" w:rsidRPr="00C2362F" w:rsidRDefault="006A2A0A" w:rsidP="000363FB">
            <w:pPr>
              <w:pStyle w:val="naisf"/>
              <w:spacing w:before="0" w:after="0"/>
              <w:ind w:firstLine="0"/>
              <w:jc w:val="center"/>
            </w:pPr>
            <w:r w:rsidRPr="00C2362F">
              <w:t>0</w:t>
            </w:r>
          </w:p>
        </w:tc>
        <w:tc>
          <w:tcPr>
            <w:tcW w:w="808" w:type="pct"/>
            <w:vAlign w:val="center"/>
          </w:tcPr>
          <w:p w:rsidR="00D60657" w:rsidRPr="00C2362F" w:rsidRDefault="00D60657" w:rsidP="006A2A0A">
            <w:pPr>
              <w:pStyle w:val="naisf"/>
              <w:spacing w:before="0" w:after="0"/>
              <w:ind w:firstLine="0"/>
              <w:jc w:val="center"/>
            </w:pPr>
            <w:r w:rsidRPr="00C2362F">
              <w:t>-</w:t>
            </w:r>
            <w:r w:rsidR="006A2A0A" w:rsidRPr="00C2362F">
              <w:t>110,5</w:t>
            </w:r>
          </w:p>
        </w:tc>
      </w:tr>
      <w:tr w:rsidR="00973D4C" w:rsidRPr="00C2362F" w:rsidTr="00F22DA3">
        <w:trPr>
          <w:jc w:val="center"/>
        </w:trPr>
        <w:tc>
          <w:tcPr>
            <w:tcW w:w="1795" w:type="pct"/>
          </w:tcPr>
          <w:p w:rsidR="00973D4C" w:rsidRPr="00C2362F" w:rsidRDefault="00973D4C" w:rsidP="00A54DFF">
            <w:pPr>
              <w:pStyle w:val="naiskr"/>
              <w:spacing w:before="0" w:after="0"/>
            </w:pPr>
            <w:r w:rsidRPr="00C2362F">
              <w:t>3.2. speciālais budžets</w:t>
            </w:r>
          </w:p>
        </w:tc>
        <w:tc>
          <w:tcPr>
            <w:tcW w:w="494" w:type="pct"/>
            <w:shd w:val="clear" w:color="auto" w:fill="auto"/>
            <w:vAlign w:val="center"/>
          </w:tcPr>
          <w:p w:rsidR="00973D4C" w:rsidRPr="00C2362F" w:rsidRDefault="00973D4C" w:rsidP="00536B44">
            <w:pPr>
              <w:pStyle w:val="naisf"/>
              <w:spacing w:before="0" w:after="0"/>
              <w:ind w:firstLine="0"/>
              <w:jc w:val="center"/>
            </w:pPr>
            <w:r w:rsidRPr="00C2362F">
              <w:t>0</w:t>
            </w:r>
          </w:p>
        </w:tc>
        <w:tc>
          <w:tcPr>
            <w:tcW w:w="635" w:type="pct"/>
            <w:vAlign w:val="center"/>
          </w:tcPr>
          <w:p w:rsidR="00973D4C" w:rsidRPr="00C2362F" w:rsidRDefault="00973D4C" w:rsidP="00536B44">
            <w:pPr>
              <w:pStyle w:val="naisf"/>
              <w:spacing w:before="0" w:after="0"/>
              <w:ind w:firstLine="0"/>
              <w:jc w:val="center"/>
            </w:pPr>
            <w:r w:rsidRPr="00C2362F">
              <w:t>0</w:t>
            </w:r>
          </w:p>
        </w:tc>
        <w:tc>
          <w:tcPr>
            <w:tcW w:w="618" w:type="pct"/>
            <w:vAlign w:val="center"/>
          </w:tcPr>
          <w:p w:rsidR="00973D4C" w:rsidRPr="00C2362F" w:rsidRDefault="00973D4C" w:rsidP="00536B44">
            <w:pPr>
              <w:pStyle w:val="naisf"/>
              <w:spacing w:before="0" w:after="0"/>
              <w:ind w:firstLine="0"/>
              <w:jc w:val="center"/>
            </w:pPr>
            <w:r w:rsidRPr="00C2362F">
              <w:t>0</w:t>
            </w:r>
          </w:p>
        </w:tc>
        <w:tc>
          <w:tcPr>
            <w:tcW w:w="650" w:type="pct"/>
            <w:vAlign w:val="center"/>
          </w:tcPr>
          <w:p w:rsidR="00973D4C" w:rsidRPr="00C2362F" w:rsidRDefault="00973D4C" w:rsidP="00536B44">
            <w:pPr>
              <w:pStyle w:val="naisf"/>
              <w:spacing w:before="0" w:after="0"/>
              <w:ind w:firstLine="0"/>
              <w:jc w:val="center"/>
            </w:pPr>
            <w:r w:rsidRPr="00C2362F">
              <w:t>0</w:t>
            </w:r>
          </w:p>
        </w:tc>
        <w:tc>
          <w:tcPr>
            <w:tcW w:w="808" w:type="pct"/>
            <w:vAlign w:val="center"/>
          </w:tcPr>
          <w:p w:rsidR="00973D4C" w:rsidRPr="00C2362F" w:rsidRDefault="00973D4C" w:rsidP="00536B44">
            <w:pPr>
              <w:pStyle w:val="naisf"/>
              <w:spacing w:before="0" w:after="0"/>
              <w:ind w:firstLine="0"/>
              <w:jc w:val="center"/>
            </w:pPr>
            <w:r w:rsidRPr="00C2362F">
              <w:t>0</w:t>
            </w:r>
          </w:p>
        </w:tc>
      </w:tr>
      <w:tr w:rsidR="00973D4C" w:rsidRPr="00C2362F" w:rsidTr="00F22DA3">
        <w:trPr>
          <w:jc w:val="center"/>
        </w:trPr>
        <w:tc>
          <w:tcPr>
            <w:tcW w:w="1795" w:type="pct"/>
          </w:tcPr>
          <w:p w:rsidR="00973D4C" w:rsidRPr="00C2362F" w:rsidRDefault="00973D4C" w:rsidP="00A54DFF">
            <w:pPr>
              <w:pStyle w:val="naiskr"/>
              <w:spacing w:before="0" w:after="0"/>
            </w:pPr>
            <w:r w:rsidRPr="00C2362F">
              <w:t xml:space="preserve">3.3. pašvaldību budžets </w:t>
            </w:r>
          </w:p>
        </w:tc>
        <w:tc>
          <w:tcPr>
            <w:tcW w:w="494" w:type="pct"/>
            <w:shd w:val="clear" w:color="auto" w:fill="auto"/>
            <w:vAlign w:val="center"/>
          </w:tcPr>
          <w:p w:rsidR="00973D4C" w:rsidRPr="00C2362F" w:rsidRDefault="00973D4C" w:rsidP="00536B44">
            <w:pPr>
              <w:pStyle w:val="naisf"/>
              <w:spacing w:before="0" w:after="0"/>
              <w:ind w:firstLine="0"/>
              <w:jc w:val="center"/>
            </w:pPr>
            <w:r w:rsidRPr="00C2362F">
              <w:t>0</w:t>
            </w:r>
          </w:p>
        </w:tc>
        <w:tc>
          <w:tcPr>
            <w:tcW w:w="635" w:type="pct"/>
            <w:vAlign w:val="center"/>
          </w:tcPr>
          <w:p w:rsidR="00973D4C" w:rsidRPr="00C2362F" w:rsidRDefault="00973D4C" w:rsidP="00536B44">
            <w:pPr>
              <w:pStyle w:val="naisf"/>
              <w:spacing w:before="0" w:after="0"/>
              <w:ind w:firstLine="0"/>
              <w:jc w:val="center"/>
            </w:pPr>
            <w:r w:rsidRPr="00C2362F">
              <w:t>0</w:t>
            </w:r>
          </w:p>
        </w:tc>
        <w:tc>
          <w:tcPr>
            <w:tcW w:w="618" w:type="pct"/>
            <w:vAlign w:val="center"/>
          </w:tcPr>
          <w:p w:rsidR="00973D4C" w:rsidRPr="00C2362F" w:rsidRDefault="00973D4C" w:rsidP="00536B44">
            <w:pPr>
              <w:pStyle w:val="naisf"/>
              <w:spacing w:before="0" w:after="0"/>
              <w:ind w:firstLine="0"/>
              <w:jc w:val="center"/>
            </w:pPr>
            <w:r w:rsidRPr="00C2362F">
              <w:t>0</w:t>
            </w:r>
          </w:p>
        </w:tc>
        <w:tc>
          <w:tcPr>
            <w:tcW w:w="650" w:type="pct"/>
            <w:vAlign w:val="center"/>
          </w:tcPr>
          <w:p w:rsidR="00973D4C" w:rsidRPr="00C2362F" w:rsidRDefault="00973D4C" w:rsidP="00536B44">
            <w:pPr>
              <w:pStyle w:val="naisf"/>
              <w:spacing w:before="0" w:after="0"/>
              <w:ind w:firstLine="0"/>
              <w:jc w:val="center"/>
            </w:pPr>
            <w:r w:rsidRPr="00C2362F">
              <w:t>0</w:t>
            </w:r>
          </w:p>
        </w:tc>
        <w:tc>
          <w:tcPr>
            <w:tcW w:w="808" w:type="pct"/>
            <w:vAlign w:val="center"/>
          </w:tcPr>
          <w:p w:rsidR="00973D4C" w:rsidRPr="00C2362F" w:rsidRDefault="00973D4C" w:rsidP="00536B44">
            <w:pPr>
              <w:pStyle w:val="naisf"/>
              <w:spacing w:before="0" w:after="0"/>
              <w:ind w:firstLine="0"/>
              <w:jc w:val="center"/>
            </w:pPr>
            <w:r w:rsidRPr="00C2362F">
              <w:t>0</w:t>
            </w:r>
          </w:p>
        </w:tc>
      </w:tr>
      <w:tr w:rsidR="00973D4C" w:rsidRPr="00C2362F" w:rsidTr="00F22DA3">
        <w:trPr>
          <w:jc w:val="center"/>
        </w:trPr>
        <w:tc>
          <w:tcPr>
            <w:tcW w:w="1795" w:type="pct"/>
            <w:vMerge w:val="restart"/>
          </w:tcPr>
          <w:p w:rsidR="00973D4C" w:rsidRPr="00C2362F" w:rsidRDefault="00973D4C" w:rsidP="00A54DFF">
            <w:pPr>
              <w:pStyle w:val="naiskr"/>
              <w:spacing w:before="0" w:after="0"/>
            </w:pPr>
            <w:r w:rsidRPr="00C2362F">
              <w:t>4. Finanšu līdzekļi papildu izde</w:t>
            </w:r>
            <w:r w:rsidRPr="00C2362F">
              <w:softHyphen/>
            </w:r>
            <w:r w:rsidRPr="00C2362F">
              <w:lastRenderedPageBreak/>
              <w:t>vumu finansēšanai (kompensējošu izdevumu samazinājumu norāda ar "+" zīmi)</w:t>
            </w:r>
          </w:p>
        </w:tc>
        <w:tc>
          <w:tcPr>
            <w:tcW w:w="494" w:type="pct"/>
            <w:vMerge w:val="restart"/>
            <w:vAlign w:val="center"/>
          </w:tcPr>
          <w:p w:rsidR="00973D4C" w:rsidRPr="00C2362F" w:rsidRDefault="00973D4C" w:rsidP="00536B44">
            <w:pPr>
              <w:pStyle w:val="naisf"/>
              <w:spacing w:before="0" w:after="0"/>
              <w:ind w:firstLine="0"/>
              <w:jc w:val="center"/>
            </w:pPr>
            <w:r w:rsidRPr="00C2362F">
              <w:lastRenderedPageBreak/>
              <w:t>X</w:t>
            </w:r>
          </w:p>
        </w:tc>
        <w:tc>
          <w:tcPr>
            <w:tcW w:w="635" w:type="pct"/>
            <w:vMerge w:val="restart"/>
            <w:vAlign w:val="center"/>
          </w:tcPr>
          <w:p w:rsidR="00973D4C" w:rsidRPr="00C2362F" w:rsidRDefault="00973D4C" w:rsidP="00536B44">
            <w:pPr>
              <w:pStyle w:val="naisf"/>
              <w:spacing w:before="0" w:after="0"/>
              <w:ind w:firstLine="0"/>
              <w:jc w:val="center"/>
            </w:pPr>
            <w:r w:rsidRPr="00C2362F">
              <w:t>0</w:t>
            </w:r>
          </w:p>
        </w:tc>
        <w:tc>
          <w:tcPr>
            <w:tcW w:w="618" w:type="pct"/>
            <w:vAlign w:val="center"/>
          </w:tcPr>
          <w:p w:rsidR="00973D4C" w:rsidRPr="00C2362F" w:rsidRDefault="00973D4C" w:rsidP="00536B44">
            <w:pPr>
              <w:pStyle w:val="naisf"/>
              <w:spacing w:before="0" w:after="0"/>
              <w:ind w:firstLine="0"/>
              <w:jc w:val="center"/>
            </w:pPr>
            <w:r w:rsidRPr="00C2362F">
              <w:t>0</w:t>
            </w:r>
          </w:p>
        </w:tc>
        <w:tc>
          <w:tcPr>
            <w:tcW w:w="650" w:type="pct"/>
            <w:vAlign w:val="center"/>
          </w:tcPr>
          <w:p w:rsidR="00973D4C" w:rsidRPr="00C2362F" w:rsidRDefault="00973D4C" w:rsidP="00536B44">
            <w:pPr>
              <w:pStyle w:val="naisf"/>
              <w:spacing w:before="0" w:after="0"/>
              <w:ind w:firstLine="0"/>
              <w:jc w:val="center"/>
            </w:pPr>
            <w:r w:rsidRPr="00C2362F">
              <w:t>0</w:t>
            </w:r>
          </w:p>
        </w:tc>
        <w:tc>
          <w:tcPr>
            <w:tcW w:w="808" w:type="pct"/>
            <w:vAlign w:val="center"/>
          </w:tcPr>
          <w:p w:rsidR="00973D4C" w:rsidRPr="00C2362F" w:rsidRDefault="0062761C" w:rsidP="00536B44">
            <w:pPr>
              <w:pStyle w:val="Header"/>
              <w:jc w:val="center"/>
              <w:rPr>
                <w:rFonts w:ascii="Times New Roman" w:hAnsi="Times New Roman"/>
                <w:sz w:val="24"/>
                <w:szCs w:val="24"/>
              </w:rPr>
            </w:pPr>
            <w:r w:rsidRPr="00C2362F">
              <w:rPr>
                <w:rFonts w:ascii="Times New Roman" w:hAnsi="Times New Roman"/>
                <w:sz w:val="24"/>
                <w:szCs w:val="24"/>
              </w:rPr>
              <w:t>0</w:t>
            </w:r>
            <w:r w:rsidR="006A2A0A" w:rsidRPr="00C2362F">
              <w:rPr>
                <w:rFonts w:ascii="Times New Roman" w:hAnsi="Times New Roman"/>
                <w:sz w:val="24"/>
                <w:szCs w:val="24"/>
              </w:rPr>
              <w:t>,6</w:t>
            </w:r>
          </w:p>
        </w:tc>
      </w:tr>
      <w:tr w:rsidR="00973D4C" w:rsidRPr="00C2362F" w:rsidTr="00F22DA3">
        <w:trPr>
          <w:jc w:val="center"/>
        </w:trPr>
        <w:tc>
          <w:tcPr>
            <w:tcW w:w="1795" w:type="pct"/>
            <w:vMerge/>
          </w:tcPr>
          <w:p w:rsidR="00973D4C" w:rsidRPr="00C2362F" w:rsidRDefault="00973D4C" w:rsidP="00536B44">
            <w:pPr>
              <w:rPr>
                <w:rFonts w:ascii="Times New Roman" w:hAnsi="Times New Roman"/>
                <w:sz w:val="24"/>
                <w:szCs w:val="24"/>
              </w:rPr>
            </w:pPr>
          </w:p>
        </w:tc>
        <w:tc>
          <w:tcPr>
            <w:tcW w:w="494" w:type="pct"/>
            <w:vMerge/>
          </w:tcPr>
          <w:p w:rsidR="00973D4C" w:rsidRPr="00C2362F" w:rsidRDefault="00973D4C" w:rsidP="00536B44">
            <w:pPr>
              <w:pStyle w:val="Header"/>
              <w:jc w:val="center"/>
              <w:rPr>
                <w:rFonts w:ascii="Times New Roman" w:hAnsi="Times New Roman"/>
                <w:sz w:val="24"/>
                <w:szCs w:val="24"/>
              </w:rPr>
            </w:pPr>
          </w:p>
        </w:tc>
        <w:tc>
          <w:tcPr>
            <w:tcW w:w="635" w:type="pct"/>
            <w:vMerge/>
            <w:vAlign w:val="center"/>
          </w:tcPr>
          <w:p w:rsidR="00973D4C" w:rsidRPr="00C2362F" w:rsidRDefault="00973D4C" w:rsidP="00536B44">
            <w:pPr>
              <w:pStyle w:val="naisf"/>
              <w:jc w:val="center"/>
            </w:pPr>
          </w:p>
        </w:tc>
        <w:tc>
          <w:tcPr>
            <w:tcW w:w="618" w:type="pct"/>
            <w:vAlign w:val="center"/>
          </w:tcPr>
          <w:p w:rsidR="00973D4C" w:rsidRPr="00C2362F" w:rsidRDefault="00973D4C" w:rsidP="00536B44">
            <w:pPr>
              <w:pStyle w:val="naisf"/>
              <w:spacing w:before="0" w:after="0"/>
              <w:ind w:firstLine="0"/>
              <w:jc w:val="center"/>
            </w:pPr>
            <w:r w:rsidRPr="00C2362F">
              <w:t>0</w:t>
            </w:r>
          </w:p>
        </w:tc>
        <w:tc>
          <w:tcPr>
            <w:tcW w:w="650" w:type="pct"/>
            <w:vAlign w:val="center"/>
          </w:tcPr>
          <w:p w:rsidR="00973D4C" w:rsidRPr="00C2362F" w:rsidRDefault="00973D4C" w:rsidP="00536B44">
            <w:pPr>
              <w:pStyle w:val="naisf"/>
              <w:spacing w:before="0" w:after="0"/>
              <w:ind w:firstLine="0"/>
              <w:jc w:val="center"/>
            </w:pPr>
            <w:r w:rsidRPr="00C2362F">
              <w:t>0</w:t>
            </w:r>
          </w:p>
        </w:tc>
        <w:tc>
          <w:tcPr>
            <w:tcW w:w="808" w:type="pct"/>
            <w:vAlign w:val="center"/>
          </w:tcPr>
          <w:p w:rsidR="00973D4C" w:rsidRPr="00C2362F" w:rsidRDefault="00973D4C" w:rsidP="00536B44">
            <w:pPr>
              <w:pStyle w:val="Header"/>
              <w:jc w:val="center"/>
              <w:rPr>
                <w:rFonts w:ascii="Times New Roman" w:hAnsi="Times New Roman"/>
                <w:sz w:val="24"/>
                <w:szCs w:val="24"/>
              </w:rPr>
            </w:pPr>
            <w:r w:rsidRPr="00C2362F">
              <w:rPr>
                <w:rFonts w:ascii="Times New Roman" w:hAnsi="Times New Roman"/>
                <w:sz w:val="24"/>
                <w:szCs w:val="24"/>
              </w:rPr>
              <w:t>0</w:t>
            </w:r>
          </w:p>
        </w:tc>
      </w:tr>
      <w:tr w:rsidR="00973D4C" w:rsidRPr="00C2362F" w:rsidTr="00F22DA3">
        <w:trPr>
          <w:jc w:val="center"/>
        </w:trPr>
        <w:tc>
          <w:tcPr>
            <w:tcW w:w="1795" w:type="pct"/>
            <w:vMerge/>
          </w:tcPr>
          <w:p w:rsidR="00973D4C" w:rsidRPr="00C2362F" w:rsidRDefault="00973D4C" w:rsidP="00536B44">
            <w:pPr>
              <w:rPr>
                <w:rFonts w:ascii="Times New Roman" w:hAnsi="Times New Roman"/>
                <w:sz w:val="24"/>
                <w:szCs w:val="24"/>
              </w:rPr>
            </w:pPr>
          </w:p>
        </w:tc>
        <w:tc>
          <w:tcPr>
            <w:tcW w:w="494" w:type="pct"/>
            <w:vMerge/>
          </w:tcPr>
          <w:p w:rsidR="00973D4C" w:rsidRPr="00C2362F" w:rsidRDefault="00973D4C" w:rsidP="00536B44">
            <w:pPr>
              <w:pStyle w:val="Header"/>
              <w:jc w:val="center"/>
              <w:rPr>
                <w:rFonts w:ascii="Times New Roman" w:hAnsi="Times New Roman"/>
                <w:sz w:val="24"/>
                <w:szCs w:val="24"/>
              </w:rPr>
            </w:pPr>
          </w:p>
        </w:tc>
        <w:tc>
          <w:tcPr>
            <w:tcW w:w="635" w:type="pct"/>
            <w:vMerge/>
            <w:vAlign w:val="center"/>
          </w:tcPr>
          <w:p w:rsidR="00973D4C" w:rsidRPr="00C2362F" w:rsidRDefault="00973D4C" w:rsidP="00536B44">
            <w:pPr>
              <w:pStyle w:val="naisf"/>
              <w:spacing w:before="0" w:after="0"/>
              <w:ind w:firstLine="0"/>
              <w:jc w:val="center"/>
            </w:pPr>
          </w:p>
        </w:tc>
        <w:tc>
          <w:tcPr>
            <w:tcW w:w="618" w:type="pct"/>
            <w:vAlign w:val="center"/>
          </w:tcPr>
          <w:p w:rsidR="00973D4C" w:rsidRPr="00C2362F" w:rsidRDefault="00973D4C" w:rsidP="00536B44">
            <w:pPr>
              <w:pStyle w:val="naislab"/>
              <w:spacing w:before="0" w:after="0"/>
              <w:jc w:val="center"/>
            </w:pPr>
            <w:r w:rsidRPr="00C2362F">
              <w:t>0</w:t>
            </w:r>
          </w:p>
        </w:tc>
        <w:tc>
          <w:tcPr>
            <w:tcW w:w="650" w:type="pct"/>
            <w:vAlign w:val="center"/>
          </w:tcPr>
          <w:p w:rsidR="00973D4C" w:rsidRPr="00C2362F" w:rsidRDefault="00973D4C" w:rsidP="00536B44">
            <w:pPr>
              <w:pStyle w:val="naislab"/>
              <w:spacing w:before="0" w:after="0"/>
              <w:jc w:val="center"/>
            </w:pPr>
            <w:r w:rsidRPr="00C2362F">
              <w:t>0</w:t>
            </w:r>
          </w:p>
        </w:tc>
        <w:tc>
          <w:tcPr>
            <w:tcW w:w="808" w:type="pct"/>
            <w:vAlign w:val="center"/>
          </w:tcPr>
          <w:p w:rsidR="00973D4C" w:rsidRPr="00C2362F" w:rsidRDefault="00973D4C" w:rsidP="00536B44">
            <w:pPr>
              <w:pStyle w:val="Header"/>
              <w:jc w:val="center"/>
              <w:rPr>
                <w:rFonts w:ascii="Times New Roman" w:hAnsi="Times New Roman"/>
                <w:sz w:val="24"/>
                <w:szCs w:val="24"/>
              </w:rPr>
            </w:pPr>
            <w:r w:rsidRPr="00C2362F">
              <w:rPr>
                <w:rFonts w:ascii="Times New Roman" w:hAnsi="Times New Roman"/>
                <w:sz w:val="24"/>
                <w:szCs w:val="24"/>
              </w:rPr>
              <w:t>0</w:t>
            </w:r>
          </w:p>
        </w:tc>
      </w:tr>
      <w:tr w:rsidR="00D60657" w:rsidRPr="00C2362F" w:rsidTr="00F22DA3">
        <w:trPr>
          <w:jc w:val="center"/>
        </w:trPr>
        <w:tc>
          <w:tcPr>
            <w:tcW w:w="1795" w:type="pct"/>
          </w:tcPr>
          <w:p w:rsidR="00D60657" w:rsidRPr="00C2362F" w:rsidRDefault="00D60657" w:rsidP="00A54DFF">
            <w:pPr>
              <w:pStyle w:val="naiskr"/>
              <w:spacing w:before="0" w:after="0"/>
            </w:pPr>
            <w:r w:rsidRPr="00C2362F">
              <w:t>5. Precizēta finansiālā ietekme:</w:t>
            </w:r>
          </w:p>
        </w:tc>
        <w:tc>
          <w:tcPr>
            <w:tcW w:w="494" w:type="pct"/>
            <w:vMerge w:val="restart"/>
            <w:vAlign w:val="center"/>
          </w:tcPr>
          <w:p w:rsidR="00D60657" w:rsidRPr="00C2362F" w:rsidRDefault="00D60657" w:rsidP="00536B44">
            <w:pPr>
              <w:pStyle w:val="Header"/>
              <w:jc w:val="center"/>
              <w:rPr>
                <w:rFonts w:ascii="Times New Roman" w:hAnsi="Times New Roman"/>
                <w:sz w:val="24"/>
                <w:szCs w:val="24"/>
              </w:rPr>
            </w:pPr>
            <w:r w:rsidRPr="00C2362F">
              <w:rPr>
                <w:rFonts w:ascii="Times New Roman" w:hAnsi="Times New Roman"/>
                <w:sz w:val="24"/>
                <w:szCs w:val="24"/>
              </w:rPr>
              <w:t>X</w:t>
            </w:r>
          </w:p>
        </w:tc>
        <w:tc>
          <w:tcPr>
            <w:tcW w:w="635" w:type="pct"/>
            <w:vAlign w:val="center"/>
          </w:tcPr>
          <w:p w:rsidR="00D60657" w:rsidRPr="00C2362F" w:rsidRDefault="00D60657" w:rsidP="00536B44">
            <w:pPr>
              <w:pStyle w:val="naislab"/>
              <w:spacing w:before="0" w:after="0"/>
              <w:jc w:val="center"/>
            </w:pPr>
            <w:r w:rsidRPr="00C2362F">
              <w:t>0</w:t>
            </w:r>
          </w:p>
        </w:tc>
        <w:tc>
          <w:tcPr>
            <w:tcW w:w="618" w:type="pct"/>
            <w:vAlign w:val="center"/>
          </w:tcPr>
          <w:p w:rsidR="00D60657" w:rsidRPr="00C2362F" w:rsidRDefault="006A2A0A" w:rsidP="000363FB">
            <w:pPr>
              <w:pStyle w:val="naisf"/>
              <w:spacing w:before="0" w:after="0"/>
              <w:ind w:firstLine="0"/>
              <w:jc w:val="center"/>
            </w:pPr>
            <w:r w:rsidRPr="00C2362F">
              <w:t>0</w:t>
            </w:r>
          </w:p>
        </w:tc>
        <w:tc>
          <w:tcPr>
            <w:tcW w:w="650" w:type="pct"/>
            <w:vAlign w:val="center"/>
          </w:tcPr>
          <w:p w:rsidR="00D60657" w:rsidRPr="00C2362F" w:rsidRDefault="006A2A0A" w:rsidP="000363FB">
            <w:pPr>
              <w:pStyle w:val="naisf"/>
              <w:spacing w:before="0" w:after="0"/>
              <w:ind w:firstLine="0"/>
              <w:jc w:val="center"/>
            </w:pPr>
            <w:r w:rsidRPr="00C2362F">
              <w:t>0</w:t>
            </w:r>
          </w:p>
        </w:tc>
        <w:tc>
          <w:tcPr>
            <w:tcW w:w="808" w:type="pct"/>
            <w:vAlign w:val="center"/>
          </w:tcPr>
          <w:p w:rsidR="00D60657" w:rsidRPr="00C2362F" w:rsidRDefault="008914A9" w:rsidP="0062761C">
            <w:pPr>
              <w:pStyle w:val="naisf"/>
              <w:spacing w:before="0" w:after="0"/>
              <w:ind w:firstLine="0"/>
              <w:jc w:val="center"/>
            </w:pPr>
            <w:r w:rsidRPr="00C2362F">
              <w:t>-</w:t>
            </w:r>
            <w:r w:rsidR="0062761C" w:rsidRPr="00C2362F">
              <w:t>110,5</w:t>
            </w:r>
          </w:p>
        </w:tc>
      </w:tr>
      <w:tr w:rsidR="00D60657" w:rsidRPr="00C2362F" w:rsidTr="00F22DA3">
        <w:trPr>
          <w:jc w:val="center"/>
        </w:trPr>
        <w:tc>
          <w:tcPr>
            <w:tcW w:w="1795" w:type="pct"/>
          </w:tcPr>
          <w:p w:rsidR="00D60657" w:rsidRPr="00C2362F" w:rsidRDefault="00D60657" w:rsidP="00A54DFF">
            <w:pPr>
              <w:pStyle w:val="naiskr"/>
              <w:spacing w:before="0" w:after="0"/>
            </w:pPr>
            <w:r w:rsidRPr="00C2362F">
              <w:t>5.1. valsts pamatbudžets</w:t>
            </w:r>
          </w:p>
        </w:tc>
        <w:tc>
          <w:tcPr>
            <w:tcW w:w="494" w:type="pct"/>
            <w:vMerge/>
            <w:vAlign w:val="center"/>
          </w:tcPr>
          <w:p w:rsidR="00D60657" w:rsidRPr="00C2362F" w:rsidRDefault="00D60657" w:rsidP="00536B44">
            <w:pPr>
              <w:pStyle w:val="naisf"/>
              <w:spacing w:before="0" w:after="0"/>
              <w:ind w:firstLine="0"/>
              <w:jc w:val="center"/>
            </w:pPr>
          </w:p>
        </w:tc>
        <w:tc>
          <w:tcPr>
            <w:tcW w:w="635" w:type="pct"/>
            <w:vAlign w:val="center"/>
          </w:tcPr>
          <w:p w:rsidR="00D60657" w:rsidRPr="00C2362F" w:rsidRDefault="00D60657" w:rsidP="00536B44">
            <w:pPr>
              <w:pStyle w:val="naislab"/>
              <w:spacing w:before="0" w:after="0"/>
              <w:jc w:val="center"/>
            </w:pPr>
            <w:r w:rsidRPr="00C2362F">
              <w:t>0</w:t>
            </w:r>
          </w:p>
        </w:tc>
        <w:tc>
          <w:tcPr>
            <w:tcW w:w="618" w:type="pct"/>
            <w:vAlign w:val="center"/>
          </w:tcPr>
          <w:p w:rsidR="00D60657" w:rsidRPr="00C2362F" w:rsidRDefault="006A2A0A" w:rsidP="000363FB">
            <w:pPr>
              <w:pStyle w:val="naisf"/>
              <w:spacing w:before="0" w:after="0"/>
              <w:ind w:firstLine="0"/>
              <w:jc w:val="center"/>
            </w:pPr>
            <w:r w:rsidRPr="00C2362F">
              <w:t>0</w:t>
            </w:r>
          </w:p>
        </w:tc>
        <w:tc>
          <w:tcPr>
            <w:tcW w:w="650" w:type="pct"/>
            <w:vAlign w:val="center"/>
          </w:tcPr>
          <w:p w:rsidR="00D60657" w:rsidRPr="00C2362F" w:rsidRDefault="006A2A0A" w:rsidP="000363FB">
            <w:pPr>
              <w:pStyle w:val="naisf"/>
              <w:spacing w:before="0" w:after="0"/>
              <w:ind w:firstLine="0"/>
              <w:jc w:val="center"/>
            </w:pPr>
            <w:r w:rsidRPr="00C2362F">
              <w:t>0</w:t>
            </w:r>
          </w:p>
        </w:tc>
        <w:tc>
          <w:tcPr>
            <w:tcW w:w="808" w:type="pct"/>
            <w:vAlign w:val="center"/>
          </w:tcPr>
          <w:p w:rsidR="00D60657" w:rsidRPr="00C2362F" w:rsidRDefault="008914A9" w:rsidP="0062761C">
            <w:pPr>
              <w:pStyle w:val="naisf"/>
              <w:spacing w:before="0" w:after="0"/>
              <w:ind w:firstLine="0"/>
              <w:jc w:val="center"/>
            </w:pPr>
            <w:r w:rsidRPr="00C2362F">
              <w:t>-</w:t>
            </w:r>
            <w:r w:rsidR="0062761C" w:rsidRPr="00C2362F">
              <w:t>110,5</w:t>
            </w:r>
          </w:p>
        </w:tc>
      </w:tr>
      <w:tr w:rsidR="00973D4C" w:rsidRPr="00C2362F" w:rsidTr="00F22DA3">
        <w:trPr>
          <w:jc w:val="center"/>
        </w:trPr>
        <w:tc>
          <w:tcPr>
            <w:tcW w:w="1795" w:type="pct"/>
          </w:tcPr>
          <w:p w:rsidR="00973D4C" w:rsidRPr="00C2362F" w:rsidRDefault="00973D4C" w:rsidP="00A54DFF">
            <w:pPr>
              <w:pStyle w:val="naiskr"/>
              <w:spacing w:before="0" w:after="0"/>
            </w:pPr>
            <w:r w:rsidRPr="00C2362F">
              <w:t>5.2. speciālais budžets</w:t>
            </w:r>
          </w:p>
        </w:tc>
        <w:tc>
          <w:tcPr>
            <w:tcW w:w="494" w:type="pct"/>
            <w:vMerge/>
            <w:vAlign w:val="center"/>
          </w:tcPr>
          <w:p w:rsidR="00973D4C" w:rsidRPr="00C2362F" w:rsidRDefault="00973D4C" w:rsidP="00536B44">
            <w:pPr>
              <w:pStyle w:val="naisf"/>
              <w:spacing w:before="0" w:after="0"/>
              <w:ind w:firstLine="0"/>
              <w:jc w:val="center"/>
            </w:pPr>
          </w:p>
        </w:tc>
        <w:tc>
          <w:tcPr>
            <w:tcW w:w="635" w:type="pct"/>
            <w:vAlign w:val="center"/>
          </w:tcPr>
          <w:p w:rsidR="00973D4C" w:rsidRPr="00C2362F" w:rsidRDefault="00973D4C" w:rsidP="00536B44">
            <w:pPr>
              <w:pStyle w:val="naisf"/>
              <w:spacing w:before="0" w:after="0"/>
              <w:ind w:firstLine="0"/>
              <w:jc w:val="center"/>
              <w:rPr>
                <w:b/>
              </w:rPr>
            </w:pPr>
            <w:r w:rsidRPr="00C2362F">
              <w:t>0</w:t>
            </w:r>
          </w:p>
        </w:tc>
        <w:tc>
          <w:tcPr>
            <w:tcW w:w="618" w:type="pct"/>
            <w:vAlign w:val="center"/>
          </w:tcPr>
          <w:p w:rsidR="00973D4C" w:rsidRPr="00C2362F" w:rsidRDefault="00973D4C" w:rsidP="00536B44">
            <w:pPr>
              <w:pStyle w:val="naisf"/>
              <w:spacing w:before="0" w:after="0"/>
              <w:ind w:firstLine="0"/>
              <w:jc w:val="center"/>
              <w:rPr>
                <w:b/>
              </w:rPr>
            </w:pPr>
            <w:r w:rsidRPr="00C2362F">
              <w:t>0</w:t>
            </w:r>
          </w:p>
        </w:tc>
        <w:tc>
          <w:tcPr>
            <w:tcW w:w="650" w:type="pct"/>
            <w:vAlign w:val="center"/>
          </w:tcPr>
          <w:p w:rsidR="00973D4C" w:rsidRPr="00C2362F" w:rsidRDefault="00973D4C" w:rsidP="00536B44">
            <w:pPr>
              <w:pStyle w:val="naisf"/>
              <w:spacing w:before="0" w:after="0"/>
              <w:ind w:firstLine="0"/>
              <w:jc w:val="center"/>
              <w:rPr>
                <w:b/>
              </w:rPr>
            </w:pPr>
            <w:r w:rsidRPr="00C2362F">
              <w:t>0</w:t>
            </w:r>
          </w:p>
        </w:tc>
        <w:tc>
          <w:tcPr>
            <w:tcW w:w="808" w:type="pct"/>
            <w:vAlign w:val="center"/>
          </w:tcPr>
          <w:p w:rsidR="00973D4C" w:rsidRPr="00C2362F" w:rsidRDefault="00973D4C" w:rsidP="00536B44">
            <w:pPr>
              <w:pStyle w:val="naisf"/>
              <w:spacing w:before="0" w:after="0"/>
              <w:ind w:firstLine="0"/>
              <w:jc w:val="center"/>
              <w:rPr>
                <w:b/>
              </w:rPr>
            </w:pPr>
            <w:r w:rsidRPr="00C2362F">
              <w:t>0</w:t>
            </w:r>
          </w:p>
        </w:tc>
      </w:tr>
      <w:tr w:rsidR="00973D4C" w:rsidRPr="00C2362F" w:rsidTr="00F22DA3">
        <w:trPr>
          <w:jc w:val="center"/>
        </w:trPr>
        <w:tc>
          <w:tcPr>
            <w:tcW w:w="1795" w:type="pct"/>
          </w:tcPr>
          <w:p w:rsidR="00973D4C" w:rsidRPr="00C2362F" w:rsidRDefault="00973D4C" w:rsidP="00A54DFF">
            <w:pPr>
              <w:pStyle w:val="naiskr"/>
              <w:spacing w:before="0" w:after="0"/>
            </w:pPr>
            <w:r w:rsidRPr="00C2362F">
              <w:t xml:space="preserve">5.3. pašvaldību budžets </w:t>
            </w:r>
          </w:p>
        </w:tc>
        <w:tc>
          <w:tcPr>
            <w:tcW w:w="494" w:type="pct"/>
            <w:vMerge/>
            <w:vAlign w:val="center"/>
          </w:tcPr>
          <w:p w:rsidR="00973D4C" w:rsidRPr="00C2362F" w:rsidRDefault="00973D4C" w:rsidP="00536B44">
            <w:pPr>
              <w:pStyle w:val="naisf"/>
              <w:spacing w:before="0" w:after="0"/>
              <w:ind w:firstLine="0"/>
              <w:jc w:val="center"/>
            </w:pPr>
          </w:p>
        </w:tc>
        <w:tc>
          <w:tcPr>
            <w:tcW w:w="635" w:type="pct"/>
            <w:vAlign w:val="center"/>
          </w:tcPr>
          <w:p w:rsidR="00973D4C" w:rsidRPr="00C2362F" w:rsidRDefault="00973D4C" w:rsidP="00536B44">
            <w:pPr>
              <w:pStyle w:val="naisf"/>
              <w:spacing w:before="0" w:after="0"/>
              <w:ind w:firstLine="0"/>
              <w:jc w:val="center"/>
              <w:rPr>
                <w:b/>
              </w:rPr>
            </w:pPr>
            <w:r w:rsidRPr="00C2362F">
              <w:t>0</w:t>
            </w:r>
          </w:p>
        </w:tc>
        <w:tc>
          <w:tcPr>
            <w:tcW w:w="618" w:type="pct"/>
            <w:vAlign w:val="center"/>
          </w:tcPr>
          <w:p w:rsidR="00973D4C" w:rsidRPr="00C2362F" w:rsidRDefault="00973D4C" w:rsidP="00536B44">
            <w:pPr>
              <w:pStyle w:val="naisf"/>
              <w:spacing w:before="0" w:after="0"/>
              <w:ind w:firstLine="0"/>
              <w:jc w:val="center"/>
              <w:rPr>
                <w:b/>
              </w:rPr>
            </w:pPr>
            <w:r w:rsidRPr="00C2362F">
              <w:t>0</w:t>
            </w:r>
          </w:p>
        </w:tc>
        <w:tc>
          <w:tcPr>
            <w:tcW w:w="650" w:type="pct"/>
            <w:vAlign w:val="center"/>
          </w:tcPr>
          <w:p w:rsidR="00973D4C" w:rsidRPr="00C2362F" w:rsidRDefault="00973D4C" w:rsidP="00536B44">
            <w:pPr>
              <w:pStyle w:val="naisf"/>
              <w:spacing w:before="0" w:after="0"/>
              <w:ind w:firstLine="0"/>
              <w:jc w:val="center"/>
              <w:rPr>
                <w:b/>
              </w:rPr>
            </w:pPr>
            <w:r w:rsidRPr="00C2362F">
              <w:t>0</w:t>
            </w:r>
          </w:p>
        </w:tc>
        <w:tc>
          <w:tcPr>
            <w:tcW w:w="808" w:type="pct"/>
            <w:vAlign w:val="center"/>
          </w:tcPr>
          <w:p w:rsidR="00973D4C" w:rsidRPr="00C2362F" w:rsidRDefault="00973D4C" w:rsidP="00536B44">
            <w:pPr>
              <w:pStyle w:val="naisf"/>
              <w:spacing w:before="0" w:after="0"/>
              <w:ind w:firstLine="0"/>
              <w:jc w:val="center"/>
              <w:rPr>
                <w:b/>
              </w:rPr>
            </w:pPr>
            <w:r w:rsidRPr="00C2362F">
              <w:t>0</w:t>
            </w:r>
          </w:p>
        </w:tc>
      </w:tr>
      <w:tr w:rsidR="00973D4C" w:rsidRPr="00C2362F" w:rsidTr="00F22DA3">
        <w:trPr>
          <w:jc w:val="center"/>
        </w:trPr>
        <w:tc>
          <w:tcPr>
            <w:tcW w:w="1795" w:type="pct"/>
          </w:tcPr>
          <w:p w:rsidR="00973D4C" w:rsidRPr="00C2362F" w:rsidRDefault="00973D4C" w:rsidP="00A54DFF">
            <w:pPr>
              <w:pStyle w:val="naiskr"/>
              <w:spacing w:before="0" w:after="0"/>
            </w:pPr>
            <w:r w:rsidRPr="00C2362F">
              <w:t>6. Detalizēts ieņēmumu un izdevu</w:t>
            </w:r>
            <w:r w:rsidRPr="00C2362F">
              <w:softHyphen/>
              <w:t>mu aprēķins (ja nepieciešams, detalizētu ieņēmumu un izdevumu aprēķinu var pievienot anotācijas pielikumā):</w:t>
            </w:r>
          </w:p>
        </w:tc>
        <w:tc>
          <w:tcPr>
            <w:tcW w:w="3205" w:type="pct"/>
            <w:gridSpan w:val="5"/>
            <w:vMerge w:val="restart"/>
          </w:tcPr>
          <w:p w:rsidR="00CA1C58" w:rsidRPr="00C2362F" w:rsidRDefault="00A52877" w:rsidP="00802F24">
            <w:pPr>
              <w:pStyle w:val="FootnoteText"/>
              <w:ind w:left="44" w:right="147"/>
              <w:jc w:val="both"/>
              <w:rPr>
                <w:bCs/>
                <w:sz w:val="24"/>
                <w:szCs w:val="24"/>
                <w:lang w:eastAsia="lv-LV"/>
              </w:rPr>
            </w:pPr>
            <w:r w:rsidRPr="00C2362F">
              <w:rPr>
                <w:bCs/>
                <w:sz w:val="24"/>
                <w:szCs w:val="24"/>
                <w:lang w:eastAsia="lv-LV"/>
              </w:rPr>
              <w:t>Detalizēt</w:t>
            </w:r>
            <w:r w:rsidR="00E44D04" w:rsidRPr="00C2362F">
              <w:rPr>
                <w:bCs/>
                <w:sz w:val="24"/>
                <w:szCs w:val="24"/>
                <w:lang w:eastAsia="lv-LV"/>
              </w:rPr>
              <w:t>u</w:t>
            </w:r>
            <w:r w:rsidRPr="00C2362F">
              <w:rPr>
                <w:bCs/>
                <w:sz w:val="24"/>
                <w:szCs w:val="24"/>
                <w:lang w:eastAsia="lv-LV"/>
              </w:rPr>
              <w:t xml:space="preserve"> informāciju </w:t>
            </w:r>
            <w:r w:rsidR="0026516A" w:rsidRPr="00C2362F">
              <w:rPr>
                <w:sz w:val="24"/>
                <w:szCs w:val="24"/>
              </w:rPr>
              <w:t xml:space="preserve">par </w:t>
            </w:r>
            <w:r w:rsidR="00AB3E9B" w:rsidRPr="00C2362F">
              <w:rPr>
                <w:sz w:val="24"/>
                <w:szCs w:val="24"/>
              </w:rPr>
              <w:t xml:space="preserve">precizētajiem </w:t>
            </w:r>
            <w:r w:rsidR="000077E5" w:rsidRPr="00C2362F">
              <w:rPr>
                <w:bCs/>
                <w:sz w:val="24"/>
                <w:szCs w:val="24"/>
                <w:lang w:eastAsia="lv-LV"/>
              </w:rPr>
              <w:t>izdevumiem</w:t>
            </w:r>
            <w:r w:rsidR="006D3E4F" w:rsidRPr="00C2362F">
              <w:rPr>
                <w:bCs/>
                <w:sz w:val="24"/>
                <w:szCs w:val="24"/>
                <w:lang w:eastAsia="lv-LV"/>
              </w:rPr>
              <w:t xml:space="preserve"> </w:t>
            </w:r>
            <w:r w:rsidR="00AB3E9B" w:rsidRPr="00C2362F">
              <w:rPr>
                <w:bCs/>
                <w:sz w:val="24"/>
                <w:szCs w:val="24"/>
                <w:lang w:eastAsia="lv-LV"/>
              </w:rPr>
              <w:t xml:space="preserve">ilgtermiņa saistībām </w:t>
            </w:r>
            <w:r w:rsidR="00E44D04" w:rsidRPr="00C2362F">
              <w:rPr>
                <w:sz w:val="24"/>
                <w:szCs w:val="24"/>
              </w:rPr>
              <w:t xml:space="preserve">skatīt </w:t>
            </w:r>
            <w:r w:rsidR="00A54DFF" w:rsidRPr="00C2362F">
              <w:rPr>
                <w:sz w:val="24"/>
                <w:szCs w:val="24"/>
              </w:rPr>
              <w:t xml:space="preserve">anotācijas </w:t>
            </w:r>
            <w:r w:rsidR="00E44D04" w:rsidRPr="00C2362F">
              <w:rPr>
                <w:sz w:val="24"/>
                <w:szCs w:val="24"/>
              </w:rPr>
              <w:t>pielikumā</w:t>
            </w:r>
            <w:r w:rsidR="00E44D04" w:rsidRPr="00C2362F">
              <w:rPr>
                <w:bCs/>
                <w:sz w:val="24"/>
                <w:szCs w:val="24"/>
                <w:lang w:eastAsia="lv-LV"/>
              </w:rPr>
              <w:t>.</w:t>
            </w:r>
          </w:p>
        </w:tc>
      </w:tr>
      <w:tr w:rsidR="00973D4C" w:rsidRPr="00C2362F" w:rsidTr="00F22DA3">
        <w:trPr>
          <w:jc w:val="center"/>
        </w:trPr>
        <w:tc>
          <w:tcPr>
            <w:tcW w:w="1795" w:type="pct"/>
          </w:tcPr>
          <w:p w:rsidR="00973D4C" w:rsidRPr="00C2362F" w:rsidRDefault="00973D4C" w:rsidP="00A54DFF">
            <w:pPr>
              <w:pStyle w:val="naiskr"/>
              <w:spacing w:before="0" w:after="0"/>
            </w:pPr>
            <w:r w:rsidRPr="00C2362F">
              <w:t>6.1. detalizēts ieņēmumu aprēķins</w:t>
            </w:r>
          </w:p>
        </w:tc>
        <w:tc>
          <w:tcPr>
            <w:tcW w:w="3205" w:type="pct"/>
            <w:gridSpan w:val="5"/>
            <w:vMerge/>
          </w:tcPr>
          <w:p w:rsidR="00973D4C" w:rsidRPr="00C2362F" w:rsidRDefault="00973D4C" w:rsidP="00536B44">
            <w:pPr>
              <w:pStyle w:val="naisf"/>
              <w:spacing w:before="0" w:after="0"/>
              <w:ind w:firstLine="0"/>
              <w:rPr>
                <w:b/>
                <w:i/>
              </w:rPr>
            </w:pPr>
          </w:p>
        </w:tc>
      </w:tr>
      <w:tr w:rsidR="00973D4C" w:rsidRPr="00C2362F" w:rsidTr="00F22DA3">
        <w:trPr>
          <w:jc w:val="center"/>
        </w:trPr>
        <w:tc>
          <w:tcPr>
            <w:tcW w:w="1795" w:type="pct"/>
          </w:tcPr>
          <w:p w:rsidR="00973D4C" w:rsidRPr="00C2362F" w:rsidRDefault="00973D4C" w:rsidP="00A54DFF">
            <w:pPr>
              <w:pStyle w:val="naiskr"/>
              <w:spacing w:before="0" w:after="0"/>
            </w:pPr>
            <w:r w:rsidRPr="00C2362F">
              <w:t>6.2. detalizēts izdevumu aprēķins</w:t>
            </w:r>
          </w:p>
        </w:tc>
        <w:tc>
          <w:tcPr>
            <w:tcW w:w="3205" w:type="pct"/>
            <w:gridSpan w:val="5"/>
            <w:vMerge/>
          </w:tcPr>
          <w:p w:rsidR="00973D4C" w:rsidRPr="00C2362F" w:rsidRDefault="00973D4C" w:rsidP="00536B44">
            <w:pPr>
              <w:pStyle w:val="naisf"/>
              <w:spacing w:before="0" w:after="0"/>
              <w:ind w:firstLine="0"/>
              <w:rPr>
                <w:b/>
                <w:i/>
              </w:rPr>
            </w:pPr>
          </w:p>
        </w:tc>
      </w:tr>
      <w:tr w:rsidR="00973D4C" w:rsidRPr="00C2362F" w:rsidTr="00F22DA3">
        <w:trPr>
          <w:jc w:val="center"/>
        </w:trPr>
        <w:tc>
          <w:tcPr>
            <w:tcW w:w="1795" w:type="pct"/>
          </w:tcPr>
          <w:p w:rsidR="00973D4C" w:rsidRPr="00C2362F" w:rsidRDefault="00973D4C" w:rsidP="00A54DFF">
            <w:pPr>
              <w:pStyle w:val="naiskr"/>
              <w:spacing w:before="0" w:after="0"/>
            </w:pPr>
            <w:r w:rsidRPr="00C2362F">
              <w:t>7. Cita informācija</w:t>
            </w:r>
          </w:p>
        </w:tc>
        <w:tc>
          <w:tcPr>
            <w:tcW w:w="3205" w:type="pct"/>
            <w:gridSpan w:val="5"/>
          </w:tcPr>
          <w:p w:rsidR="00333126" w:rsidRPr="00C2362F" w:rsidRDefault="00333126" w:rsidP="00333126">
            <w:pPr>
              <w:pStyle w:val="naiskr"/>
              <w:tabs>
                <w:tab w:val="left" w:pos="142"/>
                <w:tab w:val="left" w:pos="284"/>
              </w:tabs>
              <w:spacing w:before="0" w:after="60"/>
              <w:ind w:left="142" w:right="158"/>
              <w:jc w:val="both"/>
              <w:rPr>
                <w:bCs/>
              </w:rPr>
            </w:pPr>
            <w:r w:rsidRPr="00C2362F">
              <w:rPr>
                <w:bCs/>
              </w:rPr>
              <w:t>Likumprojektā „Par valsts budžetu 2014.gadam”, kā arī likumprojektā „Par vidēja termiņa budžeta ietvaru 2014. - 2016.gadam”, Kultūras ministrijas budžetā ēkas Miera ielā 58A, Rīgā, nomas maksas izdevumu segšanai VNĪ paredzēts finansējums 2014.gadā 25 486 lati (2 mēnešiem), 2015.gadā 152 918 lati (pilnam gadam) un 2016.gadā 76 459 lati (6 mēnešiem) un apkures izdevumu segšanai 2014.gadā  23 614 lati (2 mēnešiem), 2015.gadā 79 357 lati (pilnam gadam)  un 2016.gadā 45 292 lati (4 mēnešiem).</w:t>
            </w:r>
          </w:p>
          <w:p w:rsidR="00333126" w:rsidRPr="00C2362F" w:rsidRDefault="00333126" w:rsidP="00333126">
            <w:pPr>
              <w:pStyle w:val="NormalWeb"/>
              <w:tabs>
                <w:tab w:val="left" w:pos="142"/>
                <w:tab w:val="left" w:pos="284"/>
              </w:tabs>
              <w:spacing w:before="120" w:after="0"/>
              <w:ind w:left="142" w:right="125"/>
              <w:jc w:val="both"/>
              <w:rPr>
                <w:rFonts w:eastAsia="Calibri"/>
                <w:bCs/>
              </w:rPr>
            </w:pPr>
            <w:r w:rsidRPr="00C2362F">
              <w:rPr>
                <w:rFonts w:eastAsia="Calibri"/>
                <w:bCs/>
              </w:rPr>
              <w:t xml:space="preserve">Ministru kabineta rīkojuma projekts paredz precizēt Kultūras ministrijas budžetā </w:t>
            </w:r>
            <w:r w:rsidR="00F22DA3" w:rsidRPr="00C2362F">
              <w:rPr>
                <w:rFonts w:eastAsia="Calibri"/>
                <w:bCs/>
              </w:rPr>
              <w:t>nekustamā īpašuma</w:t>
            </w:r>
            <w:r w:rsidRPr="00C2362F">
              <w:rPr>
                <w:rFonts w:eastAsia="Calibri"/>
                <w:bCs/>
              </w:rPr>
              <w:t xml:space="preserve"> Miera ielā 58A, Rīgā, </w:t>
            </w:r>
            <w:r w:rsidR="00F22DA3" w:rsidRPr="00C2362F">
              <w:rPr>
                <w:rFonts w:eastAsia="Calibri"/>
                <w:bCs/>
              </w:rPr>
              <w:t xml:space="preserve">daļas </w:t>
            </w:r>
            <w:r w:rsidRPr="00C2362F">
              <w:rPr>
                <w:rFonts w:eastAsia="Calibri"/>
                <w:bCs/>
              </w:rPr>
              <w:t xml:space="preserve">nomas maksas un apkuras izdevumu segšanai paredzamo finansējumu  2016.gadam, paredzot  to pilnam gadam. </w:t>
            </w:r>
          </w:p>
          <w:p w:rsidR="00333126" w:rsidRPr="00C2362F" w:rsidRDefault="00333126" w:rsidP="00333126">
            <w:pPr>
              <w:pStyle w:val="NormalWeb"/>
              <w:tabs>
                <w:tab w:val="left" w:pos="142"/>
                <w:tab w:val="left" w:pos="284"/>
              </w:tabs>
              <w:spacing w:before="120" w:after="0"/>
              <w:ind w:left="142" w:right="125"/>
              <w:jc w:val="both"/>
              <w:rPr>
                <w:rFonts w:eastAsia="Calibri"/>
                <w:bCs/>
              </w:rPr>
            </w:pPr>
            <w:r w:rsidRPr="00C2362F">
              <w:rPr>
                <w:rFonts w:eastAsia="Calibri"/>
                <w:bCs/>
              </w:rPr>
              <w:t xml:space="preserve">Ņemot vērā minēto, Kultūras ministrijas budžetā paredzētais finansējums </w:t>
            </w:r>
            <w:r w:rsidR="00F22DA3" w:rsidRPr="00C2362F">
              <w:rPr>
                <w:rFonts w:eastAsia="Calibri"/>
                <w:bCs/>
              </w:rPr>
              <w:t>nekustamā īpašuma</w:t>
            </w:r>
            <w:r w:rsidRPr="00C2362F">
              <w:rPr>
                <w:rFonts w:eastAsia="Calibri"/>
                <w:bCs/>
              </w:rPr>
              <w:t xml:space="preserve"> Miera ielā 58A, Rīgā, </w:t>
            </w:r>
            <w:r w:rsidR="00F22DA3" w:rsidRPr="00C2362F">
              <w:rPr>
                <w:rFonts w:eastAsia="Calibri"/>
                <w:bCs/>
              </w:rPr>
              <w:t xml:space="preserve">daļas </w:t>
            </w:r>
            <w:r w:rsidRPr="00C2362F">
              <w:rPr>
                <w:rFonts w:eastAsia="Calibri"/>
                <w:bCs/>
              </w:rPr>
              <w:t xml:space="preserve">nomas maksas izdevumu segšanai likumprojektā „Par valsts budžetu 2014.gadam” 2016.gadā ir jāpalielina par </w:t>
            </w:r>
            <w:r w:rsidR="00DD0440" w:rsidRPr="00C2362F">
              <w:rPr>
                <w:rFonts w:eastAsia="Calibri"/>
                <w:bCs/>
              </w:rPr>
              <w:t xml:space="preserve"> </w:t>
            </w:r>
            <w:r w:rsidR="001F48F5" w:rsidRPr="00C2362F">
              <w:rPr>
                <w:rFonts w:eastAsia="Calibri"/>
                <w:bCs/>
                <w:i/>
              </w:rPr>
              <w:t>108 791 euro (</w:t>
            </w:r>
            <w:r w:rsidRPr="00C2362F">
              <w:rPr>
                <w:rFonts w:eastAsia="Calibri"/>
                <w:bCs/>
                <w:i/>
              </w:rPr>
              <w:t>76 459 latiem</w:t>
            </w:r>
            <w:r w:rsidR="001F48F5" w:rsidRPr="00C2362F">
              <w:rPr>
                <w:rFonts w:eastAsia="Calibri"/>
                <w:bCs/>
                <w:i/>
              </w:rPr>
              <w:t>)</w:t>
            </w:r>
            <w:r w:rsidRPr="00C2362F">
              <w:rPr>
                <w:rFonts w:eastAsia="Calibri"/>
                <w:bCs/>
              </w:rPr>
              <w:t xml:space="preserve"> un apkuras izdevumu segšanai jāpalielina par </w:t>
            </w:r>
            <w:r w:rsidR="001F48F5" w:rsidRPr="00C2362F">
              <w:rPr>
                <w:rFonts w:eastAsia="Calibri"/>
                <w:bCs/>
                <w:i/>
              </w:rPr>
              <w:t>48 470 euro (</w:t>
            </w:r>
            <w:r w:rsidRPr="00C2362F">
              <w:rPr>
                <w:rFonts w:eastAsia="Calibri"/>
                <w:bCs/>
                <w:i/>
              </w:rPr>
              <w:t>34 065 latiem</w:t>
            </w:r>
            <w:r w:rsidR="001F48F5" w:rsidRPr="00C2362F">
              <w:rPr>
                <w:rFonts w:eastAsia="Calibri"/>
                <w:bCs/>
                <w:i/>
              </w:rPr>
              <w:t>)</w:t>
            </w:r>
            <w:r w:rsidRPr="00C2362F">
              <w:rPr>
                <w:rFonts w:eastAsia="Calibri"/>
                <w:bCs/>
              </w:rPr>
              <w:t xml:space="preserve">, kā arī attiecīgi likumprojekta </w:t>
            </w:r>
            <w:r w:rsidR="00AA791E" w:rsidRPr="00C2362F">
              <w:rPr>
                <w:bCs/>
              </w:rPr>
              <w:t xml:space="preserve">„Par vidēja termiņa budžeta ietvaru 2014. - 2016.gadam” </w:t>
            </w:r>
            <w:r w:rsidRPr="00C2362F">
              <w:rPr>
                <w:rFonts w:eastAsia="Calibri"/>
                <w:bCs/>
              </w:rPr>
              <w:t xml:space="preserve">sagatavošanas procesā jāpalielina finansējums 2016.gadam </w:t>
            </w:r>
            <w:r w:rsidR="001F48F5" w:rsidRPr="00C2362F">
              <w:rPr>
                <w:rFonts w:eastAsia="Calibri"/>
                <w:bCs/>
                <w:i/>
              </w:rPr>
              <w:t>157 26</w:t>
            </w:r>
            <w:r w:rsidR="00F040B8" w:rsidRPr="00C2362F">
              <w:rPr>
                <w:rFonts w:eastAsia="Calibri"/>
                <w:bCs/>
                <w:i/>
              </w:rPr>
              <w:t>1</w:t>
            </w:r>
            <w:r w:rsidR="001F48F5" w:rsidRPr="00C2362F">
              <w:rPr>
                <w:rFonts w:eastAsia="Calibri"/>
                <w:bCs/>
                <w:i/>
              </w:rPr>
              <w:t xml:space="preserve"> euro (</w:t>
            </w:r>
            <w:r w:rsidRPr="00C2362F">
              <w:rPr>
                <w:rFonts w:eastAsia="Calibri"/>
                <w:bCs/>
                <w:i/>
              </w:rPr>
              <w:t>110 524 latu</w:t>
            </w:r>
            <w:r w:rsidR="001F48F5" w:rsidRPr="00C2362F">
              <w:rPr>
                <w:rFonts w:eastAsia="Calibri"/>
                <w:bCs/>
                <w:i/>
              </w:rPr>
              <w:t>)</w:t>
            </w:r>
            <w:r w:rsidRPr="00C2362F">
              <w:rPr>
                <w:rFonts w:eastAsia="Calibri"/>
                <w:bCs/>
              </w:rPr>
              <w:t xml:space="preserve"> apmērā. </w:t>
            </w:r>
          </w:p>
          <w:p w:rsidR="004D32BB" w:rsidRPr="00EB259F" w:rsidRDefault="00333126" w:rsidP="003161F3">
            <w:pPr>
              <w:pStyle w:val="NormalWeb"/>
              <w:tabs>
                <w:tab w:val="left" w:pos="142"/>
                <w:tab w:val="left" w:pos="284"/>
              </w:tabs>
              <w:spacing w:before="120" w:after="0"/>
              <w:ind w:left="142" w:right="125"/>
              <w:jc w:val="both"/>
              <w:rPr>
                <w:rFonts w:eastAsia="Calibri"/>
                <w:bCs/>
              </w:rPr>
            </w:pPr>
            <w:r w:rsidRPr="00EB259F">
              <w:rPr>
                <w:rFonts w:eastAsia="Calibri"/>
                <w:bCs/>
              </w:rPr>
              <w:t>Detalizēta informācija par precizēto naudas plūsmu sadalījumā pa gadiem un tās ietekme uz valsts budžetu atspoguļota anotācijas pielikumā.</w:t>
            </w:r>
            <w:r w:rsidR="004D32BB" w:rsidRPr="00EB259F">
              <w:rPr>
                <w:rFonts w:eastAsia="Calibri"/>
                <w:bCs/>
              </w:rPr>
              <w:t xml:space="preserve"> </w:t>
            </w:r>
          </w:p>
          <w:p w:rsidR="003161F3" w:rsidRPr="00EB259F" w:rsidRDefault="003161F3" w:rsidP="003161F3">
            <w:pPr>
              <w:pStyle w:val="NormalWeb"/>
              <w:spacing w:before="0" w:after="0"/>
              <w:ind w:left="176" w:right="95"/>
              <w:jc w:val="both"/>
              <w:rPr>
                <w:iCs/>
              </w:rPr>
            </w:pPr>
            <w:r w:rsidRPr="00EB259F">
              <w:t xml:space="preserve">Lai ievērotu normatīvo aktu pielāgošanas </w:t>
            </w:r>
            <w:r w:rsidRPr="00EB259F">
              <w:rPr>
                <w:i/>
                <w:iCs/>
              </w:rPr>
              <w:t>euro</w:t>
            </w:r>
            <w:r w:rsidRPr="00EB259F">
              <w:t xml:space="preserve"> ieviešanas vadlīnijas, uzskatāmībai pievienojam anotācijas pielikumā informāciju par skaitlisku pārrēķinu uz </w:t>
            </w:r>
            <w:r w:rsidRPr="00EB259F">
              <w:rPr>
                <w:i/>
                <w:iCs/>
              </w:rPr>
              <w:t xml:space="preserve">euro. </w:t>
            </w:r>
          </w:p>
          <w:p w:rsidR="003161F3" w:rsidRPr="00C2362F" w:rsidRDefault="00802F24" w:rsidP="00802F24">
            <w:pPr>
              <w:pStyle w:val="NormalWeb"/>
              <w:tabs>
                <w:tab w:val="left" w:pos="142"/>
                <w:tab w:val="left" w:pos="284"/>
              </w:tabs>
              <w:spacing w:before="120" w:after="0"/>
              <w:ind w:left="142" w:right="125"/>
              <w:jc w:val="both"/>
              <w:rPr>
                <w:rFonts w:eastAsia="Calibri"/>
                <w:bCs/>
              </w:rPr>
            </w:pPr>
            <w:r>
              <w:rPr>
                <w:iCs/>
              </w:rPr>
              <w:t>P</w:t>
            </w:r>
            <w:r w:rsidR="003161F3" w:rsidRPr="00EB259F">
              <w:rPr>
                <w:iCs/>
              </w:rPr>
              <w:t>ielikumā s</w:t>
            </w:r>
            <w:r w:rsidR="003161F3" w:rsidRPr="00EB259F">
              <w:t xml:space="preserve">kaitlis 36263 ir apaļots pretēji budžeta pārrēķina principiem, ņemot vērā EIKL 4.panta nosacījumus, lai netiktu palielināta kopsumma </w:t>
            </w:r>
            <w:r w:rsidR="00EB259F" w:rsidRPr="00EB259F">
              <w:t>Kultūras ministrijai nomas maksas segšanai.</w:t>
            </w:r>
          </w:p>
        </w:tc>
      </w:tr>
    </w:tbl>
    <w:p w:rsidR="009D4758" w:rsidRPr="00C2362F" w:rsidRDefault="009D4758" w:rsidP="007A0272">
      <w:pPr>
        <w:pStyle w:val="naisf"/>
        <w:spacing w:before="0" w:after="0"/>
        <w:ind w:firstLine="0"/>
      </w:pPr>
    </w:p>
    <w:tbl>
      <w:tblPr>
        <w:tblW w:w="54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08"/>
        <w:gridCol w:w="4736"/>
        <w:gridCol w:w="4156"/>
      </w:tblGrid>
      <w:tr w:rsidR="00B43844" w:rsidRPr="00C2362F" w:rsidTr="00F32638">
        <w:trPr>
          <w:trHeight w:val="320"/>
          <w:jc w:val="center"/>
        </w:trPr>
        <w:tc>
          <w:tcPr>
            <w:tcW w:w="5000" w:type="pct"/>
            <w:gridSpan w:val="3"/>
          </w:tcPr>
          <w:p w:rsidR="00B43844" w:rsidRPr="00C2362F" w:rsidRDefault="00B43844" w:rsidP="004B7D6D">
            <w:pPr>
              <w:pStyle w:val="naisnod"/>
              <w:spacing w:before="120" w:beforeAutospacing="0" w:after="120" w:afterAutospacing="0"/>
              <w:ind w:left="57" w:right="57"/>
              <w:jc w:val="center"/>
              <w:rPr>
                <w:b/>
              </w:rPr>
            </w:pPr>
            <w:r w:rsidRPr="00C2362F">
              <w:rPr>
                <w:b/>
              </w:rPr>
              <w:t>VII. Tiesību akta projekta izpildes nodrošināšana un tās ietekme uz institūcijām</w:t>
            </w:r>
          </w:p>
        </w:tc>
      </w:tr>
      <w:tr w:rsidR="00B43844" w:rsidRPr="00C2362F" w:rsidTr="00F32638">
        <w:trPr>
          <w:trHeight w:val="427"/>
          <w:jc w:val="center"/>
        </w:trPr>
        <w:tc>
          <w:tcPr>
            <w:tcW w:w="554" w:type="pct"/>
          </w:tcPr>
          <w:p w:rsidR="00B43844" w:rsidRPr="00C2362F" w:rsidRDefault="00B43844" w:rsidP="00353E8B">
            <w:pPr>
              <w:pStyle w:val="naisnod"/>
              <w:spacing w:before="0" w:after="0"/>
              <w:ind w:left="57" w:right="57"/>
            </w:pPr>
            <w:r w:rsidRPr="00C2362F">
              <w:t>1.</w:t>
            </w:r>
          </w:p>
        </w:tc>
        <w:tc>
          <w:tcPr>
            <w:tcW w:w="2368" w:type="pct"/>
          </w:tcPr>
          <w:p w:rsidR="00B43844" w:rsidRPr="00C2362F" w:rsidRDefault="00B43844" w:rsidP="00353E8B">
            <w:pPr>
              <w:pStyle w:val="naisf"/>
              <w:spacing w:before="0" w:after="0"/>
              <w:ind w:left="57" w:right="57" w:firstLine="0"/>
              <w:jc w:val="left"/>
            </w:pPr>
            <w:r w:rsidRPr="00C2362F">
              <w:t xml:space="preserve">Projekta izpildē iesaistītās institūcijas </w:t>
            </w:r>
          </w:p>
        </w:tc>
        <w:tc>
          <w:tcPr>
            <w:tcW w:w="2079" w:type="pct"/>
          </w:tcPr>
          <w:p w:rsidR="00B43844" w:rsidRPr="00C2362F" w:rsidRDefault="00B43844" w:rsidP="00A54DFF">
            <w:pPr>
              <w:pStyle w:val="naisnod"/>
              <w:ind w:right="57"/>
              <w:jc w:val="both"/>
            </w:pPr>
            <w:r w:rsidRPr="00C2362F">
              <w:rPr>
                <w:iCs/>
              </w:rPr>
              <w:t>Finanšu ministrija</w:t>
            </w:r>
            <w:r w:rsidR="00972823" w:rsidRPr="00C2362F">
              <w:rPr>
                <w:iCs/>
              </w:rPr>
              <w:t xml:space="preserve"> (</w:t>
            </w:r>
            <w:r w:rsidR="00A54DFF" w:rsidRPr="00C2362F">
              <w:rPr>
                <w:iCs/>
              </w:rPr>
              <w:t>VNĪ</w:t>
            </w:r>
            <w:r w:rsidR="00972823" w:rsidRPr="00C2362F">
              <w:rPr>
                <w:iCs/>
              </w:rPr>
              <w:t>)</w:t>
            </w:r>
            <w:r w:rsidR="002C0D9C" w:rsidRPr="00C2362F">
              <w:rPr>
                <w:iCs/>
              </w:rPr>
              <w:t>.</w:t>
            </w:r>
          </w:p>
        </w:tc>
      </w:tr>
      <w:tr w:rsidR="00B43844" w:rsidRPr="00C2362F" w:rsidTr="00F32638">
        <w:trPr>
          <w:trHeight w:val="463"/>
          <w:jc w:val="center"/>
        </w:trPr>
        <w:tc>
          <w:tcPr>
            <w:tcW w:w="554" w:type="pct"/>
          </w:tcPr>
          <w:p w:rsidR="00B43844" w:rsidRPr="00C2362F" w:rsidRDefault="00B43844" w:rsidP="00353E8B">
            <w:pPr>
              <w:pStyle w:val="naisnod"/>
              <w:spacing w:before="0" w:after="0"/>
              <w:ind w:left="57" w:right="57"/>
            </w:pPr>
            <w:r w:rsidRPr="00C2362F">
              <w:t>2.</w:t>
            </w:r>
          </w:p>
        </w:tc>
        <w:tc>
          <w:tcPr>
            <w:tcW w:w="2368" w:type="pct"/>
          </w:tcPr>
          <w:p w:rsidR="00B43844" w:rsidRPr="00C2362F" w:rsidRDefault="00B43844" w:rsidP="00353E8B">
            <w:pPr>
              <w:pStyle w:val="naisf"/>
              <w:spacing w:before="0" w:after="0"/>
              <w:ind w:left="57" w:right="57" w:firstLine="0"/>
              <w:jc w:val="left"/>
            </w:pPr>
            <w:r w:rsidRPr="00C2362F">
              <w:t xml:space="preserve">Projekta izpildes ietekme uz pārvaldes funkcijām </w:t>
            </w:r>
          </w:p>
        </w:tc>
        <w:tc>
          <w:tcPr>
            <w:tcW w:w="2079" w:type="pct"/>
          </w:tcPr>
          <w:p w:rsidR="00B43844" w:rsidRPr="00C2362F" w:rsidRDefault="00A54DFF" w:rsidP="00C47EA8">
            <w:pPr>
              <w:pStyle w:val="naisnod"/>
              <w:spacing w:before="0" w:after="0"/>
              <w:ind w:right="57"/>
              <w:jc w:val="both"/>
            </w:pPr>
            <w:r w:rsidRPr="00C2362F">
              <w:rPr>
                <w:iCs/>
              </w:rPr>
              <w:t>Ministru kabineta rīkojuma projekts</w:t>
            </w:r>
            <w:r w:rsidR="00C47EA8" w:rsidRPr="00C2362F">
              <w:t xml:space="preserve"> šo jomu neskar.</w:t>
            </w:r>
          </w:p>
        </w:tc>
      </w:tr>
      <w:tr w:rsidR="00A54DFF" w:rsidRPr="00C2362F" w:rsidTr="00F32638">
        <w:trPr>
          <w:trHeight w:val="725"/>
          <w:jc w:val="center"/>
        </w:trPr>
        <w:tc>
          <w:tcPr>
            <w:tcW w:w="554" w:type="pct"/>
          </w:tcPr>
          <w:p w:rsidR="00A54DFF" w:rsidRPr="00C2362F" w:rsidRDefault="00A54DFF" w:rsidP="00353E8B">
            <w:pPr>
              <w:pStyle w:val="naisnod"/>
              <w:spacing w:before="0" w:after="0"/>
              <w:ind w:left="57" w:right="57"/>
            </w:pPr>
            <w:r w:rsidRPr="00C2362F">
              <w:t>3.</w:t>
            </w:r>
          </w:p>
        </w:tc>
        <w:tc>
          <w:tcPr>
            <w:tcW w:w="2368" w:type="pct"/>
          </w:tcPr>
          <w:p w:rsidR="00A54DFF" w:rsidRPr="00C2362F" w:rsidRDefault="00A54DFF" w:rsidP="00353E8B">
            <w:pPr>
              <w:pStyle w:val="naisf"/>
              <w:spacing w:before="0" w:after="0"/>
              <w:ind w:left="57" w:right="57" w:firstLine="0"/>
              <w:jc w:val="left"/>
            </w:pPr>
            <w:r w:rsidRPr="00C2362F">
              <w:t>Projekta izpildes ietekme uz pārvaldes institucionālo struktūru.</w:t>
            </w:r>
          </w:p>
          <w:p w:rsidR="00A54DFF" w:rsidRPr="00C2362F" w:rsidRDefault="00A54DFF" w:rsidP="00353E8B">
            <w:pPr>
              <w:pStyle w:val="naisf"/>
              <w:spacing w:before="0" w:after="0"/>
              <w:ind w:left="57" w:right="57" w:firstLine="0"/>
              <w:jc w:val="left"/>
            </w:pPr>
            <w:r w:rsidRPr="00C2362F">
              <w:t>Jaunu institūciju izveide</w:t>
            </w:r>
          </w:p>
        </w:tc>
        <w:tc>
          <w:tcPr>
            <w:tcW w:w="2079" w:type="pct"/>
          </w:tcPr>
          <w:p w:rsidR="00A54DFF" w:rsidRPr="00C2362F" w:rsidRDefault="00A54DFF" w:rsidP="00A54DFF">
            <w:pPr>
              <w:pStyle w:val="naisnod"/>
              <w:spacing w:before="0" w:after="0"/>
              <w:ind w:right="57"/>
              <w:jc w:val="both"/>
            </w:pPr>
            <w:r w:rsidRPr="00C2362F">
              <w:rPr>
                <w:iCs/>
              </w:rPr>
              <w:t>Ministru kabineta rīkojuma projekts</w:t>
            </w:r>
            <w:r w:rsidRPr="00C2362F">
              <w:t xml:space="preserve"> šo jomu neskar.</w:t>
            </w:r>
          </w:p>
        </w:tc>
      </w:tr>
      <w:tr w:rsidR="00A54DFF" w:rsidRPr="00C2362F" w:rsidTr="00F32638">
        <w:trPr>
          <w:trHeight w:val="780"/>
          <w:jc w:val="center"/>
        </w:trPr>
        <w:tc>
          <w:tcPr>
            <w:tcW w:w="554" w:type="pct"/>
          </w:tcPr>
          <w:p w:rsidR="00A54DFF" w:rsidRPr="00C2362F" w:rsidRDefault="00A54DFF" w:rsidP="00353E8B">
            <w:pPr>
              <w:pStyle w:val="naisnod"/>
              <w:spacing w:before="0" w:after="0"/>
              <w:ind w:left="57" w:right="57"/>
            </w:pPr>
            <w:r w:rsidRPr="00C2362F">
              <w:t>4.</w:t>
            </w:r>
          </w:p>
        </w:tc>
        <w:tc>
          <w:tcPr>
            <w:tcW w:w="2368" w:type="pct"/>
          </w:tcPr>
          <w:p w:rsidR="00A54DFF" w:rsidRPr="00C2362F" w:rsidRDefault="00A54DFF" w:rsidP="00353E8B">
            <w:pPr>
              <w:pStyle w:val="naisf"/>
              <w:spacing w:before="0" w:after="0"/>
              <w:ind w:left="57" w:right="57" w:firstLine="0"/>
              <w:jc w:val="left"/>
            </w:pPr>
            <w:r w:rsidRPr="00C2362F">
              <w:t>Projekta izpildes ietekme uz pārvaldes institucionālo struktūru.</w:t>
            </w:r>
          </w:p>
          <w:p w:rsidR="00A54DFF" w:rsidRPr="00C2362F" w:rsidRDefault="00A54DFF" w:rsidP="00353E8B">
            <w:pPr>
              <w:pStyle w:val="naisf"/>
              <w:spacing w:before="0" w:after="0"/>
              <w:ind w:left="57" w:right="57" w:firstLine="0"/>
              <w:jc w:val="left"/>
            </w:pPr>
            <w:r w:rsidRPr="00C2362F">
              <w:t>Esošu institūciju likvidācija</w:t>
            </w:r>
          </w:p>
        </w:tc>
        <w:tc>
          <w:tcPr>
            <w:tcW w:w="2079" w:type="pct"/>
          </w:tcPr>
          <w:p w:rsidR="00A54DFF" w:rsidRPr="00C2362F" w:rsidRDefault="00A54DFF" w:rsidP="00A54DFF">
            <w:pPr>
              <w:pStyle w:val="naisnod"/>
              <w:spacing w:before="0" w:after="0"/>
              <w:ind w:right="57"/>
              <w:jc w:val="both"/>
            </w:pPr>
            <w:r w:rsidRPr="00C2362F">
              <w:rPr>
                <w:iCs/>
              </w:rPr>
              <w:t>Ministru kabineta rīkojuma projekts</w:t>
            </w:r>
            <w:r w:rsidRPr="00C2362F">
              <w:t xml:space="preserve"> šo jomu neskar.</w:t>
            </w:r>
          </w:p>
        </w:tc>
      </w:tr>
      <w:tr w:rsidR="00A54DFF" w:rsidRPr="00C2362F" w:rsidTr="00F32638">
        <w:trPr>
          <w:trHeight w:val="703"/>
          <w:jc w:val="center"/>
        </w:trPr>
        <w:tc>
          <w:tcPr>
            <w:tcW w:w="554" w:type="pct"/>
          </w:tcPr>
          <w:p w:rsidR="00A54DFF" w:rsidRPr="00C2362F" w:rsidRDefault="00A54DFF" w:rsidP="00353E8B">
            <w:pPr>
              <w:pStyle w:val="naisnod"/>
              <w:spacing w:before="0" w:after="0"/>
              <w:ind w:left="57" w:right="57"/>
            </w:pPr>
            <w:r w:rsidRPr="00C2362F">
              <w:t>5.</w:t>
            </w:r>
          </w:p>
        </w:tc>
        <w:tc>
          <w:tcPr>
            <w:tcW w:w="2368" w:type="pct"/>
          </w:tcPr>
          <w:p w:rsidR="00A54DFF" w:rsidRPr="00C2362F" w:rsidRDefault="00A54DFF" w:rsidP="00353E8B">
            <w:pPr>
              <w:pStyle w:val="naisf"/>
              <w:spacing w:before="0" w:after="0"/>
              <w:ind w:left="57" w:right="57" w:firstLine="0"/>
              <w:jc w:val="left"/>
            </w:pPr>
            <w:r w:rsidRPr="00C2362F">
              <w:t>Projekta izpildes ietekme uz pārvaldes institucionālo struktūru.</w:t>
            </w:r>
          </w:p>
          <w:p w:rsidR="00A54DFF" w:rsidRPr="00C2362F" w:rsidRDefault="00A54DFF" w:rsidP="00353E8B">
            <w:pPr>
              <w:pStyle w:val="naisf"/>
              <w:spacing w:before="0" w:after="0"/>
              <w:ind w:left="57" w:right="57" w:firstLine="0"/>
              <w:jc w:val="left"/>
            </w:pPr>
            <w:r w:rsidRPr="00C2362F">
              <w:t>Esošu institūciju reorganizācija</w:t>
            </w:r>
          </w:p>
        </w:tc>
        <w:tc>
          <w:tcPr>
            <w:tcW w:w="2079" w:type="pct"/>
          </w:tcPr>
          <w:p w:rsidR="00A54DFF" w:rsidRPr="00C2362F" w:rsidRDefault="00A54DFF" w:rsidP="00A54DFF">
            <w:pPr>
              <w:pStyle w:val="naisnod"/>
              <w:spacing w:before="0" w:after="0"/>
              <w:ind w:right="57"/>
              <w:jc w:val="both"/>
            </w:pPr>
            <w:r w:rsidRPr="00C2362F">
              <w:rPr>
                <w:iCs/>
              </w:rPr>
              <w:t>Ministru kabineta rīkojuma projekts</w:t>
            </w:r>
            <w:r w:rsidRPr="00C2362F">
              <w:t xml:space="preserve"> šo jomu neskar.</w:t>
            </w:r>
          </w:p>
        </w:tc>
      </w:tr>
      <w:tr w:rsidR="00A54DFF" w:rsidRPr="00C2362F" w:rsidTr="00F32638">
        <w:trPr>
          <w:trHeight w:val="327"/>
          <w:jc w:val="center"/>
        </w:trPr>
        <w:tc>
          <w:tcPr>
            <w:tcW w:w="554" w:type="pct"/>
          </w:tcPr>
          <w:p w:rsidR="00A54DFF" w:rsidRPr="00C2362F" w:rsidRDefault="00A54DFF" w:rsidP="00353E8B">
            <w:pPr>
              <w:pStyle w:val="naiskr"/>
              <w:spacing w:before="0" w:after="0"/>
              <w:ind w:left="57" w:right="57"/>
            </w:pPr>
            <w:r w:rsidRPr="00C2362F">
              <w:t>6.</w:t>
            </w:r>
          </w:p>
        </w:tc>
        <w:tc>
          <w:tcPr>
            <w:tcW w:w="2368" w:type="pct"/>
          </w:tcPr>
          <w:p w:rsidR="00A54DFF" w:rsidRPr="00C2362F" w:rsidRDefault="00A54DFF" w:rsidP="00353E8B">
            <w:pPr>
              <w:pStyle w:val="naiskr"/>
              <w:spacing w:before="0" w:after="0"/>
              <w:ind w:left="57" w:right="57"/>
            </w:pPr>
            <w:r w:rsidRPr="00C2362F">
              <w:t>Cita informācija</w:t>
            </w:r>
          </w:p>
        </w:tc>
        <w:tc>
          <w:tcPr>
            <w:tcW w:w="2079" w:type="pct"/>
          </w:tcPr>
          <w:p w:rsidR="00A54DFF" w:rsidRPr="00C2362F" w:rsidRDefault="00A54DFF" w:rsidP="0019197D">
            <w:pPr>
              <w:pStyle w:val="naiskr"/>
              <w:spacing w:before="0" w:after="0"/>
              <w:ind w:right="57"/>
            </w:pPr>
            <w:r w:rsidRPr="00C2362F">
              <w:t>Nav</w:t>
            </w:r>
          </w:p>
        </w:tc>
      </w:tr>
    </w:tbl>
    <w:p w:rsidR="008E1843" w:rsidRPr="00C2362F" w:rsidRDefault="00973D4C" w:rsidP="00F22DA3">
      <w:pPr>
        <w:spacing w:before="75" w:after="75" w:line="240" w:lineRule="auto"/>
        <w:rPr>
          <w:rFonts w:ascii="Times New Roman" w:eastAsia="Times New Roman" w:hAnsi="Times New Roman"/>
          <w:iCs/>
          <w:sz w:val="24"/>
          <w:szCs w:val="24"/>
          <w:lang w:eastAsia="lv-LV"/>
        </w:rPr>
      </w:pPr>
      <w:r w:rsidRPr="00C2362F">
        <w:rPr>
          <w:rFonts w:ascii="Times New Roman" w:eastAsia="Times New Roman" w:hAnsi="Times New Roman"/>
          <w:iCs/>
          <w:sz w:val="24"/>
          <w:szCs w:val="24"/>
          <w:lang w:eastAsia="lv-LV"/>
        </w:rPr>
        <w:t xml:space="preserve">Anotācijas II, IV, V un VI sadaļa – projekts šīs jomas neskar. </w:t>
      </w:r>
    </w:p>
    <w:p w:rsidR="00F22DA3" w:rsidRDefault="00F22DA3" w:rsidP="00F22DA3">
      <w:pPr>
        <w:spacing w:before="75" w:after="75" w:line="240" w:lineRule="auto"/>
        <w:rPr>
          <w:rFonts w:ascii="Times New Roman" w:eastAsia="Times New Roman" w:hAnsi="Times New Roman"/>
          <w:iCs/>
          <w:sz w:val="24"/>
          <w:szCs w:val="24"/>
          <w:lang w:eastAsia="lv-LV"/>
        </w:rPr>
      </w:pPr>
    </w:p>
    <w:p w:rsidR="00EB259F" w:rsidRPr="00C2362F" w:rsidRDefault="00EB259F" w:rsidP="00F22DA3">
      <w:pPr>
        <w:spacing w:before="75" w:after="75" w:line="240" w:lineRule="auto"/>
        <w:rPr>
          <w:rFonts w:ascii="Times New Roman" w:eastAsia="Times New Roman" w:hAnsi="Times New Roman"/>
          <w:iCs/>
          <w:sz w:val="24"/>
          <w:szCs w:val="24"/>
          <w:lang w:eastAsia="lv-LV"/>
        </w:rPr>
      </w:pPr>
    </w:p>
    <w:p w:rsidR="00EE1A5B" w:rsidRPr="00C2362F" w:rsidRDefault="00EE1A5B" w:rsidP="00F22DA3">
      <w:pPr>
        <w:spacing w:before="75" w:after="75" w:line="240" w:lineRule="auto"/>
        <w:rPr>
          <w:rFonts w:ascii="Times New Roman" w:eastAsia="Times New Roman" w:hAnsi="Times New Roman"/>
          <w:iCs/>
          <w:sz w:val="24"/>
          <w:szCs w:val="24"/>
          <w:lang w:eastAsia="lv-LV"/>
        </w:rPr>
      </w:pPr>
    </w:p>
    <w:p w:rsidR="00A54DFF" w:rsidRPr="00C2362F" w:rsidRDefault="00A54DFF" w:rsidP="00A54DFF">
      <w:pPr>
        <w:pStyle w:val="PlainText"/>
        <w:tabs>
          <w:tab w:val="left" w:pos="7200"/>
          <w:tab w:val="right" w:pos="9072"/>
        </w:tabs>
        <w:jc w:val="both"/>
        <w:rPr>
          <w:rFonts w:ascii="Times New Roman" w:hAnsi="Times New Roman"/>
          <w:sz w:val="24"/>
          <w:szCs w:val="24"/>
        </w:rPr>
      </w:pPr>
      <w:r w:rsidRPr="00C2362F">
        <w:rPr>
          <w:rFonts w:ascii="Times New Roman" w:hAnsi="Times New Roman"/>
          <w:sz w:val="24"/>
          <w:szCs w:val="24"/>
        </w:rPr>
        <w:t>Finanšu ministrs</w:t>
      </w:r>
      <w:r w:rsidRPr="00C2362F">
        <w:rPr>
          <w:rFonts w:ascii="Times New Roman" w:hAnsi="Times New Roman"/>
          <w:sz w:val="24"/>
          <w:szCs w:val="24"/>
        </w:rPr>
        <w:tab/>
        <w:t>A. Vilks</w:t>
      </w:r>
    </w:p>
    <w:p w:rsidR="00BE76EE" w:rsidRPr="00C2362F" w:rsidRDefault="00BE76EE" w:rsidP="00A54DFF">
      <w:pPr>
        <w:pStyle w:val="Header"/>
        <w:tabs>
          <w:tab w:val="clear" w:pos="4153"/>
          <w:tab w:val="clear" w:pos="8306"/>
        </w:tabs>
        <w:rPr>
          <w:rFonts w:ascii="Times New Roman" w:hAnsi="Times New Roman"/>
        </w:rPr>
      </w:pPr>
    </w:p>
    <w:p w:rsidR="00EE1A5B" w:rsidRPr="00C2362F" w:rsidRDefault="00EE1A5B" w:rsidP="00A54DFF">
      <w:pPr>
        <w:pStyle w:val="Header"/>
        <w:tabs>
          <w:tab w:val="clear" w:pos="4153"/>
          <w:tab w:val="clear" w:pos="8306"/>
        </w:tabs>
        <w:rPr>
          <w:rFonts w:ascii="Times New Roman" w:hAnsi="Times New Roman"/>
        </w:rPr>
      </w:pPr>
    </w:p>
    <w:p w:rsidR="00EE1A5B" w:rsidRPr="00C2362F" w:rsidRDefault="00EE1A5B" w:rsidP="00A54DFF">
      <w:pPr>
        <w:pStyle w:val="Header"/>
        <w:tabs>
          <w:tab w:val="clear" w:pos="4153"/>
          <w:tab w:val="clear" w:pos="8306"/>
        </w:tabs>
        <w:rPr>
          <w:rFonts w:ascii="Times New Roman" w:hAnsi="Times New Roman"/>
        </w:rPr>
      </w:pPr>
    </w:p>
    <w:p w:rsidR="00EE1A5B" w:rsidRPr="00C2362F" w:rsidRDefault="00EE1A5B" w:rsidP="00A54DFF">
      <w:pPr>
        <w:pStyle w:val="Header"/>
        <w:tabs>
          <w:tab w:val="clear" w:pos="4153"/>
          <w:tab w:val="clear" w:pos="8306"/>
        </w:tabs>
        <w:rPr>
          <w:rFonts w:ascii="Times New Roman" w:hAnsi="Times New Roman"/>
        </w:rPr>
      </w:pPr>
    </w:p>
    <w:p w:rsidR="00EE1A5B" w:rsidRPr="00C2362F" w:rsidRDefault="00EE1A5B" w:rsidP="00A54DFF">
      <w:pPr>
        <w:pStyle w:val="Header"/>
        <w:tabs>
          <w:tab w:val="clear" w:pos="4153"/>
          <w:tab w:val="clear" w:pos="8306"/>
        </w:tabs>
        <w:rPr>
          <w:rFonts w:ascii="Times New Roman" w:hAnsi="Times New Roman"/>
        </w:rPr>
      </w:pPr>
    </w:p>
    <w:p w:rsidR="00EE1A5B" w:rsidRPr="00C2362F" w:rsidRDefault="00EE1A5B" w:rsidP="00A54DFF">
      <w:pPr>
        <w:pStyle w:val="Header"/>
        <w:tabs>
          <w:tab w:val="clear" w:pos="4153"/>
          <w:tab w:val="clear" w:pos="8306"/>
        </w:tabs>
        <w:rPr>
          <w:rFonts w:ascii="Times New Roman" w:hAnsi="Times New Roman"/>
        </w:rPr>
      </w:pPr>
    </w:p>
    <w:p w:rsidR="00EE1A5B" w:rsidRPr="00C2362F" w:rsidRDefault="00EE1A5B" w:rsidP="00A54DFF">
      <w:pPr>
        <w:pStyle w:val="Header"/>
        <w:tabs>
          <w:tab w:val="clear" w:pos="4153"/>
          <w:tab w:val="clear" w:pos="8306"/>
        </w:tabs>
        <w:rPr>
          <w:rFonts w:ascii="Times New Roman" w:hAnsi="Times New Roman"/>
        </w:rPr>
      </w:pPr>
    </w:p>
    <w:p w:rsidR="00EE1A5B" w:rsidRPr="00C2362F" w:rsidRDefault="00EE1A5B" w:rsidP="00A54DFF">
      <w:pPr>
        <w:pStyle w:val="Header"/>
        <w:tabs>
          <w:tab w:val="clear" w:pos="4153"/>
          <w:tab w:val="clear" w:pos="8306"/>
        </w:tabs>
        <w:rPr>
          <w:rFonts w:ascii="Times New Roman" w:hAnsi="Times New Roman"/>
        </w:rPr>
      </w:pPr>
    </w:p>
    <w:p w:rsidR="00EE1A5B" w:rsidRPr="00C2362F" w:rsidRDefault="00EE1A5B" w:rsidP="00A54DFF">
      <w:pPr>
        <w:pStyle w:val="Header"/>
        <w:tabs>
          <w:tab w:val="clear" w:pos="4153"/>
          <w:tab w:val="clear" w:pos="8306"/>
        </w:tabs>
        <w:rPr>
          <w:rFonts w:ascii="Times New Roman" w:hAnsi="Times New Roman"/>
        </w:rPr>
      </w:pPr>
    </w:p>
    <w:p w:rsidR="00EE1A5B" w:rsidRDefault="00EE1A5B" w:rsidP="00A54DFF">
      <w:pPr>
        <w:pStyle w:val="Header"/>
        <w:tabs>
          <w:tab w:val="clear" w:pos="4153"/>
          <w:tab w:val="clear" w:pos="8306"/>
        </w:tabs>
        <w:rPr>
          <w:rFonts w:ascii="Times New Roman" w:hAnsi="Times New Roman"/>
        </w:rPr>
      </w:pPr>
    </w:p>
    <w:p w:rsidR="000C2778" w:rsidRDefault="000C2778" w:rsidP="00A54DFF">
      <w:pPr>
        <w:pStyle w:val="Header"/>
        <w:tabs>
          <w:tab w:val="clear" w:pos="4153"/>
          <w:tab w:val="clear" w:pos="8306"/>
        </w:tabs>
        <w:rPr>
          <w:rFonts w:ascii="Times New Roman" w:hAnsi="Times New Roman"/>
        </w:rPr>
      </w:pPr>
    </w:p>
    <w:p w:rsidR="000C2778" w:rsidRDefault="000C2778" w:rsidP="00A54DFF">
      <w:pPr>
        <w:pStyle w:val="Header"/>
        <w:tabs>
          <w:tab w:val="clear" w:pos="4153"/>
          <w:tab w:val="clear" w:pos="8306"/>
        </w:tabs>
        <w:rPr>
          <w:rFonts w:ascii="Times New Roman" w:hAnsi="Times New Roman"/>
        </w:rPr>
      </w:pPr>
    </w:p>
    <w:p w:rsidR="000C2778" w:rsidRDefault="000C2778" w:rsidP="00A54DFF">
      <w:pPr>
        <w:pStyle w:val="Header"/>
        <w:tabs>
          <w:tab w:val="clear" w:pos="4153"/>
          <w:tab w:val="clear" w:pos="8306"/>
        </w:tabs>
        <w:rPr>
          <w:rFonts w:ascii="Times New Roman" w:hAnsi="Times New Roman"/>
        </w:rPr>
      </w:pPr>
    </w:p>
    <w:p w:rsidR="000C2778" w:rsidRDefault="000C2778" w:rsidP="00A54DFF">
      <w:pPr>
        <w:pStyle w:val="Header"/>
        <w:tabs>
          <w:tab w:val="clear" w:pos="4153"/>
          <w:tab w:val="clear" w:pos="8306"/>
        </w:tabs>
        <w:rPr>
          <w:rFonts w:ascii="Times New Roman" w:hAnsi="Times New Roman"/>
        </w:rPr>
      </w:pPr>
    </w:p>
    <w:p w:rsidR="000C2778" w:rsidRPr="00C2362F" w:rsidRDefault="000C2778" w:rsidP="00A54DFF">
      <w:pPr>
        <w:pStyle w:val="Header"/>
        <w:tabs>
          <w:tab w:val="clear" w:pos="4153"/>
          <w:tab w:val="clear" w:pos="8306"/>
        </w:tabs>
        <w:rPr>
          <w:rFonts w:ascii="Times New Roman" w:hAnsi="Times New Roman"/>
        </w:rPr>
      </w:pPr>
    </w:p>
    <w:p w:rsidR="00EE1A5B" w:rsidRPr="00C2362F" w:rsidRDefault="00EE1A5B" w:rsidP="00A54DFF">
      <w:pPr>
        <w:pStyle w:val="Header"/>
        <w:tabs>
          <w:tab w:val="clear" w:pos="4153"/>
          <w:tab w:val="clear" w:pos="8306"/>
        </w:tabs>
        <w:rPr>
          <w:rFonts w:ascii="Times New Roman" w:hAnsi="Times New Roman"/>
        </w:rPr>
      </w:pPr>
    </w:p>
    <w:p w:rsidR="00EE1A5B" w:rsidRPr="00C2362F" w:rsidRDefault="00EE1A5B" w:rsidP="00A54DFF">
      <w:pPr>
        <w:pStyle w:val="Header"/>
        <w:tabs>
          <w:tab w:val="clear" w:pos="4153"/>
          <w:tab w:val="clear" w:pos="8306"/>
        </w:tabs>
        <w:rPr>
          <w:rFonts w:ascii="Times New Roman" w:hAnsi="Times New Roman"/>
        </w:rPr>
      </w:pPr>
    </w:p>
    <w:p w:rsidR="00EE1A5B" w:rsidRPr="00C2362F" w:rsidRDefault="00EE1A5B" w:rsidP="00A54DFF">
      <w:pPr>
        <w:pStyle w:val="Header"/>
        <w:tabs>
          <w:tab w:val="clear" w:pos="4153"/>
          <w:tab w:val="clear" w:pos="8306"/>
        </w:tabs>
        <w:rPr>
          <w:rFonts w:ascii="Times New Roman" w:hAnsi="Times New Roman"/>
        </w:rPr>
      </w:pPr>
    </w:p>
    <w:p w:rsidR="00A54DFF" w:rsidRPr="00C2362F" w:rsidRDefault="000C2778" w:rsidP="00A54DFF">
      <w:pPr>
        <w:pStyle w:val="Header"/>
        <w:tabs>
          <w:tab w:val="clear" w:pos="4153"/>
          <w:tab w:val="clear" w:pos="8306"/>
        </w:tabs>
        <w:rPr>
          <w:rFonts w:ascii="Times New Roman" w:hAnsi="Times New Roman"/>
        </w:rPr>
      </w:pPr>
      <w:r>
        <w:rPr>
          <w:rFonts w:ascii="Times New Roman" w:hAnsi="Times New Roman"/>
        </w:rPr>
        <w:t>06.09</w:t>
      </w:r>
      <w:r w:rsidR="00A54DFF" w:rsidRPr="00C2362F">
        <w:rPr>
          <w:rFonts w:ascii="Times New Roman" w:hAnsi="Times New Roman"/>
        </w:rPr>
        <w:t xml:space="preserve">.2013. </w:t>
      </w:r>
      <w:r w:rsidR="00EE1A5B" w:rsidRPr="00C2362F">
        <w:rPr>
          <w:rFonts w:ascii="Times New Roman" w:hAnsi="Times New Roman"/>
        </w:rPr>
        <w:t>14:17</w:t>
      </w:r>
    </w:p>
    <w:p w:rsidR="00A54DFF" w:rsidRPr="00C2362F" w:rsidRDefault="00F32638" w:rsidP="00A54DFF">
      <w:pPr>
        <w:pStyle w:val="Header"/>
        <w:tabs>
          <w:tab w:val="clear" w:pos="4153"/>
          <w:tab w:val="clear" w:pos="8306"/>
        </w:tabs>
        <w:rPr>
          <w:rFonts w:ascii="Times New Roman" w:hAnsi="Times New Roman"/>
        </w:rPr>
      </w:pPr>
      <w:r w:rsidRPr="00C2362F">
        <w:rPr>
          <w:rFonts w:ascii="Times New Roman" w:hAnsi="Times New Roman"/>
        </w:rPr>
        <w:t>1</w:t>
      </w:r>
      <w:r w:rsidR="00EE1A5B" w:rsidRPr="00C2362F">
        <w:rPr>
          <w:rFonts w:ascii="Times New Roman" w:hAnsi="Times New Roman"/>
        </w:rPr>
        <w:t>4</w:t>
      </w:r>
      <w:r w:rsidR="00EB259F">
        <w:rPr>
          <w:rFonts w:ascii="Times New Roman" w:hAnsi="Times New Roman"/>
        </w:rPr>
        <w:t>51</w:t>
      </w:r>
    </w:p>
    <w:p w:rsidR="00A54DFF" w:rsidRPr="00C2362F" w:rsidRDefault="00A54DFF" w:rsidP="00A54DFF">
      <w:pPr>
        <w:pStyle w:val="Header"/>
        <w:tabs>
          <w:tab w:val="clear" w:pos="4153"/>
          <w:tab w:val="clear" w:pos="8306"/>
        </w:tabs>
        <w:rPr>
          <w:rFonts w:ascii="Times New Roman" w:hAnsi="Times New Roman"/>
        </w:rPr>
      </w:pPr>
      <w:bookmarkStart w:id="9" w:name="OLE_LINK8"/>
      <w:bookmarkStart w:id="10" w:name="OLE_LINK15"/>
      <w:bookmarkStart w:id="11" w:name="OLE_LINK5"/>
      <w:r w:rsidRPr="00C2362F">
        <w:rPr>
          <w:rFonts w:ascii="Times New Roman" w:hAnsi="Times New Roman"/>
        </w:rPr>
        <w:t>A.Gulbe</w:t>
      </w:r>
    </w:p>
    <w:p w:rsidR="00927335" w:rsidRPr="004558D6" w:rsidRDefault="00A54DFF" w:rsidP="0031551A">
      <w:pPr>
        <w:pStyle w:val="Header"/>
        <w:tabs>
          <w:tab w:val="clear" w:pos="4153"/>
          <w:tab w:val="clear" w:pos="8306"/>
        </w:tabs>
      </w:pPr>
      <w:bookmarkStart w:id="12" w:name="_GoBack"/>
      <w:r w:rsidRPr="00C2362F">
        <w:rPr>
          <w:rFonts w:ascii="Times New Roman" w:hAnsi="Times New Roman"/>
        </w:rPr>
        <w:t>67024698, aiga.gulbe@vni.lv</w:t>
      </w:r>
      <w:bookmarkEnd w:id="9"/>
      <w:bookmarkEnd w:id="10"/>
      <w:bookmarkEnd w:id="11"/>
      <w:bookmarkEnd w:id="12"/>
    </w:p>
    <w:sectPr w:rsidR="00927335" w:rsidRPr="004558D6" w:rsidSect="00F831F3">
      <w:headerReference w:type="even" r:id="rId8"/>
      <w:headerReference w:type="default" r:id="rId9"/>
      <w:footerReference w:type="even" r:id="rId10"/>
      <w:footerReference w:type="default" r:id="rId11"/>
      <w:headerReference w:type="first" r:id="rId12"/>
      <w:footerReference w:type="first" r:id="rId13"/>
      <w:pgSz w:w="11906" w:h="16838" w:code="9"/>
      <w:pgMar w:top="426" w:right="1134" w:bottom="1560" w:left="1701" w:header="817"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1EC" w:rsidRDefault="00F731EC" w:rsidP="00CC4CA4">
      <w:pPr>
        <w:spacing w:after="0" w:line="240" w:lineRule="auto"/>
      </w:pPr>
      <w:r>
        <w:separator/>
      </w:r>
    </w:p>
  </w:endnote>
  <w:endnote w:type="continuationSeparator" w:id="0">
    <w:p w:rsidR="00F731EC" w:rsidRDefault="00F731EC"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F3" w:rsidRDefault="00316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F3" w:rsidRPr="00437F48" w:rsidRDefault="003161F3" w:rsidP="005B3374">
    <w:pPr>
      <w:pStyle w:val="Footer"/>
      <w:jc w:val="both"/>
      <w:rPr>
        <w:rFonts w:ascii="Times New Roman" w:hAnsi="Times New Roman"/>
        <w:sz w:val="18"/>
        <w:szCs w:val="18"/>
      </w:rPr>
    </w:pPr>
    <w:r w:rsidRPr="00437F48">
      <w:rPr>
        <w:rFonts w:ascii="Times New Roman" w:hAnsi="Times New Roman"/>
        <w:sz w:val="18"/>
        <w:szCs w:val="18"/>
      </w:rPr>
      <w:fldChar w:fldCharType="begin"/>
    </w:r>
    <w:r w:rsidRPr="00437F48">
      <w:rPr>
        <w:rFonts w:ascii="Times New Roman" w:hAnsi="Times New Roman"/>
        <w:sz w:val="18"/>
        <w:szCs w:val="18"/>
      </w:rPr>
      <w:instrText xml:space="preserve"> FILENAME </w:instrText>
    </w:r>
    <w:r w:rsidRPr="00437F48">
      <w:rPr>
        <w:rFonts w:ascii="Times New Roman" w:hAnsi="Times New Roman"/>
        <w:sz w:val="18"/>
        <w:szCs w:val="18"/>
      </w:rPr>
      <w:fldChar w:fldCharType="separate"/>
    </w:r>
    <w:r w:rsidR="000C2778">
      <w:rPr>
        <w:rFonts w:ascii="Times New Roman" w:hAnsi="Times New Roman"/>
        <w:noProof/>
        <w:sz w:val="18"/>
        <w:szCs w:val="18"/>
      </w:rPr>
      <w:t>FMAnot_230813_GrozMKRik251</w:t>
    </w:r>
    <w:r w:rsidRPr="00437F48">
      <w:rPr>
        <w:rFonts w:ascii="Times New Roman" w:hAnsi="Times New Roman"/>
        <w:sz w:val="18"/>
        <w:szCs w:val="18"/>
      </w:rPr>
      <w:fldChar w:fldCharType="end"/>
    </w:r>
    <w:r w:rsidRPr="00437F48">
      <w:rPr>
        <w:rFonts w:ascii="Times New Roman" w:hAnsi="Times New Roman"/>
        <w:sz w:val="18"/>
        <w:szCs w:val="18"/>
      </w:rPr>
      <w:t>; Ministru kabineta rīkojuma projekta „Grozījum</w:t>
    </w:r>
    <w:r>
      <w:rPr>
        <w:rFonts w:ascii="Times New Roman" w:hAnsi="Times New Roman"/>
        <w:sz w:val="18"/>
        <w:szCs w:val="18"/>
      </w:rPr>
      <w:t>i</w:t>
    </w:r>
    <w:r w:rsidRPr="00437F48">
      <w:rPr>
        <w:rFonts w:ascii="Times New Roman" w:hAnsi="Times New Roman"/>
        <w:sz w:val="18"/>
        <w:szCs w:val="18"/>
      </w:rPr>
      <w:t xml:space="preserve"> Ministru kabineta 2013.gada 18.jūnija rīkojumā Nr.251 „Par finansējuma piešķiršanu ēkas Miera ielā 58A, Rīgā, būvniecības projekta un nomas maksas izdevumu segšanai un ēkas Lāčplēša ielā 25, Rīgā, rekonstrukcijas ietvaros veicamo pārcelšanās un aprīkojuma iegādes izdevumu segšanai”” sākotnējās ietekmes novērtējuma </w:t>
    </w:r>
    <w:smartTag w:uri="schemas-tilde-lv/tildestengine" w:element="veidnes">
      <w:smartTagPr>
        <w:attr w:name="text" w:val="ziņojums"/>
        <w:attr w:name="baseform" w:val="ziņojums"/>
        <w:attr w:name="id" w:val="-1"/>
      </w:smartTagPr>
      <w:r w:rsidRPr="00437F48">
        <w:rPr>
          <w:rFonts w:ascii="Times New Roman" w:hAnsi="Times New Roman"/>
          <w:sz w:val="18"/>
          <w:szCs w:val="18"/>
        </w:rPr>
        <w:t>ziņojums</w:t>
      </w:r>
    </w:smartTag>
    <w:r w:rsidRPr="00437F48">
      <w:rPr>
        <w:rFonts w:ascii="Times New Roman" w:hAnsi="Times New Roman"/>
        <w:sz w:val="18"/>
        <w:szCs w:val="18"/>
      </w:rPr>
      <w:t xml:space="preserve"> (anotācija)</w:t>
    </w:r>
  </w:p>
  <w:p w:rsidR="003161F3" w:rsidRPr="005B3374" w:rsidRDefault="003161F3" w:rsidP="005B3374">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F3" w:rsidRPr="00437F48" w:rsidRDefault="003161F3" w:rsidP="00437F48">
    <w:pPr>
      <w:pStyle w:val="Footer"/>
      <w:jc w:val="both"/>
      <w:rPr>
        <w:rFonts w:ascii="Times New Roman" w:hAnsi="Times New Roman"/>
        <w:sz w:val="18"/>
        <w:szCs w:val="18"/>
      </w:rPr>
    </w:pPr>
    <w:r w:rsidRPr="00437F48">
      <w:rPr>
        <w:rFonts w:ascii="Times New Roman" w:hAnsi="Times New Roman"/>
        <w:sz w:val="18"/>
        <w:szCs w:val="18"/>
      </w:rPr>
      <w:fldChar w:fldCharType="begin"/>
    </w:r>
    <w:r w:rsidRPr="00437F48">
      <w:rPr>
        <w:rFonts w:ascii="Times New Roman" w:hAnsi="Times New Roman"/>
        <w:sz w:val="18"/>
        <w:szCs w:val="18"/>
      </w:rPr>
      <w:instrText xml:space="preserve"> FILENAME </w:instrText>
    </w:r>
    <w:r w:rsidRPr="00437F48">
      <w:rPr>
        <w:rFonts w:ascii="Times New Roman" w:hAnsi="Times New Roman"/>
        <w:sz w:val="18"/>
        <w:szCs w:val="18"/>
      </w:rPr>
      <w:fldChar w:fldCharType="separate"/>
    </w:r>
    <w:r w:rsidR="000C2778">
      <w:rPr>
        <w:rFonts w:ascii="Times New Roman" w:hAnsi="Times New Roman"/>
        <w:noProof/>
        <w:sz w:val="18"/>
        <w:szCs w:val="18"/>
      </w:rPr>
      <w:t>FMAnot_230813_GrozMKRik251</w:t>
    </w:r>
    <w:r w:rsidRPr="00437F48">
      <w:rPr>
        <w:rFonts w:ascii="Times New Roman" w:hAnsi="Times New Roman"/>
        <w:sz w:val="18"/>
        <w:szCs w:val="18"/>
      </w:rPr>
      <w:fldChar w:fldCharType="end"/>
    </w:r>
    <w:r w:rsidRPr="00437F48">
      <w:rPr>
        <w:rFonts w:ascii="Times New Roman" w:hAnsi="Times New Roman"/>
        <w:sz w:val="18"/>
        <w:szCs w:val="18"/>
      </w:rPr>
      <w:t>; Ministru kabineta rīkojuma projekta „Grozījum</w:t>
    </w:r>
    <w:r>
      <w:rPr>
        <w:rFonts w:ascii="Times New Roman" w:hAnsi="Times New Roman"/>
        <w:sz w:val="18"/>
        <w:szCs w:val="18"/>
      </w:rPr>
      <w:t>i</w:t>
    </w:r>
    <w:r w:rsidRPr="00437F48">
      <w:rPr>
        <w:rFonts w:ascii="Times New Roman" w:hAnsi="Times New Roman"/>
        <w:sz w:val="18"/>
        <w:szCs w:val="18"/>
      </w:rPr>
      <w:t xml:space="preserve"> Ministru kabineta 2013.gada 18.jūnija rīkojumā Nr.251 „Par finansējuma piešķiršanu ēkas Miera ielā 58A, Rīgā, būvniecības projekta un nomas maksas izdevumu segšanai un ēkas Lāčplēša ielā 25, Rīgā, rekonstrukcijas ietvaros veicamo pārcelšanās un aprīkojuma iegādes izdevumu segšanai”” sākotnējās ietekmes novērtējuma </w:t>
    </w:r>
    <w:smartTag w:uri="schemas-tilde-lv/tildestengine" w:element="veidnes">
      <w:smartTagPr>
        <w:attr w:name="text" w:val="ziņojums"/>
        <w:attr w:name="baseform" w:val="ziņojums"/>
        <w:attr w:name="id" w:val="-1"/>
      </w:smartTagPr>
      <w:r w:rsidRPr="00437F48">
        <w:rPr>
          <w:rFonts w:ascii="Times New Roman" w:hAnsi="Times New Roman"/>
          <w:sz w:val="18"/>
          <w:szCs w:val="18"/>
        </w:rPr>
        <w:t>ziņojums</w:t>
      </w:r>
    </w:smartTag>
    <w:r w:rsidRPr="00437F48">
      <w:rPr>
        <w:rFonts w:ascii="Times New Roman" w:hAnsi="Times New Roman"/>
        <w:sz w:val="18"/>
        <w:szCs w:val="18"/>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1EC" w:rsidRDefault="00F731EC" w:rsidP="00CC4CA4">
      <w:pPr>
        <w:spacing w:after="0" w:line="240" w:lineRule="auto"/>
      </w:pPr>
      <w:r>
        <w:separator/>
      </w:r>
    </w:p>
  </w:footnote>
  <w:footnote w:type="continuationSeparator" w:id="0">
    <w:p w:rsidR="00F731EC" w:rsidRDefault="00F731EC"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F3" w:rsidRDefault="00316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F3" w:rsidRPr="005C4541" w:rsidRDefault="003161F3"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535895">
      <w:rPr>
        <w:rFonts w:ascii="Times New Roman" w:hAnsi="Times New Roman"/>
        <w:noProof/>
        <w:sz w:val="22"/>
      </w:rPr>
      <w:t>5</w:t>
    </w:r>
    <w:r w:rsidRPr="005C4541">
      <w:rPr>
        <w:rFonts w:ascii="Times New Roman" w:hAnsi="Times New Roman"/>
        <w:sz w:val="22"/>
      </w:rPr>
      <w:fldChar w:fldCharType="end"/>
    </w:r>
  </w:p>
  <w:p w:rsidR="003161F3" w:rsidRDefault="003161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F3" w:rsidRDefault="003161F3" w:rsidP="003873C4">
    <w:pPr>
      <w:pStyle w:val="Header"/>
      <w:tabs>
        <w:tab w:val="clear" w:pos="4153"/>
        <w:tab w:val="clear" w:pos="8306"/>
      </w:tabs>
    </w:pPr>
  </w:p>
  <w:p w:rsidR="003161F3" w:rsidRDefault="003161F3" w:rsidP="003873C4">
    <w:pPr>
      <w:pStyle w:val="Header"/>
      <w:tabs>
        <w:tab w:val="clear" w:pos="4153"/>
        <w:tab w:val="clear" w:pos="8306"/>
      </w:tabs>
    </w:pPr>
  </w:p>
  <w:p w:rsidR="003161F3" w:rsidRDefault="003161F3" w:rsidP="003873C4">
    <w:pPr>
      <w:pStyle w:val="Header"/>
      <w:tabs>
        <w:tab w:val="clear" w:pos="4153"/>
        <w:tab w:val="clear" w:pos="8306"/>
      </w:tabs>
    </w:pPr>
  </w:p>
  <w:p w:rsidR="003161F3" w:rsidRPr="009D4758" w:rsidRDefault="003161F3"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3">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6">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7">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9">
    <w:nsid w:val="50952802"/>
    <w:multiLevelType w:val="hybridMultilevel"/>
    <w:tmpl w:val="10A0482E"/>
    <w:lvl w:ilvl="0" w:tplc="6A18A712">
      <w:start w:val="2"/>
      <w:numFmt w:val="bullet"/>
      <w:lvlText w:val="–"/>
      <w:lvlJc w:val="left"/>
      <w:pPr>
        <w:ind w:left="1352"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0">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11">
    <w:nsid w:val="76A741B1"/>
    <w:multiLevelType w:val="hybridMultilevel"/>
    <w:tmpl w:val="B666D52E"/>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6"/>
  </w:num>
  <w:num w:numId="5">
    <w:abstractNumId w:val="2"/>
  </w:num>
  <w:num w:numId="6">
    <w:abstractNumId w:val="5"/>
  </w:num>
  <w:num w:numId="7">
    <w:abstractNumId w:val="1"/>
  </w:num>
  <w:num w:numId="8">
    <w:abstractNumId w:val="10"/>
  </w:num>
  <w:num w:numId="9">
    <w:abstractNumId w:val="9"/>
  </w:num>
  <w:num w:numId="10">
    <w:abstractNumId w:val="7"/>
  </w:num>
  <w:num w:numId="11">
    <w:abstractNumId w:val="3"/>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13AA"/>
    <w:rsid w:val="00002C9A"/>
    <w:rsid w:val="00003B11"/>
    <w:rsid w:val="000077E5"/>
    <w:rsid w:val="00007938"/>
    <w:rsid w:val="0000793C"/>
    <w:rsid w:val="000111C8"/>
    <w:rsid w:val="00011A5E"/>
    <w:rsid w:val="00011E50"/>
    <w:rsid w:val="000172C8"/>
    <w:rsid w:val="0002066C"/>
    <w:rsid w:val="0002179E"/>
    <w:rsid w:val="00023908"/>
    <w:rsid w:val="00023B06"/>
    <w:rsid w:val="00023B66"/>
    <w:rsid w:val="00024E67"/>
    <w:rsid w:val="000269CA"/>
    <w:rsid w:val="00030306"/>
    <w:rsid w:val="00030765"/>
    <w:rsid w:val="00031EB7"/>
    <w:rsid w:val="00033065"/>
    <w:rsid w:val="000340C1"/>
    <w:rsid w:val="000341B3"/>
    <w:rsid w:val="0003493A"/>
    <w:rsid w:val="000363FB"/>
    <w:rsid w:val="000365F3"/>
    <w:rsid w:val="00036AE4"/>
    <w:rsid w:val="00037345"/>
    <w:rsid w:val="00037B7B"/>
    <w:rsid w:val="00037E38"/>
    <w:rsid w:val="00040B75"/>
    <w:rsid w:val="000430CC"/>
    <w:rsid w:val="000467C0"/>
    <w:rsid w:val="000471FB"/>
    <w:rsid w:val="0004733A"/>
    <w:rsid w:val="00050574"/>
    <w:rsid w:val="00053157"/>
    <w:rsid w:val="00061B65"/>
    <w:rsid w:val="00061F78"/>
    <w:rsid w:val="00062709"/>
    <w:rsid w:val="0006329E"/>
    <w:rsid w:val="00064A81"/>
    <w:rsid w:val="00065B9F"/>
    <w:rsid w:val="000669C9"/>
    <w:rsid w:val="00067147"/>
    <w:rsid w:val="000705B2"/>
    <w:rsid w:val="00070646"/>
    <w:rsid w:val="00070F24"/>
    <w:rsid w:val="00072FD8"/>
    <w:rsid w:val="00073FCD"/>
    <w:rsid w:val="00074B0E"/>
    <w:rsid w:val="00077E78"/>
    <w:rsid w:val="00082103"/>
    <w:rsid w:val="00082376"/>
    <w:rsid w:val="00083AD3"/>
    <w:rsid w:val="0008412E"/>
    <w:rsid w:val="00085F05"/>
    <w:rsid w:val="00086AE4"/>
    <w:rsid w:val="00087B86"/>
    <w:rsid w:val="00090500"/>
    <w:rsid w:val="00091795"/>
    <w:rsid w:val="000930E7"/>
    <w:rsid w:val="00093477"/>
    <w:rsid w:val="000A28CB"/>
    <w:rsid w:val="000A2CA3"/>
    <w:rsid w:val="000A5311"/>
    <w:rsid w:val="000B03C5"/>
    <w:rsid w:val="000B28F3"/>
    <w:rsid w:val="000B3290"/>
    <w:rsid w:val="000B4168"/>
    <w:rsid w:val="000B4864"/>
    <w:rsid w:val="000B4A80"/>
    <w:rsid w:val="000B6F04"/>
    <w:rsid w:val="000C0569"/>
    <w:rsid w:val="000C2778"/>
    <w:rsid w:val="000C30BE"/>
    <w:rsid w:val="000C735A"/>
    <w:rsid w:val="000D05D8"/>
    <w:rsid w:val="000D1348"/>
    <w:rsid w:val="000D2975"/>
    <w:rsid w:val="000D3176"/>
    <w:rsid w:val="000D45EF"/>
    <w:rsid w:val="000D5863"/>
    <w:rsid w:val="000D59A2"/>
    <w:rsid w:val="000D59D4"/>
    <w:rsid w:val="000D5F9C"/>
    <w:rsid w:val="000D6591"/>
    <w:rsid w:val="000D6EEF"/>
    <w:rsid w:val="000E032C"/>
    <w:rsid w:val="000E0748"/>
    <w:rsid w:val="000E1089"/>
    <w:rsid w:val="000E2CA6"/>
    <w:rsid w:val="000E53F5"/>
    <w:rsid w:val="000E6084"/>
    <w:rsid w:val="000E7113"/>
    <w:rsid w:val="000E7FCC"/>
    <w:rsid w:val="000F348A"/>
    <w:rsid w:val="000F437A"/>
    <w:rsid w:val="000F46F8"/>
    <w:rsid w:val="000F4B31"/>
    <w:rsid w:val="000F5A87"/>
    <w:rsid w:val="000F7849"/>
    <w:rsid w:val="001002FE"/>
    <w:rsid w:val="001015F1"/>
    <w:rsid w:val="00101697"/>
    <w:rsid w:val="001039B4"/>
    <w:rsid w:val="0011220C"/>
    <w:rsid w:val="00113FEC"/>
    <w:rsid w:val="00116874"/>
    <w:rsid w:val="00116958"/>
    <w:rsid w:val="00120AD6"/>
    <w:rsid w:val="001227DF"/>
    <w:rsid w:val="00123E7A"/>
    <w:rsid w:val="00125F40"/>
    <w:rsid w:val="0012662E"/>
    <w:rsid w:val="00126BA0"/>
    <w:rsid w:val="00126EA6"/>
    <w:rsid w:val="00130482"/>
    <w:rsid w:val="0013647D"/>
    <w:rsid w:val="0013795D"/>
    <w:rsid w:val="00140915"/>
    <w:rsid w:val="001418EC"/>
    <w:rsid w:val="001446E9"/>
    <w:rsid w:val="00146CA1"/>
    <w:rsid w:val="00150F2D"/>
    <w:rsid w:val="001513D8"/>
    <w:rsid w:val="00152084"/>
    <w:rsid w:val="0015391E"/>
    <w:rsid w:val="001556E6"/>
    <w:rsid w:val="001568DC"/>
    <w:rsid w:val="001572D2"/>
    <w:rsid w:val="00157A17"/>
    <w:rsid w:val="00160875"/>
    <w:rsid w:val="0016155B"/>
    <w:rsid w:val="001616F5"/>
    <w:rsid w:val="001620FE"/>
    <w:rsid w:val="0016212B"/>
    <w:rsid w:val="001625C1"/>
    <w:rsid w:val="0016332E"/>
    <w:rsid w:val="00163441"/>
    <w:rsid w:val="0016399E"/>
    <w:rsid w:val="00163DD7"/>
    <w:rsid w:val="00167403"/>
    <w:rsid w:val="00167554"/>
    <w:rsid w:val="00170F84"/>
    <w:rsid w:val="001744C8"/>
    <w:rsid w:val="00174773"/>
    <w:rsid w:val="001747CC"/>
    <w:rsid w:val="00174853"/>
    <w:rsid w:val="001764E7"/>
    <w:rsid w:val="00176C07"/>
    <w:rsid w:val="00180578"/>
    <w:rsid w:val="001828AC"/>
    <w:rsid w:val="00185150"/>
    <w:rsid w:val="00186D0E"/>
    <w:rsid w:val="0018716B"/>
    <w:rsid w:val="0019033D"/>
    <w:rsid w:val="0019197D"/>
    <w:rsid w:val="001929D8"/>
    <w:rsid w:val="00195722"/>
    <w:rsid w:val="00195D02"/>
    <w:rsid w:val="001966A0"/>
    <w:rsid w:val="00197D72"/>
    <w:rsid w:val="001A1C7F"/>
    <w:rsid w:val="001A3515"/>
    <w:rsid w:val="001A4FD7"/>
    <w:rsid w:val="001B335C"/>
    <w:rsid w:val="001B48D5"/>
    <w:rsid w:val="001B78C6"/>
    <w:rsid w:val="001C33E4"/>
    <w:rsid w:val="001C38C7"/>
    <w:rsid w:val="001C39FE"/>
    <w:rsid w:val="001C4C3A"/>
    <w:rsid w:val="001C4D38"/>
    <w:rsid w:val="001C5C9B"/>
    <w:rsid w:val="001C6C0E"/>
    <w:rsid w:val="001C6CD6"/>
    <w:rsid w:val="001C7D64"/>
    <w:rsid w:val="001D1086"/>
    <w:rsid w:val="001D2E0C"/>
    <w:rsid w:val="001D6235"/>
    <w:rsid w:val="001D6473"/>
    <w:rsid w:val="001D7DA4"/>
    <w:rsid w:val="001E1AC9"/>
    <w:rsid w:val="001E3677"/>
    <w:rsid w:val="001E3816"/>
    <w:rsid w:val="001E554E"/>
    <w:rsid w:val="001E60B9"/>
    <w:rsid w:val="001F1C45"/>
    <w:rsid w:val="001F4354"/>
    <w:rsid w:val="001F48F5"/>
    <w:rsid w:val="001F5A29"/>
    <w:rsid w:val="001F6420"/>
    <w:rsid w:val="001F7369"/>
    <w:rsid w:val="00202CDD"/>
    <w:rsid w:val="00203D0A"/>
    <w:rsid w:val="0020493D"/>
    <w:rsid w:val="00204D73"/>
    <w:rsid w:val="0020525E"/>
    <w:rsid w:val="0020708D"/>
    <w:rsid w:val="00207E6C"/>
    <w:rsid w:val="00213C5D"/>
    <w:rsid w:val="00215900"/>
    <w:rsid w:val="00215BD2"/>
    <w:rsid w:val="0021715E"/>
    <w:rsid w:val="00217507"/>
    <w:rsid w:val="002242B3"/>
    <w:rsid w:val="002265DB"/>
    <w:rsid w:val="00232461"/>
    <w:rsid w:val="00232E3F"/>
    <w:rsid w:val="002335A2"/>
    <w:rsid w:val="002353EC"/>
    <w:rsid w:val="00236BB7"/>
    <w:rsid w:val="0023751E"/>
    <w:rsid w:val="00240EA3"/>
    <w:rsid w:val="002416FF"/>
    <w:rsid w:val="00244F01"/>
    <w:rsid w:val="002452E9"/>
    <w:rsid w:val="0024544B"/>
    <w:rsid w:val="00245664"/>
    <w:rsid w:val="0024613A"/>
    <w:rsid w:val="00251245"/>
    <w:rsid w:val="00251558"/>
    <w:rsid w:val="00251892"/>
    <w:rsid w:val="0025259D"/>
    <w:rsid w:val="00255913"/>
    <w:rsid w:val="00256EB1"/>
    <w:rsid w:val="00257E55"/>
    <w:rsid w:val="00260334"/>
    <w:rsid w:val="00263655"/>
    <w:rsid w:val="00263736"/>
    <w:rsid w:val="00263B81"/>
    <w:rsid w:val="00263FD6"/>
    <w:rsid w:val="0026516A"/>
    <w:rsid w:val="002656BA"/>
    <w:rsid w:val="002664E6"/>
    <w:rsid w:val="00266A9D"/>
    <w:rsid w:val="0026706F"/>
    <w:rsid w:val="00270C50"/>
    <w:rsid w:val="002722A0"/>
    <w:rsid w:val="00274B14"/>
    <w:rsid w:val="0027603D"/>
    <w:rsid w:val="002769E9"/>
    <w:rsid w:val="0028004F"/>
    <w:rsid w:val="00280368"/>
    <w:rsid w:val="00284F44"/>
    <w:rsid w:val="00286169"/>
    <w:rsid w:val="00286546"/>
    <w:rsid w:val="00286875"/>
    <w:rsid w:val="00287869"/>
    <w:rsid w:val="00287AEE"/>
    <w:rsid w:val="002929CC"/>
    <w:rsid w:val="00294240"/>
    <w:rsid w:val="002949C8"/>
    <w:rsid w:val="00296BA1"/>
    <w:rsid w:val="00297A4F"/>
    <w:rsid w:val="00297F4D"/>
    <w:rsid w:val="002A026B"/>
    <w:rsid w:val="002A2C16"/>
    <w:rsid w:val="002A57CC"/>
    <w:rsid w:val="002B25CC"/>
    <w:rsid w:val="002B73B1"/>
    <w:rsid w:val="002B73E3"/>
    <w:rsid w:val="002C0D9C"/>
    <w:rsid w:val="002C1705"/>
    <w:rsid w:val="002C2A70"/>
    <w:rsid w:val="002C5837"/>
    <w:rsid w:val="002C5E96"/>
    <w:rsid w:val="002C7200"/>
    <w:rsid w:val="002D3FAD"/>
    <w:rsid w:val="002E2516"/>
    <w:rsid w:val="002E53A3"/>
    <w:rsid w:val="002E558B"/>
    <w:rsid w:val="002E78D2"/>
    <w:rsid w:val="002F0721"/>
    <w:rsid w:val="002F1E10"/>
    <w:rsid w:val="002F372E"/>
    <w:rsid w:val="002F6C36"/>
    <w:rsid w:val="00303F3A"/>
    <w:rsid w:val="00306624"/>
    <w:rsid w:val="003100C6"/>
    <w:rsid w:val="003120F6"/>
    <w:rsid w:val="003125C2"/>
    <w:rsid w:val="00313016"/>
    <w:rsid w:val="00313048"/>
    <w:rsid w:val="0031551A"/>
    <w:rsid w:val="00315B11"/>
    <w:rsid w:val="003161F3"/>
    <w:rsid w:val="00316C74"/>
    <w:rsid w:val="00317091"/>
    <w:rsid w:val="00323B34"/>
    <w:rsid w:val="003256E6"/>
    <w:rsid w:val="00330275"/>
    <w:rsid w:val="00331955"/>
    <w:rsid w:val="00331976"/>
    <w:rsid w:val="00332C59"/>
    <w:rsid w:val="00333126"/>
    <w:rsid w:val="003347B7"/>
    <w:rsid w:val="003363B2"/>
    <w:rsid w:val="00340B81"/>
    <w:rsid w:val="003425E4"/>
    <w:rsid w:val="0034297F"/>
    <w:rsid w:val="003429E1"/>
    <w:rsid w:val="0034395D"/>
    <w:rsid w:val="00353E8B"/>
    <w:rsid w:val="0036218A"/>
    <w:rsid w:val="00363CA9"/>
    <w:rsid w:val="003644D8"/>
    <w:rsid w:val="00366FAF"/>
    <w:rsid w:val="00370937"/>
    <w:rsid w:val="00371D42"/>
    <w:rsid w:val="00373F08"/>
    <w:rsid w:val="0037637A"/>
    <w:rsid w:val="003803B2"/>
    <w:rsid w:val="00382BE8"/>
    <w:rsid w:val="003841FB"/>
    <w:rsid w:val="003873C4"/>
    <w:rsid w:val="00387C51"/>
    <w:rsid w:val="00387FD0"/>
    <w:rsid w:val="00391F07"/>
    <w:rsid w:val="00392B37"/>
    <w:rsid w:val="00392C8E"/>
    <w:rsid w:val="00394EAF"/>
    <w:rsid w:val="00397739"/>
    <w:rsid w:val="00397D8D"/>
    <w:rsid w:val="003A0920"/>
    <w:rsid w:val="003A1357"/>
    <w:rsid w:val="003A3284"/>
    <w:rsid w:val="003A45F3"/>
    <w:rsid w:val="003A51B8"/>
    <w:rsid w:val="003A5655"/>
    <w:rsid w:val="003A5CC1"/>
    <w:rsid w:val="003B0277"/>
    <w:rsid w:val="003B1348"/>
    <w:rsid w:val="003B3E6B"/>
    <w:rsid w:val="003B4DAB"/>
    <w:rsid w:val="003B58D7"/>
    <w:rsid w:val="003B5E7D"/>
    <w:rsid w:val="003B61C7"/>
    <w:rsid w:val="003C11E6"/>
    <w:rsid w:val="003C1513"/>
    <w:rsid w:val="003D38CB"/>
    <w:rsid w:val="003D53C0"/>
    <w:rsid w:val="003D7508"/>
    <w:rsid w:val="003E2006"/>
    <w:rsid w:val="003E219A"/>
    <w:rsid w:val="003E2F84"/>
    <w:rsid w:val="003E3673"/>
    <w:rsid w:val="003E7FB5"/>
    <w:rsid w:val="003F0079"/>
    <w:rsid w:val="003F20C7"/>
    <w:rsid w:val="003F283E"/>
    <w:rsid w:val="003F3AB9"/>
    <w:rsid w:val="003F4055"/>
    <w:rsid w:val="003F4FB1"/>
    <w:rsid w:val="003F62BA"/>
    <w:rsid w:val="00400877"/>
    <w:rsid w:val="00401BD4"/>
    <w:rsid w:val="00401E72"/>
    <w:rsid w:val="00403A1F"/>
    <w:rsid w:val="00403C68"/>
    <w:rsid w:val="00404EA9"/>
    <w:rsid w:val="0040657E"/>
    <w:rsid w:val="00411E60"/>
    <w:rsid w:val="00414A42"/>
    <w:rsid w:val="00416267"/>
    <w:rsid w:val="00416306"/>
    <w:rsid w:val="00417FED"/>
    <w:rsid w:val="00421153"/>
    <w:rsid w:val="00422770"/>
    <w:rsid w:val="00422E2E"/>
    <w:rsid w:val="004234D3"/>
    <w:rsid w:val="00430F96"/>
    <w:rsid w:val="004311B0"/>
    <w:rsid w:val="00431FE1"/>
    <w:rsid w:val="00432A6C"/>
    <w:rsid w:val="004340C5"/>
    <w:rsid w:val="004351DC"/>
    <w:rsid w:val="004376F8"/>
    <w:rsid w:val="00437F48"/>
    <w:rsid w:val="00443495"/>
    <w:rsid w:val="00444BEE"/>
    <w:rsid w:val="0044576D"/>
    <w:rsid w:val="004461EB"/>
    <w:rsid w:val="00447B87"/>
    <w:rsid w:val="004532D3"/>
    <w:rsid w:val="00453F68"/>
    <w:rsid w:val="00454B64"/>
    <w:rsid w:val="004558D6"/>
    <w:rsid w:val="0045719A"/>
    <w:rsid w:val="0045742A"/>
    <w:rsid w:val="00460045"/>
    <w:rsid w:val="00461622"/>
    <w:rsid w:val="00462253"/>
    <w:rsid w:val="00464692"/>
    <w:rsid w:val="00465C75"/>
    <w:rsid w:val="004663A2"/>
    <w:rsid w:val="0046675F"/>
    <w:rsid w:val="0047102B"/>
    <w:rsid w:val="00473EF4"/>
    <w:rsid w:val="00474F16"/>
    <w:rsid w:val="0047600A"/>
    <w:rsid w:val="00476166"/>
    <w:rsid w:val="00476E85"/>
    <w:rsid w:val="00477B41"/>
    <w:rsid w:val="00480B62"/>
    <w:rsid w:val="00487C8C"/>
    <w:rsid w:val="004918F1"/>
    <w:rsid w:val="004920BB"/>
    <w:rsid w:val="00492530"/>
    <w:rsid w:val="0049276C"/>
    <w:rsid w:val="0049649D"/>
    <w:rsid w:val="004972C0"/>
    <w:rsid w:val="004A0E04"/>
    <w:rsid w:val="004A1056"/>
    <w:rsid w:val="004A1E00"/>
    <w:rsid w:val="004A266D"/>
    <w:rsid w:val="004A348D"/>
    <w:rsid w:val="004A404E"/>
    <w:rsid w:val="004A5CDF"/>
    <w:rsid w:val="004B148C"/>
    <w:rsid w:val="004B2CB6"/>
    <w:rsid w:val="004B3872"/>
    <w:rsid w:val="004B40D4"/>
    <w:rsid w:val="004B42F5"/>
    <w:rsid w:val="004B4EE5"/>
    <w:rsid w:val="004B7D6D"/>
    <w:rsid w:val="004C0E53"/>
    <w:rsid w:val="004C3D9B"/>
    <w:rsid w:val="004C462A"/>
    <w:rsid w:val="004C5D0E"/>
    <w:rsid w:val="004C67F7"/>
    <w:rsid w:val="004C7A64"/>
    <w:rsid w:val="004C7FBC"/>
    <w:rsid w:val="004D0C91"/>
    <w:rsid w:val="004D15A2"/>
    <w:rsid w:val="004D22BE"/>
    <w:rsid w:val="004D32BB"/>
    <w:rsid w:val="004D3854"/>
    <w:rsid w:val="004D47DB"/>
    <w:rsid w:val="004D57C6"/>
    <w:rsid w:val="004D6D6C"/>
    <w:rsid w:val="004E1FB2"/>
    <w:rsid w:val="004E504C"/>
    <w:rsid w:val="004E678F"/>
    <w:rsid w:val="004E7096"/>
    <w:rsid w:val="004E7E99"/>
    <w:rsid w:val="004F115B"/>
    <w:rsid w:val="004F4655"/>
    <w:rsid w:val="004F7B3F"/>
    <w:rsid w:val="004F7E18"/>
    <w:rsid w:val="00504E16"/>
    <w:rsid w:val="00504FE8"/>
    <w:rsid w:val="005054BB"/>
    <w:rsid w:val="00514677"/>
    <w:rsid w:val="00514F3B"/>
    <w:rsid w:val="00515477"/>
    <w:rsid w:val="0051733E"/>
    <w:rsid w:val="005208E3"/>
    <w:rsid w:val="00524205"/>
    <w:rsid w:val="00525777"/>
    <w:rsid w:val="00526502"/>
    <w:rsid w:val="00527576"/>
    <w:rsid w:val="00535895"/>
    <w:rsid w:val="00536B44"/>
    <w:rsid w:val="00540649"/>
    <w:rsid w:val="00545B81"/>
    <w:rsid w:val="0055703F"/>
    <w:rsid w:val="00560129"/>
    <w:rsid w:val="0056099D"/>
    <w:rsid w:val="00563C55"/>
    <w:rsid w:val="00566ADE"/>
    <w:rsid w:val="0057017B"/>
    <w:rsid w:val="00571C32"/>
    <w:rsid w:val="00574F85"/>
    <w:rsid w:val="005750D1"/>
    <w:rsid w:val="005753F0"/>
    <w:rsid w:val="00576689"/>
    <w:rsid w:val="00576F6C"/>
    <w:rsid w:val="00580144"/>
    <w:rsid w:val="00580861"/>
    <w:rsid w:val="00581F4A"/>
    <w:rsid w:val="00582C8A"/>
    <w:rsid w:val="005833BD"/>
    <w:rsid w:val="005867F5"/>
    <w:rsid w:val="005874E9"/>
    <w:rsid w:val="00591B3B"/>
    <w:rsid w:val="005A101F"/>
    <w:rsid w:val="005A1550"/>
    <w:rsid w:val="005A3B0F"/>
    <w:rsid w:val="005A444E"/>
    <w:rsid w:val="005A5B62"/>
    <w:rsid w:val="005B3374"/>
    <w:rsid w:val="005B4424"/>
    <w:rsid w:val="005B5501"/>
    <w:rsid w:val="005B626E"/>
    <w:rsid w:val="005B6280"/>
    <w:rsid w:val="005C013E"/>
    <w:rsid w:val="005C1D94"/>
    <w:rsid w:val="005C4541"/>
    <w:rsid w:val="005C4F47"/>
    <w:rsid w:val="005C5874"/>
    <w:rsid w:val="005C6C4F"/>
    <w:rsid w:val="005C753B"/>
    <w:rsid w:val="005D0655"/>
    <w:rsid w:val="005D1951"/>
    <w:rsid w:val="005D29D5"/>
    <w:rsid w:val="005D2DF1"/>
    <w:rsid w:val="005D437F"/>
    <w:rsid w:val="005D7E1F"/>
    <w:rsid w:val="005E1097"/>
    <w:rsid w:val="005E114A"/>
    <w:rsid w:val="005E25FF"/>
    <w:rsid w:val="005E6236"/>
    <w:rsid w:val="005E70C2"/>
    <w:rsid w:val="005F0BBD"/>
    <w:rsid w:val="005F1F8C"/>
    <w:rsid w:val="005F21CD"/>
    <w:rsid w:val="005F35C6"/>
    <w:rsid w:val="005F3640"/>
    <w:rsid w:val="005F3DD2"/>
    <w:rsid w:val="005F4D62"/>
    <w:rsid w:val="005F6A38"/>
    <w:rsid w:val="005F737A"/>
    <w:rsid w:val="00600C38"/>
    <w:rsid w:val="0060208A"/>
    <w:rsid w:val="0060334D"/>
    <w:rsid w:val="0060368F"/>
    <w:rsid w:val="00604453"/>
    <w:rsid w:val="006052B6"/>
    <w:rsid w:val="0061013B"/>
    <w:rsid w:val="00610586"/>
    <w:rsid w:val="00611D79"/>
    <w:rsid w:val="00616863"/>
    <w:rsid w:val="00616AF9"/>
    <w:rsid w:val="00617F7A"/>
    <w:rsid w:val="0062080A"/>
    <w:rsid w:val="00623888"/>
    <w:rsid w:val="00623D41"/>
    <w:rsid w:val="006245A1"/>
    <w:rsid w:val="0062761C"/>
    <w:rsid w:val="00632BE9"/>
    <w:rsid w:val="006333CE"/>
    <w:rsid w:val="006338E1"/>
    <w:rsid w:val="00633F77"/>
    <w:rsid w:val="00634938"/>
    <w:rsid w:val="00635A72"/>
    <w:rsid w:val="006373B2"/>
    <w:rsid w:val="00643612"/>
    <w:rsid w:val="006436C6"/>
    <w:rsid w:val="00643E10"/>
    <w:rsid w:val="00644F1B"/>
    <w:rsid w:val="00645DC0"/>
    <w:rsid w:val="00650F66"/>
    <w:rsid w:val="006533E2"/>
    <w:rsid w:val="006534FC"/>
    <w:rsid w:val="00662A4D"/>
    <w:rsid w:val="0066385D"/>
    <w:rsid w:val="006645FA"/>
    <w:rsid w:val="00665778"/>
    <w:rsid w:val="00666299"/>
    <w:rsid w:val="00670428"/>
    <w:rsid w:val="00670ED6"/>
    <w:rsid w:val="00672F4A"/>
    <w:rsid w:val="0067395A"/>
    <w:rsid w:val="00674468"/>
    <w:rsid w:val="00675538"/>
    <w:rsid w:val="00675C6F"/>
    <w:rsid w:val="0067701B"/>
    <w:rsid w:val="00680C52"/>
    <w:rsid w:val="0068144B"/>
    <w:rsid w:val="00685876"/>
    <w:rsid w:val="00686B7E"/>
    <w:rsid w:val="00691937"/>
    <w:rsid w:val="006954CD"/>
    <w:rsid w:val="00695C8D"/>
    <w:rsid w:val="00696A4C"/>
    <w:rsid w:val="00697B73"/>
    <w:rsid w:val="006A12C3"/>
    <w:rsid w:val="006A19E3"/>
    <w:rsid w:val="006A2A0A"/>
    <w:rsid w:val="006A6980"/>
    <w:rsid w:val="006A7561"/>
    <w:rsid w:val="006A7F1B"/>
    <w:rsid w:val="006B1D12"/>
    <w:rsid w:val="006B266F"/>
    <w:rsid w:val="006B2FA0"/>
    <w:rsid w:val="006B4DD0"/>
    <w:rsid w:val="006B6803"/>
    <w:rsid w:val="006B684F"/>
    <w:rsid w:val="006B6B20"/>
    <w:rsid w:val="006B7153"/>
    <w:rsid w:val="006B74B3"/>
    <w:rsid w:val="006C10CA"/>
    <w:rsid w:val="006C192E"/>
    <w:rsid w:val="006C2604"/>
    <w:rsid w:val="006C5C2A"/>
    <w:rsid w:val="006C5E40"/>
    <w:rsid w:val="006C5FA8"/>
    <w:rsid w:val="006C617B"/>
    <w:rsid w:val="006C634D"/>
    <w:rsid w:val="006C6BB5"/>
    <w:rsid w:val="006D0759"/>
    <w:rsid w:val="006D250D"/>
    <w:rsid w:val="006D3452"/>
    <w:rsid w:val="006D3E4F"/>
    <w:rsid w:val="006D44A5"/>
    <w:rsid w:val="006D66AD"/>
    <w:rsid w:val="006D7AF1"/>
    <w:rsid w:val="006E117F"/>
    <w:rsid w:val="006E3D5B"/>
    <w:rsid w:val="006E51CF"/>
    <w:rsid w:val="006E6289"/>
    <w:rsid w:val="006E7972"/>
    <w:rsid w:val="006F2315"/>
    <w:rsid w:val="006F27D9"/>
    <w:rsid w:val="006F3C68"/>
    <w:rsid w:val="006F451B"/>
    <w:rsid w:val="006F5758"/>
    <w:rsid w:val="006F5CED"/>
    <w:rsid w:val="006F6264"/>
    <w:rsid w:val="006F7569"/>
    <w:rsid w:val="0070001E"/>
    <w:rsid w:val="00706CD8"/>
    <w:rsid w:val="007109C0"/>
    <w:rsid w:val="00720C71"/>
    <w:rsid w:val="007225A5"/>
    <w:rsid w:val="00724297"/>
    <w:rsid w:val="00730DD4"/>
    <w:rsid w:val="00731149"/>
    <w:rsid w:val="00733E6F"/>
    <w:rsid w:val="00735D47"/>
    <w:rsid w:val="00737825"/>
    <w:rsid w:val="00737DEE"/>
    <w:rsid w:val="00741108"/>
    <w:rsid w:val="00741DC9"/>
    <w:rsid w:val="007434ED"/>
    <w:rsid w:val="00744FDB"/>
    <w:rsid w:val="00750E9B"/>
    <w:rsid w:val="00752DAD"/>
    <w:rsid w:val="00753BF9"/>
    <w:rsid w:val="00754B91"/>
    <w:rsid w:val="00760612"/>
    <w:rsid w:val="00761EF8"/>
    <w:rsid w:val="007621B2"/>
    <w:rsid w:val="007631AA"/>
    <w:rsid w:val="00763A33"/>
    <w:rsid w:val="00764EAB"/>
    <w:rsid w:val="00765892"/>
    <w:rsid w:val="007717A1"/>
    <w:rsid w:val="00773FFE"/>
    <w:rsid w:val="0077473D"/>
    <w:rsid w:val="007747C5"/>
    <w:rsid w:val="007756A3"/>
    <w:rsid w:val="00777D8B"/>
    <w:rsid w:val="007833A4"/>
    <w:rsid w:val="007847E5"/>
    <w:rsid w:val="00786F52"/>
    <w:rsid w:val="007908CD"/>
    <w:rsid w:val="00790A3B"/>
    <w:rsid w:val="00794B5F"/>
    <w:rsid w:val="007A0272"/>
    <w:rsid w:val="007A0F20"/>
    <w:rsid w:val="007A1787"/>
    <w:rsid w:val="007A1830"/>
    <w:rsid w:val="007A5498"/>
    <w:rsid w:val="007A5AD0"/>
    <w:rsid w:val="007A61A4"/>
    <w:rsid w:val="007A6551"/>
    <w:rsid w:val="007A6FB6"/>
    <w:rsid w:val="007A7A3C"/>
    <w:rsid w:val="007A7AEC"/>
    <w:rsid w:val="007B13C6"/>
    <w:rsid w:val="007B2A05"/>
    <w:rsid w:val="007B6C86"/>
    <w:rsid w:val="007C3E65"/>
    <w:rsid w:val="007C5A18"/>
    <w:rsid w:val="007D0F84"/>
    <w:rsid w:val="007D1723"/>
    <w:rsid w:val="007D1F23"/>
    <w:rsid w:val="007D38C5"/>
    <w:rsid w:val="007D5AF4"/>
    <w:rsid w:val="007D62A3"/>
    <w:rsid w:val="007D6D35"/>
    <w:rsid w:val="007E583D"/>
    <w:rsid w:val="007E6A68"/>
    <w:rsid w:val="007E76C6"/>
    <w:rsid w:val="007F064F"/>
    <w:rsid w:val="007F2B6D"/>
    <w:rsid w:val="007F2B7E"/>
    <w:rsid w:val="007F2DEB"/>
    <w:rsid w:val="007F4B81"/>
    <w:rsid w:val="007F6F2A"/>
    <w:rsid w:val="00801585"/>
    <w:rsid w:val="00801BE6"/>
    <w:rsid w:val="00802F24"/>
    <w:rsid w:val="00804CD2"/>
    <w:rsid w:val="00805FC1"/>
    <w:rsid w:val="00810317"/>
    <w:rsid w:val="00811511"/>
    <w:rsid w:val="0081226D"/>
    <w:rsid w:val="00812E03"/>
    <w:rsid w:val="00816F44"/>
    <w:rsid w:val="00822142"/>
    <w:rsid w:val="0082361A"/>
    <w:rsid w:val="00823ADD"/>
    <w:rsid w:val="00823C70"/>
    <w:rsid w:val="008267BB"/>
    <w:rsid w:val="0083332A"/>
    <w:rsid w:val="00833757"/>
    <w:rsid w:val="008340F0"/>
    <w:rsid w:val="008353F0"/>
    <w:rsid w:val="00836237"/>
    <w:rsid w:val="0083696B"/>
    <w:rsid w:val="00842128"/>
    <w:rsid w:val="00842DBA"/>
    <w:rsid w:val="00846E7D"/>
    <w:rsid w:val="00853611"/>
    <w:rsid w:val="008540F9"/>
    <w:rsid w:val="008551BC"/>
    <w:rsid w:val="00856200"/>
    <w:rsid w:val="0086090B"/>
    <w:rsid w:val="00861EC9"/>
    <w:rsid w:val="00861FAD"/>
    <w:rsid w:val="008640E8"/>
    <w:rsid w:val="0086499D"/>
    <w:rsid w:val="00865299"/>
    <w:rsid w:val="008659B8"/>
    <w:rsid w:val="008670CE"/>
    <w:rsid w:val="0087197F"/>
    <w:rsid w:val="00871DBB"/>
    <w:rsid w:val="0087439B"/>
    <w:rsid w:val="0087453C"/>
    <w:rsid w:val="008751F2"/>
    <w:rsid w:val="0088001E"/>
    <w:rsid w:val="00880413"/>
    <w:rsid w:val="0088079C"/>
    <w:rsid w:val="008856DA"/>
    <w:rsid w:val="008914A9"/>
    <w:rsid w:val="00891B6F"/>
    <w:rsid w:val="00891BAC"/>
    <w:rsid w:val="00892507"/>
    <w:rsid w:val="00893F99"/>
    <w:rsid w:val="008960FD"/>
    <w:rsid w:val="00897F2C"/>
    <w:rsid w:val="008A0471"/>
    <w:rsid w:val="008A0E6C"/>
    <w:rsid w:val="008A170E"/>
    <w:rsid w:val="008A43F2"/>
    <w:rsid w:val="008A46A6"/>
    <w:rsid w:val="008A4BFF"/>
    <w:rsid w:val="008A53B7"/>
    <w:rsid w:val="008A64BF"/>
    <w:rsid w:val="008A7176"/>
    <w:rsid w:val="008A78C7"/>
    <w:rsid w:val="008B13B0"/>
    <w:rsid w:val="008B1948"/>
    <w:rsid w:val="008B2F3E"/>
    <w:rsid w:val="008C1B42"/>
    <w:rsid w:val="008C5808"/>
    <w:rsid w:val="008C5A08"/>
    <w:rsid w:val="008D16DE"/>
    <w:rsid w:val="008D5995"/>
    <w:rsid w:val="008D5BC6"/>
    <w:rsid w:val="008D6167"/>
    <w:rsid w:val="008D65CF"/>
    <w:rsid w:val="008D7055"/>
    <w:rsid w:val="008D73A5"/>
    <w:rsid w:val="008D7A45"/>
    <w:rsid w:val="008E00D8"/>
    <w:rsid w:val="008E0357"/>
    <w:rsid w:val="008E119E"/>
    <w:rsid w:val="008E12A5"/>
    <w:rsid w:val="008E160B"/>
    <w:rsid w:val="008E1843"/>
    <w:rsid w:val="008E43A1"/>
    <w:rsid w:val="008F0A61"/>
    <w:rsid w:val="008F18D6"/>
    <w:rsid w:val="008F24C6"/>
    <w:rsid w:val="008F5321"/>
    <w:rsid w:val="008F655B"/>
    <w:rsid w:val="008F6C8E"/>
    <w:rsid w:val="00900834"/>
    <w:rsid w:val="0090154C"/>
    <w:rsid w:val="00901CAE"/>
    <w:rsid w:val="009031E2"/>
    <w:rsid w:val="00904FE3"/>
    <w:rsid w:val="0090602E"/>
    <w:rsid w:val="00906601"/>
    <w:rsid w:val="00907B26"/>
    <w:rsid w:val="00911912"/>
    <w:rsid w:val="009129C9"/>
    <w:rsid w:val="00913036"/>
    <w:rsid w:val="00914DB9"/>
    <w:rsid w:val="009150DD"/>
    <w:rsid w:val="00916721"/>
    <w:rsid w:val="00916741"/>
    <w:rsid w:val="00921E8B"/>
    <w:rsid w:val="0092233F"/>
    <w:rsid w:val="00923A16"/>
    <w:rsid w:val="00925799"/>
    <w:rsid w:val="00925B9F"/>
    <w:rsid w:val="0092640F"/>
    <w:rsid w:val="00926CE7"/>
    <w:rsid w:val="00927335"/>
    <w:rsid w:val="00930422"/>
    <w:rsid w:val="009323A6"/>
    <w:rsid w:val="00932512"/>
    <w:rsid w:val="00933BB5"/>
    <w:rsid w:val="0093420F"/>
    <w:rsid w:val="00934F6A"/>
    <w:rsid w:val="00935457"/>
    <w:rsid w:val="00935E06"/>
    <w:rsid w:val="00935F91"/>
    <w:rsid w:val="00936311"/>
    <w:rsid w:val="00941984"/>
    <w:rsid w:val="00947C2B"/>
    <w:rsid w:val="00952771"/>
    <w:rsid w:val="00954682"/>
    <w:rsid w:val="00960248"/>
    <w:rsid w:val="00960758"/>
    <w:rsid w:val="00961471"/>
    <w:rsid w:val="009621A6"/>
    <w:rsid w:val="0096237B"/>
    <w:rsid w:val="00964995"/>
    <w:rsid w:val="009654CA"/>
    <w:rsid w:val="009659AF"/>
    <w:rsid w:val="00966CA0"/>
    <w:rsid w:val="00967C81"/>
    <w:rsid w:val="0097120D"/>
    <w:rsid w:val="00972823"/>
    <w:rsid w:val="00973129"/>
    <w:rsid w:val="00973D4C"/>
    <w:rsid w:val="00974D24"/>
    <w:rsid w:val="00975044"/>
    <w:rsid w:val="00976AB3"/>
    <w:rsid w:val="0097740E"/>
    <w:rsid w:val="009816F0"/>
    <w:rsid w:val="00984D29"/>
    <w:rsid w:val="00985C5C"/>
    <w:rsid w:val="009863C5"/>
    <w:rsid w:val="00986EB5"/>
    <w:rsid w:val="00987773"/>
    <w:rsid w:val="00990616"/>
    <w:rsid w:val="00991D7B"/>
    <w:rsid w:val="009929AE"/>
    <w:rsid w:val="00992AEA"/>
    <w:rsid w:val="009957A3"/>
    <w:rsid w:val="009A084F"/>
    <w:rsid w:val="009A0861"/>
    <w:rsid w:val="009A113E"/>
    <w:rsid w:val="009A2C64"/>
    <w:rsid w:val="009A2E37"/>
    <w:rsid w:val="009A38B9"/>
    <w:rsid w:val="009A5528"/>
    <w:rsid w:val="009A590D"/>
    <w:rsid w:val="009A6251"/>
    <w:rsid w:val="009A62EB"/>
    <w:rsid w:val="009B0049"/>
    <w:rsid w:val="009B08A9"/>
    <w:rsid w:val="009B25C4"/>
    <w:rsid w:val="009B373E"/>
    <w:rsid w:val="009B42DB"/>
    <w:rsid w:val="009B73FF"/>
    <w:rsid w:val="009C10A0"/>
    <w:rsid w:val="009C1452"/>
    <w:rsid w:val="009C1D0D"/>
    <w:rsid w:val="009C500E"/>
    <w:rsid w:val="009C6727"/>
    <w:rsid w:val="009C6E69"/>
    <w:rsid w:val="009C6E8C"/>
    <w:rsid w:val="009D27CA"/>
    <w:rsid w:val="009D4758"/>
    <w:rsid w:val="009D7074"/>
    <w:rsid w:val="009D7CA0"/>
    <w:rsid w:val="009E2380"/>
    <w:rsid w:val="009E2FE1"/>
    <w:rsid w:val="009F5C58"/>
    <w:rsid w:val="00A02AA0"/>
    <w:rsid w:val="00A05F25"/>
    <w:rsid w:val="00A06537"/>
    <w:rsid w:val="00A066DE"/>
    <w:rsid w:val="00A117F8"/>
    <w:rsid w:val="00A11882"/>
    <w:rsid w:val="00A12991"/>
    <w:rsid w:val="00A12E00"/>
    <w:rsid w:val="00A13E78"/>
    <w:rsid w:val="00A15188"/>
    <w:rsid w:val="00A1698B"/>
    <w:rsid w:val="00A17C46"/>
    <w:rsid w:val="00A21BB4"/>
    <w:rsid w:val="00A228A7"/>
    <w:rsid w:val="00A2335F"/>
    <w:rsid w:val="00A23E28"/>
    <w:rsid w:val="00A246A1"/>
    <w:rsid w:val="00A25E24"/>
    <w:rsid w:val="00A33CC1"/>
    <w:rsid w:val="00A34668"/>
    <w:rsid w:val="00A358BD"/>
    <w:rsid w:val="00A36111"/>
    <w:rsid w:val="00A37960"/>
    <w:rsid w:val="00A415E2"/>
    <w:rsid w:val="00A42A82"/>
    <w:rsid w:val="00A42ADA"/>
    <w:rsid w:val="00A430C0"/>
    <w:rsid w:val="00A43596"/>
    <w:rsid w:val="00A43F06"/>
    <w:rsid w:val="00A44286"/>
    <w:rsid w:val="00A50316"/>
    <w:rsid w:val="00A50558"/>
    <w:rsid w:val="00A523C4"/>
    <w:rsid w:val="00A52877"/>
    <w:rsid w:val="00A529BC"/>
    <w:rsid w:val="00A54DFF"/>
    <w:rsid w:val="00A606C1"/>
    <w:rsid w:val="00A64AF2"/>
    <w:rsid w:val="00A71FB5"/>
    <w:rsid w:val="00A72EC2"/>
    <w:rsid w:val="00A762A6"/>
    <w:rsid w:val="00A77580"/>
    <w:rsid w:val="00A81226"/>
    <w:rsid w:val="00A81F8B"/>
    <w:rsid w:val="00A8268B"/>
    <w:rsid w:val="00A82D88"/>
    <w:rsid w:val="00A8390B"/>
    <w:rsid w:val="00A84CCB"/>
    <w:rsid w:val="00A85253"/>
    <w:rsid w:val="00A85C63"/>
    <w:rsid w:val="00A87A31"/>
    <w:rsid w:val="00A90549"/>
    <w:rsid w:val="00A90AD3"/>
    <w:rsid w:val="00A90AE9"/>
    <w:rsid w:val="00A91B36"/>
    <w:rsid w:val="00A93BE4"/>
    <w:rsid w:val="00A961A2"/>
    <w:rsid w:val="00A976F2"/>
    <w:rsid w:val="00AA043E"/>
    <w:rsid w:val="00AA0654"/>
    <w:rsid w:val="00AA0BF8"/>
    <w:rsid w:val="00AA208B"/>
    <w:rsid w:val="00AA3B24"/>
    <w:rsid w:val="00AA4A04"/>
    <w:rsid w:val="00AA55AC"/>
    <w:rsid w:val="00AA791E"/>
    <w:rsid w:val="00AA7C22"/>
    <w:rsid w:val="00AB0D5B"/>
    <w:rsid w:val="00AB0ED3"/>
    <w:rsid w:val="00AB18D8"/>
    <w:rsid w:val="00AB2676"/>
    <w:rsid w:val="00AB3E9B"/>
    <w:rsid w:val="00AB492A"/>
    <w:rsid w:val="00AB4DE5"/>
    <w:rsid w:val="00AB552B"/>
    <w:rsid w:val="00AB56F3"/>
    <w:rsid w:val="00AC1298"/>
    <w:rsid w:val="00AC368C"/>
    <w:rsid w:val="00AC382C"/>
    <w:rsid w:val="00AC57D7"/>
    <w:rsid w:val="00AC7987"/>
    <w:rsid w:val="00AD1853"/>
    <w:rsid w:val="00AD5BD1"/>
    <w:rsid w:val="00AE15A4"/>
    <w:rsid w:val="00AE2A48"/>
    <w:rsid w:val="00AE2B26"/>
    <w:rsid w:val="00AE430B"/>
    <w:rsid w:val="00AE4D58"/>
    <w:rsid w:val="00AF17E2"/>
    <w:rsid w:val="00AF2CA2"/>
    <w:rsid w:val="00AF6163"/>
    <w:rsid w:val="00AF6894"/>
    <w:rsid w:val="00AF6AC7"/>
    <w:rsid w:val="00B00958"/>
    <w:rsid w:val="00B00980"/>
    <w:rsid w:val="00B00A1F"/>
    <w:rsid w:val="00B00ECB"/>
    <w:rsid w:val="00B030C6"/>
    <w:rsid w:val="00B0511D"/>
    <w:rsid w:val="00B051E9"/>
    <w:rsid w:val="00B0566A"/>
    <w:rsid w:val="00B060F3"/>
    <w:rsid w:val="00B0662B"/>
    <w:rsid w:val="00B10611"/>
    <w:rsid w:val="00B10A55"/>
    <w:rsid w:val="00B10AEC"/>
    <w:rsid w:val="00B11283"/>
    <w:rsid w:val="00B1133B"/>
    <w:rsid w:val="00B13AD0"/>
    <w:rsid w:val="00B14CF1"/>
    <w:rsid w:val="00B15D0B"/>
    <w:rsid w:val="00B174C1"/>
    <w:rsid w:val="00B211F8"/>
    <w:rsid w:val="00B2247B"/>
    <w:rsid w:val="00B22FB5"/>
    <w:rsid w:val="00B2475F"/>
    <w:rsid w:val="00B26282"/>
    <w:rsid w:val="00B269A9"/>
    <w:rsid w:val="00B27762"/>
    <w:rsid w:val="00B31465"/>
    <w:rsid w:val="00B3150E"/>
    <w:rsid w:val="00B34CED"/>
    <w:rsid w:val="00B3547A"/>
    <w:rsid w:val="00B364FC"/>
    <w:rsid w:val="00B36A9E"/>
    <w:rsid w:val="00B37AB3"/>
    <w:rsid w:val="00B43844"/>
    <w:rsid w:val="00B4399F"/>
    <w:rsid w:val="00B47220"/>
    <w:rsid w:val="00B51B93"/>
    <w:rsid w:val="00B51E0E"/>
    <w:rsid w:val="00B528CB"/>
    <w:rsid w:val="00B55CDC"/>
    <w:rsid w:val="00B57D18"/>
    <w:rsid w:val="00B613F7"/>
    <w:rsid w:val="00B621D5"/>
    <w:rsid w:val="00B654D5"/>
    <w:rsid w:val="00B657F0"/>
    <w:rsid w:val="00B66262"/>
    <w:rsid w:val="00B66926"/>
    <w:rsid w:val="00B67647"/>
    <w:rsid w:val="00B67CAA"/>
    <w:rsid w:val="00B715B9"/>
    <w:rsid w:val="00B71954"/>
    <w:rsid w:val="00B72B73"/>
    <w:rsid w:val="00B7395A"/>
    <w:rsid w:val="00B7419D"/>
    <w:rsid w:val="00B75C8D"/>
    <w:rsid w:val="00B80D31"/>
    <w:rsid w:val="00B82019"/>
    <w:rsid w:val="00B822B2"/>
    <w:rsid w:val="00B82497"/>
    <w:rsid w:val="00B82C6E"/>
    <w:rsid w:val="00B83567"/>
    <w:rsid w:val="00B84846"/>
    <w:rsid w:val="00B84D94"/>
    <w:rsid w:val="00B8569E"/>
    <w:rsid w:val="00B9000D"/>
    <w:rsid w:val="00B901E9"/>
    <w:rsid w:val="00B92273"/>
    <w:rsid w:val="00B97DB3"/>
    <w:rsid w:val="00BA1280"/>
    <w:rsid w:val="00BA2C09"/>
    <w:rsid w:val="00BA2F74"/>
    <w:rsid w:val="00BA5033"/>
    <w:rsid w:val="00BA61BB"/>
    <w:rsid w:val="00BB02A6"/>
    <w:rsid w:val="00BB1EFF"/>
    <w:rsid w:val="00BB200E"/>
    <w:rsid w:val="00BB3037"/>
    <w:rsid w:val="00BB61E8"/>
    <w:rsid w:val="00BB7A03"/>
    <w:rsid w:val="00BC0A42"/>
    <w:rsid w:val="00BC1E52"/>
    <w:rsid w:val="00BC35DF"/>
    <w:rsid w:val="00BC5AC8"/>
    <w:rsid w:val="00BC6EEA"/>
    <w:rsid w:val="00BD03E6"/>
    <w:rsid w:val="00BD094D"/>
    <w:rsid w:val="00BD23F9"/>
    <w:rsid w:val="00BD5E53"/>
    <w:rsid w:val="00BE0410"/>
    <w:rsid w:val="00BE1E77"/>
    <w:rsid w:val="00BE2A98"/>
    <w:rsid w:val="00BE7685"/>
    <w:rsid w:val="00BE76EE"/>
    <w:rsid w:val="00BE788E"/>
    <w:rsid w:val="00BF0A42"/>
    <w:rsid w:val="00BF1713"/>
    <w:rsid w:val="00BF4390"/>
    <w:rsid w:val="00BF758C"/>
    <w:rsid w:val="00C00E77"/>
    <w:rsid w:val="00C01F2B"/>
    <w:rsid w:val="00C045E3"/>
    <w:rsid w:val="00C057EB"/>
    <w:rsid w:val="00C072CB"/>
    <w:rsid w:val="00C0731A"/>
    <w:rsid w:val="00C10C76"/>
    <w:rsid w:val="00C11417"/>
    <w:rsid w:val="00C11437"/>
    <w:rsid w:val="00C12791"/>
    <w:rsid w:val="00C13293"/>
    <w:rsid w:val="00C13E0A"/>
    <w:rsid w:val="00C1546C"/>
    <w:rsid w:val="00C161E2"/>
    <w:rsid w:val="00C165E6"/>
    <w:rsid w:val="00C16D10"/>
    <w:rsid w:val="00C17C67"/>
    <w:rsid w:val="00C2228E"/>
    <w:rsid w:val="00C2237F"/>
    <w:rsid w:val="00C2362F"/>
    <w:rsid w:val="00C24BFD"/>
    <w:rsid w:val="00C31E73"/>
    <w:rsid w:val="00C3219A"/>
    <w:rsid w:val="00C34AC3"/>
    <w:rsid w:val="00C36965"/>
    <w:rsid w:val="00C418BC"/>
    <w:rsid w:val="00C42CCC"/>
    <w:rsid w:val="00C437E3"/>
    <w:rsid w:val="00C442FE"/>
    <w:rsid w:val="00C44304"/>
    <w:rsid w:val="00C45441"/>
    <w:rsid w:val="00C45F24"/>
    <w:rsid w:val="00C47EA8"/>
    <w:rsid w:val="00C523A9"/>
    <w:rsid w:val="00C53363"/>
    <w:rsid w:val="00C56131"/>
    <w:rsid w:val="00C62172"/>
    <w:rsid w:val="00C66027"/>
    <w:rsid w:val="00C71318"/>
    <w:rsid w:val="00C729AB"/>
    <w:rsid w:val="00C729B7"/>
    <w:rsid w:val="00C731F3"/>
    <w:rsid w:val="00C80562"/>
    <w:rsid w:val="00C80B56"/>
    <w:rsid w:val="00C83A1A"/>
    <w:rsid w:val="00C83DBD"/>
    <w:rsid w:val="00C85EDE"/>
    <w:rsid w:val="00C86F48"/>
    <w:rsid w:val="00C87318"/>
    <w:rsid w:val="00C91E3F"/>
    <w:rsid w:val="00C92887"/>
    <w:rsid w:val="00C942AC"/>
    <w:rsid w:val="00C95D8E"/>
    <w:rsid w:val="00CA1AA8"/>
    <w:rsid w:val="00CA1C58"/>
    <w:rsid w:val="00CA51C5"/>
    <w:rsid w:val="00CB166B"/>
    <w:rsid w:val="00CB48DD"/>
    <w:rsid w:val="00CB59DE"/>
    <w:rsid w:val="00CB7774"/>
    <w:rsid w:val="00CC083D"/>
    <w:rsid w:val="00CC1326"/>
    <w:rsid w:val="00CC239B"/>
    <w:rsid w:val="00CC2638"/>
    <w:rsid w:val="00CC416F"/>
    <w:rsid w:val="00CC4CA4"/>
    <w:rsid w:val="00CC5813"/>
    <w:rsid w:val="00CC747F"/>
    <w:rsid w:val="00CC7767"/>
    <w:rsid w:val="00CD2F6C"/>
    <w:rsid w:val="00CD33BA"/>
    <w:rsid w:val="00CD486F"/>
    <w:rsid w:val="00CD4A41"/>
    <w:rsid w:val="00CD5184"/>
    <w:rsid w:val="00CD6957"/>
    <w:rsid w:val="00CD7E28"/>
    <w:rsid w:val="00CE2903"/>
    <w:rsid w:val="00CE3612"/>
    <w:rsid w:val="00CE4706"/>
    <w:rsid w:val="00CF0D2D"/>
    <w:rsid w:val="00CF4BBA"/>
    <w:rsid w:val="00CF7CCA"/>
    <w:rsid w:val="00D031C7"/>
    <w:rsid w:val="00D0782F"/>
    <w:rsid w:val="00D12E6E"/>
    <w:rsid w:val="00D13919"/>
    <w:rsid w:val="00D14669"/>
    <w:rsid w:val="00D15AE7"/>
    <w:rsid w:val="00D15C65"/>
    <w:rsid w:val="00D16B3A"/>
    <w:rsid w:val="00D20294"/>
    <w:rsid w:val="00D21E29"/>
    <w:rsid w:val="00D21FD5"/>
    <w:rsid w:val="00D22694"/>
    <w:rsid w:val="00D256F3"/>
    <w:rsid w:val="00D30A2B"/>
    <w:rsid w:val="00D30DEE"/>
    <w:rsid w:val="00D32F15"/>
    <w:rsid w:val="00D3484D"/>
    <w:rsid w:val="00D34E2E"/>
    <w:rsid w:val="00D3710C"/>
    <w:rsid w:val="00D40219"/>
    <w:rsid w:val="00D40CD7"/>
    <w:rsid w:val="00D44495"/>
    <w:rsid w:val="00D51C4E"/>
    <w:rsid w:val="00D5483F"/>
    <w:rsid w:val="00D55FB6"/>
    <w:rsid w:val="00D60657"/>
    <w:rsid w:val="00D60A3B"/>
    <w:rsid w:val="00D625A5"/>
    <w:rsid w:val="00D633FC"/>
    <w:rsid w:val="00D65869"/>
    <w:rsid w:val="00D700E6"/>
    <w:rsid w:val="00D72E48"/>
    <w:rsid w:val="00D734F6"/>
    <w:rsid w:val="00D735D5"/>
    <w:rsid w:val="00D74CA5"/>
    <w:rsid w:val="00D7561E"/>
    <w:rsid w:val="00D763F9"/>
    <w:rsid w:val="00D7748F"/>
    <w:rsid w:val="00D77759"/>
    <w:rsid w:val="00D83075"/>
    <w:rsid w:val="00D83545"/>
    <w:rsid w:val="00D8450F"/>
    <w:rsid w:val="00D865EB"/>
    <w:rsid w:val="00D87271"/>
    <w:rsid w:val="00D91821"/>
    <w:rsid w:val="00D92816"/>
    <w:rsid w:val="00D950B3"/>
    <w:rsid w:val="00D956F5"/>
    <w:rsid w:val="00D95B86"/>
    <w:rsid w:val="00D976F8"/>
    <w:rsid w:val="00DA216D"/>
    <w:rsid w:val="00DA5633"/>
    <w:rsid w:val="00DA6DA3"/>
    <w:rsid w:val="00DB145F"/>
    <w:rsid w:val="00DB2F4E"/>
    <w:rsid w:val="00DB41F4"/>
    <w:rsid w:val="00DB5600"/>
    <w:rsid w:val="00DB62B4"/>
    <w:rsid w:val="00DC14C8"/>
    <w:rsid w:val="00DC403D"/>
    <w:rsid w:val="00DC42EF"/>
    <w:rsid w:val="00DC5A20"/>
    <w:rsid w:val="00DC76E9"/>
    <w:rsid w:val="00DD0440"/>
    <w:rsid w:val="00DD0B3E"/>
    <w:rsid w:val="00DD136B"/>
    <w:rsid w:val="00DD2214"/>
    <w:rsid w:val="00DD6DEC"/>
    <w:rsid w:val="00DE1BC5"/>
    <w:rsid w:val="00DE27BC"/>
    <w:rsid w:val="00DE43EA"/>
    <w:rsid w:val="00DE4493"/>
    <w:rsid w:val="00DF4AF4"/>
    <w:rsid w:val="00DF556A"/>
    <w:rsid w:val="00DF5E45"/>
    <w:rsid w:val="00E02232"/>
    <w:rsid w:val="00E13142"/>
    <w:rsid w:val="00E15122"/>
    <w:rsid w:val="00E15624"/>
    <w:rsid w:val="00E15E5C"/>
    <w:rsid w:val="00E15ED6"/>
    <w:rsid w:val="00E2161B"/>
    <w:rsid w:val="00E23E9A"/>
    <w:rsid w:val="00E247EA"/>
    <w:rsid w:val="00E303BE"/>
    <w:rsid w:val="00E313A6"/>
    <w:rsid w:val="00E34F2D"/>
    <w:rsid w:val="00E351AA"/>
    <w:rsid w:val="00E40564"/>
    <w:rsid w:val="00E42FB4"/>
    <w:rsid w:val="00E43136"/>
    <w:rsid w:val="00E44D04"/>
    <w:rsid w:val="00E44D4D"/>
    <w:rsid w:val="00E451F6"/>
    <w:rsid w:val="00E54C72"/>
    <w:rsid w:val="00E551F6"/>
    <w:rsid w:val="00E5595A"/>
    <w:rsid w:val="00E57C4A"/>
    <w:rsid w:val="00E6028B"/>
    <w:rsid w:val="00E613EC"/>
    <w:rsid w:val="00E620F8"/>
    <w:rsid w:val="00E62F8B"/>
    <w:rsid w:val="00E64836"/>
    <w:rsid w:val="00E65A43"/>
    <w:rsid w:val="00E66153"/>
    <w:rsid w:val="00E6714B"/>
    <w:rsid w:val="00E700B0"/>
    <w:rsid w:val="00E7088D"/>
    <w:rsid w:val="00E73FFC"/>
    <w:rsid w:val="00E7484F"/>
    <w:rsid w:val="00E80953"/>
    <w:rsid w:val="00E820DE"/>
    <w:rsid w:val="00E83879"/>
    <w:rsid w:val="00E85705"/>
    <w:rsid w:val="00E8776B"/>
    <w:rsid w:val="00E90E45"/>
    <w:rsid w:val="00E935F6"/>
    <w:rsid w:val="00EA03FB"/>
    <w:rsid w:val="00EA0D5B"/>
    <w:rsid w:val="00EA46EB"/>
    <w:rsid w:val="00EA48B6"/>
    <w:rsid w:val="00EB259F"/>
    <w:rsid w:val="00EB3353"/>
    <w:rsid w:val="00EB3E8D"/>
    <w:rsid w:val="00EB446E"/>
    <w:rsid w:val="00EC0F6D"/>
    <w:rsid w:val="00EC1846"/>
    <w:rsid w:val="00EC2DE8"/>
    <w:rsid w:val="00EC68EA"/>
    <w:rsid w:val="00ED18D8"/>
    <w:rsid w:val="00ED1DF8"/>
    <w:rsid w:val="00ED23CB"/>
    <w:rsid w:val="00ED2FE4"/>
    <w:rsid w:val="00ED5970"/>
    <w:rsid w:val="00ED6296"/>
    <w:rsid w:val="00ED7A85"/>
    <w:rsid w:val="00EE0A3B"/>
    <w:rsid w:val="00EE1754"/>
    <w:rsid w:val="00EE1A5B"/>
    <w:rsid w:val="00EE2B65"/>
    <w:rsid w:val="00EE2F9C"/>
    <w:rsid w:val="00EE31D7"/>
    <w:rsid w:val="00EE4322"/>
    <w:rsid w:val="00EE65B7"/>
    <w:rsid w:val="00EE6A16"/>
    <w:rsid w:val="00EE7A80"/>
    <w:rsid w:val="00EF1959"/>
    <w:rsid w:val="00EF5073"/>
    <w:rsid w:val="00EF5898"/>
    <w:rsid w:val="00EF6322"/>
    <w:rsid w:val="00EF6D95"/>
    <w:rsid w:val="00F00FD3"/>
    <w:rsid w:val="00F015EA"/>
    <w:rsid w:val="00F0250E"/>
    <w:rsid w:val="00F02DA1"/>
    <w:rsid w:val="00F02DA4"/>
    <w:rsid w:val="00F03022"/>
    <w:rsid w:val="00F040B8"/>
    <w:rsid w:val="00F044B4"/>
    <w:rsid w:val="00F05D86"/>
    <w:rsid w:val="00F05FAC"/>
    <w:rsid w:val="00F07287"/>
    <w:rsid w:val="00F076CD"/>
    <w:rsid w:val="00F1048B"/>
    <w:rsid w:val="00F1243E"/>
    <w:rsid w:val="00F12802"/>
    <w:rsid w:val="00F13A28"/>
    <w:rsid w:val="00F150DB"/>
    <w:rsid w:val="00F156BC"/>
    <w:rsid w:val="00F15B24"/>
    <w:rsid w:val="00F17A9A"/>
    <w:rsid w:val="00F17BA2"/>
    <w:rsid w:val="00F21B5A"/>
    <w:rsid w:val="00F21FEE"/>
    <w:rsid w:val="00F22061"/>
    <w:rsid w:val="00F229CC"/>
    <w:rsid w:val="00F22DA3"/>
    <w:rsid w:val="00F25971"/>
    <w:rsid w:val="00F26AC4"/>
    <w:rsid w:val="00F2771F"/>
    <w:rsid w:val="00F320CD"/>
    <w:rsid w:val="00F32596"/>
    <w:rsid w:val="00F32638"/>
    <w:rsid w:val="00F341D6"/>
    <w:rsid w:val="00F341EB"/>
    <w:rsid w:val="00F34A4D"/>
    <w:rsid w:val="00F45234"/>
    <w:rsid w:val="00F478C2"/>
    <w:rsid w:val="00F51568"/>
    <w:rsid w:val="00F52FC3"/>
    <w:rsid w:val="00F57CD8"/>
    <w:rsid w:val="00F57D00"/>
    <w:rsid w:val="00F62C3B"/>
    <w:rsid w:val="00F64E32"/>
    <w:rsid w:val="00F65750"/>
    <w:rsid w:val="00F65C0D"/>
    <w:rsid w:val="00F703FD"/>
    <w:rsid w:val="00F7064A"/>
    <w:rsid w:val="00F7168A"/>
    <w:rsid w:val="00F731EC"/>
    <w:rsid w:val="00F743DE"/>
    <w:rsid w:val="00F75A29"/>
    <w:rsid w:val="00F7785D"/>
    <w:rsid w:val="00F81EE2"/>
    <w:rsid w:val="00F831F3"/>
    <w:rsid w:val="00F83237"/>
    <w:rsid w:val="00F843C7"/>
    <w:rsid w:val="00F85367"/>
    <w:rsid w:val="00F860E2"/>
    <w:rsid w:val="00F867EF"/>
    <w:rsid w:val="00F86C90"/>
    <w:rsid w:val="00F87E3E"/>
    <w:rsid w:val="00F903E5"/>
    <w:rsid w:val="00F93481"/>
    <w:rsid w:val="00F93B39"/>
    <w:rsid w:val="00F9406A"/>
    <w:rsid w:val="00F94A89"/>
    <w:rsid w:val="00F95665"/>
    <w:rsid w:val="00FA2751"/>
    <w:rsid w:val="00FA2842"/>
    <w:rsid w:val="00FA29D9"/>
    <w:rsid w:val="00FA777E"/>
    <w:rsid w:val="00FA7EBF"/>
    <w:rsid w:val="00FB0392"/>
    <w:rsid w:val="00FB18CE"/>
    <w:rsid w:val="00FB2195"/>
    <w:rsid w:val="00FB2E02"/>
    <w:rsid w:val="00FB32E0"/>
    <w:rsid w:val="00FB3F8B"/>
    <w:rsid w:val="00FB4596"/>
    <w:rsid w:val="00FB5A35"/>
    <w:rsid w:val="00FB654A"/>
    <w:rsid w:val="00FB7DB6"/>
    <w:rsid w:val="00FC139C"/>
    <w:rsid w:val="00FC31AF"/>
    <w:rsid w:val="00FC3DDC"/>
    <w:rsid w:val="00FC3FCA"/>
    <w:rsid w:val="00FC598A"/>
    <w:rsid w:val="00FC5DC8"/>
    <w:rsid w:val="00FC6CFB"/>
    <w:rsid w:val="00FC709E"/>
    <w:rsid w:val="00FD0CD5"/>
    <w:rsid w:val="00FD3CBC"/>
    <w:rsid w:val="00FD7080"/>
    <w:rsid w:val="00FD7873"/>
    <w:rsid w:val="00FE227F"/>
    <w:rsid w:val="00FE3867"/>
    <w:rsid w:val="00FE3B30"/>
    <w:rsid w:val="00FE5CC7"/>
    <w:rsid w:val="00FE6B5F"/>
    <w:rsid w:val="00FE7143"/>
    <w:rsid w:val="00FF370F"/>
    <w:rsid w:val="00FF5839"/>
    <w:rsid w:val="00FF7C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14E148D-A9FB-49E5-8041-E81966BD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34"/>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73A73-1C81-4F2C-89D1-DE0409AD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6893</Words>
  <Characters>3930</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2013.gada 18.jūnija rīkojumā Nr.251 „Par finansējuma piešķiršanu ēkas Miera ielā 58A, Rīgā, būvniecības projekta un nomas maksas izdevumu segšanai un ēkas Lāčplēša ielā 25, Rīgā, rekonstrukc</vt:lpstr>
      <vt:lpstr>Ministru kabineta rīkojuma projekta „Grozījums Ministru kabineta 2013.gada 18.jūnija rīkojumā Nr.251 „Par finansējuma piešķiršanu ēkas Miera ielā 58A, Rīgā, būvniecības projekta un nomas maksas izdevumu segšanai un ēkas Lāčplēša ielā 25, Rīgā, rekonstrukc</vt:lpstr>
    </vt:vector>
  </TitlesOfParts>
  <Manager>S.Bajāre</Manager>
  <Company>Finanšu ministrija (VNĪ)</Company>
  <LinksUpToDate>false</LinksUpToDate>
  <CharactersWithSpaces>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2013.gada 18.jūnija rīkojumā Nr.251 „Par finansējuma piešķiršanu ēkas Miera ielā 58A, Rīgā, būvniecības projekta un nomas maksas izdevumu segšanai un ēkas Lāčplēša ielā 25, Rīgā, rekonstrukc</dc:title>
  <dc:subject>Anotācija</dc:subject>
  <dc:creator>Aiga Gulbe</dc:creator>
  <dc:description>67024698, aiga.gulbe@vni.lv</dc:description>
  <cp:lastModifiedBy>Lagzdiņa Lelde</cp:lastModifiedBy>
  <cp:revision>4</cp:revision>
  <cp:lastPrinted>2013-09-06T13:35:00Z</cp:lastPrinted>
  <dcterms:created xsi:type="dcterms:W3CDTF">2013-09-11T14:06:00Z</dcterms:created>
  <dcterms:modified xsi:type="dcterms:W3CDTF">2013-09-12T12:51:00Z</dcterms:modified>
</cp:coreProperties>
</file>